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500E" w14:textId="77777777" w:rsidR="00B35FE5" w:rsidRDefault="00B35FE5" w:rsidP="00DE3512">
      <w:pPr>
        <w:pBdr>
          <w:top w:val="nil"/>
          <w:left w:val="nil"/>
          <w:bottom w:val="nil"/>
          <w:right w:val="nil"/>
          <w:between w:val="nil"/>
        </w:pBdr>
        <w:rPr>
          <w:rFonts w:eastAsia="Palatino Linotype" w:cs="Palatino Linotype"/>
          <w:color w:val="000000"/>
          <w:szCs w:val="24"/>
          <w:lang w:val="es-ES_tradnl"/>
        </w:rPr>
      </w:pPr>
    </w:p>
    <w:p w14:paraId="2EE97119" w14:textId="1455FEEC"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r w:rsidRPr="00164F29">
        <w:rPr>
          <w:rFonts w:eastAsia="Palatino Linotype" w:cs="Palatino Linotype"/>
          <w:color w:val="000000"/>
          <w:szCs w:val="24"/>
          <w:lang w:val="es-ES_tradnl"/>
        </w:rPr>
        <w:t>Resolución del Pleno del Instituto de Transparencia, Acceso a la Información Pública y Protección de Datos Personales del Estado de México y Municipios, con domicili</w:t>
      </w:r>
      <w:r w:rsidR="004B4283" w:rsidRPr="00164F29">
        <w:rPr>
          <w:rFonts w:eastAsia="Palatino Linotype" w:cs="Palatino Linotype"/>
          <w:color w:val="000000"/>
          <w:szCs w:val="24"/>
          <w:lang w:val="es-ES_tradnl"/>
        </w:rPr>
        <w:t xml:space="preserve">o en Metepec, </w:t>
      </w:r>
      <w:r w:rsidR="00B64C91" w:rsidRPr="001E7336">
        <w:rPr>
          <w:rFonts w:eastAsia="Palatino Linotype" w:cs="Palatino Linotype"/>
          <w:color w:val="000000"/>
          <w:szCs w:val="24"/>
          <w:lang w:val="es-ES_tradnl"/>
        </w:rPr>
        <w:t xml:space="preserve">México, </w:t>
      </w:r>
      <w:r w:rsidR="00B64C91" w:rsidRPr="00D44147">
        <w:rPr>
          <w:rFonts w:eastAsia="Palatino Linotype" w:cs="Palatino Linotype"/>
          <w:color w:val="000000"/>
          <w:szCs w:val="24"/>
          <w:lang w:val="es-ES_tradnl"/>
        </w:rPr>
        <w:t>a</w:t>
      </w:r>
      <w:r w:rsidR="00053811">
        <w:rPr>
          <w:rFonts w:eastAsia="Palatino Linotype" w:cs="Palatino Linotype"/>
          <w:color w:val="000000"/>
          <w:szCs w:val="24"/>
          <w:lang w:val="es-ES_tradnl"/>
        </w:rPr>
        <w:t xml:space="preserve"> primero de noviembre </w:t>
      </w:r>
      <w:r w:rsidR="00A470D9" w:rsidRPr="00D44147">
        <w:rPr>
          <w:rFonts w:eastAsia="Palatino Linotype" w:cs="Palatino Linotype"/>
          <w:color w:val="000000"/>
          <w:szCs w:val="24"/>
          <w:lang w:val="es-ES_tradnl"/>
        </w:rPr>
        <w:t>de dos mil veint</w:t>
      </w:r>
      <w:r w:rsidR="00D44147">
        <w:rPr>
          <w:rFonts w:eastAsia="Palatino Linotype" w:cs="Palatino Linotype"/>
          <w:color w:val="000000"/>
          <w:szCs w:val="24"/>
          <w:lang w:val="es-ES_tradnl"/>
        </w:rPr>
        <w:t>itrés</w:t>
      </w:r>
      <w:r w:rsidRPr="00D44147">
        <w:rPr>
          <w:rFonts w:eastAsia="Palatino Linotype" w:cs="Palatino Linotype"/>
          <w:color w:val="000000"/>
          <w:szCs w:val="24"/>
          <w:lang w:val="es-ES_tradnl"/>
        </w:rPr>
        <w:t>.</w:t>
      </w:r>
    </w:p>
    <w:p w14:paraId="4CA4A924" w14:textId="77777777"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p>
    <w:p w14:paraId="63F9BAD8" w14:textId="06A1FA74"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r w:rsidRPr="00164F29">
        <w:rPr>
          <w:rFonts w:eastAsia="Palatino Linotype" w:cs="Palatino Linotype"/>
          <w:b/>
          <w:color w:val="000000"/>
          <w:szCs w:val="24"/>
          <w:lang w:val="es-ES_tradnl"/>
        </w:rPr>
        <w:t>VISTO</w:t>
      </w:r>
      <w:r w:rsidR="00A50959" w:rsidRPr="00164F29">
        <w:rPr>
          <w:rFonts w:eastAsia="Palatino Linotype" w:cs="Palatino Linotype"/>
          <w:b/>
          <w:color w:val="000000"/>
          <w:szCs w:val="24"/>
          <w:lang w:val="es-ES_tradnl"/>
        </w:rPr>
        <w:t xml:space="preserve"> </w:t>
      </w:r>
      <w:r w:rsidR="00A50959" w:rsidRPr="00164F29">
        <w:rPr>
          <w:rFonts w:eastAsia="Palatino Linotype" w:cs="Palatino Linotype"/>
          <w:color w:val="000000"/>
          <w:szCs w:val="24"/>
          <w:lang w:val="es-ES_tradnl"/>
        </w:rPr>
        <w:t xml:space="preserve">el </w:t>
      </w:r>
      <w:r w:rsidRPr="00164F29">
        <w:rPr>
          <w:rFonts w:eastAsia="Palatino Linotype" w:cs="Palatino Linotype"/>
          <w:color w:val="000000"/>
          <w:szCs w:val="24"/>
          <w:lang w:val="es-ES_tradnl"/>
        </w:rPr>
        <w:t>expediente electrónico formado con motivo de</w:t>
      </w:r>
      <w:r w:rsidR="00A50959" w:rsidRPr="00164F29">
        <w:rPr>
          <w:rFonts w:eastAsia="Palatino Linotype" w:cs="Palatino Linotype"/>
          <w:color w:val="000000"/>
          <w:szCs w:val="24"/>
          <w:lang w:val="es-ES_tradnl"/>
        </w:rPr>
        <w:t>l</w:t>
      </w:r>
      <w:r w:rsidRPr="00164F29">
        <w:rPr>
          <w:rFonts w:eastAsia="Palatino Linotype" w:cs="Palatino Linotype"/>
          <w:color w:val="000000"/>
          <w:szCs w:val="24"/>
          <w:lang w:val="es-ES_tradnl"/>
        </w:rPr>
        <w:t xml:space="preserve"> recurso de revisión </w:t>
      </w:r>
      <w:r w:rsidR="00FE1BD1">
        <w:rPr>
          <w:rFonts w:eastAsia="Palatino Linotype" w:cs="Palatino Linotype"/>
          <w:b/>
          <w:color w:val="000000"/>
          <w:szCs w:val="24"/>
          <w:lang w:val="es-ES_tradnl"/>
        </w:rPr>
        <w:t>0</w:t>
      </w:r>
      <w:r w:rsidR="00D3007E">
        <w:rPr>
          <w:rFonts w:eastAsia="Palatino Linotype" w:cs="Palatino Linotype"/>
          <w:b/>
          <w:color w:val="000000"/>
          <w:szCs w:val="24"/>
          <w:lang w:val="es-ES_tradnl"/>
        </w:rPr>
        <w:t>6705</w:t>
      </w:r>
      <w:r w:rsidR="00F24C87" w:rsidRPr="00164F29">
        <w:rPr>
          <w:rFonts w:eastAsia="Palatino Linotype" w:cs="Palatino Linotype"/>
          <w:b/>
          <w:color w:val="000000"/>
          <w:szCs w:val="24"/>
          <w:lang w:val="es-ES_tradnl"/>
        </w:rPr>
        <w:t>/INFOEM/IP/RR/202</w:t>
      </w:r>
      <w:r w:rsidR="00FE1BD1">
        <w:rPr>
          <w:rFonts w:eastAsia="Palatino Linotype" w:cs="Palatino Linotype"/>
          <w:b/>
          <w:color w:val="000000"/>
          <w:szCs w:val="24"/>
          <w:lang w:val="es-ES_tradnl"/>
        </w:rPr>
        <w:t>3</w:t>
      </w:r>
      <w:r w:rsidR="00F24C87" w:rsidRPr="00164F29">
        <w:rPr>
          <w:rFonts w:eastAsia="Palatino Linotype" w:cs="Palatino Linotype"/>
          <w:bCs/>
          <w:color w:val="000000"/>
          <w:szCs w:val="24"/>
          <w:lang w:val="es-ES_tradnl"/>
        </w:rPr>
        <w:t>,</w:t>
      </w:r>
      <w:r w:rsidRPr="00164F29">
        <w:rPr>
          <w:rFonts w:eastAsia="Palatino Linotype" w:cs="Palatino Linotype"/>
          <w:color w:val="000000"/>
          <w:szCs w:val="24"/>
          <w:lang w:val="es-ES_tradnl"/>
        </w:rPr>
        <w:t xml:space="preserve"> interpuesto</w:t>
      </w:r>
      <w:r w:rsidR="00A50959" w:rsidRPr="00164F29">
        <w:rPr>
          <w:rFonts w:eastAsia="Palatino Linotype" w:cs="Palatino Linotype"/>
          <w:color w:val="000000"/>
          <w:szCs w:val="24"/>
          <w:lang w:val="es-ES_tradnl"/>
        </w:rPr>
        <w:t xml:space="preserve"> po</w:t>
      </w:r>
      <w:r w:rsidR="000B44B1">
        <w:rPr>
          <w:rFonts w:eastAsia="Palatino Linotype" w:cs="Palatino Linotype"/>
          <w:color w:val="000000"/>
          <w:szCs w:val="24"/>
          <w:lang w:val="es-ES_tradnl"/>
        </w:rPr>
        <w:t>r</w:t>
      </w:r>
      <w:r w:rsidR="00FE1BD1">
        <w:rPr>
          <w:rFonts w:eastAsia="Palatino Linotype" w:cs="Palatino Linotype"/>
          <w:color w:val="000000"/>
          <w:szCs w:val="24"/>
          <w:lang w:val="es-ES_tradnl"/>
        </w:rPr>
        <w:t xml:space="preserve"> </w:t>
      </w:r>
      <w:r w:rsidR="0058789E">
        <w:rPr>
          <w:rFonts w:eastAsia="Palatino Linotype" w:cs="Palatino Linotype"/>
          <w:b/>
          <w:bCs/>
          <w:color w:val="000000"/>
          <w:szCs w:val="24"/>
          <w:lang w:val="es-ES_tradnl"/>
        </w:rPr>
        <w:t>XXXXXX</w:t>
      </w:r>
      <w:r w:rsidRPr="00164F29">
        <w:rPr>
          <w:rFonts w:eastAsia="Palatino Linotype" w:cs="Palatino Linotype"/>
          <w:color w:val="000000"/>
          <w:szCs w:val="24"/>
          <w:lang w:val="es-ES_tradnl"/>
        </w:rPr>
        <w:t xml:space="preserve">, en lo sucesivo </w:t>
      </w:r>
      <w:r w:rsidR="0096093D" w:rsidRPr="00164F29">
        <w:rPr>
          <w:rFonts w:eastAsia="Palatino Linotype" w:cs="Palatino Linotype"/>
          <w:color w:val="000000"/>
          <w:szCs w:val="24"/>
          <w:lang w:val="es-ES_tradnl"/>
        </w:rPr>
        <w:t>el</w:t>
      </w:r>
      <w:r w:rsidRPr="00164F29">
        <w:rPr>
          <w:rFonts w:eastAsia="Palatino Linotype" w:cs="Palatino Linotype"/>
          <w:b/>
          <w:color w:val="000000"/>
          <w:szCs w:val="24"/>
          <w:lang w:val="es-ES_tradnl"/>
        </w:rPr>
        <w:t xml:space="preserve"> Recurrente</w:t>
      </w:r>
      <w:r w:rsidRPr="00164F29">
        <w:rPr>
          <w:rFonts w:eastAsia="Palatino Linotype" w:cs="Palatino Linotype"/>
          <w:color w:val="000000"/>
          <w:szCs w:val="24"/>
          <w:lang w:val="es-ES_tradnl"/>
        </w:rPr>
        <w:t xml:space="preserve">; en contra de la falta de respuesta del </w:t>
      </w:r>
      <w:r w:rsidR="00A50959" w:rsidRPr="00164F29">
        <w:rPr>
          <w:rFonts w:eastAsia="Palatino Linotype" w:cs="Palatino Linotype"/>
          <w:b/>
          <w:color w:val="000000"/>
          <w:szCs w:val="24"/>
          <w:lang w:val="es-ES_tradnl"/>
        </w:rPr>
        <w:t xml:space="preserve">Ayuntamiento de </w:t>
      </w:r>
      <w:r w:rsidR="00D3007E">
        <w:rPr>
          <w:rFonts w:eastAsia="Palatino Linotype" w:cs="Palatino Linotype"/>
          <w:b/>
          <w:color w:val="000000"/>
          <w:szCs w:val="24"/>
          <w:lang w:val="es-ES_tradnl"/>
        </w:rPr>
        <w:t>Apaxco</w:t>
      </w:r>
      <w:r w:rsidRPr="00164F29">
        <w:rPr>
          <w:rFonts w:eastAsia="Palatino Linotype" w:cs="Palatino Linotype"/>
          <w:bCs/>
          <w:color w:val="000000"/>
          <w:szCs w:val="24"/>
          <w:lang w:val="es-ES_tradnl"/>
        </w:rPr>
        <w:t>,</w:t>
      </w:r>
      <w:r w:rsidRPr="00164F29">
        <w:rPr>
          <w:rFonts w:eastAsia="Palatino Linotype" w:cs="Palatino Linotype"/>
          <w:color w:val="000000"/>
          <w:szCs w:val="24"/>
          <w:lang w:val="es-ES_tradnl"/>
        </w:rPr>
        <w:t xml:space="preserve"> en lo subsecuente</w:t>
      </w:r>
      <w:r w:rsidRPr="00164F29">
        <w:rPr>
          <w:rFonts w:eastAsia="Palatino Linotype" w:cs="Palatino Linotype"/>
          <w:b/>
          <w:color w:val="000000"/>
          <w:szCs w:val="24"/>
          <w:lang w:val="es-ES_tradnl"/>
        </w:rPr>
        <w:t xml:space="preserve"> </w:t>
      </w:r>
      <w:r w:rsidRPr="00164F29">
        <w:rPr>
          <w:rFonts w:eastAsia="Palatino Linotype" w:cs="Palatino Linotype"/>
          <w:color w:val="000000"/>
          <w:szCs w:val="24"/>
          <w:lang w:val="es-ES_tradnl"/>
        </w:rPr>
        <w:t>el</w:t>
      </w:r>
      <w:r w:rsidRPr="00164F29">
        <w:rPr>
          <w:rFonts w:eastAsia="Palatino Linotype" w:cs="Palatino Linotype"/>
          <w:b/>
          <w:color w:val="000000"/>
          <w:szCs w:val="24"/>
          <w:lang w:val="es-ES_tradnl"/>
        </w:rPr>
        <w:t xml:space="preserve"> Sujeto Obligado</w:t>
      </w:r>
      <w:r w:rsidRPr="00164F29">
        <w:rPr>
          <w:rFonts w:eastAsia="Palatino Linotype" w:cs="Palatino Linotype"/>
          <w:color w:val="000000"/>
          <w:szCs w:val="24"/>
          <w:lang w:val="es-ES_tradnl"/>
        </w:rPr>
        <w:t>,</w:t>
      </w:r>
      <w:r w:rsidRPr="00164F29">
        <w:rPr>
          <w:rFonts w:eastAsia="Palatino Linotype" w:cs="Palatino Linotype"/>
          <w:b/>
          <w:color w:val="000000"/>
          <w:szCs w:val="24"/>
          <w:lang w:val="es-ES_tradnl"/>
        </w:rPr>
        <w:t xml:space="preserve"> </w:t>
      </w:r>
      <w:r w:rsidRPr="00164F29">
        <w:rPr>
          <w:rFonts w:eastAsia="Palatino Linotype" w:cs="Palatino Linotype"/>
          <w:color w:val="000000"/>
          <w:szCs w:val="24"/>
          <w:lang w:val="es-ES_tradnl"/>
        </w:rPr>
        <w:t>se procede a dictar la presente resolución.</w:t>
      </w:r>
    </w:p>
    <w:p w14:paraId="7E81D877" w14:textId="77777777"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p>
    <w:p w14:paraId="565A51ED" w14:textId="77777777" w:rsidR="00DE3512" w:rsidRPr="00883102" w:rsidRDefault="00DE3512" w:rsidP="00DE3512">
      <w:pPr>
        <w:pBdr>
          <w:top w:val="nil"/>
          <w:left w:val="nil"/>
          <w:bottom w:val="nil"/>
          <w:right w:val="nil"/>
          <w:between w:val="nil"/>
        </w:pBdr>
        <w:jc w:val="center"/>
        <w:rPr>
          <w:rFonts w:eastAsia="Palatino Linotype" w:cs="Palatino Linotype"/>
          <w:b/>
          <w:color w:val="000000"/>
          <w:sz w:val="28"/>
          <w:szCs w:val="28"/>
          <w:lang w:val="es-ES_tradnl"/>
        </w:rPr>
      </w:pPr>
      <w:r w:rsidRPr="00883102">
        <w:rPr>
          <w:rFonts w:eastAsia="Palatino Linotype" w:cs="Palatino Linotype"/>
          <w:b/>
          <w:color w:val="000000"/>
          <w:sz w:val="28"/>
          <w:szCs w:val="28"/>
          <w:lang w:val="es-ES_tradnl"/>
        </w:rPr>
        <w:t>A N T E C E D E N T E S</w:t>
      </w:r>
    </w:p>
    <w:p w14:paraId="6205E54F" w14:textId="77777777" w:rsidR="00DE3512" w:rsidRPr="00164F29" w:rsidRDefault="00DE3512" w:rsidP="00DE3512">
      <w:pPr>
        <w:pBdr>
          <w:top w:val="nil"/>
          <w:left w:val="nil"/>
          <w:bottom w:val="nil"/>
          <w:right w:val="nil"/>
          <w:between w:val="nil"/>
        </w:pBdr>
        <w:rPr>
          <w:rFonts w:eastAsia="Palatino Linotype" w:cs="Palatino Linotype"/>
          <w:b/>
          <w:color w:val="000000"/>
          <w:szCs w:val="24"/>
          <w:lang w:val="es-ES_tradnl"/>
        </w:rPr>
      </w:pPr>
    </w:p>
    <w:p w14:paraId="173AFD57" w14:textId="18742292" w:rsidR="00DE3512" w:rsidRPr="00164F29" w:rsidRDefault="00DE3512" w:rsidP="00DE3512">
      <w:pPr>
        <w:pBdr>
          <w:top w:val="nil"/>
          <w:left w:val="nil"/>
          <w:bottom w:val="nil"/>
          <w:right w:val="nil"/>
          <w:between w:val="nil"/>
        </w:pBdr>
        <w:rPr>
          <w:rFonts w:eastAsia="Palatino Linotype" w:cs="Palatino Linotype"/>
          <w:b/>
          <w:color w:val="000000"/>
          <w:sz w:val="26"/>
          <w:szCs w:val="26"/>
          <w:lang w:val="es-ES_tradnl"/>
        </w:rPr>
      </w:pPr>
      <w:r w:rsidRPr="00164F29">
        <w:rPr>
          <w:rFonts w:eastAsia="Palatino Linotype" w:cs="Palatino Linotype"/>
          <w:b/>
          <w:color w:val="000000"/>
          <w:sz w:val="26"/>
          <w:szCs w:val="26"/>
          <w:lang w:val="es-ES_tradnl"/>
        </w:rPr>
        <w:t>PRIMERO.</w:t>
      </w:r>
      <w:r w:rsidRPr="00164F29">
        <w:rPr>
          <w:rFonts w:eastAsia="Palatino Linotype" w:cs="Palatino Linotype"/>
          <w:color w:val="000000"/>
          <w:sz w:val="26"/>
          <w:szCs w:val="26"/>
          <w:lang w:val="es-ES_tradnl"/>
        </w:rPr>
        <w:t xml:space="preserve"> </w:t>
      </w:r>
      <w:r w:rsidRPr="00164F29">
        <w:rPr>
          <w:rFonts w:eastAsia="Palatino Linotype" w:cs="Palatino Linotype"/>
          <w:b/>
          <w:color w:val="000000"/>
          <w:sz w:val="26"/>
          <w:szCs w:val="26"/>
          <w:lang w:val="es-ES_tradnl"/>
        </w:rPr>
        <w:t xml:space="preserve">De la </w:t>
      </w:r>
      <w:r w:rsidR="00AF1662" w:rsidRPr="00164F29">
        <w:rPr>
          <w:rFonts w:eastAsia="Palatino Linotype" w:cs="Palatino Linotype"/>
          <w:b/>
          <w:color w:val="000000"/>
          <w:sz w:val="26"/>
          <w:szCs w:val="26"/>
          <w:lang w:val="es-ES_tradnl"/>
        </w:rPr>
        <w:t>s</w:t>
      </w:r>
      <w:r w:rsidRPr="00164F29">
        <w:rPr>
          <w:rFonts w:eastAsia="Palatino Linotype" w:cs="Palatino Linotype"/>
          <w:b/>
          <w:color w:val="000000"/>
          <w:sz w:val="26"/>
          <w:szCs w:val="26"/>
          <w:lang w:val="es-ES_tradnl"/>
        </w:rPr>
        <w:t xml:space="preserve">olicitud de </w:t>
      </w:r>
      <w:r w:rsidR="00AF1662" w:rsidRPr="00164F29">
        <w:rPr>
          <w:rFonts w:eastAsia="Palatino Linotype" w:cs="Palatino Linotype"/>
          <w:b/>
          <w:color w:val="000000"/>
          <w:sz w:val="26"/>
          <w:szCs w:val="26"/>
          <w:lang w:val="es-ES_tradnl"/>
        </w:rPr>
        <w:t>i</w:t>
      </w:r>
      <w:r w:rsidRPr="00164F29">
        <w:rPr>
          <w:rFonts w:eastAsia="Palatino Linotype" w:cs="Palatino Linotype"/>
          <w:b/>
          <w:color w:val="000000"/>
          <w:sz w:val="26"/>
          <w:szCs w:val="26"/>
          <w:lang w:val="es-ES_tradnl"/>
        </w:rPr>
        <w:t>nformación.</w:t>
      </w:r>
    </w:p>
    <w:p w14:paraId="4D15ACD3" w14:textId="01FB362C" w:rsidR="00DE3512" w:rsidRPr="00164F29" w:rsidRDefault="004C1525" w:rsidP="00DE3512">
      <w:pPr>
        <w:pBdr>
          <w:top w:val="nil"/>
          <w:left w:val="nil"/>
          <w:bottom w:val="nil"/>
          <w:right w:val="nil"/>
          <w:between w:val="nil"/>
        </w:pBdr>
        <w:rPr>
          <w:rFonts w:eastAsia="Palatino Linotype" w:cs="Palatino Linotype"/>
          <w:b/>
          <w:bCs/>
          <w:color w:val="000000"/>
          <w:szCs w:val="24"/>
          <w:lang w:val="es-ES_tradnl"/>
        </w:rPr>
      </w:pPr>
      <w:r w:rsidRPr="00164F29">
        <w:rPr>
          <w:rFonts w:eastAsia="Palatino Linotype" w:cs="Palatino Linotype"/>
          <w:color w:val="000000"/>
          <w:szCs w:val="24"/>
          <w:lang w:val="es-ES_tradnl"/>
        </w:rPr>
        <w:t>Con fecha</w:t>
      </w:r>
      <w:r w:rsidR="00D3007E">
        <w:rPr>
          <w:rFonts w:eastAsia="Palatino Linotype" w:cs="Palatino Linotype"/>
          <w:color w:val="000000"/>
          <w:szCs w:val="24"/>
          <w:lang w:val="es-ES_tradnl"/>
        </w:rPr>
        <w:t xml:space="preserve"> primero de agosto</w:t>
      </w:r>
      <w:r w:rsidR="00B35FE5">
        <w:rPr>
          <w:rFonts w:eastAsia="Palatino Linotype" w:cs="Palatino Linotype"/>
          <w:color w:val="000000"/>
          <w:szCs w:val="24"/>
          <w:lang w:val="es-ES_tradnl"/>
        </w:rPr>
        <w:t xml:space="preserve"> </w:t>
      </w:r>
      <w:r w:rsidR="00E12C83">
        <w:rPr>
          <w:rFonts w:eastAsia="Palatino Linotype" w:cs="Palatino Linotype"/>
          <w:color w:val="000000"/>
          <w:szCs w:val="24"/>
          <w:lang w:val="es-ES_tradnl"/>
        </w:rPr>
        <w:t xml:space="preserve">de dos mil </w:t>
      </w:r>
      <w:r w:rsidR="00CB4C3B">
        <w:rPr>
          <w:rFonts w:eastAsia="Palatino Linotype" w:cs="Palatino Linotype"/>
          <w:color w:val="000000"/>
          <w:szCs w:val="24"/>
          <w:lang w:val="es-ES_tradnl"/>
        </w:rPr>
        <w:t>veintitrés</w:t>
      </w:r>
      <w:r w:rsidR="00DE3512" w:rsidRPr="00164F29">
        <w:rPr>
          <w:rFonts w:eastAsia="Palatino Linotype" w:cs="Palatino Linotype"/>
          <w:color w:val="000000"/>
          <w:szCs w:val="24"/>
          <w:lang w:val="es-ES_tradnl"/>
        </w:rPr>
        <w:t xml:space="preserve">, </w:t>
      </w:r>
      <w:r w:rsidR="0096093D" w:rsidRPr="00164F29">
        <w:rPr>
          <w:rFonts w:eastAsia="Palatino Linotype" w:cs="Palatino Linotype"/>
          <w:color w:val="000000"/>
          <w:szCs w:val="24"/>
          <w:lang w:val="es-ES_tradnl"/>
        </w:rPr>
        <w:t xml:space="preserve">el Recurrente </w:t>
      </w:r>
      <w:r w:rsidR="00DE3512" w:rsidRPr="00164F29">
        <w:rPr>
          <w:rFonts w:eastAsia="Palatino Linotype" w:cs="Palatino Linotype"/>
          <w:color w:val="000000"/>
          <w:szCs w:val="24"/>
          <w:lang w:val="es-ES_tradnl"/>
        </w:rPr>
        <w:t>presentó a través del Sistema de Acceso a la Información Mexiquense (SAIMEX) ante el Sujeto Obligado, solicitud de acceso a la inf</w:t>
      </w:r>
      <w:r w:rsidRPr="00164F29">
        <w:rPr>
          <w:rFonts w:eastAsia="Palatino Linotype" w:cs="Palatino Linotype"/>
          <w:color w:val="000000"/>
          <w:szCs w:val="24"/>
          <w:lang w:val="es-ES_tradnl"/>
        </w:rPr>
        <w:t>ormación pública registrada con</w:t>
      </w:r>
      <w:r w:rsidR="00DE3512" w:rsidRPr="00164F29">
        <w:rPr>
          <w:rFonts w:eastAsia="Palatino Linotype" w:cs="Palatino Linotype"/>
          <w:color w:val="000000"/>
          <w:szCs w:val="24"/>
          <w:lang w:val="es-ES_tradnl"/>
        </w:rPr>
        <w:t xml:space="preserve"> </w:t>
      </w:r>
      <w:r w:rsidR="00A50959" w:rsidRPr="00164F29">
        <w:rPr>
          <w:rFonts w:eastAsia="Palatino Linotype" w:cs="Palatino Linotype"/>
          <w:color w:val="000000"/>
          <w:szCs w:val="24"/>
          <w:lang w:val="es-ES_tradnl"/>
        </w:rPr>
        <w:t>el</w:t>
      </w:r>
      <w:r w:rsidR="00DE3512" w:rsidRPr="00164F29">
        <w:rPr>
          <w:rFonts w:eastAsia="Palatino Linotype" w:cs="Palatino Linotype"/>
          <w:color w:val="000000"/>
          <w:szCs w:val="24"/>
          <w:lang w:val="es-ES_tradnl"/>
        </w:rPr>
        <w:t xml:space="preserve"> número de expediente</w:t>
      </w:r>
      <w:r w:rsidR="00DE3512" w:rsidRPr="00164F29">
        <w:rPr>
          <w:rFonts w:eastAsia="Palatino Linotype" w:cs="Palatino Linotype"/>
          <w:b/>
          <w:color w:val="000000"/>
          <w:szCs w:val="24"/>
          <w:lang w:val="es-ES_tradnl"/>
        </w:rPr>
        <w:t xml:space="preserve"> </w:t>
      </w:r>
      <w:r w:rsidR="00D3007E" w:rsidRPr="00D3007E">
        <w:rPr>
          <w:rFonts w:eastAsia="Palatino Linotype" w:cs="Palatino Linotype"/>
          <w:b/>
          <w:bCs/>
          <w:color w:val="000000"/>
          <w:szCs w:val="24"/>
          <w:lang w:val="es-ES_tradnl"/>
        </w:rPr>
        <w:t>00060/APAXCO/IP/2023</w:t>
      </w:r>
      <w:r w:rsidR="00DE3512" w:rsidRPr="00164F29">
        <w:rPr>
          <w:rFonts w:eastAsia="Palatino Linotype" w:cs="Palatino Linotype"/>
          <w:color w:val="000000"/>
          <w:szCs w:val="24"/>
          <w:lang w:val="es-ES_tradnl"/>
        </w:rPr>
        <w:t>,</w:t>
      </w:r>
      <w:r w:rsidR="00DE3512" w:rsidRPr="00164F29">
        <w:rPr>
          <w:rFonts w:eastAsia="Palatino Linotype" w:cs="Palatino Linotype"/>
          <w:b/>
          <w:color w:val="000000"/>
          <w:szCs w:val="24"/>
          <w:lang w:val="es-ES_tradnl"/>
        </w:rPr>
        <w:t xml:space="preserve"> </w:t>
      </w:r>
      <w:r w:rsidR="00DE3512" w:rsidRPr="00164F29">
        <w:rPr>
          <w:rFonts w:eastAsia="Palatino Linotype" w:cs="Palatino Linotype"/>
          <w:color w:val="000000"/>
          <w:szCs w:val="24"/>
          <w:lang w:val="es-ES_tradnl"/>
        </w:rPr>
        <w:t>mediante la cual solicitó información en el tenor siguiente:</w:t>
      </w:r>
    </w:p>
    <w:p w14:paraId="5393F9A9" w14:textId="4B3CBFAB"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p>
    <w:p w14:paraId="2A1D33BB" w14:textId="3C9B8BE3" w:rsidR="002B6DF7" w:rsidRPr="003079C6" w:rsidRDefault="002B6DF7" w:rsidP="007C63F6">
      <w:pPr>
        <w:pStyle w:val="Sinespaciado"/>
      </w:pPr>
      <w:r w:rsidRPr="003079C6">
        <w:t>“</w:t>
      </w:r>
      <w:r w:rsidR="00D3007E" w:rsidRPr="00D3007E">
        <w:t>¿Cuál es el análisis detallado de la situación de la población indígena en el municipio, incluyendo indicadores de salud, educación, vivienda y empleo, y cuáles son las medidas para preservar su cultura y promover su inclusión social?</w:t>
      </w:r>
      <w:r w:rsidRPr="003079C6">
        <w:t>” (Sic)</w:t>
      </w:r>
    </w:p>
    <w:p w14:paraId="2FD8A70A" w14:textId="77777777" w:rsidR="002B6DF7" w:rsidRPr="00883102" w:rsidRDefault="002B6DF7" w:rsidP="00DE3512">
      <w:pPr>
        <w:pBdr>
          <w:top w:val="nil"/>
          <w:left w:val="nil"/>
          <w:bottom w:val="nil"/>
          <w:right w:val="nil"/>
          <w:between w:val="nil"/>
        </w:pBdr>
        <w:rPr>
          <w:rFonts w:eastAsia="Palatino Linotype" w:cs="Palatino Linotype"/>
          <w:b/>
          <w:color w:val="000000"/>
          <w:szCs w:val="24"/>
          <w:u w:val="single"/>
          <w:lang w:val="es-ES_tradnl"/>
        </w:rPr>
      </w:pPr>
    </w:p>
    <w:p w14:paraId="64D9234F" w14:textId="59B00B99" w:rsidR="00DE351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Modalidad de entrega: </w:t>
      </w:r>
      <w:r w:rsidR="007C63F6" w:rsidRPr="007C63F6">
        <w:rPr>
          <w:rFonts w:eastAsia="Palatino Linotype" w:cs="Palatino Linotype"/>
          <w:b/>
          <w:bCs/>
          <w:color w:val="000000"/>
          <w:szCs w:val="24"/>
          <w:lang w:val="es-ES_tradnl"/>
        </w:rPr>
        <w:t>A</w:t>
      </w:r>
      <w:r w:rsidRPr="007C63F6">
        <w:rPr>
          <w:rFonts w:eastAsia="Palatino Linotype" w:cs="Palatino Linotype"/>
          <w:b/>
          <w:bCs/>
          <w:color w:val="000000"/>
          <w:szCs w:val="24"/>
          <w:lang w:val="es-ES_tradnl"/>
        </w:rPr>
        <w:t xml:space="preserve"> través del SAIMEX.</w:t>
      </w:r>
    </w:p>
    <w:p w14:paraId="3D5B28A8" w14:textId="77777777" w:rsidR="00E12C83" w:rsidRDefault="00E12C83" w:rsidP="00DE3512">
      <w:pPr>
        <w:pBdr>
          <w:top w:val="nil"/>
          <w:left w:val="nil"/>
          <w:bottom w:val="nil"/>
          <w:right w:val="nil"/>
          <w:between w:val="nil"/>
        </w:pBdr>
        <w:rPr>
          <w:rFonts w:eastAsia="Palatino Linotype" w:cs="Palatino Linotype"/>
          <w:color w:val="000000"/>
          <w:szCs w:val="24"/>
          <w:lang w:val="es-ES_tradnl"/>
        </w:rPr>
      </w:pPr>
    </w:p>
    <w:p w14:paraId="3BC89A0D" w14:textId="5771915A" w:rsidR="00DE3512" w:rsidRPr="00883102" w:rsidRDefault="006E078A" w:rsidP="00DE3512">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b/>
          <w:color w:val="000000"/>
          <w:sz w:val="26"/>
          <w:szCs w:val="26"/>
          <w:lang w:val="es-ES_tradnl"/>
        </w:rPr>
        <w:lastRenderedPageBreak/>
        <w:t>SEGUNDO</w:t>
      </w:r>
      <w:r w:rsidR="00B91EC0">
        <w:rPr>
          <w:rFonts w:eastAsia="Palatino Linotype" w:cs="Palatino Linotype"/>
          <w:b/>
          <w:color w:val="000000"/>
          <w:sz w:val="26"/>
          <w:szCs w:val="26"/>
          <w:lang w:val="es-ES_tradnl"/>
        </w:rPr>
        <w:t xml:space="preserve">. </w:t>
      </w:r>
      <w:r w:rsidR="00DE3512" w:rsidRPr="00883102">
        <w:rPr>
          <w:rFonts w:eastAsia="Palatino Linotype" w:cs="Palatino Linotype"/>
          <w:b/>
          <w:color w:val="000000"/>
          <w:sz w:val="26"/>
          <w:szCs w:val="26"/>
          <w:lang w:val="es-ES_tradnl"/>
        </w:rPr>
        <w:t xml:space="preserve">De la </w:t>
      </w:r>
      <w:r w:rsidR="000B44B1">
        <w:rPr>
          <w:rFonts w:eastAsia="Palatino Linotype" w:cs="Palatino Linotype"/>
          <w:b/>
          <w:color w:val="000000"/>
          <w:sz w:val="26"/>
          <w:szCs w:val="26"/>
          <w:lang w:val="es-ES_tradnl"/>
        </w:rPr>
        <w:t xml:space="preserve">falta de </w:t>
      </w:r>
      <w:r w:rsidR="00DE3512" w:rsidRPr="00883102">
        <w:rPr>
          <w:rFonts w:eastAsia="Palatino Linotype" w:cs="Palatino Linotype"/>
          <w:b/>
          <w:color w:val="000000"/>
          <w:sz w:val="26"/>
          <w:szCs w:val="26"/>
          <w:lang w:val="es-ES_tradnl"/>
        </w:rPr>
        <w:t>respuesta del Sujeto Obligado.</w:t>
      </w:r>
    </w:p>
    <w:p w14:paraId="19CAAB15" w14:textId="052AFF16"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En </w:t>
      </w:r>
      <w:r w:rsidR="006B55E5" w:rsidRPr="00883102">
        <w:rPr>
          <w:rFonts w:eastAsia="Palatino Linotype" w:cs="Palatino Linotype"/>
          <w:color w:val="000000"/>
          <w:szCs w:val="24"/>
          <w:lang w:val="es-ES_tradnl"/>
        </w:rPr>
        <w:t>el</w:t>
      </w:r>
      <w:r w:rsidRPr="00883102">
        <w:rPr>
          <w:rFonts w:eastAsia="Palatino Linotype" w:cs="Palatino Linotype"/>
          <w:color w:val="000000"/>
          <w:szCs w:val="24"/>
          <w:lang w:val="es-ES_tradnl"/>
        </w:rPr>
        <w:t xml:space="preserve"> expediente electrónico se observa que el Sujeto Obligado </w:t>
      </w:r>
      <w:r w:rsidR="007C63F6">
        <w:rPr>
          <w:rFonts w:eastAsia="Palatino Linotype" w:cs="Palatino Linotype"/>
          <w:color w:val="000000"/>
          <w:szCs w:val="24"/>
          <w:lang w:val="es-ES_tradnl"/>
        </w:rPr>
        <w:t>omitió</w:t>
      </w:r>
      <w:r w:rsidRPr="00883102">
        <w:rPr>
          <w:rFonts w:eastAsia="Palatino Linotype" w:cs="Palatino Linotype"/>
          <w:color w:val="000000"/>
          <w:szCs w:val="24"/>
          <w:lang w:val="es-ES_tradnl"/>
        </w:rPr>
        <w:t xml:space="preserve"> dar respuesta a la solicitud de información. Derivado de lo anterior, se constituye la figura de la </w:t>
      </w:r>
      <w:r w:rsidRPr="00883102">
        <w:rPr>
          <w:rFonts w:eastAsia="Palatino Linotype" w:cs="Palatino Linotype"/>
          <w:b/>
          <w:i/>
          <w:color w:val="000000"/>
          <w:szCs w:val="24"/>
          <w:lang w:val="es-ES_tradnl"/>
        </w:rPr>
        <w:t>Negativa Ficta</w:t>
      </w:r>
      <w:r w:rsidRPr="00883102">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42A0F05D" w14:textId="041955CE" w:rsidR="00DE3512" w:rsidRPr="00883102" w:rsidRDefault="006E078A" w:rsidP="00DE3512">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TERCERO</w:t>
      </w:r>
      <w:r w:rsidR="00DE3512" w:rsidRPr="00883102">
        <w:rPr>
          <w:rFonts w:eastAsia="Palatino Linotype" w:cs="Palatino Linotype"/>
          <w:b/>
          <w:color w:val="000000"/>
          <w:sz w:val="26"/>
          <w:szCs w:val="26"/>
          <w:lang w:val="es-ES_tradnl"/>
        </w:rPr>
        <w:t>. Del recurso de revisión.</w:t>
      </w:r>
    </w:p>
    <w:p w14:paraId="3331FFB2" w14:textId="6D97D5AD" w:rsidR="00DE3512" w:rsidRPr="00883102" w:rsidRDefault="00ED6821" w:rsidP="00CB4C3B">
      <w:pPr>
        <w:rPr>
          <w:lang w:val="es-ES_tradnl"/>
        </w:rPr>
      </w:pPr>
      <w:r w:rsidRPr="00883102">
        <w:rPr>
          <w:lang w:val="es-ES_tradnl"/>
        </w:rPr>
        <w:t xml:space="preserve">En fecha </w:t>
      </w:r>
      <w:r w:rsidR="00D3007E">
        <w:rPr>
          <w:lang w:val="es-ES_tradnl"/>
        </w:rPr>
        <w:t xml:space="preserve">tres de octubre </w:t>
      </w:r>
      <w:r w:rsidR="006E078A">
        <w:rPr>
          <w:lang w:val="es-ES_tradnl"/>
        </w:rPr>
        <w:t>de dos mil veintitrés</w:t>
      </w:r>
      <w:r w:rsidR="00DE3512" w:rsidRPr="00883102">
        <w:rPr>
          <w:lang w:val="es-ES_tradnl"/>
        </w:rPr>
        <w:t xml:space="preserve">, </w:t>
      </w:r>
      <w:r w:rsidR="0096093D">
        <w:rPr>
          <w:lang w:val="es-ES_tradnl"/>
        </w:rPr>
        <w:t xml:space="preserve">el Recurrente </w:t>
      </w:r>
      <w:r w:rsidR="00DE3512" w:rsidRPr="00883102">
        <w:rPr>
          <w:lang w:val="es-ES_tradnl"/>
        </w:rPr>
        <w:t xml:space="preserve">interpuso </w:t>
      </w:r>
      <w:r w:rsidR="006B55E5" w:rsidRPr="00883102">
        <w:rPr>
          <w:lang w:val="es-ES_tradnl"/>
        </w:rPr>
        <w:t xml:space="preserve">el </w:t>
      </w:r>
      <w:r w:rsidR="00BE7F8D" w:rsidRPr="00883102">
        <w:rPr>
          <w:lang w:val="es-ES_tradnl"/>
        </w:rPr>
        <w:t xml:space="preserve">presente </w:t>
      </w:r>
      <w:r w:rsidR="00DE3512" w:rsidRPr="00883102">
        <w:rPr>
          <w:lang w:val="es-ES_tradnl"/>
        </w:rPr>
        <w:t xml:space="preserve">recurso de revisión, </w:t>
      </w:r>
      <w:r w:rsidR="006B55E5" w:rsidRPr="00883102">
        <w:rPr>
          <w:lang w:val="es-ES_tradnl"/>
        </w:rPr>
        <w:t>el cual fue</w:t>
      </w:r>
      <w:r w:rsidR="00DE3512" w:rsidRPr="00883102">
        <w:rPr>
          <w:lang w:val="es-ES_tradnl"/>
        </w:rPr>
        <w:t xml:space="preserve"> registrado</w:t>
      </w:r>
      <w:r w:rsidR="00DE3512" w:rsidRPr="00883102">
        <w:rPr>
          <w:b/>
          <w:lang w:val="es-ES_tradnl"/>
        </w:rPr>
        <w:t xml:space="preserve"> </w:t>
      </w:r>
      <w:r w:rsidR="00DE3512" w:rsidRPr="00883102">
        <w:rPr>
          <w:lang w:val="es-ES_tradnl"/>
        </w:rPr>
        <w:t xml:space="preserve">en el SAIMEX con </w:t>
      </w:r>
      <w:r w:rsidR="006B55E5" w:rsidRPr="00883102">
        <w:rPr>
          <w:lang w:val="es-ES_tradnl"/>
        </w:rPr>
        <w:t>el</w:t>
      </w:r>
      <w:r w:rsidR="00DE3512" w:rsidRPr="00883102">
        <w:rPr>
          <w:lang w:val="es-ES_tradnl"/>
        </w:rPr>
        <w:t xml:space="preserve"> expediente número</w:t>
      </w:r>
      <w:r w:rsidRPr="00883102">
        <w:rPr>
          <w:b/>
          <w:lang w:val="es-ES_tradnl"/>
        </w:rPr>
        <w:t xml:space="preserve"> </w:t>
      </w:r>
      <w:r w:rsidR="006E078A">
        <w:rPr>
          <w:b/>
          <w:lang w:val="es-ES_tradnl"/>
        </w:rPr>
        <w:t>0</w:t>
      </w:r>
      <w:r w:rsidR="00AD5A21">
        <w:rPr>
          <w:b/>
          <w:lang w:val="es-ES_tradnl"/>
        </w:rPr>
        <w:t>6705</w:t>
      </w:r>
      <w:r w:rsidR="00BE7F8D" w:rsidRPr="00883102">
        <w:rPr>
          <w:b/>
          <w:lang w:val="es-ES_tradnl"/>
        </w:rPr>
        <w:t>/INFOEM/IP/RR/202</w:t>
      </w:r>
      <w:r w:rsidR="006E078A">
        <w:rPr>
          <w:b/>
          <w:lang w:val="es-ES_tradnl"/>
        </w:rPr>
        <w:t>3</w:t>
      </w:r>
      <w:r w:rsidR="006B55E5" w:rsidRPr="00883102">
        <w:rPr>
          <w:lang w:val="es-ES_tradnl"/>
        </w:rPr>
        <w:t xml:space="preserve">, </w:t>
      </w:r>
      <w:r w:rsidR="00DE3512" w:rsidRPr="00883102">
        <w:rPr>
          <w:lang w:val="es-ES_tradnl"/>
        </w:rPr>
        <w:t>manifestando lo siguiente:</w:t>
      </w:r>
    </w:p>
    <w:p w14:paraId="202B1653" w14:textId="06221B76" w:rsidR="00DE3512" w:rsidRDefault="00DE3512" w:rsidP="00DE3512">
      <w:pPr>
        <w:pBdr>
          <w:top w:val="nil"/>
          <w:left w:val="nil"/>
          <w:bottom w:val="nil"/>
          <w:right w:val="nil"/>
          <w:between w:val="nil"/>
        </w:pBdr>
        <w:rPr>
          <w:rFonts w:eastAsia="Palatino Linotype" w:cs="Palatino Linotype"/>
          <w:color w:val="000000"/>
          <w:szCs w:val="24"/>
          <w:lang w:val="es-ES_tradnl"/>
        </w:rPr>
      </w:pPr>
    </w:p>
    <w:p w14:paraId="1D5DA200" w14:textId="77777777" w:rsidR="007C63F6" w:rsidRDefault="00A06350" w:rsidP="007C63F6">
      <w:pPr>
        <w:pBdr>
          <w:top w:val="nil"/>
          <w:left w:val="nil"/>
          <w:bottom w:val="nil"/>
          <w:right w:val="nil"/>
          <w:between w:val="nil"/>
        </w:pBdr>
        <w:rPr>
          <w:rFonts w:eastAsia="Palatino Linotype" w:cs="Palatino Linotype"/>
          <w:b/>
          <w:color w:val="000000"/>
          <w:szCs w:val="24"/>
          <w:lang w:val="es-ES_tradnl"/>
        </w:rPr>
      </w:pPr>
      <w:r w:rsidRPr="00883102">
        <w:rPr>
          <w:rFonts w:eastAsia="Palatino Linotype" w:cs="Palatino Linotype"/>
          <w:b/>
          <w:color w:val="000000"/>
          <w:szCs w:val="24"/>
          <w:lang w:val="es-ES_tradnl"/>
        </w:rPr>
        <w:t>Acto Impugnado</w:t>
      </w:r>
      <w:r w:rsidR="00BE7F8D" w:rsidRPr="00883102">
        <w:rPr>
          <w:rFonts w:eastAsia="Palatino Linotype" w:cs="Palatino Linotype"/>
          <w:b/>
          <w:color w:val="000000"/>
          <w:szCs w:val="24"/>
          <w:lang w:val="es-ES_tradnl"/>
        </w:rPr>
        <w:t xml:space="preserve">: </w:t>
      </w:r>
    </w:p>
    <w:p w14:paraId="2BF9871A" w14:textId="78603327" w:rsidR="00BE7F8D" w:rsidRPr="007C63F6" w:rsidRDefault="00BE7F8D" w:rsidP="007C63F6">
      <w:pPr>
        <w:pStyle w:val="Sinespaciado"/>
      </w:pPr>
      <w:r w:rsidRPr="007C63F6">
        <w:t>“</w:t>
      </w:r>
      <w:r w:rsidR="00D3007E" w:rsidRPr="00D3007E">
        <w:t>El acto impugnado es la falta de respuesta por parte del Sujeto obligado del municipio de Apaxco de ocampo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Pr="007C63F6">
        <w:t xml:space="preserve">” (Sic) </w:t>
      </w:r>
    </w:p>
    <w:p w14:paraId="1EC0B708" w14:textId="77777777" w:rsidR="00BE7F8D" w:rsidRPr="00883102" w:rsidRDefault="00BE7F8D" w:rsidP="006B55E5">
      <w:pPr>
        <w:pBdr>
          <w:top w:val="nil"/>
          <w:left w:val="nil"/>
          <w:bottom w:val="nil"/>
          <w:right w:val="nil"/>
          <w:between w:val="nil"/>
        </w:pBdr>
        <w:rPr>
          <w:rFonts w:eastAsia="Palatino Linotype" w:cs="Palatino Linotype"/>
          <w:color w:val="000000"/>
          <w:szCs w:val="24"/>
          <w:lang w:val="es-ES_tradnl"/>
        </w:rPr>
      </w:pPr>
    </w:p>
    <w:p w14:paraId="5FB4043F" w14:textId="77777777" w:rsidR="007C63F6" w:rsidRDefault="00A06350" w:rsidP="007C63F6">
      <w:pPr>
        <w:pBdr>
          <w:top w:val="nil"/>
          <w:left w:val="nil"/>
          <w:bottom w:val="nil"/>
          <w:right w:val="nil"/>
          <w:between w:val="nil"/>
        </w:pBdr>
        <w:rPr>
          <w:rFonts w:eastAsia="Palatino Linotype" w:cs="Palatino Linotype"/>
          <w:i/>
          <w:iCs/>
          <w:color w:val="000000"/>
          <w:szCs w:val="24"/>
          <w:lang w:val="es-ES_tradnl"/>
        </w:rPr>
      </w:pPr>
      <w:r w:rsidRPr="00883102">
        <w:rPr>
          <w:rFonts w:eastAsia="Palatino Linotype" w:cs="Palatino Linotype"/>
          <w:b/>
          <w:color w:val="000000"/>
          <w:szCs w:val="24"/>
          <w:lang w:val="es-ES_tradnl"/>
        </w:rPr>
        <w:t>Razones o Motivos de Inconformidad</w:t>
      </w:r>
      <w:r w:rsidR="00BE7F8D" w:rsidRPr="00883102">
        <w:rPr>
          <w:rFonts w:eastAsia="Palatino Linotype" w:cs="Palatino Linotype"/>
          <w:color w:val="000000"/>
          <w:szCs w:val="24"/>
          <w:lang w:val="es-ES_tradnl"/>
        </w:rPr>
        <w:t>:</w:t>
      </w:r>
      <w:r w:rsidR="00BE7F8D" w:rsidRPr="007C63F6">
        <w:rPr>
          <w:rFonts w:eastAsia="Palatino Linotype" w:cs="Palatino Linotype"/>
          <w:i/>
          <w:iCs/>
          <w:color w:val="000000"/>
          <w:szCs w:val="24"/>
          <w:lang w:val="es-ES_tradnl"/>
        </w:rPr>
        <w:t xml:space="preserve"> </w:t>
      </w:r>
    </w:p>
    <w:p w14:paraId="686FBA89" w14:textId="6C19ACC1" w:rsidR="00BE7F8D" w:rsidRPr="003079C6" w:rsidRDefault="00BE7F8D" w:rsidP="007C63F6">
      <w:pPr>
        <w:pStyle w:val="Sinespaciado"/>
      </w:pPr>
      <w:r w:rsidRPr="007C63F6">
        <w:t>“</w:t>
      </w:r>
      <w:r w:rsidR="00D3007E" w:rsidRPr="00D3007E">
        <w:t xml:space="preserve">Las razones y motivos de mi inconformidad radican en la falta de respuesta por parte del Sujeto obligado del municipio de Apaxco de ocampo a mi solicitud de acceso a la información presentada el 17/02/2023.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plazo legal </w:t>
      </w:r>
      <w:r w:rsidR="00D3007E" w:rsidRPr="00D3007E">
        <w:lastRenderedPageBreak/>
        <w:t>establecido para responder a la solicitud ha vencido sin que haya recibido una respuesta, solicito al sujeto obligado del Ayuntamiento de Apaxco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r w:rsidRPr="007C63F6">
        <w:t xml:space="preserve">” (Sic) </w:t>
      </w:r>
    </w:p>
    <w:p w14:paraId="3297B594" w14:textId="77777777" w:rsidR="00BE7F8D" w:rsidRPr="00D3007E" w:rsidRDefault="00BE7F8D" w:rsidP="006B55E5">
      <w:pPr>
        <w:pBdr>
          <w:top w:val="nil"/>
          <w:left w:val="nil"/>
          <w:bottom w:val="nil"/>
          <w:right w:val="nil"/>
          <w:between w:val="nil"/>
        </w:pBdr>
        <w:ind w:right="567"/>
        <w:rPr>
          <w:rFonts w:eastAsia="Palatino Linotype" w:cs="Palatino Linotype"/>
          <w:color w:val="000000"/>
          <w:szCs w:val="24"/>
          <w:lang w:val="es-ES_tradnl"/>
        </w:rPr>
      </w:pPr>
    </w:p>
    <w:p w14:paraId="68373561" w14:textId="6593F4B7" w:rsidR="00DE3512" w:rsidRPr="00883102" w:rsidRDefault="005C3BE2" w:rsidP="00ED4E6A">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CUAR</w:t>
      </w:r>
      <w:r w:rsidR="004C2346">
        <w:rPr>
          <w:rFonts w:eastAsia="Palatino Linotype" w:cs="Palatino Linotype"/>
          <w:b/>
          <w:color w:val="000000"/>
          <w:sz w:val="26"/>
          <w:szCs w:val="26"/>
          <w:lang w:val="es-ES_tradnl"/>
        </w:rPr>
        <w:t>TO</w:t>
      </w:r>
      <w:r w:rsidR="00DE3512" w:rsidRPr="00883102">
        <w:rPr>
          <w:rFonts w:eastAsia="Palatino Linotype" w:cs="Palatino Linotype"/>
          <w:b/>
          <w:color w:val="000000"/>
          <w:sz w:val="26"/>
          <w:szCs w:val="26"/>
          <w:lang w:val="es-ES_tradnl"/>
        </w:rPr>
        <w:t>. Del turno y admisión de</w:t>
      </w:r>
      <w:r w:rsidR="001426A5" w:rsidRPr="00883102">
        <w:rPr>
          <w:rFonts w:eastAsia="Palatino Linotype" w:cs="Palatino Linotype"/>
          <w:b/>
          <w:color w:val="000000"/>
          <w:sz w:val="26"/>
          <w:szCs w:val="26"/>
          <w:lang w:val="es-ES_tradnl"/>
        </w:rPr>
        <w:t xml:space="preserve"> </w:t>
      </w:r>
      <w:r w:rsidR="00DE3512" w:rsidRPr="00883102">
        <w:rPr>
          <w:rFonts w:eastAsia="Palatino Linotype" w:cs="Palatino Linotype"/>
          <w:b/>
          <w:color w:val="000000"/>
          <w:sz w:val="26"/>
          <w:szCs w:val="26"/>
          <w:lang w:val="es-ES_tradnl"/>
        </w:rPr>
        <w:t>l</w:t>
      </w:r>
      <w:r w:rsidR="001426A5" w:rsidRPr="00883102">
        <w:rPr>
          <w:rFonts w:eastAsia="Palatino Linotype" w:cs="Palatino Linotype"/>
          <w:b/>
          <w:color w:val="000000"/>
          <w:sz w:val="26"/>
          <w:szCs w:val="26"/>
          <w:lang w:val="es-ES_tradnl"/>
        </w:rPr>
        <w:t>os</w:t>
      </w:r>
      <w:r w:rsidR="00DE3512" w:rsidRPr="00883102">
        <w:rPr>
          <w:rFonts w:eastAsia="Palatino Linotype" w:cs="Palatino Linotype"/>
          <w:b/>
          <w:color w:val="000000"/>
          <w:sz w:val="26"/>
          <w:szCs w:val="26"/>
          <w:lang w:val="es-ES_tradnl"/>
        </w:rPr>
        <w:t xml:space="preserve"> recurso</w:t>
      </w:r>
      <w:r w:rsidR="001426A5" w:rsidRPr="00883102">
        <w:rPr>
          <w:rFonts w:eastAsia="Palatino Linotype" w:cs="Palatino Linotype"/>
          <w:b/>
          <w:color w:val="000000"/>
          <w:sz w:val="26"/>
          <w:szCs w:val="26"/>
          <w:lang w:val="es-ES_tradnl"/>
        </w:rPr>
        <w:t>s</w:t>
      </w:r>
      <w:r w:rsidR="00DE3512" w:rsidRPr="00883102">
        <w:rPr>
          <w:rFonts w:eastAsia="Palatino Linotype" w:cs="Palatino Linotype"/>
          <w:b/>
          <w:color w:val="000000"/>
          <w:sz w:val="26"/>
          <w:szCs w:val="26"/>
          <w:lang w:val="es-ES_tradnl"/>
        </w:rPr>
        <w:t xml:space="preserve"> de revisión.</w:t>
      </w:r>
    </w:p>
    <w:p w14:paraId="291C77AD" w14:textId="5A7CDD60" w:rsidR="00DE3512" w:rsidRPr="00883102" w:rsidRDefault="00A06350"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Medios de impugnación que fue turnado</w:t>
      </w:r>
      <w:r w:rsidR="001426A5" w:rsidRPr="00883102">
        <w:rPr>
          <w:rFonts w:eastAsia="Palatino Linotype" w:cs="Palatino Linotype"/>
          <w:color w:val="000000"/>
          <w:szCs w:val="24"/>
          <w:lang w:val="es-ES_tradnl"/>
        </w:rPr>
        <w:t xml:space="preserve"> por medio del sistema electrónico en términos del numeral 185 fracción I de la Ley de Transparencia y Acceso a la información Pública del Est</w:t>
      </w:r>
      <w:r w:rsidRPr="00883102">
        <w:rPr>
          <w:rFonts w:eastAsia="Palatino Linotype" w:cs="Palatino Linotype"/>
          <w:color w:val="000000"/>
          <w:szCs w:val="24"/>
          <w:lang w:val="es-ES_tradnl"/>
        </w:rPr>
        <w:t>ado de México y Municipios al</w:t>
      </w:r>
      <w:r w:rsidR="001426A5" w:rsidRPr="00883102">
        <w:rPr>
          <w:rFonts w:eastAsia="Palatino Linotype" w:cs="Palatino Linotype"/>
          <w:color w:val="000000"/>
          <w:szCs w:val="24"/>
          <w:lang w:val="es-ES_tradnl"/>
        </w:rPr>
        <w:t xml:space="preserve"> </w:t>
      </w:r>
      <w:r w:rsidRPr="00883102">
        <w:rPr>
          <w:rFonts w:eastAsia="Palatino Linotype" w:cs="Palatino Linotype"/>
          <w:b/>
          <w:bCs/>
          <w:color w:val="000000"/>
          <w:szCs w:val="24"/>
          <w:lang w:val="es-ES_tradnl"/>
        </w:rPr>
        <w:t>Comisionado</w:t>
      </w:r>
      <w:r w:rsidR="001426A5" w:rsidRPr="00883102">
        <w:rPr>
          <w:rFonts w:eastAsia="Palatino Linotype" w:cs="Palatino Linotype"/>
          <w:b/>
          <w:bCs/>
          <w:color w:val="000000"/>
          <w:szCs w:val="24"/>
          <w:lang w:val="es-ES_tradnl"/>
        </w:rPr>
        <w:t xml:space="preserve"> </w:t>
      </w:r>
      <w:r w:rsidR="00295914">
        <w:rPr>
          <w:rFonts w:eastAsia="Palatino Linotype" w:cs="Palatino Linotype"/>
          <w:b/>
          <w:bCs/>
          <w:color w:val="000000"/>
          <w:szCs w:val="24"/>
          <w:lang w:val="es-ES_tradnl"/>
        </w:rPr>
        <w:t xml:space="preserve">Presidente </w:t>
      </w:r>
      <w:r w:rsidR="001426A5" w:rsidRPr="00883102">
        <w:rPr>
          <w:rFonts w:eastAsia="Palatino Linotype" w:cs="Palatino Linotype"/>
          <w:b/>
          <w:bCs/>
          <w:color w:val="000000"/>
          <w:szCs w:val="24"/>
          <w:lang w:val="es-ES_tradnl"/>
        </w:rPr>
        <w:t>J</w:t>
      </w:r>
      <w:r w:rsidR="001426A5" w:rsidRPr="00883102">
        <w:rPr>
          <w:rFonts w:eastAsia="Palatino Linotype" w:cs="Palatino Linotype"/>
          <w:b/>
          <w:color w:val="000000"/>
          <w:szCs w:val="24"/>
          <w:lang w:val="es-ES_tradnl"/>
        </w:rPr>
        <w:t>osé Martínez Vilchis</w:t>
      </w:r>
      <w:r w:rsidR="001426A5" w:rsidRPr="00883102">
        <w:rPr>
          <w:rFonts w:eastAsia="Palatino Linotype" w:cs="Palatino Linotype"/>
          <w:color w:val="000000"/>
          <w:szCs w:val="24"/>
          <w:lang w:val="es-ES_tradnl"/>
        </w:rPr>
        <w:t xml:space="preserve"> para su revisión y análisis sobre la admisión o desechamiento; por lo </w:t>
      </w:r>
      <w:r w:rsidR="0096093D">
        <w:rPr>
          <w:rFonts w:eastAsia="Palatino Linotype" w:cs="Palatino Linotype"/>
          <w:color w:val="000000"/>
          <w:szCs w:val="24"/>
          <w:lang w:val="es-ES_tradnl"/>
        </w:rPr>
        <w:t>que en fecha</w:t>
      </w:r>
      <w:r w:rsidR="00B35FE5">
        <w:rPr>
          <w:rFonts w:eastAsia="Palatino Linotype" w:cs="Palatino Linotype"/>
          <w:color w:val="000000"/>
          <w:szCs w:val="24"/>
          <w:lang w:val="es-ES_tradnl"/>
        </w:rPr>
        <w:t xml:space="preserve"> </w:t>
      </w:r>
      <w:r w:rsidR="00D3007E">
        <w:rPr>
          <w:rFonts w:eastAsia="Palatino Linotype" w:cs="Palatino Linotype"/>
          <w:color w:val="000000"/>
          <w:szCs w:val="24"/>
          <w:lang w:val="es-ES_tradnl"/>
        </w:rPr>
        <w:t xml:space="preserve">cinco de octubre </w:t>
      </w:r>
      <w:r w:rsidR="006E078A">
        <w:rPr>
          <w:rFonts w:eastAsia="Palatino Linotype" w:cs="Palatino Linotype"/>
          <w:color w:val="000000"/>
          <w:szCs w:val="24"/>
          <w:lang w:val="es-ES_tradnl"/>
        </w:rPr>
        <w:t>de dos mil veintitrés</w:t>
      </w:r>
      <w:r w:rsidRPr="00883102">
        <w:rPr>
          <w:rFonts w:eastAsia="Palatino Linotype" w:cs="Palatino Linotype"/>
          <w:color w:val="000000"/>
          <w:szCs w:val="24"/>
          <w:lang w:val="es-ES_tradnl"/>
        </w:rPr>
        <w:t>, el recurso de revisión fue admitido</w:t>
      </w:r>
      <w:r w:rsidR="001426A5" w:rsidRPr="00883102">
        <w:rPr>
          <w:rFonts w:eastAsia="Palatino Linotype" w:cs="Palatino Linotype"/>
          <w:color w:val="000000"/>
          <w:szCs w:val="24"/>
          <w:lang w:val="es-ES_tradnl"/>
        </w:rPr>
        <w:t xml:space="preserve"> en la vía interpuesta </w:t>
      </w:r>
      <w:r w:rsidRPr="00883102">
        <w:rPr>
          <w:rFonts w:eastAsia="Palatino Linotype" w:cs="Palatino Linotype"/>
          <w:color w:val="000000"/>
          <w:szCs w:val="24"/>
          <w:lang w:val="es-ES_tradnl"/>
        </w:rPr>
        <w:t>determinándose en él</w:t>
      </w:r>
      <w:r w:rsidR="001426A5" w:rsidRPr="00883102">
        <w:rPr>
          <w:rFonts w:eastAsia="Palatino Linotype" w:cs="Palatino Linotype"/>
          <w:color w:val="000000"/>
          <w:szCs w:val="24"/>
          <w:lang w:val="es-ES_tradnl"/>
        </w:rPr>
        <w:t xml:space="preserve"> un plazo de siete días para que las partes manifestaran lo que a su derecho corresponda en términos de las fracciones I, II y III del artículo </w:t>
      </w:r>
      <w:r w:rsidR="00C41814" w:rsidRPr="00883102">
        <w:rPr>
          <w:rFonts w:eastAsia="Palatino Linotype" w:cs="Palatino Linotype"/>
          <w:color w:val="000000"/>
          <w:szCs w:val="24"/>
          <w:lang w:val="es-ES_tradnl"/>
        </w:rPr>
        <w:t>previamente</w:t>
      </w:r>
      <w:r w:rsidR="001426A5" w:rsidRPr="00883102">
        <w:rPr>
          <w:rFonts w:eastAsia="Palatino Linotype" w:cs="Palatino Linotype"/>
          <w:color w:val="000000"/>
          <w:szCs w:val="24"/>
          <w:lang w:val="es-ES_tradnl"/>
        </w:rPr>
        <w:t xml:space="preserve"> citado.</w:t>
      </w:r>
    </w:p>
    <w:p w14:paraId="521656A6" w14:textId="1CE7661E" w:rsidR="001426A5" w:rsidRPr="00D3007E" w:rsidRDefault="001426A5" w:rsidP="00ED4E6A">
      <w:pPr>
        <w:pBdr>
          <w:top w:val="nil"/>
          <w:left w:val="nil"/>
          <w:bottom w:val="nil"/>
          <w:right w:val="nil"/>
          <w:between w:val="nil"/>
        </w:pBdr>
        <w:rPr>
          <w:rFonts w:eastAsia="Palatino Linotype" w:cs="Palatino Linotype"/>
          <w:color w:val="000000"/>
          <w:sz w:val="22"/>
          <w:szCs w:val="24"/>
          <w:lang w:val="es-ES_tradnl"/>
        </w:rPr>
      </w:pPr>
    </w:p>
    <w:p w14:paraId="4427EA4F" w14:textId="7A12F654" w:rsidR="00DE3512" w:rsidRPr="00883102" w:rsidRDefault="005C3BE2" w:rsidP="00ED4E6A">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QUINTO</w:t>
      </w:r>
      <w:r w:rsidR="00C41814" w:rsidRPr="00883102">
        <w:rPr>
          <w:rFonts w:eastAsia="Palatino Linotype" w:cs="Palatino Linotype"/>
          <w:b/>
          <w:color w:val="000000"/>
          <w:sz w:val="26"/>
          <w:szCs w:val="26"/>
          <w:lang w:val="es-ES_tradnl"/>
        </w:rPr>
        <w:t xml:space="preserve">. </w:t>
      </w:r>
      <w:r w:rsidR="00DE3512" w:rsidRPr="00883102">
        <w:rPr>
          <w:rFonts w:eastAsia="Palatino Linotype" w:cs="Palatino Linotype"/>
          <w:b/>
          <w:color w:val="000000"/>
          <w:sz w:val="26"/>
          <w:szCs w:val="26"/>
          <w:lang w:val="es-ES_tradnl"/>
        </w:rPr>
        <w:t>De la etapa de instrucción.</w:t>
      </w:r>
    </w:p>
    <w:p w14:paraId="2EFBC22D" w14:textId="14F8332F" w:rsidR="00DE3512" w:rsidRPr="00883102" w:rsidRDefault="004E5E43"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Una vez abierta la etapa de instrucción, se observa que el Sujeto Obligado omitió rendir </w:t>
      </w:r>
      <w:r w:rsidR="00ED4E6A" w:rsidRPr="00883102">
        <w:rPr>
          <w:rFonts w:eastAsia="Palatino Linotype" w:cs="Palatino Linotype"/>
          <w:color w:val="000000"/>
          <w:szCs w:val="24"/>
          <w:lang w:val="es-ES_tradnl"/>
        </w:rPr>
        <w:t>el</w:t>
      </w:r>
      <w:r w:rsidRPr="00883102">
        <w:rPr>
          <w:rFonts w:eastAsia="Palatino Linotype" w:cs="Palatino Linotype"/>
          <w:color w:val="000000"/>
          <w:szCs w:val="24"/>
          <w:lang w:val="es-ES_tradnl"/>
        </w:rPr>
        <w:t xml:space="preserve"> Informe</w:t>
      </w:r>
      <w:r w:rsidR="00ED4E6A" w:rsidRPr="00883102">
        <w:rPr>
          <w:rFonts w:eastAsia="Palatino Linotype" w:cs="Palatino Linotype"/>
          <w:color w:val="000000"/>
          <w:szCs w:val="24"/>
          <w:lang w:val="es-ES_tradnl"/>
        </w:rPr>
        <w:t xml:space="preserve"> Justificado</w:t>
      </w:r>
      <w:r w:rsidRPr="00883102">
        <w:rPr>
          <w:rFonts w:eastAsia="Palatino Linotype" w:cs="Palatino Linotype"/>
          <w:color w:val="000000"/>
          <w:szCs w:val="24"/>
          <w:lang w:val="es-ES_tradnl"/>
        </w:rPr>
        <w:t>.</w:t>
      </w:r>
      <w:r w:rsidR="007C63F6">
        <w:rPr>
          <w:rFonts w:eastAsia="Palatino Linotype" w:cs="Palatino Linotype"/>
          <w:color w:val="000000"/>
          <w:szCs w:val="24"/>
          <w:lang w:val="es-ES_tradnl"/>
        </w:rPr>
        <w:t xml:space="preserve"> Por su parte, el</w:t>
      </w:r>
      <w:r w:rsidR="0096093D">
        <w:rPr>
          <w:rFonts w:eastAsia="Palatino Linotype" w:cs="Palatino Linotype"/>
          <w:color w:val="000000"/>
          <w:szCs w:val="24"/>
          <w:lang w:val="es-ES_tradnl"/>
        </w:rPr>
        <w:t xml:space="preserve"> Recurrente no realizó manifestaciones, vertió alegatos ni presentó pruebas que a su derecho convinieran.</w:t>
      </w:r>
    </w:p>
    <w:p w14:paraId="2D782D35" w14:textId="77777777" w:rsidR="004E5E43" w:rsidRDefault="004E5E43" w:rsidP="00ED4E6A">
      <w:pPr>
        <w:pBdr>
          <w:top w:val="nil"/>
          <w:left w:val="nil"/>
          <w:bottom w:val="nil"/>
          <w:right w:val="nil"/>
          <w:between w:val="nil"/>
        </w:pBdr>
        <w:rPr>
          <w:rFonts w:eastAsia="Palatino Linotype" w:cs="Palatino Linotype"/>
          <w:color w:val="000000"/>
          <w:szCs w:val="24"/>
          <w:lang w:val="es-ES_tradnl"/>
        </w:rPr>
      </w:pPr>
    </w:p>
    <w:p w14:paraId="0B5504C7" w14:textId="7008DD16" w:rsidR="00DE3512" w:rsidRPr="00883102" w:rsidRDefault="00DE3512" w:rsidP="00ED4E6A">
      <w:pPr>
        <w:pBdr>
          <w:top w:val="nil"/>
          <w:left w:val="nil"/>
          <w:bottom w:val="nil"/>
          <w:right w:val="nil"/>
          <w:between w:val="nil"/>
        </w:pBdr>
        <w:rPr>
          <w:rFonts w:eastAsia="Palatino Linotype" w:cs="Palatino Linotype"/>
          <w:b/>
          <w:color w:val="000000"/>
          <w:sz w:val="26"/>
          <w:szCs w:val="26"/>
          <w:lang w:val="es-ES_tradnl"/>
        </w:rPr>
      </w:pPr>
      <w:r w:rsidRPr="00883102">
        <w:rPr>
          <w:rFonts w:eastAsia="Palatino Linotype" w:cs="Palatino Linotype"/>
          <w:b/>
          <w:color w:val="000000"/>
          <w:sz w:val="26"/>
          <w:szCs w:val="26"/>
          <w:lang w:val="es-ES_tradnl"/>
        </w:rPr>
        <w:t>S</w:t>
      </w:r>
      <w:r w:rsidR="005C3BE2">
        <w:rPr>
          <w:rFonts w:eastAsia="Palatino Linotype" w:cs="Palatino Linotype"/>
          <w:b/>
          <w:color w:val="000000"/>
          <w:sz w:val="26"/>
          <w:szCs w:val="26"/>
          <w:lang w:val="es-ES_tradnl"/>
        </w:rPr>
        <w:t>EXTO</w:t>
      </w:r>
      <w:r w:rsidRPr="00883102">
        <w:rPr>
          <w:rFonts w:eastAsia="Palatino Linotype" w:cs="Palatino Linotype"/>
          <w:b/>
          <w:color w:val="000000"/>
          <w:sz w:val="26"/>
          <w:szCs w:val="26"/>
          <w:lang w:val="es-ES_tradnl"/>
        </w:rPr>
        <w:t>. Del cierre de instrucción.</w:t>
      </w:r>
    </w:p>
    <w:p w14:paraId="57A50442" w14:textId="5F844425" w:rsidR="00DE3512" w:rsidRPr="00883102" w:rsidRDefault="00DE3512"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Así, una vez transcurrido el término legal, se decretó el cierre de instrucción en fecha</w:t>
      </w:r>
      <w:r w:rsidR="00445380">
        <w:rPr>
          <w:rFonts w:eastAsia="Palatino Linotype" w:cs="Palatino Linotype"/>
          <w:color w:val="000000"/>
          <w:szCs w:val="24"/>
          <w:lang w:val="es-ES_tradnl"/>
        </w:rPr>
        <w:t xml:space="preserve"> </w:t>
      </w:r>
      <w:r w:rsidR="000C47B8">
        <w:rPr>
          <w:rFonts w:eastAsia="Palatino Linotype" w:cs="Palatino Linotype"/>
          <w:color w:val="000000"/>
          <w:szCs w:val="24"/>
          <w:lang w:val="es-ES_tradnl"/>
        </w:rPr>
        <w:t>diecisiete de octubre</w:t>
      </w:r>
      <w:r w:rsidR="00B35FE5">
        <w:rPr>
          <w:rFonts w:eastAsia="Palatino Linotype" w:cs="Palatino Linotype"/>
          <w:color w:val="000000"/>
          <w:szCs w:val="24"/>
          <w:lang w:val="es-ES_tradnl"/>
        </w:rPr>
        <w:t xml:space="preserve"> </w:t>
      </w:r>
      <w:r w:rsidR="006717A6">
        <w:rPr>
          <w:rFonts w:eastAsia="Palatino Linotype" w:cs="Palatino Linotype"/>
          <w:color w:val="000000"/>
          <w:szCs w:val="24"/>
          <w:lang w:val="es-ES_tradnl"/>
        </w:rPr>
        <w:t>de dos mil veintitrés</w:t>
      </w:r>
      <w:r w:rsidRPr="00883102">
        <w:rPr>
          <w:rFonts w:eastAsia="Palatino Linotype" w:cs="Palatino Linotype"/>
          <w:color w:val="000000"/>
          <w:szCs w:val="24"/>
          <w:lang w:val="es-ES_tradnl"/>
        </w:rPr>
        <w:t xml:space="preserve">, en términos del artículo 185 </w:t>
      </w:r>
      <w:r w:rsidR="00ED4E6A" w:rsidRPr="00883102">
        <w:rPr>
          <w:rFonts w:eastAsia="Palatino Linotype" w:cs="Palatino Linotype"/>
          <w:color w:val="000000"/>
          <w:szCs w:val="24"/>
          <w:lang w:val="es-ES_tradnl"/>
        </w:rPr>
        <w:t>f</w:t>
      </w:r>
      <w:r w:rsidRPr="00883102">
        <w:rPr>
          <w:rFonts w:eastAsia="Palatino Linotype" w:cs="Palatino Linotype"/>
          <w:color w:val="000000"/>
          <w:szCs w:val="24"/>
          <w:lang w:val="es-ES_tradnl"/>
        </w:rPr>
        <w:t xml:space="preserve">racción VI de la </w:t>
      </w:r>
      <w:r w:rsidRPr="00883102">
        <w:rPr>
          <w:rFonts w:eastAsia="Palatino Linotype" w:cs="Palatino Linotype"/>
          <w:color w:val="000000"/>
          <w:szCs w:val="24"/>
          <w:lang w:val="es-ES_tradnl"/>
        </w:rPr>
        <w:lastRenderedPageBreak/>
        <w:t>Ley de Transparencia y Acceso a la Información Pública del Estado d</w:t>
      </w:r>
      <w:r w:rsidR="00ED4E6A" w:rsidRPr="00883102">
        <w:rPr>
          <w:rFonts w:eastAsia="Palatino Linotype" w:cs="Palatino Linotype"/>
          <w:color w:val="000000"/>
          <w:szCs w:val="24"/>
          <w:lang w:val="es-ES_tradnl"/>
        </w:rPr>
        <w:t>e México y Municipios, iniciándose</w:t>
      </w:r>
      <w:r w:rsidRPr="00883102">
        <w:rPr>
          <w:rFonts w:eastAsia="Palatino Linotype" w:cs="Palatino Linotype"/>
          <w:color w:val="000000"/>
          <w:szCs w:val="24"/>
          <w:lang w:val="es-ES_tradnl"/>
        </w:rPr>
        <w:t xml:space="preserve"> el término legal para dictar resolución definitiva del asunto.</w:t>
      </w:r>
    </w:p>
    <w:p w14:paraId="70A13A21" w14:textId="77777777" w:rsidR="00DE3512" w:rsidRDefault="00DE3512" w:rsidP="00ED4E6A">
      <w:pPr>
        <w:pBdr>
          <w:top w:val="nil"/>
          <w:left w:val="nil"/>
          <w:bottom w:val="nil"/>
          <w:right w:val="nil"/>
          <w:between w:val="nil"/>
        </w:pBdr>
        <w:rPr>
          <w:rFonts w:eastAsia="Palatino Linotype" w:cs="Palatino Linotype"/>
          <w:color w:val="000000"/>
          <w:szCs w:val="24"/>
          <w:lang w:val="es-ES_tradnl"/>
        </w:rPr>
      </w:pPr>
    </w:p>
    <w:p w14:paraId="7440023D" w14:textId="77777777" w:rsidR="00DE3512" w:rsidRPr="00883102" w:rsidRDefault="00DE3512" w:rsidP="00ED4E6A">
      <w:pPr>
        <w:pBdr>
          <w:top w:val="nil"/>
          <w:left w:val="nil"/>
          <w:bottom w:val="nil"/>
          <w:right w:val="nil"/>
          <w:between w:val="nil"/>
        </w:pBdr>
        <w:jc w:val="center"/>
        <w:rPr>
          <w:rFonts w:eastAsia="Palatino Linotype" w:cs="Palatino Linotype"/>
          <w:b/>
          <w:color w:val="000000"/>
          <w:sz w:val="28"/>
          <w:szCs w:val="28"/>
          <w:lang w:val="es-ES_tradnl"/>
        </w:rPr>
      </w:pPr>
      <w:r w:rsidRPr="00883102">
        <w:rPr>
          <w:rFonts w:eastAsia="Palatino Linotype" w:cs="Palatino Linotype"/>
          <w:b/>
          <w:color w:val="000000"/>
          <w:sz w:val="28"/>
          <w:szCs w:val="28"/>
          <w:lang w:val="es-ES_tradnl"/>
        </w:rPr>
        <w:t>C O N S I D E R A N D O</w:t>
      </w:r>
    </w:p>
    <w:p w14:paraId="56A2E0E9" w14:textId="77777777" w:rsidR="00DE3512" w:rsidRPr="00883102" w:rsidRDefault="00DE3512" w:rsidP="00ED4E6A">
      <w:pPr>
        <w:pBdr>
          <w:top w:val="nil"/>
          <w:left w:val="nil"/>
          <w:bottom w:val="nil"/>
          <w:right w:val="nil"/>
          <w:between w:val="nil"/>
        </w:pBdr>
        <w:rPr>
          <w:rFonts w:eastAsia="Palatino Linotype" w:cs="Palatino Linotype"/>
          <w:color w:val="000000"/>
          <w:szCs w:val="24"/>
          <w:lang w:val="es-ES_tradnl"/>
        </w:rPr>
      </w:pPr>
    </w:p>
    <w:p w14:paraId="419B2323" w14:textId="77777777" w:rsidR="00DE3512" w:rsidRPr="00883102" w:rsidRDefault="00DE3512" w:rsidP="00ED4E6A">
      <w:pPr>
        <w:pBdr>
          <w:top w:val="nil"/>
          <w:left w:val="nil"/>
          <w:bottom w:val="nil"/>
          <w:right w:val="nil"/>
          <w:between w:val="nil"/>
        </w:pBdr>
        <w:rPr>
          <w:rFonts w:eastAsia="Palatino Linotype" w:cs="Palatino Linotype"/>
          <w:b/>
          <w:color w:val="000000"/>
          <w:sz w:val="26"/>
          <w:szCs w:val="26"/>
          <w:lang w:val="es-ES_tradnl"/>
        </w:rPr>
      </w:pPr>
      <w:r w:rsidRPr="00883102">
        <w:rPr>
          <w:rFonts w:eastAsia="Palatino Linotype" w:cs="Palatino Linotype"/>
          <w:b/>
          <w:color w:val="000000"/>
          <w:sz w:val="26"/>
          <w:szCs w:val="26"/>
          <w:lang w:val="es-ES_tradnl"/>
        </w:rPr>
        <w:t>PRIMERO. De la competencia.</w:t>
      </w:r>
    </w:p>
    <w:p w14:paraId="46244C34" w14:textId="3EE5606B" w:rsidR="00DE3512" w:rsidRDefault="006717A6" w:rsidP="00ED4E6A">
      <w:pPr>
        <w:pBdr>
          <w:top w:val="nil"/>
          <w:left w:val="nil"/>
          <w:bottom w:val="nil"/>
          <w:right w:val="nil"/>
          <w:between w:val="nil"/>
        </w:pBdr>
        <w:rPr>
          <w:rFonts w:eastAsia="Palatino Linotype" w:cs="Palatino Linotype"/>
          <w:color w:val="000000"/>
          <w:szCs w:val="24"/>
          <w:lang w:val="es-ES_tradnl"/>
        </w:rPr>
      </w:pPr>
      <w:r w:rsidRPr="006717A6">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7C63F6">
        <w:rPr>
          <w:rFonts w:eastAsia="Palatino Linotype" w:cs="Palatino Linotype"/>
          <w:color w:val="000000"/>
          <w:szCs w:val="24"/>
          <w:lang w:val="es-ES_tradnl"/>
        </w:rPr>
        <w:t>tercero</w:t>
      </w:r>
      <w:r w:rsidRPr="006717A6">
        <w:rPr>
          <w:rFonts w:eastAsia="Palatino Linotype" w:cs="Palatino Linotype"/>
          <w:color w:val="000000"/>
          <w:szCs w:val="24"/>
          <w:lang w:val="es-ES_tradnl"/>
        </w:rPr>
        <w:t xml:space="preserve"> y trigésimo </w:t>
      </w:r>
      <w:r w:rsidR="007C63F6">
        <w:rPr>
          <w:rFonts w:eastAsia="Palatino Linotype" w:cs="Palatino Linotype"/>
          <w:color w:val="000000"/>
          <w:szCs w:val="24"/>
          <w:lang w:val="es-ES_tradnl"/>
        </w:rPr>
        <w:t>cuarto</w:t>
      </w:r>
      <w:r w:rsidRPr="006717A6">
        <w:rPr>
          <w:rFonts w:eastAsia="Palatino Linotype" w:cs="Palatino Linotype"/>
          <w:color w:val="000000"/>
          <w:szCs w:val="24"/>
          <w:lang w:val="es-ES_tradnl"/>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A9FFF55" w14:textId="77777777" w:rsidR="006717A6" w:rsidRPr="003446E8" w:rsidRDefault="006717A6" w:rsidP="00ED4E6A">
      <w:pPr>
        <w:pBdr>
          <w:top w:val="nil"/>
          <w:left w:val="nil"/>
          <w:bottom w:val="nil"/>
          <w:right w:val="nil"/>
          <w:between w:val="nil"/>
        </w:pBdr>
        <w:rPr>
          <w:rFonts w:eastAsia="Palatino Linotype" w:cs="Palatino Linotype"/>
          <w:color w:val="000000"/>
          <w:szCs w:val="24"/>
          <w:lang w:val="es-ES_tradnl"/>
        </w:rPr>
      </w:pPr>
    </w:p>
    <w:p w14:paraId="798C2E72" w14:textId="77777777" w:rsidR="00DE3512" w:rsidRPr="00883102" w:rsidRDefault="00DE3512" w:rsidP="00ED4E6A">
      <w:pPr>
        <w:pBdr>
          <w:top w:val="nil"/>
          <w:left w:val="nil"/>
          <w:bottom w:val="nil"/>
          <w:right w:val="nil"/>
          <w:between w:val="nil"/>
        </w:pBdr>
        <w:rPr>
          <w:rFonts w:eastAsia="Palatino Linotype" w:cs="Palatino Linotype"/>
          <w:b/>
          <w:color w:val="000000"/>
          <w:sz w:val="26"/>
          <w:szCs w:val="26"/>
          <w:lang w:val="es-ES_tradnl"/>
        </w:rPr>
      </w:pPr>
      <w:r w:rsidRPr="00883102">
        <w:rPr>
          <w:rFonts w:eastAsia="Palatino Linotype" w:cs="Palatino Linotype"/>
          <w:b/>
          <w:color w:val="000000"/>
          <w:sz w:val="26"/>
          <w:szCs w:val="26"/>
          <w:lang w:val="es-ES_tradnl"/>
        </w:rPr>
        <w:t xml:space="preserve">SEGUNDO. Sobre los alcances del recurso de revisión. </w:t>
      </w:r>
    </w:p>
    <w:p w14:paraId="11DEB72A" w14:textId="77777777" w:rsidR="00DE3512" w:rsidRPr="00883102" w:rsidRDefault="00DE3512"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883102">
        <w:rPr>
          <w:rFonts w:eastAsia="Palatino Linotype" w:cs="Palatino Linotype"/>
          <w:color w:val="000000"/>
          <w:szCs w:val="24"/>
          <w:lang w:val="es-ES_tradnl"/>
        </w:rPr>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78B576E" w14:textId="6B7009BD" w:rsidR="0096093D" w:rsidRDefault="0096093D" w:rsidP="00DE3512">
      <w:pPr>
        <w:pBdr>
          <w:top w:val="nil"/>
          <w:left w:val="nil"/>
          <w:bottom w:val="nil"/>
          <w:right w:val="nil"/>
          <w:between w:val="nil"/>
        </w:pBdr>
        <w:rPr>
          <w:rFonts w:eastAsia="Palatino Linotype" w:cs="Palatino Linotype"/>
          <w:color w:val="000000"/>
          <w:szCs w:val="24"/>
          <w:lang w:val="es-ES_tradnl"/>
        </w:rPr>
      </w:pPr>
    </w:p>
    <w:p w14:paraId="1E9F5A31" w14:textId="77777777" w:rsidR="000C47B8" w:rsidRPr="000C47B8" w:rsidRDefault="000C47B8" w:rsidP="000C47B8">
      <w:pPr>
        <w:rPr>
          <w:b/>
        </w:rPr>
      </w:pPr>
      <w:r w:rsidRPr="000C47B8">
        <w:rPr>
          <w:b/>
        </w:rPr>
        <w:t>TERCERO. Cuestiones de previo y especial pronunciamiento.</w:t>
      </w:r>
    </w:p>
    <w:p w14:paraId="6253C1EC" w14:textId="77777777" w:rsidR="000C47B8" w:rsidRPr="00FB173E" w:rsidRDefault="000C47B8" w:rsidP="000C47B8">
      <w:pPr>
        <w:contextualSpacing/>
        <w:rPr>
          <w:rFonts w:eastAsia="Palatino Linotype" w:cs="Palatino Linotype"/>
          <w:szCs w:val="24"/>
        </w:rPr>
      </w:pPr>
      <w:r w:rsidRPr="00FB173E">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42435672" w14:textId="77777777" w:rsidR="000C47B8" w:rsidRPr="00FB173E" w:rsidRDefault="000C47B8" w:rsidP="000C47B8">
      <w:pPr>
        <w:contextualSpacing/>
        <w:rPr>
          <w:rFonts w:eastAsia="Palatino Linotype" w:cs="Palatino Linotype"/>
          <w:szCs w:val="24"/>
        </w:rPr>
      </w:pPr>
    </w:p>
    <w:p w14:paraId="2C5839D8"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 xml:space="preserve">Artículo 180. </w:t>
      </w:r>
      <w:r w:rsidRPr="00FB173E">
        <w:rPr>
          <w:rFonts w:eastAsia="Palatino Linotype" w:cs="Palatino Linotype"/>
          <w:i/>
          <w:sz w:val="22"/>
        </w:rPr>
        <w:t>El recurso de revisión contendrá:</w:t>
      </w:r>
    </w:p>
    <w:p w14:paraId="4FAFD28F"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I. El sujeto obligado ante la cual se presentó la solicitud;</w:t>
      </w:r>
    </w:p>
    <w:p w14:paraId="272D8F8B"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II. El nombre del solicitante que recurre</w:t>
      </w:r>
      <w:r w:rsidRPr="00FB173E">
        <w:rPr>
          <w:rFonts w:eastAsia="Palatino Linotype" w:cs="Palatino Linotype"/>
          <w:i/>
          <w:sz w:val="22"/>
        </w:rPr>
        <w:t xml:space="preserve"> o de su representante y, en su caso, del tercero interesado, así como la dirección o medio que señale para recibir notificaciones;</w:t>
      </w:r>
    </w:p>
    <w:p w14:paraId="19E887F0"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III. El número de folio de respuesta de la solicitud de acceso;</w:t>
      </w:r>
    </w:p>
    <w:p w14:paraId="08B3BDC2"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IV. La fecha en que fue notificada la respuesta al solicitante o tuvo conocimiento del acto reclamado, o de presentación de la solicitud, en caso de falta de respuesta;</w:t>
      </w:r>
    </w:p>
    <w:p w14:paraId="72837E76"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V. El acto que se recurre;</w:t>
      </w:r>
    </w:p>
    <w:p w14:paraId="39975D8B"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VI. Las razones o motivos de inconformidad;</w:t>
      </w:r>
    </w:p>
    <w:p w14:paraId="7EEC6DE4"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VII. La copia de la respuesta que se impugna y, en su caso, de la notificación correspondiente, en el caso de respuesta de la solicitud; y</w:t>
      </w:r>
    </w:p>
    <w:p w14:paraId="4F40C035"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VIII. Firma del recurrente, en su caso, cuando se presente por escrito, requisito sin el cual se dará trámite al recurso.</w:t>
      </w:r>
    </w:p>
    <w:p w14:paraId="021A9F2E" w14:textId="77777777" w:rsidR="000C47B8" w:rsidRPr="00FB173E" w:rsidRDefault="000C47B8" w:rsidP="000C47B8">
      <w:pPr>
        <w:spacing w:line="240" w:lineRule="auto"/>
        <w:ind w:left="567" w:right="567"/>
        <w:contextualSpacing/>
        <w:rPr>
          <w:rFonts w:eastAsia="Palatino Linotype" w:cs="Palatino Linotype"/>
          <w:i/>
          <w:sz w:val="22"/>
        </w:rPr>
      </w:pPr>
    </w:p>
    <w:p w14:paraId="525946BB"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Adicionalmente, se podrán anexar las pruebas y demás elementos que considere procedentes someter a juicio del Instituto.</w:t>
      </w:r>
    </w:p>
    <w:p w14:paraId="45FB556B" w14:textId="77777777" w:rsidR="000C47B8" w:rsidRPr="00FB173E" w:rsidRDefault="000C47B8" w:rsidP="000C47B8">
      <w:pPr>
        <w:spacing w:line="240" w:lineRule="auto"/>
        <w:ind w:left="567" w:right="567"/>
        <w:contextualSpacing/>
        <w:rPr>
          <w:rFonts w:eastAsia="Palatino Linotype" w:cs="Palatino Linotype"/>
          <w:i/>
          <w:sz w:val="22"/>
        </w:rPr>
      </w:pPr>
    </w:p>
    <w:p w14:paraId="5608C06A"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En ningún caso será necesario que el particular ratifique el recurso de revisión interpuesto.</w:t>
      </w:r>
    </w:p>
    <w:p w14:paraId="28CA747B" w14:textId="77777777" w:rsidR="000C47B8" w:rsidRPr="00FB173E" w:rsidRDefault="000C47B8" w:rsidP="000C47B8">
      <w:pPr>
        <w:spacing w:line="240" w:lineRule="auto"/>
        <w:ind w:left="567" w:right="567"/>
        <w:contextualSpacing/>
        <w:rPr>
          <w:rFonts w:eastAsia="Palatino Linotype" w:cs="Palatino Linotype"/>
          <w:i/>
          <w:sz w:val="22"/>
        </w:rPr>
      </w:pPr>
    </w:p>
    <w:p w14:paraId="79E36194"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En caso de que el recurso se interponga de manera electrónica no será indispensable que contengan los requisitos establecidos en las fracciones II</w:t>
      </w:r>
      <w:r w:rsidRPr="00FB173E">
        <w:rPr>
          <w:rFonts w:eastAsia="Palatino Linotype" w:cs="Palatino Linotype"/>
          <w:i/>
          <w:sz w:val="22"/>
        </w:rPr>
        <w:t>, IV, VII y VIII.</w:t>
      </w:r>
    </w:p>
    <w:p w14:paraId="2323753C" w14:textId="77777777" w:rsidR="000C47B8" w:rsidRPr="00FB173E" w:rsidRDefault="000C47B8" w:rsidP="000C47B8">
      <w:pPr>
        <w:contextualSpacing/>
        <w:rPr>
          <w:rFonts w:eastAsia="Palatino Linotype" w:cs="Palatino Linotype"/>
          <w:b/>
          <w:i/>
          <w:szCs w:val="24"/>
        </w:rPr>
      </w:pPr>
    </w:p>
    <w:p w14:paraId="22554C0D" w14:textId="24E8D47C" w:rsidR="000C47B8" w:rsidRPr="00FB173E" w:rsidRDefault="000C47B8" w:rsidP="000C47B8">
      <w:pPr>
        <w:contextualSpacing/>
        <w:rPr>
          <w:rFonts w:eastAsia="Palatino Linotype" w:cs="Palatino Linotype"/>
          <w:szCs w:val="24"/>
        </w:rPr>
      </w:pPr>
      <w:r w:rsidRPr="00FB173E">
        <w:rPr>
          <w:rFonts w:eastAsia="Palatino Linotype" w:cs="Palatino Linotype"/>
          <w:szCs w:val="24"/>
        </w:rPr>
        <w:lastRenderedPageBreak/>
        <w:t>Cabe señalar que el hoy Recurrente</w:t>
      </w:r>
      <w:r w:rsidR="00CA4424">
        <w:rPr>
          <w:rFonts w:eastAsia="Palatino Linotype" w:cs="Palatino Linotype"/>
          <w:szCs w:val="24"/>
        </w:rPr>
        <w:t xml:space="preserve"> se identificó como </w:t>
      </w:r>
      <w:r w:rsidR="00CA4424" w:rsidRPr="00CA4424">
        <w:rPr>
          <w:rFonts w:eastAsia="Palatino Linotype" w:cs="Palatino Linotype"/>
          <w:b/>
          <w:szCs w:val="24"/>
        </w:rPr>
        <w:t>“</w:t>
      </w:r>
      <w:r w:rsidR="0058789E">
        <w:rPr>
          <w:rFonts w:eastAsia="Palatino Linotype" w:cs="Palatino Linotype"/>
          <w:b/>
          <w:szCs w:val="24"/>
        </w:rPr>
        <w:t>XXXXXXXXXX</w:t>
      </w:r>
      <w:r w:rsidR="00CA4424" w:rsidRPr="00CA4424">
        <w:rPr>
          <w:rFonts w:eastAsia="Palatino Linotype" w:cs="Palatino Linotype"/>
          <w:b/>
          <w:szCs w:val="24"/>
        </w:rPr>
        <w:t>”</w:t>
      </w:r>
      <w:r w:rsidRPr="00FB173E">
        <w:rPr>
          <w:rFonts w:eastAsia="Palatino Linotype" w:cs="Palatino Linotype"/>
          <w:szCs w:val="24"/>
        </w:rPr>
        <w:t>;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D534C9D" w14:textId="77777777" w:rsidR="000C47B8" w:rsidRPr="00FB173E" w:rsidRDefault="000C47B8" w:rsidP="000C47B8">
      <w:pPr>
        <w:contextualSpacing/>
        <w:rPr>
          <w:rFonts w:eastAsia="Palatino Linotype" w:cs="Palatino Linotype"/>
          <w:szCs w:val="24"/>
        </w:rPr>
      </w:pPr>
    </w:p>
    <w:p w14:paraId="3FAEFE39"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155.</w:t>
      </w:r>
      <w:r w:rsidRPr="00FB173E">
        <w:rPr>
          <w:rFonts w:eastAsia="Palatino Linotype" w:cs="Palatino Linotype"/>
          <w:i/>
          <w:sz w:val="22"/>
        </w:rPr>
        <w:t xml:space="preserve"> (…)</w:t>
      </w:r>
    </w:p>
    <w:p w14:paraId="375BACB8" w14:textId="77777777" w:rsidR="000C47B8" w:rsidRPr="00FB173E" w:rsidRDefault="000C47B8" w:rsidP="000C47B8">
      <w:pPr>
        <w:spacing w:line="240" w:lineRule="auto"/>
        <w:ind w:left="567" w:right="567"/>
        <w:contextualSpacing/>
        <w:rPr>
          <w:rFonts w:eastAsia="Palatino Linotype" w:cs="Palatino Linotype"/>
          <w:i/>
          <w:sz w:val="22"/>
        </w:rPr>
      </w:pPr>
    </w:p>
    <w:p w14:paraId="52FDEAC8"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Las solicitudes anónimas</w:t>
      </w:r>
      <w:r w:rsidRPr="00FB173E">
        <w:rPr>
          <w:rFonts w:eastAsia="Palatino Linotype" w:cs="Palatino Linotype"/>
          <w:i/>
          <w:sz w:val="22"/>
        </w:rPr>
        <w:t xml:space="preserve">, con nombre incompleto o seudónimo </w:t>
      </w:r>
      <w:r w:rsidRPr="00FB173E">
        <w:rPr>
          <w:rFonts w:eastAsia="Palatino Linotype" w:cs="Palatino Linotype"/>
          <w:b/>
          <w:i/>
          <w:sz w:val="22"/>
        </w:rPr>
        <w:t>serán procedentes para su trámite</w:t>
      </w:r>
      <w:r w:rsidRPr="00FB173E">
        <w:rPr>
          <w:rFonts w:eastAsia="Palatino Linotype" w:cs="Palatino Linotype"/>
          <w:i/>
          <w:sz w:val="22"/>
        </w:rPr>
        <w:t xml:space="preserve"> por parte del sujeto obligado ante quien se presente. No podrá requerirse información adicional con motivo del nombre proporcionado por el solicitante.</w:t>
      </w:r>
    </w:p>
    <w:p w14:paraId="7224CF9F" w14:textId="77777777" w:rsidR="000C47B8" w:rsidRPr="00FB173E" w:rsidRDefault="000C47B8" w:rsidP="000C47B8">
      <w:pPr>
        <w:contextualSpacing/>
        <w:rPr>
          <w:rFonts w:eastAsia="Palatino Linotype" w:cs="Palatino Linotype"/>
          <w:szCs w:val="24"/>
        </w:rPr>
      </w:pPr>
    </w:p>
    <w:p w14:paraId="093E0638" w14:textId="77777777" w:rsidR="000C47B8" w:rsidRPr="00FB173E" w:rsidRDefault="000C47B8" w:rsidP="000C47B8">
      <w:pPr>
        <w:contextualSpacing/>
        <w:rPr>
          <w:rFonts w:eastAsia="Palatino Linotype" w:cs="Palatino Linotype"/>
          <w:szCs w:val="24"/>
        </w:rPr>
      </w:pPr>
      <w:r w:rsidRPr="00FB173E">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B8144C6" w14:textId="77777777" w:rsidR="000C47B8" w:rsidRPr="00FB173E" w:rsidRDefault="000C47B8" w:rsidP="000C47B8">
      <w:pPr>
        <w:contextualSpacing/>
        <w:rPr>
          <w:rFonts w:eastAsia="Palatino Linotype" w:cs="Palatino Linotype"/>
          <w:szCs w:val="24"/>
        </w:rPr>
      </w:pPr>
    </w:p>
    <w:p w14:paraId="19381CC6" w14:textId="77777777" w:rsidR="000C47B8" w:rsidRPr="00FB173E" w:rsidRDefault="000C47B8" w:rsidP="000C47B8">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 los Estados Unidos Mexicanos</w:t>
      </w:r>
    </w:p>
    <w:p w14:paraId="18B49E4A"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6</w:t>
      </w:r>
      <w:r w:rsidRPr="00FB173E">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42945DC"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1E6A05FB"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efectos de lo dispuesto en el presente artículo se observará lo siguiente: </w:t>
      </w:r>
    </w:p>
    <w:p w14:paraId="647427BA"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724F797"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403B40B6"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lastRenderedPageBreak/>
        <w:t xml:space="preserve">III. Toda persona, sin necesidad de acreditar interés alguno o justificar su utilización, tendrá acceso gratuito a la información pública, a sus datos personales o a la rectificación de éstos. </w:t>
      </w:r>
    </w:p>
    <w:p w14:paraId="3C2E4C53"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5732ED8F" w14:textId="77777777" w:rsidR="000C47B8" w:rsidRPr="00FB173E" w:rsidRDefault="000C47B8" w:rsidP="000C47B8">
      <w:pPr>
        <w:spacing w:line="240" w:lineRule="auto"/>
        <w:ind w:left="567" w:right="567"/>
        <w:contextualSpacing/>
        <w:rPr>
          <w:rFonts w:eastAsia="Palatino Linotype" w:cs="Palatino Linotype"/>
          <w:i/>
          <w:sz w:val="22"/>
        </w:rPr>
      </w:pPr>
    </w:p>
    <w:p w14:paraId="57D065E2" w14:textId="77777777" w:rsidR="000C47B8" w:rsidRPr="00FB173E" w:rsidRDefault="000C47B8" w:rsidP="000C47B8">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del Estado Libre y Soberano de México</w:t>
      </w:r>
    </w:p>
    <w:p w14:paraId="70E16E42"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5</w:t>
      </w:r>
      <w:r w:rsidRPr="00FB173E">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34FCE0B"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77A03D68"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5960AE93"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6D16178A"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391F6AF" w14:textId="77777777" w:rsidR="000C47B8" w:rsidRPr="00FB173E" w:rsidRDefault="000C47B8" w:rsidP="000C47B8">
      <w:pPr>
        <w:spacing w:line="240" w:lineRule="auto"/>
        <w:ind w:left="567" w:right="567"/>
        <w:contextualSpacing/>
        <w:rPr>
          <w:rFonts w:eastAsia="Palatino Linotype" w:cs="Palatino Linotype"/>
          <w:i/>
          <w:sz w:val="22"/>
        </w:rPr>
      </w:pPr>
    </w:p>
    <w:p w14:paraId="11B13A45"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715205D" w14:textId="77777777" w:rsidR="000C47B8" w:rsidRPr="00FB173E" w:rsidRDefault="000C47B8" w:rsidP="000C47B8">
      <w:pPr>
        <w:spacing w:line="240" w:lineRule="auto"/>
        <w:ind w:left="567" w:right="567"/>
        <w:contextualSpacing/>
        <w:rPr>
          <w:rFonts w:eastAsia="Palatino Linotype" w:cs="Palatino Linotype"/>
          <w:i/>
          <w:sz w:val="22"/>
        </w:rPr>
      </w:pPr>
    </w:p>
    <w:p w14:paraId="60876B92"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Este derecho se regirá por los principios y bases siguientes:</w:t>
      </w:r>
    </w:p>
    <w:p w14:paraId="4636AD6F"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3AA85CA8"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III.</w:t>
      </w:r>
      <w:r w:rsidRPr="00FB173E">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67F770FF"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IV.</w:t>
      </w:r>
      <w:r w:rsidRPr="00FB173E">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1AB6C9EB"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716D09B2"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VIII.</w:t>
      </w:r>
      <w:r w:rsidRPr="00FB173E">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FB173E">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7F19DCE2"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1E3BC79C" w14:textId="77777777" w:rsidR="000C47B8" w:rsidRPr="00FB173E" w:rsidRDefault="000C47B8" w:rsidP="000C47B8">
      <w:pPr>
        <w:ind w:left="567" w:right="567"/>
        <w:contextualSpacing/>
        <w:rPr>
          <w:rFonts w:eastAsia="Palatino Linotype" w:cs="Palatino Linotype"/>
          <w:szCs w:val="24"/>
        </w:rPr>
      </w:pPr>
    </w:p>
    <w:p w14:paraId="766568BC" w14:textId="77777777" w:rsidR="000C47B8" w:rsidRPr="00FB173E" w:rsidRDefault="000C47B8" w:rsidP="000C47B8">
      <w:pPr>
        <w:ind w:right="49"/>
        <w:contextualSpacing/>
        <w:rPr>
          <w:rFonts w:eastAsia="Palatino Linotype" w:cs="Palatino Linotype"/>
          <w:szCs w:val="24"/>
        </w:rPr>
      </w:pPr>
      <w:r w:rsidRPr="00FB173E">
        <w:rPr>
          <w:rFonts w:eastAsia="Palatino Linotype" w:cs="Palatino Linotype"/>
          <w:szCs w:val="24"/>
        </w:rPr>
        <w:t>Por otra parte, del contenido del artículo 1 de la Constitución Política de los Estados Unidos Mexicanos, se destaca lo siguiente:</w:t>
      </w:r>
    </w:p>
    <w:p w14:paraId="2B6FF5ED"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1o</w:t>
      </w:r>
      <w:r w:rsidRPr="00FB173E">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3A41DE" w14:textId="77777777" w:rsidR="000C47B8" w:rsidRPr="00FB173E" w:rsidRDefault="000C47B8" w:rsidP="000C47B8">
      <w:pPr>
        <w:spacing w:line="240" w:lineRule="auto"/>
        <w:ind w:left="567" w:right="567"/>
        <w:contextualSpacing/>
        <w:rPr>
          <w:rFonts w:eastAsia="Palatino Linotype" w:cs="Palatino Linotype"/>
          <w:i/>
          <w:sz w:val="22"/>
        </w:rPr>
      </w:pPr>
    </w:p>
    <w:p w14:paraId="32FDA10A"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717C9BC" w14:textId="77777777" w:rsidR="000C47B8" w:rsidRPr="00FB173E" w:rsidRDefault="000C47B8" w:rsidP="000C47B8">
      <w:pPr>
        <w:spacing w:line="240" w:lineRule="auto"/>
        <w:ind w:left="567" w:right="567"/>
        <w:contextualSpacing/>
        <w:rPr>
          <w:rFonts w:eastAsia="Palatino Linotype" w:cs="Palatino Linotype"/>
          <w:i/>
          <w:sz w:val="22"/>
        </w:rPr>
      </w:pPr>
    </w:p>
    <w:p w14:paraId="76A3131D"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9213193" w14:textId="77777777" w:rsidR="000C47B8" w:rsidRPr="00FB173E" w:rsidRDefault="000C47B8" w:rsidP="000C47B8">
      <w:pPr>
        <w:rPr>
          <w:sz w:val="20"/>
        </w:rPr>
      </w:pPr>
    </w:p>
    <w:p w14:paraId="3977BFED" w14:textId="77777777" w:rsidR="000C47B8" w:rsidRPr="00FB173E" w:rsidRDefault="000C47B8" w:rsidP="000C47B8">
      <w:pPr>
        <w:contextualSpacing/>
        <w:rPr>
          <w:rFonts w:eastAsia="Palatino Linotype" w:cs="Palatino Linotype"/>
          <w:szCs w:val="24"/>
        </w:rPr>
      </w:pPr>
      <w:r w:rsidRPr="00FB173E">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20AB3AD" w14:textId="77777777" w:rsidR="000C47B8" w:rsidRPr="00FB173E" w:rsidRDefault="000C47B8" w:rsidP="000C47B8">
      <w:pPr>
        <w:contextualSpacing/>
        <w:rPr>
          <w:rFonts w:eastAsia="Palatino Linotype" w:cs="Palatino Linotype"/>
          <w:sz w:val="20"/>
          <w:szCs w:val="24"/>
        </w:rPr>
      </w:pPr>
    </w:p>
    <w:p w14:paraId="096F7337" w14:textId="2F9BBFC0" w:rsidR="000C47B8" w:rsidRDefault="000C47B8" w:rsidP="000C47B8">
      <w:pPr>
        <w:pBdr>
          <w:top w:val="nil"/>
          <w:left w:val="nil"/>
          <w:bottom w:val="nil"/>
          <w:right w:val="nil"/>
          <w:between w:val="nil"/>
        </w:pBdr>
        <w:rPr>
          <w:rFonts w:eastAsia="Palatino Linotype" w:cs="Palatino Linotype"/>
          <w:color w:val="000000"/>
          <w:szCs w:val="24"/>
          <w:lang w:val="es-ES_tradnl"/>
        </w:rPr>
      </w:pPr>
      <w:r w:rsidRPr="00FB173E">
        <w:rPr>
          <w:rFonts w:eastAsia="Palatino Linotype" w:cs="Palatino Linotype"/>
          <w:color w:val="000000"/>
          <w:szCs w:val="24"/>
        </w:rPr>
        <w:lastRenderedPageBreak/>
        <w:t>En conclusión, se cubrieron los requisitos de procedencia y procedibilidad y conforme a las constancias que obran en el expediente.</w:t>
      </w:r>
    </w:p>
    <w:p w14:paraId="13A3B40A" w14:textId="77777777" w:rsidR="000C47B8" w:rsidRDefault="000C47B8" w:rsidP="00DE3512">
      <w:pPr>
        <w:pBdr>
          <w:top w:val="nil"/>
          <w:left w:val="nil"/>
          <w:bottom w:val="nil"/>
          <w:right w:val="nil"/>
          <w:between w:val="nil"/>
        </w:pBdr>
        <w:rPr>
          <w:rFonts w:eastAsia="Palatino Linotype" w:cs="Palatino Linotype"/>
          <w:color w:val="000000"/>
          <w:szCs w:val="24"/>
          <w:lang w:val="es-ES_tradnl"/>
        </w:rPr>
      </w:pPr>
    </w:p>
    <w:p w14:paraId="5B625FAB" w14:textId="3B3A3305" w:rsidR="00DE3512" w:rsidRPr="00883102" w:rsidRDefault="00CA4424" w:rsidP="00DE3512">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CUARTO</w:t>
      </w:r>
      <w:r w:rsidR="00DE3512" w:rsidRPr="00883102">
        <w:rPr>
          <w:rFonts w:eastAsia="Palatino Linotype" w:cs="Palatino Linotype"/>
          <w:b/>
          <w:color w:val="000000"/>
          <w:sz w:val="26"/>
          <w:szCs w:val="26"/>
          <w:lang w:val="es-ES_tradnl"/>
        </w:rPr>
        <w:t>. De las causas de improcedencia.</w:t>
      </w:r>
    </w:p>
    <w:p w14:paraId="67FD196E"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7C47F679"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83102">
        <w:rPr>
          <w:rFonts w:eastAsia="Palatino Linotype" w:cs="Palatino Linotype"/>
          <w:color w:val="000000"/>
          <w:szCs w:val="24"/>
          <w:vertAlign w:val="superscript"/>
          <w:lang w:val="es-ES_tradnl"/>
        </w:rPr>
        <w:footnoteReference w:id="1"/>
      </w:r>
      <w:r w:rsidRPr="00883102">
        <w:rPr>
          <w:rFonts w:eastAsia="Palatino Linotype" w:cs="Palatino Linotype"/>
          <w:color w:val="000000"/>
          <w:szCs w:val="24"/>
          <w:lang w:val="es-ES_tradnl"/>
        </w:rPr>
        <w:t xml:space="preserve">, la cual permite dilucidar alguna </w:t>
      </w:r>
      <w:r w:rsidRPr="00883102">
        <w:rPr>
          <w:rFonts w:eastAsia="Palatino Linotype" w:cs="Palatino Linotype"/>
          <w:color w:val="000000"/>
          <w:szCs w:val="24"/>
          <w:lang w:val="es-ES_tradnl"/>
        </w:rPr>
        <w:lastRenderedPageBreak/>
        <w:t>causal que impida el estudio y resolución, cuando una vez admitido el recurso de revisión se advierta una causa de improcedencia que permita sobreseerlo, sin estudiar el fondo del asunto.</w:t>
      </w:r>
    </w:p>
    <w:p w14:paraId="6FC76987"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50285DB2"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D183E95" w14:textId="0D1B0BCE" w:rsidR="005064AE" w:rsidRDefault="005064AE" w:rsidP="00DE3512">
      <w:pPr>
        <w:pBdr>
          <w:top w:val="nil"/>
          <w:left w:val="nil"/>
          <w:bottom w:val="nil"/>
          <w:right w:val="nil"/>
          <w:between w:val="nil"/>
        </w:pBdr>
        <w:rPr>
          <w:rFonts w:eastAsia="Palatino Linotype" w:cs="Palatino Linotype"/>
          <w:color w:val="000000"/>
          <w:szCs w:val="24"/>
          <w:lang w:val="es-ES_tradnl"/>
        </w:rPr>
      </w:pPr>
    </w:p>
    <w:p w14:paraId="794070EC" w14:textId="79D0BC1D" w:rsidR="00DE3512" w:rsidRPr="00883102" w:rsidRDefault="00CA4424" w:rsidP="00DE3512">
      <w:pPr>
        <w:pBdr>
          <w:top w:val="nil"/>
          <w:left w:val="nil"/>
          <w:bottom w:val="nil"/>
          <w:right w:val="nil"/>
          <w:between w:val="nil"/>
        </w:pBdr>
        <w:rPr>
          <w:rFonts w:eastAsia="Palatino Linotype" w:cs="Palatino Linotype"/>
          <w:color w:val="000000"/>
          <w:sz w:val="26"/>
          <w:szCs w:val="26"/>
          <w:lang w:val="es-ES_tradnl"/>
        </w:rPr>
      </w:pPr>
      <w:r>
        <w:rPr>
          <w:rFonts w:eastAsia="Palatino Linotype" w:cs="Palatino Linotype"/>
          <w:b/>
          <w:color w:val="000000"/>
          <w:sz w:val="26"/>
          <w:szCs w:val="26"/>
          <w:lang w:val="es-ES_tradnl"/>
        </w:rPr>
        <w:t>QUIN</w:t>
      </w:r>
      <w:r w:rsidR="003446E8">
        <w:rPr>
          <w:rFonts w:eastAsia="Palatino Linotype" w:cs="Palatino Linotype"/>
          <w:b/>
          <w:color w:val="000000"/>
          <w:sz w:val="26"/>
          <w:szCs w:val="26"/>
          <w:lang w:val="es-ES_tradnl"/>
        </w:rPr>
        <w:t>TO</w:t>
      </w:r>
      <w:r w:rsidR="00DE3512" w:rsidRPr="00883102">
        <w:rPr>
          <w:rFonts w:eastAsia="Palatino Linotype" w:cs="Palatino Linotype"/>
          <w:b/>
          <w:color w:val="000000"/>
          <w:sz w:val="26"/>
          <w:szCs w:val="26"/>
          <w:lang w:val="es-ES_tradnl"/>
        </w:rPr>
        <w:t>. Estudio y resolución del asunto.</w:t>
      </w:r>
    </w:p>
    <w:p w14:paraId="383917D4" w14:textId="42CC9AF4"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96093D">
        <w:rPr>
          <w:rFonts w:eastAsia="Palatino Linotype" w:cs="Palatino Linotype"/>
          <w:color w:val="000000"/>
          <w:szCs w:val="24"/>
          <w:lang w:val="es-ES_tradnl"/>
        </w:rPr>
        <w:t>el particular</w:t>
      </w:r>
      <w:r w:rsidRPr="00883102">
        <w:rPr>
          <w:rFonts w:eastAsia="Palatino Linotype" w:cs="Palatino Linotype"/>
          <w:color w:val="000000"/>
          <w:szCs w:val="24"/>
          <w:lang w:val="es-ES_tradnl"/>
        </w:rPr>
        <w:t xml:space="preserve">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w:t>
      </w:r>
      <w:r w:rsidRPr="00883102">
        <w:rPr>
          <w:rFonts w:eastAsia="Palatino Linotype" w:cs="Palatino Linotype"/>
          <w:color w:val="000000"/>
          <w:szCs w:val="24"/>
          <w:lang w:val="es-ES_tradnl"/>
        </w:rPr>
        <w:lastRenderedPageBreak/>
        <w:t>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0C4C27C1"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Así las cosas, ante la omisión del Sujeto Obligado para dar respuesta al Recurrente, se advierte lo que en la doctrina se le conoce como </w:t>
      </w:r>
      <w:r w:rsidRPr="00883102">
        <w:rPr>
          <w:rFonts w:eastAsia="Palatino Linotype" w:cs="Palatino Linotype"/>
          <w:b/>
          <w:color w:val="000000"/>
          <w:szCs w:val="24"/>
          <w:u w:val="single"/>
          <w:lang w:val="es-ES_tradnl"/>
        </w:rPr>
        <w:t>negativa ficta</w:t>
      </w:r>
      <w:r w:rsidRPr="00883102">
        <w:rPr>
          <w:rFonts w:eastAsia="Palatino Linotype" w:cs="Palatino Linotype"/>
          <w:color w:val="000000"/>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1FBFA80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En este sentido la negativa ficta constituye una presunción legal, en el entendido de que donde no hubo respuesta por parte del Sujeto Obligado</w:t>
      </w:r>
      <w:r w:rsidRPr="00883102">
        <w:rPr>
          <w:rFonts w:eastAsia="Palatino Linotype" w:cs="Palatino Linotype"/>
          <w:b/>
          <w:color w:val="000000"/>
          <w:szCs w:val="24"/>
          <w:lang w:val="es-ES_tradnl"/>
        </w:rPr>
        <w:t xml:space="preserve"> </w:t>
      </w:r>
      <w:r w:rsidRPr="00883102">
        <w:rPr>
          <w:rFonts w:eastAsia="Palatino Linotype" w:cs="Palatino Linotype"/>
          <w:color w:val="000000"/>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60B8CA42"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68E02DA3" w14:textId="77777777" w:rsidR="00DE3512" w:rsidRPr="00883102" w:rsidRDefault="00DE3512" w:rsidP="00E03806">
      <w:pPr>
        <w:pStyle w:val="Sinespaciado"/>
        <w:rPr>
          <w:lang w:val="es-ES_tradnl"/>
        </w:rPr>
      </w:pPr>
      <w:r w:rsidRPr="00883102">
        <w:rPr>
          <w:b/>
          <w:lang w:val="es-ES_tradnl"/>
        </w:rPr>
        <w:t>Artículo 4.</w:t>
      </w:r>
      <w:r w:rsidRPr="00883102">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883102" w:rsidRDefault="00DE3512" w:rsidP="00E03806">
      <w:pPr>
        <w:pStyle w:val="Sinespaciado"/>
        <w:rPr>
          <w:lang w:val="es-ES_tradnl"/>
        </w:rPr>
      </w:pPr>
    </w:p>
    <w:p w14:paraId="6DD899D0" w14:textId="77777777" w:rsidR="00DE3512" w:rsidRPr="00883102" w:rsidRDefault="00DE3512" w:rsidP="00E03806">
      <w:pPr>
        <w:pStyle w:val="Sinespaciado"/>
        <w:rPr>
          <w:lang w:val="es-ES_tradnl"/>
        </w:rPr>
      </w:pPr>
      <w:r w:rsidRPr="00883102">
        <w:rPr>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883102" w:rsidRDefault="00DE3512" w:rsidP="00E03806">
      <w:pPr>
        <w:pStyle w:val="Sinespaciado"/>
        <w:rPr>
          <w:lang w:val="es-ES_tradnl"/>
        </w:rPr>
      </w:pPr>
    </w:p>
    <w:p w14:paraId="57243661" w14:textId="77777777" w:rsidR="00DE3512" w:rsidRPr="00883102" w:rsidRDefault="00DE3512" w:rsidP="00E03806">
      <w:pPr>
        <w:pStyle w:val="Sinespaciado"/>
        <w:rPr>
          <w:lang w:val="es-ES_tradnl"/>
        </w:rPr>
      </w:pPr>
      <w:r w:rsidRPr="00883102">
        <w:rPr>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883102" w:rsidRDefault="00DE3512" w:rsidP="00E03806">
      <w:pPr>
        <w:pStyle w:val="Sinespaciado"/>
        <w:rPr>
          <w:lang w:val="es-ES_tradnl"/>
        </w:rPr>
      </w:pPr>
    </w:p>
    <w:p w14:paraId="79EC60CD" w14:textId="77777777" w:rsidR="00DE3512" w:rsidRPr="00883102" w:rsidRDefault="00DE3512" w:rsidP="00E03806">
      <w:pPr>
        <w:pStyle w:val="Sinespaciado"/>
        <w:rPr>
          <w:lang w:val="es-ES_tradnl"/>
        </w:rPr>
      </w:pPr>
      <w:r w:rsidRPr="00883102">
        <w:rPr>
          <w:b/>
          <w:lang w:val="es-ES_tradnl"/>
        </w:rPr>
        <w:t>Artículo 12.</w:t>
      </w:r>
      <w:r w:rsidRPr="00883102">
        <w:rPr>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883102" w:rsidRDefault="00DE3512" w:rsidP="00E03806">
      <w:pPr>
        <w:pStyle w:val="Sinespaciado"/>
        <w:rPr>
          <w:lang w:val="es-ES_tradnl"/>
        </w:rPr>
      </w:pPr>
    </w:p>
    <w:p w14:paraId="51ED37E8" w14:textId="77777777" w:rsidR="00DE3512" w:rsidRPr="00883102" w:rsidRDefault="00DE3512" w:rsidP="00E03806">
      <w:pPr>
        <w:pStyle w:val="Sinespaciado"/>
        <w:rPr>
          <w:lang w:val="es-ES_tradnl"/>
        </w:rPr>
      </w:pPr>
      <w:r w:rsidRPr="00883102">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E03806">
      <w:pPr>
        <w:pStyle w:val="Sinespaciado"/>
        <w:rPr>
          <w:lang w:val="es-ES_tradnl"/>
        </w:rPr>
      </w:pPr>
      <w:r w:rsidRPr="00883102">
        <w:rPr>
          <w:lang w:val="es-ES_tradnl"/>
        </w:rPr>
        <w:t>(…)</w:t>
      </w:r>
    </w:p>
    <w:p w14:paraId="0A738E86" w14:textId="77777777" w:rsidR="00DE3512" w:rsidRPr="00883102" w:rsidRDefault="00DE3512" w:rsidP="00E03806">
      <w:pPr>
        <w:pStyle w:val="Sinespaciado"/>
        <w:rPr>
          <w:b/>
          <w:lang w:val="es-ES_tradnl"/>
        </w:rPr>
      </w:pPr>
    </w:p>
    <w:p w14:paraId="0E2F6367" w14:textId="77777777" w:rsidR="00DE3512" w:rsidRPr="00883102" w:rsidRDefault="00DE3512" w:rsidP="00E03806">
      <w:pPr>
        <w:pStyle w:val="Sinespaciado"/>
        <w:rPr>
          <w:b/>
          <w:lang w:val="es-ES_tradnl"/>
        </w:rPr>
      </w:pPr>
      <w:r w:rsidRPr="00883102">
        <w:rPr>
          <w:b/>
          <w:lang w:val="es-ES_tradnl"/>
        </w:rPr>
        <w:t xml:space="preserve">Artículo 24. </w:t>
      </w:r>
    </w:p>
    <w:p w14:paraId="4B052D26" w14:textId="77777777" w:rsidR="00DE3512" w:rsidRPr="00883102" w:rsidRDefault="00DE3512" w:rsidP="00E03806">
      <w:pPr>
        <w:pStyle w:val="Sinespaciado"/>
        <w:rPr>
          <w:lang w:val="es-ES_tradnl"/>
        </w:rPr>
      </w:pPr>
      <w:r w:rsidRPr="00883102">
        <w:rPr>
          <w:lang w:val="es-ES_tradnl"/>
        </w:rPr>
        <w:t>(…)</w:t>
      </w:r>
    </w:p>
    <w:p w14:paraId="20A1F6A1" w14:textId="77777777" w:rsidR="00DE3512" w:rsidRPr="00883102" w:rsidRDefault="00DE3512" w:rsidP="00E03806">
      <w:pPr>
        <w:pStyle w:val="Sinespaciado"/>
        <w:rPr>
          <w:lang w:val="es-ES_tradnl"/>
        </w:rPr>
      </w:pPr>
      <w:r w:rsidRPr="00883102">
        <w:rPr>
          <w:lang w:val="es-ES_tradnl"/>
        </w:rPr>
        <w:t>Los sujetos obligados solo proporcionarán la información pública que generen, administren o posean en el ejercicio de sus atribuciones.”</w:t>
      </w:r>
    </w:p>
    <w:p w14:paraId="007F4094" w14:textId="77777777" w:rsidR="00DE3512" w:rsidRPr="00883102" w:rsidRDefault="00DE3512" w:rsidP="00E03806">
      <w:pPr>
        <w:pStyle w:val="Sinespaciado"/>
        <w:rPr>
          <w:lang w:val="es-ES_tradnl"/>
        </w:rPr>
      </w:pPr>
      <w:r w:rsidRPr="00883102">
        <w:rPr>
          <w:lang w:val="es-ES_tradnl"/>
        </w:rPr>
        <w:t>(…)</w:t>
      </w:r>
    </w:p>
    <w:p w14:paraId="2CDD292F" w14:textId="77777777" w:rsidR="00DE3512" w:rsidRPr="00883102" w:rsidRDefault="00DE3512" w:rsidP="00E03806">
      <w:pPr>
        <w:pStyle w:val="Sinespaciado"/>
        <w:rPr>
          <w:lang w:val="es-ES_tradnl"/>
        </w:rPr>
      </w:pPr>
    </w:p>
    <w:p w14:paraId="3B81CB7D" w14:textId="77777777" w:rsidR="00DE3512" w:rsidRPr="00883102" w:rsidRDefault="00DE3512" w:rsidP="00E03806">
      <w:pPr>
        <w:pStyle w:val="Sinespaciado"/>
        <w:rPr>
          <w:lang w:val="es-ES_tradnl"/>
        </w:rPr>
      </w:pPr>
      <w:r w:rsidRPr="00883102">
        <w:rPr>
          <w:b/>
          <w:lang w:val="es-ES_tradnl"/>
        </w:rPr>
        <w:t>Artículo 160.</w:t>
      </w:r>
      <w:r w:rsidRPr="00883102">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w:t>
      </w:r>
      <w:r w:rsidRPr="00883102">
        <w:rPr>
          <w:lang w:val="es-ES_tradnl"/>
        </w:rPr>
        <w:lastRenderedPageBreak/>
        <w:t>existentes, conforme a las características físicas de la información o del lugar donde se encuentre así lo permita.</w:t>
      </w:r>
    </w:p>
    <w:p w14:paraId="7D685076" w14:textId="77777777" w:rsidR="00DE3512" w:rsidRPr="00883102" w:rsidRDefault="00DE3512" w:rsidP="00E03806">
      <w:pPr>
        <w:pStyle w:val="Sinespaciado"/>
        <w:rPr>
          <w:lang w:val="es-ES_tradnl"/>
        </w:rPr>
      </w:pPr>
    </w:p>
    <w:p w14:paraId="25E3C37E" w14:textId="77777777" w:rsidR="00DE3512" w:rsidRPr="00883102" w:rsidRDefault="00DE3512" w:rsidP="00E03806">
      <w:pPr>
        <w:pStyle w:val="Sinespaciado"/>
        <w:rPr>
          <w:lang w:val="es-ES_tradnl"/>
        </w:rPr>
      </w:pPr>
      <w:r w:rsidRPr="00883102">
        <w:rPr>
          <w:lang w:val="es-ES_tradnl"/>
        </w:rPr>
        <w:t>En caso que la información solicitada consista en bases de datos se deberá privilegiar la entrega de la misma en formatos abiertos.</w:t>
      </w:r>
    </w:p>
    <w:p w14:paraId="2DCF7FBB"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0C64034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5A0DCD91" w14:textId="77777777" w:rsidR="00DE3512" w:rsidRPr="00883102" w:rsidRDefault="00DE3512" w:rsidP="00E03806">
      <w:pPr>
        <w:pStyle w:val="Sinespaciado"/>
        <w:rPr>
          <w:lang w:val="es-ES_tradnl"/>
        </w:rPr>
      </w:pPr>
      <w:r w:rsidRPr="00883102">
        <w:rPr>
          <w:b/>
          <w:lang w:val="es-ES_tradnl"/>
        </w:rPr>
        <w:t>Artículo 166.</w:t>
      </w:r>
      <w:r w:rsidRPr="00883102">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753E1FE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3A476EBD" w14:textId="77777777" w:rsidR="00DE3512" w:rsidRPr="00883102" w:rsidRDefault="00DE3512" w:rsidP="00E03806">
      <w:pPr>
        <w:pStyle w:val="Sinespaciado"/>
        <w:rPr>
          <w:lang w:val="es-ES_tradnl"/>
        </w:rPr>
      </w:pPr>
      <w:r w:rsidRPr="00883102">
        <w:rPr>
          <w:b/>
          <w:lang w:val="es-ES_tradnl"/>
        </w:rPr>
        <w:t>Artículo 24.</w:t>
      </w:r>
      <w:r w:rsidRPr="00883102">
        <w:rPr>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E03806">
      <w:pPr>
        <w:pStyle w:val="Sinespaciado"/>
        <w:rPr>
          <w:lang w:val="es-ES_tradnl"/>
        </w:rPr>
      </w:pPr>
      <w:r w:rsidRPr="00883102">
        <w:rPr>
          <w:lang w:val="es-ES_tradnl"/>
        </w:rPr>
        <w:t>(...)</w:t>
      </w:r>
    </w:p>
    <w:p w14:paraId="24F1254C" w14:textId="77777777" w:rsidR="00DE3512" w:rsidRPr="00883102" w:rsidRDefault="00DE3512" w:rsidP="00E03806">
      <w:pPr>
        <w:pStyle w:val="Sinespaciado"/>
        <w:rPr>
          <w:lang w:val="es-ES_tradnl"/>
        </w:rPr>
      </w:pPr>
      <w:r w:rsidRPr="00E03806">
        <w:rPr>
          <w:b/>
          <w:bCs/>
          <w:lang w:val="es-ES_tradnl"/>
        </w:rPr>
        <w:t>XI.</w:t>
      </w:r>
      <w:r w:rsidRPr="00883102">
        <w:rPr>
          <w:lang w:val="es-ES_tradnl"/>
        </w:rPr>
        <w:t xml:space="preserve"> Dar acceso a la información pública que le sea requerida, en los términos de la Ley General, esta Ley y demás disposiciones jurídicas aplicables;</w:t>
      </w:r>
    </w:p>
    <w:p w14:paraId="523090C7" w14:textId="77777777" w:rsidR="00DE3512" w:rsidRPr="00883102" w:rsidRDefault="00DE3512" w:rsidP="00E03806">
      <w:pPr>
        <w:pStyle w:val="Sinespaciado"/>
        <w:rPr>
          <w:lang w:val="es-ES_tradnl"/>
        </w:rPr>
      </w:pPr>
      <w:r w:rsidRPr="00883102">
        <w:rPr>
          <w:lang w:val="es-ES_tradnl"/>
        </w:rPr>
        <w:t>(...)</w:t>
      </w:r>
    </w:p>
    <w:p w14:paraId="2C2EF6AA"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2F0CBEBF" w14:textId="58837C3F" w:rsidR="00E03806" w:rsidRPr="00E03806" w:rsidRDefault="00285EA0" w:rsidP="00B35FE5">
      <w:pPr>
        <w:pBdr>
          <w:top w:val="nil"/>
          <w:left w:val="nil"/>
          <w:bottom w:val="nil"/>
          <w:right w:val="nil"/>
          <w:between w:val="nil"/>
        </w:pBdr>
        <w:rPr>
          <w:rFonts w:eastAsia="Palatino Linotype" w:cs="Palatino Linotype"/>
          <w:color w:val="000000"/>
          <w:lang w:val="es-ES_tradnl"/>
        </w:rPr>
      </w:pPr>
      <w:r w:rsidRPr="00883102">
        <w:rPr>
          <w:rFonts w:eastAsia="Palatino Linotype" w:cs="Palatino Linotype"/>
          <w:color w:val="000000"/>
          <w:szCs w:val="24"/>
          <w:lang w:val="es-ES_tradnl"/>
        </w:rPr>
        <w:lastRenderedPageBreak/>
        <w:t xml:space="preserve">En este punto, es toral recordar que </w:t>
      </w:r>
      <w:r w:rsidR="0096093D">
        <w:rPr>
          <w:rFonts w:eastAsia="Palatino Linotype" w:cs="Palatino Linotype"/>
          <w:color w:val="000000"/>
          <w:szCs w:val="24"/>
          <w:lang w:val="es-ES_tradnl"/>
        </w:rPr>
        <w:t>el</w:t>
      </w:r>
      <w:r w:rsidR="00E11301">
        <w:rPr>
          <w:rFonts w:eastAsia="Palatino Linotype" w:cs="Palatino Linotype"/>
          <w:color w:val="000000"/>
          <w:szCs w:val="24"/>
          <w:lang w:val="es-ES_tradnl"/>
        </w:rPr>
        <w:t xml:space="preserve"> hoy</w:t>
      </w:r>
      <w:r w:rsidR="00684491">
        <w:rPr>
          <w:rFonts w:eastAsia="Palatino Linotype" w:cs="Palatino Linotype"/>
          <w:color w:val="000000"/>
          <w:szCs w:val="24"/>
          <w:lang w:val="es-ES_tradnl"/>
        </w:rPr>
        <w:t xml:space="preserve"> Recurrente solicitó</w:t>
      </w:r>
      <w:r w:rsidR="00D10ACC">
        <w:rPr>
          <w:rFonts w:eastAsia="Palatino Linotype" w:cs="Palatino Linotype"/>
          <w:color w:val="000000"/>
          <w:szCs w:val="24"/>
          <w:lang w:val="es-ES_tradnl"/>
        </w:rPr>
        <w:t xml:space="preserve"> </w:t>
      </w:r>
      <w:r w:rsidR="00B35FE5">
        <w:rPr>
          <w:rFonts w:eastAsia="Palatino Linotype" w:cs="Palatino Linotype"/>
          <w:color w:val="000000"/>
          <w:szCs w:val="24"/>
          <w:lang w:val="es-ES_tradnl"/>
        </w:rPr>
        <w:t xml:space="preserve">que </w:t>
      </w:r>
      <w:r w:rsidR="00CA4424">
        <w:rPr>
          <w:rFonts w:eastAsia="Palatino Linotype" w:cs="Palatino Linotype"/>
          <w:color w:val="000000"/>
          <w:szCs w:val="24"/>
          <w:lang w:val="es-ES_tradnl"/>
        </w:rPr>
        <w:t>se le respondiera cuál es el análisis detallado de la situación de la población indígena en el municipio, en el que se incluyan los indicadores de salud, educación, vivienda y empleo; así como conocer cuáles son las medidas para preservar su cultura y promover su inclusión social.</w:t>
      </w:r>
    </w:p>
    <w:p w14:paraId="04F8E5F4" w14:textId="5B9A7A83" w:rsidR="007A74C0" w:rsidRDefault="007A74C0" w:rsidP="003446E8">
      <w:pPr>
        <w:pBdr>
          <w:top w:val="nil"/>
          <w:left w:val="nil"/>
          <w:bottom w:val="nil"/>
          <w:right w:val="nil"/>
          <w:between w:val="nil"/>
        </w:pBdr>
        <w:rPr>
          <w:rFonts w:eastAsia="Palatino Linotype" w:cs="Palatino Linotype"/>
          <w:color w:val="000000"/>
          <w:szCs w:val="24"/>
          <w:lang w:val="es-ES_tradnl"/>
        </w:rPr>
      </w:pPr>
    </w:p>
    <w:p w14:paraId="2125418B" w14:textId="23DDE020" w:rsidR="00285EA0" w:rsidRPr="00883102" w:rsidRDefault="007A74C0" w:rsidP="00DE3512">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color w:val="000000"/>
          <w:szCs w:val="24"/>
          <w:lang w:val="es-ES_tradnl"/>
        </w:rPr>
        <w:t xml:space="preserve">Ante la solicitud de información, el Sujeto Obligado </w:t>
      </w:r>
      <w:r w:rsidR="005C35E3">
        <w:rPr>
          <w:rFonts w:eastAsia="Palatino Linotype" w:cs="Palatino Linotype"/>
          <w:color w:val="000000"/>
          <w:szCs w:val="24"/>
          <w:lang w:val="es-ES_tradnl"/>
        </w:rPr>
        <w:t xml:space="preserve">omitió atender la solicitud; por lo que el Recurrente </w:t>
      </w:r>
      <w:r w:rsidR="00FE6B3A">
        <w:rPr>
          <w:rFonts w:eastAsia="Palatino Linotype" w:cs="Palatino Linotype"/>
          <w:color w:val="000000"/>
          <w:szCs w:val="24"/>
        </w:rPr>
        <w:t xml:space="preserve">interpuso su medio de impugnación señalando como acto impugnado </w:t>
      </w:r>
      <w:r w:rsidR="00910D32">
        <w:rPr>
          <w:rFonts w:eastAsia="Palatino Linotype" w:cs="Palatino Linotype"/>
          <w:color w:val="000000"/>
          <w:szCs w:val="24"/>
        </w:rPr>
        <w:t>y razones o motivos de inconformidad</w:t>
      </w:r>
      <w:r w:rsidR="004E0D46">
        <w:rPr>
          <w:rFonts w:eastAsia="Palatino Linotype" w:cs="Palatino Linotype"/>
          <w:color w:val="000000"/>
          <w:szCs w:val="24"/>
        </w:rPr>
        <w:t xml:space="preserve"> </w:t>
      </w:r>
      <w:r w:rsidR="00BA64E7">
        <w:rPr>
          <w:rFonts w:eastAsia="Palatino Linotype" w:cs="Palatino Linotype"/>
          <w:color w:val="000000"/>
          <w:szCs w:val="24"/>
        </w:rPr>
        <w:t xml:space="preserve">la </w:t>
      </w:r>
      <w:r w:rsidR="007F48CD">
        <w:rPr>
          <w:rFonts w:eastAsia="Palatino Linotype" w:cs="Palatino Linotype"/>
          <w:color w:val="000000"/>
          <w:szCs w:val="24"/>
        </w:rPr>
        <w:t xml:space="preserve">falta de </w:t>
      </w:r>
      <w:r w:rsidR="00BA64E7">
        <w:rPr>
          <w:rFonts w:eastAsia="Palatino Linotype" w:cs="Palatino Linotype"/>
          <w:color w:val="000000"/>
          <w:szCs w:val="24"/>
        </w:rPr>
        <w:t>respuesta</w:t>
      </w:r>
      <w:r w:rsidR="000248B1">
        <w:rPr>
          <w:rFonts w:eastAsia="Palatino Linotype" w:cs="Palatino Linotype"/>
          <w:color w:val="000000"/>
          <w:szCs w:val="24"/>
        </w:rPr>
        <w:t xml:space="preserve"> por parte del sujeto obligado a la solicitud de acceso a la información.</w:t>
      </w:r>
    </w:p>
    <w:p w14:paraId="675AE504" w14:textId="77777777" w:rsidR="00E6674B" w:rsidRPr="00883102" w:rsidRDefault="00E6674B" w:rsidP="00DE3512">
      <w:pPr>
        <w:pBdr>
          <w:top w:val="nil"/>
          <w:left w:val="nil"/>
          <w:bottom w:val="nil"/>
          <w:right w:val="nil"/>
          <w:between w:val="nil"/>
        </w:pBdr>
        <w:rPr>
          <w:rFonts w:eastAsia="Palatino Linotype" w:cs="Palatino Linotype"/>
          <w:color w:val="000000"/>
          <w:szCs w:val="24"/>
          <w:lang w:val="es-ES_tradnl"/>
        </w:rPr>
      </w:pPr>
    </w:p>
    <w:p w14:paraId="31AB6E49" w14:textId="77777777" w:rsidR="0041058F" w:rsidRDefault="0041058F" w:rsidP="0041058F">
      <w:pPr>
        <w:pBdr>
          <w:top w:val="nil"/>
          <w:left w:val="nil"/>
          <w:bottom w:val="nil"/>
          <w:right w:val="nil"/>
          <w:between w:val="nil"/>
        </w:pBdr>
        <w:contextualSpacing/>
        <w:rPr>
          <w:szCs w:val="24"/>
        </w:rPr>
      </w:pPr>
      <w:r w:rsidRPr="004E7A3F">
        <w:rPr>
          <w:szCs w:val="24"/>
        </w:rPr>
        <w:t xml:space="preserve">Se debe resaltar que ninguna de las partes realizó manifestaciones durante la etapa de instrucción en el presente procedimiento. En consecuencia, es necesario precisar </w:t>
      </w:r>
      <w:r>
        <w:rPr>
          <w:szCs w:val="24"/>
        </w:rPr>
        <w:t xml:space="preserve">que, </w:t>
      </w:r>
      <w:r w:rsidRPr="004E7A3F">
        <w:rPr>
          <w:szCs w:val="24"/>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szCs w:val="24"/>
        </w:rPr>
        <w:t>de informe justificado no es óbice para</w:t>
      </w:r>
      <w:r w:rsidRPr="004E7A3F">
        <w:rPr>
          <w:szCs w:val="24"/>
        </w:rPr>
        <w:t xml:space="preserve"> que este Órgano Garante conozca y resuelva el recurso de revisión.</w:t>
      </w:r>
    </w:p>
    <w:p w14:paraId="4F13F832" w14:textId="4C256ECE" w:rsidR="000A50D0" w:rsidRPr="00883102" w:rsidRDefault="000A50D0" w:rsidP="00E6674B">
      <w:pPr>
        <w:rPr>
          <w:rFonts w:eastAsiaTheme="minorHAnsi" w:cstheme="minorBidi"/>
          <w:szCs w:val="24"/>
          <w:lang w:val="es-ES_tradnl" w:eastAsia="en-US"/>
        </w:rPr>
      </w:pPr>
    </w:p>
    <w:p w14:paraId="20B99F77" w14:textId="40D57E0A" w:rsidR="00DE3512" w:rsidRPr="00883102" w:rsidRDefault="00683B9C" w:rsidP="00AF13E8">
      <w:pPr>
        <w:rPr>
          <w:rFonts w:eastAsiaTheme="minorHAnsi" w:cstheme="minorBidi"/>
          <w:szCs w:val="24"/>
          <w:lang w:val="es-ES_tradnl" w:eastAsia="en-US"/>
        </w:rPr>
      </w:pPr>
      <w:r>
        <w:rPr>
          <w:rFonts w:eastAsiaTheme="minorHAnsi" w:cstheme="minorBidi"/>
          <w:szCs w:val="24"/>
          <w:lang w:val="es-ES_tradnl" w:eastAsia="en-US"/>
        </w:rPr>
        <w:t xml:space="preserve">En esa tesitura, </w:t>
      </w:r>
      <w:r w:rsidR="00DE3512" w:rsidRPr="00883102">
        <w:rPr>
          <w:rFonts w:eastAsia="Palatino Linotype" w:cs="Palatino Linotype"/>
          <w:color w:val="000000"/>
          <w:szCs w:val="24"/>
          <w:lang w:val="es-ES_tradnl"/>
        </w:rPr>
        <w:t xml:space="preserve">se </w:t>
      </w:r>
      <w:r w:rsidR="00AF13E8" w:rsidRPr="00883102">
        <w:rPr>
          <w:rFonts w:eastAsia="Palatino Linotype" w:cs="Palatino Linotype"/>
          <w:color w:val="000000"/>
          <w:szCs w:val="24"/>
          <w:lang w:val="es-ES_tradnl"/>
        </w:rPr>
        <w:t>tiene</w:t>
      </w:r>
      <w:r w:rsidR="00DE3512" w:rsidRPr="00883102">
        <w:rPr>
          <w:rFonts w:eastAsia="Palatino Linotype" w:cs="Palatino Linotype"/>
          <w:color w:val="000000"/>
          <w:szCs w:val="24"/>
          <w:lang w:val="es-ES_tradnl"/>
        </w:rPr>
        <w:t xml:space="preserve"> que </w:t>
      </w:r>
      <w:r w:rsidR="002772FC" w:rsidRPr="00883102">
        <w:rPr>
          <w:rFonts w:eastAsia="Palatino Linotype" w:cs="Palatino Linotype"/>
          <w:color w:val="000000"/>
          <w:szCs w:val="24"/>
          <w:lang w:val="es-ES_tradnl"/>
        </w:rPr>
        <w:t>el presente</w:t>
      </w:r>
      <w:r w:rsidR="00957F9F" w:rsidRPr="00883102">
        <w:rPr>
          <w:rFonts w:eastAsia="Palatino Linotype" w:cs="Palatino Linotype"/>
          <w:color w:val="000000"/>
          <w:szCs w:val="24"/>
          <w:lang w:val="es-ES_tradnl"/>
        </w:rPr>
        <w:t xml:space="preserve"> r</w:t>
      </w:r>
      <w:r w:rsidR="00DE3512" w:rsidRPr="00883102">
        <w:rPr>
          <w:rFonts w:eastAsia="Palatino Linotype" w:cs="Palatino Linotype"/>
          <w:color w:val="000000"/>
          <w:szCs w:val="24"/>
          <w:lang w:val="es-ES_tradnl"/>
        </w:rPr>
        <w:t xml:space="preserve">ecurso de </w:t>
      </w:r>
      <w:r w:rsidR="00957F9F" w:rsidRPr="00883102">
        <w:rPr>
          <w:rFonts w:eastAsia="Palatino Linotype" w:cs="Palatino Linotype"/>
          <w:color w:val="000000"/>
          <w:szCs w:val="24"/>
          <w:lang w:val="es-ES_tradnl"/>
        </w:rPr>
        <w:t>r</w:t>
      </w:r>
      <w:r w:rsidR="00DE3512" w:rsidRPr="00883102">
        <w:rPr>
          <w:rFonts w:eastAsia="Palatino Linotype" w:cs="Palatino Linotype"/>
          <w:color w:val="000000"/>
          <w:szCs w:val="24"/>
          <w:lang w:val="es-ES_tradnl"/>
        </w:rPr>
        <w:t xml:space="preserve">evisión </w:t>
      </w:r>
      <w:r w:rsidR="002772FC" w:rsidRPr="00883102">
        <w:rPr>
          <w:rFonts w:eastAsia="Palatino Linotype" w:cs="Palatino Linotype"/>
          <w:color w:val="000000"/>
          <w:szCs w:val="24"/>
          <w:lang w:val="es-ES_tradnl"/>
        </w:rPr>
        <w:t>es</w:t>
      </w:r>
      <w:r w:rsidR="00DE3512" w:rsidRPr="00883102">
        <w:rPr>
          <w:rFonts w:eastAsia="Palatino Linotype" w:cs="Palatino Linotype"/>
          <w:color w:val="000000"/>
          <w:szCs w:val="24"/>
          <w:lang w:val="es-ES_tradnl"/>
        </w:rPr>
        <w:t xml:space="preserve"> procedente; toda vez que se actualiza la hipótesis prevista en la fracci</w:t>
      </w:r>
      <w:r w:rsidR="005464A8">
        <w:rPr>
          <w:rFonts w:eastAsia="Palatino Linotype" w:cs="Palatino Linotype"/>
          <w:color w:val="000000"/>
          <w:szCs w:val="24"/>
          <w:lang w:val="es-ES_tradnl"/>
        </w:rPr>
        <w:t>ón</w:t>
      </w:r>
      <w:r w:rsidR="00DE3512" w:rsidRPr="00883102">
        <w:rPr>
          <w:rFonts w:eastAsia="Palatino Linotype" w:cs="Palatino Linotype"/>
          <w:color w:val="000000"/>
          <w:szCs w:val="24"/>
          <w:lang w:val="es-ES_tradnl"/>
        </w:rPr>
        <w:t xml:space="preserve"> VII del artículo 179 de la Ley de la materia, que a la letra dice:</w:t>
      </w:r>
    </w:p>
    <w:p w14:paraId="0C276B8E"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5F55D976" w14:textId="77777777" w:rsidR="00DE3512" w:rsidRPr="00883102" w:rsidRDefault="00DE3512" w:rsidP="00E03806">
      <w:pPr>
        <w:pStyle w:val="Sinespaciado"/>
        <w:rPr>
          <w:lang w:val="es-ES_tradnl"/>
        </w:rPr>
      </w:pPr>
      <w:r w:rsidRPr="00883102">
        <w:rPr>
          <w:b/>
          <w:lang w:val="es-ES_tradnl"/>
        </w:rPr>
        <w:lastRenderedPageBreak/>
        <w:t>Artículo 179.</w:t>
      </w:r>
      <w:r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E03806" w:rsidRDefault="00DE3512" w:rsidP="00E03806">
      <w:pPr>
        <w:pStyle w:val="Sinespaciado"/>
        <w:rPr>
          <w:bCs/>
          <w:lang w:val="es-ES_tradnl"/>
        </w:rPr>
      </w:pPr>
      <w:r w:rsidRPr="00E03806">
        <w:rPr>
          <w:bCs/>
          <w:lang w:val="es-ES_tradnl"/>
        </w:rPr>
        <w:t>(…)</w:t>
      </w:r>
    </w:p>
    <w:p w14:paraId="21F74450" w14:textId="77777777" w:rsidR="00DE3512" w:rsidRPr="00883102" w:rsidRDefault="00DE3512" w:rsidP="00E03806">
      <w:pPr>
        <w:pStyle w:val="Sinespaciado"/>
        <w:rPr>
          <w:b/>
          <w:lang w:val="es-ES_tradnl"/>
        </w:rPr>
      </w:pPr>
      <w:r w:rsidRPr="00883102">
        <w:rPr>
          <w:b/>
          <w:lang w:val="es-ES_tradnl"/>
        </w:rPr>
        <w:t>VII. La falta de respuesta a una solicitud de acceso a la información;</w:t>
      </w:r>
    </w:p>
    <w:p w14:paraId="26047C5E" w14:textId="77777777" w:rsidR="00DE3512" w:rsidRPr="00E03806" w:rsidRDefault="00DE3512" w:rsidP="00E03806">
      <w:pPr>
        <w:pStyle w:val="Sinespaciado"/>
        <w:rPr>
          <w:bCs/>
          <w:lang w:val="es-ES_tradnl"/>
        </w:rPr>
      </w:pPr>
      <w:r w:rsidRPr="00E03806">
        <w:rPr>
          <w:bCs/>
          <w:lang w:val="es-ES_tradnl"/>
        </w:rPr>
        <w:t>(…)</w:t>
      </w:r>
    </w:p>
    <w:p w14:paraId="7158A2C6"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706970B3" w14:textId="3FBA01D2" w:rsidR="00DE3512" w:rsidRPr="00883102" w:rsidRDefault="00DE3512" w:rsidP="00DE3512">
      <w:pPr>
        <w:pBdr>
          <w:top w:val="nil"/>
          <w:left w:val="nil"/>
          <w:bottom w:val="nil"/>
          <w:right w:val="nil"/>
          <w:between w:val="nil"/>
        </w:pBdr>
        <w:rPr>
          <w:rFonts w:eastAsia="Palatino Linotype" w:cs="Palatino Linotype"/>
          <w:b/>
          <w:color w:val="000000"/>
          <w:szCs w:val="24"/>
          <w:lang w:val="es-ES_tradnl"/>
        </w:rPr>
      </w:pPr>
      <w:r w:rsidRPr="00883102">
        <w:rPr>
          <w:rFonts w:eastAsia="Palatino Linotype" w:cs="Palatino Linotype"/>
          <w:color w:val="000000"/>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464F0B">
        <w:rPr>
          <w:rFonts w:eastAsia="Palatino Linotype" w:cs="Palatino Linotype"/>
          <w:color w:val="000000"/>
          <w:szCs w:val="24"/>
          <w:lang w:val="es-ES_tradnl"/>
        </w:rPr>
        <w:t>el</w:t>
      </w:r>
      <w:r w:rsidRPr="00883102">
        <w:rPr>
          <w:rFonts w:eastAsia="Palatino Linotype" w:cs="Palatino Linotype"/>
          <w:color w:val="000000"/>
          <w:szCs w:val="24"/>
          <w:lang w:val="es-ES_tradnl"/>
        </w:rPr>
        <w:t xml:space="preserve"> ahora Recurrente.</w:t>
      </w:r>
      <w:r w:rsidRPr="00883102">
        <w:rPr>
          <w:rFonts w:eastAsia="Palatino Linotype" w:cs="Palatino Linotype"/>
          <w:b/>
          <w:color w:val="000000"/>
          <w:szCs w:val="24"/>
          <w:lang w:val="es-ES_tradnl"/>
        </w:rPr>
        <w:t xml:space="preserve"> </w:t>
      </w:r>
    </w:p>
    <w:p w14:paraId="18157D17" w14:textId="77777777" w:rsidR="00DE3512" w:rsidRPr="00883102" w:rsidRDefault="00DE3512" w:rsidP="00DE3512">
      <w:pPr>
        <w:pBdr>
          <w:top w:val="nil"/>
          <w:left w:val="nil"/>
          <w:bottom w:val="nil"/>
          <w:right w:val="nil"/>
          <w:between w:val="nil"/>
        </w:pBdr>
        <w:rPr>
          <w:rFonts w:eastAsia="Palatino Linotype" w:cs="Palatino Linotype"/>
          <w:b/>
          <w:color w:val="000000"/>
          <w:szCs w:val="24"/>
          <w:lang w:val="es-ES_tradnl"/>
        </w:rPr>
      </w:pPr>
    </w:p>
    <w:p w14:paraId="0B6C8ACA" w14:textId="3D731D64"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Una vez determinada la vía sobre la que versará el presente asunto y previa revisión de los expedientes electrónicos formados en el SAIMEX</w:t>
      </w:r>
      <w:r w:rsidRPr="00883102">
        <w:rPr>
          <w:rFonts w:eastAsia="Palatino Linotype" w:cs="Palatino Linotype"/>
          <w:b/>
          <w:color w:val="000000"/>
          <w:szCs w:val="24"/>
          <w:lang w:val="es-ES_tradnl"/>
        </w:rPr>
        <w:t>,</w:t>
      </w:r>
      <w:r w:rsidRPr="00883102">
        <w:rPr>
          <w:rFonts w:eastAsia="Palatino Linotype" w:cs="Palatino Linotype"/>
          <w:color w:val="000000"/>
          <w:szCs w:val="24"/>
          <w:lang w:val="es-ES_tradnl"/>
        </w:rPr>
        <w:t xml:space="preserve"> por motivo de las solicitudes de información y de los recursos de revisión a que dieron origen, se observa que el Sujeto Obligado</w:t>
      </w:r>
      <w:r w:rsidRPr="00883102">
        <w:rPr>
          <w:rFonts w:eastAsia="Palatino Linotype" w:cs="Palatino Linotype"/>
          <w:b/>
          <w:color w:val="000000"/>
          <w:szCs w:val="24"/>
          <w:lang w:val="es-ES_tradnl"/>
        </w:rPr>
        <w:t>,</w:t>
      </w:r>
      <w:r w:rsidRPr="00883102">
        <w:rPr>
          <w:rFonts w:eastAsia="Palatino Linotype" w:cs="Palatino Linotype"/>
          <w:color w:val="000000"/>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64731631" w14:textId="18B2BF2A"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Bajo ese contexto, este Instituto analizó la totalidad de constancias que integran el expediente electrónico del SAIMEX y observó que las razones o motivos de inconformidad hechos valer por </w:t>
      </w:r>
      <w:r w:rsidR="0096093D">
        <w:rPr>
          <w:rFonts w:eastAsiaTheme="minorHAnsi" w:cs="Arial"/>
          <w:szCs w:val="24"/>
          <w:lang w:val="es-ES_tradnl" w:eastAsia="en-US"/>
        </w:rPr>
        <w:t>el Recurrente</w:t>
      </w:r>
      <w:r w:rsidR="0041058F">
        <w:rPr>
          <w:rFonts w:eastAsiaTheme="minorHAnsi" w:cs="Arial"/>
          <w:szCs w:val="24"/>
          <w:lang w:val="es-ES_tradnl" w:eastAsia="en-US"/>
        </w:rPr>
        <w:t xml:space="preserve"> </w:t>
      </w:r>
      <w:r w:rsidRPr="00883102">
        <w:rPr>
          <w:rFonts w:eastAsiaTheme="minorHAnsi" w:cs="Arial"/>
          <w:szCs w:val="24"/>
          <w:lang w:val="es-ES_tradnl" w:eastAsia="en-US"/>
        </w:rPr>
        <w:t>devienen fundados, en atención a las siguientes consideraciones de hecho y de Derecho:</w:t>
      </w:r>
    </w:p>
    <w:p w14:paraId="2E2738EF" w14:textId="77777777" w:rsidR="00E6674B" w:rsidRPr="00883102" w:rsidRDefault="00E6674B" w:rsidP="00E6674B">
      <w:pPr>
        <w:rPr>
          <w:rFonts w:eastAsiaTheme="minorHAnsi" w:cs="Arial"/>
          <w:szCs w:val="24"/>
          <w:lang w:val="es-ES_tradnl" w:eastAsia="en-US"/>
        </w:rPr>
      </w:pPr>
    </w:p>
    <w:p w14:paraId="31BFE837"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883102" w:rsidRDefault="00E6674B" w:rsidP="00E6674B">
      <w:pPr>
        <w:rPr>
          <w:rFonts w:eastAsiaTheme="minorHAnsi" w:cs="Arial"/>
          <w:szCs w:val="24"/>
          <w:lang w:val="es-ES_tradnl" w:eastAsia="en-US"/>
        </w:rPr>
      </w:pPr>
    </w:p>
    <w:p w14:paraId="674C22F2" w14:textId="77777777" w:rsidR="00E6674B" w:rsidRPr="00883102" w:rsidRDefault="00E6674B" w:rsidP="00E03806">
      <w:pPr>
        <w:pStyle w:val="Sinespaciado"/>
        <w:rPr>
          <w:lang w:val="es-ES_tradnl"/>
        </w:rPr>
      </w:pPr>
      <w:r w:rsidRPr="00883102">
        <w:rPr>
          <w:b/>
          <w:lang w:val="es-ES_tradnl"/>
        </w:rPr>
        <w:t>Artículo 6o.</w:t>
      </w:r>
      <w:r w:rsidRPr="00883102">
        <w:rPr>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b/>
          <w:lang w:val="es-ES_tradnl"/>
        </w:rPr>
        <w:t>El derecho a la información será garantizado por el Estado.</w:t>
      </w:r>
      <w:r w:rsidRPr="00883102">
        <w:rPr>
          <w:lang w:val="es-ES_tradnl"/>
        </w:rPr>
        <w:t xml:space="preserve"> </w:t>
      </w:r>
    </w:p>
    <w:p w14:paraId="6EE58157" w14:textId="77777777" w:rsidR="00E6674B" w:rsidRPr="00883102" w:rsidRDefault="00E6674B" w:rsidP="00E03806">
      <w:pPr>
        <w:pStyle w:val="Sinespaciado"/>
        <w:rPr>
          <w:lang w:val="es-ES_tradnl"/>
        </w:rPr>
      </w:pPr>
    </w:p>
    <w:p w14:paraId="759FE83A" w14:textId="77777777" w:rsidR="00E6674B" w:rsidRPr="00883102" w:rsidRDefault="00E6674B" w:rsidP="00E03806">
      <w:pPr>
        <w:pStyle w:val="Sinespaciado"/>
        <w:rPr>
          <w:lang w:val="es-ES_tradnl"/>
        </w:rPr>
      </w:pPr>
      <w:r w:rsidRPr="00883102">
        <w:rPr>
          <w:lang w:val="es-ES_tradnl"/>
        </w:rPr>
        <w:t>Toda persona tiene derecho al libre acceso a información plural y oportuna, así como a buscar, recibir y difundir información e ideas de toda índole por cualquier medio de expresión.</w:t>
      </w:r>
    </w:p>
    <w:p w14:paraId="129D0291" w14:textId="77777777" w:rsidR="00E6674B" w:rsidRPr="00883102" w:rsidRDefault="00E6674B" w:rsidP="00E03806">
      <w:pPr>
        <w:pStyle w:val="Sinespaciado"/>
        <w:rPr>
          <w:lang w:val="es-ES_tradnl"/>
        </w:rPr>
      </w:pPr>
    </w:p>
    <w:p w14:paraId="2C783424" w14:textId="77777777" w:rsidR="00E6674B" w:rsidRPr="00883102" w:rsidRDefault="00E6674B" w:rsidP="00E03806">
      <w:pPr>
        <w:pStyle w:val="Sinespaciado"/>
        <w:rPr>
          <w:lang w:val="es-ES_tradnl"/>
        </w:rPr>
      </w:pPr>
      <w:r w:rsidRPr="00883102">
        <w:rPr>
          <w:lang w:val="es-ES_tradnl"/>
        </w:rPr>
        <w:t>Para efectos de lo dispuesto en el presente artículo se observará lo siguiente:</w:t>
      </w:r>
    </w:p>
    <w:p w14:paraId="1A751D26" w14:textId="77777777" w:rsidR="00E6674B" w:rsidRPr="00883102" w:rsidRDefault="00E6674B" w:rsidP="00E03806">
      <w:pPr>
        <w:pStyle w:val="Sinespaciado"/>
        <w:rPr>
          <w:lang w:val="es-ES_tradnl"/>
        </w:rPr>
      </w:pPr>
      <w:r w:rsidRPr="00883102">
        <w:rPr>
          <w:lang w:val="es-ES_tradnl"/>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883102" w:rsidRDefault="00E6674B" w:rsidP="00E03806">
      <w:pPr>
        <w:pStyle w:val="Sinespaciado"/>
        <w:rPr>
          <w:lang w:val="es-ES_tradnl"/>
        </w:rPr>
      </w:pPr>
    </w:p>
    <w:p w14:paraId="0FBB9CCF" w14:textId="77777777" w:rsidR="00E6674B" w:rsidRPr="00883102" w:rsidRDefault="00E6674B" w:rsidP="00E03806">
      <w:pPr>
        <w:pStyle w:val="Sinespaciado"/>
        <w:rPr>
          <w:lang w:val="es-ES_tradnl"/>
        </w:rPr>
      </w:pPr>
      <w:r w:rsidRPr="00883102">
        <w:rPr>
          <w:b/>
          <w:lang w:val="es-ES_tradnl"/>
        </w:rPr>
        <w:t>I. Toda la información en posesión de</w:t>
      </w:r>
      <w:r w:rsidRPr="00883102">
        <w:rPr>
          <w:lang w:val="es-ES_tradnl"/>
        </w:rPr>
        <w:t xml:space="preserve"> </w:t>
      </w:r>
      <w:r w:rsidRPr="00883102">
        <w:rPr>
          <w:b/>
          <w:lang w:val="es-ES_tradnl"/>
        </w:rPr>
        <w:t>cualquier autoridad</w:t>
      </w:r>
      <w:r w:rsidRPr="00883102">
        <w:rPr>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b/>
          <w:lang w:val="es-ES_tradnl"/>
        </w:rPr>
        <w:t>en el ámbito federal, estatal y municipal, es pública</w:t>
      </w:r>
      <w:r w:rsidRPr="00883102">
        <w:rPr>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b/>
          <w:lang w:val="es-ES_tradnl"/>
        </w:rPr>
        <w:t>Los sujetos obligados deberán documentar todo acto que derive del ejercicio de sus facultades, competencias o funciones</w:t>
      </w:r>
      <w:r w:rsidRPr="00883102">
        <w:rPr>
          <w:lang w:val="es-ES_tradnl"/>
        </w:rPr>
        <w:t>, la ley determinará los supuestos específicos bajo los cuales procederá la declaración de inexistencia de la información.</w:t>
      </w:r>
    </w:p>
    <w:p w14:paraId="2B7B6294" w14:textId="77777777" w:rsidR="00E6674B" w:rsidRPr="00883102" w:rsidRDefault="00E6674B" w:rsidP="00E03806">
      <w:pPr>
        <w:pStyle w:val="Sinespaciado"/>
        <w:rPr>
          <w:lang w:val="es-ES_tradnl"/>
        </w:rPr>
      </w:pPr>
      <w:r w:rsidRPr="00883102">
        <w:rPr>
          <w:lang w:val="es-ES_tradnl"/>
        </w:rPr>
        <w:t>II. La información que se refiere a la vida privada y los datos personales será protegida en los términos y con las excepciones que fijen las leyes.</w:t>
      </w:r>
    </w:p>
    <w:p w14:paraId="37819624" w14:textId="77777777" w:rsidR="00E6674B" w:rsidRPr="00883102" w:rsidRDefault="00E6674B" w:rsidP="00E03806">
      <w:pPr>
        <w:pStyle w:val="Sinespaciado"/>
        <w:rPr>
          <w:lang w:val="es-ES_tradnl"/>
        </w:rPr>
      </w:pPr>
      <w:r w:rsidRPr="00883102">
        <w:rPr>
          <w:lang w:val="es-ES_tradnl"/>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E03806">
      <w:pPr>
        <w:pStyle w:val="Sinespaciado"/>
        <w:rPr>
          <w:lang w:val="es-ES_tradnl"/>
        </w:rPr>
      </w:pPr>
      <w:r w:rsidRPr="00883102">
        <w:rPr>
          <w:lang w:val="es-ES_tradnl"/>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E03806">
      <w:pPr>
        <w:pStyle w:val="Sinespaciado"/>
        <w:rPr>
          <w:lang w:val="es-ES_tradnl"/>
        </w:rPr>
      </w:pPr>
      <w:r w:rsidRPr="00883102">
        <w:rPr>
          <w:b/>
          <w:lang w:val="es-ES_tradnl"/>
        </w:rPr>
        <w:t>V. Los sujetos obligados deberán preservar sus documentos en archivos administrativos actualizados y publicarán, a través de los medios electrónicos disponibles</w:t>
      </w:r>
      <w:r w:rsidRPr="00883102">
        <w:rPr>
          <w:lang w:val="es-ES_tradnl"/>
        </w:rPr>
        <w:t xml:space="preserve">, </w:t>
      </w:r>
      <w:r w:rsidRPr="00883102">
        <w:rPr>
          <w:b/>
          <w:lang w:val="es-ES_tradnl"/>
        </w:rPr>
        <w:t xml:space="preserve">la información completa y actualizada sobre el ejercicio de los recursos públicos </w:t>
      </w:r>
      <w:r w:rsidRPr="00883102">
        <w:rPr>
          <w:lang w:val="es-ES_tradnl"/>
        </w:rPr>
        <w:t>y los indicadores que permitan rendir cuenta del cumplimiento de sus objetivos y de los resultados obtenidos.</w:t>
      </w:r>
    </w:p>
    <w:p w14:paraId="301B8C9B" w14:textId="77777777" w:rsidR="00E6674B" w:rsidRPr="00883102" w:rsidRDefault="00E6674B" w:rsidP="00E03806">
      <w:pPr>
        <w:pStyle w:val="Sinespaciado"/>
        <w:rPr>
          <w:lang w:val="es-ES_tradnl"/>
        </w:rPr>
      </w:pPr>
      <w:r w:rsidRPr="00883102">
        <w:rPr>
          <w:lang w:val="es-ES_tradnl"/>
        </w:rPr>
        <w:lastRenderedPageBreak/>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E03806">
      <w:pPr>
        <w:pStyle w:val="Sinespaciado"/>
        <w:rPr>
          <w:lang w:val="es-ES_tradnl"/>
        </w:rPr>
      </w:pPr>
      <w:r w:rsidRPr="00883102">
        <w:rPr>
          <w:lang w:val="es-ES_tradnl"/>
        </w:rPr>
        <w:t>VII. La inobservancia a las disposiciones en materia de acceso a la información pública será sancionada en los términos que dispongan las leyes.</w:t>
      </w:r>
    </w:p>
    <w:p w14:paraId="62003507" w14:textId="77777777" w:rsidR="00E6674B" w:rsidRPr="00883102" w:rsidRDefault="00E6674B" w:rsidP="00E03806">
      <w:pPr>
        <w:pStyle w:val="Sinespaciado"/>
        <w:rPr>
          <w:lang w:val="es-ES_tradnl"/>
        </w:rPr>
      </w:pPr>
      <w:r w:rsidRPr="00883102">
        <w:rPr>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E03806">
      <w:pPr>
        <w:pStyle w:val="Sinespaciado"/>
        <w:rPr>
          <w:lang w:val="es-ES_tradnl"/>
        </w:rPr>
      </w:pPr>
      <w:r w:rsidRPr="00883102">
        <w:rPr>
          <w:lang w:val="es-ES_tradnl"/>
        </w:rPr>
        <w:t>(…)</w:t>
      </w:r>
    </w:p>
    <w:p w14:paraId="252ED9E9" w14:textId="77777777" w:rsidR="00E6674B" w:rsidRPr="00883102" w:rsidRDefault="00E6674B" w:rsidP="00E03806">
      <w:pPr>
        <w:pStyle w:val="Sinespaciado"/>
        <w:rPr>
          <w:lang w:val="es-ES_tradnl"/>
        </w:rPr>
      </w:pPr>
      <w:r w:rsidRPr="00883102">
        <w:rPr>
          <w:lang w:val="es-ES_tradnl"/>
        </w:rPr>
        <w:t>La ley establecerá aquella información que se considere reservada o confidencial.</w:t>
      </w:r>
    </w:p>
    <w:p w14:paraId="116A8F4C" w14:textId="77777777" w:rsidR="00E6674B" w:rsidRPr="00883102" w:rsidRDefault="00E6674B" w:rsidP="00E03806">
      <w:pPr>
        <w:pStyle w:val="Sinespaciado"/>
        <w:rPr>
          <w:lang w:val="es-ES_tradnl"/>
        </w:rPr>
      </w:pPr>
      <w:r w:rsidRPr="00883102">
        <w:rPr>
          <w:lang w:val="es-ES_tradnl"/>
        </w:rPr>
        <w:t xml:space="preserve">(…) </w:t>
      </w:r>
    </w:p>
    <w:p w14:paraId="40080D4F" w14:textId="77777777" w:rsidR="00E6674B" w:rsidRPr="00883102" w:rsidRDefault="00E6674B" w:rsidP="00E6674B">
      <w:pPr>
        <w:rPr>
          <w:rFonts w:eastAsiaTheme="minorHAnsi" w:cstheme="minorBidi"/>
          <w:szCs w:val="24"/>
          <w:lang w:val="es-ES_tradnl" w:eastAsia="en-US"/>
        </w:rPr>
      </w:pPr>
    </w:p>
    <w:p w14:paraId="0FF35A1B"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Por su parte, la Constitución Política del Estado Libre y Soberano de México, en su artículo 5°, dispone en su parte conducente, lo siguiente:</w:t>
      </w:r>
    </w:p>
    <w:p w14:paraId="05D47F73" w14:textId="77777777" w:rsidR="00E6674B" w:rsidRPr="00883102" w:rsidRDefault="00E6674B" w:rsidP="00E6674B">
      <w:pPr>
        <w:rPr>
          <w:rFonts w:eastAsiaTheme="minorHAnsi" w:cs="Arial"/>
          <w:szCs w:val="24"/>
          <w:lang w:val="es-ES_tradnl" w:eastAsia="en-US"/>
        </w:rPr>
      </w:pPr>
    </w:p>
    <w:p w14:paraId="442A16C0"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Artículo 5.</w:t>
      </w:r>
      <w:r w:rsidRPr="00E03806">
        <w:rPr>
          <w:rFonts w:eastAsiaTheme="minorHAnsi" w:cstheme="minorBidi"/>
          <w:i/>
          <w:sz w:val="22"/>
          <w:lang w:val="es-ES_tradnl" w:eastAsia="en-US"/>
        </w:rPr>
        <w:t xml:space="preserve"> (…)</w:t>
      </w:r>
    </w:p>
    <w:p w14:paraId="1DB79187"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2656B05A"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El derecho a la información será garantizado por el Estado</w:t>
      </w:r>
      <w:r w:rsidRPr="00E03806">
        <w:rPr>
          <w:rFonts w:eastAsiaTheme="minorHAnsi" w:cstheme="minorBidi"/>
          <w:i/>
          <w:sz w:val="22"/>
          <w:lang w:val="es-ES_tradnl" w:eastAsia="en-US"/>
        </w:rPr>
        <w:t xml:space="preserve">. La ley establecerá las previsiones que permitan asegurar la protección, el respeto y la difusión de este derecho. </w:t>
      </w:r>
    </w:p>
    <w:p w14:paraId="66B82B09"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4257D6E7"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2365A9DD"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Este derecho se regirá por los principios y bases siguientes:</w:t>
      </w:r>
    </w:p>
    <w:p w14:paraId="0E324321"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3945F32C"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I. Toda la información en posesión de</w:t>
      </w:r>
      <w:r w:rsidRPr="00E03806">
        <w:rPr>
          <w:rFonts w:eastAsiaTheme="minorHAnsi" w:cstheme="minorBidi"/>
          <w:i/>
          <w:sz w:val="22"/>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E03806">
        <w:rPr>
          <w:rFonts w:eastAsiaTheme="minorHAnsi" w:cstheme="minorBidi"/>
          <w:b/>
          <w:i/>
          <w:sz w:val="22"/>
          <w:u w:val="single"/>
          <w:lang w:val="es-ES_tradnl" w:eastAsia="en-US"/>
        </w:rPr>
        <w:t>la administración pública municipal y sus organismos descentralizados</w:t>
      </w:r>
      <w:r w:rsidRPr="00E03806">
        <w:rPr>
          <w:rFonts w:eastAsiaTheme="minorHAnsi" w:cstheme="minorBidi"/>
          <w:i/>
          <w:sz w:val="22"/>
          <w:lang w:val="es-ES_tradnl" w:eastAsia="en-US"/>
        </w:rPr>
        <w:t xml:space="preserve">,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w:t>
      </w:r>
      <w:r w:rsidRPr="00E03806">
        <w:rPr>
          <w:rFonts w:eastAsiaTheme="minorHAnsi" w:cstheme="minorBidi"/>
          <w:i/>
          <w:sz w:val="22"/>
          <w:lang w:val="es-ES_tradnl" w:eastAsia="en-US"/>
        </w:rPr>
        <w:lastRenderedPageBreak/>
        <w:t>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II.</w:t>
      </w:r>
      <w:r w:rsidRPr="00E03806">
        <w:rPr>
          <w:rFonts w:eastAsiaTheme="minorHAnsi" w:cstheme="minorBidi"/>
          <w:i/>
          <w:sz w:val="22"/>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III.</w:t>
      </w:r>
      <w:r w:rsidRPr="00E03806">
        <w:rPr>
          <w:rFonts w:eastAsiaTheme="minorHAnsi" w:cstheme="minorBidi"/>
          <w:i/>
          <w:sz w:val="22"/>
          <w:lang w:val="es-ES_tradnl" w:eastAsia="en-US"/>
        </w:rPr>
        <w:t xml:space="preserve"> </w:t>
      </w:r>
      <w:r w:rsidRPr="00E03806">
        <w:rPr>
          <w:rFonts w:eastAsiaTheme="minorHAnsi" w:cstheme="minorBidi"/>
          <w:b/>
          <w:i/>
          <w:sz w:val="22"/>
          <w:lang w:val="es-ES_tradnl" w:eastAsia="en-US"/>
        </w:rPr>
        <w:t>Toda persona, sin necesidad de acreditar interés alguno o justificar su utilización, tendrá acceso gratuito a la información pública, a sus datos personales o a la rectificación de éstos</w:t>
      </w:r>
      <w:r w:rsidRPr="00E03806">
        <w:rPr>
          <w:rFonts w:eastAsiaTheme="minorHAnsi" w:cstheme="minorBidi"/>
          <w:i/>
          <w:sz w:val="22"/>
          <w:lang w:val="es-ES_tradnl" w:eastAsia="en-US"/>
        </w:rPr>
        <w:t>.</w:t>
      </w:r>
    </w:p>
    <w:p w14:paraId="32E648C8"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E03806" w:rsidRDefault="00E6674B" w:rsidP="00AF13E8">
      <w:pPr>
        <w:spacing w:line="240" w:lineRule="auto"/>
        <w:ind w:left="567" w:right="567"/>
        <w:rPr>
          <w:rFonts w:eastAsiaTheme="minorHAnsi" w:cstheme="minorBidi"/>
          <w:sz w:val="22"/>
          <w:lang w:val="es-ES_tradnl" w:eastAsia="en-US"/>
        </w:rPr>
      </w:pPr>
      <w:r w:rsidRPr="00E03806">
        <w:rPr>
          <w:rFonts w:eastAsiaTheme="minorHAnsi" w:cstheme="minorBidi"/>
          <w:i/>
          <w:sz w:val="22"/>
          <w:lang w:val="es-ES_tradnl" w:eastAsia="en-US"/>
        </w:rPr>
        <w:t>VII. La ley reglamentaria, determinará la manera en que los sujetos obligados deberán hacer pública la información relativa a los recursos públicos que entreguen a personas físicas o jurídicas colectivas</w:t>
      </w:r>
      <w:r w:rsidRPr="00E03806">
        <w:rPr>
          <w:rFonts w:eastAsiaTheme="minorHAnsi" w:cstheme="minorBidi"/>
          <w:sz w:val="22"/>
          <w:lang w:val="es-ES_tradnl" w:eastAsia="en-US"/>
        </w:rPr>
        <w:t>.</w:t>
      </w:r>
    </w:p>
    <w:p w14:paraId="7810DFCA" w14:textId="77777777" w:rsidR="00E6674B" w:rsidRPr="00883102" w:rsidRDefault="00E6674B" w:rsidP="00E6674B">
      <w:pPr>
        <w:rPr>
          <w:rFonts w:eastAsiaTheme="minorHAnsi" w:cstheme="minorBidi"/>
          <w:szCs w:val="24"/>
          <w:lang w:val="es-ES_tradnl" w:eastAsia="en-US"/>
        </w:rPr>
      </w:pPr>
    </w:p>
    <w:p w14:paraId="3A664896" w14:textId="5246499F"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Es así </w:t>
      </w:r>
      <w:r w:rsidR="00E03806">
        <w:rPr>
          <w:rFonts w:eastAsiaTheme="minorHAnsi" w:cstheme="minorBidi"/>
          <w:szCs w:val="24"/>
          <w:lang w:val="es-ES_tradnl" w:eastAsia="en-US"/>
        </w:rPr>
        <w:t>como</w:t>
      </w:r>
      <w:r w:rsidRPr="00883102">
        <w:rPr>
          <w:rFonts w:eastAsiaTheme="minorHAnsi" w:cstheme="minorBidi"/>
          <w:szCs w:val="24"/>
          <w:lang w:val="es-ES_tradnl" w:eastAsia="en-US"/>
        </w:rPr>
        <w:t xml:space="preserve">, conforme a los preceptos legales citados, se desprende que el derecho de acceso a la información pública es un derecho individual que puede ser ejercido ante cualquier autoridad, entidad, órgano u </w:t>
      </w:r>
      <w:r w:rsidR="00963BBB" w:rsidRPr="00883102">
        <w:rPr>
          <w:rFonts w:eastAsiaTheme="minorHAnsi" w:cstheme="minorBidi"/>
          <w:szCs w:val="24"/>
          <w:lang w:val="es-ES_tradnl" w:eastAsia="en-US"/>
        </w:rPr>
        <w:t>organismo, tanto federales, como</w:t>
      </w:r>
      <w:r w:rsidRPr="00883102">
        <w:rPr>
          <w:rFonts w:eastAsiaTheme="minorHAnsi" w:cstheme="minorBidi"/>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rPr>
          <w:rFonts w:eastAsiaTheme="minorHAnsi" w:cstheme="minorBidi"/>
          <w:szCs w:val="24"/>
          <w:lang w:val="es-ES_tradnl" w:eastAsia="en-US"/>
        </w:rPr>
      </w:pPr>
    </w:p>
    <w:p w14:paraId="49A72885" w14:textId="5EC2DDE6" w:rsidR="00E6674B" w:rsidRPr="00883102" w:rsidRDefault="00683B9C" w:rsidP="00E6674B">
      <w:pPr>
        <w:rPr>
          <w:rFonts w:eastAsia="Arial Unicode MS" w:cstheme="minorBidi"/>
          <w:szCs w:val="24"/>
          <w:lang w:val="es-ES_tradnl" w:eastAsia="en-US"/>
        </w:rPr>
      </w:pPr>
      <w:r>
        <w:rPr>
          <w:rFonts w:cstheme="minorBidi"/>
          <w:szCs w:val="24"/>
          <w:lang w:val="es-ES_tradnl" w:eastAsia="en-US"/>
        </w:rPr>
        <w:lastRenderedPageBreak/>
        <w:t>En es</w:t>
      </w:r>
      <w:r w:rsidR="00E03806">
        <w:rPr>
          <w:rFonts w:cstheme="minorBidi"/>
          <w:szCs w:val="24"/>
          <w:lang w:val="es-ES_tradnl" w:eastAsia="en-US"/>
        </w:rPr>
        <w:t>e</w:t>
      </w:r>
      <w:r>
        <w:rPr>
          <w:rFonts w:cstheme="minorBidi"/>
          <w:szCs w:val="24"/>
          <w:lang w:val="es-ES_tradnl" w:eastAsia="en-US"/>
        </w:rPr>
        <w:t xml:space="preserve"> tenor</w:t>
      </w:r>
      <w:r w:rsidR="00E6674B" w:rsidRPr="00883102">
        <w:rPr>
          <w:rFonts w:cstheme="minorBidi"/>
          <w:szCs w:val="24"/>
          <w:lang w:val="es-ES_tradnl" w:eastAsia="en-US"/>
        </w:rPr>
        <w:t xml:space="preserve">, </w:t>
      </w:r>
      <w:r w:rsidR="00E6674B" w:rsidRPr="00883102">
        <w:rPr>
          <w:rFonts w:eastAsia="Arial Unicode MS" w:cstheme="minorBidi"/>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rPr>
          <w:rFonts w:eastAsia="Arial Unicode MS" w:cstheme="minorBidi"/>
          <w:szCs w:val="24"/>
          <w:lang w:val="es-ES_tradnl" w:eastAsia="en-US"/>
        </w:rPr>
      </w:pPr>
    </w:p>
    <w:p w14:paraId="661646D3" w14:textId="77777777" w:rsidR="00E6674B" w:rsidRPr="00883102" w:rsidRDefault="00E6674B" w:rsidP="00E6674B">
      <w:pPr>
        <w:rPr>
          <w:rFonts w:eastAsia="Arial Unicode MS" w:cs="Arial"/>
          <w:szCs w:val="24"/>
          <w:lang w:val="es-ES_tradnl" w:eastAsia="en-US"/>
        </w:rPr>
      </w:pPr>
      <w:r w:rsidRPr="00883102">
        <w:rPr>
          <w:rFonts w:eastAsia="Arial Unicode MS" w:cs="Arial"/>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883102" w:rsidRDefault="00E6674B" w:rsidP="00E6674B">
      <w:pPr>
        <w:rPr>
          <w:rFonts w:eastAsia="Arial Unicode MS" w:cs="Arial"/>
          <w:szCs w:val="24"/>
          <w:lang w:val="es-ES_tradnl" w:eastAsia="en-US"/>
        </w:rPr>
      </w:pPr>
    </w:p>
    <w:p w14:paraId="69338B12" w14:textId="77777777" w:rsidR="00E6674B" w:rsidRPr="00883102" w:rsidRDefault="00E6674B" w:rsidP="00E6674B">
      <w:pPr>
        <w:rPr>
          <w:rFonts w:eastAsia="Arial Unicode MS" w:cs="Arial"/>
          <w:szCs w:val="24"/>
          <w:lang w:val="es-ES_tradnl" w:eastAsia="en-US"/>
        </w:rPr>
      </w:pPr>
      <w:r w:rsidRPr="00883102">
        <w:rPr>
          <w:rFonts w:eastAsia="Arial Unicode MS" w:cs="Arial"/>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rPr>
          <w:rFonts w:eastAsia="Arial Unicode MS" w:cs="Arial"/>
          <w:szCs w:val="24"/>
          <w:lang w:val="es-ES_tradnl" w:eastAsia="en-US"/>
        </w:rPr>
      </w:pPr>
    </w:p>
    <w:p w14:paraId="1CF63F03"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883102" w:rsidRDefault="00E6674B" w:rsidP="00E6674B">
      <w:pPr>
        <w:rPr>
          <w:rFonts w:eastAsiaTheme="minorHAnsi" w:cs="Arial"/>
          <w:szCs w:val="24"/>
          <w:lang w:val="es-ES_tradnl" w:eastAsia="en-US"/>
        </w:rPr>
      </w:pPr>
    </w:p>
    <w:p w14:paraId="71222669" w14:textId="77777777" w:rsidR="00E6674B" w:rsidRPr="00883102" w:rsidRDefault="00E6674B" w:rsidP="00E6674B">
      <w:pPr>
        <w:rPr>
          <w:rFonts w:eastAsia="Arial Unicode MS" w:cs="Arial"/>
          <w:szCs w:val="24"/>
          <w:lang w:val="es-ES_tradnl" w:eastAsia="en-US"/>
        </w:rPr>
      </w:pPr>
      <w:r w:rsidRPr="00883102">
        <w:rPr>
          <w:rFonts w:eastAsia="Arial Unicode MS" w:cs="Arial"/>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883102" w:rsidRDefault="00E6674B" w:rsidP="00E6674B">
      <w:pPr>
        <w:rPr>
          <w:rFonts w:eastAsia="Arial Unicode MS" w:cs="Arial"/>
          <w:szCs w:val="24"/>
          <w:lang w:val="es-ES_tradnl" w:eastAsia="en-US"/>
        </w:rPr>
      </w:pPr>
    </w:p>
    <w:p w14:paraId="186DB6D4" w14:textId="7E1F1994" w:rsidR="00E6674B" w:rsidRPr="00883102" w:rsidRDefault="00683B9C" w:rsidP="00E6674B">
      <w:pPr>
        <w:rPr>
          <w:rFonts w:eastAsiaTheme="minorHAnsi" w:cs="Arial"/>
          <w:szCs w:val="24"/>
          <w:lang w:val="es-ES_tradnl" w:eastAsia="en-US"/>
        </w:rPr>
      </w:pPr>
      <w:r>
        <w:rPr>
          <w:rFonts w:eastAsiaTheme="minorHAnsi" w:cs="Arial"/>
          <w:szCs w:val="24"/>
          <w:lang w:val="es-ES_tradnl" w:eastAsia="en-US"/>
        </w:rPr>
        <w:t>Así</w:t>
      </w:r>
      <w:r w:rsidR="00E6674B" w:rsidRPr="00883102">
        <w:rPr>
          <w:rFonts w:eastAsiaTheme="minorHAnsi" w:cs="Arial"/>
          <w:szCs w:val="24"/>
          <w:lang w:val="es-ES_tradnl" w:eastAsia="en-US"/>
        </w:rPr>
        <w:t>,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883102" w:rsidRDefault="00E6674B" w:rsidP="00E6674B">
      <w:pPr>
        <w:rPr>
          <w:rFonts w:eastAsiaTheme="minorHAnsi" w:cstheme="minorBidi"/>
          <w:szCs w:val="24"/>
          <w:lang w:val="es-ES_tradnl" w:eastAsia="en-US"/>
        </w:rPr>
      </w:pPr>
    </w:p>
    <w:p w14:paraId="0D8A7B13" w14:textId="77777777" w:rsidR="00E6674B" w:rsidRPr="00BA64E7" w:rsidRDefault="00E6674B" w:rsidP="00E6674B">
      <w:pPr>
        <w:spacing w:line="240" w:lineRule="auto"/>
        <w:ind w:left="567" w:right="567"/>
        <w:rPr>
          <w:rFonts w:eastAsiaTheme="minorHAnsi" w:cstheme="minorBidi"/>
          <w:i/>
          <w:sz w:val="22"/>
          <w:lang w:val="es-ES_tradnl" w:eastAsia="en-US"/>
        </w:rPr>
      </w:pPr>
      <w:r w:rsidRPr="00BA64E7">
        <w:rPr>
          <w:rFonts w:eastAsiaTheme="minorHAnsi" w:cstheme="minorBidi"/>
          <w:b/>
          <w:i/>
          <w:sz w:val="22"/>
          <w:lang w:val="es-ES_tradnl" w:eastAsia="en-US"/>
        </w:rPr>
        <w:t>Artículo 163. La Unidad de Transparencia deberá notificar la respuesta a la solicitud al interesado en el menor tiempo posible, que no podrá exceder de quince días hábiles</w:t>
      </w:r>
      <w:r w:rsidRPr="00BA64E7">
        <w:rPr>
          <w:rFonts w:eastAsiaTheme="minorHAnsi" w:cstheme="minorBidi"/>
          <w:i/>
          <w:sz w:val="22"/>
          <w:lang w:val="es-ES_tradnl" w:eastAsia="en-US"/>
        </w:rPr>
        <w:t xml:space="preserve">, contados a partir del día siguiente a la presentación de aquélla. </w:t>
      </w:r>
    </w:p>
    <w:p w14:paraId="14A04AE4" w14:textId="77777777" w:rsidR="00E6674B" w:rsidRPr="00BA64E7" w:rsidRDefault="00E6674B" w:rsidP="00E6674B">
      <w:pPr>
        <w:spacing w:line="240" w:lineRule="auto"/>
        <w:ind w:left="567" w:right="567"/>
        <w:rPr>
          <w:rFonts w:eastAsiaTheme="minorHAnsi" w:cstheme="minorBidi"/>
          <w:i/>
          <w:sz w:val="22"/>
          <w:lang w:val="es-ES_tradnl" w:eastAsia="en-US"/>
        </w:rPr>
      </w:pPr>
    </w:p>
    <w:p w14:paraId="6465CF23" w14:textId="77777777" w:rsidR="00E6674B" w:rsidRPr="00BA64E7" w:rsidRDefault="00E6674B" w:rsidP="00E6674B">
      <w:pPr>
        <w:spacing w:line="240" w:lineRule="auto"/>
        <w:ind w:left="567" w:right="567"/>
        <w:rPr>
          <w:rFonts w:eastAsiaTheme="minorHAnsi" w:cstheme="minorBidi"/>
          <w:i/>
          <w:sz w:val="22"/>
          <w:lang w:val="es-ES_tradnl" w:eastAsia="en-US"/>
        </w:rPr>
      </w:pPr>
      <w:r w:rsidRPr="00BA64E7">
        <w:rPr>
          <w:rFonts w:eastAsiaTheme="minorHAnsi" w:cstheme="minorBidi"/>
          <w:i/>
          <w:sz w:val="22"/>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883102" w:rsidRDefault="00E6674B" w:rsidP="00E6674B">
      <w:pPr>
        <w:rPr>
          <w:rFonts w:eastAsiaTheme="minorHAnsi" w:cstheme="minorBidi"/>
          <w:szCs w:val="24"/>
          <w:lang w:val="es-ES_tradnl" w:eastAsia="en-US"/>
        </w:rPr>
      </w:pPr>
    </w:p>
    <w:p w14:paraId="135A0678"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En mérito de lo expuesto, es claro que en este caso en particular la Unidad de Transparencia incumplió la normativa en la materia, puesto, aunque se realizaron los </w:t>
      </w:r>
      <w:r w:rsidRPr="00883102">
        <w:rPr>
          <w:rFonts w:eastAsiaTheme="minorHAnsi" w:cstheme="minorBidi"/>
          <w:szCs w:val="24"/>
          <w:lang w:val="es-ES_tradnl" w:eastAsia="en-US"/>
        </w:rPr>
        <w:lastRenderedPageBreak/>
        <w:t>requerimientos necesarios, no se entregó ninguna respuesta al solicitante, limitando el derecho de acceso a la información.</w:t>
      </w:r>
    </w:p>
    <w:p w14:paraId="7FB6F545" w14:textId="77777777" w:rsidR="00E6674B" w:rsidRPr="00883102" w:rsidRDefault="00E6674B" w:rsidP="00E6674B">
      <w:pPr>
        <w:rPr>
          <w:rFonts w:eastAsiaTheme="minorHAnsi" w:cstheme="minorBidi"/>
          <w:szCs w:val="24"/>
          <w:lang w:val="es-ES_tradnl" w:eastAsia="en-US"/>
        </w:rPr>
      </w:pPr>
    </w:p>
    <w:p w14:paraId="28EC4371"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rPr>
          <w:rFonts w:eastAsiaTheme="minorHAnsi" w:cstheme="minorBidi"/>
          <w:szCs w:val="24"/>
          <w:lang w:val="es-ES_tradnl" w:eastAsia="en-US"/>
        </w:rPr>
      </w:pPr>
    </w:p>
    <w:p w14:paraId="6897AE50" w14:textId="77777777" w:rsidR="00E6674B" w:rsidRPr="00883102" w:rsidRDefault="00E6674B" w:rsidP="00E6674B">
      <w:pPr>
        <w:rPr>
          <w:rFonts w:cstheme="minorBidi"/>
          <w:szCs w:val="24"/>
          <w:lang w:val="es-ES_tradnl" w:eastAsia="en-US"/>
        </w:rPr>
      </w:pPr>
      <w:r w:rsidRPr="00883102">
        <w:rPr>
          <w:rFonts w:cstheme="minorBidi"/>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cstheme="minorBidi"/>
          <w:szCs w:val="24"/>
          <w:vertAlign w:val="superscript"/>
          <w:lang w:val="es-ES_tradnl" w:eastAsia="en-US"/>
        </w:rPr>
        <w:footnoteReference w:id="2"/>
      </w:r>
      <w:r w:rsidRPr="00883102">
        <w:rPr>
          <w:rFonts w:cstheme="minorBidi"/>
          <w:szCs w:val="24"/>
          <w:lang w:val="es-ES_tradnl" w:eastAsia="en-US"/>
        </w:rPr>
        <w:t>, el requerimiento de información deberá manifestarse al respecto.</w:t>
      </w:r>
    </w:p>
    <w:p w14:paraId="1E072E79" w14:textId="77777777" w:rsidR="00E6674B" w:rsidRPr="00883102" w:rsidRDefault="00E6674B" w:rsidP="00E6674B">
      <w:pPr>
        <w:rPr>
          <w:rFonts w:cstheme="minorBidi"/>
          <w:szCs w:val="24"/>
          <w:lang w:val="es-ES_tradnl" w:eastAsia="en-US"/>
        </w:rPr>
      </w:pPr>
    </w:p>
    <w:p w14:paraId="148E91A8" w14:textId="54B6F662" w:rsidR="00E6674B" w:rsidRPr="00883102" w:rsidRDefault="00E6674B" w:rsidP="00E6674B">
      <w:pPr>
        <w:rPr>
          <w:rFonts w:eastAsiaTheme="minorHAnsi" w:cs="Arial"/>
          <w:szCs w:val="24"/>
          <w:lang w:val="es-ES_tradnl" w:eastAsia="en-US"/>
        </w:rPr>
      </w:pPr>
      <w:r w:rsidRPr="00883102">
        <w:rPr>
          <w:rFonts w:cstheme="minorBidi"/>
          <w:szCs w:val="24"/>
          <w:lang w:val="es-ES_tradnl" w:eastAsia="en-US"/>
        </w:rPr>
        <w:t>Ahora bien, en atención al sentido en que se resuelve el presente medio de impugnación, est</w:t>
      </w:r>
      <w:r w:rsidR="00883102">
        <w:rPr>
          <w:rFonts w:cstheme="minorBidi"/>
          <w:szCs w:val="24"/>
          <w:lang w:val="es-ES_tradnl" w:eastAsia="en-US"/>
        </w:rPr>
        <w:t>e Instituto</w:t>
      </w:r>
      <w:r w:rsidRPr="00883102">
        <w:rPr>
          <w:rFonts w:cstheme="minorBidi"/>
          <w:szCs w:val="24"/>
          <w:lang w:val="es-ES_tradnl" w:eastAsia="en-US"/>
        </w:rPr>
        <w:t xml:space="preserve"> no omite señalar que, s</w:t>
      </w:r>
      <w:r w:rsidRPr="00883102">
        <w:rPr>
          <w:rFonts w:eastAsiaTheme="minorHAnsi" w:cs="Arial"/>
          <w:szCs w:val="24"/>
          <w:lang w:val="es-ES_tradnl" w:eastAsia="en-US"/>
        </w:rPr>
        <w:t xml:space="preserve">i el Sujeto Obligado advierte que dentro de la </w:t>
      </w:r>
      <w:r w:rsidRPr="00883102">
        <w:rPr>
          <w:rFonts w:eastAsiaTheme="minorHAnsi" w:cs="Arial"/>
          <w:szCs w:val="24"/>
          <w:lang w:val="es-ES_tradnl" w:eastAsia="en-US"/>
        </w:rPr>
        <w:lastRenderedPageBreak/>
        <w:t>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883102" w:rsidRDefault="00E6674B" w:rsidP="00E6674B">
      <w:pPr>
        <w:rPr>
          <w:rFonts w:eastAsiaTheme="minorHAnsi" w:cs="Arial"/>
          <w:szCs w:val="24"/>
          <w:lang w:val="es-ES_tradnl" w:eastAsia="en-US"/>
        </w:rPr>
      </w:pPr>
    </w:p>
    <w:p w14:paraId="2A564EF4" w14:textId="77777777" w:rsidR="00E6674B" w:rsidRPr="00883102" w:rsidRDefault="00E6674B" w:rsidP="00E6674B">
      <w:pPr>
        <w:rPr>
          <w:rFonts w:eastAsiaTheme="minorHAnsi" w:cs="Arial"/>
          <w:szCs w:val="24"/>
          <w:lang w:val="es-ES_tradnl" w:eastAsia="en-US"/>
        </w:rPr>
      </w:pPr>
      <w:r w:rsidRPr="00883102">
        <w:rPr>
          <w:rFonts w:eastAsiaTheme="minorHAnsi" w:cs="Arial"/>
          <w:color w:val="000000"/>
          <w:szCs w:val="24"/>
          <w:lang w:val="es-ES_tradnl" w:eastAsia="en-US"/>
        </w:rPr>
        <w:t xml:space="preserve">En ese sentido, es de precisar que </w:t>
      </w:r>
      <w:r w:rsidRPr="00883102">
        <w:rPr>
          <w:rFonts w:cs="Bookman Old Style,Bold"/>
          <w:bCs/>
          <w:color w:val="0D0D0D"/>
          <w:szCs w:val="24"/>
          <w:lang w:val="es-ES_tradnl" w:eastAsia="en-US"/>
        </w:rPr>
        <w:t xml:space="preserve">la clasificación de la información no se da por el simple mandato de la Ley, sino que </w:t>
      </w:r>
      <w:r w:rsidRPr="00883102">
        <w:rPr>
          <w:rFonts w:eastAsiaTheme="minorHAnsi" w:cstheme="minorBidi"/>
          <w:szCs w:val="24"/>
          <w:lang w:val="es-ES_tradnl" w:eastAsia="en-US"/>
        </w:rPr>
        <w:t>es necesario que el Sujeto Obligado</w:t>
      </w:r>
      <w:r w:rsidRPr="00883102">
        <w:rPr>
          <w:rFonts w:eastAsiaTheme="minorHAnsi" w:cstheme="minorBidi"/>
          <w:b/>
          <w:szCs w:val="24"/>
          <w:lang w:val="es-ES_tradnl" w:eastAsia="en-US"/>
        </w:rPr>
        <w:t xml:space="preserve"> </w:t>
      </w:r>
      <w:r w:rsidRPr="00883102">
        <w:rPr>
          <w:rFonts w:eastAsiaTheme="minorHAnsi" w:cstheme="minorBidi"/>
          <w:szCs w:val="24"/>
          <w:lang w:val="es-ES_tradnl" w:eastAsia="en-US"/>
        </w:rPr>
        <w:t xml:space="preserve">cuando clasifique algún documento o información, ya sea todo o en parte, debe atender lo dispuesto por </w:t>
      </w:r>
      <w:r w:rsidRPr="00883102">
        <w:rPr>
          <w:rFonts w:eastAsiaTheme="minorHAnsi" w:cs="Arial"/>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rPr>
          <w:rFonts w:eastAsiaTheme="minorHAnsi" w:cs="Arial"/>
          <w:szCs w:val="24"/>
          <w:lang w:val="es-ES_tradnl" w:eastAsia="en-US"/>
        </w:rPr>
      </w:pPr>
    </w:p>
    <w:p w14:paraId="7653A0F1"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w:t>
      </w:r>
      <w:r w:rsidRPr="00883102">
        <w:rPr>
          <w:rFonts w:eastAsiaTheme="minorHAnsi" w:cs="Arial"/>
          <w:szCs w:val="24"/>
          <w:lang w:val="es-ES_tradnl" w:eastAsia="en-US"/>
        </w:rPr>
        <w:lastRenderedPageBreak/>
        <w:t>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rPr>
          <w:rFonts w:eastAsiaTheme="minorHAnsi" w:cs="Arial"/>
          <w:szCs w:val="24"/>
          <w:lang w:val="es-ES_tradnl" w:eastAsia="en-US"/>
        </w:rPr>
      </w:pPr>
    </w:p>
    <w:p w14:paraId="4B6E22FB"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rPr>
          <w:rFonts w:eastAsiaTheme="minorHAnsi" w:cs="Arial"/>
          <w:szCs w:val="24"/>
          <w:lang w:val="es-ES_tradnl" w:eastAsia="en-US"/>
        </w:rPr>
      </w:pPr>
    </w:p>
    <w:p w14:paraId="605213CE" w14:textId="0D55B3E1"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Por otra parte, no </w:t>
      </w:r>
      <w:r w:rsidR="00883102">
        <w:rPr>
          <w:rFonts w:eastAsiaTheme="minorHAnsi" w:cs="Arial"/>
          <w:szCs w:val="24"/>
          <w:lang w:val="es-ES_tradnl" w:eastAsia="en-US"/>
        </w:rPr>
        <w:t xml:space="preserve">se </w:t>
      </w:r>
      <w:r w:rsidRPr="00883102">
        <w:rPr>
          <w:rFonts w:eastAsiaTheme="minorHAnsi" w:cs="Arial"/>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rPr>
          <w:rFonts w:eastAsiaTheme="minorHAnsi" w:cs="Arial"/>
          <w:szCs w:val="24"/>
          <w:lang w:val="es-ES_tradnl" w:eastAsia="en-US"/>
        </w:rPr>
      </w:pPr>
    </w:p>
    <w:p w14:paraId="60B8D483"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Lo anterior, sin perder de vista que la Constitución Política de los Estados Unidos Mexicanos le otorga a </w:t>
      </w:r>
      <w:r w:rsidRPr="00883102">
        <w:rPr>
          <w:rFonts w:eastAsiaTheme="minorHAnsi" w:cs="Arial"/>
          <w:b/>
          <w:szCs w:val="24"/>
          <w:lang w:val="es-ES_tradnl" w:eastAsia="en-US"/>
        </w:rPr>
        <w:t>todos los documentos</w:t>
      </w:r>
      <w:r w:rsidRPr="00883102">
        <w:rPr>
          <w:rFonts w:eastAsiaTheme="minorHAnsi" w:cs="Arial"/>
          <w:szCs w:val="24"/>
          <w:lang w:val="es-ES_tradnl" w:eastAsia="en-US"/>
        </w:rPr>
        <w:t xml:space="preserve"> en posesión de las autoridades </w:t>
      </w:r>
      <w:r w:rsidRPr="00883102">
        <w:rPr>
          <w:rFonts w:eastAsiaTheme="minorHAnsi" w:cs="Arial"/>
          <w:b/>
          <w:szCs w:val="24"/>
          <w:lang w:val="es-ES_tradnl" w:eastAsia="en-US"/>
        </w:rPr>
        <w:t>la calidad de públicos</w:t>
      </w:r>
      <w:r w:rsidRPr="00883102">
        <w:rPr>
          <w:rFonts w:eastAsiaTheme="minorHAnsi" w:cs="Arial"/>
          <w:szCs w:val="24"/>
          <w:lang w:val="es-ES_tradnl" w:eastAsia="en-US"/>
        </w:rPr>
        <w:t xml:space="preserve"> y únicamente pueden ser reservados temporalmente por razones de interés </w:t>
      </w:r>
      <w:r w:rsidRPr="00883102">
        <w:rPr>
          <w:rFonts w:eastAsiaTheme="minorHAnsi" w:cs="Arial"/>
          <w:szCs w:val="24"/>
          <w:lang w:val="es-ES_tradnl" w:eastAsia="en-US"/>
        </w:rPr>
        <w:lastRenderedPageBreak/>
        <w:t>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rPr>
          <w:rFonts w:eastAsiaTheme="minorHAnsi" w:cs="Arial"/>
          <w:szCs w:val="24"/>
          <w:lang w:val="es-ES_tradnl" w:eastAsia="en-US"/>
        </w:rPr>
      </w:pPr>
    </w:p>
    <w:p w14:paraId="5D49888A" w14:textId="2AA329E0"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Siendo pertinente aclarar que la información que se clasifica bajo la premisa de reservada </w:t>
      </w:r>
      <w:r w:rsidRPr="00883102">
        <w:rPr>
          <w:rFonts w:eastAsiaTheme="minorHAnsi" w:cstheme="minorBidi"/>
          <w:b/>
          <w:szCs w:val="24"/>
          <w:lang w:val="es-ES_tradnl" w:eastAsia="en-US"/>
        </w:rPr>
        <w:t>no pierde el carácter de pública</w:t>
      </w:r>
      <w:r w:rsidRPr="00883102">
        <w:rPr>
          <w:rFonts w:eastAsiaTheme="minorHAnsi" w:cstheme="minorBidi"/>
          <w:szCs w:val="24"/>
          <w:lang w:val="es-ES_tradnl" w:eastAsia="en-US"/>
        </w:rPr>
        <w:t xml:space="preserve">, sino que </w:t>
      </w:r>
      <w:r w:rsidRPr="00883102">
        <w:rPr>
          <w:rFonts w:eastAsiaTheme="minorHAnsi" w:cstheme="minorBidi"/>
          <w:b/>
          <w:szCs w:val="24"/>
          <w:lang w:val="es-ES_tradnl" w:eastAsia="en-US"/>
        </w:rPr>
        <w:t>se reserva temporalmente</w:t>
      </w:r>
      <w:r w:rsidRPr="00883102">
        <w:rPr>
          <w:rFonts w:eastAsiaTheme="minorHAnsi" w:cstheme="minorBidi"/>
          <w:szCs w:val="24"/>
          <w:lang w:val="es-ES_tradnl" w:eastAsia="en-US"/>
        </w:rPr>
        <w:t xml:space="preserve"> </w:t>
      </w:r>
      <w:r w:rsidRPr="00883102">
        <w:rPr>
          <w:rFonts w:eastAsiaTheme="minorHAnsi" w:cstheme="minorBidi"/>
          <w:b/>
          <w:szCs w:val="24"/>
          <w:lang w:val="es-ES_tradnl" w:eastAsia="en-US"/>
        </w:rPr>
        <w:t>del conocimiento público</w:t>
      </w:r>
      <w:r w:rsidRPr="00883102">
        <w:rPr>
          <w:rFonts w:eastAsiaTheme="minorHAnsi" w:cstheme="minorBidi"/>
          <w:szCs w:val="24"/>
          <w:lang w:val="es-ES_tradnl" w:eastAsia="en-US"/>
        </w:rPr>
        <w:t xml:space="preserve">, es decir, que, </w:t>
      </w:r>
      <w:r w:rsidRPr="00883102">
        <w:rPr>
          <w:rFonts w:eastAsiaTheme="minorHAnsi" w:cstheme="minorBidi"/>
          <w:b/>
          <w:szCs w:val="24"/>
          <w:lang w:val="es-ES_tradnl" w:eastAsia="en-US"/>
        </w:rPr>
        <w:t>por un tiempo determinado</w:t>
      </w:r>
      <w:r w:rsidRPr="00883102">
        <w:rPr>
          <w:rFonts w:eastAsiaTheme="minorHAnsi" w:cstheme="minorBidi"/>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rPr>
          <w:rFonts w:eastAsiaTheme="minorHAnsi" w:cstheme="minorBidi"/>
          <w:szCs w:val="24"/>
          <w:lang w:val="es-ES_tradnl" w:eastAsia="en-US"/>
        </w:rPr>
      </w:pPr>
    </w:p>
    <w:p w14:paraId="7481C79A" w14:textId="77777777" w:rsidR="00E6674B" w:rsidRPr="00883102" w:rsidRDefault="00E6674B" w:rsidP="00E6674B">
      <w:pPr>
        <w:rPr>
          <w:rFonts w:cs="Arial"/>
          <w:bCs/>
          <w:color w:val="000000"/>
          <w:szCs w:val="24"/>
          <w:lang w:val="es-ES_tradnl" w:eastAsia="en-US"/>
        </w:rPr>
      </w:pPr>
      <w:r w:rsidRPr="00883102">
        <w:rPr>
          <w:rFonts w:cs="Arial"/>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eastAsia="Arial Unicode MS" w:cs="Arial"/>
          <w:color w:val="000000"/>
          <w:szCs w:val="24"/>
          <w:lang w:val="es-ES_tradnl" w:eastAsia="en-US"/>
        </w:rPr>
        <w:t>,</w:t>
      </w:r>
      <w:r w:rsidRPr="00883102">
        <w:rPr>
          <w:rFonts w:cs="Arial"/>
          <w:bCs/>
          <w:color w:val="000000"/>
          <w:szCs w:val="24"/>
          <w:lang w:val="es-ES_tradnl" w:eastAsia="en-US"/>
        </w:rPr>
        <w:t xml:space="preserve"> que literalmente señala:</w:t>
      </w:r>
    </w:p>
    <w:p w14:paraId="31D365E4" w14:textId="77777777" w:rsidR="00E6674B" w:rsidRPr="00883102" w:rsidRDefault="00E6674B" w:rsidP="00BA64E7">
      <w:pPr>
        <w:rPr>
          <w:lang w:val="es-ES_tradnl" w:eastAsia="en-US"/>
        </w:rPr>
      </w:pPr>
    </w:p>
    <w:p w14:paraId="61A5EE02" w14:textId="77777777" w:rsidR="00574AA5" w:rsidRPr="00BA64E7" w:rsidRDefault="00E6674B" w:rsidP="00BA64E7">
      <w:pPr>
        <w:pStyle w:val="Sinespaciado"/>
        <w:rPr>
          <w:b/>
          <w:bCs/>
          <w:lang w:val="es-ES_tradnl"/>
        </w:rPr>
      </w:pPr>
      <w:r w:rsidRPr="00BA64E7">
        <w:rPr>
          <w:b/>
          <w:bCs/>
          <w:lang w:val="es-ES_tradnl"/>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p>
    <w:p w14:paraId="15F8BAEA" w14:textId="35A8BD89" w:rsidR="00E6674B" w:rsidRPr="00883102" w:rsidRDefault="00E6674B" w:rsidP="00BA64E7">
      <w:pPr>
        <w:pStyle w:val="Sinespaciado"/>
        <w:rPr>
          <w:lang w:val="es-ES_tradnl"/>
        </w:rPr>
      </w:pPr>
      <w:r w:rsidRPr="00883102">
        <w:rPr>
          <w:lang w:val="es-ES_tradnl"/>
        </w:rPr>
        <w:lastRenderedPageBreak/>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3102">
        <w:rPr>
          <w:lang w:val="es-ES_tradnl"/>
        </w:rPr>
        <w:t>officio</w:t>
      </w:r>
      <w:proofErr w:type="spellEnd"/>
      <w:r w:rsidRPr="00883102">
        <w:rPr>
          <w:lang w:val="es-ES_tradnl"/>
        </w:rPr>
        <w:t>, con el propósito de obtener una versión que sea pública para la parte interesada.</w:t>
      </w:r>
    </w:p>
    <w:p w14:paraId="022769BF" w14:textId="77777777" w:rsidR="00E6674B" w:rsidRPr="00883102" w:rsidRDefault="00E6674B" w:rsidP="00BA64E7">
      <w:pPr>
        <w:rPr>
          <w:lang w:val="es-ES_tradnl" w:eastAsia="en-US"/>
        </w:rPr>
      </w:pPr>
    </w:p>
    <w:p w14:paraId="3D10637C" w14:textId="508A4BB8" w:rsidR="00E6674B" w:rsidRPr="00883102" w:rsidRDefault="00E6674B" w:rsidP="00E6674B">
      <w:pPr>
        <w:rPr>
          <w:rFonts w:eastAsiaTheme="minorHAnsi" w:cstheme="minorBidi"/>
          <w:bCs/>
          <w:szCs w:val="24"/>
          <w:lang w:val="es-ES_tradnl" w:eastAsia="en-US"/>
        </w:rPr>
      </w:pPr>
      <w:r w:rsidRPr="00883102">
        <w:rPr>
          <w:rFonts w:eastAsiaTheme="minorHAnsi" w:cstheme="minorBidi"/>
          <w:bCs/>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eastAsiaTheme="minorHAnsi" w:cstheme="minorBidi"/>
          <w:bCs/>
          <w:szCs w:val="24"/>
          <w:lang w:val="es-ES_tradnl" w:eastAsia="en-US"/>
        </w:rPr>
        <w:t>actualiza</w:t>
      </w:r>
      <w:proofErr w:type="spellEnd"/>
      <w:r w:rsidRPr="00883102">
        <w:rPr>
          <w:rFonts w:eastAsiaTheme="minorHAnsi" w:cstheme="minorBidi"/>
          <w:bCs/>
          <w:szCs w:val="24"/>
          <w:lang w:val="es-ES_tradnl" w:eastAsia="en-US"/>
        </w:rPr>
        <w:t xml:space="preserve"> alguno de los supuestos conforme a las normas aplicables.</w:t>
      </w:r>
    </w:p>
    <w:p w14:paraId="38C54E23" w14:textId="77777777" w:rsidR="00E6674B" w:rsidRPr="00883102" w:rsidRDefault="00E6674B" w:rsidP="00E6674B">
      <w:pPr>
        <w:rPr>
          <w:rFonts w:eastAsiaTheme="minorHAnsi" w:cstheme="minorBidi"/>
          <w:bCs/>
          <w:szCs w:val="24"/>
          <w:lang w:val="es-ES_tradnl" w:eastAsia="en-US"/>
        </w:rPr>
      </w:pPr>
    </w:p>
    <w:p w14:paraId="04536724"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En tal virtud, conforme al artículo 49, fracción VIII de la </w:t>
      </w:r>
      <w:r w:rsidRPr="00883102">
        <w:rPr>
          <w:rFonts w:eastAsiaTheme="minorHAnsi" w:cs="Arial"/>
          <w:szCs w:val="24"/>
          <w:lang w:val="es-ES_tradnl" w:eastAsia="en-US"/>
        </w:rPr>
        <w:t>Ley de Transparencia y Acceso a la Información Pública del Estado de México y Municipios</w:t>
      </w:r>
      <w:r w:rsidRPr="00883102">
        <w:rPr>
          <w:rFonts w:eastAsiaTheme="minorHAnsi" w:cstheme="minorBidi"/>
          <w:szCs w:val="24"/>
          <w:lang w:val="es-ES_tradnl"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rPr>
          <w:rFonts w:eastAsiaTheme="minorHAnsi" w:cstheme="minorBidi"/>
          <w:szCs w:val="24"/>
          <w:lang w:val="es-ES_tradnl" w:eastAsia="en-US"/>
        </w:rPr>
      </w:pPr>
    </w:p>
    <w:p w14:paraId="70AC3D30" w14:textId="62FDF882"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Pr>
          <w:rFonts w:eastAsiaTheme="minorHAnsi" w:cstheme="minorBidi"/>
          <w:szCs w:val="24"/>
          <w:lang w:val="es-ES_tradnl" w:eastAsia="en-US"/>
        </w:rPr>
        <w:t xml:space="preserve"> </w:t>
      </w:r>
      <w:r w:rsidRPr="00883102">
        <w:rPr>
          <w:rFonts w:eastAsiaTheme="minorHAnsi" w:cstheme="minorBidi"/>
          <w:szCs w:val="24"/>
          <w:lang w:val="es-ES_tradnl" w:eastAsia="en-US"/>
        </w:rPr>
        <w:t>es mayor que el interés de conocerla; por lo que, debe clasificarse como reservada.</w:t>
      </w:r>
    </w:p>
    <w:p w14:paraId="1AB4504D" w14:textId="77777777" w:rsidR="00E6674B" w:rsidRPr="00883102" w:rsidRDefault="00E6674B" w:rsidP="00E6674B">
      <w:pPr>
        <w:rPr>
          <w:rFonts w:eastAsiaTheme="minorHAnsi" w:cstheme="minorBidi"/>
          <w:szCs w:val="24"/>
          <w:lang w:val="es-ES_tradnl" w:eastAsia="en-US"/>
        </w:rPr>
      </w:pPr>
    </w:p>
    <w:p w14:paraId="1279692D"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883102" w:rsidRDefault="00E6674B" w:rsidP="00E6674B">
      <w:pPr>
        <w:rPr>
          <w:rFonts w:eastAsiaTheme="minorHAnsi" w:cstheme="minorBidi"/>
          <w:szCs w:val="24"/>
          <w:lang w:val="es-ES_tradnl" w:eastAsia="en-US"/>
        </w:rPr>
      </w:pPr>
    </w:p>
    <w:p w14:paraId="4ED24EB6" w14:textId="77777777" w:rsidR="00E6674B" w:rsidRPr="00883102" w:rsidRDefault="00E6674B" w:rsidP="000A5BE7">
      <w:pPr>
        <w:numPr>
          <w:ilvl w:val="0"/>
          <w:numId w:val="1"/>
        </w:numPr>
        <w:rPr>
          <w:rFonts w:eastAsiaTheme="minorHAnsi" w:cstheme="minorBidi"/>
          <w:szCs w:val="24"/>
          <w:lang w:val="es-ES_tradnl" w:eastAsia="en-US"/>
        </w:rPr>
      </w:pPr>
      <w:r w:rsidRPr="00883102">
        <w:rPr>
          <w:rFonts w:eastAsiaTheme="minorHAnsi" w:cstheme="minorBidi"/>
          <w:szCs w:val="24"/>
          <w:lang w:val="es-ES_tradnl" w:eastAsia="en-US"/>
        </w:rPr>
        <w:t>Se reciba una solicitud de acceso a la información;</w:t>
      </w:r>
    </w:p>
    <w:p w14:paraId="752281DE" w14:textId="77777777" w:rsidR="00E6674B" w:rsidRPr="00883102" w:rsidRDefault="00E6674B" w:rsidP="000A5BE7">
      <w:pPr>
        <w:numPr>
          <w:ilvl w:val="0"/>
          <w:numId w:val="1"/>
        </w:numPr>
        <w:rPr>
          <w:rFonts w:eastAsiaTheme="minorHAnsi" w:cstheme="minorBidi"/>
          <w:szCs w:val="24"/>
          <w:lang w:val="es-ES_tradnl" w:eastAsia="en-US"/>
        </w:rPr>
      </w:pPr>
      <w:r w:rsidRPr="00883102">
        <w:rPr>
          <w:rFonts w:eastAsiaTheme="minorHAnsi" w:cstheme="minorBidi"/>
          <w:szCs w:val="24"/>
          <w:lang w:val="es-ES_tradnl" w:eastAsia="en-US"/>
        </w:rPr>
        <w:t>Se determine mediante resolución de autoridad competente; y/o</w:t>
      </w:r>
    </w:p>
    <w:p w14:paraId="47DD151D" w14:textId="77777777" w:rsidR="00E6674B" w:rsidRPr="00883102" w:rsidRDefault="00E6674B" w:rsidP="000A5BE7">
      <w:pPr>
        <w:numPr>
          <w:ilvl w:val="0"/>
          <w:numId w:val="1"/>
        </w:numPr>
        <w:rPr>
          <w:rFonts w:eastAsiaTheme="minorHAnsi" w:cstheme="minorBidi"/>
          <w:szCs w:val="24"/>
          <w:lang w:val="es-ES_tradnl" w:eastAsia="en-US"/>
        </w:rPr>
      </w:pPr>
      <w:r w:rsidRPr="00883102">
        <w:rPr>
          <w:rFonts w:eastAsiaTheme="minorHAnsi" w:cstheme="minorBidi"/>
          <w:szCs w:val="24"/>
          <w:lang w:val="es-ES_tradnl" w:eastAsia="en-US"/>
        </w:rPr>
        <w:t>Se generen versiones públicas para dar cumplimiento a las obligaciones de transparencia previstas en la Ley.</w:t>
      </w:r>
    </w:p>
    <w:p w14:paraId="077FCFEE" w14:textId="77777777" w:rsidR="00E6674B" w:rsidRPr="00883102" w:rsidRDefault="00E6674B" w:rsidP="00E6674B">
      <w:pPr>
        <w:rPr>
          <w:rFonts w:eastAsiaTheme="minorHAnsi" w:cstheme="minorBidi"/>
          <w:szCs w:val="24"/>
          <w:lang w:val="es-ES_tradnl" w:eastAsia="en-US"/>
        </w:rPr>
      </w:pPr>
    </w:p>
    <w:p w14:paraId="4D58A17F" w14:textId="76DD338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Situación que se robustece con el artículo 141 de la misma Ley, que señala que las causales de reserva previstas</w:t>
      </w:r>
      <w:r w:rsidR="00883102">
        <w:rPr>
          <w:rFonts w:eastAsiaTheme="minorHAnsi" w:cstheme="minorBidi"/>
          <w:szCs w:val="24"/>
          <w:lang w:val="es-ES_tradnl" w:eastAsia="en-US"/>
        </w:rPr>
        <w:t xml:space="preserve"> </w:t>
      </w:r>
      <w:r w:rsidRPr="00883102">
        <w:rPr>
          <w:rFonts w:eastAsiaTheme="minorHAnsi" w:cstheme="minorBidi"/>
          <w:szCs w:val="24"/>
          <w:lang w:val="es-ES_tradnl" w:eastAsia="en-US"/>
        </w:rPr>
        <w:t>se deberán fundar y motivar a través de la aplicación de la prueba de daño.</w:t>
      </w:r>
    </w:p>
    <w:p w14:paraId="5C385C47" w14:textId="77777777" w:rsidR="00E6674B" w:rsidRPr="00883102" w:rsidRDefault="00E6674B" w:rsidP="00E6674B">
      <w:pPr>
        <w:rPr>
          <w:rFonts w:eastAsiaTheme="minorHAnsi" w:cstheme="minorBidi"/>
          <w:szCs w:val="24"/>
          <w:lang w:val="es-ES_tradnl" w:eastAsia="en-US"/>
        </w:rPr>
      </w:pPr>
    </w:p>
    <w:p w14:paraId="7938F325"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rPr>
          <w:rFonts w:eastAsiaTheme="minorHAnsi" w:cstheme="minorBidi"/>
          <w:szCs w:val="24"/>
          <w:lang w:val="es-ES_tradnl" w:eastAsia="en-US"/>
        </w:rPr>
      </w:pPr>
    </w:p>
    <w:p w14:paraId="36CD1F42" w14:textId="77777777" w:rsidR="00E6674B" w:rsidRPr="00883102" w:rsidRDefault="00E6674B" w:rsidP="000A5BE7">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 xml:space="preserve">La divulgación de la información representa un </w:t>
      </w:r>
      <w:r w:rsidRPr="00883102">
        <w:rPr>
          <w:rFonts w:eastAsiaTheme="minorHAnsi" w:cstheme="minorBidi"/>
          <w:b/>
          <w:szCs w:val="24"/>
          <w:lang w:val="es-ES_tradnl" w:eastAsia="en-US"/>
        </w:rPr>
        <w:t>riesgo real, demostrable e identificable del perjuicio significativo al interés público o a la seguridad pública</w:t>
      </w:r>
      <w:r w:rsidRPr="00883102">
        <w:rPr>
          <w:rFonts w:eastAsiaTheme="minorHAnsi" w:cstheme="minorBidi"/>
          <w:szCs w:val="24"/>
          <w:lang w:val="es-ES_tradnl" w:eastAsia="en-US"/>
        </w:rPr>
        <w:t>;</w:t>
      </w:r>
    </w:p>
    <w:p w14:paraId="76350562" w14:textId="77777777" w:rsidR="00E6674B" w:rsidRPr="00883102" w:rsidRDefault="00E6674B" w:rsidP="000A5BE7">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El riesgo de perjuicio que supondría la divulgación supera el interés público general de que se difunda; y,</w:t>
      </w:r>
    </w:p>
    <w:p w14:paraId="6B1C7BB5" w14:textId="77777777" w:rsidR="00E6674B" w:rsidRPr="00883102" w:rsidRDefault="00E6674B" w:rsidP="000A5BE7">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 xml:space="preserve">La limitación se adecua al principio de proporcionalidad y representa el medio menos restrictivo disponible para evitar el perjuicio. </w:t>
      </w:r>
    </w:p>
    <w:p w14:paraId="3EC2B961" w14:textId="77777777" w:rsidR="00E6674B" w:rsidRPr="00883102" w:rsidRDefault="00E6674B" w:rsidP="00E6674B">
      <w:pPr>
        <w:rPr>
          <w:rFonts w:eastAsiaTheme="minorHAnsi" w:cstheme="minorBidi"/>
          <w:szCs w:val="24"/>
          <w:lang w:val="es-ES_tradnl" w:eastAsia="en-US"/>
        </w:rPr>
      </w:pPr>
    </w:p>
    <w:p w14:paraId="4F4E83FF" w14:textId="15B2FB8F" w:rsidR="00E6674B" w:rsidRDefault="00E6674B" w:rsidP="00E6674B">
      <w:pPr>
        <w:rPr>
          <w:rFonts w:eastAsiaTheme="minorHAnsi" w:cs="Arial"/>
          <w:szCs w:val="24"/>
          <w:lang w:val="es-ES_tradnl" w:eastAsia="en-US"/>
        </w:rPr>
      </w:pPr>
      <w:r w:rsidRPr="00883102">
        <w:rPr>
          <w:rFonts w:eastAsiaTheme="minorHAnsi" w:cstheme="minorBidi"/>
          <w:bCs/>
          <w:szCs w:val="24"/>
          <w:lang w:val="es-ES_tradnl" w:eastAsia="en-US"/>
        </w:rPr>
        <w:t xml:space="preserve">Atento a lo anterior, </w:t>
      </w:r>
      <w:r w:rsidRPr="00883102">
        <w:rPr>
          <w:rFonts w:eastAsiaTheme="minorHAnsi" w:cs="Arial"/>
          <w:szCs w:val="24"/>
          <w:lang w:val="es-ES_tradnl"/>
        </w:rPr>
        <w:t xml:space="preserve">es necesario hacer hincapié que para el caso de que existan </w:t>
      </w:r>
      <w:r w:rsidRPr="00883102">
        <w:rPr>
          <w:rFonts w:eastAsiaTheme="minorHAnsi" w:cstheme="minorBidi"/>
          <w:szCs w:val="24"/>
          <w:lang w:val="es-ES_tradnl" w:eastAsia="en-US"/>
        </w:rPr>
        <w:t xml:space="preserve">causas presentes que impiden la publicidad de la información durante cierto periodo de tiempo, </w:t>
      </w:r>
      <w:r w:rsidRPr="00883102">
        <w:rPr>
          <w:rFonts w:eastAsiaTheme="minorHAnsi" w:cs="Arial"/>
          <w:szCs w:val="24"/>
          <w:lang w:val="es-ES_tradnl"/>
        </w:rPr>
        <w:t xml:space="preserve">debe clasificar la información </w:t>
      </w:r>
      <w:r w:rsidRPr="00883102">
        <w:rPr>
          <w:rFonts w:eastAsiaTheme="minorHAnsi" w:cs="Arial"/>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69634F" w14:textId="7C1396AD" w:rsidR="006F759B" w:rsidRDefault="006F759B" w:rsidP="00E6674B">
      <w:pPr>
        <w:rPr>
          <w:rFonts w:eastAsiaTheme="minorHAnsi" w:cs="Arial"/>
          <w:szCs w:val="24"/>
          <w:lang w:val="es-ES_tradnl" w:eastAsia="en-US"/>
        </w:rPr>
      </w:pPr>
    </w:p>
    <w:p w14:paraId="0A06E8E8" w14:textId="77777777" w:rsidR="006F759B" w:rsidRDefault="006F759B" w:rsidP="006F759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 xml:space="preserve">En este punto es importante resaltar que los sujetos obligados son los que cuentan con la atribución exclusiva de analizar y ponderar si la información que poseen actualizan alguna de las hipótesis previstas en las fracciones citadas, mediante la aplicación, caso </w:t>
      </w:r>
      <w:r>
        <w:rPr>
          <w:rFonts w:eastAsia="Palatino Linotype" w:cs="Palatino Linotype"/>
          <w:color w:val="000000"/>
          <w:szCs w:val="24"/>
        </w:rPr>
        <w:lastRenderedPageBreak/>
        <w:t xml:space="preserve">por caso de la </w:t>
      </w:r>
      <w:r>
        <w:rPr>
          <w:rFonts w:eastAsia="Palatino Linotype" w:cs="Palatino Linotype"/>
          <w:b/>
          <w:bCs/>
          <w:color w:val="000000"/>
          <w:szCs w:val="24"/>
        </w:rPr>
        <w:t>prueba de daño</w:t>
      </w:r>
      <w:r>
        <w:rPr>
          <w:rFonts w:eastAsia="Palatino Linotype" w:cs="Palatino Linotype"/>
          <w:color w:val="000000"/>
          <w:szCs w:val="24"/>
        </w:rPr>
        <w:t>. Esto en apego a lo dispuesto en los artículos 3 fracción XXXIII, 128 y 129 de la Ley de Transparencia local, como se observa a continuación:</w:t>
      </w:r>
    </w:p>
    <w:p w14:paraId="4621B38B"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15F1BC3B"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i/>
          <w:iCs/>
          <w:color w:val="000000"/>
          <w:sz w:val="22"/>
        </w:rPr>
        <w:t xml:space="preserve">Artículo 3. </w:t>
      </w:r>
      <w:r w:rsidRPr="00BA64E7">
        <w:rPr>
          <w:rFonts w:eastAsia="Palatino Linotype" w:cs="Palatino Linotype"/>
          <w:i/>
          <w:iCs/>
          <w:color w:val="000000"/>
          <w:sz w:val="22"/>
        </w:rPr>
        <w:t>Para los efectos de la presente Ley se entenderá por:</w:t>
      </w:r>
    </w:p>
    <w:p w14:paraId="75CEEA03"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w:t>
      </w:r>
    </w:p>
    <w:p w14:paraId="1DF47957"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bCs/>
          <w:i/>
          <w:iCs/>
          <w:color w:val="000000"/>
          <w:sz w:val="22"/>
        </w:rPr>
        <w:t>XXXIII.</w:t>
      </w:r>
      <w:r w:rsidRPr="00BA64E7">
        <w:rPr>
          <w:rFonts w:eastAsia="Palatino Linotype" w:cs="Palatino Linotype"/>
          <w:i/>
          <w:iCs/>
          <w:color w:val="000000"/>
          <w:sz w:val="22"/>
        </w:rPr>
        <w:t xml:space="preserve"> </w:t>
      </w:r>
      <w:r w:rsidRPr="00BA64E7">
        <w:rPr>
          <w:rFonts w:eastAsia="Palatino Linotype" w:cs="Palatino Linotype"/>
          <w:b/>
          <w:bCs/>
          <w:i/>
          <w:iCs/>
          <w:color w:val="000000"/>
          <w:sz w:val="22"/>
        </w:rPr>
        <w:t>Prueba de Daño:</w:t>
      </w:r>
      <w:r w:rsidRPr="00BA64E7">
        <w:rPr>
          <w:rFonts w:eastAsia="Palatino Linotype" w:cs="Palatino Linotype"/>
          <w:i/>
          <w:iCs/>
          <w:color w:val="000000"/>
          <w:sz w:val="22"/>
        </w:rPr>
        <w:t xml:space="preserve"> </w:t>
      </w:r>
      <w:r w:rsidRPr="00BA64E7">
        <w:rPr>
          <w:rFonts w:eastAsia="Palatino Linotype" w:cs="Palatino Linotype"/>
          <w:b/>
          <w:bCs/>
          <w:i/>
          <w:iCs/>
          <w:color w:val="000000"/>
          <w:sz w:val="22"/>
          <w:u w:val="single"/>
        </w:rPr>
        <w:t>Responsabilidad de los sujetos obligados de demostrar de manera fundada y motivada que la divulgación de información lesiona el interés jurídicamente protegido por la Ley</w:t>
      </w:r>
      <w:r w:rsidRPr="00BA64E7">
        <w:rPr>
          <w:rFonts w:eastAsia="Palatino Linotype" w:cs="Palatino Linotype"/>
          <w:i/>
          <w:iCs/>
          <w:color w:val="000000"/>
          <w:sz w:val="22"/>
        </w:rPr>
        <w:t>, y que el menoscabo o daño que puede producirse con la publicidad de la información es mayor que el interés de conocerla y por consiguiente debe clasificarse como reservada;</w:t>
      </w:r>
    </w:p>
    <w:p w14:paraId="46DFC902"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bCs/>
          <w:i/>
          <w:iCs/>
          <w:color w:val="000000"/>
          <w:sz w:val="22"/>
        </w:rPr>
        <w:t>Artículo 128.</w:t>
      </w:r>
      <w:r w:rsidRPr="00BA64E7">
        <w:rPr>
          <w:rFonts w:eastAsia="Palatino Linotype" w:cs="Palatino Linotype"/>
          <w:i/>
          <w:iCs/>
          <w:color w:val="000000"/>
          <w:sz w:val="22"/>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38C672E8"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BA64E7">
        <w:rPr>
          <w:rFonts w:eastAsia="Palatino Linotype" w:cs="Palatino Linotype"/>
          <w:b/>
          <w:bCs/>
          <w:i/>
          <w:iCs/>
          <w:color w:val="000000"/>
          <w:sz w:val="22"/>
          <w:u w:val="single"/>
        </w:rPr>
        <w:t>el sujeto obligado deberá, en todo momento, aplicar una prueba de daño</w:t>
      </w:r>
      <w:r w:rsidRPr="00BA64E7">
        <w:rPr>
          <w:rFonts w:eastAsia="Palatino Linotype" w:cs="Palatino Linotype"/>
          <w:i/>
          <w:iCs/>
          <w:color w:val="000000"/>
          <w:sz w:val="22"/>
        </w:rPr>
        <w:t>.</w:t>
      </w:r>
    </w:p>
    <w:p w14:paraId="3032FC0F"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2EFC93C2"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Tratándose de aquélla información que actualice los supuestos de clasificación, deberá señalarse el plazo al que estará sujeto la reserva.</w:t>
      </w:r>
    </w:p>
    <w:p w14:paraId="2ABD37D2"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38132B90"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bCs/>
          <w:i/>
          <w:iCs/>
          <w:color w:val="000000"/>
          <w:sz w:val="22"/>
        </w:rPr>
        <w:t>Artículo 129</w:t>
      </w:r>
      <w:r w:rsidRPr="00BA64E7">
        <w:rPr>
          <w:rFonts w:eastAsia="Palatino Linotype" w:cs="Palatino Linotype"/>
          <w:i/>
          <w:iCs/>
          <w:color w:val="000000"/>
          <w:sz w:val="22"/>
        </w:rPr>
        <w:t xml:space="preserve">. </w:t>
      </w:r>
      <w:r w:rsidRPr="00BA64E7">
        <w:rPr>
          <w:rFonts w:eastAsia="Palatino Linotype" w:cs="Palatino Linotype"/>
          <w:b/>
          <w:bCs/>
          <w:i/>
          <w:iCs/>
          <w:color w:val="000000"/>
          <w:sz w:val="22"/>
          <w:u w:val="single"/>
        </w:rPr>
        <w:t>En la aplicación de la prueba de daño, el sujeto obligado deberá precisar las razones objetivas por las que la apertura de la información generaría una afectación</w:t>
      </w:r>
      <w:r w:rsidRPr="00BA64E7">
        <w:rPr>
          <w:rFonts w:eastAsia="Palatino Linotype" w:cs="Palatino Linotype"/>
          <w:i/>
          <w:iCs/>
          <w:color w:val="000000"/>
          <w:sz w:val="22"/>
        </w:rPr>
        <w:t>, justificando que:</w:t>
      </w:r>
    </w:p>
    <w:p w14:paraId="527AF699"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525329C4" w14:textId="77777777" w:rsidR="006F759B" w:rsidRPr="00BA64E7" w:rsidRDefault="006F759B" w:rsidP="006F759B">
      <w:pPr>
        <w:pStyle w:val="Prrafodelista"/>
        <w:numPr>
          <w:ilvl w:val="0"/>
          <w:numId w:val="4"/>
        </w:numPr>
        <w:pBdr>
          <w:top w:val="nil"/>
          <w:left w:val="nil"/>
          <w:bottom w:val="nil"/>
          <w:right w:val="nil"/>
          <w:between w:val="nil"/>
        </w:pBdr>
        <w:ind w:left="1134" w:right="616" w:hanging="567"/>
        <w:rPr>
          <w:rFonts w:ascii="Palatino Linotype" w:eastAsia="Palatino Linotype" w:hAnsi="Palatino Linotype" w:cs="Palatino Linotype"/>
          <w:i/>
          <w:iCs/>
          <w:color w:val="000000"/>
          <w:sz w:val="22"/>
          <w:szCs w:val="22"/>
        </w:rPr>
      </w:pPr>
      <w:r w:rsidRPr="00BA64E7">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BA64E7" w:rsidRDefault="006F759B" w:rsidP="006F759B">
      <w:pPr>
        <w:pStyle w:val="Prrafodelista"/>
        <w:numPr>
          <w:ilvl w:val="0"/>
          <w:numId w:val="4"/>
        </w:numPr>
        <w:pBdr>
          <w:top w:val="nil"/>
          <w:left w:val="nil"/>
          <w:bottom w:val="nil"/>
          <w:right w:val="nil"/>
          <w:between w:val="nil"/>
        </w:pBdr>
        <w:ind w:left="1134" w:right="616" w:hanging="567"/>
        <w:rPr>
          <w:rFonts w:ascii="Palatino Linotype" w:eastAsia="Palatino Linotype" w:hAnsi="Palatino Linotype" w:cs="Palatino Linotype"/>
          <w:i/>
          <w:iCs/>
          <w:color w:val="000000"/>
          <w:sz w:val="22"/>
          <w:szCs w:val="22"/>
        </w:rPr>
      </w:pPr>
      <w:r w:rsidRPr="00BA64E7">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BA64E7" w:rsidRDefault="006F759B" w:rsidP="006F759B">
      <w:pPr>
        <w:pStyle w:val="Prrafodelista"/>
        <w:numPr>
          <w:ilvl w:val="0"/>
          <w:numId w:val="4"/>
        </w:numPr>
        <w:pBdr>
          <w:top w:val="nil"/>
          <w:left w:val="nil"/>
          <w:bottom w:val="nil"/>
          <w:right w:val="nil"/>
          <w:between w:val="nil"/>
        </w:pBdr>
        <w:ind w:left="1134" w:right="616" w:hanging="567"/>
        <w:rPr>
          <w:rFonts w:ascii="Palatino Linotype" w:eastAsia="Palatino Linotype" w:hAnsi="Palatino Linotype" w:cs="Palatino Linotype"/>
          <w:i/>
          <w:iCs/>
          <w:color w:val="000000"/>
          <w:sz w:val="22"/>
          <w:szCs w:val="22"/>
        </w:rPr>
      </w:pPr>
      <w:r w:rsidRPr="00BA64E7">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4E351B45" w14:textId="77777777" w:rsidR="006F759B" w:rsidRDefault="006F759B" w:rsidP="006F759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lastRenderedPageBreak/>
        <w:t>Asimismo, el Poder Judicial de la Federación emitió las tesis con número de registro 2011541</w:t>
      </w:r>
      <w:r>
        <w:rPr>
          <w:rStyle w:val="Refdenotaalpie"/>
          <w:rFonts w:eastAsia="Palatino Linotype" w:cs="Palatino Linotype"/>
          <w:color w:val="000000"/>
          <w:szCs w:val="24"/>
        </w:rPr>
        <w:footnoteReference w:id="3"/>
      </w:r>
      <w:r>
        <w:rPr>
          <w:rFonts w:eastAsia="Palatino Linotype" w:cs="Palatino Linotype"/>
          <w:color w:val="000000"/>
          <w:szCs w:val="24"/>
        </w:rPr>
        <w:t xml:space="preserve"> y 2018460</w:t>
      </w:r>
      <w:r>
        <w:rPr>
          <w:rStyle w:val="Refdenotaalpie"/>
          <w:rFonts w:eastAsia="Palatino Linotype" w:cs="Palatino Linotype"/>
          <w:color w:val="000000"/>
          <w:szCs w:val="24"/>
        </w:rPr>
        <w:footnoteReference w:id="4"/>
      </w:r>
      <w:r>
        <w:rPr>
          <w:rFonts w:eastAsia="Palatino Linotype" w:cs="Palatino Linotype"/>
          <w:color w:val="000000"/>
          <w:szCs w:val="24"/>
        </w:rPr>
        <w:t xml:space="preserve"> en las que, respectivamente, se dispone lo siguiente:</w:t>
      </w:r>
    </w:p>
    <w:p w14:paraId="66641290"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2828F8C1"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b/>
          <w:bCs/>
          <w:i/>
          <w:iCs/>
          <w:color w:val="000000"/>
          <w:sz w:val="22"/>
        </w:rPr>
      </w:pPr>
      <w:r w:rsidRPr="00BA64E7">
        <w:rPr>
          <w:rFonts w:eastAsia="Palatino Linotype" w:cs="Palatino Linotype"/>
          <w:b/>
          <w:bCs/>
          <w:i/>
          <w:iCs/>
          <w:color w:val="000000"/>
          <w:sz w:val="22"/>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Para el ejercicio del derecho de acceso a la información, previsto en el artículo 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BA64E7">
        <w:rPr>
          <w:rFonts w:eastAsia="Palatino Linotype" w:cs="Palatino Linotype"/>
          <w:b/>
          <w:bCs/>
          <w:i/>
          <w:iCs/>
          <w:color w:val="000000"/>
          <w:sz w:val="22"/>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BA64E7">
        <w:rPr>
          <w:rFonts w:eastAsia="Palatino Linotype" w:cs="Palatino Linotype"/>
          <w:i/>
          <w:iCs/>
          <w:color w:val="000000"/>
          <w:sz w:val="22"/>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BA64E7">
        <w:rPr>
          <w:rFonts w:eastAsia="Palatino Linotype" w:cs="Palatino Linotype"/>
          <w:b/>
          <w:bCs/>
          <w:i/>
          <w:iCs/>
          <w:color w:val="000000"/>
          <w:sz w:val="22"/>
          <w:u w:val="single"/>
        </w:rPr>
        <w:t>se advierte que corresponde a los sujetos obligados realizar la clasificación de la información que obre en su poder</w:t>
      </w:r>
      <w:r w:rsidRPr="00BA64E7">
        <w:rPr>
          <w:rFonts w:eastAsia="Palatino Linotype" w:cs="Palatino Linotype"/>
          <w:i/>
          <w:iCs/>
          <w:color w:val="000000"/>
          <w:sz w:val="22"/>
        </w:rPr>
        <w:t xml:space="preserve"> y, contra la decisión que adopten, procede interponer el recurso de revisión ante el organismo garante que corresponda. En consecuencia, </w:t>
      </w:r>
      <w:r w:rsidRPr="00BA64E7">
        <w:rPr>
          <w:rFonts w:eastAsia="Palatino Linotype" w:cs="Palatino Linotype"/>
          <w:b/>
          <w:bCs/>
          <w:i/>
          <w:iCs/>
          <w:color w:val="000000"/>
          <w:sz w:val="22"/>
          <w:u w:val="single"/>
        </w:rPr>
        <w:t>la obligación de clasificar la información corresponde única y directamente a los sujetos obligado</w:t>
      </w:r>
      <w:r w:rsidRPr="00BA64E7">
        <w:rPr>
          <w:rFonts w:eastAsia="Palatino Linotype" w:cs="Palatino Linotype"/>
          <w:i/>
          <w:iCs/>
          <w:color w:val="000000"/>
          <w:sz w:val="22"/>
        </w:rPr>
        <w:t>s, en tanto que al Juez de amparo sólo compete facilitar, bajo su más estricta responsabilidad, el acceso a la que sea "indispensable para la adecuada defensa de las partes".</w:t>
      </w:r>
    </w:p>
    <w:p w14:paraId="77807D9E"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17600DFD"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b/>
          <w:bCs/>
          <w:i/>
          <w:iCs/>
          <w:color w:val="000000"/>
          <w:sz w:val="22"/>
        </w:rPr>
      </w:pPr>
      <w:r w:rsidRPr="00BA64E7">
        <w:rPr>
          <w:rFonts w:eastAsia="Palatino Linotype" w:cs="Palatino Linotype"/>
          <w:b/>
          <w:bCs/>
          <w:i/>
          <w:iCs/>
          <w:color w:val="000000"/>
          <w:sz w:val="22"/>
        </w:rPr>
        <w:lastRenderedPageBreak/>
        <w:t>PRUEBA DE DAÑO EN LA CLASIFICACIÓN DE LA INFORMACIÓN PÚBLICA. SU VALIDEZ NO DEPENDE DE LOS MEDIOS DE PRUEBA QUE EL SUJETO OBLIGADO APORTE.</w:t>
      </w:r>
    </w:p>
    <w:p w14:paraId="5B05527D"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 xml:space="preserve">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BA64E7">
        <w:rPr>
          <w:rFonts w:eastAsia="Palatino Linotype" w:cs="Palatino Linotype"/>
          <w:b/>
          <w:bCs/>
          <w:i/>
          <w:iCs/>
          <w:color w:val="000000"/>
          <w:sz w:val="22"/>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BA64E7">
        <w:rPr>
          <w:rFonts w:eastAsia="Palatino Linotype" w:cs="Palatino Linotype"/>
          <w:i/>
          <w:iCs/>
          <w:color w:val="000000"/>
          <w:sz w:val="22"/>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BA64E7">
        <w:rPr>
          <w:rFonts w:eastAsia="Palatino Linotype" w:cs="Palatino Linotype"/>
          <w:b/>
          <w:bCs/>
          <w:i/>
          <w:iCs/>
          <w:color w:val="000000"/>
          <w:sz w:val="22"/>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BA64E7">
        <w:rPr>
          <w:rFonts w:eastAsia="Palatino Linotype" w:cs="Palatino Linotype"/>
          <w:i/>
          <w:iCs/>
          <w:color w:val="000000"/>
          <w:sz w:val="22"/>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763A6C5C"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168867E8" w14:textId="3A5BF54A" w:rsidR="006F759B" w:rsidRPr="00883102" w:rsidRDefault="006F759B" w:rsidP="006F759B">
      <w:pPr>
        <w:rPr>
          <w:rFonts w:eastAsiaTheme="minorHAnsi" w:cs="Arial"/>
          <w:szCs w:val="24"/>
          <w:lang w:val="es-ES_tradnl" w:eastAsia="en-US"/>
        </w:rPr>
      </w:pPr>
      <w:r>
        <w:rPr>
          <w:rFonts w:eastAsia="Palatino Linotype" w:cs="Palatino Linotype"/>
          <w:color w:val="000000"/>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rPr>
          <w:rFonts w:cs="Arial"/>
          <w:szCs w:val="24"/>
          <w:lang w:val="es-ES_tradnl" w:eastAsia="en-US"/>
        </w:rPr>
      </w:pPr>
    </w:p>
    <w:p w14:paraId="0A05DDE2"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Finalmente, este Órgano Garante de la Protección de Datos Personales no omite mencionar que, si dentro de la información que se ordena su entrega, el Sujeto Obligado advierte documentos que por su propia y especial naturaleza son privados, deberá </w:t>
      </w:r>
      <w:r w:rsidRPr="00883102">
        <w:rPr>
          <w:rFonts w:eastAsiaTheme="minorHAnsi" w:cs="Arial"/>
          <w:szCs w:val="24"/>
          <w:lang w:val="es-ES_tradnl" w:eastAsia="en-US"/>
        </w:rPr>
        <w:lastRenderedPageBreak/>
        <w:t>efectuar el Acuerdo de Clasificación como confidencial, en términos de la legislación aplicable y en los términos abordados con antelación.</w:t>
      </w:r>
    </w:p>
    <w:p w14:paraId="1E1DDDA7" w14:textId="77777777" w:rsidR="00E6674B" w:rsidRPr="00883102" w:rsidRDefault="00E6674B" w:rsidP="00E6674B">
      <w:pPr>
        <w:rPr>
          <w:rFonts w:eastAsiaTheme="minorHAnsi" w:cs="Arial"/>
          <w:szCs w:val="24"/>
          <w:lang w:val="es-ES_tradnl" w:eastAsia="en-US"/>
        </w:rPr>
      </w:pPr>
    </w:p>
    <w:p w14:paraId="7ACD0C22"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Por lo tanto,</w:t>
      </w:r>
      <w:r w:rsidRPr="00883102">
        <w:rPr>
          <w:rFonts w:eastAsiaTheme="minorHAnsi" w:cstheme="minorBidi"/>
          <w:szCs w:val="24"/>
          <w:lang w:val="es-ES_tradnl" w:eastAsia="en-US"/>
        </w:rPr>
        <w:t xml:space="preserve"> es importante referir que el Sujeto Obligado deberá seguir el procedimiento legal establecido para su </w:t>
      </w:r>
      <w:r w:rsidRPr="00883102">
        <w:rPr>
          <w:rFonts w:eastAsiaTheme="minorHAnsi" w:cstheme="minorBidi"/>
          <w:szCs w:val="24"/>
          <w:lang w:val="es-ES_tradnl"/>
        </w:rPr>
        <w:t>clasificación</w:t>
      </w:r>
      <w:r w:rsidRPr="00883102">
        <w:rPr>
          <w:rFonts w:eastAsiaTheme="minorHAnsi" w:cstheme="minorBidi"/>
          <w:szCs w:val="24"/>
          <w:lang w:val="es-ES_tradnl" w:eastAsia="en-US"/>
        </w:rPr>
        <w:t>, esto es, que su Comité de</w:t>
      </w:r>
      <w:r w:rsidRPr="00883102">
        <w:rPr>
          <w:rFonts w:eastAsiaTheme="minorHAnsi" w:cs="Arial"/>
          <w:szCs w:val="24"/>
          <w:lang w:val="es-ES_tradnl" w:eastAsia="en-US"/>
        </w:rPr>
        <w:t xml:space="preserve"> Transparencia emita un Acuerdo de Clasificación que cumpla con las formalidades antes citadas</w:t>
      </w:r>
      <w:r w:rsidRPr="00883102">
        <w:rPr>
          <w:rFonts w:eastAsiaTheme="minorHAnsi" w:cs="Arial"/>
          <w:b/>
          <w:szCs w:val="24"/>
          <w:lang w:val="es-ES_tradnl" w:eastAsia="en-US"/>
        </w:rPr>
        <w:t xml:space="preserve"> </w:t>
      </w:r>
      <w:r w:rsidRPr="00883102">
        <w:rPr>
          <w:rFonts w:eastAsiaTheme="minorHAnsi" w:cs="Arial"/>
          <w:szCs w:val="24"/>
          <w:lang w:val="es-ES_tradnl" w:eastAsia="en-US"/>
        </w:rPr>
        <w:t xml:space="preserve">que la sustente, en el </w:t>
      </w:r>
      <w:r w:rsidRPr="00883102">
        <w:rPr>
          <w:rFonts w:eastAsiaTheme="minorHAnsi" w:cs="Arial"/>
          <w:szCs w:val="24"/>
          <w:lang w:val="es-ES_tradnl"/>
        </w:rPr>
        <w:t>que</w:t>
      </w:r>
      <w:r w:rsidRPr="00883102">
        <w:rPr>
          <w:rFonts w:eastAsiaTheme="minorHAnsi" w:cs="Arial"/>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883102" w:rsidRDefault="00E6674B" w:rsidP="00E6674B">
      <w:pPr>
        <w:rPr>
          <w:rFonts w:eastAsiaTheme="minorHAnsi" w:cstheme="minorBidi"/>
          <w:szCs w:val="24"/>
          <w:lang w:val="es-ES_tradnl" w:eastAsia="en-US"/>
        </w:rPr>
      </w:pPr>
    </w:p>
    <w:p w14:paraId="5EBAF8F4" w14:textId="7670B04A" w:rsidR="00E6674B" w:rsidRPr="00883102" w:rsidRDefault="00E6674B" w:rsidP="00E6674B">
      <w:pPr>
        <w:rPr>
          <w:rFonts w:cs="Bookman Old Style"/>
          <w:szCs w:val="24"/>
          <w:lang w:val="es-ES_tradnl" w:eastAsia="en-US"/>
        </w:rPr>
      </w:pPr>
      <w:r w:rsidRPr="00883102">
        <w:rPr>
          <w:rFonts w:eastAsiaTheme="minorHAnsi" w:cs="Arial"/>
          <w:szCs w:val="24"/>
          <w:lang w:val="es-ES_tradnl" w:eastAsia="en-US"/>
        </w:rPr>
        <w:t xml:space="preserve">Por otra parte, </w:t>
      </w:r>
      <w:r w:rsidR="00883102">
        <w:rPr>
          <w:rFonts w:eastAsiaTheme="minorHAnsi" w:cs="Arial"/>
          <w:szCs w:val="24"/>
          <w:lang w:val="es-ES_tradnl" w:eastAsia="en-US"/>
        </w:rPr>
        <w:t>se</w:t>
      </w:r>
      <w:r w:rsidRPr="00883102">
        <w:rPr>
          <w:rFonts w:eastAsiaTheme="minorHAnsi" w:cs="Arial"/>
          <w:szCs w:val="24"/>
          <w:lang w:val="es-ES_tradnl" w:eastAsia="en-US"/>
        </w:rPr>
        <w:t xml:space="preserve"> estima prudente señalar al Sujeto Obligado que, en caso de que la información solicitada debiera obrar en sus archivos y no cuente con ella, </w:t>
      </w:r>
      <w:r w:rsidRPr="00883102">
        <w:rPr>
          <w:rFonts w:cs="Bookman Old Style"/>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rPr>
          <w:rFonts w:cs="Bookman Old Style"/>
          <w:szCs w:val="24"/>
          <w:lang w:val="es-ES_tradnl" w:eastAsia="en-US"/>
        </w:rPr>
      </w:pPr>
    </w:p>
    <w:p w14:paraId="45098AF7"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883102" w:rsidRDefault="00E6674B" w:rsidP="00E6674B">
      <w:pPr>
        <w:rPr>
          <w:rFonts w:eastAsiaTheme="minorHAnsi" w:cstheme="minorBidi"/>
          <w:szCs w:val="24"/>
          <w:lang w:val="es-ES_tradnl" w:eastAsia="en-US"/>
        </w:rPr>
      </w:pPr>
    </w:p>
    <w:p w14:paraId="199B2822" w14:textId="77777777" w:rsidR="00E6674B" w:rsidRPr="00883102" w:rsidRDefault="00E6674B" w:rsidP="00E6674B">
      <w:pPr>
        <w:rPr>
          <w:rFonts w:eastAsiaTheme="minorHAnsi" w:cstheme="minorBidi"/>
          <w:szCs w:val="24"/>
          <w:lang w:val="es-ES_tradnl"/>
        </w:rPr>
      </w:pPr>
      <w:r w:rsidRPr="00883102">
        <w:rPr>
          <w:rFonts w:eastAsiaTheme="minorHAnsi" w:cstheme="minorBidi"/>
          <w:szCs w:val="24"/>
          <w:lang w:val="es-ES_tradnl"/>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rPr>
          <w:rFonts w:eastAsiaTheme="minorHAnsi" w:cstheme="minorBidi"/>
          <w:szCs w:val="24"/>
          <w:lang w:val="es-ES_tradnl"/>
        </w:rPr>
      </w:pPr>
    </w:p>
    <w:p w14:paraId="18332EBF" w14:textId="77777777" w:rsidR="00E6674B" w:rsidRPr="00883102" w:rsidRDefault="00E6674B" w:rsidP="00E6674B">
      <w:pPr>
        <w:rPr>
          <w:rFonts w:eastAsiaTheme="minorHAnsi" w:cstheme="minorBidi"/>
          <w:szCs w:val="24"/>
          <w:lang w:val="es-ES_tradnl"/>
        </w:rPr>
      </w:pPr>
      <w:r w:rsidRPr="00883102">
        <w:rPr>
          <w:rFonts w:eastAsiaTheme="minorHAnsi" w:cstheme="minorBidi"/>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883102" w:rsidRDefault="00E6674B" w:rsidP="00E6674B">
      <w:pPr>
        <w:rPr>
          <w:rFonts w:eastAsiaTheme="minorHAnsi" w:cstheme="minorBidi"/>
          <w:szCs w:val="24"/>
          <w:lang w:val="es-ES_tradnl" w:eastAsia="en-US"/>
        </w:rPr>
      </w:pPr>
    </w:p>
    <w:p w14:paraId="367C1837" w14:textId="77777777" w:rsidR="00E6674B" w:rsidRPr="00883102" w:rsidRDefault="00E6674B" w:rsidP="00BA64E7">
      <w:pPr>
        <w:pStyle w:val="Sinespaciado"/>
        <w:rPr>
          <w:lang w:val="es-ES_tradnl"/>
        </w:rPr>
      </w:pPr>
      <w:r w:rsidRPr="00883102">
        <w:rPr>
          <w:b/>
          <w:lang w:val="es-ES_tradnl"/>
        </w:rPr>
        <w:t xml:space="preserve">INEXISTENCIA DE LA INFORMACIÓN. SUPUESTOS PARA EMITIR LA RESOLUCIÓN DE LA. </w:t>
      </w:r>
      <w:r w:rsidRPr="00883102">
        <w:rPr>
          <w:lang w:val="es-ES_tradnl"/>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883102" w:rsidRDefault="00E6674B" w:rsidP="00E6674B">
      <w:pPr>
        <w:rPr>
          <w:rFonts w:eastAsiaTheme="minorHAnsi" w:cstheme="minorBidi"/>
          <w:szCs w:val="24"/>
          <w:lang w:val="es-ES_tradnl" w:eastAsia="en-US"/>
        </w:rPr>
      </w:pPr>
    </w:p>
    <w:p w14:paraId="61916F82"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En mérito de todo lo expuesto, ante lo </w:t>
      </w:r>
      <w:r w:rsidRPr="00883102">
        <w:rPr>
          <w:rFonts w:eastAsiaTheme="minorHAnsi" w:cs="Arial"/>
          <w:b/>
          <w:szCs w:val="24"/>
          <w:lang w:val="es-ES_tradnl" w:eastAsia="en-US"/>
        </w:rPr>
        <w:t>fundado</w:t>
      </w:r>
      <w:r w:rsidRPr="00883102">
        <w:rPr>
          <w:rFonts w:eastAsiaTheme="minorHAnsi" w:cs="Arial"/>
          <w:szCs w:val="24"/>
          <w:lang w:val="es-ES_tradnl" w:eastAsia="en-US"/>
        </w:rPr>
        <w:t xml:space="preserve"> de las razones o motivos de inconformidad hechos valer por el Recurrente, este Instituto estima que lo dable es </w:t>
      </w:r>
      <w:r w:rsidRPr="00883102">
        <w:rPr>
          <w:rFonts w:eastAsiaTheme="minorHAnsi" w:cs="Arial"/>
          <w:szCs w:val="24"/>
          <w:lang w:val="es-ES_tradnl" w:eastAsia="en-US"/>
        </w:rPr>
        <w:lastRenderedPageBreak/>
        <w:t>ordenar al Sujeto Obligado dé trámite y respuesta a la solicitud de acceso a la información, atendiendo lo señalado en el presente Considerando.</w:t>
      </w:r>
    </w:p>
    <w:p w14:paraId="236FC763" w14:textId="77777777" w:rsidR="00E6674B" w:rsidRPr="00883102" w:rsidRDefault="00E6674B" w:rsidP="00E6674B">
      <w:pPr>
        <w:rPr>
          <w:rFonts w:eastAsiaTheme="minorHAnsi" w:cs="Arial"/>
          <w:szCs w:val="24"/>
          <w:lang w:val="es-ES_tradnl" w:eastAsia="en-US"/>
        </w:rPr>
      </w:pPr>
    </w:p>
    <w:p w14:paraId="72F8328C"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 xml:space="preserve">Por último, es necesario señalar que el recurso de revisión previsto en la Ley de Transparencia local no es la vía idónea para investigar y sancionar a servidores públicos con motivo de la falta de respuesta a solicitudes de acceso a la información; no obstante, ante la vulneración del derecho de acceso a la información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14:paraId="36B82969" w14:textId="77777777" w:rsidR="00BA64E7" w:rsidRPr="00BA64E7" w:rsidRDefault="00BA64E7" w:rsidP="00BA64E7">
      <w:pPr>
        <w:pBdr>
          <w:top w:val="nil"/>
          <w:left w:val="nil"/>
          <w:bottom w:val="nil"/>
          <w:right w:val="nil"/>
          <w:between w:val="nil"/>
        </w:pBdr>
        <w:rPr>
          <w:rFonts w:eastAsia="Palatino Linotype" w:cs="Palatino Linotype"/>
          <w:color w:val="000000"/>
          <w:sz w:val="20"/>
          <w:szCs w:val="24"/>
        </w:rPr>
      </w:pPr>
    </w:p>
    <w:p w14:paraId="5219610F"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En efecto, la Secretaría Técnica del Pleno hará del conocimiento del órgano de control de este Instituto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32AD53F7" w14:textId="77777777" w:rsidR="00BA64E7" w:rsidRPr="00BA64E7" w:rsidRDefault="00BA64E7" w:rsidP="00BA64E7">
      <w:pPr>
        <w:pBdr>
          <w:top w:val="nil"/>
          <w:left w:val="nil"/>
          <w:bottom w:val="nil"/>
          <w:right w:val="nil"/>
          <w:between w:val="nil"/>
        </w:pBdr>
        <w:rPr>
          <w:rFonts w:eastAsia="Palatino Linotype" w:cs="Palatino Linotype"/>
          <w:color w:val="000000"/>
          <w:sz w:val="20"/>
          <w:szCs w:val="24"/>
        </w:rPr>
      </w:pPr>
    </w:p>
    <w:p w14:paraId="3E7B0A90"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Artículo 190.</w:t>
      </w:r>
      <w:r w:rsidRPr="00BA64E7">
        <w:rPr>
          <w:rFonts w:eastAsia="Palatino Linotype" w:cs="Times New Roman"/>
          <w:i/>
          <w:sz w:val="22"/>
          <w:szCs w:val="24"/>
          <w:lang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 </w:t>
      </w:r>
    </w:p>
    <w:p w14:paraId="11511C5E" w14:textId="77777777" w:rsidR="00BA64E7" w:rsidRPr="00BA64E7" w:rsidRDefault="00BA64E7" w:rsidP="00BA64E7">
      <w:pPr>
        <w:spacing w:line="240" w:lineRule="auto"/>
        <w:ind w:left="567" w:right="567"/>
        <w:rPr>
          <w:rFonts w:eastAsia="Palatino Linotype" w:cs="Times New Roman"/>
          <w:i/>
          <w:sz w:val="22"/>
          <w:szCs w:val="24"/>
          <w:lang w:eastAsia="es-ES"/>
        </w:rPr>
      </w:pPr>
    </w:p>
    <w:p w14:paraId="6FBA04C2"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Artículo 222.</w:t>
      </w:r>
      <w:r w:rsidRPr="00BA64E7">
        <w:rPr>
          <w:rFonts w:eastAsia="Palatino Linotype" w:cs="Times New Roman"/>
          <w:i/>
          <w:sz w:val="22"/>
          <w:szCs w:val="24"/>
          <w:lang w:eastAsia="es-ES"/>
        </w:rPr>
        <w:t xml:space="preserve"> Son causas de responsabilidad administrativa de los servidores públicos de los sujetos obligados, por incumplimiento de las obligaciones establecidas en la materia de la presente Ley, las siguientes:</w:t>
      </w:r>
    </w:p>
    <w:p w14:paraId="4E5572AC" w14:textId="77777777" w:rsidR="00BA64E7" w:rsidRPr="00BA64E7" w:rsidRDefault="00BA64E7" w:rsidP="00BA64E7">
      <w:pPr>
        <w:spacing w:line="240" w:lineRule="auto"/>
        <w:ind w:left="567" w:right="567"/>
        <w:rPr>
          <w:rFonts w:eastAsia="Palatino Linotype" w:cs="Times New Roman"/>
          <w:i/>
          <w:sz w:val="22"/>
          <w:szCs w:val="24"/>
          <w:lang w:eastAsia="es-ES"/>
        </w:rPr>
      </w:pPr>
    </w:p>
    <w:p w14:paraId="3F1D156A" w14:textId="77777777" w:rsidR="00BA64E7" w:rsidRPr="00BA64E7" w:rsidRDefault="00BA64E7" w:rsidP="00BA64E7">
      <w:pPr>
        <w:spacing w:line="240" w:lineRule="auto"/>
        <w:ind w:left="567" w:right="567"/>
        <w:rPr>
          <w:rFonts w:eastAsia="Palatino Linotype" w:cs="Times New Roman"/>
          <w:b/>
          <w:i/>
          <w:sz w:val="22"/>
          <w:szCs w:val="24"/>
          <w:u w:val="single"/>
          <w:lang w:eastAsia="es-ES"/>
        </w:rPr>
      </w:pPr>
      <w:r w:rsidRPr="00BA64E7">
        <w:rPr>
          <w:rFonts w:eastAsia="Palatino Linotype" w:cs="Times New Roman"/>
          <w:b/>
          <w:i/>
          <w:sz w:val="22"/>
          <w:szCs w:val="24"/>
          <w:u w:val="single"/>
          <w:lang w:eastAsia="es-ES"/>
        </w:rPr>
        <w:t xml:space="preserve">I. Cualquier acto u omisión que provoque la suspensión o deficiencia en la atención de las solicitudes de información; </w:t>
      </w:r>
    </w:p>
    <w:p w14:paraId="59CB50AF" w14:textId="77777777" w:rsidR="00BA64E7" w:rsidRPr="00BA64E7" w:rsidRDefault="00BA64E7" w:rsidP="00BA64E7">
      <w:pPr>
        <w:spacing w:line="240" w:lineRule="auto"/>
        <w:ind w:left="567" w:right="567"/>
        <w:rPr>
          <w:rFonts w:eastAsia="Palatino Linotype" w:cs="Times New Roman"/>
          <w:b/>
          <w:i/>
          <w:sz w:val="22"/>
          <w:szCs w:val="24"/>
          <w:u w:val="single"/>
          <w:lang w:eastAsia="es-ES"/>
        </w:rPr>
      </w:pPr>
      <w:r w:rsidRPr="00BA64E7">
        <w:rPr>
          <w:rFonts w:eastAsia="Palatino Linotype" w:cs="Times New Roman"/>
          <w:b/>
          <w:i/>
          <w:sz w:val="22"/>
          <w:szCs w:val="24"/>
          <w:u w:val="single"/>
          <w:lang w:eastAsia="es-ES"/>
        </w:rPr>
        <w:t xml:space="preserve">II. La falta de respuesta a las solicitudes de información en los plazos señalados en la normatividad aplicable; </w:t>
      </w:r>
    </w:p>
    <w:p w14:paraId="67E326DC"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i/>
          <w:sz w:val="22"/>
          <w:szCs w:val="24"/>
          <w:lang w:eastAsia="es-ES"/>
        </w:rPr>
        <w:t>(…)</w:t>
      </w:r>
    </w:p>
    <w:p w14:paraId="1056A53C" w14:textId="77777777" w:rsidR="00BA64E7" w:rsidRPr="00BA64E7" w:rsidRDefault="00BA64E7" w:rsidP="00BA64E7">
      <w:pPr>
        <w:pBdr>
          <w:top w:val="nil"/>
          <w:left w:val="nil"/>
          <w:bottom w:val="nil"/>
          <w:right w:val="nil"/>
          <w:between w:val="nil"/>
        </w:pBdr>
        <w:rPr>
          <w:rFonts w:eastAsia="Palatino Linotype" w:cs="Palatino Linotype"/>
          <w:color w:val="000000"/>
          <w:sz w:val="18"/>
          <w:szCs w:val="24"/>
        </w:rPr>
      </w:pPr>
    </w:p>
    <w:p w14:paraId="670DA412"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De manera complementaria a lo anterior, es conveniente señalar que la fracción XXVII, del artículo 19 del Reglamento Interior del Instituto de Transparencia, Acceso a la Información y Protección de Datos Personales, dispone lo siguiente:</w:t>
      </w:r>
    </w:p>
    <w:p w14:paraId="115C2600"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p>
    <w:p w14:paraId="172A9137"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Artículo 19.</w:t>
      </w:r>
      <w:r w:rsidRPr="00BA64E7">
        <w:rPr>
          <w:rFonts w:eastAsia="Palatino Linotype" w:cs="Times New Roman"/>
          <w:i/>
          <w:sz w:val="22"/>
          <w:szCs w:val="24"/>
          <w:lang w:eastAsia="es-ES"/>
        </w:rPr>
        <w:t xml:space="preserve"> Corresponde a la Secretaría Técnica del Pleno ejercer las atribuciones siguientes:</w:t>
      </w:r>
    </w:p>
    <w:p w14:paraId="57119BD5"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i/>
          <w:sz w:val="22"/>
          <w:szCs w:val="24"/>
          <w:lang w:eastAsia="es-ES"/>
        </w:rPr>
        <w:t>(…)</w:t>
      </w:r>
    </w:p>
    <w:p w14:paraId="599424B3"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XXVII.</w:t>
      </w:r>
      <w:r w:rsidRPr="00BA64E7">
        <w:rPr>
          <w:rFonts w:eastAsia="Palatino Linotype" w:cs="Times New Roman"/>
          <w:i/>
          <w:sz w:val="22"/>
          <w:szCs w:val="24"/>
          <w:lang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14:paraId="2350DD91"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i/>
          <w:sz w:val="22"/>
          <w:szCs w:val="24"/>
          <w:lang w:eastAsia="es-ES"/>
        </w:rPr>
        <w:t>(…)</w:t>
      </w:r>
    </w:p>
    <w:p w14:paraId="7050C4C9"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p>
    <w:p w14:paraId="659A4D4D"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 xml:space="preserve">Por lo que procedente dar vista a la Secretaría Técnica del Pleno a efecto de que ejerza las atribuciones previstas en la normatividad aplicable y comunique al Órgano Interno de Control de este Instituto para que éste último en ejercicio de sus atribuciones atienda las directivas marcadas en la propia Ley de Transparencia estatal, con fundamento en su artículo 190, el cual estipula que cuando este Órgano Garante determine durante la sustanciación del recurso de revisión que pudo haberse incurrido en una probable responsabilidad por el incumplimiento a las obligaciones previstas en esta Ley y las </w:t>
      </w:r>
      <w:r w:rsidRPr="00BA64E7">
        <w:rPr>
          <w:rFonts w:eastAsia="Palatino Linotype" w:cs="Palatino Linotype"/>
          <w:color w:val="000000"/>
          <w:szCs w:val="24"/>
        </w:rPr>
        <w:lastRenderedPageBreak/>
        <w:t>demás disposiciones jurídicas aplicables en la materia, deberá hacerlo del conocimiento del Órgano Interno de Control de la instancia competente para que éste inicie, en su caso, el procedimiento de responsabilidad respectivo, cuyo resultado deberá de ser informado al Instituto.</w:t>
      </w:r>
    </w:p>
    <w:p w14:paraId="705B03D0" w14:textId="77777777" w:rsidR="00E6674B" w:rsidRPr="002C71D1" w:rsidRDefault="00E6674B" w:rsidP="00E6674B">
      <w:pPr>
        <w:rPr>
          <w:rFonts w:eastAsiaTheme="minorHAnsi" w:cs="Arial"/>
          <w:szCs w:val="24"/>
          <w:lang w:eastAsia="en-US"/>
        </w:rPr>
      </w:pPr>
    </w:p>
    <w:p w14:paraId="6EAE47B5" w14:textId="7DB26ACF" w:rsidR="00E6674B" w:rsidRPr="00883102" w:rsidRDefault="00E6674B" w:rsidP="00E6674B">
      <w:pPr>
        <w:rPr>
          <w:rFonts w:cs="Arial"/>
          <w:szCs w:val="24"/>
          <w:lang w:val="es-ES_tradnl" w:eastAsia="en-US"/>
        </w:rPr>
      </w:pPr>
      <w:r w:rsidRPr="00883102">
        <w:rPr>
          <w:rFonts w:cs="Arial"/>
          <w:szCs w:val="24"/>
          <w:lang w:val="es-ES_tradnl" w:eastAsia="en-US"/>
        </w:rPr>
        <w:t xml:space="preserve">Así, con </w:t>
      </w:r>
      <w:r w:rsidRPr="00883102">
        <w:rPr>
          <w:rFonts w:eastAsiaTheme="minorHAnsi" w:cs="Arial"/>
          <w:szCs w:val="24"/>
          <w:lang w:val="es-ES_tradnl" w:eastAsia="en-US"/>
        </w:rPr>
        <w:t>fundamento</w:t>
      </w:r>
      <w:r w:rsidRPr="00883102">
        <w:rPr>
          <w:rFonts w:cs="Arial"/>
          <w:szCs w:val="24"/>
          <w:lang w:val="es-ES_tradnl" w:eastAsia="en-US"/>
        </w:rPr>
        <w:t xml:space="preserve"> en lo prescrito en los artículos 5,</w:t>
      </w:r>
      <w:r w:rsidR="00BA64E7">
        <w:rPr>
          <w:rFonts w:cs="Arial"/>
          <w:szCs w:val="24"/>
          <w:lang w:val="es-ES_tradnl" w:eastAsia="en-US"/>
        </w:rPr>
        <w:t xml:space="preserve"> </w:t>
      </w:r>
      <w:r w:rsidR="00963BBB" w:rsidRPr="00883102">
        <w:rPr>
          <w:rFonts w:cs="Arial"/>
          <w:szCs w:val="24"/>
          <w:lang w:val="es-ES_tradnl" w:eastAsia="en-US"/>
        </w:rPr>
        <w:t xml:space="preserve">trigésimo </w:t>
      </w:r>
      <w:r w:rsidR="00BA64E7">
        <w:rPr>
          <w:rFonts w:cs="Arial"/>
          <w:szCs w:val="24"/>
          <w:lang w:val="es-ES_tradnl" w:eastAsia="en-US"/>
        </w:rPr>
        <w:t>tercero</w:t>
      </w:r>
      <w:r w:rsidR="00963BBB" w:rsidRPr="00883102">
        <w:rPr>
          <w:rFonts w:cs="Arial"/>
          <w:szCs w:val="24"/>
          <w:lang w:val="es-ES_tradnl" w:eastAsia="en-US"/>
        </w:rPr>
        <w:t xml:space="preserve"> y trigésimo </w:t>
      </w:r>
      <w:r w:rsidR="00BA64E7">
        <w:rPr>
          <w:rFonts w:cs="Arial"/>
          <w:szCs w:val="24"/>
          <w:lang w:val="es-ES_tradnl" w:eastAsia="en-US"/>
        </w:rPr>
        <w:t>cuarto</w:t>
      </w:r>
      <w:r w:rsidRPr="00883102">
        <w:rPr>
          <w:rFonts w:eastAsiaTheme="minorHAnsi" w:cs="Arial"/>
          <w:szCs w:val="24"/>
          <w:lang w:val="es-ES_tradnl" w:eastAsia="en-US"/>
        </w:rPr>
        <w:t>,</w:t>
      </w:r>
      <w:r w:rsidRPr="00883102">
        <w:rPr>
          <w:rFonts w:eastAsiaTheme="minorHAnsi" w:cstheme="minorBidi"/>
          <w:szCs w:val="24"/>
          <w:lang w:val="es-ES_tradnl" w:eastAsia="en-US"/>
        </w:rPr>
        <w:t xml:space="preserve"> </w:t>
      </w:r>
      <w:r w:rsidRPr="00883102">
        <w:rPr>
          <w:rFonts w:eastAsiaTheme="minorHAnsi" w:cs="Arial"/>
          <w:szCs w:val="24"/>
          <w:lang w:val="es-ES_tradnl" w:eastAsia="en-US"/>
        </w:rPr>
        <w:t>fracciones</w:t>
      </w:r>
      <w:r w:rsidRPr="00883102">
        <w:rPr>
          <w:rFonts w:eastAsiaTheme="minorHAnsi" w:cstheme="minorBidi"/>
          <w:szCs w:val="24"/>
          <w:lang w:val="es-ES_tradnl" w:eastAsia="en-US"/>
        </w:rPr>
        <w:t xml:space="preserve"> IV y V</w:t>
      </w:r>
      <w:r w:rsidRPr="00883102">
        <w:rPr>
          <w:rFonts w:cs="Arial"/>
          <w:szCs w:val="24"/>
          <w:lang w:val="es-ES_tradnl" w:eastAsia="en-US"/>
        </w:rPr>
        <w:t xml:space="preserve"> de la Constitución Política del Estado Libre y Soberano de México y los artículos </w:t>
      </w:r>
      <w:r w:rsidRPr="00883102">
        <w:rPr>
          <w:rFonts w:eastAsiaTheme="minorHAnsi" w:cstheme="minorBidi"/>
          <w:szCs w:val="24"/>
          <w:lang w:val="es-ES_tradnl" w:eastAsia="en-US"/>
        </w:rPr>
        <w:t xml:space="preserve">2, </w:t>
      </w:r>
      <w:r w:rsidRPr="00883102">
        <w:rPr>
          <w:rFonts w:eastAsiaTheme="minorHAnsi" w:cs="Arial"/>
          <w:szCs w:val="24"/>
          <w:lang w:val="es-ES_tradnl" w:eastAsia="en-US"/>
        </w:rPr>
        <w:t>fracción</w:t>
      </w:r>
      <w:r w:rsidRPr="00883102">
        <w:rPr>
          <w:rFonts w:eastAsiaTheme="minorHAnsi" w:cstheme="minorBidi"/>
          <w:szCs w:val="24"/>
          <w:lang w:val="es-ES_tradnl" w:eastAsia="en-US"/>
        </w:rPr>
        <w:t xml:space="preserve"> II, 9, </w:t>
      </w:r>
      <w:r w:rsidRPr="00883102">
        <w:rPr>
          <w:rFonts w:eastAsiaTheme="minorHAnsi" w:cs="Arial"/>
          <w:szCs w:val="24"/>
          <w:lang w:val="es-ES_tradnl" w:eastAsia="en-US"/>
        </w:rPr>
        <w:t>29</w:t>
      </w:r>
      <w:r w:rsidRPr="00883102">
        <w:rPr>
          <w:rFonts w:eastAsiaTheme="minorHAnsi" w:cstheme="minorBidi"/>
          <w:szCs w:val="24"/>
          <w:lang w:val="es-ES_tradnl" w:eastAsia="en-US"/>
        </w:rPr>
        <w:t>, 36, fracciones I y II, 176, 178, 179, 181, 185, fracción I, 186 y 188</w:t>
      </w:r>
      <w:r w:rsidRPr="00883102">
        <w:rPr>
          <w:rFonts w:cs="Arial"/>
          <w:szCs w:val="24"/>
          <w:lang w:val="es-ES_tradnl" w:eastAsia="en-US"/>
        </w:rPr>
        <w:t xml:space="preserve"> de la Ley de Transparencia y Acceso a la Información Pública del Estado de México y </w:t>
      </w:r>
      <w:r w:rsidRPr="00883102">
        <w:rPr>
          <w:rFonts w:eastAsiaTheme="minorHAnsi" w:cs="Arial"/>
          <w:szCs w:val="24"/>
          <w:lang w:val="es-ES_tradnl" w:eastAsia="en-US"/>
        </w:rPr>
        <w:t>Municipios</w:t>
      </w:r>
      <w:r w:rsidRPr="00883102">
        <w:rPr>
          <w:rFonts w:cs="Arial"/>
          <w:szCs w:val="24"/>
          <w:lang w:val="es-ES_tradnl" w:eastAsia="en-US"/>
        </w:rPr>
        <w:t xml:space="preserve">, </w:t>
      </w:r>
      <w:r w:rsidRPr="00883102">
        <w:rPr>
          <w:rFonts w:eastAsiaTheme="minorHAnsi" w:cstheme="minorBidi"/>
          <w:szCs w:val="24"/>
          <w:lang w:val="es-ES_tradnl" w:eastAsia="en-US"/>
        </w:rPr>
        <w:t>este</w:t>
      </w:r>
      <w:r w:rsidRPr="00883102">
        <w:rPr>
          <w:rFonts w:cs="Arial"/>
          <w:szCs w:val="24"/>
          <w:lang w:val="es-ES_tradnl" w:eastAsia="en-US"/>
        </w:rPr>
        <w:t xml:space="preserve"> Pleno:</w:t>
      </w:r>
    </w:p>
    <w:p w14:paraId="11882C0A" w14:textId="35909D58" w:rsidR="00963BBB" w:rsidRPr="00883102" w:rsidRDefault="00963BBB" w:rsidP="00E6674B">
      <w:pPr>
        <w:rPr>
          <w:rFonts w:cstheme="minorHAnsi"/>
          <w:szCs w:val="24"/>
          <w:lang w:val="es-ES_tradnl" w:eastAsia="en-US"/>
        </w:rPr>
      </w:pPr>
    </w:p>
    <w:p w14:paraId="7657D97E" w14:textId="77777777" w:rsidR="00E6674B" w:rsidRPr="00883102" w:rsidRDefault="00E6674B" w:rsidP="00E6674B">
      <w:pPr>
        <w:jc w:val="center"/>
        <w:rPr>
          <w:rFonts w:eastAsiaTheme="minorHAnsi" w:cstheme="minorHAnsi"/>
          <w:b/>
          <w:sz w:val="28"/>
          <w:szCs w:val="28"/>
          <w:lang w:val="es-ES_tradnl" w:eastAsia="en-US"/>
        </w:rPr>
      </w:pPr>
      <w:r w:rsidRPr="00883102">
        <w:rPr>
          <w:rFonts w:eastAsiaTheme="minorHAnsi" w:cstheme="minorHAnsi"/>
          <w:b/>
          <w:sz w:val="28"/>
          <w:szCs w:val="28"/>
          <w:lang w:val="es-ES_tradnl" w:eastAsia="en-US"/>
        </w:rPr>
        <w:t>R E S U E L V E</w:t>
      </w:r>
    </w:p>
    <w:p w14:paraId="233FA093" w14:textId="77777777" w:rsidR="00E6674B" w:rsidRPr="00883102" w:rsidRDefault="00E6674B" w:rsidP="00E6674B">
      <w:pPr>
        <w:rPr>
          <w:rFonts w:eastAsiaTheme="minorHAnsi" w:cstheme="minorHAnsi"/>
          <w:szCs w:val="24"/>
          <w:lang w:val="es-ES_tradnl" w:eastAsia="en-US"/>
        </w:rPr>
      </w:pPr>
    </w:p>
    <w:p w14:paraId="5AFFED29" w14:textId="5A479533" w:rsidR="00E6674B" w:rsidRPr="00883102" w:rsidRDefault="00E6674B" w:rsidP="00E6674B">
      <w:pPr>
        <w:rPr>
          <w:rFonts w:eastAsiaTheme="minorHAnsi" w:cstheme="minorHAnsi"/>
          <w:szCs w:val="24"/>
          <w:lang w:val="es-ES_tradnl" w:eastAsia="en-US"/>
        </w:rPr>
      </w:pPr>
      <w:r w:rsidRPr="00883102">
        <w:rPr>
          <w:rFonts w:eastAsiaTheme="minorHAnsi" w:cstheme="minorHAnsi"/>
          <w:b/>
          <w:szCs w:val="24"/>
          <w:lang w:val="es-ES_tradnl" w:eastAsia="en-US"/>
        </w:rPr>
        <w:t>PRIMERO.</w:t>
      </w:r>
      <w:r w:rsidRPr="00883102">
        <w:rPr>
          <w:rFonts w:eastAsiaTheme="minorHAnsi" w:cstheme="minorHAnsi"/>
          <w:szCs w:val="24"/>
          <w:lang w:val="es-ES_tradnl" w:eastAsia="en-US"/>
        </w:rPr>
        <w:t xml:space="preserve"> Resultan fundadas las razones o motivos de inconformidad hechos valer por </w:t>
      </w:r>
      <w:r w:rsidR="00E11301">
        <w:rPr>
          <w:rFonts w:eastAsiaTheme="minorHAnsi" w:cstheme="minorHAnsi"/>
          <w:szCs w:val="24"/>
          <w:lang w:val="es-ES_tradnl" w:eastAsia="en-US"/>
        </w:rPr>
        <w:t>la</w:t>
      </w:r>
      <w:r w:rsidRPr="00883102">
        <w:rPr>
          <w:rFonts w:eastAsiaTheme="minorHAnsi" w:cstheme="minorHAnsi"/>
          <w:szCs w:val="24"/>
          <w:lang w:val="es-ES_tradnl" w:eastAsia="en-US"/>
        </w:rPr>
        <w:t xml:space="preserve"> Recurrente</w:t>
      </w:r>
      <w:r w:rsidRPr="00883102">
        <w:rPr>
          <w:rFonts w:eastAsiaTheme="minorHAnsi" w:cstheme="minorHAnsi"/>
          <w:b/>
          <w:szCs w:val="24"/>
          <w:lang w:val="es-ES_tradnl" w:eastAsia="en-US"/>
        </w:rPr>
        <w:t>,</w:t>
      </w:r>
      <w:r w:rsidRPr="00883102">
        <w:rPr>
          <w:rFonts w:eastAsiaTheme="minorHAnsi" w:cstheme="minorHAnsi"/>
          <w:szCs w:val="24"/>
          <w:lang w:val="es-ES_tradnl" w:eastAsia="en-US"/>
        </w:rPr>
        <w:t xml:space="preserve"> en términos del </w:t>
      </w:r>
      <w:r w:rsidR="008649CB" w:rsidRPr="00883102">
        <w:rPr>
          <w:rFonts w:eastAsiaTheme="minorHAnsi" w:cstheme="minorHAnsi"/>
          <w:b/>
          <w:szCs w:val="24"/>
          <w:lang w:val="es-ES_tradnl" w:eastAsia="en-US"/>
        </w:rPr>
        <w:t xml:space="preserve">Considerando </w:t>
      </w:r>
      <w:r w:rsidR="00CA4424">
        <w:rPr>
          <w:rFonts w:eastAsiaTheme="minorHAnsi" w:cstheme="minorHAnsi"/>
          <w:b/>
          <w:szCs w:val="24"/>
          <w:lang w:val="es-ES_tradnl" w:eastAsia="en-US"/>
        </w:rPr>
        <w:t>QUIN</w:t>
      </w:r>
      <w:r w:rsidR="005C35E3">
        <w:rPr>
          <w:rFonts w:eastAsiaTheme="minorHAnsi" w:cstheme="minorHAnsi"/>
          <w:b/>
          <w:szCs w:val="24"/>
          <w:lang w:val="es-ES_tradnl" w:eastAsia="en-US"/>
        </w:rPr>
        <w:t>TO</w:t>
      </w:r>
      <w:r w:rsidRPr="00883102">
        <w:rPr>
          <w:rFonts w:eastAsiaTheme="minorHAnsi" w:cstheme="minorHAnsi"/>
          <w:b/>
          <w:szCs w:val="24"/>
          <w:lang w:val="es-ES_tradnl" w:eastAsia="en-US"/>
        </w:rPr>
        <w:t xml:space="preserve"> </w:t>
      </w:r>
      <w:r w:rsidRPr="00883102">
        <w:rPr>
          <w:rFonts w:eastAsiaTheme="minorHAnsi" w:cstheme="minorHAnsi"/>
          <w:szCs w:val="24"/>
          <w:lang w:val="es-ES_tradnl" w:eastAsia="en-US"/>
        </w:rPr>
        <w:t>de la presente resolución.</w:t>
      </w:r>
    </w:p>
    <w:p w14:paraId="273A1BDB" w14:textId="77777777" w:rsidR="00E6674B" w:rsidRPr="00883102" w:rsidRDefault="00E6674B" w:rsidP="00E6674B">
      <w:pPr>
        <w:rPr>
          <w:rFonts w:eastAsiaTheme="minorHAnsi" w:cstheme="minorHAnsi"/>
          <w:szCs w:val="24"/>
          <w:lang w:val="es-ES_tradnl" w:eastAsia="en-US"/>
        </w:rPr>
      </w:pPr>
    </w:p>
    <w:p w14:paraId="7B4B71DA" w14:textId="051D00AA" w:rsidR="00E6674B" w:rsidRPr="00883102" w:rsidRDefault="00E6674B" w:rsidP="00E6674B">
      <w:pPr>
        <w:rPr>
          <w:rFonts w:eastAsiaTheme="minorHAnsi" w:cstheme="minorHAnsi"/>
          <w:szCs w:val="24"/>
          <w:lang w:val="es-ES_tradnl" w:eastAsia="en-US"/>
        </w:rPr>
      </w:pPr>
      <w:r w:rsidRPr="00883102">
        <w:rPr>
          <w:rFonts w:eastAsiaTheme="minorHAnsi" w:cstheme="minorHAnsi"/>
          <w:b/>
          <w:szCs w:val="24"/>
          <w:lang w:val="es-ES_tradnl" w:eastAsia="en-US"/>
        </w:rPr>
        <w:t xml:space="preserve">SEGUNDO. </w:t>
      </w:r>
      <w:r w:rsidRPr="00883102">
        <w:rPr>
          <w:rFonts w:eastAsiaTheme="minorHAnsi" w:cstheme="minorBidi"/>
          <w:color w:val="222222"/>
          <w:szCs w:val="24"/>
          <w:lang w:val="es-ES_tradnl"/>
        </w:rPr>
        <w:t>Se</w:t>
      </w:r>
      <w:r w:rsidRPr="00883102">
        <w:rPr>
          <w:rFonts w:eastAsiaTheme="minorHAnsi" w:cstheme="minorBidi"/>
          <w:b/>
          <w:bCs/>
          <w:color w:val="222222"/>
          <w:szCs w:val="24"/>
          <w:lang w:val="es-ES_tradnl"/>
        </w:rPr>
        <w:t xml:space="preserve"> ORDENA </w:t>
      </w:r>
      <w:r w:rsidRPr="00883102">
        <w:rPr>
          <w:rFonts w:eastAsiaTheme="minorHAnsi" w:cstheme="minorBidi"/>
          <w:color w:val="222222"/>
          <w:szCs w:val="24"/>
          <w:lang w:val="es-ES_tradnl"/>
        </w:rPr>
        <w:t>al Sujeto Obligado que</w:t>
      </w:r>
      <w:r w:rsidRPr="00883102">
        <w:rPr>
          <w:rFonts w:eastAsiaTheme="minorHAnsi" w:cstheme="minorBidi"/>
          <w:b/>
          <w:bCs/>
          <w:color w:val="222222"/>
          <w:szCs w:val="24"/>
          <w:lang w:val="es-ES_tradnl"/>
        </w:rPr>
        <w:t xml:space="preserve"> </w:t>
      </w:r>
      <w:r w:rsidRPr="00883102">
        <w:rPr>
          <w:rFonts w:eastAsiaTheme="minorHAnsi" w:cstheme="minorBidi"/>
          <w:bCs/>
          <w:color w:val="222222"/>
          <w:szCs w:val="24"/>
          <w:lang w:val="es-ES_tradnl"/>
        </w:rPr>
        <w:t>atienda la solicitud</w:t>
      </w:r>
      <w:r w:rsidR="00963BBB" w:rsidRPr="00883102">
        <w:rPr>
          <w:rFonts w:eastAsiaTheme="minorHAnsi" w:cstheme="minorBidi"/>
          <w:bCs/>
          <w:color w:val="222222"/>
          <w:szCs w:val="24"/>
          <w:lang w:val="es-ES_tradnl"/>
        </w:rPr>
        <w:t xml:space="preserve"> </w:t>
      </w:r>
      <w:r w:rsidRPr="00883102">
        <w:rPr>
          <w:rFonts w:eastAsiaTheme="minorHAnsi" w:cstheme="minorBidi"/>
          <w:bCs/>
          <w:color w:val="222222"/>
          <w:szCs w:val="24"/>
          <w:lang w:val="es-ES_tradnl"/>
        </w:rPr>
        <w:t xml:space="preserve">de información </w:t>
      </w:r>
      <w:r w:rsidR="00CA4424" w:rsidRPr="00CA4424">
        <w:rPr>
          <w:rFonts w:eastAsia="Palatino Linotype" w:cs="Palatino Linotype"/>
          <w:b/>
          <w:bCs/>
          <w:color w:val="000000"/>
          <w:szCs w:val="24"/>
        </w:rPr>
        <w:t>00060/APAXCO/IP/2023</w:t>
      </w:r>
      <w:r w:rsidRPr="006F74F8">
        <w:rPr>
          <w:rFonts w:eastAsiaTheme="minorHAnsi" w:cstheme="minorBidi"/>
          <w:b/>
          <w:bCs/>
          <w:color w:val="222222"/>
          <w:szCs w:val="24"/>
          <w:lang w:val="es-ES_tradnl"/>
        </w:rPr>
        <w:t xml:space="preserve"> </w:t>
      </w:r>
      <w:r w:rsidRPr="006F74F8">
        <w:rPr>
          <w:rFonts w:eastAsiaTheme="minorHAnsi" w:cstheme="minorBidi"/>
          <w:color w:val="222222"/>
          <w:szCs w:val="24"/>
          <w:lang w:val="es-ES_tradnl"/>
        </w:rPr>
        <w:t>en términos</w:t>
      </w:r>
      <w:r w:rsidRPr="00883102">
        <w:rPr>
          <w:rFonts w:eastAsiaTheme="minorHAnsi" w:cstheme="minorBidi"/>
          <w:color w:val="222222"/>
          <w:szCs w:val="24"/>
          <w:lang w:val="es-ES_tradnl"/>
        </w:rPr>
        <w:t xml:space="preserve"> del </w:t>
      </w:r>
      <w:r w:rsidRPr="00883102">
        <w:rPr>
          <w:rFonts w:eastAsiaTheme="minorHAnsi" w:cstheme="minorBidi"/>
          <w:b/>
          <w:color w:val="222222"/>
          <w:szCs w:val="24"/>
          <w:lang w:val="es-ES_tradnl"/>
        </w:rPr>
        <w:t xml:space="preserve">Considerando </w:t>
      </w:r>
      <w:r w:rsidR="00CA4424">
        <w:rPr>
          <w:rFonts w:eastAsiaTheme="minorHAnsi" w:cstheme="minorBidi"/>
          <w:b/>
          <w:bCs/>
          <w:color w:val="222222"/>
          <w:szCs w:val="24"/>
          <w:lang w:val="es-ES_tradnl"/>
        </w:rPr>
        <w:t>QUIN</w:t>
      </w:r>
      <w:r w:rsidRPr="00883102">
        <w:rPr>
          <w:rFonts w:eastAsiaTheme="minorHAnsi" w:cstheme="minorBidi"/>
          <w:b/>
          <w:bCs/>
          <w:color w:val="222222"/>
          <w:szCs w:val="24"/>
          <w:lang w:val="es-ES_tradnl"/>
        </w:rPr>
        <w:t xml:space="preserve">TO </w:t>
      </w:r>
      <w:r w:rsidRPr="00883102">
        <w:rPr>
          <w:rFonts w:eastAsiaTheme="minorHAnsi" w:cstheme="minorBidi"/>
          <w:color w:val="222222"/>
          <w:szCs w:val="24"/>
          <w:lang w:val="es-ES_tradnl"/>
        </w:rPr>
        <w:t>de esta resolución; vía Sistema de Acce</w:t>
      </w:r>
      <w:r w:rsidR="008649CB" w:rsidRPr="00883102">
        <w:rPr>
          <w:rFonts w:eastAsiaTheme="minorHAnsi" w:cstheme="minorBidi"/>
          <w:color w:val="222222"/>
          <w:szCs w:val="24"/>
          <w:lang w:val="es-ES_tradnl"/>
        </w:rPr>
        <w:t>so a la Información Mexiquense</w:t>
      </w:r>
      <w:r w:rsidR="00AF13E8" w:rsidRPr="00883102">
        <w:rPr>
          <w:rFonts w:eastAsiaTheme="minorHAnsi" w:cstheme="minorBidi"/>
          <w:color w:val="222222"/>
          <w:szCs w:val="24"/>
          <w:lang w:val="es-ES_tradnl"/>
        </w:rPr>
        <w:t xml:space="preserve"> (SAIMEX)</w:t>
      </w:r>
      <w:r w:rsidRPr="00883102">
        <w:rPr>
          <w:rFonts w:eastAsiaTheme="minorHAnsi" w:cstheme="minorBidi"/>
          <w:bCs/>
          <w:color w:val="222222"/>
          <w:szCs w:val="24"/>
          <w:lang w:val="es-ES_tradnl"/>
        </w:rPr>
        <w:t xml:space="preserve">. </w:t>
      </w:r>
    </w:p>
    <w:p w14:paraId="185BBB79" w14:textId="77777777" w:rsidR="00E6674B" w:rsidRPr="00883102" w:rsidRDefault="00E6674B" w:rsidP="00E6674B">
      <w:pPr>
        <w:rPr>
          <w:rFonts w:eastAsiaTheme="minorHAnsi" w:cstheme="minorHAnsi"/>
          <w:szCs w:val="24"/>
          <w:lang w:val="es-ES_tradnl" w:eastAsia="en-US"/>
        </w:rPr>
      </w:pPr>
    </w:p>
    <w:p w14:paraId="482B2FA1" w14:textId="77777777" w:rsidR="005C35E3" w:rsidRPr="005C35E3" w:rsidRDefault="008649CB" w:rsidP="005C35E3">
      <w:pPr>
        <w:rPr>
          <w:rFonts w:eastAsiaTheme="minorHAnsi" w:cstheme="minorHAnsi"/>
          <w:bCs/>
          <w:szCs w:val="24"/>
          <w:lang w:val="es-ES_tradnl" w:eastAsia="en-US"/>
        </w:rPr>
      </w:pPr>
      <w:r w:rsidRPr="00883102">
        <w:rPr>
          <w:rFonts w:eastAsiaTheme="minorHAnsi" w:cstheme="minorHAnsi"/>
          <w:b/>
          <w:szCs w:val="24"/>
          <w:lang w:val="es-ES_tradnl" w:eastAsia="en-US"/>
        </w:rPr>
        <w:t xml:space="preserve">TERCERO. </w:t>
      </w:r>
      <w:r w:rsidR="005C35E3" w:rsidRPr="005C35E3">
        <w:rPr>
          <w:rFonts w:eastAsiaTheme="minorHAnsi" w:cstheme="minorHAnsi"/>
          <w:b/>
          <w:szCs w:val="24"/>
          <w:lang w:val="es-ES_tradnl" w:eastAsia="en-US"/>
        </w:rPr>
        <w:t>Notifíquese</w:t>
      </w:r>
      <w:r w:rsidR="005C35E3" w:rsidRPr="005C35E3">
        <w:rPr>
          <w:rFonts w:eastAsiaTheme="minorHAnsi" w:cstheme="minorHAnsi"/>
          <w:b/>
          <w:i/>
          <w:szCs w:val="24"/>
          <w:lang w:val="es-ES_tradnl" w:eastAsia="en-US"/>
        </w:rPr>
        <w:t xml:space="preserve"> </w:t>
      </w:r>
      <w:r w:rsidR="005C35E3" w:rsidRPr="005C35E3">
        <w:rPr>
          <w:rFonts w:eastAsiaTheme="minorHAnsi" w:cstheme="minorHAnsi"/>
          <w:bCs/>
          <w:szCs w:val="24"/>
          <w:lang w:val="es-ES_tradnl" w:eastAsia="en-US"/>
        </w:rPr>
        <w:t xml:space="preserve">la presente resolución al Titular de la Unidad de Transparencia del Sujeto Obligado para que, conforme a los artículos 186 último párrafo, 189 segundo párrafo y 194 de la Ley de Transparencia y Acceso a la Información Pública del Estado </w:t>
      </w:r>
      <w:r w:rsidR="005C35E3" w:rsidRPr="005C35E3">
        <w:rPr>
          <w:rFonts w:eastAsiaTheme="minorHAnsi" w:cstheme="minorHAnsi"/>
          <w:bCs/>
          <w:szCs w:val="24"/>
          <w:lang w:val="es-ES_tradnl" w:eastAsia="en-US"/>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5C987A" w14:textId="3BCEFD71" w:rsidR="00E6674B" w:rsidRPr="00883102" w:rsidRDefault="00E6674B" w:rsidP="00E6674B">
      <w:pPr>
        <w:rPr>
          <w:rFonts w:eastAsiaTheme="minorHAnsi" w:cstheme="minorHAnsi"/>
          <w:szCs w:val="24"/>
          <w:lang w:val="es-ES_tradnl" w:eastAsia="en-US"/>
        </w:rPr>
      </w:pPr>
    </w:p>
    <w:p w14:paraId="43525DE8" w14:textId="4BDC6260" w:rsidR="00E6674B" w:rsidRPr="00883102" w:rsidRDefault="00E6674B" w:rsidP="00E6674B">
      <w:pPr>
        <w:rPr>
          <w:rFonts w:eastAsiaTheme="minorHAnsi" w:cstheme="minorHAnsi"/>
          <w:szCs w:val="24"/>
          <w:lang w:val="es-ES_tradnl" w:eastAsia="en-US"/>
        </w:rPr>
      </w:pPr>
      <w:r w:rsidRPr="00883102">
        <w:rPr>
          <w:rFonts w:eastAsiaTheme="minorHAnsi" w:cstheme="minorHAnsi"/>
          <w:b/>
          <w:szCs w:val="24"/>
          <w:lang w:val="es-ES_tradnl" w:eastAsia="en-US"/>
        </w:rPr>
        <w:t xml:space="preserve">CUARTO. Notifíquese </w:t>
      </w:r>
      <w:r w:rsidRPr="00883102">
        <w:rPr>
          <w:rFonts w:eastAsiaTheme="minorHAnsi" w:cstheme="minorHAnsi"/>
          <w:szCs w:val="24"/>
          <w:lang w:val="es-ES_tradnl" w:eastAsia="en-US"/>
        </w:rPr>
        <w:t>a</w:t>
      </w:r>
      <w:r w:rsidR="0096093D">
        <w:rPr>
          <w:rFonts w:eastAsiaTheme="minorHAnsi" w:cstheme="minorHAnsi"/>
          <w:szCs w:val="24"/>
          <w:lang w:val="es-ES_tradnl" w:eastAsia="en-US"/>
        </w:rPr>
        <w:t>l Recurrente</w:t>
      </w:r>
      <w:r w:rsidR="0041058F">
        <w:rPr>
          <w:rFonts w:eastAsiaTheme="minorHAnsi" w:cstheme="minorHAnsi"/>
          <w:szCs w:val="24"/>
          <w:lang w:val="es-ES_tradnl" w:eastAsia="en-US"/>
        </w:rPr>
        <w:t xml:space="preserve"> </w:t>
      </w:r>
      <w:r w:rsidRPr="00883102">
        <w:rPr>
          <w:rFonts w:eastAsiaTheme="minorHAnsi" w:cstheme="minorHAnsi"/>
          <w:szCs w:val="24"/>
          <w:lang w:val="es-ES_tradnl" w:eastAsia="en-US"/>
        </w:rPr>
        <w:t xml:space="preserve">la presente resolución </w:t>
      </w:r>
      <w:r w:rsidR="008649CB" w:rsidRPr="00883102">
        <w:rPr>
          <w:rFonts w:eastAsiaTheme="minorHAnsi" w:cstheme="minorHAnsi"/>
          <w:szCs w:val="24"/>
          <w:lang w:val="es-ES_tradnl" w:eastAsia="en-US"/>
        </w:rPr>
        <w:t xml:space="preserve">por medio del </w:t>
      </w:r>
      <w:r w:rsidR="008649CB" w:rsidRPr="00883102">
        <w:rPr>
          <w:rFonts w:eastAsiaTheme="minorHAnsi" w:cstheme="minorBidi"/>
          <w:color w:val="222222"/>
          <w:szCs w:val="24"/>
          <w:lang w:val="es-ES_tradnl"/>
        </w:rPr>
        <w:t>Sistema de Acceso a la Información Mexiquense</w:t>
      </w:r>
      <w:r w:rsidR="008649CB" w:rsidRPr="00883102">
        <w:rPr>
          <w:rFonts w:eastAsiaTheme="minorHAnsi" w:cstheme="minorHAnsi"/>
          <w:szCs w:val="24"/>
          <w:lang w:val="es-ES_tradnl" w:eastAsia="en-US"/>
        </w:rPr>
        <w:t xml:space="preserve"> </w:t>
      </w:r>
      <w:r w:rsidR="00AF13E8" w:rsidRPr="00883102">
        <w:rPr>
          <w:rFonts w:eastAsiaTheme="minorHAnsi" w:cstheme="minorHAnsi"/>
          <w:szCs w:val="24"/>
          <w:lang w:val="es-ES_tradnl" w:eastAsia="en-US"/>
        </w:rPr>
        <w:t>(SAIMEX)</w:t>
      </w:r>
      <w:r w:rsidR="0041058F">
        <w:rPr>
          <w:rFonts w:eastAsiaTheme="minorHAnsi" w:cstheme="minorHAnsi"/>
          <w:szCs w:val="24"/>
          <w:lang w:val="es-ES_tradnl" w:eastAsia="en-US"/>
        </w:rPr>
        <w:t xml:space="preserve"> </w:t>
      </w:r>
      <w:r w:rsidRPr="00883102">
        <w:rPr>
          <w:rFonts w:eastAsiaTheme="minorHAnsi" w:cstheme="minorHAnsi"/>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eastAsiaTheme="minorHAnsi" w:cstheme="minorHAnsi"/>
          <w:szCs w:val="24"/>
          <w:lang w:val="es-ES_tradnl" w:eastAsia="en-US"/>
        </w:rPr>
        <w:t>de acuerdo con</w:t>
      </w:r>
      <w:r w:rsidRPr="00883102">
        <w:rPr>
          <w:rFonts w:eastAsiaTheme="minorHAnsi" w:cstheme="minorHAnsi"/>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rPr>
          <w:rFonts w:eastAsiaTheme="minorHAnsi" w:cstheme="minorHAnsi"/>
          <w:szCs w:val="24"/>
          <w:lang w:val="es-ES_tradnl" w:eastAsia="en-US"/>
        </w:rPr>
      </w:pPr>
    </w:p>
    <w:p w14:paraId="002106ED" w14:textId="33DB5986" w:rsidR="002C71D1" w:rsidRPr="002C71D1" w:rsidRDefault="002C71D1" w:rsidP="002C71D1">
      <w:pPr>
        <w:pBdr>
          <w:top w:val="nil"/>
          <w:left w:val="nil"/>
          <w:bottom w:val="nil"/>
          <w:right w:val="nil"/>
          <w:between w:val="nil"/>
        </w:pBdr>
        <w:rPr>
          <w:rFonts w:eastAsia="Palatino Linotype" w:cs="Palatino Linotype"/>
          <w:bCs/>
          <w:color w:val="000000"/>
          <w:szCs w:val="24"/>
          <w:lang w:val="es-ES_tradnl"/>
        </w:rPr>
      </w:pPr>
      <w:r w:rsidRPr="002C71D1">
        <w:rPr>
          <w:rFonts w:eastAsia="Palatino Linotype" w:cs="Palatino Linotype"/>
          <w:b/>
          <w:color w:val="000000"/>
          <w:szCs w:val="24"/>
          <w:lang w:val="es-ES_tradnl"/>
        </w:rPr>
        <w:t xml:space="preserve">QUINTO. Gírese </w:t>
      </w:r>
      <w:r w:rsidRPr="002C71D1">
        <w:rPr>
          <w:rFonts w:eastAsia="Palatino Linotype" w:cs="Palatino Linotype"/>
          <w:bCs/>
          <w:color w:val="000000"/>
          <w:szCs w:val="24"/>
          <w:lang w:val="es-ES_tradnl"/>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2C71D1">
        <w:rPr>
          <w:rFonts w:eastAsia="Palatino Linotype" w:cs="Palatino Linotype"/>
          <w:b/>
          <w:color w:val="000000"/>
          <w:szCs w:val="24"/>
          <w:lang w:val="es-ES_tradnl"/>
        </w:rPr>
        <w:t xml:space="preserve"> Considerando </w:t>
      </w:r>
      <w:r w:rsidR="00CA4424">
        <w:rPr>
          <w:rFonts w:eastAsia="Palatino Linotype" w:cs="Palatino Linotype"/>
          <w:b/>
          <w:color w:val="000000"/>
          <w:szCs w:val="24"/>
          <w:lang w:val="es-ES_tradnl"/>
        </w:rPr>
        <w:t>QUIN</w:t>
      </w:r>
      <w:r w:rsidRPr="002C71D1">
        <w:rPr>
          <w:rFonts w:eastAsia="Palatino Linotype" w:cs="Palatino Linotype"/>
          <w:b/>
          <w:color w:val="000000"/>
          <w:szCs w:val="24"/>
          <w:lang w:val="es-ES_tradnl"/>
        </w:rPr>
        <w:t xml:space="preserve">TO </w:t>
      </w:r>
      <w:r w:rsidRPr="002C71D1">
        <w:rPr>
          <w:rFonts w:eastAsia="Palatino Linotype" w:cs="Palatino Linotype"/>
          <w:bCs/>
          <w:color w:val="000000"/>
          <w:szCs w:val="24"/>
          <w:lang w:val="es-ES_tradnl"/>
        </w:rPr>
        <w:t>de la presente resolución.</w:t>
      </w:r>
    </w:p>
    <w:p w14:paraId="5DEBB08A" w14:textId="77777777" w:rsidR="00E6674B" w:rsidRPr="00883102" w:rsidRDefault="00E6674B" w:rsidP="00E6674B">
      <w:pPr>
        <w:rPr>
          <w:rFonts w:eastAsiaTheme="minorHAnsi" w:cstheme="minorHAnsi"/>
          <w:szCs w:val="24"/>
          <w:lang w:val="es-ES_tradnl" w:eastAsia="en-US"/>
        </w:rPr>
      </w:pPr>
    </w:p>
    <w:p w14:paraId="7D080352" w14:textId="4CAEEC25" w:rsidR="00E6674B" w:rsidRPr="00883102" w:rsidRDefault="00E6674B" w:rsidP="00E6674B">
      <w:pPr>
        <w:pBdr>
          <w:top w:val="nil"/>
          <w:left w:val="nil"/>
          <w:bottom w:val="nil"/>
          <w:right w:val="nil"/>
          <w:between w:val="nil"/>
        </w:pBdr>
        <w:rPr>
          <w:rFonts w:eastAsia="Palatino Linotype" w:cs="Palatino Linotype"/>
          <w:color w:val="000000"/>
          <w:szCs w:val="24"/>
          <w:lang w:val="es-ES_tradnl"/>
        </w:rPr>
      </w:pPr>
      <w:r w:rsidRPr="00883102">
        <w:rPr>
          <w:rFonts w:eastAsiaTheme="minorHAnsi" w:cstheme="minorHAnsi"/>
          <w:b/>
          <w:szCs w:val="24"/>
          <w:lang w:val="es-ES_tradnl" w:eastAsia="en-US"/>
        </w:rPr>
        <w:t>SEXTO.</w:t>
      </w:r>
      <w:r w:rsidRPr="00883102">
        <w:rPr>
          <w:rFonts w:eastAsiaTheme="minorHAnsi" w:cstheme="minorHAnsi"/>
          <w:szCs w:val="24"/>
          <w:lang w:val="es-ES_tradnl" w:eastAsia="en-US"/>
        </w:rPr>
        <w:t xml:space="preserve"> </w:t>
      </w:r>
      <w:r w:rsidRPr="00883102">
        <w:rPr>
          <w:rFonts w:eastAsiaTheme="minorHAnsi" w:cstheme="minorHAnsi"/>
          <w:color w:val="222222"/>
          <w:szCs w:val="24"/>
          <w:lang w:val="es-ES_tradnl" w:eastAsia="es-ES_tradnl"/>
        </w:rPr>
        <w:t>Se hace del conocimiento de</w:t>
      </w:r>
      <w:r w:rsidR="0096093D">
        <w:rPr>
          <w:rFonts w:eastAsiaTheme="minorHAnsi" w:cstheme="minorHAnsi"/>
          <w:color w:val="222222"/>
          <w:szCs w:val="24"/>
          <w:lang w:val="es-ES_tradnl" w:eastAsia="es-ES_tradnl"/>
        </w:rPr>
        <w:t>l Recurrente</w:t>
      </w:r>
      <w:r w:rsidR="0041058F">
        <w:rPr>
          <w:rFonts w:eastAsiaTheme="minorHAnsi" w:cstheme="minorHAnsi"/>
          <w:color w:val="222222"/>
          <w:szCs w:val="24"/>
          <w:lang w:val="es-ES_tradnl" w:eastAsia="es-ES_tradnl"/>
        </w:rPr>
        <w:t xml:space="preserve"> </w:t>
      </w:r>
      <w:r w:rsidRPr="00883102">
        <w:rPr>
          <w:rFonts w:eastAsiaTheme="minorHAnsi" w:cstheme="minorHAnsi"/>
          <w:color w:val="222222"/>
          <w:szCs w:val="24"/>
          <w:lang w:val="es-ES_tradnl" w:eastAsia="es-ES_tradnl"/>
        </w:rPr>
        <w:t xml:space="preserve">que, de conformidad con lo establecido en el artículo 179, párrafo segundo, de la Ley de Transparencia y Acceso a la Información Pública del Estado de México y Municipios, tiene derecho a interponer nuevamente </w:t>
      </w:r>
      <w:r w:rsidRPr="00883102">
        <w:rPr>
          <w:rFonts w:eastAsiaTheme="minorHAnsi" w:cstheme="minorHAnsi"/>
          <w:color w:val="222222"/>
          <w:szCs w:val="24"/>
          <w:lang w:val="es-ES_tradnl" w:eastAsia="es-ES_tradnl"/>
        </w:rPr>
        <w:lastRenderedPageBreak/>
        <w:t>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rPr>
          <w:rFonts w:eastAsia="Palatino Linotype" w:cs="Palatino Linotype"/>
          <w:color w:val="000000"/>
          <w:szCs w:val="24"/>
          <w:lang w:val="es-ES_tradnl"/>
        </w:rPr>
      </w:pPr>
    </w:p>
    <w:p w14:paraId="00E37C97" w14:textId="6C01BE95" w:rsidR="008E7C9A" w:rsidRPr="00883102" w:rsidRDefault="00663A37" w:rsidP="00683B9C">
      <w:pPr>
        <w:pBdr>
          <w:top w:val="nil"/>
          <w:left w:val="nil"/>
          <w:bottom w:val="nil"/>
          <w:right w:val="nil"/>
          <w:between w:val="nil"/>
        </w:pBdr>
        <w:contextualSpacing/>
        <w:rPr>
          <w:rFonts w:eastAsia="Palatino Linotype" w:cs="Palatino Linotype"/>
          <w:color w:val="000000"/>
          <w:szCs w:val="24"/>
          <w:lang w:val="es-ES_tradnl"/>
        </w:rPr>
      </w:pPr>
      <w:bookmarkStart w:id="0" w:name="_heading=h.gjdgxs" w:colFirst="0" w:colLast="0"/>
      <w:bookmarkEnd w:id="0"/>
      <w:r w:rsidRPr="00883102">
        <w:rPr>
          <w:rFonts w:eastAsia="Palatino Linotype" w:cs="Palatino Linotype"/>
          <w:color w:val="000000"/>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614C71">
        <w:rPr>
          <w:rFonts w:eastAsia="Palatino Linotype" w:cs="Palatino Linotype"/>
          <w:color w:val="000000"/>
          <w:szCs w:val="24"/>
          <w:lang w:val="es-ES_tradnl"/>
        </w:rPr>
        <w:t xml:space="preserve"> (AUSENCIA JUSTIFICADA)</w:t>
      </w:r>
      <w:r w:rsidRPr="00883102">
        <w:rPr>
          <w:rFonts w:eastAsia="Palatino Linotype" w:cs="Palatino Linotype"/>
          <w:color w:val="000000"/>
          <w:szCs w:val="24"/>
          <w:lang w:val="es-ES_tradnl"/>
        </w:rPr>
        <w:t xml:space="preserve"> Y GUADALU</w:t>
      </w:r>
      <w:r w:rsidR="00C57E04" w:rsidRPr="00883102">
        <w:rPr>
          <w:rFonts w:eastAsia="Palatino Linotype" w:cs="Palatino Linotype"/>
          <w:color w:val="000000"/>
          <w:szCs w:val="24"/>
          <w:lang w:val="es-ES_tradnl"/>
        </w:rPr>
        <w:t xml:space="preserve">PE RAMÍREZ </w:t>
      </w:r>
      <w:r w:rsidR="00B64C91" w:rsidRPr="00883102">
        <w:rPr>
          <w:rFonts w:eastAsia="Palatino Linotype" w:cs="Palatino Linotype"/>
          <w:color w:val="000000"/>
          <w:szCs w:val="24"/>
          <w:lang w:val="es-ES_tradnl"/>
        </w:rPr>
        <w:t>PEÑA, EN LA</w:t>
      </w:r>
      <w:r w:rsidR="00757A11">
        <w:rPr>
          <w:rFonts w:eastAsia="Palatino Linotype" w:cs="Palatino Linotype"/>
          <w:color w:val="000000"/>
          <w:szCs w:val="24"/>
          <w:lang w:val="es-ES_tradnl"/>
        </w:rPr>
        <w:t xml:space="preserve"> TRIGÉSIMA NOVENA </w:t>
      </w:r>
      <w:r w:rsidRPr="002C71D1">
        <w:rPr>
          <w:rFonts w:eastAsia="Palatino Linotype" w:cs="Palatino Linotype"/>
          <w:color w:val="000000"/>
          <w:szCs w:val="24"/>
          <w:lang w:val="es-ES_tradnl"/>
        </w:rPr>
        <w:t>SESIÓN ORDINARIA CELEBRADA EL</w:t>
      </w:r>
      <w:r w:rsidR="00757A11">
        <w:rPr>
          <w:rFonts w:eastAsia="Palatino Linotype" w:cs="Palatino Linotype"/>
          <w:color w:val="000000"/>
          <w:szCs w:val="24"/>
          <w:lang w:val="es-ES_tradnl"/>
        </w:rPr>
        <w:t xml:space="preserve"> PRIMERO DE NOVIEMBRE </w:t>
      </w:r>
      <w:r w:rsidR="00AF13E8" w:rsidRPr="00D44147">
        <w:rPr>
          <w:rFonts w:eastAsia="Palatino Linotype" w:cs="Palatino Linotype"/>
          <w:color w:val="000000"/>
          <w:szCs w:val="24"/>
          <w:lang w:val="es-ES_tradnl"/>
        </w:rPr>
        <w:t>DE DOS MIL VEINTI</w:t>
      </w:r>
      <w:r w:rsidR="00D44147">
        <w:rPr>
          <w:rFonts w:eastAsia="Palatino Linotype" w:cs="Palatino Linotype"/>
          <w:color w:val="000000"/>
          <w:szCs w:val="24"/>
          <w:lang w:val="es-ES_tradnl"/>
        </w:rPr>
        <w:t>TRÉS</w:t>
      </w:r>
      <w:r w:rsidRPr="00883102">
        <w:rPr>
          <w:rFonts w:eastAsia="Palatino Linotype" w:cs="Palatino Linotype"/>
          <w:color w:val="000000"/>
          <w:szCs w:val="24"/>
          <w:lang w:val="es-ES_tradnl"/>
        </w:rPr>
        <w:t>, ANTE EL SECRETARIO TÉCNICO DEL PLENO, ALEXIS TAPIA RAMÍREZ.</w:t>
      </w:r>
      <w:r w:rsidR="008E7C9A" w:rsidRPr="00883102">
        <w:rPr>
          <w:rFonts w:eastAsia="Palatino Linotype" w:cs="Palatino Linotype"/>
          <w:color w:val="000000"/>
          <w:szCs w:val="24"/>
          <w:lang w:val="es-ES_tradnl"/>
        </w:rPr>
        <w:t>---------------------------------------------------------------------------------------------------</w:t>
      </w:r>
      <w:r w:rsidR="00683B9C">
        <w:rPr>
          <w:rFonts w:eastAsia="Palatino Linotype" w:cs="Palatino Linotype"/>
          <w:color w:val="000000"/>
          <w:szCs w:val="24"/>
          <w:lang w:val="es-ES_tradnl"/>
        </w:rPr>
        <w:t>---------------------------------------------------------------------------------</w:t>
      </w:r>
      <w:r w:rsidR="00D44147">
        <w:rPr>
          <w:rFonts w:eastAsia="Palatino Linotype" w:cs="Palatino Linotype"/>
          <w:color w:val="000000"/>
          <w:szCs w:val="24"/>
          <w:lang w:val="es-ES_tradnl"/>
        </w:rPr>
        <w:t>---------------------------------</w:t>
      </w:r>
      <w:r w:rsidR="005C35E3">
        <w:rPr>
          <w:rFonts w:eastAsia="Palatino Linotype" w:cs="Palatino Linotype"/>
          <w:color w:val="000000"/>
          <w:szCs w:val="24"/>
          <w:lang w:val="es-ES_tradnl"/>
        </w:rPr>
        <w:t>---------------------------------------------------------------------------------------------------------------------------------------------------------------------------------------------------------------------------------------------------------------------------------------------------------------------------------------------------------------------------------------------</w:t>
      </w:r>
      <w:r w:rsidR="00AC7151" w:rsidRPr="00AC7151">
        <w:rPr>
          <w:rFonts w:eastAsia="Palatino Linotype" w:cs="Palatino Linotype"/>
          <w:color w:val="000000"/>
          <w:szCs w:val="24"/>
          <w:lang w:val="es-ES_tradnl"/>
        </w:rPr>
        <w:t xml:space="preserve"> </w:t>
      </w:r>
      <w:r w:rsidR="00AC7151">
        <w:rPr>
          <w:rFonts w:eastAsia="Palatino Linotype" w:cs="Palatino Linotype"/>
          <w:color w:val="000000"/>
          <w:szCs w:val="24"/>
          <w:lang w:val="es-ES_tradnl"/>
        </w:rPr>
        <w:t>-------------------------------------------------------------------------------------------------------------------------------------------------------------------------------------------------------------------------------------------------------------------------------------------------------------------------------------------------------------------------------------------------------------------------------------------------------------------------------------------------------------------------------------------------------------------------------------------------------------------------------------------------------------------------------------------------------------------------------------------------------------------------------</w:t>
      </w:r>
    </w:p>
    <w:p w14:paraId="71CF1C22" w14:textId="6630DEC2" w:rsidR="00663A37" w:rsidRPr="00883102" w:rsidRDefault="00663A37" w:rsidP="008E7C9A">
      <w:pPr>
        <w:pBdr>
          <w:top w:val="nil"/>
          <w:left w:val="nil"/>
          <w:bottom w:val="nil"/>
          <w:right w:val="nil"/>
          <w:between w:val="nil"/>
        </w:pBdr>
        <w:contextualSpacing/>
        <w:rPr>
          <w:rFonts w:eastAsia="Palatino Linotype" w:cs="Palatino Linotype"/>
          <w:color w:val="000000"/>
          <w:sz w:val="18"/>
          <w:szCs w:val="18"/>
          <w:lang w:val="es-ES_tradnl"/>
        </w:rPr>
      </w:pPr>
      <w:r w:rsidRPr="00883102">
        <w:rPr>
          <w:rFonts w:eastAsia="Palatino Linotype" w:cs="Palatino Linotype"/>
          <w:color w:val="000000"/>
          <w:sz w:val="18"/>
          <w:szCs w:val="18"/>
          <w:lang w:val="es-ES_tradnl"/>
        </w:rPr>
        <w:t>JMV/CCR/</w:t>
      </w:r>
      <w:proofErr w:type="spellStart"/>
      <w:r w:rsidRPr="00883102">
        <w:rPr>
          <w:rFonts w:eastAsia="Palatino Linotype" w:cs="Palatino Linotype"/>
          <w:color w:val="000000"/>
          <w:sz w:val="18"/>
          <w:szCs w:val="18"/>
          <w:lang w:val="es-ES_tradnl"/>
        </w:rPr>
        <w:t>fzh</w:t>
      </w:r>
      <w:proofErr w:type="spellEnd"/>
    </w:p>
    <w:p w14:paraId="31773D36"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883102" w:rsidRDefault="00D718B8" w:rsidP="00663A37">
      <w:pPr>
        <w:rPr>
          <w:sz w:val="20"/>
          <w:szCs w:val="20"/>
          <w:lang w:val="es-ES_tradnl"/>
        </w:rPr>
      </w:pPr>
    </w:p>
    <w:sectPr w:rsidR="00D718B8" w:rsidRPr="00883102" w:rsidSect="00CB4C3B">
      <w:headerReference w:type="even" r:id="rId8"/>
      <w:headerReference w:type="default" r:id="rId9"/>
      <w:footerReference w:type="default" r:id="rId10"/>
      <w:headerReference w:type="first" r:id="rId11"/>
      <w:footerReference w:type="first" r:id="rId12"/>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2C05A" w14:textId="77777777" w:rsidR="0024152B" w:rsidRDefault="0024152B" w:rsidP="00F2498E">
      <w:pPr>
        <w:spacing w:line="240" w:lineRule="auto"/>
      </w:pPr>
      <w:r>
        <w:separator/>
      </w:r>
    </w:p>
  </w:endnote>
  <w:endnote w:type="continuationSeparator" w:id="0">
    <w:p w14:paraId="2EBDDC28" w14:textId="77777777" w:rsidR="0024152B" w:rsidRDefault="0024152B"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14C71">
      <w:rPr>
        <w:rFonts w:ascii="Palatino Linotype" w:hAnsi="Palatino Linotype"/>
        <w:b/>
        <w:bCs/>
        <w:noProof/>
        <w:sz w:val="20"/>
      </w:rPr>
      <w:t>38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14C71">
      <w:rPr>
        <w:rFonts w:ascii="Palatino Linotype" w:hAnsi="Palatino Linotype"/>
        <w:b/>
        <w:bCs/>
        <w:noProof/>
        <w:sz w:val="20"/>
      </w:rPr>
      <w:t>38</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14C7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14C71">
      <w:rPr>
        <w:rFonts w:ascii="Palatino Linotype" w:hAnsi="Palatino Linotype"/>
        <w:b/>
        <w:bCs/>
        <w:noProof/>
        <w:sz w:val="20"/>
      </w:rPr>
      <w:t>38</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46F77" w14:textId="77777777" w:rsidR="0024152B" w:rsidRDefault="0024152B" w:rsidP="00F2498E">
      <w:pPr>
        <w:spacing w:line="240" w:lineRule="auto"/>
      </w:pPr>
      <w:r>
        <w:separator/>
      </w:r>
    </w:p>
  </w:footnote>
  <w:footnote w:type="continuationSeparator" w:id="0">
    <w:p w14:paraId="78D91AC5" w14:textId="77777777" w:rsidR="0024152B" w:rsidRDefault="0024152B" w:rsidP="00F2498E">
      <w:pPr>
        <w:spacing w:line="240" w:lineRule="auto"/>
      </w:pPr>
      <w:r>
        <w:continuationSeparator/>
      </w:r>
    </w:p>
  </w:footnote>
  <w:footnote w:id="1">
    <w:p w14:paraId="5A2025F9" w14:textId="77777777" w:rsidR="00A27FD0" w:rsidRDefault="00A27FD0" w:rsidP="00DE3512">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E03806">
      <w:pPr>
        <w:pBdr>
          <w:top w:val="nil"/>
          <w:left w:val="nil"/>
          <w:bottom w:val="nil"/>
          <w:right w:val="nil"/>
          <w:between w:val="nil"/>
        </w:pBdr>
        <w:spacing w:line="240" w:lineRule="auto"/>
        <w:rPr>
          <w:rFonts w:eastAsia="Palatino Linotype" w:cs="Palatino Linotype"/>
          <w:color w:val="000000"/>
          <w:sz w:val="20"/>
          <w:szCs w:val="20"/>
        </w:rPr>
      </w:pPr>
    </w:p>
    <w:p w14:paraId="0A602A29" w14:textId="77777777" w:rsidR="00A27FD0" w:rsidRDefault="00A27FD0" w:rsidP="00E03806">
      <w:pPr>
        <w:spacing w:line="240" w:lineRule="auto"/>
        <w:rPr>
          <w:rFonts w:eastAsia="Palatino Linotype" w:cs="Palatino Linotype"/>
          <w:i/>
          <w:sz w:val="20"/>
          <w:szCs w:val="20"/>
        </w:rPr>
      </w:pPr>
      <w:r>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eastAsia="Palatino Linotype" w:cs="Palatino Linotype"/>
          <w:i/>
          <w:sz w:val="20"/>
          <w:szCs w:val="20"/>
        </w:rPr>
        <w:t>Del examen de compatibilidad de los artículos </w:t>
      </w:r>
      <w:hyperlink r:id="rId1">
        <w:r>
          <w:rPr>
            <w:rFonts w:eastAsia="Palatino Linotype" w:cs="Palatino Linotype"/>
            <w:i/>
            <w:color w:val="0563C1"/>
            <w:u w:val="single"/>
          </w:rPr>
          <w:t>73 y 74 de la Ley de Amparo</w:t>
        </w:r>
      </w:hyperlink>
      <w:r>
        <w:rPr>
          <w:rFonts w:eastAsia="Palatino Linotype" w:cs="Palatino Linotype"/>
          <w:i/>
          <w:sz w:val="20"/>
          <w:szCs w:val="20"/>
        </w:rPr>
        <w:t> con el artículo </w:t>
      </w:r>
      <w:hyperlink r:id="rId2">
        <w:r>
          <w:rPr>
            <w:rFonts w:eastAsia="Palatino Linotype" w:cs="Palatino Linotype"/>
            <w:i/>
            <w:color w:val="0563C1"/>
            <w:u w:val="single"/>
          </w:rPr>
          <w:t>25.1 de la Convención Americana sobre Derechos Humanos</w:t>
        </w:r>
      </w:hyperlink>
      <w:r>
        <w:rPr>
          <w:rFonts w:eastAsia="Palatino Linotype" w:cs="Palatino Linotype"/>
          <w:i/>
          <w:sz w:val="20"/>
          <w:szCs w:val="20"/>
        </w:rPr>
        <w:t> </w:t>
      </w:r>
      <w:r>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pPr>
      <w:r>
        <w:rPr>
          <w:rStyle w:val="Refdenotaalpie"/>
        </w:rPr>
        <w:footnoteRef/>
      </w:r>
      <w:r>
        <w:t xml:space="preserve"> </w:t>
      </w:r>
      <w:r w:rsidRPr="00F5594F">
        <w:rPr>
          <w:szCs w:val="22"/>
        </w:rPr>
        <w:t>Al encontrarse en algún supuesto restrictivo, previsto en la normatividad aplicable.</w:t>
      </w:r>
    </w:p>
  </w:footnote>
  <w:footnote w:id="3">
    <w:p w14:paraId="74DDF910" w14:textId="77777777" w:rsidR="006F759B" w:rsidRPr="00891FE0" w:rsidRDefault="006F759B" w:rsidP="006F759B">
      <w:pPr>
        <w:pStyle w:val="Textonotapie"/>
        <w:rPr>
          <w:sz w:val="18"/>
          <w:szCs w:val="18"/>
        </w:rPr>
      </w:pPr>
      <w:r w:rsidRPr="00891FE0">
        <w:rPr>
          <w:rStyle w:val="Refdenotaalpie"/>
          <w:sz w:val="18"/>
          <w:szCs w:val="18"/>
        </w:rPr>
        <w:footnoteRef/>
      </w:r>
      <w:r w:rsidRPr="00891FE0">
        <w:rPr>
          <w:sz w:val="18"/>
          <w:szCs w:val="18"/>
        </w:rPr>
        <w:t xml:space="preserve"> Tesis [A.]: I.1º.A.E.133 A, T.C.C., </w:t>
      </w:r>
      <w:r w:rsidRPr="00891FE0">
        <w:rPr>
          <w:i/>
          <w:iCs/>
          <w:sz w:val="18"/>
          <w:szCs w:val="18"/>
        </w:rPr>
        <w:t>Gaceta del Semanario Judicial de la Federación</w:t>
      </w:r>
      <w:r w:rsidRPr="00891FE0">
        <w:rPr>
          <w:sz w:val="18"/>
          <w:szCs w:val="18"/>
        </w:rPr>
        <w:t>, Décima Época, libro 29, tomo III, abril de 2016, p. 2133.</w:t>
      </w:r>
    </w:p>
  </w:footnote>
  <w:footnote w:id="4">
    <w:p w14:paraId="02A8CB36" w14:textId="77777777" w:rsidR="006F759B" w:rsidRPr="00891FE0" w:rsidRDefault="006F759B" w:rsidP="006F759B">
      <w:pPr>
        <w:pStyle w:val="Textonotapie"/>
        <w:rPr>
          <w:sz w:val="18"/>
          <w:szCs w:val="18"/>
        </w:rPr>
      </w:pPr>
      <w:r w:rsidRPr="00891FE0">
        <w:rPr>
          <w:rStyle w:val="Refdenotaalpie"/>
          <w:sz w:val="18"/>
          <w:szCs w:val="18"/>
        </w:rPr>
        <w:footnoteRef/>
      </w:r>
      <w:r w:rsidRPr="00891FE0">
        <w:rPr>
          <w:sz w:val="18"/>
          <w:szCs w:val="18"/>
        </w:rPr>
        <w:t xml:space="preserve"> Tesis [A.]: I.10º.A.79 A, T.C.C., </w:t>
      </w:r>
      <w:r w:rsidRPr="00891FE0">
        <w:rPr>
          <w:i/>
          <w:iCs/>
          <w:sz w:val="18"/>
          <w:szCs w:val="18"/>
        </w:rPr>
        <w:t>Gaceta del Semanario Judicial de la Federación</w:t>
      </w:r>
      <w:r w:rsidRPr="00891FE0">
        <w:rPr>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A27FD0" w:rsidRDefault="0058789E">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line="240" w:lineRule="auto"/>
            <w:ind w:right="69"/>
            <w:jc w:val="right"/>
            <w:rPr>
              <w:rFonts w:cs="Arial"/>
              <w:b/>
              <w:szCs w:val="24"/>
            </w:rPr>
          </w:pPr>
          <w:r w:rsidRPr="00096248">
            <w:rPr>
              <w:rFonts w:cs="Arial"/>
              <w:b/>
              <w:szCs w:val="24"/>
            </w:rPr>
            <w:t>Recurso de Revisión:</w:t>
          </w:r>
        </w:p>
      </w:tc>
      <w:tc>
        <w:tcPr>
          <w:tcW w:w="4111" w:type="dxa"/>
          <w:hideMark/>
        </w:tcPr>
        <w:p w14:paraId="421B9899" w14:textId="24CC4521" w:rsidR="00A27FD0" w:rsidRPr="00096248" w:rsidRDefault="00FE1BD1" w:rsidP="00C50FCD">
          <w:pPr>
            <w:spacing w:after="120" w:line="240" w:lineRule="auto"/>
            <w:ind w:right="74"/>
            <w:jc w:val="right"/>
            <w:rPr>
              <w:rFonts w:cs="Arial"/>
              <w:b/>
              <w:szCs w:val="24"/>
            </w:rPr>
          </w:pPr>
          <w:r>
            <w:rPr>
              <w:rFonts w:cs="Arial"/>
              <w:b/>
              <w:bCs/>
              <w:szCs w:val="24"/>
            </w:rPr>
            <w:t>0</w:t>
          </w:r>
          <w:r w:rsidR="00D3007E">
            <w:rPr>
              <w:rFonts w:cs="Arial"/>
              <w:b/>
              <w:bCs/>
              <w:szCs w:val="24"/>
            </w:rPr>
            <w:t>6705</w:t>
          </w:r>
          <w:r w:rsidR="00A27FD0" w:rsidRPr="00096248">
            <w:rPr>
              <w:rFonts w:cs="Arial"/>
              <w:b/>
              <w:bCs/>
              <w:szCs w:val="24"/>
            </w:rPr>
            <w:t>/INFOEM/IP/RR/202</w:t>
          </w:r>
          <w:r>
            <w:rPr>
              <w:rFonts w:cs="Arial"/>
              <w:b/>
              <w:bCs/>
              <w:szCs w:val="24"/>
            </w:rPr>
            <w:t>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line="240" w:lineRule="auto"/>
            <w:ind w:right="69"/>
            <w:jc w:val="right"/>
            <w:rPr>
              <w:rFonts w:cs="Arial"/>
              <w:b/>
              <w:szCs w:val="24"/>
            </w:rPr>
          </w:pPr>
          <w:r w:rsidRPr="00096248">
            <w:rPr>
              <w:rFonts w:cs="Arial"/>
              <w:b/>
              <w:szCs w:val="24"/>
            </w:rPr>
            <w:t>Sujeto Obligado:</w:t>
          </w:r>
        </w:p>
      </w:tc>
      <w:tc>
        <w:tcPr>
          <w:tcW w:w="4111" w:type="dxa"/>
          <w:hideMark/>
        </w:tcPr>
        <w:p w14:paraId="283ADF36" w14:textId="4D66A75F" w:rsidR="00A27FD0" w:rsidRPr="00096248" w:rsidRDefault="004D7965" w:rsidP="00C50FCD">
          <w:pPr>
            <w:spacing w:after="120" w:line="240" w:lineRule="auto"/>
            <w:ind w:left="-68" w:right="74"/>
            <w:jc w:val="right"/>
            <w:rPr>
              <w:rFonts w:cs="Arial"/>
              <w:szCs w:val="24"/>
            </w:rPr>
          </w:pPr>
          <w:r>
            <w:rPr>
              <w:rFonts w:cs="Arial"/>
              <w:szCs w:val="24"/>
            </w:rPr>
            <w:t xml:space="preserve">Ayuntamiento de </w:t>
          </w:r>
          <w:r w:rsidR="00D3007E">
            <w:rPr>
              <w:rFonts w:cs="Arial"/>
              <w:szCs w:val="24"/>
            </w:rPr>
            <w:t>Apaxco</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line="240" w:lineRule="auto"/>
            <w:ind w:right="69"/>
            <w:jc w:val="right"/>
            <w:rPr>
              <w:rFonts w:cs="Arial"/>
              <w:b/>
              <w:szCs w:val="24"/>
            </w:rPr>
          </w:pPr>
          <w:r w:rsidRPr="00096248">
            <w:rPr>
              <w:rFonts w:cs="Arial"/>
              <w:b/>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1DCA70DC" w:rsidR="00A27FD0" w:rsidRPr="00113B50" w:rsidRDefault="0058789E">
    <w:pPr>
      <w:pStyle w:val="Encabezado"/>
      <w:rPr>
        <w:sz w:val="2"/>
        <w:szCs w:val="2"/>
      </w:rPr>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78.85pt;margin-top:-142.2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113B5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B4C3B">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3EFD58E6" w:rsidR="00A27FD0" w:rsidRPr="00096248" w:rsidRDefault="00FE1BD1" w:rsidP="00CB4C3B">
          <w:pPr>
            <w:spacing w:after="120" w:line="240" w:lineRule="auto"/>
            <w:ind w:left="-488" w:right="68" w:firstLine="556"/>
            <w:jc w:val="right"/>
            <w:rPr>
              <w:rFonts w:cs="Arial"/>
              <w:b/>
              <w:szCs w:val="24"/>
            </w:rPr>
          </w:pPr>
          <w:r>
            <w:rPr>
              <w:rFonts w:cs="Arial"/>
              <w:b/>
              <w:bCs/>
              <w:szCs w:val="24"/>
            </w:rPr>
            <w:t>0</w:t>
          </w:r>
          <w:r w:rsidR="00D3007E">
            <w:rPr>
              <w:rFonts w:cs="Arial"/>
              <w:b/>
              <w:bCs/>
              <w:szCs w:val="24"/>
            </w:rPr>
            <w:t>6705</w:t>
          </w:r>
          <w:r w:rsidR="00A27FD0" w:rsidRPr="00096248">
            <w:rPr>
              <w:rFonts w:cs="Arial"/>
              <w:b/>
              <w:bCs/>
              <w:szCs w:val="24"/>
            </w:rPr>
            <w:t>/INFOEM/IP/RR/202</w:t>
          </w:r>
          <w:r>
            <w:rPr>
              <w:rFonts w:cs="Arial"/>
              <w:b/>
              <w:bCs/>
              <w:szCs w:val="24"/>
            </w:rPr>
            <w:t>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B4C3B">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767FF31D" w:rsidR="00A27FD0" w:rsidRPr="00C50FCD" w:rsidRDefault="0058789E" w:rsidP="00CB4C3B">
          <w:pPr>
            <w:pStyle w:val="Prrafodelista"/>
            <w:spacing w:after="120"/>
            <w:ind w:left="720" w:right="68"/>
            <w:jc w:val="right"/>
            <w:rPr>
              <w:rFonts w:ascii="Palatino Linotype" w:hAnsi="Palatino Linotype" w:cs="Arial"/>
            </w:rPr>
          </w:pPr>
          <w:r>
            <w:rPr>
              <w:rFonts w:ascii="Palatino Linotype" w:hAnsi="Palatino Linotype" w:cs="Arial"/>
            </w:rPr>
            <w:t>XXXXXX</w:t>
          </w:r>
        </w:p>
      </w:tc>
    </w:tr>
    <w:tr w:rsidR="00A27FD0" w14:paraId="4DC11993" w14:textId="77777777" w:rsidTr="00096248">
      <w:trPr>
        <w:trHeight w:val="242"/>
      </w:trPr>
      <w:tc>
        <w:tcPr>
          <w:tcW w:w="5245" w:type="dxa"/>
          <w:hideMark/>
        </w:tcPr>
        <w:p w14:paraId="76CEF1B5" w14:textId="77777777" w:rsidR="00A27FD0" w:rsidRPr="00663A37" w:rsidRDefault="00A27FD0" w:rsidP="00CB4C3B">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14364476" w:rsidR="00A27FD0" w:rsidRPr="00663A37" w:rsidRDefault="004D7965" w:rsidP="00CB4C3B">
          <w:pPr>
            <w:spacing w:after="120" w:line="240" w:lineRule="auto"/>
            <w:ind w:left="-68" w:right="68"/>
            <w:jc w:val="right"/>
            <w:rPr>
              <w:rFonts w:cs="Arial"/>
              <w:szCs w:val="24"/>
            </w:rPr>
          </w:pPr>
          <w:r>
            <w:rPr>
              <w:rFonts w:cs="Arial"/>
              <w:szCs w:val="24"/>
            </w:rPr>
            <w:t xml:space="preserve">Ayuntamiento de </w:t>
          </w:r>
          <w:r w:rsidR="00D3007E">
            <w:rPr>
              <w:rFonts w:cs="Arial"/>
              <w:szCs w:val="24"/>
            </w:rPr>
            <w:t>Apaxco</w:t>
          </w:r>
        </w:p>
      </w:tc>
    </w:tr>
    <w:tr w:rsidR="00A27FD0" w14:paraId="5C2B511D" w14:textId="77777777" w:rsidTr="00096248">
      <w:trPr>
        <w:trHeight w:val="342"/>
      </w:trPr>
      <w:tc>
        <w:tcPr>
          <w:tcW w:w="5245" w:type="dxa"/>
          <w:hideMark/>
        </w:tcPr>
        <w:p w14:paraId="03FEF68C" w14:textId="45E91CF4" w:rsidR="00A27FD0" w:rsidRPr="00663A37" w:rsidRDefault="00A27FD0" w:rsidP="00CB4C3B">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A27FD0" w:rsidRPr="00663A37" w:rsidRDefault="00A27FD0" w:rsidP="00CB4C3B">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235F124F" w:rsidR="00A27FD0" w:rsidRPr="00113B50" w:rsidRDefault="0058789E">
    <w:pPr>
      <w:pStyle w:val="Encabezado"/>
      <w:rPr>
        <w:sz w:val="2"/>
        <w:szCs w:val="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78.75pt;margin-top:-142.3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113B50">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837"/>
    <w:multiLevelType w:val="multilevel"/>
    <w:tmpl w:val="111E33BC"/>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7567BD"/>
    <w:multiLevelType w:val="hybridMultilevel"/>
    <w:tmpl w:val="F1FE42F6"/>
    <w:lvl w:ilvl="0" w:tplc="B5446F6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687331"/>
    <w:multiLevelType w:val="multilevel"/>
    <w:tmpl w:val="96720FF8"/>
    <w:styleLink w:val="Listaactual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8164C8"/>
    <w:multiLevelType w:val="hybridMultilevel"/>
    <w:tmpl w:val="CAC221CC"/>
    <w:lvl w:ilvl="0" w:tplc="20F6FB6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F81F00"/>
    <w:multiLevelType w:val="hybridMultilevel"/>
    <w:tmpl w:val="72AEFA4E"/>
    <w:lvl w:ilvl="0" w:tplc="D01A0B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3A2C5E"/>
    <w:multiLevelType w:val="multilevel"/>
    <w:tmpl w:val="036484F8"/>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63318E"/>
    <w:multiLevelType w:val="multilevel"/>
    <w:tmpl w:val="DBACFA4A"/>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7F0653"/>
    <w:multiLevelType w:val="hybridMultilevel"/>
    <w:tmpl w:val="00C8663E"/>
    <w:lvl w:ilvl="0" w:tplc="7494E3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7086421">
    <w:abstractNumId w:val="8"/>
  </w:num>
  <w:num w:numId="2" w16cid:durableId="1587491147">
    <w:abstractNumId w:val="4"/>
  </w:num>
  <w:num w:numId="3" w16cid:durableId="934630629">
    <w:abstractNumId w:val="12"/>
  </w:num>
  <w:num w:numId="4" w16cid:durableId="1911844806">
    <w:abstractNumId w:val="6"/>
  </w:num>
  <w:num w:numId="5" w16cid:durableId="1025060407">
    <w:abstractNumId w:val="7"/>
  </w:num>
  <w:num w:numId="6" w16cid:durableId="1042051581">
    <w:abstractNumId w:val="2"/>
  </w:num>
  <w:num w:numId="7" w16cid:durableId="1943342235">
    <w:abstractNumId w:val="5"/>
  </w:num>
  <w:num w:numId="8" w16cid:durableId="2079933898">
    <w:abstractNumId w:val="1"/>
  </w:num>
  <w:num w:numId="9" w16cid:durableId="24256957">
    <w:abstractNumId w:val="0"/>
  </w:num>
  <w:num w:numId="10" w16cid:durableId="1352220314">
    <w:abstractNumId w:val="11"/>
  </w:num>
  <w:num w:numId="11" w16cid:durableId="1914050161">
    <w:abstractNumId w:val="10"/>
  </w:num>
  <w:num w:numId="12" w16cid:durableId="938222800">
    <w:abstractNumId w:val="3"/>
  </w:num>
  <w:num w:numId="13" w16cid:durableId="19018854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104"/>
    <w:rsid w:val="00012BEE"/>
    <w:rsid w:val="00012D78"/>
    <w:rsid w:val="00015487"/>
    <w:rsid w:val="000171BE"/>
    <w:rsid w:val="00021122"/>
    <w:rsid w:val="00021165"/>
    <w:rsid w:val="000248B1"/>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3811"/>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911"/>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44B1"/>
    <w:rsid w:val="000B51CE"/>
    <w:rsid w:val="000B5608"/>
    <w:rsid w:val="000B65C3"/>
    <w:rsid w:val="000C0203"/>
    <w:rsid w:val="000C066A"/>
    <w:rsid w:val="000C0E5D"/>
    <w:rsid w:val="000C2D59"/>
    <w:rsid w:val="000C416A"/>
    <w:rsid w:val="000C472C"/>
    <w:rsid w:val="000C4751"/>
    <w:rsid w:val="000C47B8"/>
    <w:rsid w:val="000C51AF"/>
    <w:rsid w:val="000C661C"/>
    <w:rsid w:val="000C7F8F"/>
    <w:rsid w:val="000D14DA"/>
    <w:rsid w:val="000D55D2"/>
    <w:rsid w:val="000D5634"/>
    <w:rsid w:val="000D5C00"/>
    <w:rsid w:val="000D772A"/>
    <w:rsid w:val="000E06A3"/>
    <w:rsid w:val="000E0D32"/>
    <w:rsid w:val="000E1FD4"/>
    <w:rsid w:val="000E37D0"/>
    <w:rsid w:val="000E3869"/>
    <w:rsid w:val="000E4AFE"/>
    <w:rsid w:val="000E4EBC"/>
    <w:rsid w:val="000E74D7"/>
    <w:rsid w:val="000F114E"/>
    <w:rsid w:val="000F146C"/>
    <w:rsid w:val="000F196A"/>
    <w:rsid w:val="0010147E"/>
    <w:rsid w:val="0010183E"/>
    <w:rsid w:val="00103C89"/>
    <w:rsid w:val="001050A9"/>
    <w:rsid w:val="00107256"/>
    <w:rsid w:val="001116B7"/>
    <w:rsid w:val="00112AA1"/>
    <w:rsid w:val="00113B50"/>
    <w:rsid w:val="00115495"/>
    <w:rsid w:val="00116E4B"/>
    <w:rsid w:val="00116F6B"/>
    <w:rsid w:val="001179FD"/>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4F29"/>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E7336"/>
    <w:rsid w:val="001E7FE9"/>
    <w:rsid w:val="001F2BC9"/>
    <w:rsid w:val="001F408E"/>
    <w:rsid w:val="001F4860"/>
    <w:rsid w:val="001F4EDD"/>
    <w:rsid w:val="001F57CD"/>
    <w:rsid w:val="001F5E58"/>
    <w:rsid w:val="001F7890"/>
    <w:rsid w:val="00200FAD"/>
    <w:rsid w:val="00201765"/>
    <w:rsid w:val="0020204D"/>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2B"/>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3C1"/>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3A81"/>
    <w:rsid w:val="002A4CDE"/>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1D1"/>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079C6"/>
    <w:rsid w:val="00310825"/>
    <w:rsid w:val="00312106"/>
    <w:rsid w:val="003126FB"/>
    <w:rsid w:val="00315AE3"/>
    <w:rsid w:val="00315CA2"/>
    <w:rsid w:val="00316A7B"/>
    <w:rsid w:val="0032187B"/>
    <w:rsid w:val="00323073"/>
    <w:rsid w:val="00324F09"/>
    <w:rsid w:val="0033070B"/>
    <w:rsid w:val="00331513"/>
    <w:rsid w:val="0033491A"/>
    <w:rsid w:val="0033618F"/>
    <w:rsid w:val="00337088"/>
    <w:rsid w:val="00337638"/>
    <w:rsid w:val="00340ADD"/>
    <w:rsid w:val="00341178"/>
    <w:rsid w:val="00341B42"/>
    <w:rsid w:val="003423FC"/>
    <w:rsid w:val="003446E8"/>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058F"/>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380"/>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4F0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0D46"/>
    <w:rsid w:val="004E1729"/>
    <w:rsid w:val="004E1B3C"/>
    <w:rsid w:val="004E3959"/>
    <w:rsid w:val="004E3F86"/>
    <w:rsid w:val="004E4AD1"/>
    <w:rsid w:val="004E5659"/>
    <w:rsid w:val="004E5E43"/>
    <w:rsid w:val="004E5F45"/>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464A8"/>
    <w:rsid w:val="00550ECE"/>
    <w:rsid w:val="005515F8"/>
    <w:rsid w:val="00553B9B"/>
    <w:rsid w:val="005543AF"/>
    <w:rsid w:val="00554666"/>
    <w:rsid w:val="00554BD4"/>
    <w:rsid w:val="00555819"/>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89E"/>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5E3"/>
    <w:rsid w:val="005C3BE2"/>
    <w:rsid w:val="005C3DF3"/>
    <w:rsid w:val="005C5501"/>
    <w:rsid w:val="005C7AFE"/>
    <w:rsid w:val="005D01B4"/>
    <w:rsid w:val="005D10B3"/>
    <w:rsid w:val="005D158D"/>
    <w:rsid w:val="005D22BC"/>
    <w:rsid w:val="005D2AB2"/>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4C7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17A6"/>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4CCE"/>
    <w:rsid w:val="006D6830"/>
    <w:rsid w:val="006D719C"/>
    <w:rsid w:val="006D7DF3"/>
    <w:rsid w:val="006E078A"/>
    <w:rsid w:val="006E15A2"/>
    <w:rsid w:val="006E20F9"/>
    <w:rsid w:val="006E3F38"/>
    <w:rsid w:val="006E4C8D"/>
    <w:rsid w:val="006E6076"/>
    <w:rsid w:val="006E6DD7"/>
    <w:rsid w:val="006F0222"/>
    <w:rsid w:val="006F04A3"/>
    <w:rsid w:val="006F114C"/>
    <w:rsid w:val="006F1A99"/>
    <w:rsid w:val="006F676C"/>
    <w:rsid w:val="006F74F8"/>
    <w:rsid w:val="006F759B"/>
    <w:rsid w:val="00700C90"/>
    <w:rsid w:val="00701F34"/>
    <w:rsid w:val="00702385"/>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3777D"/>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57A11"/>
    <w:rsid w:val="0076064B"/>
    <w:rsid w:val="00761BFB"/>
    <w:rsid w:val="00761C38"/>
    <w:rsid w:val="00761EE8"/>
    <w:rsid w:val="00762151"/>
    <w:rsid w:val="0076215F"/>
    <w:rsid w:val="00762D4B"/>
    <w:rsid w:val="00764010"/>
    <w:rsid w:val="00764368"/>
    <w:rsid w:val="00764B5B"/>
    <w:rsid w:val="00765287"/>
    <w:rsid w:val="00766A73"/>
    <w:rsid w:val="00766F19"/>
    <w:rsid w:val="007712C7"/>
    <w:rsid w:val="007726FA"/>
    <w:rsid w:val="0077455A"/>
    <w:rsid w:val="00776E90"/>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A74C0"/>
    <w:rsid w:val="007B28CF"/>
    <w:rsid w:val="007B4416"/>
    <w:rsid w:val="007B46BF"/>
    <w:rsid w:val="007B6DD8"/>
    <w:rsid w:val="007C05DC"/>
    <w:rsid w:val="007C0FF7"/>
    <w:rsid w:val="007C1108"/>
    <w:rsid w:val="007C14EE"/>
    <w:rsid w:val="007C3040"/>
    <w:rsid w:val="007C3BA4"/>
    <w:rsid w:val="007C63F6"/>
    <w:rsid w:val="007D07B3"/>
    <w:rsid w:val="007D1B1E"/>
    <w:rsid w:val="007D4712"/>
    <w:rsid w:val="007D5D30"/>
    <w:rsid w:val="007E09F5"/>
    <w:rsid w:val="007E18F8"/>
    <w:rsid w:val="007E38F1"/>
    <w:rsid w:val="007E3C2E"/>
    <w:rsid w:val="007E3F8B"/>
    <w:rsid w:val="007E781F"/>
    <w:rsid w:val="007F1538"/>
    <w:rsid w:val="007F1A72"/>
    <w:rsid w:val="007F3D8B"/>
    <w:rsid w:val="007F48CD"/>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0A93"/>
    <w:rsid w:val="00831D6C"/>
    <w:rsid w:val="00832F6C"/>
    <w:rsid w:val="008341ED"/>
    <w:rsid w:val="00836D7C"/>
    <w:rsid w:val="00837584"/>
    <w:rsid w:val="00841673"/>
    <w:rsid w:val="00841963"/>
    <w:rsid w:val="00842DD7"/>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1053"/>
    <w:rsid w:val="009025FB"/>
    <w:rsid w:val="009029DB"/>
    <w:rsid w:val="009038A8"/>
    <w:rsid w:val="0090753F"/>
    <w:rsid w:val="00910D32"/>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93D"/>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222E"/>
    <w:rsid w:val="0099397C"/>
    <w:rsid w:val="0099500D"/>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2E20"/>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3312"/>
    <w:rsid w:val="00A844B8"/>
    <w:rsid w:val="00A855BE"/>
    <w:rsid w:val="00A85F03"/>
    <w:rsid w:val="00A86406"/>
    <w:rsid w:val="00A86E74"/>
    <w:rsid w:val="00A87937"/>
    <w:rsid w:val="00A9014B"/>
    <w:rsid w:val="00A9016F"/>
    <w:rsid w:val="00A91058"/>
    <w:rsid w:val="00A915AB"/>
    <w:rsid w:val="00A9222E"/>
    <w:rsid w:val="00A92C7A"/>
    <w:rsid w:val="00A92DD2"/>
    <w:rsid w:val="00A93911"/>
    <w:rsid w:val="00A9392F"/>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C7151"/>
    <w:rsid w:val="00AD124D"/>
    <w:rsid w:val="00AD1EAE"/>
    <w:rsid w:val="00AD2280"/>
    <w:rsid w:val="00AD4839"/>
    <w:rsid w:val="00AD5A21"/>
    <w:rsid w:val="00AD76EF"/>
    <w:rsid w:val="00AE01F2"/>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5FE5"/>
    <w:rsid w:val="00B37176"/>
    <w:rsid w:val="00B373AA"/>
    <w:rsid w:val="00B40823"/>
    <w:rsid w:val="00B40DF9"/>
    <w:rsid w:val="00B42083"/>
    <w:rsid w:val="00B43455"/>
    <w:rsid w:val="00B435F8"/>
    <w:rsid w:val="00B4620E"/>
    <w:rsid w:val="00B46CB0"/>
    <w:rsid w:val="00B5157B"/>
    <w:rsid w:val="00B5462A"/>
    <w:rsid w:val="00B57348"/>
    <w:rsid w:val="00B577A0"/>
    <w:rsid w:val="00B61E5E"/>
    <w:rsid w:val="00B62D2B"/>
    <w:rsid w:val="00B63807"/>
    <w:rsid w:val="00B64C91"/>
    <w:rsid w:val="00B65D4D"/>
    <w:rsid w:val="00B66649"/>
    <w:rsid w:val="00B67741"/>
    <w:rsid w:val="00B75683"/>
    <w:rsid w:val="00B7667D"/>
    <w:rsid w:val="00B8179C"/>
    <w:rsid w:val="00B822DB"/>
    <w:rsid w:val="00B84A8A"/>
    <w:rsid w:val="00B90F56"/>
    <w:rsid w:val="00B91EC0"/>
    <w:rsid w:val="00B9279C"/>
    <w:rsid w:val="00B934BE"/>
    <w:rsid w:val="00B9576A"/>
    <w:rsid w:val="00B962BB"/>
    <w:rsid w:val="00BA2861"/>
    <w:rsid w:val="00BA64E7"/>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200B"/>
    <w:rsid w:val="00C83AEC"/>
    <w:rsid w:val="00C84348"/>
    <w:rsid w:val="00C8742E"/>
    <w:rsid w:val="00C90FC8"/>
    <w:rsid w:val="00C9443B"/>
    <w:rsid w:val="00C94C46"/>
    <w:rsid w:val="00C96E34"/>
    <w:rsid w:val="00C9717B"/>
    <w:rsid w:val="00C97586"/>
    <w:rsid w:val="00CA1AD6"/>
    <w:rsid w:val="00CA39B7"/>
    <w:rsid w:val="00CA3B89"/>
    <w:rsid w:val="00CA4424"/>
    <w:rsid w:val="00CA5AF6"/>
    <w:rsid w:val="00CB2149"/>
    <w:rsid w:val="00CB2159"/>
    <w:rsid w:val="00CB4BBD"/>
    <w:rsid w:val="00CB4C3B"/>
    <w:rsid w:val="00CB4C86"/>
    <w:rsid w:val="00CB5B7B"/>
    <w:rsid w:val="00CB6418"/>
    <w:rsid w:val="00CC0C48"/>
    <w:rsid w:val="00CC2C85"/>
    <w:rsid w:val="00CC3DCA"/>
    <w:rsid w:val="00CC4F1E"/>
    <w:rsid w:val="00CC5FBE"/>
    <w:rsid w:val="00CC6BC0"/>
    <w:rsid w:val="00CC7706"/>
    <w:rsid w:val="00CC7D04"/>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0ACC"/>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007E"/>
    <w:rsid w:val="00D338DB"/>
    <w:rsid w:val="00D3511F"/>
    <w:rsid w:val="00D36BE0"/>
    <w:rsid w:val="00D36DB6"/>
    <w:rsid w:val="00D3752B"/>
    <w:rsid w:val="00D40470"/>
    <w:rsid w:val="00D41147"/>
    <w:rsid w:val="00D44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49C"/>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2FED"/>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1F04"/>
    <w:rsid w:val="00DF2CB0"/>
    <w:rsid w:val="00DF383C"/>
    <w:rsid w:val="00DF4465"/>
    <w:rsid w:val="00DF451B"/>
    <w:rsid w:val="00DF5D03"/>
    <w:rsid w:val="00DF6006"/>
    <w:rsid w:val="00DF6955"/>
    <w:rsid w:val="00DF7B01"/>
    <w:rsid w:val="00E02330"/>
    <w:rsid w:val="00E03806"/>
    <w:rsid w:val="00E0443E"/>
    <w:rsid w:val="00E05FCE"/>
    <w:rsid w:val="00E076EA"/>
    <w:rsid w:val="00E11301"/>
    <w:rsid w:val="00E120FC"/>
    <w:rsid w:val="00E12C83"/>
    <w:rsid w:val="00E12D07"/>
    <w:rsid w:val="00E14BA9"/>
    <w:rsid w:val="00E1701F"/>
    <w:rsid w:val="00E2168A"/>
    <w:rsid w:val="00E22FD4"/>
    <w:rsid w:val="00E23EE3"/>
    <w:rsid w:val="00E245A1"/>
    <w:rsid w:val="00E24831"/>
    <w:rsid w:val="00E30FAD"/>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20B7"/>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00F5"/>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556F"/>
    <w:rsid w:val="00FB6398"/>
    <w:rsid w:val="00FC0741"/>
    <w:rsid w:val="00FC16AB"/>
    <w:rsid w:val="00FC3FBD"/>
    <w:rsid w:val="00FC54A4"/>
    <w:rsid w:val="00FC5CDF"/>
    <w:rsid w:val="00FD0A58"/>
    <w:rsid w:val="00FD160B"/>
    <w:rsid w:val="00FD19B7"/>
    <w:rsid w:val="00FD39C9"/>
    <w:rsid w:val="00FD3CDC"/>
    <w:rsid w:val="00FD4378"/>
    <w:rsid w:val="00FD72C2"/>
    <w:rsid w:val="00FE10DF"/>
    <w:rsid w:val="00FE1867"/>
    <w:rsid w:val="00FE1BD1"/>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C3B"/>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basedOn w:val="Normal"/>
    <w:next w:val="Normal"/>
    <w:link w:val="SinespaciadoCar"/>
    <w:uiPriority w:val="1"/>
    <w:qFormat/>
    <w:rsid w:val="007C63F6"/>
    <w:pPr>
      <w:spacing w:line="240" w:lineRule="auto"/>
      <w:ind w:left="567" w:right="567"/>
    </w:pPr>
    <w:rPr>
      <w:rFonts w:eastAsia="Palatino Linotype" w:cs="Times New Roman"/>
      <w:i/>
      <w:sz w:val="22"/>
      <w:szCs w:val="24"/>
      <w:lang w:eastAsia="es-ES"/>
    </w:rPr>
  </w:style>
  <w:style w:type="character" w:customStyle="1" w:styleId="SinespaciadoCar">
    <w:name w:val="Sin espaciado Car"/>
    <w:aliases w:val="Fundamentos Car"/>
    <w:link w:val="Sinespaciado"/>
    <w:uiPriority w:val="1"/>
    <w:locked/>
    <w:rsid w:val="007C63F6"/>
    <w:rPr>
      <w:rFonts w:ascii="Palatino Linotype" w:eastAsia="Palatino Linotype"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F100F5"/>
    <w:pPr>
      <w:numPr>
        <w:numId w:val="9"/>
      </w:numPr>
    </w:pPr>
  </w:style>
  <w:style w:type="numbering" w:customStyle="1" w:styleId="Listaactual2">
    <w:name w:val="Lista actual2"/>
    <w:uiPriority w:val="99"/>
    <w:rsid w:val="00E03806"/>
    <w:pPr>
      <w:numPr>
        <w:numId w:val="11"/>
      </w:numPr>
    </w:pPr>
  </w:style>
  <w:style w:type="numbering" w:customStyle="1" w:styleId="Listaactual3">
    <w:name w:val="Lista actual3"/>
    <w:uiPriority w:val="99"/>
    <w:rsid w:val="00BA64E7"/>
    <w:pPr>
      <w:numPr>
        <w:numId w:val="12"/>
      </w:numPr>
    </w:pPr>
  </w:style>
  <w:style w:type="numbering" w:customStyle="1" w:styleId="Listaactual4">
    <w:name w:val="Lista actual4"/>
    <w:uiPriority w:val="99"/>
    <w:rsid w:val="00BA64E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963B2-C3B9-4A32-A985-9313DBC4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38</Pages>
  <Words>10316</Words>
  <Characters>56740</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14</cp:revision>
  <cp:lastPrinted>2019-06-13T15:30:00Z</cp:lastPrinted>
  <dcterms:created xsi:type="dcterms:W3CDTF">2023-10-16T17:10:00Z</dcterms:created>
  <dcterms:modified xsi:type="dcterms:W3CDTF">2023-11-17T19:03:00Z</dcterms:modified>
</cp:coreProperties>
</file>