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9F5CD7" w14:textId="77777777" w:rsidR="00C67147" w:rsidRPr="005629FB" w:rsidRDefault="007E21D8">
      <w:pPr>
        <w:spacing w:before="240" w:after="240" w:line="360" w:lineRule="auto"/>
        <w:jc w:val="both"/>
        <w:rPr>
          <w:rFonts w:ascii="Palatino Linotype" w:eastAsia="Palatino Linotype" w:hAnsi="Palatino Linotype" w:cs="Palatino Linotype"/>
        </w:rPr>
      </w:pPr>
      <w:r w:rsidRPr="005629FB">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ocho de noviembre de dos mil veintitrés. </w:t>
      </w:r>
    </w:p>
    <w:p w14:paraId="7BB968A9" w14:textId="69836DD6" w:rsidR="00C67147" w:rsidRPr="005629FB" w:rsidRDefault="007E21D8">
      <w:pPr>
        <w:spacing w:before="240" w:after="240" w:line="360" w:lineRule="auto"/>
        <w:jc w:val="both"/>
        <w:rPr>
          <w:rFonts w:ascii="Palatino Linotype" w:eastAsia="Palatino Linotype" w:hAnsi="Palatino Linotype" w:cs="Palatino Linotype"/>
        </w:rPr>
      </w:pPr>
      <w:r w:rsidRPr="005629FB">
        <w:rPr>
          <w:rFonts w:ascii="Palatino Linotype" w:eastAsia="Palatino Linotype" w:hAnsi="Palatino Linotype" w:cs="Palatino Linotype"/>
          <w:b/>
        </w:rPr>
        <w:t>VISTO</w:t>
      </w:r>
      <w:r w:rsidRPr="005629FB">
        <w:rPr>
          <w:rFonts w:ascii="Palatino Linotype" w:eastAsia="Palatino Linotype" w:hAnsi="Palatino Linotype" w:cs="Palatino Linotype"/>
        </w:rPr>
        <w:t xml:space="preserve"> el expediente formado con motivo del recurso de revisión </w:t>
      </w:r>
      <w:r w:rsidRPr="005629FB">
        <w:rPr>
          <w:rFonts w:ascii="Palatino Linotype" w:eastAsia="Palatino Linotype" w:hAnsi="Palatino Linotype" w:cs="Palatino Linotype"/>
          <w:b/>
        </w:rPr>
        <w:t>03999/INFOEM/IP/RR/2023</w:t>
      </w:r>
      <w:r w:rsidRPr="005629FB">
        <w:rPr>
          <w:rFonts w:ascii="Palatino Linotype" w:eastAsia="Palatino Linotype" w:hAnsi="Palatino Linotype" w:cs="Palatino Linotype"/>
        </w:rPr>
        <w:t>, interpuesto por</w:t>
      </w:r>
      <w:r w:rsidRPr="005629FB">
        <w:rPr>
          <w:rFonts w:ascii="Palatino Linotype" w:eastAsia="Palatino Linotype" w:hAnsi="Palatino Linotype" w:cs="Palatino Linotype"/>
          <w:b/>
        </w:rPr>
        <w:t xml:space="preserve"> </w:t>
      </w:r>
      <w:r w:rsidR="001710E6">
        <w:rPr>
          <w:rFonts w:ascii="Palatino Linotype" w:eastAsia="Palatino Linotype" w:hAnsi="Palatino Linotype" w:cs="Palatino Linotype"/>
          <w:b/>
        </w:rPr>
        <w:t>XXXX XXXXXX XXXXXXXX</w:t>
      </w:r>
      <w:r w:rsidRPr="005629FB">
        <w:rPr>
          <w:rFonts w:ascii="Palatino Linotype" w:eastAsia="Palatino Linotype" w:hAnsi="Palatino Linotype" w:cs="Palatino Linotype"/>
          <w:b/>
        </w:rPr>
        <w:t>,</w:t>
      </w:r>
      <w:r w:rsidRPr="005629FB">
        <w:rPr>
          <w:rFonts w:ascii="Palatino Linotype" w:eastAsia="Palatino Linotype" w:hAnsi="Palatino Linotype" w:cs="Palatino Linotype"/>
        </w:rPr>
        <w:t xml:space="preserve"> en lo sucesivo la parte </w:t>
      </w:r>
      <w:r w:rsidRPr="005629FB">
        <w:rPr>
          <w:rFonts w:ascii="Palatino Linotype" w:eastAsia="Palatino Linotype" w:hAnsi="Palatino Linotype" w:cs="Palatino Linotype"/>
          <w:b/>
        </w:rPr>
        <w:t>RECURRENTE,</w:t>
      </w:r>
      <w:r w:rsidRPr="005629FB">
        <w:rPr>
          <w:rFonts w:ascii="Palatino Linotype" w:eastAsia="Palatino Linotype" w:hAnsi="Palatino Linotype" w:cs="Palatino Linotype"/>
        </w:rPr>
        <w:t xml:space="preserve"> en contra de la respuesta a su solicitud de información con número de </w:t>
      </w:r>
      <w:proofErr w:type="gramStart"/>
      <w:r w:rsidRPr="005629FB">
        <w:rPr>
          <w:rFonts w:ascii="Palatino Linotype" w:eastAsia="Palatino Linotype" w:hAnsi="Palatino Linotype" w:cs="Palatino Linotype"/>
        </w:rPr>
        <w:t>folio</w:t>
      </w:r>
      <w:r w:rsidRPr="005629FB">
        <w:rPr>
          <w:rFonts w:ascii="Palatino Linotype" w:eastAsia="Palatino Linotype" w:hAnsi="Palatino Linotype" w:cs="Palatino Linotype"/>
          <w:b/>
        </w:rPr>
        <w:t xml:space="preserve"> </w:t>
      </w:r>
      <w:r w:rsidRPr="005629FB">
        <w:rPr>
          <w:rFonts w:ascii="Verdana" w:eastAsia="Verdana" w:hAnsi="Verdana" w:cs="Verdana"/>
          <w:b/>
        </w:rPr>
        <w:t> </w:t>
      </w:r>
      <w:r w:rsidRPr="005629FB">
        <w:rPr>
          <w:rFonts w:ascii="Palatino Linotype" w:eastAsia="Palatino Linotype" w:hAnsi="Palatino Linotype" w:cs="Palatino Linotype"/>
          <w:b/>
        </w:rPr>
        <w:t>00619</w:t>
      </w:r>
      <w:proofErr w:type="gramEnd"/>
      <w:r w:rsidRPr="005629FB">
        <w:rPr>
          <w:rFonts w:ascii="Palatino Linotype" w:eastAsia="Palatino Linotype" w:hAnsi="Palatino Linotype" w:cs="Palatino Linotype"/>
          <w:b/>
        </w:rPr>
        <w:t>/PJUDICI/IP/2023,</w:t>
      </w:r>
      <w:r w:rsidRPr="005629FB">
        <w:rPr>
          <w:rFonts w:ascii="Verdana" w:eastAsia="Verdana" w:hAnsi="Verdana" w:cs="Verdana"/>
          <w:b/>
        </w:rPr>
        <w:t xml:space="preserve"> </w:t>
      </w:r>
      <w:r w:rsidRPr="005629FB">
        <w:rPr>
          <w:rFonts w:ascii="Palatino Linotype" w:eastAsia="Palatino Linotype" w:hAnsi="Palatino Linotype" w:cs="Palatino Linotype"/>
        </w:rPr>
        <w:t xml:space="preserve">por parte del </w:t>
      </w:r>
      <w:r w:rsidRPr="005629FB">
        <w:rPr>
          <w:rFonts w:ascii="Palatino Linotype" w:eastAsia="Palatino Linotype" w:hAnsi="Palatino Linotype" w:cs="Palatino Linotype"/>
          <w:b/>
        </w:rPr>
        <w:t xml:space="preserve">Poder Judicial, </w:t>
      </w:r>
      <w:r w:rsidRPr="005629FB">
        <w:rPr>
          <w:rFonts w:ascii="Palatino Linotype" w:eastAsia="Palatino Linotype" w:hAnsi="Palatino Linotype" w:cs="Palatino Linotype"/>
        </w:rPr>
        <w:t xml:space="preserve">en lo sucesivo el </w:t>
      </w:r>
      <w:r w:rsidRPr="005629FB">
        <w:rPr>
          <w:rFonts w:ascii="Palatino Linotype" w:eastAsia="Palatino Linotype" w:hAnsi="Palatino Linotype" w:cs="Palatino Linotype"/>
          <w:b/>
        </w:rPr>
        <w:t xml:space="preserve">SUJETO OBLIGADO, </w:t>
      </w:r>
      <w:r w:rsidRPr="005629FB">
        <w:rPr>
          <w:rFonts w:ascii="Palatino Linotype" w:eastAsia="Palatino Linotype" w:hAnsi="Palatino Linotype" w:cs="Palatino Linotype"/>
        </w:rPr>
        <w:t xml:space="preserve">se procede a dictar la presente resolución con base en los siguientes: </w:t>
      </w:r>
    </w:p>
    <w:p w14:paraId="12F12351" w14:textId="77777777" w:rsidR="00C67147" w:rsidRPr="005629FB" w:rsidRDefault="007E21D8">
      <w:pPr>
        <w:spacing w:before="240" w:after="240" w:line="360" w:lineRule="auto"/>
        <w:jc w:val="center"/>
        <w:rPr>
          <w:rFonts w:ascii="Palatino Linotype" w:eastAsia="Palatino Linotype" w:hAnsi="Palatino Linotype" w:cs="Palatino Linotype"/>
          <w:b/>
        </w:rPr>
      </w:pPr>
      <w:r w:rsidRPr="005629FB">
        <w:rPr>
          <w:rFonts w:ascii="Palatino Linotype" w:eastAsia="Palatino Linotype" w:hAnsi="Palatino Linotype" w:cs="Palatino Linotype"/>
          <w:b/>
        </w:rPr>
        <w:t>I. A N T E C E D E N T E S</w:t>
      </w:r>
    </w:p>
    <w:p w14:paraId="47E4A115" w14:textId="77777777" w:rsidR="00C67147" w:rsidRPr="005629FB" w:rsidRDefault="007E21D8">
      <w:pPr>
        <w:spacing w:before="240" w:after="240" w:line="360" w:lineRule="auto"/>
        <w:jc w:val="both"/>
        <w:rPr>
          <w:rFonts w:ascii="Palatino Linotype" w:eastAsia="Palatino Linotype" w:hAnsi="Palatino Linotype" w:cs="Palatino Linotype"/>
        </w:rPr>
      </w:pPr>
      <w:r w:rsidRPr="005629FB">
        <w:rPr>
          <w:rFonts w:ascii="Palatino Linotype" w:eastAsia="Palatino Linotype" w:hAnsi="Palatino Linotype" w:cs="Palatino Linotype"/>
          <w:b/>
        </w:rPr>
        <w:t>1. Solicitud de acceso a la información.</w:t>
      </w:r>
      <w:r w:rsidRPr="005629FB">
        <w:rPr>
          <w:rFonts w:ascii="Palatino Linotype" w:eastAsia="Palatino Linotype" w:hAnsi="Palatino Linotype" w:cs="Palatino Linotype"/>
        </w:rPr>
        <w:t xml:space="preserve"> Con fecha </w:t>
      </w:r>
      <w:r w:rsidRPr="005629FB">
        <w:rPr>
          <w:rFonts w:ascii="Palatino Linotype" w:eastAsia="Palatino Linotype" w:hAnsi="Palatino Linotype" w:cs="Palatino Linotype"/>
          <w:b/>
        </w:rPr>
        <w:t>cinco de junio de dos mil veintitrés,</w:t>
      </w:r>
      <w:r w:rsidRPr="005629FB">
        <w:rPr>
          <w:rFonts w:ascii="Palatino Linotype" w:eastAsia="Palatino Linotype" w:hAnsi="Palatino Linotype" w:cs="Palatino Linotype"/>
        </w:rPr>
        <w:t xml:space="preserve"> la parte </w:t>
      </w:r>
      <w:r w:rsidRPr="005629FB">
        <w:rPr>
          <w:rFonts w:ascii="Palatino Linotype" w:eastAsia="Palatino Linotype" w:hAnsi="Palatino Linotype" w:cs="Palatino Linotype"/>
          <w:b/>
        </w:rPr>
        <w:t xml:space="preserve">RECURRENTE </w:t>
      </w:r>
      <w:r w:rsidRPr="005629FB">
        <w:rPr>
          <w:rFonts w:ascii="Palatino Linotype" w:eastAsia="Palatino Linotype" w:hAnsi="Palatino Linotype" w:cs="Palatino Linotype"/>
        </w:rPr>
        <w:t xml:space="preserve">presentó, a través de la Plataforma Nacional de Transparencia vinculada con el Sistema de Acceso a la Información Mexiquense, en lo subsecuente el </w:t>
      </w:r>
      <w:r w:rsidRPr="005629FB">
        <w:rPr>
          <w:rFonts w:ascii="Palatino Linotype" w:eastAsia="Palatino Linotype" w:hAnsi="Palatino Linotype" w:cs="Palatino Linotype"/>
          <w:b/>
        </w:rPr>
        <w:t>SAIMEX,</w:t>
      </w:r>
      <w:r w:rsidRPr="005629FB">
        <w:rPr>
          <w:rFonts w:ascii="Palatino Linotype" w:eastAsia="Palatino Linotype" w:hAnsi="Palatino Linotype" w:cs="Palatino Linotype"/>
        </w:rPr>
        <w:t xml:space="preserve"> ante el </w:t>
      </w:r>
      <w:r w:rsidRPr="005629FB">
        <w:rPr>
          <w:rFonts w:ascii="Palatino Linotype" w:eastAsia="Palatino Linotype" w:hAnsi="Palatino Linotype" w:cs="Palatino Linotype"/>
          <w:b/>
        </w:rPr>
        <w:t>SUJETO OBLIGADO</w:t>
      </w:r>
      <w:r w:rsidRPr="005629FB">
        <w:rPr>
          <w:rFonts w:ascii="Palatino Linotype" w:eastAsia="Palatino Linotype" w:hAnsi="Palatino Linotype" w:cs="Palatino Linotype"/>
        </w:rPr>
        <w:t>, la solicitud de acceso a la información pública, a la que se le asignó el número</w:t>
      </w:r>
      <w:r w:rsidRPr="005629FB">
        <w:rPr>
          <w:rFonts w:ascii="Palatino Linotype" w:eastAsia="Palatino Linotype" w:hAnsi="Palatino Linotype" w:cs="Palatino Linotype"/>
          <w:b/>
        </w:rPr>
        <w:t xml:space="preserve"> 00619/PJUDICI/IP/2023, </w:t>
      </w:r>
      <w:r w:rsidRPr="005629FB">
        <w:rPr>
          <w:rFonts w:ascii="Palatino Linotype" w:eastAsia="Palatino Linotype" w:hAnsi="Palatino Linotype" w:cs="Palatino Linotype"/>
        </w:rPr>
        <w:t xml:space="preserve">mediante la cual requirió la información siguiente: </w:t>
      </w:r>
    </w:p>
    <w:p w14:paraId="2904877C" w14:textId="77777777" w:rsidR="00C67147" w:rsidRPr="005629FB" w:rsidRDefault="007E21D8">
      <w:pPr>
        <w:spacing w:before="240"/>
        <w:ind w:left="851" w:right="902"/>
        <w:jc w:val="both"/>
        <w:rPr>
          <w:rFonts w:ascii="Palatino Linotype" w:eastAsia="Palatino Linotype" w:hAnsi="Palatino Linotype" w:cs="Palatino Linotype"/>
          <w:i/>
          <w:sz w:val="22"/>
          <w:szCs w:val="22"/>
        </w:rPr>
      </w:pPr>
      <w:bookmarkStart w:id="0" w:name="_heading=h.gjdgxs" w:colFirst="0" w:colLast="0"/>
      <w:bookmarkEnd w:id="0"/>
      <w:r w:rsidRPr="005629FB">
        <w:rPr>
          <w:rFonts w:ascii="Palatino Linotype" w:eastAsia="Palatino Linotype" w:hAnsi="Palatino Linotype" w:cs="Palatino Linotype"/>
          <w:i/>
          <w:sz w:val="22"/>
          <w:szCs w:val="22"/>
        </w:rPr>
        <w:t xml:space="preserve">“Convenios, contratos o cualquier documento en el que se plasmen las tarifas que cobran las instituciones bancarias para la recepción de pagos por internet o ventanilla por concepto de pagos, derechos y/o aprovechamientos Requiero la información desglosada por banco, indicando si el cobro es al sujeto obligado, al contribuyente o usuario, o bien a ambos” </w:t>
      </w:r>
    </w:p>
    <w:p w14:paraId="2DCE6642" w14:textId="77777777" w:rsidR="00C67147" w:rsidRPr="005629FB" w:rsidRDefault="00C67147">
      <w:pPr>
        <w:spacing w:before="240"/>
        <w:ind w:left="851" w:right="902"/>
        <w:jc w:val="both"/>
        <w:rPr>
          <w:rFonts w:ascii="Palatino Linotype" w:eastAsia="Palatino Linotype" w:hAnsi="Palatino Linotype" w:cs="Palatino Linotype"/>
          <w:i/>
          <w:sz w:val="22"/>
          <w:szCs w:val="22"/>
        </w:rPr>
      </w:pPr>
    </w:p>
    <w:p w14:paraId="6235AD05" w14:textId="77777777" w:rsidR="00C67147" w:rsidRPr="005629FB" w:rsidRDefault="007E21D8">
      <w:pPr>
        <w:spacing w:line="360" w:lineRule="auto"/>
        <w:jc w:val="both"/>
        <w:rPr>
          <w:rFonts w:ascii="Palatino Linotype" w:eastAsia="Palatino Linotype" w:hAnsi="Palatino Linotype" w:cs="Palatino Linotype"/>
        </w:rPr>
      </w:pPr>
      <w:r w:rsidRPr="005629FB">
        <w:rPr>
          <w:rFonts w:ascii="Palatino Linotype" w:eastAsia="Palatino Linotype" w:hAnsi="Palatino Linotype" w:cs="Palatino Linotype"/>
          <w:b/>
        </w:rPr>
        <w:t>Modalidad de Entrega:</w:t>
      </w:r>
      <w:r w:rsidRPr="005629FB">
        <w:rPr>
          <w:rFonts w:ascii="Palatino Linotype" w:eastAsia="Palatino Linotype" w:hAnsi="Palatino Linotype" w:cs="Palatino Linotype"/>
        </w:rPr>
        <w:t xml:space="preserve"> A través de SAIMEX.</w:t>
      </w:r>
    </w:p>
    <w:p w14:paraId="403B77C0" w14:textId="77777777" w:rsidR="00C67147" w:rsidRPr="005629FB" w:rsidRDefault="007E21D8">
      <w:pPr>
        <w:spacing w:line="360" w:lineRule="auto"/>
        <w:jc w:val="both"/>
        <w:rPr>
          <w:rFonts w:ascii="Palatino Linotype" w:eastAsia="Palatino Linotype" w:hAnsi="Palatino Linotype" w:cs="Palatino Linotype"/>
        </w:rPr>
      </w:pPr>
      <w:r w:rsidRPr="005629FB">
        <w:rPr>
          <w:rFonts w:ascii="Palatino Linotype" w:eastAsia="Palatino Linotype" w:hAnsi="Palatino Linotype" w:cs="Palatino Linotype"/>
          <w:noProof/>
          <w:lang w:val="es-MX"/>
        </w:rPr>
        <w:lastRenderedPageBreak/>
        <w:drawing>
          <wp:inline distT="114300" distB="114300" distL="114300" distR="114300" wp14:anchorId="6372C1F8" wp14:editId="44884101">
            <wp:extent cx="5612130" cy="635000"/>
            <wp:effectExtent l="0" t="0" r="0" b="0"/>
            <wp:docPr id="14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612130" cy="635000"/>
                    </a:xfrm>
                    <a:prstGeom prst="rect">
                      <a:avLst/>
                    </a:prstGeom>
                    <a:ln/>
                  </pic:spPr>
                </pic:pic>
              </a:graphicData>
            </a:graphic>
          </wp:inline>
        </w:drawing>
      </w:r>
    </w:p>
    <w:p w14:paraId="446DDFE9" w14:textId="77777777" w:rsidR="00C67147" w:rsidRPr="005629FB" w:rsidRDefault="007E21D8">
      <w:pPr>
        <w:spacing w:after="240" w:line="360" w:lineRule="auto"/>
        <w:jc w:val="both"/>
        <w:rPr>
          <w:rFonts w:ascii="Palatino Linotype" w:eastAsia="Palatino Linotype" w:hAnsi="Palatino Linotype" w:cs="Palatino Linotype"/>
          <w:b/>
        </w:rPr>
      </w:pPr>
      <w:r w:rsidRPr="005629FB">
        <w:rPr>
          <w:rFonts w:ascii="Palatino Linotype" w:eastAsia="Palatino Linotype" w:hAnsi="Palatino Linotype" w:cs="Palatino Linotype"/>
          <w:b/>
        </w:rPr>
        <w:t xml:space="preserve">2. Solicitud de Aclaración, </w:t>
      </w:r>
      <w:r w:rsidRPr="005629FB">
        <w:rPr>
          <w:rFonts w:ascii="Palatino Linotype" w:eastAsia="Palatino Linotype" w:hAnsi="Palatino Linotype" w:cs="Palatino Linotype"/>
        </w:rPr>
        <w:t xml:space="preserve">Con fecha siete de junio del dos mil veintitrés el </w:t>
      </w:r>
      <w:r w:rsidRPr="005629FB">
        <w:rPr>
          <w:rFonts w:ascii="Palatino Linotype" w:eastAsia="Palatino Linotype" w:hAnsi="Palatino Linotype" w:cs="Palatino Linotype"/>
          <w:b/>
        </w:rPr>
        <w:t>SUJETO OBLIGADO</w:t>
      </w:r>
      <w:r w:rsidRPr="005629FB">
        <w:rPr>
          <w:rFonts w:ascii="Palatino Linotype" w:eastAsia="Palatino Linotype" w:hAnsi="Palatino Linotype" w:cs="Palatino Linotype"/>
        </w:rPr>
        <w:t>, requirió al particular que complemente y/o aclare su solicitud, la cual versa como sigue:</w:t>
      </w:r>
    </w:p>
    <w:p w14:paraId="4633BB58" w14:textId="77777777" w:rsidR="00C67147" w:rsidRPr="005629FB" w:rsidRDefault="007E21D8">
      <w:pPr>
        <w:ind w:left="851" w:right="900"/>
        <w:jc w:val="both"/>
        <w:rPr>
          <w:rFonts w:ascii="Palatino Linotype" w:eastAsia="Palatino Linotype" w:hAnsi="Palatino Linotype" w:cs="Palatino Linotype"/>
          <w:i/>
          <w:sz w:val="22"/>
          <w:szCs w:val="22"/>
        </w:rPr>
      </w:pPr>
      <w:r w:rsidRPr="005629FB">
        <w:rPr>
          <w:rFonts w:ascii="Palatino Linotype" w:eastAsia="Palatino Linotype" w:hAnsi="Palatino Linotype" w:cs="Palatino Linotype"/>
          <w:i/>
          <w:sz w:val="22"/>
          <w:szCs w:val="22"/>
        </w:rPr>
        <w:t xml:space="preserve">“Con fundamento en el </w:t>
      </w:r>
      <w:proofErr w:type="spellStart"/>
      <w:r w:rsidRPr="005629FB">
        <w:rPr>
          <w:rFonts w:ascii="Palatino Linotype" w:eastAsia="Palatino Linotype" w:hAnsi="Palatino Linotype" w:cs="Palatino Linotype"/>
          <w:i/>
          <w:sz w:val="22"/>
          <w:szCs w:val="22"/>
        </w:rPr>
        <w:t>articulo</w:t>
      </w:r>
      <w:proofErr w:type="spellEnd"/>
      <w:r w:rsidRPr="005629FB">
        <w:rPr>
          <w:rFonts w:ascii="Palatino Linotype" w:eastAsia="Palatino Linotype" w:hAnsi="Palatino Linotype" w:cs="Palatino Linotype"/>
          <w:i/>
          <w:sz w:val="22"/>
          <w:szCs w:val="22"/>
        </w:rPr>
        <w:t xml:space="preserve"> 159 de la Ley de Transparencia y Acceso a la Información Pública del Estado de México y Municipios, se le requiere para que dentro del plazo de diez días hábiles realice lo siguiente:</w:t>
      </w:r>
    </w:p>
    <w:p w14:paraId="49A706AB" w14:textId="25A1D5F5" w:rsidR="00C67147" w:rsidRPr="005629FB" w:rsidRDefault="007E21D8">
      <w:pPr>
        <w:ind w:left="851" w:right="900"/>
        <w:jc w:val="both"/>
        <w:rPr>
          <w:rFonts w:ascii="Palatino Linotype" w:eastAsia="Palatino Linotype" w:hAnsi="Palatino Linotype" w:cs="Palatino Linotype"/>
          <w:i/>
          <w:sz w:val="22"/>
          <w:szCs w:val="22"/>
        </w:rPr>
      </w:pPr>
      <w:r w:rsidRPr="005629FB">
        <w:rPr>
          <w:rFonts w:ascii="Palatino Linotype" w:eastAsia="Palatino Linotype" w:hAnsi="Palatino Linotype" w:cs="Palatino Linotype"/>
          <w:i/>
          <w:sz w:val="22"/>
          <w:szCs w:val="22"/>
        </w:rPr>
        <w:t xml:space="preserve">APRECIABLE </w:t>
      </w:r>
      <w:r w:rsidR="001710E6">
        <w:rPr>
          <w:rFonts w:ascii="Palatino Linotype" w:eastAsia="Palatino Linotype" w:hAnsi="Palatino Linotype" w:cs="Palatino Linotype"/>
          <w:i/>
          <w:sz w:val="22"/>
          <w:szCs w:val="22"/>
        </w:rPr>
        <w:t>XXXXXXXXXXX</w:t>
      </w:r>
      <w:r w:rsidRPr="005629FB">
        <w:rPr>
          <w:rFonts w:ascii="Palatino Linotype" w:eastAsia="Palatino Linotype" w:hAnsi="Palatino Linotype" w:cs="Palatino Linotype"/>
          <w:i/>
          <w:sz w:val="22"/>
          <w:szCs w:val="22"/>
        </w:rPr>
        <w:t xml:space="preserve">: Visto el contenido de su solicitud de información y a fin de dar atención, se le requiere para que dentro del plazo de 10 (diez) días hábiles contados a partir del día siguiente de la presente notificación, </w:t>
      </w:r>
      <w:r w:rsidRPr="005629FB">
        <w:rPr>
          <w:rFonts w:ascii="Palatino Linotype" w:eastAsia="Palatino Linotype" w:hAnsi="Palatino Linotype" w:cs="Palatino Linotype"/>
          <w:b/>
          <w:i/>
          <w:sz w:val="22"/>
          <w:szCs w:val="22"/>
        </w:rPr>
        <w:t>proporcione mayores datos que permitan atender puntualmente su solicitud a en relación a su pedimento</w:t>
      </w:r>
      <w:r w:rsidRPr="005629FB">
        <w:rPr>
          <w:rFonts w:ascii="Palatino Linotype" w:eastAsia="Palatino Linotype" w:hAnsi="Palatino Linotype" w:cs="Palatino Linotype"/>
          <w:i/>
          <w:sz w:val="22"/>
          <w:szCs w:val="22"/>
        </w:rPr>
        <w:t xml:space="preserve"> “Convenios, contratos o cualquier documento en el que se plasmen las tarifas que cobran las instituciones bancarias para la recepción de pagos por internet o ventanilla por concepto de pagos, derechos y/o aprovechamientos. Requiero la información desglosada por banco, indicando si el cobro es al sujeto obligado, al contribuyente o usuario, o bien a </w:t>
      </w:r>
      <w:proofErr w:type="gramStart"/>
      <w:r w:rsidRPr="005629FB">
        <w:rPr>
          <w:rFonts w:ascii="Palatino Linotype" w:eastAsia="Palatino Linotype" w:hAnsi="Palatino Linotype" w:cs="Palatino Linotype"/>
          <w:i/>
          <w:sz w:val="22"/>
          <w:szCs w:val="22"/>
        </w:rPr>
        <w:t>ambos”(</w:t>
      </w:r>
      <w:proofErr w:type="gramEnd"/>
      <w:r w:rsidRPr="005629FB">
        <w:rPr>
          <w:rFonts w:ascii="Palatino Linotype" w:eastAsia="Palatino Linotype" w:hAnsi="Palatino Linotype" w:cs="Palatino Linotype"/>
          <w:i/>
          <w:sz w:val="22"/>
          <w:szCs w:val="22"/>
        </w:rPr>
        <w:t xml:space="preserve">Sic), </w:t>
      </w:r>
      <w:r w:rsidRPr="005629FB">
        <w:rPr>
          <w:rFonts w:ascii="Palatino Linotype" w:eastAsia="Palatino Linotype" w:hAnsi="Palatino Linotype" w:cs="Palatino Linotype"/>
          <w:b/>
          <w:i/>
          <w:sz w:val="22"/>
          <w:szCs w:val="22"/>
        </w:rPr>
        <w:t>para ello deberá precisar sobre que conceptos refiere que se le haga sabedor sobre las tarifas que cobran las instituciones bancarias o respecto de que concepto hace referencia</w:t>
      </w:r>
      <w:r w:rsidRPr="005629FB">
        <w:rPr>
          <w:rFonts w:ascii="Palatino Linotype" w:eastAsia="Palatino Linotype" w:hAnsi="Palatino Linotype" w:cs="Palatino Linotype"/>
          <w:i/>
          <w:sz w:val="22"/>
          <w:szCs w:val="22"/>
        </w:rPr>
        <w:t>?; esto con la finalidad de precisar la información solicitada y en su caso estar en posibilidad de entregar la información que le resulta de su utilidad. Lo anterior, con fundamento en el artículo 159 de la Ley de Transparencia y Acceso a la Información Pública del Estado de México y Municipios. Sin más por el momento reciba un cordial saludo. A T E N T A M E N T E M. EN D. JOSÉ EDGAR MARÍN PÉREZ TITULAR DE LA UNIDAD DE TRANSPARENCIA</w:t>
      </w:r>
    </w:p>
    <w:p w14:paraId="27B7B6F3" w14:textId="77777777" w:rsidR="00C67147" w:rsidRPr="005629FB" w:rsidRDefault="007E21D8">
      <w:pPr>
        <w:ind w:left="851" w:right="900"/>
        <w:jc w:val="both"/>
        <w:rPr>
          <w:rFonts w:ascii="Palatino Linotype" w:eastAsia="Palatino Linotype" w:hAnsi="Palatino Linotype" w:cs="Palatino Linotype"/>
          <w:i/>
          <w:sz w:val="22"/>
          <w:szCs w:val="22"/>
        </w:rPr>
      </w:pPr>
      <w:r w:rsidRPr="005629FB">
        <w:rPr>
          <w:rFonts w:ascii="Palatino Linotype" w:eastAsia="Palatino Linotype" w:hAnsi="Palatino Linotype" w:cs="Palatino Linotype"/>
          <w:i/>
          <w:sz w:val="22"/>
          <w:szCs w:val="22"/>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14:paraId="4DF2402C" w14:textId="77777777" w:rsidR="00C67147" w:rsidRPr="005629FB" w:rsidRDefault="007E21D8">
      <w:pPr>
        <w:ind w:left="851" w:right="900"/>
        <w:jc w:val="both"/>
        <w:rPr>
          <w:rFonts w:ascii="Palatino Linotype" w:eastAsia="Palatino Linotype" w:hAnsi="Palatino Linotype" w:cs="Palatino Linotype"/>
          <w:i/>
          <w:sz w:val="22"/>
          <w:szCs w:val="22"/>
        </w:rPr>
      </w:pPr>
      <w:r w:rsidRPr="005629FB">
        <w:rPr>
          <w:rFonts w:ascii="Palatino Linotype" w:eastAsia="Palatino Linotype" w:hAnsi="Palatino Linotype" w:cs="Palatino Linotype"/>
          <w:i/>
          <w:sz w:val="22"/>
          <w:szCs w:val="22"/>
        </w:rPr>
        <w:t>ATENTAMENTE</w:t>
      </w:r>
    </w:p>
    <w:p w14:paraId="6194C527" w14:textId="77777777" w:rsidR="00C67147" w:rsidRPr="005629FB" w:rsidRDefault="007E21D8">
      <w:pPr>
        <w:ind w:left="851" w:right="900"/>
        <w:jc w:val="both"/>
        <w:rPr>
          <w:rFonts w:ascii="Palatino Linotype" w:eastAsia="Palatino Linotype" w:hAnsi="Palatino Linotype" w:cs="Palatino Linotype"/>
          <w:i/>
          <w:sz w:val="22"/>
          <w:szCs w:val="22"/>
        </w:rPr>
      </w:pPr>
      <w:r w:rsidRPr="005629FB">
        <w:rPr>
          <w:rFonts w:ascii="Palatino Linotype" w:eastAsia="Palatino Linotype" w:hAnsi="Palatino Linotype" w:cs="Palatino Linotype"/>
          <w:i/>
          <w:sz w:val="22"/>
          <w:szCs w:val="22"/>
        </w:rPr>
        <w:t>ING. JESUS EMMANUEL ENCASTIN RENDON” (Sic)</w:t>
      </w:r>
    </w:p>
    <w:p w14:paraId="235C5BF6" w14:textId="77777777" w:rsidR="00C67147" w:rsidRPr="005629FB" w:rsidRDefault="00C67147">
      <w:pPr>
        <w:ind w:left="851" w:right="900"/>
        <w:jc w:val="both"/>
        <w:rPr>
          <w:rFonts w:ascii="Palatino Linotype" w:eastAsia="Palatino Linotype" w:hAnsi="Palatino Linotype" w:cs="Palatino Linotype"/>
          <w:i/>
          <w:sz w:val="22"/>
          <w:szCs w:val="22"/>
        </w:rPr>
      </w:pPr>
    </w:p>
    <w:p w14:paraId="2940AA56" w14:textId="77777777" w:rsidR="00C67147" w:rsidRPr="005629FB" w:rsidRDefault="007E21D8">
      <w:pPr>
        <w:spacing w:line="360" w:lineRule="auto"/>
        <w:jc w:val="both"/>
        <w:rPr>
          <w:rFonts w:ascii="Palatino Linotype" w:eastAsia="Palatino Linotype" w:hAnsi="Palatino Linotype" w:cs="Palatino Linotype"/>
        </w:rPr>
      </w:pPr>
      <w:r w:rsidRPr="005629FB">
        <w:rPr>
          <w:rFonts w:ascii="Palatino Linotype" w:eastAsia="Palatino Linotype" w:hAnsi="Palatino Linotype" w:cs="Palatino Linotype"/>
          <w:b/>
        </w:rPr>
        <w:lastRenderedPageBreak/>
        <w:t xml:space="preserve">3. Aclaración de Solicitud. </w:t>
      </w:r>
      <w:r w:rsidRPr="005629FB">
        <w:rPr>
          <w:rFonts w:ascii="Palatino Linotype" w:eastAsia="Palatino Linotype" w:hAnsi="Palatino Linotype" w:cs="Palatino Linotype"/>
        </w:rPr>
        <w:t>De las constancias que obran en el expediente electrónico del SAIMEX, se advierte que el solicitante en fecha veinte de junio del año dos mil veintidós, desahogó su aclaración en los siguientes términos:</w:t>
      </w:r>
    </w:p>
    <w:p w14:paraId="30D36109" w14:textId="77777777" w:rsidR="00C67147" w:rsidRPr="005629FB" w:rsidRDefault="00C67147">
      <w:pPr>
        <w:spacing w:line="360" w:lineRule="auto"/>
        <w:jc w:val="both"/>
        <w:rPr>
          <w:rFonts w:ascii="Palatino Linotype" w:eastAsia="Palatino Linotype" w:hAnsi="Palatino Linotype" w:cs="Palatino Linotype"/>
        </w:rPr>
      </w:pPr>
    </w:p>
    <w:p w14:paraId="383E6E29" w14:textId="77777777" w:rsidR="00C67147" w:rsidRPr="005629FB" w:rsidRDefault="007E21D8">
      <w:pPr>
        <w:ind w:left="851" w:right="900"/>
        <w:jc w:val="both"/>
        <w:rPr>
          <w:rFonts w:ascii="Palatino Linotype" w:eastAsia="Palatino Linotype" w:hAnsi="Palatino Linotype" w:cs="Palatino Linotype"/>
          <w:i/>
          <w:sz w:val="22"/>
          <w:szCs w:val="22"/>
        </w:rPr>
      </w:pPr>
      <w:r w:rsidRPr="005629FB">
        <w:rPr>
          <w:rFonts w:ascii="Palatino Linotype" w:eastAsia="Palatino Linotype" w:hAnsi="Palatino Linotype" w:cs="Palatino Linotype"/>
          <w:i/>
          <w:sz w:val="22"/>
          <w:szCs w:val="22"/>
        </w:rPr>
        <w:t xml:space="preserve">“Me refiero a lo que las instituciones bancarias le cobran al PJEDOMEX o bien a sus usuarios por el concepto de </w:t>
      </w:r>
      <w:proofErr w:type="spellStart"/>
      <w:r w:rsidRPr="005629FB">
        <w:rPr>
          <w:rFonts w:ascii="Palatino Linotype" w:eastAsia="Palatino Linotype" w:hAnsi="Palatino Linotype" w:cs="Palatino Linotype"/>
          <w:i/>
          <w:sz w:val="22"/>
          <w:szCs w:val="22"/>
        </w:rPr>
        <w:t>DPA's</w:t>
      </w:r>
      <w:proofErr w:type="spellEnd"/>
      <w:r w:rsidRPr="005629FB">
        <w:rPr>
          <w:rFonts w:ascii="Palatino Linotype" w:eastAsia="Palatino Linotype" w:hAnsi="Palatino Linotype" w:cs="Palatino Linotype"/>
          <w:i/>
          <w:sz w:val="22"/>
          <w:szCs w:val="22"/>
        </w:rPr>
        <w:t>, es decir y sólo como ejemplo, cuánto cobran las instituciones bancarias por recibir depósitos a favor del PJEDOMEX -circular 34/2020.” (Sic)</w:t>
      </w:r>
    </w:p>
    <w:p w14:paraId="4E14F735" w14:textId="77777777" w:rsidR="00C67147" w:rsidRPr="005629FB" w:rsidRDefault="00C67147">
      <w:pPr>
        <w:spacing w:after="240" w:line="360" w:lineRule="auto"/>
        <w:jc w:val="both"/>
        <w:rPr>
          <w:rFonts w:ascii="Palatino Linotype" w:eastAsia="Palatino Linotype" w:hAnsi="Palatino Linotype" w:cs="Palatino Linotype"/>
          <w:b/>
        </w:rPr>
      </w:pPr>
    </w:p>
    <w:p w14:paraId="155C7DB4" w14:textId="77777777" w:rsidR="00C67147" w:rsidRPr="005629FB" w:rsidRDefault="007E21D8">
      <w:pPr>
        <w:spacing w:after="240" w:line="360" w:lineRule="auto"/>
        <w:jc w:val="both"/>
        <w:rPr>
          <w:rFonts w:ascii="Palatino Linotype" w:eastAsia="Palatino Linotype" w:hAnsi="Palatino Linotype" w:cs="Palatino Linotype"/>
        </w:rPr>
      </w:pPr>
      <w:r w:rsidRPr="005629FB">
        <w:rPr>
          <w:rFonts w:ascii="Palatino Linotype" w:eastAsia="Palatino Linotype" w:hAnsi="Palatino Linotype" w:cs="Palatino Linotype"/>
        </w:rPr>
        <w:t>El particular, adjuntó a su desahogó de aclaración el siguiente archivo electrónico:</w:t>
      </w:r>
    </w:p>
    <w:p w14:paraId="184F26E1" w14:textId="77777777" w:rsidR="00C67147" w:rsidRPr="005629FB" w:rsidRDefault="007E21D8">
      <w:pPr>
        <w:spacing w:after="240" w:line="360" w:lineRule="auto"/>
        <w:jc w:val="both"/>
        <w:rPr>
          <w:rFonts w:ascii="Palatino Linotype" w:eastAsia="Palatino Linotype" w:hAnsi="Palatino Linotype" w:cs="Palatino Linotype"/>
        </w:rPr>
      </w:pPr>
      <w:r w:rsidRPr="005629FB">
        <w:rPr>
          <w:rFonts w:ascii="Palatino Linotype" w:eastAsia="Palatino Linotype" w:hAnsi="Palatino Linotype" w:cs="Palatino Linotype"/>
        </w:rPr>
        <w:t>“</w:t>
      </w:r>
      <w:hyperlink r:id="rId9">
        <w:r w:rsidRPr="005629FB">
          <w:rPr>
            <w:rFonts w:ascii="Palatino Linotype" w:eastAsia="Palatino Linotype" w:hAnsi="Palatino Linotype" w:cs="Palatino Linotype"/>
          </w:rPr>
          <w:t>1687294122817.34-2020.pdf</w:t>
        </w:r>
      </w:hyperlink>
      <w:r w:rsidRPr="005629FB">
        <w:rPr>
          <w:rFonts w:ascii="Palatino Linotype" w:eastAsia="Palatino Linotype" w:hAnsi="Palatino Linotype" w:cs="Palatino Linotype"/>
        </w:rPr>
        <w:t xml:space="preserve">”, el cual contiene la circular número 34/2020 del Poder Judicial por medio del cual se aprobaron las modificaciones y adiciones a los lineamientos de recepción, remisión y devolución de finanzas, depósitos y garantías del Poder Judicial del Estado de México. </w:t>
      </w:r>
    </w:p>
    <w:p w14:paraId="2F9339F7" w14:textId="77777777" w:rsidR="00C67147" w:rsidRPr="005629FB" w:rsidRDefault="007E21D8">
      <w:pPr>
        <w:spacing w:after="240" w:line="360" w:lineRule="auto"/>
        <w:jc w:val="both"/>
        <w:rPr>
          <w:rFonts w:ascii="Palatino Linotype" w:eastAsia="Palatino Linotype" w:hAnsi="Palatino Linotype" w:cs="Palatino Linotype"/>
          <w:b/>
        </w:rPr>
      </w:pPr>
      <w:r w:rsidRPr="005629FB">
        <w:rPr>
          <w:rFonts w:ascii="Palatino Linotype" w:eastAsia="Palatino Linotype" w:hAnsi="Palatino Linotype" w:cs="Palatino Linotype"/>
          <w:b/>
        </w:rPr>
        <w:t xml:space="preserve">4. Respuesta. </w:t>
      </w:r>
      <w:r w:rsidRPr="005629FB">
        <w:rPr>
          <w:rFonts w:ascii="Palatino Linotype" w:eastAsia="Palatino Linotype" w:hAnsi="Palatino Linotype" w:cs="Palatino Linotype"/>
        </w:rPr>
        <w:t xml:space="preserve">Con fecha </w:t>
      </w:r>
      <w:r w:rsidRPr="005629FB">
        <w:rPr>
          <w:rFonts w:ascii="Palatino Linotype" w:eastAsia="Palatino Linotype" w:hAnsi="Palatino Linotype" w:cs="Palatino Linotype"/>
          <w:b/>
        </w:rPr>
        <w:t>cuatro de julio de dos mil veintitrés</w:t>
      </w:r>
      <w:r w:rsidRPr="005629FB">
        <w:rPr>
          <w:rFonts w:ascii="Palatino Linotype" w:eastAsia="Palatino Linotype" w:hAnsi="Palatino Linotype" w:cs="Palatino Linotype"/>
        </w:rPr>
        <w:t xml:space="preserve">, el </w:t>
      </w:r>
      <w:r w:rsidRPr="005629FB">
        <w:rPr>
          <w:rFonts w:ascii="Palatino Linotype" w:eastAsia="Palatino Linotype" w:hAnsi="Palatino Linotype" w:cs="Palatino Linotype"/>
          <w:b/>
        </w:rPr>
        <w:t xml:space="preserve">SUJETO OBLIGADO </w:t>
      </w:r>
      <w:r w:rsidRPr="005629FB">
        <w:rPr>
          <w:rFonts w:ascii="Palatino Linotype" w:eastAsia="Palatino Linotype" w:hAnsi="Palatino Linotype" w:cs="Palatino Linotype"/>
        </w:rPr>
        <w:t xml:space="preserve">envió su respuesta a la solicitud de acceso a la información a través de SAIMEX, sustancialmente en los términos siguientes:   </w:t>
      </w:r>
    </w:p>
    <w:p w14:paraId="3E23835C" w14:textId="3F24BCE8" w:rsidR="00C67147" w:rsidRPr="005629FB" w:rsidRDefault="007E21D8">
      <w:pPr>
        <w:spacing w:before="240" w:after="240"/>
        <w:ind w:left="851" w:right="902"/>
        <w:jc w:val="both"/>
        <w:rPr>
          <w:rFonts w:ascii="Palatino Linotype" w:eastAsia="Palatino Linotype" w:hAnsi="Palatino Linotype" w:cs="Palatino Linotype"/>
          <w:i/>
          <w:sz w:val="22"/>
          <w:szCs w:val="22"/>
        </w:rPr>
      </w:pPr>
      <w:r w:rsidRPr="005629FB">
        <w:rPr>
          <w:rFonts w:ascii="Palatino Linotype" w:eastAsia="Palatino Linotype" w:hAnsi="Palatino Linotype" w:cs="Palatino Linotype"/>
          <w:i/>
          <w:sz w:val="22"/>
          <w:szCs w:val="22"/>
        </w:rPr>
        <w:t xml:space="preserve">“…APRECIABLE </w:t>
      </w:r>
      <w:r w:rsidR="001710E6">
        <w:rPr>
          <w:rFonts w:ascii="Palatino Linotype" w:eastAsia="Palatino Linotype" w:hAnsi="Palatino Linotype" w:cs="Palatino Linotype"/>
          <w:i/>
          <w:sz w:val="22"/>
          <w:szCs w:val="22"/>
        </w:rPr>
        <w:t>XXXXXXXXXXX</w:t>
      </w:r>
      <w:r w:rsidRPr="005629FB">
        <w:rPr>
          <w:rFonts w:ascii="Palatino Linotype" w:eastAsia="Palatino Linotype" w:hAnsi="Palatino Linotype" w:cs="Palatino Linotype"/>
          <w:i/>
          <w:sz w:val="22"/>
          <w:szCs w:val="22"/>
        </w:rPr>
        <w:t>, POR ESTE MEDIO SE ENVÍA EN ARCHIVO ADJUNTO LA RESPUESTA A SU SOLICITUD DE INFORMACIÓN. SIN MÁS POR EL MOMENTO, RECIBA UN CORDIAL SALUDO...” (Sic)</w:t>
      </w:r>
    </w:p>
    <w:p w14:paraId="737336F6" w14:textId="77777777" w:rsidR="00C67147" w:rsidRPr="005629FB" w:rsidRDefault="007E21D8">
      <w:pPr>
        <w:spacing w:before="240" w:after="240" w:line="360" w:lineRule="auto"/>
        <w:ind w:right="49"/>
        <w:jc w:val="both"/>
        <w:rPr>
          <w:rFonts w:ascii="Palatino Linotype" w:eastAsia="Palatino Linotype" w:hAnsi="Palatino Linotype" w:cs="Palatino Linotype"/>
          <w:b/>
        </w:rPr>
      </w:pPr>
      <w:r w:rsidRPr="005629FB">
        <w:rPr>
          <w:rFonts w:ascii="Palatino Linotype" w:eastAsia="Palatino Linotype" w:hAnsi="Palatino Linotype" w:cs="Palatino Linotype"/>
          <w:b/>
        </w:rPr>
        <w:t>El SUJETO OBLIGADO, adjuntó a su respuesta los siguientes archivos electrónicos:</w:t>
      </w:r>
    </w:p>
    <w:p w14:paraId="261073B4" w14:textId="77777777" w:rsidR="00C67147" w:rsidRPr="005629FB" w:rsidRDefault="007E21D8">
      <w:pPr>
        <w:spacing w:before="240" w:after="240" w:line="360" w:lineRule="auto"/>
        <w:ind w:right="49"/>
        <w:jc w:val="both"/>
        <w:rPr>
          <w:rFonts w:ascii="Palatino Linotype" w:eastAsia="Palatino Linotype" w:hAnsi="Palatino Linotype" w:cs="Palatino Linotype"/>
        </w:rPr>
      </w:pPr>
      <w:r w:rsidRPr="005629FB">
        <w:rPr>
          <w:rFonts w:ascii="Palatino Linotype" w:eastAsia="Palatino Linotype" w:hAnsi="Palatino Linotype" w:cs="Palatino Linotype"/>
        </w:rPr>
        <w:t>“</w:t>
      </w:r>
      <w:hyperlink r:id="rId10">
        <w:r w:rsidRPr="005629FB">
          <w:rPr>
            <w:rFonts w:ascii="Palatino Linotype" w:eastAsia="Palatino Linotype" w:hAnsi="Palatino Linotype" w:cs="Palatino Linotype"/>
          </w:rPr>
          <w:t>RESPUESTA 00619.pdf</w:t>
        </w:r>
      </w:hyperlink>
      <w:r w:rsidRPr="005629FB">
        <w:rPr>
          <w:rFonts w:ascii="Palatino Linotype" w:eastAsia="Palatino Linotype" w:hAnsi="Palatino Linotype" w:cs="Palatino Linotype"/>
        </w:rPr>
        <w:t xml:space="preserve">”, por medio del cual el Titular de la Unidad de Transparencia del </w:t>
      </w:r>
      <w:r w:rsidRPr="005629FB">
        <w:rPr>
          <w:rFonts w:ascii="Palatino Linotype" w:eastAsia="Palatino Linotype" w:hAnsi="Palatino Linotype" w:cs="Palatino Linotype"/>
          <w:b/>
        </w:rPr>
        <w:t>SUJETO OBLIGADO</w:t>
      </w:r>
      <w:r w:rsidRPr="005629FB">
        <w:rPr>
          <w:rFonts w:ascii="Palatino Linotype" w:eastAsia="Palatino Linotype" w:hAnsi="Palatino Linotype" w:cs="Palatino Linotype"/>
        </w:rPr>
        <w:t>, informó al solicitante lo siguiente:</w:t>
      </w:r>
    </w:p>
    <w:p w14:paraId="60338F70" w14:textId="77777777" w:rsidR="00C67147" w:rsidRPr="005629FB" w:rsidRDefault="007E21D8">
      <w:pPr>
        <w:spacing w:before="240" w:after="240"/>
        <w:ind w:left="851" w:right="902"/>
        <w:jc w:val="both"/>
        <w:rPr>
          <w:rFonts w:ascii="Palatino Linotype" w:eastAsia="Palatino Linotype" w:hAnsi="Palatino Linotype" w:cs="Palatino Linotype"/>
          <w:i/>
          <w:sz w:val="22"/>
          <w:szCs w:val="22"/>
        </w:rPr>
      </w:pPr>
      <w:r w:rsidRPr="005629FB">
        <w:rPr>
          <w:rFonts w:ascii="Palatino Linotype" w:eastAsia="Palatino Linotype" w:hAnsi="Palatino Linotype" w:cs="Palatino Linotype"/>
          <w:i/>
          <w:sz w:val="22"/>
          <w:szCs w:val="22"/>
        </w:rPr>
        <w:lastRenderedPageBreak/>
        <w:t xml:space="preserve">“…Por lo que en términos del artículo 159 de la Ley de Transparencia y Acceso a la Información Pública del Estado de México y Municipios, se le </w:t>
      </w:r>
      <w:proofErr w:type="spellStart"/>
      <w:r w:rsidRPr="005629FB">
        <w:rPr>
          <w:rFonts w:ascii="Palatino Linotype" w:eastAsia="Palatino Linotype" w:hAnsi="Palatino Linotype" w:cs="Palatino Linotype"/>
          <w:i/>
          <w:sz w:val="22"/>
          <w:szCs w:val="22"/>
        </w:rPr>
        <w:t>requierió</w:t>
      </w:r>
      <w:proofErr w:type="spellEnd"/>
      <w:r w:rsidRPr="005629FB">
        <w:rPr>
          <w:rFonts w:ascii="Palatino Linotype" w:eastAsia="Palatino Linotype" w:hAnsi="Palatino Linotype" w:cs="Palatino Linotype"/>
          <w:i/>
          <w:sz w:val="22"/>
          <w:szCs w:val="22"/>
        </w:rPr>
        <w:t xml:space="preserve"> para que dentro del plazo de diez días hábiles realizara precisiones a su pedimento, en relación a precisar sobre que conceptos refiere que se le haga sabedor sobre las tarifas que cobran las instituciones bancarias o respecto de que concepto hace referencia?; esto con la finalidad de estar en posibilidad de entregar la información que le resulta de su utilidad. </w:t>
      </w:r>
    </w:p>
    <w:p w14:paraId="3512ADBB" w14:textId="77777777" w:rsidR="00C67147" w:rsidRPr="005629FB" w:rsidRDefault="007E21D8">
      <w:pPr>
        <w:spacing w:before="240" w:after="240"/>
        <w:ind w:left="851" w:right="902"/>
        <w:jc w:val="both"/>
        <w:rPr>
          <w:rFonts w:ascii="Palatino Linotype" w:eastAsia="Palatino Linotype" w:hAnsi="Palatino Linotype" w:cs="Palatino Linotype"/>
          <w:i/>
          <w:sz w:val="22"/>
          <w:szCs w:val="22"/>
        </w:rPr>
      </w:pPr>
      <w:r w:rsidRPr="005629FB">
        <w:rPr>
          <w:rFonts w:ascii="Palatino Linotype" w:eastAsia="Palatino Linotype" w:hAnsi="Palatino Linotype" w:cs="Palatino Linotype"/>
          <w:i/>
          <w:sz w:val="22"/>
          <w:szCs w:val="22"/>
        </w:rPr>
        <w:t xml:space="preserve">En ese tenor al desahogar la vista que se le peticionó, el solicitante en tiempo y forma hizo saber que: </w:t>
      </w:r>
    </w:p>
    <w:p w14:paraId="289FA3F2" w14:textId="77777777" w:rsidR="00C67147" w:rsidRPr="005629FB" w:rsidRDefault="007E21D8">
      <w:pPr>
        <w:spacing w:before="240" w:after="240"/>
        <w:ind w:left="851" w:right="902"/>
        <w:jc w:val="both"/>
        <w:rPr>
          <w:rFonts w:ascii="Palatino Linotype" w:eastAsia="Palatino Linotype" w:hAnsi="Palatino Linotype" w:cs="Palatino Linotype"/>
          <w:i/>
          <w:sz w:val="22"/>
          <w:szCs w:val="22"/>
        </w:rPr>
      </w:pPr>
      <w:r w:rsidRPr="005629FB">
        <w:rPr>
          <w:rFonts w:ascii="Palatino Linotype" w:eastAsia="Palatino Linotype" w:hAnsi="Palatino Linotype" w:cs="Palatino Linotype"/>
          <w:i/>
          <w:sz w:val="22"/>
          <w:szCs w:val="22"/>
        </w:rPr>
        <w:t xml:space="preserve">“Me refiero a lo que las instituciones bancarias le cobran al PJEDOMEX o bien a sus usuarios por el concepto de </w:t>
      </w:r>
      <w:proofErr w:type="spellStart"/>
      <w:r w:rsidRPr="005629FB">
        <w:rPr>
          <w:rFonts w:ascii="Palatino Linotype" w:eastAsia="Palatino Linotype" w:hAnsi="Palatino Linotype" w:cs="Palatino Linotype"/>
          <w:i/>
          <w:sz w:val="22"/>
          <w:szCs w:val="22"/>
        </w:rPr>
        <w:t>DPA's</w:t>
      </w:r>
      <w:proofErr w:type="spellEnd"/>
      <w:r w:rsidRPr="005629FB">
        <w:rPr>
          <w:rFonts w:ascii="Palatino Linotype" w:eastAsia="Palatino Linotype" w:hAnsi="Palatino Linotype" w:cs="Palatino Linotype"/>
          <w:i/>
          <w:sz w:val="22"/>
          <w:szCs w:val="22"/>
        </w:rPr>
        <w:t xml:space="preserve">, es decir y sólo como ejemplo, cuánto cobran las instituciones bancarias por recibir depósitos a favor del PJEDOMEX -circular 34/2020.” </w:t>
      </w:r>
    </w:p>
    <w:p w14:paraId="0F61398F" w14:textId="77777777" w:rsidR="00C67147" w:rsidRPr="005629FB" w:rsidRDefault="007E21D8">
      <w:pPr>
        <w:spacing w:before="240" w:after="240"/>
        <w:ind w:left="851" w:right="902"/>
        <w:jc w:val="both"/>
        <w:rPr>
          <w:rFonts w:ascii="Palatino Linotype" w:eastAsia="Palatino Linotype" w:hAnsi="Palatino Linotype" w:cs="Palatino Linotype"/>
          <w:i/>
          <w:sz w:val="22"/>
          <w:szCs w:val="22"/>
        </w:rPr>
      </w:pPr>
      <w:r w:rsidRPr="005629FB">
        <w:rPr>
          <w:rFonts w:ascii="Palatino Linotype" w:eastAsia="Palatino Linotype" w:hAnsi="Palatino Linotype" w:cs="Palatino Linotype"/>
          <w:i/>
          <w:sz w:val="22"/>
          <w:szCs w:val="22"/>
        </w:rPr>
        <w:t xml:space="preserve">Atento a lo manifestado y acorde a los depósitos que hace referencia, el área encargada resulta ser </w:t>
      </w:r>
      <w:r w:rsidRPr="005629FB">
        <w:rPr>
          <w:rFonts w:ascii="Palatino Linotype" w:eastAsia="Palatino Linotype" w:hAnsi="Palatino Linotype" w:cs="Palatino Linotype"/>
          <w:b/>
          <w:i/>
          <w:sz w:val="22"/>
          <w:szCs w:val="22"/>
        </w:rPr>
        <w:t xml:space="preserve">la Dirección del Fondo Auxiliar para la Administración de Justicia la competente de rendir la información, mismo que por conducto del servidor </w:t>
      </w:r>
      <w:proofErr w:type="spellStart"/>
      <w:r w:rsidRPr="005629FB">
        <w:rPr>
          <w:rFonts w:ascii="Palatino Linotype" w:eastAsia="Palatino Linotype" w:hAnsi="Palatino Linotype" w:cs="Palatino Linotype"/>
          <w:b/>
          <w:i/>
          <w:sz w:val="22"/>
          <w:szCs w:val="22"/>
        </w:rPr>
        <w:t>publico</w:t>
      </w:r>
      <w:proofErr w:type="spellEnd"/>
      <w:r w:rsidRPr="005629FB">
        <w:rPr>
          <w:rFonts w:ascii="Palatino Linotype" w:eastAsia="Palatino Linotype" w:hAnsi="Palatino Linotype" w:cs="Palatino Linotype"/>
          <w:b/>
          <w:i/>
          <w:sz w:val="22"/>
          <w:szCs w:val="22"/>
        </w:rPr>
        <w:t xml:space="preserve"> habilitado, informa a esta Unidad de Transparencia, remitiendo copia simple del contrato, en el cual se encuentran las tarifas que cobra la institución bancaria para la recepción de los depósitos a favor de este sujeto obligado</w:t>
      </w:r>
      <w:r w:rsidRPr="005629FB">
        <w:rPr>
          <w:rFonts w:ascii="Palatino Linotype" w:eastAsia="Palatino Linotype" w:hAnsi="Palatino Linotype" w:cs="Palatino Linotype"/>
          <w:i/>
          <w:sz w:val="22"/>
          <w:szCs w:val="22"/>
        </w:rPr>
        <w:t>. Por tanto se adjunta copia simple del mismo en la respuesta</w:t>
      </w:r>
      <w:proofErr w:type="gramStart"/>
      <w:r w:rsidRPr="005629FB">
        <w:rPr>
          <w:rFonts w:ascii="Palatino Linotype" w:eastAsia="Palatino Linotype" w:hAnsi="Palatino Linotype" w:cs="Palatino Linotype"/>
          <w:i/>
          <w:sz w:val="22"/>
          <w:szCs w:val="22"/>
        </w:rPr>
        <w:t>…”(</w:t>
      </w:r>
      <w:proofErr w:type="gramEnd"/>
      <w:r w:rsidRPr="005629FB">
        <w:rPr>
          <w:rFonts w:ascii="Palatino Linotype" w:eastAsia="Palatino Linotype" w:hAnsi="Palatino Linotype" w:cs="Palatino Linotype"/>
          <w:i/>
          <w:sz w:val="22"/>
          <w:szCs w:val="22"/>
        </w:rPr>
        <w:t>Sic)</w:t>
      </w:r>
    </w:p>
    <w:p w14:paraId="1FE9D0BC" w14:textId="77777777" w:rsidR="00C67147" w:rsidRPr="005629FB" w:rsidRDefault="00C67147">
      <w:pPr>
        <w:spacing w:before="240" w:after="240" w:line="360" w:lineRule="auto"/>
        <w:ind w:right="49"/>
        <w:jc w:val="both"/>
        <w:rPr>
          <w:rFonts w:ascii="Palatino Linotype" w:eastAsia="Palatino Linotype" w:hAnsi="Palatino Linotype" w:cs="Palatino Linotype"/>
        </w:rPr>
      </w:pPr>
    </w:p>
    <w:p w14:paraId="67F96F19" w14:textId="77777777" w:rsidR="00C67147" w:rsidRPr="005629FB" w:rsidRDefault="007E21D8">
      <w:pPr>
        <w:spacing w:before="240" w:after="240" w:line="360" w:lineRule="auto"/>
        <w:ind w:right="49"/>
        <w:jc w:val="both"/>
        <w:rPr>
          <w:rFonts w:ascii="Palatino Linotype" w:eastAsia="Palatino Linotype" w:hAnsi="Palatino Linotype" w:cs="Palatino Linotype"/>
        </w:rPr>
      </w:pPr>
      <w:r w:rsidRPr="005629FB">
        <w:rPr>
          <w:rFonts w:ascii="Palatino Linotype" w:eastAsia="Palatino Linotype" w:hAnsi="Palatino Linotype" w:cs="Palatino Linotype"/>
        </w:rPr>
        <w:t>“</w:t>
      </w:r>
      <w:hyperlink r:id="rId11">
        <w:r w:rsidRPr="005629FB">
          <w:rPr>
            <w:rFonts w:ascii="Palatino Linotype" w:eastAsia="Palatino Linotype" w:hAnsi="Palatino Linotype" w:cs="Palatino Linotype"/>
          </w:rPr>
          <w:t>619 RESP Contrato Banamex.pdf</w:t>
        </w:r>
      </w:hyperlink>
      <w:r w:rsidRPr="005629FB">
        <w:rPr>
          <w:rFonts w:ascii="Palatino Linotype" w:eastAsia="Palatino Linotype" w:hAnsi="Palatino Linotype" w:cs="Palatino Linotype"/>
        </w:rPr>
        <w:t xml:space="preserve">.”, el cual contiene el contrato de afiliación de negocios para la aceptación de tarjetas entre el Poder Judicial y una Institución Bancaria denominada BANAMEX, es donde se estipula la contraprestación por la prestación de diversos servicios ofrecidos por la Institución Bancaria y el porcentaje del pago que deberá cubrir el </w:t>
      </w:r>
      <w:r w:rsidRPr="005629FB">
        <w:rPr>
          <w:rFonts w:ascii="Palatino Linotype" w:eastAsia="Palatino Linotype" w:hAnsi="Palatino Linotype" w:cs="Palatino Linotype"/>
          <w:b/>
        </w:rPr>
        <w:t>SUJETO OBLIGADO</w:t>
      </w:r>
      <w:r w:rsidRPr="005629FB">
        <w:rPr>
          <w:rFonts w:ascii="Palatino Linotype" w:eastAsia="Palatino Linotype" w:hAnsi="Palatino Linotype" w:cs="Palatino Linotype"/>
        </w:rPr>
        <w:t xml:space="preserve"> por dicho servicios, constante de cinco fojas. </w:t>
      </w:r>
    </w:p>
    <w:p w14:paraId="6727F1C3" w14:textId="77777777" w:rsidR="00C67147" w:rsidRPr="005629FB" w:rsidRDefault="007E21D8">
      <w:pPr>
        <w:spacing w:before="240" w:after="240" w:line="360" w:lineRule="auto"/>
        <w:ind w:right="49"/>
        <w:jc w:val="both"/>
        <w:rPr>
          <w:rFonts w:ascii="Palatino Linotype" w:eastAsia="Palatino Linotype" w:hAnsi="Palatino Linotype" w:cs="Palatino Linotype"/>
        </w:rPr>
      </w:pPr>
      <w:r w:rsidRPr="005629FB">
        <w:rPr>
          <w:rFonts w:ascii="Palatino Linotype" w:eastAsia="Palatino Linotype" w:hAnsi="Palatino Linotype" w:cs="Palatino Linotype"/>
          <w:b/>
        </w:rPr>
        <w:t xml:space="preserve">5. Interposición del recurso de revisión. </w:t>
      </w:r>
      <w:r w:rsidRPr="005629FB">
        <w:rPr>
          <w:rFonts w:ascii="Palatino Linotype" w:eastAsia="Palatino Linotype" w:hAnsi="Palatino Linotype" w:cs="Palatino Linotype"/>
        </w:rPr>
        <w:t xml:space="preserve">Inconforme con los términos de la respuesta emitida por parte del </w:t>
      </w:r>
      <w:r w:rsidRPr="005629FB">
        <w:rPr>
          <w:rFonts w:ascii="Palatino Linotype" w:eastAsia="Palatino Linotype" w:hAnsi="Palatino Linotype" w:cs="Palatino Linotype"/>
          <w:b/>
        </w:rPr>
        <w:t>SUJETO OBLIGADO</w:t>
      </w:r>
      <w:r w:rsidRPr="005629FB">
        <w:rPr>
          <w:rFonts w:ascii="Palatino Linotype" w:eastAsia="Palatino Linotype" w:hAnsi="Palatino Linotype" w:cs="Palatino Linotype"/>
        </w:rPr>
        <w:t xml:space="preserve">, el </w:t>
      </w:r>
      <w:r w:rsidRPr="005629FB">
        <w:rPr>
          <w:rFonts w:ascii="Palatino Linotype" w:eastAsia="Palatino Linotype" w:hAnsi="Palatino Linotype" w:cs="Palatino Linotype"/>
          <w:b/>
        </w:rPr>
        <w:t xml:space="preserve">siete de julio del dos mil </w:t>
      </w:r>
      <w:r w:rsidRPr="005629FB">
        <w:rPr>
          <w:rFonts w:ascii="Palatino Linotype" w:eastAsia="Palatino Linotype" w:hAnsi="Palatino Linotype" w:cs="Palatino Linotype"/>
          <w:b/>
        </w:rPr>
        <w:lastRenderedPageBreak/>
        <w:t>veintitrés,</w:t>
      </w:r>
      <w:r w:rsidRPr="005629FB">
        <w:rPr>
          <w:rFonts w:ascii="Palatino Linotype" w:eastAsia="Palatino Linotype" w:hAnsi="Palatino Linotype" w:cs="Palatino Linotype"/>
        </w:rPr>
        <w:t xml:space="preserve"> la parte recurrente interpuso el recurso de revisión a través de </w:t>
      </w:r>
      <w:r w:rsidRPr="005629FB">
        <w:rPr>
          <w:rFonts w:ascii="Palatino Linotype" w:eastAsia="Palatino Linotype" w:hAnsi="Palatino Linotype" w:cs="Palatino Linotype"/>
          <w:b/>
        </w:rPr>
        <w:t xml:space="preserve">SAIMEX, </w:t>
      </w:r>
      <w:r w:rsidRPr="005629FB">
        <w:rPr>
          <w:rFonts w:ascii="Palatino Linotype" w:eastAsia="Palatino Linotype" w:hAnsi="Palatino Linotype" w:cs="Palatino Linotype"/>
        </w:rPr>
        <w:t>en donde se manifestó de la siguiente manera:</w:t>
      </w:r>
    </w:p>
    <w:p w14:paraId="0272C453" w14:textId="77777777" w:rsidR="00C67147" w:rsidRPr="005629FB" w:rsidRDefault="007E21D8">
      <w:pPr>
        <w:tabs>
          <w:tab w:val="left" w:pos="2745"/>
        </w:tabs>
        <w:spacing w:before="240" w:after="240" w:line="360" w:lineRule="auto"/>
        <w:jc w:val="both"/>
        <w:rPr>
          <w:rFonts w:ascii="Palatino Linotype" w:eastAsia="Palatino Linotype" w:hAnsi="Palatino Linotype" w:cs="Palatino Linotype"/>
          <w:b/>
        </w:rPr>
      </w:pPr>
      <w:r w:rsidRPr="005629FB">
        <w:rPr>
          <w:rFonts w:ascii="Palatino Linotype" w:eastAsia="Palatino Linotype" w:hAnsi="Palatino Linotype" w:cs="Palatino Linotype"/>
          <w:b/>
        </w:rPr>
        <w:t xml:space="preserve">Acto impugnado: </w:t>
      </w:r>
      <w:r w:rsidRPr="005629FB">
        <w:rPr>
          <w:rFonts w:ascii="Palatino Linotype" w:eastAsia="Palatino Linotype" w:hAnsi="Palatino Linotype" w:cs="Palatino Linotype"/>
          <w:b/>
        </w:rPr>
        <w:tab/>
      </w:r>
    </w:p>
    <w:p w14:paraId="07E248A5" w14:textId="77777777" w:rsidR="00C67147" w:rsidRPr="005629FB" w:rsidRDefault="007E21D8">
      <w:pPr>
        <w:ind w:left="851" w:right="902"/>
        <w:jc w:val="both"/>
        <w:rPr>
          <w:rFonts w:ascii="Palatino Linotype" w:eastAsia="Palatino Linotype" w:hAnsi="Palatino Linotype" w:cs="Palatino Linotype"/>
          <w:i/>
          <w:sz w:val="22"/>
          <w:szCs w:val="22"/>
        </w:rPr>
      </w:pPr>
      <w:r w:rsidRPr="005629FB">
        <w:rPr>
          <w:rFonts w:ascii="Palatino Linotype" w:eastAsia="Palatino Linotype" w:hAnsi="Palatino Linotype" w:cs="Palatino Linotype"/>
          <w:i/>
          <w:sz w:val="22"/>
          <w:szCs w:val="22"/>
        </w:rPr>
        <w:t>“Se recurre la respuesta otorgada” (Sic)</w:t>
      </w:r>
    </w:p>
    <w:p w14:paraId="0F09A708" w14:textId="77777777" w:rsidR="00C67147" w:rsidRPr="005629FB" w:rsidRDefault="00C67147">
      <w:pPr>
        <w:spacing w:line="360" w:lineRule="auto"/>
        <w:jc w:val="both"/>
        <w:rPr>
          <w:rFonts w:ascii="Palatino Linotype" w:eastAsia="Palatino Linotype" w:hAnsi="Palatino Linotype" w:cs="Palatino Linotype"/>
          <w:b/>
        </w:rPr>
      </w:pPr>
    </w:p>
    <w:p w14:paraId="00599426" w14:textId="77777777" w:rsidR="00C67147" w:rsidRPr="005629FB" w:rsidRDefault="007E21D8">
      <w:pPr>
        <w:spacing w:line="360" w:lineRule="auto"/>
        <w:jc w:val="both"/>
        <w:rPr>
          <w:rFonts w:ascii="Palatino Linotype" w:eastAsia="Palatino Linotype" w:hAnsi="Palatino Linotype" w:cs="Palatino Linotype"/>
        </w:rPr>
      </w:pPr>
      <w:r w:rsidRPr="005629FB">
        <w:rPr>
          <w:rFonts w:ascii="Palatino Linotype" w:eastAsia="Palatino Linotype" w:hAnsi="Palatino Linotype" w:cs="Palatino Linotype"/>
          <w:b/>
        </w:rPr>
        <w:t>Y Razones o motivos de inconformidad</w:t>
      </w:r>
      <w:r w:rsidRPr="005629FB">
        <w:rPr>
          <w:rFonts w:ascii="Palatino Linotype" w:eastAsia="Palatino Linotype" w:hAnsi="Palatino Linotype" w:cs="Palatino Linotype"/>
        </w:rPr>
        <w:t>:</w:t>
      </w:r>
    </w:p>
    <w:p w14:paraId="07952D85" w14:textId="77777777" w:rsidR="00C67147" w:rsidRPr="005629FB" w:rsidRDefault="007E21D8">
      <w:pPr>
        <w:ind w:left="851" w:right="902"/>
        <w:jc w:val="both"/>
        <w:rPr>
          <w:rFonts w:ascii="Palatino Linotype" w:eastAsia="Palatino Linotype" w:hAnsi="Palatino Linotype" w:cs="Palatino Linotype"/>
          <w:b/>
          <w:i/>
          <w:sz w:val="22"/>
          <w:szCs w:val="22"/>
        </w:rPr>
      </w:pPr>
      <w:bookmarkStart w:id="1" w:name="_heading=h.30j0zll" w:colFirst="0" w:colLast="0"/>
      <w:bookmarkEnd w:id="1"/>
      <w:r w:rsidRPr="005629FB">
        <w:rPr>
          <w:rFonts w:ascii="Palatino Linotype" w:eastAsia="Palatino Linotype" w:hAnsi="Palatino Linotype" w:cs="Palatino Linotype"/>
          <w:i/>
          <w:sz w:val="22"/>
          <w:szCs w:val="22"/>
        </w:rPr>
        <w:t xml:space="preserve"> “</w:t>
      </w:r>
      <w:r w:rsidRPr="005629FB">
        <w:rPr>
          <w:rFonts w:ascii="Palatino Linotype" w:eastAsia="Palatino Linotype" w:hAnsi="Palatino Linotype" w:cs="Palatino Linotype"/>
          <w:b/>
          <w:i/>
          <w:sz w:val="22"/>
          <w:szCs w:val="22"/>
        </w:rPr>
        <w:t xml:space="preserve">Sólo se me entrega las tarifas que se cobran por el uso de </w:t>
      </w:r>
      <w:proofErr w:type="spellStart"/>
      <w:r w:rsidRPr="005629FB">
        <w:rPr>
          <w:rFonts w:ascii="Palatino Linotype" w:eastAsia="Palatino Linotype" w:hAnsi="Palatino Linotype" w:cs="Palatino Linotype"/>
          <w:b/>
          <w:i/>
          <w:sz w:val="22"/>
          <w:szCs w:val="22"/>
        </w:rPr>
        <w:t>TPV's</w:t>
      </w:r>
      <w:proofErr w:type="spellEnd"/>
      <w:r w:rsidRPr="005629FB">
        <w:rPr>
          <w:rFonts w:ascii="Palatino Linotype" w:eastAsia="Palatino Linotype" w:hAnsi="Palatino Linotype" w:cs="Palatino Linotype"/>
          <w:b/>
          <w:i/>
          <w:sz w:val="22"/>
          <w:szCs w:val="22"/>
        </w:rPr>
        <w:t xml:space="preserve"> en sitio; pero no me realizan la entrega de las tarifas que pagan o cobran por depósitos en efectivo -ejemplo circular 34/2020, numeral 4 y 5-” (Sic)</w:t>
      </w:r>
    </w:p>
    <w:p w14:paraId="00FFE987" w14:textId="77777777" w:rsidR="00C67147" w:rsidRPr="005629FB" w:rsidRDefault="00C67147">
      <w:pPr>
        <w:ind w:left="851" w:right="902"/>
        <w:jc w:val="both"/>
        <w:rPr>
          <w:rFonts w:ascii="Palatino Linotype" w:eastAsia="Palatino Linotype" w:hAnsi="Palatino Linotype" w:cs="Palatino Linotype"/>
          <w:i/>
          <w:sz w:val="22"/>
          <w:szCs w:val="22"/>
        </w:rPr>
      </w:pPr>
    </w:p>
    <w:p w14:paraId="74AE8B9A" w14:textId="77777777" w:rsidR="00C67147" w:rsidRPr="005629FB" w:rsidRDefault="007E21D8">
      <w:pPr>
        <w:spacing w:line="360" w:lineRule="auto"/>
        <w:ind w:right="51"/>
        <w:jc w:val="both"/>
        <w:rPr>
          <w:rFonts w:ascii="Palatino Linotype" w:eastAsia="Palatino Linotype" w:hAnsi="Palatino Linotype" w:cs="Palatino Linotype"/>
        </w:rPr>
      </w:pPr>
      <w:r w:rsidRPr="005629FB">
        <w:rPr>
          <w:rFonts w:ascii="Palatino Linotype" w:eastAsia="Palatino Linotype" w:hAnsi="Palatino Linotype" w:cs="Palatino Linotype"/>
          <w:b/>
        </w:rPr>
        <w:t xml:space="preserve">6. Turno. </w:t>
      </w:r>
      <w:r w:rsidRPr="005629FB">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5629FB">
        <w:rPr>
          <w:rFonts w:ascii="Palatino Linotype" w:eastAsia="Palatino Linotype" w:hAnsi="Palatino Linotype" w:cs="Palatino Linotype"/>
          <w:b/>
        </w:rPr>
        <w:t xml:space="preserve">Guadalupe Ramírez Peña, </w:t>
      </w:r>
      <w:r w:rsidRPr="005629FB">
        <w:rPr>
          <w:rFonts w:ascii="Palatino Linotype" w:eastAsia="Palatino Linotype" w:hAnsi="Palatino Linotype" w:cs="Palatino Linotype"/>
        </w:rPr>
        <w:t xml:space="preserve">a efecto de que analizara sobre su admisión o su </w:t>
      </w:r>
      <w:proofErr w:type="spellStart"/>
      <w:r w:rsidRPr="005629FB">
        <w:rPr>
          <w:rFonts w:ascii="Palatino Linotype" w:eastAsia="Palatino Linotype" w:hAnsi="Palatino Linotype" w:cs="Palatino Linotype"/>
        </w:rPr>
        <w:t>desechamiento</w:t>
      </w:r>
      <w:proofErr w:type="spellEnd"/>
      <w:r w:rsidRPr="005629FB">
        <w:rPr>
          <w:rFonts w:ascii="Palatino Linotype" w:eastAsia="Palatino Linotype" w:hAnsi="Palatino Linotype" w:cs="Palatino Linotype"/>
        </w:rPr>
        <w:t>.</w:t>
      </w:r>
    </w:p>
    <w:p w14:paraId="672E88A6" w14:textId="77777777" w:rsidR="00C67147" w:rsidRPr="005629FB" w:rsidRDefault="00C67147">
      <w:pPr>
        <w:spacing w:line="360" w:lineRule="auto"/>
        <w:ind w:right="51"/>
        <w:jc w:val="both"/>
        <w:rPr>
          <w:rFonts w:ascii="Palatino Linotype" w:eastAsia="Palatino Linotype" w:hAnsi="Palatino Linotype" w:cs="Palatino Linotype"/>
        </w:rPr>
      </w:pPr>
    </w:p>
    <w:p w14:paraId="7F3D2C2E" w14:textId="77777777" w:rsidR="00C67147" w:rsidRPr="005629FB" w:rsidRDefault="007E21D8">
      <w:pPr>
        <w:spacing w:after="240" w:line="360" w:lineRule="auto"/>
        <w:jc w:val="both"/>
        <w:rPr>
          <w:rFonts w:ascii="Palatino Linotype" w:eastAsia="Palatino Linotype" w:hAnsi="Palatino Linotype" w:cs="Palatino Linotype"/>
        </w:rPr>
      </w:pPr>
      <w:r w:rsidRPr="005629FB">
        <w:rPr>
          <w:rFonts w:ascii="Palatino Linotype" w:eastAsia="Palatino Linotype" w:hAnsi="Palatino Linotype" w:cs="Palatino Linotype"/>
          <w:b/>
        </w:rPr>
        <w:t>7. Admisión del Recurso de revisión.</w:t>
      </w:r>
      <w:r w:rsidRPr="005629FB">
        <w:rPr>
          <w:rFonts w:ascii="Palatino Linotype" w:eastAsia="Palatino Linotype" w:hAnsi="Palatino Linotype" w:cs="Palatino Linotype"/>
        </w:rPr>
        <w:t xml:space="preserve"> Con fecha</w:t>
      </w:r>
      <w:r w:rsidRPr="005629FB">
        <w:rPr>
          <w:rFonts w:ascii="Palatino Linotype" w:eastAsia="Palatino Linotype" w:hAnsi="Palatino Linotype" w:cs="Palatino Linotype"/>
          <w:b/>
        </w:rPr>
        <w:t xml:space="preserve"> doce de julio de dos mil veintitrés, </w:t>
      </w:r>
      <w:r w:rsidRPr="005629FB">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5629FB">
        <w:rPr>
          <w:rFonts w:ascii="Palatino Linotype" w:eastAsia="Palatino Linotype" w:hAnsi="Palatino Linotype" w:cs="Palatino Linotype"/>
          <w:b/>
        </w:rPr>
        <w:t xml:space="preserve">SUJETO OBLIGADO </w:t>
      </w:r>
      <w:r w:rsidRPr="005629FB">
        <w:rPr>
          <w:rFonts w:ascii="Palatino Linotype" w:eastAsia="Palatino Linotype" w:hAnsi="Palatino Linotype" w:cs="Palatino Linotype"/>
        </w:rPr>
        <w:t>presentara su informe justificado.</w:t>
      </w:r>
    </w:p>
    <w:p w14:paraId="68D4E5C8" w14:textId="77777777" w:rsidR="00C67147" w:rsidRPr="005629FB" w:rsidRDefault="007E21D8">
      <w:pPr>
        <w:spacing w:before="240" w:after="240" w:line="360" w:lineRule="auto"/>
        <w:jc w:val="both"/>
        <w:rPr>
          <w:rFonts w:ascii="Palatino Linotype" w:eastAsia="Palatino Linotype" w:hAnsi="Palatino Linotype" w:cs="Palatino Linotype"/>
        </w:rPr>
      </w:pPr>
      <w:r w:rsidRPr="005629FB">
        <w:rPr>
          <w:rFonts w:ascii="Palatino Linotype" w:eastAsia="Palatino Linotype" w:hAnsi="Palatino Linotype" w:cs="Palatino Linotype"/>
          <w:b/>
        </w:rPr>
        <w:lastRenderedPageBreak/>
        <w:t>8. Manifestaciones</w:t>
      </w:r>
      <w:r w:rsidRPr="005629FB">
        <w:rPr>
          <w:rFonts w:ascii="Palatino Linotype" w:eastAsia="Palatino Linotype" w:hAnsi="Palatino Linotype" w:cs="Palatino Linotype"/>
        </w:rPr>
        <w:t xml:space="preserve">. De las constancias que obran en el expediente electrónico del SAIMEX se desprende que el cuatro de agosto del dos mil veintitrés, se recibió, a través del Sistema de Acceso a la Información Mexiquense (SAIMEX), el Informe Justificado del </w:t>
      </w:r>
      <w:r w:rsidRPr="005629FB">
        <w:rPr>
          <w:rFonts w:ascii="Palatino Linotype" w:eastAsia="Palatino Linotype" w:hAnsi="Palatino Linotype" w:cs="Palatino Linotype"/>
          <w:b/>
        </w:rPr>
        <w:t>SUJETO OBLIGADO</w:t>
      </w:r>
      <w:r w:rsidRPr="005629FB">
        <w:rPr>
          <w:rFonts w:ascii="Palatino Linotype" w:eastAsia="Palatino Linotype" w:hAnsi="Palatino Linotype" w:cs="Palatino Linotype"/>
        </w:rPr>
        <w:t>, a través del cual se remitió lo siguiente:</w:t>
      </w:r>
    </w:p>
    <w:p w14:paraId="4A801A46" w14:textId="77777777" w:rsidR="00C67147" w:rsidRPr="005629FB" w:rsidRDefault="00C67147">
      <w:pPr>
        <w:widowControl w:val="0"/>
        <w:spacing w:line="360" w:lineRule="auto"/>
        <w:ind w:right="49"/>
        <w:jc w:val="both"/>
        <w:rPr>
          <w:rFonts w:ascii="Palatino Linotype" w:eastAsia="Palatino Linotype" w:hAnsi="Palatino Linotype" w:cs="Palatino Linotype"/>
        </w:rPr>
      </w:pPr>
    </w:p>
    <w:p w14:paraId="2F7CC97F" w14:textId="77777777" w:rsidR="00C67147" w:rsidRPr="005629FB" w:rsidRDefault="007E21D8">
      <w:pPr>
        <w:widowControl w:val="0"/>
        <w:spacing w:line="360" w:lineRule="auto"/>
        <w:ind w:right="49"/>
        <w:jc w:val="both"/>
        <w:rPr>
          <w:rFonts w:ascii="Palatino Linotype" w:eastAsia="Palatino Linotype" w:hAnsi="Palatino Linotype" w:cs="Palatino Linotype"/>
        </w:rPr>
      </w:pPr>
      <w:r w:rsidRPr="005629FB">
        <w:rPr>
          <w:rFonts w:ascii="Palatino Linotype" w:eastAsia="Palatino Linotype" w:hAnsi="Palatino Linotype" w:cs="Palatino Linotype"/>
        </w:rPr>
        <w:t>“</w:t>
      </w:r>
      <w:hyperlink r:id="rId12">
        <w:r w:rsidRPr="005629FB">
          <w:rPr>
            <w:rFonts w:ascii="Palatino Linotype" w:eastAsia="Palatino Linotype" w:hAnsi="Palatino Linotype" w:cs="Palatino Linotype"/>
          </w:rPr>
          <w:t>INFORME JUSTIFICADO 3999.pdf</w:t>
        </w:r>
      </w:hyperlink>
      <w:r w:rsidRPr="005629FB">
        <w:rPr>
          <w:rFonts w:ascii="Palatino Linotype" w:eastAsia="Palatino Linotype" w:hAnsi="Palatino Linotype" w:cs="Palatino Linotype"/>
        </w:rPr>
        <w:t xml:space="preserve">”, el cual contiene el informe justificado del </w:t>
      </w:r>
      <w:r w:rsidRPr="005629FB">
        <w:rPr>
          <w:rFonts w:ascii="Palatino Linotype" w:eastAsia="Palatino Linotype" w:hAnsi="Palatino Linotype" w:cs="Palatino Linotype"/>
          <w:b/>
        </w:rPr>
        <w:t>SUJETO OBLIGADO</w:t>
      </w:r>
      <w:r w:rsidRPr="005629FB">
        <w:rPr>
          <w:rFonts w:ascii="Palatino Linotype" w:eastAsia="Palatino Linotype" w:hAnsi="Palatino Linotype" w:cs="Palatino Linotype"/>
        </w:rPr>
        <w:t xml:space="preserve">, por medio del cual informó, además de señalar lo antecedentes del presente asunto, que la solicitud fue turnada a la Dirección de Fondo Auxiliar a fin de que proporcionara lo requerido, toda vez que es la unidad administrativa que conforme al Manual General de Organización del Consejo de la Judicatura del Estado de México podría contar con la información conforme a las funciones que desempeña, describiendo dichas funciones. </w:t>
      </w:r>
    </w:p>
    <w:p w14:paraId="614ACD59" w14:textId="77777777" w:rsidR="00C67147" w:rsidRPr="005629FB" w:rsidRDefault="00C67147">
      <w:pPr>
        <w:widowControl w:val="0"/>
        <w:spacing w:line="360" w:lineRule="auto"/>
        <w:ind w:right="49"/>
        <w:jc w:val="both"/>
        <w:rPr>
          <w:rFonts w:ascii="Palatino Linotype" w:eastAsia="Palatino Linotype" w:hAnsi="Palatino Linotype" w:cs="Palatino Linotype"/>
        </w:rPr>
      </w:pPr>
    </w:p>
    <w:p w14:paraId="0DB4C2BA" w14:textId="77777777" w:rsidR="00C67147" w:rsidRPr="005629FB" w:rsidRDefault="007E21D8">
      <w:pPr>
        <w:widowControl w:val="0"/>
        <w:spacing w:line="360" w:lineRule="auto"/>
        <w:ind w:right="49"/>
        <w:jc w:val="both"/>
        <w:rPr>
          <w:rFonts w:ascii="Palatino Linotype" w:eastAsia="Palatino Linotype" w:hAnsi="Palatino Linotype" w:cs="Palatino Linotype"/>
        </w:rPr>
      </w:pPr>
      <w:r w:rsidRPr="005629FB">
        <w:rPr>
          <w:rFonts w:ascii="Palatino Linotype" w:eastAsia="Palatino Linotype" w:hAnsi="Palatino Linotype" w:cs="Palatino Linotype"/>
        </w:rPr>
        <w:t xml:space="preserve">Por otra parte en cuanto a los motivos de inconformidad de la parte </w:t>
      </w:r>
      <w:r w:rsidRPr="005629FB">
        <w:rPr>
          <w:rFonts w:ascii="Palatino Linotype" w:eastAsia="Palatino Linotype" w:hAnsi="Palatino Linotype" w:cs="Palatino Linotype"/>
          <w:b/>
        </w:rPr>
        <w:t>RECURRENTE,</w:t>
      </w:r>
      <w:r w:rsidRPr="005629FB">
        <w:rPr>
          <w:rFonts w:ascii="Palatino Linotype" w:eastAsia="Palatino Linotype" w:hAnsi="Palatino Linotype" w:cs="Palatino Linotype"/>
        </w:rPr>
        <w:t xml:space="preserve"> señaló que:</w:t>
      </w:r>
    </w:p>
    <w:p w14:paraId="6A9F028E" w14:textId="77777777" w:rsidR="00C67147" w:rsidRPr="005629FB" w:rsidRDefault="00C67147">
      <w:pPr>
        <w:widowControl w:val="0"/>
        <w:spacing w:line="360" w:lineRule="auto"/>
        <w:ind w:right="49"/>
        <w:jc w:val="both"/>
        <w:rPr>
          <w:rFonts w:ascii="Palatino Linotype" w:eastAsia="Palatino Linotype" w:hAnsi="Palatino Linotype" w:cs="Palatino Linotype"/>
        </w:rPr>
      </w:pPr>
    </w:p>
    <w:p w14:paraId="7131E922" w14:textId="77777777" w:rsidR="00C67147" w:rsidRPr="005629FB" w:rsidRDefault="007E21D8">
      <w:pPr>
        <w:ind w:left="851" w:right="902"/>
        <w:jc w:val="both"/>
        <w:rPr>
          <w:rFonts w:ascii="Palatino Linotype" w:eastAsia="Palatino Linotype" w:hAnsi="Palatino Linotype" w:cs="Palatino Linotype"/>
          <w:i/>
          <w:sz w:val="22"/>
          <w:szCs w:val="22"/>
        </w:rPr>
      </w:pPr>
      <w:r w:rsidRPr="005629FB">
        <w:rPr>
          <w:rFonts w:ascii="Palatino Linotype" w:eastAsia="Palatino Linotype" w:hAnsi="Palatino Linotype" w:cs="Palatino Linotype"/>
          <w:i/>
          <w:sz w:val="22"/>
          <w:szCs w:val="22"/>
        </w:rPr>
        <w:t xml:space="preserve">“Ante tales manifestaciones, es de importancia hacer de su conocimiento que en aras de garantizar el derecho de acceso a la información pública se realizó de nueva cuenta la búsqueda exhaustiva y razonable de la información, por lo que acorde lo rendido por el </w:t>
      </w:r>
      <w:r w:rsidRPr="005629FB">
        <w:rPr>
          <w:rFonts w:ascii="Palatino Linotype" w:eastAsia="Palatino Linotype" w:hAnsi="Palatino Linotype" w:cs="Palatino Linotype"/>
          <w:b/>
          <w:i/>
          <w:sz w:val="22"/>
          <w:szCs w:val="22"/>
        </w:rPr>
        <w:t>Director General de Finanzas y Planeación así como la Directora de Fondo Auxiliar</w:t>
      </w:r>
      <w:r w:rsidRPr="005629FB">
        <w:rPr>
          <w:rFonts w:ascii="Palatino Linotype" w:eastAsia="Palatino Linotype" w:hAnsi="Palatino Linotype" w:cs="Palatino Linotype"/>
          <w:i/>
          <w:sz w:val="22"/>
          <w:szCs w:val="22"/>
        </w:rPr>
        <w:t xml:space="preserve">, se expone lo siguiente: </w:t>
      </w:r>
    </w:p>
    <w:p w14:paraId="22C9BE9B" w14:textId="77777777" w:rsidR="00C67147" w:rsidRPr="005629FB" w:rsidRDefault="007E21D8">
      <w:pPr>
        <w:ind w:left="851" w:right="902"/>
        <w:jc w:val="both"/>
        <w:rPr>
          <w:rFonts w:ascii="Palatino Linotype" w:eastAsia="Palatino Linotype" w:hAnsi="Palatino Linotype" w:cs="Palatino Linotype"/>
          <w:i/>
          <w:sz w:val="22"/>
          <w:szCs w:val="22"/>
        </w:rPr>
      </w:pPr>
      <w:r w:rsidRPr="005629FB">
        <w:rPr>
          <w:rFonts w:ascii="Palatino Linotype" w:eastAsia="Palatino Linotype" w:hAnsi="Palatino Linotype" w:cs="Palatino Linotype"/>
          <w:i/>
          <w:sz w:val="22"/>
          <w:szCs w:val="22"/>
        </w:rPr>
        <w:t>Primero: Es necesario recordar que de conformidad con el párrafo segundo del artículo 12 de la Ley de Transparencia y Acceso a la Información Pública del Estado de México y Municipios,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30A20086" w14:textId="77777777" w:rsidR="00C67147" w:rsidRPr="005629FB" w:rsidRDefault="007E21D8">
      <w:pPr>
        <w:ind w:left="851" w:right="902"/>
        <w:jc w:val="both"/>
        <w:rPr>
          <w:rFonts w:ascii="Palatino Linotype" w:eastAsia="Palatino Linotype" w:hAnsi="Palatino Linotype" w:cs="Palatino Linotype"/>
          <w:i/>
          <w:sz w:val="22"/>
          <w:szCs w:val="22"/>
        </w:rPr>
      </w:pPr>
      <w:r w:rsidRPr="005629FB">
        <w:rPr>
          <w:rFonts w:ascii="Palatino Linotype" w:eastAsia="Palatino Linotype" w:hAnsi="Palatino Linotype" w:cs="Palatino Linotype"/>
          <w:i/>
          <w:sz w:val="22"/>
          <w:szCs w:val="22"/>
        </w:rPr>
        <w:lastRenderedPageBreak/>
        <w:t xml:space="preserve">Lo anterior, cobra importancia, toda vez que acorde a lo informado por Fondo Auxiliar la Institución Bancaria para la recepción de pagos es Banamex y el contrato que se tiene es el de afiliación de negocios para la aceptación de tarjetas. En el cual se estipula la tasa de descuento (Tarjetas de Crédito) 1.80% (Tarjetas de débito) 1.30% que son las únicas comisiones cobradas. </w:t>
      </w:r>
    </w:p>
    <w:p w14:paraId="51FAE1B5" w14:textId="77777777" w:rsidR="00C67147" w:rsidRPr="005629FB" w:rsidRDefault="007E21D8">
      <w:pPr>
        <w:ind w:left="851" w:right="902"/>
        <w:jc w:val="both"/>
        <w:rPr>
          <w:rFonts w:ascii="Palatino Linotype" w:eastAsia="Palatino Linotype" w:hAnsi="Palatino Linotype" w:cs="Palatino Linotype"/>
          <w:i/>
          <w:sz w:val="22"/>
          <w:szCs w:val="22"/>
          <w:u w:val="single"/>
        </w:rPr>
      </w:pPr>
      <w:r w:rsidRPr="005629FB">
        <w:rPr>
          <w:rFonts w:ascii="Palatino Linotype" w:eastAsia="Palatino Linotype" w:hAnsi="Palatino Linotype" w:cs="Palatino Linotype"/>
          <w:b/>
          <w:i/>
          <w:sz w:val="22"/>
          <w:szCs w:val="22"/>
          <w:u w:val="single"/>
        </w:rPr>
        <w:t>No se omite mencionar, que las tarifas que pagan o cobran por depósitos en efectivo, informo que no hay cobro, ni se tienen convenios, contratos o instrumentos celebrados con canales a terceros</w:t>
      </w:r>
      <w:r w:rsidRPr="005629FB">
        <w:rPr>
          <w:rFonts w:ascii="Palatino Linotype" w:eastAsia="Palatino Linotype" w:hAnsi="Palatino Linotype" w:cs="Palatino Linotype"/>
          <w:i/>
          <w:sz w:val="22"/>
          <w:szCs w:val="22"/>
          <w:u w:val="single"/>
        </w:rPr>
        <w:t xml:space="preserve">. </w:t>
      </w:r>
    </w:p>
    <w:p w14:paraId="20B1AC1B" w14:textId="77777777" w:rsidR="00C67147" w:rsidRPr="005629FB" w:rsidRDefault="007E21D8">
      <w:pPr>
        <w:ind w:left="851" w:right="902"/>
        <w:jc w:val="both"/>
        <w:rPr>
          <w:rFonts w:ascii="Palatino Linotype" w:eastAsia="Palatino Linotype" w:hAnsi="Palatino Linotype" w:cs="Palatino Linotype"/>
          <w:i/>
          <w:sz w:val="22"/>
          <w:szCs w:val="22"/>
        </w:rPr>
      </w:pPr>
      <w:r w:rsidRPr="005629FB">
        <w:rPr>
          <w:rFonts w:ascii="Palatino Linotype" w:eastAsia="Palatino Linotype" w:hAnsi="Palatino Linotype" w:cs="Palatino Linotype"/>
          <w:i/>
          <w:sz w:val="22"/>
          <w:szCs w:val="22"/>
        </w:rPr>
        <w:t xml:space="preserve">Segundo: Es preciso mencionar que el Poder Judicial del Estado de México, no capta pagos a través de canales a terceros (tiendas de </w:t>
      </w:r>
      <w:proofErr w:type="spellStart"/>
      <w:r w:rsidRPr="005629FB">
        <w:rPr>
          <w:rFonts w:ascii="Palatino Linotype" w:eastAsia="Palatino Linotype" w:hAnsi="Palatino Linotype" w:cs="Palatino Linotype"/>
          <w:i/>
          <w:sz w:val="22"/>
          <w:szCs w:val="22"/>
        </w:rPr>
        <w:t>convenienda</w:t>
      </w:r>
      <w:proofErr w:type="spellEnd"/>
      <w:r w:rsidRPr="005629FB">
        <w:rPr>
          <w:rFonts w:ascii="Palatino Linotype" w:eastAsia="Palatino Linotype" w:hAnsi="Palatino Linotype" w:cs="Palatino Linotype"/>
          <w:i/>
          <w:sz w:val="22"/>
          <w:szCs w:val="22"/>
        </w:rPr>
        <w:t xml:space="preserve">/ </w:t>
      </w:r>
      <w:proofErr w:type="spellStart"/>
      <w:r w:rsidRPr="005629FB">
        <w:rPr>
          <w:rFonts w:ascii="Palatino Linotype" w:eastAsia="Palatino Linotype" w:hAnsi="Palatino Linotype" w:cs="Palatino Linotype"/>
          <w:i/>
          <w:sz w:val="22"/>
          <w:szCs w:val="22"/>
        </w:rPr>
        <w:t>fannadas</w:t>
      </w:r>
      <w:proofErr w:type="spellEnd"/>
      <w:r w:rsidRPr="005629FB">
        <w:rPr>
          <w:rFonts w:ascii="Palatino Linotype" w:eastAsia="Palatino Linotype" w:hAnsi="Palatino Linotype" w:cs="Palatino Linotype"/>
          <w:i/>
          <w:sz w:val="22"/>
          <w:szCs w:val="22"/>
        </w:rPr>
        <w:t xml:space="preserve">, tiendas de </w:t>
      </w:r>
      <w:proofErr w:type="spellStart"/>
      <w:r w:rsidRPr="005629FB">
        <w:rPr>
          <w:rFonts w:ascii="Palatino Linotype" w:eastAsia="Palatino Linotype" w:hAnsi="Palatino Linotype" w:cs="Palatino Linotype"/>
          <w:i/>
          <w:sz w:val="22"/>
          <w:szCs w:val="22"/>
        </w:rPr>
        <w:t>autoservido</w:t>
      </w:r>
      <w:proofErr w:type="spellEnd"/>
      <w:r w:rsidRPr="005629FB">
        <w:rPr>
          <w:rFonts w:ascii="Palatino Linotype" w:eastAsia="Palatino Linotype" w:hAnsi="Palatino Linotype" w:cs="Palatino Linotype"/>
          <w:i/>
          <w:sz w:val="22"/>
          <w:szCs w:val="22"/>
        </w:rPr>
        <w:t xml:space="preserve"> </w:t>
      </w:r>
      <w:proofErr w:type="spellStart"/>
      <w:r w:rsidRPr="005629FB">
        <w:rPr>
          <w:rFonts w:ascii="Palatino Linotype" w:eastAsia="Palatino Linotype" w:hAnsi="Palatino Linotype" w:cs="Palatino Linotype"/>
          <w:i/>
          <w:sz w:val="22"/>
          <w:szCs w:val="22"/>
        </w:rPr>
        <w:t>etcJ</w:t>
      </w:r>
      <w:proofErr w:type="spellEnd"/>
      <w:r w:rsidRPr="005629FB">
        <w:rPr>
          <w:rFonts w:ascii="Palatino Linotype" w:eastAsia="Palatino Linotype" w:hAnsi="Palatino Linotype" w:cs="Palatino Linotype"/>
          <w:i/>
          <w:sz w:val="22"/>
          <w:szCs w:val="22"/>
        </w:rPr>
        <w:t xml:space="preserve"> obtiene ingresos propios por la prestación de servicios y recuperación de cuotas, a través de la institución bancaria BBVA MÉXICO, S.A. INSTITUCIÓN DE BANCA MUL TIPLE, GRUPO FINANCIERO BBVA MEXICO., por lo que a continuación, se refieren las comisiones de servicio de cobranza y recaudación (Véase Anexo 1): </w:t>
      </w:r>
    </w:p>
    <w:p w14:paraId="5B2448FF" w14:textId="77777777" w:rsidR="00C67147" w:rsidRPr="005629FB" w:rsidRDefault="007E21D8">
      <w:pPr>
        <w:ind w:left="851" w:right="902"/>
        <w:jc w:val="both"/>
        <w:rPr>
          <w:rFonts w:ascii="Palatino Linotype" w:eastAsia="Palatino Linotype" w:hAnsi="Palatino Linotype" w:cs="Palatino Linotype"/>
          <w:i/>
          <w:sz w:val="22"/>
          <w:szCs w:val="22"/>
        </w:rPr>
      </w:pPr>
      <w:r w:rsidRPr="005629FB">
        <w:rPr>
          <w:rFonts w:ascii="Palatino Linotype" w:eastAsia="Palatino Linotype" w:hAnsi="Palatino Linotype" w:cs="Palatino Linotype"/>
          <w:i/>
          <w:sz w:val="22"/>
          <w:szCs w:val="22"/>
        </w:rPr>
        <w:t xml:space="preserve">Depósitos referenciados: Tarifa $3.95 más IVA por transacción exitosa. </w:t>
      </w:r>
    </w:p>
    <w:p w14:paraId="1A113987" w14:textId="77777777" w:rsidR="00C67147" w:rsidRPr="005629FB" w:rsidRDefault="007E21D8">
      <w:pPr>
        <w:ind w:left="851" w:right="902"/>
        <w:jc w:val="both"/>
        <w:rPr>
          <w:rFonts w:ascii="Palatino Linotype" w:eastAsia="Palatino Linotype" w:hAnsi="Palatino Linotype" w:cs="Palatino Linotype"/>
          <w:i/>
          <w:sz w:val="22"/>
          <w:szCs w:val="22"/>
        </w:rPr>
      </w:pPr>
      <w:r w:rsidRPr="005629FB">
        <w:rPr>
          <w:rFonts w:ascii="Palatino Linotype" w:eastAsia="Palatino Linotype" w:hAnsi="Palatino Linotype" w:cs="Palatino Linotype"/>
          <w:i/>
          <w:sz w:val="22"/>
          <w:szCs w:val="22"/>
        </w:rPr>
        <w:t xml:space="preserve">TPV'S Terminales Punto de Venta: </w:t>
      </w:r>
    </w:p>
    <w:p w14:paraId="21D8B02F" w14:textId="77777777" w:rsidR="00C67147" w:rsidRPr="005629FB" w:rsidRDefault="007E21D8">
      <w:pPr>
        <w:ind w:left="851" w:right="902"/>
        <w:jc w:val="both"/>
        <w:rPr>
          <w:rFonts w:ascii="Palatino Linotype" w:eastAsia="Palatino Linotype" w:hAnsi="Palatino Linotype" w:cs="Palatino Linotype"/>
          <w:i/>
          <w:sz w:val="22"/>
          <w:szCs w:val="22"/>
        </w:rPr>
      </w:pPr>
      <w:r w:rsidRPr="005629FB">
        <w:rPr>
          <w:rFonts w:ascii="Palatino Linotype" w:eastAsia="Palatino Linotype" w:hAnsi="Palatino Linotype" w:cs="Palatino Linotype"/>
          <w:i/>
          <w:sz w:val="22"/>
          <w:szCs w:val="22"/>
        </w:rPr>
        <w:t xml:space="preserve">TDC (Tarjeta de Crédito) Tarifa: 1.65°/o </w:t>
      </w:r>
    </w:p>
    <w:p w14:paraId="10EBC123" w14:textId="77777777" w:rsidR="00C67147" w:rsidRPr="005629FB" w:rsidRDefault="007E21D8">
      <w:pPr>
        <w:ind w:left="851" w:right="902"/>
        <w:jc w:val="both"/>
        <w:rPr>
          <w:rFonts w:ascii="Palatino Linotype" w:eastAsia="Palatino Linotype" w:hAnsi="Palatino Linotype" w:cs="Palatino Linotype"/>
          <w:i/>
          <w:sz w:val="22"/>
          <w:szCs w:val="22"/>
        </w:rPr>
      </w:pPr>
      <w:r w:rsidRPr="005629FB">
        <w:rPr>
          <w:rFonts w:ascii="Palatino Linotype" w:eastAsia="Palatino Linotype" w:hAnsi="Palatino Linotype" w:cs="Palatino Linotype"/>
          <w:i/>
          <w:sz w:val="22"/>
          <w:szCs w:val="22"/>
        </w:rPr>
        <w:t xml:space="preserve">TOO (Tarjeta de Débito) Tarifa: 1.25°/o </w:t>
      </w:r>
    </w:p>
    <w:p w14:paraId="3F5D08D2" w14:textId="77777777" w:rsidR="00C67147" w:rsidRPr="005629FB" w:rsidRDefault="007E21D8">
      <w:pPr>
        <w:ind w:left="851" w:right="902"/>
        <w:jc w:val="both"/>
        <w:rPr>
          <w:rFonts w:ascii="Palatino Linotype" w:eastAsia="Palatino Linotype" w:hAnsi="Palatino Linotype" w:cs="Palatino Linotype"/>
          <w:i/>
          <w:sz w:val="22"/>
          <w:szCs w:val="22"/>
        </w:rPr>
      </w:pPr>
      <w:r w:rsidRPr="005629FB">
        <w:rPr>
          <w:rFonts w:ascii="Palatino Linotype" w:eastAsia="Palatino Linotype" w:hAnsi="Palatino Linotype" w:cs="Palatino Linotype"/>
          <w:i/>
          <w:sz w:val="22"/>
          <w:szCs w:val="22"/>
        </w:rPr>
        <w:t>Es importante mencionar que dichas tarifas son absorbidas por el Poder Judicial del Estado de México.”(Sic)</w:t>
      </w:r>
    </w:p>
    <w:p w14:paraId="6F284776" w14:textId="77777777" w:rsidR="00C67147" w:rsidRPr="005629FB" w:rsidRDefault="00C67147">
      <w:pPr>
        <w:widowControl w:val="0"/>
        <w:spacing w:line="360" w:lineRule="auto"/>
        <w:ind w:right="49"/>
        <w:jc w:val="both"/>
        <w:rPr>
          <w:rFonts w:ascii="Palatino Linotype" w:eastAsia="Palatino Linotype" w:hAnsi="Palatino Linotype" w:cs="Palatino Linotype"/>
        </w:rPr>
      </w:pPr>
    </w:p>
    <w:p w14:paraId="774A7EA3" w14:textId="77777777" w:rsidR="00C67147" w:rsidRPr="005629FB" w:rsidRDefault="007E21D8">
      <w:pPr>
        <w:spacing w:line="360" w:lineRule="auto"/>
        <w:jc w:val="both"/>
        <w:rPr>
          <w:rFonts w:ascii="Palatino Linotype" w:eastAsia="Palatino Linotype" w:hAnsi="Palatino Linotype" w:cs="Palatino Linotype"/>
        </w:rPr>
      </w:pPr>
      <w:r w:rsidRPr="005629FB">
        <w:rPr>
          <w:rFonts w:ascii="Palatino Linotype" w:eastAsia="Palatino Linotype" w:hAnsi="Palatino Linotype" w:cs="Palatino Linotype"/>
        </w:rPr>
        <w:t>“</w:t>
      </w:r>
      <w:hyperlink r:id="rId13">
        <w:r w:rsidRPr="005629FB">
          <w:rPr>
            <w:rFonts w:ascii="Palatino Linotype" w:eastAsia="Palatino Linotype" w:hAnsi="Palatino Linotype" w:cs="Palatino Linotype"/>
          </w:rPr>
          <w:t>Anexo 1.pdf</w:t>
        </w:r>
      </w:hyperlink>
      <w:r w:rsidRPr="005629FB">
        <w:rPr>
          <w:rFonts w:ascii="Palatino Linotype" w:eastAsia="Palatino Linotype" w:hAnsi="Palatino Linotype" w:cs="Palatino Linotype"/>
        </w:rPr>
        <w:t xml:space="preserve">”, el cual contiene el informe sobre las comisiones de las operaciones del servicio de </w:t>
      </w:r>
      <w:proofErr w:type="spellStart"/>
      <w:r w:rsidRPr="005629FB">
        <w:rPr>
          <w:rFonts w:ascii="Palatino Linotype" w:eastAsia="Palatino Linotype" w:hAnsi="Palatino Linotype" w:cs="Palatino Linotype"/>
        </w:rPr>
        <w:t>multipagos</w:t>
      </w:r>
      <w:proofErr w:type="spellEnd"/>
      <w:r w:rsidRPr="005629FB">
        <w:rPr>
          <w:rFonts w:ascii="Palatino Linotype" w:eastAsia="Palatino Linotype" w:hAnsi="Palatino Linotype" w:cs="Palatino Linotype"/>
        </w:rPr>
        <w:t xml:space="preserve">, adquirente y CIE que tiene contratados el SUJETO OBLIGADO con la Institución Bancaria BBVA México, la cuales se cobran por transacción exitosa. </w:t>
      </w:r>
    </w:p>
    <w:p w14:paraId="7FE92E52" w14:textId="77777777" w:rsidR="00C67147" w:rsidRPr="005629FB" w:rsidRDefault="00C67147">
      <w:pPr>
        <w:spacing w:line="360" w:lineRule="auto"/>
        <w:jc w:val="both"/>
        <w:rPr>
          <w:rFonts w:ascii="Palatino Linotype" w:eastAsia="Palatino Linotype" w:hAnsi="Palatino Linotype" w:cs="Palatino Linotype"/>
        </w:rPr>
      </w:pPr>
    </w:p>
    <w:p w14:paraId="2FA2EA6A" w14:textId="77777777" w:rsidR="00C67147" w:rsidRPr="005629FB" w:rsidRDefault="007E21D8">
      <w:pPr>
        <w:spacing w:line="360" w:lineRule="auto"/>
        <w:jc w:val="both"/>
        <w:rPr>
          <w:rFonts w:ascii="Palatino Linotype" w:eastAsia="Palatino Linotype" w:hAnsi="Palatino Linotype" w:cs="Palatino Linotype"/>
        </w:rPr>
      </w:pPr>
      <w:r w:rsidRPr="005629FB">
        <w:rPr>
          <w:rFonts w:ascii="Palatino Linotype" w:eastAsia="Palatino Linotype" w:hAnsi="Palatino Linotype" w:cs="Palatino Linotype"/>
        </w:rPr>
        <w:t xml:space="preserve">Archivos que se pusieron a la vista de la parte </w:t>
      </w:r>
      <w:r w:rsidRPr="005629FB">
        <w:rPr>
          <w:rFonts w:ascii="Palatino Linotype" w:eastAsia="Palatino Linotype" w:hAnsi="Palatino Linotype" w:cs="Palatino Linotype"/>
          <w:b/>
        </w:rPr>
        <w:t>RECURRENTE</w:t>
      </w:r>
      <w:r w:rsidRPr="005629FB">
        <w:rPr>
          <w:rFonts w:ascii="Palatino Linotype" w:eastAsia="Palatino Linotype" w:hAnsi="Palatino Linotype" w:cs="Palatino Linotype"/>
        </w:rPr>
        <w:t>, con excepción del archivo denominado “</w:t>
      </w:r>
      <w:hyperlink r:id="rId14">
        <w:r w:rsidRPr="005629FB">
          <w:rPr>
            <w:rFonts w:ascii="Palatino Linotype" w:eastAsia="Palatino Linotype" w:hAnsi="Palatino Linotype" w:cs="Palatino Linotype"/>
          </w:rPr>
          <w:t>Anexo 1.pdf</w:t>
        </w:r>
      </w:hyperlink>
      <w:r w:rsidRPr="005629FB">
        <w:rPr>
          <w:rFonts w:ascii="Palatino Linotype" w:eastAsia="Palatino Linotype" w:hAnsi="Palatino Linotype" w:cs="Palatino Linotype"/>
        </w:rPr>
        <w:t xml:space="preserve">”, por contener datos personales como el nombre de un particular; en términos de la fracción III del artículo 185 de la Ley de Transparencia y Acceso a la Información Pública del Estado de México y Municipios; para que en el término de tres días manifestara lo que a su derecho convenga; sin que hiciera manifestación alguna. </w:t>
      </w:r>
    </w:p>
    <w:p w14:paraId="1807AA45" w14:textId="77777777" w:rsidR="00C67147" w:rsidRPr="005629FB" w:rsidRDefault="00C67147">
      <w:pPr>
        <w:spacing w:line="360" w:lineRule="auto"/>
        <w:jc w:val="both"/>
        <w:rPr>
          <w:rFonts w:ascii="Palatino Linotype" w:eastAsia="Palatino Linotype" w:hAnsi="Palatino Linotype" w:cs="Palatino Linotype"/>
        </w:rPr>
      </w:pPr>
    </w:p>
    <w:p w14:paraId="791BD0A9" w14:textId="77777777" w:rsidR="00C67147" w:rsidRPr="005629FB" w:rsidRDefault="007E21D8">
      <w:pPr>
        <w:widowControl w:val="0"/>
        <w:spacing w:after="240" w:line="360" w:lineRule="auto"/>
        <w:jc w:val="both"/>
        <w:rPr>
          <w:rFonts w:ascii="Palatino Linotype" w:eastAsia="Palatino Linotype" w:hAnsi="Palatino Linotype" w:cs="Palatino Linotype"/>
        </w:rPr>
      </w:pPr>
      <w:r w:rsidRPr="005629FB">
        <w:rPr>
          <w:rFonts w:ascii="Palatino Linotype" w:eastAsia="Palatino Linotype" w:hAnsi="Palatino Linotype" w:cs="Palatino Linotype"/>
          <w:b/>
        </w:rPr>
        <w:t>9. Ampliación del plazo.</w:t>
      </w:r>
      <w:r w:rsidRPr="005629FB">
        <w:rPr>
          <w:rFonts w:ascii="Palatino Linotype" w:eastAsia="Palatino Linotype" w:hAnsi="Palatino Linotype" w:cs="Palatino Linotype"/>
        </w:rPr>
        <w:t xml:space="preserve"> En fecha veinticuatro de octubre del año dos mil veintitrés, con fundamento en el artículo 181, párrafo tercero de la Ley de Transparencia y Acceso a la Información Pública del Estado de México y Municipios, se acordó la ampliación del plazo para su resolución.</w:t>
      </w:r>
    </w:p>
    <w:p w14:paraId="3B20DB0E" w14:textId="77777777" w:rsidR="00C67147" w:rsidRPr="005629FB" w:rsidRDefault="007E21D8">
      <w:pPr>
        <w:widowControl w:val="0"/>
        <w:spacing w:line="360" w:lineRule="auto"/>
        <w:jc w:val="both"/>
        <w:rPr>
          <w:rFonts w:ascii="Palatino Linotype" w:eastAsia="Palatino Linotype" w:hAnsi="Palatino Linotype" w:cs="Palatino Linotype"/>
        </w:rPr>
      </w:pPr>
      <w:r w:rsidRPr="005629FB">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en el año dos mil veintidós, que, en comparación con los recibidos en el año dos mil veintiuno, se incrementó aproximadamente un 300%, circunstancia atípica que ha rebasado las capacidades técnicas y humanas del personal encargado de la proyección de las resoluciones a dichos medios de impugnación.</w:t>
      </w:r>
    </w:p>
    <w:p w14:paraId="76808512" w14:textId="77777777" w:rsidR="00C67147" w:rsidRPr="005629FB" w:rsidRDefault="00C67147">
      <w:pPr>
        <w:spacing w:line="360" w:lineRule="auto"/>
        <w:jc w:val="both"/>
        <w:rPr>
          <w:rFonts w:ascii="Palatino Linotype" w:eastAsia="Palatino Linotype" w:hAnsi="Palatino Linotype" w:cs="Palatino Linotype"/>
        </w:rPr>
      </w:pPr>
    </w:p>
    <w:p w14:paraId="3B7DED57" w14:textId="77777777" w:rsidR="00C67147" w:rsidRPr="005629FB" w:rsidRDefault="007E21D8">
      <w:pPr>
        <w:spacing w:line="360" w:lineRule="auto"/>
        <w:jc w:val="both"/>
        <w:rPr>
          <w:rFonts w:ascii="Palatino Linotype" w:eastAsia="Palatino Linotype" w:hAnsi="Palatino Linotype" w:cs="Palatino Linotype"/>
        </w:rPr>
      </w:pPr>
      <w:r w:rsidRPr="005629FB">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6906E85D" w14:textId="77777777" w:rsidR="00C67147" w:rsidRPr="005629FB" w:rsidRDefault="00C67147">
      <w:pPr>
        <w:spacing w:line="360" w:lineRule="auto"/>
        <w:jc w:val="both"/>
        <w:rPr>
          <w:rFonts w:ascii="Palatino Linotype" w:eastAsia="Palatino Linotype" w:hAnsi="Palatino Linotype" w:cs="Palatino Linotype"/>
        </w:rPr>
      </w:pPr>
    </w:p>
    <w:p w14:paraId="490D15BF" w14:textId="77777777" w:rsidR="00C67147" w:rsidRPr="005629FB" w:rsidRDefault="007E21D8">
      <w:pPr>
        <w:spacing w:line="360" w:lineRule="auto"/>
        <w:jc w:val="both"/>
        <w:rPr>
          <w:rFonts w:ascii="Palatino Linotype" w:eastAsia="Palatino Linotype" w:hAnsi="Palatino Linotype" w:cs="Palatino Linotype"/>
        </w:rPr>
      </w:pPr>
      <w:r w:rsidRPr="005629FB">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160811B0" w14:textId="77777777" w:rsidR="00C67147" w:rsidRPr="005629FB" w:rsidRDefault="00C67147">
      <w:pPr>
        <w:spacing w:line="360" w:lineRule="auto"/>
        <w:jc w:val="both"/>
        <w:rPr>
          <w:rFonts w:ascii="Palatino Linotype" w:eastAsia="Palatino Linotype" w:hAnsi="Palatino Linotype" w:cs="Palatino Linotype"/>
        </w:rPr>
      </w:pPr>
    </w:p>
    <w:p w14:paraId="4E9B437C" w14:textId="77777777" w:rsidR="00C67147" w:rsidRPr="005629FB" w:rsidRDefault="007E21D8">
      <w:pPr>
        <w:spacing w:line="360" w:lineRule="auto"/>
        <w:jc w:val="both"/>
        <w:rPr>
          <w:rFonts w:ascii="Palatino Linotype" w:eastAsia="Palatino Linotype" w:hAnsi="Palatino Linotype" w:cs="Palatino Linotype"/>
        </w:rPr>
      </w:pPr>
      <w:r w:rsidRPr="005629FB">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3578CEE1" w14:textId="77777777" w:rsidR="00C67147" w:rsidRPr="005629FB" w:rsidRDefault="00C67147">
      <w:pPr>
        <w:spacing w:line="360" w:lineRule="auto"/>
        <w:jc w:val="both"/>
        <w:rPr>
          <w:rFonts w:ascii="Palatino Linotype" w:eastAsia="Palatino Linotype" w:hAnsi="Palatino Linotype" w:cs="Palatino Linotype"/>
        </w:rPr>
      </w:pPr>
    </w:p>
    <w:p w14:paraId="76A5579D" w14:textId="77777777" w:rsidR="00C67147" w:rsidRPr="005629FB" w:rsidRDefault="007E21D8">
      <w:pPr>
        <w:spacing w:line="360" w:lineRule="auto"/>
        <w:jc w:val="both"/>
        <w:rPr>
          <w:rFonts w:ascii="Palatino Linotype" w:eastAsia="Palatino Linotype" w:hAnsi="Palatino Linotype" w:cs="Palatino Linotype"/>
          <w:strike/>
        </w:rPr>
      </w:pPr>
      <w:r w:rsidRPr="005629FB">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401F25FC" w14:textId="77777777" w:rsidR="00C67147" w:rsidRPr="005629FB" w:rsidRDefault="00C67147">
      <w:pPr>
        <w:spacing w:line="360" w:lineRule="auto"/>
        <w:jc w:val="both"/>
        <w:rPr>
          <w:rFonts w:ascii="Palatino Linotype" w:eastAsia="Palatino Linotype" w:hAnsi="Palatino Linotype" w:cs="Palatino Linotype"/>
        </w:rPr>
      </w:pPr>
    </w:p>
    <w:p w14:paraId="06010972" w14:textId="77777777" w:rsidR="00C67147" w:rsidRPr="005629FB" w:rsidRDefault="007E21D8">
      <w:pPr>
        <w:numPr>
          <w:ilvl w:val="0"/>
          <w:numId w:val="2"/>
        </w:numPr>
        <w:ind w:left="851"/>
        <w:jc w:val="both"/>
        <w:rPr>
          <w:rFonts w:ascii="Palatino Linotype" w:eastAsia="Palatino Linotype" w:hAnsi="Palatino Linotype" w:cs="Palatino Linotype"/>
        </w:rPr>
      </w:pPr>
      <w:r w:rsidRPr="005629FB">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14:paraId="70D4062B" w14:textId="77777777" w:rsidR="00C67147" w:rsidRPr="005629FB" w:rsidRDefault="00C67147">
      <w:pPr>
        <w:ind w:left="851" w:hanging="360"/>
        <w:jc w:val="both"/>
        <w:rPr>
          <w:rFonts w:ascii="Palatino Linotype" w:eastAsia="Palatino Linotype" w:hAnsi="Palatino Linotype" w:cs="Palatino Linotype"/>
        </w:rPr>
      </w:pPr>
    </w:p>
    <w:p w14:paraId="10FDA2D3" w14:textId="77777777" w:rsidR="00C67147" w:rsidRPr="005629FB" w:rsidRDefault="007E21D8">
      <w:pPr>
        <w:numPr>
          <w:ilvl w:val="0"/>
          <w:numId w:val="2"/>
        </w:numPr>
        <w:ind w:left="851"/>
        <w:jc w:val="both"/>
        <w:rPr>
          <w:rFonts w:ascii="Palatino Linotype" w:eastAsia="Palatino Linotype" w:hAnsi="Palatino Linotype" w:cs="Palatino Linotype"/>
        </w:rPr>
      </w:pPr>
      <w:r w:rsidRPr="005629FB">
        <w:rPr>
          <w:rFonts w:ascii="Palatino Linotype" w:eastAsia="Palatino Linotype" w:hAnsi="Palatino Linotype" w:cs="Palatino Linotype"/>
        </w:rPr>
        <w:t>Actividad Procesal del interesado. Acciones u omisiones del interesado.</w:t>
      </w:r>
    </w:p>
    <w:p w14:paraId="6D5C2E39" w14:textId="77777777" w:rsidR="00C67147" w:rsidRPr="005629FB" w:rsidRDefault="00C67147">
      <w:pPr>
        <w:ind w:left="851" w:hanging="360"/>
        <w:jc w:val="both"/>
        <w:rPr>
          <w:rFonts w:ascii="Palatino Linotype" w:eastAsia="Palatino Linotype" w:hAnsi="Palatino Linotype" w:cs="Palatino Linotype"/>
        </w:rPr>
      </w:pPr>
    </w:p>
    <w:p w14:paraId="04663C0B" w14:textId="77777777" w:rsidR="00C67147" w:rsidRPr="005629FB" w:rsidRDefault="007E21D8">
      <w:pPr>
        <w:numPr>
          <w:ilvl w:val="0"/>
          <w:numId w:val="2"/>
        </w:numPr>
        <w:ind w:left="851"/>
        <w:jc w:val="both"/>
        <w:rPr>
          <w:rFonts w:ascii="Palatino Linotype" w:eastAsia="Palatino Linotype" w:hAnsi="Palatino Linotype" w:cs="Palatino Linotype"/>
        </w:rPr>
      </w:pPr>
      <w:r w:rsidRPr="005629FB">
        <w:rPr>
          <w:rFonts w:ascii="Palatino Linotype" w:eastAsia="Palatino Linotype" w:hAnsi="Palatino Linotype" w:cs="Palatino Linotype"/>
        </w:rPr>
        <w:t>Conducta de la Autoridad: Las Acciones u omisiones realizadas en el procedimiento. Así como si la autoridad actuó con la debida diligencia.</w:t>
      </w:r>
    </w:p>
    <w:p w14:paraId="611A24DF" w14:textId="77777777" w:rsidR="00C67147" w:rsidRPr="005629FB" w:rsidRDefault="00C67147">
      <w:pPr>
        <w:ind w:left="851" w:hanging="360"/>
        <w:rPr>
          <w:rFonts w:ascii="Palatino Linotype" w:eastAsia="Palatino Linotype" w:hAnsi="Palatino Linotype" w:cs="Palatino Linotype"/>
        </w:rPr>
      </w:pPr>
    </w:p>
    <w:p w14:paraId="430565AA" w14:textId="77777777" w:rsidR="00C67147" w:rsidRPr="005629FB" w:rsidRDefault="007E21D8">
      <w:pPr>
        <w:ind w:left="851" w:hanging="360"/>
        <w:jc w:val="both"/>
        <w:rPr>
          <w:rFonts w:ascii="Palatino Linotype" w:eastAsia="Palatino Linotype" w:hAnsi="Palatino Linotype" w:cs="Palatino Linotype"/>
        </w:rPr>
      </w:pPr>
      <w:r w:rsidRPr="005629FB">
        <w:rPr>
          <w:rFonts w:ascii="Palatino Linotype" w:eastAsia="Palatino Linotype" w:hAnsi="Palatino Linotype" w:cs="Palatino Linotype"/>
        </w:rPr>
        <w:t>d) La afectación generada en la situación jurídica de la persona involucrada en el proceso: Violación a sus derechos humanos.</w:t>
      </w:r>
    </w:p>
    <w:p w14:paraId="4119FEC1" w14:textId="77777777" w:rsidR="00C67147" w:rsidRPr="005629FB" w:rsidRDefault="00C67147">
      <w:pPr>
        <w:spacing w:line="360" w:lineRule="auto"/>
        <w:jc w:val="both"/>
        <w:rPr>
          <w:rFonts w:ascii="Palatino Linotype" w:eastAsia="Palatino Linotype" w:hAnsi="Palatino Linotype" w:cs="Palatino Linotype"/>
        </w:rPr>
      </w:pPr>
    </w:p>
    <w:p w14:paraId="1D4EFD58" w14:textId="77777777" w:rsidR="00C67147" w:rsidRPr="005629FB" w:rsidRDefault="007E21D8">
      <w:pPr>
        <w:spacing w:line="360" w:lineRule="auto"/>
        <w:jc w:val="both"/>
        <w:rPr>
          <w:rFonts w:ascii="Palatino Linotype" w:eastAsia="Palatino Linotype" w:hAnsi="Palatino Linotype" w:cs="Palatino Linotype"/>
        </w:rPr>
      </w:pPr>
      <w:r w:rsidRPr="005629FB">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7A59DA87" w14:textId="77777777" w:rsidR="00C67147" w:rsidRPr="005629FB" w:rsidRDefault="00C67147">
      <w:pPr>
        <w:spacing w:line="360" w:lineRule="auto"/>
        <w:jc w:val="both"/>
        <w:rPr>
          <w:rFonts w:ascii="Palatino Linotype" w:eastAsia="Palatino Linotype" w:hAnsi="Palatino Linotype" w:cs="Palatino Linotype"/>
        </w:rPr>
      </w:pPr>
    </w:p>
    <w:p w14:paraId="64216AC5" w14:textId="77777777" w:rsidR="00C67147" w:rsidRPr="005629FB" w:rsidRDefault="007E21D8">
      <w:pPr>
        <w:spacing w:line="360" w:lineRule="auto"/>
        <w:jc w:val="both"/>
        <w:rPr>
          <w:rFonts w:ascii="Palatino Linotype" w:eastAsia="Palatino Linotype" w:hAnsi="Palatino Linotype" w:cs="Palatino Linotype"/>
          <w:b/>
        </w:rPr>
      </w:pPr>
      <w:r w:rsidRPr="005629FB">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5629FB">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5629FB">
        <w:rPr>
          <w:rFonts w:ascii="Palatino Linotype" w:eastAsia="Palatino Linotype" w:hAnsi="Palatino Linotype" w:cs="Palatino Linotype"/>
        </w:rPr>
        <w:t>, visible en la Gaceta del Seminario Judicial de la Federación con el registro digital 205635.</w:t>
      </w:r>
    </w:p>
    <w:p w14:paraId="7109FFF9" w14:textId="77777777" w:rsidR="00C67147" w:rsidRPr="005629FB" w:rsidRDefault="00C67147">
      <w:pPr>
        <w:spacing w:line="360" w:lineRule="auto"/>
        <w:jc w:val="both"/>
        <w:rPr>
          <w:rFonts w:ascii="Palatino Linotype" w:eastAsia="Palatino Linotype" w:hAnsi="Palatino Linotype" w:cs="Palatino Linotype"/>
        </w:rPr>
      </w:pPr>
    </w:p>
    <w:p w14:paraId="27ADEFB1" w14:textId="77777777" w:rsidR="00C67147" w:rsidRPr="005629FB" w:rsidRDefault="007E21D8">
      <w:pPr>
        <w:spacing w:line="360" w:lineRule="auto"/>
        <w:jc w:val="both"/>
        <w:rPr>
          <w:rFonts w:ascii="Palatino Linotype" w:eastAsia="Palatino Linotype" w:hAnsi="Palatino Linotype" w:cs="Palatino Linotype"/>
        </w:rPr>
      </w:pPr>
      <w:r w:rsidRPr="005629FB">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56D11312" w14:textId="77777777" w:rsidR="00C67147" w:rsidRPr="005629FB" w:rsidRDefault="00C67147">
      <w:pPr>
        <w:spacing w:line="360" w:lineRule="auto"/>
        <w:jc w:val="both"/>
        <w:rPr>
          <w:rFonts w:ascii="Palatino Linotype" w:eastAsia="Palatino Linotype" w:hAnsi="Palatino Linotype" w:cs="Palatino Linotype"/>
        </w:rPr>
      </w:pPr>
    </w:p>
    <w:p w14:paraId="2DD5751A" w14:textId="77777777" w:rsidR="00C67147" w:rsidRPr="005629FB" w:rsidRDefault="007E21D8">
      <w:pPr>
        <w:spacing w:line="360" w:lineRule="auto"/>
        <w:jc w:val="both"/>
        <w:rPr>
          <w:rFonts w:ascii="Palatino Linotype" w:eastAsia="Palatino Linotype" w:hAnsi="Palatino Linotype" w:cs="Palatino Linotype"/>
        </w:rPr>
      </w:pPr>
      <w:r w:rsidRPr="005629FB">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70FA3EEF" w14:textId="77777777" w:rsidR="00C67147" w:rsidRPr="005629FB" w:rsidRDefault="00C67147">
      <w:pPr>
        <w:spacing w:line="360" w:lineRule="auto"/>
        <w:jc w:val="both"/>
        <w:rPr>
          <w:rFonts w:ascii="Palatino Linotype" w:eastAsia="Palatino Linotype" w:hAnsi="Palatino Linotype" w:cs="Palatino Linotype"/>
        </w:rPr>
      </w:pPr>
    </w:p>
    <w:p w14:paraId="4B4D4485" w14:textId="77777777" w:rsidR="00C67147" w:rsidRPr="005629FB" w:rsidRDefault="007E21D8">
      <w:pPr>
        <w:spacing w:line="360" w:lineRule="auto"/>
        <w:jc w:val="both"/>
        <w:rPr>
          <w:rFonts w:ascii="Palatino Linotype" w:eastAsia="Palatino Linotype" w:hAnsi="Palatino Linotype" w:cs="Palatino Linotype"/>
        </w:rPr>
      </w:pPr>
      <w:r w:rsidRPr="005629FB">
        <w:rPr>
          <w:rFonts w:ascii="Palatino Linotype" w:eastAsia="Palatino Linotype" w:hAnsi="Palatino Linotype" w:cs="Palatino Linotype"/>
        </w:rPr>
        <w:lastRenderedPageBreak/>
        <w:t xml:space="preserve"> </w:t>
      </w:r>
      <w:r w:rsidRPr="005629FB">
        <w:rPr>
          <w:rFonts w:ascii="Palatino Linotype" w:eastAsia="Palatino Linotype" w:hAnsi="Palatino Linotype" w:cs="Palatino Linotype"/>
          <w:i/>
        </w:rPr>
        <w:t>“PLAZO RAZONABLE PARA RESOLVER. DIMENSIÓN Y EFECTOS DE ESTE CONCEPTO CUANDO SE ADUCE EXCESIVA CARGA DE TRABAJO.”</w:t>
      </w:r>
      <w:r w:rsidRPr="005629FB">
        <w:rPr>
          <w:rFonts w:ascii="Palatino Linotype" w:eastAsia="Palatino Linotype" w:hAnsi="Palatino Linotype" w:cs="Palatino Linotype"/>
        </w:rPr>
        <w:t xml:space="preserve"> consultable en el Seminario Judicial de la Federación y su gaceta, con el registro digital 2002351.</w:t>
      </w:r>
    </w:p>
    <w:p w14:paraId="6E4A7928" w14:textId="77777777" w:rsidR="00C67147" w:rsidRPr="005629FB" w:rsidRDefault="00C67147">
      <w:pPr>
        <w:spacing w:line="360" w:lineRule="auto"/>
        <w:jc w:val="both"/>
        <w:rPr>
          <w:rFonts w:ascii="Palatino Linotype" w:eastAsia="Palatino Linotype" w:hAnsi="Palatino Linotype" w:cs="Palatino Linotype"/>
          <w:b/>
        </w:rPr>
      </w:pPr>
    </w:p>
    <w:p w14:paraId="3A16E160" w14:textId="77777777" w:rsidR="00C67147" w:rsidRPr="005629FB" w:rsidRDefault="007E21D8">
      <w:pPr>
        <w:spacing w:line="360" w:lineRule="auto"/>
        <w:jc w:val="both"/>
        <w:rPr>
          <w:rFonts w:ascii="Palatino Linotype" w:eastAsia="Palatino Linotype" w:hAnsi="Palatino Linotype" w:cs="Palatino Linotype"/>
        </w:rPr>
      </w:pPr>
      <w:r w:rsidRPr="005629FB">
        <w:rPr>
          <w:rFonts w:ascii="Palatino Linotype" w:eastAsia="Palatino Linotype" w:hAnsi="Palatino Linotype" w:cs="Palatino Linotype"/>
          <w:i/>
        </w:rPr>
        <w:t>“PLAZO RAZONABLE PARA RESOLVER. CONCEPTO Y ELEMENTOS QUE LO INTEGRAN A LA LUZ DEL DERECHO INTERNACIONAL DE LOS DERECHOS HUMANOS.”</w:t>
      </w:r>
      <w:r w:rsidRPr="005629FB">
        <w:rPr>
          <w:rFonts w:ascii="Palatino Linotype" w:eastAsia="Palatino Linotype" w:hAnsi="Palatino Linotype" w:cs="Palatino Linotype"/>
        </w:rPr>
        <w:t>, visible en el Seminario Judicial de la Federación y su gaceta, con el registro digital 2002350.</w:t>
      </w:r>
    </w:p>
    <w:p w14:paraId="1AD104CE" w14:textId="77777777" w:rsidR="00C67147" w:rsidRPr="005629FB" w:rsidRDefault="00C67147">
      <w:pPr>
        <w:spacing w:line="360" w:lineRule="auto"/>
        <w:jc w:val="both"/>
        <w:rPr>
          <w:rFonts w:ascii="Palatino Linotype" w:eastAsia="Palatino Linotype" w:hAnsi="Palatino Linotype" w:cs="Palatino Linotype"/>
        </w:rPr>
      </w:pPr>
    </w:p>
    <w:p w14:paraId="5FB22003" w14:textId="77777777" w:rsidR="00C67147" w:rsidRPr="005629FB" w:rsidRDefault="007E21D8">
      <w:pPr>
        <w:spacing w:line="360" w:lineRule="auto"/>
        <w:jc w:val="both"/>
        <w:rPr>
          <w:rFonts w:ascii="Palatino Linotype" w:eastAsia="Palatino Linotype" w:hAnsi="Palatino Linotype" w:cs="Palatino Linotype"/>
        </w:rPr>
      </w:pPr>
      <w:r w:rsidRPr="005629FB">
        <w:rPr>
          <w:rFonts w:ascii="Palatino Linotype" w:eastAsia="Palatino Linotype" w:hAnsi="Palatino Linotype" w:cs="Palatino Linotype"/>
        </w:rPr>
        <w:t>Por ello, este organismo garante comprometido con la tutela de los derechos humanos confiados, señala que este exceso de plazo legal para resolver el presente asunto, resulta de carácter excepcional.</w:t>
      </w:r>
    </w:p>
    <w:p w14:paraId="4F82F060" w14:textId="77777777" w:rsidR="00C67147" w:rsidRPr="005629FB" w:rsidRDefault="007E21D8">
      <w:pPr>
        <w:spacing w:before="240" w:after="240" w:line="360" w:lineRule="auto"/>
        <w:jc w:val="both"/>
        <w:rPr>
          <w:rFonts w:ascii="Palatino Linotype" w:eastAsia="Palatino Linotype" w:hAnsi="Palatino Linotype" w:cs="Palatino Linotype"/>
        </w:rPr>
      </w:pPr>
      <w:r w:rsidRPr="005629FB">
        <w:rPr>
          <w:rFonts w:ascii="Palatino Linotype" w:eastAsia="Palatino Linotype" w:hAnsi="Palatino Linotype" w:cs="Palatino Linotype"/>
          <w:b/>
        </w:rPr>
        <w:t xml:space="preserve">10. Cierre de instrucción. </w:t>
      </w:r>
      <w:r w:rsidRPr="005629FB">
        <w:rPr>
          <w:rFonts w:ascii="Palatino Linotype" w:eastAsia="Palatino Linotype" w:hAnsi="Palatino Linotype" w:cs="Palatino Linotype"/>
        </w:rPr>
        <w:t>Una vez transcurrido el periodo otorgado a las partes para realizar sus manifestaciones y no habiendo documentos que integrar al expediente, con fecha treinta de octubre de dos mil veintitrés, la Comisionada Ponente determinó el cierre de instrucción en términos de la fracción VI del artículo 185 de la Ley de Transparencia y Acceso a la Información Pública del Estado de México y Municipios.</w:t>
      </w:r>
    </w:p>
    <w:p w14:paraId="6D4C722E" w14:textId="77777777" w:rsidR="00C67147" w:rsidRPr="005629FB" w:rsidRDefault="007E21D8">
      <w:pPr>
        <w:spacing w:before="240" w:after="240" w:line="360" w:lineRule="auto"/>
        <w:jc w:val="both"/>
        <w:rPr>
          <w:rFonts w:ascii="Palatino Linotype" w:eastAsia="Palatino Linotype" w:hAnsi="Palatino Linotype" w:cs="Palatino Linotype"/>
        </w:rPr>
      </w:pPr>
      <w:r w:rsidRPr="005629FB">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28C550B7" w14:textId="77777777" w:rsidR="00C67147" w:rsidRPr="005629FB" w:rsidRDefault="007E21D8">
      <w:pPr>
        <w:widowControl w:val="0"/>
        <w:spacing w:line="360" w:lineRule="auto"/>
        <w:jc w:val="center"/>
        <w:rPr>
          <w:rFonts w:ascii="Palatino Linotype" w:eastAsia="Palatino Linotype" w:hAnsi="Palatino Linotype" w:cs="Palatino Linotype"/>
          <w:b/>
        </w:rPr>
      </w:pPr>
      <w:r w:rsidRPr="005629FB">
        <w:rPr>
          <w:rFonts w:ascii="Palatino Linotype" w:eastAsia="Palatino Linotype" w:hAnsi="Palatino Linotype" w:cs="Palatino Linotype"/>
          <w:b/>
        </w:rPr>
        <w:t>II. C O N S I D E R A N D O S</w:t>
      </w:r>
    </w:p>
    <w:p w14:paraId="34B635A7" w14:textId="77777777" w:rsidR="00C67147" w:rsidRPr="005629FB" w:rsidRDefault="00C67147">
      <w:pPr>
        <w:widowControl w:val="0"/>
        <w:spacing w:line="360" w:lineRule="auto"/>
        <w:jc w:val="center"/>
        <w:rPr>
          <w:rFonts w:ascii="Palatino Linotype" w:eastAsia="Palatino Linotype" w:hAnsi="Palatino Linotype" w:cs="Palatino Linotype"/>
          <w:b/>
        </w:rPr>
      </w:pPr>
    </w:p>
    <w:p w14:paraId="4D3511D9" w14:textId="77777777" w:rsidR="00C67147" w:rsidRPr="005629FB" w:rsidRDefault="007E21D8">
      <w:pPr>
        <w:spacing w:line="360" w:lineRule="auto"/>
        <w:jc w:val="both"/>
        <w:rPr>
          <w:rFonts w:ascii="Palatino Linotype" w:eastAsia="Palatino Linotype" w:hAnsi="Palatino Linotype" w:cs="Palatino Linotype"/>
        </w:rPr>
      </w:pPr>
      <w:r w:rsidRPr="005629FB">
        <w:rPr>
          <w:rFonts w:ascii="Palatino Linotype" w:eastAsia="Palatino Linotype" w:hAnsi="Palatino Linotype" w:cs="Palatino Linotype"/>
          <w:b/>
        </w:rPr>
        <w:lastRenderedPageBreak/>
        <w:t>Primero. Competencia.</w:t>
      </w:r>
      <w:r w:rsidRPr="005629FB">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07FA84EE" w14:textId="77777777" w:rsidR="00C67147" w:rsidRPr="005629FB" w:rsidRDefault="007E21D8">
      <w:pPr>
        <w:spacing w:before="240" w:after="240" w:line="360" w:lineRule="auto"/>
        <w:jc w:val="both"/>
        <w:rPr>
          <w:rFonts w:ascii="Palatino Linotype" w:eastAsia="Palatino Linotype" w:hAnsi="Palatino Linotype" w:cs="Palatino Linotype"/>
        </w:rPr>
      </w:pPr>
      <w:bookmarkStart w:id="2" w:name="_heading=h.tyjcwt" w:colFirst="0" w:colLast="0"/>
      <w:bookmarkEnd w:id="2"/>
      <w:r w:rsidRPr="005629FB">
        <w:rPr>
          <w:rFonts w:ascii="Palatino Linotype" w:eastAsia="Palatino Linotype" w:hAnsi="Palatino Linotype" w:cs="Palatino Linotype"/>
          <w:b/>
        </w:rPr>
        <w:t xml:space="preserve">Segundo. Oportunidad y Procedibilidad del Recurso de Revisión. </w:t>
      </w:r>
      <w:r w:rsidRPr="005629FB">
        <w:rPr>
          <w:rFonts w:ascii="Palatino Linotype" w:eastAsia="Palatino Linotype" w:hAnsi="Palatino Linotype" w:cs="Palatino Linotype"/>
        </w:rPr>
        <w:t xml:space="preserve">De conformidad con los requisitos de Oportunidad y Procedibilidad que deben reunir el recurso de revisión interpuesto, previstos en los artículos 178 y 180 de la Ley de Transparencia y Acceso a la Información Pública del Estado de México y Municipios; en la especie se advierte que el presente medio de impugnación fue interpuesto dentro del plazo de quince días previsto en el primer artículo de referencia; toda vez que el </w:t>
      </w:r>
      <w:r w:rsidRPr="005629FB">
        <w:rPr>
          <w:rFonts w:ascii="Palatino Linotype" w:eastAsia="Palatino Linotype" w:hAnsi="Palatino Linotype" w:cs="Palatino Linotype"/>
          <w:b/>
        </w:rPr>
        <w:t>SUJETO OBLIGADO</w:t>
      </w:r>
      <w:r w:rsidRPr="005629FB">
        <w:rPr>
          <w:rFonts w:ascii="Palatino Linotype" w:eastAsia="Palatino Linotype" w:hAnsi="Palatino Linotype" w:cs="Palatino Linotype"/>
        </w:rPr>
        <w:t xml:space="preserve"> emitió su respuesta a la solicitud planteada por la </w:t>
      </w:r>
      <w:r w:rsidRPr="005629FB">
        <w:rPr>
          <w:rFonts w:ascii="Palatino Linotype" w:eastAsia="Palatino Linotype" w:hAnsi="Palatino Linotype" w:cs="Palatino Linotype"/>
          <w:b/>
        </w:rPr>
        <w:t>RECURRENTE</w:t>
      </w:r>
      <w:r w:rsidRPr="005629FB">
        <w:rPr>
          <w:rFonts w:ascii="Palatino Linotype" w:eastAsia="Palatino Linotype" w:hAnsi="Palatino Linotype" w:cs="Palatino Linotype"/>
        </w:rPr>
        <w:t xml:space="preserve"> el cuatro de julio del año dos mil veintitrés y la parte </w:t>
      </w:r>
      <w:r w:rsidRPr="005629FB">
        <w:rPr>
          <w:rFonts w:ascii="Palatino Linotype" w:eastAsia="Palatino Linotype" w:hAnsi="Palatino Linotype" w:cs="Palatino Linotype"/>
          <w:b/>
        </w:rPr>
        <w:t>RECURRENTE</w:t>
      </w:r>
      <w:r w:rsidRPr="005629FB">
        <w:rPr>
          <w:rFonts w:ascii="Palatino Linotype" w:eastAsia="Palatino Linotype" w:hAnsi="Palatino Linotype" w:cs="Palatino Linotype"/>
        </w:rPr>
        <w:t xml:space="preserve"> presentó su recurso de revisión el siete de julio del mismo año</w:t>
      </w:r>
      <w:r w:rsidRPr="005629FB">
        <w:rPr>
          <w:rFonts w:ascii="Palatino Linotype" w:eastAsia="Palatino Linotype" w:hAnsi="Palatino Linotype" w:cs="Palatino Linotype"/>
          <w:b/>
        </w:rPr>
        <w:t xml:space="preserve">; </w:t>
      </w:r>
      <w:r w:rsidRPr="005629FB">
        <w:rPr>
          <w:rFonts w:ascii="Palatino Linotype" w:eastAsia="Palatino Linotype" w:hAnsi="Palatino Linotype" w:cs="Palatino Linotype"/>
        </w:rPr>
        <w:t>esto es, al tercer día hábil siguiente de aquel en que tuvo conocimiento de la respuesta; evidenciándose que la interposición del recurso se encuentra dentro de los márgenes temporales previstos en el citado precepto legal.</w:t>
      </w:r>
    </w:p>
    <w:p w14:paraId="30CA62CC" w14:textId="77777777" w:rsidR="00C67147" w:rsidRPr="005629FB" w:rsidRDefault="007E21D8">
      <w:pPr>
        <w:spacing w:before="240" w:after="240" w:line="360" w:lineRule="auto"/>
        <w:jc w:val="both"/>
        <w:rPr>
          <w:rFonts w:ascii="Palatino Linotype" w:eastAsia="Palatino Linotype" w:hAnsi="Palatino Linotype" w:cs="Palatino Linotype"/>
        </w:rPr>
      </w:pPr>
      <w:r w:rsidRPr="005629FB">
        <w:rPr>
          <w:rFonts w:ascii="Palatino Linotype" w:eastAsia="Palatino Linotype" w:hAnsi="Palatino Linotype" w:cs="Palatino Linotype"/>
        </w:rPr>
        <w:lastRenderedPageBreak/>
        <w:t>Al mismo tiempo, tras la revisión del formato de interposición del recurso, se concluye en la acreditación plena de todos y cada uno de los elementos formales exigidos por el artículo 180 de la Ley de Transparencia y Acceso a la Información Pública del Estado de México y Municipios, toda vez que fue ingresado a través del SAIMEX.</w:t>
      </w:r>
    </w:p>
    <w:p w14:paraId="5F3CF8C2" w14:textId="77777777" w:rsidR="00C67147" w:rsidRPr="005629FB" w:rsidRDefault="007E21D8">
      <w:pPr>
        <w:spacing w:before="240" w:after="240" w:line="360" w:lineRule="auto"/>
        <w:jc w:val="both"/>
        <w:rPr>
          <w:rFonts w:ascii="Palatino Linotype" w:eastAsia="Palatino Linotype" w:hAnsi="Palatino Linotype" w:cs="Palatino Linotype"/>
        </w:rPr>
      </w:pPr>
      <w:r w:rsidRPr="005629FB">
        <w:rPr>
          <w:rFonts w:ascii="Palatino Linotype" w:eastAsia="Palatino Linotype" w:hAnsi="Palatino Linotype" w:cs="Palatino Linotype"/>
        </w:rPr>
        <w:t xml:space="preserve">Por cuanto hace a la procedibilidad del recurso de revisión, es de suma importancia señalar que la parte </w:t>
      </w:r>
      <w:r w:rsidRPr="005629FB">
        <w:rPr>
          <w:rFonts w:ascii="Palatino Linotype" w:eastAsia="Palatino Linotype" w:hAnsi="Palatino Linotype" w:cs="Palatino Linotype"/>
          <w:b/>
        </w:rPr>
        <w:t>RECURRENTE</w:t>
      </w:r>
      <w:r w:rsidRPr="005629FB">
        <w:rPr>
          <w:rFonts w:ascii="Palatino Linotype" w:eastAsia="Palatino Linotype" w:hAnsi="Palatino Linotype" w:cs="Palatino Linotype"/>
        </w:rPr>
        <w:t>, no proporcionó su nombre completo</w:t>
      </w:r>
      <w:r w:rsidRPr="005629FB">
        <w:rPr>
          <w:rFonts w:ascii="Palatino Linotype" w:eastAsia="Palatino Linotype" w:hAnsi="Palatino Linotype" w:cs="Palatino Linotype"/>
          <w:b/>
        </w:rPr>
        <w:t>,</w:t>
      </w:r>
      <w:r w:rsidRPr="005629FB">
        <w:rPr>
          <w:rFonts w:ascii="Palatino Linotype" w:eastAsia="Palatino Linotype" w:hAnsi="Palatino Linotype" w:cs="Palatino Linotype"/>
        </w:rPr>
        <w:t xml:space="preserve"> como se advierte en el detalle de seguimiento del SAIMEX, no obstante lo anterior,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412023B6" w14:textId="77777777" w:rsidR="00C67147" w:rsidRPr="005629FB" w:rsidRDefault="007E21D8">
      <w:pPr>
        <w:spacing w:before="240" w:after="240" w:line="276" w:lineRule="auto"/>
        <w:ind w:left="851" w:right="902"/>
        <w:jc w:val="both"/>
        <w:rPr>
          <w:rFonts w:ascii="Palatino Linotype" w:eastAsia="Palatino Linotype" w:hAnsi="Palatino Linotype" w:cs="Palatino Linotype"/>
          <w:i/>
          <w:sz w:val="22"/>
          <w:szCs w:val="22"/>
        </w:rPr>
      </w:pPr>
      <w:r w:rsidRPr="005629FB">
        <w:rPr>
          <w:rFonts w:ascii="Palatino Linotype" w:eastAsia="Palatino Linotype" w:hAnsi="Palatino Linotype" w:cs="Palatino Linotype"/>
          <w:i/>
          <w:sz w:val="22"/>
          <w:szCs w:val="22"/>
        </w:rPr>
        <w:t>"</w:t>
      </w:r>
      <w:r w:rsidRPr="005629FB">
        <w:rPr>
          <w:rFonts w:ascii="Palatino Linotype" w:eastAsia="Palatino Linotype" w:hAnsi="Palatino Linotype" w:cs="Palatino Linotype"/>
          <w:b/>
          <w:i/>
          <w:sz w:val="22"/>
          <w:szCs w:val="22"/>
        </w:rPr>
        <w:t xml:space="preserve">Las solicitudes </w:t>
      </w:r>
      <w:r w:rsidRPr="005629FB">
        <w:rPr>
          <w:rFonts w:ascii="Palatino Linotype" w:eastAsia="Palatino Linotype" w:hAnsi="Palatino Linotype" w:cs="Palatino Linotype"/>
          <w:i/>
          <w:sz w:val="22"/>
          <w:szCs w:val="22"/>
        </w:rPr>
        <w:t xml:space="preserve">anónimas, con </w:t>
      </w:r>
      <w:r w:rsidRPr="005629FB">
        <w:rPr>
          <w:rFonts w:ascii="Palatino Linotype" w:eastAsia="Palatino Linotype" w:hAnsi="Palatino Linotype" w:cs="Palatino Linotype"/>
          <w:b/>
          <w:i/>
          <w:sz w:val="22"/>
          <w:szCs w:val="22"/>
        </w:rPr>
        <w:t>nombre incompleto o seudónimo</w:t>
      </w:r>
      <w:r w:rsidRPr="005629FB">
        <w:rPr>
          <w:rFonts w:ascii="Palatino Linotype" w:eastAsia="Palatino Linotype" w:hAnsi="Palatino Linotype" w:cs="Palatino Linotype"/>
          <w:i/>
          <w:sz w:val="22"/>
          <w:szCs w:val="22"/>
        </w:rPr>
        <w:t xml:space="preserve"> </w:t>
      </w:r>
      <w:r w:rsidRPr="005629FB">
        <w:rPr>
          <w:rFonts w:ascii="Palatino Linotype" w:eastAsia="Palatino Linotype" w:hAnsi="Palatino Linotype" w:cs="Palatino Linotype"/>
          <w:b/>
          <w:i/>
          <w:sz w:val="22"/>
          <w:szCs w:val="22"/>
        </w:rPr>
        <w:t>serán procedentes para su trámite por parte del sujeto obligado ante quien se presente</w:t>
      </w:r>
      <w:r w:rsidRPr="005629FB">
        <w:rPr>
          <w:rFonts w:ascii="Palatino Linotype" w:eastAsia="Palatino Linotype" w:hAnsi="Palatino Linotype" w:cs="Palatino Linotype"/>
          <w:i/>
          <w:sz w:val="22"/>
          <w:szCs w:val="22"/>
        </w:rPr>
        <w:t>. No podrá requerirse información adicional con motivo del nombre proporcionado por el solicitante."</w:t>
      </w:r>
    </w:p>
    <w:p w14:paraId="0906D2EA" w14:textId="77777777" w:rsidR="00C67147" w:rsidRPr="005629FB" w:rsidRDefault="007E21D8">
      <w:pPr>
        <w:spacing w:before="240" w:after="240" w:line="360" w:lineRule="auto"/>
        <w:jc w:val="both"/>
        <w:rPr>
          <w:rFonts w:ascii="Palatino Linotype" w:eastAsia="Palatino Linotype" w:hAnsi="Palatino Linotype" w:cs="Palatino Linotype"/>
        </w:rPr>
      </w:pPr>
      <w:r w:rsidRPr="005629FB">
        <w:rPr>
          <w:rFonts w:ascii="Palatino Linotype" w:eastAsia="Palatino Linotype" w:hAnsi="Palatino Linotype" w:cs="Palatino Linotype"/>
        </w:rPr>
        <w:t>Asimismo, resulta procedente la interposición del recurso de revisión al rubro anotado, toda vez que se actualiza las hipótesis previstas en el artículo 179, fracción V de la ley de la materia, que a la letra dice:</w:t>
      </w:r>
    </w:p>
    <w:p w14:paraId="65D60DA8" w14:textId="77777777" w:rsidR="00C67147" w:rsidRPr="005629FB" w:rsidRDefault="007E21D8">
      <w:pPr>
        <w:ind w:left="1276" w:right="1752"/>
        <w:jc w:val="both"/>
        <w:rPr>
          <w:rFonts w:ascii="Palatino Linotype" w:eastAsia="Palatino Linotype" w:hAnsi="Palatino Linotype" w:cs="Palatino Linotype"/>
          <w:i/>
          <w:sz w:val="22"/>
          <w:szCs w:val="22"/>
        </w:rPr>
      </w:pPr>
      <w:r w:rsidRPr="005629FB">
        <w:rPr>
          <w:rFonts w:ascii="Palatino Linotype" w:eastAsia="Palatino Linotype" w:hAnsi="Palatino Linotype" w:cs="Palatino Linotype"/>
          <w:i/>
          <w:sz w:val="22"/>
          <w:szCs w:val="22"/>
        </w:rPr>
        <w:t>“</w:t>
      </w:r>
      <w:r w:rsidRPr="005629FB">
        <w:rPr>
          <w:rFonts w:ascii="Palatino Linotype" w:eastAsia="Palatino Linotype" w:hAnsi="Palatino Linotype" w:cs="Palatino Linotype"/>
          <w:b/>
          <w:i/>
          <w:sz w:val="22"/>
          <w:szCs w:val="22"/>
        </w:rPr>
        <w:t xml:space="preserve">Artículo 179. </w:t>
      </w:r>
      <w:r w:rsidRPr="005629FB">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14:paraId="5FD6DE24" w14:textId="77777777" w:rsidR="00C67147" w:rsidRPr="005629FB" w:rsidRDefault="007E21D8">
      <w:pPr>
        <w:ind w:left="1276" w:right="1752"/>
        <w:jc w:val="both"/>
        <w:rPr>
          <w:rFonts w:ascii="Palatino Linotype" w:eastAsia="Palatino Linotype" w:hAnsi="Palatino Linotype" w:cs="Palatino Linotype"/>
          <w:i/>
          <w:sz w:val="22"/>
          <w:szCs w:val="22"/>
        </w:rPr>
      </w:pPr>
      <w:r w:rsidRPr="005629FB">
        <w:rPr>
          <w:rFonts w:ascii="Palatino Linotype" w:eastAsia="Palatino Linotype" w:hAnsi="Palatino Linotype" w:cs="Palatino Linotype"/>
          <w:i/>
          <w:sz w:val="22"/>
          <w:szCs w:val="22"/>
        </w:rPr>
        <w:t>…</w:t>
      </w:r>
    </w:p>
    <w:p w14:paraId="5114EB6F" w14:textId="77777777" w:rsidR="00C67147" w:rsidRPr="005629FB" w:rsidRDefault="007E21D8">
      <w:pPr>
        <w:ind w:left="1276" w:right="1752"/>
        <w:jc w:val="both"/>
        <w:rPr>
          <w:rFonts w:ascii="Palatino Linotype" w:eastAsia="Palatino Linotype" w:hAnsi="Palatino Linotype" w:cs="Palatino Linotype"/>
          <w:i/>
          <w:sz w:val="22"/>
          <w:szCs w:val="22"/>
        </w:rPr>
      </w:pPr>
      <w:r w:rsidRPr="005629FB">
        <w:rPr>
          <w:rFonts w:ascii="Palatino Linotype" w:eastAsia="Palatino Linotype" w:hAnsi="Palatino Linotype" w:cs="Palatino Linotype"/>
          <w:i/>
          <w:sz w:val="22"/>
          <w:szCs w:val="22"/>
        </w:rPr>
        <w:t>V. La entrega de información incompleta…” (Sic)</w:t>
      </w:r>
    </w:p>
    <w:p w14:paraId="2A98F1CB" w14:textId="77777777" w:rsidR="00C67147" w:rsidRPr="005629FB" w:rsidRDefault="007E21D8">
      <w:pPr>
        <w:spacing w:before="240" w:after="240" w:line="360" w:lineRule="auto"/>
        <w:ind w:right="60"/>
        <w:jc w:val="both"/>
        <w:rPr>
          <w:rFonts w:ascii="Palatino Linotype" w:eastAsia="Palatino Linotype" w:hAnsi="Palatino Linotype" w:cs="Palatino Linotype"/>
          <w:b/>
        </w:rPr>
      </w:pPr>
      <w:r w:rsidRPr="005629FB">
        <w:rPr>
          <w:rFonts w:ascii="Palatino Linotype" w:eastAsia="Palatino Linotype" w:hAnsi="Palatino Linotype" w:cs="Palatino Linotype"/>
          <w:b/>
        </w:rPr>
        <w:lastRenderedPageBreak/>
        <w:t xml:space="preserve">Tercero. Análisis de las causales de sobreseimiento del recurso de revisión. </w:t>
      </w:r>
      <w:r w:rsidRPr="005629FB">
        <w:rPr>
          <w:rFonts w:ascii="Palatino Linotype" w:eastAsia="Palatino Linotype" w:hAnsi="Palatino Linotype" w:cs="Palatino Linotype"/>
        </w:rPr>
        <w:t>Es menester resaltar que en el procedimiento de acceso a la información pública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4880C4DF" w14:textId="77777777" w:rsidR="00C67147" w:rsidRPr="005629FB" w:rsidRDefault="007E21D8">
      <w:pPr>
        <w:spacing w:before="240" w:line="360" w:lineRule="auto"/>
        <w:jc w:val="both"/>
        <w:rPr>
          <w:rFonts w:ascii="Palatino Linotype" w:eastAsia="Palatino Linotype" w:hAnsi="Palatino Linotype" w:cs="Palatino Linotype"/>
        </w:rPr>
      </w:pPr>
      <w:r w:rsidRPr="005629FB">
        <w:rPr>
          <w:rFonts w:ascii="Palatino Linotype" w:eastAsia="Palatino Linotype" w:hAnsi="Palatino Linotype" w:cs="Palatino Linotype"/>
        </w:rPr>
        <w:t>Siendo una facultad legal entrar al estudio de las causas de improcedencia que hagan valer las partes o que se adviertan de oficio por este Instituto; presupuestos procesales de inicio o trámite de un proceso que dotan de seguridad jurídica las resoluciones emitidas por este organismo colegiado, máxime que se trata de una figura procesal adoptada en la ley de la materia, la cual permite dilucidar alguna causal que impida el estudio y resolución de un asunto en su fondo, cuando una vez admitido el recurso de revisión se advierta una causa de improcedencia que permita sobreseerlo. Estudio de causales de improcedencia que no son incompatibles con el derecho de acceso a la justicia, ya que éste no se coarta por regular causas de improcedencia y sobreseimiento con tales fines.</w:t>
      </w:r>
    </w:p>
    <w:p w14:paraId="0F0D8DD5" w14:textId="77777777" w:rsidR="00C67147" w:rsidRPr="005629FB" w:rsidRDefault="007E21D8">
      <w:pPr>
        <w:spacing w:before="240" w:line="360" w:lineRule="auto"/>
        <w:jc w:val="both"/>
        <w:rPr>
          <w:rFonts w:ascii="Palatino Linotype" w:eastAsia="Palatino Linotype" w:hAnsi="Palatino Linotype" w:cs="Palatino Linotype"/>
        </w:rPr>
      </w:pPr>
      <w:r w:rsidRPr="005629FB">
        <w:rPr>
          <w:rFonts w:ascii="Palatino Linotype" w:eastAsia="Palatino Linotype" w:hAnsi="Palatino Linotype" w:cs="Palatino Linotype"/>
        </w:rPr>
        <w:t xml:space="preserve">Antes de analizar el presente caso, es importante señalar que de una revisión a los motivos de inconformidad de la parte </w:t>
      </w:r>
      <w:r w:rsidRPr="005629FB">
        <w:rPr>
          <w:rFonts w:ascii="Palatino Linotype" w:eastAsia="Palatino Linotype" w:hAnsi="Palatino Linotype" w:cs="Palatino Linotype"/>
          <w:b/>
        </w:rPr>
        <w:t>RECURRENTE</w:t>
      </w:r>
      <w:r w:rsidRPr="005629FB">
        <w:rPr>
          <w:rFonts w:ascii="Palatino Linotype" w:eastAsia="Palatino Linotype" w:hAnsi="Palatino Linotype" w:cs="Palatino Linotype"/>
        </w:rPr>
        <w:t>, se advierte que está conforme con la información siguiente:</w:t>
      </w:r>
    </w:p>
    <w:p w14:paraId="1606F0A9" w14:textId="77777777" w:rsidR="00C67147" w:rsidRPr="005629FB" w:rsidRDefault="007E21D8">
      <w:pPr>
        <w:numPr>
          <w:ilvl w:val="0"/>
          <w:numId w:val="1"/>
        </w:numPr>
        <w:pBdr>
          <w:top w:val="nil"/>
          <w:left w:val="nil"/>
          <w:bottom w:val="nil"/>
          <w:right w:val="nil"/>
          <w:between w:val="nil"/>
        </w:pBdr>
        <w:spacing w:before="240" w:line="360" w:lineRule="auto"/>
        <w:jc w:val="both"/>
        <w:rPr>
          <w:rFonts w:ascii="Palatino Linotype" w:eastAsia="Palatino Linotype" w:hAnsi="Palatino Linotype" w:cs="Palatino Linotype"/>
        </w:rPr>
      </w:pPr>
      <w:r w:rsidRPr="005629FB">
        <w:rPr>
          <w:rFonts w:ascii="Palatino Linotype" w:eastAsia="Palatino Linotype" w:hAnsi="Palatino Linotype" w:cs="Palatino Linotype"/>
        </w:rPr>
        <w:lastRenderedPageBreak/>
        <w:t>Convenios, contratos o cualquier documento en el que se plasmen las tarifas que cobran las instituciones bancarias para la recepción de pagos por internet o ventanilla por concepto de pagos, derechos y/o aprovechamientos.</w:t>
      </w:r>
    </w:p>
    <w:p w14:paraId="234B336D" w14:textId="77777777" w:rsidR="00C67147" w:rsidRPr="005629FB" w:rsidRDefault="007E21D8">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rPr>
      </w:pPr>
      <w:r w:rsidRPr="005629FB">
        <w:rPr>
          <w:rFonts w:ascii="Palatino Linotype" w:eastAsia="Palatino Linotype" w:hAnsi="Palatino Linotype" w:cs="Palatino Linotype"/>
        </w:rPr>
        <w:t>Requiero la información desglosada por banco, indicando si el cobro es al sujeto obligado, al contribuyente o usuario, o bien a ambos.</w:t>
      </w:r>
    </w:p>
    <w:p w14:paraId="1700A0A3" w14:textId="77777777" w:rsidR="00C67147" w:rsidRPr="005629FB" w:rsidRDefault="007E21D8">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rPr>
      </w:pPr>
      <w:r w:rsidRPr="005629FB">
        <w:rPr>
          <w:rFonts w:ascii="Palatino Linotype" w:eastAsia="Palatino Linotype" w:hAnsi="Palatino Linotype" w:cs="Palatino Linotype"/>
        </w:rPr>
        <w:t xml:space="preserve">Las instituciones bancarias le cobran al PJEDOMEX o bien a sus usuarios por el concepto de </w:t>
      </w:r>
      <w:proofErr w:type="spellStart"/>
      <w:r w:rsidRPr="005629FB">
        <w:rPr>
          <w:rFonts w:ascii="Palatino Linotype" w:eastAsia="Palatino Linotype" w:hAnsi="Palatino Linotype" w:cs="Palatino Linotype"/>
        </w:rPr>
        <w:t>DPA's</w:t>
      </w:r>
      <w:proofErr w:type="spellEnd"/>
      <w:r w:rsidRPr="005629FB">
        <w:rPr>
          <w:rFonts w:ascii="Palatino Linotype" w:eastAsia="Palatino Linotype" w:hAnsi="Palatino Linotype" w:cs="Palatino Linotype"/>
        </w:rPr>
        <w:t>.</w:t>
      </w:r>
    </w:p>
    <w:p w14:paraId="0E1F3DFF" w14:textId="77777777" w:rsidR="00C67147" w:rsidRPr="005629FB" w:rsidRDefault="007E21D8">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rPr>
      </w:pPr>
      <w:r w:rsidRPr="005629FB">
        <w:rPr>
          <w:rFonts w:ascii="Palatino Linotype" w:eastAsia="Palatino Linotype" w:hAnsi="Palatino Linotype" w:cs="Palatino Linotype"/>
        </w:rPr>
        <w:t>Cuánto cobran las instituciones bancarias por recibir depósitos a favor del PJEDOMEX -circular 34/2020.</w:t>
      </w:r>
    </w:p>
    <w:p w14:paraId="5F9A1CA0" w14:textId="77777777" w:rsidR="00C67147" w:rsidRPr="005629FB" w:rsidRDefault="007E21D8">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rPr>
      </w:pPr>
      <w:r w:rsidRPr="005629FB">
        <w:rPr>
          <w:rFonts w:ascii="Palatino Linotype" w:eastAsia="Palatino Linotype" w:hAnsi="Palatino Linotype" w:cs="Palatino Linotype"/>
        </w:rPr>
        <w:t xml:space="preserve">Las tarifas que se cobran por el uso de </w:t>
      </w:r>
      <w:proofErr w:type="spellStart"/>
      <w:r w:rsidRPr="005629FB">
        <w:rPr>
          <w:rFonts w:ascii="Palatino Linotype" w:eastAsia="Palatino Linotype" w:hAnsi="Palatino Linotype" w:cs="Palatino Linotype"/>
        </w:rPr>
        <w:t>TPV's</w:t>
      </w:r>
      <w:proofErr w:type="spellEnd"/>
      <w:r w:rsidRPr="005629FB">
        <w:rPr>
          <w:rFonts w:ascii="Palatino Linotype" w:eastAsia="Palatino Linotype" w:hAnsi="Palatino Linotype" w:cs="Palatino Linotype"/>
        </w:rPr>
        <w:t xml:space="preserve"> en sitio.</w:t>
      </w:r>
    </w:p>
    <w:p w14:paraId="364920C9" w14:textId="77777777" w:rsidR="00C67147" w:rsidRPr="005629FB" w:rsidRDefault="007E21D8">
      <w:pPr>
        <w:spacing w:before="240" w:line="360" w:lineRule="auto"/>
        <w:jc w:val="both"/>
        <w:rPr>
          <w:rFonts w:ascii="Palatino Linotype" w:eastAsia="Palatino Linotype" w:hAnsi="Palatino Linotype" w:cs="Palatino Linotype"/>
        </w:rPr>
      </w:pPr>
      <w:r w:rsidRPr="005629FB">
        <w:rPr>
          <w:rFonts w:ascii="Palatino Linotype" w:eastAsia="Palatino Linotype" w:hAnsi="Palatino Linotype" w:cs="Palatino Linotype"/>
        </w:rPr>
        <w:t>No así en cuanto a las tarifas que pagan o cobran por depósitos en efectivo -ejemplo circular 34/2020, numeral 4 y 5.</w:t>
      </w:r>
    </w:p>
    <w:p w14:paraId="2E7B7FC2" w14:textId="77777777" w:rsidR="00C67147" w:rsidRPr="005629FB" w:rsidRDefault="00C67147">
      <w:pPr>
        <w:spacing w:line="360" w:lineRule="auto"/>
        <w:jc w:val="both"/>
        <w:rPr>
          <w:rFonts w:ascii="Palatino Linotype" w:eastAsia="Palatino Linotype" w:hAnsi="Palatino Linotype" w:cs="Palatino Linotype"/>
        </w:rPr>
      </w:pPr>
    </w:p>
    <w:p w14:paraId="52E10CEB" w14:textId="77777777" w:rsidR="00C67147" w:rsidRPr="005629FB" w:rsidRDefault="007E21D8">
      <w:pPr>
        <w:spacing w:line="360" w:lineRule="auto"/>
        <w:jc w:val="both"/>
        <w:rPr>
          <w:rFonts w:ascii="Palatino Linotype" w:eastAsia="Palatino Linotype" w:hAnsi="Palatino Linotype" w:cs="Palatino Linotype"/>
        </w:rPr>
      </w:pPr>
      <w:r w:rsidRPr="005629FB">
        <w:rPr>
          <w:rFonts w:ascii="Palatino Linotype" w:eastAsia="Palatino Linotype" w:hAnsi="Palatino Linotype" w:cs="Palatino Linotype"/>
        </w:rPr>
        <w:t>Por consiguiente, cuando el solicitante no expresa razón o motivo de inconformidad en contra de todos los rubros de la respuesta que pudieran ser un agravio a su derecho, los mismos deben estimarse atendidos. Sirve de apoyo a lo anterior, por analogía, la Tesis Jurisprudencial Número 3ª./J.7/91, publicada en el Semanario Judicial de la Federación y su Gaceta bajo el número de registro 174,177, que establece lo siguiente:</w:t>
      </w:r>
    </w:p>
    <w:p w14:paraId="1EB96C3D" w14:textId="77777777" w:rsidR="00C67147" w:rsidRPr="005629FB" w:rsidRDefault="007E21D8">
      <w:pPr>
        <w:spacing w:before="240" w:after="240" w:line="276" w:lineRule="auto"/>
        <w:ind w:left="567" w:right="567"/>
        <w:jc w:val="both"/>
        <w:rPr>
          <w:rFonts w:ascii="Palatino Linotype" w:eastAsia="Palatino Linotype" w:hAnsi="Palatino Linotype" w:cs="Palatino Linotype"/>
          <w:i/>
          <w:sz w:val="22"/>
          <w:szCs w:val="22"/>
        </w:rPr>
      </w:pPr>
      <w:r w:rsidRPr="005629FB">
        <w:rPr>
          <w:rFonts w:ascii="Palatino Linotype" w:eastAsia="Palatino Linotype" w:hAnsi="Palatino Linotype" w:cs="Palatino Linotype"/>
          <w:sz w:val="22"/>
          <w:szCs w:val="22"/>
        </w:rPr>
        <w:t>“</w:t>
      </w:r>
      <w:r w:rsidRPr="005629FB">
        <w:rPr>
          <w:rFonts w:ascii="Palatino Linotype" w:eastAsia="Palatino Linotype" w:hAnsi="Palatino Linotype" w:cs="Palatino Linotype"/>
          <w:b/>
          <w:i/>
          <w:sz w:val="22"/>
          <w:szCs w:val="22"/>
        </w:rPr>
        <w:t>REVISIÓN EN AMPARO. LOS RESOLUTIVOS NO COMBATIDOS DEBEN DECLARARSE FIRMES</w:t>
      </w:r>
      <w:r w:rsidRPr="005629FB">
        <w:rPr>
          <w:rFonts w:ascii="Palatino Linotype" w:eastAsia="Palatino Linotype" w:hAnsi="Palatino Linotype" w:cs="Palatino Linotype"/>
          <w:i/>
          <w:sz w:val="22"/>
          <w:szCs w:val="22"/>
        </w:rPr>
        <w:t xml:space="preserve">.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w:t>
      </w:r>
      <w:r w:rsidRPr="005629FB">
        <w:rPr>
          <w:rFonts w:ascii="Palatino Linotype" w:eastAsia="Palatino Linotype" w:hAnsi="Palatino Linotype" w:cs="Palatino Linotype"/>
          <w:i/>
          <w:sz w:val="22"/>
          <w:szCs w:val="22"/>
        </w:rPr>
        <w:lastRenderedPageBreak/>
        <w:t>y dicha declaración de firmeza debe reflejarse en la parte considerativa y en los resolutivos debe confirmarse la sentencia recurrida en la parte correspondiente.”(Sic)</w:t>
      </w:r>
    </w:p>
    <w:p w14:paraId="4A7A23F8" w14:textId="77777777" w:rsidR="00C67147" w:rsidRPr="005629FB" w:rsidRDefault="007E21D8">
      <w:pPr>
        <w:spacing w:before="240" w:after="240" w:line="360" w:lineRule="auto"/>
        <w:jc w:val="both"/>
        <w:rPr>
          <w:rFonts w:ascii="Palatino Linotype" w:eastAsia="Palatino Linotype" w:hAnsi="Palatino Linotype" w:cs="Palatino Linotype"/>
        </w:rPr>
      </w:pPr>
      <w:r w:rsidRPr="005629FB">
        <w:rPr>
          <w:rFonts w:ascii="Palatino Linotype" w:eastAsia="Palatino Linotype" w:hAnsi="Palatino Linotype" w:cs="Palatino Linotype"/>
        </w:rPr>
        <w:t>Esto es, la parte de la solicitud sobre la que no se expresó inconformidad, debe declararse consentida por el hoy Recurrente, ya que no pueden producirse efectos jurídicos tendentes a revocar, confirmar o modificar la parte de la respuesta con relación a la parte de la solicitud que no fue motivo de inconformidad ya que se infiere un consentimiento de la recurrente ante la falta de impugnación eficaz.</w:t>
      </w:r>
    </w:p>
    <w:p w14:paraId="4AC2C9B1" w14:textId="77777777" w:rsidR="00C67147" w:rsidRPr="005629FB" w:rsidRDefault="007E21D8">
      <w:pPr>
        <w:spacing w:before="240" w:after="240" w:line="360" w:lineRule="auto"/>
        <w:jc w:val="both"/>
        <w:rPr>
          <w:rFonts w:ascii="Palatino Linotype" w:eastAsia="Palatino Linotype" w:hAnsi="Palatino Linotype" w:cs="Palatino Linotype"/>
        </w:rPr>
      </w:pPr>
      <w:r w:rsidRPr="005629FB">
        <w:rPr>
          <w:rFonts w:ascii="Palatino Linotype" w:eastAsia="Palatino Linotype" w:hAnsi="Palatino Linotype" w:cs="Palatino Linotype"/>
        </w:rPr>
        <w:t>Sirve de sustento a lo anterior, por analogía, la tesis jurisprudencial número VI.3o.C. J/60, publicada en el Semanario Judicial de la Federación y su Gaceta bajo el número de registro 176,608 que a la letra dice:</w:t>
      </w:r>
    </w:p>
    <w:p w14:paraId="2DC07B05" w14:textId="77777777" w:rsidR="00C67147" w:rsidRPr="005629FB" w:rsidRDefault="007E21D8">
      <w:pPr>
        <w:spacing w:before="240" w:after="240" w:line="276" w:lineRule="auto"/>
        <w:ind w:left="567" w:right="567"/>
        <w:jc w:val="both"/>
        <w:rPr>
          <w:rFonts w:ascii="Palatino Linotype" w:eastAsia="Palatino Linotype" w:hAnsi="Palatino Linotype" w:cs="Palatino Linotype"/>
          <w:i/>
          <w:sz w:val="22"/>
          <w:szCs w:val="22"/>
        </w:rPr>
      </w:pPr>
      <w:r w:rsidRPr="005629FB">
        <w:rPr>
          <w:rFonts w:ascii="Palatino Linotype" w:eastAsia="Palatino Linotype" w:hAnsi="Palatino Linotype" w:cs="Palatino Linotype"/>
          <w:i/>
          <w:sz w:val="22"/>
          <w:szCs w:val="22"/>
        </w:rPr>
        <w:t>“</w:t>
      </w:r>
      <w:r w:rsidRPr="005629FB">
        <w:rPr>
          <w:rFonts w:ascii="Palatino Linotype" w:eastAsia="Palatino Linotype" w:hAnsi="Palatino Linotype" w:cs="Palatino Linotype"/>
          <w:b/>
          <w:i/>
          <w:sz w:val="22"/>
          <w:szCs w:val="22"/>
        </w:rPr>
        <w:t>ACTOS CONSENTIDOS. SON LOS QUE NO SE IMPUGNAN MEDIANTE EL RECURSO IDÓNEO</w:t>
      </w:r>
      <w:r w:rsidRPr="005629FB">
        <w:rPr>
          <w:rFonts w:ascii="Palatino Linotype" w:eastAsia="Palatino Linotype" w:hAnsi="Palatino Linotype" w:cs="Palatino Linotype"/>
          <w:i/>
          <w:sz w:val="22"/>
          <w:szCs w:val="22"/>
        </w:rPr>
        <w:t>.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 (Sic)</w:t>
      </w:r>
    </w:p>
    <w:p w14:paraId="4C3C41FD" w14:textId="77777777" w:rsidR="00C67147" w:rsidRPr="005629FB" w:rsidRDefault="007E21D8">
      <w:pPr>
        <w:spacing w:line="360" w:lineRule="auto"/>
        <w:ind w:right="51"/>
        <w:jc w:val="both"/>
        <w:rPr>
          <w:rFonts w:ascii="Palatino Linotype" w:eastAsia="Palatino Linotype" w:hAnsi="Palatino Linotype" w:cs="Palatino Linotype"/>
        </w:rPr>
      </w:pPr>
      <w:r w:rsidRPr="005629FB">
        <w:rPr>
          <w:rFonts w:ascii="Palatino Linotype" w:eastAsia="Palatino Linotype" w:hAnsi="Palatino Linotype" w:cs="Palatino Linotype"/>
        </w:rPr>
        <w:t xml:space="preserve">Precisado lo anterior, y retomando el motivo de inconformidad de la parte </w:t>
      </w:r>
      <w:r w:rsidRPr="005629FB">
        <w:rPr>
          <w:rFonts w:ascii="Palatino Linotype" w:eastAsia="Palatino Linotype" w:hAnsi="Palatino Linotype" w:cs="Palatino Linotype"/>
          <w:b/>
        </w:rPr>
        <w:t>RECURRENTE</w:t>
      </w:r>
      <w:r w:rsidRPr="005629FB">
        <w:rPr>
          <w:rFonts w:ascii="Palatino Linotype" w:eastAsia="Palatino Linotype" w:hAnsi="Palatino Linotype" w:cs="Palatino Linotype"/>
        </w:rPr>
        <w:t>, se advierte que se queja porque no se le entregó las tarifas que pagan o cobran por depósitos en efectivo -ejemplo circular 34/2020, numeral 4 y 5, por ello, es conveniente citar a que se refiere el punto 4 y 5 de la circular 34/2020, los cuales establecen lo siguiente:</w:t>
      </w:r>
    </w:p>
    <w:p w14:paraId="3EBC5237" w14:textId="77777777" w:rsidR="00C67147" w:rsidRPr="005629FB" w:rsidRDefault="00C67147">
      <w:pPr>
        <w:spacing w:line="360" w:lineRule="auto"/>
        <w:ind w:right="51"/>
        <w:jc w:val="both"/>
      </w:pPr>
    </w:p>
    <w:p w14:paraId="59AAD083" w14:textId="77777777" w:rsidR="00C67147" w:rsidRPr="005629FB" w:rsidRDefault="007E21D8">
      <w:pPr>
        <w:spacing w:line="360" w:lineRule="auto"/>
        <w:ind w:right="51"/>
        <w:jc w:val="both"/>
        <w:rPr>
          <w:rFonts w:ascii="Palatino Linotype" w:eastAsia="Palatino Linotype" w:hAnsi="Palatino Linotype" w:cs="Palatino Linotype"/>
        </w:rPr>
      </w:pPr>
      <w:r w:rsidRPr="005629FB">
        <w:rPr>
          <w:noProof/>
          <w:lang w:val="es-MX"/>
        </w:rPr>
        <w:lastRenderedPageBreak/>
        <w:drawing>
          <wp:inline distT="0" distB="0" distL="0" distR="0" wp14:anchorId="3A328B25" wp14:editId="4010E4BB">
            <wp:extent cx="5558055" cy="2326456"/>
            <wp:effectExtent l="0" t="0" r="0" b="0"/>
            <wp:docPr id="14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l="32376" t="27840" r="17789" b="14581"/>
                    <a:stretch>
                      <a:fillRect/>
                    </a:stretch>
                  </pic:blipFill>
                  <pic:spPr>
                    <a:xfrm>
                      <a:off x="0" y="0"/>
                      <a:ext cx="5558055" cy="2326456"/>
                    </a:xfrm>
                    <a:prstGeom prst="rect">
                      <a:avLst/>
                    </a:prstGeom>
                    <a:ln/>
                  </pic:spPr>
                </pic:pic>
              </a:graphicData>
            </a:graphic>
          </wp:inline>
        </w:drawing>
      </w:r>
    </w:p>
    <w:p w14:paraId="090E04D7" w14:textId="77777777" w:rsidR="00C67147" w:rsidRPr="005629FB" w:rsidRDefault="007E21D8">
      <w:pPr>
        <w:spacing w:before="240" w:after="240" w:line="360" w:lineRule="auto"/>
        <w:ind w:right="49"/>
        <w:jc w:val="both"/>
        <w:rPr>
          <w:rFonts w:ascii="Palatino Linotype" w:eastAsia="Palatino Linotype" w:hAnsi="Palatino Linotype" w:cs="Palatino Linotype"/>
        </w:rPr>
      </w:pPr>
      <w:r w:rsidRPr="005629FB">
        <w:rPr>
          <w:rFonts w:ascii="Palatino Linotype" w:eastAsia="Palatino Linotype" w:hAnsi="Palatino Linotype" w:cs="Palatino Linotype"/>
        </w:rPr>
        <w:t xml:space="preserve">En los cuales se establecieron que las garantías impuestas por los Órganos Jurisdiccionales podrán ser depositadas en efectivo, billete de depósito, cheque certificado o de caja y mediante transferencia electrónica. </w:t>
      </w:r>
    </w:p>
    <w:p w14:paraId="79DC5803" w14:textId="77777777" w:rsidR="00C67147" w:rsidRPr="005629FB" w:rsidRDefault="007E21D8">
      <w:pPr>
        <w:spacing w:before="240" w:after="240" w:line="360" w:lineRule="auto"/>
        <w:ind w:right="49"/>
        <w:jc w:val="both"/>
        <w:rPr>
          <w:rFonts w:ascii="Palatino Linotype" w:eastAsia="Palatino Linotype" w:hAnsi="Palatino Linotype" w:cs="Palatino Linotype"/>
        </w:rPr>
      </w:pPr>
      <w:r w:rsidRPr="005629FB">
        <w:rPr>
          <w:rFonts w:ascii="Palatino Linotype" w:eastAsia="Palatino Linotype" w:hAnsi="Palatino Linotype" w:cs="Palatino Linotype"/>
        </w:rPr>
        <w:t>Para el caso de los depósitos en efectivo, el Órgano Jurisdiccional deberá depositarla el mismo día de su recepción en la institución bancaria.</w:t>
      </w:r>
    </w:p>
    <w:p w14:paraId="152955DE" w14:textId="77777777" w:rsidR="00C67147" w:rsidRPr="005629FB" w:rsidRDefault="007E21D8">
      <w:pPr>
        <w:spacing w:before="240" w:after="240" w:line="360" w:lineRule="auto"/>
        <w:ind w:right="49"/>
        <w:jc w:val="both"/>
        <w:rPr>
          <w:rFonts w:ascii="Palatino Linotype" w:eastAsia="Palatino Linotype" w:hAnsi="Palatino Linotype" w:cs="Palatino Linotype"/>
        </w:rPr>
      </w:pPr>
      <w:r w:rsidRPr="005629FB">
        <w:rPr>
          <w:rFonts w:ascii="Palatino Linotype" w:eastAsia="Palatino Linotype" w:hAnsi="Palatino Linotype" w:cs="Palatino Linotype"/>
        </w:rPr>
        <w:t xml:space="preserve">Siendo que la Dirección de Fondo Auxiliar del </w:t>
      </w:r>
      <w:r w:rsidRPr="005629FB">
        <w:rPr>
          <w:rFonts w:ascii="Palatino Linotype" w:eastAsia="Palatino Linotype" w:hAnsi="Palatino Linotype" w:cs="Palatino Linotype"/>
          <w:b/>
        </w:rPr>
        <w:t>SUJETO OBLIGADO</w:t>
      </w:r>
      <w:r w:rsidRPr="005629FB">
        <w:rPr>
          <w:rFonts w:ascii="Palatino Linotype" w:eastAsia="Palatino Linotype" w:hAnsi="Palatino Linotype" w:cs="Palatino Linotype"/>
        </w:rPr>
        <w:t xml:space="preserve">, será la responsable de realizar y mantener la apertura de las cuentas en la Institución Bancaria para que se realicen los depósitos y el de hacer del conocimiento a los Órganos Jurisdiccionales la información relativa a las cuentas bancarias para hacer los depósitos en efectivo. </w:t>
      </w:r>
    </w:p>
    <w:p w14:paraId="6DCFD2FA" w14:textId="77777777" w:rsidR="00C67147" w:rsidRPr="005629FB" w:rsidRDefault="007E21D8">
      <w:pPr>
        <w:spacing w:before="240" w:after="240" w:line="360" w:lineRule="auto"/>
        <w:ind w:right="49"/>
        <w:jc w:val="both"/>
        <w:rPr>
          <w:rFonts w:ascii="Palatino Linotype" w:eastAsia="Palatino Linotype" w:hAnsi="Palatino Linotype" w:cs="Palatino Linotype"/>
        </w:rPr>
      </w:pPr>
      <w:r w:rsidRPr="005629FB">
        <w:rPr>
          <w:rFonts w:ascii="Palatino Linotype" w:eastAsia="Palatino Linotype" w:hAnsi="Palatino Linotype" w:cs="Palatino Linotype"/>
        </w:rPr>
        <w:t>Establecido lo anterior, regresando con el informe justificado se advierte el Titular de la Unidad de Transparencia del Poder Judicial, informó que de acuerdo con lo rendido por el Director General de Finanzas y Planeación así como la Directora de Fondo Auxiliar, se realizó de nueva cuenta la búsqueda exhaustiva y razonable de la información, señalando lo siguiente:</w:t>
      </w:r>
    </w:p>
    <w:p w14:paraId="58DDBCE6" w14:textId="77777777" w:rsidR="00C67147" w:rsidRPr="005629FB" w:rsidRDefault="007E21D8">
      <w:pPr>
        <w:spacing w:before="240"/>
        <w:ind w:left="567" w:right="567"/>
        <w:jc w:val="both"/>
        <w:rPr>
          <w:rFonts w:ascii="Palatino Linotype" w:eastAsia="Palatino Linotype" w:hAnsi="Palatino Linotype" w:cs="Palatino Linotype"/>
          <w:i/>
          <w:sz w:val="22"/>
          <w:szCs w:val="22"/>
        </w:rPr>
      </w:pPr>
      <w:r w:rsidRPr="005629FB">
        <w:rPr>
          <w:rFonts w:ascii="Palatino Linotype" w:eastAsia="Palatino Linotype" w:hAnsi="Palatino Linotype" w:cs="Palatino Linotype"/>
          <w:i/>
          <w:sz w:val="22"/>
          <w:szCs w:val="22"/>
        </w:rPr>
        <w:lastRenderedPageBreak/>
        <w:t xml:space="preserve">“Primero: Es necesario recordar que de conformidad con el párrafo segundo del artículo 12 de la Ley de Transparencia y Acceso a la Información Pública del Estado de México y Municipios,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4DA4BBF7" w14:textId="77777777" w:rsidR="00C67147" w:rsidRPr="005629FB" w:rsidRDefault="007E21D8">
      <w:pPr>
        <w:ind w:left="567" w:right="567"/>
        <w:jc w:val="both"/>
        <w:rPr>
          <w:rFonts w:ascii="Palatino Linotype" w:eastAsia="Palatino Linotype" w:hAnsi="Palatino Linotype" w:cs="Palatino Linotype"/>
          <w:i/>
          <w:sz w:val="22"/>
          <w:szCs w:val="22"/>
        </w:rPr>
      </w:pPr>
      <w:r w:rsidRPr="005629FB">
        <w:rPr>
          <w:rFonts w:ascii="Palatino Linotype" w:eastAsia="Palatino Linotype" w:hAnsi="Palatino Linotype" w:cs="Palatino Linotype"/>
          <w:i/>
          <w:sz w:val="22"/>
          <w:szCs w:val="22"/>
        </w:rPr>
        <w:t xml:space="preserve">Lo anterior, cobra importancia, toda vez que acorde a lo informado por Fondo Auxiliar la Institución Bancaria para la recepción de pagos es Banamex y el contrato que se tiene es el de afiliación de negocios para la aceptación de tarjetas. </w:t>
      </w:r>
    </w:p>
    <w:p w14:paraId="43CBC899" w14:textId="77777777" w:rsidR="00C67147" w:rsidRPr="005629FB" w:rsidRDefault="007E21D8">
      <w:pPr>
        <w:ind w:left="567" w:right="567"/>
        <w:jc w:val="both"/>
        <w:rPr>
          <w:rFonts w:ascii="Palatino Linotype" w:eastAsia="Palatino Linotype" w:hAnsi="Palatino Linotype" w:cs="Palatino Linotype"/>
          <w:i/>
          <w:sz w:val="22"/>
          <w:szCs w:val="22"/>
        </w:rPr>
      </w:pPr>
      <w:r w:rsidRPr="005629FB">
        <w:rPr>
          <w:rFonts w:ascii="Palatino Linotype" w:eastAsia="Palatino Linotype" w:hAnsi="Palatino Linotype" w:cs="Palatino Linotype"/>
          <w:i/>
          <w:sz w:val="22"/>
          <w:szCs w:val="22"/>
        </w:rPr>
        <w:t xml:space="preserve">En el cual se estipula la tasa de descuento (Tarjetas de Crédito) 1.80% (Tarjetas de débito) 1.30% que son las únicas comisiones cobradas. </w:t>
      </w:r>
    </w:p>
    <w:p w14:paraId="7BDB7590" w14:textId="77777777" w:rsidR="00C67147" w:rsidRPr="005629FB" w:rsidRDefault="007E21D8">
      <w:pPr>
        <w:ind w:left="567" w:right="567"/>
        <w:jc w:val="both"/>
        <w:rPr>
          <w:rFonts w:ascii="Palatino Linotype" w:eastAsia="Palatino Linotype" w:hAnsi="Palatino Linotype" w:cs="Palatino Linotype"/>
          <w:b/>
          <w:i/>
          <w:sz w:val="22"/>
          <w:szCs w:val="22"/>
        </w:rPr>
      </w:pPr>
      <w:r w:rsidRPr="005629FB">
        <w:rPr>
          <w:rFonts w:ascii="Palatino Linotype" w:eastAsia="Palatino Linotype" w:hAnsi="Palatino Linotype" w:cs="Palatino Linotype"/>
          <w:b/>
          <w:i/>
          <w:sz w:val="22"/>
          <w:szCs w:val="22"/>
        </w:rPr>
        <w:t xml:space="preserve">No se omite mencionar, que las tarifas que pagan o cobran por depósitos en efectivo, </w:t>
      </w:r>
      <w:r w:rsidRPr="005629FB">
        <w:rPr>
          <w:rFonts w:ascii="Palatino Linotype" w:eastAsia="Palatino Linotype" w:hAnsi="Palatino Linotype" w:cs="Palatino Linotype"/>
          <w:b/>
          <w:i/>
          <w:sz w:val="22"/>
          <w:szCs w:val="22"/>
          <w:u w:val="single"/>
        </w:rPr>
        <w:t>informo que no hay cobro,</w:t>
      </w:r>
      <w:r w:rsidRPr="005629FB">
        <w:rPr>
          <w:rFonts w:ascii="Palatino Linotype" w:eastAsia="Palatino Linotype" w:hAnsi="Palatino Linotype" w:cs="Palatino Linotype"/>
          <w:b/>
          <w:i/>
          <w:sz w:val="22"/>
          <w:szCs w:val="22"/>
        </w:rPr>
        <w:t xml:space="preserve"> ni se tienen convenios, contratos o instrumentos celebrados con canales a terceros. </w:t>
      </w:r>
    </w:p>
    <w:p w14:paraId="2D3A094E" w14:textId="77777777" w:rsidR="00C67147" w:rsidRPr="005629FB" w:rsidRDefault="007E21D8">
      <w:pPr>
        <w:ind w:left="567" w:right="567"/>
        <w:jc w:val="both"/>
        <w:rPr>
          <w:rFonts w:ascii="Palatino Linotype" w:eastAsia="Palatino Linotype" w:hAnsi="Palatino Linotype" w:cs="Palatino Linotype"/>
          <w:i/>
          <w:sz w:val="22"/>
          <w:szCs w:val="22"/>
        </w:rPr>
      </w:pPr>
      <w:r w:rsidRPr="005629FB">
        <w:rPr>
          <w:rFonts w:ascii="Palatino Linotype" w:eastAsia="Palatino Linotype" w:hAnsi="Palatino Linotype" w:cs="Palatino Linotype"/>
          <w:i/>
          <w:sz w:val="22"/>
          <w:szCs w:val="22"/>
        </w:rPr>
        <w:t xml:space="preserve">Segundo: Es preciso mencionar que el Poder Judicial del Estado de México, no capta pagos a través de canales a terceros (tiendas de </w:t>
      </w:r>
      <w:proofErr w:type="spellStart"/>
      <w:r w:rsidRPr="005629FB">
        <w:rPr>
          <w:rFonts w:ascii="Palatino Linotype" w:eastAsia="Palatino Linotype" w:hAnsi="Palatino Linotype" w:cs="Palatino Linotype"/>
          <w:i/>
          <w:sz w:val="22"/>
          <w:szCs w:val="22"/>
        </w:rPr>
        <w:t>convenienda</w:t>
      </w:r>
      <w:proofErr w:type="spellEnd"/>
      <w:r w:rsidRPr="005629FB">
        <w:rPr>
          <w:rFonts w:ascii="Palatino Linotype" w:eastAsia="Palatino Linotype" w:hAnsi="Palatino Linotype" w:cs="Palatino Linotype"/>
          <w:i/>
          <w:sz w:val="22"/>
          <w:szCs w:val="22"/>
        </w:rPr>
        <w:t xml:space="preserve">/ </w:t>
      </w:r>
      <w:proofErr w:type="spellStart"/>
      <w:r w:rsidRPr="005629FB">
        <w:rPr>
          <w:rFonts w:ascii="Palatino Linotype" w:eastAsia="Palatino Linotype" w:hAnsi="Palatino Linotype" w:cs="Palatino Linotype"/>
          <w:i/>
          <w:sz w:val="22"/>
          <w:szCs w:val="22"/>
        </w:rPr>
        <w:t>fannadas</w:t>
      </w:r>
      <w:proofErr w:type="spellEnd"/>
      <w:r w:rsidRPr="005629FB">
        <w:rPr>
          <w:rFonts w:ascii="Palatino Linotype" w:eastAsia="Palatino Linotype" w:hAnsi="Palatino Linotype" w:cs="Palatino Linotype"/>
          <w:i/>
          <w:sz w:val="22"/>
          <w:szCs w:val="22"/>
        </w:rPr>
        <w:t xml:space="preserve">, tiendas de </w:t>
      </w:r>
      <w:proofErr w:type="spellStart"/>
      <w:r w:rsidRPr="005629FB">
        <w:rPr>
          <w:rFonts w:ascii="Palatino Linotype" w:eastAsia="Palatino Linotype" w:hAnsi="Palatino Linotype" w:cs="Palatino Linotype"/>
          <w:i/>
          <w:sz w:val="22"/>
          <w:szCs w:val="22"/>
        </w:rPr>
        <w:t>autoservido</w:t>
      </w:r>
      <w:proofErr w:type="spellEnd"/>
      <w:r w:rsidRPr="005629FB">
        <w:rPr>
          <w:rFonts w:ascii="Palatino Linotype" w:eastAsia="Palatino Linotype" w:hAnsi="Palatino Linotype" w:cs="Palatino Linotype"/>
          <w:i/>
          <w:sz w:val="22"/>
          <w:szCs w:val="22"/>
        </w:rPr>
        <w:t xml:space="preserve"> </w:t>
      </w:r>
      <w:proofErr w:type="spellStart"/>
      <w:r w:rsidRPr="005629FB">
        <w:rPr>
          <w:rFonts w:ascii="Palatino Linotype" w:eastAsia="Palatino Linotype" w:hAnsi="Palatino Linotype" w:cs="Palatino Linotype"/>
          <w:i/>
          <w:sz w:val="22"/>
          <w:szCs w:val="22"/>
        </w:rPr>
        <w:t>etc</w:t>
      </w:r>
      <w:proofErr w:type="spellEnd"/>
      <w:r w:rsidRPr="005629FB">
        <w:rPr>
          <w:rFonts w:ascii="Palatino Linotype" w:eastAsia="Palatino Linotype" w:hAnsi="Palatino Linotype" w:cs="Palatino Linotype"/>
          <w:i/>
          <w:sz w:val="22"/>
          <w:szCs w:val="22"/>
        </w:rPr>
        <w:t xml:space="preserve">) obtiene ingresos propios por la prestación de servicios y recuperación de cuotas, a través de la institución bancaria BBVA MÉXICO, S.A. INSTITUCIÓN DE BANCA MUL TIPLE, GRUPO FINANCIERO BBVA MEXICO., por lo que a continuación, se refieren las comisiones de servicio de cobranza y recaudación (Véase Anexo 1): </w:t>
      </w:r>
    </w:p>
    <w:p w14:paraId="2683AFB5" w14:textId="77777777" w:rsidR="00C67147" w:rsidRPr="005629FB" w:rsidRDefault="007E21D8">
      <w:pPr>
        <w:ind w:left="567" w:right="567"/>
        <w:jc w:val="both"/>
        <w:rPr>
          <w:rFonts w:ascii="Palatino Linotype" w:eastAsia="Palatino Linotype" w:hAnsi="Palatino Linotype" w:cs="Palatino Linotype"/>
          <w:i/>
          <w:sz w:val="22"/>
          <w:szCs w:val="22"/>
        </w:rPr>
      </w:pPr>
      <w:r w:rsidRPr="005629FB">
        <w:rPr>
          <w:rFonts w:ascii="Palatino Linotype" w:eastAsia="Palatino Linotype" w:hAnsi="Palatino Linotype" w:cs="Palatino Linotype"/>
          <w:i/>
          <w:sz w:val="22"/>
          <w:szCs w:val="22"/>
        </w:rPr>
        <w:t xml:space="preserve">Depósitos referenciados: </w:t>
      </w:r>
    </w:p>
    <w:p w14:paraId="24F87957" w14:textId="77777777" w:rsidR="00C67147" w:rsidRPr="005629FB" w:rsidRDefault="007E21D8">
      <w:pPr>
        <w:ind w:left="567" w:right="567"/>
        <w:jc w:val="both"/>
        <w:rPr>
          <w:rFonts w:ascii="Palatino Linotype" w:eastAsia="Palatino Linotype" w:hAnsi="Palatino Linotype" w:cs="Palatino Linotype"/>
          <w:i/>
          <w:sz w:val="22"/>
          <w:szCs w:val="22"/>
        </w:rPr>
      </w:pPr>
      <w:r w:rsidRPr="005629FB">
        <w:rPr>
          <w:rFonts w:ascii="Palatino Linotype" w:eastAsia="Palatino Linotype" w:hAnsi="Palatino Linotype" w:cs="Palatino Linotype"/>
          <w:i/>
          <w:sz w:val="22"/>
          <w:szCs w:val="22"/>
        </w:rPr>
        <w:t xml:space="preserve">Tarifa $3.95 más IVA por transacción exitosa. </w:t>
      </w:r>
    </w:p>
    <w:p w14:paraId="6B53B620" w14:textId="77777777" w:rsidR="00C67147" w:rsidRPr="005629FB" w:rsidRDefault="007E21D8">
      <w:pPr>
        <w:ind w:left="567" w:right="567"/>
        <w:jc w:val="both"/>
        <w:rPr>
          <w:rFonts w:ascii="Palatino Linotype" w:eastAsia="Palatino Linotype" w:hAnsi="Palatino Linotype" w:cs="Palatino Linotype"/>
          <w:i/>
          <w:sz w:val="22"/>
          <w:szCs w:val="22"/>
        </w:rPr>
      </w:pPr>
      <w:r w:rsidRPr="005629FB">
        <w:rPr>
          <w:rFonts w:ascii="Palatino Linotype" w:eastAsia="Palatino Linotype" w:hAnsi="Palatino Linotype" w:cs="Palatino Linotype"/>
          <w:i/>
          <w:sz w:val="22"/>
          <w:szCs w:val="22"/>
        </w:rPr>
        <w:t xml:space="preserve">TPV'S Terminales Punto de Venta: </w:t>
      </w:r>
    </w:p>
    <w:p w14:paraId="057EDA52" w14:textId="77777777" w:rsidR="00C67147" w:rsidRPr="005629FB" w:rsidRDefault="007E21D8">
      <w:pPr>
        <w:ind w:left="567" w:right="567"/>
        <w:jc w:val="both"/>
        <w:rPr>
          <w:rFonts w:ascii="Palatino Linotype" w:eastAsia="Palatino Linotype" w:hAnsi="Palatino Linotype" w:cs="Palatino Linotype"/>
          <w:i/>
          <w:sz w:val="22"/>
          <w:szCs w:val="22"/>
        </w:rPr>
      </w:pPr>
      <w:r w:rsidRPr="005629FB">
        <w:rPr>
          <w:rFonts w:ascii="Palatino Linotype" w:eastAsia="Palatino Linotype" w:hAnsi="Palatino Linotype" w:cs="Palatino Linotype"/>
          <w:i/>
          <w:sz w:val="22"/>
          <w:szCs w:val="22"/>
        </w:rPr>
        <w:t xml:space="preserve">TDC (Tarjeta de Crédito) Tarifa: 1.65°/o </w:t>
      </w:r>
    </w:p>
    <w:p w14:paraId="6E8A3675" w14:textId="77777777" w:rsidR="00C67147" w:rsidRPr="005629FB" w:rsidRDefault="007E21D8">
      <w:pPr>
        <w:ind w:left="567" w:right="567"/>
        <w:jc w:val="both"/>
        <w:rPr>
          <w:rFonts w:ascii="Palatino Linotype" w:eastAsia="Palatino Linotype" w:hAnsi="Palatino Linotype" w:cs="Palatino Linotype"/>
          <w:i/>
          <w:sz w:val="22"/>
          <w:szCs w:val="22"/>
        </w:rPr>
      </w:pPr>
      <w:r w:rsidRPr="005629FB">
        <w:rPr>
          <w:rFonts w:ascii="Palatino Linotype" w:eastAsia="Palatino Linotype" w:hAnsi="Palatino Linotype" w:cs="Palatino Linotype"/>
          <w:i/>
          <w:sz w:val="22"/>
          <w:szCs w:val="22"/>
        </w:rPr>
        <w:t xml:space="preserve">TOO (Tarjeta de Débito) Tarifa: 1.25°/o </w:t>
      </w:r>
    </w:p>
    <w:p w14:paraId="475808F6" w14:textId="77777777" w:rsidR="00C67147" w:rsidRPr="005629FB" w:rsidRDefault="007E21D8">
      <w:pPr>
        <w:ind w:left="567" w:right="567"/>
        <w:jc w:val="both"/>
        <w:rPr>
          <w:rFonts w:ascii="Palatino Linotype" w:eastAsia="Palatino Linotype" w:hAnsi="Palatino Linotype" w:cs="Palatino Linotype"/>
          <w:i/>
          <w:sz w:val="22"/>
          <w:szCs w:val="22"/>
        </w:rPr>
      </w:pPr>
      <w:r w:rsidRPr="005629FB">
        <w:rPr>
          <w:rFonts w:ascii="Palatino Linotype" w:eastAsia="Palatino Linotype" w:hAnsi="Palatino Linotype" w:cs="Palatino Linotype"/>
          <w:i/>
          <w:sz w:val="22"/>
          <w:szCs w:val="22"/>
        </w:rPr>
        <w:t>Es importante mencionar que dichas tarifas son absorbidas por el Poder Judicial del Estado de México.” (Sic)</w:t>
      </w:r>
    </w:p>
    <w:p w14:paraId="175C92EC" w14:textId="77777777" w:rsidR="00C67147" w:rsidRPr="005629FB" w:rsidRDefault="00C67147">
      <w:pPr>
        <w:spacing w:after="240" w:line="360" w:lineRule="auto"/>
        <w:ind w:right="49"/>
        <w:jc w:val="both"/>
        <w:rPr>
          <w:rFonts w:ascii="Palatino Linotype" w:eastAsia="Palatino Linotype" w:hAnsi="Palatino Linotype" w:cs="Palatino Linotype"/>
        </w:rPr>
      </w:pPr>
    </w:p>
    <w:p w14:paraId="557D1B22" w14:textId="77777777" w:rsidR="00C67147" w:rsidRPr="005629FB" w:rsidRDefault="007E21D8">
      <w:pPr>
        <w:spacing w:before="240" w:after="240" w:line="360" w:lineRule="auto"/>
        <w:ind w:right="49"/>
        <w:jc w:val="both"/>
        <w:rPr>
          <w:rFonts w:ascii="Palatino Linotype" w:eastAsia="Palatino Linotype" w:hAnsi="Palatino Linotype" w:cs="Palatino Linotype"/>
        </w:rPr>
      </w:pPr>
      <w:r w:rsidRPr="005629FB">
        <w:rPr>
          <w:rFonts w:ascii="Palatino Linotype" w:eastAsia="Palatino Linotype" w:hAnsi="Palatino Linotype" w:cs="Palatino Linotype"/>
        </w:rPr>
        <w:t>Destacándose que para los depósitos en efectivo informó que no hay cobro, ni se tienen convenios, contratos o instrumentos celebrados con canales a terceros.</w:t>
      </w:r>
    </w:p>
    <w:p w14:paraId="3B86D86B" w14:textId="77777777" w:rsidR="00C67147" w:rsidRPr="005629FB" w:rsidRDefault="007E21D8">
      <w:pPr>
        <w:spacing w:line="360" w:lineRule="auto"/>
        <w:jc w:val="both"/>
        <w:rPr>
          <w:rFonts w:ascii="Palatino Linotype" w:eastAsia="Palatino Linotype" w:hAnsi="Palatino Linotype" w:cs="Palatino Linotype"/>
        </w:rPr>
      </w:pPr>
      <w:r w:rsidRPr="005629FB">
        <w:rPr>
          <w:rFonts w:ascii="Palatino Linotype" w:eastAsia="Palatino Linotype" w:hAnsi="Palatino Linotype" w:cs="Palatino Linotype"/>
        </w:rPr>
        <w:t xml:space="preserve">Circunstancia que se traduce como un hecho negativo y ante un hecho negativo debe decirse que el Pleno de este Organismo Garante ha sostenido que resulta innecesaria una declaratoria de inexistencia en términos de los artículos 19, 169 y 170 de la Ley </w:t>
      </w:r>
      <w:r w:rsidRPr="005629FB">
        <w:rPr>
          <w:rFonts w:ascii="Palatino Linotype" w:eastAsia="Palatino Linotype" w:hAnsi="Palatino Linotype" w:cs="Palatino Linotype"/>
        </w:rPr>
        <w:lastRenderedPageBreak/>
        <w:t>de Transparencia y Acceso a la Información Pública del Estado de México y Municipios, resultando aplicable la siguiente tesis:</w:t>
      </w:r>
    </w:p>
    <w:p w14:paraId="3F295E62" w14:textId="77777777" w:rsidR="00C67147" w:rsidRPr="005629FB" w:rsidRDefault="00C67147">
      <w:pPr>
        <w:spacing w:line="360" w:lineRule="auto"/>
        <w:jc w:val="both"/>
        <w:rPr>
          <w:rFonts w:ascii="Palatino Linotype" w:eastAsia="Palatino Linotype" w:hAnsi="Palatino Linotype" w:cs="Palatino Linotype"/>
        </w:rPr>
      </w:pPr>
    </w:p>
    <w:p w14:paraId="3116A374" w14:textId="77777777" w:rsidR="00C67147" w:rsidRPr="005629FB" w:rsidRDefault="007E21D8">
      <w:pPr>
        <w:ind w:left="566" w:right="851"/>
        <w:jc w:val="both"/>
        <w:rPr>
          <w:rFonts w:ascii="Palatino Linotype" w:eastAsia="Palatino Linotype" w:hAnsi="Palatino Linotype" w:cs="Palatino Linotype"/>
          <w:i/>
          <w:sz w:val="22"/>
          <w:szCs w:val="22"/>
        </w:rPr>
      </w:pPr>
      <w:r w:rsidRPr="005629FB">
        <w:rPr>
          <w:rFonts w:ascii="Palatino Linotype" w:eastAsia="Palatino Linotype" w:hAnsi="Palatino Linotype" w:cs="Palatino Linotype"/>
        </w:rPr>
        <w:t>“</w:t>
      </w:r>
      <w:r w:rsidRPr="005629FB">
        <w:rPr>
          <w:rFonts w:ascii="Palatino Linotype" w:eastAsia="Palatino Linotype" w:hAnsi="Palatino Linotype" w:cs="Palatino Linotype"/>
          <w:b/>
          <w:i/>
          <w:sz w:val="22"/>
          <w:szCs w:val="22"/>
        </w:rPr>
        <w:t>HECHOS NEGATIVOS, NO SON SUSCEPTIBLES DE DEMOSTRACIÓN</w:t>
      </w:r>
      <w:r w:rsidRPr="005629FB">
        <w:rPr>
          <w:rFonts w:ascii="Palatino Linotype" w:eastAsia="Palatino Linotype" w:hAnsi="Palatino Linotype" w:cs="Palatino Linotype"/>
          <w:i/>
          <w:sz w:val="22"/>
          <w:szCs w:val="22"/>
        </w:rPr>
        <w:t>. Tratándose de un hecho negativo, el Juez no tiene por qué invocar prueba alguna de la que se desprenda, ya que es bien sabido que esta clase de hechos no son susceptibles de demostración.</w:t>
      </w:r>
    </w:p>
    <w:p w14:paraId="4C89686A" w14:textId="77777777" w:rsidR="00C67147" w:rsidRPr="005629FB" w:rsidRDefault="00C67147">
      <w:pPr>
        <w:spacing w:line="360" w:lineRule="auto"/>
        <w:jc w:val="both"/>
        <w:rPr>
          <w:rFonts w:ascii="Palatino Linotype" w:eastAsia="Palatino Linotype" w:hAnsi="Palatino Linotype" w:cs="Palatino Linotype"/>
          <w:i/>
          <w:sz w:val="22"/>
          <w:szCs w:val="22"/>
        </w:rPr>
      </w:pPr>
    </w:p>
    <w:p w14:paraId="4E778B17" w14:textId="77777777" w:rsidR="00C67147" w:rsidRPr="005629FB" w:rsidRDefault="007E21D8">
      <w:pPr>
        <w:spacing w:line="360" w:lineRule="auto"/>
        <w:jc w:val="both"/>
        <w:rPr>
          <w:rFonts w:ascii="Palatino Linotype" w:eastAsia="Palatino Linotype" w:hAnsi="Palatino Linotype" w:cs="Palatino Linotype"/>
        </w:rPr>
      </w:pPr>
      <w:r w:rsidRPr="005629FB">
        <w:rPr>
          <w:rFonts w:ascii="Palatino Linotype" w:eastAsia="Palatino Linotype" w:hAnsi="Palatino Linotype" w:cs="Palatino Linotype"/>
        </w:rPr>
        <w:t xml:space="preserve">Ya que las áreas del </w:t>
      </w:r>
      <w:r w:rsidRPr="005629FB">
        <w:rPr>
          <w:rFonts w:ascii="Palatino Linotype" w:eastAsia="Palatino Linotype" w:hAnsi="Palatino Linotype" w:cs="Palatino Linotype"/>
          <w:b/>
        </w:rPr>
        <w:t>SUJETO OBLIGADO</w:t>
      </w:r>
      <w:r w:rsidRPr="005629FB">
        <w:rPr>
          <w:rFonts w:ascii="Palatino Linotype" w:eastAsia="Palatino Linotype" w:hAnsi="Palatino Linotype" w:cs="Palatino Linotype"/>
        </w:rPr>
        <w:t>, que se pronunciaron fue la Dirección General de Finanzas y Planeación y Dirección de Fondo Auxiliar, quienes tienen las siguientes atribuciones en términos de lo señalado por el numerales 3013300000 y  3013305000 del Manual General de Organización del Consejo de la Judicatura del Estado de México perteneciente al Poder Judicial, que señala:</w:t>
      </w:r>
    </w:p>
    <w:p w14:paraId="5B1FD05D" w14:textId="77777777" w:rsidR="00C67147" w:rsidRPr="005629FB" w:rsidRDefault="00C67147">
      <w:pPr>
        <w:spacing w:line="360" w:lineRule="auto"/>
        <w:jc w:val="both"/>
        <w:rPr>
          <w:rFonts w:ascii="Palatino Linotype" w:eastAsia="Palatino Linotype" w:hAnsi="Palatino Linotype" w:cs="Palatino Linotype"/>
        </w:rPr>
      </w:pPr>
    </w:p>
    <w:p w14:paraId="6E8965E9" w14:textId="77777777" w:rsidR="00C67147" w:rsidRPr="005629FB" w:rsidRDefault="007E21D8">
      <w:pPr>
        <w:ind w:left="851" w:right="851"/>
        <w:jc w:val="both"/>
        <w:rPr>
          <w:rFonts w:ascii="Palatino Linotype" w:eastAsia="Palatino Linotype" w:hAnsi="Palatino Linotype" w:cs="Palatino Linotype"/>
          <w:i/>
          <w:sz w:val="22"/>
          <w:szCs w:val="22"/>
        </w:rPr>
      </w:pPr>
      <w:r w:rsidRPr="005629FB">
        <w:rPr>
          <w:rFonts w:ascii="Palatino Linotype" w:eastAsia="Palatino Linotype" w:hAnsi="Palatino Linotype" w:cs="Palatino Linotype"/>
          <w:i/>
          <w:sz w:val="22"/>
          <w:szCs w:val="22"/>
        </w:rPr>
        <w:t xml:space="preserve">“3013300000 DIRECCIÓN GENERAL DE FINANZAS Y PLANEACIÓN </w:t>
      </w:r>
      <w:r w:rsidRPr="005629FB">
        <w:rPr>
          <w:rFonts w:ascii="Palatino Linotype" w:eastAsia="Palatino Linotype" w:hAnsi="Palatino Linotype" w:cs="Palatino Linotype"/>
          <w:b/>
          <w:i/>
          <w:sz w:val="22"/>
          <w:szCs w:val="22"/>
        </w:rPr>
        <w:t>OBJETIVO</w:t>
      </w:r>
      <w:r w:rsidRPr="005629FB">
        <w:rPr>
          <w:rFonts w:ascii="Palatino Linotype" w:eastAsia="Palatino Linotype" w:hAnsi="Palatino Linotype" w:cs="Palatino Linotype"/>
          <w:i/>
          <w:sz w:val="22"/>
          <w:szCs w:val="22"/>
        </w:rPr>
        <w:t xml:space="preserve">: Coordinar las actividades de Programación, Presupuestación, Evaluación y Control de los recursos financieros; así como, dirigir la Planeación Institucional, a fin de contribuir al desarrollo de las funciones encomendadas a las unidades administrativas de la institución. </w:t>
      </w:r>
    </w:p>
    <w:p w14:paraId="28178B97" w14:textId="77777777" w:rsidR="00C67147" w:rsidRPr="005629FB" w:rsidRDefault="007E21D8">
      <w:pPr>
        <w:ind w:left="851" w:right="851"/>
        <w:jc w:val="both"/>
        <w:rPr>
          <w:rFonts w:ascii="Palatino Linotype" w:eastAsia="Palatino Linotype" w:hAnsi="Palatino Linotype" w:cs="Palatino Linotype"/>
          <w:i/>
          <w:sz w:val="22"/>
          <w:szCs w:val="22"/>
        </w:rPr>
      </w:pPr>
      <w:r w:rsidRPr="005629FB">
        <w:rPr>
          <w:rFonts w:ascii="Palatino Linotype" w:eastAsia="Palatino Linotype" w:hAnsi="Palatino Linotype" w:cs="Palatino Linotype"/>
          <w:i/>
          <w:sz w:val="22"/>
          <w:szCs w:val="22"/>
        </w:rPr>
        <w:t xml:space="preserve">FUNCIONES: </w:t>
      </w:r>
    </w:p>
    <w:p w14:paraId="2A52E1B8" w14:textId="77777777" w:rsidR="00C67147" w:rsidRPr="005629FB" w:rsidRDefault="007E21D8">
      <w:pPr>
        <w:ind w:left="851" w:right="851"/>
        <w:jc w:val="both"/>
        <w:rPr>
          <w:rFonts w:ascii="Palatino Linotype" w:eastAsia="Palatino Linotype" w:hAnsi="Palatino Linotype" w:cs="Palatino Linotype"/>
          <w:i/>
          <w:sz w:val="22"/>
          <w:szCs w:val="22"/>
        </w:rPr>
      </w:pPr>
      <w:r w:rsidRPr="005629FB">
        <w:rPr>
          <w:rFonts w:ascii="Noto Sans Symbols" w:eastAsia="Noto Sans Symbols" w:hAnsi="Noto Sans Symbols" w:cs="Noto Sans Symbols"/>
          <w:i/>
          <w:sz w:val="22"/>
          <w:szCs w:val="22"/>
        </w:rPr>
        <w:t>−</w:t>
      </w:r>
      <w:r w:rsidRPr="005629FB">
        <w:rPr>
          <w:rFonts w:ascii="Palatino Linotype" w:eastAsia="Palatino Linotype" w:hAnsi="Palatino Linotype" w:cs="Palatino Linotype"/>
          <w:i/>
          <w:sz w:val="22"/>
          <w:szCs w:val="22"/>
        </w:rPr>
        <w:t xml:space="preserve"> Someter a consideración del Consejo de la Judicatura las políticas en materia financiera, de gasto público, contabilidad, deuda pública, planeación y presupuesto, que permitan optimizar los recursos financieros con los que cuenta la Institución. </w:t>
      </w:r>
    </w:p>
    <w:p w14:paraId="48AA1CB8" w14:textId="77777777" w:rsidR="00C67147" w:rsidRPr="005629FB" w:rsidRDefault="007E21D8">
      <w:pPr>
        <w:ind w:left="851" w:right="851"/>
        <w:jc w:val="both"/>
        <w:rPr>
          <w:rFonts w:ascii="Palatino Linotype" w:eastAsia="Palatino Linotype" w:hAnsi="Palatino Linotype" w:cs="Palatino Linotype"/>
          <w:i/>
          <w:sz w:val="22"/>
          <w:szCs w:val="22"/>
        </w:rPr>
      </w:pPr>
      <w:r w:rsidRPr="005629FB">
        <w:rPr>
          <w:rFonts w:ascii="Noto Sans Symbols" w:eastAsia="Noto Sans Symbols" w:hAnsi="Noto Sans Symbols" w:cs="Noto Sans Symbols"/>
          <w:i/>
          <w:sz w:val="22"/>
          <w:szCs w:val="22"/>
        </w:rPr>
        <w:t>−</w:t>
      </w:r>
      <w:r w:rsidRPr="005629FB">
        <w:rPr>
          <w:rFonts w:ascii="Palatino Linotype" w:eastAsia="Palatino Linotype" w:hAnsi="Palatino Linotype" w:cs="Palatino Linotype"/>
          <w:i/>
          <w:sz w:val="22"/>
          <w:szCs w:val="22"/>
        </w:rPr>
        <w:t xml:space="preserve"> Verificar que la integración del anteproyecto de presupuesto responda a la planeación y prioridades institucionales. </w:t>
      </w:r>
    </w:p>
    <w:p w14:paraId="411CA69F" w14:textId="77777777" w:rsidR="00C67147" w:rsidRPr="005629FB" w:rsidRDefault="007E21D8">
      <w:pPr>
        <w:ind w:left="851" w:right="851"/>
        <w:jc w:val="both"/>
        <w:rPr>
          <w:rFonts w:ascii="Palatino Linotype" w:eastAsia="Palatino Linotype" w:hAnsi="Palatino Linotype" w:cs="Palatino Linotype"/>
          <w:i/>
          <w:sz w:val="22"/>
          <w:szCs w:val="22"/>
        </w:rPr>
      </w:pPr>
      <w:r w:rsidRPr="005629FB">
        <w:rPr>
          <w:rFonts w:ascii="Noto Sans Symbols" w:eastAsia="Noto Sans Symbols" w:hAnsi="Noto Sans Symbols" w:cs="Noto Sans Symbols"/>
          <w:i/>
          <w:sz w:val="22"/>
          <w:szCs w:val="22"/>
        </w:rPr>
        <w:t>−</w:t>
      </w:r>
      <w:r w:rsidRPr="005629FB">
        <w:rPr>
          <w:rFonts w:ascii="Palatino Linotype" w:eastAsia="Palatino Linotype" w:hAnsi="Palatino Linotype" w:cs="Palatino Linotype"/>
          <w:i/>
          <w:sz w:val="22"/>
          <w:szCs w:val="22"/>
        </w:rPr>
        <w:t xml:space="preserve"> Supervisar que la ejecución y evaluación de los planes y programas de desarrollo institucional sean acordes a las metas programáticas y presupuestales. </w:t>
      </w:r>
    </w:p>
    <w:p w14:paraId="0330EB32" w14:textId="77777777" w:rsidR="00C67147" w:rsidRPr="005629FB" w:rsidRDefault="007E21D8">
      <w:pPr>
        <w:ind w:left="851" w:right="851"/>
        <w:jc w:val="both"/>
        <w:rPr>
          <w:rFonts w:ascii="Palatino Linotype" w:eastAsia="Palatino Linotype" w:hAnsi="Palatino Linotype" w:cs="Palatino Linotype"/>
          <w:i/>
          <w:sz w:val="22"/>
          <w:szCs w:val="22"/>
        </w:rPr>
      </w:pPr>
      <w:r w:rsidRPr="005629FB">
        <w:rPr>
          <w:rFonts w:ascii="Noto Sans Symbols" w:eastAsia="Noto Sans Symbols" w:hAnsi="Noto Sans Symbols" w:cs="Noto Sans Symbols"/>
          <w:i/>
          <w:sz w:val="22"/>
          <w:szCs w:val="22"/>
        </w:rPr>
        <w:t>−</w:t>
      </w:r>
      <w:r w:rsidRPr="005629FB">
        <w:rPr>
          <w:rFonts w:ascii="Palatino Linotype" w:eastAsia="Palatino Linotype" w:hAnsi="Palatino Linotype" w:cs="Palatino Linotype"/>
          <w:i/>
          <w:sz w:val="22"/>
          <w:szCs w:val="22"/>
        </w:rPr>
        <w:t xml:space="preserve"> Coadyuvar al establecimiento, documentación, implementación y mantenimiento del Sistema de Gestión de la Calidad del Poder Judicial, a fin de </w:t>
      </w:r>
      <w:proofErr w:type="spellStart"/>
      <w:r w:rsidRPr="005629FB">
        <w:rPr>
          <w:rFonts w:ascii="Palatino Linotype" w:eastAsia="Palatino Linotype" w:hAnsi="Palatino Linotype" w:cs="Palatino Linotype"/>
          <w:i/>
          <w:sz w:val="22"/>
          <w:szCs w:val="22"/>
        </w:rPr>
        <w:t>eficientar</w:t>
      </w:r>
      <w:proofErr w:type="spellEnd"/>
      <w:r w:rsidRPr="005629FB">
        <w:rPr>
          <w:rFonts w:ascii="Palatino Linotype" w:eastAsia="Palatino Linotype" w:hAnsi="Palatino Linotype" w:cs="Palatino Linotype"/>
          <w:i/>
          <w:sz w:val="22"/>
          <w:szCs w:val="22"/>
        </w:rPr>
        <w:t xml:space="preserve"> su operatividad. </w:t>
      </w:r>
    </w:p>
    <w:p w14:paraId="06BB90F1" w14:textId="77777777" w:rsidR="00C67147" w:rsidRPr="005629FB" w:rsidRDefault="007E21D8">
      <w:pPr>
        <w:ind w:left="851" w:right="851"/>
        <w:jc w:val="both"/>
        <w:rPr>
          <w:rFonts w:ascii="Palatino Linotype" w:eastAsia="Palatino Linotype" w:hAnsi="Palatino Linotype" w:cs="Palatino Linotype"/>
          <w:i/>
          <w:sz w:val="22"/>
          <w:szCs w:val="22"/>
        </w:rPr>
      </w:pPr>
      <w:r w:rsidRPr="005629FB">
        <w:rPr>
          <w:rFonts w:ascii="Noto Sans Symbols" w:eastAsia="Noto Sans Symbols" w:hAnsi="Noto Sans Symbols" w:cs="Noto Sans Symbols"/>
          <w:b/>
          <w:i/>
          <w:sz w:val="22"/>
          <w:szCs w:val="22"/>
        </w:rPr>
        <w:t>−</w:t>
      </w:r>
      <w:r w:rsidRPr="005629FB">
        <w:rPr>
          <w:rFonts w:ascii="Palatino Linotype" w:eastAsia="Palatino Linotype" w:hAnsi="Palatino Linotype" w:cs="Palatino Linotype"/>
          <w:b/>
          <w:i/>
          <w:sz w:val="22"/>
          <w:szCs w:val="22"/>
        </w:rPr>
        <w:t xml:space="preserve"> Promover el establecimiento de mecanismos que garanticen el manejo efectivo y transparente de los recursos del Fondo Auxiliar para la Administración de Justicia.</w:t>
      </w:r>
      <w:r w:rsidRPr="005629FB">
        <w:rPr>
          <w:rFonts w:ascii="Palatino Linotype" w:eastAsia="Palatino Linotype" w:hAnsi="Palatino Linotype" w:cs="Palatino Linotype"/>
          <w:i/>
          <w:sz w:val="22"/>
          <w:szCs w:val="22"/>
        </w:rPr>
        <w:t xml:space="preserve"> </w:t>
      </w:r>
    </w:p>
    <w:p w14:paraId="64B434BC" w14:textId="77777777" w:rsidR="00C67147" w:rsidRPr="005629FB" w:rsidRDefault="007E21D8">
      <w:pPr>
        <w:ind w:left="851" w:right="851"/>
        <w:jc w:val="both"/>
        <w:rPr>
          <w:rFonts w:ascii="Palatino Linotype" w:eastAsia="Palatino Linotype" w:hAnsi="Palatino Linotype" w:cs="Palatino Linotype"/>
          <w:i/>
          <w:sz w:val="22"/>
          <w:szCs w:val="22"/>
        </w:rPr>
      </w:pPr>
      <w:r w:rsidRPr="005629FB">
        <w:rPr>
          <w:rFonts w:ascii="Noto Sans Symbols" w:eastAsia="Noto Sans Symbols" w:hAnsi="Noto Sans Symbols" w:cs="Noto Sans Symbols"/>
          <w:i/>
          <w:sz w:val="22"/>
          <w:szCs w:val="22"/>
        </w:rPr>
        <w:lastRenderedPageBreak/>
        <w:t>−</w:t>
      </w:r>
      <w:r w:rsidRPr="005629FB">
        <w:rPr>
          <w:rFonts w:ascii="Palatino Linotype" w:eastAsia="Palatino Linotype" w:hAnsi="Palatino Linotype" w:cs="Palatino Linotype"/>
          <w:i/>
          <w:sz w:val="22"/>
          <w:szCs w:val="22"/>
        </w:rPr>
        <w:t xml:space="preserve"> Vigilar que se integre y difunda información clara, veraz y oportuna a efecto de coadyuvar a la toma de decisiones. </w:t>
      </w:r>
    </w:p>
    <w:p w14:paraId="7057F031" w14:textId="77777777" w:rsidR="00C67147" w:rsidRPr="005629FB" w:rsidRDefault="007E21D8">
      <w:pPr>
        <w:ind w:left="851" w:right="851"/>
        <w:jc w:val="both"/>
        <w:rPr>
          <w:rFonts w:ascii="Palatino Linotype" w:eastAsia="Palatino Linotype" w:hAnsi="Palatino Linotype" w:cs="Palatino Linotype"/>
          <w:i/>
          <w:sz w:val="22"/>
          <w:szCs w:val="22"/>
        </w:rPr>
      </w:pPr>
      <w:r w:rsidRPr="005629FB">
        <w:rPr>
          <w:rFonts w:ascii="Noto Sans Symbols" w:eastAsia="Noto Sans Symbols" w:hAnsi="Noto Sans Symbols" w:cs="Noto Sans Symbols"/>
          <w:i/>
          <w:sz w:val="22"/>
          <w:szCs w:val="22"/>
        </w:rPr>
        <w:t>−</w:t>
      </w:r>
      <w:r w:rsidRPr="005629FB">
        <w:rPr>
          <w:rFonts w:ascii="Palatino Linotype" w:eastAsia="Palatino Linotype" w:hAnsi="Palatino Linotype" w:cs="Palatino Linotype"/>
          <w:i/>
          <w:sz w:val="22"/>
          <w:szCs w:val="22"/>
        </w:rPr>
        <w:t xml:space="preserve"> Dirigir la administración de los fondos y valores del Poder Judicial. </w:t>
      </w:r>
    </w:p>
    <w:p w14:paraId="78A68BE5" w14:textId="77777777" w:rsidR="00C67147" w:rsidRPr="005629FB" w:rsidRDefault="007E21D8">
      <w:pPr>
        <w:ind w:left="851" w:right="851"/>
        <w:jc w:val="both"/>
        <w:rPr>
          <w:rFonts w:ascii="Palatino Linotype" w:eastAsia="Palatino Linotype" w:hAnsi="Palatino Linotype" w:cs="Palatino Linotype"/>
          <w:i/>
          <w:sz w:val="22"/>
          <w:szCs w:val="22"/>
        </w:rPr>
      </w:pPr>
      <w:r w:rsidRPr="005629FB">
        <w:rPr>
          <w:rFonts w:ascii="Noto Sans Symbols" w:eastAsia="Noto Sans Symbols" w:hAnsi="Noto Sans Symbols" w:cs="Noto Sans Symbols"/>
          <w:i/>
          <w:sz w:val="22"/>
          <w:szCs w:val="22"/>
        </w:rPr>
        <w:t>−</w:t>
      </w:r>
      <w:r w:rsidRPr="005629FB">
        <w:rPr>
          <w:rFonts w:ascii="Palatino Linotype" w:eastAsia="Palatino Linotype" w:hAnsi="Palatino Linotype" w:cs="Palatino Linotype"/>
          <w:i/>
          <w:sz w:val="22"/>
          <w:szCs w:val="22"/>
        </w:rPr>
        <w:t xml:space="preserve"> Contribuir al cumplimiento de la normatividad establecida para los procesos de adquisiciones, enajenaciones, arrendamientos y servicios. </w:t>
      </w:r>
      <w:r w:rsidRPr="005629FB">
        <w:rPr>
          <w:rFonts w:ascii="Noto Sans Symbols" w:eastAsia="Noto Sans Symbols" w:hAnsi="Noto Sans Symbols" w:cs="Noto Sans Symbols"/>
          <w:i/>
          <w:sz w:val="22"/>
          <w:szCs w:val="22"/>
        </w:rPr>
        <w:t>−</w:t>
      </w:r>
      <w:r w:rsidRPr="005629FB">
        <w:rPr>
          <w:rFonts w:ascii="Palatino Linotype" w:eastAsia="Palatino Linotype" w:hAnsi="Palatino Linotype" w:cs="Palatino Linotype"/>
          <w:i/>
          <w:sz w:val="22"/>
          <w:szCs w:val="22"/>
        </w:rPr>
        <w:t xml:space="preserve"> Desarrollar las demás funciones inherentes al área de su competencia.</w:t>
      </w:r>
    </w:p>
    <w:p w14:paraId="2851D963" w14:textId="77777777" w:rsidR="00C67147" w:rsidRPr="005629FB" w:rsidRDefault="007E21D8">
      <w:pPr>
        <w:ind w:left="851" w:right="851"/>
        <w:jc w:val="both"/>
        <w:rPr>
          <w:rFonts w:ascii="Palatino Linotype" w:eastAsia="Palatino Linotype" w:hAnsi="Palatino Linotype" w:cs="Palatino Linotype"/>
          <w:i/>
          <w:sz w:val="22"/>
          <w:szCs w:val="22"/>
        </w:rPr>
      </w:pPr>
      <w:r w:rsidRPr="005629FB">
        <w:rPr>
          <w:rFonts w:ascii="Palatino Linotype" w:eastAsia="Palatino Linotype" w:hAnsi="Palatino Linotype" w:cs="Palatino Linotype"/>
          <w:i/>
          <w:sz w:val="22"/>
          <w:szCs w:val="22"/>
        </w:rPr>
        <w:t>…</w:t>
      </w:r>
    </w:p>
    <w:p w14:paraId="670D74EB" w14:textId="77777777" w:rsidR="00C67147" w:rsidRPr="005629FB" w:rsidRDefault="007E21D8">
      <w:pPr>
        <w:ind w:left="851" w:right="851"/>
        <w:jc w:val="both"/>
        <w:rPr>
          <w:rFonts w:ascii="Palatino Linotype" w:eastAsia="Palatino Linotype" w:hAnsi="Palatino Linotype" w:cs="Palatino Linotype"/>
          <w:b/>
          <w:i/>
          <w:sz w:val="22"/>
          <w:szCs w:val="22"/>
        </w:rPr>
      </w:pPr>
      <w:r w:rsidRPr="005629FB">
        <w:rPr>
          <w:rFonts w:ascii="Palatino Linotype" w:eastAsia="Palatino Linotype" w:hAnsi="Palatino Linotype" w:cs="Palatino Linotype"/>
          <w:b/>
          <w:i/>
          <w:sz w:val="22"/>
          <w:szCs w:val="22"/>
        </w:rPr>
        <w:t xml:space="preserve">3013305000 DIRECCIÓN DE FONDO AUXILIAR </w:t>
      </w:r>
    </w:p>
    <w:p w14:paraId="0A4B3FEE" w14:textId="77777777" w:rsidR="00C67147" w:rsidRPr="005629FB" w:rsidRDefault="007E21D8">
      <w:pPr>
        <w:ind w:left="851" w:right="851"/>
        <w:jc w:val="both"/>
        <w:rPr>
          <w:rFonts w:ascii="Palatino Linotype" w:eastAsia="Palatino Linotype" w:hAnsi="Palatino Linotype" w:cs="Palatino Linotype"/>
          <w:i/>
          <w:sz w:val="22"/>
          <w:szCs w:val="22"/>
        </w:rPr>
      </w:pPr>
      <w:r w:rsidRPr="005629FB">
        <w:rPr>
          <w:rFonts w:ascii="Palatino Linotype" w:eastAsia="Palatino Linotype" w:hAnsi="Palatino Linotype" w:cs="Palatino Linotype"/>
          <w:b/>
          <w:i/>
          <w:sz w:val="22"/>
          <w:szCs w:val="22"/>
        </w:rPr>
        <w:t>OBJETIVO</w:t>
      </w:r>
      <w:r w:rsidRPr="005629FB">
        <w:rPr>
          <w:rFonts w:ascii="Palatino Linotype" w:eastAsia="Palatino Linotype" w:hAnsi="Palatino Linotype" w:cs="Palatino Linotype"/>
          <w:i/>
          <w:sz w:val="22"/>
          <w:szCs w:val="22"/>
        </w:rPr>
        <w:t xml:space="preserve">: </w:t>
      </w:r>
      <w:r w:rsidRPr="005629FB">
        <w:rPr>
          <w:rFonts w:ascii="Palatino Linotype" w:eastAsia="Palatino Linotype" w:hAnsi="Palatino Linotype" w:cs="Palatino Linotype"/>
          <w:b/>
          <w:i/>
          <w:sz w:val="22"/>
          <w:szCs w:val="22"/>
        </w:rPr>
        <w:t>Vigilar el registro sistemático, así como dirigir y controlar las operaciones financieras del Fondo Auxiliar para la Administración de Justicia</w:t>
      </w:r>
      <w:r w:rsidRPr="005629FB">
        <w:rPr>
          <w:rFonts w:ascii="Palatino Linotype" w:eastAsia="Palatino Linotype" w:hAnsi="Palatino Linotype" w:cs="Palatino Linotype"/>
          <w:i/>
          <w:sz w:val="22"/>
          <w:szCs w:val="22"/>
        </w:rPr>
        <w:t xml:space="preserve">, clasificándolas con la finalidad de emitir oportunamente la información financiera que apoye la toma de decisiones. </w:t>
      </w:r>
    </w:p>
    <w:p w14:paraId="03E037CD" w14:textId="77777777" w:rsidR="00C67147" w:rsidRPr="005629FB" w:rsidRDefault="007E21D8">
      <w:pPr>
        <w:ind w:left="851" w:right="851"/>
        <w:jc w:val="both"/>
        <w:rPr>
          <w:rFonts w:ascii="Palatino Linotype" w:eastAsia="Palatino Linotype" w:hAnsi="Palatino Linotype" w:cs="Palatino Linotype"/>
          <w:i/>
          <w:sz w:val="22"/>
          <w:szCs w:val="22"/>
        </w:rPr>
      </w:pPr>
      <w:r w:rsidRPr="005629FB">
        <w:rPr>
          <w:rFonts w:ascii="Palatino Linotype" w:eastAsia="Palatino Linotype" w:hAnsi="Palatino Linotype" w:cs="Palatino Linotype"/>
          <w:i/>
          <w:sz w:val="22"/>
          <w:szCs w:val="22"/>
        </w:rPr>
        <w:t xml:space="preserve">FUNCIONES: </w:t>
      </w:r>
    </w:p>
    <w:p w14:paraId="4BC958A3" w14:textId="77777777" w:rsidR="00C67147" w:rsidRPr="005629FB" w:rsidRDefault="007E21D8">
      <w:pPr>
        <w:ind w:left="851" w:right="851"/>
        <w:jc w:val="both"/>
        <w:rPr>
          <w:rFonts w:ascii="Palatino Linotype" w:eastAsia="Palatino Linotype" w:hAnsi="Palatino Linotype" w:cs="Palatino Linotype"/>
          <w:i/>
          <w:sz w:val="22"/>
          <w:szCs w:val="22"/>
        </w:rPr>
      </w:pPr>
      <w:r w:rsidRPr="005629FB">
        <w:rPr>
          <w:rFonts w:ascii="Noto Sans Symbols" w:eastAsia="Noto Sans Symbols" w:hAnsi="Noto Sans Symbols" w:cs="Noto Sans Symbols"/>
          <w:i/>
          <w:sz w:val="22"/>
          <w:szCs w:val="22"/>
        </w:rPr>
        <w:t>−</w:t>
      </w:r>
      <w:r w:rsidRPr="005629FB">
        <w:rPr>
          <w:rFonts w:ascii="Palatino Linotype" w:eastAsia="Palatino Linotype" w:hAnsi="Palatino Linotype" w:cs="Palatino Linotype"/>
          <w:i/>
          <w:sz w:val="22"/>
          <w:szCs w:val="22"/>
        </w:rPr>
        <w:t xml:space="preserve"> Presentar para aprobación del Director General de Finanzas y Planeación, la Planificación Anual de Trabajo de la Dirección y unidades administrativas que la integran, dirigir su ejecución e informar de los avances y resultados alcanzados. </w:t>
      </w:r>
      <w:r w:rsidRPr="005629FB">
        <w:rPr>
          <w:rFonts w:ascii="Noto Sans Symbols" w:eastAsia="Noto Sans Symbols" w:hAnsi="Noto Sans Symbols" w:cs="Noto Sans Symbols"/>
          <w:i/>
          <w:sz w:val="22"/>
          <w:szCs w:val="22"/>
        </w:rPr>
        <w:t>−</w:t>
      </w:r>
      <w:r w:rsidRPr="005629FB">
        <w:rPr>
          <w:rFonts w:ascii="Palatino Linotype" w:eastAsia="Palatino Linotype" w:hAnsi="Palatino Linotype" w:cs="Palatino Linotype"/>
          <w:i/>
          <w:sz w:val="22"/>
          <w:szCs w:val="22"/>
        </w:rPr>
        <w:t xml:space="preserve"> Proponer las normas, lineamientos y procedimientos para la administración de los recursos financieros del fideicomiso (Fondos Propios y Ajenos) con base en la normatividad aplicable en la materia. </w:t>
      </w:r>
    </w:p>
    <w:p w14:paraId="065A42A7" w14:textId="77777777" w:rsidR="00C67147" w:rsidRPr="005629FB" w:rsidRDefault="007E21D8">
      <w:pPr>
        <w:ind w:left="851" w:right="851"/>
        <w:jc w:val="both"/>
        <w:rPr>
          <w:rFonts w:ascii="Palatino Linotype" w:eastAsia="Palatino Linotype" w:hAnsi="Palatino Linotype" w:cs="Palatino Linotype"/>
          <w:i/>
          <w:sz w:val="22"/>
          <w:szCs w:val="22"/>
        </w:rPr>
      </w:pPr>
      <w:r w:rsidRPr="005629FB">
        <w:rPr>
          <w:rFonts w:ascii="Noto Sans Symbols" w:eastAsia="Noto Sans Symbols" w:hAnsi="Noto Sans Symbols" w:cs="Noto Sans Symbols"/>
          <w:i/>
          <w:sz w:val="22"/>
          <w:szCs w:val="22"/>
        </w:rPr>
        <w:t>−</w:t>
      </w:r>
      <w:r w:rsidRPr="005629FB">
        <w:rPr>
          <w:rFonts w:ascii="Palatino Linotype" w:eastAsia="Palatino Linotype" w:hAnsi="Palatino Linotype" w:cs="Palatino Linotype"/>
          <w:i/>
          <w:sz w:val="22"/>
          <w:szCs w:val="22"/>
        </w:rPr>
        <w:t xml:space="preserve"> Promover la contratación de instrumentos financieros para el manejo de los recursos del fideicomiso, que permitan asegurar plazos y tasas de interés competitivas. </w:t>
      </w:r>
      <w:r w:rsidRPr="005629FB">
        <w:rPr>
          <w:rFonts w:ascii="Noto Sans Symbols" w:eastAsia="Noto Sans Symbols" w:hAnsi="Noto Sans Symbols" w:cs="Noto Sans Symbols"/>
          <w:i/>
          <w:sz w:val="22"/>
          <w:szCs w:val="22"/>
        </w:rPr>
        <w:t>−</w:t>
      </w:r>
    </w:p>
    <w:p w14:paraId="4FBBC78D" w14:textId="77777777" w:rsidR="00C67147" w:rsidRPr="005629FB" w:rsidRDefault="007E21D8">
      <w:pPr>
        <w:ind w:left="851" w:right="851"/>
        <w:jc w:val="both"/>
        <w:rPr>
          <w:rFonts w:ascii="Palatino Linotype" w:eastAsia="Palatino Linotype" w:hAnsi="Palatino Linotype" w:cs="Palatino Linotype"/>
          <w:i/>
          <w:sz w:val="22"/>
          <w:szCs w:val="22"/>
        </w:rPr>
      </w:pPr>
      <w:r w:rsidRPr="005629FB">
        <w:rPr>
          <w:rFonts w:ascii="Palatino Linotype" w:eastAsia="Palatino Linotype" w:hAnsi="Palatino Linotype" w:cs="Palatino Linotype"/>
          <w:i/>
          <w:sz w:val="22"/>
          <w:szCs w:val="22"/>
        </w:rPr>
        <w:t xml:space="preserve"> </w:t>
      </w:r>
      <w:r w:rsidRPr="005629FB">
        <w:rPr>
          <w:rFonts w:ascii="Palatino Linotype" w:eastAsia="Palatino Linotype" w:hAnsi="Palatino Linotype" w:cs="Palatino Linotype"/>
          <w:b/>
          <w:i/>
          <w:sz w:val="22"/>
          <w:szCs w:val="22"/>
        </w:rPr>
        <w:t xml:space="preserve">Vigilar el registro de los </w:t>
      </w:r>
      <w:r w:rsidRPr="005629FB">
        <w:rPr>
          <w:rFonts w:ascii="Palatino Linotype" w:eastAsia="Palatino Linotype" w:hAnsi="Palatino Linotype" w:cs="Palatino Linotype"/>
          <w:i/>
          <w:sz w:val="22"/>
          <w:szCs w:val="22"/>
        </w:rPr>
        <w:t xml:space="preserve">ingresos y egresos de las cuentas en fideicomisos y </w:t>
      </w:r>
      <w:r w:rsidRPr="005629FB">
        <w:rPr>
          <w:rFonts w:ascii="Palatino Linotype" w:eastAsia="Palatino Linotype" w:hAnsi="Palatino Linotype" w:cs="Palatino Linotype"/>
          <w:b/>
          <w:i/>
          <w:sz w:val="22"/>
          <w:szCs w:val="22"/>
        </w:rPr>
        <w:t>depósitos bancarios a nombre del Poder Judicial, con el fin de conocer la situación financiera del Fondo Auxiliar para la Administración de Justicia</w:t>
      </w:r>
      <w:r w:rsidRPr="005629FB">
        <w:rPr>
          <w:rFonts w:ascii="Palatino Linotype" w:eastAsia="Palatino Linotype" w:hAnsi="Palatino Linotype" w:cs="Palatino Linotype"/>
          <w:i/>
          <w:sz w:val="22"/>
          <w:szCs w:val="22"/>
        </w:rPr>
        <w:t xml:space="preserve">. </w:t>
      </w:r>
    </w:p>
    <w:p w14:paraId="71E33F9D" w14:textId="77777777" w:rsidR="00C67147" w:rsidRPr="005629FB" w:rsidRDefault="007E21D8">
      <w:pPr>
        <w:ind w:left="851" w:right="851"/>
        <w:jc w:val="both"/>
        <w:rPr>
          <w:rFonts w:ascii="Palatino Linotype" w:eastAsia="Palatino Linotype" w:hAnsi="Palatino Linotype" w:cs="Palatino Linotype"/>
          <w:i/>
          <w:sz w:val="22"/>
          <w:szCs w:val="22"/>
        </w:rPr>
      </w:pPr>
      <w:r w:rsidRPr="005629FB">
        <w:rPr>
          <w:rFonts w:ascii="Noto Sans Symbols" w:eastAsia="Noto Sans Symbols" w:hAnsi="Noto Sans Symbols" w:cs="Noto Sans Symbols"/>
          <w:i/>
          <w:sz w:val="22"/>
          <w:szCs w:val="22"/>
        </w:rPr>
        <w:t>−</w:t>
      </w:r>
      <w:r w:rsidRPr="005629FB">
        <w:rPr>
          <w:rFonts w:ascii="Palatino Linotype" w:eastAsia="Palatino Linotype" w:hAnsi="Palatino Linotype" w:cs="Palatino Linotype"/>
          <w:i/>
          <w:sz w:val="22"/>
          <w:szCs w:val="22"/>
        </w:rPr>
        <w:t xml:space="preserve"> Verificar y avalar la disponibilidad de recursos para la realización de erogaciones, y la inversión de los mismos de acuerdo a la normatividad establecida para tal efecto. </w:t>
      </w:r>
    </w:p>
    <w:p w14:paraId="360C709B" w14:textId="77777777" w:rsidR="00C67147" w:rsidRPr="005629FB" w:rsidRDefault="007E21D8">
      <w:pPr>
        <w:ind w:left="851" w:right="851"/>
        <w:jc w:val="both"/>
        <w:rPr>
          <w:rFonts w:ascii="Palatino Linotype" w:eastAsia="Palatino Linotype" w:hAnsi="Palatino Linotype" w:cs="Palatino Linotype"/>
          <w:i/>
          <w:sz w:val="22"/>
          <w:szCs w:val="22"/>
        </w:rPr>
      </w:pPr>
      <w:r w:rsidRPr="005629FB">
        <w:rPr>
          <w:rFonts w:ascii="Noto Sans Symbols" w:eastAsia="Noto Sans Symbols" w:hAnsi="Noto Sans Symbols" w:cs="Noto Sans Symbols"/>
          <w:i/>
          <w:sz w:val="22"/>
          <w:szCs w:val="22"/>
        </w:rPr>
        <w:t>−</w:t>
      </w:r>
      <w:r w:rsidRPr="005629FB">
        <w:rPr>
          <w:rFonts w:ascii="Palatino Linotype" w:eastAsia="Palatino Linotype" w:hAnsi="Palatino Linotype" w:cs="Palatino Linotype"/>
          <w:i/>
          <w:sz w:val="22"/>
          <w:szCs w:val="22"/>
        </w:rPr>
        <w:t xml:space="preserve"> Dar cumplimiento, avalar y vigilar las políticas de registro y control contable para la integración de Estados Financieros. </w:t>
      </w:r>
    </w:p>
    <w:p w14:paraId="1648CCD8" w14:textId="77777777" w:rsidR="00C67147" w:rsidRPr="005629FB" w:rsidRDefault="007E21D8">
      <w:pPr>
        <w:ind w:left="851" w:right="851"/>
        <w:jc w:val="both"/>
        <w:rPr>
          <w:rFonts w:ascii="Palatino Linotype" w:eastAsia="Palatino Linotype" w:hAnsi="Palatino Linotype" w:cs="Palatino Linotype"/>
          <w:i/>
          <w:sz w:val="22"/>
          <w:szCs w:val="22"/>
        </w:rPr>
      </w:pPr>
      <w:r w:rsidRPr="005629FB">
        <w:rPr>
          <w:rFonts w:ascii="Noto Sans Symbols" w:eastAsia="Noto Sans Symbols" w:hAnsi="Noto Sans Symbols" w:cs="Noto Sans Symbols"/>
          <w:i/>
          <w:sz w:val="22"/>
          <w:szCs w:val="22"/>
        </w:rPr>
        <w:t>−</w:t>
      </w:r>
      <w:r w:rsidRPr="005629FB">
        <w:rPr>
          <w:rFonts w:ascii="Palatino Linotype" w:eastAsia="Palatino Linotype" w:hAnsi="Palatino Linotype" w:cs="Palatino Linotype"/>
          <w:i/>
          <w:sz w:val="22"/>
          <w:szCs w:val="22"/>
        </w:rPr>
        <w:t xml:space="preserve"> Coordinar la realización de los informes internos y externos a fin de coadyuvar a la toma de decisiones y transparentar el manejo de los recursos. </w:t>
      </w:r>
    </w:p>
    <w:p w14:paraId="01E7287B" w14:textId="77777777" w:rsidR="00C67147" w:rsidRPr="005629FB" w:rsidRDefault="007E21D8">
      <w:pPr>
        <w:ind w:left="851" w:right="851"/>
        <w:jc w:val="both"/>
        <w:rPr>
          <w:rFonts w:ascii="Palatino Linotype" w:eastAsia="Palatino Linotype" w:hAnsi="Palatino Linotype" w:cs="Palatino Linotype"/>
          <w:i/>
          <w:sz w:val="22"/>
          <w:szCs w:val="22"/>
        </w:rPr>
      </w:pPr>
      <w:r w:rsidRPr="005629FB">
        <w:rPr>
          <w:rFonts w:ascii="Noto Sans Symbols" w:eastAsia="Noto Sans Symbols" w:hAnsi="Noto Sans Symbols" w:cs="Noto Sans Symbols"/>
          <w:i/>
          <w:sz w:val="22"/>
          <w:szCs w:val="22"/>
        </w:rPr>
        <w:t>−</w:t>
      </w:r>
      <w:r w:rsidRPr="005629FB">
        <w:rPr>
          <w:rFonts w:ascii="Palatino Linotype" w:eastAsia="Palatino Linotype" w:hAnsi="Palatino Linotype" w:cs="Palatino Linotype"/>
          <w:i/>
          <w:sz w:val="22"/>
          <w:szCs w:val="22"/>
        </w:rPr>
        <w:t xml:space="preserve"> Desarrollar las demás funciones inherentes al área de su competencia.” (Sic)</w:t>
      </w:r>
    </w:p>
    <w:p w14:paraId="1C089807" w14:textId="77777777" w:rsidR="00C67147" w:rsidRPr="005629FB" w:rsidRDefault="00C67147">
      <w:pPr>
        <w:spacing w:line="360" w:lineRule="auto"/>
        <w:jc w:val="both"/>
        <w:rPr>
          <w:rFonts w:ascii="Palatino Linotype" w:eastAsia="Palatino Linotype" w:hAnsi="Palatino Linotype" w:cs="Palatino Linotype"/>
        </w:rPr>
      </w:pPr>
    </w:p>
    <w:p w14:paraId="10BD17DE" w14:textId="77777777" w:rsidR="00C67147" w:rsidRPr="005629FB" w:rsidRDefault="007E21D8">
      <w:pPr>
        <w:spacing w:line="360" w:lineRule="auto"/>
        <w:jc w:val="both"/>
        <w:rPr>
          <w:rFonts w:ascii="Palatino Linotype" w:eastAsia="Palatino Linotype" w:hAnsi="Palatino Linotype" w:cs="Palatino Linotype"/>
        </w:rPr>
      </w:pPr>
      <w:r w:rsidRPr="005629FB">
        <w:rPr>
          <w:rFonts w:ascii="Palatino Linotype" w:eastAsia="Palatino Linotype" w:hAnsi="Palatino Linotype" w:cs="Palatino Linotype"/>
        </w:rPr>
        <w:t xml:space="preserve">Siendo el área competente para conocer de la información solicitada por el particular en términos de lo señalado por el Manual General de Organización del Consejo de </w:t>
      </w:r>
      <w:r w:rsidRPr="005629FB">
        <w:rPr>
          <w:rFonts w:ascii="Palatino Linotype" w:eastAsia="Palatino Linotype" w:hAnsi="Palatino Linotype" w:cs="Palatino Linotype"/>
        </w:rPr>
        <w:lastRenderedPageBreak/>
        <w:t>la Judicatura del Estado de México y la circular número 34/2020, previamente señalado; colmando con ello el derecho de acceso a la información del particular.</w:t>
      </w:r>
    </w:p>
    <w:p w14:paraId="41496987" w14:textId="77777777" w:rsidR="00C67147" w:rsidRPr="005629FB" w:rsidRDefault="00C67147">
      <w:pPr>
        <w:spacing w:line="360" w:lineRule="auto"/>
        <w:jc w:val="both"/>
        <w:rPr>
          <w:rFonts w:ascii="Palatino Linotype" w:eastAsia="Palatino Linotype" w:hAnsi="Palatino Linotype" w:cs="Palatino Linotype"/>
        </w:rPr>
      </w:pPr>
    </w:p>
    <w:p w14:paraId="38623DA1" w14:textId="77777777" w:rsidR="00C67147" w:rsidRPr="005629FB" w:rsidRDefault="007E21D8">
      <w:pPr>
        <w:spacing w:after="120" w:line="360" w:lineRule="auto"/>
        <w:jc w:val="both"/>
        <w:rPr>
          <w:rFonts w:ascii="Palatino Linotype" w:eastAsia="Palatino Linotype" w:hAnsi="Palatino Linotype" w:cs="Palatino Linotype"/>
        </w:rPr>
      </w:pPr>
      <w:r w:rsidRPr="005629FB">
        <w:rPr>
          <w:rFonts w:ascii="Palatino Linotype" w:eastAsia="Palatino Linotype" w:hAnsi="Palatino Linotype" w:cs="Palatino Linotype"/>
        </w:rPr>
        <w:t>Además, debe decirse que este Organismo Garante estima conveniente señalar que no está facultado para manifestarse sobre la veracidad de la información proporcionada, ya que no existe precepto legal alguno en la Ley de la Materia que permita, vía recurso de revisión, se pronuncie al respecto. Por analogía, sirve de apoyo a lo anterior el Criterio 31-10 emitido por el entonces Instituto Federal de Accesos a la Información y Protección de Datos, que a la letra establece lo siguiente:</w:t>
      </w:r>
    </w:p>
    <w:p w14:paraId="2BE31E4F" w14:textId="77777777" w:rsidR="00C67147" w:rsidRPr="005629FB" w:rsidRDefault="007E21D8">
      <w:pPr>
        <w:spacing w:before="120" w:after="120"/>
        <w:ind w:left="851" w:right="851"/>
        <w:jc w:val="both"/>
        <w:rPr>
          <w:rFonts w:ascii="Palatino Linotype" w:eastAsia="Palatino Linotype" w:hAnsi="Palatino Linotype" w:cs="Palatino Linotype"/>
          <w:i/>
          <w:sz w:val="22"/>
          <w:szCs w:val="22"/>
        </w:rPr>
      </w:pPr>
      <w:r w:rsidRPr="005629FB">
        <w:rPr>
          <w:rFonts w:ascii="Palatino Linotype" w:eastAsia="Palatino Linotype" w:hAnsi="Palatino Linotype" w:cs="Palatino Linotype"/>
          <w:i/>
          <w:sz w:val="22"/>
          <w:szCs w:val="22"/>
        </w:rPr>
        <w:t>“</w:t>
      </w:r>
      <w:r w:rsidRPr="005629FB">
        <w:rPr>
          <w:rFonts w:ascii="Palatino Linotype" w:eastAsia="Palatino Linotype" w:hAnsi="Palatino Linotype" w:cs="Palatino Linotype"/>
          <w:b/>
          <w:i/>
          <w:sz w:val="22"/>
          <w:szCs w:val="22"/>
        </w:rPr>
        <w:t>El Instituto Federal de Acceso a la Información y Protección de Datos no cuenta con facultades para pronunciarse respecto de la veracidad de los documentos proporcionados por los sujetos obligados.</w:t>
      </w:r>
      <w:r w:rsidRPr="005629FB">
        <w:rPr>
          <w:rFonts w:ascii="Palatino Linotype" w:eastAsia="Palatino Linotype" w:hAnsi="Palatino Linotype" w:cs="Palatino Linotype"/>
          <w:i/>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respecto.”(Sic)</w:t>
      </w:r>
    </w:p>
    <w:p w14:paraId="430E87DA" w14:textId="77777777" w:rsidR="00C67147" w:rsidRPr="005629FB" w:rsidRDefault="00C67147">
      <w:pPr>
        <w:spacing w:line="360" w:lineRule="auto"/>
        <w:jc w:val="both"/>
        <w:rPr>
          <w:rFonts w:ascii="Palatino Linotype" w:eastAsia="Palatino Linotype" w:hAnsi="Palatino Linotype" w:cs="Palatino Linotype"/>
        </w:rPr>
      </w:pPr>
    </w:p>
    <w:p w14:paraId="1F7E9728" w14:textId="77777777" w:rsidR="00C67147" w:rsidRPr="005629FB" w:rsidRDefault="007E21D8">
      <w:pPr>
        <w:spacing w:after="240" w:line="360" w:lineRule="auto"/>
        <w:jc w:val="both"/>
        <w:rPr>
          <w:rFonts w:ascii="Palatino Linotype" w:eastAsia="Palatino Linotype" w:hAnsi="Palatino Linotype" w:cs="Palatino Linotype"/>
        </w:rPr>
      </w:pPr>
      <w:r w:rsidRPr="005629FB">
        <w:rPr>
          <w:rFonts w:ascii="Palatino Linotype" w:eastAsia="Palatino Linotype" w:hAnsi="Palatino Linotype" w:cs="Palatino Linotype"/>
        </w:rPr>
        <w:t>De lo anterior, este Organismo Resolutor en aras de tutelar el derecho de acceso a la información de los particulares, tiene la obligación de apegarse en todo momento a lo que dispone la Ley de Transparencia y Acceso a la Información Pública del Estado de México y Municipios garantizando los principios de imparcialidad y legalidad en el procedimiento de impugnación y resolución del recurso planteado.</w:t>
      </w:r>
    </w:p>
    <w:p w14:paraId="56798EA8" w14:textId="77777777" w:rsidR="00C67147" w:rsidRPr="005629FB" w:rsidRDefault="007E21D8">
      <w:pPr>
        <w:spacing w:line="360" w:lineRule="auto"/>
        <w:jc w:val="both"/>
        <w:rPr>
          <w:rFonts w:ascii="Palatino Linotype" w:eastAsia="Palatino Linotype" w:hAnsi="Palatino Linotype" w:cs="Palatino Linotype"/>
        </w:rPr>
      </w:pPr>
      <w:r w:rsidRPr="005629FB">
        <w:rPr>
          <w:rFonts w:ascii="Palatino Linotype" w:eastAsia="Palatino Linotype" w:hAnsi="Palatino Linotype" w:cs="Palatino Linotype"/>
        </w:rPr>
        <w:lastRenderedPageBreak/>
        <w:t>En consecuencia, de todo lo anterior, se actualiza la causal de sobreseimiento prevista en la fracción III del artículo 192 de la Ley de Transparencia y Acceso a la Información Pública del Estado de México y Municipios, que dispone lo siguiente:</w:t>
      </w:r>
    </w:p>
    <w:p w14:paraId="1062948E" w14:textId="77777777" w:rsidR="00C67147" w:rsidRPr="005629FB" w:rsidRDefault="00C67147">
      <w:pPr>
        <w:spacing w:line="360" w:lineRule="auto"/>
        <w:jc w:val="both"/>
        <w:rPr>
          <w:rFonts w:ascii="Palatino Linotype" w:eastAsia="Palatino Linotype" w:hAnsi="Palatino Linotype" w:cs="Palatino Linotype"/>
        </w:rPr>
      </w:pPr>
    </w:p>
    <w:p w14:paraId="30E9D70A" w14:textId="77777777" w:rsidR="00C67147" w:rsidRPr="005629FB" w:rsidRDefault="007E21D8">
      <w:pPr>
        <w:ind w:left="992" w:right="1043"/>
        <w:jc w:val="both"/>
        <w:rPr>
          <w:rFonts w:ascii="Palatino Linotype" w:eastAsia="Palatino Linotype" w:hAnsi="Palatino Linotype" w:cs="Palatino Linotype"/>
          <w:i/>
          <w:sz w:val="22"/>
          <w:szCs w:val="22"/>
        </w:rPr>
      </w:pPr>
      <w:r w:rsidRPr="005629FB">
        <w:rPr>
          <w:rFonts w:ascii="Palatino Linotype" w:eastAsia="Palatino Linotype" w:hAnsi="Palatino Linotype" w:cs="Palatino Linotype"/>
          <w:b/>
          <w:i/>
          <w:sz w:val="22"/>
          <w:szCs w:val="22"/>
        </w:rPr>
        <w:t xml:space="preserve">“Artículo 192. </w:t>
      </w:r>
      <w:r w:rsidRPr="005629FB">
        <w:rPr>
          <w:rFonts w:ascii="Palatino Linotype" w:eastAsia="Palatino Linotype" w:hAnsi="Palatino Linotype" w:cs="Palatino Linotype"/>
          <w:i/>
          <w:sz w:val="22"/>
          <w:szCs w:val="22"/>
        </w:rPr>
        <w:t>El recurso será sobreseído en todo o en parte cuando una vez admitido, se actualicen alguno de los siguientes supuestos:</w:t>
      </w:r>
    </w:p>
    <w:p w14:paraId="15EB711A" w14:textId="77777777" w:rsidR="00C67147" w:rsidRPr="005629FB" w:rsidRDefault="007E21D8">
      <w:pPr>
        <w:ind w:left="992" w:right="1043"/>
        <w:jc w:val="both"/>
        <w:rPr>
          <w:rFonts w:ascii="Palatino Linotype" w:eastAsia="Palatino Linotype" w:hAnsi="Palatino Linotype" w:cs="Palatino Linotype"/>
          <w:i/>
          <w:sz w:val="22"/>
          <w:szCs w:val="22"/>
        </w:rPr>
      </w:pPr>
      <w:r w:rsidRPr="005629FB">
        <w:rPr>
          <w:rFonts w:ascii="Palatino Linotype" w:eastAsia="Palatino Linotype" w:hAnsi="Palatino Linotype" w:cs="Palatino Linotype"/>
          <w:b/>
          <w:i/>
          <w:sz w:val="22"/>
          <w:szCs w:val="22"/>
        </w:rPr>
        <w:t>…</w:t>
      </w:r>
    </w:p>
    <w:p w14:paraId="045EBD74" w14:textId="77777777" w:rsidR="00C67147" w:rsidRPr="005629FB" w:rsidRDefault="007E21D8">
      <w:pPr>
        <w:ind w:left="992" w:right="1043"/>
        <w:jc w:val="both"/>
        <w:rPr>
          <w:rFonts w:ascii="Palatino Linotype" w:eastAsia="Palatino Linotype" w:hAnsi="Palatino Linotype" w:cs="Palatino Linotype"/>
          <w:b/>
          <w:i/>
          <w:sz w:val="22"/>
          <w:szCs w:val="22"/>
        </w:rPr>
      </w:pPr>
      <w:r w:rsidRPr="005629FB">
        <w:rPr>
          <w:rFonts w:ascii="Palatino Linotype" w:eastAsia="Palatino Linotype" w:hAnsi="Palatino Linotype" w:cs="Palatino Linotype"/>
          <w:b/>
          <w:i/>
          <w:sz w:val="22"/>
          <w:szCs w:val="22"/>
        </w:rPr>
        <w:t xml:space="preserve">III. El sujeto obligado responsable del acto lo modifique o revoque de tal manera que el recurso de revisión quede sin materia…”. </w:t>
      </w:r>
    </w:p>
    <w:p w14:paraId="4196B7CC" w14:textId="77777777" w:rsidR="00C67147" w:rsidRPr="005629FB" w:rsidRDefault="00C67147">
      <w:pPr>
        <w:spacing w:line="360" w:lineRule="auto"/>
        <w:jc w:val="both"/>
        <w:rPr>
          <w:rFonts w:ascii="Palatino Linotype" w:eastAsia="Palatino Linotype" w:hAnsi="Palatino Linotype" w:cs="Palatino Linotype"/>
          <w:b/>
          <w:i/>
        </w:rPr>
      </w:pPr>
    </w:p>
    <w:p w14:paraId="4E15F0D7" w14:textId="77777777" w:rsidR="00C67147" w:rsidRPr="005629FB" w:rsidRDefault="007E21D8">
      <w:pPr>
        <w:spacing w:after="240" w:line="360" w:lineRule="auto"/>
        <w:jc w:val="both"/>
        <w:rPr>
          <w:rFonts w:ascii="Palatino Linotype" w:eastAsia="Palatino Linotype" w:hAnsi="Palatino Linotype" w:cs="Palatino Linotype"/>
        </w:rPr>
      </w:pPr>
      <w:r w:rsidRPr="005629FB">
        <w:rPr>
          <w:rFonts w:ascii="Palatino Linotype" w:eastAsia="Palatino Linotype" w:hAnsi="Palatino Linotype" w:cs="Palatino Linotype"/>
        </w:rPr>
        <w:t>De lo establecido en el precepto legal citado se advierte que el sobreseimiento del recurso de revisión procede en los siguientes casos:</w:t>
      </w:r>
    </w:p>
    <w:p w14:paraId="3AC538E1" w14:textId="77777777" w:rsidR="00C67147" w:rsidRPr="005629FB" w:rsidRDefault="007E21D8">
      <w:pPr>
        <w:spacing w:before="240" w:after="240" w:line="360" w:lineRule="auto"/>
        <w:jc w:val="both"/>
        <w:rPr>
          <w:rFonts w:ascii="Palatino Linotype" w:eastAsia="Palatino Linotype" w:hAnsi="Palatino Linotype" w:cs="Palatino Linotype"/>
        </w:rPr>
      </w:pPr>
      <w:r w:rsidRPr="005629FB">
        <w:rPr>
          <w:rFonts w:ascii="Palatino Linotype" w:eastAsia="Palatino Linotype" w:hAnsi="Palatino Linotype" w:cs="Palatino Linotype"/>
        </w:rPr>
        <w:t>a) Cuando el sujeto obligado modifique el acto impugnado.</w:t>
      </w:r>
    </w:p>
    <w:p w14:paraId="3B23E23C" w14:textId="77777777" w:rsidR="00C67147" w:rsidRPr="005629FB" w:rsidRDefault="007E21D8">
      <w:pPr>
        <w:spacing w:before="240" w:after="240" w:line="360" w:lineRule="auto"/>
        <w:jc w:val="both"/>
        <w:rPr>
          <w:rFonts w:ascii="Palatino Linotype" w:eastAsia="Palatino Linotype" w:hAnsi="Palatino Linotype" w:cs="Palatino Linotype"/>
        </w:rPr>
      </w:pPr>
      <w:r w:rsidRPr="005629FB">
        <w:rPr>
          <w:rFonts w:ascii="Palatino Linotype" w:eastAsia="Palatino Linotype" w:hAnsi="Palatino Linotype" w:cs="Palatino Linotype"/>
        </w:rPr>
        <w:t>b) Cuando el sujeto obligado revoque el acto impugnado.</w:t>
      </w:r>
    </w:p>
    <w:p w14:paraId="6AAAF11C" w14:textId="77777777" w:rsidR="00C67147" w:rsidRPr="005629FB" w:rsidRDefault="007E21D8">
      <w:pPr>
        <w:spacing w:before="240" w:after="240" w:line="360" w:lineRule="auto"/>
        <w:jc w:val="both"/>
        <w:rPr>
          <w:rFonts w:ascii="Palatino Linotype" w:eastAsia="Palatino Linotype" w:hAnsi="Palatino Linotype" w:cs="Palatino Linotype"/>
        </w:rPr>
      </w:pPr>
      <w:r w:rsidRPr="005629FB">
        <w:rPr>
          <w:rFonts w:ascii="Palatino Linotype" w:eastAsia="Palatino Linotype" w:hAnsi="Palatino Linotype" w:cs="Palatino Linotype"/>
        </w:rPr>
        <w:t>Quedando en ambos casos el acto combatido sin materia o sin efectos.</w:t>
      </w:r>
    </w:p>
    <w:p w14:paraId="3AF0ACCB" w14:textId="77777777" w:rsidR="00C67147" w:rsidRPr="005629FB" w:rsidRDefault="007E21D8">
      <w:pPr>
        <w:spacing w:before="240" w:after="240" w:line="360" w:lineRule="auto"/>
        <w:jc w:val="both"/>
        <w:rPr>
          <w:rFonts w:ascii="Palatino Linotype" w:eastAsia="Palatino Linotype" w:hAnsi="Palatino Linotype" w:cs="Palatino Linotype"/>
        </w:rPr>
      </w:pPr>
      <w:r w:rsidRPr="005629FB">
        <w:rPr>
          <w:rFonts w:ascii="Palatino Linotype" w:eastAsia="Palatino Linotype" w:hAnsi="Palatino Linotype" w:cs="Palatino Linotype"/>
        </w:rPr>
        <w:t xml:space="preserve">Como se observa de lo anterior, un acto impugnado es modificado en aquellos casos en los que el </w:t>
      </w:r>
      <w:r w:rsidRPr="005629FB">
        <w:rPr>
          <w:rFonts w:ascii="Palatino Linotype" w:eastAsia="Palatino Linotype" w:hAnsi="Palatino Linotype" w:cs="Palatino Linotype"/>
          <w:b/>
        </w:rPr>
        <w:t>SUJETO OBLIGADO</w:t>
      </w:r>
      <w:r w:rsidRPr="005629FB">
        <w:rPr>
          <w:rFonts w:ascii="Palatino Linotype" w:eastAsia="Palatino Linotype" w:hAnsi="Palatino Linotype" w:cs="Palatino Linotype"/>
        </w:rPr>
        <w:t xml:space="preserve"> después de haber otorgado una respuesta, emite una diversa de manera posterior y en esta subsana las deficiencias que hubiera tenido, quedando satisfecho el derecho subjetivo accionado por la parte </w:t>
      </w:r>
      <w:r w:rsidRPr="005629FB">
        <w:rPr>
          <w:rFonts w:ascii="Palatino Linotype" w:eastAsia="Palatino Linotype" w:hAnsi="Palatino Linotype" w:cs="Palatino Linotype"/>
          <w:b/>
        </w:rPr>
        <w:t>RECURRENTE</w:t>
      </w:r>
      <w:r w:rsidRPr="005629FB">
        <w:rPr>
          <w:rFonts w:ascii="Palatino Linotype" w:eastAsia="Palatino Linotype" w:hAnsi="Palatino Linotype" w:cs="Palatino Linotype"/>
        </w:rPr>
        <w:t>.</w:t>
      </w:r>
    </w:p>
    <w:p w14:paraId="3E21B79F" w14:textId="77777777" w:rsidR="00C67147" w:rsidRPr="005629FB" w:rsidRDefault="007E21D8">
      <w:pPr>
        <w:spacing w:before="240" w:after="240" w:line="360" w:lineRule="auto"/>
        <w:jc w:val="both"/>
        <w:rPr>
          <w:rFonts w:ascii="Palatino Linotype" w:eastAsia="Palatino Linotype" w:hAnsi="Palatino Linotype" w:cs="Palatino Linotype"/>
        </w:rPr>
      </w:pPr>
      <w:r w:rsidRPr="005629FB">
        <w:rPr>
          <w:rFonts w:ascii="Palatino Linotype" w:eastAsia="Palatino Linotype" w:hAnsi="Palatino Linotype" w:cs="Palatino Linotype"/>
        </w:rPr>
        <w:t xml:space="preserve">Por lo que hace a la revocación, esta se actualiza cuando el </w:t>
      </w:r>
      <w:r w:rsidRPr="005629FB">
        <w:rPr>
          <w:rFonts w:ascii="Palatino Linotype" w:eastAsia="Palatino Linotype" w:hAnsi="Palatino Linotype" w:cs="Palatino Linotype"/>
          <w:b/>
        </w:rPr>
        <w:t xml:space="preserve">SUJETO OBLIGADO </w:t>
      </w:r>
      <w:r w:rsidRPr="005629FB">
        <w:rPr>
          <w:rFonts w:ascii="Palatino Linotype" w:eastAsia="Palatino Linotype" w:hAnsi="Palatino Linotype" w:cs="Palatino Linotype"/>
        </w:rPr>
        <w:t>deja sin efectos la primera respuesta y en su lugar emite otra con las características y cualidades suficientes para dejar satisfecho el ejercicio del derecho al acceso a la información pública.</w:t>
      </w:r>
    </w:p>
    <w:p w14:paraId="2E8E1A5E" w14:textId="77777777" w:rsidR="00C67147" w:rsidRPr="005629FB" w:rsidRDefault="007E21D8">
      <w:pPr>
        <w:spacing w:before="240" w:line="360" w:lineRule="auto"/>
        <w:jc w:val="both"/>
        <w:rPr>
          <w:rFonts w:ascii="Palatino Linotype" w:eastAsia="Palatino Linotype" w:hAnsi="Palatino Linotype" w:cs="Palatino Linotype"/>
        </w:rPr>
      </w:pPr>
      <w:r w:rsidRPr="005629FB">
        <w:rPr>
          <w:rFonts w:ascii="Palatino Linotype" w:eastAsia="Palatino Linotype" w:hAnsi="Palatino Linotype" w:cs="Palatino Linotype"/>
        </w:rPr>
        <w:lastRenderedPageBreak/>
        <w:t>En ese tenor, un acto impugnado quedará sin efectos, cuando aun existiendo jurídicamente (esto es, que no se ha modificado, ni revocado) ya no genera ninguna consecuencia legal.</w:t>
      </w:r>
    </w:p>
    <w:p w14:paraId="1C964631" w14:textId="77777777" w:rsidR="00C67147" w:rsidRPr="005629FB" w:rsidRDefault="007E21D8">
      <w:pPr>
        <w:spacing w:before="240" w:after="240" w:line="360" w:lineRule="auto"/>
        <w:jc w:val="both"/>
        <w:rPr>
          <w:rFonts w:ascii="Palatino Linotype" w:eastAsia="Palatino Linotype" w:hAnsi="Palatino Linotype" w:cs="Palatino Linotype"/>
        </w:rPr>
      </w:pPr>
      <w:r w:rsidRPr="005629FB">
        <w:rPr>
          <w:rFonts w:ascii="Palatino Linotype" w:eastAsia="Palatino Linotype" w:hAnsi="Palatino Linotype" w:cs="Palatino Linotype"/>
        </w:rPr>
        <w:t xml:space="preserve">En tanto, en el presente caso queda sin materia, toda vez que con el Informe Justificado, el </w:t>
      </w:r>
      <w:r w:rsidRPr="005629FB">
        <w:rPr>
          <w:rFonts w:ascii="Palatino Linotype" w:eastAsia="Palatino Linotype" w:hAnsi="Palatino Linotype" w:cs="Palatino Linotype"/>
          <w:b/>
        </w:rPr>
        <w:t>SUJETO OBLIGADO</w:t>
      </w:r>
      <w:r w:rsidRPr="005629FB">
        <w:rPr>
          <w:rFonts w:ascii="Palatino Linotype" w:eastAsia="Palatino Linotype" w:hAnsi="Palatino Linotype" w:cs="Palatino Linotype"/>
        </w:rPr>
        <w:t xml:space="preserve"> modificó la respuesta al pronunciarse en sentido negativo.</w:t>
      </w:r>
    </w:p>
    <w:p w14:paraId="4C0F8890" w14:textId="77777777" w:rsidR="00C67147" w:rsidRPr="005629FB" w:rsidRDefault="007E21D8">
      <w:pPr>
        <w:spacing w:before="240" w:after="240" w:line="360" w:lineRule="auto"/>
        <w:jc w:val="both"/>
        <w:rPr>
          <w:rFonts w:ascii="Palatino Linotype" w:eastAsia="Palatino Linotype" w:hAnsi="Palatino Linotype" w:cs="Palatino Linotype"/>
        </w:rPr>
      </w:pPr>
      <w:r w:rsidRPr="005629FB">
        <w:rPr>
          <w:rFonts w:ascii="Palatino Linotype" w:eastAsia="Palatino Linotype" w:hAnsi="Palatino Linotype" w:cs="Palatino Linotype"/>
        </w:rPr>
        <w:t xml:space="preserve">Tomando en consideración dicha circunstancia, así como el hecho de que la información proporcionada por el </w:t>
      </w:r>
      <w:r w:rsidRPr="005629FB">
        <w:rPr>
          <w:rFonts w:ascii="Palatino Linotype" w:eastAsia="Palatino Linotype" w:hAnsi="Palatino Linotype" w:cs="Palatino Linotype"/>
          <w:b/>
        </w:rPr>
        <w:t>SUJETO OBLIGADO</w:t>
      </w:r>
      <w:r w:rsidRPr="005629FB">
        <w:rPr>
          <w:rFonts w:ascii="Palatino Linotype" w:eastAsia="Palatino Linotype" w:hAnsi="Palatino Linotype" w:cs="Palatino Linotype"/>
        </w:rPr>
        <w:t xml:space="preserve"> fue puesta a la vista de la parte </w:t>
      </w:r>
      <w:r w:rsidRPr="005629FB">
        <w:rPr>
          <w:rFonts w:ascii="Palatino Linotype" w:eastAsia="Palatino Linotype" w:hAnsi="Palatino Linotype" w:cs="Palatino Linotype"/>
          <w:b/>
        </w:rPr>
        <w:t xml:space="preserve">RECURRENTE </w:t>
      </w:r>
      <w:r w:rsidRPr="005629FB">
        <w:rPr>
          <w:rFonts w:ascii="Palatino Linotype" w:eastAsia="Palatino Linotype" w:hAnsi="Palatino Linotype" w:cs="Palatino Linotype"/>
        </w:rPr>
        <w:t>con la finalidad de que manifestara lo que a su derecho conviniera, sin que obre constancia en el expediente electrónico de que dicho derecho se hiciera valer, debe entenderse que ha quedado satisfecha la solicitud planteada, quedando sin materia el presente recurso de revisión, consecuentemente se actualiza la causal prevista en la fracción III del artículo 192 de la Ley de la Materia vigente en la Entidad, antes transcrita.</w:t>
      </w:r>
    </w:p>
    <w:p w14:paraId="0AF6D016" w14:textId="77777777" w:rsidR="00C67147" w:rsidRPr="005629FB" w:rsidRDefault="007E21D8">
      <w:pPr>
        <w:spacing w:before="240" w:after="240" w:line="360" w:lineRule="auto"/>
        <w:jc w:val="both"/>
        <w:rPr>
          <w:rFonts w:ascii="Palatino Linotype" w:eastAsia="Palatino Linotype" w:hAnsi="Palatino Linotype" w:cs="Palatino Linotype"/>
        </w:rPr>
      </w:pPr>
      <w:r w:rsidRPr="005629FB">
        <w:rPr>
          <w:rFonts w:ascii="Palatino Linotype" w:eastAsia="Palatino Linotype" w:hAnsi="Palatino Linotype" w:cs="Palatino Linotype"/>
        </w:rPr>
        <w:t xml:space="preserve">En resumen, el </w:t>
      </w:r>
      <w:r w:rsidRPr="005629FB">
        <w:rPr>
          <w:rFonts w:ascii="Palatino Linotype" w:eastAsia="Palatino Linotype" w:hAnsi="Palatino Linotype" w:cs="Palatino Linotype"/>
          <w:b/>
        </w:rPr>
        <w:t>SUJETO OBLIGADO</w:t>
      </w:r>
      <w:r w:rsidRPr="005629FB">
        <w:rPr>
          <w:rFonts w:ascii="Palatino Linotype" w:eastAsia="Palatino Linotype" w:hAnsi="Palatino Linotype" w:cs="Palatino Linotype"/>
        </w:rPr>
        <w:t xml:space="preserve"> dio respuesta completa a la solicitud de acceso a la información pública de la parte </w:t>
      </w:r>
      <w:r w:rsidRPr="005629FB">
        <w:rPr>
          <w:rFonts w:ascii="Palatino Linotype" w:eastAsia="Palatino Linotype" w:hAnsi="Palatino Linotype" w:cs="Palatino Linotype"/>
          <w:b/>
        </w:rPr>
        <w:t>RECURRENTE</w:t>
      </w:r>
      <w:r w:rsidRPr="005629FB">
        <w:rPr>
          <w:rFonts w:ascii="Palatino Linotype" w:eastAsia="Palatino Linotype" w:hAnsi="Palatino Linotype" w:cs="Palatino Linotype"/>
        </w:rPr>
        <w:t xml:space="preserve">; aunque ello haya sido de manera posterior a su respuesta inicial; dejando con ello sin materia el presente recurso de revisión, actualizándose entonces la causal prevista en la fracción III del artículo 192 de la Ley de la Materia vigente en la Entidad, antes transcrita. </w:t>
      </w:r>
    </w:p>
    <w:p w14:paraId="39999251" w14:textId="77777777" w:rsidR="00C67147" w:rsidRPr="005629FB" w:rsidRDefault="007E21D8">
      <w:pPr>
        <w:spacing w:before="240" w:after="240" w:line="360" w:lineRule="auto"/>
        <w:jc w:val="both"/>
        <w:rPr>
          <w:rFonts w:ascii="Palatino Linotype" w:eastAsia="Palatino Linotype" w:hAnsi="Palatino Linotype" w:cs="Palatino Linotype"/>
        </w:rPr>
      </w:pPr>
      <w:r w:rsidRPr="005629FB">
        <w:rPr>
          <w:rFonts w:ascii="Palatino Linotype" w:eastAsia="Palatino Linotype" w:hAnsi="Palatino Linotype" w:cs="Palatino Linotype"/>
        </w:rPr>
        <w:t xml:space="preserve">Siendo el </w:t>
      </w:r>
      <w:r w:rsidRPr="005629FB">
        <w:rPr>
          <w:rFonts w:ascii="Palatino Linotype" w:eastAsia="Palatino Linotype" w:hAnsi="Palatino Linotype" w:cs="Palatino Linotype"/>
          <w:i/>
        </w:rPr>
        <w:t>sobreseimiento</w:t>
      </w:r>
      <w:r w:rsidRPr="005629FB">
        <w:rPr>
          <w:rFonts w:ascii="Palatino Linotype" w:eastAsia="Palatino Linotype" w:hAnsi="Palatino Linotype" w:cs="Palatino Linotype"/>
        </w:rPr>
        <w:t xml:space="preserve"> un acto que da por terminado el procedimiento administrativo de impugnación sin resolver el fondo de la cuestión planteada, por presentarse causas que impiden a la autoridad referirse a lo sustancial de lo planteado por la parte </w:t>
      </w:r>
      <w:r w:rsidRPr="005629FB">
        <w:rPr>
          <w:rFonts w:ascii="Palatino Linotype" w:eastAsia="Palatino Linotype" w:hAnsi="Palatino Linotype" w:cs="Palatino Linotype"/>
          <w:b/>
        </w:rPr>
        <w:t>RECURRENTE</w:t>
      </w:r>
      <w:r w:rsidRPr="005629FB">
        <w:rPr>
          <w:rFonts w:ascii="Palatino Linotype" w:eastAsia="Palatino Linotype" w:hAnsi="Palatino Linotype" w:cs="Palatino Linotype"/>
        </w:rPr>
        <w:t xml:space="preserve">, los efectos del sobreseimiento son los dar </w:t>
      </w:r>
      <w:r w:rsidRPr="005629FB">
        <w:rPr>
          <w:rFonts w:ascii="Palatino Linotype" w:eastAsia="Palatino Linotype" w:hAnsi="Palatino Linotype" w:cs="Palatino Linotype"/>
        </w:rPr>
        <w:lastRenderedPageBreak/>
        <w:t>por concluido el recurso administrativo sin entrar al estudio de fondo del asunto de que se trate; lo anterior con apoyo en el criterio del Poder Judicial de la Federación con rubro:</w:t>
      </w:r>
    </w:p>
    <w:p w14:paraId="538EFB5A" w14:textId="77777777" w:rsidR="00C67147" w:rsidRPr="005629FB" w:rsidRDefault="007E21D8">
      <w:pPr>
        <w:spacing w:before="240"/>
        <w:ind w:left="567" w:right="567"/>
        <w:jc w:val="both"/>
        <w:rPr>
          <w:rFonts w:ascii="Palatino Linotype" w:eastAsia="Palatino Linotype" w:hAnsi="Palatino Linotype" w:cs="Palatino Linotype"/>
          <w:i/>
          <w:sz w:val="22"/>
          <w:szCs w:val="22"/>
        </w:rPr>
      </w:pPr>
      <w:r w:rsidRPr="005629FB">
        <w:rPr>
          <w:rFonts w:ascii="Palatino Linotype" w:eastAsia="Palatino Linotype" w:hAnsi="Palatino Linotype" w:cs="Palatino Linotype"/>
          <w:i/>
          <w:sz w:val="22"/>
          <w:szCs w:val="22"/>
        </w:rPr>
        <w:t>“</w:t>
      </w:r>
      <w:r w:rsidRPr="005629FB">
        <w:rPr>
          <w:rFonts w:ascii="Palatino Linotype" w:eastAsia="Palatino Linotype" w:hAnsi="Palatino Linotype" w:cs="Palatino Linotype"/>
          <w:b/>
          <w:i/>
          <w:sz w:val="22"/>
          <w:szCs w:val="22"/>
        </w:rPr>
        <w:t>SOBRESEIMIENTO, NO PERMITE ENTRAR AL ESTUDIO DE LAS CUESTIONES DE FONDO</w:t>
      </w:r>
      <w:r w:rsidRPr="005629FB">
        <w:rPr>
          <w:rFonts w:ascii="Palatino Linotype" w:eastAsia="Palatino Linotype" w:hAnsi="Palatino Linotype" w:cs="Palatino Linotype"/>
          <w:b/>
          <w:i/>
        </w:rPr>
        <w:t xml:space="preserve">. </w:t>
      </w:r>
      <w:r w:rsidRPr="005629FB">
        <w:rPr>
          <w:rFonts w:ascii="Palatino Linotype" w:eastAsia="Palatino Linotype" w:hAnsi="Palatino Linotype" w:cs="Palatino Linotype"/>
          <w:i/>
          <w:sz w:val="22"/>
          <w:szCs w:val="22"/>
        </w:rPr>
        <w:t xml:space="preserve">No causa agravio la sentencia que no se ocupa de los razonamientos tendientes a demostrar la inconstitucionalidad de los actos reclamados de las autoridades responsables, que constituyen el problema de fondo, si se decreta el sobreseimiento del juicio.” </w:t>
      </w:r>
    </w:p>
    <w:p w14:paraId="2F4D81F0" w14:textId="77777777" w:rsidR="00C67147" w:rsidRPr="005629FB" w:rsidRDefault="00C67147">
      <w:pPr>
        <w:ind w:left="567" w:right="567"/>
        <w:jc w:val="both"/>
        <w:rPr>
          <w:rFonts w:ascii="Palatino Linotype" w:eastAsia="Palatino Linotype" w:hAnsi="Palatino Linotype" w:cs="Palatino Linotype"/>
          <w:i/>
          <w:sz w:val="22"/>
          <w:szCs w:val="22"/>
        </w:rPr>
      </w:pPr>
    </w:p>
    <w:p w14:paraId="4B7EB0A6" w14:textId="77777777" w:rsidR="00C67147" w:rsidRPr="005629FB" w:rsidRDefault="007E21D8">
      <w:pPr>
        <w:spacing w:after="240" w:line="360" w:lineRule="auto"/>
        <w:jc w:val="both"/>
        <w:rPr>
          <w:rFonts w:ascii="Palatino Linotype" w:eastAsia="Palatino Linotype" w:hAnsi="Palatino Linotype" w:cs="Palatino Linotype"/>
        </w:rPr>
      </w:pPr>
      <w:r w:rsidRPr="005629FB">
        <w:rPr>
          <w:rFonts w:ascii="Palatino Linotype" w:eastAsia="Palatino Linotype" w:hAnsi="Palatino Linotype" w:cs="Palatino Linotype"/>
        </w:rPr>
        <w:t>Cabe destacar que la decisión de este órgano colegiado de sobreseer el recurso de revisión no implica una limitación o negación a la justicia, según lo ha establecido el Poder Judicial Federal, en el criterio que es aplicable por analogía, con rubro:</w:t>
      </w:r>
    </w:p>
    <w:p w14:paraId="564BAFB0" w14:textId="77777777" w:rsidR="00C67147" w:rsidRPr="005629FB" w:rsidRDefault="007E21D8">
      <w:pPr>
        <w:spacing w:before="240"/>
        <w:ind w:left="567" w:right="567"/>
        <w:jc w:val="both"/>
        <w:rPr>
          <w:rFonts w:ascii="Palatino Linotype" w:eastAsia="Palatino Linotype" w:hAnsi="Palatino Linotype" w:cs="Palatino Linotype"/>
          <w:i/>
          <w:sz w:val="22"/>
          <w:szCs w:val="22"/>
        </w:rPr>
      </w:pPr>
      <w:r w:rsidRPr="005629FB">
        <w:rPr>
          <w:rFonts w:ascii="Palatino Linotype" w:eastAsia="Palatino Linotype" w:hAnsi="Palatino Linotype" w:cs="Palatino Linotype"/>
        </w:rPr>
        <w:t xml:space="preserve"> </w:t>
      </w:r>
      <w:r w:rsidRPr="005629FB">
        <w:rPr>
          <w:rFonts w:ascii="Palatino Linotype" w:eastAsia="Palatino Linotype" w:hAnsi="Palatino Linotype" w:cs="Palatino Linotype"/>
          <w:i/>
          <w:sz w:val="22"/>
          <w:szCs w:val="22"/>
        </w:rPr>
        <w:t>“DESECHAMIENTO O SOBRESEIMIENTO EN EL JUICIO DE AMPARO. NO IMPLICA DENEGACIÓN DE JUSTICIA NI GENERA INSEGURIDAD JURÍDICA”</w:t>
      </w:r>
    </w:p>
    <w:p w14:paraId="309FD58B" w14:textId="77777777" w:rsidR="00C67147" w:rsidRPr="005629FB" w:rsidRDefault="007E21D8">
      <w:pPr>
        <w:ind w:left="567" w:right="567"/>
        <w:jc w:val="both"/>
        <w:rPr>
          <w:rFonts w:ascii="Palatino Linotype" w:eastAsia="Palatino Linotype" w:hAnsi="Palatino Linotype" w:cs="Palatino Linotype"/>
          <w:i/>
          <w:sz w:val="22"/>
          <w:szCs w:val="22"/>
        </w:rPr>
      </w:pPr>
      <w:r w:rsidRPr="005629FB">
        <w:rPr>
          <w:rFonts w:ascii="Palatino Linotype" w:eastAsia="Palatino Linotype" w:hAnsi="Palatino Linotype" w:cs="Palatino Linotype"/>
          <w:i/>
          <w:sz w:val="22"/>
          <w:szCs w:val="22"/>
        </w:rPr>
        <w:t>Cuerpo de la tesis: Cuando se desecha una demanda de amparo o se sobresee en el juicio, ello no implica denegar justicia ni genera inseguridad jurídica, ya que la obligación de los tribunales no es tramitar y resolver en el fondo todos los asuntos sometidos a su consideración en forma favorable a los intereses del solicitante, sino que se circunscribe a la posibilidad que tiene cualquier individuo de acudir ante los órganos jurisdiccionales, con su promoción (demanda), a la cual debe darse el trámite acorde a las formalidades rectoras del procedimiento respectivo, dentro de las cuales el legislador previó las causales de improcedencia y sobreseimiento. Así, cuando el juzgador o tribunal de amparo se funda en una de ellas para desechar o sobreseer en un juicio, imparte justicia, puesto que el acceso a ella no se ve menoscabado, sino que es efectivo, ni se deja en estado de indefensión al promovente, no obstante sea desfavorable, al no poder negar que se da respuesta a la petición de amparo, con independencia de que no comparta el sentido de la resolución, dado que de esa forma quien imparte justicia se pronuncia sobre la acción, diciendo así el derecho y permitiendo que impere el orden jurídico.” (Sic)</w:t>
      </w:r>
    </w:p>
    <w:p w14:paraId="7ED010D5" w14:textId="77777777" w:rsidR="00C67147" w:rsidRPr="005629FB" w:rsidRDefault="00C67147">
      <w:pPr>
        <w:ind w:left="567" w:right="567"/>
        <w:jc w:val="both"/>
        <w:rPr>
          <w:rFonts w:ascii="Palatino Linotype" w:eastAsia="Palatino Linotype" w:hAnsi="Palatino Linotype" w:cs="Palatino Linotype"/>
          <w:i/>
          <w:sz w:val="22"/>
          <w:szCs w:val="22"/>
        </w:rPr>
      </w:pPr>
    </w:p>
    <w:p w14:paraId="0F22A555" w14:textId="77777777" w:rsidR="00C67147" w:rsidRPr="005629FB" w:rsidRDefault="007E21D8">
      <w:pPr>
        <w:spacing w:after="240" w:line="360" w:lineRule="auto"/>
        <w:jc w:val="both"/>
        <w:rPr>
          <w:rFonts w:ascii="Palatino Linotype" w:eastAsia="Palatino Linotype" w:hAnsi="Palatino Linotype" w:cs="Palatino Linotype"/>
        </w:rPr>
      </w:pPr>
      <w:r w:rsidRPr="005629FB">
        <w:rPr>
          <w:rFonts w:ascii="Palatino Linotype" w:eastAsia="Palatino Linotype" w:hAnsi="Palatino Linotype" w:cs="Palatino Linotype"/>
        </w:rPr>
        <w:t xml:space="preserve">Así, con fundamento en lo prescrito en los artículos 5 párrafos trigésimo segundo, trigésimo tercero y trigésimo cuarto de la Constitución Política del Estado Libre y Soberano de México; 2, fracción II; 29, 36 fracciones I y II; 176, 178, 181, 185 y 186 </w:t>
      </w:r>
      <w:r w:rsidRPr="005629FB">
        <w:rPr>
          <w:rFonts w:ascii="Palatino Linotype" w:eastAsia="Palatino Linotype" w:hAnsi="Palatino Linotype" w:cs="Palatino Linotype"/>
        </w:rPr>
        <w:lastRenderedPageBreak/>
        <w:t>fracción II de la Ley de Transparencia y Acceso a la Información Pública del Estado de México y Municipios, este Pleno:</w:t>
      </w:r>
    </w:p>
    <w:p w14:paraId="3F2D5B5C" w14:textId="77777777" w:rsidR="00C67147" w:rsidRPr="005629FB" w:rsidRDefault="007E21D8">
      <w:pPr>
        <w:spacing w:before="240" w:line="360" w:lineRule="auto"/>
        <w:ind w:left="360"/>
        <w:jc w:val="center"/>
        <w:rPr>
          <w:rFonts w:ascii="Palatino Linotype" w:eastAsia="Palatino Linotype" w:hAnsi="Palatino Linotype" w:cs="Palatino Linotype"/>
          <w:b/>
        </w:rPr>
      </w:pPr>
      <w:r w:rsidRPr="005629FB">
        <w:rPr>
          <w:rFonts w:ascii="Palatino Linotype" w:eastAsia="Palatino Linotype" w:hAnsi="Palatino Linotype" w:cs="Palatino Linotype"/>
          <w:b/>
        </w:rPr>
        <w:t>III.R E S U E L V E:</w:t>
      </w:r>
    </w:p>
    <w:p w14:paraId="4A16BC14" w14:textId="77777777" w:rsidR="00C67147" w:rsidRPr="005629FB" w:rsidRDefault="007E21D8">
      <w:pPr>
        <w:pBdr>
          <w:top w:val="nil"/>
          <w:left w:val="nil"/>
          <w:bottom w:val="nil"/>
          <w:right w:val="nil"/>
          <w:between w:val="nil"/>
        </w:pBdr>
        <w:spacing w:before="280" w:after="280" w:line="360" w:lineRule="auto"/>
        <w:jc w:val="both"/>
        <w:rPr>
          <w:rFonts w:ascii="Palatino Linotype" w:eastAsia="Palatino Linotype" w:hAnsi="Palatino Linotype" w:cs="Palatino Linotype"/>
        </w:rPr>
      </w:pPr>
      <w:r w:rsidRPr="005629FB">
        <w:rPr>
          <w:rFonts w:ascii="Palatino Linotype" w:eastAsia="Palatino Linotype" w:hAnsi="Palatino Linotype" w:cs="Palatino Linotype"/>
          <w:b/>
        </w:rPr>
        <w:t>Primero</w:t>
      </w:r>
      <w:r w:rsidRPr="005629FB">
        <w:rPr>
          <w:rFonts w:ascii="Palatino Linotype" w:eastAsia="Palatino Linotype" w:hAnsi="Palatino Linotype" w:cs="Palatino Linotype"/>
        </w:rPr>
        <w:t xml:space="preserve">. Se </w:t>
      </w:r>
      <w:r w:rsidRPr="005629FB">
        <w:rPr>
          <w:rFonts w:ascii="Palatino Linotype" w:eastAsia="Palatino Linotype" w:hAnsi="Palatino Linotype" w:cs="Palatino Linotype"/>
          <w:b/>
        </w:rPr>
        <w:t>SOBRESEE</w:t>
      </w:r>
      <w:r w:rsidRPr="005629FB">
        <w:rPr>
          <w:rFonts w:ascii="Palatino Linotype" w:eastAsia="Palatino Linotype" w:hAnsi="Palatino Linotype" w:cs="Palatino Linotype"/>
        </w:rPr>
        <w:t xml:space="preserve"> el recurso de revisión número </w:t>
      </w:r>
      <w:r w:rsidRPr="005629FB">
        <w:rPr>
          <w:rFonts w:ascii="Palatino Linotype" w:eastAsia="Palatino Linotype" w:hAnsi="Palatino Linotype" w:cs="Palatino Linotype"/>
          <w:b/>
        </w:rPr>
        <w:t>03999/INFOEM/IP/RR/2023,</w:t>
      </w:r>
      <w:r w:rsidRPr="005629FB">
        <w:rPr>
          <w:rFonts w:ascii="Palatino Linotype" w:eastAsia="Palatino Linotype" w:hAnsi="Palatino Linotype" w:cs="Palatino Linotype"/>
        </w:rPr>
        <w:t xml:space="preserve"> porque al </w:t>
      </w:r>
      <w:r w:rsidRPr="005629FB">
        <w:rPr>
          <w:rFonts w:ascii="Palatino Linotype" w:eastAsia="Palatino Linotype" w:hAnsi="Palatino Linotype" w:cs="Palatino Linotype"/>
          <w:b/>
        </w:rPr>
        <w:t>modificar la respuesta</w:t>
      </w:r>
      <w:r w:rsidRPr="005629FB">
        <w:rPr>
          <w:rFonts w:ascii="Palatino Linotype" w:eastAsia="Palatino Linotype" w:hAnsi="Palatino Linotype" w:cs="Palatino Linotype"/>
        </w:rPr>
        <w:t xml:space="preserve"> se actualizó la causal prevista en el artículo 192, fracción III, de la Ley de Transparencia y Acceso a la Información Pública del Estado de México y Municipios, quedando sin materia en términos del considerando </w:t>
      </w:r>
      <w:r w:rsidRPr="005629FB">
        <w:rPr>
          <w:rFonts w:ascii="Palatino Linotype" w:eastAsia="Palatino Linotype" w:hAnsi="Palatino Linotype" w:cs="Palatino Linotype"/>
          <w:i/>
        </w:rPr>
        <w:t xml:space="preserve">Tercero </w:t>
      </w:r>
      <w:r w:rsidRPr="005629FB">
        <w:rPr>
          <w:rFonts w:ascii="Palatino Linotype" w:eastAsia="Palatino Linotype" w:hAnsi="Palatino Linotype" w:cs="Palatino Linotype"/>
        </w:rPr>
        <w:t>de la presente Resolución.</w:t>
      </w:r>
    </w:p>
    <w:p w14:paraId="653A1511" w14:textId="77777777" w:rsidR="00C67147" w:rsidRPr="005629FB" w:rsidRDefault="007E21D8">
      <w:pPr>
        <w:spacing w:line="360" w:lineRule="auto"/>
        <w:jc w:val="both"/>
        <w:rPr>
          <w:rFonts w:ascii="Palatino Linotype" w:eastAsia="Palatino Linotype" w:hAnsi="Palatino Linotype" w:cs="Palatino Linotype"/>
        </w:rPr>
      </w:pPr>
      <w:r w:rsidRPr="005629FB">
        <w:rPr>
          <w:rFonts w:ascii="Palatino Linotype" w:eastAsia="Palatino Linotype" w:hAnsi="Palatino Linotype" w:cs="Palatino Linotype"/>
          <w:b/>
        </w:rPr>
        <w:t xml:space="preserve">Segundo. Notifíquese vía </w:t>
      </w:r>
      <w:r w:rsidRPr="005629FB">
        <w:rPr>
          <w:rFonts w:ascii="Palatino Linotype" w:eastAsia="Palatino Linotype" w:hAnsi="Palatino Linotype" w:cs="Palatino Linotype"/>
        </w:rPr>
        <w:t>Sistema de Acceso a la Información Mexiquense (</w:t>
      </w:r>
      <w:r w:rsidRPr="005629FB">
        <w:rPr>
          <w:rFonts w:ascii="Palatino Linotype" w:eastAsia="Palatino Linotype" w:hAnsi="Palatino Linotype" w:cs="Palatino Linotype"/>
          <w:b/>
        </w:rPr>
        <w:t>SAIMEX)</w:t>
      </w:r>
      <w:r w:rsidRPr="005629FB">
        <w:rPr>
          <w:rFonts w:ascii="Palatino Linotype" w:eastAsia="Palatino Linotype" w:hAnsi="Palatino Linotype" w:cs="Palatino Linotype"/>
          <w:b/>
          <w:i/>
        </w:rPr>
        <w:t xml:space="preserve">, </w:t>
      </w:r>
      <w:r w:rsidRPr="005629FB">
        <w:rPr>
          <w:rFonts w:ascii="Palatino Linotype" w:eastAsia="Palatino Linotype" w:hAnsi="Palatino Linotype" w:cs="Palatino Linotype"/>
        </w:rPr>
        <w:t xml:space="preserve">al Titular de la Unidad de Transparencia del </w:t>
      </w:r>
      <w:r w:rsidRPr="005629FB">
        <w:rPr>
          <w:rFonts w:ascii="Palatino Linotype" w:eastAsia="Palatino Linotype" w:hAnsi="Palatino Linotype" w:cs="Palatino Linotype"/>
          <w:b/>
        </w:rPr>
        <w:t>SUJETO OBLIGADO</w:t>
      </w:r>
      <w:r w:rsidRPr="005629FB">
        <w:rPr>
          <w:rFonts w:ascii="Palatino Linotype" w:eastAsia="Palatino Linotype" w:hAnsi="Palatino Linotype" w:cs="Palatino Linotype"/>
        </w:rPr>
        <w:t xml:space="preserve"> la presente resolución, para su conocimiento. </w:t>
      </w:r>
    </w:p>
    <w:p w14:paraId="00472A29" w14:textId="77777777" w:rsidR="00C67147" w:rsidRPr="005629FB" w:rsidRDefault="00C67147">
      <w:pPr>
        <w:spacing w:line="360" w:lineRule="auto"/>
        <w:jc w:val="both"/>
        <w:rPr>
          <w:rFonts w:ascii="Palatino Linotype" w:eastAsia="Palatino Linotype" w:hAnsi="Palatino Linotype" w:cs="Palatino Linotype"/>
        </w:rPr>
      </w:pPr>
    </w:p>
    <w:p w14:paraId="45291979" w14:textId="77777777" w:rsidR="00C67147" w:rsidRPr="005629FB" w:rsidRDefault="007E21D8">
      <w:pPr>
        <w:spacing w:after="240" w:line="360" w:lineRule="auto"/>
        <w:jc w:val="both"/>
        <w:rPr>
          <w:rFonts w:ascii="Palatino Linotype" w:eastAsia="Palatino Linotype" w:hAnsi="Palatino Linotype" w:cs="Palatino Linotype"/>
        </w:rPr>
      </w:pPr>
      <w:r w:rsidRPr="005629FB">
        <w:rPr>
          <w:rFonts w:ascii="Palatino Linotype" w:eastAsia="Palatino Linotype" w:hAnsi="Palatino Linotype" w:cs="Palatino Linotype"/>
          <w:b/>
        </w:rPr>
        <w:t xml:space="preserve">Tercero. Notifíquese a través </w:t>
      </w:r>
      <w:r w:rsidRPr="005629FB">
        <w:rPr>
          <w:rFonts w:ascii="Palatino Linotype" w:eastAsia="Palatino Linotype" w:hAnsi="Palatino Linotype" w:cs="Palatino Linotype"/>
        </w:rPr>
        <w:t xml:space="preserve">del Sistema de Acceso a la Información Mexiquense a la parte </w:t>
      </w:r>
      <w:r w:rsidRPr="005629FB">
        <w:rPr>
          <w:rFonts w:ascii="Palatino Linotype" w:eastAsia="Palatino Linotype" w:hAnsi="Palatino Linotype" w:cs="Palatino Linotype"/>
          <w:b/>
        </w:rPr>
        <w:t>RECURRENTE,</w:t>
      </w:r>
      <w:r w:rsidRPr="005629FB">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podrá impugnarla en la vía Juicio de Amparo en los términos de las leyes aplicables.</w:t>
      </w:r>
    </w:p>
    <w:p w14:paraId="54C301BC" w14:textId="77777777" w:rsidR="00C67147" w:rsidRDefault="007E21D8">
      <w:pPr>
        <w:spacing w:before="240" w:after="240" w:line="360" w:lineRule="auto"/>
        <w:jc w:val="both"/>
        <w:rPr>
          <w:rFonts w:ascii="Palatino Linotype" w:eastAsia="Palatino Linotype" w:hAnsi="Palatino Linotype" w:cs="Palatino Linotype"/>
        </w:rPr>
      </w:pPr>
      <w:bookmarkStart w:id="3" w:name="_heading=h.3znysh7" w:colFirst="0" w:colLast="0"/>
      <w:bookmarkEnd w:id="3"/>
      <w:r w:rsidRPr="005629FB">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w:t>
      </w:r>
      <w:r w:rsidRPr="005629FB">
        <w:rPr>
          <w:rFonts w:ascii="Palatino Linotype" w:eastAsia="Palatino Linotype" w:hAnsi="Palatino Linotype" w:cs="Palatino Linotype"/>
        </w:rPr>
        <w:lastRenderedPageBreak/>
        <w:t xml:space="preserve">MORALES MARTÍNEZ, LUIS GUSTAVO PARRA NORIEGA Y GUADALUPE RAMÍREZ PEÑA; EN LA CUADRAGÉSIMA SESIÓN ORDINARIA CELEBRADA EL OCHO DE NOVIEMBRE DE DOS MIL VEINTITRÉS, ANTE EL SECRETARIO TÉCNICO DEL PLENO ALEXIS TAPIA RAMÍREZ. </w:t>
      </w:r>
    </w:p>
    <w:p w14:paraId="58267C29" w14:textId="77777777" w:rsidR="003A5321" w:rsidRDefault="003A532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val="es-MX"/>
        </w:rPr>
        <mc:AlternateContent>
          <mc:Choice Requires="wps">
            <w:drawing>
              <wp:anchor distT="0" distB="0" distL="114300" distR="114300" simplePos="0" relativeHeight="251659264" behindDoc="0" locked="0" layoutInCell="1" allowOverlap="1" wp14:anchorId="6323AF0D" wp14:editId="6AFF6CBF">
                <wp:simplePos x="0" y="0"/>
                <wp:positionH relativeFrom="column">
                  <wp:posOffset>415290</wp:posOffset>
                </wp:positionH>
                <wp:positionV relativeFrom="paragraph">
                  <wp:posOffset>146049</wp:posOffset>
                </wp:positionV>
                <wp:extent cx="5238750" cy="5781675"/>
                <wp:effectExtent l="0" t="0" r="19050" b="28575"/>
                <wp:wrapNone/>
                <wp:docPr id="1" name="Conector recto 1"/>
                <wp:cNvGraphicFramePr/>
                <a:graphic xmlns:a="http://schemas.openxmlformats.org/drawingml/2006/main">
                  <a:graphicData uri="http://schemas.microsoft.com/office/word/2010/wordprocessingShape">
                    <wps:wsp>
                      <wps:cNvCnPr/>
                      <wps:spPr>
                        <a:xfrm>
                          <a:off x="0" y="0"/>
                          <a:ext cx="5238750" cy="5781675"/>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449C8DA8" id="Conector recto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2.7pt,11.5pt" to="445.2pt,46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" strokecolor="#f68c36 [3049]"/>
            </w:pict>
          </mc:Fallback>
        </mc:AlternateContent>
      </w:r>
    </w:p>
    <w:p w14:paraId="57761C31" w14:textId="77777777" w:rsidR="003A5321" w:rsidRDefault="003A5321">
      <w:pPr>
        <w:spacing w:before="240" w:after="240" w:line="360" w:lineRule="auto"/>
        <w:jc w:val="both"/>
        <w:rPr>
          <w:rFonts w:ascii="Palatino Linotype" w:eastAsia="Palatino Linotype" w:hAnsi="Palatino Linotype" w:cs="Palatino Linotype"/>
        </w:rPr>
      </w:pPr>
    </w:p>
    <w:p w14:paraId="692461D5" w14:textId="77777777" w:rsidR="003A5321" w:rsidRDefault="003A5321">
      <w:pPr>
        <w:spacing w:before="240" w:after="240" w:line="360" w:lineRule="auto"/>
        <w:jc w:val="both"/>
        <w:rPr>
          <w:rFonts w:ascii="Palatino Linotype" w:eastAsia="Palatino Linotype" w:hAnsi="Palatino Linotype" w:cs="Palatino Linotype"/>
        </w:rPr>
      </w:pPr>
    </w:p>
    <w:p w14:paraId="33CA2702" w14:textId="77777777" w:rsidR="003A5321" w:rsidRDefault="003A5321">
      <w:pPr>
        <w:spacing w:before="240" w:after="240" w:line="360" w:lineRule="auto"/>
        <w:jc w:val="both"/>
        <w:rPr>
          <w:rFonts w:ascii="Palatino Linotype" w:eastAsia="Palatino Linotype" w:hAnsi="Palatino Linotype" w:cs="Palatino Linotype"/>
        </w:rPr>
      </w:pPr>
    </w:p>
    <w:p w14:paraId="6D475084" w14:textId="77777777" w:rsidR="003A5321" w:rsidRDefault="003A5321">
      <w:pPr>
        <w:spacing w:before="240" w:after="240" w:line="360" w:lineRule="auto"/>
        <w:jc w:val="both"/>
        <w:rPr>
          <w:rFonts w:ascii="Palatino Linotype" w:eastAsia="Palatino Linotype" w:hAnsi="Palatino Linotype" w:cs="Palatino Linotype"/>
        </w:rPr>
      </w:pPr>
    </w:p>
    <w:p w14:paraId="63E8BB28" w14:textId="77777777" w:rsidR="003A5321" w:rsidRDefault="003A5321">
      <w:pPr>
        <w:spacing w:before="240" w:after="240" w:line="360" w:lineRule="auto"/>
        <w:jc w:val="both"/>
        <w:rPr>
          <w:rFonts w:ascii="Palatino Linotype" w:eastAsia="Palatino Linotype" w:hAnsi="Palatino Linotype" w:cs="Palatino Linotype"/>
        </w:rPr>
      </w:pPr>
    </w:p>
    <w:p w14:paraId="7260DA40" w14:textId="77777777" w:rsidR="003A5321" w:rsidRDefault="003A5321">
      <w:pPr>
        <w:spacing w:before="240" w:after="240" w:line="360" w:lineRule="auto"/>
        <w:jc w:val="both"/>
        <w:rPr>
          <w:rFonts w:ascii="Palatino Linotype" w:eastAsia="Palatino Linotype" w:hAnsi="Palatino Linotype" w:cs="Palatino Linotype"/>
        </w:rPr>
      </w:pPr>
    </w:p>
    <w:p w14:paraId="08A1B899" w14:textId="77777777" w:rsidR="003A5321" w:rsidRDefault="003A5321">
      <w:pPr>
        <w:spacing w:before="240" w:after="240" w:line="360" w:lineRule="auto"/>
        <w:jc w:val="both"/>
        <w:rPr>
          <w:rFonts w:ascii="Palatino Linotype" w:eastAsia="Palatino Linotype" w:hAnsi="Palatino Linotype" w:cs="Palatino Linotype"/>
        </w:rPr>
      </w:pPr>
    </w:p>
    <w:p w14:paraId="3F337610" w14:textId="77777777" w:rsidR="003A5321" w:rsidRDefault="003A5321">
      <w:pPr>
        <w:spacing w:before="240" w:after="240" w:line="360" w:lineRule="auto"/>
        <w:jc w:val="both"/>
        <w:rPr>
          <w:rFonts w:ascii="Palatino Linotype" w:eastAsia="Palatino Linotype" w:hAnsi="Palatino Linotype" w:cs="Palatino Linotype"/>
        </w:rPr>
      </w:pPr>
    </w:p>
    <w:p w14:paraId="34450B4C" w14:textId="77777777" w:rsidR="003A5321" w:rsidRDefault="003A5321">
      <w:pPr>
        <w:spacing w:before="240" w:after="240" w:line="360" w:lineRule="auto"/>
        <w:jc w:val="both"/>
        <w:rPr>
          <w:rFonts w:ascii="Palatino Linotype" w:eastAsia="Palatino Linotype" w:hAnsi="Palatino Linotype" w:cs="Palatino Linotype"/>
        </w:rPr>
      </w:pPr>
    </w:p>
    <w:p w14:paraId="57CF2106" w14:textId="77777777" w:rsidR="003A5321" w:rsidRDefault="003A5321">
      <w:pPr>
        <w:spacing w:before="240" w:after="240" w:line="360" w:lineRule="auto"/>
        <w:jc w:val="both"/>
        <w:rPr>
          <w:rFonts w:ascii="Palatino Linotype" w:eastAsia="Palatino Linotype" w:hAnsi="Palatino Linotype" w:cs="Palatino Linotype"/>
        </w:rPr>
      </w:pPr>
    </w:p>
    <w:p w14:paraId="4032C8C8" w14:textId="77777777" w:rsidR="003A5321" w:rsidRDefault="003A5321">
      <w:pPr>
        <w:spacing w:before="240" w:after="240" w:line="360" w:lineRule="auto"/>
        <w:jc w:val="both"/>
        <w:rPr>
          <w:rFonts w:ascii="Palatino Linotype" w:eastAsia="Palatino Linotype" w:hAnsi="Palatino Linotype" w:cs="Palatino Linotype"/>
        </w:rPr>
      </w:pPr>
    </w:p>
    <w:p w14:paraId="774D862E" w14:textId="77777777" w:rsidR="003A5321" w:rsidRDefault="003A5321">
      <w:pPr>
        <w:spacing w:before="240" w:after="240" w:line="360" w:lineRule="auto"/>
        <w:jc w:val="both"/>
        <w:rPr>
          <w:rFonts w:ascii="Palatino Linotype" w:eastAsia="Palatino Linotype" w:hAnsi="Palatino Linotype" w:cs="Palatino Linotype"/>
        </w:rPr>
      </w:pPr>
    </w:p>
    <w:p w14:paraId="742197A2" w14:textId="77777777" w:rsidR="003A5321" w:rsidRDefault="003A5321">
      <w:pPr>
        <w:spacing w:before="240" w:after="240" w:line="360" w:lineRule="auto"/>
        <w:jc w:val="both"/>
        <w:rPr>
          <w:rFonts w:ascii="Palatino Linotype" w:eastAsia="Palatino Linotype" w:hAnsi="Palatino Linotype" w:cs="Palatino Linotype"/>
        </w:rPr>
      </w:pPr>
    </w:p>
    <w:p w14:paraId="47C304AF" w14:textId="77777777" w:rsidR="003A5321" w:rsidRDefault="003A5321">
      <w:pPr>
        <w:spacing w:before="240" w:after="240" w:line="360" w:lineRule="auto"/>
        <w:jc w:val="both"/>
        <w:rPr>
          <w:rFonts w:ascii="Palatino Linotype" w:eastAsia="Palatino Linotype" w:hAnsi="Palatino Linotype" w:cs="Palatino Linotype"/>
        </w:rPr>
      </w:pPr>
    </w:p>
    <w:p w14:paraId="1F977788" w14:textId="77777777" w:rsidR="003A5321" w:rsidRDefault="003A5321">
      <w:pPr>
        <w:spacing w:before="240" w:after="240" w:line="360" w:lineRule="auto"/>
        <w:jc w:val="both"/>
        <w:rPr>
          <w:rFonts w:ascii="Palatino Linotype" w:eastAsia="Palatino Linotype" w:hAnsi="Palatino Linotype" w:cs="Palatino Linotype"/>
        </w:rPr>
      </w:pPr>
    </w:p>
    <w:p w14:paraId="10D15A9A" w14:textId="77777777" w:rsidR="003A5321" w:rsidRDefault="003A5321">
      <w:pPr>
        <w:spacing w:before="240" w:after="240" w:line="360" w:lineRule="auto"/>
        <w:jc w:val="both"/>
        <w:rPr>
          <w:rFonts w:ascii="Palatino Linotype" w:eastAsia="Palatino Linotype" w:hAnsi="Palatino Linotype" w:cs="Palatino Linotype"/>
        </w:rPr>
      </w:pPr>
    </w:p>
    <w:p w14:paraId="4A8D7048" w14:textId="77777777" w:rsidR="003A5321" w:rsidRDefault="003A5321">
      <w:pPr>
        <w:spacing w:before="240" w:after="240" w:line="360" w:lineRule="auto"/>
        <w:jc w:val="both"/>
        <w:rPr>
          <w:rFonts w:ascii="Palatino Linotype" w:eastAsia="Palatino Linotype" w:hAnsi="Palatino Linotype" w:cs="Palatino Linotype"/>
        </w:rPr>
      </w:pPr>
    </w:p>
    <w:p w14:paraId="2F1945AF" w14:textId="77777777" w:rsidR="003A5321" w:rsidRDefault="003A5321">
      <w:pPr>
        <w:spacing w:before="240" w:after="240" w:line="360" w:lineRule="auto"/>
        <w:jc w:val="both"/>
        <w:rPr>
          <w:rFonts w:ascii="Palatino Linotype" w:eastAsia="Palatino Linotype" w:hAnsi="Palatino Linotype" w:cs="Palatino Linotype"/>
        </w:rPr>
      </w:pPr>
    </w:p>
    <w:p w14:paraId="77932802" w14:textId="77777777" w:rsidR="003A5321" w:rsidRPr="005629FB" w:rsidRDefault="003A5321">
      <w:pPr>
        <w:spacing w:before="240" w:after="240" w:line="360" w:lineRule="auto"/>
        <w:jc w:val="both"/>
        <w:rPr>
          <w:rFonts w:ascii="Palatino Linotype" w:eastAsia="Palatino Linotype" w:hAnsi="Palatino Linotype" w:cs="Palatino Linotype"/>
        </w:rPr>
      </w:pPr>
    </w:p>
    <w:sectPr w:rsidR="003A5321" w:rsidRPr="005629FB">
      <w:headerReference w:type="default" r:id="rId16"/>
      <w:footerReference w:type="default" r:id="rId17"/>
      <w:headerReference w:type="first" r:id="rId18"/>
      <w:footerReference w:type="first" r:id="rId19"/>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BBCD42" w14:textId="77777777" w:rsidR="004C0D2C" w:rsidRDefault="004C0D2C">
      <w:r>
        <w:separator/>
      </w:r>
    </w:p>
  </w:endnote>
  <w:endnote w:type="continuationSeparator" w:id="0">
    <w:p w14:paraId="72F3DC7F" w14:textId="77777777" w:rsidR="004C0D2C" w:rsidRDefault="004C0D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86B9D5" w14:textId="77777777" w:rsidR="00C67147" w:rsidRDefault="007E21D8">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906A23">
      <w:rPr>
        <w:rFonts w:ascii="Palatino Linotype" w:eastAsia="Palatino Linotype" w:hAnsi="Palatino Linotype" w:cs="Palatino Linotype"/>
        <w:b/>
        <w:noProof/>
        <w:color w:val="000000"/>
        <w:sz w:val="20"/>
        <w:szCs w:val="20"/>
      </w:rPr>
      <w:t>27</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906A23">
      <w:rPr>
        <w:rFonts w:ascii="Palatino Linotype" w:eastAsia="Palatino Linotype" w:hAnsi="Palatino Linotype" w:cs="Palatino Linotype"/>
        <w:b/>
        <w:noProof/>
        <w:color w:val="000000"/>
        <w:sz w:val="20"/>
        <w:szCs w:val="20"/>
      </w:rPr>
      <w:t>27</w:t>
    </w:r>
    <w:r>
      <w:rPr>
        <w:rFonts w:ascii="Palatino Linotype" w:eastAsia="Palatino Linotype" w:hAnsi="Palatino Linotype" w:cs="Palatino Linotype"/>
        <w:b/>
        <w:color w:val="000000"/>
        <w:sz w:val="20"/>
        <w:szCs w:val="20"/>
      </w:rPr>
      <w:fldChar w:fldCharType="end"/>
    </w:r>
  </w:p>
  <w:p w14:paraId="7494053B" w14:textId="77777777" w:rsidR="00C67147" w:rsidRDefault="00C67147">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6A29C4" w14:textId="77777777" w:rsidR="00C67147" w:rsidRDefault="007E21D8">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906A23">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906A23">
      <w:rPr>
        <w:rFonts w:ascii="Palatino Linotype" w:eastAsia="Palatino Linotype" w:hAnsi="Palatino Linotype" w:cs="Palatino Linotype"/>
        <w:b/>
        <w:noProof/>
        <w:color w:val="000000"/>
        <w:sz w:val="20"/>
        <w:szCs w:val="20"/>
      </w:rPr>
      <w:t>27</w:t>
    </w:r>
    <w:r>
      <w:rPr>
        <w:rFonts w:ascii="Palatino Linotype" w:eastAsia="Palatino Linotype" w:hAnsi="Palatino Linotype" w:cs="Palatino Linotype"/>
        <w:b/>
        <w:color w:val="000000"/>
        <w:sz w:val="20"/>
        <w:szCs w:val="20"/>
      </w:rPr>
      <w:fldChar w:fldCharType="end"/>
    </w:r>
  </w:p>
  <w:p w14:paraId="44D110B4" w14:textId="77777777" w:rsidR="00C67147" w:rsidRDefault="00C67147">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FBD239" w14:textId="77777777" w:rsidR="004C0D2C" w:rsidRDefault="004C0D2C">
      <w:r>
        <w:separator/>
      </w:r>
    </w:p>
  </w:footnote>
  <w:footnote w:type="continuationSeparator" w:id="0">
    <w:p w14:paraId="37FF7CD7" w14:textId="77777777" w:rsidR="004C0D2C" w:rsidRDefault="004C0D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96B95" w14:textId="77777777" w:rsidR="00C67147" w:rsidRDefault="007E21D8">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noProof/>
        <w:lang w:val="es-MX"/>
      </w:rPr>
      <w:drawing>
        <wp:anchor distT="0" distB="0" distL="0" distR="0" simplePos="0" relativeHeight="251658240" behindDoc="1" locked="0" layoutInCell="1" hidden="0" allowOverlap="1" wp14:anchorId="09BCA5BA" wp14:editId="252E8300">
          <wp:simplePos x="0" y="0"/>
          <wp:positionH relativeFrom="column">
            <wp:posOffset>-1080130</wp:posOffset>
          </wp:positionH>
          <wp:positionV relativeFrom="paragraph">
            <wp:posOffset>-488310</wp:posOffset>
          </wp:positionV>
          <wp:extent cx="7809865" cy="10165715"/>
          <wp:effectExtent l="0" t="0" r="0" b="0"/>
          <wp:wrapNone/>
          <wp:docPr id="14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a"/>
      <w:tblW w:w="5953" w:type="dxa"/>
      <w:tblInd w:w="3261" w:type="dxa"/>
      <w:tblLayout w:type="fixed"/>
      <w:tblLook w:val="0400" w:firstRow="0" w:lastRow="0" w:firstColumn="0" w:lastColumn="0" w:noHBand="0" w:noVBand="1"/>
    </w:tblPr>
    <w:tblGrid>
      <w:gridCol w:w="2489"/>
      <w:gridCol w:w="3464"/>
    </w:tblGrid>
    <w:tr w:rsidR="00C67147" w14:paraId="38F562CF" w14:textId="77777777">
      <w:tc>
        <w:tcPr>
          <w:tcW w:w="2489" w:type="dxa"/>
          <w:shd w:val="clear" w:color="auto" w:fill="auto"/>
        </w:tcPr>
        <w:p w14:paraId="78A10971" w14:textId="77777777" w:rsidR="00C67147" w:rsidRDefault="007E21D8">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54F43DD8" w14:textId="77777777" w:rsidR="00C67147" w:rsidRDefault="007E21D8">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03999/INFOEM/IP/RR/2023</w:t>
          </w:r>
        </w:p>
      </w:tc>
    </w:tr>
    <w:tr w:rsidR="00C67147" w14:paraId="51111E33" w14:textId="77777777">
      <w:trPr>
        <w:trHeight w:val="228"/>
      </w:trPr>
      <w:tc>
        <w:tcPr>
          <w:tcW w:w="2489" w:type="dxa"/>
          <w:shd w:val="clear" w:color="auto" w:fill="auto"/>
          <w:vAlign w:val="center"/>
        </w:tcPr>
        <w:p w14:paraId="38DC62C9" w14:textId="77777777" w:rsidR="00C67147" w:rsidRDefault="007E21D8">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79C68CB6" w14:textId="77777777" w:rsidR="00C67147" w:rsidRDefault="007E21D8">
          <w:pPr>
            <w:ind w:right="310"/>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Poder Judicial.</w:t>
          </w:r>
        </w:p>
      </w:tc>
    </w:tr>
    <w:tr w:rsidR="00C67147" w14:paraId="3A83BC0D" w14:textId="77777777">
      <w:tc>
        <w:tcPr>
          <w:tcW w:w="2489" w:type="dxa"/>
          <w:shd w:val="clear" w:color="auto" w:fill="auto"/>
          <w:vAlign w:val="center"/>
        </w:tcPr>
        <w:p w14:paraId="18C05C94" w14:textId="77777777" w:rsidR="00C67147" w:rsidRDefault="007E21D8">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26AC4946" w14:textId="77777777" w:rsidR="00C67147" w:rsidRDefault="007E21D8">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6AD20C59" w14:textId="77777777" w:rsidR="00C67147" w:rsidRDefault="007E21D8">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F628D9" w14:textId="77777777" w:rsidR="00C67147" w:rsidRDefault="00C67147">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p>
  <w:tbl>
    <w:tblPr>
      <w:tblStyle w:val="a9"/>
      <w:tblW w:w="5528" w:type="dxa"/>
      <w:tblInd w:w="3261" w:type="dxa"/>
      <w:tblLayout w:type="fixed"/>
      <w:tblLook w:val="0400" w:firstRow="0" w:lastRow="0" w:firstColumn="0" w:lastColumn="0" w:noHBand="0" w:noVBand="1"/>
    </w:tblPr>
    <w:tblGrid>
      <w:gridCol w:w="2551"/>
      <w:gridCol w:w="2977"/>
    </w:tblGrid>
    <w:tr w:rsidR="00C67147" w14:paraId="4476E030" w14:textId="77777777">
      <w:tc>
        <w:tcPr>
          <w:tcW w:w="2551" w:type="dxa"/>
          <w:shd w:val="clear" w:color="auto" w:fill="auto"/>
          <w:vAlign w:val="center"/>
        </w:tcPr>
        <w:p w14:paraId="7989CC71" w14:textId="77777777" w:rsidR="00C67147" w:rsidRDefault="007E21D8">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2977" w:type="dxa"/>
          <w:shd w:val="clear" w:color="auto" w:fill="auto"/>
          <w:vAlign w:val="center"/>
        </w:tcPr>
        <w:p w14:paraId="3675136C" w14:textId="77777777" w:rsidR="00C67147" w:rsidRDefault="007E21D8">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03999/INFOEM/IP/RR/2023</w:t>
          </w:r>
        </w:p>
      </w:tc>
    </w:tr>
    <w:tr w:rsidR="00C67147" w14:paraId="208558FD" w14:textId="77777777">
      <w:trPr>
        <w:trHeight w:val="130"/>
      </w:trPr>
      <w:tc>
        <w:tcPr>
          <w:tcW w:w="2551" w:type="dxa"/>
          <w:shd w:val="clear" w:color="auto" w:fill="auto"/>
          <w:vAlign w:val="center"/>
        </w:tcPr>
        <w:p w14:paraId="1F8375FE" w14:textId="77777777" w:rsidR="00C67147" w:rsidRDefault="007E21D8">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2977" w:type="dxa"/>
          <w:shd w:val="clear" w:color="auto" w:fill="auto"/>
          <w:vAlign w:val="center"/>
        </w:tcPr>
        <w:p w14:paraId="115261F9" w14:textId="7B162998" w:rsidR="00C67147" w:rsidRDefault="001710E6">
          <w:pPr>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 XXXXXX XXXXXXXX</w:t>
          </w:r>
        </w:p>
      </w:tc>
    </w:tr>
    <w:tr w:rsidR="00C67147" w14:paraId="6F2FC95B" w14:textId="77777777">
      <w:trPr>
        <w:trHeight w:val="228"/>
      </w:trPr>
      <w:tc>
        <w:tcPr>
          <w:tcW w:w="2551" w:type="dxa"/>
          <w:shd w:val="clear" w:color="auto" w:fill="auto"/>
          <w:vAlign w:val="center"/>
        </w:tcPr>
        <w:p w14:paraId="36B398FC" w14:textId="77777777" w:rsidR="00C67147" w:rsidRDefault="007E21D8">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2977" w:type="dxa"/>
          <w:shd w:val="clear" w:color="auto" w:fill="auto"/>
          <w:vAlign w:val="center"/>
        </w:tcPr>
        <w:p w14:paraId="2300C26E" w14:textId="77777777" w:rsidR="00C67147" w:rsidRDefault="007E21D8">
          <w:pPr>
            <w:ind w:left="-45" w:right="-533"/>
            <w:jc w:val="both"/>
            <w:rPr>
              <w:rFonts w:ascii="Palatino Linotype" w:eastAsia="Palatino Linotype" w:hAnsi="Palatino Linotype" w:cs="Palatino Linotype"/>
              <w:b/>
              <w:strike/>
              <w:sz w:val="22"/>
              <w:szCs w:val="22"/>
            </w:rPr>
          </w:pPr>
          <w:r>
            <w:rPr>
              <w:rFonts w:ascii="Palatino Linotype" w:eastAsia="Palatino Linotype" w:hAnsi="Palatino Linotype" w:cs="Palatino Linotype"/>
              <w:b/>
              <w:sz w:val="22"/>
              <w:szCs w:val="22"/>
            </w:rPr>
            <w:t>Poder Judicial</w:t>
          </w:r>
        </w:p>
      </w:tc>
    </w:tr>
    <w:tr w:rsidR="00C67147" w14:paraId="22C8812B" w14:textId="77777777">
      <w:tc>
        <w:tcPr>
          <w:tcW w:w="2551" w:type="dxa"/>
          <w:shd w:val="clear" w:color="auto" w:fill="auto"/>
          <w:vAlign w:val="center"/>
        </w:tcPr>
        <w:p w14:paraId="174C8845" w14:textId="77777777" w:rsidR="00C67147" w:rsidRDefault="007E21D8">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2977" w:type="dxa"/>
          <w:shd w:val="clear" w:color="auto" w:fill="auto"/>
          <w:vAlign w:val="center"/>
        </w:tcPr>
        <w:p w14:paraId="6E147B3B" w14:textId="77777777" w:rsidR="00C67147" w:rsidRDefault="007E21D8">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0110167B" w14:textId="77777777" w:rsidR="00C67147" w:rsidRDefault="007E21D8">
    <w:pPr>
      <w:pBdr>
        <w:top w:val="nil"/>
        <w:left w:val="nil"/>
        <w:bottom w:val="nil"/>
        <w:right w:val="nil"/>
        <w:between w:val="nil"/>
      </w:pBdr>
      <w:tabs>
        <w:tab w:val="center" w:pos="4252"/>
        <w:tab w:val="right" w:pos="8504"/>
      </w:tabs>
      <w:rPr>
        <w:rFonts w:ascii="Cambria" w:eastAsia="Cambria" w:hAnsi="Cambria" w:cs="Cambria"/>
        <w:color w:val="000000"/>
      </w:rPr>
    </w:pPr>
    <w:r>
      <w:rPr>
        <w:noProof/>
        <w:lang w:val="es-MX"/>
      </w:rPr>
      <w:drawing>
        <wp:anchor distT="0" distB="0" distL="0" distR="0" simplePos="0" relativeHeight="251659264" behindDoc="1" locked="0" layoutInCell="1" hidden="0" allowOverlap="1" wp14:anchorId="046453D9" wp14:editId="17F14BD4">
          <wp:simplePos x="0" y="0"/>
          <wp:positionH relativeFrom="column">
            <wp:posOffset>-1089655</wp:posOffset>
          </wp:positionH>
          <wp:positionV relativeFrom="paragraph">
            <wp:posOffset>-1169665</wp:posOffset>
          </wp:positionV>
          <wp:extent cx="7809865" cy="10165715"/>
          <wp:effectExtent l="0" t="0" r="0" b="0"/>
          <wp:wrapNone/>
          <wp:docPr id="14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D03062"/>
    <w:multiLevelType w:val="multilevel"/>
    <w:tmpl w:val="985A49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648D4FDF"/>
    <w:multiLevelType w:val="multilevel"/>
    <w:tmpl w:val="D1D6970A"/>
    <w:lvl w:ilvl="0">
      <w:start w:val="1"/>
      <w:numFmt w:val="lowerLetter"/>
      <w:pStyle w:val="Listaconvietas3"/>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7147"/>
    <w:rsid w:val="001710E6"/>
    <w:rsid w:val="003A5321"/>
    <w:rsid w:val="004C0D2C"/>
    <w:rsid w:val="005629FB"/>
    <w:rsid w:val="007E21D8"/>
    <w:rsid w:val="00906A23"/>
    <w:rsid w:val="00C6714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232953"/>
  <w15:docId w15:val="{EFF55D69-351F-4AB8-AF2B-A5D7664EC3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2902"/>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3"/>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0">
    <w:basedOn w:val="TableNormal3"/>
    <w:tblPr>
      <w:tblStyleRowBandSize w:val="1"/>
      <w:tblStyleColBandSize w:val="1"/>
      <w:tblCellMar>
        <w:left w:w="115" w:type="dxa"/>
        <w:right w:w="115" w:type="dxa"/>
      </w:tblCellMar>
    </w:tblPr>
  </w:style>
  <w:style w:type="table" w:customStyle="1" w:styleId="a2">
    <w:basedOn w:val="TableNormal3"/>
    <w:tblPr>
      <w:tblStyleRowBandSize w:val="1"/>
      <w:tblStyleColBandSize w:val="1"/>
      <w:tblCellMar>
        <w:left w:w="115" w:type="dxa"/>
        <w:right w:w="115" w:type="dxa"/>
      </w:tblCellMar>
    </w:tblPr>
  </w:style>
  <w:style w:type="table" w:customStyle="1" w:styleId="a3">
    <w:basedOn w:val="TableNormal3"/>
    <w:tblPr>
      <w:tblStyleRowBandSize w:val="1"/>
      <w:tblStyleColBandSize w:val="1"/>
      <w:tblCellMar>
        <w:left w:w="115" w:type="dxa"/>
        <w:right w:w="115" w:type="dxa"/>
      </w:tblCellMar>
    </w:tblPr>
  </w:style>
  <w:style w:type="table" w:customStyle="1" w:styleId="a4">
    <w:basedOn w:val="TableNormal3"/>
    <w:tblPr>
      <w:tblStyleRowBandSize w:val="1"/>
      <w:tblStyleColBandSize w:val="1"/>
      <w:tblCellMar>
        <w:left w:w="115" w:type="dxa"/>
        <w:right w:w="115" w:type="dxa"/>
      </w:tblCellMar>
    </w:tblPr>
  </w:style>
  <w:style w:type="table" w:customStyle="1" w:styleId="a5">
    <w:basedOn w:val="TableNormal2"/>
    <w:tblPr>
      <w:tblStyleRowBandSize w:val="1"/>
      <w:tblStyleColBandSize w:val="1"/>
      <w:tblCellMar>
        <w:left w:w="115" w:type="dxa"/>
        <w:right w:w="115" w:type="dxa"/>
      </w:tblCellMar>
    </w:tblPr>
  </w:style>
  <w:style w:type="table" w:customStyle="1" w:styleId="a6">
    <w:basedOn w:val="TableNormal2"/>
    <w:tblPr>
      <w:tblStyleRowBandSize w:val="1"/>
      <w:tblStyleColBandSize w:val="1"/>
      <w:tblCellMar>
        <w:left w:w="115" w:type="dxa"/>
        <w:right w:w="115" w:type="dxa"/>
      </w:tblCellMar>
    </w:tblPr>
  </w:style>
  <w:style w:type="table" w:customStyle="1" w:styleId="a7">
    <w:basedOn w:val="TableNormal1"/>
    <w:tblPr>
      <w:tblStyleRowBandSize w:val="1"/>
      <w:tblStyleColBandSize w:val="1"/>
      <w:tblCellMar>
        <w:left w:w="115" w:type="dxa"/>
        <w:right w:w="115" w:type="dxa"/>
      </w:tblCellMar>
    </w:tblPr>
  </w:style>
  <w:style w:type="table" w:customStyle="1" w:styleId="a8">
    <w:basedOn w:val="TableNormal1"/>
    <w:tblPr>
      <w:tblStyleRowBandSize w:val="1"/>
      <w:tblStyleColBandSize w:val="1"/>
      <w:tblCellMar>
        <w:left w:w="115" w:type="dxa"/>
        <w:right w:w="115" w:type="dxa"/>
      </w:tblCellMar>
    </w:tblPr>
  </w:style>
  <w:style w:type="table" w:customStyle="1" w:styleId="a9">
    <w:basedOn w:val="TableNormal0"/>
    <w:tblPr>
      <w:tblStyleRowBandSize w:val="1"/>
      <w:tblStyleColBandSize w:val="1"/>
      <w:tblCellMar>
        <w:left w:w="115" w:type="dxa"/>
        <w:right w:w="115" w:type="dxa"/>
      </w:tblCellMar>
    </w:tblPr>
  </w:style>
  <w:style w:type="table" w:customStyle="1" w:styleId="aa">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saimex.org.mx/saimex/solicitud/downloadAttach/1851606.page"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saimex.org.mx/saimex/solicitud/downloadAttach/1851605.page"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aimex.org.mx/saimex/solicitud/downloadAttach/1831964.page"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https://saimex.org.mx/saimex/solicitud/downloadAttach/1831963.page"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saimex.org.mx/saimex/solicitud/downloadAttach/1816916.page" TargetMode="External"/><Relationship Id="rId14" Type="http://schemas.openxmlformats.org/officeDocument/2006/relationships/hyperlink" Target="https://saimex.org.mx/saimex/solicitud/downloadAttach/1851606.pag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jYE8spY92xdbWwmF5o4dkxvzlA==">CgMxLjAyCGguZ2pkZ3hzMgloLjMwajB6bGwyCGgudHlqY3d0MgloLjN6bnlzaDc4AHIhMUJxSG9VU01mblJjSm90ZTQteHNFakFkd0pvQ0xMSVVt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27</Pages>
  <Words>6702</Words>
  <Characters>36862</Characters>
  <Application>Microsoft Office Word</Application>
  <DocSecurity>0</DocSecurity>
  <Lines>307</Lines>
  <Paragraphs>86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Maricela Villagómez Martínez</cp:lastModifiedBy>
  <cp:revision>2</cp:revision>
  <cp:lastPrinted>2023-11-09T22:48:00Z</cp:lastPrinted>
  <dcterms:created xsi:type="dcterms:W3CDTF">2023-12-04T20:33:00Z</dcterms:created>
  <dcterms:modified xsi:type="dcterms:W3CDTF">2023-12-04T20:33:00Z</dcterms:modified>
</cp:coreProperties>
</file>