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183A60D"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D943A1">
        <w:rPr>
          <w:rFonts w:eastAsia="Palatino Linotype" w:cs="Palatino Linotype"/>
          <w:color w:val="000000"/>
          <w:szCs w:val="24"/>
        </w:rPr>
        <w:t xml:space="preserve">México, </w:t>
      </w:r>
      <w:r w:rsidR="000D2E93" w:rsidRPr="00D943A1">
        <w:rPr>
          <w:rFonts w:eastAsia="Palatino Linotype" w:cs="Palatino Linotype"/>
          <w:color w:val="000000"/>
          <w:szCs w:val="24"/>
        </w:rPr>
        <w:t xml:space="preserve">a </w:t>
      </w:r>
      <w:r w:rsidR="006076BB" w:rsidRPr="00D943A1">
        <w:rPr>
          <w:rFonts w:eastAsia="Palatino Linotype" w:cs="Palatino Linotype"/>
          <w:color w:val="000000"/>
          <w:szCs w:val="24"/>
        </w:rPr>
        <w:t xml:space="preserve">veinte de septiembre </w:t>
      </w:r>
      <w:r w:rsidR="006C7E69" w:rsidRPr="00D943A1">
        <w:rPr>
          <w:rFonts w:eastAsia="Palatino Linotype" w:cs="Palatino Linotype"/>
          <w:color w:val="000000"/>
          <w:szCs w:val="24"/>
        </w:rPr>
        <w:t>de dos mil veintitrés</w:t>
      </w:r>
      <w:r w:rsidR="001C1BF4" w:rsidRPr="00D943A1">
        <w:rPr>
          <w:rFonts w:eastAsia="Palatino Linotype" w:cs="Palatino Linotype"/>
          <w:color w:val="000000"/>
          <w:szCs w:val="24"/>
        </w:rPr>
        <w:t>.</w:t>
      </w:r>
    </w:p>
    <w:p w14:paraId="60399B74"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C44E3E5"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b/>
          <w:color w:val="000000"/>
          <w:szCs w:val="24"/>
        </w:rPr>
        <w:t>VISTO</w:t>
      </w:r>
      <w:r w:rsidRPr="00D943A1">
        <w:rPr>
          <w:rFonts w:eastAsia="Palatino Linotype" w:cs="Palatino Linotype"/>
          <w:color w:val="000000"/>
          <w:szCs w:val="24"/>
        </w:rPr>
        <w:t xml:space="preserve"> el expediente electrónico formado con motivo del recurso de revisión número </w:t>
      </w:r>
      <w:r w:rsidR="005B3068" w:rsidRPr="00D943A1">
        <w:rPr>
          <w:rFonts w:eastAsia="Palatino Linotype" w:cs="Palatino Linotype"/>
          <w:b/>
          <w:color w:val="000000"/>
          <w:szCs w:val="24"/>
        </w:rPr>
        <w:t>15455</w:t>
      </w:r>
      <w:r w:rsidR="008D4CC6" w:rsidRPr="00D943A1">
        <w:rPr>
          <w:rFonts w:eastAsia="Palatino Linotype" w:cs="Palatino Linotype"/>
          <w:b/>
          <w:color w:val="000000"/>
          <w:szCs w:val="24"/>
        </w:rPr>
        <w:t>/INFOEM/IP/RR/202</w:t>
      </w:r>
      <w:r w:rsidR="004F5DC8" w:rsidRPr="00D943A1">
        <w:rPr>
          <w:rFonts w:eastAsia="Palatino Linotype" w:cs="Palatino Linotype"/>
          <w:b/>
          <w:color w:val="000000"/>
          <w:szCs w:val="24"/>
        </w:rPr>
        <w:t>2</w:t>
      </w:r>
      <w:r w:rsidR="00B54BC7" w:rsidRPr="00D943A1">
        <w:rPr>
          <w:rFonts w:eastAsia="Palatino Linotype" w:cs="Palatino Linotype"/>
          <w:color w:val="000000"/>
          <w:szCs w:val="24"/>
        </w:rPr>
        <w:t>, interpuesto po</w:t>
      </w:r>
      <w:r w:rsidR="00430C63" w:rsidRPr="00D943A1">
        <w:rPr>
          <w:rFonts w:eastAsia="Palatino Linotype" w:cs="Palatino Linotype"/>
          <w:color w:val="000000"/>
          <w:szCs w:val="24"/>
        </w:rPr>
        <w:t xml:space="preserve">r </w:t>
      </w:r>
      <w:r w:rsidR="00C02A50" w:rsidRPr="00D943A1">
        <w:rPr>
          <w:rFonts w:eastAsia="Palatino Linotype" w:cs="Palatino Linotype"/>
          <w:color w:val="000000"/>
          <w:szCs w:val="24"/>
        </w:rPr>
        <w:t xml:space="preserve">el C. </w:t>
      </w:r>
      <w:r w:rsidR="000D0F2B" w:rsidRPr="00D943A1">
        <w:rPr>
          <w:rFonts w:eastAsia="Palatino Linotype" w:cs="Palatino Linotype"/>
          <w:b/>
          <w:color w:val="000000"/>
          <w:szCs w:val="24"/>
        </w:rPr>
        <w:t>XXXXXXXXXXXXXXXXXX</w:t>
      </w:r>
      <w:r w:rsidR="00B54BC7" w:rsidRPr="00D943A1">
        <w:rPr>
          <w:rFonts w:eastAsia="Palatino Linotype" w:cs="Palatino Linotype"/>
          <w:color w:val="000000"/>
          <w:szCs w:val="24"/>
        </w:rPr>
        <w:t xml:space="preserve">, en lo sucesivo </w:t>
      </w:r>
      <w:r w:rsidR="008E5682" w:rsidRPr="00D943A1">
        <w:rPr>
          <w:rFonts w:eastAsia="Palatino Linotype" w:cs="Palatino Linotype"/>
          <w:color w:val="000000"/>
          <w:szCs w:val="24"/>
        </w:rPr>
        <w:t>el</w:t>
      </w:r>
      <w:r w:rsidR="00B54BC7" w:rsidRPr="00D943A1">
        <w:rPr>
          <w:rFonts w:eastAsia="Palatino Linotype" w:cs="Palatino Linotype"/>
          <w:color w:val="000000"/>
          <w:szCs w:val="24"/>
        </w:rPr>
        <w:t xml:space="preserve"> </w:t>
      </w:r>
      <w:r w:rsidRPr="00D943A1">
        <w:rPr>
          <w:rFonts w:eastAsia="Palatino Linotype" w:cs="Palatino Linotype"/>
          <w:b/>
          <w:color w:val="000000"/>
          <w:szCs w:val="24"/>
        </w:rPr>
        <w:t>Recurrente</w:t>
      </w:r>
      <w:r w:rsidRPr="00D943A1">
        <w:rPr>
          <w:rFonts w:eastAsia="Palatino Linotype" w:cs="Palatino Linotype"/>
          <w:color w:val="000000"/>
          <w:szCs w:val="24"/>
        </w:rPr>
        <w:t>, en contra de la respuesta d</w:t>
      </w:r>
      <w:r w:rsidR="00165CA1" w:rsidRPr="00D943A1">
        <w:rPr>
          <w:rFonts w:eastAsia="Palatino Linotype" w:cs="Palatino Linotype"/>
          <w:color w:val="000000"/>
          <w:szCs w:val="24"/>
        </w:rPr>
        <w:t>e</w:t>
      </w:r>
      <w:r w:rsidR="005B3068" w:rsidRPr="00D943A1">
        <w:rPr>
          <w:rFonts w:eastAsia="Palatino Linotype" w:cs="Palatino Linotype"/>
          <w:color w:val="000000"/>
          <w:szCs w:val="24"/>
        </w:rPr>
        <w:t xml:space="preserve"> </w:t>
      </w:r>
      <w:r w:rsidR="00FF35B6" w:rsidRPr="00D943A1">
        <w:rPr>
          <w:rFonts w:eastAsia="Palatino Linotype" w:cs="Palatino Linotype"/>
          <w:color w:val="000000"/>
          <w:szCs w:val="24"/>
        </w:rPr>
        <w:t>l</w:t>
      </w:r>
      <w:r w:rsidR="005B3068" w:rsidRPr="00D943A1">
        <w:rPr>
          <w:rFonts w:eastAsia="Palatino Linotype" w:cs="Palatino Linotype"/>
          <w:color w:val="000000"/>
          <w:szCs w:val="24"/>
        </w:rPr>
        <w:t>a</w:t>
      </w:r>
      <w:r w:rsidRPr="00D943A1">
        <w:rPr>
          <w:rFonts w:eastAsia="Palatino Linotype" w:cs="Palatino Linotype"/>
          <w:color w:val="000000"/>
          <w:szCs w:val="24"/>
        </w:rPr>
        <w:t xml:space="preserve"> </w:t>
      </w:r>
      <w:r w:rsidR="005B3068" w:rsidRPr="00D943A1">
        <w:rPr>
          <w:rFonts w:eastAsia="Palatino Linotype" w:cs="Palatino Linotype"/>
          <w:b/>
          <w:color w:val="000000"/>
          <w:szCs w:val="24"/>
        </w:rPr>
        <w:t>Comisión de Derechos Humanos del Estado de México</w:t>
      </w:r>
      <w:r w:rsidR="0051074E" w:rsidRPr="00D943A1">
        <w:rPr>
          <w:rFonts w:eastAsia="Palatino Linotype" w:cs="Palatino Linotype"/>
          <w:color w:val="000000"/>
          <w:szCs w:val="24"/>
        </w:rPr>
        <w:t xml:space="preserve">, </w:t>
      </w:r>
      <w:r w:rsidRPr="00D943A1">
        <w:rPr>
          <w:rFonts w:eastAsia="Palatino Linotype" w:cs="Palatino Linotype"/>
          <w:color w:val="000000"/>
          <w:szCs w:val="24"/>
        </w:rPr>
        <w:t>en lo subsecuente</w:t>
      </w:r>
      <w:r w:rsidRPr="00D943A1">
        <w:rPr>
          <w:rFonts w:eastAsia="Palatino Linotype" w:cs="Palatino Linotype"/>
          <w:b/>
          <w:color w:val="000000"/>
          <w:szCs w:val="24"/>
        </w:rPr>
        <w:t xml:space="preserve"> </w:t>
      </w:r>
      <w:r w:rsidRPr="00D943A1">
        <w:rPr>
          <w:rFonts w:eastAsia="Palatino Linotype" w:cs="Palatino Linotype"/>
          <w:color w:val="000000"/>
          <w:szCs w:val="24"/>
        </w:rPr>
        <w:t>el</w:t>
      </w:r>
      <w:r w:rsidRPr="00D943A1">
        <w:rPr>
          <w:rFonts w:eastAsia="Palatino Linotype" w:cs="Palatino Linotype"/>
          <w:b/>
          <w:color w:val="000000"/>
          <w:szCs w:val="24"/>
        </w:rPr>
        <w:t xml:space="preserve"> Sujeto Obligado, </w:t>
      </w:r>
      <w:r w:rsidRPr="00D943A1">
        <w:rPr>
          <w:rFonts w:eastAsia="Palatino Linotype" w:cs="Palatino Linotype"/>
          <w:color w:val="000000"/>
          <w:szCs w:val="24"/>
        </w:rPr>
        <w:t>se procede a dictar la presente resolución.</w:t>
      </w:r>
    </w:p>
    <w:p w14:paraId="2E2053C2"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098603B2" w14:textId="77777777" w:rsidR="008E24B6" w:rsidRPr="00D943A1"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943A1" w:rsidRDefault="00A970D5" w:rsidP="006922F5">
      <w:pPr>
        <w:pStyle w:val="Ttulo1"/>
        <w:rPr>
          <w:rFonts w:eastAsia="Palatino Linotype"/>
          <w:lang w:val="es-ES_tradnl"/>
        </w:rPr>
      </w:pPr>
      <w:r w:rsidRPr="00D943A1">
        <w:rPr>
          <w:rFonts w:eastAsia="Palatino Linotype"/>
          <w:lang w:val="es-ES_tradnl"/>
        </w:rPr>
        <w:t>A N T E C E D E N T E S</w:t>
      </w:r>
    </w:p>
    <w:p w14:paraId="32F88820"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D943A1" w:rsidRDefault="00A970D5" w:rsidP="006922F5">
      <w:pPr>
        <w:pStyle w:val="Ttulo2"/>
        <w:rPr>
          <w:rFonts w:eastAsia="Palatino Linotype"/>
        </w:rPr>
      </w:pPr>
      <w:r w:rsidRPr="00D943A1">
        <w:rPr>
          <w:rFonts w:eastAsia="Palatino Linotype"/>
        </w:rPr>
        <w:t>PRIMERO. De la Solicitud de Información.</w:t>
      </w:r>
    </w:p>
    <w:p w14:paraId="0870C154" w14:textId="196448F0" w:rsidR="00A970D5" w:rsidRPr="00D943A1" w:rsidRDefault="00B36B86"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Con fecha</w:t>
      </w:r>
      <w:r w:rsidR="00AA6C98" w:rsidRPr="00D943A1">
        <w:rPr>
          <w:rFonts w:eastAsia="Palatino Linotype" w:cs="Palatino Linotype"/>
          <w:color w:val="000000"/>
          <w:szCs w:val="24"/>
        </w:rPr>
        <w:t xml:space="preserve"> </w:t>
      </w:r>
      <w:r w:rsidR="00C02A50" w:rsidRPr="00D943A1">
        <w:rPr>
          <w:rFonts w:eastAsia="Palatino Linotype" w:cs="Palatino Linotype"/>
          <w:color w:val="000000"/>
          <w:szCs w:val="24"/>
        </w:rPr>
        <w:t>trece de septiembre de dos mil veintidós</w:t>
      </w:r>
      <w:r w:rsidR="00B54BC7" w:rsidRPr="00D943A1">
        <w:rPr>
          <w:rFonts w:eastAsia="Palatino Linotype" w:cs="Palatino Linotype"/>
          <w:color w:val="000000"/>
          <w:szCs w:val="24"/>
        </w:rPr>
        <w:t xml:space="preserve">, </w:t>
      </w:r>
      <w:r w:rsidR="00430C63" w:rsidRPr="00D943A1">
        <w:rPr>
          <w:rFonts w:eastAsia="Palatino Linotype" w:cs="Palatino Linotype"/>
          <w:color w:val="000000"/>
          <w:szCs w:val="24"/>
        </w:rPr>
        <w:t>el</w:t>
      </w:r>
      <w:r w:rsidR="00A970D5" w:rsidRPr="00D943A1">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D943A1">
        <w:rPr>
          <w:rFonts w:eastAsia="Palatino Linotype" w:cs="Palatino Linotype"/>
          <w:b/>
          <w:color w:val="000000"/>
          <w:szCs w:val="24"/>
        </w:rPr>
        <w:t xml:space="preserve"> </w:t>
      </w:r>
      <w:r w:rsidR="00C02A50" w:rsidRPr="00D943A1">
        <w:rPr>
          <w:rFonts w:eastAsia="Palatino Linotype" w:cs="Palatino Linotype"/>
          <w:b/>
          <w:bCs/>
          <w:color w:val="000000"/>
          <w:szCs w:val="24"/>
        </w:rPr>
        <w:t>00219/CODHEM/IP/2022</w:t>
      </w:r>
      <w:r w:rsidR="00A970D5" w:rsidRPr="00D943A1">
        <w:rPr>
          <w:rFonts w:eastAsia="Palatino Linotype" w:cs="Palatino Linotype"/>
          <w:color w:val="000000"/>
          <w:szCs w:val="24"/>
        </w:rPr>
        <w:t>,</w:t>
      </w:r>
      <w:r w:rsidR="00A970D5" w:rsidRPr="00D943A1">
        <w:rPr>
          <w:rFonts w:eastAsia="Palatino Linotype" w:cs="Palatino Linotype"/>
          <w:b/>
          <w:color w:val="000000"/>
          <w:szCs w:val="24"/>
        </w:rPr>
        <w:t xml:space="preserve"> </w:t>
      </w:r>
      <w:r w:rsidR="00A970D5" w:rsidRPr="00D943A1">
        <w:rPr>
          <w:rFonts w:eastAsia="Palatino Linotype" w:cs="Palatino Linotype"/>
          <w:color w:val="000000"/>
          <w:szCs w:val="24"/>
        </w:rPr>
        <w:t>mediante la cual solicitó información en el tenor siguiente:</w:t>
      </w:r>
    </w:p>
    <w:p w14:paraId="68B56D82"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5EC213A" w:rsidR="00A970D5" w:rsidRPr="00D943A1" w:rsidRDefault="00A970D5" w:rsidP="008E24B6">
      <w:pPr>
        <w:pStyle w:val="Fundamentos"/>
      </w:pPr>
      <w:r w:rsidRPr="00D943A1">
        <w:t>“</w:t>
      </w:r>
      <w:r w:rsidR="00C02A50" w:rsidRPr="00D943A1">
        <w:t>Documentación comprobatoria, en pdf, de todos los gastos realizados por presidencia, secretaria particular, secretaria general, unidad jurídica, unidades de ética y género en el 2022, correos electrónicos institucionales, en pdf, de nivel subdirección para arriba en el 2022, documentación comprobatoria y calculo de percepciones extraordinarias en el 2022, programas de auditorías y demás revisiones realizadas por la contraloría interna para el 2022</w:t>
      </w:r>
      <w:r w:rsidRPr="00D943A1">
        <w:t xml:space="preserve">” </w:t>
      </w:r>
      <w:r w:rsidR="00D7260C" w:rsidRPr="00D943A1">
        <w:t>(</w:t>
      </w:r>
      <w:r w:rsidRPr="00D943A1">
        <w:t>Sic</w:t>
      </w:r>
      <w:r w:rsidR="00D7260C" w:rsidRPr="00D943A1">
        <w:t>)</w:t>
      </w:r>
    </w:p>
    <w:p w14:paraId="40BBECCB"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D943A1" w:rsidRDefault="00A970D5" w:rsidP="006922F5">
      <w:pPr>
        <w:pBdr>
          <w:top w:val="nil"/>
          <w:left w:val="nil"/>
          <w:bottom w:val="nil"/>
          <w:right w:val="nil"/>
          <w:between w:val="nil"/>
        </w:pBdr>
        <w:contextualSpacing/>
        <w:rPr>
          <w:rFonts w:eastAsia="Palatino Linotype" w:cs="Palatino Linotype"/>
          <w:b/>
          <w:color w:val="000000"/>
          <w:szCs w:val="24"/>
        </w:rPr>
      </w:pPr>
      <w:r w:rsidRPr="00D943A1">
        <w:rPr>
          <w:rFonts w:eastAsia="Palatino Linotype" w:cs="Palatino Linotype"/>
          <w:color w:val="000000"/>
          <w:szCs w:val="24"/>
        </w:rPr>
        <w:t xml:space="preserve">Modalidad de entrega: </w:t>
      </w:r>
      <w:r w:rsidRPr="00D943A1">
        <w:rPr>
          <w:rFonts w:eastAsia="Palatino Linotype" w:cs="Palatino Linotype"/>
          <w:b/>
          <w:color w:val="000000"/>
          <w:szCs w:val="24"/>
        </w:rPr>
        <w:t>A través del SAIMEX</w:t>
      </w:r>
      <w:r w:rsidRPr="00D943A1">
        <w:rPr>
          <w:rFonts w:eastAsia="Palatino Linotype" w:cs="Palatino Linotype"/>
          <w:color w:val="000000"/>
          <w:szCs w:val="24"/>
        </w:rPr>
        <w:t>.</w:t>
      </w:r>
    </w:p>
    <w:p w14:paraId="1AEDC68E" w14:textId="12CE92E9" w:rsidR="00A970D5" w:rsidRPr="00D943A1" w:rsidRDefault="008E24B6" w:rsidP="006922F5">
      <w:pPr>
        <w:pStyle w:val="Ttulo2"/>
        <w:rPr>
          <w:rFonts w:eastAsia="Palatino Linotype"/>
        </w:rPr>
      </w:pPr>
      <w:r w:rsidRPr="00D943A1">
        <w:rPr>
          <w:rFonts w:eastAsia="Palatino Linotype"/>
        </w:rPr>
        <w:lastRenderedPageBreak/>
        <w:t>SEGUNDO</w:t>
      </w:r>
      <w:r w:rsidR="00A970D5" w:rsidRPr="00D943A1">
        <w:rPr>
          <w:rFonts w:eastAsia="Palatino Linotype"/>
        </w:rPr>
        <w:t>. De la respuesta del Sujeto Obligado.</w:t>
      </w:r>
    </w:p>
    <w:p w14:paraId="2EE6F294" w14:textId="4AA76DC4"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De las constancias que obran en el expediente electrónico, se observa qu</w:t>
      </w:r>
      <w:r w:rsidR="008B2951" w:rsidRPr="00D943A1">
        <w:rPr>
          <w:rFonts w:eastAsia="Palatino Linotype" w:cs="Palatino Linotype"/>
          <w:color w:val="000000"/>
          <w:szCs w:val="24"/>
        </w:rPr>
        <w:t>e el día</w:t>
      </w:r>
      <w:r w:rsidR="00AA6C98" w:rsidRPr="00D943A1">
        <w:rPr>
          <w:rFonts w:eastAsia="Palatino Linotype" w:cs="Palatino Linotype"/>
          <w:color w:val="000000"/>
          <w:szCs w:val="24"/>
        </w:rPr>
        <w:t xml:space="preserve"> </w:t>
      </w:r>
      <w:r w:rsidR="00C02A50" w:rsidRPr="00D943A1">
        <w:rPr>
          <w:rFonts w:eastAsia="Palatino Linotype" w:cs="Palatino Linotype"/>
          <w:color w:val="000000"/>
          <w:szCs w:val="24"/>
        </w:rPr>
        <w:t>cinco de octubre de dos mil veintidós</w:t>
      </w:r>
      <w:r w:rsidRPr="00D943A1">
        <w:rPr>
          <w:rFonts w:eastAsia="Palatino Linotype" w:cs="Palatino Linotype"/>
          <w:color w:val="000000"/>
          <w:szCs w:val="24"/>
        </w:rPr>
        <w:t>, el Sujeto Obligado dio respuest</w:t>
      </w:r>
      <w:r w:rsidR="009F4FF4" w:rsidRPr="00D943A1">
        <w:rPr>
          <w:rFonts w:eastAsia="Palatino Linotype" w:cs="Palatino Linotype"/>
          <w:color w:val="000000"/>
          <w:szCs w:val="24"/>
        </w:rPr>
        <w:t>a a la solicitud de información</w:t>
      </w:r>
      <w:r w:rsidRPr="00D943A1">
        <w:rPr>
          <w:rFonts w:eastAsia="Palatino Linotype" w:cs="Palatino Linotype"/>
          <w:color w:val="000000"/>
          <w:szCs w:val="24"/>
        </w:rPr>
        <w:t xml:space="preserve"> manifestando lo siguiente:</w:t>
      </w:r>
    </w:p>
    <w:p w14:paraId="6CF4EC0F"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 w:val="21"/>
          <w:szCs w:val="21"/>
        </w:rPr>
      </w:pPr>
    </w:p>
    <w:p w14:paraId="332A2B39" w14:textId="77777777" w:rsidR="00C02A50" w:rsidRPr="00D943A1" w:rsidRDefault="00A970D5" w:rsidP="00C02A50">
      <w:pPr>
        <w:pStyle w:val="Fundamentos"/>
        <w:jc w:val="right"/>
      </w:pPr>
      <w:r w:rsidRPr="00D943A1">
        <w:t>“</w:t>
      </w:r>
      <w:r w:rsidR="00C02A50" w:rsidRPr="00D943A1">
        <w:t>Folio de la solicitud: 00219/CODHEM/IP/2022</w:t>
      </w:r>
    </w:p>
    <w:p w14:paraId="426A1DFF" w14:textId="77777777" w:rsidR="00C02A50" w:rsidRPr="00D943A1" w:rsidRDefault="00C02A50" w:rsidP="00C02A50">
      <w:pPr>
        <w:pStyle w:val="Fundamentos"/>
      </w:pPr>
    </w:p>
    <w:p w14:paraId="73C8EC77" w14:textId="77777777" w:rsidR="00C02A50" w:rsidRPr="00D943A1" w:rsidRDefault="00C02A50" w:rsidP="00C02A50">
      <w:pPr>
        <w:pStyle w:val="Fundamentos"/>
      </w:pPr>
      <w:r w:rsidRPr="00D943A1">
        <w:t>En respuesta a la solicitud recibida, nos permitimos hacer de su conocimiento que con fundamento en el artículo 53, Fracciones: II, V y VI de la Ley de Transparencia y Acceso a la Información Pública del Estado de México y Municipios, le contestamos que:</w:t>
      </w:r>
    </w:p>
    <w:p w14:paraId="7C0D98B9" w14:textId="77777777" w:rsidR="00C02A50" w:rsidRPr="00D943A1" w:rsidRDefault="00C02A50" w:rsidP="00C02A50">
      <w:pPr>
        <w:pStyle w:val="Fundamentos"/>
      </w:pPr>
    </w:p>
    <w:p w14:paraId="7E248B5C" w14:textId="77777777" w:rsidR="00C02A50" w:rsidRPr="00D943A1" w:rsidRDefault="00C02A50" w:rsidP="00C02A50">
      <w:pPr>
        <w:pStyle w:val="Fundamentos"/>
      </w:pPr>
      <w:r w:rsidRPr="00D943A1">
        <w:t>Toluca, México a cinco de octubre del 2022. Folio de la solicitud: 00219/CODHEM/IP/2022. Con fundamento en los artículos 163 y 53 fracciones II, V y VI de la Ley de Transparencia y Acceso a la información Pública del Estado de México y Municipios, me permito notificar la respuesta a su solicitud, misma que encontrará en archivos anexos. Atte. Mtra. Sheila Velázquez Londaiz. Titular de la Unidad de Transparencia.</w:t>
      </w:r>
    </w:p>
    <w:p w14:paraId="30A8F049" w14:textId="77777777" w:rsidR="00C02A50" w:rsidRPr="00D943A1" w:rsidRDefault="00C02A50" w:rsidP="00C02A50">
      <w:pPr>
        <w:pStyle w:val="Fundamentos"/>
      </w:pPr>
    </w:p>
    <w:p w14:paraId="5B034B9F" w14:textId="77777777" w:rsidR="00C02A50" w:rsidRPr="00D943A1" w:rsidRDefault="00C02A50" w:rsidP="00C02A50">
      <w:pPr>
        <w:pStyle w:val="Fundamentos"/>
      </w:pPr>
      <w:r w:rsidRPr="00D943A1">
        <w:t>ATENTAMENTE</w:t>
      </w:r>
    </w:p>
    <w:p w14:paraId="3FE4A9EF" w14:textId="2878EEB3" w:rsidR="00A970D5" w:rsidRPr="00D943A1" w:rsidRDefault="00C02A50" w:rsidP="00C02A50">
      <w:pPr>
        <w:pStyle w:val="Fundamentos"/>
        <w:rPr>
          <w:lang w:val="es-MX"/>
        </w:rPr>
      </w:pPr>
      <w:r w:rsidRPr="00D943A1">
        <w:t>L. A. SHEILA VELÁZQUEZ LONDAIZ</w:t>
      </w:r>
      <w:r w:rsidR="00A970D5" w:rsidRPr="00D943A1">
        <w:rPr>
          <w:lang w:val="es-MX"/>
        </w:rPr>
        <w:t>” (Sic)</w:t>
      </w:r>
    </w:p>
    <w:p w14:paraId="2EAB8352" w14:textId="3B77EF6C" w:rsidR="001107C4" w:rsidRPr="00D943A1"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294DD118" w:rsidR="0037112D" w:rsidRPr="00D943A1" w:rsidRDefault="0037112D" w:rsidP="00AA6C98">
      <w:pPr>
        <w:pBdr>
          <w:top w:val="nil"/>
          <w:left w:val="nil"/>
          <w:bottom w:val="nil"/>
          <w:right w:val="nil"/>
          <w:between w:val="nil"/>
        </w:pBdr>
        <w:contextualSpacing/>
        <w:rPr>
          <w:rFonts w:eastAsia="Palatino Linotype" w:cs="Palatino Linotype"/>
          <w:b/>
          <w:bCs/>
          <w:color w:val="000000"/>
          <w:szCs w:val="24"/>
        </w:rPr>
      </w:pPr>
      <w:r w:rsidRPr="00D943A1">
        <w:rPr>
          <w:rFonts w:eastAsia="Palatino Linotype" w:cs="Palatino Linotype"/>
          <w:color w:val="000000"/>
          <w:szCs w:val="24"/>
        </w:rPr>
        <w:t xml:space="preserve">El Sujeto Obligado </w:t>
      </w:r>
      <w:r w:rsidR="00AA6C98" w:rsidRPr="00D943A1">
        <w:rPr>
          <w:rFonts w:eastAsia="Palatino Linotype" w:cs="Palatino Linotype"/>
          <w:color w:val="000000"/>
          <w:szCs w:val="24"/>
        </w:rPr>
        <w:t>adjuntó a su respuesta los</w:t>
      </w:r>
      <w:r w:rsidR="00165CA1" w:rsidRPr="00D943A1">
        <w:rPr>
          <w:rFonts w:eastAsia="Palatino Linotype" w:cs="Palatino Linotype"/>
          <w:color w:val="000000"/>
          <w:szCs w:val="24"/>
        </w:rPr>
        <w:t xml:space="preserve"> documento</w:t>
      </w:r>
      <w:r w:rsidR="00AA6C98" w:rsidRPr="00D943A1">
        <w:rPr>
          <w:rFonts w:eastAsia="Palatino Linotype" w:cs="Palatino Linotype"/>
          <w:color w:val="000000"/>
          <w:szCs w:val="24"/>
        </w:rPr>
        <w:t>s</w:t>
      </w:r>
      <w:r w:rsidR="00165CA1" w:rsidRPr="00D943A1">
        <w:rPr>
          <w:rFonts w:eastAsia="Palatino Linotype" w:cs="Palatino Linotype"/>
          <w:color w:val="000000"/>
          <w:szCs w:val="24"/>
        </w:rPr>
        <w:t xml:space="preserve"> denominado</w:t>
      </w:r>
      <w:r w:rsidR="00AA6C98" w:rsidRPr="00D943A1">
        <w:rPr>
          <w:rFonts w:eastAsia="Palatino Linotype" w:cs="Palatino Linotype"/>
          <w:color w:val="000000"/>
          <w:szCs w:val="24"/>
        </w:rPr>
        <w:t>s</w:t>
      </w:r>
      <w:r w:rsidR="00AA6C98" w:rsidRPr="00D943A1">
        <w:rPr>
          <w:rFonts w:eastAsia="Palatino Linotype" w:cs="Palatino Linotype"/>
          <w:bCs/>
          <w:color w:val="000000"/>
          <w:szCs w:val="24"/>
        </w:rPr>
        <w:t xml:space="preserve"> </w:t>
      </w:r>
      <w:r w:rsidR="00AA6C98" w:rsidRPr="00D943A1">
        <w:rPr>
          <w:rFonts w:eastAsia="Palatino Linotype" w:cs="Palatino Linotype"/>
          <w:b/>
          <w:bCs/>
          <w:color w:val="000000"/>
          <w:szCs w:val="24"/>
        </w:rPr>
        <w:t>“</w:t>
      </w:r>
      <w:r w:rsidR="00C02A50" w:rsidRPr="00D943A1">
        <w:rPr>
          <w:rFonts w:eastAsia="Palatino Linotype" w:cs="Palatino Linotype"/>
          <w:b/>
          <w:bCs/>
          <w:color w:val="000000"/>
          <w:szCs w:val="24"/>
        </w:rPr>
        <w:t>OFICIO DE RESPUESTA UIPPE 219.pdf</w:t>
      </w:r>
      <w:r w:rsidR="00AA6C98" w:rsidRPr="00D943A1">
        <w:rPr>
          <w:rFonts w:eastAsia="Palatino Linotype" w:cs="Palatino Linotype"/>
          <w:b/>
          <w:bCs/>
          <w:color w:val="000000"/>
          <w:szCs w:val="24"/>
        </w:rPr>
        <w:t>”</w:t>
      </w:r>
      <w:r w:rsidR="00AA6C98" w:rsidRPr="00D943A1">
        <w:rPr>
          <w:rFonts w:eastAsia="Palatino Linotype" w:cs="Palatino Linotype"/>
          <w:bCs/>
          <w:color w:val="000000"/>
          <w:szCs w:val="24"/>
        </w:rPr>
        <w:t>,</w:t>
      </w:r>
      <w:r w:rsidR="00C02A50" w:rsidRPr="00D943A1">
        <w:rPr>
          <w:rFonts w:eastAsia="Palatino Linotype" w:cs="Palatino Linotype"/>
          <w:bCs/>
          <w:color w:val="000000"/>
          <w:szCs w:val="24"/>
        </w:rPr>
        <w:t xml:space="preserve"> </w:t>
      </w:r>
      <w:r w:rsidR="00C02A50" w:rsidRPr="00D943A1">
        <w:rPr>
          <w:rFonts w:eastAsia="Palatino Linotype" w:cs="Palatino Linotype"/>
          <w:b/>
          <w:bCs/>
          <w:color w:val="000000"/>
          <w:szCs w:val="24"/>
        </w:rPr>
        <w:t>“RESPUESTA DE R. HUMANOS.pdf”</w:t>
      </w:r>
      <w:r w:rsidR="00C02A50" w:rsidRPr="00D943A1">
        <w:rPr>
          <w:rFonts w:eastAsia="Palatino Linotype" w:cs="Palatino Linotype"/>
          <w:bCs/>
          <w:color w:val="000000"/>
          <w:szCs w:val="24"/>
        </w:rPr>
        <w:t xml:space="preserve">, </w:t>
      </w:r>
      <w:r w:rsidR="00C02A50" w:rsidRPr="00D943A1">
        <w:rPr>
          <w:rFonts w:eastAsia="Palatino Linotype" w:cs="Palatino Linotype"/>
          <w:b/>
          <w:bCs/>
          <w:color w:val="000000"/>
          <w:szCs w:val="24"/>
        </w:rPr>
        <w:t>“RESPUESTA DEL ORGANO ITERNO.pdf”</w:t>
      </w:r>
      <w:r w:rsidR="00C02A50" w:rsidRPr="00D943A1">
        <w:rPr>
          <w:rFonts w:eastAsia="Palatino Linotype" w:cs="Palatino Linotype"/>
          <w:bCs/>
          <w:color w:val="000000"/>
          <w:szCs w:val="24"/>
        </w:rPr>
        <w:t xml:space="preserve">, </w:t>
      </w:r>
      <w:r w:rsidR="00C02A50" w:rsidRPr="00D943A1">
        <w:rPr>
          <w:rFonts w:eastAsia="Palatino Linotype" w:cs="Palatino Linotype"/>
          <w:b/>
          <w:bCs/>
          <w:color w:val="000000"/>
          <w:szCs w:val="24"/>
        </w:rPr>
        <w:t>“correos_subdireccion_para_arriba_2022.pdf”, “Acuerdo estímulo.pdf</w:t>
      </w:r>
      <w:r w:rsidR="00C02A50" w:rsidRPr="00D943A1">
        <w:rPr>
          <w:rFonts w:eastAsia="Palatino Linotype" w:cs="Palatino Linotype"/>
          <w:bCs/>
          <w:color w:val="000000"/>
          <w:szCs w:val="24"/>
        </w:rPr>
        <w:t xml:space="preserve">”, </w:t>
      </w:r>
      <w:r w:rsidR="00C02A50" w:rsidRPr="00D943A1">
        <w:rPr>
          <w:rFonts w:eastAsia="Palatino Linotype" w:cs="Palatino Linotype"/>
          <w:b/>
          <w:bCs/>
          <w:color w:val="000000"/>
          <w:szCs w:val="24"/>
        </w:rPr>
        <w:t>“Procedimiento prima adicional por años.pdf”,</w:t>
      </w:r>
      <w:r w:rsidR="00C02A50" w:rsidRPr="00D943A1">
        <w:rPr>
          <w:rFonts w:eastAsia="Palatino Linotype" w:cs="Palatino Linotype"/>
          <w:bCs/>
          <w:color w:val="000000"/>
          <w:szCs w:val="24"/>
        </w:rPr>
        <w:t xml:space="preserve"> </w:t>
      </w:r>
      <w:r w:rsidR="00AA6C98" w:rsidRPr="00D943A1">
        <w:rPr>
          <w:rFonts w:eastAsia="Palatino Linotype" w:cs="Palatino Linotype"/>
          <w:b/>
          <w:bCs/>
          <w:color w:val="000000"/>
          <w:szCs w:val="24"/>
        </w:rPr>
        <w:t>“</w:t>
      </w:r>
      <w:r w:rsidR="00C02A50" w:rsidRPr="00D943A1">
        <w:rPr>
          <w:rFonts w:eastAsia="Palatino Linotype" w:cs="Palatino Linotype"/>
          <w:b/>
          <w:bCs/>
          <w:color w:val="000000"/>
          <w:szCs w:val="24"/>
        </w:rPr>
        <w:t>CONTESTACIÓN 219 FINANZAS.pdf</w:t>
      </w:r>
      <w:r w:rsidR="00AA6C98" w:rsidRPr="00D943A1">
        <w:rPr>
          <w:rFonts w:eastAsia="Palatino Linotype" w:cs="Palatino Linotype"/>
          <w:b/>
          <w:bCs/>
          <w:color w:val="000000"/>
          <w:szCs w:val="24"/>
        </w:rPr>
        <w:t>”</w:t>
      </w:r>
      <w:r w:rsidR="00AA6C98" w:rsidRPr="00D943A1">
        <w:rPr>
          <w:rFonts w:eastAsia="Palatino Linotype" w:cs="Palatino Linotype"/>
          <w:bCs/>
          <w:color w:val="000000"/>
          <w:szCs w:val="24"/>
        </w:rPr>
        <w:t xml:space="preserve">, </w:t>
      </w:r>
      <w:r w:rsidR="00AA6C98" w:rsidRPr="00D943A1">
        <w:rPr>
          <w:rFonts w:eastAsia="Palatino Linotype" w:cs="Palatino Linotype"/>
          <w:b/>
          <w:bCs/>
          <w:color w:val="000000"/>
          <w:szCs w:val="24"/>
        </w:rPr>
        <w:t>“</w:t>
      </w:r>
      <w:r w:rsidR="00C02A50" w:rsidRPr="00D943A1">
        <w:rPr>
          <w:rFonts w:eastAsia="Palatino Linotype" w:cs="Palatino Linotype"/>
          <w:b/>
          <w:bCs/>
          <w:color w:val="000000"/>
          <w:szCs w:val="24"/>
        </w:rPr>
        <w:t>RESPUESTA DE TEGNOLOGÍAS.pdf</w:t>
      </w:r>
      <w:r w:rsidR="00AA6C98" w:rsidRPr="00D943A1">
        <w:rPr>
          <w:rFonts w:eastAsia="Palatino Linotype" w:cs="Palatino Linotype"/>
          <w:b/>
          <w:bCs/>
          <w:color w:val="000000"/>
          <w:szCs w:val="24"/>
        </w:rPr>
        <w:t>”</w:t>
      </w:r>
      <w:r w:rsidR="00AA6C98" w:rsidRPr="00D943A1">
        <w:rPr>
          <w:rFonts w:eastAsia="Palatino Linotype" w:cs="Palatino Linotype"/>
          <w:bCs/>
          <w:color w:val="000000"/>
          <w:szCs w:val="24"/>
        </w:rPr>
        <w:t xml:space="preserve"> y</w:t>
      </w:r>
      <w:r w:rsidR="00AA6C98" w:rsidRPr="00D943A1">
        <w:rPr>
          <w:rFonts w:eastAsia="Palatino Linotype" w:cs="Palatino Linotype"/>
          <w:b/>
          <w:bCs/>
          <w:color w:val="000000"/>
          <w:szCs w:val="24"/>
        </w:rPr>
        <w:t xml:space="preserve"> “</w:t>
      </w:r>
      <w:r w:rsidR="00C02A50" w:rsidRPr="00D943A1">
        <w:rPr>
          <w:rFonts w:eastAsia="Palatino Linotype" w:cs="Palatino Linotype"/>
          <w:b/>
          <w:bCs/>
          <w:color w:val="000000"/>
          <w:szCs w:val="24"/>
        </w:rPr>
        <w:t>Cédula de Prestaciones Salariales 2022.pdf</w:t>
      </w:r>
      <w:r w:rsidRPr="00D943A1">
        <w:rPr>
          <w:rFonts w:eastAsia="Palatino Linotype" w:cs="Palatino Linotype"/>
          <w:b/>
          <w:bCs/>
          <w:color w:val="000000"/>
          <w:szCs w:val="24"/>
        </w:rPr>
        <w:t>”</w:t>
      </w:r>
      <w:r w:rsidRPr="00D943A1">
        <w:rPr>
          <w:rFonts w:eastAsia="Palatino Linotype" w:cs="Palatino Linotype"/>
          <w:color w:val="000000"/>
          <w:szCs w:val="24"/>
        </w:rPr>
        <w:t xml:space="preserve">, </w:t>
      </w:r>
      <w:r w:rsidR="00AA6C98" w:rsidRPr="00D943A1">
        <w:rPr>
          <w:rFonts w:eastAsia="Palatino Linotype" w:cs="Palatino Linotype"/>
          <w:color w:val="000000"/>
          <w:szCs w:val="24"/>
        </w:rPr>
        <w:t>los</w:t>
      </w:r>
      <w:r w:rsidR="00165CA1" w:rsidRPr="00D943A1">
        <w:rPr>
          <w:rFonts w:eastAsia="Palatino Linotype" w:cs="Palatino Linotype"/>
          <w:color w:val="000000"/>
          <w:szCs w:val="24"/>
        </w:rPr>
        <w:t xml:space="preserve"> cual</w:t>
      </w:r>
      <w:r w:rsidR="00AA6C98" w:rsidRPr="00D943A1">
        <w:rPr>
          <w:rFonts w:eastAsia="Palatino Linotype" w:cs="Palatino Linotype"/>
          <w:color w:val="000000"/>
          <w:szCs w:val="24"/>
        </w:rPr>
        <w:t>es</w:t>
      </w:r>
      <w:r w:rsidR="00165CA1" w:rsidRPr="00D943A1">
        <w:rPr>
          <w:rFonts w:eastAsia="Palatino Linotype" w:cs="Palatino Linotype"/>
          <w:color w:val="000000"/>
          <w:szCs w:val="24"/>
        </w:rPr>
        <w:t xml:space="preserve"> no se reproduce</w:t>
      </w:r>
      <w:r w:rsidR="00AA6C98" w:rsidRPr="00D943A1">
        <w:rPr>
          <w:rFonts w:eastAsia="Palatino Linotype" w:cs="Palatino Linotype"/>
          <w:color w:val="000000"/>
          <w:szCs w:val="24"/>
        </w:rPr>
        <w:t>n</w:t>
      </w:r>
      <w:r w:rsidR="00EE3066" w:rsidRPr="00D943A1">
        <w:rPr>
          <w:rFonts w:eastAsia="Palatino Linotype" w:cs="Palatino Linotype"/>
          <w:color w:val="000000"/>
          <w:szCs w:val="24"/>
        </w:rPr>
        <w:t xml:space="preserve"> por ser del conocimiento de las partes; no obstante, su </w:t>
      </w:r>
      <w:r w:rsidR="009B321A" w:rsidRPr="00D943A1">
        <w:rPr>
          <w:rFonts w:eastAsia="Palatino Linotype" w:cs="Palatino Linotype"/>
          <w:color w:val="000000"/>
          <w:szCs w:val="24"/>
        </w:rPr>
        <w:t>contenido será motivo de análisis en el estudio correspondiente.</w:t>
      </w:r>
    </w:p>
    <w:p w14:paraId="2011BBDD" w14:textId="77777777" w:rsidR="0037112D" w:rsidRPr="00D943A1"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D943A1" w:rsidRDefault="008E24B6" w:rsidP="006922F5">
      <w:pPr>
        <w:pStyle w:val="Ttulo2"/>
        <w:rPr>
          <w:rFonts w:eastAsia="Palatino Linotype"/>
        </w:rPr>
      </w:pPr>
      <w:r w:rsidRPr="00D943A1">
        <w:rPr>
          <w:rFonts w:eastAsia="Palatino Linotype"/>
        </w:rPr>
        <w:lastRenderedPageBreak/>
        <w:t>TERCERO</w:t>
      </w:r>
      <w:r w:rsidR="00A970D5" w:rsidRPr="00D943A1">
        <w:rPr>
          <w:rFonts w:eastAsia="Palatino Linotype"/>
        </w:rPr>
        <w:t>. Del recurso de revisión.</w:t>
      </w:r>
    </w:p>
    <w:p w14:paraId="0C8C3A2F" w14:textId="3C6A14B1"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Inconforme con la respuesta em</w:t>
      </w:r>
      <w:r w:rsidR="00A06896" w:rsidRPr="00D943A1">
        <w:rPr>
          <w:rFonts w:eastAsia="Palatino Linotype" w:cs="Palatino Linotype"/>
          <w:color w:val="000000"/>
          <w:szCs w:val="24"/>
        </w:rPr>
        <w:t xml:space="preserve">itida por el Sujeto Obligado, </w:t>
      </w:r>
      <w:r w:rsidR="00EE3066" w:rsidRPr="00D943A1">
        <w:rPr>
          <w:rFonts w:eastAsia="Palatino Linotype" w:cs="Palatino Linotype"/>
          <w:color w:val="000000"/>
          <w:szCs w:val="24"/>
        </w:rPr>
        <w:t>el</w:t>
      </w:r>
      <w:r w:rsidRPr="00D943A1">
        <w:rPr>
          <w:rFonts w:eastAsia="Palatino Linotype" w:cs="Palatino Linotype"/>
          <w:color w:val="000000"/>
          <w:szCs w:val="24"/>
        </w:rPr>
        <w:t xml:space="preserve"> Recurrente interpuso el presente recurso de revisión e</w:t>
      </w:r>
      <w:r w:rsidR="008B2951" w:rsidRPr="00D943A1">
        <w:rPr>
          <w:rFonts w:eastAsia="Palatino Linotype" w:cs="Palatino Linotype"/>
          <w:color w:val="000000"/>
          <w:szCs w:val="24"/>
        </w:rPr>
        <w:t xml:space="preserve">l día </w:t>
      </w:r>
      <w:r w:rsidR="00C02A50" w:rsidRPr="00D943A1">
        <w:rPr>
          <w:rFonts w:eastAsia="Palatino Linotype" w:cs="Palatino Linotype"/>
          <w:color w:val="000000"/>
          <w:szCs w:val="24"/>
        </w:rPr>
        <w:t xml:space="preserve">siete de octubre </w:t>
      </w:r>
      <w:r w:rsidR="00AA6C98" w:rsidRPr="00D943A1">
        <w:rPr>
          <w:rFonts w:eastAsia="Palatino Linotype" w:cs="Palatino Linotype"/>
          <w:color w:val="000000"/>
          <w:szCs w:val="24"/>
        </w:rPr>
        <w:t xml:space="preserve">de dos mil </w:t>
      </w:r>
      <w:r w:rsidR="0032096A" w:rsidRPr="00D943A1">
        <w:rPr>
          <w:rFonts w:eastAsia="Palatino Linotype" w:cs="Palatino Linotype"/>
          <w:color w:val="000000"/>
          <w:szCs w:val="24"/>
        </w:rPr>
        <w:t>veintidós</w:t>
      </w:r>
      <w:r w:rsidRPr="00D943A1">
        <w:rPr>
          <w:rFonts w:eastAsia="Palatino Linotype" w:cs="Palatino Linotype"/>
          <w:color w:val="000000"/>
          <w:szCs w:val="24"/>
        </w:rPr>
        <w:t xml:space="preserve">, el cual se registró </w:t>
      </w:r>
      <w:r w:rsidR="00E05F1C" w:rsidRPr="00D943A1">
        <w:rPr>
          <w:rFonts w:eastAsia="Palatino Linotype" w:cs="Palatino Linotype"/>
          <w:color w:val="000000"/>
          <w:szCs w:val="24"/>
        </w:rPr>
        <w:t xml:space="preserve">en el SAIMEX </w:t>
      </w:r>
      <w:r w:rsidRPr="00D943A1">
        <w:rPr>
          <w:rFonts w:eastAsia="Palatino Linotype" w:cs="Palatino Linotype"/>
          <w:color w:val="000000"/>
          <w:szCs w:val="24"/>
        </w:rPr>
        <w:t xml:space="preserve">con el expediente número </w:t>
      </w:r>
      <w:r w:rsidR="00C02A50" w:rsidRPr="00D943A1">
        <w:rPr>
          <w:rFonts w:eastAsia="Palatino Linotype" w:cs="Palatino Linotype"/>
          <w:b/>
          <w:color w:val="000000"/>
          <w:szCs w:val="24"/>
        </w:rPr>
        <w:t>15455</w:t>
      </w:r>
      <w:r w:rsidR="008D4CC6" w:rsidRPr="00D943A1">
        <w:rPr>
          <w:rFonts w:eastAsia="Palatino Linotype" w:cs="Palatino Linotype"/>
          <w:b/>
          <w:color w:val="000000"/>
          <w:szCs w:val="24"/>
        </w:rPr>
        <w:t>/INFOEM/IP/RR/202</w:t>
      </w:r>
      <w:r w:rsidR="00C02A50" w:rsidRPr="00D943A1">
        <w:rPr>
          <w:rFonts w:eastAsia="Palatino Linotype" w:cs="Palatino Linotype"/>
          <w:b/>
          <w:color w:val="000000"/>
          <w:szCs w:val="24"/>
        </w:rPr>
        <w:t>2</w:t>
      </w:r>
      <w:r w:rsidR="00A06896" w:rsidRPr="00D943A1">
        <w:rPr>
          <w:rFonts w:eastAsia="Palatino Linotype" w:cs="Palatino Linotype"/>
          <w:color w:val="000000"/>
          <w:szCs w:val="24"/>
        </w:rPr>
        <w:t xml:space="preserve">, </w:t>
      </w:r>
      <w:r w:rsidR="00A24265" w:rsidRPr="00D943A1">
        <w:rPr>
          <w:rFonts w:eastAsia="Palatino Linotype" w:cs="Palatino Linotype"/>
          <w:color w:val="000000"/>
          <w:szCs w:val="24"/>
        </w:rPr>
        <w:t>manifestando</w:t>
      </w:r>
      <w:r w:rsidRPr="00D943A1">
        <w:rPr>
          <w:rFonts w:eastAsia="Palatino Linotype" w:cs="Palatino Linotype"/>
          <w:color w:val="000000"/>
          <w:szCs w:val="24"/>
        </w:rPr>
        <w:t xml:space="preserve"> lo siguiente:</w:t>
      </w:r>
    </w:p>
    <w:p w14:paraId="7AA0C9F4" w14:textId="046134A0" w:rsidR="00A970D5" w:rsidRPr="00D943A1" w:rsidRDefault="00A970D5" w:rsidP="006922F5">
      <w:pPr>
        <w:pBdr>
          <w:top w:val="nil"/>
          <w:left w:val="nil"/>
          <w:bottom w:val="nil"/>
          <w:right w:val="nil"/>
          <w:between w:val="nil"/>
        </w:pBdr>
        <w:contextualSpacing/>
        <w:rPr>
          <w:rFonts w:eastAsia="Palatino Linotype" w:cs="Palatino Linotype"/>
          <w:color w:val="000000"/>
          <w:sz w:val="22"/>
        </w:rPr>
      </w:pPr>
    </w:p>
    <w:p w14:paraId="4A0EFE5A" w14:textId="4DD9B60C" w:rsidR="00A970D5" w:rsidRPr="00D943A1" w:rsidRDefault="00A970D5" w:rsidP="009279EC">
      <w:pPr>
        <w:spacing w:line="240" w:lineRule="auto"/>
        <w:contextualSpacing/>
        <w:rPr>
          <w:b/>
        </w:rPr>
      </w:pPr>
      <w:r w:rsidRPr="00D943A1">
        <w:rPr>
          <w:rFonts w:eastAsia="Palatino Linotype" w:cs="Palatino Linotype"/>
          <w:b/>
        </w:rPr>
        <w:t>Acto Impugnado:</w:t>
      </w:r>
      <w:r w:rsidR="00655007" w:rsidRPr="00D943A1">
        <w:rPr>
          <w:rFonts w:eastAsia="Palatino Linotype" w:cs="Palatino Linotype"/>
          <w:b/>
        </w:rPr>
        <w:t xml:space="preserve"> </w:t>
      </w:r>
      <w:r w:rsidRPr="00D943A1">
        <w:rPr>
          <w:i/>
          <w:iCs/>
        </w:rPr>
        <w:t>“</w:t>
      </w:r>
      <w:r w:rsidR="007E4F19" w:rsidRPr="00D943A1">
        <w:rPr>
          <w:i/>
          <w:iCs/>
        </w:rPr>
        <w:t>Informacion incorrecta</w:t>
      </w:r>
      <w:r w:rsidRPr="00D943A1">
        <w:rPr>
          <w:i/>
          <w:iCs/>
        </w:rPr>
        <w:t>"(Sic)</w:t>
      </w:r>
    </w:p>
    <w:p w14:paraId="3C40A441" w14:textId="77777777" w:rsidR="00A970D5" w:rsidRPr="00D943A1" w:rsidRDefault="00A970D5" w:rsidP="006922F5">
      <w:pPr>
        <w:contextualSpacing/>
        <w:rPr>
          <w:rFonts w:eastAsia="Palatino Linotype" w:cs="Palatino Linotype"/>
          <w:iCs/>
          <w:szCs w:val="24"/>
        </w:rPr>
      </w:pPr>
    </w:p>
    <w:p w14:paraId="2DAC342E" w14:textId="3600B36A" w:rsidR="00A970D5" w:rsidRPr="00D943A1" w:rsidRDefault="00A970D5" w:rsidP="009279EC">
      <w:pPr>
        <w:spacing w:line="240" w:lineRule="auto"/>
        <w:contextualSpacing/>
        <w:rPr>
          <w:i/>
          <w:iCs/>
        </w:rPr>
      </w:pPr>
      <w:r w:rsidRPr="00D943A1">
        <w:rPr>
          <w:rFonts w:eastAsia="Palatino Linotype" w:cs="Palatino Linotype"/>
          <w:b/>
        </w:rPr>
        <w:t>Razones o Motivos de Inconformidad</w:t>
      </w:r>
      <w:r w:rsidR="00004014" w:rsidRPr="00D943A1">
        <w:rPr>
          <w:rFonts w:eastAsia="Palatino Linotype" w:cs="Palatino Linotype"/>
        </w:rPr>
        <w:t>:</w:t>
      </w:r>
      <w:r w:rsidR="009279EC" w:rsidRPr="00D943A1">
        <w:rPr>
          <w:rFonts w:eastAsia="Palatino Linotype" w:cs="Palatino Linotype"/>
        </w:rPr>
        <w:t xml:space="preserve"> </w:t>
      </w:r>
      <w:r w:rsidRPr="00D943A1">
        <w:rPr>
          <w:i/>
          <w:iCs/>
        </w:rPr>
        <w:t>“</w:t>
      </w:r>
      <w:r w:rsidR="007E4F19" w:rsidRPr="00D943A1">
        <w:rPr>
          <w:i/>
          <w:iCs/>
        </w:rPr>
        <w:t>Se solicito el programa de auditorias para el 2022, no sus estadísticas, siendo estas últimas entregadas y solo para el periodo de enero a septiembre, no de todo el ejercicio solicitado. Por otra parte, no están ocupando la suplencia de la terminología ya que desconozco los términos exactos utilizados, mi solicitud no se refiere al nombre con el que se denomina la acción de fiscalizar sino a las demás actividades que conlleven una revisión por parte de la contraloria</w:t>
      </w:r>
      <w:r w:rsidRPr="00D943A1">
        <w:rPr>
          <w:i/>
          <w:iCs/>
        </w:rPr>
        <w:t>” (Sic)</w:t>
      </w:r>
    </w:p>
    <w:p w14:paraId="06A7D20F" w14:textId="77777777" w:rsidR="00A978AF" w:rsidRPr="00D943A1"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D943A1" w:rsidRDefault="008E24B6" w:rsidP="006922F5">
      <w:pPr>
        <w:pStyle w:val="Ttulo2"/>
        <w:rPr>
          <w:rFonts w:eastAsia="Palatino Linotype"/>
        </w:rPr>
      </w:pPr>
      <w:r w:rsidRPr="00D943A1">
        <w:rPr>
          <w:rFonts w:eastAsia="Palatino Linotype"/>
        </w:rPr>
        <w:t>CUARTO</w:t>
      </w:r>
      <w:r w:rsidR="00A970D5" w:rsidRPr="00D943A1">
        <w:rPr>
          <w:rFonts w:eastAsia="Palatino Linotype"/>
        </w:rPr>
        <w:t>. Del turno y admisión del recurso de revisión.</w:t>
      </w:r>
    </w:p>
    <w:p w14:paraId="2459DEBA" w14:textId="4E94B99C"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 xml:space="preserve">Medio de impugnación que le fue turnado al </w:t>
      </w:r>
      <w:r w:rsidRPr="00D943A1">
        <w:rPr>
          <w:rFonts w:eastAsia="Palatino Linotype" w:cs="Palatino Linotype"/>
          <w:b/>
          <w:color w:val="000000"/>
          <w:szCs w:val="24"/>
        </w:rPr>
        <w:t xml:space="preserve">Comisionado </w:t>
      </w:r>
      <w:r w:rsidR="009F1E25" w:rsidRPr="00D943A1">
        <w:rPr>
          <w:rFonts w:eastAsia="Palatino Linotype" w:cs="Palatino Linotype"/>
          <w:b/>
          <w:color w:val="000000"/>
          <w:szCs w:val="24"/>
        </w:rPr>
        <w:t xml:space="preserve">Presidente </w:t>
      </w:r>
      <w:r w:rsidRPr="00D943A1">
        <w:rPr>
          <w:rFonts w:eastAsia="Palatino Linotype" w:cs="Palatino Linotype"/>
          <w:b/>
          <w:color w:val="000000"/>
          <w:szCs w:val="24"/>
        </w:rPr>
        <w:t>José Martínez Vilchis</w:t>
      </w:r>
      <w:r w:rsidRPr="00D943A1">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D943A1">
        <w:rPr>
          <w:rFonts w:eastAsia="Palatino Linotype" w:cs="Palatino Linotype"/>
          <w:color w:val="000000"/>
          <w:szCs w:val="24"/>
        </w:rPr>
        <w:t>tado de México y Municipios, al</w:t>
      </w:r>
      <w:r w:rsidRPr="00D943A1">
        <w:rPr>
          <w:rFonts w:eastAsia="Palatino Linotype" w:cs="Palatino Linotype"/>
          <w:color w:val="000000"/>
          <w:szCs w:val="24"/>
        </w:rPr>
        <w:t xml:space="preserve"> cu</w:t>
      </w:r>
      <w:r w:rsidR="008B2951" w:rsidRPr="00D943A1">
        <w:rPr>
          <w:rFonts w:eastAsia="Palatino Linotype" w:cs="Palatino Linotype"/>
          <w:color w:val="000000"/>
          <w:szCs w:val="24"/>
        </w:rPr>
        <w:t>al recayó acuerdo de admisión de</w:t>
      </w:r>
      <w:r w:rsidRPr="00D943A1">
        <w:rPr>
          <w:rFonts w:eastAsia="Palatino Linotype" w:cs="Palatino Linotype"/>
          <w:color w:val="000000"/>
          <w:szCs w:val="24"/>
        </w:rPr>
        <w:t xml:space="preserve"> fecha</w:t>
      </w:r>
      <w:r w:rsidR="008A637C" w:rsidRPr="00D943A1">
        <w:rPr>
          <w:rFonts w:eastAsia="Palatino Linotype" w:cs="Palatino Linotype"/>
          <w:color w:val="000000"/>
          <w:szCs w:val="24"/>
        </w:rPr>
        <w:t xml:space="preserve"> </w:t>
      </w:r>
      <w:r w:rsidR="007E4F19" w:rsidRPr="00D943A1">
        <w:rPr>
          <w:rFonts w:eastAsia="Palatino Linotype" w:cs="Palatino Linotype"/>
          <w:color w:val="000000"/>
          <w:szCs w:val="24"/>
        </w:rPr>
        <w:t>trece de octubre de dos mil veintidós</w:t>
      </w:r>
      <w:r w:rsidRPr="00D943A1">
        <w:rPr>
          <w:rFonts w:eastAsia="Palatino Linotype" w:cs="Palatino Linotype"/>
          <w:color w:val="000000"/>
          <w:szCs w:val="24"/>
        </w:rPr>
        <w:t xml:space="preserve">, </w:t>
      </w:r>
      <w:r w:rsidRPr="00D943A1">
        <w:rPr>
          <w:rFonts w:eastAsia="Palatino Linotype" w:cs="Palatino Linotype"/>
          <w:szCs w:val="24"/>
        </w:rPr>
        <w:t>otorgándose</w:t>
      </w:r>
      <w:r w:rsidRPr="00D943A1">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D943A1" w:rsidRDefault="008E24B6" w:rsidP="006922F5">
      <w:pPr>
        <w:pStyle w:val="Ttulo2"/>
        <w:rPr>
          <w:rFonts w:eastAsia="Palatino Linotype"/>
        </w:rPr>
      </w:pPr>
      <w:r w:rsidRPr="00D943A1">
        <w:rPr>
          <w:rFonts w:eastAsia="Palatino Linotype"/>
        </w:rPr>
        <w:t>QUINTO</w:t>
      </w:r>
      <w:r w:rsidR="00A970D5" w:rsidRPr="00D943A1">
        <w:rPr>
          <w:rFonts w:eastAsia="Palatino Linotype"/>
        </w:rPr>
        <w:t>. De la etapa de instrucción.</w:t>
      </w:r>
    </w:p>
    <w:p w14:paraId="134297B7" w14:textId="15D3C0BC" w:rsidR="00EB47A3" w:rsidRPr="00D943A1" w:rsidRDefault="007E4F19" w:rsidP="00EB47A3">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 xml:space="preserve">De las constancias que obran en el expediente electrónico del SAIMEX se desprende que El Sujeto Obligado remitió su informe justificado mediante diversos archivos, los días </w:t>
      </w:r>
      <w:r w:rsidRPr="00D943A1">
        <w:rPr>
          <w:rFonts w:eastAsia="Palatino Linotype" w:cs="Palatino Linotype"/>
          <w:color w:val="000000"/>
          <w:szCs w:val="24"/>
        </w:rPr>
        <w:lastRenderedPageBreak/>
        <w:t>veinticuatro de octubre de dos mil veintidós</w:t>
      </w:r>
      <w:r w:rsidR="009764F9" w:rsidRPr="00D943A1">
        <w:rPr>
          <w:rFonts w:eastAsia="Palatino Linotype" w:cs="Palatino Linotype"/>
          <w:color w:val="000000"/>
          <w:szCs w:val="24"/>
        </w:rPr>
        <w:t xml:space="preserve"> y veinticinco de agosto de dos mil veintitrés</w:t>
      </w:r>
      <w:r w:rsidRPr="00D943A1">
        <w:rPr>
          <w:rFonts w:eastAsia="Palatino Linotype" w:cs="Palatino Linotype"/>
          <w:color w:val="000000"/>
          <w:szCs w:val="24"/>
        </w:rPr>
        <w:t xml:space="preserve">; mismos que se pusieron a la vista del particular, mediante Acuerdo de fecha </w:t>
      </w:r>
      <w:r w:rsidR="009764F9" w:rsidRPr="00D943A1">
        <w:rPr>
          <w:rFonts w:eastAsia="Palatino Linotype" w:cs="Palatino Linotype"/>
          <w:color w:val="000000"/>
          <w:szCs w:val="24"/>
        </w:rPr>
        <w:t xml:space="preserve">veintinueve de agosto </w:t>
      </w:r>
      <w:r w:rsidRPr="00D943A1">
        <w:rPr>
          <w:rFonts w:eastAsia="Palatino Linotype" w:cs="Palatino Linotype"/>
          <w:color w:val="000000"/>
          <w:szCs w:val="24"/>
        </w:rPr>
        <w:t>de dos mil veintitrés; por su parte, El Recurrente, no realizó alegatos, ni remitió pruebas o manifestaciones.</w:t>
      </w:r>
    </w:p>
    <w:p w14:paraId="5B536618" w14:textId="7ED50870" w:rsidR="00C02596" w:rsidRPr="00D943A1" w:rsidRDefault="00C02596" w:rsidP="006922F5">
      <w:pPr>
        <w:pBdr>
          <w:top w:val="nil"/>
          <w:left w:val="nil"/>
          <w:bottom w:val="nil"/>
          <w:right w:val="nil"/>
          <w:between w:val="nil"/>
        </w:pBdr>
        <w:contextualSpacing/>
        <w:rPr>
          <w:rFonts w:eastAsia="Palatino Linotype" w:cs="Palatino Linotype"/>
          <w:color w:val="000000"/>
          <w:szCs w:val="24"/>
        </w:rPr>
      </w:pPr>
    </w:p>
    <w:p w14:paraId="61ABB6EE" w14:textId="208604E1" w:rsidR="009B2A43" w:rsidRPr="00D943A1" w:rsidRDefault="009B2A43" w:rsidP="009B2A43">
      <w:pPr>
        <w:rPr>
          <w:rFonts w:eastAsia="Times New Roman" w:cs="Times New Roman"/>
          <w:b/>
          <w:sz w:val="28"/>
          <w:szCs w:val="26"/>
          <w:lang w:eastAsia="es-ES"/>
        </w:rPr>
      </w:pPr>
      <w:r w:rsidRPr="00D943A1">
        <w:rPr>
          <w:rFonts w:cs="Arial"/>
          <w:b/>
          <w:sz w:val="28"/>
          <w:szCs w:val="24"/>
        </w:rPr>
        <w:t xml:space="preserve">SEXTO. </w:t>
      </w:r>
      <w:r w:rsidRPr="00D943A1">
        <w:rPr>
          <w:rFonts w:eastAsia="Times New Roman" w:cs="Times New Roman"/>
          <w:b/>
          <w:sz w:val="28"/>
          <w:szCs w:val="26"/>
          <w:lang w:eastAsia="es-ES"/>
        </w:rPr>
        <w:t>De la ampliación del término para resolver.</w:t>
      </w:r>
    </w:p>
    <w:p w14:paraId="1395A034" w14:textId="4C43D1AD" w:rsidR="009B2A43" w:rsidRPr="00D943A1" w:rsidRDefault="009B2A43" w:rsidP="009B2A43">
      <w:r w:rsidRPr="00D943A1">
        <w:t xml:space="preserve">En fecha veintiocho de noviembre de dos mil </w:t>
      </w:r>
      <w:r w:rsidR="0032096A" w:rsidRPr="00D943A1">
        <w:t>veintidós</w:t>
      </w:r>
      <w:r w:rsidRPr="00D943A1">
        <w:t>, se amplió el término para resolver el recurso de revisión en términos del artículo 181, párrafo tercero, de la Ley de Transparencia y Acceso a la Información Pública del Estado de México y Municipios por un plazo de quince días hábiles.</w:t>
      </w:r>
    </w:p>
    <w:p w14:paraId="6E2FB943" w14:textId="77777777" w:rsidR="009B2A43" w:rsidRPr="00D943A1" w:rsidRDefault="009B2A43" w:rsidP="009B2A43"/>
    <w:p w14:paraId="37E33F65" w14:textId="77777777" w:rsidR="009B2A43" w:rsidRPr="00D943A1" w:rsidRDefault="009B2A43" w:rsidP="009B2A43">
      <w:r w:rsidRPr="00D943A1">
        <w:t xml:space="preserve">Este organismo garante no pasa por alto justificar, </w:t>
      </w:r>
      <w:r w:rsidRPr="00D943A1">
        <w:rPr>
          <w:bCs/>
        </w:rPr>
        <w:t xml:space="preserve">que el plazo para emitir resolución en el presente asunto </w:t>
      </w:r>
      <w:r w:rsidRPr="00D943A1">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403C981" w14:textId="77777777" w:rsidR="009B2A43" w:rsidRPr="00D943A1" w:rsidRDefault="009B2A43" w:rsidP="009B2A43"/>
    <w:p w14:paraId="40561C1A" w14:textId="77777777" w:rsidR="009B2A43" w:rsidRPr="00D943A1" w:rsidRDefault="009B2A43" w:rsidP="009B2A43">
      <w:r w:rsidRPr="00D943A1">
        <w:t xml:space="preserve">Por ello, es menester precisar que si bien se ha excedido el plazo para resolver el presente medio de impugnación, de conformidad con la ley de la materia, </w:t>
      </w:r>
      <w:r w:rsidRPr="00D943A1">
        <w:rPr>
          <w:bCs/>
        </w:rPr>
        <w:t>el plazo para emitir resolución</w:t>
      </w:r>
      <w:r w:rsidRPr="00D943A1">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280DACD" w14:textId="77777777" w:rsidR="009B2A43" w:rsidRPr="00D943A1" w:rsidRDefault="009B2A43" w:rsidP="009B2A43">
      <w:r w:rsidRPr="00D943A1">
        <w:lastRenderedPageBreak/>
        <w:t xml:space="preserve"> </w:t>
      </w:r>
    </w:p>
    <w:p w14:paraId="6456BDA4" w14:textId="77777777" w:rsidR="009B2A43" w:rsidRPr="00D943A1" w:rsidRDefault="009B2A43" w:rsidP="009B2A43">
      <w:r w:rsidRPr="00D943A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B62E3E" w14:textId="77777777" w:rsidR="009B2A43" w:rsidRPr="00D943A1" w:rsidRDefault="009B2A43" w:rsidP="009B2A43"/>
    <w:p w14:paraId="5E18EF6A" w14:textId="77777777" w:rsidR="009B2A43" w:rsidRPr="00D943A1" w:rsidRDefault="009B2A43" w:rsidP="009B2A43">
      <w:r w:rsidRPr="00D943A1">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A5AF1D" w14:textId="77777777" w:rsidR="009B2A43" w:rsidRPr="00D943A1" w:rsidRDefault="009B2A43" w:rsidP="009B2A43"/>
    <w:p w14:paraId="583BE42B" w14:textId="77777777" w:rsidR="009B2A43" w:rsidRPr="00D943A1" w:rsidRDefault="009B2A43" w:rsidP="009B2A43">
      <w:r w:rsidRPr="00D943A1">
        <w:t xml:space="preserve">Por ello, excepcionalmente, si un asunto es resuelto con posterioridad a los plazos señalados por la norma debe analizarse la razonabilidad del tiempo necesario para su resolución, atentos a los siguientes criterios:  </w:t>
      </w:r>
    </w:p>
    <w:p w14:paraId="0CAD308C" w14:textId="77777777" w:rsidR="009B2A43" w:rsidRPr="00D943A1" w:rsidRDefault="009B2A43" w:rsidP="009B2A43">
      <w:pPr>
        <w:spacing w:line="240" w:lineRule="auto"/>
      </w:pPr>
    </w:p>
    <w:p w14:paraId="6B2C260D" w14:textId="77777777" w:rsidR="009B2A43" w:rsidRPr="00D943A1" w:rsidRDefault="009B2A43" w:rsidP="009B2A43">
      <w:r w:rsidRPr="00D943A1">
        <w:t>a)      Complejidad del asunto: La complejidad de la prueba, la pluralidad de sujetos procesales, el tiempo transcurrido, las características y contexto del recurso.</w:t>
      </w:r>
    </w:p>
    <w:p w14:paraId="17BCAD99" w14:textId="77777777" w:rsidR="009B2A43" w:rsidRPr="00D943A1" w:rsidRDefault="009B2A43" w:rsidP="009B2A43">
      <w:r w:rsidRPr="00D943A1">
        <w:t>b)     Actividad Procesal del interesado: Acciones u omisiones del interesado.</w:t>
      </w:r>
    </w:p>
    <w:p w14:paraId="3C5C7736" w14:textId="77777777" w:rsidR="009B2A43" w:rsidRPr="00D943A1" w:rsidRDefault="009B2A43" w:rsidP="009B2A43">
      <w:r w:rsidRPr="00D943A1">
        <w:t>c)  Conducta de la Autoridad: Las Acciones u omisiones realizadas en el procedimiento. Así como si la autoridad actuó con la debida diligencia.</w:t>
      </w:r>
    </w:p>
    <w:p w14:paraId="42562809" w14:textId="77777777" w:rsidR="009B2A43" w:rsidRPr="00D943A1" w:rsidRDefault="009B2A43" w:rsidP="009B2A43">
      <w:r w:rsidRPr="00D943A1">
        <w:t>d) La afectación generada en la situación jurídica de la persona involucrada en el proceso: Violación a sus derechos humanos.</w:t>
      </w:r>
    </w:p>
    <w:p w14:paraId="7E4ABDCD" w14:textId="77777777" w:rsidR="009B2A43" w:rsidRPr="00D943A1" w:rsidRDefault="009B2A43" w:rsidP="009B2A43"/>
    <w:p w14:paraId="14606E31" w14:textId="77777777" w:rsidR="009B2A43" w:rsidRPr="00D943A1" w:rsidRDefault="009B2A43" w:rsidP="009B2A43">
      <w:r w:rsidRPr="00D943A1">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700612" w14:textId="77777777" w:rsidR="009B2A43" w:rsidRPr="00D943A1" w:rsidRDefault="009B2A43" w:rsidP="009B2A43">
      <w:r w:rsidRPr="00D943A1">
        <w:t xml:space="preserve">Argumento que encuentra sustento en la jurisprudencia P./J. 32/92 emitida por el Pleno de la Suprema Corte de Justicia de la Nación de rubro </w:t>
      </w:r>
      <w:r w:rsidRPr="00D943A1">
        <w:rPr>
          <w:i/>
        </w:rPr>
        <w:t>“TÉRMINOS PROCESALES. PARA DETERMINAR SI UN FUNCIONARIO JUDICIAL ACTUÓ INDEBIDAMENTE POR NO RESPETARLOS SE DEBE ATENDER AL PRESUPUESTO QUE CONSIDERÓ EL LEGISLADOR AL FIJARLOS Y LAS CARACTERÍSTICAS DEL CASO.”</w:t>
      </w:r>
      <w:r w:rsidRPr="00D943A1">
        <w:t>, visible en la Gaceta del Seminario Judicial de la Federación con el registro digital 205635.</w:t>
      </w:r>
    </w:p>
    <w:p w14:paraId="2EA5CA30" w14:textId="77777777" w:rsidR="009B2A43" w:rsidRPr="00D943A1" w:rsidRDefault="009B2A43" w:rsidP="009B2A43"/>
    <w:p w14:paraId="294A71A0" w14:textId="77777777" w:rsidR="009B2A43" w:rsidRPr="00D943A1" w:rsidRDefault="009B2A43" w:rsidP="009B2A43">
      <w:r w:rsidRPr="00D943A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5C6F7" w14:textId="77777777" w:rsidR="009B2A43" w:rsidRPr="00D943A1" w:rsidRDefault="009B2A43" w:rsidP="009B2A43"/>
    <w:p w14:paraId="1ADEC248" w14:textId="77777777" w:rsidR="009B2A43" w:rsidRPr="00D943A1" w:rsidRDefault="009B2A43" w:rsidP="009B2A43">
      <w:r w:rsidRPr="00D943A1">
        <w:lastRenderedPageBreak/>
        <w:t>Al respecto, también son de considerar los criterios sostenidos por el Cuarto Tribunal Colegiado en Materia Administrativa del Primer Circuito, cuyos rubros y datos de identificación son los siguientes:</w:t>
      </w:r>
    </w:p>
    <w:p w14:paraId="6ED001BF" w14:textId="77777777" w:rsidR="009B2A43" w:rsidRPr="00D943A1" w:rsidRDefault="009B2A43" w:rsidP="009B2A43">
      <w:pPr>
        <w:rPr>
          <w:b/>
          <w:i/>
        </w:rPr>
      </w:pPr>
    </w:p>
    <w:p w14:paraId="3CDFE211" w14:textId="77777777" w:rsidR="009B2A43" w:rsidRPr="00D943A1" w:rsidRDefault="009B2A43" w:rsidP="009B2A43">
      <w:r w:rsidRPr="00D943A1">
        <w:rPr>
          <w:b/>
          <w:i/>
        </w:rPr>
        <w:t>“PLAZO RAZONABLE PARA RESOLVER. DIMENSIÓN Y EFECTOS DE ESTE CONCEPTO CUANDO SE ADUCE EXCESIVA CARGA DE TRABAJO.”</w:t>
      </w:r>
      <w:r w:rsidRPr="00D943A1">
        <w:t xml:space="preserve"> consultable en el Seminario Judicial de la Federación y su gaceta, con el registro digital 2002351.</w:t>
      </w:r>
    </w:p>
    <w:p w14:paraId="73F06C61" w14:textId="77777777" w:rsidR="009B2A43" w:rsidRPr="00D943A1" w:rsidRDefault="009B2A43" w:rsidP="009B2A43">
      <w:r w:rsidRPr="00D943A1">
        <w:rPr>
          <w:b/>
          <w:i/>
        </w:rPr>
        <w:t>“PLAZO RAZONABLE PARA RESOLVER. CONCEPTO Y ELEMENTOS QUE LO INTEGRAN A LA LUZ DEL DERECHO INTERNACIONAL DE LOS DERECHOS HUMANOS.”</w:t>
      </w:r>
      <w:r w:rsidRPr="00D943A1">
        <w:t>, visible en el Seminario Judicial de la Federación y su gaceta, con el registro digital 2002350.</w:t>
      </w:r>
    </w:p>
    <w:p w14:paraId="697ACD02" w14:textId="77777777" w:rsidR="009B2A43" w:rsidRPr="00D943A1" w:rsidRDefault="009B2A43" w:rsidP="009B2A43"/>
    <w:p w14:paraId="2456F4BD" w14:textId="2717A4AA" w:rsidR="00A970D5" w:rsidRPr="00D943A1" w:rsidRDefault="009B2A43" w:rsidP="009B2A43">
      <w:pPr>
        <w:pStyle w:val="Ttulo2"/>
        <w:rPr>
          <w:rFonts w:eastAsia="Palatino Linotype" w:cs="Palatino Linotype"/>
          <w:color w:val="000000"/>
          <w:szCs w:val="24"/>
        </w:rPr>
      </w:pPr>
      <w:r w:rsidRPr="00D943A1">
        <w:rPr>
          <w:bCs/>
          <w:sz w:val="24"/>
        </w:rPr>
        <w:t>Por ello, este organismo garante comprometido con la tutela de los derechos humanos confiados, señala que este exceso del plazo legal para resolver el presente asunto, resulta de carácter excepcional.</w:t>
      </w:r>
    </w:p>
    <w:p w14:paraId="364CFBE5" w14:textId="77777777" w:rsidR="00A914F3" w:rsidRPr="00D943A1" w:rsidRDefault="00A914F3" w:rsidP="006922F5">
      <w:pPr>
        <w:pBdr>
          <w:top w:val="nil"/>
          <w:left w:val="nil"/>
          <w:bottom w:val="nil"/>
          <w:right w:val="nil"/>
          <w:between w:val="nil"/>
        </w:pBdr>
        <w:contextualSpacing/>
        <w:rPr>
          <w:rFonts w:eastAsia="Palatino Linotype" w:cs="Palatino Linotype"/>
          <w:color w:val="000000"/>
          <w:szCs w:val="24"/>
        </w:rPr>
      </w:pPr>
    </w:p>
    <w:p w14:paraId="78B977E0" w14:textId="77777777" w:rsidR="009B2A43" w:rsidRPr="00D943A1" w:rsidRDefault="008E24B6" w:rsidP="009B2A43">
      <w:pPr>
        <w:pStyle w:val="Ttulo2"/>
        <w:rPr>
          <w:rFonts w:eastAsia="Palatino Linotype"/>
        </w:rPr>
      </w:pPr>
      <w:r w:rsidRPr="00D943A1">
        <w:rPr>
          <w:rFonts w:eastAsiaTheme="minorHAnsi"/>
          <w:lang w:eastAsia="en-US"/>
        </w:rPr>
        <w:t>SÉPTIMO</w:t>
      </w:r>
      <w:r w:rsidR="00A914F3" w:rsidRPr="00D943A1">
        <w:rPr>
          <w:rFonts w:eastAsiaTheme="minorHAnsi"/>
          <w:lang w:eastAsia="en-US"/>
        </w:rPr>
        <w:t xml:space="preserve">. </w:t>
      </w:r>
      <w:r w:rsidR="009B2A43" w:rsidRPr="00D943A1">
        <w:rPr>
          <w:rFonts w:eastAsia="Palatino Linotype"/>
        </w:rPr>
        <w:t>Del cierre de instrucción.</w:t>
      </w:r>
    </w:p>
    <w:p w14:paraId="7E38BCB0" w14:textId="59360FDE" w:rsidR="009B2A43" w:rsidRPr="00D943A1" w:rsidRDefault="009B2A43" w:rsidP="009B2A43">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 xml:space="preserve">Así, una vez transcurrido el término legal, se decretó el cierre de instrucción en fecha </w:t>
      </w:r>
      <w:r w:rsidR="009764F9" w:rsidRPr="00D943A1">
        <w:rPr>
          <w:rFonts w:eastAsia="Palatino Linotype" w:cs="Palatino Linotype"/>
          <w:color w:val="000000"/>
          <w:szCs w:val="24"/>
        </w:rPr>
        <w:t xml:space="preserve">cinco de septiembre de </w:t>
      </w:r>
      <w:r w:rsidRPr="00D943A1">
        <w:rPr>
          <w:rFonts w:eastAsia="Palatino Linotype" w:cs="Palatino Linotype"/>
          <w:color w:val="000000"/>
          <w:szCs w:val="24"/>
        </w:rPr>
        <w:t>dos mil veintitrés, en términos del artículo 185 fracción VI de la Ley de Transparencia y Acceso a la Información Pública del Estado de México y Municipios, iniciando el término legal para dictar resolución definitiva del asunto.</w:t>
      </w:r>
    </w:p>
    <w:p w14:paraId="2B961806" w14:textId="1A819D25" w:rsidR="00A914F3" w:rsidRPr="00D943A1" w:rsidRDefault="00A914F3" w:rsidP="009B2A43">
      <w:pPr>
        <w:pStyle w:val="Ttulo2"/>
        <w:rPr>
          <w:rFonts w:eastAsiaTheme="minorHAnsi" w:cstheme="minorBidi"/>
          <w:szCs w:val="24"/>
          <w:lang w:eastAsia="en-US"/>
        </w:rPr>
      </w:pPr>
    </w:p>
    <w:p w14:paraId="6DC89436" w14:textId="77777777" w:rsidR="009A4D87" w:rsidRPr="00D943A1"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943A1" w:rsidRDefault="00A970D5" w:rsidP="006922F5">
      <w:pPr>
        <w:pStyle w:val="Ttulo1"/>
        <w:rPr>
          <w:rFonts w:eastAsia="Palatino Linotype"/>
          <w:lang w:val="es-ES_tradnl"/>
        </w:rPr>
      </w:pPr>
      <w:r w:rsidRPr="00D943A1">
        <w:rPr>
          <w:rFonts w:eastAsia="Palatino Linotype"/>
          <w:lang w:val="es-ES_tradnl"/>
        </w:rPr>
        <w:lastRenderedPageBreak/>
        <w:t>C O N S I D E R A N D O</w:t>
      </w:r>
    </w:p>
    <w:p w14:paraId="32546275"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04A478A3" w14:textId="77777777" w:rsidR="000D7FF4" w:rsidRPr="00D943A1" w:rsidRDefault="000D7FF4" w:rsidP="000D7FF4">
      <w:pPr>
        <w:rPr>
          <w:rFonts w:cs="Arial"/>
          <w:sz w:val="28"/>
          <w:szCs w:val="28"/>
        </w:rPr>
      </w:pPr>
      <w:r w:rsidRPr="00D943A1">
        <w:rPr>
          <w:rFonts w:cs="Arial"/>
          <w:b/>
          <w:sz w:val="28"/>
          <w:szCs w:val="28"/>
        </w:rPr>
        <w:t xml:space="preserve">PRIMERO. </w:t>
      </w:r>
      <w:r w:rsidRPr="00D943A1">
        <w:rPr>
          <w:rFonts w:cs="Arial"/>
          <w:b/>
          <w:sz w:val="26"/>
          <w:szCs w:val="26"/>
        </w:rPr>
        <w:t>De la competencia</w:t>
      </w:r>
      <w:r w:rsidRPr="00D943A1">
        <w:rPr>
          <w:rFonts w:cs="Arial"/>
          <w:sz w:val="26"/>
          <w:szCs w:val="26"/>
        </w:rPr>
        <w:t>.</w:t>
      </w:r>
    </w:p>
    <w:p w14:paraId="34B4A7FC" w14:textId="77777777" w:rsidR="000D7FF4" w:rsidRPr="00D943A1" w:rsidRDefault="000D7FF4" w:rsidP="000D7FF4">
      <w:pPr>
        <w:autoSpaceDE w:val="0"/>
        <w:autoSpaceDN w:val="0"/>
        <w:adjustRightInd w:val="0"/>
        <w:rPr>
          <w:rFonts w:eastAsia="Times New Roman" w:cs="Arial"/>
          <w:szCs w:val="24"/>
          <w:lang w:val="es-ES" w:eastAsia="es-ES"/>
        </w:rPr>
      </w:pPr>
      <w:r w:rsidRPr="00D943A1">
        <w:rPr>
          <w:rFonts w:eastAsia="Times New Roman" w:cs="Arial"/>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D943A1">
          <w:rPr>
            <w:rFonts w:eastAsia="Times New Roman" w:cs="Arial"/>
            <w:szCs w:val="24"/>
            <w:lang w:val="es-ES" w:eastAsia="es-ES"/>
          </w:rPr>
          <w:t>176, 178, 179, 181</w:t>
        </w:r>
      </w:hyperlink>
      <w:r w:rsidRPr="00D943A1">
        <w:rPr>
          <w:rFonts w:eastAsia="Times New Roman" w:cs="Arial"/>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19D2CD1" w14:textId="77777777" w:rsidR="000D7FF4" w:rsidRPr="00D943A1" w:rsidRDefault="000D7FF4" w:rsidP="000D7FF4">
      <w:pPr>
        <w:autoSpaceDE w:val="0"/>
        <w:autoSpaceDN w:val="0"/>
        <w:adjustRightInd w:val="0"/>
        <w:rPr>
          <w:rFonts w:eastAsia="Times New Roman" w:cs="Arial"/>
          <w:szCs w:val="24"/>
          <w:lang w:val="es-ES" w:eastAsia="es-ES"/>
        </w:rPr>
      </w:pPr>
    </w:p>
    <w:p w14:paraId="55CCFF3A" w14:textId="77777777" w:rsidR="000D7FF4" w:rsidRPr="00D943A1" w:rsidRDefault="000D7FF4" w:rsidP="000D7FF4">
      <w:pPr>
        <w:autoSpaceDE w:val="0"/>
        <w:autoSpaceDN w:val="0"/>
        <w:adjustRightInd w:val="0"/>
        <w:rPr>
          <w:rFonts w:cs="Arial"/>
          <w:b/>
          <w:sz w:val="28"/>
          <w:szCs w:val="28"/>
        </w:rPr>
      </w:pPr>
      <w:r w:rsidRPr="00D943A1">
        <w:rPr>
          <w:rFonts w:cs="Arial"/>
          <w:b/>
          <w:sz w:val="28"/>
          <w:szCs w:val="28"/>
        </w:rPr>
        <w:t xml:space="preserve">SEGUNDO. </w:t>
      </w:r>
      <w:r w:rsidRPr="00D943A1">
        <w:rPr>
          <w:rFonts w:cs="Arial"/>
          <w:b/>
          <w:sz w:val="26"/>
          <w:szCs w:val="26"/>
        </w:rPr>
        <w:t>Alcances del recurso de revisión.</w:t>
      </w:r>
      <w:r w:rsidRPr="00D943A1">
        <w:rPr>
          <w:rFonts w:cs="Arial"/>
          <w:b/>
          <w:sz w:val="28"/>
          <w:szCs w:val="28"/>
        </w:rPr>
        <w:t xml:space="preserve"> </w:t>
      </w:r>
    </w:p>
    <w:p w14:paraId="346841D7" w14:textId="77777777" w:rsidR="000D7FF4" w:rsidRPr="00D943A1" w:rsidRDefault="000D7FF4" w:rsidP="000D7FF4">
      <w:pPr>
        <w:autoSpaceDE w:val="0"/>
        <w:autoSpaceDN w:val="0"/>
        <w:adjustRightInd w:val="0"/>
        <w:rPr>
          <w:rFonts w:eastAsia="Times New Roman" w:cs="Arial"/>
          <w:szCs w:val="24"/>
          <w:lang w:val="es-ES" w:eastAsia="es-ES"/>
        </w:rPr>
      </w:pPr>
      <w:r w:rsidRPr="00D943A1">
        <w:rPr>
          <w:rFonts w:eastAsia="Times New Roman" w:cs="Arial"/>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EB2B2EB" w14:textId="77777777" w:rsidR="000D7FF4" w:rsidRPr="00D943A1" w:rsidRDefault="000D7FF4" w:rsidP="000D7FF4">
      <w:pPr>
        <w:autoSpaceDE w:val="0"/>
        <w:autoSpaceDN w:val="0"/>
        <w:adjustRightInd w:val="0"/>
        <w:rPr>
          <w:rFonts w:eastAsia="Times New Roman" w:cs="Arial"/>
          <w:szCs w:val="24"/>
          <w:lang w:val="es-ES" w:eastAsia="es-ES"/>
        </w:rPr>
      </w:pPr>
    </w:p>
    <w:p w14:paraId="4886A4BB" w14:textId="77777777" w:rsidR="000D7FF4" w:rsidRPr="00D943A1" w:rsidRDefault="000D7FF4" w:rsidP="000D7FF4">
      <w:pPr>
        <w:ind w:right="49"/>
        <w:rPr>
          <w:rFonts w:eastAsia="Times New Roman" w:cs="Arial"/>
          <w:b/>
          <w:sz w:val="26"/>
          <w:szCs w:val="26"/>
          <w:lang w:val="es-ES" w:eastAsia="es-ES"/>
        </w:rPr>
      </w:pPr>
      <w:r w:rsidRPr="00D943A1">
        <w:rPr>
          <w:rFonts w:eastAsia="Times New Roman" w:cs="Arial"/>
          <w:b/>
          <w:sz w:val="28"/>
          <w:szCs w:val="28"/>
          <w:lang w:val="es-419" w:eastAsia="es-ES"/>
        </w:rPr>
        <w:lastRenderedPageBreak/>
        <w:t>TERCERO</w:t>
      </w:r>
      <w:r w:rsidRPr="00D943A1">
        <w:rPr>
          <w:rFonts w:eastAsia="Times New Roman" w:cs="Arial"/>
          <w:b/>
          <w:sz w:val="26"/>
          <w:szCs w:val="26"/>
          <w:lang w:val="es-ES" w:eastAsia="es-ES"/>
        </w:rPr>
        <w:t>.</w:t>
      </w:r>
      <w:r w:rsidRPr="00D943A1">
        <w:rPr>
          <w:rFonts w:eastAsia="Times New Roman" w:cs="Arial"/>
          <w:sz w:val="26"/>
          <w:szCs w:val="26"/>
          <w:lang w:val="es-ES" w:eastAsia="es-ES"/>
        </w:rPr>
        <w:t xml:space="preserve"> </w:t>
      </w:r>
      <w:r w:rsidRPr="00D943A1">
        <w:rPr>
          <w:rFonts w:eastAsia="Times New Roman" w:cs="Arial"/>
          <w:b/>
          <w:sz w:val="26"/>
          <w:szCs w:val="26"/>
          <w:lang w:val="es-ES" w:eastAsia="es-ES"/>
        </w:rPr>
        <w:t xml:space="preserve">De las causas de improcedencia. </w:t>
      </w:r>
    </w:p>
    <w:p w14:paraId="706A7F16" w14:textId="77777777" w:rsidR="000D7FF4" w:rsidRPr="00D943A1" w:rsidRDefault="000D7FF4" w:rsidP="000D7FF4">
      <w:pPr>
        <w:ind w:right="49"/>
        <w:rPr>
          <w:rFonts w:eastAsia="Times New Roman" w:cs="Arial"/>
          <w:szCs w:val="24"/>
          <w:lang w:val="es-ES" w:eastAsia="es-ES"/>
        </w:rPr>
      </w:pPr>
      <w:r w:rsidRPr="00D943A1">
        <w:rPr>
          <w:rFonts w:eastAsia="Times New Roman" w:cs="Arial"/>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943A1">
        <w:rPr>
          <w:rFonts w:eastAsia="Times New Roman" w:cs="Arial"/>
          <w:szCs w:val="24"/>
          <w:vertAlign w:val="superscript"/>
          <w:lang w:val="es-ES" w:eastAsia="es-ES"/>
        </w:rPr>
        <w:footnoteReference w:id="2"/>
      </w:r>
      <w:r w:rsidRPr="00D943A1">
        <w:rPr>
          <w:rFonts w:eastAsia="Times New Roman" w:cs="Arial"/>
          <w:szCs w:val="24"/>
          <w:lang w:val="es-ES" w:eastAsia="es-ES"/>
        </w:rPr>
        <w:t>.</w:t>
      </w:r>
    </w:p>
    <w:p w14:paraId="409A5113" w14:textId="77777777" w:rsidR="000D7FF4" w:rsidRPr="00D943A1" w:rsidRDefault="000D7FF4" w:rsidP="000D7FF4">
      <w:pPr>
        <w:ind w:right="49"/>
        <w:rPr>
          <w:rFonts w:eastAsia="Times New Roman" w:cs="Arial"/>
          <w:szCs w:val="24"/>
          <w:lang w:val="es-ES" w:eastAsia="es-ES"/>
        </w:rPr>
      </w:pPr>
    </w:p>
    <w:p w14:paraId="7B2516E6" w14:textId="77777777" w:rsidR="000D7FF4" w:rsidRPr="00D943A1" w:rsidRDefault="000D7FF4" w:rsidP="000D7FF4">
      <w:pPr>
        <w:autoSpaceDE w:val="0"/>
        <w:autoSpaceDN w:val="0"/>
        <w:adjustRightInd w:val="0"/>
        <w:rPr>
          <w:rFonts w:eastAsia="Times New Roman" w:cs="Arial"/>
          <w:szCs w:val="24"/>
          <w:lang w:val="es-ES" w:eastAsia="es-ES"/>
        </w:rPr>
      </w:pPr>
      <w:r w:rsidRPr="00D943A1">
        <w:rPr>
          <w:rFonts w:eastAsia="Times New Roman" w:cs="Arial"/>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EC5CF4" w14:textId="77777777" w:rsidR="000D7FF4" w:rsidRPr="00D943A1" w:rsidRDefault="000D7FF4" w:rsidP="000D7FF4">
      <w:pPr>
        <w:autoSpaceDE w:val="0"/>
        <w:autoSpaceDN w:val="0"/>
        <w:adjustRightInd w:val="0"/>
        <w:rPr>
          <w:rFonts w:eastAsia="Times New Roman" w:cs="Arial"/>
          <w:szCs w:val="24"/>
          <w:lang w:val="es-ES" w:eastAsia="es-ES"/>
        </w:rPr>
      </w:pPr>
    </w:p>
    <w:p w14:paraId="7EB6EFF4" w14:textId="77777777" w:rsidR="000D7FF4" w:rsidRPr="00D943A1" w:rsidRDefault="000D7FF4" w:rsidP="000D7FF4">
      <w:pPr>
        <w:rPr>
          <w:rFonts w:cs="Arial"/>
          <w:szCs w:val="24"/>
        </w:rPr>
      </w:pPr>
      <w:r w:rsidRPr="00D943A1">
        <w:rPr>
          <w:rFonts w:cs="Arial"/>
          <w:szCs w:val="24"/>
        </w:rPr>
        <w:t>Por otro lado una vez que se analizó el expediente referido al rubro, se cae en la cuenta de que no se actualiza ninguna de las casuales de improcedencia a continuación transcritas:</w:t>
      </w:r>
    </w:p>
    <w:p w14:paraId="4B205262" w14:textId="77777777" w:rsidR="000D7FF4" w:rsidRPr="00D943A1" w:rsidRDefault="000D7FF4" w:rsidP="000D7FF4">
      <w:pPr>
        <w:rPr>
          <w:rFonts w:cs="Arial"/>
          <w:szCs w:val="24"/>
        </w:rPr>
      </w:pPr>
    </w:p>
    <w:p w14:paraId="3205656D" w14:textId="77777777" w:rsidR="000D7FF4" w:rsidRPr="00D943A1" w:rsidRDefault="000D7FF4" w:rsidP="000D7FF4">
      <w:pPr>
        <w:pStyle w:val="Prrafodelista"/>
        <w:autoSpaceDE w:val="0"/>
        <w:autoSpaceDN w:val="0"/>
        <w:adjustRightInd w:val="0"/>
        <w:ind w:left="1134" w:right="851"/>
        <w:rPr>
          <w:rFonts w:cs="Arial"/>
          <w:i/>
        </w:rPr>
      </w:pPr>
      <w:r w:rsidRPr="00D943A1">
        <w:rPr>
          <w:rFonts w:cs="Arial"/>
          <w:i/>
        </w:rPr>
        <w:t xml:space="preserve">“Artículo 191. El recurso será desechado por improcedente cuando:  </w:t>
      </w:r>
    </w:p>
    <w:p w14:paraId="1410C8B0"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 xml:space="preserve">Sea extemporáneo por haber transcurrido el plazo establecido en la presente Ley, a partir de la respuesta;  </w:t>
      </w:r>
    </w:p>
    <w:p w14:paraId="62EFC35B"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 xml:space="preserve">Se esté tramitando ante el Poder Judicial de la Federación algún recurso o medio de defensa interpuesto por el recurrente;  </w:t>
      </w:r>
    </w:p>
    <w:p w14:paraId="23265579"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 xml:space="preserve">No actualice alguno de los supuestos previstos en la presente Ley;  </w:t>
      </w:r>
    </w:p>
    <w:p w14:paraId="10A9CD84"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 xml:space="preserve">No se haya desahogado la prevención en los términos establecidos en la presente Ley;  </w:t>
      </w:r>
    </w:p>
    <w:p w14:paraId="5D3DEA2A"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lastRenderedPageBreak/>
        <w:t xml:space="preserve">Se impugne la veracidad de la información proporcionada;  </w:t>
      </w:r>
    </w:p>
    <w:p w14:paraId="2B4D235A"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 xml:space="preserve">Se trate de una consulta, o trámite en específico; y  </w:t>
      </w:r>
    </w:p>
    <w:p w14:paraId="49520238" w14:textId="77777777" w:rsidR="000D7FF4" w:rsidRPr="00D943A1" w:rsidRDefault="000D7FF4" w:rsidP="000D7FF4">
      <w:pPr>
        <w:pStyle w:val="Prrafodelista"/>
        <w:numPr>
          <w:ilvl w:val="2"/>
          <w:numId w:val="21"/>
        </w:numPr>
        <w:autoSpaceDE w:val="0"/>
        <w:autoSpaceDN w:val="0"/>
        <w:adjustRightInd w:val="0"/>
        <w:ind w:left="1134" w:right="851"/>
        <w:rPr>
          <w:rFonts w:cs="Arial"/>
          <w:i/>
        </w:rPr>
      </w:pPr>
      <w:r w:rsidRPr="00D943A1">
        <w:rPr>
          <w:rFonts w:cs="Arial"/>
          <w:i/>
        </w:rPr>
        <w:t>El recurrente amplíe su solicitud en el recurso de revisión, únicamente respecto de los nuevos contenidos.”</w:t>
      </w:r>
    </w:p>
    <w:p w14:paraId="6A2C05F8" w14:textId="77777777" w:rsidR="000D7FF4" w:rsidRPr="00D943A1" w:rsidRDefault="000D7FF4" w:rsidP="000D7FF4">
      <w:pPr>
        <w:rPr>
          <w:rFonts w:cs="Arial"/>
          <w:szCs w:val="24"/>
        </w:rPr>
      </w:pPr>
    </w:p>
    <w:p w14:paraId="35EDDCF3" w14:textId="77777777" w:rsidR="000D7FF4" w:rsidRPr="00D943A1" w:rsidRDefault="000D7FF4" w:rsidP="000D7FF4">
      <w:pPr>
        <w:pStyle w:val="Prrafodelista"/>
        <w:autoSpaceDE w:val="0"/>
        <w:autoSpaceDN w:val="0"/>
        <w:adjustRightInd w:val="0"/>
        <w:ind w:left="0"/>
        <w:rPr>
          <w:rFonts w:cs="Arial"/>
        </w:rPr>
      </w:pPr>
      <w:r w:rsidRPr="00D943A1">
        <w:rPr>
          <w:rFonts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014238AA" w14:textId="77777777" w:rsidR="000D7FF4" w:rsidRPr="00D943A1" w:rsidRDefault="000D7FF4" w:rsidP="000D7FF4">
      <w:pPr>
        <w:pStyle w:val="Prrafodelista"/>
        <w:autoSpaceDE w:val="0"/>
        <w:autoSpaceDN w:val="0"/>
        <w:adjustRightInd w:val="0"/>
        <w:ind w:left="0"/>
        <w:rPr>
          <w:rFonts w:cs="Arial"/>
        </w:rPr>
      </w:pPr>
    </w:p>
    <w:p w14:paraId="0DC69ACD" w14:textId="648471D3" w:rsidR="00A970D5" w:rsidRPr="00D943A1" w:rsidRDefault="000D7FF4" w:rsidP="000D7FF4">
      <w:pPr>
        <w:pStyle w:val="Ttulo2"/>
        <w:rPr>
          <w:rFonts w:eastAsia="Palatino Linotype"/>
        </w:rPr>
      </w:pPr>
      <w:r w:rsidRPr="00D943A1">
        <w:rPr>
          <w:rFonts w:eastAsia="Times New Roman" w:cs="Arial"/>
          <w:sz w:val="28"/>
          <w:szCs w:val="28"/>
          <w:lang w:val="es-419" w:eastAsia="es-ES"/>
        </w:rPr>
        <w:t>CUARTO</w:t>
      </w:r>
      <w:r w:rsidRPr="00D943A1">
        <w:rPr>
          <w:rFonts w:eastAsia="Times New Roman" w:cs="Arial"/>
          <w:lang w:val="es-ES" w:eastAsia="es-ES"/>
        </w:rPr>
        <w:t>. Estudio y resolución del asunto</w:t>
      </w:r>
      <w:r w:rsidRPr="00D943A1">
        <w:rPr>
          <w:rFonts w:eastAsia="Times New Roman" w:cs="Times New Roman"/>
          <w:lang w:val="es-ES" w:eastAsia="es-ES"/>
        </w:rPr>
        <w:t>.</w:t>
      </w:r>
    </w:p>
    <w:p w14:paraId="172D5B7B"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D943A1" w:rsidRDefault="00A970D5" w:rsidP="006922F5">
      <w:pPr>
        <w:pBdr>
          <w:top w:val="nil"/>
          <w:left w:val="nil"/>
          <w:bottom w:val="nil"/>
          <w:right w:val="nil"/>
          <w:between w:val="nil"/>
        </w:pBdr>
        <w:contextualSpacing/>
        <w:rPr>
          <w:rFonts w:eastAsia="Palatino Linotype" w:cs="Palatino Linotype"/>
          <w:color w:val="000000"/>
          <w:szCs w:val="24"/>
        </w:rPr>
      </w:pPr>
    </w:p>
    <w:p w14:paraId="77B2B447" w14:textId="77777777" w:rsidR="009B2A43" w:rsidRPr="00D943A1" w:rsidRDefault="00A970D5" w:rsidP="00C006C6">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Por tanto</w:t>
      </w:r>
      <w:r w:rsidR="007F3F9F" w:rsidRPr="00D943A1">
        <w:rPr>
          <w:rFonts w:eastAsia="Palatino Linotype" w:cs="Palatino Linotype"/>
          <w:color w:val="000000"/>
          <w:szCs w:val="24"/>
        </w:rPr>
        <w:t xml:space="preserve">, es conveniente recordar que </w:t>
      </w:r>
      <w:r w:rsidR="006D438A" w:rsidRPr="00D943A1">
        <w:rPr>
          <w:rFonts w:eastAsia="Palatino Linotype" w:cs="Palatino Linotype"/>
          <w:color w:val="000000"/>
          <w:szCs w:val="24"/>
        </w:rPr>
        <w:t>el</w:t>
      </w:r>
      <w:r w:rsidRPr="00D943A1">
        <w:rPr>
          <w:rFonts w:eastAsia="Palatino Linotype" w:cs="Palatino Linotype"/>
          <w:color w:val="000000"/>
          <w:szCs w:val="24"/>
        </w:rPr>
        <w:t xml:space="preserve"> hoy Recurrente </w:t>
      </w:r>
      <w:r w:rsidR="00AE3BE0" w:rsidRPr="00D943A1">
        <w:rPr>
          <w:rFonts w:eastAsia="Palatino Linotype" w:cs="Palatino Linotype"/>
          <w:color w:val="000000"/>
          <w:szCs w:val="24"/>
        </w:rPr>
        <w:t>requirió</w:t>
      </w:r>
      <w:r w:rsidR="00CF6592" w:rsidRPr="00D943A1">
        <w:rPr>
          <w:rFonts w:eastAsia="Palatino Linotype" w:cs="Palatino Linotype"/>
          <w:color w:val="000000"/>
          <w:szCs w:val="24"/>
        </w:rPr>
        <w:t xml:space="preserve"> </w:t>
      </w:r>
      <w:r w:rsidR="00D57F1A" w:rsidRPr="00D943A1">
        <w:rPr>
          <w:rFonts w:eastAsia="Palatino Linotype" w:cs="Palatino Linotype"/>
          <w:color w:val="000000"/>
          <w:szCs w:val="24"/>
        </w:rPr>
        <w:t xml:space="preserve">que el Sujeto Obligado le </w:t>
      </w:r>
      <w:r w:rsidR="00E85C49" w:rsidRPr="00D943A1">
        <w:rPr>
          <w:rFonts w:eastAsia="Palatino Linotype" w:cs="Palatino Linotype"/>
          <w:color w:val="000000"/>
          <w:szCs w:val="24"/>
        </w:rPr>
        <w:t>informara</w:t>
      </w:r>
      <w:r w:rsidR="009B2A43" w:rsidRPr="00D943A1">
        <w:rPr>
          <w:rFonts w:eastAsia="Palatino Linotype" w:cs="Palatino Linotype"/>
          <w:color w:val="000000"/>
          <w:szCs w:val="24"/>
        </w:rPr>
        <w:t xml:space="preserve"> lo siguiente:</w:t>
      </w:r>
    </w:p>
    <w:p w14:paraId="402535DB" w14:textId="58AC0920" w:rsidR="001C4CBF" w:rsidRPr="00D943A1" w:rsidRDefault="00FC3F7A" w:rsidP="00B82E69">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color w:val="000000"/>
        </w:rPr>
        <w:lastRenderedPageBreak/>
        <w:t xml:space="preserve">Documentación comprobatoria de todos los gastos realizados por presidencia, secretaría particular, secretaría general, unidad jurídica, unidades de ética y género </w:t>
      </w:r>
      <w:r w:rsidR="00237E7E" w:rsidRPr="00D943A1">
        <w:rPr>
          <w:rFonts w:eastAsia="Palatino Linotype" w:cs="Palatino Linotype"/>
          <w:color w:val="000000"/>
        </w:rPr>
        <w:t>del primero de enero al trece de septiembre de dos mil veintidós</w:t>
      </w:r>
      <w:r w:rsidRPr="00D943A1">
        <w:rPr>
          <w:rFonts w:eastAsia="Palatino Linotype" w:cs="Palatino Linotype"/>
          <w:color w:val="000000"/>
        </w:rPr>
        <w:t>.</w:t>
      </w:r>
    </w:p>
    <w:p w14:paraId="4FEA5C1B" w14:textId="31EED571" w:rsidR="00FC3F7A" w:rsidRPr="00D943A1" w:rsidRDefault="00FC3F7A" w:rsidP="00B82E69">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color w:val="000000"/>
        </w:rPr>
        <w:t xml:space="preserve">Correos electrónicos institucionales de nivel subdirección para arriba </w:t>
      </w:r>
      <w:r w:rsidR="00237E7E" w:rsidRPr="00D943A1">
        <w:rPr>
          <w:rFonts w:eastAsia="Palatino Linotype" w:cs="Palatino Linotype"/>
          <w:color w:val="000000"/>
        </w:rPr>
        <w:t>del primero de enero al trece de septiembre de dos mil veintidós</w:t>
      </w:r>
      <w:r w:rsidRPr="00D943A1">
        <w:rPr>
          <w:rFonts w:eastAsia="Palatino Linotype" w:cs="Palatino Linotype"/>
          <w:color w:val="000000"/>
        </w:rPr>
        <w:t>.</w:t>
      </w:r>
    </w:p>
    <w:p w14:paraId="603DDB15" w14:textId="694A896E" w:rsidR="00FC3F7A" w:rsidRPr="00D943A1" w:rsidRDefault="00FC3F7A" w:rsidP="00B82E69">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color w:val="000000"/>
        </w:rPr>
        <w:t xml:space="preserve">Documentación comprobatoria y cálculo de percepciones extraordinarias </w:t>
      </w:r>
      <w:r w:rsidR="00237E7E" w:rsidRPr="00D943A1">
        <w:rPr>
          <w:rFonts w:eastAsia="Palatino Linotype" w:cs="Palatino Linotype"/>
          <w:color w:val="000000"/>
        </w:rPr>
        <w:t>del primero de enero al trece de septiembre de dos mil veintidós</w:t>
      </w:r>
      <w:r w:rsidRPr="00D943A1">
        <w:rPr>
          <w:rFonts w:eastAsia="Palatino Linotype" w:cs="Palatino Linotype"/>
          <w:color w:val="000000"/>
        </w:rPr>
        <w:t>.</w:t>
      </w:r>
    </w:p>
    <w:p w14:paraId="0D10621A" w14:textId="56E2FFEC" w:rsidR="00FC3F7A" w:rsidRPr="00D943A1" w:rsidRDefault="00FC3F7A" w:rsidP="00B82E69">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color w:val="000000"/>
        </w:rPr>
        <w:t>Programa de auditorías y demás revisiones realizadas por la contraloría interna para el 2022.</w:t>
      </w:r>
    </w:p>
    <w:p w14:paraId="01262F3E" w14:textId="77777777" w:rsidR="00413FC2" w:rsidRPr="00D943A1" w:rsidRDefault="00413FC2" w:rsidP="006D438A">
      <w:pPr>
        <w:pBdr>
          <w:top w:val="nil"/>
          <w:left w:val="nil"/>
          <w:bottom w:val="nil"/>
          <w:right w:val="nil"/>
          <w:between w:val="nil"/>
        </w:pBdr>
        <w:contextualSpacing/>
        <w:rPr>
          <w:rFonts w:eastAsia="Palatino Linotype" w:cs="Palatino Linotype"/>
          <w:color w:val="000000"/>
          <w:szCs w:val="24"/>
        </w:rPr>
      </w:pPr>
    </w:p>
    <w:p w14:paraId="0F375DF2" w14:textId="77777777" w:rsidR="00B82E69" w:rsidRPr="00D943A1" w:rsidRDefault="00A970D5" w:rsidP="00B82E69">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 xml:space="preserve">A dicha solicitud, el Sujeto Obligado </w:t>
      </w:r>
      <w:r w:rsidR="001C4CBF" w:rsidRPr="00D943A1">
        <w:rPr>
          <w:rFonts w:eastAsia="Palatino Linotype" w:cs="Palatino Linotype"/>
          <w:color w:val="000000"/>
          <w:szCs w:val="24"/>
        </w:rPr>
        <w:t xml:space="preserve">respondió </w:t>
      </w:r>
      <w:r w:rsidR="00D57F1A" w:rsidRPr="00D943A1">
        <w:rPr>
          <w:rFonts w:eastAsia="Palatino Linotype" w:cs="Palatino Linotype"/>
          <w:color w:val="000000"/>
          <w:szCs w:val="24"/>
        </w:rPr>
        <w:t>mediante la entrega de los siguientes documentos:</w:t>
      </w:r>
    </w:p>
    <w:p w14:paraId="06E0CB26" w14:textId="5A1BD0B9" w:rsidR="00E85C49" w:rsidRPr="00D943A1" w:rsidRDefault="004E284E" w:rsidP="00B82E69">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D943A1">
        <w:rPr>
          <w:rFonts w:eastAsia="Palatino Linotype"/>
          <w:b/>
          <w:bCs/>
        </w:rPr>
        <w:t>O</w:t>
      </w:r>
      <w:r w:rsidR="00FC3F7A" w:rsidRPr="00D943A1">
        <w:rPr>
          <w:rFonts w:eastAsia="Palatino Linotype"/>
          <w:b/>
          <w:bCs/>
        </w:rPr>
        <w:t>FICIO DE RESPUESTA UIPPE 219.pdf:</w:t>
      </w:r>
      <w:r w:rsidR="00E85C49" w:rsidRPr="00D943A1">
        <w:rPr>
          <w:rFonts w:eastAsia="Palatino Linotype"/>
        </w:rPr>
        <w:t xml:space="preserve"> Oficio número UT</w:t>
      </w:r>
      <w:r w:rsidR="00743C11" w:rsidRPr="00D943A1">
        <w:rPr>
          <w:rFonts w:eastAsia="Palatino Linotype"/>
        </w:rPr>
        <w:t>/</w:t>
      </w:r>
      <w:r w:rsidR="0027414F" w:rsidRPr="00D943A1">
        <w:rPr>
          <w:rFonts w:eastAsia="Palatino Linotype"/>
        </w:rPr>
        <w:t>411</w:t>
      </w:r>
      <w:r w:rsidR="00743C11" w:rsidRPr="00D943A1">
        <w:rPr>
          <w:rFonts w:eastAsia="Palatino Linotype"/>
        </w:rPr>
        <w:t>/202</w:t>
      </w:r>
      <w:r w:rsidR="0027414F" w:rsidRPr="00D943A1">
        <w:rPr>
          <w:rFonts w:eastAsia="Palatino Linotype"/>
        </w:rPr>
        <w:t>2</w:t>
      </w:r>
      <w:r w:rsidR="00743C11" w:rsidRPr="00D943A1">
        <w:rPr>
          <w:rFonts w:eastAsia="Palatino Linotype"/>
        </w:rPr>
        <w:t>, emitido por la Titular de la Unidad de Transparencia, mediante el cual se informó que</w:t>
      </w:r>
      <w:r w:rsidR="0027414F" w:rsidRPr="00D943A1">
        <w:rPr>
          <w:rFonts w:eastAsia="Palatino Linotype"/>
        </w:rPr>
        <w:t xml:space="preserve"> respecto a la documentación comprobatoria de todos los gastos realizados por presidencia, secretaría particular, secretaría general, unidad jurídica, unidades de ética y género en el 2022, al respecto hace del conocimiento que el presupuesto </w:t>
      </w:r>
      <w:r w:rsidR="006C313A" w:rsidRPr="00D943A1">
        <w:rPr>
          <w:rFonts w:eastAsia="Palatino Linotype"/>
        </w:rPr>
        <w:t>autorizado a la Comisión de Derechos Humanos del Estado de México, se ejerce y se registra a nivel por programas presupuestarios</w:t>
      </w:r>
      <w:r w:rsidR="002727F1" w:rsidRPr="00D943A1">
        <w:rPr>
          <w:rFonts w:eastAsia="Palatino Linotype"/>
        </w:rPr>
        <w:t xml:space="preserve">, capítulo de gastos y partida presupuestal, por lo anterior los gastos realizados que </w:t>
      </w:r>
      <w:r w:rsidR="00E25059" w:rsidRPr="00D943A1">
        <w:rPr>
          <w:rFonts w:eastAsia="Palatino Linotype"/>
        </w:rPr>
        <w:t>obren en los archivos de dicha D</w:t>
      </w:r>
      <w:r w:rsidR="002727F1" w:rsidRPr="00D943A1">
        <w:rPr>
          <w:rFonts w:eastAsia="Palatino Linotype"/>
        </w:rPr>
        <w:t xml:space="preserve">irección </w:t>
      </w:r>
      <w:r w:rsidR="0018685F" w:rsidRPr="00D943A1">
        <w:rPr>
          <w:rFonts w:eastAsia="Palatino Linotype"/>
        </w:rPr>
        <w:t xml:space="preserve">no se encuentran desagregados por unidad administrativa , en tal sentido no es posible remitir la información conforme al interés del solicitante. Aunado a lo anterior y derivado del volumen de la información la cual asciende aproximadamente a 35,000 fojas, por lo que solicita realizar una consulta técnica </w:t>
      </w:r>
      <w:r w:rsidR="0018685F" w:rsidRPr="00D943A1">
        <w:rPr>
          <w:rFonts w:eastAsia="Palatino Linotype"/>
        </w:rPr>
        <w:lastRenderedPageBreak/>
        <w:t>al Instituto de Transparencia y Acceso a la Información Pública y Protección de Datos Personales del Estado de México y Municipios, a efecto  de que se informe si es posible que en el sistema SAIMEX se poden cargar archivos con un peso aproximado de 3.0 GB, toda vez que el particular señaló como medio de entrega de la información el SAIMEX.</w:t>
      </w:r>
      <w:r w:rsidRPr="00D943A1">
        <w:rPr>
          <w:rFonts w:eastAsia="Palatino Linotype"/>
        </w:rPr>
        <w:t xml:space="preserve"> Ahora bien por cuanto hace a </w:t>
      </w:r>
      <w:r w:rsidR="00511AED" w:rsidRPr="00D943A1">
        <w:rPr>
          <w:rFonts w:eastAsia="Palatino Linotype"/>
        </w:rPr>
        <w:t xml:space="preserve">los </w:t>
      </w:r>
      <w:r w:rsidR="00BA59B0" w:rsidRPr="00D943A1">
        <w:rPr>
          <w:rFonts w:eastAsia="Palatino Linotype"/>
        </w:rPr>
        <w:t>“</w:t>
      </w:r>
      <w:r w:rsidR="00511AED" w:rsidRPr="00D943A1">
        <w:rPr>
          <w:rFonts w:eastAsia="Palatino Linotype"/>
        </w:rPr>
        <w:t xml:space="preserve">correos institucionales en pdf, de nivel subdirección para arriba en el 2022, documentación </w:t>
      </w:r>
      <w:r w:rsidR="00BA59B0" w:rsidRPr="00D943A1">
        <w:rPr>
          <w:rFonts w:eastAsia="Palatino Linotype"/>
        </w:rPr>
        <w:t>comprobatoria y cálculo de percepciones extraordinarias en el 2022, programas de auditorías y demás revisiones realizadas por la contraloría interna para el 2022”</w:t>
      </w:r>
      <w:r w:rsidR="00007E93" w:rsidRPr="00D943A1">
        <w:rPr>
          <w:rFonts w:eastAsia="Palatino Linotype"/>
        </w:rPr>
        <w:t>, se informa que las respuestas otorgadas por los servidores públicos habilitados, se encuentran adjuntas.</w:t>
      </w:r>
    </w:p>
    <w:p w14:paraId="06612464" w14:textId="50739A56" w:rsidR="003672D9" w:rsidRPr="00D943A1" w:rsidRDefault="005B3068" w:rsidP="00B82E69">
      <w:pPr>
        <w:pStyle w:val="Prrafodelista"/>
        <w:numPr>
          <w:ilvl w:val="0"/>
          <w:numId w:val="22"/>
        </w:numPr>
        <w:pBdr>
          <w:top w:val="nil"/>
          <w:left w:val="nil"/>
          <w:bottom w:val="nil"/>
          <w:right w:val="nil"/>
          <w:between w:val="nil"/>
        </w:pBdr>
        <w:contextualSpacing/>
        <w:rPr>
          <w:rFonts w:eastAsia="Palatino Linotype" w:cs="Palatino Linotype"/>
          <w:color w:val="000000"/>
          <w:u w:val="single"/>
        </w:rPr>
      </w:pPr>
      <w:r w:rsidRPr="00D943A1">
        <w:rPr>
          <w:rFonts w:eastAsia="Palatino Linotype" w:cs="Palatino Linotype"/>
          <w:b/>
          <w:bCs/>
          <w:color w:val="000000"/>
        </w:rPr>
        <w:t>RESPUESTA DE R. HUMANOS.pdf:</w:t>
      </w:r>
      <w:r w:rsidR="00743C11" w:rsidRPr="00D943A1">
        <w:rPr>
          <w:rFonts w:eastAsia="Palatino Linotype" w:cs="Palatino Linotype"/>
          <w:color w:val="000000"/>
        </w:rPr>
        <w:t xml:space="preserve"> Oficio número </w:t>
      </w:r>
      <w:r w:rsidRPr="00D943A1">
        <w:rPr>
          <w:rFonts w:eastAsia="Palatino Linotype" w:cs="Palatino Linotype"/>
          <w:color w:val="000000"/>
        </w:rPr>
        <w:t>400C141000/899/2022</w:t>
      </w:r>
      <w:r w:rsidR="00496977" w:rsidRPr="00D943A1">
        <w:rPr>
          <w:rFonts w:eastAsia="Palatino Linotype" w:cs="Palatino Linotype"/>
          <w:color w:val="000000"/>
        </w:rPr>
        <w:t xml:space="preserve">, de fecha tres de octubre de dos mil veintidós, signado por el Servidor Público Habilitado y Director de Recursos Humanos, mediante el cual </w:t>
      </w:r>
      <w:r w:rsidR="00872702" w:rsidRPr="00D943A1">
        <w:rPr>
          <w:rFonts w:eastAsia="Palatino Linotype" w:cs="Palatino Linotype"/>
          <w:color w:val="000000"/>
        </w:rPr>
        <w:t xml:space="preserve">en lo referente a </w:t>
      </w:r>
      <w:r w:rsidR="00872702" w:rsidRPr="00D943A1">
        <w:rPr>
          <w:rFonts w:eastAsia="Palatino Linotype" w:cs="Palatino Linotype"/>
          <w:i/>
          <w:color w:val="000000"/>
        </w:rPr>
        <w:t>“…documentación comprobatoria y cálculo de percepciones extraordinarias en el 2022…”,</w:t>
      </w:r>
      <w:r w:rsidR="00872702" w:rsidRPr="00D943A1">
        <w:rPr>
          <w:rFonts w:eastAsia="Palatino Linotype" w:cs="Palatino Linotype"/>
          <w:color w:val="000000"/>
        </w:rPr>
        <w:t xml:space="preserve"> hace del conocimiento que las percepciones extraordinarias se encuentran ajustadas a resultados sujetos de evaluaci</w:t>
      </w:r>
      <w:r w:rsidR="003672D9" w:rsidRPr="00D943A1">
        <w:rPr>
          <w:rFonts w:eastAsia="Palatino Linotype" w:cs="Palatino Linotype"/>
          <w:color w:val="000000"/>
        </w:rPr>
        <w:t>ón o a requisitos y condiciones variables en los términos de las disposiciones aplicables, además de que se otorgan de manera excepcional durante el ejercicio</w:t>
      </w:r>
      <w:r w:rsidR="00C050FD" w:rsidRPr="00D943A1">
        <w:rPr>
          <w:rFonts w:eastAsia="Palatino Linotype" w:cs="Palatino Linotype"/>
          <w:color w:val="000000"/>
        </w:rPr>
        <w:t xml:space="preserve"> fiscal que corresponde. </w:t>
      </w:r>
      <w:r w:rsidR="00C050FD" w:rsidRPr="00D943A1">
        <w:rPr>
          <w:rFonts w:eastAsia="Palatino Linotype" w:cs="Palatino Linotype"/>
          <w:bCs/>
          <w:color w:val="000000"/>
        </w:rPr>
        <w:t xml:space="preserve">Respecto a los “cálculos”, de dichas percepciones, el Sujeto Obligado refiere que los cálculos son efectuados al momento y una vez que se realizan y se obtiene el valor final, </w:t>
      </w:r>
      <w:r w:rsidR="00C050FD" w:rsidRPr="00D943A1">
        <w:rPr>
          <w:rFonts w:eastAsia="Palatino Linotype" w:cs="Palatino Linotype"/>
          <w:bCs/>
          <w:color w:val="000000"/>
          <w:u w:val="single"/>
        </w:rPr>
        <w:t>las operaciones matemáticas no se conservan o resguardan por lo que no es posible proporcionar información.</w:t>
      </w:r>
      <w:r w:rsidR="00C050FD" w:rsidRPr="00D943A1">
        <w:rPr>
          <w:rFonts w:eastAsia="Palatino Linotype" w:cs="Palatino Linotype"/>
          <w:bCs/>
          <w:color w:val="000000"/>
        </w:rPr>
        <w:t xml:space="preserve"> </w:t>
      </w:r>
      <w:r w:rsidR="002B4285" w:rsidRPr="00D943A1">
        <w:rPr>
          <w:rFonts w:eastAsia="Palatino Linotype" w:cs="Palatino Linotype"/>
          <w:bCs/>
          <w:color w:val="000000"/>
        </w:rPr>
        <w:t xml:space="preserve">Finalmente respecto a la “documentación comprobatoria”, refiere que se adjunta la Cédula de Prestaciones Salariales 2022, el Acuerdo por el que se autoriza otorgar el estímulo y/o gratificación semestral </w:t>
      </w:r>
      <w:r w:rsidR="002B4285" w:rsidRPr="00D943A1">
        <w:rPr>
          <w:rFonts w:eastAsia="Palatino Linotype" w:cs="Palatino Linotype"/>
          <w:bCs/>
          <w:color w:val="000000"/>
        </w:rPr>
        <w:lastRenderedPageBreak/>
        <w:t>para las personas servidoras públicas del organismo, durante el ejercicio fiscal 2022 y el Procedimiento Pago de Prima Adicional por Permanencia en el Servicio de la CODHEM.</w:t>
      </w:r>
    </w:p>
    <w:p w14:paraId="763859B8" w14:textId="7DC388B5" w:rsidR="00E85C49" w:rsidRPr="00D943A1" w:rsidRDefault="002B4285" w:rsidP="00B82E69">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b/>
          <w:bCs/>
          <w:color w:val="000000"/>
        </w:rPr>
        <w:t>RESPUESTA DEL ORGANO ITERNO.pdf:</w:t>
      </w:r>
      <w:r w:rsidR="00743C11" w:rsidRPr="00D943A1">
        <w:rPr>
          <w:rFonts w:eastAsia="Palatino Linotype" w:cs="Palatino Linotype"/>
          <w:color w:val="000000"/>
        </w:rPr>
        <w:t xml:space="preserve"> </w:t>
      </w:r>
      <w:r w:rsidR="00821C51" w:rsidRPr="00D943A1">
        <w:rPr>
          <w:rFonts w:eastAsia="Palatino Linotype" w:cs="Palatino Linotype"/>
          <w:color w:val="000000"/>
        </w:rPr>
        <w:t xml:space="preserve">Contiene un documento emitido por el Titular del Órgano Interno de Control, mediante el cual adjunta una tabla en la cual se observan los meses de enero a septiembre y el número de auditorías </w:t>
      </w:r>
      <w:r w:rsidR="00DF6DA5" w:rsidRPr="00D943A1">
        <w:rPr>
          <w:rFonts w:eastAsia="Palatino Linotype" w:cs="Palatino Linotype"/>
          <w:color w:val="000000"/>
        </w:rPr>
        <w:t>realizadas derivado de la respuesta de la Subdirección de Control y Evaluación.</w:t>
      </w:r>
    </w:p>
    <w:p w14:paraId="31B9B5C4" w14:textId="3B8F24D6" w:rsidR="00166D47" w:rsidRPr="00D943A1" w:rsidRDefault="00DF6DA5" w:rsidP="00B82E69">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b/>
          <w:bCs/>
          <w:color w:val="000000"/>
        </w:rPr>
        <w:t>correos_subdireccion_para_arriba_2022.pdf:</w:t>
      </w:r>
      <w:r w:rsidR="00C24A6A" w:rsidRPr="00D943A1">
        <w:rPr>
          <w:rFonts w:eastAsia="Palatino Linotype" w:cs="Palatino Linotype"/>
          <w:color w:val="000000"/>
        </w:rPr>
        <w:t xml:space="preserve"> </w:t>
      </w:r>
      <w:r w:rsidR="00354C35" w:rsidRPr="00D943A1">
        <w:rPr>
          <w:rFonts w:eastAsia="Palatino Linotype" w:cs="Palatino Linotype"/>
          <w:color w:val="000000"/>
        </w:rPr>
        <w:t xml:space="preserve">Contiene un documento en formato pdf mediante el cual el Sujeto Obligado mediante el cual se observan los correos electrónicos institucionales de nivel subdirección para arriba en el 2022. </w:t>
      </w:r>
    </w:p>
    <w:p w14:paraId="7D8500B4" w14:textId="200BFBC0" w:rsidR="00354C35" w:rsidRPr="00D943A1" w:rsidRDefault="00354C35" w:rsidP="00B82E69">
      <w:pPr>
        <w:pStyle w:val="Prrafodelista"/>
        <w:numPr>
          <w:ilvl w:val="0"/>
          <w:numId w:val="22"/>
        </w:numPr>
        <w:pBdr>
          <w:top w:val="nil"/>
          <w:left w:val="nil"/>
          <w:bottom w:val="nil"/>
          <w:right w:val="nil"/>
          <w:between w:val="nil"/>
        </w:pBdr>
        <w:contextualSpacing/>
        <w:rPr>
          <w:rFonts w:eastAsia="Palatino Linotype" w:cs="Palatino Linotype"/>
          <w:b/>
          <w:color w:val="000000"/>
        </w:rPr>
      </w:pPr>
      <w:r w:rsidRPr="00D943A1">
        <w:rPr>
          <w:rFonts w:eastAsia="Palatino Linotype" w:cs="Palatino Linotype"/>
          <w:b/>
          <w:color w:val="000000"/>
        </w:rPr>
        <w:t xml:space="preserve">Acuerdo estímulo.pdf: </w:t>
      </w:r>
      <w:r w:rsidRPr="00D943A1">
        <w:rPr>
          <w:rFonts w:eastAsia="Palatino Linotype" w:cs="Palatino Linotype"/>
          <w:color w:val="000000"/>
        </w:rPr>
        <w:t xml:space="preserve">Contiene el acuerdo dela Presidenta de la Comisión de Derechos Humanos del Estado de México M. en D. Myrna Araceli García Morón, por el que se autoriza otorgar el estímulo y/o gratificación semestral para las personas servidoras públicas </w:t>
      </w:r>
      <w:r w:rsidR="00AA5222" w:rsidRPr="00D943A1">
        <w:rPr>
          <w:rFonts w:eastAsia="Palatino Linotype" w:cs="Palatino Linotype"/>
          <w:color w:val="000000"/>
        </w:rPr>
        <w:t>del organismo, durante el ejercicio fiscal 2022.</w:t>
      </w:r>
    </w:p>
    <w:p w14:paraId="06C5AA07" w14:textId="5D4AF0B6" w:rsidR="00AA5222" w:rsidRPr="00D943A1" w:rsidRDefault="00AA5222" w:rsidP="00B82E69">
      <w:pPr>
        <w:pStyle w:val="Prrafodelista"/>
        <w:numPr>
          <w:ilvl w:val="0"/>
          <w:numId w:val="22"/>
        </w:numPr>
        <w:pBdr>
          <w:top w:val="nil"/>
          <w:left w:val="nil"/>
          <w:bottom w:val="nil"/>
          <w:right w:val="nil"/>
          <w:between w:val="nil"/>
        </w:pBdr>
        <w:contextualSpacing/>
        <w:rPr>
          <w:rFonts w:eastAsia="Palatino Linotype" w:cs="Palatino Linotype"/>
          <w:b/>
          <w:color w:val="000000"/>
        </w:rPr>
      </w:pPr>
      <w:r w:rsidRPr="00D943A1">
        <w:rPr>
          <w:rFonts w:eastAsia="Palatino Linotype" w:cs="Palatino Linotype"/>
          <w:b/>
          <w:color w:val="000000"/>
        </w:rPr>
        <w:t>Procedimiento prima adicional por años.pdf:</w:t>
      </w:r>
      <w:r w:rsidR="003700D0" w:rsidRPr="00D943A1">
        <w:rPr>
          <w:rFonts w:eastAsia="Palatino Linotype" w:cs="Palatino Linotype"/>
          <w:b/>
          <w:color w:val="000000"/>
          <w:lang w:val="es-MX"/>
        </w:rPr>
        <w:t xml:space="preserve"> </w:t>
      </w:r>
      <w:r w:rsidR="003700D0" w:rsidRPr="00D943A1">
        <w:rPr>
          <w:rFonts w:eastAsia="Palatino Linotype" w:cs="Palatino Linotype"/>
          <w:color w:val="000000"/>
          <w:lang w:val="es-MX"/>
        </w:rPr>
        <w:t xml:space="preserve">Contiene un documento </w:t>
      </w:r>
      <w:r w:rsidR="001B1D2A" w:rsidRPr="00D943A1">
        <w:rPr>
          <w:rFonts w:eastAsia="Palatino Linotype" w:cs="Palatino Linotype"/>
          <w:color w:val="000000"/>
          <w:lang w:val="es-MX"/>
        </w:rPr>
        <w:t>denominado Procedimiento Pago de Prima Adicional por Permanencia en el Servicio, de fecha 11 de enero de 2022.</w:t>
      </w:r>
    </w:p>
    <w:p w14:paraId="1F015E7F" w14:textId="586A8B65" w:rsidR="001B1D2A" w:rsidRPr="00D943A1" w:rsidRDefault="001B1D2A" w:rsidP="00B82E69">
      <w:pPr>
        <w:pStyle w:val="Prrafodelista"/>
        <w:numPr>
          <w:ilvl w:val="0"/>
          <w:numId w:val="22"/>
        </w:numPr>
        <w:pBdr>
          <w:top w:val="nil"/>
          <w:left w:val="nil"/>
          <w:bottom w:val="nil"/>
          <w:right w:val="nil"/>
          <w:between w:val="nil"/>
        </w:pBdr>
        <w:contextualSpacing/>
        <w:rPr>
          <w:rFonts w:eastAsia="Palatino Linotype" w:cs="Palatino Linotype"/>
          <w:b/>
          <w:color w:val="000000"/>
        </w:rPr>
      </w:pPr>
      <w:r w:rsidRPr="00D943A1">
        <w:rPr>
          <w:rFonts w:eastAsia="Palatino Linotype" w:cs="Palatino Linotype"/>
          <w:b/>
          <w:color w:val="000000"/>
        </w:rPr>
        <w:t xml:space="preserve">CONTESTACIÓN 219 FINANZAS.pdf: </w:t>
      </w:r>
      <w:r w:rsidRPr="00D943A1">
        <w:rPr>
          <w:rFonts w:eastAsia="Palatino Linotype" w:cs="Palatino Linotype"/>
          <w:color w:val="000000"/>
        </w:rPr>
        <w:t xml:space="preserve">Contiene el oficio 400C143000/627/2022, de fecha veintitrés de septiembre de dos mil veintidós, </w:t>
      </w:r>
      <w:r w:rsidR="00917321" w:rsidRPr="00D943A1">
        <w:rPr>
          <w:rFonts w:eastAsia="Palatino Linotype" w:cs="Palatino Linotype"/>
          <w:color w:val="000000"/>
        </w:rPr>
        <w:t xml:space="preserve">mediante el cual la Dirección General de Administración y Finanzas Dirección de Recursos Financieros, mediante el cual medularmente refiere </w:t>
      </w:r>
      <w:r w:rsidR="008939BD" w:rsidRPr="00D943A1">
        <w:rPr>
          <w:rFonts w:eastAsia="Palatino Linotype" w:cs="Palatino Linotype"/>
          <w:color w:val="000000"/>
        </w:rPr>
        <w:t>que el presupuesto autorizado a la Comisión de Derechos Humanos del Estado de México, se ejerce y registra a nivel por programas presupuestarios, capítulo de gastos y partida presupuestal, por lo anterior los gastos realizados que o</w:t>
      </w:r>
      <w:r w:rsidR="00B82E69" w:rsidRPr="00D943A1">
        <w:rPr>
          <w:rFonts w:eastAsia="Palatino Linotype" w:cs="Palatino Linotype"/>
          <w:color w:val="000000"/>
        </w:rPr>
        <w:t>b</w:t>
      </w:r>
      <w:r w:rsidR="008939BD" w:rsidRPr="00D943A1">
        <w:rPr>
          <w:rFonts w:eastAsia="Palatino Linotype" w:cs="Palatino Linotype"/>
          <w:color w:val="000000"/>
        </w:rPr>
        <w:t xml:space="preserve">ran en los archivos de la antes </w:t>
      </w:r>
      <w:r w:rsidR="008939BD" w:rsidRPr="00D943A1">
        <w:rPr>
          <w:rFonts w:eastAsia="Palatino Linotype" w:cs="Palatino Linotype"/>
          <w:color w:val="000000"/>
        </w:rPr>
        <w:lastRenderedPageBreak/>
        <w:t>mencionada Dirección, no se encuentran desagregados por unidad administrativa, en tal sentido, no es posible remitir la información conforme al interés del solicitante, aunado a lo anterior,</w:t>
      </w:r>
      <w:r w:rsidR="00F71908" w:rsidRPr="00D943A1">
        <w:rPr>
          <w:rFonts w:eastAsia="Palatino Linotype" w:cs="Palatino Linotype"/>
          <w:color w:val="000000"/>
        </w:rPr>
        <w:t xml:space="preserve"> y derivado del volumen de la información la cual asciende aproximadamente a 35, 000 fojas, por lo cual solicita realizar una consulta técnica al Instituto de Transparencia, Acceso a la Información Pública y Protección de Datos Personales del Estado de México y Municipios, por lo que </w:t>
      </w:r>
      <w:r w:rsidR="00BC1186" w:rsidRPr="00D943A1">
        <w:rPr>
          <w:rFonts w:eastAsia="Palatino Linotype" w:cs="Palatino Linotype"/>
          <w:color w:val="000000"/>
        </w:rPr>
        <w:t>se solicita, se considere el cambio de modalidad de entrega de la información, asimismo, refiere que puede ser mediante consulta directa (In Situ), o bien, su entrega a través de discos compactos o en algún medio de almacenamiento (USB), previo pago de los costos de reproducción correspondiente, aunado a lo anterior, refiere los datos en caso de que se acepte la consulta directa, como lo es la ubicación de las oficinas, los días y horario de consulta, y el nombre del servidor público que lo atenderá.</w:t>
      </w:r>
    </w:p>
    <w:p w14:paraId="120866DD" w14:textId="7CC2D346" w:rsidR="00BC1186" w:rsidRPr="00D943A1" w:rsidRDefault="00BC1186" w:rsidP="00B82E69">
      <w:pPr>
        <w:pStyle w:val="Prrafodelista"/>
        <w:numPr>
          <w:ilvl w:val="0"/>
          <w:numId w:val="22"/>
        </w:numPr>
        <w:pBdr>
          <w:top w:val="nil"/>
          <w:left w:val="nil"/>
          <w:bottom w:val="nil"/>
          <w:right w:val="nil"/>
          <w:between w:val="nil"/>
        </w:pBdr>
        <w:contextualSpacing/>
        <w:rPr>
          <w:rFonts w:eastAsia="Palatino Linotype" w:cs="Palatino Linotype"/>
          <w:b/>
          <w:color w:val="000000"/>
        </w:rPr>
      </w:pPr>
      <w:r w:rsidRPr="00D943A1">
        <w:rPr>
          <w:rFonts w:eastAsia="Palatino Linotype" w:cs="Palatino Linotype"/>
          <w:b/>
          <w:color w:val="000000"/>
        </w:rPr>
        <w:t xml:space="preserve">RESPUESTA DE TEGNOLOGÍAS.pdf: </w:t>
      </w:r>
      <w:r w:rsidRPr="00D943A1">
        <w:rPr>
          <w:rFonts w:eastAsia="Palatino Linotype" w:cs="Palatino Linotype"/>
          <w:color w:val="000000"/>
        </w:rPr>
        <w:t>C</w:t>
      </w:r>
      <w:r w:rsidR="00446937" w:rsidRPr="00D943A1">
        <w:rPr>
          <w:rFonts w:eastAsia="Palatino Linotype" w:cs="Palatino Linotype"/>
          <w:color w:val="000000"/>
        </w:rPr>
        <w:t>ontiene el oficio número 400C144000/230/2022, emitido por el Director de Tecnologías de la Información y Comunicación, mediante el cual refiere medularmente que referente a los correos electrónicos de nivel subdirección, adjunta la información solicitada en archivos de formato PDF.</w:t>
      </w:r>
    </w:p>
    <w:p w14:paraId="3D583A56" w14:textId="30D793A7" w:rsidR="00446937" w:rsidRPr="00D943A1" w:rsidRDefault="00446937" w:rsidP="00B82E69">
      <w:pPr>
        <w:pStyle w:val="Prrafodelista"/>
        <w:numPr>
          <w:ilvl w:val="0"/>
          <w:numId w:val="22"/>
        </w:numPr>
        <w:pBdr>
          <w:top w:val="nil"/>
          <w:left w:val="nil"/>
          <w:bottom w:val="nil"/>
          <w:right w:val="nil"/>
          <w:between w:val="nil"/>
        </w:pBdr>
        <w:contextualSpacing/>
        <w:rPr>
          <w:rFonts w:eastAsia="Palatino Linotype" w:cs="Palatino Linotype"/>
          <w:b/>
          <w:color w:val="000000"/>
        </w:rPr>
      </w:pPr>
      <w:r w:rsidRPr="00D943A1">
        <w:rPr>
          <w:rFonts w:eastAsia="Palatino Linotype" w:cs="Palatino Linotype"/>
          <w:b/>
          <w:color w:val="000000"/>
        </w:rPr>
        <w:t xml:space="preserve">Cédula de Prestaciones Salariales 2022.pdf: </w:t>
      </w:r>
      <w:r w:rsidRPr="00D943A1">
        <w:rPr>
          <w:rFonts w:eastAsia="Palatino Linotype" w:cs="Palatino Linotype"/>
          <w:color w:val="000000"/>
        </w:rPr>
        <w:t>Contiene la Cédula de Prestaciones Salariales 2022.</w:t>
      </w:r>
    </w:p>
    <w:p w14:paraId="594D4DA8" w14:textId="77777777" w:rsidR="00E85C49" w:rsidRPr="00D943A1" w:rsidRDefault="00E85C49" w:rsidP="006922F5">
      <w:pPr>
        <w:pBdr>
          <w:top w:val="nil"/>
          <w:left w:val="nil"/>
          <w:bottom w:val="nil"/>
          <w:right w:val="nil"/>
          <w:between w:val="nil"/>
        </w:pBdr>
        <w:contextualSpacing/>
        <w:rPr>
          <w:rFonts w:eastAsia="Palatino Linotype" w:cs="Palatino Linotype"/>
          <w:color w:val="000000"/>
          <w:szCs w:val="24"/>
        </w:rPr>
      </w:pPr>
    </w:p>
    <w:p w14:paraId="6128DFF4" w14:textId="748FC627" w:rsidR="00A970D5" w:rsidRPr="00D943A1" w:rsidRDefault="007E0B5E" w:rsidP="006922F5">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t>Ante la</w:t>
      </w:r>
      <w:r w:rsidR="00A970D5" w:rsidRPr="00D943A1">
        <w:rPr>
          <w:rFonts w:eastAsia="Palatino Linotype" w:cs="Palatino Linotype"/>
          <w:color w:val="000000"/>
          <w:szCs w:val="24"/>
        </w:rPr>
        <w:t xml:space="preserve"> respuesta</w:t>
      </w:r>
      <w:r w:rsidRPr="00D943A1">
        <w:rPr>
          <w:rFonts w:eastAsia="Palatino Linotype" w:cs="Palatino Linotype"/>
          <w:color w:val="000000"/>
          <w:szCs w:val="24"/>
        </w:rPr>
        <w:t xml:space="preserve"> emitida</w:t>
      </w:r>
      <w:r w:rsidR="00E41D06" w:rsidRPr="00D943A1">
        <w:rPr>
          <w:rFonts w:eastAsia="Palatino Linotype" w:cs="Palatino Linotype"/>
          <w:color w:val="000000"/>
          <w:szCs w:val="24"/>
        </w:rPr>
        <w:t xml:space="preserve"> </w:t>
      </w:r>
      <w:r w:rsidR="00B32535" w:rsidRPr="00D943A1">
        <w:rPr>
          <w:rFonts w:eastAsia="Palatino Linotype" w:cs="Palatino Linotype"/>
          <w:color w:val="000000"/>
          <w:szCs w:val="24"/>
        </w:rPr>
        <w:t>por el Sujeto Obligado,</w:t>
      </w:r>
      <w:r w:rsidRPr="00D943A1">
        <w:rPr>
          <w:rFonts w:eastAsia="Palatino Linotype" w:cs="Palatino Linotype"/>
          <w:color w:val="000000"/>
          <w:szCs w:val="24"/>
        </w:rPr>
        <w:t xml:space="preserve"> </w:t>
      </w:r>
      <w:r w:rsidR="007502BD" w:rsidRPr="00D943A1">
        <w:rPr>
          <w:rFonts w:eastAsia="Palatino Linotype" w:cs="Palatino Linotype"/>
          <w:color w:val="000000"/>
          <w:szCs w:val="24"/>
        </w:rPr>
        <w:t>el</w:t>
      </w:r>
      <w:r w:rsidR="00A970D5" w:rsidRPr="00D943A1">
        <w:rPr>
          <w:rFonts w:eastAsia="Palatino Linotype" w:cs="Palatino Linotype"/>
          <w:color w:val="000000"/>
          <w:szCs w:val="24"/>
        </w:rPr>
        <w:t xml:space="preserve"> Recurr</w:t>
      </w:r>
      <w:r w:rsidR="00640056" w:rsidRPr="00D943A1">
        <w:rPr>
          <w:rFonts w:eastAsia="Palatino Linotype" w:cs="Palatino Linotype"/>
          <w:color w:val="000000"/>
          <w:szCs w:val="24"/>
        </w:rPr>
        <w:t>e</w:t>
      </w:r>
      <w:r w:rsidR="00A970D5" w:rsidRPr="00D943A1">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1C275A" w:rsidRPr="00D943A1">
        <w:rPr>
          <w:rFonts w:eastAsia="Palatino Linotype" w:cs="Palatino Linotype"/>
          <w:color w:val="000000"/>
          <w:szCs w:val="24"/>
        </w:rPr>
        <w:t xml:space="preserve"> la información incorrecta,</w:t>
      </w:r>
      <w:r w:rsidR="00BB16D5" w:rsidRPr="00D943A1">
        <w:rPr>
          <w:rFonts w:eastAsia="Palatino Linotype" w:cs="Palatino Linotype"/>
          <w:color w:val="000000"/>
          <w:szCs w:val="24"/>
        </w:rPr>
        <w:t xml:space="preserve"> </w:t>
      </w:r>
      <w:r w:rsidR="00F6068A" w:rsidRPr="00D943A1">
        <w:rPr>
          <w:rFonts w:eastAsia="Palatino Linotype" w:cs="Palatino Linotype"/>
          <w:color w:val="000000"/>
          <w:szCs w:val="24"/>
        </w:rPr>
        <w:t>y</w:t>
      </w:r>
      <w:r w:rsidR="001C275A" w:rsidRPr="00D943A1">
        <w:rPr>
          <w:rFonts w:eastAsia="Palatino Linotype" w:cs="Palatino Linotype"/>
          <w:color w:val="000000"/>
          <w:szCs w:val="24"/>
        </w:rPr>
        <w:t xml:space="preserve"> como</w:t>
      </w:r>
      <w:r w:rsidR="00F6068A" w:rsidRPr="00D943A1">
        <w:rPr>
          <w:rFonts w:eastAsia="Palatino Linotype" w:cs="Palatino Linotype"/>
          <w:color w:val="000000"/>
          <w:szCs w:val="24"/>
        </w:rPr>
        <w:t xml:space="preserve"> razones o motivos de inconformidad </w:t>
      </w:r>
      <w:r w:rsidR="001C275A" w:rsidRPr="00D943A1">
        <w:rPr>
          <w:rFonts w:eastAsia="Palatino Linotype" w:cs="Palatino Linotype"/>
          <w:i/>
          <w:color w:val="000000"/>
          <w:szCs w:val="24"/>
        </w:rPr>
        <w:t xml:space="preserve">“Se solicito el programa de auditorias para el 2022, </w:t>
      </w:r>
      <w:r w:rsidR="001C275A" w:rsidRPr="00D943A1">
        <w:rPr>
          <w:rFonts w:eastAsia="Palatino Linotype" w:cs="Palatino Linotype"/>
          <w:i/>
          <w:color w:val="000000"/>
          <w:szCs w:val="24"/>
        </w:rPr>
        <w:lastRenderedPageBreak/>
        <w:t>no sus estadísticas, siendo estas últimas entregadas y solo para el periodo de enero a septiembre, no de todo el ejercicio solicitado. Por otra parte, no están ocupando la suplencia de la terminología ya que desconozco los términos exactos utilizados, mi solicitud no se refiere al nombre con el que se denomina la acción de fiscalizar sino a las demás actividades que conlleven una revisión por parte de la contraloría</w:t>
      </w:r>
      <w:r w:rsidR="001C275A" w:rsidRPr="00D943A1">
        <w:rPr>
          <w:rFonts w:eastAsia="Palatino Linotype" w:cs="Palatino Linotype"/>
          <w:color w:val="000000"/>
          <w:szCs w:val="24"/>
        </w:rPr>
        <w:t>”.</w:t>
      </w:r>
    </w:p>
    <w:p w14:paraId="3AC05501" w14:textId="77777777" w:rsidR="003D372B" w:rsidRPr="00D943A1"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5BB529E2" w:rsidR="009279EC" w:rsidRPr="00D943A1" w:rsidRDefault="003B5707" w:rsidP="006922F5">
      <w:pPr>
        <w:pBdr>
          <w:top w:val="nil"/>
          <w:left w:val="nil"/>
          <w:bottom w:val="nil"/>
          <w:right w:val="nil"/>
          <w:between w:val="nil"/>
        </w:pBdr>
        <w:contextualSpacing/>
      </w:pPr>
      <w:r w:rsidRPr="00D943A1">
        <w:t>Caber precisar que durante la etapa de instrucción la Recurrente no realizó manifestaciones, vertió alegatos ni presentó pruebas que a su derecho convinieran. Por su parte, el Sujeto Obligado rindió su Informe Justificado mediante la presentación de los siguientes documentos:</w:t>
      </w:r>
    </w:p>
    <w:p w14:paraId="5014A808" w14:textId="52557613" w:rsidR="003B5707" w:rsidRPr="00D943A1" w:rsidRDefault="008C6919" w:rsidP="00B82E69">
      <w:pPr>
        <w:pStyle w:val="Prrafodelista"/>
        <w:numPr>
          <w:ilvl w:val="0"/>
          <w:numId w:val="16"/>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b/>
          <w:color w:val="000000"/>
        </w:rPr>
        <w:t>Informe Justificado del Informe de Revision 15455-2022.pdf</w:t>
      </w:r>
      <w:r w:rsidR="003B5707" w:rsidRPr="00D943A1">
        <w:rPr>
          <w:rFonts w:eastAsia="Palatino Linotype" w:cs="Palatino Linotype"/>
          <w:b/>
          <w:color w:val="000000"/>
        </w:rPr>
        <w:t xml:space="preserve">: </w:t>
      </w:r>
      <w:r w:rsidR="008A0F9F" w:rsidRPr="00D943A1">
        <w:t xml:space="preserve">Contiene el </w:t>
      </w:r>
      <w:r w:rsidRPr="00D943A1">
        <w:t>oficio número UT/452/2022 de fecha 24 de octubre de dos mil veintidós</w:t>
      </w:r>
      <w:r w:rsidR="00EC73F6" w:rsidRPr="00D943A1">
        <w:t xml:space="preserve">, el cual consta de su informe justificado en el cual </w:t>
      </w:r>
      <w:r w:rsidR="00154D15" w:rsidRPr="00D943A1">
        <w:t xml:space="preserve">refiere que respecto a lo manifestado por el ahora Recurrente, privilegiando en todo momento el derecho de máxima publicidad y acceso a la información pública, hace del conocimiento que el Órgano Interno de Control cuenta con la meta </w:t>
      </w:r>
      <w:r w:rsidR="00E56AF2" w:rsidRPr="00D943A1">
        <w:t>denominada “Realizar auditorías con el propósito de verificar el cumplimento del marco normativo que regula el funcionamiento de las unidades administrativas” de las que se desprende la programación de las auditorías para el 2022, aunado a lo anterior, el Sujeto Obligado solicita se determine el sobreseimiento del presente recurso, de conformidad con el artículo 192, fracciones IV y V de la Ley de Transparencia y Acceso a la Información Pública del Estado de México y Municipios; y por ende quede sin materia</w:t>
      </w:r>
      <w:r w:rsidR="00A75F9C" w:rsidRPr="00D943A1">
        <w:t>.</w:t>
      </w:r>
      <w:r w:rsidR="00E56AF2" w:rsidRPr="00D943A1">
        <w:t xml:space="preserve"> </w:t>
      </w:r>
    </w:p>
    <w:p w14:paraId="1D11D59D" w14:textId="444AB437" w:rsidR="00E32893" w:rsidRPr="00D943A1" w:rsidRDefault="00E56AF2" w:rsidP="00B82E69">
      <w:pPr>
        <w:pStyle w:val="Prrafodelista"/>
        <w:numPr>
          <w:ilvl w:val="0"/>
          <w:numId w:val="16"/>
        </w:numPr>
        <w:pBdr>
          <w:top w:val="nil"/>
          <w:left w:val="nil"/>
          <w:bottom w:val="nil"/>
          <w:right w:val="nil"/>
          <w:between w:val="nil"/>
        </w:pBdr>
        <w:contextualSpacing/>
        <w:rPr>
          <w:rFonts w:eastAsia="Palatino Linotype" w:cs="Palatino Linotype"/>
          <w:color w:val="000000"/>
        </w:rPr>
      </w:pPr>
      <w:r w:rsidRPr="00D943A1">
        <w:rPr>
          <w:rFonts w:eastAsia="Palatino Linotype" w:cs="Palatino Linotype"/>
          <w:b/>
          <w:color w:val="000000"/>
        </w:rPr>
        <w:t xml:space="preserve">Oficio de respuesta Órgano Interno de Control.pdf: </w:t>
      </w:r>
      <w:r w:rsidRPr="00D943A1">
        <w:rPr>
          <w:rFonts w:eastAsia="Palatino Linotype" w:cs="Palatino Linotype"/>
          <w:color w:val="000000"/>
        </w:rPr>
        <w:t>Contiene el oficio 400C110000/674/2022, de fecha 19 de octubre de dos mil veintidós</w:t>
      </w:r>
      <w:r w:rsidR="00E32893" w:rsidRPr="00D943A1">
        <w:rPr>
          <w:rFonts w:eastAsia="Palatino Linotype" w:cs="Palatino Linotype"/>
          <w:color w:val="000000"/>
        </w:rPr>
        <w:t xml:space="preserve">, emitido por el </w:t>
      </w:r>
      <w:r w:rsidR="00E32893" w:rsidRPr="00D943A1">
        <w:rPr>
          <w:rFonts w:eastAsia="Palatino Linotype" w:cs="Palatino Linotype"/>
          <w:color w:val="000000"/>
        </w:rPr>
        <w:lastRenderedPageBreak/>
        <w:t xml:space="preserve">Titular del Órgano Interno de Control mediante el cual medularmente refiere </w:t>
      </w:r>
      <w:r w:rsidR="00E32893" w:rsidRPr="00D943A1">
        <w:t>que el Órgano Interno de Control cuenta con la meta denominada “Realizar auditorías con el propósito de verificar el cumplimento del marco normativo que regula el funcionamiento de las unidades administrativas” de las que se desprende la programación de las auditor</w:t>
      </w:r>
      <w:r w:rsidR="00A75F9C" w:rsidRPr="00D943A1">
        <w:t>ías para el 2022, asimismo,</w:t>
      </w:r>
      <w:r w:rsidR="00E32893" w:rsidRPr="00D943A1">
        <w:t xml:space="preserve"> adjuntó la tabla siguiente: </w:t>
      </w:r>
    </w:p>
    <w:p w14:paraId="503C997D" w14:textId="77777777" w:rsidR="00E32893" w:rsidRPr="00D943A1" w:rsidRDefault="00E32893" w:rsidP="00E32893">
      <w:pPr>
        <w:pStyle w:val="Prrafodelista"/>
        <w:pBdr>
          <w:top w:val="nil"/>
          <w:left w:val="nil"/>
          <w:bottom w:val="nil"/>
          <w:right w:val="nil"/>
          <w:between w:val="nil"/>
        </w:pBdr>
        <w:ind w:left="720"/>
        <w:contextualSpacing/>
        <w:rPr>
          <w:rFonts w:eastAsia="Palatino Linotype" w:cs="Palatino Linotype"/>
          <w:color w:val="000000"/>
        </w:rPr>
      </w:pPr>
      <w:r w:rsidRPr="00D943A1">
        <w:rPr>
          <w:rFonts w:eastAsia="Palatino Linotype" w:cs="Palatino Linotype"/>
          <w:noProof/>
          <w:color w:val="000000"/>
          <w:lang w:val="es-MX" w:eastAsia="es-MX"/>
        </w:rPr>
        <w:drawing>
          <wp:inline distT="0" distB="0" distL="0" distR="0" wp14:anchorId="3FD925C1" wp14:editId="088A32AF">
            <wp:extent cx="5153025" cy="1400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1400175"/>
                    </a:xfrm>
                    <a:prstGeom prst="rect">
                      <a:avLst/>
                    </a:prstGeom>
                    <a:noFill/>
                    <a:ln>
                      <a:noFill/>
                    </a:ln>
                  </pic:spPr>
                </pic:pic>
              </a:graphicData>
            </a:graphic>
          </wp:inline>
        </w:drawing>
      </w:r>
    </w:p>
    <w:p w14:paraId="2D2680A8" w14:textId="64840761" w:rsidR="00145C14" w:rsidRPr="00D943A1" w:rsidRDefault="00A75F9C" w:rsidP="00B82E69">
      <w:pPr>
        <w:pStyle w:val="Prrafodelista"/>
        <w:numPr>
          <w:ilvl w:val="0"/>
          <w:numId w:val="16"/>
        </w:numPr>
        <w:pBdr>
          <w:top w:val="nil"/>
          <w:left w:val="nil"/>
          <w:bottom w:val="nil"/>
          <w:right w:val="nil"/>
          <w:between w:val="nil"/>
        </w:pBdr>
        <w:contextualSpacing/>
      </w:pPr>
      <w:r w:rsidRPr="00D943A1">
        <w:rPr>
          <w:rFonts w:eastAsia="Palatino Linotype" w:cs="Palatino Linotype"/>
          <w:b/>
          <w:color w:val="000000"/>
        </w:rPr>
        <w:t xml:space="preserve">Expediente Certificado de la Solicitud 219-2022 (1).pdf: </w:t>
      </w:r>
      <w:r w:rsidR="009C7DDD" w:rsidRPr="00D943A1">
        <w:rPr>
          <w:rFonts w:eastAsia="Palatino Linotype" w:cs="Palatino Linotype"/>
          <w:color w:val="000000"/>
        </w:rPr>
        <w:t xml:space="preserve">Contiene </w:t>
      </w:r>
      <w:r w:rsidR="000179BC" w:rsidRPr="00D943A1">
        <w:rPr>
          <w:rFonts w:eastAsia="Palatino Linotype" w:cs="Palatino Linotype"/>
          <w:color w:val="000000"/>
        </w:rPr>
        <w:t>todos los documentos que conforman el</w:t>
      </w:r>
      <w:r w:rsidR="009C7DDD" w:rsidRPr="00D943A1">
        <w:rPr>
          <w:rFonts w:eastAsia="Palatino Linotype" w:cs="Palatino Linotype"/>
          <w:color w:val="000000"/>
        </w:rPr>
        <w:t xml:space="preserve"> expediente del recurso de revisión 15455/INFOEM/IP/RR/2022</w:t>
      </w:r>
      <w:r w:rsidR="00332B6D" w:rsidRPr="00D943A1">
        <w:rPr>
          <w:rFonts w:eastAsia="Palatino Linotype" w:cs="Palatino Linotype"/>
          <w:color w:val="000000"/>
        </w:rPr>
        <w:t xml:space="preserve">, como lo son los acuses que se encuentran en el Sistema de Acceso a la Información Mexiquense (SAIMEX), así como los oficios remitidos como lo es el oficio número UT/411/2022, el cual contiene los motivos por los cuales para el caso de </w:t>
      </w:r>
      <w:r w:rsidR="00950A5F" w:rsidRPr="00D943A1">
        <w:rPr>
          <w:rFonts w:eastAsia="Palatino Linotype" w:cs="Palatino Linotype"/>
          <w:i/>
          <w:color w:val="000000"/>
        </w:rPr>
        <w:t xml:space="preserve">“…Documentación comprobatoria, en pdf, de todos los gastos realizados por presidencia, secretaría particular, secretaría general, unidad jurídica, unidades de ética y género en el 2022…”, </w:t>
      </w:r>
      <w:r w:rsidR="00950A5F" w:rsidRPr="00D943A1">
        <w:rPr>
          <w:rFonts w:eastAsia="Palatino Linotype" w:cs="Palatino Linotype"/>
          <w:color w:val="000000"/>
        </w:rPr>
        <w:t>por lo cual el Sujeto Obligado refiere que se tendría que subir un archivo con un peso de 3 GB, por lo cual sobrepasa las capacidades técnicas del sistema SAIMEX, lo cual se puede corroborar con el registro de incidencias de la Dirección General, asimismo tuvo a b</w:t>
      </w:r>
      <w:r w:rsidR="00B82E69" w:rsidRPr="00D943A1">
        <w:rPr>
          <w:rFonts w:eastAsia="Palatino Linotype" w:cs="Palatino Linotype"/>
          <w:color w:val="000000"/>
        </w:rPr>
        <w:t>i</w:t>
      </w:r>
      <w:r w:rsidR="00950A5F" w:rsidRPr="00D943A1">
        <w:rPr>
          <w:rFonts w:eastAsia="Palatino Linotype" w:cs="Palatino Linotype"/>
          <w:color w:val="000000"/>
        </w:rPr>
        <w:t>en adjuntar el correo electrónico. Por lo tanto a fin de g</w:t>
      </w:r>
      <w:r w:rsidR="00145C14" w:rsidRPr="00D943A1">
        <w:rPr>
          <w:rFonts w:eastAsia="Palatino Linotype" w:cs="Palatino Linotype"/>
          <w:color w:val="000000"/>
        </w:rPr>
        <w:t>a</w:t>
      </w:r>
      <w:r w:rsidR="00950A5F" w:rsidRPr="00D943A1">
        <w:rPr>
          <w:rFonts w:eastAsia="Palatino Linotype" w:cs="Palatino Linotype"/>
          <w:color w:val="000000"/>
        </w:rPr>
        <w:t xml:space="preserve">rantizar el derecho humano de acceso  la información, </w:t>
      </w:r>
      <w:r w:rsidR="00145C14" w:rsidRPr="00D943A1">
        <w:rPr>
          <w:rFonts w:eastAsia="Palatino Linotype" w:cs="Palatino Linotype"/>
          <w:color w:val="000000"/>
        </w:rPr>
        <w:t xml:space="preserve">propone las modalidades de entrega: </w:t>
      </w:r>
      <w:r w:rsidR="00145C14" w:rsidRPr="00D943A1">
        <w:rPr>
          <w:rFonts w:eastAsia="Palatino Linotype" w:cs="Palatino Linotype"/>
          <w:b/>
          <w:i/>
          <w:color w:val="000000"/>
        </w:rPr>
        <w:t xml:space="preserve">Consulta Directa (In Situ), o bien su entrega a través de discos compactos o en algún medio de almacenamiento </w:t>
      </w:r>
      <w:r w:rsidR="00145C14" w:rsidRPr="00D943A1">
        <w:rPr>
          <w:rFonts w:eastAsia="Palatino Linotype" w:cs="Palatino Linotype"/>
          <w:b/>
          <w:i/>
          <w:color w:val="000000"/>
        </w:rPr>
        <w:lastRenderedPageBreak/>
        <w:t>(USB), previo pago de los costos de reproducción correspondientes</w:t>
      </w:r>
      <w:r w:rsidR="00145C14" w:rsidRPr="00D943A1">
        <w:rPr>
          <w:rFonts w:eastAsia="Palatino Linotype" w:cs="Palatino Linotype"/>
          <w:i/>
          <w:color w:val="000000"/>
        </w:rPr>
        <w:t xml:space="preserve">; </w:t>
      </w:r>
      <w:r w:rsidR="00145C14" w:rsidRPr="00D943A1">
        <w:rPr>
          <w:rFonts w:eastAsia="Palatino Linotype" w:cs="Palatino Linotype"/>
          <w:color w:val="000000"/>
        </w:rPr>
        <w:t xml:space="preserve">asimismo  tuvo a bien referir los costos, la dirección del área en la cual será atendido, horario, el Servidor Público Habilitado que lo atenderá. Referente a </w:t>
      </w:r>
      <w:r w:rsidR="00145C14" w:rsidRPr="00D943A1">
        <w:rPr>
          <w:rFonts w:eastAsia="Palatino Linotype" w:cs="Palatino Linotype"/>
          <w:b/>
          <w:i/>
          <w:color w:val="000000"/>
        </w:rPr>
        <w:t xml:space="preserve">“…percepciones extraordinarias…”, </w:t>
      </w:r>
      <w:r w:rsidR="00145C14" w:rsidRPr="00D943A1">
        <w:rPr>
          <w:rFonts w:eastAsia="Palatino Linotype" w:cs="Palatino Linotype"/>
          <w:color w:val="000000"/>
        </w:rPr>
        <w:t>adjunta una tabla denominada PERCEPCIONES EXTRAORDINARIAS A LA FECHA DE LA SOLICITUD DE INFORMACIÓN,  por lo cual se adjunta la siguiente imagen a manera de ejemplo:</w:t>
      </w:r>
    </w:p>
    <w:p w14:paraId="488FAABF" w14:textId="611F484B" w:rsidR="000179BC" w:rsidRPr="00D943A1" w:rsidRDefault="00145C14" w:rsidP="00145C14">
      <w:pPr>
        <w:pStyle w:val="Prrafodelista"/>
        <w:pBdr>
          <w:top w:val="nil"/>
          <w:left w:val="nil"/>
          <w:bottom w:val="nil"/>
          <w:right w:val="nil"/>
          <w:between w:val="nil"/>
        </w:pBdr>
        <w:ind w:left="0"/>
        <w:contextualSpacing/>
      </w:pPr>
      <w:r w:rsidRPr="00D943A1">
        <w:rPr>
          <w:rFonts w:eastAsia="Palatino Linotype" w:cs="Palatino Linotype"/>
          <w:b/>
          <w:i/>
          <w:noProof/>
          <w:color w:val="000000"/>
          <w:lang w:val="es-MX" w:eastAsia="es-MX"/>
        </w:rPr>
        <w:drawing>
          <wp:inline distT="0" distB="0" distL="0" distR="0" wp14:anchorId="01EDECE0" wp14:editId="61C893B7">
            <wp:extent cx="5743575" cy="2895600"/>
            <wp:effectExtent l="152400" t="152400" r="37147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927" r="1284" b="3798"/>
                    <a:stretch/>
                  </pic:blipFill>
                  <pic:spPr bwMode="auto">
                    <a:xfrm>
                      <a:off x="0" y="0"/>
                      <a:ext cx="5743575" cy="2895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D943A1">
        <w:rPr>
          <w:rFonts w:eastAsia="Palatino Linotype" w:cs="Palatino Linotype"/>
          <w:b/>
          <w:i/>
          <w:color w:val="000000"/>
        </w:rPr>
        <w:t xml:space="preserve">  </w:t>
      </w:r>
    </w:p>
    <w:p w14:paraId="35695B46" w14:textId="356625A4" w:rsidR="00C006C6" w:rsidRPr="00D943A1" w:rsidRDefault="00BB67A7" w:rsidP="00145C14">
      <w:pPr>
        <w:pBdr>
          <w:top w:val="nil"/>
          <w:left w:val="nil"/>
          <w:bottom w:val="nil"/>
          <w:right w:val="nil"/>
          <w:between w:val="nil"/>
        </w:pBdr>
        <w:ind w:left="709"/>
        <w:contextualSpacing/>
      </w:pPr>
      <w:r w:rsidRPr="00D943A1">
        <w:t>Por cuanto hace a la “</w:t>
      </w:r>
      <w:r w:rsidRPr="00D943A1">
        <w:rPr>
          <w:i/>
        </w:rPr>
        <w:t xml:space="preserve">documentación comprobatoria”, </w:t>
      </w:r>
      <w:r w:rsidRPr="00D943A1">
        <w:t xml:space="preserve"> refiere que se adjuntan los documentos comprobatorios en formato pdf que autorizan dichas percepciones extraordinarias siendo la Cédula de Prestaciones Salariales 2022, el Acuerdo por el que se autoriza el otorgar el estímulo y/o gratificación semestral para las personas servidoras públicas del organismo, durante el ejercicio fiscal 2022 y el </w:t>
      </w:r>
      <w:r w:rsidRPr="00D943A1">
        <w:lastRenderedPageBreak/>
        <w:t>Procedimiento Pago de Prima Adicional por Permanencia en el Servicio de la CODHEM, mismos documentos que fueron adjuntados.</w:t>
      </w:r>
    </w:p>
    <w:p w14:paraId="242D0B58" w14:textId="612D29E2" w:rsidR="00176E26" w:rsidRPr="00D943A1" w:rsidRDefault="00176E26" w:rsidP="00176E26">
      <w:pPr>
        <w:pStyle w:val="Prrafodelista"/>
        <w:numPr>
          <w:ilvl w:val="0"/>
          <w:numId w:val="16"/>
        </w:numPr>
        <w:pBdr>
          <w:top w:val="nil"/>
          <w:left w:val="nil"/>
          <w:bottom w:val="nil"/>
          <w:right w:val="nil"/>
          <w:between w:val="nil"/>
        </w:pBdr>
        <w:contextualSpacing/>
        <w:rPr>
          <w:b/>
        </w:rPr>
      </w:pPr>
      <w:r w:rsidRPr="00D943A1">
        <w:rPr>
          <w:b/>
        </w:rPr>
        <w:t xml:space="preserve">Expediente Certificado de la Solicitud 219-2022.pdf: </w:t>
      </w:r>
      <w:r w:rsidRPr="00D943A1">
        <w:rPr>
          <w:rFonts w:eastAsia="Palatino Linotype" w:cs="Palatino Linotype"/>
          <w:color w:val="000000"/>
        </w:rPr>
        <w:t xml:space="preserve">Contiene todos los documentos que conforman el expediente del recurso de revisión 15455/INFOEM/IP/RR/2022, como lo son los acuses que se encuentran en el Sistema de Acceso a la Información Mexiquense (SAIMEX), así como los oficios remitidos como lo es el oficio número UT/411/2022, el cual contiene los motivos por los cuales para el caso de </w:t>
      </w:r>
      <w:r w:rsidRPr="00D943A1">
        <w:rPr>
          <w:rFonts w:eastAsia="Palatino Linotype" w:cs="Palatino Linotype"/>
          <w:i/>
          <w:color w:val="000000"/>
        </w:rPr>
        <w:t xml:space="preserve">“…Documentación comprobatoria, en pdf, de todos los gastos realizados por presidencia, secretaría particular, secretaría general, unidad jurídica, unidades de ética y género en el 2022…”, </w:t>
      </w:r>
      <w:r w:rsidRPr="00D943A1">
        <w:rPr>
          <w:rFonts w:eastAsia="Palatino Linotype" w:cs="Palatino Linotype"/>
          <w:color w:val="000000"/>
        </w:rPr>
        <w:t xml:space="preserve">por lo cual el Sujeto Obligado refiere que se tendría que subir un archivo con un peso de 3 GB, por lo cual sobrepasa las capacidades técnicas del sistema SAIMEX, lo cual se puede corroborar con el registro de incidencias de la Dirección General, asimismo tuvo a bien adjuntar el correo electrónico. Por lo tanto a fin de garantizar el derecho humano de acceso  la información, propone las modalidades de entrega: </w:t>
      </w:r>
      <w:r w:rsidRPr="00D943A1">
        <w:rPr>
          <w:rFonts w:eastAsia="Palatino Linotype" w:cs="Palatino Linotype"/>
          <w:b/>
          <w:i/>
          <w:color w:val="000000"/>
        </w:rPr>
        <w:t>Consulta Directa (In Situ), o bien su entrega a través de discos compactos o en algún medio de almacenamiento (USB), previo pago de los costos de reproducción correspondientes</w:t>
      </w:r>
      <w:r w:rsidRPr="00D943A1">
        <w:rPr>
          <w:rFonts w:eastAsia="Palatino Linotype" w:cs="Palatino Linotype"/>
          <w:i/>
          <w:color w:val="000000"/>
        </w:rPr>
        <w:t xml:space="preserve">; </w:t>
      </w:r>
      <w:r w:rsidRPr="00D943A1">
        <w:rPr>
          <w:rFonts w:eastAsia="Palatino Linotype" w:cs="Palatino Linotype"/>
          <w:color w:val="000000"/>
        </w:rPr>
        <w:t xml:space="preserve">asimismo  tuvo a bien referir los costos, la dirección del área en la cual será atendido, horario, el Servidor Público Habilitado que lo atenderá. Referente a </w:t>
      </w:r>
      <w:r w:rsidRPr="00D943A1">
        <w:rPr>
          <w:rFonts w:eastAsia="Palatino Linotype" w:cs="Palatino Linotype"/>
          <w:b/>
          <w:i/>
          <w:color w:val="000000"/>
        </w:rPr>
        <w:t xml:space="preserve">“…percepciones extraordinarias…”, </w:t>
      </w:r>
      <w:r w:rsidRPr="00D943A1">
        <w:rPr>
          <w:rFonts w:eastAsia="Palatino Linotype" w:cs="Palatino Linotype"/>
          <w:color w:val="000000"/>
        </w:rPr>
        <w:t xml:space="preserve">adjunta una tabla denominada PERCEPCIONES EXTRAORDINARIAS A LA FECHA DE LA SOLICITUD DE INFORMACIÓN, </w:t>
      </w:r>
      <w:r w:rsidRPr="00D943A1">
        <w:t>Por cuanto hace a la “</w:t>
      </w:r>
      <w:r w:rsidRPr="00D943A1">
        <w:rPr>
          <w:i/>
        </w:rPr>
        <w:t xml:space="preserve">documentación comprobatoria”, </w:t>
      </w:r>
      <w:r w:rsidRPr="00D943A1">
        <w:t xml:space="preserve"> refiere que se adjuntan los documentos comprobatorios en formato pdf que autorizan dichas percepciones extraordinarias siendo la Cédula de Prestaciones Salariales 2022, el Acuerdo por </w:t>
      </w:r>
      <w:r w:rsidRPr="00D943A1">
        <w:lastRenderedPageBreak/>
        <w:t>el que se autoriza el otorgar el estímulo y/o gratificación semestral para las personas servidoras públicas del organismo, durante el ejercicio fiscal 2022 y el Procedimiento Pago de Prima Adicional por Permanencia en el Servicio de la CODHEM, mismos d</w:t>
      </w:r>
      <w:r w:rsidR="00363900" w:rsidRPr="00D943A1">
        <w:t xml:space="preserve">ocumentos que fueron adjuntados; </w:t>
      </w:r>
      <w:r w:rsidR="003C3A1C" w:rsidRPr="00D943A1">
        <w:t>el cual</w:t>
      </w:r>
      <w:r w:rsidR="00363900" w:rsidRPr="00D943A1">
        <w:t xml:space="preserve"> no fue puesto a la vista del ahora recurrente, toda vez que contiene datos susceptibles de ser clasificados, como son la clave SAIMEX del Servidor Público Habilitado.</w:t>
      </w:r>
    </w:p>
    <w:p w14:paraId="042EC09D" w14:textId="77777777" w:rsidR="00C01912" w:rsidRPr="00D943A1" w:rsidRDefault="00C01912" w:rsidP="006922F5">
      <w:pPr>
        <w:pBdr>
          <w:top w:val="nil"/>
          <w:left w:val="nil"/>
          <w:bottom w:val="nil"/>
          <w:right w:val="nil"/>
          <w:between w:val="nil"/>
        </w:pBdr>
        <w:contextualSpacing/>
        <w:rPr>
          <w:rFonts w:cs="Arial"/>
          <w:lang w:val="es-ES"/>
        </w:rPr>
      </w:pPr>
    </w:p>
    <w:p w14:paraId="23B607E9" w14:textId="2076AF45" w:rsidR="00BB67A7" w:rsidRPr="00D943A1" w:rsidRDefault="00C01912" w:rsidP="006922F5">
      <w:pPr>
        <w:pBdr>
          <w:top w:val="nil"/>
          <w:left w:val="nil"/>
          <w:bottom w:val="nil"/>
          <w:right w:val="nil"/>
          <w:between w:val="nil"/>
        </w:pBdr>
        <w:contextualSpacing/>
      </w:pPr>
      <w:r w:rsidRPr="00D943A1">
        <w:rPr>
          <w:rFonts w:cs="Arial"/>
          <w:lang w:val="es-ES"/>
        </w:rPr>
        <w:t xml:space="preserve">Atentos a las manifestaciones del Sujeto Obligado, resulta necesaria la elaboración de un cuadro comparativo que permita advertir los requerimientos de información confrontados con la información proporcionada, a efecto de estar en posibilidades de determinar, si el </w:t>
      </w:r>
      <w:r w:rsidRPr="00D943A1">
        <w:rPr>
          <w:rFonts w:cs="Arial"/>
          <w:b/>
          <w:lang w:val="es-ES"/>
        </w:rPr>
        <w:t>Sujeto Obligado</w:t>
      </w:r>
      <w:r w:rsidRPr="00D943A1">
        <w:rPr>
          <w:rFonts w:cs="Arial"/>
          <w:lang w:val="es-ES"/>
        </w:rPr>
        <w:t xml:space="preserve"> hizo entrega de la información, garantizando el derecho de acceso a la información del particular, por lo que se procede en los términos siguientes:</w:t>
      </w:r>
    </w:p>
    <w:tbl>
      <w:tblPr>
        <w:tblStyle w:val="Tablaconcuadrcula"/>
        <w:tblW w:w="9067" w:type="dxa"/>
        <w:tblLayout w:type="fixed"/>
        <w:tblLook w:val="04A0" w:firstRow="1" w:lastRow="0" w:firstColumn="1" w:lastColumn="0" w:noHBand="0" w:noVBand="1"/>
      </w:tblPr>
      <w:tblGrid>
        <w:gridCol w:w="2405"/>
        <w:gridCol w:w="1843"/>
        <w:gridCol w:w="2126"/>
        <w:gridCol w:w="2693"/>
      </w:tblGrid>
      <w:tr w:rsidR="00F602D4" w:rsidRPr="00D943A1" w14:paraId="28862323" w14:textId="77777777" w:rsidTr="00E32CF9">
        <w:tc>
          <w:tcPr>
            <w:tcW w:w="2405" w:type="dxa"/>
            <w:tcBorders>
              <w:right w:val="single" w:sz="12" w:space="0" w:color="FFFFFF" w:themeColor="background1"/>
            </w:tcBorders>
            <w:shd w:val="clear" w:color="auto" w:fill="000000" w:themeFill="text1"/>
          </w:tcPr>
          <w:p w14:paraId="422865BB" w14:textId="77777777" w:rsidR="00F602D4" w:rsidRPr="00D943A1" w:rsidRDefault="00F602D4" w:rsidP="00E32CF9">
            <w:pPr>
              <w:pStyle w:val="Citas"/>
              <w:tabs>
                <w:tab w:val="left" w:pos="7470"/>
              </w:tabs>
              <w:spacing w:line="240" w:lineRule="auto"/>
              <w:ind w:left="0" w:right="72"/>
              <w:jc w:val="center"/>
              <w:rPr>
                <w:b/>
                <w:bCs/>
                <w:i w:val="0"/>
                <w:sz w:val="18"/>
                <w:szCs w:val="18"/>
              </w:rPr>
            </w:pPr>
            <w:r w:rsidRPr="00D943A1">
              <w:rPr>
                <w:b/>
                <w:bCs/>
                <w:i w:val="0"/>
                <w:sz w:val="18"/>
                <w:szCs w:val="18"/>
              </w:rPr>
              <w:t>SOLICITUD DE INFORMACIÓN</w:t>
            </w:r>
          </w:p>
        </w:tc>
        <w:tc>
          <w:tcPr>
            <w:tcW w:w="1843" w:type="dxa"/>
            <w:tcBorders>
              <w:left w:val="single" w:sz="12" w:space="0" w:color="FFFFFF" w:themeColor="background1"/>
              <w:right w:val="single" w:sz="12" w:space="0" w:color="FFFFFF" w:themeColor="background1"/>
            </w:tcBorders>
            <w:shd w:val="clear" w:color="auto" w:fill="000000" w:themeFill="text1"/>
          </w:tcPr>
          <w:p w14:paraId="22D3980B" w14:textId="77777777" w:rsidR="00F602D4" w:rsidRPr="00D943A1" w:rsidRDefault="00F602D4" w:rsidP="00E32CF9">
            <w:pPr>
              <w:pStyle w:val="Citas"/>
              <w:tabs>
                <w:tab w:val="left" w:pos="7470"/>
              </w:tabs>
              <w:spacing w:line="240" w:lineRule="auto"/>
              <w:ind w:left="0" w:right="72"/>
              <w:jc w:val="center"/>
              <w:rPr>
                <w:b/>
                <w:bCs/>
                <w:i w:val="0"/>
                <w:sz w:val="18"/>
                <w:szCs w:val="18"/>
              </w:rPr>
            </w:pPr>
            <w:r w:rsidRPr="00D943A1">
              <w:rPr>
                <w:b/>
                <w:bCs/>
                <w:i w:val="0"/>
                <w:sz w:val="18"/>
                <w:szCs w:val="18"/>
              </w:rPr>
              <w:t>RESPUESTA</w:t>
            </w:r>
          </w:p>
        </w:tc>
        <w:tc>
          <w:tcPr>
            <w:tcW w:w="2126" w:type="dxa"/>
            <w:tcBorders>
              <w:left w:val="single" w:sz="12" w:space="0" w:color="FFFFFF" w:themeColor="background1"/>
              <w:right w:val="single" w:sz="12" w:space="0" w:color="FFFFFF" w:themeColor="background1"/>
            </w:tcBorders>
            <w:shd w:val="clear" w:color="auto" w:fill="000000" w:themeFill="text1"/>
          </w:tcPr>
          <w:p w14:paraId="2A7CA10F" w14:textId="77777777" w:rsidR="00F602D4" w:rsidRPr="00D943A1" w:rsidRDefault="00F602D4" w:rsidP="00E32CF9">
            <w:pPr>
              <w:pStyle w:val="Citas"/>
              <w:tabs>
                <w:tab w:val="left" w:pos="7470"/>
              </w:tabs>
              <w:spacing w:line="240" w:lineRule="auto"/>
              <w:ind w:left="0" w:right="72"/>
              <w:jc w:val="center"/>
              <w:rPr>
                <w:b/>
                <w:bCs/>
                <w:i w:val="0"/>
                <w:sz w:val="18"/>
                <w:szCs w:val="18"/>
              </w:rPr>
            </w:pPr>
            <w:r w:rsidRPr="00D943A1">
              <w:rPr>
                <w:b/>
                <w:bCs/>
                <w:i w:val="0"/>
                <w:sz w:val="18"/>
                <w:szCs w:val="18"/>
              </w:rPr>
              <w:t xml:space="preserve">INFORME </w:t>
            </w:r>
            <w:r w:rsidRPr="00D943A1">
              <w:rPr>
                <w:b/>
                <w:bCs/>
                <w:i w:val="0"/>
                <w:color w:val="FFFFFF" w:themeColor="background1"/>
                <w:sz w:val="18"/>
                <w:szCs w:val="18"/>
              </w:rPr>
              <w:t>JUSTIFICADO</w:t>
            </w:r>
          </w:p>
        </w:tc>
        <w:tc>
          <w:tcPr>
            <w:tcW w:w="2693" w:type="dxa"/>
            <w:tcBorders>
              <w:left w:val="single" w:sz="12" w:space="0" w:color="FFFFFF" w:themeColor="background1"/>
            </w:tcBorders>
            <w:shd w:val="clear" w:color="auto" w:fill="000000" w:themeFill="text1"/>
          </w:tcPr>
          <w:p w14:paraId="0A3B85BC" w14:textId="77777777" w:rsidR="00F602D4" w:rsidRPr="00D943A1" w:rsidRDefault="00F602D4" w:rsidP="00E32CF9">
            <w:pPr>
              <w:pStyle w:val="Citas"/>
              <w:tabs>
                <w:tab w:val="left" w:pos="7470"/>
              </w:tabs>
              <w:spacing w:line="240" w:lineRule="auto"/>
              <w:ind w:left="0" w:right="72"/>
              <w:jc w:val="center"/>
              <w:rPr>
                <w:b/>
                <w:bCs/>
                <w:i w:val="0"/>
                <w:sz w:val="18"/>
                <w:szCs w:val="18"/>
              </w:rPr>
            </w:pPr>
            <w:r w:rsidRPr="00D943A1">
              <w:rPr>
                <w:b/>
                <w:bCs/>
                <w:i w:val="0"/>
                <w:sz w:val="18"/>
                <w:szCs w:val="18"/>
              </w:rPr>
              <w:t>COLMA</w:t>
            </w:r>
          </w:p>
        </w:tc>
      </w:tr>
      <w:tr w:rsidR="00F602D4" w:rsidRPr="00D943A1" w14:paraId="46AC0F78" w14:textId="77777777" w:rsidTr="00E32CF9">
        <w:tc>
          <w:tcPr>
            <w:tcW w:w="2405" w:type="dxa"/>
            <w:vAlign w:val="center"/>
          </w:tcPr>
          <w:p w14:paraId="14DDBE3D" w14:textId="27ACA5AB" w:rsidR="00F602D4" w:rsidRPr="00D943A1" w:rsidRDefault="00F602D4" w:rsidP="00B82E69">
            <w:pPr>
              <w:pStyle w:val="Citas"/>
              <w:numPr>
                <w:ilvl w:val="0"/>
                <w:numId w:val="20"/>
              </w:numPr>
              <w:tabs>
                <w:tab w:val="left" w:pos="1421"/>
              </w:tabs>
              <w:spacing w:after="0" w:line="240" w:lineRule="auto"/>
              <w:ind w:left="313" w:right="175"/>
              <w:rPr>
                <w:i w:val="0"/>
                <w:iCs/>
                <w:sz w:val="18"/>
                <w:szCs w:val="18"/>
              </w:rPr>
            </w:pPr>
            <w:r w:rsidRPr="00D943A1">
              <w:rPr>
                <w:i w:val="0"/>
                <w:iCs/>
                <w:sz w:val="18"/>
                <w:szCs w:val="18"/>
              </w:rPr>
              <w:t>Documentación comprobatoria de todos los gastos realizados por presidencia, secretaría particular, secretaría general, unidad jurídica, unidades de ética y género en el 2022.</w:t>
            </w:r>
          </w:p>
        </w:tc>
        <w:tc>
          <w:tcPr>
            <w:tcW w:w="1843" w:type="dxa"/>
            <w:vAlign w:val="center"/>
          </w:tcPr>
          <w:p w14:paraId="19D7DA91" w14:textId="609012D8" w:rsidR="00F602D4" w:rsidRPr="00D943A1" w:rsidRDefault="00A73D64" w:rsidP="00031ECE">
            <w:pPr>
              <w:pStyle w:val="Citas"/>
              <w:tabs>
                <w:tab w:val="left" w:pos="7470"/>
              </w:tabs>
              <w:spacing w:line="240" w:lineRule="auto"/>
              <w:ind w:left="0" w:right="72"/>
              <w:rPr>
                <w:i w:val="0"/>
                <w:sz w:val="18"/>
                <w:szCs w:val="18"/>
              </w:rPr>
            </w:pPr>
            <w:r w:rsidRPr="00D943A1">
              <w:rPr>
                <w:i w:val="0"/>
                <w:sz w:val="18"/>
                <w:szCs w:val="18"/>
              </w:rPr>
              <w:t xml:space="preserve">El Sujeto Obligado adjunta </w:t>
            </w:r>
            <w:r w:rsidR="00726B26" w:rsidRPr="00D943A1">
              <w:rPr>
                <w:i w:val="0"/>
                <w:sz w:val="18"/>
                <w:szCs w:val="18"/>
              </w:rPr>
              <w:t xml:space="preserve">el oficio UT/411/2022, mediante el cual refiere que derivado del volumen de la información la cual asciende aproximadamente a 35,000 fojas </w:t>
            </w:r>
            <w:r w:rsidR="00031ECE" w:rsidRPr="00D943A1">
              <w:rPr>
                <w:i w:val="0"/>
                <w:sz w:val="18"/>
                <w:szCs w:val="18"/>
              </w:rPr>
              <w:t xml:space="preserve">por lo que solicita realizar una consulta técnica al Instituto de Transparencia y Acceso a la Información </w:t>
            </w:r>
            <w:r w:rsidR="00031ECE" w:rsidRPr="00D943A1">
              <w:rPr>
                <w:i w:val="0"/>
                <w:sz w:val="18"/>
                <w:szCs w:val="18"/>
              </w:rPr>
              <w:lastRenderedPageBreak/>
              <w:t xml:space="preserve">Pública y Protección de Datos Personales </w:t>
            </w:r>
            <w:r w:rsidR="00761300" w:rsidRPr="00D943A1">
              <w:rPr>
                <w:i w:val="0"/>
                <w:sz w:val="18"/>
                <w:szCs w:val="18"/>
              </w:rPr>
              <w:t>del Estado de México y Municipios</w:t>
            </w:r>
            <w:r w:rsidR="00031ECE" w:rsidRPr="00D943A1">
              <w:rPr>
                <w:i w:val="0"/>
                <w:sz w:val="18"/>
                <w:szCs w:val="18"/>
              </w:rPr>
              <w:t xml:space="preserve">                                                        </w:t>
            </w:r>
          </w:p>
        </w:tc>
        <w:tc>
          <w:tcPr>
            <w:tcW w:w="2126" w:type="dxa"/>
            <w:vAlign w:val="center"/>
          </w:tcPr>
          <w:p w14:paraId="08E8AD31" w14:textId="4F7425D1" w:rsidR="00F602D4" w:rsidRPr="00D943A1" w:rsidRDefault="000D1DE0" w:rsidP="000D1DE0">
            <w:pPr>
              <w:pStyle w:val="Citas"/>
              <w:tabs>
                <w:tab w:val="left" w:pos="7470"/>
              </w:tabs>
              <w:spacing w:line="240" w:lineRule="auto"/>
              <w:ind w:left="0" w:right="72"/>
              <w:rPr>
                <w:i w:val="0"/>
                <w:sz w:val="18"/>
                <w:szCs w:val="18"/>
              </w:rPr>
            </w:pPr>
            <w:r w:rsidRPr="00D943A1">
              <w:rPr>
                <w:i w:val="0"/>
                <w:sz w:val="18"/>
                <w:szCs w:val="18"/>
              </w:rPr>
              <w:lastRenderedPageBreak/>
              <w:t>Medularmente ratifica su respuesta inicial, asimismo, ofrece otras modalidades de entrega a fin de garantizar el Derecho de máxima publicidad y acceso a la información pública.</w:t>
            </w:r>
          </w:p>
        </w:tc>
        <w:tc>
          <w:tcPr>
            <w:tcW w:w="2693" w:type="dxa"/>
            <w:vAlign w:val="center"/>
          </w:tcPr>
          <w:p w14:paraId="4E4A3613" w14:textId="77777777" w:rsidR="00F602D4" w:rsidRPr="00D943A1" w:rsidRDefault="00F602D4" w:rsidP="00E32CF9">
            <w:pPr>
              <w:pStyle w:val="Citas"/>
              <w:tabs>
                <w:tab w:val="left" w:pos="7470"/>
              </w:tabs>
              <w:spacing w:line="240" w:lineRule="auto"/>
              <w:ind w:left="0" w:right="72"/>
              <w:jc w:val="center"/>
              <w:rPr>
                <w:i w:val="0"/>
                <w:sz w:val="18"/>
                <w:szCs w:val="18"/>
              </w:rPr>
            </w:pPr>
            <w:r w:rsidRPr="00D943A1">
              <w:rPr>
                <w:i w:val="0"/>
                <w:sz w:val="18"/>
                <w:szCs w:val="18"/>
              </w:rPr>
              <w:t>Sí</w:t>
            </w:r>
          </w:p>
          <w:p w14:paraId="6148F356" w14:textId="10094A4D" w:rsidR="000D1DE0" w:rsidRPr="00D943A1" w:rsidRDefault="000D1DE0" w:rsidP="00E32CF9">
            <w:pPr>
              <w:pStyle w:val="Citas"/>
              <w:tabs>
                <w:tab w:val="left" w:pos="7470"/>
              </w:tabs>
              <w:spacing w:line="240" w:lineRule="auto"/>
              <w:ind w:left="0" w:right="72"/>
              <w:jc w:val="center"/>
              <w:rPr>
                <w:i w:val="0"/>
                <w:sz w:val="18"/>
                <w:szCs w:val="18"/>
              </w:rPr>
            </w:pPr>
            <w:r w:rsidRPr="00D943A1">
              <w:rPr>
                <w:i w:val="0"/>
                <w:sz w:val="16"/>
                <w:szCs w:val="16"/>
              </w:rPr>
              <w:t>(Actos consentidos)</w:t>
            </w:r>
          </w:p>
        </w:tc>
      </w:tr>
      <w:tr w:rsidR="00F602D4" w:rsidRPr="00D943A1" w14:paraId="452B95EC" w14:textId="77777777" w:rsidTr="00E32CF9">
        <w:tc>
          <w:tcPr>
            <w:tcW w:w="2405" w:type="dxa"/>
          </w:tcPr>
          <w:p w14:paraId="406121BE" w14:textId="344574A6" w:rsidR="00F602D4" w:rsidRPr="00D943A1" w:rsidRDefault="00F602D4" w:rsidP="00B82E69">
            <w:pPr>
              <w:pStyle w:val="Citas"/>
              <w:numPr>
                <w:ilvl w:val="0"/>
                <w:numId w:val="20"/>
              </w:numPr>
              <w:spacing w:after="0" w:line="240" w:lineRule="auto"/>
              <w:ind w:left="313" w:right="175"/>
              <w:rPr>
                <w:i w:val="0"/>
                <w:iCs/>
                <w:sz w:val="18"/>
                <w:szCs w:val="18"/>
              </w:rPr>
            </w:pPr>
            <w:r w:rsidRPr="00D943A1">
              <w:rPr>
                <w:i w:val="0"/>
                <w:iCs/>
                <w:sz w:val="18"/>
                <w:szCs w:val="18"/>
              </w:rPr>
              <w:t xml:space="preserve">Correos electrónicos institucionales de nivel subdirección para arriba en el 2022. </w:t>
            </w:r>
          </w:p>
        </w:tc>
        <w:tc>
          <w:tcPr>
            <w:tcW w:w="1843" w:type="dxa"/>
            <w:vAlign w:val="center"/>
          </w:tcPr>
          <w:p w14:paraId="695856D4" w14:textId="4FDF3AAF" w:rsidR="00F602D4" w:rsidRPr="00D943A1" w:rsidRDefault="009F558F" w:rsidP="009F558F">
            <w:pPr>
              <w:pStyle w:val="Citas"/>
              <w:tabs>
                <w:tab w:val="left" w:pos="7470"/>
              </w:tabs>
              <w:spacing w:line="240" w:lineRule="auto"/>
              <w:ind w:left="0" w:right="72"/>
              <w:rPr>
                <w:i w:val="0"/>
                <w:sz w:val="18"/>
                <w:szCs w:val="18"/>
              </w:rPr>
            </w:pPr>
            <w:r w:rsidRPr="00D943A1">
              <w:rPr>
                <w:i w:val="0"/>
                <w:sz w:val="18"/>
                <w:szCs w:val="18"/>
              </w:rPr>
              <w:t>El Sujeto Obligado adjuntó un documento en el cual se observan diversos correos electrónicos institucionales.</w:t>
            </w:r>
          </w:p>
        </w:tc>
        <w:tc>
          <w:tcPr>
            <w:tcW w:w="2126" w:type="dxa"/>
            <w:vAlign w:val="center"/>
          </w:tcPr>
          <w:p w14:paraId="7D07F6ED" w14:textId="6120BF1C" w:rsidR="00F602D4" w:rsidRPr="00D943A1" w:rsidRDefault="000D1DE0" w:rsidP="000D1DE0">
            <w:pPr>
              <w:pStyle w:val="Citas"/>
              <w:tabs>
                <w:tab w:val="left" w:pos="7470"/>
              </w:tabs>
              <w:spacing w:line="240" w:lineRule="auto"/>
              <w:ind w:left="0" w:right="72"/>
              <w:rPr>
                <w:i w:val="0"/>
                <w:sz w:val="18"/>
                <w:szCs w:val="18"/>
              </w:rPr>
            </w:pPr>
            <w:r w:rsidRPr="00D943A1">
              <w:rPr>
                <w:i w:val="0"/>
                <w:sz w:val="18"/>
                <w:szCs w:val="18"/>
              </w:rPr>
              <w:t>El Sujeto Obligado adjunta el mismo documento remitido en respuesta, mediante el cual se observan los diversos correos electrónicos institucionales.</w:t>
            </w:r>
          </w:p>
        </w:tc>
        <w:tc>
          <w:tcPr>
            <w:tcW w:w="2693" w:type="dxa"/>
            <w:vAlign w:val="center"/>
          </w:tcPr>
          <w:p w14:paraId="4E9B1DF9" w14:textId="77777777" w:rsidR="00F602D4" w:rsidRPr="00D943A1" w:rsidRDefault="000D1DE0" w:rsidP="00E32CF9">
            <w:pPr>
              <w:pStyle w:val="Citas"/>
              <w:tabs>
                <w:tab w:val="left" w:pos="7470"/>
              </w:tabs>
              <w:spacing w:line="240" w:lineRule="auto"/>
              <w:ind w:left="0" w:right="72"/>
              <w:jc w:val="center"/>
              <w:rPr>
                <w:i w:val="0"/>
                <w:sz w:val="18"/>
                <w:szCs w:val="18"/>
              </w:rPr>
            </w:pPr>
            <w:r w:rsidRPr="00D943A1">
              <w:rPr>
                <w:i w:val="0"/>
                <w:sz w:val="18"/>
                <w:szCs w:val="18"/>
              </w:rPr>
              <w:t>Sí</w:t>
            </w:r>
          </w:p>
          <w:p w14:paraId="3598E23A" w14:textId="2FD9B6E5" w:rsidR="000D1DE0" w:rsidRPr="00D943A1" w:rsidRDefault="000D1DE0" w:rsidP="00E32CF9">
            <w:pPr>
              <w:pStyle w:val="Citas"/>
              <w:tabs>
                <w:tab w:val="left" w:pos="7470"/>
              </w:tabs>
              <w:spacing w:line="240" w:lineRule="auto"/>
              <w:ind w:left="0" w:right="72"/>
              <w:jc w:val="center"/>
              <w:rPr>
                <w:i w:val="0"/>
                <w:sz w:val="18"/>
                <w:szCs w:val="18"/>
              </w:rPr>
            </w:pPr>
            <w:r w:rsidRPr="00D943A1">
              <w:rPr>
                <w:i w:val="0"/>
                <w:sz w:val="16"/>
                <w:szCs w:val="16"/>
              </w:rPr>
              <w:t>(Actos consentidos)</w:t>
            </w:r>
          </w:p>
        </w:tc>
      </w:tr>
      <w:tr w:rsidR="00F602D4" w:rsidRPr="00D943A1" w14:paraId="0063735E" w14:textId="77777777" w:rsidTr="000D1DE0">
        <w:tc>
          <w:tcPr>
            <w:tcW w:w="2405" w:type="dxa"/>
            <w:vAlign w:val="center"/>
          </w:tcPr>
          <w:p w14:paraId="4DAD52AF" w14:textId="0D20BB38" w:rsidR="00F602D4" w:rsidRPr="00D943A1" w:rsidRDefault="00F602D4" w:rsidP="00B82E69">
            <w:pPr>
              <w:pStyle w:val="Citas"/>
              <w:numPr>
                <w:ilvl w:val="0"/>
                <w:numId w:val="20"/>
              </w:numPr>
              <w:spacing w:after="0" w:line="240" w:lineRule="auto"/>
              <w:ind w:left="313" w:right="175"/>
              <w:rPr>
                <w:i w:val="0"/>
                <w:iCs/>
                <w:sz w:val="18"/>
                <w:szCs w:val="18"/>
              </w:rPr>
            </w:pPr>
            <w:r w:rsidRPr="00D943A1">
              <w:rPr>
                <w:i w:val="0"/>
                <w:iCs/>
                <w:sz w:val="18"/>
                <w:szCs w:val="18"/>
              </w:rPr>
              <w:t>Documentación comprobatoria y cálculo de percepciones extraordinarias en el 2022.</w:t>
            </w:r>
          </w:p>
        </w:tc>
        <w:tc>
          <w:tcPr>
            <w:tcW w:w="1843" w:type="dxa"/>
            <w:vAlign w:val="center"/>
          </w:tcPr>
          <w:p w14:paraId="2358776D" w14:textId="297ED8CA" w:rsidR="00F602D4" w:rsidRPr="00D943A1" w:rsidRDefault="00761300" w:rsidP="00761300">
            <w:pPr>
              <w:pStyle w:val="Citas"/>
              <w:tabs>
                <w:tab w:val="left" w:pos="7470"/>
              </w:tabs>
              <w:spacing w:line="240" w:lineRule="auto"/>
              <w:ind w:left="0" w:right="72"/>
              <w:rPr>
                <w:i w:val="0"/>
                <w:sz w:val="18"/>
                <w:szCs w:val="18"/>
              </w:rPr>
            </w:pPr>
            <w:r w:rsidRPr="00D943A1">
              <w:rPr>
                <w:i w:val="0"/>
                <w:sz w:val="18"/>
                <w:szCs w:val="18"/>
              </w:rPr>
              <w:t xml:space="preserve">El Sujeto Obligado respecto a la documentación comprobatoria refiere que se adjunta la Cédula de Prestaciones Salariales 2022, el Acuerdo por el que se autoriza otorgar el estímulo y/o gratificación semestral para las personas servidoras públicas del organismo, durante el ejercicio fiscal 2022 y el Procedimiento Pago de Prima Adicional por Permanencia en el Servicio de la CODHEM; Respecto a los “cálculos”, de dichas percepciones, el Sujeto Obligado refiere que los </w:t>
            </w:r>
            <w:r w:rsidRPr="00D943A1">
              <w:rPr>
                <w:i w:val="0"/>
                <w:sz w:val="18"/>
                <w:szCs w:val="18"/>
              </w:rPr>
              <w:lastRenderedPageBreak/>
              <w:t>cálculos son efectuados al momento y una vez que se realizan y se obtiene el valor final, las operaciones matemáticas no se conservan o resguardan por lo que no es posible proporcionar información.</w:t>
            </w:r>
          </w:p>
        </w:tc>
        <w:tc>
          <w:tcPr>
            <w:tcW w:w="2126" w:type="dxa"/>
            <w:vAlign w:val="center"/>
          </w:tcPr>
          <w:p w14:paraId="13EA541C" w14:textId="490631E7" w:rsidR="00F602D4" w:rsidRPr="00D943A1" w:rsidRDefault="000D1DE0" w:rsidP="000D1DE0">
            <w:pPr>
              <w:pStyle w:val="Citas"/>
              <w:tabs>
                <w:tab w:val="left" w:pos="7470"/>
              </w:tabs>
              <w:spacing w:line="240" w:lineRule="auto"/>
              <w:ind w:left="0" w:right="72"/>
              <w:rPr>
                <w:i w:val="0"/>
                <w:sz w:val="18"/>
                <w:szCs w:val="18"/>
              </w:rPr>
            </w:pPr>
            <w:r w:rsidRPr="00D943A1">
              <w:rPr>
                <w:i w:val="0"/>
                <w:sz w:val="18"/>
                <w:szCs w:val="18"/>
              </w:rPr>
              <w:lastRenderedPageBreak/>
              <w:t xml:space="preserve">Referente a “…percepciones extraordinarias…”, adjunta una tabla denominada PERCEPCIONES EXTRAORDINARIAS A LA FECHA DE LA SOLICITUD DE INFORMACIÓN; Por cuanto hace a la “documentación comprobatoria”,  refiere que se adjuntan los documentos comprobatorios en formato pdf que autorizan dichas percepciones extraordinarias siendo la Cédula de Prestaciones Salariales 2022, el Acuerdo por el que se autoriza el otorgar el estímulo y/o gratificación semestral para las personas servidoras públicas del organismo, durante el ejercicio fiscal 2022 y el </w:t>
            </w:r>
            <w:r w:rsidRPr="00D943A1">
              <w:rPr>
                <w:i w:val="0"/>
                <w:sz w:val="18"/>
                <w:szCs w:val="18"/>
              </w:rPr>
              <w:lastRenderedPageBreak/>
              <w:t>Procedimiento Pago de Prima Adicional por Permanencia en el Servicio de la CODHEM, mismos documentos que fueron adjuntados.</w:t>
            </w:r>
          </w:p>
        </w:tc>
        <w:tc>
          <w:tcPr>
            <w:tcW w:w="2693" w:type="dxa"/>
            <w:vAlign w:val="center"/>
          </w:tcPr>
          <w:p w14:paraId="1FA982E7" w14:textId="77777777" w:rsidR="00F602D4" w:rsidRPr="00D943A1" w:rsidRDefault="00F602D4" w:rsidP="00E32CF9">
            <w:pPr>
              <w:pStyle w:val="Citas"/>
              <w:tabs>
                <w:tab w:val="left" w:pos="7470"/>
              </w:tabs>
              <w:spacing w:line="240" w:lineRule="auto"/>
              <w:ind w:left="0" w:right="72"/>
              <w:jc w:val="center"/>
              <w:rPr>
                <w:i w:val="0"/>
                <w:sz w:val="16"/>
                <w:szCs w:val="16"/>
              </w:rPr>
            </w:pPr>
            <w:r w:rsidRPr="00D943A1">
              <w:rPr>
                <w:i w:val="0"/>
                <w:sz w:val="16"/>
                <w:szCs w:val="16"/>
              </w:rPr>
              <w:lastRenderedPageBreak/>
              <w:t>Sí</w:t>
            </w:r>
          </w:p>
          <w:p w14:paraId="450F8B65" w14:textId="77777777" w:rsidR="00F602D4" w:rsidRPr="00D943A1" w:rsidRDefault="00F602D4" w:rsidP="00E32CF9">
            <w:pPr>
              <w:pStyle w:val="Citas"/>
              <w:tabs>
                <w:tab w:val="left" w:pos="7470"/>
              </w:tabs>
              <w:spacing w:line="240" w:lineRule="auto"/>
              <w:ind w:left="0" w:right="72"/>
              <w:jc w:val="center"/>
              <w:rPr>
                <w:i w:val="0"/>
                <w:sz w:val="16"/>
                <w:szCs w:val="16"/>
              </w:rPr>
            </w:pPr>
            <w:r w:rsidRPr="00D943A1">
              <w:rPr>
                <w:i w:val="0"/>
                <w:sz w:val="16"/>
                <w:szCs w:val="16"/>
              </w:rPr>
              <w:t>(Actos consentidos)</w:t>
            </w:r>
          </w:p>
        </w:tc>
      </w:tr>
      <w:tr w:rsidR="00761300" w:rsidRPr="00D943A1" w14:paraId="4D4ED43C" w14:textId="77777777" w:rsidTr="00CA5FF2">
        <w:trPr>
          <w:trHeight w:val="2066"/>
        </w:trPr>
        <w:tc>
          <w:tcPr>
            <w:tcW w:w="2405" w:type="dxa"/>
          </w:tcPr>
          <w:p w14:paraId="024D902E" w14:textId="166804D0" w:rsidR="00761300" w:rsidRPr="00D943A1" w:rsidRDefault="00761300" w:rsidP="00B82E69">
            <w:pPr>
              <w:pStyle w:val="Citas"/>
              <w:numPr>
                <w:ilvl w:val="0"/>
                <w:numId w:val="20"/>
              </w:numPr>
              <w:spacing w:after="0" w:line="240" w:lineRule="auto"/>
              <w:ind w:left="313" w:right="175"/>
              <w:rPr>
                <w:i w:val="0"/>
                <w:sz w:val="18"/>
                <w:szCs w:val="18"/>
              </w:rPr>
            </w:pPr>
            <w:r w:rsidRPr="00D943A1">
              <w:rPr>
                <w:i w:val="0"/>
                <w:iCs/>
                <w:sz w:val="18"/>
                <w:szCs w:val="18"/>
              </w:rPr>
              <w:t>Programa de auditorías y demás revisiones realizadas por la contraloría interna para el 2022</w:t>
            </w:r>
            <w:r w:rsidRPr="00D943A1">
              <w:rPr>
                <w:sz w:val="18"/>
                <w:szCs w:val="18"/>
              </w:rPr>
              <w:t xml:space="preserve">. </w:t>
            </w:r>
          </w:p>
        </w:tc>
        <w:tc>
          <w:tcPr>
            <w:tcW w:w="1843" w:type="dxa"/>
            <w:vAlign w:val="center"/>
          </w:tcPr>
          <w:p w14:paraId="74A0DC92" w14:textId="49A14786" w:rsidR="00761300" w:rsidRPr="00D943A1" w:rsidRDefault="009F558F" w:rsidP="00E32CF9">
            <w:pPr>
              <w:pStyle w:val="Citas"/>
              <w:tabs>
                <w:tab w:val="left" w:pos="7470"/>
              </w:tabs>
              <w:spacing w:line="240" w:lineRule="auto"/>
              <w:ind w:left="0" w:right="72"/>
              <w:rPr>
                <w:i w:val="0"/>
                <w:sz w:val="18"/>
                <w:szCs w:val="18"/>
              </w:rPr>
            </w:pPr>
            <w:r w:rsidRPr="00D943A1">
              <w:rPr>
                <w:i w:val="0"/>
                <w:sz w:val="18"/>
                <w:szCs w:val="18"/>
              </w:rPr>
              <w:t>El</w:t>
            </w:r>
            <w:r w:rsidR="00A82DFC" w:rsidRPr="00D943A1">
              <w:rPr>
                <w:i w:val="0"/>
                <w:sz w:val="18"/>
                <w:szCs w:val="18"/>
              </w:rPr>
              <w:t xml:space="preserve"> Titular del Órgano Interno de Control, mediante el cual adjunta una tabla en la cual se observan los meses de enero a septiembre y el número de auditorías realizadas derivado de la respuesta de la Subdirección de Control y Evaluación.</w:t>
            </w:r>
          </w:p>
        </w:tc>
        <w:tc>
          <w:tcPr>
            <w:tcW w:w="2126" w:type="dxa"/>
            <w:vAlign w:val="center"/>
          </w:tcPr>
          <w:p w14:paraId="5A3ACD87" w14:textId="2DEDB716" w:rsidR="00761300" w:rsidRPr="00D943A1" w:rsidRDefault="000D1DE0" w:rsidP="000D1DE0">
            <w:pPr>
              <w:pStyle w:val="Citas"/>
              <w:tabs>
                <w:tab w:val="left" w:pos="7470"/>
              </w:tabs>
              <w:spacing w:line="240" w:lineRule="auto"/>
              <w:ind w:left="0" w:right="72"/>
              <w:rPr>
                <w:i w:val="0"/>
                <w:sz w:val="18"/>
                <w:szCs w:val="18"/>
              </w:rPr>
            </w:pPr>
            <w:r w:rsidRPr="00D943A1">
              <w:rPr>
                <w:i w:val="0"/>
                <w:sz w:val="18"/>
                <w:szCs w:val="18"/>
              </w:rPr>
              <w:t>El Sujeto Obligado adjunta un oficio mediante el cual medularmente refiere que el Órgano Interno de Control cuenta con la meta denominada “Realizar auditorías con el propósito de verificar el cumplimento del marco normativo que regula el funcionamiento de las unidades administrativas” de las que se desprende la programación de las auditorías para el 2022.</w:t>
            </w:r>
          </w:p>
        </w:tc>
        <w:tc>
          <w:tcPr>
            <w:tcW w:w="2693" w:type="dxa"/>
            <w:vAlign w:val="center"/>
          </w:tcPr>
          <w:p w14:paraId="2F992234" w14:textId="77777777" w:rsidR="00761300" w:rsidRPr="00D943A1" w:rsidRDefault="00761300" w:rsidP="00E32CF9">
            <w:pPr>
              <w:pStyle w:val="Citas"/>
              <w:tabs>
                <w:tab w:val="left" w:pos="7470"/>
              </w:tabs>
              <w:spacing w:line="240" w:lineRule="auto"/>
              <w:ind w:left="0" w:right="72"/>
              <w:jc w:val="center"/>
              <w:rPr>
                <w:i w:val="0"/>
                <w:sz w:val="16"/>
                <w:szCs w:val="16"/>
              </w:rPr>
            </w:pPr>
            <w:r w:rsidRPr="00D943A1">
              <w:rPr>
                <w:i w:val="0"/>
                <w:sz w:val="16"/>
                <w:szCs w:val="16"/>
              </w:rPr>
              <w:t>Sí</w:t>
            </w:r>
          </w:p>
          <w:p w14:paraId="16AB8660" w14:textId="15E93046" w:rsidR="00761300" w:rsidRPr="00D943A1" w:rsidRDefault="00761300" w:rsidP="00761300">
            <w:pPr>
              <w:pStyle w:val="Citas"/>
              <w:tabs>
                <w:tab w:val="left" w:pos="7470"/>
              </w:tabs>
              <w:spacing w:line="240" w:lineRule="auto"/>
              <w:ind w:left="0" w:right="72"/>
              <w:jc w:val="center"/>
              <w:rPr>
                <w:i w:val="0"/>
                <w:sz w:val="16"/>
                <w:szCs w:val="16"/>
              </w:rPr>
            </w:pPr>
          </w:p>
        </w:tc>
      </w:tr>
    </w:tbl>
    <w:p w14:paraId="109FF2A6" w14:textId="77777777" w:rsidR="00C01912" w:rsidRPr="00D943A1" w:rsidRDefault="00C01912" w:rsidP="006922F5">
      <w:pPr>
        <w:pBdr>
          <w:top w:val="nil"/>
          <w:left w:val="nil"/>
          <w:bottom w:val="nil"/>
          <w:right w:val="nil"/>
          <w:between w:val="nil"/>
        </w:pBdr>
        <w:contextualSpacing/>
        <w:rPr>
          <w:rFonts w:eastAsia="Palatino Linotype" w:cs="Palatino Linotype"/>
          <w:color w:val="000000"/>
          <w:szCs w:val="24"/>
        </w:rPr>
      </w:pPr>
    </w:p>
    <w:p w14:paraId="404CF537" w14:textId="18B40619" w:rsidR="001362D3" w:rsidRPr="00D943A1" w:rsidRDefault="001362D3" w:rsidP="001362D3">
      <w:pPr>
        <w:tabs>
          <w:tab w:val="left" w:pos="8789"/>
        </w:tabs>
        <w:ind w:right="49"/>
        <w:rPr>
          <w:rFonts w:cs="Tahoma"/>
          <w:bCs/>
        </w:rPr>
      </w:pPr>
      <w:r w:rsidRPr="00D943A1">
        <w:rPr>
          <w:rFonts w:eastAsia="Palatino Linotype" w:cs="Palatino Linotype"/>
        </w:rPr>
        <w:t xml:space="preserve">En primer lugar, es de señalar que de los motivos de inconformidad en cita se aprecia que el particular únicamente se inconforma sobre el programa de auditorías para el 2022, sin que se aprecie inconformidad alguna respecto de la </w:t>
      </w:r>
      <w:r w:rsidRPr="00D943A1">
        <w:rPr>
          <w:rFonts w:eastAsia="Palatino Linotype" w:cs="Palatino Linotype"/>
          <w:color w:val="000000"/>
        </w:rPr>
        <w:t xml:space="preserve">documentación comprobatoria de todos los gastos realizados por presidencia, secretaría particular, secretaría general, unidad jurídica, unidades de ética y género en el 2022, los correos electrónicos </w:t>
      </w:r>
      <w:r w:rsidRPr="00D943A1">
        <w:rPr>
          <w:rFonts w:eastAsia="Palatino Linotype" w:cs="Palatino Linotype"/>
          <w:color w:val="000000"/>
        </w:rPr>
        <w:lastRenderedPageBreak/>
        <w:t>institucionales y la documentación comprobatoria y cálculo de percepciones extraordinarias en el 2022.</w:t>
      </w:r>
    </w:p>
    <w:p w14:paraId="70CE3485" w14:textId="77777777" w:rsidR="001362D3" w:rsidRPr="00D943A1" w:rsidRDefault="001362D3" w:rsidP="001362D3">
      <w:pPr>
        <w:tabs>
          <w:tab w:val="left" w:pos="8789"/>
        </w:tabs>
        <w:ind w:right="49"/>
        <w:rPr>
          <w:i/>
        </w:rPr>
      </w:pPr>
    </w:p>
    <w:p w14:paraId="6368196B" w14:textId="77777777" w:rsidR="001362D3" w:rsidRPr="00D943A1" w:rsidRDefault="001362D3" w:rsidP="001362D3">
      <w:pPr>
        <w:tabs>
          <w:tab w:val="left" w:pos="8789"/>
        </w:tabs>
        <w:ind w:right="49"/>
        <w:rPr>
          <w:i/>
        </w:rPr>
      </w:pPr>
      <w:r w:rsidRPr="00D943A1">
        <w:rPr>
          <w:rFonts w:eastAsia="Palatino Linotype" w:cs="Palatino Linotype"/>
        </w:rPr>
        <w:t>Sirve de sustento, la tesis jurisprudencial número VI.3o.C. J/60, publicada en el Semanario Judicial de la Federación y su Gaceta bajo el número de registro 176,608 que a la letra dice:</w:t>
      </w:r>
    </w:p>
    <w:p w14:paraId="2BA400EE" w14:textId="77777777" w:rsidR="001362D3" w:rsidRPr="00D943A1" w:rsidRDefault="001362D3" w:rsidP="001362D3">
      <w:pPr>
        <w:tabs>
          <w:tab w:val="left" w:pos="851"/>
        </w:tabs>
        <w:ind w:left="851" w:right="616"/>
        <w:rPr>
          <w:rFonts w:eastAsia="Palatino Linotype" w:cs="Palatino Linotype"/>
          <w:i/>
        </w:rPr>
      </w:pPr>
      <w:r w:rsidRPr="00D943A1">
        <w:rPr>
          <w:rFonts w:eastAsia="Palatino Linotype" w:cs="Palatino Linotype"/>
          <w:b/>
          <w:i/>
        </w:rPr>
        <w:t xml:space="preserve">“ACTOS CONSENTIDOS. SON LOS QUE NO SE IMPUGNAN MEDIANTE EL RECURSO IDÓNEO. </w:t>
      </w:r>
      <w:r w:rsidRPr="00D943A1">
        <w:rPr>
          <w:rFonts w:eastAsia="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DC462E2" w14:textId="77777777" w:rsidR="001362D3" w:rsidRPr="00D943A1" w:rsidRDefault="001362D3" w:rsidP="001362D3">
      <w:pPr>
        <w:spacing w:before="280" w:after="280"/>
        <w:rPr>
          <w:rFonts w:eastAsia="Palatino Linotype" w:cs="Palatino Linotype"/>
        </w:rPr>
      </w:pPr>
    </w:p>
    <w:p w14:paraId="02124954" w14:textId="77777777" w:rsidR="001362D3" w:rsidRPr="00D943A1" w:rsidRDefault="001362D3" w:rsidP="001362D3">
      <w:pPr>
        <w:spacing w:before="280" w:after="280"/>
        <w:rPr>
          <w:rFonts w:eastAsia="Palatino Linotype" w:cs="Palatino Linotype"/>
        </w:rPr>
      </w:pPr>
      <w:r w:rsidRPr="00D943A1">
        <w:rPr>
          <w:rFonts w:eastAsia="Palatino Linotype" w:cs="Palatino Linotype"/>
        </w:rPr>
        <w:t xml:space="preserve">De la interpretación del criterio antes citado, se advierte que cuando el particular impugnó la respuesta del </w:t>
      </w:r>
      <w:r w:rsidRPr="00D943A1">
        <w:rPr>
          <w:rFonts w:eastAsia="Palatino Linotype" w:cs="Palatino Linotype"/>
          <w:b/>
        </w:rPr>
        <w:t>SUJETO OBLIGADO</w:t>
      </w:r>
      <w:r w:rsidRPr="00D943A1">
        <w:rPr>
          <w:rFonts w:eastAsia="Palatino Linotype" w:cs="Palatino Linotype"/>
        </w:rPr>
        <w:t>, no expresó razón o motivo de inconformidad en contra de todos los rubros solicitados, por tanto, estos deben declararse atendidos.</w:t>
      </w:r>
    </w:p>
    <w:p w14:paraId="1293CB19" w14:textId="77777777" w:rsidR="001362D3" w:rsidRPr="00D943A1" w:rsidRDefault="001362D3" w:rsidP="001362D3">
      <w:pPr>
        <w:spacing w:before="280" w:after="280"/>
        <w:rPr>
          <w:rFonts w:eastAsia="Palatino Linotype" w:cs="Palatino Linotype"/>
        </w:rPr>
      </w:pPr>
      <w:r w:rsidRPr="00D943A1">
        <w:rPr>
          <w:rFonts w:eastAsia="Palatino Linotype" w:cs="Palatino Linotype"/>
        </w:rPr>
        <w:t>Atento a ello, es importante traer a contexto la Tesis Jurisprudencial Número 3ª./J.7/91, Publicada en el Semanario Judicial de la Federación y su Gaceta bajo el número de registro 174,177, que establece lo siguiente:</w:t>
      </w:r>
    </w:p>
    <w:p w14:paraId="4AE33EAC" w14:textId="77777777" w:rsidR="001362D3" w:rsidRPr="00D943A1" w:rsidRDefault="001362D3" w:rsidP="001362D3">
      <w:pPr>
        <w:tabs>
          <w:tab w:val="left" w:pos="7937"/>
          <w:tab w:val="left" w:pos="8222"/>
        </w:tabs>
        <w:ind w:left="851" w:right="901"/>
        <w:rPr>
          <w:rFonts w:eastAsia="Palatino Linotype" w:cs="Palatino Linotype"/>
          <w:i/>
        </w:rPr>
      </w:pPr>
      <w:r w:rsidRPr="00D943A1">
        <w:rPr>
          <w:rFonts w:eastAsia="Palatino Linotype" w:cs="Palatino Linotype"/>
          <w:b/>
          <w:i/>
        </w:rPr>
        <w:lastRenderedPageBreak/>
        <w:t xml:space="preserve">“REVISIÓN EN AMPARO. LOS RESOLUTIVOS NO COMBATIDOS DEBEN DECLARARSE FIRMES. </w:t>
      </w:r>
      <w:r w:rsidRPr="00D943A1">
        <w:rPr>
          <w:rFonts w:eastAsia="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E82CFF" w14:textId="77777777" w:rsidR="001362D3" w:rsidRPr="00D943A1" w:rsidRDefault="001362D3" w:rsidP="001362D3">
      <w:pPr>
        <w:widowControl w:val="0"/>
        <w:tabs>
          <w:tab w:val="left" w:pos="1701"/>
          <w:tab w:val="left" w:pos="1843"/>
        </w:tabs>
        <w:spacing w:before="360" w:after="240"/>
        <w:rPr>
          <w:rFonts w:eastAsia="Palatino Linotype" w:cs="Palatino Linotype"/>
        </w:rPr>
      </w:pPr>
      <w:r w:rsidRPr="00D943A1">
        <w:rPr>
          <w:rFonts w:eastAsia="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0812E451" w14:textId="77777777" w:rsidR="001362D3" w:rsidRPr="00D943A1" w:rsidRDefault="001362D3" w:rsidP="001362D3">
      <w:pPr>
        <w:pStyle w:val="INFOEM"/>
        <w:spacing w:line="240" w:lineRule="auto"/>
      </w:pPr>
      <w:r w:rsidRPr="00D943A1">
        <w:rPr>
          <w:b/>
        </w:rPr>
        <w:t>Actos consentidos tácitamente. Improcedencia de su análisis</w:t>
      </w:r>
      <w:r w:rsidRPr="00D943A1">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56A3313" w14:textId="77777777" w:rsidR="006076BB" w:rsidRPr="00D943A1" w:rsidRDefault="006076BB" w:rsidP="001362D3">
      <w:pPr>
        <w:pBdr>
          <w:top w:val="nil"/>
          <w:left w:val="nil"/>
          <w:bottom w:val="nil"/>
          <w:right w:val="nil"/>
          <w:between w:val="nil"/>
        </w:pBdr>
        <w:contextualSpacing/>
        <w:rPr>
          <w:rFonts w:eastAsia="Palatino Linotype" w:cs="Palatino Linotype"/>
        </w:rPr>
      </w:pPr>
    </w:p>
    <w:p w14:paraId="392BF75A" w14:textId="57CDBB4F" w:rsidR="00C01912" w:rsidRPr="00D943A1" w:rsidRDefault="001362D3" w:rsidP="001362D3">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rPr>
        <w:t>Por lo que, al no haberse inconformado sobre todos los rubros solicitados, se consideran actos consentidos y, por tanto, se tienen por colmados dichos rubros de la solicitud.</w:t>
      </w:r>
    </w:p>
    <w:p w14:paraId="46361CF8" w14:textId="77777777" w:rsidR="006076BB" w:rsidRPr="00D943A1" w:rsidRDefault="006076BB" w:rsidP="00C01912">
      <w:pPr>
        <w:rPr>
          <w:rFonts w:cs="Arial"/>
          <w:szCs w:val="24"/>
          <w:lang w:val="es-ES"/>
        </w:rPr>
      </w:pPr>
    </w:p>
    <w:p w14:paraId="6EEDB7CB" w14:textId="677EBDC3" w:rsidR="00C01912" w:rsidRPr="00D943A1" w:rsidRDefault="006076BB" w:rsidP="00C01912">
      <w:pPr>
        <w:rPr>
          <w:rFonts w:cs="Arial"/>
          <w:szCs w:val="24"/>
        </w:rPr>
      </w:pPr>
      <w:r w:rsidRPr="00D943A1">
        <w:rPr>
          <w:rFonts w:cs="Arial"/>
          <w:szCs w:val="24"/>
          <w:lang w:val="es-ES"/>
        </w:rPr>
        <w:t>E así que</w:t>
      </w:r>
      <w:r w:rsidR="00C01912" w:rsidRPr="00D943A1">
        <w:rPr>
          <w:rFonts w:cs="Arial"/>
          <w:szCs w:val="24"/>
          <w:lang w:val="es-ES"/>
        </w:rPr>
        <w:t xml:space="preserve">, </w:t>
      </w:r>
      <w:r w:rsidR="00C01912" w:rsidRPr="00D943A1">
        <w:rPr>
          <w:rFonts w:cs="Arial"/>
          <w:szCs w:val="24"/>
          <w:lang w:val="es-419"/>
        </w:rPr>
        <w:t>resulta oportuno señalar el contenido</w:t>
      </w:r>
      <w:r w:rsidR="00C01912" w:rsidRPr="00D943A1">
        <w:rPr>
          <w:rFonts w:cs="Arial"/>
          <w:szCs w:val="24"/>
        </w:rPr>
        <w:t xml:space="preserve"> del artículo 4, párrafo segundo de la Ley de Transparencia y Acceso a la Información Pública del Estado de México y Municipios, que dispone:</w:t>
      </w:r>
    </w:p>
    <w:p w14:paraId="30B0EBF8" w14:textId="77777777" w:rsidR="00C01912" w:rsidRPr="00D943A1" w:rsidRDefault="00C01912" w:rsidP="00C01912">
      <w:pPr>
        <w:pStyle w:val="Sinespaciado"/>
      </w:pPr>
    </w:p>
    <w:p w14:paraId="0E596170" w14:textId="77777777" w:rsidR="00C01912" w:rsidRPr="00D943A1" w:rsidRDefault="00C01912" w:rsidP="00C01912">
      <w:pPr>
        <w:ind w:left="851" w:right="901"/>
        <w:rPr>
          <w:rFonts w:cs="Arial"/>
          <w:i/>
        </w:rPr>
      </w:pPr>
      <w:r w:rsidRPr="00D943A1">
        <w:rPr>
          <w:rFonts w:cs="Arial"/>
          <w:i/>
        </w:rPr>
        <w:lastRenderedPageBreak/>
        <w:t>“</w:t>
      </w:r>
      <w:r w:rsidRPr="00D943A1">
        <w:rPr>
          <w:rFonts w:cs="Arial"/>
          <w:b/>
          <w:i/>
        </w:rPr>
        <w:t xml:space="preserve">Artículo 4. </w:t>
      </w:r>
      <w:r w:rsidRPr="00D943A1">
        <w:rPr>
          <w:rFonts w:cs="Arial"/>
          <w:i/>
        </w:rPr>
        <w:t xml:space="preserve">… </w:t>
      </w:r>
    </w:p>
    <w:p w14:paraId="15FBBF16" w14:textId="77777777" w:rsidR="00C01912" w:rsidRPr="00D943A1" w:rsidRDefault="00C01912" w:rsidP="00C01912">
      <w:pPr>
        <w:ind w:left="851" w:right="901"/>
        <w:rPr>
          <w:rFonts w:cs="Arial"/>
          <w:i/>
        </w:rPr>
      </w:pPr>
      <w:r w:rsidRPr="00D943A1">
        <w:rPr>
          <w:rFonts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E67B6" w14:textId="77777777" w:rsidR="00C01912" w:rsidRPr="00D943A1" w:rsidRDefault="00C01912" w:rsidP="00C01912">
      <w:pPr>
        <w:tabs>
          <w:tab w:val="left" w:pos="709"/>
        </w:tabs>
        <w:contextualSpacing/>
        <w:rPr>
          <w:rFonts w:cs="Arial"/>
        </w:rPr>
      </w:pPr>
    </w:p>
    <w:p w14:paraId="703D9E36" w14:textId="77777777" w:rsidR="00C01912" w:rsidRPr="00D943A1" w:rsidRDefault="00C01912" w:rsidP="00C01912">
      <w:pPr>
        <w:tabs>
          <w:tab w:val="left" w:pos="709"/>
        </w:tabs>
        <w:contextualSpacing/>
        <w:rPr>
          <w:rFonts w:cs="Arial"/>
        </w:rPr>
      </w:pPr>
      <w:r w:rsidRPr="00D943A1">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6EB6971" w14:textId="77777777" w:rsidR="00C01912" w:rsidRPr="00D943A1" w:rsidRDefault="00C01912" w:rsidP="00C01912">
      <w:pPr>
        <w:tabs>
          <w:tab w:val="left" w:pos="709"/>
        </w:tabs>
        <w:contextualSpacing/>
        <w:rPr>
          <w:rFonts w:cs="Arial"/>
        </w:rPr>
      </w:pPr>
    </w:p>
    <w:p w14:paraId="1038D637" w14:textId="77777777" w:rsidR="00C01912" w:rsidRPr="00D943A1" w:rsidRDefault="00C01912" w:rsidP="00C01912">
      <w:pPr>
        <w:tabs>
          <w:tab w:val="left" w:pos="709"/>
        </w:tabs>
        <w:contextualSpacing/>
        <w:rPr>
          <w:rFonts w:cs="Arial"/>
        </w:rPr>
      </w:pPr>
      <w:r w:rsidRPr="00D943A1">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F7EBE5D" w14:textId="77777777" w:rsidR="00C01912" w:rsidRPr="00D943A1" w:rsidRDefault="00C01912" w:rsidP="00C01912">
      <w:pPr>
        <w:pStyle w:val="Sinespaciado"/>
      </w:pPr>
    </w:p>
    <w:p w14:paraId="6C59F370" w14:textId="77777777" w:rsidR="00C01912" w:rsidRPr="00D943A1" w:rsidRDefault="00C01912" w:rsidP="00C01912">
      <w:pPr>
        <w:ind w:left="567" w:right="616"/>
        <w:rPr>
          <w:rFonts w:cs="Arial"/>
          <w:i/>
        </w:rPr>
      </w:pPr>
      <w:r w:rsidRPr="00D943A1">
        <w:rPr>
          <w:rFonts w:cs="Arial"/>
          <w:i/>
        </w:rPr>
        <w:lastRenderedPageBreak/>
        <w:t>“</w:t>
      </w:r>
      <w:r w:rsidRPr="00D943A1">
        <w:rPr>
          <w:rFonts w:cs="Arial"/>
          <w:b/>
          <w:i/>
        </w:rPr>
        <w:t>Artículo 12.</w:t>
      </w:r>
      <w:r w:rsidRPr="00D943A1">
        <w:rPr>
          <w:rFonts w:cs="Arial"/>
          <w:i/>
        </w:rPr>
        <w:t xml:space="preserve"> Quienes generen, recopilen, administren, manejen, procesen, archiven o conserven información pública serán responsables de la misma en los términos de las disposiciones jurídicas aplicables. </w:t>
      </w:r>
    </w:p>
    <w:p w14:paraId="51DD010E" w14:textId="77777777" w:rsidR="00C01912" w:rsidRPr="00D943A1" w:rsidRDefault="00C01912" w:rsidP="00C01912">
      <w:pPr>
        <w:ind w:left="567" w:right="616"/>
        <w:rPr>
          <w:rFonts w:cs="Arial"/>
          <w:i/>
        </w:rPr>
      </w:pPr>
    </w:p>
    <w:p w14:paraId="267E492F" w14:textId="77777777" w:rsidR="00C01912" w:rsidRPr="00D943A1" w:rsidRDefault="00C01912" w:rsidP="00C01912">
      <w:pPr>
        <w:ind w:left="567" w:right="616"/>
        <w:rPr>
          <w:rFonts w:cs="Arial"/>
          <w:i/>
        </w:rPr>
      </w:pPr>
      <w:r w:rsidRPr="00D943A1">
        <w:rPr>
          <w:rFonts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CA5468" w14:textId="77777777" w:rsidR="00C01912" w:rsidRPr="00D943A1" w:rsidRDefault="00C01912" w:rsidP="00C01912">
      <w:pPr>
        <w:tabs>
          <w:tab w:val="left" w:pos="709"/>
        </w:tabs>
        <w:contextualSpacing/>
        <w:rPr>
          <w:rFonts w:cs="Arial"/>
        </w:rPr>
      </w:pPr>
    </w:p>
    <w:p w14:paraId="4E150CCC" w14:textId="77777777" w:rsidR="00C01912" w:rsidRPr="00D943A1" w:rsidRDefault="00C01912" w:rsidP="00C01912">
      <w:pPr>
        <w:tabs>
          <w:tab w:val="left" w:pos="709"/>
        </w:tabs>
        <w:contextualSpacing/>
        <w:rPr>
          <w:rFonts w:cs="Arial"/>
        </w:rPr>
      </w:pPr>
      <w:r w:rsidRPr="00D943A1">
        <w:rPr>
          <w:rFonts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98C0FC" w14:textId="77777777" w:rsidR="00C01912" w:rsidRPr="00D943A1" w:rsidRDefault="00C01912" w:rsidP="00C01912">
      <w:pPr>
        <w:tabs>
          <w:tab w:val="left" w:pos="709"/>
        </w:tabs>
        <w:contextualSpacing/>
        <w:rPr>
          <w:rFonts w:cs="Arial"/>
        </w:rPr>
      </w:pPr>
    </w:p>
    <w:p w14:paraId="373032FA" w14:textId="77777777" w:rsidR="00C01912" w:rsidRPr="00D943A1" w:rsidRDefault="00C01912" w:rsidP="00C01912">
      <w:pPr>
        <w:tabs>
          <w:tab w:val="left" w:pos="709"/>
        </w:tabs>
        <w:contextualSpacing/>
        <w:rPr>
          <w:rFonts w:cs="Arial"/>
        </w:rPr>
      </w:pPr>
      <w:r w:rsidRPr="00D943A1">
        <w:rPr>
          <w:rFonts w:cs="Arial"/>
        </w:rPr>
        <w:t xml:space="preserve">En esta misma tesitura, el derecho de acceso a la información pública, consiste en que la información solicitada conste en un soporte documental en cualquiera de sus formas, a saber: </w:t>
      </w:r>
      <w:r w:rsidRPr="00D943A1">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943A1">
        <w:rPr>
          <w:rFonts w:cs="Arial"/>
        </w:rPr>
        <w:t xml:space="preserve"> de los Sujetos Obligados; los que, podrán estar </w:t>
      </w:r>
      <w:r w:rsidRPr="00D943A1">
        <w:rPr>
          <w:rFonts w:cs="Arial"/>
        </w:rPr>
        <w:lastRenderedPageBreak/>
        <w:t xml:space="preserve">en cualquier medio, sea escrito, impreso, sonoro, visual, electrónico, informático u holográfico, de conformidad con el artículo 3, fracción XI, de la Ley de la materia, el cual dispone lo siguiente: </w:t>
      </w:r>
    </w:p>
    <w:p w14:paraId="4F2079D6" w14:textId="77777777" w:rsidR="00C01912" w:rsidRPr="00D943A1" w:rsidRDefault="00C01912" w:rsidP="00C01912">
      <w:pPr>
        <w:pStyle w:val="Sinespaciado"/>
      </w:pPr>
    </w:p>
    <w:p w14:paraId="2BEED87E" w14:textId="77777777" w:rsidR="00C01912" w:rsidRPr="00D943A1" w:rsidRDefault="00C01912" w:rsidP="00C01912">
      <w:pPr>
        <w:ind w:left="851" w:right="901"/>
        <w:rPr>
          <w:rFonts w:cs="Arial"/>
          <w:i/>
        </w:rPr>
      </w:pPr>
      <w:r w:rsidRPr="00D943A1">
        <w:rPr>
          <w:rFonts w:cs="Arial"/>
          <w:i/>
        </w:rPr>
        <w:t>“</w:t>
      </w:r>
      <w:r w:rsidRPr="00D943A1">
        <w:rPr>
          <w:rFonts w:cs="Arial"/>
          <w:b/>
          <w:i/>
        </w:rPr>
        <w:t xml:space="preserve">Artículo 3. </w:t>
      </w:r>
      <w:r w:rsidRPr="00D943A1">
        <w:rPr>
          <w:rFonts w:cs="Arial"/>
          <w:i/>
        </w:rPr>
        <w:t>Para los efectos de la presente Ley se entenderá por:</w:t>
      </w:r>
    </w:p>
    <w:p w14:paraId="04F413C6" w14:textId="77777777" w:rsidR="00C01912" w:rsidRPr="00D943A1" w:rsidRDefault="00C01912" w:rsidP="00C01912">
      <w:pPr>
        <w:ind w:left="851" w:right="850"/>
        <w:rPr>
          <w:rFonts w:cs="Arial"/>
          <w:i/>
        </w:rPr>
      </w:pPr>
      <w:r w:rsidRPr="00D943A1">
        <w:rPr>
          <w:rFonts w:cs="Arial"/>
          <w:i/>
        </w:rPr>
        <w:t>(…)</w:t>
      </w:r>
    </w:p>
    <w:p w14:paraId="22A736AC" w14:textId="77777777" w:rsidR="00C01912" w:rsidRPr="00D943A1" w:rsidRDefault="00C01912" w:rsidP="00C01912">
      <w:pPr>
        <w:ind w:left="851" w:right="901"/>
        <w:rPr>
          <w:rFonts w:cs="Arial"/>
          <w:i/>
        </w:rPr>
      </w:pPr>
      <w:r w:rsidRPr="00D943A1">
        <w:rPr>
          <w:rFonts w:cs="Arial"/>
          <w:b/>
          <w:i/>
        </w:rPr>
        <w:t>XI. Documento:</w:t>
      </w:r>
      <w:r w:rsidRPr="00D943A1">
        <w:rPr>
          <w:rFonts w:cs="Arial"/>
          <w:i/>
        </w:rPr>
        <w:t xml:space="preserve"> Los expedientes, reportes, estudios, actas, resoluciones, oficios, correspondencia, acuerdos, directivas, directrices, circulares, contratos, convenios, instructivos, notas, memorandos, estadísticas o bien, cualquier otro </w:t>
      </w:r>
      <w:r w:rsidRPr="00D943A1">
        <w:rPr>
          <w:rFonts w:cs="Arial"/>
          <w:b/>
          <w:i/>
          <w:u w:val="single"/>
        </w:rPr>
        <w:t>registro que documente el ejercicio de las facultades, funciones y competencias de los sujetos obligados</w:t>
      </w:r>
      <w:r w:rsidRPr="00D943A1">
        <w:rPr>
          <w:rFonts w:cs="Arial"/>
          <w:i/>
          <w:u w:val="single"/>
        </w:rPr>
        <w:t>,</w:t>
      </w:r>
      <w:r w:rsidRPr="00D943A1">
        <w:rPr>
          <w:rFonts w:cs="Arial"/>
          <w:i/>
        </w:rPr>
        <w:t xml:space="preserve"> sus servidores públicos e integrantes, </w:t>
      </w:r>
      <w:r w:rsidRPr="00D943A1">
        <w:rPr>
          <w:rFonts w:cs="Arial"/>
          <w:b/>
          <w:i/>
          <w:u w:val="single"/>
        </w:rPr>
        <w:t>sin importar su fuente o fecha de elaboración.</w:t>
      </w:r>
      <w:r w:rsidRPr="00D943A1">
        <w:rPr>
          <w:rFonts w:cs="Arial"/>
          <w:i/>
        </w:rPr>
        <w:t xml:space="preserve"> Los documentos podrán estar en cualquier medio, sea escrito, impreso, sonoro, visual, electrónico, informático u holográfico;</w:t>
      </w:r>
    </w:p>
    <w:p w14:paraId="03E9309E" w14:textId="77777777" w:rsidR="00C01912" w:rsidRPr="00D943A1" w:rsidRDefault="00C01912" w:rsidP="00C01912">
      <w:pPr>
        <w:ind w:left="851" w:right="901"/>
        <w:rPr>
          <w:rFonts w:cs="Arial"/>
          <w:i/>
        </w:rPr>
      </w:pPr>
      <w:r w:rsidRPr="00D943A1">
        <w:rPr>
          <w:rFonts w:cs="Arial"/>
          <w:i/>
        </w:rPr>
        <w:t>(…)”</w:t>
      </w:r>
    </w:p>
    <w:p w14:paraId="23FABF7E" w14:textId="77777777" w:rsidR="00C01912" w:rsidRPr="00D943A1" w:rsidRDefault="00C01912" w:rsidP="00C01912">
      <w:pPr>
        <w:rPr>
          <w:sz w:val="14"/>
        </w:rPr>
      </w:pPr>
    </w:p>
    <w:p w14:paraId="6591110C" w14:textId="77777777" w:rsidR="00C01912" w:rsidRPr="00D943A1" w:rsidRDefault="00C01912" w:rsidP="00C01912"/>
    <w:p w14:paraId="0947F61E" w14:textId="77777777" w:rsidR="00C01912" w:rsidRPr="00D943A1" w:rsidRDefault="00C01912" w:rsidP="00C01912">
      <w:pPr>
        <w:spacing w:before="240" w:after="240"/>
        <w:ind w:right="49"/>
        <w:contextualSpacing/>
        <w:rPr>
          <w:rFonts w:cs="Arial"/>
        </w:rPr>
      </w:pPr>
      <w:r w:rsidRPr="00D943A1">
        <w:rPr>
          <w:rFonts w:cs="Arial"/>
        </w:rPr>
        <w:t xml:space="preserve">Además, </w:t>
      </w:r>
      <w:r w:rsidRPr="00D943A1">
        <w:rPr>
          <w:rFonts w:eastAsia="MS Mincho"/>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w:t>
      </w:r>
      <w:r w:rsidRPr="00D943A1">
        <w:rPr>
          <w:rFonts w:eastAsia="MS Mincho"/>
        </w:rPr>
        <w:lastRenderedPageBreak/>
        <w:t>o procesamiento, no presentarla conforme a los interés de los particulares, como de igual forma los Sujeto Obligados no deberán de generar, resumir o efectuar cálculos o practicar investigaciones.</w:t>
      </w:r>
    </w:p>
    <w:p w14:paraId="28B9A0EF" w14:textId="77777777" w:rsidR="00C01912" w:rsidRPr="00D943A1" w:rsidRDefault="00C01912" w:rsidP="00C01912">
      <w:pPr>
        <w:spacing w:before="240" w:after="240"/>
        <w:ind w:right="49"/>
        <w:contextualSpacing/>
        <w:rPr>
          <w:rFonts w:cs="Arial"/>
        </w:rPr>
      </w:pPr>
    </w:p>
    <w:p w14:paraId="745FC7F7" w14:textId="77777777" w:rsidR="00C01912" w:rsidRPr="00D943A1" w:rsidRDefault="00C01912" w:rsidP="00C01912">
      <w:pPr>
        <w:spacing w:before="240" w:after="240"/>
        <w:ind w:right="49"/>
        <w:contextualSpacing/>
        <w:rPr>
          <w:rFonts w:eastAsia="MS Mincho" w:cs="Tahoma"/>
        </w:rPr>
      </w:pPr>
      <w:r w:rsidRPr="00D943A1">
        <w:rPr>
          <w:rFonts w:cs="Arial"/>
        </w:rPr>
        <w:t xml:space="preserve">De la misma forma, </w:t>
      </w:r>
      <w:r w:rsidRPr="00D943A1">
        <w:rPr>
          <w:rFonts w:eastAsia="MS Mincho"/>
        </w:rPr>
        <w:t>de acuerdo al contenido del artículo 160,</w:t>
      </w:r>
      <w:r w:rsidRPr="00D943A1">
        <w:rPr>
          <w:rFonts w:cs="Arial"/>
        </w:rPr>
        <w:t xml:space="preserve"> de la Ley </w:t>
      </w:r>
      <w:r w:rsidRPr="00D943A1">
        <w:rPr>
          <w:rFonts w:eastAsia="MS Mincho" w:cs="Tahoma"/>
        </w:rPr>
        <w:t>General de Transparencia y Acceso a la Información Pública que a la letra dispone:</w:t>
      </w:r>
    </w:p>
    <w:p w14:paraId="19873217" w14:textId="77777777" w:rsidR="00C01912" w:rsidRPr="00D943A1" w:rsidRDefault="00C01912" w:rsidP="00C01912"/>
    <w:p w14:paraId="72994A6F" w14:textId="77777777" w:rsidR="00C01912" w:rsidRPr="00D943A1" w:rsidRDefault="00C01912" w:rsidP="00C01912">
      <w:pPr>
        <w:ind w:left="851" w:right="616"/>
        <w:contextualSpacing/>
        <w:rPr>
          <w:rFonts w:cs="Arial"/>
          <w:i/>
          <w:lang w:eastAsia="gl-ES"/>
        </w:rPr>
      </w:pPr>
      <w:r w:rsidRPr="00D943A1">
        <w:rPr>
          <w:rFonts w:cs="Arial"/>
          <w:b/>
          <w:i/>
          <w:lang w:eastAsia="gl-ES"/>
        </w:rPr>
        <w:t>Artículo 160</w:t>
      </w:r>
      <w:r w:rsidRPr="00D943A1">
        <w:rPr>
          <w:rFonts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C9795C" w14:textId="77777777" w:rsidR="00C01912" w:rsidRPr="00D943A1" w:rsidRDefault="00C01912" w:rsidP="00C01912">
      <w:pPr>
        <w:ind w:left="851" w:right="616"/>
        <w:contextualSpacing/>
        <w:rPr>
          <w:rFonts w:cs="Arial"/>
          <w:i/>
          <w:lang w:eastAsia="gl-ES"/>
        </w:rPr>
      </w:pPr>
    </w:p>
    <w:p w14:paraId="3541B423" w14:textId="77777777" w:rsidR="00C01912" w:rsidRPr="00D943A1" w:rsidRDefault="00C01912" w:rsidP="00C01912">
      <w:pPr>
        <w:rPr>
          <w:rFonts w:cs="Arial"/>
          <w:color w:val="222222"/>
          <w:szCs w:val="19"/>
        </w:rPr>
      </w:pPr>
      <w:r w:rsidRPr="00D943A1">
        <w:rPr>
          <w:color w:val="000000"/>
        </w:rPr>
        <w:t xml:space="preserve">Sirve como apoyo </w:t>
      </w:r>
      <w:r w:rsidRPr="00D943A1">
        <w:rPr>
          <w:rFonts w:cs="Arial"/>
          <w:color w:val="222222"/>
          <w:szCs w:val="19"/>
        </w:rPr>
        <w:t>a lo anterior, el criterio 09-10, emitido por el Pleno del entonces Instituto Federal de Acceso a la Información y Protección de Datos, que a la letra dice:</w:t>
      </w:r>
    </w:p>
    <w:p w14:paraId="34A863FA" w14:textId="77777777" w:rsidR="00C01912" w:rsidRPr="00D943A1" w:rsidRDefault="00C01912" w:rsidP="00C01912">
      <w:pPr>
        <w:pStyle w:val="Sinespaciado"/>
      </w:pPr>
    </w:p>
    <w:p w14:paraId="3B104FAD" w14:textId="77777777" w:rsidR="00C01912" w:rsidRPr="00D943A1" w:rsidRDefault="00C01912" w:rsidP="00C01912">
      <w:pPr>
        <w:shd w:val="clear" w:color="auto" w:fill="FFFFFF"/>
        <w:tabs>
          <w:tab w:val="left" w:pos="8647"/>
        </w:tabs>
        <w:ind w:left="851" w:right="900"/>
        <w:rPr>
          <w:rFonts w:cs="Arial"/>
          <w:i/>
          <w:iCs/>
          <w:color w:val="222222"/>
        </w:rPr>
      </w:pPr>
      <w:r w:rsidRPr="00D943A1">
        <w:rPr>
          <w:rFonts w:cs="Arial"/>
          <w:b/>
          <w:bCs/>
          <w:i/>
          <w:iCs/>
          <w:color w:val="222222"/>
        </w:rPr>
        <w:t>“Las dependencias y entidades no están obligadas a generar documentos ad hoc para responder una solicitud de acceso a la información. </w:t>
      </w:r>
      <w:r w:rsidRPr="00D943A1">
        <w:rPr>
          <w:rFonts w:cs="Arial"/>
          <w:i/>
          <w:iCs/>
          <w:color w:val="2222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w:t>
      </w:r>
      <w:r w:rsidRPr="00D943A1">
        <w:rPr>
          <w:rFonts w:cs="Arial"/>
          <w:i/>
          <w:iCs/>
          <w:color w:val="222222"/>
        </w:rPr>
        <w:lastRenderedPageBreak/>
        <w:t>información con la que cuentan en el formato que la misma así lo permita o se encuentre, en aras de dar satisfacción a la solicitud presentada.” (Sic)</w:t>
      </w:r>
    </w:p>
    <w:p w14:paraId="7BCD823A" w14:textId="77777777" w:rsidR="00C01912" w:rsidRPr="00D943A1" w:rsidRDefault="00C01912" w:rsidP="00C01912">
      <w:pPr>
        <w:pStyle w:val="Sinespaciado"/>
      </w:pPr>
    </w:p>
    <w:p w14:paraId="1609D7DE" w14:textId="77777777" w:rsidR="00C01912" w:rsidRPr="00D943A1" w:rsidRDefault="00C01912" w:rsidP="00C01912">
      <w:pPr>
        <w:pStyle w:val="Sinespaciado"/>
      </w:pPr>
    </w:p>
    <w:p w14:paraId="031CA848" w14:textId="77777777" w:rsidR="00C01912" w:rsidRPr="00D943A1" w:rsidRDefault="00C01912" w:rsidP="00C01912">
      <w:pPr>
        <w:rPr>
          <w:rFonts w:cs="Arial"/>
          <w:lang w:val="es-ES"/>
        </w:rPr>
      </w:pPr>
    </w:p>
    <w:p w14:paraId="7D707C0A" w14:textId="77777777" w:rsidR="00C01912" w:rsidRPr="00D943A1" w:rsidRDefault="00C01912" w:rsidP="00C01912">
      <w:pPr>
        <w:rPr>
          <w:rFonts w:cs="Arial"/>
          <w:bCs/>
        </w:rPr>
      </w:pPr>
      <w:r w:rsidRPr="00D943A1">
        <w:rPr>
          <w:rFonts w:cs="Arial"/>
          <w:bCs/>
        </w:rPr>
        <w:t xml:space="preserve">Adicionalmente, es de destacar que este Órgano Garante no está facultado para manifestarse sobre la veracidad de lo afirmado por parte del </w:t>
      </w:r>
      <w:r w:rsidRPr="00D943A1">
        <w:rPr>
          <w:rFonts w:cs="Arial"/>
          <w:b/>
          <w:bCs/>
        </w:rPr>
        <w:t>Sujeto Obligado</w:t>
      </w:r>
      <w:r w:rsidRPr="00D943A1">
        <w:rPr>
          <w:rFonts w:cs="Arial"/>
          <w:bCs/>
        </w:rPr>
        <w:t xml:space="preserve"> pues no existe precepto legal alguno en la Ley de la materia que lo faculte para ello. </w:t>
      </w:r>
    </w:p>
    <w:p w14:paraId="5F537A14" w14:textId="77777777" w:rsidR="00C01912" w:rsidRPr="00D943A1" w:rsidRDefault="00C01912" w:rsidP="00C01912"/>
    <w:p w14:paraId="207F3825" w14:textId="77777777" w:rsidR="00C01912" w:rsidRPr="00D943A1" w:rsidRDefault="00C01912" w:rsidP="00C01912">
      <w:pPr>
        <w:rPr>
          <w:sz w:val="4"/>
        </w:rPr>
      </w:pPr>
    </w:p>
    <w:p w14:paraId="4B99A5FA" w14:textId="77777777" w:rsidR="00C01912" w:rsidRPr="00D943A1" w:rsidRDefault="00C01912" w:rsidP="00C01912">
      <w:pPr>
        <w:spacing w:before="240" w:after="240"/>
      </w:pPr>
      <w:r w:rsidRPr="00D943A1">
        <w:rPr>
          <w:rFonts w:cs="Arial"/>
        </w:rPr>
        <w:t>Lo anterior se robustece con lo plasmado en el criterio</w:t>
      </w:r>
      <w:r w:rsidRPr="00D943A1">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0814D0C" w14:textId="77777777" w:rsidR="00C01912" w:rsidRPr="00D943A1" w:rsidRDefault="00C01912" w:rsidP="00C01912">
      <w:pPr>
        <w:rPr>
          <w:sz w:val="6"/>
        </w:rPr>
      </w:pPr>
    </w:p>
    <w:p w14:paraId="5B75AE68" w14:textId="77777777" w:rsidR="00C01912" w:rsidRPr="00D943A1" w:rsidRDefault="00C01912" w:rsidP="00C01912">
      <w:pPr>
        <w:ind w:left="567" w:right="616"/>
        <w:rPr>
          <w:rFonts w:cs="Arial"/>
          <w:lang w:val="es-ES"/>
        </w:rPr>
      </w:pPr>
      <w:r w:rsidRPr="00D943A1">
        <w:rPr>
          <w:i/>
        </w:rPr>
        <w:t>“</w:t>
      </w:r>
      <w:r w:rsidRPr="00D943A1">
        <w:rPr>
          <w:b/>
          <w:i/>
          <w:u w:val="single"/>
        </w:rPr>
        <w:t>El Instituto Federal de Acceso a la Información y Protección de Datos no cuenta con facultades para pronunciarse respecto de la veracidad de los documentos proporcionados por los sujetos obligados</w:t>
      </w:r>
      <w:r w:rsidRPr="00D943A1">
        <w:rPr>
          <w:b/>
          <w:i/>
        </w:rPr>
        <w:t>.</w:t>
      </w:r>
      <w:r w:rsidRPr="00D943A1">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D943A1">
        <w:rPr>
          <w:i/>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B0BEF2" w14:textId="77777777" w:rsidR="00C01912" w:rsidRPr="00D943A1" w:rsidRDefault="00C01912" w:rsidP="00C01912">
      <w:pPr>
        <w:rPr>
          <w:rFonts w:cs="Arial"/>
          <w:lang w:val="es-ES"/>
        </w:rPr>
      </w:pPr>
    </w:p>
    <w:p w14:paraId="339A2AB9" w14:textId="0C2BF1D3" w:rsidR="00C01912" w:rsidRPr="00D943A1" w:rsidRDefault="00C01912" w:rsidP="00C01912">
      <w:pPr>
        <w:ind w:right="51"/>
        <w:rPr>
          <w:rFonts w:cs="Arial"/>
          <w:color w:val="000000"/>
        </w:rPr>
      </w:pPr>
      <w:r w:rsidRPr="00D943A1">
        <w:rPr>
          <w:rFonts w:cs="Arial"/>
          <w:szCs w:val="24"/>
        </w:rPr>
        <w:t xml:space="preserve">En esa tesitura, de acuerdo a lo inmerso en el expediente que nos ocupa se advierte que </w:t>
      </w:r>
      <w:r w:rsidRPr="00D943A1">
        <w:rPr>
          <w:rFonts w:cs="Arial"/>
          <w:b/>
          <w:szCs w:val="24"/>
        </w:rPr>
        <w:t>El Sujeto Obligado</w:t>
      </w:r>
      <w:r w:rsidRPr="00D943A1">
        <w:rPr>
          <w:rFonts w:cs="Arial"/>
          <w:szCs w:val="24"/>
        </w:rPr>
        <w:t xml:space="preserve"> ha modificado el acto, </w:t>
      </w:r>
      <w:r w:rsidR="006076BB" w:rsidRPr="00D943A1">
        <w:rPr>
          <w:rFonts w:cs="Arial"/>
          <w:szCs w:val="24"/>
        </w:rPr>
        <w:t>entregando la información solicitada en el formato en el que la tiene</w:t>
      </w:r>
      <w:r w:rsidRPr="00D943A1">
        <w:rPr>
          <w:rFonts w:cs="Arial"/>
          <w:szCs w:val="24"/>
        </w:rPr>
        <w:t>, como ya ha sido demostrado en los párrafos que anteceden.</w:t>
      </w:r>
    </w:p>
    <w:p w14:paraId="3C65C8C2" w14:textId="77777777" w:rsidR="00C01912" w:rsidRPr="00D943A1" w:rsidRDefault="00C01912" w:rsidP="00C01912">
      <w:pPr>
        <w:autoSpaceDE w:val="0"/>
        <w:autoSpaceDN w:val="0"/>
        <w:adjustRightInd w:val="0"/>
        <w:rPr>
          <w:rFonts w:cs="Arial"/>
          <w:szCs w:val="24"/>
        </w:rPr>
      </w:pPr>
    </w:p>
    <w:p w14:paraId="27D3943E" w14:textId="77777777" w:rsidR="00C01912" w:rsidRPr="00D943A1" w:rsidRDefault="00C01912" w:rsidP="00C01912">
      <w:pPr>
        <w:autoSpaceDE w:val="0"/>
        <w:autoSpaceDN w:val="0"/>
        <w:adjustRightInd w:val="0"/>
        <w:rPr>
          <w:rFonts w:cs="Arial"/>
          <w:szCs w:val="24"/>
        </w:rPr>
      </w:pPr>
      <w:r w:rsidRPr="00D943A1">
        <w:rPr>
          <w:rFonts w:cs="Arial"/>
          <w:szCs w:val="24"/>
        </w:rPr>
        <w:t xml:space="preserve">Hasta lo aquí expuesto, se concluye que </w:t>
      </w:r>
      <w:r w:rsidRPr="00D943A1">
        <w:rPr>
          <w:rFonts w:cs="Arial"/>
          <w:b/>
          <w:szCs w:val="24"/>
        </w:rPr>
        <w:t>El Sujeto Obligado</w:t>
      </w:r>
      <w:r w:rsidRPr="00D943A1">
        <w:rPr>
          <w:rFonts w:cs="Arial"/>
          <w:szCs w:val="24"/>
        </w:rPr>
        <w:t xml:space="preserve"> satisfizo el derecho de acceso a la información mediante la respuesta primigenia y la modificación de la misma en su informe justificado, actualizándose la fracción III, del artículo 192, de la Ley de Transparencia y Acceso a la Información Pública del Estado de México y Municipios</w:t>
      </w:r>
      <w:r w:rsidRPr="00D943A1">
        <w:rPr>
          <w:szCs w:val="24"/>
        </w:rPr>
        <w:t xml:space="preserve">, por darse por satisfechos los elementos que integran dicha hipótesis, </w:t>
      </w:r>
      <w:r w:rsidRPr="00D943A1">
        <w:rPr>
          <w:rFonts w:cs="Arial"/>
          <w:szCs w:val="24"/>
        </w:rPr>
        <w:t xml:space="preserve">a saber: </w:t>
      </w:r>
    </w:p>
    <w:p w14:paraId="7AEAD939" w14:textId="77777777" w:rsidR="00C01912" w:rsidRPr="00D943A1" w:rsidRDefault="00C01912" w:rsidP="00C01912">
      <w:pPr>
        <w:autoSpaceDE w:val="0"/>
        <w:autoSpaceDN w:val="0"/>
        <w:adjustRightInd w:val="0"/>
        <w:rPr>
          <w:rFonts w:cs="Arial"/>
          <w:szCs w:val="24"/>
        </w:rPr>
      </w:pPr>
    </w:p>
    <w:p w14:paraId="1E9C6395" w14:textId="7FACE089" w:rsidR="00C01912" w:rsidRPr="00D943A1" w:rsidRDefault="00C01912" w:rsidP="00B82E69">
      <w:pPr>
        <w:pStyle w:val="Prrafodelista"/>
        <w:numPr>
          <w:ilvl w:val="0"/>
          <w:numId w:val="17"/>
        </w:numPr>
        <w:tabs>
          <w:tab w:val="left" w:pos="709"/>
        </w:tabs>
        <w:ind w:right="51"/>
        <w:rPr>
          <w:rFonts w:cs="Arial"/>
        </w:rPr>
      </w:pPr>
      <w:r w:rsidRPr="00D943A1">
        <w:rPr>
          <w:rFonts w:cs="Arial"/>
        </w:rPr>
        <w:t xml:space="preserve">El primero de ellos es que el sujeto obligado responsable del acto lo modifique o revoque, lo que se demuestra con la documental remitida en el informe justificado de fecha </w:t>
      </w:r>
      <w:r w:rsidR="006076BB" w:rsidRPr="00D943A1">
        <w:rPr>
          <w:rFonts w:cs="Arial"/>
          <w:b/>
        </w:rPr>
        <w:t xml:space="preserve">veinticuatro de octubre </w:t>
      </w:r>
      <w:r w:rsidRPr="00D943A1">
        <w:rPr>
          <w:rFonts w:cs="Arial"/>
          <w:b/>
        </w:rPr>
        <w:t>de dos mil veintidós</w:t>
      </w:r>
      <w:r w:rsidR="006076BB" w:rsidRPr="00D943A1">
        <w:rPr>
          <w:rFonts w:cs="Arial"/>
          <w:b/>
        </w:rPr>
        <w:t xml:space="preserve"> y veinticinco de agosto de dos mil veintitrés</w:t>
      </w:r>
      <w:r w:rsidRPr="00D943A1">
        <w:rPr>
          <w:rFonts w:cs="Arial"/>
        </w:rPr>
        <w:t>, el cual deviene de la autoridad quien emitió el acto impugnado.</w:t>
      </w:r>
    </w:p>
    <w:p w14:paraId="70A518FA" w14:textId="77777777" w:rsidR="00C01912" w:rsidRPr="00D943A1" w:rsidRDefault="00C01912" w:rsidP="00C01912">
      <w:pPr>
        <w:pStyle w:val="Sinespaciado"/>
      </w:pPr>
    </w:p>
    <w:p w14:paraId="08BC2476" w14:textId="77777777" w:rsidR="00C01912" w:rsidRPr="00D943A1" w:rsidRDefault="00C01912" w:rsidP="00B82E69">
      <w:pPr>
        <w:pStyle w:val="Prrafodelista"/>
        <w:numPr>
          <w:ilvl w:val="0"/>
          <w:numId w:val="17"/>
        </w:numPr>
        <w:ind w:right="51"/>
      </w:pPr>
      <w:r w:rsidRPr="00D943A1">
        <w:rPr>
          <w:rFonts w:cs="Arial"/>
        </w:rPr>
        <w:t xml:space="preserve">Por lo que hace al segundo elemento inmerso en el numeral en comento, se requiere que el recurso de revisión se quede sin materia, lo cual se actualiza toda </w:t>
      </w:r>
      <w:r w:rsidRPr="00D943A1">
        <w:rPr>
          <w:rFonts w:cs="Arial"/>
        </w:rPr>
        <w:lastRenderedPageBreak/>
        <w:t>vez que se remite documento con número de oficio y firmas correspondientes mediante informe justificado.</w:t>
      </w:r>
    </w:p>
    <w:p w14:paraId="34CF7D3D" w14:textId="77777777" w:rsidR="00C01912" w:rsidRPr="00D943A1" w:rsidRDefault="00C01912" w:rsidP="00C01912">
      <w:pPr>
        <w:autoSpaceDE w:val="0"/>
        <w:autoSpaceDN w:val="0"/>
        <w:adjustRightInd w:val="0"/>
        <w:rPr>
          <w:rFonts w:cs="Arial"/>
        </w:rPr>
      </w:pPr>
    </w:p>
    <w:p w14:paraId="170453BF" w14:textId="77777777" w:rsidR="00C01912" w:rsidRPr="00D943A1" w:rsidRDefault="00C01912" w:rsidP="00C01912">
      <w:pPr>
        <w:autoSpaceDE w:val="0"/>
        <w:autoSpaceDN w:val="0"/>
        <w:adjustRightInd w:val="0"/>
        <w:rPr>
          <w:rFonts w:eastAsia="Times New Roman" w:cs="Arial"/>
          <w:szCs w:val="24"/>
          <w:lang w:val="es-ES" w:eastAsia="es-ES"/>
        </w:rPr>
      </w:pPr>
      <w:r w:rsidRPr="00D943A1">
        <w:rPr>
          <w:rFonts w:cs="Arial"/>
        </w:rPr>
        <w:t xml:space="preserve">En conclusión, la ley de la materia establece </w:t>
      </w:r>
      <w:r w:rsidRPr="00D943A1">
        <w:rPr>
          <w:rFonts w:eastAsia="Times New Roman" w:cs="Arial"/>
          <w:szCs w:val="24"/>
          <w:lang w:val="es-ES" w:eastAsia="es-ES"/>
        </w:rPr>
        <w:t>en la fracción III, del artículo 192, de la Ley de Transparencia vigente en la entidad, que a la letra establecen:</w:t>
      </w:r>
    </w:p>
    <w:p w14:paraId="1C0D7DE9" w14:textId="77777777" w:rsidR="00C01912" w:rsidRPr="00D943A1" w:rsidRDefault="00C01912" w:rsidP="00C01912">
      <w:pPr>
        <w:rPr>
          <w:lang w:val="es-ES" w:eastAsia="es-ES"/>
        </w:rPr>
      </w:pPr>
    </w:p>
    <w:p w14:paraId="4CA41DF9" w14:textId="77777777" w:rsidR="00C01912" w:rsidRPr="00D943A1" w:rsidRDefault="00C01912" w:rsidP="00C01912">
      <w:pPr>
        <w:autoSpaceDE w:val="0"/>
        <w:autoSpaceDN w:val="0"/>
        <w:adjustRightInd w:val="0"/>
        <w:spacing w:line="240" w:lineRule="auto"/>
        <w:ind w:left="708"/>
        <w:rPr>
          <w:rFonts w:eastAsia="Times New Roman"/>
          <w:i/>
          <w:szCs w:val="24"/>
          <w:lang w:val="es-ES" w:eastAsia="es-ES"/>
        </w:rPr>
      </w:pPr>
      <w:r w:rsidRPr="00D943A1">
        <w:rPr>
          <w:rFonts w:eastAsia="Times New Roman"/>
          <w:b/>
          <w:i/>
          <w:szCs w:val="24"/>
          <w:lang w:val="es-ES" w:eastAsia="es-ES"/>
        </w:rPr>
        <w:t xml:space="preserve">“Artículo 192. </w:t>
      </w:r>
      <w:r w:rsidRPr="00D943A1">
        <w:rPr>
          <w:rFonts w:eastAsia="Times New Roman"/>
          <w:b/>
          <w:i/>
          <w:szCs w:val="24"/>
          <w:u w:val="single"/>
          <w:lang w:val="es-ES" w:eastAsia="es-ES"/>
        </w:rPr>
        <w:t>El recurso será sobreseído, en todo o en parte, cuando una vez admitido, se actualicen alguno de los siguientes supuestos</w:t>
      </w:r>
      <w:r w:rsidRPr="00D943A1">
        <w:rPr>
          <w:rFonts w:eastAsia="Times New Roman"/>
          <w:i/>
          <w:szCs w:val="24"/>
          <w:lang w:val="es-ES" w:eastAsia="es-ES"/>
        </w:rPr>
        <w:t>:</w:t>
      </w:r>
    </w:p>
    <w:p w14:paraId="4F1EBA7D" w14:textId="77777777" w:rsidR="00C01912" w:rsidRPr="00D943A1" w:rsidRDefault="00C01912" w:rsidP="00B82E69">
      <w:pPr>
        <w:numPr>
          <w:ilvl w:val="0"/>
          <w:numId w:val="18"/>
        </w:numPr>
        <w:autoSpaceDE w:val="0"/>
        <w:autoSpaceDN w:val="0"/>
        <w:adjustRightInd w:val="0"/>
        <w:spacing w:line="240" w:lineRule="auto"/>
        <w:rPr>
          <w:rFonts w:eastAsia="Times New Roman"/>
          <w:i/>
          <w:szCs w:val="24"/>
          <w:lang w:val="es-ES" w:eastAsia="es-ES"/>
        </w:rPr>
      </w:pPr>
      <w:r w:rsidRPr="00D943A1">
        <w:rPr>
          <w:rFonts w:eastAsia="Times New Roman"/>
          <w:i/>
          <w:szCs w:val="24"/>
          <w:lang w:val="es-ES" w:eastAsia="es-ES"/>
        </w:rPr>
        <w:t xml:space="preserve">El recurrente se desista expresamente del recurso; </w:t>
      </w:r>
    </w:p>
    <w:p w14:paraId="68E52FDD" w14:textId="77777777" w:rsidR="00C01912" w:rsidRPr="00D943A1"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D943A1">
        <w:rPr>
          <w:rFonts w:eastAsia="Times New Roman"/>
          <w:i/>
          <w:szCs w:val="24"/>
          <w:lang w:val="es-ES" w:eastAsia="es-ES"/>
        </w:rPr>
        <w:t xml:space="preserve">El recurrente fallezca o, tratándose de personas jurídicas colectivas, se disuelva; </w:t>
      </w:r>
    </w:p>
    <w:p w14:paraId="3B6A250D" w14:textId="77777777" w:rsidR="00C01912" w:rsidRPr="00D943A1"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D943A1">
        <w:rPr>
          <w:rFonts w:eastAsia="Times New Roman"/>
          <w:b/>
          <w:i/>
          <w:szCs w:val="24"/>
          <w:u w:val="single"/>
          <w:lang w:val="es-ES" w:eastAsia="es-ES"/>
        </w:rPr>
        <w:t>El sujeto obligado responsable del acto lo modifique o revoque de tal manera que el recurso de revisión quede sin materia</w:t>
      </w:r>
      <w:r w:rsidRPr="00D943A1">
        <w:rPr>
          <w:rFonts w:eastAsia="Times New Roman"/>
          <w:i/>
          <w:szCs w:val="24"/>
          <w:lang w:val="es-ES" w:eastAsia="es-ES"/>
        </w:rPr>
        <w:t xml:space="preserve">; </w:t>
      </w:r>
    </w:p>
    <w:p w14:paraId="721C2F8C" w14:textId="77777777" w:rsidR="00C01912" w:rsidRPr="00D943A1"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D943A1">
        <w:rPr>
          <w:rFonts w:eastAsia="Times New Roman"/>
          <w:i/>
          <w:szCs w:val="24"/>
          <w:lang w:val="es-ES" w:eastAsia="es-ES"/>
        </w:rPr>
        <w:t xml:space="preserve">Admitido el recurso de revisión, aparezca alguna causal de improcedencia en los términos de la presente Ley; y </w:t>
      </w:r>
    </w:p>
    <w:p w14:paraId="3E59072B" w14:textId="77777777" w:rsidR="00C01912" w:rsidRPr="00D943A1" w:rsidRDefault="00C01912" w:rsidP="00B82E69">
      <w:pPr>
        <w:numPr>
          <w:ilvl w:val="0"/>
          <w:numId w:val="18"/>
        </w:numPr>
        <w:autoSpaceDE w:val="0"/>
        <w:autoSpaceDN w:val="0"/>
        <w:adjustRightInd w:val="0"/>
        <w:spacing w:line="240" w:lineRule="auto"/>
        <w:rPr>
          <w:rFonts w:eastAsia="Times New Roman" w:cs="Arial"/>
          <w:i/>
          <w:szCs w:val="24"/>
          <w:lang w:val="es-ES" w:eastAsia="es-ES"/>
        </w:rPr>
      </w:pPr>
      <w:r w:rsidRPr="00D943A1">
        <w:rPr>
          <w:rFonts w:eastAsia="Times New Roman"/>
          <w:i/>
          <w:szCs w:val="24"/>
          <w:lang w:val="es-ES" w:eastAsia="es-ES"/>
        </w:rPr>
        <w:t>Cuando por cualquier motivo quede sin materia el recurso.”</w:t>
      </w:r>
    </w:p>
    <w:p w14:paraId="7874D974" w14:textId="77777777" w:rsidR="00C01912" w:rsidRPr="00D943A1" w:rsidRDefault="00C01912" w:rsidP="00C01912">
      <w:pPr>
        <w:rPr>
          <w:lang w:val="es-ES" w:eastAsia="es-ES"/>
        </w:rPr>
      </w:pPr>
    </w:p>
    <w:p w14:paraId="35C7395E" w14:textId="77777777" w:rsidR="00C01912" w:rsidRPr="00D943A1" w:rsidRDefault="00C01912" w:rsidP="00C01912">
      <w:pPr>
        <w:rPr>
          <w:lang w:val="es-ES" w:eastAsia="es-ES"/>
        </w:rPr>
      </w:pPr>
    </w:p>
    <w:p w14:paraId="36F0994D" w14:textId="77777777" w:rsidR="00C01912" w:rsidRPr="00D943A1" w:rsidRDefault="00C01912" w:rsidP="00C01912">
      <w:pPr>
        <w:rPr>
          <w:rFonts w:cs="Arial"/>
          <w:szCs w:val="24"/>
        </w:rPr>
      </w:pPr>
      <w:r w:rsidRPr="00D943A1">
        <w:rPr>
          <w:rFonts w:cs="Arial"/>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62EE534" w14:textId="77777777" w:rsidR="006076BB" w:rsidRPr="00D943A1" w:rsidRDefault="006076BB" w:rsidP="00C01912">
      <w:pPr>
        <w:rPr>
          <w:rFonts w:cs="Arial"/>
          <w:szCs w:val="24"/>
        </w:rPr>
      </w:pPr>
    </w:p>
    <w:p w14:paraId="4735E3C2" w14:textId="77777777" w:rsidR="00C01912" w:rsidRPr="00D943A1" w:rsidRDefault="00C01912" w:rsidP="00C01912">
      <w:pPr>
        <w:ind w:left="851" w:right="851"/>
        <w:rPr>
          <w:rFonts w:cs="Arial"/>
          <w:b/>
          <w:i/>
        </w:rPr>
      </w:pPr>
      <w:r w:rsidRPr="00D943A1">
        <w:rPr>
          <w:rFonts w:cs="Arial"/>
          <w:b/>
          <w:i/>
        </w:rPr>
        <w:t>“SOBRESEIMIENTO EN EL JUICIO DE AMPARO DIRECTO. IMPIDE EL ESTUDIO DE LAS VIOLACIONES PROCESALES PLANTEADAS EN LOS CONCEPTOS DE VIOLACIÓN.</w:t>
      </w:r>
    </w:p>
    <w:p w14:paraId="796F5992" w14:textId="77777777" w:rsidR="00C01912" w:rsidRPr="00D943A1" w:rsidRDefault="00C01912" w:rsidP="00C01912">
      <w:pPr>
        <w:ind w:left="851" w:right="851"/>
        <w:rPr>
          <w:i/>
          <w:color w:val="000000"/>
        </w:rPr>
      </w:pPr>
      <w:r w:rsidRPr="00D943A1">
        <w:rPr>
          <w:rFonts w:cs="Arial"/>
          <w:b/>
          <w:i/>
          <w:u w:val="single"/>
        </w:rPr>
        <w:lastRenderedPageBreak/>
        <w:t>El sobreseimiento</w:t>
      </w:r>
      <w:r w:rsidRPr="00D943A1">
        <w:rPr>
          <w:rFonts w:cs="Arial"/>
          <w:b/>
          <w:i/>
        </w:rPr>
        <w:t xml:space="preserve"> </w:t>
      </w:r>
      <w:r w:rsidRPr="00D943A1">
        <w:rPr>
          <w:rFonts w:cs="Arial"/>
          <w:i/>
        </w:rPr>
        <w:t xml:space="preserve">en el juicio de amparo directo </w:t>
      </w:r>
      <w:r w:rsidRPr="00D943A1">
        <w:rPr>
          <w:rFonts w:cs="Arial"/>
          <w:b/>
          <w:i/>
          <w:u w:val="single"/>
        </w:rPr>
        <w:t>provoca la terminación de la controversia planteada</w:t>
      </w:r>
      <w:r w:rsidRPr="00D943A1">
        <w:rPr>
          <w:rFonts w:cs="Arial"/>
          <w:b/>
          <w:i/>
        </w:rPr>
        <w:t xml:space="preserve"> </w:t>
      </w:r>
      <w:r w:rsidRPr="00D943A1">
        <w:rPr>
          <w:rFonts w:cs="Arial"/>
          <w:i/>
        </w:rPr>
        <w:t>por el quejoso en la demanda de amparo</w:t>
      </w:r>
      <w:r w:rsidRPr="00D943A1">
        <w:rPr>
          <w:color w:val="000000"/>
          <w:sz w:val="26"/>
          <w:szCs w:val="26"/>
        </w:rPr>
        <w:t xml:space="preserve"> </w:t>
      </w:r>
      <w:r w:rsidRPr="00D943A1">
        <w:rPr>
          <w:i/>
          <w:color w:val="000000"/>
        </w:rPr>
        <w:t xml:space="preserve">provoca la terminación de la controversia planteada por el quejoso en la demanda de </w:t>
      </w:r>
      <w:r w:rsidRPr="00D943A1">
        <w:rPr>
          <w:b/>
          <w:i/>
          <w:color w:val="000000"/>
        </w:rPr>
        <w:t>amparo</w:t>
      </w:r>
      <w:r w:rsidRPr="00D943A1">
        <w:rPr>
          <w:i/>
          <w:color w:val="000000"/>
        </w:rPr>
        <w:t>, sin hacer un pronunciamiento de fondo sobre la legalidad o ilegalidad de la sentencia reclamada. Por consiguiente, si al sobreseerse en el</w:t>
      </w:r>
      <w:r w:rsidRPr="00D943A1">
        <w:rPr>
          <w:b/>
          <w:i/>
          <w:color w:val="000000"/>
        </w:rPr>
        <w:t xml:space="preserve"> juicio </w:t>
      </w:r>
      <w:r w:rsidRPr="00D943A1">
        <w:rPr>
          <w:i/>
          <w:color w:val="000000"/>
        </w:rPr>
        <w:t xml:space="preserve">de </w:t>
      </w:r>
      <w:r w:rsidRPr="00D943A1">
        <w:rPr>
          <w:b/>
          <w:i/>
          <w:color w:val="000000"/>
        </w:rPr>
        <w:t>amparo</w:t>
      </w:r>
      <w:r w:rsidRPr="00D943A1">
        <w:rPr>
          <w:i/>
          <w:color w:val="000000"/>
        </w:rPr>
        <w:t xml:space="preserve"> no se pueden estudiar los planteamientos que se hacen valer en contra del fallo reclamado, tampoco se deben analizar las</w:t>
      </w:r>
      <w:r w:rsidRPr="00D943A1">
        <w:rPr>
          <w:b/>
          <w:i/>
          <w:color w:val="000000"/>
        </w:rPr>
        <w:t xml:space="preserve"> violaciones procesales</w:t>
      </w:r>
      <w:r w:rsidRPr="00D943A1">
        <w:rPr>
          <w:i/>
          <w:color w:val="000000"/>
        </w:rPr>
        <w:t xml:space="preserve"> propuestas en los </w:t>
      </w:r>
      <w:r w:rsidRPr="00D943A1">
        <w:rPr>
          <w:b/>
          <w:i/>
          <w:color w:val="000000"/>
        </w:rPr>
        <w:t xml:space="preserve">conceptos </w:t>
      </w:r>
      <w:r w:rsidRPr="00D943A1">
        <w:rPr>
          <w:i/>
          <w:color w:val="000000"/>
        </w:rPr>
        <w:t xml:space="preserve">de </w:t>
      </w:r>
      <w:r w:rsidRPr="00D943A1">
        <w:rPr>
          <w:b/>
          <w:i/>
          <w:color w:val="000000"/>
        </w:rPr>
        <w:t>violación</w:t>
      </w:r>
      <w:r w:rsidRPr="00D943A1">
        <w:rPr>
          <w:i/>
          <w:color w:val="000000"/>
        </w:rPr>
        <w:t xml:space="preserve">, dado que, la principal consecuencia del </w:t>
      </w:r>
      <w:r w:rsidRPr="00D943A1">
        <w:rPr>
          <w:b/>
          <w:i/>
          <w:color w:val="000000"/>
        </w:rPr>
        <w:t>sobreseimiento</w:t>
      </w:r>
      <w:r w:rsidRPr="00D943A1">
        <w:rPr>
          <w:i/>
          <w:color w:val="000000"/>
        </w:rPr>
        <w:t xml:space="preserve"> es poner fin al </w:t>
      </w:r>
      <w:r w:rsidRPr="00D943A1">
        <w:rPr>
          <w:b/>
          <w:i/>
          <w:color w:val="000000"/>
        </w:rPr>
        <w:t xml:space="preserve">juicio </w:t>
      </w:r>
      <w:r w:rsidRPr="00D943A1">
        <w:rPr>
          <w:i/>
          <w:color w:val="000000"/>
        </w:rPr>
        <w:t xml:space="preserve">de </w:t>
      </w:r>
      <w:r w:rsidRPr="00D943A1">
        <w:rPr>
          <w:b/>
          <w:i/>
          <w:color w:val="000000"/>
        </w:rPr>
        <w:t xml:space="preserve">amparo </w:t>
      </w:r>
      <w:r w:rsidRPr="00D943A1">
        <w:rPr>
          <w:i/>
          <w:color w:val="000000"/>
        </w:rPr>
        <w:t>sin resolver la controversia en sus méritos.  </w:t>
      </w:r>
    </w:p>
    <w:p w14:paraId="3FCC3CE9" w14:textId="77777777" w:rsidR="00C01912" w:rsidRPr="00D943A1" w:rsidRDefault="00C01912" w:rsidP="00C01912">
      <w:pPr>
        <w:ind w:left="851" w:right="851"/>
        <w:rPr>
          <w:rFonts w:cs="Arial"/>
          <w:b/>
          <w:i/>
        </w:rPr>
      </w:pPr>
      <w:r w:rsidRPr="00D943A1">
        <w:rPr>
          <w:rFonts w:cs="Arial"/>
          <w:b/>
          <w:i/>
        </w:rPr>
        <w:t>SÉPTIMO TRIBUNAL COLEGIADO EN MATERIA CIVIL DEL PRIMER CIRCUITO.</w:t>
      </w:r>
    </w:p>
    <w:p w14:paraId="19498EB0" w14:textId="77777777" w:rsidR="00C01912" w:rsidRPr="00D943A1" w:rsidRDefault="00C01912" w:rsidP="00C01912">
      <w:pPr>
        <w:ind w:left="851" w:right="851"/>
        <w:rPr>
          <w:rFonts w:cs="Arial"/>
          <w:i/>
        </w:rPr>
      </w:pPr>
      <w:r w:rsidRPr="00D943A1">
        <w:rPr>
          <w:rFonts w:cs="Arial"/>
          <w:i/>
        </w:rPr>
        <w:t>Amparo directo 699/2008. Mariana Leticia González Steele. 13 de noviembre de 2008. Unanimidad de votos. Ponente: Sara Judith Montalvo Trejo. Secretario: Arnulfo Mateos García.”</w:t>
      </w:r>
      <w:r w:rsidRPr="00D943A1">
        <w:rPr>
          <w:rFonts w:eastAsia="Times New Roman"/>
          <w:b/>
          <w:i/>
          <w:lang w:eastAsia="es-ES"/>
        </w:rPr>
        <w:t xml:space="preserve"> [Sic]</w:t>
      </w:r>
    </w:p>
    <w:p w14:paraId="35F3B9D3" w14:textId="77777777" w:rsidR="00C01912" w:rsidRPr="00D943A1" w:rsidRDefault="00C01912" w:rsidP="00C01912">
      <w:pPr>
        <w:autoSpaceDE w:val="0"/>
        <w:autoSpaceDN w:val="0"/>
        <w:adjustRightInd w:val="0"/>
        <w:rPr>
          <w:rFonts w:eastAsia="Times New Roman" w:cs="Arial"/>
          <w:szCs w:val="24"/>
          <w:lang w:val="es-ES" w:eastAsia="es-ES"/>
        </w:rPr>
      </w:pPr>
    </w:p>
    <w:p w14:paraId="3C1FF334" w14:textId="77777777" w:rsidR="00125F70" w:rsidRPr="00D943A1" w:rsidRDefault="00125F70" w:rsidP="00125F70">
      <w:pPr>
        <w:rPr>
          <w:rFonts w:cs="Arial"/>
          <w:szCs w:val="24"/>
        </w:rPr>
      </w:pPr>
      <w:r w:rsidRPr="00D943A1">
        <w:rPr>
          <w:rFonts w:cs="Arial"/>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D943A1">
        <w:rPr>
          <w:rFonts w:cs="Arial"/>
          <w:b/>
          <w:szCs w:val="24"/>
        </w:rPr>
        <w:t xml:space="preserve">artículo 192 </w:t>
      </w:r>
      <w:r w:rsidRPr="00D943A1">
        <w:rPr>
          <w:rFonts w:cs="Arial"/>
          <w:szCs w:val="24"/>
        </w:rPr>
        <w:t xml:space="preserve">de la </w:t>
      </w:r>
      <w:r w:rsidRPr="00D943A1">
        <w:rPr>
          <w:rFonts w:cs="Arial"/>
          <w:b/>
          <w:szCs w:val="24"/>
        </w:rPr>
        <w:t xml:space="preserve">Ley de Transparencia y Acceso a la Información Pública del Estado de México y Municipios, </w:t>
      </w:r>
      <w:r w:rsidRPr="00D943A1">
        <w:rPr>
          <w:rFonts w:cs="Arial"/>
          <w:szCs w:val="24"/>
        </w:rPr>
        <w:t xml:space="preserve">nos encontramos ante un sobreseimiento definitivo toda vez que pone fin al procedimiento sin entrar al estudio de fondo del mismo. </w:t>
      </w:r>
    </w:p>
    <w:p w14:paraId="009C9368" w14:textId="77777777" w:rsidR="00125F70" w:rsidRPr="00D943A1" w:rsidRDefault="00125F70" w:rsidP="00125F70">
      <w:pPr>
        <w:rPr>
          <w:rFonts w:cs="Arial"/>
          <w:szCs w:val="24"/>
        </w:rPr>
      </w:pPr>
    </w:p>
    <w:p w14:paraId="30C1EA3B" w14:textId="77777777" w:rsidR="00125F70" w:rsidRPr="00D943A1" w:rsidRDefault="00125F70" w:rsidP="00125F70">
      <w:pPr>
        <w:rPr>
          <w:rFonts w:cs="Arial"/>
          <w:b/>
          <w:szCs w:val="24"/>
        </w:rPr>
      </w:pPr>
      <w:r w:rsidRPr="00D943A1">
        <w:rPr>
          <w:rFonts w:cs="Arial"/>
          <w:szCs w:val="24"/>
        </w:rPr>
        <w:lastRenderedPageBreak/>
        <w:t xml:space="preserve">Para los efectos de esta resolución, resulta oportuno precisar los alcances jurídicos de la </w:t>
      </w:r>
      <w:r w:rsidRPr="00D943A1">
        <w:rPr>
          <w:rFonts w:cs="Arial"/>
          <w:b/>
          <w:szCs w:val="24"/>
        </w:rPr>
        <w:t xml:space="preserve">fracción III </w:t>
      </w:r>
      <w:r w:rsidRPr="00D943A1">
        <w:rPr>
          <w:rFonts w:cs="Arial"/>
          <w:szCs w:val="24"/>
        </w:rPr>
        <w:t xml:space="preserve">de la disposición legal transcrita. Así, procede el sobreseimiento del recurso de revisión cuando el </w:t>
      </w:r>
      <w:r w:rsidRPr="00D943A1">
        <w:rPr>
          <w:rFonts w:cs="Arial"/>
          <w:b/>
          <w:szCs w:val="24"/>
        </w:rPr>
        <w:t xml:space="preserve">Sujeto Obligado: </w:t>
      </w:r>
    </w:p>
    <w:p w14:paraId="0640D79F" w14:textId="77777777" w:rsidR="00125F70" w:rsidRPr="00D943A1" w:rsidRDefault="00125F70" w:rsidP="00125F70">
      <w:pPr>
        <w:rPr>
          <w:rFonts w:cs="Arial"/>
          <w:b/>
          <w:szCs w:val="24"/>
        </w:rPr>
      </w:pPr>
    </w:p>
    <w:p w14:paraId="1A43B932" w14:textId="77777777" w:rsidR="00125F70" w:rsidRPr="00D943A1" w:rsidRDefault="00125F70" w:rsidP="00125F70">
      <w:pPr>
        <w:pStyle w:val="Prrafodelista"/>
        <w:numPr>
          <w:ilvl w:val="0"/>
          <w:numId w:val="23"/>
        </w:numPr>
        <w:ind w:right="851"/>
        <w:rPr>
          <w:rFonts w:cs="Arial"/>
          <w:b/>
        </w:rPr>
      </w:pPr>
      <w:r w:rsidRPr="00D943A1">
        <w:rPr>
          <w:rFonts w:cs="Arial"/>
          <w:b/>
        </w:rPr>
        <w:t xml:space="preserve">Modifique el acto impugnado: </w:t>
      </w:r>
      <w:r w:rsidRPr="00D943A1">
        <w:rPr>
          <w:rFonts w:cs="Arial"/>
        </w:rPr>
        <w:t xml:space="preserve">Se actualiza cuando el </w:t>
      </w:r>
      <w:r w:rsidRPr="00D943A1">
        <w:rPr>
          <w:rFonts w:cs="Arial"/>
          <w:b/>
        </w:rPr>
        <w:t xml:space="preserve">Sujeto Obligado </w:t>
      </w:r>
      <w:r w:rsidRPr="00D943A1">
        <w:rPr>
          <w:rFonts w:cs="Arial"/>
        </w:rPr>
        <w:t xml:space="preserve">después de haber otorgado una respuesta y hasta antes de dictada la resolución del recurso de revisión, emite una diversa en la que subsane las deficiencias que hubiere tenido. </w:t>
      </w:r>
    </w:p>
    <w:p w14:paraId="33246BE3" w14:textId="77777777" w:rsidR="00125F70" w:rsidRPr="00D943A1" w:rsidRDefault="00125F70" w:rsidP="00125F70">
      <w:pPr>
        <w:pStyle w:val="Prrafodelista"/>
        <w:ind w:left="720" w:right="851"/>
        <w:rPr>
          <w:rFonts w:cs="Arial"/>
          <w:b/>
        </w:rPr>
      </w:pPr>
    </w:p>
    <w:p w14:paraId="174BAA33" w14:textId="77777777" w:rsidR="00125F70" w:rsidRPr="00D943A1" w:rsidRDefault="00125F70" w:rsidP="00125F70">
      <w:pPr>
        <w:rPr>
          <w:rFonts w:cs="Arial"/>
          <w:szCs w:val="24"/>
          <w:u w:val="single"/>
        </w:rPr>
      </w:pPr>
      <w:r w:rsidRPr="00D943A1">
        <w:rPr>
          <w:rFonts w:cs="Arial"/>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D943A1">
        <w:rPr>
          <w:rFonts w:cs="Arial"/>
          <w:b/>
          <w:szCs w:val="24"/>
          <w:u w:val="single"/>
        </w:rPr>
        <w:t xml:space="preserve">cuando ha sido satisfecha la pretensión del particular, </w:t>
      </w:r>
      <w:r w:rsidRPr="00D943A1">
        <w:rPr>
          <w:rFonts w:cs="Arial"/>
          <w:szCs w:val="24"/>
        </w:rPr>
        <w:t>ya sea porque se hizo la entrega de la información solicitada o porque se completó la misma.</w:t>
      </w:r>
      <w:r w:rsidRPr="00D943A1">
        <w:rPr>
          <w:rFonts w:cs="Arial"/>
          <w:szCs w:val="24"/>
          <w:u w:val="single"/>
        </w:rPr>
        <w:t xml:space="preserve"> </w:t>
      </w:r>
    </w:p>
    <w:p w14:paraId="5228E75E" w14:textId="77777777" w:rsidR="00125F70" w:rsidRPr="00D943A1" w:rsidRDefault="00125F70" w:rsidP="00125F70">
      <w:pPr>
        <w:rPr>
          <w:rFonts w:cs="Arial"/>
          <w:szCs w:val="24"/>
        </w:rPr>
      </w:pPr>
    </w:p>
    <w:p w14:paraId="4CCD2BFC" w14:textId="77777777" w:rsidR="00125F70" w:rsidRPr="00D943A1" w:rsidRDefault="00125F70" w:rsidP="00125F70">
      <w:pPr>
        <w:rPr>
          <w:rFonts w:cs="Arial"/>
          <w:szCs w:val="24"/>
        </w:rPr>
      </w:pPr>
      <w:r w:rsidRPr="00D943A1">
        <w:rPr>
          <w:rFonts w:cs="Arial"/>
          <w:szCs w:val="24"/>
        </w:rPr>
        <w:t xml:space="preserve">En este tenor, se advierte que </w:t>
      </w:r>
      <w:r w:rsidRPr="00D943A1">
        <w:rPr>
          <w:rFonts w:cs="Arial"/>
          <w:b/>
          <w:szCs w:val="24"/>
        </w:rPr>
        <w:t>El</w:t>
      </w:r>
      <w:r w:rsidRPr="00D943A1">
        <w:rPr>
          <w:rFonts w:cs="Arial"/>
          <w:szCs w:val="24"/>
        </w:rPr>
        <w:t xml:space="preserve"> </w:t>
      </w:r>
      <w:r w:rsidRPr="00D943A1">
        <w:rPr>
          <w:rFonts w:cs="Arial"/>
          <w:b/>
          <w:szCs w:val="24"/>
        </w:rPr>
        <w:t xml:space="preserve">Sujeto Obligado </w:t>
      </w:r>
      <w:r w:rsidRPr="00D943A1">
        <w:rPr>
          <w:rFonts w:cs="Arial"/>
          <w:szCs w:val="24"/>
        </w:rPr>
        <w:t xml:space="preserve">con la información enviada a este Órgano Garante, </w:t>
      </w:r>
      <w:r w:rsidRPr="00D943A1">
        <w:rPr>
          <w:rFonts w:cs="Arial"/>
          <w:b/>
          <w:szCs w:val="24"/>
        </w:rPr>
        <w:t xml:space="preserve">modifica </w:t>
      </w:r>
      <w:r w:rsidRPr="00D943A1">
        <w:rPr>
          <w:rFonts w:cs="Arial"/>
          <w:szCs w:val="24"/>
        </w:rPr>
        <w:t xml:space="preserve">el acto que le dio origen al recurso de revisión, </w:t>
      </w:r>
      <w:r w:rsidRPr="00D943A1">
        <w:rPr>
          <w:rFonts w:cs="Arial"/>
          <w:b/>
          <w:szCs w:val="24"/>
        </w:rPr>
        <w:t xml:space="preserve">por lo que trae como consecuencia que el mismo quede sin materia, </w:t>
      </w:r>
      <w:r w:rsidRPr="00D943A1">
        <w:rPr>
          <w:rFonts w:cs="Arial"/>
          <w:szCs w:val="24"/>
        </w:rPr>
        <w:t xml:space="preserve">actualizándose de este modo, la hipótesis jurídica contenida en la fracción III del artículo 192. </w:t>
      </w:r>
    </w:p>
    <w:p w14:paraId="68A9B8F1" w14:textId="77777777" w:rsidR="00125F70" w:rsidRPr="00D943A1" w:rsidRDefault="00125F70" w:rsidP="00125F70">
      <w:pPr>
        <w:rPr>
          <w:rFonts w:cs="Arial"/>
          <w:szCs w:val="24"/>
        </w:rPr>
      </w:pPr>
    </w:p>
    <w:p w14:paraId="761D4AFE" w14:textId="77777777" w:rsidR="00125F70" w:rsidRPr="00D943A1" w:rsidRDefault="00125F70" w:rsidP="00125F70">
      <w:pPr>
        <w:rPr>
          <w:rFonts w:cs="Arial"/>
          <w:szCs w:val="24"/>
        </w:rPr>
      </w:pPr>
      <w:r w:rsidRPr="00D943A1">
        <w:rPr>
          <w:rFonts w:cs="Arial"/>
          <w:szCs w:val="24"/>
        </w:rPr>
        <w:t xml:space="preserve">De este modo, cuando </w:t>
      </w:r>
      <w:r w:rsidRPr="00D943A1">
        <w:rPr>
          <w:rFonts w:cs="Arial"/>
          <w:b/>
          <w:szCs w:val="24"/>
        </w:rPr>
        <w:t>El</w:t>
      </w:r>
      <w:r w:rsidRPr="00D943A1">
        <w:rPr>
          <w:rFonts w:cs="Arial"/>
          <w:szCs w:val="24"/>
        </w:rPr>
        <w:t xml:space="preserve"> </w:t>
      </w:r>
      <w:r w:rsidRPr="00D943A1">
        <w:rPr>
          <w:rFonts w:cs="Arial"/>
          <w:b/>
          <w:szCs w:val="24"/>
        </w:rPr>
        <w:t>Sujeto Obligado</w:t>
      </w:r>
      <w:r w:rsidRPr="00D943A1">
        <w:rPr>
          <w:rFonts w:cs="Arial"/>
          <w:szCs w:val="24"/>
        </w:rPr>
        <w:t xml:space="preserve">, antes de que se dicte resolución definitiva, entrega la información solicitada o completa la respuesta que en un momento fue incompleta o no correspondió con lo solicitado; el recurso de revisión que al efecto se </w:t>
      </w:r>
      <w:r w:rsidRPr="00D943A1">
        <w:rPr>
          <w:rFonts w:cs="Arial"/>
          <w:szCs w:val="24"/>
        </w:rPr>
        <w:lastRenderedPageBreak/>
        <w:t xml:space="preserve">haya interpuesto queda sin materia lo que imposibilita el estudio de fondo de la </w:t>
      </w:r>
      <w:r w:rsidRPr="00D943A1">
        <w:rPr>
          <w:rFonts w:cs="Arial"/>
          <w:b/>
          <w:i/>
          <w:szCs w:val="24"/>
        </w:rPr>
        <w:t xml:space="preserve">litis </w:t>
      </w:r>
      <w:r w:rsidRPr="00D943A1">
        <w:rPr>
          <w:rFonts w:cs="Arial"/>
          <w:szCs w:val="24"/>
        </w:rPr>
        <w:t xml:space="preserve">planteada, debido a que la afectación en su esfera de derechos fue restituida por la propia autoridad que emitió el acto de impugnación. </w:t>
      </w:r>
    </w:p>
    <w:p w14:paraId="65341FDA" w14:textId="77777777" w:rsidR="00EF2512" w:rsidRPr="00D943A1" w:rsidRDefault="00EF2512" w:rsidP="00125F70">
      <w:pPr>
        <w:autoSpaceDE w:val="0"/>
        <w:autoSpaceDN w:val="0"/>
        <w:adjustRightInd w:val="0"/>
        <w:rPr>
          <w:rFonts w:cs="Arial"/>
          <w:szCs w:val="24"/>
        </w:rPr>
      </w:pPr>
    </w:p>
    <w:p w14:paraId="068C55D1" w14:textId="5CD2FA6B" w:rsidR="00C01912" w:rsidRPr="00D943A1" w:rsidRDefault="00125F70" w:rsidP="00125F70">
      <w:pPr>
        <w:autoSpaceDE w:val="0"/>
        <w:autoSpaceDN w:val="0"/>
        <w:adjustRightInd w:val="0"/>
        <w:rPr>
          <w:rFonts w:cs="Arial"/>
          <w:szCs w:val="24"/>
        </w:rPr>
      </w:pPr>
      <w:r w:rsidRPr="00D943A1">
        <w:rPr>
          <w:rFonts w:cs="Arial"/>
          <w:szCs w:val="24"/>
        </w:rPr>
        <w:t xml:space="preserve">Por lo tanto, para que se actualice el sobreseimiento de un recurso de revisión, </w:t>
      </w:r>
      <w:r w:rsidRPr="00D943A1">
        <w:rPr>
          <w:rFonts w:cs="Arial"/>
          <w:b/>
          <w:szCs w:val="24"/>
        </w:rPr>
        <w:t>El</w:t>
      </w:r>
      <w:r w:rsidRPr="00D943A1">
        <w:rPr>
          <w:rFonts w:cs="Arial"/>
          <w:szCs w:val="24"/>
        </w:rPr>
        <w:t xml:space="preserve"> </w:t>
      </w:r>
      <w:r w:rsidRPr="00D943A1">
        <w:rPr>
          <w:rFonts w:cs="Arial"/>
          <w:b/>
          <w:szCs w:val="24"/>
        </w:rPr>
        <w:t xml:space="preserve">Sujeto Obligado </w:t>
      </w:r>
      <w:r w:rsidRPr="00D943A1">
        <w:rPr>
          <w:rFonts w:cs="Arial"/>
          <w:szCs w:val="24"/>
        </w:rPr>
        <w:t xml:space="preserve">puede entregar o completar la información al momento de rendir su </w:t>
      </w:r>
      <w:r w:rsidRPr="00D943A1">
        <w:rPr>
          <w:rFonts w:cs="Arial"/>
          <w:b/>
          <w:szCs w:val="24"/>
          <w:u w:val="single"/>
        </w:rPr>
        <w:t>informe de justificación dentro de los siete días</w:t>
      </w:r>
      <w:r w:rsidRPr="00D943A1">
        <w:rPr>
          <w:rFonts w:cs="Arial"/>
          <w:b/>
          <w:szCs w:val="24"/>
        </w:rPr>
        <w:t xml:space="preserve"> </w:t>
      </w:r>
      <w:r w:rsidRPr="00D943A1">
        <w:rPr>
          <w:rFonts w:cs="Arial"/>
          <w:szCs w:val="24"/>
        </w:rPr>
        <w:t>previstos para manifestar lo que a su derecho convenga.</w:t>
      </w:r>
    </w:p>
    <w:p w14:paraId="2D4089A9" w14:textId="77777777" w:rsidR="00C01912" w:rsidRPr="00D943A1" w:rsidRDefault="00C01912" w:rsidP="00C01912">
      <w:pPr>
        <w:autoSpaceDE w:val="0"/>
        <w:autoSpaceDN w:val="0"/>
        <w:adjustRightInd w:val="0"/>
        <w:rPr>
          <w:rFonts w:eastAsia="Times New Roman"/>
          <w:b/>
          <w:szCs w:val="24"/>
          <w:u w:val="single"/>
          <w:lang w:val="es-ES" w:eastAsia="es-ES"/>
        </w:rPr>
      </w:pPr>
    </w:p>
    <w:p w14:paraId="1FEDDE28" w14:textId="580E831A" w:rsidR="00C01912" w:rsidRPr="00D943A1" w:rsidRDefault="00EF2512" w:rsidP="00C01912">
      <w:pPr>
        <w:autoSpaceDE w:val="0"/>
        <w:autoSpaceDN w:val="0"/>
        <w:adjustRightInd w:val="0"/>
        <w:spacing w:before="240" w:after="240"/>
        <w:rPr>
          <w:rFonts w:eastAsia="Times New Roman"/>
          <w:szCs w:val="24"/>
          <w:lang w:val="es-ES" w:eastAsia="es-ES"/>
        </w:rPr>
      </w:pPr>
      <w:r w:rsidRPr="00D943A1">
        <w:rPr>
          <w:rFonts w:cs="Arial"/>
          <w:szCs w:val="24"/>
        </w:rPr>
        <w:t xml:space="preserve">En mérito de lo expuesto en líneas anteriores, resultan fundados los motivos de inconformidad que arguye </w:t>
      </w:r>
      <w:r w:rsidRPr="00D943A1">
        <w:rPr>
          <w:rFonts w:cs="Arial"/>
          <w:b/>
          <w:szCs w:val="24"/>
        </w:rPr>
        <w:t xml:space="preserve">La Recurrente </w:t>
      </w:r>
      <w:r w:rsidRPr="00D943A1">
        <w:rPr>
          <w:rFonts w:cs="Arial"/>
          <w:szCs w:val="24"/>
        </w:rPr>
        <w:t xml:space="preserve">en su medio de impugnación que fue materia de estudio, por ello </w:t>
      </w:r>
      <w:r w:rsidRPr="00D943A1">
        <w:rPr>
          <w:rFonts w:cs="Arial"/>
          <w:b/>
          <w:szCs w:val="24"/>
        </w:rPr>
        <w:t xml:space="preserve">con fundamento en el artículo 186 fracción I, en concordancia con el 192 fracción III de la Ley de Transparencia y Acceso a la Información Pública del Estado de México y Municipios, </w:t>
      </w:r>
      <w:r w:rsidRPr="00D943A1">
        <w:rPr>
          <w:rFonts w:cs="Arial"/>
          <w:szCs w:val="24"/>
        </w:rPr>
        <w:t xml:space="preserve">se </w:t>
      </w:r>
      <w:r w:rsidRPr="00D943A1">
        <w:rPr>
          <w:rFonts w:cs="Arial"/>
          <w:b/>
          <w:szCs w:val="24"/>
        </w:rPr>
        <w:t xml:space="preserve">SOBRESEE </w:t>
      </w:r>
      <w:r w:rsidRPr="00D943A1">
        <w:rPr>
          <w:rFonts w:cs="Arial"/>
          <w:szCs w:val="24"/>
        </w:rPr>
        <w:t xml:space="preserve">el recurso de revisión </w:t>
      </w:r>
      <w:r w:rsidRPr="00D943A1">
        <w:rPr>
          <w:rFonts w:cs="Arial"/>
          <w:b/>
          <w:szCs w:val="24"/>
        </w:rPr>
        <w:t xml:space="preserve">15455/INFOEM/IP/RR/2022, </w:t>
      </w:r>
      <w:r w:rsidRPr="00D943A1">
        <w:rPr>
          <w:rFonts w:cs="Arial"/>
          <w:szCs w:val="24"/>
        </w:rPr>
        <w:t>que ha sido materia del presente fallo</w:t>
      </w:r>
      <w:r w:rsidR="00C01912" w:rsidRPr="00D943A1">
        <w:rPr>
          <w:rFonts w:eastAsia="Times New Roman"/>
          <w:szCs w:val="24"/>
          <w:lang w:val="es-ES" w:eastAsia="es-ES"/>
        </w:rPr>
        <w:t>.</w:t>
      </w:r>
    </w:p>
    <w:p w14:paraId="088B2F4A" w14:textId="381BFD24" w:rsidR="00C01912" w:rsidRPr="00D943A1" w:rsidRDefault="00C01912" w:rsidP="00C01912">
      <w:pPr>
        <w:rPr>
          <w:rFonts w:eastAsia="Times New Roman"/>
          <w:szCs w:val="24"/>
          <w:lang w:eastAsia="es-ES"/>
        </w:rPr>
      </w:pPr>
      <w:r w:rsidRPr="00D943A1">
        <w:rPr>
          <w:rFonts w:eastAsia="Times New Roman"/>
          <w:szCs w:val="24"/>
          <w:lang w:eastAsia="es-ES"/>
        </w:rPr>
        <w:t>Por lo antes expuesto y fundado es de resolverse y,</w:t>
      </w:r>
    </w:p>
    <w:p w14:paraId="21531A8F" w14:textId="77777777" w:rsidR="000D7FF4" w:rsidRPr="00D943A1" w:rsidRDefault="000D7FF4" w:rsidP="00C01912">
      <w:pPr>
        <w:rPr>
          <w:rFonts w:eastAsia="Times New Roman"/>
          <w:szCs w:val="24"/>
          <w:lang w:eastAsia="es-ES"/>
        </w:rPr>
      </w:pPr>
    </w:p>
    <w:p w14:paraId="5EA1E06E" w14:textId="77777777" w:rsidR="00C01912" w:rsidRPr="00D943A1" w:rsidRDefault="00C01912" w:rsidP="00C01912">
      <w:pPr>
        <w:spacing w:before="240" w:after="240"/>
        <w:jc w:val="center"/>
        <w:rPr>
          <w:b/>
          <w:spacing w:val="60"/>
          <w:sz w:val="28"/>
          <w:szCs w:val="24"/>
        </w:rPr>
      </w:pPr>
      <w:r w:rsidRPr="00D943A1">
        <w:rPr>
          <w:b/>
          <w:spacing w:val="60"/>
          <w:sz w:val="28"/>
          <w:szCs w:val="24"/>
        </w:rPr>
        <w:t>S E RESUELVE</w:t>
      </w:r>
    </w:p>
    <w:p w14:paraId="032BBECC" w14:textId="14F3A0F6" w:rsidR="00C01912" w:rsidRPr="00D943A1" w:rsidRDefault="00C01912" w:rsidP="00C01912">
      <w:pPr>
        <w:rPr>
          <w:rFonts w:cs="Arial"/>
          <w:szCs w:val="24"/>
        </w:rPr>
      </w:pPr>
      <w:r w:rsidRPr="00D943A1">
        <w:rPr>
          <w:rFonts w:eastAsia="Times New Roman"/>
          <w:b/>
          <w:bCs/>
          <w:sz w:val="28"/>
        </w:rPr>
        <w:t>PRIMERO</w:t>
      </w:r>
      <w:r w:rsidRPr="00D943A1">
        <w:rPr>
          <w:rFonts w:eastAsia="Times New Roman"/>
          <w:sz w:val="28"/>
        </w:rPr>
        <w:t xml:space="preserve">. </w:t>
      </w:r>
      <w:r w:rsidR="00EF2512" w:rsidRPr="00D943A1">
        <w:rPr>
          <w:rFonts w:eastAsiaTheme="minorEastAsia" w:cs="Arial"/>
          <w:szCs w:val="24"/>
          <w:lang w:eastAsia="es-ES"/>
        </w:rPr>
        <w:t xml:space="preserve">Se </w:t>
      </w:r>
      <w:r w:rsidR="00EF2512" w:rsidRPr="00D943A1">
        <w:rPr>
          <w:rFonts w:eastAsiaTheme="minorEastAsia" w:cs="Arial"/>
          <w:b/>
          <w:szCs w:val="24"/>
          <w:lang w:eastAsia="es-ES"/>
        </w:rPr>
        <w:t>SOBRESEE</w:t>
      </w:r>
      <w:r w:rsidR="00EF2512" w:rsidRPr="00D943A1">
        <w:rPr>
          <w:rFonts w:eastAsiaTheme="minorEastAsia" w:cs="Arial"/>
          <w:szCs w:val="24"/>
          <w:lang w:eastAsia="es-ES"/>
        </w:rPr>
        <w:t xml:space="preserve"> el recurso de revisión número </w:t>
      </w:r>
      <w:r w:rsidR="00EF2512" w:rsidRPr="00D943A1">
        <w:rPr>
          <w:rFonts w:cs="Arial"/>
          <w:b/>
          <w:szCs w:val="24"/>
        </w:rPr>
        <w:t>15455/INFOEM/IP/RR/2022</w:t>
      </w:r>
      <w:r w:rsidR="00EF2512" w:rsidRPr="00D943A1">
        <w:rPr>
          <w:rFonts w:eastAsiaTheme="minorEastAsia" w:cs="Arial"/>
          <w:szCs w:val="24"/>
          <w:lang w:eastAsia="es-ES"/>
        </w:rPr>
        <w:t xml:space="preserve">, porque </w:t>
      </w:r>
      <w:r w:rsidR="00EF2512" w:rsidRPr="00D943A1">
        <w:rPr>
          <w:rFonts w:eastAsiaTheme="minorEastAsia" w:cs="Arial"/>
          <w:b/>
          <w:bCs/>
          <w:szCs w:val="24"/>
          <w:lang w:eastAsia="es-ES"/>
        </w:rPr>
        <w:t>EL SUJETO OBLIGADO</w:t>
      </w:r>
      <w:r w:rsidR="00EF2512" w:rsidRPr="00D943A1">
        <w:rPr>
          <w:rFonts w:eastAsiaTheme="minorEastAsia" w:cs="Arial"/>
          <w:szCs w:val="24"/>
          <w:lang w:eastAsia="es-ES"/>
        </w:rPr>
        <w:t xml:space="preserve"> al modificar su respuesta, el recurso de revisión quedó sin materia, en términos del artículo 192 fracción III de la Ley de Transparencia y Acceso </w:t>
      </w:r>
      <w:r w:rsidR="00EF2512" w:rsidRPr="00D943A1">
        <w:rPr>
          <w:rFonts w:eastAsiaTheme="minorEastAsia" w:cs="Arial"/>
          <w:szCs w:val="24"/>
          <w:lang w:eastAsia="es-ES"/>
        </w:rPr>
        <w:lastRenderedPageBreak/>
        <w:t xml:space="preserve">a la Información Pública del Estado de México y Municipios, en términos del Considerando </w:t>
      </w:r>
      <w:r w:rsidR="00EF2512" w:rsidRPr="00D943A1">
        <w:rPr>
          <w:rFonts w:eastAsiaTheme="minorEastAsia" w:cs="Arial"/>
          <w:b/>
          <w:szCs w:val="24"/>
          <w:lang w:eastAsia="es-ES"/>
        </w:rPr>
        <w:t>TERCERO</w:t>
      </w:r>
      <w:r w:rsidR="00EF2512" w:rsidRPr="00D943A1">
        <w:rPr>
          <w:rFonts w:eastAsiaTheme="minorEastAsia" w:cs="Arial"/>
          <w:szCs w:val="24"/>
          <w:lang w:eastAsia="es-ES"/>
        </w:rPr>
        <w:t xml:space="preserve"> de la presente resolución.</w:t>
      </w:r>
      <w:r w:rsidRPr="00D943A1">
        <w:rPr>
          <w:rFonts w:eastAsia="Times New Roman"/>
          <w:szCs w:val="24"/>
        </w:rPr>
        <w:t>.</w:t>
      </w:r>
    </w:p>
    <w:p w14:paraId="40433BA0" w14:textId="77777777" w:rsidR="00C01912" w:rsidRPr="00D943A1" w:rsidRDefault="00C01912" w:rsidP="00C01912">
      <w:pPr>
        <w:pStyle w:val="Textoindependiente"/>
        <w:rPr>
          <w:b/>
        </w:rPr>
      </w:pPr>
    </w:p>
    <w:p w14:paraId="1E8A8840" w14:textId="77777777" w:rsidR="00EF2512" w:rsidRPr="00D943A1" w:rsidRDefault="00EF2512" w:rsidP="00EF2512">
      <w:pPr>
        <w:tabs>
          <w:tab w:val="left" w:pos="8647"/>
        </w:tabs>
        <w:ind w:right="51"/>
        <w:rPr>
          <w:rFonts w:eastAsiaTheme="minorEastAsia" w:cs="Arial"/>
          <w:szCs w:val="24"/>
          <w:lang w:eastAsia="es-ES"/>
        </w:rPr>
      </w:pPr>
      <w:r w:rsidRPr="00D943A1">
        <w:rPr>
          <w:rFonts w:eastAsiaTheme="minorEastAsia" w:cs="Arial"/>
          <w:b/>
          <w:sz w:val="28"/>
          <w:szCs w:val="24"/>
          <w:lang w:eastAsia="es-ES"/>
        </w:rPr>
        <w:t>SEGUNDO</w:t>
      </w:r>
      <w:r w:rsidRPr="00D943A1">
        <w:rPr>
          <w:rFonts w:eastAsiaTheme="minorEastAsia" w:cs="Arial"/>
          <w:b/>
          <w:szCs w:val="24"/>
          <w:lang w:eastAsia="es-ES"/>
        </w:rPr>
        <w:t>.</w:t>
      </w:r>
      <w:r w:rsidRPr="00D943A1">
        <w:rPr>
          <w:rFonts w:eastAsiaTheme="minorEastAsia" w:cs="Arial"/>
          <w:szCs w:val="24"/>
          <w:lang w:eastAsia="es-ES"/>
        </w:rPr>
        <w:t xml:space="preserve"> </w:t>
      </w:r>
      <w:r w:rsidRPr="00D943A1">
        <w:rPr>
          <w:rFonts w:eastAsiaTheme="minorEastAsia" w:cs="Arial"/>
          <w:b/>
          <w:szCs w:val="24"/>
          <w:lang w:eastAsia="es-ES"/>
        </w:rPr>
        <w:t>NOTIFÍQUESE</w:t>
      </w:r>
      <w:r w:rsidRPr="00D943A1">
        <w:rPr>
          <w:rFonts w:eastAsiaTheme="minorEastAsia" w:cs="Arial"/>
          <w:szCs w:val="24"/>
          <w:lang w:eastAsia="es-ES"/>
        </w:rPr>
        <w:t xml:space="preserve"> vía </w:t>
      </w:r>
      <w:r w:rsidRPr="00D943A1">
        <w:rPr>
          <w:rFonts w:eastAsia="Times New Roman" w:cs="Times New Roman"/>
          <w:szCs w:val="24"/>
          <w:lang w:val="es-ES" w:eastAsia="es-ES"/>
        </w:rPr>
        <w:t>Sistema de Acceso a la Información Mexiquense</w:t>
      </w:r>
      <w:r w:rsidRPr="00D943A1">
        <w:rPr>
          <w:rFonts w:eastAsiaTheme="minorEastAsia" w:cs="Arial"/>
          <w:b/>
          <w:bCs/>
          <w:szCs w:val="24"/>
          <w:lang w:eastAsia="es-ES"/>
        </w:rPr>
        <w:t xml:space="preserve"> (SAIMEX)</w:t>
      </w:r>
      <w:r w:rsidRPr="00D943A1">
        <w:rPr>
          <w:rFonts w:eastAsiaTheme="minorEastAsia" w:cs="Arial"/>
          <w:szCs w:val="24"/>
          <w:lang w:eastAsia="es-ES"/>
        </w:rPr>
        <w:t xml:space="preserve"> la presente resolución al Titular de la Unidad de Transparencia del </w:t>
      </w:r>
      <w:r w:rsidRPr="00D943A1">
        <w:rPr>
          <w:rFonts w:eastAsiaTheme="minorEastAsia" w:cs="Arial"/>
          <w:b/>
          <w:szCs w:val="24"/>
          <w:lang w:eastAsia="es-ES"/>
        </w:rPr>
        <w:t>Sujeto Obligado</w:t>
      </w:r>
      <w:r w:rsidRPr="00D943A1">
        <w:rPr>
          <w:rFonts w:eastAsiaTheme="minorEastAsia" w:cs="Arial"/>
          <w:szCs w:val="24"/>
          <w:lang w:eastAsia="es-ES"/>
        </w:rPr>
        <w:t>.</w:t>
      </w:r>
    </w:p>
    <w:p w14:paraId="7A283E37" w14:textId="77777777" w:rsidR="00EF2512" w:rsidRPr="00D943A1" w:rsidRDefault="00EF2512" w:rsidP="00EF2512">
      <w:pPr>
        <w:tabs>
          <w:tab w:val="left" w:pos="8647"/>
        </w:tabs>
        <w:ind w:right="51"/>
        <w:rPr>
          <w:rFonts w:eastAsiaTheme="minorEastAsia" w:cs="Arial"/>
          <w:szCs w:val="24"/>
          <w:lang w:eastAsia="es-ES"/>
        </w:rPr>
      </w:pPr>
    </w:p>
    <w:p w14:paraId="74E7AF6D" w14:textId="68EFDB15" w:rsidR="00EF2512" w:rsidRPr="00D943A1" w:rsidRDefault="00EF2512" w:rsidP="00EF2512">
      <w:pPr>
        <w:rPr>
          <w:rFonts w:eastAsia="Times New Roman" w:cs="Arial"/>
          <w:szCs w:val="24"/>
          <w:lang w:val="es-ES" w:eastAsia="es-ES"/>
        </w:rPr>
      </w:pPr>
      <w:r w:rsidRPr="00D943A1">
        <w:rPr>
          <w:rFonts w:eastAsia="Times New Roman" w:cs="Arial"/>
          <w:b/>
          <w:sz w:val="28"/>
          <w:szCs w:val="24"/>
          <w:lang w:val="es-ES" w:eastAsia="es-ES"/>
        </w:rPr>
        <w:t>TERCERO</w:t>
      </w:r>
      <w:r w:rsidRPr="00D943A1">
        <w:rPr>
          <w:rFonts w:eastAsia="Times New Roman" w:cs="Arial"/>
          <w:b/>
          <w:szCs w:val="24"/>
          <w:lang w:val="es-ES" w:eastAsia="es-ES"/>
        </w:rPr>
        <w:t>.</w:t>
      </w:r>
      <w:r w:rsidRPr="00D943A1">
        <w:rPr>
          <w:rFonts w:eastAsia="Times New Roman" w:cs="Arial"/>
          <w:szCs w:val="24"/>
          <w:lang w:val="es-ES" w:eastAsia="es-ES"/>
        </w:rPr>
        <w:t xml:space="preserve"> </w:t>
      </w:r>
      <w:r w:rsidRPr="00D943A1">
        <w:rPr>
          <w:rFonts w:eastAsia="Times New Roman" w:cs="Arial"/>
          <w:b/>
          <w:szCs w:val="24"/>
          <w:lang w:val="es-ES" w:eastAsia="es-ES"/>
        </w:rPr>
        <w:t>NOTIFÍQUESE</w:t>
      </w:r>
      <w:r w:rsidRPr="00D943A1">
        <w:rPr>
          <w:rFonts w:eastAsia="Times New Roman" w:cs="Arial"/>
          <w:szCs w:val="24"/>
          <w:lang w:val="es-ES" w:eastAsia="es-ES"/>
        </w:rPr>
        <w:t xml:space="preserve"> a través del</w:t>
      </w:r>
      <w:r w:rsidRPr="00D943A1">
        <w:rPr>
          <w:rFonts w:eastAsia="Times New Roman" w:cs="Times New Roman"/>
          <w:szCs w:val="24"/>
          <w:lang w:val="es-ES" w:eastAsia="es-ES"/>
        </w:rPr>
        <w:t xml:space="preserve"> Sistema de Acceso a la Información Mexiquense </w:t>
      </w:r>
      <w:r w:rsidRPr="00D943A1">
        <w:rPr>
          <w:rFonts w:eastAsia="Times New Roman" w:cs="Times New Roman"/>
          <w:b/>
          <w:bCs/>
          <w:szCs w:val="24"/>
          <w:lang w:val="es-ES" w:eastAsia="es-ES"/>
        </w:rPr>
        <w:t>(SAIMEX)</w:t>
      </w:r>
      <w:r w:rsidRPr="00D943A1">
        <w:rPr>
          <w:rFonts w:eastAsia="Times New Roman" w:cs="Arial"/>
          <w:b/>
          <w:bCs/>
          <w:szCs w:val="24"/>
          <w:lang w:val="es-ES" w:eastAsia="es-ES"/>
        </w:rPr>
        <w:t>,</w:t>
      </w:r>
      <w:r w:rsidRPr="00D943A1">
        <w:rPr>
          <w:rFonts w:eastAsia="Times New Roman" w:cs="Arial"/>
          <w:szCs w:val="24"/>
          <w:lang w:val="es-ES" w:eastAsia="es-ES"/>
        </w:rPr>
        <w:t xml:space="preserve"> a </w:t>
      </w:r>
      <w:r w:rsidR="00DE0C63" w:rsidRPr="00D943A1">
        <w:rPr>
          <w:rFonts w:eastAsia="Times New Roman" w:cs="Arial"/>
          <w:b/>
          <w:bCs/>
          <w:szCs w:val="24"/>
          <w:lang w:val="es-ES" w:eastAsia="es-ES"/>
        </w:rPr>
        <w:t>LA</w:t>
      </w:r>
      <w:r w:rsidRPr="00D943A1">
        <w:rPr>
          <w:rFonts w:eastAsia="Times New Roman" w:cs="Arial"/>
          <w:szCs w:val="24"/>
          <w:lang w:val="es-ES" w:eastAsia="es-ES"/>
        </w:rPr>
        <w:t xml:space="preserve"> </w:t>
      </w:r>
      <w:r w:rsidRPr="00D943A1">
        <w:rPr>
          <w:rFonts w:eastAsia="Times New Roman" w:cs="Arial"/>
          <w:b/>
          <w:szCs w:val="24"/>
          <w:lang w:val="es-ES" w:eastAsia="es-ES"/>
        </w:rPr>
        <w:t xml:space="preserve">RECURRENTE </w:t>
      </w:r>
      <w:r w:rsidRPr="00D943A1">
        <w:rPr>
          <w:rFonts w:eastAsia="Times New Roman" w:cs="Arial"/>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F851C7E" w14:textId="77777777" w:rsidR="00363900" w:rsidRPr="00D943A1" w:rsidRDefault="00363900" w:rsidP="00EF2512">
      <w:pPr>
        <w:rPr>
          <w:rFonts w:eastAsia="Times New Roman" w:cs="Arial"/>
          <w:szCs w:val="24"/>
          <w:lang w:val="es-ES" w:eastAsia="es-ES"/>
        </w:rPr>
      </w:pPr>
    </w:p>
    <w:p w14:paraId="2D56534A" w14:textId="31C94E40" w:rsidR="00B95178" w:rsidRPr="00D943A1" w:rsidRDefault="00363900" w:rsidP="00B95178">
      <w:pPr>
        <w:pBdr>
          <w:top w:val="nil"/>
          <w:left w:val="nil"/>
          <w:bottom w:val="nil"/>
          <w:right w:val="nil"/>
          <w:between w:val="nil"/>
        </w:pBdr>
        <w:rPr>
          <w:rFonts w:eastAsia="Palatino Linotype" w:cs="Palatino Linotype"/>
          <w:color w:val="000000"/>
          <w:szCs w:val="24"/>
          <w:lang w:val="es-MX"/>
        </w:rPr>
      </w:pPr>
      <w:r w:rsidRPr="00D943A1">
        <w:rPr>
          <w:rFonts w:eastAsia="Times New Roman" w:cs="Arial"/>
          <w:b/>
          <w:noProof/>
          <w:sz w:val="28"/>
          <w:szCs w:val="24"/>
          <w:lang w:val="es-MX"/>
        </w:rPr>
        <mc:AlternateContent>
          <mc:Choice Requires="wps">
            <w:drawing>
              <wp:anchor distT="0" distB="0" distL="114300" distR="114300" simplePos="0" relativeHeight="251659264" behindDoc="0" locked="0" layoutInCell="1" allowOverlap="1" wp14:anchorId="24683C16" wp14:editId="46ECA50F">
                <wp:simplePos x="0" y="0"/>
                <wp:positionH relativeFrom="column">
                  <wp:posOffset>57061</wp:posOffset>
                </wp:positionH>
                <wp:positionV relativeFrom="paragraph">
                  <wp:posOffset>15742</wp:posOffset>
                </wp:positionV>
                <wp:extent cx="5730949" cy="2934586"/>
                <wp:effectExtent l="0" t="0" r="22225" b="37465"/>
                <wp:wrapNone/>
                <wp:docPr id="3" name="Conector recto 3"/>
                <wp:cNvGraphicFramePr/>
                <a:graphic xmlns:a="http://schemas.openxmlformats.org/drawingml/2006/main">
                  <a:graphicData uri="http://schemas.microsoft.com/office/word/2010/wordprocessingShape">
                    <wps:wsp>
                      <wps:cNvCnPr/>
                      <wps:spPr>
                        <a:xfrm>
                          <a:off x="0" y="0"/>
                          <a:ext cx="5730949" cy="29345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D713E"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5pt" to="455.75pt,2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" strokecolor="#5b9bd5 [3204]" strokeweight=".5pt">
                <v:stroke joinstyle="miter"/>
              </v:line>
            </w:pict>
          </mc:Fallback>
        </mc:AlternateContent>
      </w:r>
    </w:p>
    <w:p w14:paraId="7741D4B7" w14:textId="19FA48D8"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338A74E1" w14:textId="72C71F38"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61B2B414" w14:textId="00C0ED46"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1FB34307" w14:textId="77777777"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3B1F1C44" w14:textId="77777777"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338C2370" w14:textId="77777777" w:rsidR="00EF2512" w:rsidRPr="00D943A1" w:rsidRDefault="00EF2512" w:rsidP="00B95178">
      <w:pPr>
        <w:pBdr>
          <w:top w:val="nil"/>
          <w:left w:val="nil"/>
          <w:bottom w:val="nil"/>
          <w:right w:val="nil"/>
          <w:between w:val="nil"/>
        </w:pBdr>
        <w:rPr>
          <w:rFonts w:eastAsia="Palatino Linotype" w:cs="Palatino Linotype"/>
          <w:color w:val="000000"/>
          <w:szCs w:val="24"/>
          <w:lang w:val="es-MX"/>
        </w:rPr>
      </w:pPr>
    </w:p>
    <w:p w14:paraId="4B09578C" w14:textId="77777777" w:rsidR="00B82E69" w:rsidRPr="00D943A1" w:rsidRDefault="00B82E69" w:rsidP="00B95178">
      <w:pPr>
        <w:pBdr>
          <w:top w:val="nil"/>
          <w:left w:val="nil"/>
          <w:bottom w:val="nil"/>
          <w:right w:val="nil"/>
          <w:between w:val="nil"/>
        </w:pBdr>
        <w:rPr>
          <w:rFonts w:eastAsia="Palatino Linotype" w:cs="Palatino Linotype"/>
          <w:color w:val="000000"/>
          <w:szCs w:val="24"/>
          <w:lang w:val="es-MX"/>
        </w:rPr>
      </w:pPr>
    </w:p>
    <w:p w14:paraId="7149165D" w14:textId="1BEBE573" w:rsidR="00B95178" w:rsidRPr="00D943A1" w:rsidRDefault="00B95178" w:rsidP="00D72B70">
      <w:pPr>
        <w:rPr>
          <w:lang w:val="es-MX"/>
        </w:rPr>
      </w:pPr>
    </w:p>
    <w:p w14:paraId="20573BFF" w14:textId="70C94513" w:rsidR="00A970D5" w:rsidRPr="00D943A1" w:rsidRDefault="00861D35" w:rsidP="000C65DD">
      <w:pPr>
        <w:pBdr>
          <w:top w:val="nil"/>
          <w:left w:val="nil"/>
          <w:bottom w:val="nil"/>
          <w:right w:val="nil"/>
          <w:between w:val="nil"/>
        </w:pBdr>
        <w:contextualSpacing/>
        <w:rPr>
          <w:rFonts w:eastAsia="Palatino Linotype" w:cs="Palatino Linotype"/>
          <w:color w:val="000000"/>
          <w:szCs w:val="24"/>
        </w:rPr>
      </w:pPr>
      <w:r w:rsidRPr="00D943A1">
        <w:rPr>
          <w:rFonts w:eastAsia="Palatino Linotype" w:cs="Palatino Linotype"/>
          <w:color w:val="000000"/>
          <w:szCs w:val="24"/>
        </w:rPr>
        <w:lastRenderedPageBreak/>
        <w:t>ASÍ LO RESUELVE, POR UNANIMIDAD</w:t>
      </w:r>
      <w:r w:rsidR="006922F5" w:rsidRPr="00D943A1">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9B2B89" w:rsidRPr="00D943A1">
        <w:rPr>
          <w:rFonts w:eastAsia="Palatino Linotype" w:cs="Palatino Linotype"/>
          <w:color w:val="000000"/>
          <w:szCs w:val="24"/>
        </w:rPr>
        <w:t xml:space="preserve"> (AUSENCIA JUSTIFICADA)</w:t>
      </w:r>
      <w:r w:rsidR="006922F5" w:rsidRPr="00D943A1">
        <w:rPr>
          <w:rFonts w:eastAsia="Palatino Linotype" w:cs="Palatino Linotype"/>
          <w:color w:val="000000"/>
          <w:szCs w:val="24"/>
        </w:rPr>
        <w:t xml:space="preserve">, SHARON CRISTINA MORALES MARTÍNEZ, LUIS GUSTAVO PARRA NORIEGA Y GUADALUPE RAMÍREZ PEÑA, EN LA </w:t>
      </w:r>
      <w:r w:rsidR="00EF2512" w:rsidRPr="00D943A1">
        <w:rPr>
          <w:rFonts w:eastAsia="Palatino Linotype" w:cs="Palatino Linotype"/>
          <w:color w:val="000000"/>
          <w:szCs w:val="24"/>
        </w:rPr>
        <w:t>TRIGÉSIMA CUARTA</w:t>
      </w:r>
      <w:r w:rsidR="002475C3" w:rsidRPr="00D943A1">
        <w:rPr>
          <w:rFonts w:eastAsia="Palatino Linotype" w:cs="Palatino Linotype"/>
          <w:color w:val="000000"/>
          <w:szCs w:val="24"/>
        </w:rPr>
        <w:t xml:space="preserve"> </w:t>
      </w:r>
      <w:r w:rsidR="006922F5" w:rsidRPr="00D943A1">
        <w:rPr>
          <w:rFonts w:eastAsia="Palatino Linotype" w:cs="Palatino Linotype"/>
          <w:color w:val="000000"/>
          <w:szCs w:val="24"/>
        </w:rPr>
        <w:t>SESIÓN ORDINARIA CELEBRADA EL</w:t>
      </w:r>
      <w:r w:rsidR="000D2E93" w:rsidRPr="00D943A1">
        <w:rPr>
          <w:rFonts w:eastAsia="Palatino Linotype" w:cs="Palatino Linotype"/>
          <w:color w:val="000000"/>
          <w:szCs w:val="24"/>
        </w:rPr>
        <w:t xml:space="preserve"> </w:t>
      </w:r>
      <w:r w:rsidR="00EF2512" w:rsidRPr="00D943A1">
        <w:rPr>
          <w:rFonts w:eastAsia="Palatino Linotype" w:cs="Palatino Linotype"/>
          <w:color w:val="000000"/>
          <w:szCs w:val="24"/>
        </w:rPr>
        <w:t>VEINTE DE SEPTIEMBRE</w:t>
      </w:r>
      <w:r w:rsidR="00697B3A" w:rsidRPr="00D943A1">
        <w:rPr>
          <w:rFonts w:eastAsia="Palatino Linotype" w:cs="Palatino Linotype"/>
          <w:color w:val="000000"/>
          <w:szCs w:val="24"/>
        </w:rPr>
        <w:t xml:space="preserve"> </w:t>
      </w:r>
      <w:r w:rsidR="002475C3" w:rsidRPr="00D943A1">
        <w:rPr>
          <w:rFonts w:eastAsia="Palatino Linotype" w:cs="Palatino Linotype"/>
          <w:color w:val="000000"/>
          <w:szCs w:val="24"/>
        </w:rPr>
        <w:t>DE DOS MIL VEINTITRÉS</w:t>
      </w:r>
      <w:r w:rsidR="006922F5" w:rsidRPr="00D943A1">
        <w:rPr>
          <w:rFonts w:eastAsia="Palatino Linotype" w:cs="Palatino Linotype"/>
          <w:color w:val="000000"/>
          <w:szCs w:val="24"/>
        </w:rPr>
        <w:t>, ANTE EL SECRETARIO TÉCNICO DEL PLENO, ALEXIS TAPIA RAMÍREZ</w:t>
      </w:r>
      <w:r w:rsidR="00A970D5" w:rsidRPr="00D943A1">
        <w:rPr>
          <w:rFonts w:eastAsia="Palatino Linotype" w:cs="Palatino Linotype"/>
          <w:color w:val="000000"/>
          <w:szCs w:val="24"/>
        </w:rPr>
        <w:t>.---------------------------</w:t>
      </w:r>
      <w:r w:rsidR="000C65DD" w:rsidRPr="00D943A1">
        <w:rPr>
          <w:rFonts w:eastAsia="Palatino Linotype" w:cs="Palatino Linotype"/>
          <w:color w:val="000000"/>
          <w:szCs w:val="24"/>
        </w:rPr>
        <w:t>----------------------------------------------------------------</w:t>
      </w:r>
      <w:r w:rsidR="000C65DD" w:rsidRPr="00D943A1">
        <w:rPr>
          <w:rFonts w:eastAsia="Times New Roman" w:cs="Times New Roman"/>
          <w:szCs w:val="24"/>
          <w:lang w:eastAsia="es-ES"/>
        </w:rPr>
        <w:t>----------------------------------------------------------------------------------------------------------------------------------------------------------------------------------------------------------------------------------------------------------------------------------------------------------------------------------------------------------------------------------------------------------------------------------------------------------------------------------------------------------------------------------------------------------------------------------------------------------------------------------------------------------------------------------------------------------------------------------------------------------------------------------------------------------------------------------------------------------------------------------------------------------------------------------------------------------------------------------------------------------------------------------------------------------------------------------------------------------------------------------------------------------------------------------------------------------------------------------------------------------------------------------------------------------------------------------------</w:t>
      </w:r>
      <w:r w:rsidR="002A563A" w:rsidRPr="00D943A1">
        <w:rPr>
          <w:rFonts w:eastAsia="Times New Roman" w:cs="Times New Roman"/>
          <w:szCs w:val="24"/>
          <w:lang w:eastAsia="es-ES"/>
        </w:rPr>
        <w:t>-----------------------------------------------------</w:t>
      </w:r>
      <w:r w:rsidR="000C65DD" w:rsidRPr="00D943A1">
        <w:rPr>
          <w:rFonts w:eastAsia="Times New Roman" w:cs="Times New Roman"/>
          <w:szCs w:val="24"/>
          <w:lang w:eastAsia="es-ES"/>
        </w:rPr>
        <w:t>-----------------------------------------------------------------------------------------------------------------------------------------------------------------------------------------------------------------------------------------------------</w:t>
      </w:r>
      <w:r w:rsidR="009B2B89" w:rsidRPr="00D943A1">
        <w:rPr>
          <w:rFonts w:eastAsia="Times New Roman" w:cs="Times New Roman"/>
          <w:szCs w:val="24"/>
          <w:lang w:eastAsia="es-ES"/>
        </w:rPr>
        <w:t>------------------------------</w:t>
      </w:r>
    </w:p>
    <w:p w14:paraId="4DA57669" w14:textId="75138926" w:rsidR="00A970D5" w:rsidRPr="004B7011" w:rsidRDefault="000D7FF4"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D943A1">
        <w:rPr>
          <w:rFonts w:eastAsia="Palatino Linotype" w:cs="Palatino Linotype"/>
          <w:color w:val="000000"/>
          <w:sz w:val="20"/>
          <w:szCs w:val="20"/>
        </w:rPr>
        <w:t>JMV/CCR/</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5F540" w14:textId="77777777" w:rsidR="00E04A4D" w:rsidRDefault="00E04A4D" w:rsidP="00F2498E">
      <w:pPr>
        <w:spacing w:line="240" w:lineRule="auto"/>
      </w:pPr>
      <w:r>
        <w:separator/>
      </w:r>
    </w:p>
  </w:endnote>
  <w:endnote w:type="continuationSeparator" w:id="0">
    <w:p w14:paraId="64523B04" w14:textId="77777777" w:rsidR="00E04A4D" w:rsidRDefault="00E04A4D" w:rsidP="00F2498E">
      <w:pPr>
        <w:spacing w:line="240" w:lineRule="auto"/>
      </w:pPr>
      <w:r>
        <w:continuationSeparator/>
      </w:r>
    </w:p>
  </w:endnote>
  <w:endnote w:type="continuationNotice" w:id="1">
    <w:p w14:paraId="6E4E7BDB" w14:textId="77777777" w:rsidR="00E04A4D" w:rsidRDefault="00E04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43A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43A1">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43A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43A1">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2FF4" w14:textId="77777777" w:rsidR="00E04A4D" w:rsidRDefault="00E04A4D" w:rsidP="00F2498E">
      <w:pPr>
        <w:spacing w:line="240" w:lineRule="auto"/>
      </w:pPr>
      <w:r>
        <w:separator/>
      </w:r>
    </w:p>
  </w:footnote>
  <w:footnote w:type="continuationSeparator" w:id="0">
    <w:p w14:paraId="75F8B3B3" w14:textId="77777777" w:rsidR="00E04A4D" w:rsidRDefault="00E04A4D" w:rsidP="00F2498E">
      <w:pPr>
        <w:spacing w:line="240" w:lineRule="auto"/>
      </w:pPr>
      <w:r>
        <w:continuationSeparator/>
      </w:r>
    </w:p>
  </w:footnote>
  <w:footnote w:type="continuationNotice" w:id="1">
    <w:p w14:paraId="28E3B6DC" w14:textId="77777777" w:rsidR="00E04A4D" w:rsidRDefault="00E04A4D">
      <w:pPr>
        <w:spacing w:line="240" w:lineRule="auto"/>
      </w:pPr>
    </w:p>
  </w:footnote>
  <w:footnote w:id="2">
    <w:p w14:paraId="480FA1F7" w14:textId="77777777" w:rsidR="000D7FF4" w:rsidRPr="00946E1F" w:rsidRDefault="000D7FF4" w:rsidP="000D7FF4">
      <w:pPr>
        <w:rPr>
          <w:i/>
          <w:sz w:val="20"/>
          <w:szCs w:val="20"/>
        </w:rPr>
      </w:pPr>
      <w:r>
        <w:rPr>
          <w:rStyle w:val="Refdenotaalpie"/>
          <w:rFonts w:eastAsiaTheme="minorEastAsia"/>
        </w:rPr>
        <w:footnoteRef/>
      </w:r>
      <w:r>
        <w:t xml:space="preserve"> </w:t>
      </w:r>
      <w:r w:rsidRPr="00946E1F">
        <w:rPr>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b/>
          <w:bCs/>
          <w:i/>
          <w:sz w:val="20"/>
          <w:szCs w:val="20"/>
        </w:rPr>
        <w:t xml:space="preserve"> </w:t>
      </w:r>
      <w:r w:rsidRPr="00946E1F">
        <w:rPr>
          <w:i/>
          <w:sz w:val="20"/>
          <w:szCs w:val="20"/>
        </w:rPr>
        <w:t>Del examen de compatibilidad de los artículos</w:t>
      </w:r>
      <w:r>
        <w:rPr>
          <w:i/>
          <w:sz w:val="20"/>
          <w:szCs w:val="20"/>
        </w:rPr>
        <w:t xml:space="preserve"> </w:t>
      </w:r>
      <w:hyperlink r:id="rId1" w:history="1">
        <w:r w:rsidRPr="00946E1F">
          <w:rPr>
            <w:rStyle w:val="Hipervnculo"/>
            <w:i/>
            <w:sz w:val="20"/>
            <w:szCs w:val="20"/>
          </w:rPr>
          <w:t>73 y 74 de la Ley de Amparo</w:t>
        </w:r>
      </w:hyperlink>
      <w:r>
        <w:rPr>
          <w:rStyle w:val="apple-converted-space"/>
          <w:i/>
        </w:rPr>
        <w:t xml:space="preserve"> </w:t>
      </w:r>
      <w:r w:rsidRPr="00946E1F">
        <w:rPr>
          <w:i/>
          <w:sz w:val="20"/>
          <w:szCs w:val="20"/>
        </w:rPr>
        <w:t>con el artículo</w:t>
      </w:r>
      <w:r>
        <w:rPr>
          <w:i/>
          <w:sz w:val="20"/>
          <w:szCs w:val="20"/>
        </w:rPr>
        <w:t xml:space="preserve"> </w:t>
      </w:r>
      <w:hyperlink r:id="rId2" w:history="1">
        <w:r w:rsidRPr="00946E1F">
          <w:rPr>
            <w:rStyle w:val="Hipervnculo"/>
            <w:i/>
            <w:sz w:val="20"/>
            <w:szCs w:val="20"/>
          </w:rPr>
          <w:t>25.1 de la Convención Americana sobre Derechos Humanos</w:t>
        </w:r>
      </w:hyperlink>
      <w:r>
        <w:rPr>
          <w:rStyle w:val="apple-converted-space"/>
          <w:i/>
        </w:rPr>
        <w:t xml:space="preserve"> </w:t>
      </w:r>
      <w:r w:rsidRPr="00946E1F">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D943A1">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4A69219" w:rsidR="001D660A" w:rsidRPr="00096248" w:rsidRDefault="00C02A50" w:rsidP="00C02A50">
          <w:pPr>
            <w:spacing w:after="120" w:line="240" w:lineRule="auto"/>
            <w:ind w:right="71"/>
            <w:jc w:val="right"/>
            <w:rPr>
              <w:rFonts w:cs="Arial"/>
              <w:b/>
              <w:szCs w:val="24"/>
            </w:rPr>
          </w:pPr>
          <w:r>
            <w:rPr>
              <w:rFonts w:cs="Arial"/>
              <w:b/>
              <w:bCs/>
              <w:szCs w:val="24"/>
            </w:rPr>
            <w:t>15455</w:t>
          </w:r>
          <w:r w:rsidR="001D660A"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B4607B0" w:rsidR="001D660A" w:rsidRPr="00096248" w:rsidRDefault="00C02A50" w:rsidP="00011C4D">
          <w:pPr>
            <w:spacing w:after="120" w:line="240" w:lineRule="auto"/>
            <w:ind w:left="-81" w:right="71"/>
            <w:jc w:val="right"/>
            <w:rPr>
              <w:rFonts w:cs="Arial"/>
              <w:szCs w:val="24"/>
            </w:rPr>
          </w:pPr>
          <w:r w:rsidRPr="00C02A50">
            <w:rPr>
              <w:rFonts w:cs="Arial"/>
              <w:szCs w:val="24"/>
            </w:rPr>
            <w:t>Comisión de Derechos Humanos del Estado de México</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D943A1">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1074112" w:rsidR="001D660A" w:rsidRPr="00C81ECD" w:rsidRDefault="00C02A50" w:rsidP="00011C4D">
          <w:pPr>
            <w:spacing w:after="120" w:line="240" w:lineRule="auto"/>
            <w:ind w:left="-486" w:right="68" w:firstLine="558"/>
            <w:jc w:val="right"/>
            <w:rPr>
              <w:rFonts w:cs="Arial"/>
              <w:b/>
              <w:szCs w:val="24"/>
            </w:rPr>
          </w:pPr>
          <w:r>
            <w:rPr>
              <w:rFonts w:cs="Arial"/>
              <w:b/>
              <w:bCs/>
              <w:szCs w:val="24"/>
            </w:rPr>
            <w:t>15455/INFOEM/IP/RR/2022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BECE996" w:rsidR="001D660A" w:rsidRPr="00663A37" w:rsidRDefault="000D0F2B" w:rsidP="00657695">
          <w:pPr>
            <w:spacing w:after="120" w:line="240" w:lineRule="auto"/>
            <w:ind w:right="68"/>
            <w:jc w:val="right"/>
            <w:rPr>
              <w:rFonts w:cs="Arial"/>
              <w:szCs w:val="24"/>
            </w:rPr>
          </w:pPr>
          <w:r>
            <w:rPr>
              <w:rFonts w:cs="Arial"/>
              <w:szCs w:val="24"/>
            </w:rPr>
            <w:t>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9DED861" w:rsidR="001D660A" w:rsidRPr="00663A37" w:rsidRDefault="00C02A50" w:rsidP="00011C4D">
          <w:pPr>
            <w:spacing w:after="120" w:line="240" w:lineRule="auto"/>
            <w:ind w:left="-70" w:right="68"/>
            <w:jc w:val="right"/>
            <w:rPr>
              <w:rFonts w:cs="Arial"/>
              <w:szCs w:val="24"/>
            </w:rPr>
          </w:pPr>
          <w:r w:rsidRPr="00C02A50">
            <w:rPr>
              <w:rFonts w:cs="Arial"/>
              <w:szCs w:val="24"/>
            </w:rPr>
            <w:t>Comisión de Derechos Humanos del Estado de México</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D943A1">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37E7B64"/>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0667C3"/>
    <w:multiLevelType w:val="hybridMultilevel"/>
    <w:tmpl w:val="C6BE090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E81EF6"/>
    <w:multiLevelType w:val="hybridMultilevel"/>
    <w:tmpl w:val="F4F0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19"/>
  </w:num>
  <w:num w:numId="5">
    <w:abstractNumId w:val="2"/>
  </w:num>
  <w:num w:numId="6">
    <w:abstractNumId w:val="17"/>
  </w:num>
  <w:num w:numId="7">
    <w:abstractNumId w:val="3"/>
  </w:num>
  <w:num w:numId="8">
    <w:abstractNumId w:val="1"/>
  </w:num>
  <w:num w:numId="9">
    <w:abstractNumId w:val="6"/>
  </w:num>
  <w:num w:numId="10">
    <w:abstractNumId w:val="7"/>
  </w:num>
  <w:num w:numId="11">
    <w:abstractNumId w:val="21"/>
  </w:num>
  <w:num w:numId="12">
    <w:abstractNumId w:val="18"/>
  </w:num>
  <w:num w:numId="13">
    <w:abstractNumId w:val="12"/>
  </w:num>
  <w:num w:numId="14">
    <w:abstractNumId w:val="15"/>
  </w:num>
  <w:num w:numId="15">
    <w:abstractNumId w:val="11"/>
  </w:num>
  <w:num w:numId="16">
    <w:abstractNumId w:val="10"/>
  </w:num>
  <w:num w:numId="17">
    <w:abstractNumId w:val="22"/>
  </w:num>
  <w:num w:numId="18">
    <w:abstractNumId w:val="9"/>
  </w:num>
  <w:num w:numId="19">
    <w:abstractNumId w:val="8"/>
  </w:num>
  <w:num w:numId="20">
    <w:abstractNumId w:val="0"/>
  </w:num>
  <w:num w:numId="21">
    <w:abstractNumId w:val="5"/>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07E93"/>
    <w:rsid w:val="0001033C"/>
    <w:rsid w:val="000114A6"/>
    <w:rsid w:val="0001151F"/>
    <w:rsid w:val="000117AB"/>
    <w:rsid w:val="00011C4D"/>
    <w:rsid w:val="00011CCA"/>
    <w:rsid w:val="000124BD"/>
    <w:rsid w:val="00012909"/>
    <w:rsid w:val="00012BEE"/>
    <w:rsid w:val="00012D78"/>
    <w:rsid w:val="00015487"/>
    <w:rsid w:val="000154CA"/>
    <w:rsid w:val="000171BE"/>
    <w:rsid w:val="000179BC"/>
    <w:rsid w:val="00021122"/>
    <w:rsid w:val="00021165"/>
    <w:rsid w:val="00021A08"/>
    <w:rsid w:val="000221D0"/>
    <w:rsid w:val="00024A6D"/>
    <w:rsid w:val="00025560"/>
    <w:rsid w:val="00026582"/>
    <w:rsid w:val="00031BA3"/>
    <w:rsid w:val="00031ECE"/>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15F"/>
    <w:rsid w:val="000C2D59"/>
    <w:rsid w:val="000C416A"/>
    <w:rsid w:val="000C51AF"/>
    <w:rsid w:val="000C568A"/>
    <w:rsid w:val="000C65DD"/>
    <w:rsid w:val="000C661C"/>
    <w:rsid w:val="000C7472"/>
    <w:rsid w:val="000C7F8F"/>
    <w:rsid w:val="000D0CD3"/>
    <w:rsid w:val="000D0F2B"/>
    <w:rsid w:val="000D14DA"/>
    <w:rsid w:val="000D1DE0"/>
    <w:rsid w:val="000D2C63"/>
    <w:rsid w:val="000D2E93"/>
    <w:rsid w:val="000D3C8A"/>
    <w:rsid w:val="000D5244"/>
    <w:rsid w:val="000D55D2"/>
    <w:rsid w:val="000D5634"/>
    <w:rsid w:val="000D56B9"/>
    <w:rsid w:val="000D5C00"/>
    <w:rsid w:val="000D609A"/>
    <w:rsid w:val="000D663C"/>
    <w:rsid w:val="000D66A1"/>
    <w:rsid w:val="000D772A"/>
    <w:rsid w:val="000D7FF4"/>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25F70"/>
    <w:rsid w:val="00130C18"/>
    <w:rsid w:val="00131C40"/>
    <w:rsid w:val="00131C6C"/>
    <w:rsid w:val="00131F2D"/>
    <w:rsid w:val="001321ED"/>
    <w:rsid w:val="00133F26"/>
    <w:rsid w:val="001360B8"/>
    <w:rsid w:val="001362D3"/>
    <w:rsid w:val="0013657B"/>
    <w:rsid w:val="00136A94"/>
    <w:rsid w:val="0014092A"/>
    <w:rsid w:val="00142D35"/>
    <w:rsid w:val="00143916"/>
    <w:rsid w:val="00143E8A"/>
    <w:rsid w:val="00143FC6"/>
    <w:rsid w:val="00144A6E"/>
    <w:rsid w:val="00144ABF"/>
    <w:rsid w:val="00144BA8"/>
    <w:rsid w:val="00145C14"/>
    <w:rsid w:val="00145C22"/>
    <w:rsid w:val="001464CD"/>
    <w:rsid w:val="00150293"/>
    <w:rsid w:val="001502AD"/>
    <w:rsid w:val="001509C0"/>
    <w:rsid w:val="00151431"/>
    <w:rsid w:val="00151764"/>
    <w:rsid w:val="00151FF5"/>
    <w:rsid w:val="00152B40"/>
    <w:rsid w:val="001530E5"/>
    <w:rsid w:val="00154D1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6E26"/>
    <w:rsid w:val="001809A8"/>
    <w:rsid w:val="00181A9D"/>
    <w:rsid w:val="001823E3"/>
    <w:rsid w:val="00182FC0"/>
    <w:rsid w:val="00183990"/>
    <w:rsid w:val="00183F45"/>
    <w:rsid w:val="00184AEA"/>
    <w:rsid w:val="0018577B"/>
    <w:rsid w:val="00185C61"/>
    <w:rsid w:val="0018685F"/>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D2A"/>
    <w:rsid w:val="001B28D1"/>
    <w:rsid w:val="001B3FD2"/>
    <w:rsid w:val="001B5693"/>
    <w:rsid w:val="001B6C2D"/>
    <w:rsid w:val="001B7147"/>
    <w:rsid w:val="001C087E"/>
    <w:rsid w:val="001C0F32"/>
    <w:rsid w:val="001C1BF4"/>
    <w:rsid w:val="001C2099"/>
    <w:rsid w:val="001C275A"/>
    <w:rsid w:val="001C27A3"/>
    <w:rsid w:val="001C2C72"/>
    <w:rsid w:val="001C3145"/>
    <w:rsid w:val="001C3387"/>
    <w:rsid w:val="001C4CBF"/>
    <w:rsid w:val="001C54A1"/>
    <w:rsid w:val="001C5CD0"/>
    <w:rsid w:val="001C6478"/>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37E7E"/>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7F1"/>
    <w:rsid w:val="002729A0"/>
    <w:rsid w:val="00273E61"/>
    <w:rsid w:val="00273F5F"/>
    <w:rsid w:val="00273F7C"/>
    <w:rsid w:val="0027414F"/>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3A"/>
    <w:rsid w:val="002A564E"/>
    <w:rsid w:val="002A5ADD"/>
    <w:rsid w:val="002A5FDF"/>
    <w:rsid w:val="002A6FCE"/>
    <w:rsid w:val="002A7501"/>
    <w:rsid w:val="002B0EA1"/>
    <w:rsid w:val="002B317E"/>
    <w:rsid w:val="002B3CE2"/>
    <w:rsid w:val="002B40FF"/>
    <w:rsid w:val="002B4285"/>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4F7C"/>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6A"/>
    <w:rsid w:val="00321B9A"/>
    <w:rsid w:val="00324F09"/>
    <w:rsid w:val="00325C6E"/>
    <w:rsid w:val="003265D6"/>
    <w:rsid w:val="003275F8"/>
    <w:rsid w:val="0033070B"/>
    <w:rsid w:val="00331513"/>
    <w:rsid w:val="00332B6D"/>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4C35"/>
    <w:rsid w:val="00355981"/>
    <w:rsid w:val="00360189"/>
    <w:rsid w:val="0036188D"/>
    <w:rsid w:val="00362013"/>
    <w:rsid w:val="00362136"/>
    <w:rsid w:val="003623F5"/>
    <w:rsid w:val="0036336C"/>
    <w:rsid w:val="003637A1"/>
    <w:rsid w:val="00363900"/>
    <w:rsid w:val="003647C3"/>
    <w:rsid w:val="00364C0A"/>
    <w:rsid w:val="003672D9"/>
    <w:rsid w:val="003700D0"/>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707"/>
    <w:rsid w:val="003B5841"/>
    <w:rsid w:val="003B595A"/>
    <w:rsid w:val="003B7208"/>
    <w:rsid w:val="003B7403"/>
    <w:rsid w:val="003B75A5"/>
    <w:rsid w:val="003C1100"/>
    <w:rsid w:val="003C1CFB"/>
    <w:rsid w:val="003C1DE6"/>
    <w:rsid w:val="003C30DA"/>
    <w:rsid w:val="003C341F"/>
    <w:rsid w:val="003C3A1C"/>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126"/>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6937"/>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6977"/>
    <w:rsid w:val="00497395"/>
    <w:rsid w:val="004A0E7A"/>
    <w:rsid w:val="004A2091"/>
    <w:rsid w:val="004A212C"/>
    <w:rsid w:val="004A29FE"/>
    <w:rsid w:val="004A3000"/>
    <w:rsid w:val="004A325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284E"/>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5DC8"/>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1AED"/>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5064"/>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3068"/>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076B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13A"/>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16C5D"/>
    <w:rsid w:val="00720D8F"/>
    <w:rsid w:val="0072149D"/>
    <w:rsid w:val="007214D9"/>
    <w:rsid w:val="00723C6D"/>
    <w:rsid w:val="0072514D"/>
    <w:rsid w:val="00725C5A"/>
    <w:rsid w:val="007263E6"/>
    <w:rsid w:val="007264EA"/>
    <w:rsid w:val="00726B26"/>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300"/>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F19"/>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1C51"/>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702"/>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39BD"/>
    <w:rsid w:val="00895187"/>
    <w:rsid w:val="00895BD3"/>
    <w:rsid w:val="00896EDC"/>
    <w:rsid w:val="00897C75"/>
    <w:rsid w:val="008A06D7"/>
    <w:rsid w:val="008A0C9F"/>
    <w:rsid w:val="008A0F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13"/>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C6919"/>
    <w:rsid w:val="008D0ADE"/>
    <w:rsid w:val="008D0EE2"/>
    <w:rsid w:val="008D29AF"/>
    <w:rsid w:val="008D2D8F"/>
    <w:rsid w:val="008D344B"/>
    <w:rsid w:val="008D346A"/>
    <w:rsid w:val="008D370B"/>
    <w:rsid w:val="008D41FC"/>
    <w:rsid w:val="008D4CC6"/>
    <w:rsid w:val="008D4DD5"/>
    <w:rsid w:val="008D4EC8"/>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638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21"/>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0A5F"/>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64F9"/>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2A43"/>
    <w:rsid w:val="009B2B89"/>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DDD"/>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58F"/>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625"/>
    <w:rsid w:val="00A67EF4"/>
    <w:rsid w:val="00A73D64"/>
    <w:rsid w:val="00A73EF9"/>
    <w:rsid w:val="00A75324"/>
    <w:rsid w:val="00A756C6"/>
    <w:rsid w:val="00A75F9C"/>
    <w:rsid w:val="00A76999"/>
    <w:rsid w:val="00A77200"/>
    <w:rsid w:val="00A80BB6"/>
    <w:rsid w:val="00A80C68"/>
    <w:rsid w:val="00A8147A"/>
    <w:rsid w:val="00A821AF"/>
    <w:rsid w:val="00A82DFC"/>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222"/>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288"/>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2E69"/>
    <w:rsid w:val="00B84A8A"/>
    <w:rsid w:val="00B87C64"/>
    <w:rsid w:val="00B87E47"/>
    <w:rsid w:val="00B91A82"/>
    <w:rsid w:val="00B9279C"/>
    <w:rsid w:val="00B934BE"/>
    <w:rsid w:val="00B93569"/>
    <w:rsid w:val="00B94B37"/>
    <w:rsid w:val="00B95178"/>
    <w:rsid w:val="00B9576A"/>
    <w:rsid w:val="00B962BB"/>
    <w:rsid w:val="00B97658"/>
    <w:rsid w:val="00BA088E"/>
    <w:rsid w:val="00BA152C"/>
    <w:rsid w:val="00BA2861"/>
    <w:rsid w:val="00BA3873"/>
    <w:rsid w:val="00BA59B0"/>
    <w:rsid w:val="00BA636A"/>
    <w:rsid w:val="00BA6707"/>
    <w:rsid w:val="00BA7C0B"/>
    <w:rsid w:val="00BA7C85"/>
    <w:rsid w:val="00BB0F85"/>
    <w:rsid w:val="00BB16D5"/>
    <w:rsid w:val="00BB1940"/>
    <w:rsid w:val="00BB2A3A"/>
    <w:rsid w:val="00BB2E4D"/>
    <w:rsid w:val="00BB5301"/>
    <w:rsid w:val="00BB57E8"/>
    <w:rsid w:val="00BB58C8"/>
    <w:rsid w:val="00BB67A7"/>
    <w:rsid w:val="00BB7349"/>
    <w:rsid w:val="00BC0196"/>
    <w:rsid w:val="00BC0367"/>
    <w:rsid w:val="00BC1186"/>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07C"/>
    <w:rsid w:val="00BE635E"/>
    <w:rsid w:val="00BE6364"/>
    <w:rsid w:val="00BE6D71"/>
    <w:rsid w:val="00BE718D"/>
    <w:rsid w:val="00BE7A12"/>
    <w:rsid w:val="00BE7ADF"/>
    <w:rsid w:val="00BE7CAE"/>
    <w:rsid w:val="00BF5945"/>
    <w:rsid w:val="00BF6362"/>
    <w:rsid w:val="00BF7293"/>
    <w:rsid w:val="00BF7B4F"/>
    <w:rsid w:val="00C006C6"/>
    <w:rsid w:val="00C009C1"/>
    <w:rsid w:val="00C01912"/>
    <w:rsid w:val="00C01B8A"/>
    <w:rsid w:val="00C01E0C"/>
    <w:rsid w:val="00C01FED"/>
    <w:rsid w:val="00C02596"/>
    <w:rsid w:val="00C027B1"/>
    <w:rsid w:val="00C02A50"/>
    <w:rsid w:val="00C0468A"/>
    <w:rsid w:val="00C049A8"/>
    <w:rsid w:val="00C050FD"/>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2B4F"/>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3A1"/>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5995"/>
    <w:rsid w:val="00DD67AC"/>
    <w:rsid w:val="00DD7FD2"/>
    <w:rsid w:val="00DE0C63"/>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6DA5"/>
    <w:rsid w:val="00DF7B01"/>
    <w:rsid w:val="00DF7E4B"/>
    <w:rsid w:val="00E00957"/>
    <w:rsid w:val="00E01DDD"/>
    <w:rsid w:val="00E0349F"/>
    <w:rsid w:val="00E0443E"/>
    <w:rsid w:val="00E0480A"/>
    <w:rsid w:val="00E04A4D"/>
    <w:rsid w:val="00E05F1C"/>
    <w:rsid w:val="00E05FCE"/>
    <w:rsid w:val="00E076EA"/>
    <w:rsid w:val="00E0787C"/>
    <w:rsid w:val="00E120FC"/>
    <w:rsid w:val="00E12D07"/>
    <w:rsid w:val="00E14BA9"/>
    <w:rsid w:val="00E1701F"/>
    <w:rsid w:val="00E2168A"/>
    <w:rsid w:val="00E22FD4"/>
    <w:rsid w:val="00E23A0E"/>
    <w:rsid w:val="00E23EE3"/>
    <w:rsid w:val="00E245A1"/>
    <w:rsid w:val="00E24831"/>
    <w:rsid w:val="00E25059"/>
    <w:rsid w:val="00E25228"/>
    <w:rsid w:val="00E27953"/>
    <w:rsid w:val="00E31001"/>
    <w:rsid w:val="00E314BF"/>
    <w:rsid w:val="00E32893"/>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AF2"/>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3F6"/>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512"/>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2D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1908"/>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7A"/>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character" w:customStyle="1" w:styleId="UnresolvedMention1">
    <w:name w:val="Unresolved Mention1"/>
    <w:basedOn w:val="Fuentedeprrafopredeter"/>
    <w:uiPriority w:val="99"/>
    <w:semiHidden/>
    <w:unhideWhenUsed/>
    <w:rsid w:val="00F128D3"/>
    <w:rPr>
      <w:color w:val="605E5C"/>
      <w:shd w:val="clear" w:color="auto" w:fill="E1DFDD"/>
    </w:rPr>
  </w:style>
  <w:style w:type="paragraph" w:customStyle="1" w:styleId="Citas">
    <w:name w:val="Citas"/>
    <w:basedOn w:val="Normal"/>
    <w:qFormat/>
    <w:rsid w:val="00F602D4"/>
    <w:pPr>
      <w:spacing w:before="240" w:after="160"/>
      <w:ind w:left="851" w:right="851"/>
    </w:pPr>
    <w:rPr>
      <w:rFonts w:eastAsiaTheme="minorHAnsi" w:cs="Arial"/>
      <w:i/>
      <w:sz w:val="22"/>
      <w:lang w:val="es-MX" w:eastAsia="en-US"/>
    </w:rPr>
  </w:style>
  <w:style w:type="paragraph" w:customStyle="1" w:styleId="INFOEM">
    <w:name w:val="INFOEM"/>
    <w:basedOn w:val="Normal"/>
    <w:qFormat/>
    <w:rsid w:val="001362D3"/>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69300046">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B53B-DB64-4B36-BE11-10C93EF4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8232</Words>
  <Characters>45282</Characters>
  <Application>Microsoft Office Word</Application>
  <DocSecurity>0</DocSecurity>
  <Lines>377</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13</cp:revision>
  <cp:lastPrinted>2019-06-13T15:30:00Z</cp:lastPrinted>
  <dcterms:created xsi:type="dcterms:W3CDTF">2023-09-14T00:05:00Z</dcterms:created>
  <dcterms:modified xsi:type="dcterms:W3CDTF">2023-10-11T19:19:00Z</dcterms:modified>
</cp:coreProperties>
</file>