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catorce de junio de dos mil veintitrés. </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b/>
        </w:rPr>
        <w:t>VISTO</w:t>
      </w:r>
      <w:r w:rsidRPr="006259B0">
        <w:rPr>
          <w:rFonts w:ascii="Palatino Linotype" w:eastAsia="Palatino Linotype" w:hAnsi="Palatino Linotype" w:cs="Palatino Linotype"/>
        </w:rPr>
        <w:t xml:space="preserve"> el expediente formado con motivo del recurso de revisión </w:t>
      </w:r>
      <w:r w:rsidRPr="006259B0">
        <w:rPr>
          <w:rFonts w:ascii="Palatino Linotype" w:eastAsia="Palatino Linotype" w:hAnsi="Palatino Linotype" w:cs="Palatino Linotype"/>
          <w:b/>
        </w:rPr>
        <w:t>13664/INFOEM/IP/RR/2022</w:t>
      </w:r>
      <w:r w:rsidRPr="006259B0">
        <w:rPr>
          <w:rFonts w:ascii="Palatino Linotype" w:eastAsia="Palatino Linotype" w:hAnsi="Palatino Linotype" w:cs="Palatino Linotype"/>
        </w:rPr>
        <w:t>, interpuesto por</w:t>
      </w:r>
      <w:r w:rsidRPr="006259B0">
        <w:rPr>
          <w:rFonts w:ascii="Palatino Linotype" w:eastAsia="Palatino Linotype" w:hAnsi="Palatino Linotype" w:cs="Palatino Linotype"/>
          <w:b/>
        </w:rPr>
        <w:t xml:space="preserve"> un particular que no proporcionó nombre o seudónimo</w:t>
      </w:r>
      <w:r w:rsidRPr="006259B0">
        <w:rPr>
          <w:rFonts w:ascii="Palatino Linotype" w:eastAsia="Palatino Linotype" w:hAnsi="Palatino Linotype" w:cs="Palatino Linotype"/>
        </w:rPr>
        <w:t>, en lo sucesivo</w:t>
      </w:r>
      <w:r w:rsidRPr="006259B0">
        <w:rPr>
          <w:rFonts w:ascii="Palatino Linotype" w:eastAsia="Palatino Linotype" w:hAnsi="Palatino Linotype" w:cs="Palatino Linotype"/>
          <w:b/>
        </w:rPr>
        <w:t xml:space="preserve"> </w:t>
      </w:r>
      <w:r w:rsidRPr="006259B0">
        <w:rPr>
          <w:rFonts w:ascii="Palatino Linotype" w:eastAsia="Palatino Linotype" w:hAnsi="Palatino Linotype" w:cs="Palatino Linotype"/>
        </w:rPr>
        <w:t xml:space="preserve">la parte </w:t>
      </w:r>
      <w:r w:rsidRPr="006259B0">
        <w:rPr>
          <w:rFonts w:ascii="Palatino Linotype" w:eastAsia="Palatino Linotype" w:hAnsi="Palatino Linotype" w:cs="Palatino Linotype"/>
          <w:b/>
        </w:rPr>
        <w:t>Recurrente,</w:t>
      </w:r>
      <w:r w:rsidRPr="006259B0">
        <w:rPr>
          <w:rFonts w:ascii="Palatino Linotype" w:eastAsia="Palatino Linotype" w:hAnsi="Palatino Linotype" w:cs="Palatino Linotype"/>
        </w:rPr>
        <w:t xml:space="preserve"> en contra de la respuesta a su solicitud por parte de la </w:t>
      </w:r>
      <w:r w:rsidRPr="006259B0">
        <w:rPr>
          <w:rFonts w:ascii="Palatino Linotype" w:eastAsia="Palatino Linotype" w:hAnsi="Palatino Linotype" w:cs="Palatino Linotype"/>
          <w:b/>
        </w:rPr>
        <w:t xml:space="preserve">Fiscalía General de Justicia del Estado de México, </w:t>
      </w:r>
      <w:r w:rsidRPr="006259B0">
        <w:rPr>
          <w:rFonts w:ascii="Palatino Linotype" w:eastAsia="Palatino Linotype" w:hAnsi="Palatino Linotype" w:cs="Palatino Linotype"/>
        </w:rPr>
        <w:t xml:space="preserve">en lo sucesivo el </w:t>
      </w:r>
      <w:r w:rsidRPr="006259B0">
        <w:rPr>
          <w:rFonts w:ascii="Palatino Linotype" w:eastAsia="Palatino Linotype" w:hAnsi="Palatino Linotype" w:cs="Palatino Linotype"/>
          <w:b/>
        </w:rPr>
        <w:t xml:space="preserve">Sujeto Obligado, </w:t>
      </w:r>
      <w:r w:rsidRPr="006259B0">
        <w:rPr>
          <w:rFonts w:ascii="Palatino Linotype" w:eastAsia="Palatino Linotype" w:hAnsi="Palatino Linotype" w:cs="Palatino Linotype"/>
        </w:rPr>
        <w:t xml:space="preserve">se procede a dictar la presente resolución con base en los siguientes: </w:t>
      </w:r>
    </w:p>
    <w:p w:rsidR="008F7B6A" w:rsidRPr="006259B0" w:rsidRDefault="008434A8" w:rsidP="006259B0">
      <w:pPr>
        <w:spacing w:before="240" w:after="240" w:line="360" w:lineRule="auto"/>
        <w:jc w:val="center"/>
        <w:rPr>
          <w:rFonts w:ascii="Palatino Linotype" w:eastAsia="Palatino Linotype" w:hAnsi="Palatino Linotype" w:cs="Palatino Linotype"/>
          <w:b/>
        </w:rPr>
      </w:pPr>
      <w:r w:rsidRPr="006259B0">
        <w:rPr>
          <w:rFonts w:ascii="Palatino Linotype" w:eastAsia="Palatino Linotype" w:hAnsi="Palatino Linotype" w:cs="Palatino Linotype"/>
          <w:b/>
        </w:rPr>
        <w:t>I. A N T E C E D E N T E S</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b/>
        </w:rPr>
        <w:t>1. Solicitud de acceso a la información.</w:t>
      </w:r>
      <w:r w:rsidRPr="006259B0">
        <w:rPr>
          <w:rFonts w:ascii="Palatino Linotype" w:eastAsia="Palatino Linotype" w:hAnsi="Palatino Linotype" w:cs="Palatino Linotype"/>
        </w:rPr>
        <w:t xml:space="preserve"> Con fecha </w:t>
      </w:r>
      <w:r w:rsidRPr="006259B0">
        <w:rPr>
          <w:rFonts w:ascii="Palatino Linotype" w:eastAsia="Palatino Linotype" w:hAnsi="Palatino Linotype" w:cs="Palatino Linotype"/>
          <w:b/>
        </w:rPr>
        <w:t>trece de julio de septiembre de</w:t>
      </w:r>
      <w:r w:rsidRPr="006259B0">
        <w:rPr>
          <w:rFonts w:ascii="Palatino Linotype" w:eastAsia="Palatino Linotype" w:hAnsi="Palatino Linotype" w:cs="Palatino Linotype"/>
        </w:rPr>
        <w:t xml:space="preserve"> </w:t>
      </w:r>
      <w:r w:rsidRPr="006259B0">
        <w:rPr>
          <w:rFonts w:ascii="Palatino Linotype" w:eastAsia="Palatino Linotype" w:hAnsi="Palatino Linotype" w:cs="Palatino Linotype"/>
          <w:b/>
        </w:rPr>
        <w:t>dos mil veintidós,</w:t>
      </w:r>
      <w:r w:rsidRPr="006259B0">
        <w:rPr>
          <w:rFonts w:ascii="Palatino Linotype" w:eastAsia="Palatino Linotype" w:hAnsi="Palatino Linotype" w:cs="Palatino Linotype"/>
        </w:rPr>
        <w:t xml:space="preserve"> la parte </w:t>
      </w:r>
      <w:r w:rsidRPr="006259B0">
        <w:rPr>
          <w:rFonts w:ascii="Palatino Linotype" w:eastAsia="Palatino Linotype" w:hAnsi="Palatino Linotype" w:cs="Palatino Linotype"/>
          <w:b/>
        </w:rPr>
        <w:t xml:space="preserve">Recurrente </w:t>
      </w:r>
      <w:r w:rsidRPr="006259B0">
        <w:rPr>
          <w:rFonts w:ascii="Palatino Linotype" w:eastAsia="Palatino Linotype" w:hAnsi="Palatino Linotype" w:cs="Palatino Linotype"/>
        </w:rPr>
        <w:t xml:space="preserve">presentó, a través del Sistema de Acceso a la Información Mexiquense, en lo subsecuente el </w:t>
      </w:r>
      <w:r w:rsidRPr="006259B0">
        <w:rPr>
          <w:rFonts w:ascii="Palatino Linotype" w:eastAsia="Palatino Linotype" w:hAnsi="Palatino Linotype" w:cs="Palatino Linotype"/>
          <w:b/>
        </w:rPr>
        <w:t>SAIMEX,</w:t>
      </w:r>
      <w:r w:rsidRPr="006259B0">
        <w:rPr>
          <w:rFonts w:ascii="Palatino Linotype" w:eastAsia="Palatino Linotype" w:hAnsi="Palatino Linotype" w:cs="Palatino Linotype"/>
        </w:rPr>
        <w:t xml:space="preserve"> ante el </w:t>
      </w:r>
      <w:r w:rsidRPr="006259B0">
        <w:rPr>
          <w:rFonts w:ascii="Palatino Linotype" w:eastAsia="Palatino Linotype" w:hAnsi="Palatino Linotype" w:cs="Palatino Linotype"/>
          <w:b/>
        </w:rPr>
        <w:t>Sujeto Obligado</w:t>
      </w:r>
      <w:r w:rsidRPr="006259B0">
        <w:rPr>
          <w:rFonts w:ascii="Palatino Linotype" w:eastAsia="Palatino Linotype" w:hAnsi="Palatino Linotype" w:cs="Palatino Linotype"/>
        </w:rPr>
        <w:t>, la solicitud de acceso a la información pública, a la que se le asignó el número</w:t>
      </w:r>
      <w:r w:rsidRPr="006259B0">
        <w:rPr>
          <w:rFonts w:ascii="Palatino Linotype" w:eastAsia="Palatino Linotype" w:hAnsi="Palatino Linotype" w:cs="Palatino Linotype"/>
          <w:b/>
        </w:rPr>
        <w:t xml:space="preserve"> 00541/FGJ/IP/2022, </w:t>
      </w:r>
      <w:r w:rsidRPr="006259B0">
        <w:rPr>
          <w:rFonts w:ascii="Palatino Linotype" w:eastAsia="Palatino Linotype" w:hAnsi="Palatino Linotype" w:cs="Palatino Linotype"/>
        </w:rPr>
        <w:t xml:space="preserve">mediante la cual requirió la información siguiente: </w:t>
      </w:r>
    </w:p>
    <w:p w:rsidR="008F7B6A" w:rsidRPr="006259B0" w:rsidRDefault="008434A8" w:rsidP="006259B0">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6259B0">
        <w:rPr>
          <w:rFonts w:ascii="Palatino Linotype" w:eastAsia="Palatino Linotype" w:hAnsi="Palatino Linotype" w:cs="Palatino Linotype"/>
          <w:i/>
          <w:sz w:val="22"/>
          <w:szCs w:val="22"/>
        </w:rPr>
        <w:t xml:space="preserve"> “Buenos días, solicito información sobre el número de denuncias interpuestas por negligencia médica en el Estado de México en lo que va de </w:t>
      </w:r>
      <w:proofErr w:type="spellStart"/>
      <w:r w:rsidRPr="006259B0">
        <w:rPr>
          <w:rFonts w:ascii="Palatino Linotype" w:eastAsia="Palatino Linotype" w:hAnsi="Palatino Linotype" w:cs="Palatino Linotype"/>
          <w:i/>
          <w:sz w:val="22"/>
          <w:szCs w:val="22"/>
        </w:rPr>
        <w:t>a</w:t>
      </w:r>
      <w:proofErr w:type="spellEnd"/>
      <w:r w:rsidRPr="006259B0">
        <w:rPr>
          <w:rFonts w:ascii="Palatino Linotype" w:eastAsia="Palatino Linotype" w:hAnsi="Palatino Linotype" w:cs="Palatino Linotype"/>
          <w:i/>
          <w:sz w:val="22"/>
          <w:szCs w:val="22"/>
        </w:rPr>
        <w:t xml:space="preserve"> presente administración (2017-2022), espacio médico donde ocurrió, en qué circunstancias se dio la negligencia (en cirugía, mal diagnóstico, consulta, parto, etc.), situación </w:t>
      </w:r>
      <w:proofErr w:type="gramStart"/>
      <w:r w:rsidRPr="006259B0">
        <w:rPr>
          <w:rFonts w:ascii="Palatino Linotype" w:eastAsia="Palatino Linotype" w:hAnsi="Palatino Linotype" w:cs="Palatino Linotype"/>
          <w:i/>
          <w:sz w:val="22"/>
          <w:szCs w:val="22"/>
        </w:rPr>
        <w:t>del</w:t>
      </w:r>
      <w:proofErr w:type="gramEnd"/>
      <w:r w:rsidRPr="006259B0">
        <w:rPr>
          <w:rFonts w:ascii="Palatino Linotype" w:eastAsia="Palatino Linotype" w:hAnsi="Palatino Linotype" w:cs="Palatino Linotype"/>
          <w:i/>
          <w:sz w:val="22"/>
          <w:szCs w:val="22"/>
        </w:rPr>
        <w:t xml:space="preserve"> paciente agraviado, resultado de la denuncia (si hubo detenidos, sentencias, está en proceso o se </w:t>
      </w:r>
      <w:proofErr w:type="spellStart"/>
      <w:r w:rsidRPr="006259B0">
        <w:rPr>
          <w:rFonts w:ascii="Palatino Linotype" w:eastAsia="Palatino Linotype" w:hAnsi="Palatino Linotype" w:cs="Palatino Linotype"/>
          <w:i/>
          <w:sz w:val="22"/>
          <w:szCs w:val="22"/>
        </w:rPr>
        <w:t>desecho</w:t>
      </w:r>
      <w:proofErr w:type="spellEnd"/>
      <w:r w:rsidRPr="006259B0">
        <w:rPr>
          <w:rFonts w:ascii="Palatino Linotype" w:eastAsia="Palatino Linotype" w:hAnsi="Palatino Linotype" w:cs="Palatino Linotype"/>
          <w:i/>
          <w:sz w:val="22"/>
          <w:szCs w:val="22"/>
        </w:rPr>
        <w:t>).</w:t>
      </w:r>
      <w:r w:rsidRPr="006259B0">
        <w:rPr>
          <w:rFonts w:ascii="Palatino Linotype" w:eastAsia="Palatino Linotype" w:hAnsi="Palatino Linotype" w:cs="Palatino Linotype"/>
          <w:b/>
          <w:i/>
          <w:sz w:val="22"/>
          <w:szCs w:val="22"/>
        </w:rPr>
        <w:t>”</w:t>
      </w:r>
      <w:r w:rsidRPr="006259B0">
        <w:rPr>
          <w:rFonts w:ascii="Palatino Linotype" w:eastAsia="Palatino Linotype" w:hAnsi="Palatino Linotype" w:cs="Palatino Linotype"/>
          <w:i/>
          <w:sz w:val="22"/>
          <w:szCs w:val="22"/>
        </w:rPr>
        <w:t xml:space="preserve"> (</w:t>
      </w:r>
      <w:proofErr w:type="gramStart"/>
      <w:r w:rsidRPr="006259B0">
        <w:rPr>
          <w:rFonts w:ascii="Palatino Linotype" w:eastAsia="Palatino Linotype" w:hAnsi="Palatino Linotype" w:cs="Palatino Linotype"/>
          <w:i/>
          <w:sz w:val="22"/>
          <w:szCs w:val="22"/>
        </w:rPr>
        <w:t>sic</w:t>
      </w:r>
      <w:proofErr w:type="gramEnd"/>
      <w:r w:rsidRPr="006259B0">
        <w:rPr>
          <w:rFonts w:ascii="Palatino Linotype" w:eastAsia="Palatino Linotype" w:hAnsi="Palatino Linotype" w:cs="Palatino Linotype"/>
          <w:i/>
          <w:sz w:val="22"/>
          <w:szCs w:val="22"/>
        </w:rPr>
        <w:t xml:space="preserve">) </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b/>
        </w:rPr>
        <w:t>Modalidad de Entrega:</w:t>
      </w:r>
      <w:r w:rsidRPr="006259B0">
        <w:rPr>
          <w:rFonts w:ascii="Palatino Linotype" w:eastAsia="Palatino Linotype" w:hAnsi="Palatino Linotype" w:cs="Palatino Linotype"/>
        </w:rPr>
        <w:t xml:space="preserve"> a través </w:t>
      </w:r>
      <w:r w:rsidRPr="006259B0">
        <w:rPr>
          <w:rFonts w:ascii="Palatino Linotype" w:eastAsia="Palatino Linotype" w:hAnsi="Palatino Linotype" w:cs="Palatino Linotype"/>
          <w:b/>
        </w:rPr>
        <w:t>de SAIMEX</w:t>
      </w:r>
    </w:p>
    <w:p w:rsidR="008F7B6A" w:rsidRPr="006259B0" w:rsidRDefault="008434A8" w:rsidP="006259B0">
      <w:pPr>
        <w:spacing w:before="240" w:after="240" w:line="360" w:lineRule="auto"/>
        <w:jc w:val="both"/>
        <w:rPr>
          <w:rFonts w:ascii="Palatino Linotype" w:eastAsia="Palatino Linotype" w:hAnsi="Palatino Linotype" w:cs="Palatino Linotype"/>
        </w:rPr>
      </w:pPr>
      <w:bookmarkStart w:id="1" w:name="_heading=h.3dy6vkm" w:colFirst="0" w:colLast="0"/>
      <w:bookmarkEnd w:id="1"/>
      <w:r w:rsidRPr="006259B0">
        <w:rPr>
          <w:rFonts w:ascii="Palatino Linotype" w:eastAsia="Palatino Linotype" w:hAnsi="Palatino Linotype" w:cs="Palatino Linotype"/>
          <w:b/>
        </w:rPr>
        <w:lastRenderedPageBreak/>
        <w:t xml:space="preserve">2. Incompetencia Parcial. </w:t>
      </w:r>
      <w:r w:rsidRPr="006259B0">
        <w:rPr>
          <w:rFonts w:ascii="Palatino Linotype" w:eastAsia="Palatino Linotype" w:hAnsi="Palatino Linotype" w:cs="Palatino Linotype"/>
        </w:rPr>
        <w:t>Con fecha</w:t>
      </w:r>
      <w:r w:rsidRPr="006259B0">
        <w:rPr>
          <w:rFonts w:ascii="Palatino Linotype" w:eastAsia="Palatino Linotype" w:hAnsi="Palatino Linotype" w:cs="Palatino Linotype"/>
          <w:b/>
        </w:rPr>
        <w:t xml:space="preserve"> quince de julio de dos mil veintidós</w:t>
      </w:r>
      <w:r w:rsidRPr="006259B0">
        <w:rPr>
          <w:rFonts w:ascii="Palatino Linotype" w:eastAsia="Palatino Linotype" w:hAnsi="Palatino Linotype" w:cs="Palatino Linotype"/>
        </w:rPr>
        <w:t xml:space="preserve">, el </w:t>
      </w:r>
      <w:r w:rsidRPr="006259B0">
        <w:rPr>
          <w:rFonts w:ascii="Palatino Linotype" w:eastAsia="Palatino Linotype" w:hAnsi="Palatino Linotype" w:cs="Palatino Linotype"/>
          <w:b/>
        </w:rPr>
        <w:t xml:space="preserve">Sujeto Obligado </w:t>
      </w:r>
      <w:r w:rsidRPr="006259B0">
        <w:rPr>
          <w:rFonts w:ascii="Palatino Linotype" w:eastAsia="Palatino Linotype" w:hAnsi="Palatino Linotype" w:cs="Palatino Linotype"/>
        </w:rPr>
        <w:t xml:space="preserve">notificó a la persona solicitante la incompetencia parcial para atender la solicitud de información, a través del SAIMEX, sustancialmente en los términos siguientes:   </w:t>
      </w:r>
    </w:p>
    <w:p w:rsidR="008F7B6A" w:rsidRPr="006259B0" w:rsidRDefault="008434A8" w:rsidP="006259B0">
      <w:pPr>
        <w:spacing w:before="240" w:after="240"/>
        <w:ind w:left="851" w:right="902"/>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i/>
          <w:sz w:val="22"/>
          <w:szCs w:val="22"/>
        </w:rPr>
        <w:t>“…Incompetencia de sujeto obligado, procede orientación por notificar (Art. 167)...” (</w:t>
      </w:r>
      <w:proofErr w:type="gramStart"/>
      <w:r w:rsidRPr="006259B0">
        <w:rPr>
          <w:rFonts w:ascii="Palatino Linotype" w:eastAsia="Palatino Linotype" w:hAnsi="Palatino Linotype" w:cs="Palatino Linotype"/>
          <w:i/>
          <w:sz w:val="22"/>
          <w:szCs w:val="22"/>
        </w:rPr>
        <w:t>sic</w:t>
      </w:r>
      <w:proofErr w:type="gramEnd"/>
      <w:r w:rsidRPr="006259B0">
        <w:rPr>
          <w:rFonts w:ascii="Palatino Linotype" w:eastAsia="Palatino Linotype" w:hAnsi="Palatino Linotype" w:cs="Palatino Linotype"/>
          <w:i/>
          <w:sz w:val="22"/>
          <w:szCs w:val="22"/>
        </w:rPr>
        <w:t>)</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El </w:t>
      </w:r>
      <w:r w:rsidRPr="006259B0">
        <w:rPr>
          <w:rFonts w:ascii="Palatino Linotype" w:eastAsia="Palatino Linotype" w:hAnsi="Palatino Linotype" w:cs="Palatino Linotype"/>
          <w:b/>
        </w:rPr>
        <w:t xml:space="preserve">Sujeto Obligado </w:t>
      </w:r>
      <w:r w:rsidRPr="006259B0">
        <w:rPr>
          <w:rFonts w:ascii="Palatino Linotype" w:eastAsia="Palatino Linotype" w:hAnsi="Palatino Linotype" w:cs="Palatino Linotype"/>
        </w:rPr>
        <w:t>adjuntó el oficio número 1444/MAIP/FGJ/2022, de fecha catorce de julio de dos mil veintidós, signado por la Titular de la Unidad de Transparencia, mediante el cual notifica a la persona solicitante la incompetencia parcial para atender los puntos de la solicitud relativos a “</w:t>
      </w:r>
      <w:r w:rsidRPr="006259B0">
        <w:rPr>
          <w:rFonts w:ascii="Palatino Linotype" w:eastAsia="Palatino Linotype" w:hAnsi="Palatino Linotype" w:cs="Palatino Linotype"/>
          <w:i/>
        </w:rPr>
        <w:t xml:space="preserve">situación del paciente agraviado, resultado de la denuncia (...sentencias, está en proceso o se </w:t>
      </w:r>
      <w:proofErr w:type="spellStart"/>
      <w:r w:rsidRPr="006259B0">
        <w:rPr>
          <w:rFonts w:ascii="Palatino Linotype" w:eastAsia="Palatino Linotype" w:hAnsi="Palatino Linotype" w:cs="Palatino Linotype"/>
          <w:i/>
        </w:rPr>
        <w:t>desecho</w:t>
      </w:r>
      <w:proofErr w:type="spellEnd"/>
      <w:r w:rsidRPr="006259B0">
        <w:rPr>
          <w:rFonts w:ascii="Palatino Linotype" w:eastAsia="Palatino Linotype" w:hAnsi="Palatino Linotype" w:cs="Palatino Linotype"/>
          <w:i/>
        </w:rPr>
        <w:t>)</w:t>
      </w:r>
      <w:r w:rsidRPr="006259B0">
        <w:rPr>
          <w:rFonts w:ascii="Palatino Linotype" w:eastAsia="Palatino Linotype" w:hAnsi="Palatino Linotype" w:cs="Palatino Linotype"/>
        </w:rPr>
        <w:t xml:space="preserve">” </w:t>
      </w:r>
      <w:r w:rsidRPr="006259B0">
        <w:rPr>
          <w:rFonts w:ascii="Palatino Linotype" w:eastAsia="Palatino Linotype" w:hAnsi="Palatino Linotype" w:cs="Palatino Linotype"/>
          <w:i/>
        </w:rPr>
        <w:t xml:space="preserve">(sic) </w:t>
      </w:r>
      <w:r w:rsidRPr="006259B0">
        <w:rPr>
          <w:rFonts w:ascii="Palatino Linotype" w:eastAsia="Palatino Linotype" w:hAnsi="Palatino Linotype" w:cs="Palatino Linotype"/>
        </w:rPr>
        <w:t>argumentando que dentro de las atribuciones del Sujeto Obligado, establecidas en el artículo 10 de la Ley de la Fiscalía General de Justicia del Estado de México, no se encuentra la de generar o poseer información solicitada, toda vez que la Fiscalía es un órgano público autónomo, dotado de personalidad jurídica y patrimonio propio con autonomía presupuestal, técnica y de gestión, con capacidad para decidir sobre el ejercicio de su presupuesto, así como de los órganos que la  integran, para el despacho de los asuntos del Ministerio Público, la Policía de Investigación y a los Servicios Periciales que le confieren la Constitución Política de los Estados Unidos Mexicanos, la Constitución Política del Estado Libre y Soberano de México, y de las demás disposiciones jurídicas aplicables; por lo que con fundamento en el artículo 167 de la Ley de Transparencia de la entidad, le orientó para que dirija su solicitud al Poder Judicial, al considerar que tiene dentro de sus funciones y atribuciones, las de contar con la información que es de su interés.</w:t>
      </w:r>
    </w:p>
    <w:p w:rsidR="008F7B6A" w:rsidRPr="006259B0" w:rsidRDefault="008434A8" w:rsidP="006259B0">
      <w:pPr>
        <w:spacing w:before="240" w:after="240" w:line="360" w:lineRule="auto"/>
        <w:jc w:val="both"/>
        <w:rPr>
          <w:rFonts w:ascii="Palatino Linotype" w:eastAsia="Palatino Linotype" w:hAnsi="Palatino Linotype" w:cs="Palatino Linotype"/>
          <w:b/>
        </w:rPr>
      </w:pPr>
      <w:r w:rsidRPr="006259B0">
        <w:rPr>
          <w:rFonts w:ascii="Palatino Linotype" w:eastAsia="Palatino Linotype" w:hAnsi="Palatino Linotype" w:cs="Palatino Linotype"/>
          <w:b/>
        </w:rPr>
        <w:lastRenderedPageBreak/>
        <w:t xml:space="preserve">3. Respuesta. </w:t>
      </w:r>
      <w:r w:rsidRPr="006259B0">
        <w:rPr>
          <w:rFonts w:ascii="Palatino Linotype" w:eastAsia="Palatino Linotype" w:hAnsi="Palatino Linotype" w:cs="Palatino Linotype"/>
        </w:rPr>
        <w:t>Con fecha</w:t>
      </w:r>
      <w:r w:rsidRPr="006259B0">
        <w:rPr>
          <w:rFonts w:ascii="Palatino Linotype" w:eastAsia="Palatino Linotype" w:hAnsi="Palatino Linotype" w:cs="Palatino Linotype"/>
          <w:b/>
        </w:rPr>
        <w:t xml:space="preserve"> diez de agosto de dos mil veintidós</w:t>
      </w:r>
      <w:r w:rsidRPr="006259B0">
        <w:rPr>
          <w:rFonts w:ascii="Palatino Linotype" w:eastAsia="Palatino Linotype" w:hAnsi="Palatino Linotype" w:cs="Palatino Linotype"/>
        </w:rPr>
        <w:t xml:space="preserve">, el </w:t>
      </w:r>
      <w:r w:rsidRPr="006259B0">
        <w:rPr>
          <w:rFonts w:ascii="Palatino Linotype" w:eastAsia="Palatino Linotype" w:hAnsi="Palatino Linotype" w:cs="Palatino Linotype"/>
          <w:b/>
        </w:rPr>
        <w:t xml:space="preserve">Sujeto Obligado </w:t>
      </w:r>
      <w:r w:rsidRPr="006259B0">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8F7B6A" w:rsidRPr="006259B0" w:rsidRDefault="008434A8" w:rsidP="006259B0">
      <w:pPr>
        <w:spacing w:before="240" w:after="240"/>
        <w:ind w:left="851" w:right="902"/>
        <w:jc w:val="both"/>
        <w:rPr>
          <w:rFonts w:ascii="Palatino Linotype" w:eastAsia="Palatino Linotype" w:hAnsi="Palatino Linotype" w:cs="Palatino Linotype"/>
          <w:b/>
          <w:i/>
          <w:sz w:val="22"/>
          <w:szCs w:val="22"/>
        </w:rPr>
      </w:pPr>
      <w:r w:rsidRPr="006259B0">
        <w:rPr>
          <w:rFonts w:ascii="Palatino Linotype" w:eastAsia="Palatino Linotype" w:hAnsi="Palatino Linotype" w:cs="Palatino Linotype"/>
          <w:i/>
          <w:sz w:val="22"/>
          <w:szCs w:val="22"/>
        </w:rPr>
        <w:t>“…SE ANEXA RESPUESTA...” (</w:t>
      </w:r>
      <w:proofErr w:type="gramStart"/>
      <w:r w:rsidRPr="006259B0">
        <w:rPr>
          <w:rFonts w:ascii="Palatino Linotype" w:eastAsia="Palatino Linotype" w:hAnsi="Palatino Linotype" w:cs="Palatino Linotype"/>
          <w:i/>
          <w:sz w:val="22"/>
          <w:szCs w:val="22"/>
        </w:rPr>
        <w:t>sic</w:t>
      </w:r>
      <w:proofErr w:type="gramEnd"/>
      <w:r w:rsidRPr="006259B0">
        <w:rPr>
          <w:rFonts w:ascii="Palatino Linotype" w:eastAsia="Palatino Linotype" w:hAnsi="Palatino Linotype" w:cs="Palatino Linotype"/>
          <w:i/>
          <w:sz w:val="22"/>
          <w:szCs w:val="22"/>
        </w:rPr>
        <w:t>)</w:t>
      </w:r>
    </w:p>
    <w:p w:rsidR="008F7B6A" w:rsidRPr="006259B0" w:rsidRDefault="008434A8" w:rsidP="006259B0">
      <w:pPr>
        <w:spacing w:before="240" w:after="240" w:line="360" w:lineRule="auto"/>
        <w:ind w:right="49"/>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El </w:t>
      </w:r>
      <w:r w:rsidRPr="006259B0">
        <w:rPr>
          <w:rFonts w:ascii="Palatino Linotype" w:eastAsia="Palatino Linotype" w:hAnsi="Palatino Linotype" w:cs="Palatino Linotype"/>
          <w:b/>
        </w:rPr>
        <w:t>Sujeto Obligado</w:t>
      </w:r>
      <w:r w:rsidRPr="006259B0">
        <w:rPr>
          <w:rFonts w:ascii="Palatino Linotype" w:eastAsia="Palatino Linotype" w:hAnsi="Palatino Linotype" w:cs="Palatino Linotype"/>
        </w:rPr>
        <w:t xml:space="preserve"> adjuntó el oficio número 1599/MAIP/FGJ/2022 de fecha diez de agosto de dos mil veintidós, signado por la Titular de la Unidad de Transparencia, mediante el cual hace del conocimiento de la persona solicitante que la solicitud fue turnada al área competente de la Fiscalía General de Justicia del Estado de México, que conforme a sus facultades y atribuciones pudiese contar con lo solicitado, en tal sentido la Directora General de Información, Planeación, Programación y Evaluación informó que no se procesa la información como requiere la persona solicitante, y la Institución no se encuentra obligada a generarla, de conformidad con los artículos 12 y 24 de la Ley de Transparencia y Acceso a la Información Pública del Estado de México y Municipios.</w:t>
      </w:r>
    </w:p>
    <w:p w:rsidR="008F7B6A" w:rsidRPr="006259B0" w:rsidRDefault="008434A8" w:rsidP="006259B0">
      <w:pPr>
        <w:spacing w:before="240" w:after="240" w:line="360" w:lineRule="auto"/>
        <w:ind w:right="49"/>
        <w:jc w:val="both"/>
        <w:rPr>
          <w:rFonts w:ascii="Palatino Linotype" w:eastAsia="Palatino Linotype" w:hAnsi="Palatino Linotype" w:cs="Palatino Linotype"/>
        </w:rPr>
      </w:pPr>
      <w:r w:rsidRPr="006259B0">
        <w:rPr>
          <w:rFonts w:ascii="Palatino Linotype" w:eastAsia="Palatino Linotype" w:hAnsi="Palatino Linotype" w:cs="Palatino Linotype"/>
          <w:b/>
        </w:rPr>
        <w:t xml:space="preserve">4. Interposición del recurso de revisión. </w:t>
      </w:r>
      <w:r w:rsidRPr="006259B0">
        <w:rPr>
          <w:rFonts w:ascii="Palatino Linotype" w:eastAsia="Palatino Linotype" w:hAnsi="Palatino Linotype" w:cs="Palatino Linotype"/>
        </w:rPr>
        <w:t xml:space="preserve">Inconforme con los términos de la respuesta emitida por parte del </w:t>
      </w:r>
      <w:r w:rsidRPr="006259B0">
        <w:rPr>
          <w:rFonts w:ascii="Palatino Linotype" w:eastAsia="Palatino Linotype" w:hAnsi="Palatino Linotype" w:cs="Palatino Linotype"/>
          <w:b/>
        </w:rPr>
        <w:t>Sujeto Obligado</w:t>
      </w:r>
      <w:r w:rsidRPr="006259B0">
        <w:rPr>
          <w:rFonts w:ascii="Palatino Linotype" w:eastAsia="Palatino Linotype" w:hAnsi="Palatino Linotype" w:cs="Palatino Linotype"/>
        </w:rPr>
        <w:t>,</w:t>
      </w:r>
      <w:r w:rsidRPr="006259B0">
        <w:rPr>
          <w:rFonts w:ascii="Palatino Linotype" w:eastAsia="Palatino Linotype" w:hAnsi="Palatino Linotype" w:cs="Palatino Linotype"/>
          <w:b/>
        </w:rPr>
        <w:t xml:space="preserve"> </w:t>
      </w:r>
      <w:r w:rsidRPr="006259B0">
        <w:rPr>
          <w:rFonts w:ascii="Palatino Linotype" w:eastAsia="Palatino Linotype" w:hAnsi="Palatino Linotype" w:cs="Palatino Linotype"/>
        </w:rPr>
        <w:t xml:space="preserve">el </w:t>
      </w:r>
      <w:r w:rsidRPr="006259B0">
        <w:rPr>
          <w:rFonts w:ascii="Palatino Linotype" w:eastAsia="Palatino Linotype" w:hAnsi="Palatino Linotype" w:cs="Palatino Linotype"/>
          <w:b/>
        </w:rPr>
        <w:t>veinticuatro de agosto de dos mil veintidós,</w:t>
      </w:r>
      <w:r w:rsidRPr="006259B0">
        <w:rPr>
          <w:rFonts w:ascii="Palatino Linotype" w:eastAsia="Palatino Linotype" w:hAnsi="Palatino Linotype" w:cs="Palatino Linotype"/>
        </w:rPr>
        <w:t xml:space="preserve"> la parte </w:t>
      </w:r>
      <w:r w:rsidRPr="006259B0">
        <w:rPr>
          <w:rFonts w:ascii="Palatino Linotype" w:eastAsia="Palatino Linotype" w:hAnsi="Palatino Linotype" w:cs="Palatino Linotype"/>
          <w:b/>
        </w:rPr>
        <w:t>Recurrente</w:t>
      </w:r>
      <w:r w:rsidRPr="006259B0">
        <w:rPr>
          <w:rFonts w:ascii="Palatino Linotype" w:eastAsia="Palatino Linotype" w:hAnsi="Palatino Linotype" w:cs="Palatino Linotype"/>
        </w:rPr>
        <w:t xml:space="preserve"> interpuso el recurso de revisión a través de </w:t>
      </w:r>
      <w:r w:rsidRPr="006259B0">
        <w:rPr>
          <w:rFonts w:ascii="Palatino Linotype" w:eastAsia="Palatino Linotype" w:hAnsi="Palatino Linotype" w:cs="Palatino Linotype"/>
          <w:b/>
        </w:rPr>
        <w:t xml:space="preserve">SAIMEX, </w:t>
      </w:r>
      <w:r w:rsidRPr="006259B0">
        <w:rPr>
          <w:rFonts w:ascii="Palatino Linotype" w:eastAsia="Palatino Linotype" w:hAnsi="Palatino Linotype" w:cs="Palatino Linotype"/>
        </w:rPr>
        <w:t>en donde se manifestó de la siguiente manera:</w:t>
      </w:r>
    </w:p>
    <w:p w:rsidR="008F7B6A" w:rsidRPr="006259B0" w:rsidRDefault="008434A8" w:rsidP="006259B0">
      <w:pPr>
        <w:tabs>
          <w:tab w:val="left" w:pos="2745"/>
        </w:tabs>
        <w:spacing w:before="240" w:after="240" w:line="360" w:lineRule="auto"/>
        <w:jc w:val="both"/>
        <w:rPr>
          <w:rFonts w:ascii="Palatino Linotype" w:eastAsia="Palatino Linotype" w:hAnsi="Palatino Linotype" w:cs="Palatino Linotype"/>
          <w:b/>
        </w:rPr>
      </w:pPr>
      <w:r w:rsidRPr="006259B0">
        <w:rPr>
          <w:rFonts w:ascii="Palatino Linotype" w:eastAsia="Palatino Linotype" w:hAnsi="Palatino Linotype" w:cs="Palatino Linotype"/>
          <w:b/>
        </w:rPr>
        <w:t xml:space="preserve">Acto impugnado: </w:t>
      </w:r>
    </w:p>
    <w:p w:rsidR="008F7B6A" w:rsidRPr="006259B0" w:rsidRDefault="008434A8" w:rsidP="006259B0">
      <w:pPr>
        <w:tabs>
          <w:tab w:val="left" w:pos="2745"/>
        </w:tabs>
        <w:spacing w:before="240" w:after="240"/>
        <w:ind w:left="851" w:right="900"/>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i/>
          <w:sz w:val="22"/>
          <w:szCs w:val="22"/>
        </w:rPr>
        <w:t>“NO entregó la información” (sic)</w:t>
      </w:r>
    </w:p>
    <w:p w:rsidR="008F7B6A" w:rsidRPr="006259B0" w:rsidRDefault="008434A8" w:rsidP="006259B0">
      <w:pPr>
        <w:spacing w:line="360" w:lineRule="auto"/>
        <w:jc w:val="both"/>
        <w:rPr>
          <w:rFonts w:ascii="Palatino Linotype" w:eastAsia="Palatino Linotype" w:hAnsi="Palatino Linotype" w:cs="Palatino Linotype"/>
        </w:rPr>
      </w:pPr>
      <w:bookmarkStart w:id="2" w:name="_heading=h.30j0zll" w:colFirst="0" w:colLast="0"/>
      <w:bookmarkEnd w:id="2"/>
      <w:r w:rsidRPr="006259B0">
        <w:rPr>
          <w:rFonts w:ascii="Palatino Linotype" w:eastAsia="Palatino Linotype" w:hAnsi="Palatino Linotype" w:cs="Palatino Linotype"/>
          <w:b/>
        </w:rPr>
        <w:t>Y Razones o motivos de inconformidad</w:t>
      </w:r>
      <w:r w:rsidRPr="006259B0">
        <w:rPr>
          <w:rFonts w:ascii="Palatino Linotype" w:eastAsia="Palatino Linotype" w:hAnsi="Palatino Linotype" w:cs="Palatino Linotype"/>
        </w:rPr>
        <w:t xml:space="preserve">: </w:t>
      </w:r>
    </w:p>
    <w:p w:rsidR="008F7B6A" w:rsidRPr="006259B0" w:rsidRDefault="008434A8" w:rsidP="006259B0">
      <w:pPr>
        <w:tabs>
          <w:tab w:val="left" w:pos="2745"/>
        </w:tabs>
        <w:spacing w:before="240" w:after="240"/>
        <w:ind w:left="851" w:right="900"/>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i/>
          <w:sz w:val="22"/>
          <w:szCs w:val="22"/>
        </w:rPr>
        <w:lastRenderedPageBreak/>
        <w:t>“Aunque la dependencia no está obligada a procesar la información como se requiere, si está obligado a entregar la documentación en la que se pueda corroborar la información, con lo cual se respeta el derecho de la ciudadanía a la transparencia; sin embargo, la dependencia no entregó ninguna documentación que contenga la información solicitada,” (sic)</w:t>
      </w:r>
    </w:p>
    <w:p w:rsidR="008F7B6A" w:rsidRPr="006259B0" w:rsidRDefault="008434A8" w:rsidP="006259B0">
      <w:pPr>
        <w:spacing w:before="240" w:after="240" w:line="360" w:lineRule="auto"/>
        <w:ind w:right="51"/>
        <w:jc w:val="both"/>
        <w:rPr>
          <w:rFonts w:ascii="Palatino Linotype" w:eastAsia="Palatino Linotype" w:hAnsi="Palatino Linotype" w:cs="Palatino Linotype"/>
        </w:rPr>
      </w:pPr>
      <w:r w:rsidRPr="006259B0">
        <w:rPr>
          <w:rFonts w:ascii="Palatino Linotype" w:eastAsia="Palatino Linotype" w:hAnsi="Palatino Linotype" w:cs="Palatino Linotype"/>
          <w:b/>
        </w:rPr>
        <w:t xml:space="preserve">5. Turno. </w:t>
      </w:r>
      <w:r w:rsidRPr="006259B0">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6259B0">
        <w:rPr>
          <w:rFonts w:ascii="Palatino Linotype" w:eastAsia="Palatino Linotype" w:hAnsi="Palatino Linotype" w:cs="Palatino Linotype"/>
          <w:b/>
        </w:rPr>
        <w:t xml:space="preserve">Guadalupe Ramírez Peña, </w:t>
      </w:r>
      <w:r w:rsidRPr="006259B0">
        <w:rPr>
          <w:rFonts w:ascii="Palatino Linotype" w:eastAsia="Palatino Linotype" w:hAnsi="Palatino Linotype" w:cs="Palatino Linotype"/>
        </w:rPr>
        <w:t xml:space="preserve">a efecto de que analizara sobre su admisión o su </w:t>
      </w:r>
      <w:proofErr w:type="spellStart"/>
      <w:r w:rsidRPr="006259B0">
        <w:rPr>
          <w:rFonts w:ascii="Palatino Linotype" w:eastAsia="Palatino Linotype" w:hAnsi="Palatino Linotype" w:cs="Palatino Linotype"/>
        </w:rPr>
        <w:t>desechamiento</w:t>
      </w:r>
      <w:proofErr w:type="spellEnd"/>
      <w:r w:rsidRPr="006259B0">
        <w:rPr>
          <w:rFonts w:ascii="Palatino Linotype" w:eastAsia="Palatino Linotype" w:hAnsi="Palatino Linotype" w:cs="Palatino Linotype"/>
        </w:rPr>
        <w:t>.</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b/>
        </w:rPr>
        <w:t>6. Admisión del Recurso de revisión.</w:t>
      </w:r>
      <w:r w:rsidRPr="006259B0">
        <w:rPr>
          <w:rFonts w:ascii="Palatino Linotype" w:eastAsia="Palatino Linotype" w:hAnsi="Palatino Linotype" w:cs="Palatino Linotype"/>
        </w:rPr>
        <w:t xml:space="preserve"> Con fecha</w:t>
      </w:r>
      <w:r w:rsidRPr="006259B0">
        <w:rPr>
          <w:rFonts w:ascii="Palatino Linotype" w:eastAsia="Palatino Linotype" w:hAnsi="Palatino Linotype" w:cs="Palatino Linotype"/>
          <w:b/>
        </w:rPr>
        <w:t xml:space="preserve"> veintinueve de agosto de dos mil veintidós, </w:t>
      </w:r>
      <w:r w:rsidRPr="006259B0">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6259B0">
        <w:rPr>
          <w:rFonts w:ascii="Palatino Linotype" w:eastAsia="Palatino Linotype" w:hAnsi="Palatino Linotype" w:cs="Palatino Linotype"/>
          <w:b/>
        </w:rPr>
        <w:t xml:space="preserve">Sujeto Obligado </w:t>
      </w:r>
      <w:r w:rsidRPr="006259B0">
        <w:rPr>
          <w:rFonts w:ascii="Palatino Linotype" w:eastAsia="Palatino Linotype" w:hAnsi="Palatino Linotype" w:cs="Palatino Linotype"/>
        </w:rPr>
        <w:t>presentara su informe justificado.</w:t>
      </w:r>
    </w:p>
    <w:p w:rsidR="008F7B6A" w:rsidRPr="006259B0" w:rsidRDefault="008434A8" w:rsidP="006259B0">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6259B0">
        <w:rPr>
          <w:rFonts w:ascii="Palatino Linotype" w:eastAsia="Palatino Linotype" w:hAnsi="Palatino Linotype" w:cs="Palatino Linotype"/>
          <w:b/>
        </w:rPr>
        <w:t>7. Manifestaciones</w:t>
      </w:r>
      <w:r w:rsidRPr="006259B0">
        <w:rPr>
          <w:rFonts w:ascii="Palatino Linotype" w:eastAsia="Palatino Linotype" w:hAnsi="Palatino Linotype" w:cs="Palatino Linotype"/>
        </w:rPr>
        <w:t xml:space="preserve">. De las constancias que integran el expediente electrónico en que se actúa se advierte que en fecha </w:t>
      </w:r>
      <w:r w:rsidRPr="006259B0">
        <w:rPr>
          <w:rFonts w:ascii="Palatino Linotype" w:eastAsia="Palatino Linotype" w:hAnsi="Palatino Linotype" w:cs="Palatino Linotype"/>
          <w:b/>
        </w:rPr>
        <w:t xml:space="preserve">siete de septiembre de dos mil veintidós, </w:t>
      </w:r>
      <w:r w:rsidRPr="006259B0">
        <w:rPr>
          <w:rFonts w:ascii="Palatino Linotype" w:eastAsia="Palatino Linotype" w:hAnsi="Palatino Linotype" w:cs="Palatino Linotype"/>
        </w:rPr>
        <w:t xml:space="preserve">el </w:t>
      </w:r>
      <w:r w:rsidRPr="006259B0">
        <w:rPr>
          <w:rFonts w:ascii="Palatino Linotype" w:eastAsia="Palatino Linotype" w:hAnsi="Palatino Linotype" w:cs="Palatino Linotype"/>
          <w:b/>
        </w:rPr>
        <w:t>Sujeto Obligado</w:t>
      </w:r>
      <w:r w:rsidRPr="006259B0">
        <w:rPr>
          <w:rFonts w:ascii="Palatino Linotype" w:eastAsia="Palatino Linotype" w:hAnsi="Palatino Linotype" w:cs="Palatino Linotype"/>
        </w:rPr>
        <w:t xml:space="preserve"> remitió su informe justificado, mediante el cual la Titular de la Unidad de Transparencia, con relación a los motivos de inconformidad de la parte </w:t>
      </w:r>
      <w:r w:rsidRPr="006259B0">
        <w:rPr>
          <w:rFonts w:ascii="Palatino Linotype" w:eastAsia="Palatino Linotype" w:hAnsi="Palatino Linotype" w:cs="Palatino Linotype"/>
          <w:b/>
        </w:rPr>
        <w:t>Recurrente</w:t>
      </w:r>
      <w:r w:rsidRPr="006259B0">
        <w:rPr>
          <w:rFonts w:ascii="Palatino Linotype" w:eastAsia="Palatino Linotype" w:hAnsi="Palatino Linotype" w:cs="Palatino Linotype"/>
        </w:rPr>
        <w:t xml:space="preserve">, manifestó que la Fiscalía no fue omisa en entregar la información solicitada, ya que se hizo del conocimiento del particular que lo requerido no se cuenta ni se genera en </w:t>
      </w:r>
      <w:r w:rsidRPr="006259B0">
        <w:rPr>
          <w:rFonts w:ascii="Palatino Linotype" w:eastAsia="Palatino Linotype" w:hAnsi="Palatino Linotype" w:cs="Palatino Linotype"/>
        </w:rPr>
        <w:lastRenderedPageBreak/>
        <w:t>los términos solicitados, argumentando que dentro del catálogo de delitos que contempla el Código Penal del Estado de México no se encuentra estipulado como delito “Negligencia médica”, siendo que las carpetas de investigación pudiesen iniciarse por conductas probablemente constitutivas de delito como lesiones, homicidios y aquellos cometidos en el ejercicio de actividades profesionales o técnicas, los cuales pueden generarse por una intervención médica; sin embargo, estas no se pueden considerar como negligencia médica hasta en tanto no se tenga agotada la investigación correspondiente y se tenga una sentencia firme en la que se afirme tal circunstancia.</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Sin embargo, a fin de dar cumplimiento al principio de máxima publicidad, se requirió a las unidades administrativas competentes, informaran si dentro de sus archivos o bases de datos se cuenta con lo requerido por la persona solicitante, por lo que en el acto, hace del conocimiento que las unidades administrativas a las cuales se les requirió información, después de haber realizado una búsqueda exhaustiva y razonable en sus archivos, localizaron veinticuatro carpetas de investigación mediante las cuales se denunciaron hechos posiblemente constitutivos de delito en relación a lo peticionado, y no así por “negligencia médica”, reiterando que no está considerado como delito, por lo tanto, no se inicia una denuncia bajo los términos referidos.</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Asimismo, agrega que las referidas carpetas se encuentran en proceso de integración, situación que impide proporcionar mayores datos a la persona solicitante, en virtud que de que, para lograr la entrega de lo peticionado, se tendría </w:t>
      </w:r>
      <w:r w:rsidRPr="006259B0">
        <w:rPr>
          <w:rFonts w:ascii="Palatino Linotype" w:eastAsia="Palatino Linotype" w:hAnsi="Palatino Linotype" w:cs="Palatino Linotype"/>
        </w:rPr>
        <w:lastRenderedPageBreak/>
        <w:t>que entrar a cada una de ellas y analizar caso por caso, es decir, generar un documento ad hoc, al no contar con la información al detalle requerido.</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Finalmente, respecto de la orientación realizada por el </w:t>
      </w:r>
      <w:r w:rsidRPr="006259B0">
        <w:rPr>
          <w:rFonts w:ascii="Palatino Linotype" w:eastAsia="Palatino Linotype" w:hAnsi="Palatino Linotype" w:cs="Palatino Linotype"/>
          <w:b/>
        </w:rPr>
        <w:t xml:space="preserve">Sujeto Obligado, </w:t>
      </w:r>
      <w:r w:rsidRPr="006259B0">
        <w:rPr>
          <w:rFonts w:ascii="Palatino Linotype" w:eastAsia="Palatino Linotype" w:hAnsi="Palatino Linotype" w:cs="Palatino Linotype"/>
        </w:rPr>
        <w:t xml:space="preserve">la Titular de la Unidad de Transparencia advirtió que la parte recurrente no manifestó inconformidad alguna, por lo que considera que debe entenderse por consentida, al no impugnar la misma, solicitando en el acto sobreseer el recurso de revisión al considerar que se actualiza el supuesto previsto en el </w:t>
      </w:r>
      <w:proofErr w:type="spellStart"/>
      <w:r w:rsidRPr="006259B0">
        <w:rPr>
          <w:rFonts w:ascii="Palatino Linotype" w:eastAsia="Palatino Linotype" w:hAnsi="Palatino Linotype" w:cs="Palatino Linotype"/>
        </w:rPr>
        <w:t>articulo</w:t>
      </w:r>
      <w:proofErr w:type="spellEnd"/>
      <w:r w:rsidRPr="006259B0">
        <w:rPr>
          <w:rFonts w:ascii="Palatino Linotype" w:eastAsia="Palatino Linotype" w:hAnsi="Palatino Linotype" w:cs="Palatino Linotype"/>
        </w:rPr>
        <w:t xml:space="preserve"> 192, fracción III de la Ley de Transparencia y Acceso a la Información Pública del Estado de México y Municipios.</w:t>
      </w:r>
    </w:p>
    <w:p w:rsidR="008F7B6A" w:rsidRPr="006259B0" w:rsidRDefault="008434A8" w:rsidP="006259B0">
      <w:pPr>
        <w:spacing w:before="240" w:after="240" w:line="360" w:lineRule="auto"/>
        <w:jc w:val="both"/>
        <w:rPr>
          <w:rFonts w:ascii="Palatino Linotype" w:eastAsia="Palatino Linotype" w:hAnsi="Palatino Linotype" w:cs="Palatino Linotype"/>
          <w:b/>
        </w:rPr>
      </w:pPr>
      <w:r w:rsidRPr="006259B0">
        <w:rPr>
          <w:rFonts w:ascii="Palatino Linotype" w:eastAsia="Palatino Linotype" w:hAnsi="Palatino Linotype" w:cs="Palatino Linotype"/>
        </w:rPr>
        <w:t>Una vez analizada la información, se determinó hacerla del conocimiento de la persona solicitante con la finalidad de que manifestara lo que a su derecho estimara conveniente, siendo omisa en ejercer dicha prerrogativa.</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b/>
        </w:rPr>
        <w:t>8. Ampliación del término para resolver</w:t>
      </w:r>
      <w:r w:rsidRPr="006259B0">
        <w:rPr>
          <w:rFonts w:ascii="Palatino Linotype" w:eastAsia="Palatino Linotype" w:hAnsi="Palatino Linotype" w:cs="Palatino Linotype"/>
        </w:rPr>
        <w:t xml:space="preserve">. En fecha </w:t>
      </w:r>
      <w:r w:rsidRPr="006259B0">
        <w:rPr>
          <w:rFonts w:ascii="Palatino Linotype" w:eastAsia="Palatino Linotype" w:hAnsi="Palatino Linotype" w:cs="Palatino Linotype"/>
          <w:b/>
        </w:rPr>
        <w:t>siete de junio de dos mil veintitrés</w:t>
      </w:r>
      <w:r w:rsidRPr="006259B0">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w:t>
      </w:r>
      <w:r w:rsidRPr="006259B0">
        <w:rPr>
          <w:rFonts w:ascii="Palatino Linotype" w:eastAsia="Palatino Linotype" w:hAnsi="Palatino Linotype" w:cs="Palatino Linotype"/>
        </w:rPr>
        <w:lastRenderedPageBreak/>
        <w:t>personal encargado de la proyección de las resoluciones a dichos medios de impugnación.</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8F7B6A" w:rsidRPr="006259B0" w:rsidRDefault="008434A8" w:rsidP="006259B0">
      <w:pPr>
        <w:spacing w:before="240" w:after="240" w:line="360" w:lineRule="auto"/>
        <w:jc w:val="both"/>
        <w:rPr>
          <w:rFonts w:ascii="Palatino Linotype" w:eastAsia="Palatino Linotype" w:hAnsi="Palatino Linotype" w:cs="Palatino Linotype"/>
          <w:strike/>
        </w:rPr>
      </w:pPr>
      <w:r w:rsidRPr="006259B0">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8F7B6A" w:rsidRPr="006259B0" w:rsidRDefault="008434A8" w:rsidP="006259B0">
      <w:pPr>
        <w:numPr>
          <w:ilvl w:val="0"/>
          <w:numId w:val="2"/>
        </w:num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rsidR="008F7B6A" w:rsidRPr="006259B0" w:rsidRDefault="008434A8" w:rsidP="006259B0">
      <w:pPr>
        <w:numPr>
          <w:ilvl w:val="0"/>
          <w:numId w:val="2"/>
        </w:num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Actividad Procesal del interesado. Acciones u omisiones del interesado.</w:t>
      </w:r>
    </w:p>
    <w:p w:rsidR="008F7B6A" w:rsidRPr="006259B0" w:rsidRDefault="008434A8" w:rsidP="006259B0">
      <w:pPr>
        <w:numPr>
          <w:ilvl w:val="0"/>
          <w:numId w:val="2"/>
        </w:num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Conducta de la Autoridad: Las Acciones u omisiones realizadas en el procedimiento. Así como si la autoridad actuó con la debida diligencia.</w:t>
      </w:r>
    </w:p>
    <w:p w:rsidR="008F7B6A" w:rsidRPr="006259B0" w:rsidRDefault="008434A8" w:rsidP="006259B0">
      <w:pPr>
        <w:spacing w:before="240" w:after="240" w:line="360" w:lineRule="auto"/>
        <w:ind w:left="567"/>
        <w:jc w:val="both"/>
        <w:rPr>
          <w:rFonts w:ascii="Palatino Linotype" w:eastAsia="Palatino Linotype" w:hAnsi="Palatino Linotype" w:cs="Palatino Linotype"/>
        </w:rPr>
      </w:pPr>
      <w:r w:rsidRPr="006259B0">
        <w:rPr>
          <w:rFonts w:ascii="Palatino Linotype" w:eastAsia="Palatino Linotype" w:hAnsi="Palatino Linotype" w:cs="Palatino Linotype"/>
        </w:rPr>
        <w:t>d) La afectación generada en la situación jurídica de la persona involucrada en el proceso: Violación a sus derechos humanos.</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8F7B6A" w:rsidRPr="006259B0" w:rsidRDefault="008434A8" w:rsidP="006259B0">
      <w:pPr>
        <w:spacing w:before="240" w:after="240" w:line="360" w:lineRule="auto"/>
        <w:jc w:val="both"/>
        <w:rPr>
          <w:rFonts w:ascii="Palatino Linotype" w:eastAsia="Palatino Linotype" w:hAnsi="Palatino Linotype" w:cs="Palatino Linotype"/>
          <w:b/>
        </w:rPr>
      </w:pPr>
      <w:r w:rsidRPr="006259B0">
        <w:rPr>
          <w:rFonts w:ascii="Palatino Linotype" w:eastAsia="Palatino Linotype" w:hAnsi="Palatino Linotype" w:cs="Palatino Linotype"/>
        </w:rPr>
        <w:t>Argumento que encuentra sustento en la jurisprudencia P</w:t>
      </w:r>
      <w:proofErr w:type="gramStart"/>
      <w:r w:rsidRPr="006259B0">
        <w:rPr>
          <w:rFonts w:ascii="Palatino Linotype" w:eastAsia="Palatino Linotype" w:hAnsi="Palatino Linotype" w:cs="Palatino Linotype"/>
        </w:rPr>
        <w:t>./</w:t>
      </w:r>
      <w:proofErr w:type="gramEnd"/>
      <w:r w:rsidRPr="006259B0">
        <w:rPr>
          <w:rFonts w:ascii="Palatino Linotype" w:eastAsia="Palatino Linotype" w:hAnsi="Palatino Linotype" w:cs="Palatino Linotype"/>
        </w:rPr>
        <w:t xml:space="preserve">J. 32/92 emitida por el Pleno de la Suprema Corte de Justicia de la Nación de rubro </w:t>
      </w:r>
      <w:r w:rsidRPr="006259B0">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6259B0">
        <w:rPr>
          <w:rFonts w:ascii="Palatino Linotype" w:eastAsia="Palatino Linotype" w:hAnsi="Palatino Linotype" w:cs="Palatino Linotype"/>
        </w:rPr>
        <w:t>, visible en la Gaceta del Seminario Judicial de la Federación con el registro digital 205635.</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8F7B6A" w:rsidRPr="006259B0" w:rsidRDefault="008434A8" w:rsidP="006259B0">
      <w:pPr>
        <w:spacing w:before="240" w:after="240"/>
        <w:ind w:left="851" w:right="902"/>
        <w:jc w:val="both"/>
        <w:rPr>
          <w:rFonts w:ascii="Palatino Linotype" w:eastAsia="Palatino Linotype" w:hAnsi="Palatino Linotype" w:cs="Palatino Linotype"/>
          <w:sz w:val="22"/>
          <w:szCs w:val="22"/>
        </w:rPr>
      </w:pPr>
      <w:r w:rsidRPr="006259B0">
        <w:rPr>
          <w:rFonts w:ascii="Palatino Linotype" w:eastAsia="Palatino Linotype" w:hAnsi="Palatino Linotype" w:cs="Palatino Linotype"/>
        </w:rPr>
        <w:t xml:space="preserve"> </w:t>
      </w:r>
      <w:r w:rsidRPr="006259B0">
        <w:rPr>
          <w:rFonts w:ascii="Palatino Linotype" w:eastAsia="Palatino Linotype" w:hAnsi="Palatino Linotype" w:cs="Palatino Linotype"/>
          <w:i/>
          <w:sz w:val="22"/>
          <w:szCs w:val="22"/>
        </w:rPr>
        <w:t>“</w:t>
      </w:r>
      <w:r w:rsidRPr="006259B0">
        <w:rPr>
          <w:rFonts w:ascii="Palatino Linotype" w:eastAsia="Palatino Linotype" w:hAnsi="Palatino Linotype" w:cs="Palatino Linotype"/>
          <w:b/>
          <w:i/>
          <w:sz w:val="22"/>
          <w:szCs w:val="22"/>
        </w:rPr>
        <w:t>PLAZO RAZONABLE PARA RESOLVER. DIMENSIÓN Y EFECTOS DE ESTE CONCEPTO CUANDO SE ADUCE EXCESIVA CARGA DE TRABAJO</w:t>
      </w:r>
      <w:r w:rsidRPr="006259B0">
        <w:rPr>
          <w:rFonts w:ascii="Palatino Linotype" w:eastAsia="Palatino Linotype" w:hAnsi="Palatino Linotype" w:cs="Palatino Linotype"/>
          <w:i/>
          <w:sz w:val="22"/>
          <w:szCs w:val="22"/>
        </w:rPr>
        <w:t>.”</w:t>
      </w:r>
      <w:r w:rsidRPr="006259B0">
        <w:rPr>
          <w:rFonts w:ascii="Palatino Linotype" w:eastAsia="Palatino Linotype" w:hAnsi="Palatino Linotype" w:cs="Palatino Linotype"/>
          <w:sz w:val="22"/>
          <w:szCs w:val="22"/>
        </w:rPr>
        <w:t xml:space="preserve"> consultable en el Seminario Judicial de la Federación y su gaceta, con el registro digital 2002351.</w:t>
      </w:r>
    </w:p>
    <w:p w:rsidR="008F7B6A" w:rsidRPr="006259B0" w:rsidRDefault="008434A8" w:rsidP="006259B0">
      <w:pPr>
        <w:spacing w:before="240" w:after="240"/>
        <w:ind w:left="851" w:right="902"/>
        <w:jc w:val="both"/>
        <w:rPr>
          <w:rFonts w:ascii="Palatino Linotype" w:eastAsia="Palatino Linotype" w:hAnsi="Palatino Linotype" w:cs="Palatino Linotype"/>
          <w:sz w:val="22"/>
          <w:szCs w:val="22"/>
        </w:rPr>
      </w:pPr>
      <w:r w:rsidRPr="006259B0">
        <w:rPr>
          <w:rFonts w:ascii="Palatino Linotype" w:eastAsia="Palatino Linotype" w:hAnsi="Palatino Linotype" w:cs="Palatino Linotype"/>
          <w:i/>
          <w:sz w:val="22"/>
          <w:szCs w:val="22"/>
        </w:rPr>
        <w:t>“</w:t>
      </w:r>
      <w:r w:rsidRPr="006259B0">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6259B0">
        <w:rPr>
          <w:rFonts w:ascii="Palatino Linotype" w:eastAsia="Palatino Linotype" w:hAnsi="Palatino Linotype" w:cs="Palatino Linotype"/>
          <w:i/>
          <w:sz w:val="22"/>
          <w:szCs w:val="22"/>
        </w:rPr>
        <w:t>.”</w:t>
      </w:r>
      <w:r w:rsidRPr="006259B0">
        <w:rPr>
          <w:rFonts w:ascii="Palatino Linotype" w:eastAsia="Palatino Linotype" w:hAnsi="Palatino Linotype" w:cs="Palatino Linotype"/>
          <w:sz w:val="22"/>
          <w:szCs w:val="22"/>
        </w:rPr>
        <w:t>, visible en el Seminario Judicial de la Federación y su gaceta, con el registro digital 2002350.</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b/>
        </w:rPr>
        <w:lastRenderedPageBreak/>
        <w:t xml:space="preserve">9. Cierre de instrucción. </w:t>
      </w:r>
      <w:r w:rsidRPr="006259B0">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6259B0">
        <w:rPr>
          <w:rFonts w:ascii="Palatino Linotype" w:eastAsia="Palatino Linotype" w:hAnsi="Palatino Linotype" w:cs="Palatino Linotype"/>
          <w:b/>
        </w:rPr>
        <w:t xml:space="preserve">nueve  de junio de dos mil veintitrés, </w:t>
      </w:r>
      <w:r w:rsidRPr="006259B0">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8F7B6A" w:rsidRPr="006259B0" w:rsidRDefault="008434A8" w:rsidP="006259B0">
      <w:pPr>
        <w:widowControl w:val="0"/>
        <w:spacing w:before="240" w:after="240" w:line="360" w:lineRule="auto"/>
        <w:jc w:val="center"/>
        <w:rPr>
          <w:rFonts w:ascii="Palatino Linotype" w:eastAsia="Palatino Linotype" w:hAnsi="Palatino Linotype" w:cs="Palatino Linotype"/>
          <w:b/>
        </w:rPr>
      </w:pPr>
      <w:r w:rsidRPr="006259B0">
        <w:rPr>
          <w:rFonts w:ascii="Palatino Linotype" w:eastAsia="Palatino Linotype" w:hAnsi="Palatino Linotype" w:cs="Palatino Linotype"/>
          <w:b/>
        </w:rPr>
        <w:t>II. C O N S I D E R A N D O S</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b/>
        </w:rPr>
        <w:t>Primero. Competencia.</w:t>
      </w:r>
      <w:r w:rsidRPr="006259B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8F7B6A" w:rsidRPr="006259B0" w:rsidRDefault="008434A8" w:rsidP="006259B0">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6259B0">
        <w:rPr>
          <w:rFonts w:ascii="Palatino Linotype" w:eastAsia="Palatino Linotype" w:hAnsi="Palatino Linotype" w:cs="Palatino Linotype"/>
          <w:b/>
        </w:rPr>
        <w:t xml:space="preserve">Segundo. Oportunidad y </w:t>
      </w:r>
      <w:proofErr w:type="spellStart"/>
      <w:r w:rsidRPr="006259B0">
        <w:rPr>
          <w:rFonts w:ascii="Palatino Linotype" w:eastAsia="Palatino Linotype" w:hAnsi="Palatino Linotype" w:cs="Palatino Linotype"/>
          <w:b/>
        </w:rPr>
        <w:t>Procedibilidad</w:t>
      </w:r>
      <w:proofErr w:type="spellEnd"/>
      <w:r w:rsidRPr="006259B0">
        <w:rPr>
          <w:rFonts w:ascii="Palatino Linotype" w:eastAsia="Palatino Linotype" w:hAnsi="Palatino Linotype" w:cs="Palatino Linotype"/>
          <w:b/>
        </w:rPr>
        <w:t xml:space="preserve"> del Recurso de Revisión</w:t>
      </w:r>
      <w:r w:rsidRPr="006259B0">
        <w:rPr>
          <w:rFonts w:ascii="Palatino Linotype" w:eastAsia="Palatino Linotype" w:hAnsi="Palatino Linotype" w:cs="Palatino Linotype"/>
        </w:rPr>
        <w:t xml:space="preserve">. Previo al estudio del fondo del asunto, se procede a analizar los requisitos de oportunidad y </w:t>
      </w:r>
      <w:proofErr w:type="spellStart"/>
      <w:r w:rsidRPr="006259B0">
        <w:rPr>
          <w:rFonts w:ascii="Palatino Linotype" w:eastAsia="Palatino Linotype" w:hAnsi="Palatino Linotype" w:cs="Palatino Linotype"/>
        </w:rPr>
        <w:lastRenderedPageBreak/>
        <w:t>procedibilidad</w:t>
      </w:r>
      <w:proofErr w:type="spellEnd"/>
      <w:r w:rsidRPr="006259B0">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6259B0">
        <w:rPr>
          <w:rFonts w:ascii="Palatino Linotype" w:eastAsia="Palatino Linotype" w:hAnsi="Palatino Linotype" w:cs="Palatino Linotype"/>
          <w:b/>
        </w:rPr>
        <w:t xml:space="preserve">Sujeto Obligado </w:t>
      </w:r>
      <w:r w:rsidRPr="006259B0">
        <w:rPr>
          <w:rFonts w:ascii="Palatino Linotype" w:eastAsia="Palatino Linotype" w:hAnsi="Palatino Linotype" w:cs="Palatino Linotype"/>
        </w:rPr>
        <w:t xml:space="preserve">remitió la respuesta a la solicitud de información el día </w:t>
      </w:r>
      <w:r w:rsidRPr="006259B0">
        <w:rPr>
          <w:rFonts w:ascii="Palatino Linotype" w:eastAsia="Palatino Linotype" w:hAnsi="Palatino Linotype" w:cs="Palatino Linotype"/>
          <w:b/>
        </w:rPr>
        <w:t xml:space="preserve">diez de agosto de dos mil veintidós, </w:t>
      </w:r>
      <w:r w:rsidRPr="006259B0">
        <w:rPr>
          <w:rFonts w:ascii="Palatino Linotype" w:eastAsia="Palatino Linotype" w:hAnsi="Palatino Linotype" w:cs="Palatino Linotype"/>
        </w:rPr>
        <w:t xml:space="preserve">mientras que el recurso de revisión interpuesto por la parte </w:t>
      </w:r>
      <w:r w:rsidRPr="006259B0">
        <w:rPr>
          <w:rFonts w:ascii="Palatino Linotype" w:eastAsia="Palatino Linotype" w:hAnsi="Palatino Linotype" w:cs="Palatino Linotype"/>
          <w:b/>
        </w:rPr>
        <w:t>Recurrente</w:t>
      </w:r>
      <w:r w:rsidRPr="006259B0">
        <w:rPr>
          <w:rFonts w:ascii="Palatino Linotype" w:eastAsia="Palatino Linotype" w:hAnsi="Palatino Linotype" w:cs="Palatino Linotype"/>
        </w:rPr>
        <w:t xml:space="preserve">, se tuvo por presentado el día </w:t>
      </w:r>
      <w:r w:rsidRPr="006259B0">
        <w:rPr>
          <w:rFonts w:ascii="Palatino Linotype" w:eastAsia="Palatino Linotype" w:hAnsi="Palatino Linotype" w:cs="Palatino Linotype"/>
          <w:b/>
        </w:rPr>
        <w:t>veinticuatro de agosto de dos mil veintidós</w:t>
      </w:r>
      <w:r w:rsidRPr="006259B0">
        <w:rPr>
          <w:rFonts w:ascii="Palatino Linotype" w:eastAsia="Palatino Linotype" w:hAnsi="Palatino Linotype" w:cs="Palatino Linotype"/>
        </w:rPr>
        <w:t>, esto es, al décimo día hábil en que tuvo conocimiento de la respuesta impugnada.</w:t>
      </w:r>
    </w:p>
    <w:p w:rsidR="008F7B6A" w:rsidRPr="006259B0" w:rsidRDefault="008434A8" w:rsidP="006259B0">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6259B0">
        <w:rPr>
          <w:rFonts w:ascii="Palatino Linotype" w:eastAsia="Palatino Linotype" w:hAnsi="Palatino Linotype" w:cs="Palatino Linotype"/>
        </w:rPr>
        <w:t xml:space="preserve">Al mismo tiempo, por cuanto hace a la </w:t>
      </w:r>
      <w:proofErr w:type="spellStart"/>
      <w:r w:rsidRPr="006259B0">
        <w:rPr>
          <w:rFonts w:ascii="Palatino Linotype" w:eastAsia="Palatino Linotype" w:hAnsi="Palatino Linotype" w:cs="Palatino Linotype"/>
        </w:rPr>
        <w:t>procedibilidad</w:t>
      </w:r>
      <w:proofErr w:type="spellEnd"/>
      <w:r w:rsidRPr="006259B0">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A efecto de sustentar lo anterior, es de suma importancia mencionar que si bien la persona solicitante </w:t>
      </w:r>
      <w:r w:rsidRPr="006259B0">
        <w:rPr>
          <w:rFonts w:ascii="Palatino Linotype" w:eastAsia="Palatino Linotype" w:hAnsi="Palatino Linotype" w:cs="Palatino Linotype"/>
          <w:b/>
        </w:rPr>
        <w:t xml:space="preserve">no proporcionó nombre o seudónimo </w:t>
      </w:r>
      <w:r w:rsidRPr="006259B0">
        <w:rPr>
          <w:rFonts w:ascii="Palatino Linotype" w:eastAsia="Palatino Linotype" w:hAnsi="Palatino Linotype" w:cs="Palatino Linotype"/>
        </w:rPr>
        <w:t xml:space="preserve">como se advierte en el detalle de seguimiento del SAIMEX, sin embargo, el no proporcionar un nombre completo no es motivo para archivar la solicitud de acceso a la información pública como concluida, conforme a lo previsto en el artículo 155, penúltimo párrafo de la </w:t>
      </w:r>
      <w:r w:rsidRPr="006259B0">
        <w:rPr>
          <w:rFonts w:ascii="Palatino Linotype" w:eastAsia="Palatino Linotype" w:hAnsi="Palatino Linotype" w:cs="Palatino Linotype"/>
        </w:rPr>
        <w:lastRenderedPageBreak/>
        <w:t>Ley de Transparencia y Acceso a la Información Pública del Estado de México y Municipios que establece lo siguiente:</w:t>
      </w:r>
    </w:p>
    <w:p w:rsidR="008F7B6A" w:rsidRPr="006259B0" w:rsidRDefault="008434A8" w:rsidP="006259B0">
      <w:pPr>
        <w:spacing w:before="120" w:after="120"/>
        <w:ind w:left="851" w:right="902"/>
        <w:jc w:val="both"/>
        <w:rPr>
          <w:rFonts w:ascii="Palatino Linotype" w:eastAsia="Palatino Linotype" w:hAnsi="Palatino Linotype" w:cs="Palatino Linotype"/>
          <w:sz w:val="22"/>
          <w:szCs w:val="22"/>
        </w:rPr>
      </w:pPr>
      <w:r w:rsidRPr="006259B0">
        <w:rPr>
          <w:rFonts w:ascii="Palatino Linotype" w:eastAsia="Palatino Linotype" w:hAnsi="Palatino Linotype" w:cs="Palatino Linotype"/>
          <w:i/>
        </w:rPr>
        <w:t>"</w:t>
      </w:r>
      <w:r w:rsidRPr="006259B0">
        <w:rPr>
          <w:rFonts w:ascii="Palatino Linotype" w:eastAsia="Palatino Linotype" w:hAnsi="Palatino Linotype" w:cs="Palatino Linotype"/>
          <w:b/>
          <w:i/>
          <w:sz w:val="22"/>
          <w:szCs w:val="22"/>
        </w:rPr>
        <w:t>Las solicitudes anónimas</w:t>
      </w:r>
      <w:r w:rsidRPr="006259B0">
        <w:rPr>
          <w:rFonts w:ascii="Palatino Linotype" w:eastAsia="Palatino Linotype" w:hAnsi="Palatino Linotype" w:cs="Palatino Linotype"/>
          <w:i/>
          <w:sz w:val="22"/>
          <w:szCs w:val="22"/>
        </w:rPr>
        <w:t xml:space="preserve">, con nombre incompleto o seudónimo </w:t>
      </w:r>
      <w:r w:rsidRPr="006259B0">
        <w:rPr>
          <w:rFonts w:ascii="Palatino Linotype" w:eastAsia="Palatino Linotype" w:hAnsi="Palatino Linotype" w:cs="Palatino Linotype"/>
          <w:b/>
          <w:i/>
          <w:sz w:val="22"/>
          <w:szCs w:val="22"/>
        </w:rPr>
        <w:t>serán procedentes para su trámite por parte del sujeto obligado ante quien se presente</w:t>
      </w:r>
      <w:r w:rsidRPr="006259B0">
        <w:rPr>
          <w:rFonts w:ascii="Palatino Linotype" w:eastAsia="Palatino Linotype" w:hAnsi="Palatino Linotype" w:cs="Palatino Linotype"/>
          <w:i/>
          <w:sz w:val="22"/>
          <w:szCs w:val="22"/>
        </w:rPr>
        <w:t>. No podrá requerirse información adicional con motivo del nombre proporcionado por el solicitante."</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6259B0">
        <w:rPr>
          <w:rFonts w:ascii="Palatino Linotype" w:eastAsia="Palatino Linotype" w:hAnsi="Palatino Linotype" w:cs="Palatino Linotype"/>
          <w:b/>
        </w:rPr>
        <w:t>Recurrente</w:t>
      </w:r>
      <w:r w:rsidRPr="006259B0">
        <w:rPr>
          <w:rFonts w:ascii="Palatino Linotype" w:eastAsia="Palatino Linotype" w:hAnsi="Palatino Linotype" w:cs="Palatino Linotype"/>
        </w:rPr>
        <w:t>, por lo que, en el presente caso, al haber sido presentado el recurso de revisión vía SAIMEX, dicho requisito resulta innecesario.</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Finalmente, se advierte que resulta procedente la interposición del recurso, según lo manifestado por la parte </w:t>
      </w:r>
      <w:r w:rsidRPr="006259B0">
        <w:rPr>
          <w:rFonts w:ascii="Palatino Linotype" w:eastAsia="Palatino Linotype" w:hAnsi="Palatino Linotype" w:cs="Palatino Linotype"/>
          <w:b/>
        </w:rPr>
        <w:t>Recurrente</w:t>
      </w:r>
      <w:r w:rsidRPr="006259B0">
        <w:rPr>
          <w:rFonts w:ascii="Palatino Linotype" w:eastAsia="Palatino Linotype" w:hAnsi="Palatino Linotype" w:cs="Palatino Linotype"/>
        </w:rPr>
        <w:t xml:space="preserve"> en sus motivos de inconformidad, de acuerdo al artículo 179, fracción I del ordenamiento legal citado, que a la letra dice: </w:t>
      </w:r>
    </w:p>
    <w:p w:rsidR="008F7B6A" w:rsidRPr="006259B0" w:rsidRDefault="008434A8" w:rsidP="006259B0">
      <w:pPr>
        <w:spacing w:before="120" w:after="120"/>
        <w:ind w:left="993" w:right="902"/>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i/>
          <w:sz w:val="22"/>
          <w:szCs w:val="22"/>
        </w:rPr>
        <w:t>“</w:t>
      </w:r>
      <w:r w:rsidRPr="006259B0">
        <w:rPr>
          <w:rFonts w:ascii="Palatino Linotype" w:eastAsia="Palatino Linotype" w:hAnsi="Palatino Linotype" w:cs="Palatino Linotype"/>
          <w:b/>
          <w:i/>
          <w:sz w:val="22"/>
          <w:szCs w:val="22"/>
        </w:rPr>
        <w:t>Artículo 179.</w:t>
      </w:r>
      <w:r w:rsidRPr="006259B0">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8F7B6A" w:rsidRPr="006259B0" w:rsidRDefault="008434A8" w:rsidP="006259B0">
      <w:pPr>
        <w:spacing w:before="120" w:after="120"/>
        <w:ind w:left="1134" w:right="902"/>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 xml:space="preserve">I. </w:t>
      </w:r>
      <w:r w:rsidRPr="006259B0">
        <w:rPr>
          <w:rFonts w:ascii="Palatino Linotype" w:eastAsia="Palatino Linotype" w:hAnsi="Palatino Linotype" w:cs="Palatino Linotype"/>
          <w:i/>
          <w:sz w:val="22"/>
          <w:szCs w:val="22"/>
        </w:rPr>
        <w:t>La negativa a la información solicitada</w:t>
      </w:r>
      <w:r w:rsidRPr="006259B0">
        <w:rPr>
          <w:rFonts w:ascii="Palatino Linotype" w:eastAsia="Palatino Linotype" w:hAnsi="Palatino Linotype" w:cs="Palatino Linotype"/>
          <w:b/>
          <w:i/>
          <w:sz w:val="22"/>
          <w:szCs w:val="22"/>
        </w:rPr>
        <w:t xml:space="preserve">; </w:t>
      </w:r>
    </w:p>
    <w:p w:rsidR="008F7B6A" w:rsidRPr="006259B0" w:rsidRDefault="008434A8" w:rsidP="006259B0">
      <w:pPr>
        <w:spacing w:before="240" w:after="240" w:line="360" w:lineRule="auto"/>
        <w:jc w:val="both"/>
        <w:rPr>
          <w:rFonts w:ascii="Palatino Linotype" w:eastAsia="Palatino Linotype" w:hAnsi="Palatino Linotype" w:cs="Palatino Linotype"/>
          <w:b/>
        </w:rPr>
      </w:pPr>
      <w:r w:rsidRPr="006259B0">
        <w:rPr>
          <w:rFonts w:ascii="Palatino Linotype" w:eastAsia="Palatino Linotype" w:hAnsi="Palatino Linotype" w:cs="Palatino Linotype"/>
          <w:b/>
        </w:rPr>
        <w:t xml:space="preserve">Tercero. Materia de la revisión. </w:t>
      </w:r>
      <w:r w:rsidRPr="006259B0">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6259B0">
        <w:rPr>
          <w:rFonts w:ascii="Palatino Linotype" w:eastAsia="Palatino Linotype" w:hAnsi="Palatino Linotype" w:cs="Palatino Linotype"/>
          <w:b/>
        </w:rPr>
        <w:t xml:space="preserve">verificar si la información proporcionada en respuesta y en informe por el Sujeto Obligado es adecuada y suficiente para satisfacer el derecho de acceso a la </w:t>
      </w:r>
      <w:r w:rsidRPr="006259B0">
        <w:rPr>
          <w:rFonts w:ascii="Palatino Linotype" w:eastAsia="Palatino Linotype" w:hAnsi="Palatino Linotype" w:cs="Palatino Linotype"/>
          <w:b/>
        </w:rPr>
        <w:lastRenderedPageBreak/>
        <w:t xml:space="preserve">información pública </w:t>
      </w:r>
      <w:r w:rsidRPr="006259B0">
        <w:rPr>
          <w:rFonts w:ascii="Palatino Linotype" w:eastAsia="Palatino Linotype" w:hAnsi="Palatino Linotype" w:cs="Palatino Linotype"/>
        </w:rPr>
        <w:t xml:space="preserve">de la parte </w:t>
      </w:r>
      <w:r w:rsidRPr="006259B0">
        <w:rPr>
          <w:rFonts w:ascii="Palatino Linotype" w:eastAsia="Palatino Linotype" w:hAnsi="Palatino Linotype" w:cs="Palatino Linotype"/>
          <w:b/>
        </w:rPr>
        <w:t>Recurrente</w:t>
      </w:r>
      <w:r w:rsidRPr="006259B0">
        <w:rPr>
          <w:rFonts w:ascii="Palatino Linotype" w:eastAsia="Palatino Linotype" w:hAnsi="Palatino Linotype" w:cs="Palatino Linotype"/>
        </w:rPr>
        <w:t>, o en su defecto, en caso de ser procedente, ordenar la entrega de información oportuna.</w:t>
      </w:r>
    </w:p>
    <w:p w:rsidR="008F7B6A" w:rsidRPr="006259B0" w:rsidRDefault="008434A8" w:rsidP="006259B0">
      <w:pPr>
        <w:spacing w:before="240" w:after="240" w:line="360" w:lineRule="auto"/>
        <w:ind w:right="51"/>
        <w:jc w:val="both"/>
        <w:rPr>
          <w:rFonts w:ascii="Palatino Linotype" w:eastAsia="Palatino Linotype" w:hAnsi="Palatino Linotype" w:cs="Palatino Linotype"/>
        </w:rPr>
      </w:pPr>
      <w:bookmarkStart w:id="6" w:name="_heading=h.2et92p0" w:colFirst="0" w:colLast="0"/>
      <w:bookmarkEnd w:id="6"/>
      <w:r w:rsidRPr="006259B0">
        <w:rPr>
          <w:rFonts w:ascii="Palatino Linotype" w:eastAsia="Palatino Linotype" w:hAnsi="Palatino Linotype" w:cs="Palatino Linotype"/>
          <w:b/>
        </w:rPr>
        <w:t xml:space="preserve">Cuarto. Estudio del asunto. </w:t>
      </w:r>
      <w:r w:rsidRPr="006259B0">
        <w:rPr>
          <w:rFonts w:ascii="Palatino Linotype" w:eastAsia="Palatino Linotype" w:hAnsi="Palatino Linotype" w:cs="Palatino Linotype"/>
        </w:rPr>
        <w:t xml:space="preserve">Del análisis de la solicitud de información, motivo del recurso de revisión que ahora se resuelve se advierte que la parte </w:t>
      </w:r>
      <w:r w:rsidRPr="006259B0">
        <w:rPr>
          <w:rFonts w:ascii="Palatino Linotype" w:eastAsia="Palatino Linotype" w:hAnsi="Palatino Linotype" w:cs="Palatino Linotype"/>
          <w:b/>
        </w:rPr>
        <w:t>Recurrente</w:t>
      </w:r>
      <w:r w:rsidRPr="006259B0">
        <w:rPr>
          <w:rFonts w:ascii="Palatino Linotype" w:eastAsia="Palatino Linotype" w:hAnsi="Palatino Linotype" w:cs="Palatino Linotype"/>
        </w:rPr>
        <w:t xml:space="preserve"> requirió al </w:t>
      </w:r>
      <w:r w:rsidRPr="006259B0">
        <w:rPr>
          <w:rFonts w:ascii="Palatino Linotype" w:eastAsia="Palatino Linotype" w:hAnsi="Palatino Linotype" w:cs="Palatino Linotype"/>
          <w:b/>
        </w:rPr>
        <w:t xml:space="preserve">Sujeto Obligado </w:t>
      </w:r>
      <w:r w:rsidRPr="006259B0">
        <w:rPr>
          <w:rFonts w:ascii="Palatino Linotype" w:eastAsia="Palatino Linotype" w:hAnsi="Palatino Linotype" w:cs="Palatino Linotype"/>
        </w:rPr>
        <w:t>le proporcione, información consistente en lo siguiente:</w:t>
      </w:r>
    </w:p>
    <w:p w:rsidR="008F7B6A" w:rsidRPr="006259B0" w:rsidRDefault="008434A8" w:rsidP="006259B0">
      <w:pPr>
        <w:spacing w:before="240" w:after="240" w:line="360" w:lineRule="auto"/>
        <w:ind w:left="426" w:right="49"/>
        <w:jc w:val="both"/>
        <w:rPr>
          <w:rFonts w:ascii="Palatino Linotype" w:eastAsia="Palatino Linotype" w:hAnsi="Palatino Linotype" w:cs="Palatino Linotype"/>
        </w:rPr>
      </w:pPr>
      <w:bookmarkStart w:id="7" w:name="_heading=h.17dp8vu" w:colFirst="0" w:colLast="0"/>
      <w:bookmarkEnd w:id="7"/>
      <w:r w:rsidRPr="006259B0">
        <w:rPr>
          <w:rFonts w:ascii="Palatino Linotype" w:eastAsia="Palatino Linotype" w:hAnsi="Palatino Linotype" w:cs="Palatino Linotype"/>
        </w:rPr>
        <w:t>1. Número de denuncias interpuestas por negligencia médica en el Estado de México en lo que va de la presente administración (2017-2022).</w:t>
      </w:r>
    </w:p>
    <w:p w:rsidR="008F7B6A" w:rsidRPr="006259B0" w:rsidRDefault="008434A8" w:rsidP="006259B0">
      <w:pPr>
        <w:spacing w:before="240" w:after="240" w:line="360" w:lineRule="auto"/>
        <w:ind w:left="426" w:right="49"/>
        <w:jc w:val="both"/>
        <w:rPr>
          <w:rFonts w:ascii="Palatino Linotype" w:eastAsia="Palatino Linotype" w:hAnsi="Palatino Linotype" w:cs="Palatino Linotype"/>
        </w:rPr>
      </w:pPr>
      <w:r w:rsidRPr="006259B0">
        <w:rPr>
          <w:rFonts w:ascii="Palatino Linotype" w:eastAsia="Palatino Linotype" w:hAnsi="Palatino Linotype" w:cs="Palatino Linotype"/>
        </w:rPr>
        <w:t>2. Espacio médico donde ocurrió la negligencia.</w:t>
      </w:r>
    </w:p>
    <w:p w:rsidR="008F7B6A" w:rsidRPr="006259B0" w:rsidRDefault="008434A8" w:rsidP="006259B0">
      <w:pPr>
        <w:spacing w:before="240" w:after="240" w:line="360" w:lineRule="auto"/>
        <w:ind w:left="426" w:right="49"/>
        <w:jc w:val="both"/>
        <w:rPr>
          <w:rFonts w:ascii="Palatino Linotype" w:eastAsia="Palatino Linotype" w:hAnsi="Palatino Linotype" w:cs="Palatino Linotype"/>
        </w:rPr>
      </w:pPr>
      <w:r w:rsidRPr="006259B0">
        <w:rPr>
          <w:rFonts w:ascii="Palatino Linotype" w:eastAsia="Palatino Linotype" w:hAnsi="Palatino Linotype" w:cs="Palatino Linotype"/>
        </w:rPr>
        <w:t>3. Circunstancia en la que se dio la negligencia (en cirugía, mal diagnóstico, consulta, parto, etc.).</w:t>
      </w:r>
    </w:p>
    <w:p w:rsidR="008F7B6A" w:rsidRPr="006259B0" w:rsidRDefault="008434A8" w:rsidP="006259B0">
      <w:pPr>
        <w:spacing w:before="240" w:after="240" w:line="360" w:lineRule="auto"/>
        <w:ind w:left="426" w:right="49"/>
        <w:jc w:val="both"/>
        <w:rPr>
          <w:rFonts w:ascii="Palatino Linotype" w:eastAsia="Palatino Linotype" w:hAnsi="Palatino Linotype" w:cs="Palatino Linotype"/>
        </w:rPr>
      </w:pPr>
      <w:r w:rsidRPr="006259B0">
        <w:rPr>
          <w:rFonts w:ascii="Palatino Linotype" w:eastAsia="Palatino Linotype" w:hAnsi="Palatino Linotype" w:cs="Palatino Linotype"/>
        </w:rPr>
        <w:t>4. Situación del paciente agraviado.</w:t>
      </w:r>
    </w:p>
    <w:p w:rsidR="008F7B6A" w:rsidRPr="006259B0" w:rsidRDefault="008434A8" w:rsidP="006259B0">
      <w:pPr>
        <w:spacing w:before="240" w:after="240" w:line="360" w:lineRule="auto"/>
        <w:ind w:left="426" w:right="49"/>
        <w:jc w:val="both"/>
        <w:rPr>
          <w:rFonts w:ascii="Palatino Linotype" w:eastAsia="Palatino Linotype" w:hAnsi="Palatino Linotype" w:cs="Palatino Linotype"/>
        </w:rPr>
      </w:pPr>
      <w:r w:rsidRPr="006259B0">
        <w:rPr>
          <w:rFonts w:ascii="Palatino Linotype" w:eastAsia="Palatino Linotype" w:hAnsi="Palatino Linotype" w:cs="Palatino Linotype"/>
        </w:rPr>
        <w:t>5. Resultado de la denuncia (si hubo detenidos, sentencias, está en proceso o se desechó).</w:t>
      </w:r>
    </w:p>
    <w:p w:rsidR="008F7B6A" w:rsidRPr="006259B0" w:rsidRDefault="008434A8" w:rsidP="006259B0">
      <w:pPr>
        <w:spacing w:before="240" w:after="240" w:line="360" w:lineRule="auto"/>
        <w:ind w:right="49"/>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En atención a la solicitud la Titular de la Unidad de Transparencia, hizo del conocimiento de la persona solicitante la incompetencia parcial del </w:t>
      </w:r>
      <w:r w:rsidRPr="006259B0">
        <w:rPr>
          <w:rFonts w:ascii="Palatino Linotype" w:eastAsia="Palatino Linotype" w:hAnsi="Palatino Linotype" w:cs="Palatino Linotype"/>
          <w:b/>
        </w:rPr>
        <w:t xml:space="preserve">Sujeto Obligado </w:t>
      </w:r>
      <w:r w:rsidRPr="006259B0">
        <w:rPr>
          <w:rFonts w:ascii="Palatino Linotype" w:eastAsia="Palatino Linotype" w:hAnsi="Palatino Linotype" w:cs="Palatino Linotype"/>
        </w:rPr>
        <w:t>para atender lo relativo a los puntos 4 y 5 relativos a  la situación del paciente agraviado, así como el resultado de la denuncia, con fundamento en el artículo 167 de la Ley de Transparencia y Acceso a la Información Pública del Estado de México y Municipios, sugiriendo a la persona solicitante presentar dichos requerimientos ante el Poder Judicial.</w:t>
      </w:r>
    </w:p>
    <w:p w:rsidR="008F7B6A" w:rsidRPr="006259B0" w:rsidRDefault="008434A8" w:rsidP="006259B0">
      <w:pPr>
        <w:spacing w:before="240" w:after="240" w:line="360" w:lineRule="auto"/>
        <w:ind w:right="49"/>
        <w:jc w:val="both"/>
        <w:rPr>
          <w:rFonts w:ascii="Palatino Linotype" w:eastAsia="Palatino Linotype" w:hAnsi="Palatino Linotype" w:cs="Palatino Linotype"/>
        </w:rPr>
      </w:pPr>
      <w:r w:rsidRPr="006259B0">
        <w:rPr>
          <w:rFonts w:ascii="Palatino Linotype" w:eastAsia="Palatino Linotype" w:hAnsi="Palatino Linotype" w:cs="Palatino Linotype"/>
        </w:rPr>
        <w:lastRenderedPageBreak/>
        <w:t>Mientras que para atender los puntos 1, 2 y 3 mediante los cuales se solicitó el número de denuncias interpuestas por negligencia médica en el Estado de México en lo que va de la presente administración, es decir 2017 a 2022, a la fecha de presentación de la solicitud; espacio médico donde ocurrió la negligencia; y circunstancia en la que se dio la negligencia, es decir, en cirugía, mal diagnóstico, consulta, parto, etc., la Titular de la Unidad de Transparencia hizo del conocimiento de la persona solicitante el pronunciamiento emitido por la Directora General de Información, Planeación, Programación y Evaluación, quien informó que no se procesa la información como fue requerida, asimismo, que la Institución no se encuentra obligada a generarla, de conformidad con los artículos 12 y 24 de la Ley de Transparencia y Acceso a la Información Pública del Estado de México y Municipios.</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Al no estar conforme con los términos de la respuesta otorgada a su solicitud, la persona solicitante interpuso el recurso de revisión que ahora nos ocupa, en el que señaló como motivo de inconformidad que si bien la Dependencia no está obligada a procesar la información si cuenta con la obligación de entregar la documentación en la que se pueda corroborar la información, con lo cual se respeta el Derecho de la ciudadanía a la transparencia, sin embargo, no se entregó ninguna documentación que contenga la información solicitada.</w:t>
      </w:r>
    </w:p>
    <w:p w:rsidR="008F7B6A" w:rsidRPr="006259B0" w:rsidRDefault="008434A8" w:rsidP="006259B0">
      <w:pPr>
        <w:spacing w:before="240" w:after="240" w:line="360" w:lineRule="auto"/>
        <w:ind w:right="51"/>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En este sentido, no escapa de la óptica de este Organismo Garante que los motivos de inconformidad aducidos, no versan sobre la totalidad de la información proporcionada por el </w:t>
      </w:r>
      <w:r w:rsidRPr="006259B0">
        <w:rPr>
          <w:rFonts w:ascii="Palatino Linotype" w:eastAsia="Palatino Linotype" w:hAnsi="Palatino Linotype" w:cs="Palatino Linotype"/>
          <w:b/>
        </w:rPr>
        <w:t xml:space="preserve">Sujeto Obligado, </w:t>
      </w:r>
      <w:r w:rsidRPr="006259B0">
        <w:rPr>
          <w:rFonts w:ascii="Palatino Linotype" w:eastAsia="Palatino Linotype" w:hAnsi="Palatino Linotype" w:cs="Palatino Linotype"/>
        </w:rPr>
        <w:t xml:space="preserve">pues la parte </w:t>
      </w:r>
      <w:r w:rsidRPr="006259B0">
        <w:rPr>
          <w:rFonts w:ascii="Palatino Linotype" w:eastAsia="Palatino Linotype" w:hAnsi="Palatino Linotype" w:cs="Palatino Linotype"/>
          <w:b/>
        </w:rPr>
        <w:t>Recurrente</w:t>
      </w:r>
      <w:r w:rsidRPr="006259B0">
        <w:rPr>
          <w:rFonts w:ascii="Palatino Linotype" w:eastAsia="Palatino Linotype" w:hAnsi="Palatino Linotype" w:cs="Palatino Linotype"/>
        </w:rPr>
        <w:t xml:space="preserve"> manifestó, de manera expresa, que si bien la Dependencia no estaba obligada a procesar la </w:t>
      </w:r>
      <w:r w:rsidRPr="006259B0">
        <w:rPr>
          <w:rFonts w:ascii="Palatino Linotype" w:eastAsia="Palatino Linotype" w:hAnsi="Palatino Linotype" w:cs="Palatino Linotype"/>
        </w:rPr>
        <w:lastRenderedPageBreak/>
        <w:t xml:space="preserve">información como se requiere, si está obligada a entregar documentación en la que se pueda consultar la información, es decir, se inconformó sobre el pronunciamiento </w:t>
      </w:r>
      <w:proofErr w:type="spellStart"/>
      <w:r w:rsidRPr="006259B0">
        <w:rPr>
          <w:rFonts w:ascii="Palatino Linotype" w:eastAsia="Palatino Linotype" w:hAnsi="Palatino Linotype" w:cs="Palatino Linotype"/>
        </w:rPr>
        <w:t>del</w:t>
      </w:r>
      <w:proofErr w:type="spellEnd"/>
      <w:r w:rsidRPr="006259B0">
        <w:rPr>
          <w:rFonts w:ascii="Palatino Linotype" w:eastAsia="Palatino Linotype" w:hAnsi="Palatino Linotype" w:cs="Palatino Linotype"/>
        </w:rPr>
        <w:t xml:space="preserve"> la Directora General de Información, Planeación, Programación y Evaluación para atender los puntos 1, 2 y 3 de la solicitud.</w:t>
      </w:r>
    </w:p>
    <w:p w:rsidR="008F7B6A" w:rsidRPr="006259B0" w:rsidRDefault="008434A8" w:rsidP="006259B0">
      <w:pPr>
        <w:spacing w:before="240" w:after="240" w:line="360" w:lineRule="auto"/>
        <w:ind w:right="51"/>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En este orden de ideas, la parte de la respuesta que no fue impugnada, misma que se relaciona con la declaratoria de incompetencia para atender los puntos 4 y 5 de la solicitud,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sidRPr="006259B0">
        <w:rPr>
          <w:rFonts w:ascii="Palatino Linotype" w:eastAsia="Palatino Linotype" w:hAnsi="Palatino Linotype" w:cs="Palatino Linotype"/>
          <w:b/>
        </w:rPr>
        <w:t>Sujeto Obligado</w:t>
      </w:r>
      <w:r w:rsidRPr="006259B0">
        <w:rPr>
          <w:rFonts w:ascii="Palatino Linotype" w:eastAsia="Palatino Linotype" w:hAnsi="Palatino Linotype" w:cs="Palatino Linotype"/>
        </w:rPr>
        <w:t>, satisface la solicitud presentada.</w:t>
      </w:r>
    </w:p>
    <w:p w:rsidR="008F7B6A" w:rsidRPr="006259B0" w:rsidRDefault="008434A8" w:rsidP="006259B0">
      <w:pPr>
        <w:spacing w:before="240" w:after="36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Lo anterior es así, debido a que cuando la parte Recurrente impugna la respuesta del </w:t>
      </w:r>
      <w:r w:rsidRPr="006259B0">
        <w:rPr>
          <w:rFonts w:ascii="Palatino Linotype" w:eastAsia="Palatino Linotype" w:hAnsi="Palatino Linotype" w:cs="Palatino Linotype"/>
          <w:b/>
        </w:rPr>
        <w:t>Sujeto Obligado</w:t>
      </w:r>
      <w:r w:rsidRPr="006259B0">
        <w:rPr>
          <w:rFonts w:ascii="Palatino Linotype" w:eastAsia="Palatino Linotype" w:hAnsi="Palatino Linotype" w:cs="Palatino Linotype"/>
        </w:rPr>
        <w:t>, y éste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8F7B6A" w:rsidRPr="006259B0" w:rsidRDefault="008434A8" w:rsidP="006259B0">
      <w:pPr>
        <w:spacing w:before="240" w:after="360"/>
        <w:ind w:left="851" w:right="900"/>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 xml:space="preserve">“REVISIÓN EN AMPARO. LOS RESOLUTIVOS NO COMBATIDOS DEBEN DECLARARSE FIRMES. </w:t>
      </w:r>
      <w:r w:rsidRPr="006259B0">
        <w:rPr>
          <w:rFonts w:ascii="Palatino Linotype" w:eastAsia="Palatino Linotype" w:hAnsi="Palatino Linotype" w:cs="Palatino Linotype"/>
          <w:i/>
          <w:sz w:val="22"/>
          <w:szCs w:val="22"/>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w:t>
      </w:r>
      <w:r w:rsidRPr="006259B0">
        <w:rPr>
          <w:rFonts w:ascii="Palatino Linotype" w:eastAsia="Palatino Linotype" w:hAnsi="Palatino Linotype" w:cs="Palatino Linotype"/>
          <w:i/>
          <w:sz w:val="22"/>
          <w:szCs w:val="22"/>
        </w:rPr>
        <w:lastRenderedPageBreak/>
        <w:t>reflejarse en la parte considerativa y en los resolutivos debe confirmarse la sentencia recurrida en la parte correspondiente.”</w:t>
      </w:r>
    </w:p>
    <w:p w:rsidR="008F7B6A" w:rsidRPr="006259B0" w:rsidRDefault="008434A8" w:rsidP="006259B0">
      <w:pPr>
        <w:spacing w:before="240" w:after="240" w:line="360" w:lineRule="auto"/>
        <w:jc w:val="both"/>
        <w:rPr>
          <w:rFonts w:ascii="Palatino Linotype" w:eastAsia="Palatino Linotype" w:hAnsi="Palatino Linotype" w:cs="Palatino Linotype"/>
        </w:rPr>
      </w:pPr>
      <w:bookmarkStart w:id="8" w:name="_heading=h.26in1rg" w:colFirst="0" w:colLast="0"/>
      <w:bookmarkEnd w:id="8"/>
      <w:r w:rsidRPr="006259B0">
        <w:rPr>
          <w:rFonts w:ascii="Palatino Linotype" w:eastAsia="Palatino Linotype" w:hAnsi="Palatino Linotype" w:cs="Palatino Linotype"/>
        </w:rPr>
        <w:t>Consecuentemente, se insiste, ante la falta de impugnación eficaz, la respuesta entregada debe declararse consentida por la persona solicitante.</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Lo anterior se sustenta con lo plasmado en el criterio 01/20 emitido por el Instituto Nacional de Transparencia, Acceso a la Información, y Protección de Datos Personales, INAI, que lleva por rubro y texto los siguientes: </w:t>
      </w:r>
    </w:p>
    <w:p w:rsidR="008F7B6A" w:rsidRPr="006259B0" w:rsidRDefault="008434A8" w:rsidP="006259B0">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sidRPr="006259B0">
        <w:rPr>
          <w:rFonts w:ascii="Palatino Linotype" w:eastAsia="Palatino Linotype" w:hAnsi="Palatino Linotype" w:cs="Palatino Linotype"/>
          <w:i/>
          <w:color w:val="000000"/>
          <w:sz w:val="22"/>
          <w:szCs w:val="22"/>
        </w:rPr>
        <w:t>“</w:t>
      </w:r>
      <w:r w:rsidRPr="006259B0">
        <w:rPr>
          <w:rFonts w:ascii="Palatino Linotype" w:eastAsia="Palatino Linotype" w:hAnsi="Palatino Linotype" w:cs="Palatino Linotype"/>
          <w:b/>
          <w:i/>
          <w:color w:val="000000"/>
          <w:sz w:val="22"/>
          <w:szCs w:val="22"/>
        </w:rPr>
        <w:t xml:space="preserve">Actos consentidos tácitamente. Improcedencia de su análisis. </w:t>
      </w:r>
      <w:r w:rsidRPr="006259B0">
        <w:rPr>
          <w:rFonts w:ascii="Palatino Linotype" w:eastAsia="Palatino Linotype" w:hAnsi="Palatino Linotype" w:cs="Palatino Linotype"/>
          <w:i/>
          <w:color w:val="000000"/>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rsidR="008F7B6A" w:rsidRPr="006259B0" w:rsidRDefault="008434A8" w:rsidP="006259B0">
      <w:pPr>
        <w:ind w:left="851" w:right="900"/>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mallCaps/>
          <w:sz w:val="22"/>
          <w:szCs w:val="22"/>
        </w:rPr>
        <w:t xml:space="preserve">“ACTOS CONSENTIDOS. SON LOS QUE NO SE IMPUGNAN MEDIANTE EL RECURSO IDÓNEO. </w:t>
      </w:r>
      <w:r w:rsidRPr="006259B0">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8F7B6A" w:rsidRPr="006259B0" w:rsidRDefault="008F7B6A" w:rsidP="006259B0">
      <w:pPr>
        <w:rPr>
          <w:rFonts w:ascii="Palatino Linotype" w:eastAsia="Palatino Linotype" w:hAnsi="Palatino Linotype" w:cs="Palatino Linotype"/>
        </w:rPr>
      </w:pPr>
    </w:p>
    <w:p w:rsidR="008F7B6A" w:rsidRPr="006259B0" w:rsidRDefault="008434A8" w:rsidP="006259B0">
      <w:pPr>
        <w:spacing w:before="280" w:after="28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Así, una vez admitido el recurso de revisión, en términos del artículo 185 fracción II</w:t>
      </w:r>
      <w:r w:rsidRPr="006259B0">
        <w:rPr>
          <w:rFonts w:ascii="Palatino Linotype" w:eastAsia="Palatino Linotype" w:hAnsi="Palatino Linotype" w:cs="Palatino Linotype"/>
          <w:vertAlign w:val="superscript"/>
        </w:rPr>
        <w:footnoteReference w:id="1"/>
      </w:r>
      <w:r w:rsidRPr="006259B0">
        <w:rPr>
          <w:rFonts w:ascii="Palatino Linotype" w:eastAsia="Palatino Linotype" w:hAnsi="Palatino Linotype" w:cs="Palatino Linotype"/>
        </w:rPr>
        <w:t xml:space="preserve"> de la Ley de Transparencia y Acceso a la Información Pública del Estado de </w:t>
      </w:r>
      <w:r w:rsidRPr="006259B0">
        <w:rPr>
          <w:rFonts w:ascii="Palatino Linotype" w:eastAsia="Palatino Linotype" w:hAnsi="Palatino Linotype" w:cs="Palatino Linotype"/>
        </w:rPr>
        <w:lastRenderedPageBreak/>
        <w:t>México y Municipios, se integró el expediente y se puso a disposición de las partes para que, en un plazo máximo de siete días hábiles, manifestaran lo que a su derecho resultara conveniente.</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En tal sentido, la Titular de la Unidad de Transparencia, manifestó que la Fiscalía no fue omisa en entregar la información solicitada, ya que se hizo del conocimiento del particular que lo requerido no se cuenta ni se genera en los términos solicitados, argumentando que dentro del catálogo de delitos que contempla el Código Penal del Estado de México no se encuentra estipulado como delito “negligencia médica”, siendo que las carpetas de investigación pudiesen iniciarse por conductas probablemente constitutivas de delito como lesiones, homicidios y aquellos cometidos en el ejercicio de actividades profesionales o técnicas, los cuales pueden generarse por una intervención médica; sin embargo, éstas no se pueden considerar como negligencia médica hasta en tanto no se tenga agotada la investigación correspondiente y se tenga una sentencia firme en la que se afirme tal circunstancia.</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Sin embargo, a fin de dar cumplimiento al principio de máxima publicidad, se requirió a las unidades administrativas competentes, informaran si dentro de sus archivos o bases de datos se cuenta con lo requerido por la persona solicitante, por lo que en el acto, hace del conocimiento que as unidades administrativas a las cuales se les requirió información, después de haber realizado una búsqueda exhaustiva y razonable en sus archivos, localizaron veinticuatro carpetas de investigación mediante las cuales se denunciaron hechos posiblemente constitutivos de delito en </w:t>
      </w:r>
      <w:r w:rsidRPr="006259B0">
        <w:rPr>
          <w:rFonts w:ascii="Palatino Linotype" w:eastAsia="Palatino Linotype" w:hAnsi="Palatino Linotype" w:cs="Palatino Linotype"/>
        </w:rPr>
        <w:lastRenderedPageBreak/>
        <w:t>relación a lo peticionado, y no así por “negligencia médica”, reiterando que no está considerado como delito, por lo tanto, no se inicia una denuncia bajo los términos referidos.</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Asimismo, agrega que las referidas carpetas se encuentran en proceso de integración, situación que impide proporcionar mayores datos a la persona solicitante, en virtud que de que, para lograr la entrega de lo peticionado, se tendría que entrar a cada una de ellas y analizar caso por caso, es decir, generar un documento ad hoc, al no contar con la información al detalle requerido.</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Dicha información fue puesta a disposición de la persona solicitante con la finalidad de que manifestara lo que a su derecho estimara conveniente, siendo omisa en ejercer dicha prerrogativa, como se señaló anteriormente.</w:t>
      </w:r>
    </w:p>
    <w:p w:rsidR="008F7B6A" w:rsidRPr="006259B0" w:rsidRDefault="008434A8" w:rsidP="006259B0">
      <w:pPr>
        <w:spacing w:before="240" w:after="240" w:line="372"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Acotado lo anterior,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lastRenderedPageBreak/>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rsidR="008F7B6A" w:rsidRPr="006259B0" w:rsidRDefault="008434A8" w:rsidP="006259B0">
      <w:pPr>
        <w:spacing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8F7B6A" w:rsidRPr="006259B0" w:rsidRDefault="008F7B6A" w:rsidP="006259B0">
      <w:pPr>
        <w:ind w:left="851" w:right="899"/>
        <w:jc w:val="both"/>
        <w:rPr>
          <w:rFonts w:ascii="Palatino Linotype" w:eastAsia="Palatino Linotype" w:hAnsi="Palatino Linotype" w:cs="Palatino Linotype"/>
          <w:i/>
        </w:rPr>
      </w:pPr>
    </w:p>
    <w:p w:rsidR="008F7B6A" w:rsidRPr="006259B0" w:rsidRDefault="008434A8" w:rsidP="006259B0">
      <w:pPr>
        <w:ind w:left="851" w:right="899"/>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i/>
          <w:sz w:val="22"/>
          <w:szCs w:val="22"/>
        </w:rPr>
        <w:t>“</w:t>
      </w:r>
      <w:r w:rsidRPr="006259B0">
        <w:rPr>
          <w:rFonts w:ascii="Palatino Linotype" w:eastAsia="Palatino Linotype" w:hAnsi="Palatino Linotype" w:cs="Palatino Linotype"/>
          <w:b/>
          <w:i/>
          <w:sz w:val="22"/>
          <w:szCs w:val="22"/>
        </w:rPr>
        <w:t xml:space="preserve">Artículo 3. </w:t>
      </w:r>
      <w:r w:rsidRPr="006259B0">
        <w:rPr>
          <w:rFonts w:ascii="Palatino Linotype" w:eastAsia="Palatino Linotype" w:hAnsi="Palatino Linotype" w:cs="Palatino Linotype"/>
          <w:i/>
          <w:sz w:val="22"/>
          <w:szCs w:val="22"/>
        </w:rPr>
        <w:t>Para los efectos de la presente Ley se entenderá por:</w:t>
      </w:r>
    </w:p>
    <w:p w:rsidR="008F7B6A" w:rsidRPr="006259B0" w:rsidRDefault="008434A8" w:rsidP="006259B0">
      <w:pPr>
        <w:ind w:left="1134" w:right="899"/>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i/>
          <w:sz w:val="22"/>
          <w:szCs w:val="22"/>
        </w:rPr>
        <w:t>…</w:t>
      </w:r>
    </w:p>
    <w:p w:rsidR="008F7B6A" w:rsidRPr="006259B0" w:rsidRDefault="008434A8" w:rsidP="006259B0">
      <w:pPr>
        <w:ind w:left="1134" w:right="899"/>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XI. Documento:</w:t>
      </w:r>
      <w:r w:rsidRPr="006259B0">
        <w:rPr>
          <w:rFonts w:ascii="Palatino Linotype" w:eastAsia="Palatino Linotype" w:hAnsi="Palatino Linotype" w:cs="Palatino Linotype"/>
          <w:i/>
          <w:sz w:val="22"/>
          <w:szCs w:val="22"/>
        </w:rPr>
        <w:t xml:space="preserve"> Los expedientes, reportes, estudios, actas</w:t>
      </w:r>
      <w:r w:rsidRPr="006259B0">
        <w:rPr>
          <w:rFonts w:ascii="Palatino Linotype" w:eastAsia="Palatino Linotype" w:hAnsi="Palatino Linotype" w:cs="Palatino Linotype"/>
          <w:b/>
          <w:i/>
          <w:sz w:val="22"/>
          <w:szCs w:val="22"/>
        </w:rPr>
        <w:t>,</w:t>
      </w:r>
      <w:r w:rsidRPr="006259B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8F7B6A" w:rsidRPr="006259B0" w:rsidRDefault="008F7B6A" w:rsidP="006259B0">
      <w:pPr>
        <w:ind w:left="851" w:right="899"/>
        <w:jc w:val="both"/>
        <w:rPr>
          <w:rFonts w:ascii="Palatino Linotype" w:eastAsia="Palatino Linotype" w:hAnsi="Palatino Linotype" w:cs="Palatino Linotype"/>
          <w:sz w:val="22"/>
          <w:szCs w:val="22"/>
        </w:rPr>
      </w:pPr>
    </w:p>
    <w:p w:rsidR="008F7B6A" w:rsidRPr="006259B0" w:rsidRDefault="008434A8" w:rsidP="006259B0">
      <w:pPr>
        <w:spacing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8F7B6A" w:rsidRPr="006259B0" w:rsidRDefault="008F7B6A" w:rsidP="006259B0">
      <w:pPr>
        <w:ind w:left="851" w:right="899"/>
        <w:jc w:val="both"/>
        <w:rPr>
          <w:rFonts w:ascii="Palatino Linotype" w:eastAsia="Palatino Linotype" w:hAnsi="Palatino Linotype" w:cs="Palatino Linotype"/>
        </w:rPr>
      </w:pPr>
    </w:p>
    <w:p w:rsidR="008F7B6A" w:rsidRPr="006259B0" w:rsidRDefault="008434A8" w:rsidP="006259B0">
      <w:pPr>
        <w:ind w:left="851" w:right="899"/>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sz w:val="22"/>
          <w:szCs w:val="22"/>
        </w:rPr>
        <w:t>“</w:t>
      </w:r>
      <w:r w:rsidRPr="006259B0">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6259B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F7B6A" w:rsidRPr="006259B0" w:rsidRDefault="008434A8" w:rsidP="006259B0">
      <w:pPr>
        <w:ind w:left="851" w:right="899"/>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i/>
          <w:sz w:val="22"/>
          <w:szCs w:val="22"/>
        </w:rPr>
        <w:t>En consecuencia el acceso a la información se refiere a que se cumplan cualquiera de los siguientes tres supuestos:</w:t>
      </w:r>
    </w:p>
    <w:p w:rsidR="008F7B6A" w:rsidRPr="006259B0" w:rsidRDefault="008434A8" w:rsidP="006259B0">
      <w:pPr>
        <w:ind w:left="1134" w:right="899"/>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8F7B6A" w:rsidRPr="006259B0" w:rsidRDefault="008434A8" w:rsidP="006259B0">
      <w:pPr>
        <w:ind w:left="1134" w:right="899"/>
        <w:jc w:val="both"/>
        <w:rPr>
          <w:rFonts w:ascii="Palatino Linotype" w:eastAsia="Palatino Linotype" w:hAnsi="Palatino Linotype" w:cs="Palatino Linotype"/>
          <w:b/>
          <w:i/>
          <w:sz w:val="22"/>
          <w:szCs w:val="22"/>
        </w:rPr>
      </w:pPr>
      <w:r w:rsidRPr="006259B0">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8F7B6A" w:rsidRPr="006259B0" w:rsidRDefault="008434A8" w:rsidP="006259B0">
      <w:pPr>
        <w:ind w:left="1134" w:right="899"/>
        <w:jc w:val="both"/>
        <w:rPr>
          <w:rFonts w:ascii="Palatino Linotype" w:eastAsia="Palatino Linotype" w:hAnsi="Palatino Linotype" w:cs="Palatino Linotype"/>
          <w:b/>
          <w:i/>
          <w:sz w:val="22"/>
          <w:szCs w:val="22"/>
        </w:rPr>
      </w:pPr>
      <w:r w:rsidRPr="006259B0">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rsidR="008F7B6A" w:rsidRPr="006259B0" w:rsidRDefault="008434A8" w:rsidP="006259B0">
      <w:pPr>
        <w:spacing w:before="240" w:after="240" w:line="360" w:lineRule="auto"/>
        <w:ind w:right="51"/>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w:t>
      </w:r>
      <w:r w:rsidRPr="006259B0">
        <w:rPr>
          <w:rFonts w:ascii="Palatino Linotype" w:eastAsia="Palatino Linotype" w:hAnsi="Palatino Linotype" w:cs="Palatino Linotype"/>
        </w:rPr>
        <w:lastRenderedPageBreak/>
        <w:t>Sujeto Obligado; como así se establece en la Ley de Transparencia y Acceso a la Información Pública del Estado de México y Municipios.</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rsidR="008F7B6A" w:rsidRPr="006259B0" w:rsidRDefault="008434A8" w:rsidP="006259B0">
      <w:pPr>
        <w:spacing w:before="240" w:after="240" w:line="360" w:lineRule="auto"/>
        <w:ind w:right="51"/>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Ahora bien, tomando en consideración la materia de la solicitud, es oportuno referir, en primera instancia, que el término </w:t>
      </w:r>
      <w:r w:rsidRPr="006259B0">
        <w:rPr>
          <w:rFonts w:ascii="Palatino Linotype" w:eastAsia="Palatino Linotype" w:hAnsi="Palatino Linotype" w:cs="Palatino Linotype"/>
          <w:i/>
        </w:rPr>
        <w:t>negligencia médica</w:t>
      </w:r>
      <w:r w:rsidRPr="006259B0">
        <w:rPr>
          <w:rFonts w:ascii="Palatino Linotype" w:eastAsia="Palatino Linotype" w:hAnsi="Palatino Linotype" w:cs="Palatino Linotype"/>
        </w:rPr>
        <w:t xml:space="preserve"> se ha utilizado de manera indiscriminada tanto en los medios de comunicación como entre la población, lo que ha generado confusión al respecto. De acuerdo con especialistas en la materia, la negligencia médica es sólo una de las tres formas que asume la mala práctica médica; las otras dos son la impericia y el dolo. La negligencia médica ocurre “…</w:t>
      </w:r>
      <w:r w:rsidRPr="006259B0">
        <w:rPr>
          <w:rFonts w:ascii="Palatino Linotype" w:eastAsia="Palatino Linotype" w:hAnsi="Palatino Linotype" w:cs="Palatino Linotype"/>
          <w:i/>
        </w:rPr>
        <w:t xml:space="preserve">cuando el médico no cumple con la obligación de emplear en forma adecuada los medios </w:t>
      </w:r>
      <w:r w:rsidRPr="006259B0">
        <w:rPr>
          <w:rFonts w:ascii="Palatino Linotype" w:eastAsia="Palatino Linotype" w:hAnsi="Palatino Linotype" w:cs="Palatino Linotype"/>
          <w:i/>
        </w:rPr>
        <w:lastRenderedPageBreak/>
        <w:t>necesarios para atender a un paciente, es decir, cuando tiene los conocimientos y recursos necesarios para hacerlo y no los utiliza por descuido u omisión</w:t>
      </w:r>
      <w:r w:rsidRPr="006259B0">
        <w:rPr>
          <w:rFonts w:ascii="Palatino Linotype" w:eastAsia="Palatino Linotype" w:hAnsi="Palatino Linotype" w:cs="Palatino Linotype"/>
        </w:rPr>
        <w:t>”</w:t>
      </w:r>
      <w:r w:rsidRPr="006259B0">
        <w:rPr>
          <w:rFonts w:ascii="Palatino Linotype" w:eastAsia="Palatino Linotype" w:hAnsi="Palatino Linotype" w:cs="Palatino Linotype"/>
          <w:vertAlign w:val="superscript"/>
        </w:rPr>
        <w:footnoteReference w:id="2"/>
      </w:r>
      <w:r w:rsidRPr="006259B0">
        <w:rPr>
          <w:rFonts w:ascii="Palatino Linotype" w:eastAsia="Palatino Linotype" w:hAnsi="Palatino Linotype" w:cs="Palatino Linotype"/>
        </w:rPr>
        <w:t>.</w:t>
      </w:r>
    </w:p>
    <w:p w:rsidR="008F7B6A" w:rsidRPr="006259B0" w:rsidRDefault="008434A8" w:rsidP="006259B0">
      <w:pPr>
        <w:spacing w:before="240" w:after="240" w:line="360" w:lineRule="auto"/>
        <w:ind w:right="51"/>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Una de las formas que se puede asumir como negligencia médica y atenta contra los derechos humanos, es la negativa por parte de los profesionales, técnicos o auxiliares médicos de prestar oportuna atención a personas que acuden a las instituciones de salud. Esta práctica pone en peligro la salud y vida de los pacientes. Una segunda forma de negligencia médica que también atenta contra los derechos humanos se puede definir como cualquier acto u omisión, por parte del personal encargado de brindarlo, que cause negativa, suspensión, retraso o la deficiencia en la prestación del servicio público de salud. </w:t>
      </w:r>
    </w:p>
    <w:p w:rsidR="008F7B6A" w:rsidRPr="006259B0" w:rsidRDefault="008434A8" w:rsidP="006259B0">
      <w:pPr>
        <w:spacing w:before="240" w:after="240" w:line="360" w:lineRule="auto"/>
        <w:ind w:right="51"/>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En cuanto a los otros dos problemas que incluye la mala práctica médica, esto es la impericia y el dolo, la primera se ha definido como la falta de conocimientos técnicos y científicos requeridos por parte del personal médico, en tanto que se incurre en dolo cuando, para obtener algún beneficio, el médico no informa claramente al paciente y familiares sobre los procedimientos de diagnósticos o terapéuticos que pueden emplearse en su tratamiento. </w:t>
      </w:r>
    </w:p>
    <w:p w:rsidR="008F7B6A" w:rsidRPr="006259B0" w:rsidRDefault="008434A8" w:rsidP="006259B0">
      <w:pPr>
        <w:spacing w:before="240" w:after="240" w:line="360" w:lineRule="auto"/>
        <w:ind w:right="51"/>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En México, tanto la negligencia médica como la impericia y el dolo no se tipifican como delitos en los códigos federales tanto de carácter civil como penal; estos ordenamientos contemplan únicamente la figura de responsabilidad profesional, pero no específicamente en materia de salud. Por ejemplo, el artículo 2615 del </w:t>
      </w:r>
      <w:r w:rsidRPr="006259B0">
        <w:rPr>
          <w:rFonts w:ascii="Palatino Linotype" w:eastAsia="Palatino Linotype" w:hAnsi="Palatino Linotype" w:cs="Palatino Linotype"/>
        </w:rPr>
        <w:lastRenderedPageBreak/>
        <w:t xml:space="preserve">Código Civil Federal señala que la persona que “… </w:t>
      </w:r>
      <w:r w:rsidRPr="006259B0">
        <w:rPr>
          <w:rFonts w:ascii="Palatino Linotype" w:eastAsia="Palatino Linotype" w:hAnsi="Palatino Linotype" w:cs="Palatino Linotype"/>
          <w:i/>
        </w:rPr>
        <w:t>preste servicios profesionales, sólo es responsable, hacia las personas a quienes sirve, por negligencia, impericia o dolo, sin perjuicio de las penas que merezca en caso de delito</w:t>
      </w:r>
      <w:r w:rsidRPr="006259B0">
        <w:rPr>
          <w:rFonts w:ascii="Palatino Linotype" w:eastAsia="Palatino Linotype" w:hAnsi="Palatino Linotype" w:cs="Palatino Linotype"/>
        </w:rPr>
        <w:t>”.</w:t>
      </w:r>
    </w:p>
    <w:p w:rsidR="008F7B6A" w:rsidRPr="006259B0" w:rsidRDefault="008434A8" w:rsidP="006259B0">
      <w:pPr>
        <w:spacing w:before="240" w:after="240" w:line="360" w:lineRule="auto"/>
        <w:ind w:right="51"/>
        <w:jc w:val="both"/>
        <w:rPr>
          <w:rFonts w:ascii="Palatino Linotype" w:eastAsia="Palatino Linotype" w:hAnsi="Palatino Linotype" w:cs="Palatino Linotype"/>
        </w:rPr>
      </w:pPr>
      <w:r w:rsidRPr="006259B0">
        <w:rPr>
          <w:rFonts w:ascii="Palatino Linotype" w:eastAsia="Palatino Linotype" w:hAnsi="Palatino Linotype" w:cs="Palatino Linotype"/>
        </w:rPr>
        <w:t>El artículo 1910 de este mismo Código establece la obligación de toda persona de reparar el daño causado bajo los siguientes términos: “El que obrando ilícitamente o contra las buenas costumbres cause daño a otro, está obligado a repararlo, a menos que demuestre que el daño se produjo como consecuencia de culpa o negligencia inexcusable de la víctima.”</w:t>
      </w:r>
    </w:p>
    <w:p w:rsidR="008F7B6A" w:rsidRPr="006259B0" w:rsidRDefault="008434A8" w:rsidP="006259B0">
      <w:pPr>
        <w:spacing w:before="240" w:after="240" w:line="360" w:lineRule="auto"/>
        <w:ind w:right="51"/>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Por su parte, el artículo 228 del Código Penal Federal establece los delitos referentes al ejercicio profesional en los siguientes términos: </w:t>
      </w:r>
    </w:p>
    <w:p w:rsidR="008F7B6A" w:rsidRPr="006259B0" w:rsidRDefault="008434A8" w:rsidP="006259B0">
      <w:pPr>
        <w:spacing w:before="240" w:after="240"/>
        <w:ind w:left="851" w:right="900"/>
        <w:jc w:val="both"/>
        <w:rPr>
          <w:rFonts w:ascii="Palatino Linotype" w:eastAsia="Palatino Linotype" w:hAnsi="Palatino Linotype" w:cs="Palatino Linotype"/>
          <w:i/>
        </w:rPr>
      </w:pPr>
      <w:r w:rsidRPr="006259B0">
        <w:rPr>
          <w:rFonts w:ascii="Palatino Linotype" w:eastAsia="Palatino Linotype" w:hAnsi="Palatino Linotype" w:cs="Palatino Linotype"/>
          <w:i/>
        </w:rPr>
        <w:t xml:space="preserve">“Los profesionistas, artistas o técnicos y sus auxiliares, serán responsables de los delitos que cometan en el ejercicio de su profesión, en los términos siguientes y sin perjuicio de las prevenciones contenidas en la Ley General de Salud o en otras normas sobre ejercicio profesional, en su caso: </w:t>
      </w:r>
    </w:p>
    <w:p w:rsidR="008F7B6A" w:rsidRPr="006259B0" w:rsidRDefault="008434A8" w:rsidP="006259B0">
      <w:pPr>
        <w:spacing w:before="240" w:after="240"/>
        <w:ind w:left="1134" w:right="900"/>
        <w:jc w:val="both"/>
        <w:rPr>
          <w:rFonts w:ascii="Palatino Linotype" w:eastAsia="Palatino Linotype" w:hAnsi="Palatino Linotype" w:cs="Palatino Linotype"/>
          <w:i/>
        </w:rPr>
      </w:pPr>
      <w:r w:rsidRPr="006259B0">
        <w:rPr>
          <w:rFonts w:ascii="Palatino Linotype" w:eastAsia="Palatino Linotype" w:hAnsi="Palatino Linotype" w:cs="Palatino Linotype"/>
          <w:b/>
          <w:i/>
        </w:rPr>
        <w:t>I</w:t>
      </w:r>
      <w:r w:rsidRPr="006259B0">
        <w:rPr>
          <w:rFonts w:ascii="Palatino Linotype" w:eastAsia="Palatino Linotype" w:hAnsi="Palatino Linotype" w:cs="Palatino Linotype"/>
          <w:i/>
        </w:rPr>
        <w:t>.- Además de las sanciones fijadas para los delitos que resulten consumados, según sean dolosos o culposos, se les aplicará suspensión de un mes a dos años en el ejercicio de la profesión o definitiva en caso de reincidencia; y</w:t>
      </w:r>
    </w:p>
    <w:p w:rsidR="008F7B6A" w:rsidRPr="006259B0" w:rsidRDefault="008434A8" w:rsidP="006259B0">
      <w:pPr>
        <w:spacing w:before="240" w:after="240"/>
        <w:ind w:left="1134" w:right="900"/>
        <w:jc w:val="both"/>
        <w:rPr>
          <w:rFonts w:ascii="Palatino Linotype" w:eastAsia="Palatino Linotype" w:hAnsi="Palatino Linotype" w:cs="Palatino Linotype"/>
          <w:i/>
        </w:rPr>
      </w:pPr>
      <w:r w:rsidRPr="006259B0">
        <w:rPr>
          <w:rFonts w:ascii="Palatino Linotype" w:eastAsia="Palatino Linotype" w:hAnsi="Palatino Linotype" w:cs="Palatino Linotype"/>
          <w:b/>
          <w:i/>
        </w:rPr>
        <w:t>II</w:t>
      </w:r>
      <w:r w:rsidRPr="006259B0">
        <w:rPr>
          <w:rFonts w:ascii="Palatino Linotype" w:eastAsia="Palatino Linotype" w:hAnsi="Palatino Linotype" w:cs="Palatino Linotype"/>
          <w:i/>
        </w:rPr>
        <w:t>.- Estarán obligados a la reparación del daño por sus actos propios y por los de sus auxiliares, cuando éstos obren de acuerdo con las instrucciones de aquéllos.”</w:t>
      </w:r>
    </w:p>
    <w:p w:rsidR="008F7B6A" w:rsidRPr="006259B0" w:rsidRDefault="008434A8" w:rsidP="006259B0">
      <w:pPr>
        <w:spacing w:before="240" w:after="240" w:line="360" w:lineRule="auto"/>
        <w:ind w:right="51"/>
        <w:jc w:val="both"/>
        <w:rPr>
          <w:rFonts w:ascii="Palatino Linotype" w:eastAsia="Palatino Linotype" w:hAnsi="Palatino Linotype" w:cs="Palatino Linotype"/>
        </w:rPr>
      </w:pPr>
      <w:r w:rsidRPr="006259B0">
        <w:rPr>
          <w:rFonts w:ascii="Palatino Linotype" w:eastAsia="Palatino Linotype" w:hAnsi="Palatino Linotype" w:cs="Palatino Linotype"/>
        </w:rPr>
        <w:t>Este artículo se complementa con el 229 donde se señala lo siguiente: “El artículo anterior se aplicará a los médicos que habiendo otorgado responsiva para hacerse cargo de la atención de un lesionado o enfermo, lo abandonen en su tratamiento sin causa justificada, y sin dar aviso inmediato a la autoridad correspondiente.”</w:t>
      </w:r>
    </w:p>
    <w:p w:rsidR="008F7B6A" w:rsidRPr="006259B0" w:rsidRDefault="008434A8" w:rsidP="006259B0">
      <w:pPr>
        <w:spacing w:before="240" w:after="240" w:line="360" w:lineRule="auto"/>
        <w:ind w:right="51"/>
        <w:jc w:val="both"/>
        <w:rPr>
          <w:rFonts w:ascii="Palatino Linotype" w:eastAsia="Palatino Linotype" w:hAnsi="Palatino Linotype" w:cs="Palatino Linotype"/>
        </w:rPr>
      </w:pPr>
      <w:r w:rsidRPr="006259B0">
        <w:rPr>
          <w:rFonts w:ascii="Palatino Linotype" w:eastAsia="Palatino Linotype" w:hAnsi="Palatino Linotype" w:cs="Palatino Linotype"/>
        </w:rPr>
        <w:lastRenderedPageBreak/>
        <w:t>En la entidad, el Código Penal del Estado de México, en el Capítulo III DELITOS COMETIDOS EN EL EJERCICIO DE ACTIVIDADES PROFESIONALES O TÉCNICAS, del TITULO SEGUNDO DELITOS CONTRA LA COLECTIVIDAD, establece lo siguiente respecto al tema que nos interesa:</w:t>
      </w:r>
    </w:p>
    <w:p w:rsidR="008F7B6A" w:rsidRPr="006259B0" w:rsidRDefault="008434A8" w:rsidP="006259B0">
      <w:pPr>
        <w:spacing w:before="120" w:after="120"/>
        <w:ind w:left="851" w:right="902"/>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i/>
          <w:sz w:val="22"/>
          <w:szCs w:val="22"/>
        </w:rPr>
        <w:t>“</w:t>
      </w:r>
      <w:r w:rsidRPr="006259B0">
        <w:rPr>
          <w:rFonts w:ascii="Palatino Linotype" w:eastAsia="Palatino Linotype" w:hAnsi="Palatino Linotype" w:cs="Palatino Linotype"/>
          <w:b/>
          <w:i/>
          <w:sz w:val="22"/>
          <w:szCs w:val="22"/>
        </w:rPr>
        <w:t>Artículo 181</w:t>
      </w:r>
      <w:r w:rsidRPr="006259B0">
        <w:rPr>
          <w:rFonts w:ascii="Palatino Linotype" w:eastAsia="Palatino Linotype" w:hAnsi="Palatino Linotype" w:cs="Palatino Linotype"/>
          <w:i/>
          <w:sz w:val="22"/>
          <w:szCs w:val="22"/>
        </w:rPr>
        <w:t xml:space="preserve">.- Cometen este delito: </w:t>
      </w:r>
    </w:p>
    <w:p w:rsidR="008F7B6A" w:rsidRPr="006259B0" w:rsidRDefault="008434A8" w:rsidP="006259B0">
      <w:pPr>
        <w:spacing w:before="120" w:after="120"/>
        <w:ind w:left="1134" w:right="902"/>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I</w:t>
      </w:r>
      <w:r w:rsidRPr="006259B0">
        <w:rPr>
          <w:rFonts w:ascii="Palatino Linotype" w:eastAsia="Palatino Linotype" w:hAnsi="Palatino Linotype" w:cs="Palatino Linotype"/>
          <w:i/>
          <w:sz w:val="22"/>
          <w:szCs w:val="22"/>
        </w:rPr>
        <w:t xml:space="preserve">. Los abogados que abandonen el mandato, patrocinio o defensa de un negocio judicial, administrativo o de trabajo, sin causa justificada; </w:t>
      </w:r>
    </w:p>
    <w:p w:rsidR="008F7B6A" w:rsidRPr="006259B0" w:rsidRDefault="008434A8" w:rsidP="006259B0">
      <w:pPr>
        <w:spacing w:before="120" w:after="120"/>
        <w:ind w:left="1134" w:right="902"/>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II.</w:t>
      </w:r>
      <w:r w:rsidRPr="006259B0">
        <w:rPr>
          <w:rFonts w:ascii="Palatino Linotype" w:eastAsia="Palatino Linotype" w:hAnsi="Palatino Linotype" w:cs="Palatino Linotype"/>
          <w:i/>
          <w:sz w:val="22"/>
          <w:szCs w:val="22"/>
        </w:rPr>
        <w:t xml:space="preserve"> Los abogados del inculpado que se concreten a solicitar la libertad provisional, sin promover pruebas ni dirigirlo en su defensa; </w:t>
      </w:r>
    </w:p>
    <w:p w:rsidR="008F7B6A" w:rsidRPr="006259B0" w:rsidRDefault="008434A8" w:rsidP="006259B0">
      <w:pPr>
        <w:spacing w:before="120" w:after="120"/>
        <w:ind w:left="1134" w:right="902"/>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III</w:t>
      </w:r>
      <w:r w:rsidRPr="006259B0">
        <w:rPr>
          <w:rFonts w:ascii="Palatino Linotype" w:eastAsia="Palatino Linotype" w:hAnsi="Palatino Linotype" w:cs="Palatino Linotype"/>
          <w:i/>
          <w:sz w:val="22"/>
          <w:szCs w:val="22"/>
        </w:rPr>
        <w:t xml:space="preserve">. Los abogados que patrocinen o representen a diversos contendientes en negocio judicial, administrativo o de trabajo con intereses opuestos, o cuando después de haber aceptado el patrocinio o representación de una parte, admitan el de la contraria; y </w:t>
      </w:r>
    </w:p>
    <w:p w:rsidR="008F7B6A" w:rsidRPr="006259B0" w:rsidRDefault="008434A8" w:rsidP="006259B0">
      <w:pPr>
        <w:spacing w:before="120" w:after="120"/>
        <w:ind w:left="1134" w:right="902"/>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IV.</w:t>
      </w:r>
      <w:r w:rsidRPr="006259B0">
        <w:rPr>
          <w:rFonts w:ascii="Palatino Linotype" w:eastAsia="Palatino Linotype" w:hAnsi="Palatino Linotype" w:cs="Palatino Linotype"/>
          <w:i/>
          <w:sz w:val="22"/>
          <w:szCs w:val="22"/>
        </w:rPr>
        <w:t xml:space="preserve"> Los abogados que teniendo a su cargo la custodia de documentos, los extraviaren por negligencia inexcusable. </w:t>
      </w:r>
    </w:p>
    <w:p w:rsidR="008F7B6A" w:rsidRPr="006259B0" w:rsidRDefault="008434A8" w:rsidP="006259B0">
      <w:pPr>
        <w:spacing w:before="120" w:after="120"/>
        <w:ind w:left="851" w:right="902"/>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i/>
          <w:sz w:val="22"/>
          <w:szCs w:val="22"/>
        </w:rPr>
        <w:t xml:space="preserve">A los responsables de este delito se les impondrán de uno a tres años de prisión y de cincuenta a setecientos días multa, además de seis meses a dos años de suspensión del derecho de ejercer la actividad profesional y privación definitiva en caso de reincidencia. </w:t>
      </w:r>
    </w:p>
    <w:p w:rsidR="008F7B6A" w:rsidRPr="006259B0" w:rsidRDefault="008434A8" w:rsidP="006259B0">
      <w:pPr>
        <w:spacing w:before="120" w:after="120"/>
        <w:ind w:left="851" w:right="902"/>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Artículo 182</w:t>
      </w:r>
      <w:r w:rsidRPr="006259B0">
        <w:rPr>
          <w:rFonts w:ascii="Palatino Linotype" w:eastAsia="Palatino Linotype" w:hAnsi="Palatino Linotype" w:cs="Palatino Linotype"/>
          <w:i/>
          <w:sz w:val="22"/>
          <w:szCs w:val="22"/>
        </w:rPr>
        <w:t xml:space="preserve">. Se impondrán las penas señaladas en el artículo anterior a: </w:t>
      </w:r>
    </w:p>
    <w:p w:rsidR="008F7B6A" w:rsidRPr="006259B0" w:rsidRDefault="008434A8" w:rsidP="006259B0">
      <w:pPr>
        <w:spacing w:before="120" w:after="120"/>
        <w:ind w:left="1134" w:right="902"/>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I</w:t>
      </w:r>
      <w:r w:rsidRPr="006259B0">
        <w:rPr>
          <w:rFonts w:ascii="Palatino Linotype" w:eastAsia="Palatino Linotype" w:hAnsi="Palatino Linotype" w:cs="Palatino Linotype"/>
          <w:i/>
          <w:sz w:val="22"/>
          <w:szCs w:val="22"/>
        </w:rPr>
        <w:t>. Los médicos, que habiendo otorgado responsiva para hacerse cargo de la curación de algún lesionado o enfermo lo abandonen en su tratamiento sin causa justificada o no cumplan con los deberes que les impone el Código Nacional de Procedimientos Penales;</w:t>
      </w:r>
    </w:p>
    <w:p w:rsidR="008F7B6A" w:rsidRPr="006259B0" w:rsidRDefault="008434A8" w:rsidP="006259B0">
      <w:pPr>
        <w:spacing w:before="120" w:after="120"/>
        <w:ind w:left="1134" w:right="902"/>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II</w:t>
      </w:r>
      <w:r w:rsidRPr="006259B0">
        <w:rPr>
          <w:rFonts w:ascii="Palatino Linotype" w:eastAsia="Palatino Linotype" w:hAnsi="Palatino Linotype" w:cs="Palatino Linotype"/>
          <w:i/>
          <w:sz w:val="22"/>
          <w:szCs w:val="22"/>
        </w:rPr>
        <w:t>. Los médicos, cirujanos, parteros, enfermeros y demás profesionales y similares y auxiliares que se nieguen a prestar sus servicios a un lesionado o enfermo, en caso de notoria urgencia, por exigir el pago anticipado de sus servicios, sin dar inmediato aviso a las autoridades correspondientes u organismos de asistencia pública para que procedan a su atención.</w:t>
      </w:r>
    </w:p>
    <w:p w:rsidR="008F7B6A" w:rsidRPr="006259B0" w:rsidRDefault="008434A8" w:rsidP="006259B0">
      <w:pPr>
        <w:spacing w:before="120" w:after="120"/>
        <w:ind w:left="1134" w:right="902"/>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III</w:t>
      </w:r>
      <w:r w:rsidRPr="006259B0">
        <w:rPr>
          <w:rFonts w:ascii="Palatino Linotype" w:eastAsia="Palatino Linotype" w:hAnsi="Palatino Linotype" w:cs="Palatino Linotype"/>
          <w:i/>
          <w:sz w:val="22"/>
          <w:szCs w:val="22"/>
        </w:rPr>
        <w:t xml:space="preserve">. Los médicos, cirujanos, parteros, enfermeros y demás profesionales y similares y auxiliares o cualquier persona, los propietarios de clínicas u hospitales que participen o faciliten por cualquier medio el tráfico, </w:t>
      </w:r>
      <w:r w:rsidRPr="006259B0">
        <w:rPr>
          <w:rFonts w:ascii="Palatino Linotype" w:eastAsia="Palatino Linotype" w:hAnsi="Palatino Linotype" w:cs="Palatino Linotype"/>
          <w:i/>
          <w:sz w:val="22"/>
          <w:szCs w:val="22"/>
        </w:rPr>
        <w:lastRenderedPageBreak/>
        <w:t xml:space="preserve">comercialización o cirugía de un </w:t>
      </w:r>
      <w:proofErr w:type="spellStart"/>
      <w:r w:rsidRPr="006259B0">
        <w:rPr>
          <w:rFonts w:ascii="Palatino Linotype" w:eastAsia="Palatino Linotype" w:hAnsi="Palatino Linotype" w:cs="Palatino Linotype"/>
          <w:i/>
          <w:sz w:val="22"/>
          <w:szCs w:val="22"/>
        </w:rPr>
        <w:t>transplante</w:t>
      </w:r>
      <w:proofErr w:type="spellEnd"/>
      <w:r w:rsidRPr="006259B0">
        <w:rPr>
          <w:rFonts w:ascii="Palatino Linotype" w:eastAsia="Palatino Linotype" w:hAnsi="Palatino Linotype" w:cs="Palatino Linotype"/>
          <w:i/>
          <w:sz w:val="22"/>
          <w:szCs w:val="22"/>
        </w:rPr>
        <w:t xml:space="preserve"> de órgano o tejido humano, sin la autorización necesaria de la secretaría del ramo, se le impondrá de tres a ocho años de prisión y de cincuenta a quinientos días multa, así como la suspensión del derecho del ejercicio de la profesión por veinte años y la cancelación de la licencia de funcionamiento por veinte años. Independientemente de los delitos que se cometan.</w:t>
      </w:r>
    </w:p>
    <w:p w:rsidR="008F7B6A" w:rsidRPr="006259B0" w:rsidRDefault="008434A8" w:rsidP="006259B0">
      <w:pPr>
        <w:spacing w:before="120" w:after="120"/>
        <w:ind w:left="851" w:right="902"/>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i/>
          <w:sz w:val="22"/>
          <w:szCs w:val="22"/>
        </w:rPr>
        <w:t>Si se trata de servidores públicos del sector salud, se les destituirá e inhabilitará de seis a dieciséis años del empleo, cargo o comisión públicos”</w:t>
      </w:r>
    </w:p>
    <w:p w:rsidR="008F7B6A" w:rsidRPr="006259B0" w:rsidRDefault="008434A8" w:rsidP="006259B0">
      <w:pPr>
        <w:spacing w:before="240" w:after="240" w:line="360" w:lineRule="auto"/>
        <w:ind w:right="51"/>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Por su parte la Ley General de Salud si bien no regula la negligencia médica, la impericia y el dolo, incluye diversos artículos sobre la queja médica, en particular, el artículo 51 Bis 3, estipula que: </w:t>
      </w:r>
    </w:p>
    <w:p w:rsidR="008F7B6A" w:rsidRPr="006259B0" w:rsidRDefault="008434A8" w:rsidP="006259B0">
      <w:pPr>
        <w:spacing w:before="240" w:after="240"/>
        <w:ind w:left="851" w:right="900"/>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i/>
          <w:sz w:val="22"/>
          <w:szCs w:val="22"/>
        </w:rPr>
        <w:t>“Las quejas que los usuarios presenten por la atención médica recibida, deberán ser atendidas y resueltas en forma oportuna y efectiva por los prestadores de servicios de salud o por las instancias que las instituciones de salud tengan definidas para tal fin, cuando la solución corresponda a su ámbito de competencia.”</w:t>
      </w:r>
    </w:p>
    <w:p w:rsidR="008F7B6A" w:rsidRPr="006259B0" w:rsidRDefault="008434A8" w:rsidP="006259B0">
      <w:pPr>
        <w:spacing w:before="240" w:after="240" w:line="360" w:lineRule="auto"/>
        <w:ind w:right="51"/>
        <w:jc w:val="both"/>
        <w:rPr>
          <w:rFonts w:ascii="Palatino Linotype" w:eastAsia="Palatino Linotype" w:hAnsi="Palatino Linotype" w:cs="Palatino Linotype"/>
        </w:rPr>
      </w:pPr>
      <w:r w:rsidRPr="006259B0">
        <w:rPr>
          <w:rFonts w:ascii="Palatino Linotype" w:eastAsia="Palatino Linotype" w:hAnsi="Palatino Linotype" w:cs="Palatino Linotype"/>
        </w:rPr>
        <w:t>Se tiene entonces que, debido a la falta de disposiciones legales expresas, la figura jurídica de negligencia médica no existe; es más, nunca ha existido, por lo que legalmente este delito no está tipificado en el país.</w:t>
      </w:r>
    </w:p>
    <w:p w:rsidR="008F7B6A" w:rsidRPr="006259B0" w:rsidRDefault="008434A8" w:rsidP="006259B0">
      <w:pPr>
        <w:spacing w:before="240" w:after="240" w:line="360" w:lineRule="auto"/>
        <w:ind w:right="51"/>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No obstante, especialistas en el tema han señalado que la queja médica es una expresión manifiesta del usuario sobre su insatisfacción con los servicios recibidos. Los motivos de esta queja pueden tener relación con problemas en la comunicación; información deficiente; en las expectativas incumplidas; exceso de burocracia; largos tiempos de espera; falta de calidez, problemas en la relación médico-paciente; </w:t>
      </w:r>
      <w:r w:rsidRPr="006259B0">
        <w:rPr>
          <w:rFonts w:ascii="Palatino Linotype" w:eastAsia="Palatino Linotype" w:hAnsi="Palatino Linotype" w:cs="Palatino Linotype"/>
        </w:rPr>
        <w:lastRenderedPageBreak/>
        <w:t>preparación médica deficiente o inexperiencia; mala práctica médica y daños causados al paciente.</w:t>
      </w:r>
      <w:r w:rsidRPr="006259B0">
        <w:rPr>
          <w:rFonts w:ascii="Palatino Linotype" w:eastAsia="Palatino Linotype" w:hAnsi="Palatino Linotype" w:cs="Palatino Linotype"/>
          <w:vertAlign w:val="superscript"/>
        </w:rPr>
        <w:footnoteReference w:id="3"/>
      </w:r>
    </w:p>
    <w:p w:rsidR="008F7B6A" w:rsidRPr="006259B0" w:rsidRDefault="008434A8" w:rsidP="006259B0">
      <w:pPr>
        <w:spacing w:before="240" w:after="240" w:line="360" w:lineRule="auto"/>
        <w:ind w:right="51"/>
        <w:jc w:val="both"/>
        <w:rPr>
          <w:rFonts w:ascii="Palatino Linotype" w:eastAsia="Palatino Linotype" w:hAnsi="Palatino Linotype" w:cs="Palatino Linotype"/>
        </w:rPr>
      </w:pPr>
      <w:r w:rsidRPr="006259B0">
        <w:rPr>
          <w:rFonts w:ascii="Palatino Linotype" w:eastAsia="Palatino Linotype" w:hAnsi="Palatino Linotype" w:cs="Palatino Linotype"/>
        </w:rPr>
        <w:t>En México hay dos vías para interponer una queja médica; la primera es de carácter jurisdiccional, donde se ubican el ministerio público y los tribunales civiles, mientras que la segunda cumple una función arbitral y opera a través de la Comisión Nacional de Arbitraje Médico, y de la Comisión de Conciliación y Arbitraje Médico del Estado de México, en el caso de la entidad.</w:t>
      </w:r>
    </w:p>
    <w:p w:rsidR="008F7B6A" w:rsidRPr="006259B0" w:rsidRDefault="008434A8" w:rsidP="006259B0">
      <w:pPr>
        <w:spacing w:before="240" w:after="240" w:line="360" w:lineRule="auto"/>
        <w:ind w:right="51"/>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Al respecto, la Comisión de Conciliación y Arbitraje Médico del Estado de México, fue creada mediante decreto del Ejecutivo Estatal, el 12 de febrero de 1998, como un órgano desconcentrado del Instituto de Salud del Estado de México, dotado de autonomía técnica y administrativa para que emita opiniones, acuerdos y laudos y para que actúe conforme a sus atribuciones, con imparcialidad, confidencialidad, justicia, buena fe, economía procesal y gratuidad, siendo un elemento de cooperación con los órganos internos de las instituciones públicas del sector salud instrumentando medidas para trabajar conjuntamente con los Colegios, Academias, comités de ética médica tanto de instituciones públicas como privadas y coadyuvando con las instituciones de procuración y administración de justicia tutelando el derecho a la salud, y, a partir del 13 de julio del 2002, mediante la expedición del Código Administrativo del Estado de México, publicado en la Gaceta de Gobierno el 13 de diciembre de 2001, esta institución cambia su denominación y naturaleza jurídica quedando como Comisión de Conciliación y </w:t>
      </w:r>
      <w:r w:rsidRPr="006259B0">
        <w:rPr>
          <w:rFonts w:ascii="Palatino Linotype" w:eastAsia="Palatino Linotype" w:hAnsi="Palatino Linotype" w:cs="Palatino Linotype"/>
        </w:rPr>
        <w:lastRenderedPageBreak/>
        <w:t>Arbitraje Médico del Estado de México, Organismo Público Descentralizado con personalidad jurídica y patrimonio propio que tiene por objeto a contribuir a la solución de los conflictos suscitados entre los usuarios y prestadores de servicios médicos.</w:t>
      </w:r>
    </w:p>
    <w:p w:rsidR="008F7B6A" w:rsidRPr="006259B0" w:rsidRDefault="008434A8" w:rsidP="006259B0">
      <w:pPr>
        <w:spacing w:before="240" w:after="240" w:line="360" w:lineRule="auto"/>
        <w:ind w:right="51"/>
        <w:jc w:val="both"/>
        <w:rPr>
          <w:rFonts w:ascii="Palatino Linotype" w:eastAsia="Palatino Linotype" w:hAnsi="Palatino Linotype" w:cs="Palatino Linotype"/>
        </w:rPr>
      </w:pPr>
      <w:r w:rsidRPr="006259B0">
        <w:rPr>
          <w:rFonts w:ascii="Palatino Linotype" w:eastAsia="Palatino Linotype" w:hAnsi="Palatino Linotype" w:cs="Palatino Linotype"/>
        </w:rPr>
        <w:t>Entre sus atribuciones se identifican las siguientes de conformidad con el artículo 2.26 del Código Administrativo del Estado de México:</w:t>
      </w:r>
    </w:p>
    <w:p w:rsidR="008F7B6A" w:rsidRPr="006259B0" w:rsidRDefault="008434A8" w:rsidP="006259B0">
      <w:pPr>
        <w:spacing w:before="120" w:after="120"/>
        <w:ind w:left="851" w:right="902"/>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i/>
          <w:sz w:val="22"/>
          <w:szCs w:val="22"/>
        </w:rPr>
        <w:t>“La Comisión, para el cumplimiento de su objeto, tiene las atribuciones siguientes:</w:t>
      </w:r>
    </w:p>
    <w:p w:rsidR="008F7B6A" w:rsidRPr="006259B0" w:rsidRDefault="008434A8" w:rsidP="006259B0">
      <w:pPr>
        <w:spacing w:before="120" w:after="120"/>
        <w:ind w:left="1134" w:right="902"/>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I</w:t>
      </w:r>
      <w:r w:rsidRPr="006259B0">
        <w:rPr>
          <w:rFonts w:ascii="Palatino Linotype" w:eastAsia="Palatino Linotype" w:hAnsi="Palatino Linotype" w:cs="Palatino Linotype"/>
          <w:i/>
          <w:sz w:val="22"/>
          <w:szCs w:val="22"/>
        </w:rPr>
        <w:t xml:space="preserve">. Brindar asesoría médico-legal e información a los usuarios y prestadores de servicios médicos sobre sus derechos y obligaciones en la materia; </w:t>
      </w:r>
    </w:p>
    <w:p w:rsidR="008F7B6A" w:rsidRPr="006259B0" w:rsidRDefault="008434A8" w:rsidP="006259B0">
      <w:pPr>
        <w:spacing w:before="120" w:after="120"/>
        <w:ind w:left="1134" w:right="902"/>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II.</w:t>
      </w:r>
      <w:r w:rsidRPr="006259B0">
        <w:rPr>
          <w:rFonts w:ascii="Palatino Linotype" w:eastAsia="Palatino Linotype" w:hAnsi="Palatino Linotype" w:cs="Palatino Linotype"/>
          <w:i/>
          <w:sz w:val="22"/>
          <w:szCs w:val="22"/>
        </w:rPr>
        <w:t xml:space="preserve"> </w:t>
      </w:r>
      <w:r w:rsidRPr="006259B0">
        <w:rPr>
          <w:rFonts w:ascii="Palatino Linotype" w:eastAsia="Palatino Linotype" w:hAnsi="Palatino Linotype" w:cs="Palatino Linotype"/>
          <w:b/>
          <w:i/>
          <w:sz w:val="22"/>
          <w:szCs w:val="22"/>
        </w:rPr>
        <w:t xml:space="preserve">Recibir, investigar y substanciar </w:t>
      </w:r>
      <w:r w:rsidRPr="006259B0">
        <w:rPr>
          <w:rFonts w:ascii="Palatino Linotype" w:eastAsia="Palatino Linotype" w:hAnsi="Palatino Linotype" w:cs="Palatino Linotype"/>
          <w:b/>
          <w:i/>
          <w:sz w:val="22"/>
          <w:szCs w:val="22"/>
          <w:u w:val="single"/>
        </w:rPr>
        <w:t xml:space="preserve">las quejas que presenten los usuarios en contra de prestadores de servicios médicos </w:t>
      </w:r>
      <w:r w:rsidRPr="006259B0">
        <w:rPr>
          <w:rFonts w:ascii="Palatino Linotype" w:eastAsia="Palatino Linotype" w:hAnsi="Palatino Linotype" w:cs="Palatino Linotype"/>
          <w:b/>
          <w:i/>
          <w:sz w:val="22"/>
          <w:szCs w:val="22"/>
        </w:rPr>
        <w:t>por supuestas irregularidades en su prestación o por la negativa a otorgarlos</w:t>
      </w:r>
      <w:r w:rsidRPr="006259B0">
        <w:rPr>
          <w:rFonts w:ascii="Palatino Linotype" w:eastAsia="Palatino Linotype" w:hAnsi="Palatino Linotype" w:cs="Palatino Linotype"/>
          <w:i/>
          <w:sz w:val="22"/>
          <w:szCs w:val="22"/>
        </w:rPr>
        <w:t>;</w:t>
      </w:r>
    </w:p>
    <w:p w:rsidR="008F7B6A" w:rsidRPr="006259B0" w:rsidRDefault="008434A8" w:rsidP="006259B0">
      <w:pPr>
        <w:spacing w:before="120" w:after="120"/>
        <w:ind w:left="1134" w:right="902"/>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III</w:t>
      </w:r>
      <w:r w:rsidRPr="006259B0">
        <w:rPr>
          <w:rFonts w:ascii="Palatino Linotype" w:eastAsia="Palatino Linotype" w:hAnsi="Palatino Linotype" w:cs="Palatino Linotype"/>
          <w:i/>
          <w:sz w:val="22"/>
          <w:szCs w:val="22"/>
        </w:rPr>
        <w:t xml:space="preserve">. </w:t>
      </w:r>
      <w:r w:rsidRPr="006259B0">
        <w:rPr>
          <w:rFonts w:ascii="Palatino Linotype" w:eastAsia="Palatino Linotype" w:hAnsi="Palatino Linotype" w:cs="Palatino Linotype"/>
          <w:b/>
          <w:i/>
          <w:sz w:val="22"/>
          <w:szCs w:val="22"/>
        </w:rPr>
        <w:t>Intervenir en amigable composición para conciliar conflictos derivados de la prestación de servicios médicos, por alguno de los supuestos siguientes</w:t>
      </w:r>
      <w:r w:rsidRPr="006259B0">
        <w:rPr>
          <w:rFonts w:ascii="Palatino Linotype" w:eastAsia="Palatino Linotype" w:hAnsi="Palatino Linotype" w:cs="Palatino Linotype"/>
          <w:i/>
          <w:sz w:val="22"/>
          <w:szCs w:val="22"/>
        </w:rPr>
        <w:t xml:space="preserve">: </w:t>
      </w:r>
    </w:p>
    <w:p w:rsidR="008F7B6A" w:rsidRPr="006259B0" w:rsidRDefault="008434A8" w:rsidP="006259B0">
      <w:pPr>
        <w:spacing w:before="120" w:after="120"/>
        <w:ind w:left="1418" w:right="902"/>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a)</w:t>
      </w:r>
      <w:r w:rsidRPr="006259B0">
        <w:rPr>
          <w:rFonts w:ascii="Palatino Linotype" w:eastAsia="Palatino Linotype" w:hAnsi="Palatino Linotype" w:cs="Palatino Linotype"/>
          <w:i/>
          <w:sz w:val="22"/>
          <w:szCs w:val="22"/>
        </w:rPr>
        <w:t xml:space="preserve"> </w:t>
      </w:r>
      <w:r w:rsidRPr="006259B0">
        <w:rPr>
          <w:rFonts w:ascii="Palatino Linotype" w:eastAsia="Palatino Linotype" w:hAnsi="Palatino Linotype" w:cs="Palatino Linotype"/>
          <w:b/>
          <w:i/>
          <w:sz w:val="22"/>
          <w:szCs w:val="22"/>
          <w:u w:val="single"/>
        </w:rPr>
        <w:t>Probables actos u omisiones derivados de la prestación del servicio médico</w:t>
      </w:r>
      <w:r w:rsidRPr="006259B0">
        <w:rPr>
          <w:rFonts w:ascii="Palatino Linotype" w:eastAsia="Palatino Linotype" w:hAnsi="Palatino Linotype" w:cs="Palatino Linotype"/>
          <w:i/>
          <w:sz w:val="22"/>
          <w:szCs w:val="22"/>
        </w:rPr>
        <w:t xml:space="preserve">; </w:t>
      </w:r>
    </w:p>
    <w:p w:rsidR="008F7B6A" w:rsidRPr="006259B0" w:rsidRDefault="008434A8" w:rsidP="006259B0">
      <w:pPr>
        <w:spacing w:before="120" w:after="120"/>
        <w:ind w:left="1418" w:right="902"/>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b)</w:t>
      </w:r>
      <w:r w:rsidRPr="006259B0">
        <w:rPr>
          <w:rFonts w:ascii="Palatino Linotype" w:eastAsia="Palatino Linotype" w:hAnsi="Palatino Linotype" w:cs="Palatino Linotype"/>
          <w:i/>
          <w:sz w:val="22"/>
          <w:szCs w:val="22"/>
        </w:rPr>
        <w:t xml:space="preserve"> </w:t>
      </w:r>
      <w:r w:rsidRPr="006259B0">
        <w:rPr>
          <w:rFonts w:ascii="Palatino Linotype" w:eastAsia="Palatino Linotype" w:hAnsi="Palatino Linotype" w:cs="Palatino Linotype"/>
          <w:b/>
          <w:i/>
          <w:sz w:val="22"/>
          <w:szCs w:val="22"/>
          <w:u w:val="single"/>
        </w:rPr>
        <w:t>Probables casos de negligencia con consecuencia en la salud del usuario</w:t>
      </w:r>
      <w:r w:rsidRPr="006259B0">
        <w:rPr>
          <w:rFonts w:ascii="Palatino Linotype" w:eastAsia="Palatino Linotype" w:hAnsi="Palatino Linotype" w:cs="Palatino Linotype"/>
          <w:b/>
          <w:i/>
          <w:sz w:val="22"/>
          <w:szCs w:val="22"/>
        </w:rPr>
        <w:t>;</w:t>
      </w:r>
      <w:r w:rsidRPr="006259B0">
        <w:rPr>
          <w:rFonts w:ascii="Palatino Linotype" w:eastAsia="Palatino Linotype" w:hAnsi="Palatino Linotype" w:cs="Palatino Linotype"/>
          <w:i/>
          <w:sz w:val="22"/>
          <w:szCs w:val="22"/>
        </w:rPr>
        <w:t xml:space="preserve"> </w:t>
      </w:r>
    </w:p>
    <w:p w:rsidR="008F7B6A" w:rsidRPr="006259B0" w:rsidRDefault="008434A8" w:rsidP="006259B0">
      <w:pPr>
        <w:spacing w:before="120" w:after="120"/>
        <w:ind w:left="1134" w:right="902"/>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c)</w:t>
      </w:r>
      <w:r w:rsidRPr="006259B0">
        <w:rPr>
          <w:rFonts w:ascii="Palatino Linotype" w:eastAsia="Palatino Linotype" w:hAnsi="Palatino Linotype" w:cs="Palatino Linotype"/>
          <w:i/>
          <w:sz w:val="22"/>
          <w:szCs w:val="22"/>
        </w:rPr>
        <w:t xml:space="preserve"> Los que determine la Comisión, a través de disposiciones generales. </w:t>
      </w:r>
    </w:p>
    <w:p w:rsidR="008F7B6A" w:rsidRPr="006259B0" w:rsidRDefault="008434A8" w:rsidP="006259B0">
      <w:pPr>
        <w:spacing w:before="120" w:after="120"/>
        <w:ind w:left="1134" w:right="902"/>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IV</w:t>
      </w:r>
      <w:r w:rsidRPr="006259B0">
        <w:rPr>
          <w:rFonts w:ascii="Palatino Linotype" w:eastAsia="Palatino Linotype" w:hAnsi="Palatino Linotype" w:cs="Palatino Linotype"/>
          <w:i/>
          <w:sz w:val="22"/>
          <w:szCs w:val="22"/>
        </w:rPr>
        <w:t xml:space="preserve">. Fungir como árbitro y pronunciar el laudo que corresponda cuando el usuario y el prestador del servicio médico acepten expresamente someterse al arbitraje; </w:t>
      </w:r>
    </w:p>
    <w:p w:rsidR="008F7B6A" w:rsidRPr="006259B0" w:rsidRDefault="008434A8" w:rsidP="006259B0">
      <w:pPr>
        <w:spacing w:before="120" w:after="120"/>
        <w:ind w:left="1134" w:right="902"/>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V.</w:t>
      </w:r>
      <w:r w:rsidRPr="006259B0">
        <w:rPr>
          <w:rFonts w:ascii="Palatino Linotype" w:eastAsia="Palatino Linotype" w:hAnsi="Palatino Linotype" w:cs="Palatino Linotype"/>
          <w:i/>
          <w:sz w:val="22"/>
          <w:szCs w:val="22"/>
        </w:rPr>
        <w:t xml:space="preserve"> Solicitar a los prestadores de servicios médicos, los datos y documentos que sean necesarios para resolver las quejas y hacer del conocimiento del superior inmediato de aquellos o del órgano de control interno correspondiente, cuando los prestadores tengan en su poder los datos y documentos solicitados y se nieguen a remitirlos a la Comisión; </w:t>
      </w:r>
    </w:p>
    <w:p w:rsidR="008F7B6A" w:rsidRPr="006259B0" w:rsidRDefault="008434A8" w:rsidP="006259B0">
      <w:pPr>
        <w:spacing w:before="120" w:after="120"/>
        <w:ind w:left="1134" w:right="902"/>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lastRenderedPageBreak/>
        <w:t>VI.</w:t>
      </w:r>
      <w:r w:rsidRPr="006259B0">
        <w:rPr>
          <w:rFonts w:ascii="Palatino Linotype" w:eastAsia="Palatino Linotype" w:hAnsi="Palatino Linotype" w:cs="Palatino Linotype"/>
          <w:i/>
          <w:sz w:val="22"/>
          <w:szCs w:val="22"/>
        </w:rPr>
        <w:t xml:space="preserve"> Solicitar los datos y documentos que sean necesarios para mejor proveer los asuntos que le sean planteados y, en su caso, hacer del conocimiento de las autoridades de salud y los colegios y asociaciones de medicina la negativa expresa o tácita a proporcionarlos, así como </w:t>
      </w:r>
      <w:r w:rsidRPr="006259B0">
        <w:rPr>
          <w:rFonts w:ascii="Palatino Linotype" w:eastAsia="Palatino Linotype" w:hAnsi="Palatino Linotype" w:cs="Palatino Linotype"/>
          <w:b/>
          <w:i/>
          <w:sz w:val="22"/>
          <w:szCs w:val="22"/>
        </w:rPr>
        <w:t>informar a las autoridades competentes cuando se detecte que los hechos pudieran llegar a constituir un ilícito</w:t>
      </w:r>
      <w:r w:rsidRPr="006259B0">
        <w:rPr>
          <w:rFonts w:ascii="Palatino Linotype" w:eastAsia="Palatino Linotype" w:hAnsi="Palatino Linotype" w:cs="Palatino Linotype"/>
          <w:i/>
          <w:sz w:val="22"/>
          <w:szCs w:val="22"/>
        </w:rPr>
        <w:t xml:space="preserve">; </w:t>
      </w:r>
    </w:p>
    <w:p w:rsidR="008F7B6A" w:rsidRPr="006259B0" w:rsidRDefault="008434A8" w:rsidP="006259B0">
      <w:pPr>
        <w:spacing w:before="120" w:after="120"/>
        <w:ind w:left="1134" w:right="902"/>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 xml:space="preserve">VII. Elaborar los dictámenes o peritajes médicos que le sean solicitados por las autoridades judiciales, administrativas o el </w:t>
      </w:r>
      <w:r w:rsidRPr="006259B0">
        <w:rPr>
          <w:rFonts w:ascii="Palatino Linotype" w:eastAsia="Palatino Linotype" w:hAnsi="Palatino Linotype" w:cs="Palatino Linotype"/>
          <w:b/>
          <w:i/>
          <w:sz w:val="22"/>
          <w:szCs w:val="22"/>
          <w:u w:val="single"/>
        </w:rPr>
        <w:t>ministerio público</w:t>
      </w:r>
      <w:r w:rsidRPr="006259B0">
        <w:rPr>
          <w:rFonts w:ascii="Palatino Linotype" w:eastAsia="Palatino Linotype" w:hAnsi="Palatino Linotype" w:cs="Palatino Linotype"/>
          <w:b/>
          <w:i/>
          <w:sz w:val="22"/>
          <w:szCs w:val="22"/>
        </w:rPr>
        <w:t>,</w:t>
      </w:r>
      <w:r w:rsidRPr="006259B0">
        <w:rPr>
          <w:rFonts w:ascii="Palatino Linotype" w:eastAsia="Palatino Linotype" w:hAnsi="Palatino Linotype" w:cs="Palatino Linotype"/>
          <w:i/>
          <w:sz w:val="22"/>
          <w:szCs w:val="22"/>
        </w:rPr>
        <w:t xml:space="preserve"> en términos de los convenios que para tal efecto se celebren; </w:t>
      </w:r>
    </w:p>
    <w:p w:rsidR="008F7B6A" w:rsidRPr="006259B0" w:rsidRDefault="008434A8" w:rsidP="006259B0">
      <w:pPr>
        <w:spacing w:before="120" w:after="120"/>
        <w:ind w:left="1134" w:right="902"/>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VIII.</w:t>
      </w:r>
      <w:r w:rsidRPr="006259B0">
        <w:rPr>
          <w:rFonts w:ascii="Palatino Linotype" w:eastAsia="Palatino Linotype" w:hAnsi="Palatino Linotype" w:cs="Palatino Linotype"/>
          <w:i/>
          <w:sz w:val="22"/>
          <w:szCs w:val="22"/>
        </w:rPr>
        <w:t xml:space="preserve"> Intervenir de oficio en cualquier otra cuestión que se considere de interés general en la esfera de sus atribuciones; </w:t>
      </w:r>
      <w:r w:rsidRPr="006259B0">
        <w:rPr>
          <w:rFonts w:ascii="Palatino Linotype" w:eastAsia="Palatino Linotype" w:hAnsi="Palatino Linotype" w:cs="Palatino Linotype"/>
          <w:i/>
          <w:sz w:val="22"/>
          <w:szCs w:val="22"/>
        </w:rPr>
        <w:tab/>
      </w:r>
    </w:p>
    <w:p w:rsidR="008F7B6A" w:rsidRPr="006259B0" w:rsidRDefault="008434A8" w:rsidP="006259B0">
      <w:pPr>
        <w:spacing w:before="120" w:after="120"/>
        <w:ind w:left="1134" w:right="902"/>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IX</w:t>
      </w:r>
      <w:r w:rsidRPr="006259B0">
        <w:rPr>
          <w:rFonts w:ascii="Palatino Linotype" w:eastAsia="Palatino Linotype" w:hAnsi="Palatino Linotype" w:cs="Palatino Linotype"/>
          <w:i/>
          <w:sz w:val="22"/>
          <w:szCs w:val="22"/>
        </w:rPr>
        <w:t xml:space="preserve">. </w:t>
      </w:r>
      <w:r w:rsidRPr="006259B0">
        <w:rPr>
          <w:rFonts w:ascii="Palatino Linotype" w:eastAsia="Palatino Linotype" w:hAnsi="Palatino Linotype" w:cs="Palatino Linotype"/>
          <w:b/>
          <w:i/>
          <w:sz w:val="22"/>
          <w:szCs w:val="22"/>
        </w:rPr>
        <w:t xml:space="preserve">Informar a los prestadores de servicios médicos sobre las irregularidades que se adviertan en sus actividades, </w:t>
      </w:r>
      <w:r w:rsidRPr="006259B0">
        <w:rPr>
          <w:rFonts w:ascii="Palatino Linotype" w:eastAsia="Palatino Linotype" w:hAnsi="Palatino Linotype" w:cs="Palatino Linotype"/>
          <w:b/>
          <w:i/>
          <w:sz w:val="22"/>
          <w:szCs w:val="22"/>
          <w:u w:val="single"/>
        </w:rPr>
        <w:t>haciéndolas del conocimiento de la autoridad competente</w:t>
      </w:r>
      <w:r w:rsidRPr="006259B0">
        <w:rPr>
          <w:rFonts w:ascii="Palatino Linotype" w:eastAsia="Palatino Linotype" w:hAnsi="Palatino Linotype" w:cs="Palatino Linotype"/>
          <w:b/>
          <w:i/>
          <w:sz w:val="22"/>
          <w:szCs w:val="22"/>
        </w:rPr>
        <w:t xml:space="preserve"> </w:t>
      </w:r>
      <w:r w:rsidRPr="006259B0">
        <w:rPr>
          <w:rFonts w:ascii="Palatino Linotype" w:eastAsia="Palatino Linotype" w:hAnsi="Palatino Linotype" w:cs="Palatino Linotype"/>
          <w:b/>
          <w:i/>
          <w:sz w:val="22"/>
          <w:szCs w:val="22"/>
          <w:u w:val="single"/>
        </w:rPr>
        <w:t>cuando llegaren a ser constitutivas de responsabilidad</w:t>
      </w:r>
      <w:r w:rsidRPr="006259B0">
        <w:rPr>
          <w:rFonts w:ascii="Palatino Linotype" w:eastAsia="Palatino Linotype" w:hAnsi="Palatino Linotype" w:cs="Palatino Linotype"/>
          <w:b/>
          <w:i/>
          <w:sz w:val="22"/>
          <w:szCs w:val="22"/>
        </w:rPr>
        <w:t xml:space="preserve"> administrativa o </w:t>
      </w:r>
      <w:r w:rsidRPr="006259B0">
        <w:rPr>
          <w:rFonts w:ascii="Palatino Linotype" w:eastAsia="Palatino Linotype" w:hAnsi="Palatino Linotype" w:cs="Palatino Linotype"/>
          <w:b/>
          <w:i/>
          <w:sz w:val="22"/>
          <w:szCs w:val="22"/>
          <w:u w:val="single"/>
        </w:rPr>
        <w:t>penal</w:t>
      </w:r>
      <w:r w:rsidRPr="006259B0">
        <w:rPr>
          <w:rFonts w:ascii="Palatino Linotype" w:eastAsia="Palatino Linotype" w:hAnsi="Palatino Linotype" w:cs="Palatino Linotype"/>
          <w:i/>
          <w:sz w:val="22"/>
          <w:szCs w:val="22"/>
        </w:rPr>
        <w:t xml:space="preserve">; </w:t>
      </w:r>
    </w:p>
    <w:p w:rsidR="008F7B6A" w:rsidRPr="006259B0" w:rsidRDefault="008434A8" w:rsidP="006259B0">
      <w:pPr>
        <w:spacing w:before="120" w:after="120"/>
        <w:ind w:left="1134" w:right="902"/>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X</w:t>
      </w:r>
      <w:r w:rsidRPr="006259B0">
        <w:rPr>
          <w:rFonts w:ascii="Palatino Linotype" w:eastAsia="Palatino Linotype" w:hAnsi="Palatino Linotype" w:cs="Palatino Linotype"/>
          <w:i/>
          <w:sz w:val="22"/>
          <w:szCs w:val="22"/>
        </w:rPr>
        <w:t xml:space="preserve">. Otorgar a los usuarios asesoría respecto de los trámites a realizar con motivo de su queja; </w:t>
      </w:r>
    </w:p>
    <w:p w:rsidR="008F7B6A" w:rsidRPr="006259B0" w:rsidRDefault="008434A8" w:rsidP="006259B0">
      <w:pPr>
        <w:spacing w:before="120" w:after="120"/>
        <w:ind w:left="1134" w:right="902"/>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XI.</w:t>
      </w:r>
      <w:r w:rsidRPr="006259B0">
        <w:rPr>
          <w:rFonts w:ascii="Palatino Linotype" w:eastAsia="Palatino Linotype" w:hAnsi="Palatino Linotype" w:cs="Palatino Linotype"/>
          <w:i/>
          <w:sz w:val="22"/>
          <w:szCs w:val="22"/>
        </w:rPr>
        <w:t xml:space="preserve"> Convenir con institutos, asociaciones médicas, organizaciones públicas y privadas, la ejecución de acciones que le permitan el desarrollo y fortalecimiento de sus atribuciones; </w:t>
      </w:r>
    </w:p>
    <w:p w:rsidR="008F7B6A" w:rsidRPr="006259B0" w:rsidRDefault="008434A8" w:rsidP="006259B0">
      <w:pPr>
        <w:spacing w:before="120" w:after="120"/>
        <w:ind w:left="1134" w:right="902"/>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XII</w:t>
      </w:r>
      <w:r w:rsidRPr="006259B0">
        <w:rPr>
          <w:rFonts w:ascii="Palatino Linotype" w:eastAsia="Palatino Linotype" w:hAnsi="Palatino Linotype" w:cs="Palatino Linotype"/>
          <w:i/>
          <w:sz w:val="22"/>
          <w:szCs w:val="22"/>
        </w:rPr>
        <w:t xml:space="preserve">. Celebrar convenios con la Comisión Nacional de Arbitraje Médico, para la substanciación de arbitrajes con motivo de controversias que se susciten entre los usuarios y los prestadores de servicios médicos establecidos en el Estado; </w:t>
      </w:r>
    </w:p>
    <w:p w:rsidR="008F7B6A" w:rsidRPr="006259B0" w:rsidRDefault="008434A8" w:rsidP="006259B0">
      <w:pPr>
        <w:spacing w:before="120" w:after="120"/>
        <w:ind w:left="1134" w:right="902"/>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XIII.</w:t>
      </w:r>
      <w:r w:rsidRPr="006259B0">
        <w:rPr>
          <w:rFonts w:ascii="Palatino Linotype" w:eastAsia="Palatino Linotype" w:hAnsi="Palatino Linotype" w:cs="Palatino Linotype"/>
          <w:i/>
          <w:sz w:val="22"/>
          <w:szCs w:val="22"/>
        </w:rPr>
        <w:t xml:space="preserve"> Las demás que determinen otras disposiciones legales.”</w:t>
      </w:r>
    </w:p>
    <w:p w:rsidR="008F7B6A" w:rsidRPr="006259B0" w:rsidRDefault="008434A8" w:rsidP="006259B0">
      <w:pPr>
        <w:spacing w:before="240" w:after="240" w:line="360" w:lineRule="auto"/>
        <w:ind w:right="51"/>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En esta tesitura se advierte una competencia concurrente para conocer de la información que es del interés de la persona solicitante, al ser competente la Fiscalía General de Justicia del Estado de México para conocer por la vía jurisdiccional penal de las denuncias relacionadas con la probable comisión de delitos cometidos en el ejercicio de actividades profesionales o técnicas, por parte de médicos, cirujanos, parteros, enfermeros y demás profesionales, y similares y auxiliares; mientras que </w:t>
      </w:r>
      <w:r w:rsidRPr="006259B0">
        <w:rPr>
          <w:rFonts w:ascii="Palatino Linotype" w:eastAsia="Palatino Linotype" w:hAnsi="Palatino Linotype" w:cs="Palatino Linotype"/>
        </w:rPr>
        <w:lastRenderedPageBreak/>
        <w:t>el Poder Judicial es competente para conocer de las quejas médicas por la vía jurisdiccional civil, y finalmente, la Comisión de Conciliación y Arbitraje Médico del Estado de México es competente para conocer de las quejas médicas que presenten los usuarios en contra de prestadores de servicios médicos por supuestas irregularidades en su prestación o por la negativa en el ejercicio de sus funciones de arbitraje y conciliación y arbitraje, teniendo la obligación de informar al ministerio público cuando se detecte que los hechos pudieran llegar a constituir un ilícito.</w:t>
      </w:r>
    </w:p>
    <w:p w:rsidR="008F7B6A" w:rsidRPr="006259B0" w:rsidRDefault="008434A8" w:rsidP="006259B0">
      <w:pPr>
        <w:spacing w:before="240" w:after="240" w:line="360" w:lineRule="auto"/>
        <w:ind w:right="51"/>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En este orden de ideas, cobra relevancia lo manifestado por el </w:t>
      </w:r>
      <w:r w:rsidRPr="006259B0">
        <w:rPr>
          <w:rFonts w:ascii="Palatino Linotype" w:eastAsia="Palatino Linotype" w:hAnsi="Palatino Linotype" w:cs="Palatino Linotype"/>
          <w:b/>
        </w:rPr>
        <w:t xml:space="preserve">Sujeto Obligado </w:t>
      </w:r>
      <w:r w:rsidRPr="006259B0">
        <w:rPr>
          <w:rFonts w:ascii="Palatino Linotype" w:eastAsia="Palatino Linotype" w:hAnsi="Palatino Linotype" w:cs="Palatino Linotype"/>
        </w:rPr>
        <w:t xml:space="preserve">a través de su informe justificado mediante el cual precisó que dentro del catálogo de delitos que contempla el Código Penal del Estado de México no se encuentra estipulado como delito la </w:t>
      </w:r>
      <w:r w:rsidRPr="006259B0">
        <w:rPr>
          <w:rFonts w:ascii="Palatino Linotype" w:eastAsia="Palatino Linotype" w:hAnsi="Palatino Linotype" w:cs="Palatino Linotype"/>
          <w:i/>
        </w:rPr>
        <w:t>negligencia médica</w:t>
      </w:r>
      <w:r w:rsidRPr="006259B0">
        <w:rPr>
          <w:rFonts w:ascii="Palatino Linotype" w:eastAsia="Palatino Linotype" w:hAnsi="Palatino Linotype" w:cs="Palatino Linotype"/>
        </w:rPr>
        <w:t xml:space="preserve">, siendo que </w:t>
      </w:r>
      <w:r w:rsidRPr="006259B0">
        <w:rPr>
          <w:rFonts w:ascii="Palatino Linotype" w:eastAsia="Palatino Linotype" w:hAnsi="Palatino Linotype" w:cs="Palatino Linotype"/>
          <w:b/>
        </w:rPr>
        <w:t>las carpetas de investigación pudiesen iniciarse por conductas probablemente constitutivas de delito</w:t>
      </w:r>
      <w:r w:rsidRPr="006259B0">
        <w:rPr>
          <w:rFonts w:ascii="Palatino Linotype" w:eastAsia="Palatino Linotype" w:hAnsi="Palatino Linotype" w:cs="Palatino Linotype"/>
        </w:rPr>
        <w:t xml:space="preserve"> </w:t>
      </w:r>
      <w:r w:rsidRPr="006259B0">
        <w:rPr>
          <w:rFonts w:ascii="Palatino Linotype" w:eastAsia="Palatino Linotype" w:hAnsi="Palatino Linotype" w:cs="Palatino Linotype"/>
          <w:b/>
        </w:rPr>
        <w:t xml:space="preserve">como lesiones, homicidios y </w:t>
      </w:r>
      <w:r w:rsidRPr="006259B0">
        <w:rPr>
          <w:rFonts w:ascii="Palatino Linotype" w:eastAsia="Palatino Linotype" w:hAnsi="Palatino Linotype" w:cs="Palatino Linotype"/>
          <w:b/>
          <w:u w:val="single"/>
        </w:rPr>
        <w:t>aquellos cometidos en el ejercicio de actividades profesionales o técnicas</w:t>
      </w:r>
      <w:r w:rsidRPr="006259B0">
        <w:rPr>
          <w:rFonts w:ascii="Palatino Linotype" w:eastAsia="Palatino Linotype" w:hAnsi="Palatino Linotype" w:cs="Palatino Linotype"/>
          <w:b/>
        </w:rPr>
        <w:t>,</w:t>
      </w:r>
      <w:r w:rsidRPr="006259B0">
        <w:rPr>
          <w:rFonts w:ascii="Palatino Linotype" w:eastAsia="Palatino Linotype" w:hAnsi="Palatino Linotype" w:cs="Palatino Linotype"/>
        </w:rPr>
        <w:t xml:space="preserve"> que pueden generarse por una intervención médica, argumento que es coincidente con lo establecido en los artículos 181 y 182 del Código Penal del Estado de México, citados con antelación.</w:t>
      </w:r>
    </w:p>
    <w:p w:rsidR="008F7B6A" w:rsidRPr="006259B0" w:rsidRDefault="008434A8" w:rsidP="006259B0">
      <w:pPr>
        <w:spacing w:before="240" w:after="240" w:line="360" w:lineRule="auto"/>
        <w:ind w:right="51"/>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Por lo que, a fin de dar cumplimiento al principio de máxima publicidad, la Unidad de Transparencia informó que requirió a las unidades administrativas competentes, a efecto de que informaran si dentro de sus archivos o bases de datos se cuenta con lo requerido por la persona solicitante, y, derivado de la búsqueda exhaustiva y razonable por parte de estas en sus archivos, </w:t>
      </w:r>
      <w:r w:rsidRPr="006259B0">
        <w:rPr>
          <w:rFonts w:ascii="Palatino Linotype" w:eastAsia="Palatino Linotype" w:hAnsi="Palatino Linotype" w:cs="Palatino Linotype"/>
          <w:i/>
        </w:rPr>
        <w:t>se localizaron veinticuatro carpetas de investigación mediante las cuales se denunciaron hechos posiblemente constitutivos de delito en relación a lo peticionado</w:t>
      </w:r>
      <w:r w:rsidRPr="006259B0">
        <w:rPr>
          <w:rFonts w:ascii="Palatino Linotype" w:eastAsia="Palatino Linotype" w:hAnsi="Palatino Linotype" w:cs="Palatino Linotype"/>
        </w:rPr>
        <w:t xml:space="preserve">, advirtiendo que, mediante dicho pronunciamiento </w:t>
      </w:r>
      <w:r w:rsidRPr="006259B0">
        <w:rPr>
          <w:rFonts w:ascii="Palatino Linotype" w:eastAsia="Palatino Linotype" w:hAnsi="Palatino Linotype" w:cs="Palatino Linotype"/>
        </w:rPr>
        <w:lastRenderedPageBreak/>
        <w:t>atiende el requerimiento de información marcado con el numeral 1, a través del cual se solicitó el número de denuncias interpuestas por negligencia médica en el Estado de México, durante la presente administración, al trece de julio de dos mil veintidós.</w:t>
      </w:r>
    </w:p>
    <w:p w:rsidR="008F7B6A" w:rsidRPr="006259B0" w:rsidRDefault="008434A8" w:rsidP="006259B0">
      <w:pPr>
        <w:spacing w:before="240" w:after="360" w:line="360" w:lineRule="auto"/>
        <w:ind w:right="18"/>
        <w:jc w:val="both"/>
        <w:rPr>
          <w:rFonts w:ascii="Palatino Linotype" w:eastAsia="Palatino Linotype" w:hAnsi="Palatino Linotype" w:cs="Palatino Linotype"/>
        </w:rPr>
      </w:pPr>
      <w:bookmarkStart w:id="9" w:name="_heading=h.35nkun2" w:colFirst="0" w:colLast="0"/>
      <w:bookmarkEnd w:id="9"/>
      <w:r w:rsidRPr="006259B0">
        <w:rPr>
          <w:rFonts w:ascii="Palatino Linotype" w:eastAsia="Palatino Linotype" w:hAnsi="Palatino Linotype" w:cs="Palatino Linotype"/>
        </w:rPr>
        <w:t xml:space="preserve">Siendo importante mencionar que, al haber existido un pronunciamiento por parte del </w:t>
      </w:r>
      <w:r w:rsidRPr="006259B0">
        <w:rPr>
          <w:rFonts w:ascii="Palatino Linotype" w:eastAsia="Palatino Linotype" w:hAnsi="Palatino Linotype" w:cs="Palatino Linotype"/>
          <w:b/>
        </w:rPr>
        <w:t>Sujeto Obligado</w:t>
      </w:r>
      <w:r w:rsidRPr="006259B0">
        <w:rPr>
          <w:rFonts w:ascii="Palatino Linotype" w:eastAsia="Palatino Linotype" w:hAnsi="Palatino Linotype" w:cs="Palatino Linotype"/>
        </w:rPr>
        <w:t xml:space="preserve"> respecto de la materia del requerimiento de información en estudio, este Organismo Garante no está facultado para manifestarse sobre la veracidad de lo expresado por parte de este, pues no existe precepto legal alguno en la Ley de la materia que lo faculte para ello.</w:t>
      </w:r>
    </w:p>
    <w:p w:rsidR="008F7B6A" w:rsidRPr="006259B0" w:rsidRDefault="008434A8" w:rsidP="006259B0">
      <w:pPr>
        <w:spacing w:before="240" w:after="360" w:line="360" w:lineRule="auto"/>
        <w:ind w:right="18"/>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008F7B6A" w:rsidRPr="006259B0" w:rsidRDefault="008434A8" w:rsidP="006259B0">
      <w:pPr>
        <w:spacing w:before="240" w:after="240"/>
        <w:ind w:left="993" w:right="1041"/>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i/>
          <w:sz w:val="22"/>
          <w:szCs w:val="22"/>
        </w:rPr>
        <w:t>“</w:t>
      </w:r>
      <w:r w:rsidRPr="006259B0">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6259B0">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8F7B6A" w:rsidRPr="006259B0" w:rsidRDefault="008434A8" w:rsidP="006259B0">
      <w:pPr>
        <w:spacing w:before="240" w:after="240" w:line="360" w:lineRule="auto"/>
        <w:ind w:right="51"/>
        <w:jc w:val="both"/>
        <w:rPr>
          <w:rFonts w:ascii="Palatino Linotype" w:eastAsia="Palatino Linotype" w:hAnsi="Palatino Linotype" w:cs="Palatino Linotype"/>
        </w:rPr>
      </w:pPr>
      <w:r w:rsidRPr="006259B0">
        <w:rPr>
          <w:rFonts w:ascii="Palatino Linotype" w:eastAsia="Palatino Linotype" w:hAnsi="Palatino Linotype" w:cs="Palatino Linotype"/>
        </w:rPr>
        <w:lastRenderedPageBreak/>
        <w:t xml:space="preserve">Por otro lado, respecto de los documentos en los que conste el </w:t>
      </w:r>
      <w:r w:rsidRPr="006259B0">
        <w:rPr>
          <w:rFonts w:ascii="Palatino Linotype" w:eastAsia="Palatino Linotype" w:hAnsi="Palatino Linotype" w:cs="Palatino Linotype"/>
          <w:i/>
        </w:rPr>
        <w:t>espacio médico donde ocurrió el acto de negligencia</w:t>
      </w:r>
      <w:r w:rsidRPr="006259B0">
        <w:rPr>
          <w:rFonts w:ascii="Palatino Linotype" w:eastAsia="Palatino Linotype" w:hAnsi="Palatino Linotype" w:cs="Palatino Linotype"/>
        </w:rPr>
        <w:t xml:space="preserve"> y la </w:t>
      </w:r>
      <w:r w:rsidRPr="006259B0">
        <w:rPr>
          <w:rFonts w:ascii="Palatino Linotype" w:eastAsia="Palatino Linotype" w:hAnsi="Palatino Linotype" w:cs="Palatino Linotype"/>
          <w:i/>
        </w:rPr>
        <w:t>circunstancia en la que se dio la negligencia</w:t>
      </w:r>
      <w:r w:rsidRPr="006259B0">
        <w:rPr>
          <w:rFonts w:ascii="Palatino Linotype" w:eastAsia="Palatino Linotype" w:hAnsi="Palatino Linotype" w:cs="Palatino Linotype"/>
        </w:rPr>
        <w:t xml:space="preserve">, es importante recordar que el </w:t>
      </w:r>
      <w:r w:rsidRPr="006259B0">
        <w:rPr>
          <w:rFonts w:ascii="Palatino Linotype" w:eastAsia="Palatino Linotype" w:hAnsi="Palatino Linotype" w:cs="Palatino Linotype"/>
          <w:b/>
        </w:rPr>
        <w:t>Sujeto Obligado</w:t>
      </w:r>
      <w:r w:rsidRPr="006259B0">
        <w:rPr>
          <w:rFonts w:ascii="Palatino Linotype" w:eastAsia="Palatino Linotype" w:hAnsi="Palatino Linotype" w:cs="Palatino Linotype"/>
        </w:rPr>
        <w:t xml:space="preserve"> manifestó que al encontrarse en proceso de integración las carpetas referidas no era posible proporcionar mayores elementos, asimismo, que para entregar concretamente lo requerido tendría que analizar cada una de las carpetas y generar un documento ad hoc, tarea que la normativa aplicable no contempla, toda vez que la obligación de transparencia implica únicamente que los entes públicos hagan entrega de la información que se les requiera y que obre en sus archivos, en el estado en el que esta se encuentre, sin que ello conlleve generar </w:t>
      </w:r>
      <w:r w:rsidR="007D2C8A" w:rsidRPr="006259B0">
        <w:rPr>
          <w:rFonts w:ascii="Palatino Linotype" w:eastAsia="Palatino Linotype" w:hAnsi="Palatino Linotype" w:cs="Palatino Linotype"/>
        </w:rPr>
        <w:t>información</w:t>
      </w:r>
      <w:r w:rsidRPr="006259B0">
        <w:rPr>
          <w:rFonts w:ascii="Palatino Linotype" w:eastAsia="Palatino Linotype" w:hAnsi="Palatino Linotype" w:cs="Palatino Linotype"/>
        </w:rPr>
        <w:t>, procesar información o practicar investigaciones, para entregarla conforme al interés de los solicitantes.</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Bajo tales consideraciones, conviene resaltar que si bien ha quedado asentado que las atribuciones conferidas al </w:t>
      </w:r>
      <w:r w:rsidRPr="006259B0">
        <w:rPr>
          <w:rFonts w:ascii="Palatino Linotype" w:eastAsia="Palatino Linotype" w:hAnsi="Palatino Linotype" w:cs="Palatino Linotype"/>
          <w:b/>
        </w:rPr>
        <w:t>Sujeto Obligado</w:t>
      </w:r>
      <w:r w:rsidRPr="006259B0">
        <w:rPr>
          <w:rFonts w:ascii="Palatino Linotype" w:eastAsia="Palatino Linotype" w:hAnsi="Palatino Linotype" w:cs="Palatino Linotype"/>
        </w:rPr>
        <w:t xml:space="preserve"> a través de las disposiciones legales así como los argumentos hechos valer con antelación, dan cuenta que la posibilidad de proporcionar respuesta a los requerimientos de la parte </w:t>
      </w:r>
      <w:r w:rsidRPr="006259B0">
        <w:rPr>
          <w:rFonts w:ascii="Palatino Linotype" w:eastAsia="Palatino Linotype" w:hAnsi="Palatino Linotype" w:cs="Palatino Linotype"/>
          <w:b/>
        </w:rPr>
        <w:t>Recurrente</w:t>
      </w:r>
      <w:r w:rsidRPr="006259B0">
        <w:rPr>
          <w:rFonts w:ascii="Palatino Linotype" w:eastAsia="Palatino Linotype" w:hAnsi="Palatino Linotype" w:cs="Palatino Linotype"/>
        </w:rPr>
        <w:t xml:space="preserve"> a través del soporte documental en el que obre lo solicitado, asimismo que, al ser un ente que ejerce recursos públicos, tiene la obligación de transparentar sus actuaciones, garantizando el derecho humano de acceso a la información pública, lo cierto es que dicho derecho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8F7B6A" w:rsidRPr="006259B0" w:rsidRDefault="008434A8" w:rsidP="006259B0">
      <w:pPr>
        <w:ind w:left="851" w:right="900"/>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lastRenderedPageBreak/>
        <w:t xml:space="preserve">“Artículo 91. </w:t>
      </w:r>
      <w:r w:rsidRPr="006259B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Siendo importante mencionar que la restricción al derecho de acceso a la información implica necesariamente una clasificación, la cual debe entenderse como el proceso mediante el cual el Sujeto Obligado determina que la información en su poder, actualiza alguno de los supuestos de reserva o confidencialidad, de conformidad con las normas aplicables.</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Así, se entiende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6259B0">
        <w:rPr>
          <w:rFonts w:ascii="Palatino Linotype" w:eastAsia="Palatino Linotype" w:hAnsi="Palatino Linotype" w:cs="Palatino Linotype"/>
          <w:sz w:val="18"/>
          <w:szCs w:val="18"/>
        </w:rPr>
        <w:t xml:space="preserve">. </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En lo que concierne a la información clasificada como reservada, para que el acceso a la información pública pueda ser restringido, se deben actualizar los supuestos establecidos en el artículo 113 de la y Ley General de Transparencia Acceso a la Información Pública y el artículo 140 de la Ley de Transparencia y Acceso a la Información Pública del Estado de México y Municipios, que a la letra señalan lo siguiente:</w:t>
      </w:r>
    </w:p>
    <w:p w:rsidR="008F7B6A" w:rsidRPr="006259B0" w:rsidRDefault="008434A8" w:rsidP="006259B0">
      <w:pPr>
        <w:spacing w:before="120" w:after="120"/>
        <w:ind w:left="851" w:right="851"/>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“Artículo 113.</w:t>
      </w:r>
      <w:r w:rsidRPr="006259B0">
        <w:rPr>
          <w:rFonts w:ascii="Palatino Linotype" w:eastAsia="Palatino Linotype" w:hAnsi="Palatino Linotype" w:cs="Palatino Linotype"/>
          <w:i/>
          <w:sz w:val="22"/>
          <w:szCs w:val="22"/>
        </w:rPr>
        <w:t xml:space="preserve"> Como información reservada podrá clasificarse aquella cuya publicación:</w:t>
      </w:r>
    </w:p>
    <w:p w:rsidR="008F7B6A" w:rsidRPr="006259B0" w:rsidRDefault="008434A8" w:rsidP="006259B0">
      <w:pPr>
        <w:spacing w:before="120" w:after="120"/>
        <w:ind w:left="1134" w:right="851"/>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lastRenderedPageBreak/>
        <w:t xml:space="preserve"> I.</w:t>
      </w:r>
      <w:r w:rsidRPr="006259B0">
        <w:rPr>
          <w:rFonts w:ascii="Palatino Linotype" w:eastAsia="Palatino Linotype" w:hAnsi="Palatino Linotype" w:cs="Palatino Linotype"/>
          <w:i/>
          <w:sz w:val="22"/>
          <w:szCs w:val="22"/>
        </w:rPr>
        <w:t xml:space="preserve"> Comprometa la seguridad nacional, la seguridad pública o la defensa nacional y cuente con un propósito genuino y un efecto demostrable; </w:t>
      </w:r>
    </w:p>
    <w:p w:rsidR="008F7B6A" w:rsidRPr="006259B0" w:rsidRDefault="008434A8" w:rsidP="006259B0">
      <w:pPr>
        <w:spacing w:before="120" w:after="120"/>
        <w:ind w:left="1134" w:right="851"/>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II.</w:t>
      </w:r>
      <w:r w:rsidRPr="006259B0">
        <w:rPr>
          <w:rFonts w:ascii="Palatino Linotype" w:eastAsia="Palatino Linotype" w:hAnsi="Palatino Linotype" w:cs="Palatino Linotype"/>
          <w:i/>
          <w:sz w:val="22"/>
          <w:szCs w:val="22"/>
        </w:rPr>
        <w:t xml:space="preserve"> Pueda menoscabar la conducción de las negociaciones y relaciones internacionales; </w:t>
      </w:r>
      <w:r w:rsidRPr="006259B0">
        <w:rPr>
          <w:rFonts w:ascii="Palatino Linotype" w:eastAsia="Palatino Linotype" w:hAnsi="Palatino Linotype" w:cs="Palatino Linotype"/>
          <w:i/>
          <w:sz w:val="22"/>
          <w:szCs w:val="22"/>
        </w:rPr>
        <w:br/>
      </w:r>
      <w:r w:rsidRPr="006259B0">
        <w:rPr>
          <w:rFonts w:ascii="Palatino Linotype" w:eastAsia="Palatino Linotype" w:hAnsi="Palatino Linotype" w:cs="Palatino Linotype"/>
          <w:b/>
          <w:i/>
          <w:sz w:val="22"/>
          <w:szCs w:val="22"/>
        </w:rPr>
        <w:t>III.</w:t>
      </w:r>
      <w:r w:rsidRPr="006259B0">
        <w:rPr>
          <w:rFonts w:ascii="Palatino Linotype" w:eastAsia="Palatino Linotype" w:hAnsi="Palatino Linotype" w:cs="Palatino Linotype"/>
          <w:i/>
          <w:sz w:val="22"/>
          <w:szCs w:val="22"/>
        </w:rPr>
        <w:t xml:space="preserve"> Se entregue al Estado mexicano expresamente con ese carácter o el de confidencial por otro u otros sujetos de derecho internacional, excepto cuando se trate de violaciones graves de derechos humanos o delitos de lesa humanidad de conformidad con el derecho internacional; </w:t>
      </w:r>
    </w:p>
    <w:p w:rsidR="008F7B6A" w:rsidRPr="006259B0" w:rsidRDefault="008434A8" w:rsidP="006259B0">
      <w:pPr>
        <w:spacing w:before="120" w:after="120"/>
        <w:ind w:left="1134" w:right="851"/>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IV.</w:t>
      </w:r>
      <w:r w:rsidRPr="006259B0">
        <w:rPr>
          <w:rFonts w:ascii="Palatino Linotype" w:eastAsia="Palatino Linotype" w:hAnsi="Palatino Linotype" w:cs="Palatino Linotype"/>
          <w:i/>
          <w:sz w:val="22"/>
          <w:szCs w:val="22"/>
        </w:rPr>
        <w:t xml:space="preserve"> 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 </w:t>
      </w:r>
    </w:p>
    <w:p w:rsidR="008F7B6A" w:rsidRPr="006259B0" w:rsidRDefault="008434A8" w:rsidP="006259B0">
      <w:pPr>
        <w:spacing w:before="120" w:after="120"/>
        <w:ind w:left="1134" w:right="851"/>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V.</w:t>
      </w:r>
      <w:r w:rsidRPr="006259B0">
        <w:rPr>
          <w:rFonts w:ascii="Palatino Linotype" w:eastAsia="Palatino Linotype" w:hAnsi="Palatino Linotype" w:cs="Palatino Linotype"/>
          <w:i/>
          <w:sz w:val="22"/>
          <w:szCs w:val="22"/>
        </w:rPr>
        <w:t xml:space="preserve"> Pueda poner en riesgo la vida, seguridad o salud de una persona física; </w:t>
      </w:r>
    </w:p>
    <w:p w:rsidR="008F7B6A" w:rsidRPr="006259B0" w:rsidRDefault="008434A8" w:rsidP="006259B0">
      <w:pPr>
        <w:spacing w:before="120" w:after="120"/>
        <w:ind w:left="1134" w:right="851"/>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VI</w:t>
      </w:r>
      <w:r w:rsidRPr="006259B0">
        <w:rPr>
          <w:rFonts w:ascii="Palatino Linotype" w:eastAsia="Palatino Linotype" w:hAnsi="Palatino Linotype" w:cs="Palatino Linotype"/>
          <w:i/>
          <w:sz w:val="22"/>
          <w:szCs w:val="22"/>
        </w:rPr>
        <w:t xml:space="preserve">. Obstruya las actividades de verificación, inspección y auditoría relativas al cumplimiento de las leyes o afecte la recaudación de contribuciones; </w:t>
      </w:r>
    </w:p>
    <w:p w:rsidR="008F7B6A" w:rsidRPr="006259B0" w:rsidRDefault="008434A8" w:rsidP="006259B0">
      <w:pPr>
        <w:spacing w:before="120" w:after="120"/>
        <w:ind w:left="1134" w:right="851"/>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VII.</w:t>
      </w:r>
      <w:r w:rsidRPr="006259B0">
        <w:rPr>
          <w:rFonts w:ascii="Palatino Linotype" w:eastAsia="Palatino Linotype" w:hAnsi="Palatino Linotype" w:cs="Palatino Linotype"/>
          <w:i/>
          <w:sz w:val="22"/>
          <w:szCs w:val="22"/>
        </w:rPr>
        <w:t xml:space="preserve"> Obstruya la prevención o persecución de los delitos; </w:t>
      </w:r>
    </w:p>
    <w:p w:rsidR="008F7B6A" w:rsidRPr="006259B0" w:rsidRDefault="008434A8" w:rsidP="006259B0">
      <w:pPr>
        <w:spacing w:before="120" w:after="120"/>
        <w:ind w:left="1134" w:right="851"/>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VIII.</w:t>
      </w:r>
      <w:r w:rsidRPr="006259B0">
        <w:rPr>
          <w:rFonts w:ascii="Palatino Linotype" w:eastAsia="Palatino Linotype" w:hAnsi="Palatino Linotype" w:cs="Palatino Linotype"/>
          <w:i/>
          <w:sz w:val="22"/>
          <w:szCs w:val="22"/>
        </w:rPr>
        <w:t xml:space="preserve"> La que contenga las opiniones, recomendaciones o puntos de vista que formen parte del proceso deliberativo de los servidores públicos, hasta en tanto no sea adoptada la decisión definitiva, la cual deberá estar documentada; </w:t>
      </w:r>
    </w:p>
    <w:p w:rsidR="008F7B6A" w:rsidRPr="006259B0" w:rsidRDefault="008434A8" w:rsidP="006259B0">
      <w:pPr>
        <w:spacing w:before="120" w:after="120"/>
        <w:ind w:left="1134" w:right="851"/>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IX.</w:t>
      </w:r>
      <w:r w:rsidRPr="006259B0">
        <w:rPr>
          <w:rFonts w:ascii="Palatino Linotype" w:eastAsia="Palatino Linotype" w:hAnsi="Palatino Linotype" w:cs="Palatino Linotype"/>
          <w:i/>
          <w:sz w:val="22"/>
          <w:szCs w:val="22"/>
        </w:rPr>
        <w:t xml:space="preserve"> Obstruya los procedimientos para fincar responsabilidad a los Servidores Públicos, en tanto no se haya dictado la resolución administrativa; </w:t>
      </w:r>
    </w:p>
    <w:p w:rsidR="008F7B6A" w:rsidRPr="006259B0" w:rsidRDefault="008434A8" w:rsidP="006259B0">
      <w:pPr>
        <w:spacing w:before="120" w:after="120"/>
        <w:ind w:left="1134" w:right="851"/>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X.</w:t>
      </w:r>
      <w:r w:rsidRPr="006259B0">
        <w:rPr>
          <w:rFonts w:ascii="Palatino Linotype" w:eastAsia="Palatino Linotype" w:hAnsi="Palatino Linotype" w:cs="Palatino Linotype"/>
          <w:i/>
          <w:sz w:val="22"/>
          <w:szCs w:val="22"/>
        </w:rPr>
        <w:t xml:space="preserve"> Afecte los derechos del debido proceso; </w:t>
      </w:r>
    </w:p>
    <w:p w:rsidR="008F7B6A" w:rsidRPr="006259B0" w:rsidRDefault="008434A8" w:rsidP="006259B0">
      <w:pPr>
        <w:spacing w:before="120" w:after="120"/>
        <w:ind w:left="1134" w:right="851"/>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XI.</w:t>
      </w:r>
      <w:r w:rsidRPr="006259B0">
        <w:rPr>
          <w:rFonts w:ascii="Palatino Linotype" w:eastAsia="Palatino Linotype" w:hAnsi="Palatino Linotype" w:cs="Palatino Linotype"/>
          <w:i/>
          <w:sz w:val="22"/>
          <w:szCs w:val="22"/>
        </w:rPr>
        <w:t xml:space="preserve"> Vulnere la conducción de los Expedientes judiciales o de los procedimientos administrativos seguidos en forma de juicio, en tanto no hayan causado estado;</w:t>
      </w:r>
    </w:p>
    <w:p w:rsidR="008F7B6A" w:rsidRPr="006259B0" w:rsidRDefault="008434A8" w:rsidP="006259B0">
      <w:pPr>
        <w:spacing w:before="120" w:after="120"/>
        <w:ind w:left="851" w:right="851"/>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Artículo 140</w:t>
      </w:r>
      <w:r w:rsidRPr="006259B0">
        <w:rPr>
          <w:rFonts w:ascii="Palatino Linotype" w:eastAsia="Palatino Linotype" w:hAnsi="Palatino Linotype" w:cs="Palatino Linotype"/>
          <w:i/>
          <w:sz w:val="22"/>
          <w:szCs w:val="22"/>
        </w:rPr>
        <w:t xml:space="preserve">. El acceso a la información pública será restringido excepcionalmente, cuando por razones de interés público, ésta sea clasificada como reservada, conforme a los criterios siguientes: </w:t>
      </w:r>
    </w:p>
    <w:p w:rsidR="008F7B6A" w:rsidRPr="006259B0" w:rsidRDefault="008434A8" w:rsidP="006259B0">
      <w:pPr>
        <w:spacing w:before="120" w:after="120"/>
        <w:ind w:left="1134" w:right="851"/>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I</w:t>
      </w:r>
      <w:r w:rsidRPr="006259B0">
        <w:rPr>
          <w:rFonts w:ascii="Palatino Linotype" w:eastAsia="Palatino Linotype" w:hAnsi="Palatino Linotype" w:cs="Palatino Linotype"/>
          <w:i/>
          <w:sz w:val="22"/>
          <w:szCs w:val="22"/>
        </w:rPr>
        <w:t xml:space="preserve">. Comprometa la seguridad pública y cuente con un propósito genuino y un efecto demostrable; </w:t>
      </w:r>
    </w:p>
    <w:p w:rsidR="008F7B6A" w:rsidRPr="006259B0" w:rsidRDefault="008434A8" w:rsidP="006259B0">
      <w:pPr>
        <w:spacing w:before="120" w:after="120"/>
        <w:ind w:left="1134" w:right="851"/>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II.</w:t>
      </w:r>
      <w:r w:rsidRPr="006259B0">
        <w:rPr>
          <w:rFonts w:ascii="Palatino Linotype" w:eastAsia="Palatino Linotype" w:hAnsi="Palatino Linotype" w:cs="Palatino Linotype"/>
          <w:i/>
          <w:sz w:val="22"/>
          <w:szCs w:val="22"/>
        </w:rPr>
        <w:t xml:space="preserve"> Pueda menoscabar la conducción de las negociaciones y relaciones internacionales; </w:t>
      </w:r>
    </w:p>
    <w:p w:rsidR="008F7B6A" w:rsidRPr="006259B0" w:rsidRDefault="008434A8" w:rsidP="006259B0">
      <w:pPr>
        <w:spacing w:before="120" w:after="120"/>
        <w:ind w:left="1134" w:right="851"/>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lastRenderedPageBreak/>
        <w:t>III.</w:t>
      </w:r>
      <w:r w:rsidRPr="006259B0">
        <w:rPr>
          <w:rFonts w:ascii="Palatino Linotype" w:eastAsia="Palatino Linotype" w:hAnsi="Palatino Linotype" w:cs="Palatino Linotype"/>
          <w:i/>
          <w:sz w:val="22"/>
          <w:szCs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8F7B6A" w:rsidRPr="006259B0" w:rsidRDefault="008434A8" w:rsidP="006259B0">
      <w:pPr>
        <w:spacing w:before="120" w:after="120"/>
        <w:ind w:left="1134" w:right="851"/>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IV.</w:t>
      </w:r>
      <w:r w:rsidRPr="006259B0">
        <w:rPr>
          <w:rFonts w:ascii="Palatino Linotype" w:eastAsia="Palatino Linotype" w:hAnsi="Palatino Linotype" w:cs="Palatino Linotype"/>
          <w:i/>
          <w:sz w:val="22"/>
          <w:szCs w:val="22"/>
        </w:rPr>
        <w:t xml:space="preserve"> Ponga en riesgo la vida, la seguridad o la salud de una persona física; </w:t>
      </w:r>
    </w:p>
    <w:p w:rsidR="008F7B6A" w:rsidRPr="006259B0" w:rsidRDefault="008434A8" w:rsidP="006259B0">
      <w:pPr>
        <w:spacing w:before="120" w:after="120"/>
        <w:ind w:left="1134" w:right="851"/>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V</w:t>
      </w:r>
      <w:r w:rsidRPr="006259B0">
        <w:rPr>
          <w:rFonts w:ascii="Palatino Linotype" w:eastAsia="Palatino Linotype" w:hAnsi="Palatino Linotype" w:cs="Palatino Linotype"/>
          <w:i/>
          <w:sz w:val="22"/>
          <w:szCs w:val="22"/>
        </w:rPr>
        <w:t xml:space="preserve">. Aquella cuya divulgación obstruya o pueda causar un serio perjuicio a: </w:t>
      </w:r>
    </w:p>
    <w:p w:rsidR="008F7B6A" w:rsidRPr="006259B0" w:rsidRDefault="008434A8" w:rsidP="006259B0">
      <w:pPr>
        <w:spacing w:before="120" w:after="120"/>
        <w:ind w:left="1418" w:right="851"/>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i/>
          <w:sz w:val="22"/>
          <w:szCs w:val="22"/>
        </w:rPr>
        <w:t xml:space="preserve">1. Las actividades de fiscalización, verificación, inspección, comprobación y auditoría sobre el cumplimiento de las Leyes; o </w:t>
      </w:r>
    </w:p>
    <w:p w:rsidR="008F7B6A" w:rsidRPr="006259B0" w:rsidRDefault="008434A8" w:rsidP="006259B0">
      <w:pPr>
        <w:spacing w:before="120" w:after="120"/>
        <w:ind w:left="1418" w:right="851"/>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i/>
          <w:sz w:val="22"/>
          <w:szCs w:val="22"/>
        </w:rPr>
        <w:t xml:space="preserve">2. La recaudación de las contribuciones. </w:t>
      </w:r>
    </w:p>
    <w:p w:rsidR="008F7B6A" w:rsidRPr="006259B0" w:rsidRDefault="008434A8" w:rsidP="006259B0">
      <w:pPr>
        <w:spacing w:before="120" w:after="120"/>
        <w:ind w:left="1134" w:right="851"/>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VI</w:t>
      </w:r>
      <w:r w:rsidRPr="006259B0">
        <w:rPr>
          <w:rFonts w:ascii="Palatino Linotype" w:eastAsia="Palatino Linotype" w:hAnsi="Palatino Linotype" w:cs="Palatino Linotype"/>
          <w:i/>
          <w:sz w:val="22"/>
          <w:szCs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8F7B6A" w:rsidRPr="006259B0" w:rsidRDefault="008434A8" w:rsidP="006259B0">
      <w:pPr>
        <w:spacing w:before="120" w:after="120"/>
        <w:ind w:left="1134" w:right="851"/>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VII.</w:t>
      </w:r>
      <w:r w:rsidRPr="006259B0">
        <w:rPr>
          <w:rFonts w:ascii="Palatino Linotype" w:eastAsia="Palatino Linotype" w:hAnsi="Palatino Linotype" w:cs="Palatino Linotype"/>
          <w:i/>
          <w:sz w:val="22"/>
          <w:szCs w:val="22"/>
        </w:rPr>
        <w:t xml:space="preserve"> La que contengan las opiniones, recomendaciones o puntos de vista que formen parte del proceso deliberativo de los servidores públicos, hasta en tanto sea adoptada la decisión definitiva, la cual deberá estar documentada; </w:t>
      </w:r>
    </w:p>
    <w:p w:rsidR="008F7B6A" w:rsidRPr="006259B0" w:rsidRDefault="008434A8" w:rsidP="006259B0">
      <w:pPr>
        <w:spacing w:before="120" w:after="120"/>
        <w:ind w:left="1134" w:right="851"/>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VIII.</w:t>
      </w:r>
      <w:r w:rsidRPr="006259B0">
        <w:rPr>
          <w:rFonts w:ascii="Palatino Linotype" w:eastAsia="Palatino Linotype" w:hAnsi="Palatino Linotype" w:cs="Palatino Linotype"/>
          <w:i/>
          <w:sz w:val="22"/>
          <w:szCs w:val="22"/>
        </w:rPr>
        <w:t xml:space="preserve"> Vulnere la conducción de los expedientes judiciales o de los procedimientos administrativos seguidos en forma de juicio, en tanto no hayan quedado firmes; </w:t>
      </w:r>
    </w:p>
    <w:p w:rsidR="008F7B6A" w:rsidRPr="006259B0" w:rsidRDefault="008434A8" w:rsidP="006259B0">
      <w:pPr>
        <w:spacing w:before="120" w:after="120"/>
        <w:ind w:left="1134" w:right="851"/>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IX</w:t>
      </w:r>
      <w:r w:rsidRPr="006259B0">
        <w:rPr>
          <w:rFonts w:ascii="Palatino Linotype" w:eastAsia="Palatino Linotype" w:hAnsi="Palatino Linotype" w:cs="Palatino Linotype"/>
          <w:i/>
          <w:sz w:val="22"/>
          <w:szCs w:val="22"/>
        </w:rPr>
        <w:t xml:space="preserve">. Se encuentre contenida dentro de las investigaciones de hechos que la Ley señale como delitos y se tramiten ante el Ministerio Público; </w:t>
      </w:r>
    </w:p>
    <w:p w:rsidR="008F7B6A" w:rsidRPr="006259B0" w:rsidRDefault="008434A8" w:rsidP="006259B0">
      <w:pPr>
        <w:spacing w:before="120" w:after="120"/>
        <w:ind w:left="1134" w:right="851"/>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X.</w:t>
      </w:r>
      <w:r w:rsidRPr="006259B0">
        <w:rPr>
          <w:rFonts w:ascii="Palatino Linotype" w:eastAsia="Palatino Linotype" w:hAnsi="Palatino Linotype" w:cs="Palatino Linotype"/>
          <w:i/>
          <w:sz w:val="22"/>
          <w:szCs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rsidR="008F7B6A" w:rsidRPr="006259B0" w:rsidRDefault="008434A8" w:rsidP="006259B0">
      <w:pPr>
        <w:spacing w:before="120" w:after="120"/>
        <w:ind w:left="1134" w:right="851"/>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i/>
          <w:sz w:val="22"/>
          <w:szCs w:val="22"/>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8F7B6A" w:rsidRPr="006259B0" w:rsidRDefault="008434A8" w:rsidP="006259B0">
      <w:pPr>
        <w:spacing w:before="120" w:after="120"/>
        <w:ind w:left="1134" w:right="851"/>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lastRenderedPageBreak/>
        <w:t>XI.</w:t>
      </w:r>
      <w:r w:rsidRPr="006259B0">
        <w:rPr>
          <w:rFonts w:ascii="Palatino Linotype" w:eastAsia="Palatino Linotype" w:hAnsi="Palatino Linotype" w:cs="Palatino Linotype"/>
          <w:i/>
          <w:sz w:val="22"/>
          <w:szCs w:val="22"/>
        </w:rPr>
        <w:t xml:space="preserve"> Las que por disposición expresa de una ley tengan tal carácter, siempre que sean acordes con las bases, principios y disposiciones establecidos en esta Ley y no la contravengan; así como las previstas en tratados internacionales.”</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Es así que, si bien es cierto el derecho de acceso a la información pública se satisface en aquellos casos en que se entregue el soporte documental en que conste la información requerida, también lo es que el derecho de acceso a la información pública puede ser restringido cuando se trate de información clasificada como </w:t>
      </w:r>
      <w:r w:rsidRPr="006259B0">
        <w:rPr>
          <w:rFonts w:ascii="Palatino Linotype" w:eastAsia="Palatino Linotype" w:hAnsi="Palatino Linotype" w:cs="Palatino Linotype"/>
          <w:b/>
        </w:rPr>
        <w:t>Reservada</w:t>
      </w:r>
      <w:r w:rsidRPr="006259B0">
        <w:rPr>
          <w:rFonts w:ascii="Palatino Linotype" w:eastAsia="Palatino Linotype" w:hAnsi="Palatino Linotype" w:cs="Palatino Linotype"/>
        </w:rPr>
        <w:t>, delimitando una serie de hipótesis de hecho en las cuales descansa la posibilidad de reserva de información, por lo que, dentro la información que generen, posean o administren los Sujetos Obligados, se considerará reservada cuando su divulgación pueda causar un daño en términos de lo establecido en la Ley, de manera enunciativa más no limitativa, cuando comprometa la seguridad pública; ponga en riesgo la vida, la seguridad o la salud de una persona física; aquella que obstruya o pueda causar un serio perjuicio a las actividades de fiscalización, verificación, inspección, comprobación y auditoría sobre el cumplimiento de las Leyes; vulnere la conducción de los expedientes judiciales; que el daño que pueda producirse con la publicación de la información sea mayor que el interés público de conocer la información de referencia, siempre que esté directamente relacionado con procesos o procedimientos administrativos o judiciales que no hayan quedado firmes; o que por disposición expresa de una ley tengan tal carácter.</w:t>
      </w:r>
    </w:p>
    <w:p w:rsidR="008F7B6A" w:rsidRPr="006259B0" w:rsidRDefault="008434A8" w:rsidP="006259B0">
      <w:pPr>
        <w:spacing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No obstante, en términos generales, las Leyes de la materia disponen que, para proceder a realizar la reserva de la información, no basta que se refiera a alguno de los supuestos que enmarque, en este caso, el artículo 140 de la Ley de Transparencia </w:t>
      </w:r>
      <w:r w:rsidRPr="006259B0">
        <w:rPr>
          <w:rFonts w:ascii="Palatino Linotype" w:eastAsia="Palatino Linotype" w:hAnsi="Palatino Linotype" w:cs="Palatino Linotype"/>
        </w:rPr>
        <w:lastRenderedPageBreak/>
        <w:t>y Acceso a la Información Pública del Estado de México y Municipios, sino que, es necesario que la autoridad demuestre que la divulgación de la información, puede causar un daño al interés público protegido.</w:t>
      </w:r>
    </w:p>
    <w:p w:rsidR="008F7B6A" w:rsidRPr="006259B0" w:rsidRDefault="008F7B6A" w:rsidP="006259B0">
      <w:pPr>
        <w:spacing w:line="360" w:lineRule="auto"/>
        <w:jc w:val="both"/>
        <w:rPr>
          <w:rFonts w:ascii="Palatino Linotype" w:eastAsia="Palatino Linotype" w:hAnsi="Palatino Linotype" w:cs="Palatino Linotype"/>
          <w:sz w:val="10"/>
          <w:szCs w:val="10"/>
        </w:rPr>
      </w:pPr>
    </w:p>
    <w:p w:rsidR="008F7B6A" w:rsidRPr="006259B0" w:rsidRDefault="008434A8" w:rsidP="006259B0">
      <w:pPr>
        <w:spacing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Dicha valoración, debe realizarse caso por caso, a través de lo que se conoce como la llamada </w:t>
      </w:r>
      <w:r w:rsidRPr="006259B0">
        <w:rPr>
          <w:rFonts w:ascii="Palatino Linotype" w:eastAsia="Palatino Linotype" w:hAnsi="Palatino Linotype" w:cs="Palatino Linotype"/>
          <w:i/>
        </w:rPr>
        <w:t>“prueba de daño”</w:t>
      </w:r>
      <w:r w:rsidRPr="006259B0">
        <w:rPr>
          <w:rFonts w:ascii="Palatino Linotype" w:eastAsia="Palatino Linotype" w:hAnsi="Palatino Linotype" w:cs="Palatino Linotype"/>
        </w:rPr>
        <w:t xml:space="preserve">, que consiste en exponer los argumentos y razones, basados en elementos objetivos o verificables, a partir de los cuales se derive que la divulgación de información, en particular, puede afectar, poner en riesgo o dañar el interés protegido, ello conforme a los artículos 129 y 134, último párrafo de la Ley de Transparencia y Acceso a la Información Pública del Estado de México y Municipios, en relación con los diversos 104 y 108, último párrafo, de la Ley General de Transparencia y Acceso a la Información Pública; asimismo, esta no debe basarse en meras especulaciones o suposiciones, sino en elementos objetivos que deban evaluar que existe un riesgo actual e inminente. </w:t>
      </w:r>
    </w:p>
    <w:p w:rsidR="008F7B6A" w:rsidRPr="006259B0" w:rsidRDefault="008F7B6A" w:rsidP="006259B0">
      <w:pPr>
        <w:spacing w:line="360" w:lineRule="auto"/>
        <w:jc w:val="both"/>
        <w:rPr>
          <w:rFonts w:ascii="Palatino Linotype" w:eastAsia="Palatino Linotype" w:hAnsi="Palatino Linotype" w:cs="Palatino Linotype"/>
          <w:sz w:val="10"/>
          <w:szCs w:val="10"/>
        </w:rPr>
      </w:pPr>
    </w:p>
    <w:p w:rsidR="008F7B6A" w:rsidRPr="006259B0" w:rsidRDefault="008434A8" w:rsidP="006259B0">
      <w:pPr>
        <w:spacing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Siendo importante referir, lo que al respecto establece el Lineamiento Segundo, fracción XIII de los Lineamientos Generales en Materia de Clasificación y Desclasificación de la Información, así como para la elaboración de Versiones Públicas, que a la letra dice:</w:t>
      </w:r>
    </w:p>
    <w:p w:rsidR="008F7B6A" w:rsidRPr="006259B0" w:rsidRDefault="008F7B6A" w:rsidP="006259B0">
      <w:pPr>
        <w:spacing w:line="360" w:lineRule="auto"/>
        <w:jc w:val="both"/>
        <w:rPr>
          <w:rFonts w:ascii="Palatino Linotype" w:eastAsia="Palatino Linotype" w:hAnsi="Palatino Linotype" w:cs="Palatino Linotype"/>
        </w:rPr>
      </w:pPr>
    </w:p>
    <w:p w:rsidR="008F7B6A" w:rsidRPr="006259B0" w:rsidRDefault="008434A8" w:rsidP="006259B0">
      <w:pPr>
        <w:spacing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Siendo importante referir, lo que al respecto establece el Lineamiento Segundo, fracción XIII, de los Lineamientos Generales en Materia de Clasificación y Desclasificación de la Información, así como para la elaboración de Versiones Públicas, que a la letra dice:</w:t>
      </w:r>
    </w:p>
    <w:p w:rsidR="008F7B6A" w:rsidRPr="006259B0" w:rsidRDefault="008F7B6A" w:rsidP="006259B0">
      <w:pPr>
        <w:spacing w:line="360" w:lineRule="auto"/>
        <w:jc w:val="both"/>
        <w:rPr>
          <w:rFonts w:ascii="Palatino Linotype" w:eastAsia="Palatino Linotype" w:hAnsi="Palatino Linotype" w:cs="Palatino Linotype"/>
          <w:sz w:val="10"/>
          <w:szCs w:val="10"/>
        </w:rPr>
      </w:pPr>
    </w:p>
    <w:p w:rsidR="008F7B6A" w:rsidRPr="006259B0" w:rsidRDefault="008434A8" w:rsidP="006259B0">
      <w:pPr>
        <w:ind w:left="851" w:right="902"/>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lastRenderedPageBreak/>
        <w:t>“Segundo.</w:t>
      </w:r>
      <w:r w:rsidRPr="006259B0">
        <w:rPr>
          <w:rFonts w:ascii="Palatino Linotype" w:eastAsia="Palatino Linotype" w:hAnsi="Palatino Linotype" w:cs="Palatino Linotype"/>
          <w:i/>
          <w:sz w:val="22"/>
          <w:szCs w:val="22"/>
        </w:rPr>
        <w:t xml:space="preserve"> Para efectos de los presentes Lineamientos Generales, se entenderá por: </w:t>
      </w:r>
    </w:p>
    <w:p w:rsidR="008F7B6A" w:rsidRPr="006259B0" w:rsidRDefault="008434A8" w:rsidP="006259B0">
      <w:pPr>
        <w:ind w:left="1134" w:right="902"/>
        <w:jc w:val="both"/>
        <w:rPr>
          <w:rFonts w:ascii="Palatino Linotype" w:eastAsia="Palatino Linotype" w:hAnsi="Palatino Linotype" w:cs="Palatino Linotype"/>
          <w:b/>
          <w:i/>
          <w:sz w:val="22"/>
          <w:szCs w:val="22"/>
        </w:rPr>
      </w:pPr>
      <w:r w:rsidRPr="006259B0">
        <w:rPr>
          <w:rFonts w:ascii="Palatino Linotype" w:eastAsia="Palatino Linotype" w:hAnsi="Palatino Linotype" w:cs="Palatino Linotype"/>
          <w:b/>
          <w:i/>
          <w:sz w:val="22"/>
          <w:szCs w:val="22"/>
        </w:rPr>
        <w:t>...</w:t>
      </w:r>
    </w:p>
    <w:p w:rsidR="008F7B6A" w:rsidRPr="006259B0" w:rsidRDefault="008434A8" w:rsidP="006259B0">
      <w:pPr>
        <w:ind w:left="1134" w:right="902"/>
        <w:jc w:val="both"/>
        <w:rPr>
          <w:rFonts w:ascii="Palatino Linotype" w:eastAsia="Palatino Linotype" w:hAnsi="Palatino Linotype" w:cs="Palatino Linotype"/>
          <w:b/>
          <w:i/>
          <w:sz w:val="22"/>
          <w:szCs w:val="22"/>
        </w:rPr>
      </w:pPr>
      <w:r w:rsidRPr="006259B0">
        <w:rPr>
          <w:rFonts w:ascii="Palatino Linotype" w:eastAsia="Palatino Linotype" w:hAnsi="Palatino Linotype" w:cs="Palatino Linotype"/>
          <w:b/>
          <w:i/>
          <w:sz w:val="22"/>
          <w:szCs w:val="22"/>
        </w:rPr>
        <w:t>XIII.    Prueba de daño</w:t>
      </w:r>
      <w:r w:rsidRPr="006259B0">
        <w:rPr>
          <w:rFonts w:ascii="Palatino Linotype" w:eastAsia="Palatino Linotype" w:hAnsi="Palatino Linotype" w:cs="Palatino Linotype"/>
          <w:i/>
          <w:sz w:val="22"/>
          <w:szCs w:val="22"/>
        </w:rPr>
        <w:t>: La argumentación fundada y motivada que deben realizar los sujetos obligados tendiente a acreditar que la divulgación de información lesiona el interés jurídicamente protegido por la normativa aplicable y que el daño que puede producirse con la publicidad de la información es mayor que el interés de conocerla;</w:t>
      </w:r>
      <w:r w:rsidRPr="006259B0">
        <w:rPr>
          <w:rFonts w:ascii="Palatino Linotype" w:eastAsia="Palatino Linotype" w:hAnsi="Palatino Linotype" w:cs="Palatino Linotype"/>
          <w:b/>
          <w:i/>
          <w:sz w:val="22"/>
          <w:szCs w:val="22"/>
        </w:rPr>
        <w:t>”</w:t>
      </w:r>
    </w:p>
    <w:p w:rsidR="008F7B6A" w:rsidRPr="006259B0" w:rsidRDefault="008F7B6A" w:rsidP="006259B0">
      <w:pPr>
        <w:spacing w:line="360" w:lineRule="auto"/>
        <w:jc w:val="both"/>
        <w:rPr>
          <w:rFonts w:ascii="Palatino Linotype" w:eastAsia="Palatino Linotype" w:hAnsi="Palatino Linotype" w:cs="Palatino Linotype"/>
          <w:sz w:val="10"/>
          <w:szCs w:val="10"/>
        </w:rPr>
      </w:pP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y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De este modo, conforme al artículo 132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8F7B6A" w:rsidRPr="006259B0" w:rsidRDefault="008434A8" w:rsidP="006259B0">
      <w:pPr>
        <w:numPr>
          <w:ilvl w:val="0"/>
          <w:numId w:val="1"/>
        </w:numPr>
        <w:spacing w:line="360" w:lineRule="auto"/>
        <w:ind w:left="851"/>
        <w:jc w:val="both"/>
        <w:rPr>
          <w:rFonts w:ascii="Palatino Linotype" w:eastAsia="Palatino Linotype" w:hAnsi="Palatino Linotype" w:cs="Palatino Linotype"/>
        </w:rPr>
      </w:pPr>
      <w:r w:rsidRPr="006259B0">
        <w:rPr>
          <w:rFonts w:ascii="Palatino Linotype" w:eastAsia="Palatino Linotype" w:hAnsi="Palatino Linotype" w:cs="Palatino Linotype"/>
        </w:rPr>
        <w:lastRenderedPageBreak/>
        <w:t>Se reciba una solicitud de acceso a la información.</w:t>
      </w:r>
    </w:p>
    <w:p w:rsidR="008F7B6A" w:rsidRPr="006259B0" w:rsidRDefault="008434A8" w:rsidP="006259B0">
      <w:pPr>
        <w:numPr>
          <w:ilvl w:val="0"/>
          <w:numId w:val="1"/>
        </w:numPr>
        <w:spacing w:line="360" w:lineRule="auto"/>
        <w:ind w:left="851"/>
        <w:jc w:val="both"/>
        <w:rPr>
          <w:rFonts w:ascii="Palatino Linotype" w:eastAsia="Palatino Linotype" w:hAnsi="Palatino Linotype" w:cs="Palatino Linotype"/>
        </w:rPr>
      </w:pPr>
      <w:r w:rsidRPr="006259B0">
        <w:rPr>
          <w:rFonts w:ascii="Palatino Linotype" w:eastAsia="Palatino Linotype" w:hAnsi="Palatino Linotype" w:cs="Palatino Linotype"/>
        </w:rPr>
        <w:t>Se determine mediante resolución de autoridad competente.</w:t>
      </w:r>
    </w:p>
    <w:p w:rsidR="008F7B6A" w:rsidRPr="006259B0" w:rsidRDefault="008434A8" w:rsidP="006259B0">
      <w:pPr>
        <w:numPr>
          <w:ilvl w:val="0"/>
          <w:numId w:val="1"/>
        </w:numPr>
        <w:spacing w:line="360" w:lineRule="auto"/>
        <w:ind w:left="851"/>
        <w:jc w:val="both"/>
        <w:rPr>
          <w:rFonts w:ascii="Palatino Linotype" w:eastAsia="Palatino Linotype" w:hAnsi="Palatino Linotype" w:cs="Palatino Linotype"/>
        </w:rPr>
      </w:pPr>
      <w:r w:rsidRPr="006259B0">
        <w:rPr>
          <w:rFonts w:ascii="Palatino Linotype" w:eastAsia="Palatino Linotype" w:hAnsi="Palatino Linotype" w:cs="Palatino Linotype"/>
        </w:rPr>
        <w:t>Se generen versiones públicas para dar cumplimiento a las obligaciones de transparencia previstas en la Ley.</w:t>
      </w:r>
    </w:p>
    <w:p w:rsidR="008F7B6A" w:rsidRPr="006259B0" w:rsidRDefault="008F7B6A" w:rsidP="006259B0">
      <w:pPr>
        <w:spacing w:line="360" w:lineRule="auto"/>
        <w:jc w:val="both"/>
        <w:rPr>
          <w:rFonts w:ascii="Palatino Linotype" w:eastAsia="Palatino Linotype" w:hAnsi="Palatino Linotype" w:cs="Palatino Linotype"/>
          <w:sz w:val="10"/>
          <w:szCs w:val="10"/>
        </w:rPr>
      </w:pPr>
    </w:p>
    <w:p w:rsidR="008F7B6A" w:rsidRPr="006259B0" w:rsidRDefault="008434A8" w:rsidP="006259B0">
      <w:pPr>
        <w:spacing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Situación que se robustece con el artículo 141 de la misma Ley, que señala que las causales de reserva previstas, se deberán fundar y motivar, a través de la aplicación de la prueba de daño.</w:t>
      </w:r>
    </w:p>
    <w:p w:rsidR="008F7B6A" w:rsidRPr="006259B0" w:rsidRDefault="008F7B6A" w:rsidP="006259B0">
      <w:pPr>
        <w:spacing w:line="360" w:lineRule="auto"/>
        <w:jc w:val="both"/>
        <w:rPr>
          <w:rFonts w:ascii="Palatino Linotype" w:eastAsia="Palatino Linotype" w:hAnsi="Palatino Linotype" w:cs="Palatino Linotype"/>
          <w:sz w:val="10"/>
          <w:szCs w:val="10"/>
        </w:rPr>
      </w:pPr>
    </w:p>
    <w:p w:rsidR="008F7B6A" w:rsidRPr="006259B0" w:rsidRDefault="008434A8" w:rsidP="006259B0">
      <w:pPr>
        <w:spacing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a saber:</w:t>
      </w:r>
    </w:p>
    <w:p w:rsidR="008F7B6A" w:rsidRPr="006259B0" w:rsidRDefault="008434A8" w:rsidP="006259B0">
      <w:pPr>
        <w:spacing w:before="240" w:after="240"/>
        <w:ind w:left="851" w:right="900"/>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“Artículo 129</w:t>
      </w:r>
      <w:r w:rsidRPr="006259B0">
        <w:rPr>
          <w:rFonts w:ascii="Palatino Linotype" w:eastAsia="Palatino Linotype" w:hAnsi="Palatino Linotype" w:cs="Palatino Linotype"/>
          <w:i/>
          <w:sz w:val="22"/>
          <w:szCs w:val="22"/>
        </w:rPr>
        <w:t>. En la aplicación de la prueba de daño, el sujeto obligado deberá precisar las razones objetivas por las que la apertura de la información generaría una afectación, justificando que:</w:t>
      </w:r>
    </w:p>
    <w:p w:rsidR="008F7B6A" w:rsidRPr="006259B0" w:rsidRDefault="008434A8" w:rsidP="006259B0">
      <w:pPr>
        <w:spacing w:before="240" w:after="240"/>
        <w:ind w:left="1134" w:right="900"/>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I</w:t>
      </w:r>
      <w:r w:rsidRPr="006259B0">
        <w:rPr>
          <w:rFonts w:ascii="Palatino Linotype" w:eastAsia="Palatino Linotype" w:hAnsi="Palatino Linotype" w:cs="Palatino Linotype"/>
          <w:i/>
          <w:sz w:val="22"/>
          <w:szCs w:val="22"/>
        </w:rPr>
        <w:t xml:space="preserve">. La divulgación de la información representa un riesgo real, demostrable e identificable del perjuicio significativo al interés público o a la seguridad pública; </w:t>
      </w:r>
    </w:p>
    <w:p w:rsidR="008F7B6A" w:rsidRPr="006259B0" w:rsidRDefault="008434A8" w:rsidP="006259B0">
      <w:pPr>
        <w:spacing w:before="240" w:after="240"/>
        <w:ind w:left="1134" w:right="900"/>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II.</w:t>
      </w:r>
      <w:r w:rsidRPr="006259B0">
        <w:rPr>
          <w:rFonts w:ascii="Palatino Linotype" w:eastAsia="Palatino Linotype" w:hAnsi="Palatino Linotype" w:cs="Palatino Linotype"/>
          <w:i/>
          <w:sz w:val="22"/>
          <w:szCs w:val="22"/>
        </w:rPr>
        <w:t xml:space="preserve"> El riesgo de perjuicio que supondría la divulgación supera el interés público general de que se difunda; y</w:t>
      </w:r>
    </w:p>
    <w:p w:rsidR="008F7B6A" w:rsidRPr="006259B0" w:rsidRDefault="008434A8" w:rsidP="006259B0">
      <w:pPr>
        <w:spacing w:before="240" w:after="240"/>
        <w:ind w:left="1134" w:right="900"/>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III.</w:t>
      </w:r>
      <w:r w:rsidRPr="006259B0">
        <w:rPr>
          <w:rFonts w:ascii="Palatino Linotype" w:eastAsia="Palatino Linotype" w:hAnsi="Palatino Linotype" w:cs="Palatino Linotype"/>
          <w:i/>
          <w:sz w:val="22"/>
          <w:szCs w:val="22"/>
        </w:rPr>
        <w:t xml:space="preserve"> La limitación se adecua al principio de proporcionalidad y representa el medio menos restrictivo disponible representa el medio menos restrictivo disponible para evitar el perjuicio.”</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Al respecto, debe entenderse que la primera fracción consiste en verificar que existe un riesgo de publicar determinada información para el interés público o la seguridad </w:t>
      </w:r>
      <w:r w:rsidRPr="006259B0">
        <w:rPr>
          <w:rFonts w:ascii="Palatino Linotype" w:eastAsia="Palatino Linotype" w:hAnsi="Palatino Linotype" w:cs="Palatino Linotype"/>
        </w:rPr>
        <w:lastRenderedPageBreak/>
        <w:t xml:space="preserve">pública, no implica, por el contrario, argumentar individualmente un riesgo real, demostrable e identificable, pues se entraría en una dinámica usar argumentos repetitivos en categorías de definición vaga. Por lo que el segundo paso de la prueba de daño es que, una vez que se acreditó el riesgo de hacer pública la información, es necesario ponderarlo con el interés público general de que se difunda esa información, demostrando que el primero </w:t>
      </w:r>
      <w:r w:rsidRPr="006259B0">
        <w:rPr>
          <w:rFonts w:ascii="Palatino Linotype" w:eastAsia="Palatino Linotype" w:hAnsi="Palatino Linotype" w:cs="Palatino Linotype"/>
          <w:sz w:val="22"/>
          <w:szCs w:val="22"/>
        </w:rPr>
        <w:t xml:space="preserve">-el riesgo al divulgarse- </w:t>
      </w:r>
      <w:r w:rsidRPr="006259B0">
        <w:rPr>
          <w:rFonts w:ascii="Palatino Linotype" w:eastAsia="Palatino Linotype" w:hAnsi="Palatino Linotype" w:cs="Palatino Linotype"/>
        </w:rPr>
        <w:t xml:space="preserve">supera al segundo </w:t>
      </w:r>
      <w:r w:rsidRPr="006259B0">
        <w:rPr>
          <w:rFonts w:ascii="Palatino Linotype" w:eastAsia="Palatino Linotype" w:hAnsi="Palatino Linotype" w:cs="Palatino Linotype"/>
          <w:sz w:val="22"/>
          <w:szCs w:val="22"/>
        </w:rPr>
        <w:t>-el interés de que se conozca-</w:t>
      </w:r>
      <w:r w:rsidRPr="006259B0">
        <w:rPr>
          <w:rFonts w:ascii="Palatino Linotype" w:eastAsia="Palatino Linotype" w:hAnsi="Palatino Linotype" w:cs="Palatino Linotype"/>
        </w:rPr>
        <w:t>. Mientras que la tercera fracción es una guía de cómo realizar dicha ponderación a través del principio de proporcionalidad. Es decir, se debe determinar, en resumen, la idoneidad, necesidad y proporcionalidad de la reserva de la información frente al interés público de divulgarla. Además, se deben explorar las alternativas a través de las cuales se puede conseguir un menor daño a los intereses en pugna, o verificar que el medio que se eligió para reservar la información es el más benigno.</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En el mismo tenor el Lineamiento Trigésimo Tercero, de los Lineamientos Generales en Materia de Clasificación y Desclasificación de la Información, dispone lo siguiente:</w:t>
      </w:r>
    </w:p>
    <w:p w:rsidR="008F7B6A" w:rsidRPr="006259B0" w:rsidRDefault="008434A8" w:rsidP="006259B0">
      <w:pPr>
        <w:spacing w:before="120" w:after="120"/>
        <w:ind w:left="851" w:right="758"/>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i/>
          <w:sz w:val="22"/>
          <w:szCs w:val="22"/>
        </w:rPr>
        <w:t>“</w:t>
      </w:r>
      <w:r w:rsidRPr="006259B0">
        <w:rPr>
          <w:rFonts w:ascii="Palatino Linotype" w:eastAsia="Palatino Linotype" w:hAnsi="Palatino Linotype" w:cs="Palatino Linotype"/>
          <w:b/>
          <w:i/>
          <w:sz w:val="22"/>
          <w:szCs w:val="22"/>
        </w:rPr>
        <w:t>Trigésimo tercero</w:t>
      </w:r>
      <w:r w:rsidRPr="006259B0">
        <w:rPr>
          <w:rFonts w:ascii="Palatino Linotype" w:eastAsia="Palatino Linotype" w:hAnsi="Palatino Linotype" w:cs="Palatino Linotype"/>
          <w:i/>
          <w:sz w:val="22"/>
          <w:szCs w:val="22"/>
        </w:rPr>
        <w:t>. Para la aplicación de la prueba de daño a la que hace referencia el artículo 104 de la Ley General, los sujetos obligados atenderán lo siguiente:</w:t>
      </w:r>
    </w:p>
    <w:p w:rsidR="008F7B6A" w:rsidRPr="006259B0" w:rsidRDefault="008434A8" w:rsidP="006259B0">
      <w:pPr>
        <w:tabs>
          <w:tab w:val="left" w:pos="1701"/>
        </w:tabs>
        <w:spacing w:before="120" w:after="120"/>
        <w:ind w:left="1134" w:right="760"/>
        <w:jc w:val="both"/>
        <w:rPr>
          <w:rFonts w:ascii="Palatino Linotype" w:eastAsia="Palatino Linotype" w:hAnsi="Palatino Linotype" w:cs="Palatino Linotype"/>
          <w:b/>
          <w:i/>
          <w:sz w:val="20"/>
          <w:szCs w:val="20"/>
        </w:rPr>
      </w:pPr>
      <w:r w:rsidRPr="006259B0">
        <w:rPr>
          <w:rFonts w:ascii="Palatino Linotype" w:eastAsia="Palatino Linotype" w:hAnsi="Palatino Linotype" w:cs="Palatino Linotype"/>
          <w:b/>
          <w:i/>
          <w:sz w:val="22"/>
          <w:szCs w:val="22"/>
        </w:rPr>
        <w:t xml:space="preserve">I. </w:t>
      </w:r>
      <w:r w:rsidRPr="006259B0">
        <w:rPr>
          <w:rFonts w:ascii="Palatino Linotype" w:eastAsia="Palatino Linotype" w:hAnsi="Palatino Linotype" w:cs="Palatino Linotype"/>
          <w:i/>
          <w:sz w:val="22"/>
          <w:szCs w:val="22"/>
        </w:rPr>
        <w:t>Se deberá fundar la clasificación, al citar la fracción y la hipótesis de la causal aplicable del artículo 113 de la Ley General, vinculándola con el Lineamiento específico del presente ordenamiento y cuando corresponda, el supuesto normativo que expresamente le otorga el carácter de información reservada;</w:t>
      </w:r>
    </w:p>
    <w:p w:rsidR="008F7B6A" w:rsidRPr="006259B0" w:rsidRDefault="008434A8" w:rsidP="006259B0">
      <w:pPr>
        <w:tabs>
          <w:tab w:val="left" w:pos="1701"/>
        </w:tabs>
        <w:spacing w:before="120" w:after="120"/>
        <w:ind w:left="1134" w:right="760"/>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II</w:t>
      </w:r>
      <w:r w:rsidRPr="006259B0">
        <w:rPr>
          <w:rFonts w:ascii="Palatino Linotype" w:eastAsia="Palatino Linotype" w:hAnsi="Palatino Linotype" w:cs="Palatino Linotype"/>
          <w:i/>
          <w:sz w:val="22"/>
          <w:szCs w:val="22"/>
        </w:rPr>
        <w:t>. Se deberá motivar la clasificación, señalando las circunstancias de modo, tiempo y lugar que acrediten el vínculo entre la difusión de la información y la afectación al interés público o a la seguridad nacional;</w:t>
      </w:r>
    </w:p>
    <w:p w:rsidR="008F7B6A" w:rsidRPr="006259B0" w:rsidRDefault="008434A8" w:rsidP="006259B0">
      <w:pPr>
        <w:tabs>
          <w:tab w:val="left" w:pos="1701"/>
        </w:tabs>
        <w:spacing w:before="120" w:after="120"/>
        <w:ind w:left="1134" w:right="760"/>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lastRenderedPageBreak/>
        <w:t>III.</w:t>
      </w:r>
      <w:r w:rsidRPr="006259B0">
        <w:rPr>
          <w:rFonts w:ascii="Palatino Linotype" w:eastAsia="Palatino Linotype" w:hAnsi="Palatino Linotype" w:cs="Palatino Linotype"/>
          <w:i/>
          <w:sz w:val="22"/>
          <w:szCs w:val="22"/>
        </w:rPr>
        <w:t xml:space="preserve"> Se deberán precisar las razones objetivas por las que la apertura de la información generaría un riesgo de perjuicio real, demostrable e identificable al interés jurídico tutelado de que se trate;</w:t>
      </w:r>
    </w:p>
    <w:p w:rsidR="008F7B6A" w:rsidRPr="006259B0" w:rsidRDefault="008434A8" w:rsidP="006259B0">
      <w:pPr>
        <w:tabs>
          <w:tab w:val="left" w:pos="1701"/>
        </w:tabs>
        <w:spacing w:before="120" w:after="120"/>
        <w:ind w:left="1134" w:right="760"/>
        <w:jc w:val="both"/>
        <w:rPr>
          <w:rFonts w:ascii="Palatino Linotype" w:eastAsia="Palatino Linotype" w:hAnsi="Palatino Linotype" w:cs="Palatino Linotype"/>
          <w:b/>
          <w:i/>
          <w:sz w:val="22"/>
          <w:szCs w:val="22"/>
        </w:rPr>
      </w:pPr>
      <w:r w:rsidRPr="006259B0">
        <w:rPr>
          <w:rFonts w:ascii="Palatino Linotype" w:eastAsia="Palatino Linotype" w:hAnsi="Palatino Linotype" w:cs="Palatino Linotype"/>
          <w:b/>
          <w:i/>
          <w:sz w:val="22"/>
          <w:szCs w:val="22"/>
        </w:rPr>
        <w:t>IV.</w:t>
      </w:r>
      <w:r w:rsidRPr="006259B0">
        <w:rPr>
          <w:rFonts w:ascii="Palatino Linotype" w:eastAsia="Palatino Linotype" w:hAnsi="Palatino Linotype" w:cs="Palatino Linotype"/>
          <w:i/>
          <w:sz w:val="22"/>
          <w:szCs w:val="22"/>
        </w:rPr>
        <w:t xml:space="preserve"> Mediante una ponderación entre la medida restrictiva y el derecho de acceso a la información, deberán justificar y probar objetivamente mediante los elementos señalados en la fracción anterior, que la publicidad de la información solicitada generaría un riesgo de perjuicio que supera al interés público de que la información se difunda;</w:t>
      </w:r>
      <w:r w:rsidRPr="006259B0">
        <w:rPr>
          <w:rFonts w:ascii="Palatino Linotype" w:eastAsia="Palatino Linotype" w:hAnsi="Palatino Linotype" w:cs="Palatino Linotype"/>
          <w:b/>
          <w:i/>
          <w:sz w:val="22"/>
          <w:szCs w:val="22"/>
        </w:rPr>
        <w:t xml:space="preserve"> </w:t>
      </w:r>
    </w:p>
    <w:p w:rsidR="008F7B6A" w:rsidRPr="006259B0" w:rsidRDefault="008434A8" w:rsidP="006259B0">
      <w:pPr>
        <w:tabs>
          <w:tab w:val="left" w:pos="1701"/>
        </w:tabs>
        <w:spacing w:before="120" w:after="120"/>
        <w:ind w:left="1134" w:right="760"/>
        <w:jc w:val="both"/>
        <w:rPr>
          <w:rFonts w:ascii="Palatino Linotype" w:eastAsia="Palatino Linotype" w:hAnsi="Palatino Linotype" w:cs="Palatino Linotype"/>
          <w:b/>
          <w:i/>
          <w:sz w:val="22"/>
          <w:szCs w:val="22"/>
        </w:rPr>
      </w:pPr>
      <w:r w:rsidRPr="006259B0">
        <w:rPr>
          <w:rFonts w:ascii="Palatino Linotype" w:eastAsia="Palatino Linotype" w:hAnsi="Palatino Linotype" w:cs="Palatino Linotype"/>
          <w:b/>
          <w:i/>
          <w:sz w:val="22"/>
          <w:szCs w:val="22"/>
        </w:rPr>
        <w:t>V</w:t>
      </w:r>
      <w:r w:rsidRPr="006259B0">
        <w:rPr>
          <w:rFonts w:ascii="Palatino Linotype" w:eastAsia="Palatino Linotype" w:hAnsi="Palatino Linotype" w:cs="Palatino Linotype"/>
          <w:i/>
          <w:sz w:val="22"/>
          <w:szCs w:val="22"/>
        </w:rPr>
        <w:t>. Deberán elegir y justificar la opción de excepción al derecho de acceso a la información que menos lo restrinja y que sea adecuada y proporcional para evitar el perjuicio al interés público, evitando siempre que sea posible la reserva absoluta de documentos o expedientes; y</w:t>
      </w:r>
      <w:r w:rsidRPr="006259B0">
        <w:rPr>
          <w:rFonts w:ascii="Palatino Linotype" w:eastAsia="Palatino Linotype" w:hAnsi="Palatino Linotype" w:cs="Palatino Linotype"/>
          <w:b/>
          <w:i/>
          <w:sz w:val="22"/>
          <w:szCs w:val="22"/>
        </w:rPr>
        <w:t xml:space="preserve"> </w:t>
      </w:r>
    </w:p>
    <w:p w:rsidR="008F7B6A" w:rsidRPr="006259B0" w:rsidRDefault="008434A8" w:rsidP="006259B0">
      <w:pPr>
        <w:tabs>
          <w:tab w:val="left" w:pos="1701"/>
        </w:tabs>
        <w:spacing w:before="120" w:after="120"/>
        <w:ind w:left="1134" w:right="760"/>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VI</w:t>
      </w:r>
      <w:r w:rsidRPr="006259B0">
        <w:rPr>
          <w:rFonts w:ascii="Palatino Linotype" w:eastAsia="Palatino Linotype" w:hAnsi="Palatino Linotype" w:cs="Palatino Linotype"/>
          <w:i/>
          <w:sz w:val="22"/>
          <w:szCs w:val="22"/>
        </w:rPr>
        <w:t>. En los casos en que se determine la clasificación total de la información, se deberán especificar en la prueba de daño, con la mayor claridad y precisión posible, los aspectos relevantes de la información clasificada que ayuden a cumplir con el objetivo de brindar certeza al solicitante.”</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Lo anterior, encuentra sustento en la Tesis de la Décima Época, publicada en la Gaceta del Semanario Judicial de la Federación, sección Tribunales Colegiados de Circuito, Libro 5, de fecha abril de 2014, pág. 1523, Registro, 2, 006,299. I.1o.A.E.3 K (10a.), que literalmente señala:</w:t>
      </w:r>
    </w:p>
    <w:p w:rsidR="008F7B6A" w:rsidRPr="006259B0" w:rsidRDefault="008F7B6A" w:rsidP="006259B0">
      <w:pPr>
        <w:spacing w:line="360" w:lineRule="auto"/>
        <w:jc w:val="both"/>
        <w:rPr>
          <w:rFonts w:ascii="Palatino Linotype" w:eastAsia="Palatino Linotype" w:hAnsi="Palatino Linotype" w:cs="Palatino Linotype"/>
          <w:sz w:val="10"/>
          <w:szCs w:val="10"/>
        </w:rPr>
      </w:pPr>
    </w:p>
    <w:p w:rsidR="008F7B6A" w:rsidRPr="006259B0" w:rsidRDefault="008434A8" w:rsidP="006259B0">
      <w:pPr>
        <w:ind w:left="851" w:right="902"/>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i/>
          <w:sz w:val="22"/>
          <w:szCs w:val="22"/>
        </w:rPr>
        <w:t>“</w:t>
      </w:r>
      <w:r w:rsidRPr="006259B0">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259B0">
        <w:rPr>
          <w:rFonts w:ascii="Palatino Linotype" w:eastAsia="Palatino Linotype" w:hAnsi="Palatino Linotype" w:cs="Palatino Linotype"/>
          <w:i/>
          <w:sz w:val="22"/>
          <w:szCs w:val="22"/>
        </w:rPr>
        <w:t xml:space="preserve"> Una adecuada </w:t>
      </w:r>
      <w:r w:rsidRPr="006259B0">
        <w:rPr>
          <w:rFonts w:ascii="Palatino Linotype" w:eastAsia="Palatino Linotype" w:hAnsi="Palatino Linotype" w:cs="Palatino Linotype"/>
          <w:i/>
          <w:sz w:val="22"/>
          <w:szCs w:val="22"/>
        </w:rPr>
        <w:lastRenderedPageBreak/>
        <w:t xml:space="preserve">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6259B0">
        <w:rPr>
          <w:rFonts w:ascii="Palatino Linotype" w:eastAsia="Palatino Linotype" w:hAnsi="Palatino Linotype" w:cs="Palatino Linotype"/>
          <w:i/>
          <w:sz w:val="22"/>
          <w:szCs w:val="22"/>
        </w:rPr>
        <w:t>officio</w:t>
      </w:r>
      <w:proofErr w:type="spellEnd"/>
      <w:r w:rsidRPr="006259B0">
        <w:rPr>
          <w:rFonts w:ascii="Palatino Linotype" w:eastAsia="Palatino Linotype" w:hAnsi="Palatino Linotype" w:cs="Palatino Linotype"/>
          <w:i/>
          <w:sz w:val="22"/>
          <w:szCs w:val="22"/>
        </w:rPr>
        <w:t>, con el propósito de obtener una versión que sea pública para la parte interesada.” (</w:t>
      </w:r>
      <w:proofErr w:type="gramStart"/>
      <w:r w:rsidRPr="006259B0">
        <w:rPr>
          <w:rFonts w:ascii="Palatino Linotype" w:eastAsia="Palatino Linotype" w:hAnsi="Palatino Linotype" w:cs="Palatino Linotype"/>
          <w:i/>
          <w:sz w:val="22"/>
          <w:szCs w:val="22"/>
        </w:rPr>
        <w:t>sic</w:t>
      </w:r>
      <w:proofErr w:type="gramEnd"/>
      <w:r w:rsidRPr="006259B0">
        <w:rPr>
          <w:rFonts w:ascii="Palatino Linotype" w:eastAsia="Palatino Linotype" w:hAnsi="Palatino Linotype" w:cs="Palatino Linotype"/>
          <w:i/>
          <w:sz w:val="22"/>
          <w:szCs w:val="22"/>
        </w:rPr>
        <w:t>)</w:t>
      </w:r>
    </w:p>
    <w:p w:rsidR="008F7B6A" w:rsidRPr="006259B0" w:rsidRDefault="008F7B6A" w:rsidP="006259B0">
      <w:pPr>
        <w:spacing w:line="360" w:lineRule="auto"/>
        <w:jc w:val="both"/>
        <w:rPr>
          <w:rFonts w:ascii="Palatino Linotype" w:eastAsia="Palatino Linotype" w:hAnsi="Palatino Linotype" w:cs="Palatino Linotype"/>
          <w:sz w:val="10"/>
          <w:szCs w:val="10"/>
        </w:rPr>
      </w:pP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Prueba de daño, que cobra relevancia puesto que sí ésta no arroja resultados contundentes sobre un posible peligro, deberá de publicarse o difundirse la información.</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Asimismo, de conformidad con los artículos 108 de la Ley General de Transparencia y Acceso a la Información Pública y 134 de la Ley de Transparencia y Acceso a la Información Pública del Estado de México y Municipios, los Sujetos Obligados no pueden emitir acuerdos de carácter general ni particular que clasifiquen documentos o información como reservada, ya que dicha clasificación ya sea parcial o total, debe estar acorde con la actualización de los supuestos definidos; resaltándose además que, la clasificación de la información se debe realizar conforme a un análisis caso por caso, mediante la aplicación de la enunciada prueba de daño.</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De este modo, es necesario que el Sujeto Obligado, al aplicar la prueba de daño, distinga entre los supuestos por los cuales puede invocar la reserva de la </w:t>
      </w:r>
      <w:r w:rsidRPr="006259B0">
        <w:rPr>
          <w:rFonts w:ascii="Palatino Linotype" w:eastAsia="Palatino Linotype" w:hAnsi="Palatino Linotype" w:cs="Palatino Linotype"/>
        </w:rPr>
        <w:lastRenderedPageBreak/>
        <w:t>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Aunado a lo anterior, se tiene que conforme al Lineamiento Octavo, de los Lineamientos Generales en materia de Clasificación y Desclasificación de la Información, para fundar la clasificación de la información se debe señalar el artículo, fracción, inciso, párrafo o numeral de la Ley o tratado internacional suscrito por el Estado Mexicano que expresamente le otorgue el carácter de reservada, mientras que para motivar la clasificación se deben señalar las razones o circunstancias especiales que lo llevaron a concluir que el caso particular se ajusta al supuesto previsto por la norma legal invocada como fundamento</w:t>
      </w:r>
      <w:r w:rsidRPr="006259B0">
        <w:rPr>
          <w:rFonts w:ascii="Arial" w:eastAsia="Arial" w:hAnsi="Arial" w:cs="Arial"/>
        </w:rPr>
        <w:t xml:space="preserve">, </w:t>
      </w:r>
      <w:r w:rsidRPr="006259B0">
        <w:rPr>
          <w:rFonts w:ascii="Palatino Linotype" w:eastAsia="Palatino Linotype" w:hAnsi="Palatino Linotype" w:cs="Palatino Linotype"/>
        </w:rPr>
        <w:t>reiterando que en el caso específico de la reserva, la motivación de la clasificación deberá comprender el análisis de la prueba de daño a que hace referencia el artículo 104 de la Ley General, en relación con el artículo trigésimo tercero de los Lineamientos, así como las circunstancias que justifican el establecimiento de determinado plazo de reserva, en otras palabras, para clasificar la información como reservada, el acuerdo respectivo debe estar debidamente fundado y motivado.</w:t>
      </w:r>
    </w:p>
    <w:p w:rsidR="008F7B6A" w:rsidRPr="006259B0" w:rsidRDefault="008434A8" w:rsidP="006259B0">
      <w:pPr>
        <w:spacing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Sirve de sustento a lo anterior, la Tesis jurisprudencial número I.4º.A. J/43, publicada en el Semanario Judicial de la Federación y su Gaceta, bajo el número de registro 175,082; que a la letra dice:</w:t>
      </w:r>
    </w:p>
    <w:p w:rsidR="008F7B6A" w:rsidRPr="006259B0" w:rsidRDefault="008F7B6A" w:rsidP="006259B0">
      <w:pPr>
        <w:spacing w:line="360" w:lineRule="auto"/>
        <w:jc w:val="both"/>
        <w:rPr>
          <w:rFonts w:ascii="Palatino Linotype" w:eastAsia="Palatino Linotype" w:hAnsi="Palatino Linotype" w:cs="Palatino Linotype"/>
          <w:sz w:val="10"/>
          <w:szCs w:val="10"/>
        </w:rPr>
      </w:pPr>
    </w:p>
    <w:p w:rsidR="008F7B6A" w:rsidRPr="006259B0" w:rsidRDefault="008434A8" w:rsidP="006259B0">
      <w:pPr>
        <w:ind w:left="851" w:right="902"/>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i/>
          <w:sz w:val="22"/>
          <w:szCs w:val="22"/>
        </w:rPr>
        <w:t>“</w:t>
      </w:r>
      <w:r w:rsidRPr="006259B0">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 </w:t>
      </w:r>
      <w:r w:rsidRPr="006259B0">
        <w:rPr>
          <w:rFonts w:ascii="Palatino Linotype" w:eastAsia="Palatino Linotype" w:hAnsi="Palatino Linotype" w:cs="Palatino Linotype"/>
          <w:i/>
          <w:sz w:val="22"/>
          <w:szCs w:val="22"/>
        </w:rPr>
        <w:t>El contenido formal de la garantía de legalidad prevista en el artículo 16 constitucional relativa a la fundamentación y motivación tiene como propósito primordial y ratio que el justiciable </w:t>
      </w:r>
      <w:r w:rsidRPr="006259B0">
        <w:rPr>
          <w:rFonts w:ascii="Palatino Linotype" w:eastAsia="Palatino Linotype" w:hAnsi="Palatino Linotype" w:cs="Palatino Linotype"/>
          <w:b/>
          <w:i/>
          <w:sz w:val="22"/>
          <w:szCs w:val="22"/>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6259B0">
        <w:rPr>
          <w:rFonts w:ascii="Palatino Linotype" w:eastAsia="Palatino Linotype" w:hAnsi="Palatino Linotype" w:cs="Palatino Linotype"/>
          <w:i/>
          <w:sz w:val="22"/>
          <w:szCs w:val="22"/>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6259B0">
        <w:rPr>
          <w:rFonts w:ascii="Palatino Linotype" w:eastAsia="Palatino Linotype" w:hAnsi="Palatino Linotype" w:cs="Palatino Linotype"/>
          <w:b/>
          <w:i/>
          <w:sz w:val="22"/>
          <w:szCs w:val="22"/>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6259B0">
        <w:rPr>
          <w:rFonts w:ascii="Palatino Linotype" w:eastAsia="Palatino Linotype" w:hAnsi="Palatino Linotype" w:cs="Palatino Linotype"/>
          <w:i/>
          <w:sz w:val="22"/>
          <w:szCs w:val="22"/>
        </w:rPr>
        <w:t> del que se deduzca la relación de pertenencia lógica de los hechos al derecho invocado, que es la subsunción.”</w:t>
      </w:r>
    </w:p>
    <w:p w:rsidR="008F7B6A" w:rsidRPr="006259B0" w:rsidRDefault="008434A8" w:rsidP="006259B0">
      <w:pPr>
        <w:spacing w:before="240" w:after="240" w:line="360" w:lineRule="auto"/>
        <w:ind w:right="51"/>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A partir de lo anterior, y tomando en consideración el requerimiento de la parte </w:t>
      </w:r>
      <w:r w:rsidRPr="006259B0">
        <w:rPr>
          <w:rFonts w:ascii="Palatino Linotype" w:eastAsia="Palatino Linotype" w:hAnsi="Palatino Linotype" w:cs="Palatino Linotype"/>
          <w:b/>
        </w:rPr>
        <w:t>Recurrente</w:t>
      </w:r>
      <w:r w:rsidRPr="006259B0">
        <w:rPr>
          <w:rFonts w:ascii="Palatino Linotype" w:eastAsia="Palatino Linotype" w:hAnsi="Palatino Linotype" w:cs="Palatino Linotype"/>
        </w:rPr>
        <w:t xml:space="preserve">, así como el análisis que se realizó de la información proporcionada por el </w:t>
      </w:r>
      <w:r w:rsidRPr="006259B0">
        <w:rPr>
          <w:rFonts w:ascii="Palatino Linotype" w:eastAsia="Palatino Linotype" w:hAnsi="Palatino Linotype" w:cs="Palatino Linotype"/>
          <w:b/>
        </w:rPr>
        <w:t>Sujeto Obligado</w:t>
      </w:r>
      <w:r w:rsidRPr="006259B0">
        <w:rPr>
          <w:rFonts w:ascii="Palatino Linotype" w:eastAsia="Palatino Linotype" w:hAnsi="Palatino Linotype" w:cs="Palatino Linotype"/>
        </w:rPr>
        <w:t xml:space="preserve"> a efecto de determinar si era suficiente para tener por colmado el requerimiento de la persona solicitante, este Organismo Garante estima que la información a la que se pretende acceder pudiera actualizar el supuesto de clasificación como información reservada de conformidad con las fracción VI del artículo 140 de la Ley de la Materia citado con antelación, al haber manifestado el </w:t>
      </w:r>
      <w:r w:rsidRPr="006259B0">
        <w:rPr>
          <w:rFonts w:ascii="Palatino Linotype" w:eastAsia="Palatino Linotype" w:hAnsi="Palatino Linotype" w:cs="Palatino Linotype"/>
          <w:b/>
        </w:rPr>
        <w:t>Sujeto Obligado</w:t>
      </w:r>
      <w:r w:rsidRPr="006259B0">
        <w:rPr>
          <w:rFonts w:ascii="Palatino Linotype" w:eastAsia="Palatino Linotype" w:hAnsi="Palatino Linotype" w:cs="Palatino Linotype"/>
        </w:rPr>
        <w:t xml:space="preserve"> que las carpetas de investigación se encuentran en proceso de integración, es decir, no han quedado firmes,</w:t>
      </w:r>
      <w:r w:rsidR="007D2C8A" w:rsidRPr="006259B0">
        <w:rPr>
          <w:rFonts w:ascii="Palatino Linotype" w:eastAsia="Palatino Linotype" w:hAnsi="Palatino Linotype" w:cs="Palatino Linotype"/>
        </w:rPr>
        <w:t xml:space="preserve"> por lo que entregar documentos que den cuenta del espacio médico donde ocurrió la negligencia y la circunstancia en la </w:t>
      </w:r>
      <w:r w:rsidR="007D2C8A" w:rsidRPr="006259B0">
        <w:rPr>
          <w:rFonts w:ascii="Palatino Linotype" w:eastAsia="Palatino Linotype" w:hAnsi="Palatino Linotype" w:cs="Palatino Linotype"/>
        </w:rPr>
        <w:lastRenderedPageBreak/>
        <w:t xml:space="preserve">que se dio la negligencia, mismos que </w:t>
      </w:r>
      <w:r w:rsidRPr="006259B0">
        <w:rPr>
          <w:rFonts w:ascii="Palatino Linotype" w:eastAsia="Palatino Linotype" w:hAnsi="Palatino Linotype" w:cs="Palatino Linotype"/>
        </w:rPr>
        <w:t xml:space="preserve">forman parte de las </w:t>
      </w:r>
      <w:r w:rsidR="007D2C8A" w:rsidRPr="006259B0">
        <w:rPr>
          <w:rFonts w:ascii="Palatino Linotype" w:eastAsia="Palatino Linotype" w:hAnsi="Palatino Linotype" w:cs="Palatino Linotype"/>
        </w:rPr>
        <w:t>carpetas referidas,</w:t>
      </w:r>
      <w:r w:rsidRPr="006259B0">
        <w:rPr>
          <w:rFonts w:ascii="Palatino Linotype" w:eastAsia="Palatino Linotype" w:hAnsi="Palatino Linotype" w:cs="Palatino Linotype"/>
        </w:rPr>
        <w:t xml:space="preserve"> pudiera causar daño u obstruir la prevención o persecución de los delitos, alterar el proceso de investigación de las carpetas de investigación, afectar o vulnerar la conducción o los derechos del debido proceso en los procedimientos de las quejas, denuncias o inconformidades, no obstante, el </w:t>
      </w:r>
      <w:r w:rsidRPr="006259B0">
        <w:rPr>
          <w:rFonts w:ascii="Palatino Linotype" w:eastAsia="Palatino Linotype" w:hAnsi="Palatino Linotype" w:cs="Palatino Linotype"/>
          <w:b/>
        </w:rPr>
        <w:t>Sujeto Obligado</w:t>
      </w:r>
      <w:r w:rsidRPr="006259B0">
        <w:rPr>
          <w:rFonts w:ascii="Palatino Linotype" w:eastAsia="Palatino Linotype" w:hAnsi="Palatino Linotype" w:cs="Palatino Linotype"/>
        </w:rPr>
        <w:t xml:space="preserve"> omitió proporcionar el acuerdo de clasificación mediante el cual se restringiera de manera fundada y motivada el Derecho de acceso.</w:t>
      </w:r>
    </w:p>
    <w:p w:rsidR="008F7B6A" w:rsidRPr="006259B0" w:rsidRDefault="008434A8" w:rsidP="006259B0">
      <w:pPr>
        <w:widowControl w:val="0"/>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En las relatadas circunstancias, se estima dable </w:t>
      </w:r>
      <w:r w:rsidR="007D2C8A" w:rsidRPr="006259B0">
        <w:rPr>
          <w:rFonts w:ascii="Palatino Linotype" w:eastAsia="Palatino Linotype" w:hAnsi="Palatino Linotype" w:cs="Palatino Linotype"/>
        </w:rPr>
        <w:t xml:space="preserve">ordenar la clasificación de las 24 carpetas de investigación referidas en informe justificado </w:t>
      </w:r>
      <w:r w:rsidRPr="006259B0">
        <w:rPr>
          <w:rFonts w:ascii="Palatino Linotype" w:eastAsia="Palatino Linotype" w:hAnsi="Palatino Linotype" w:cs="Palatino Linotype"/>
        </w:rPr>
        <w:t>en términos de los artículos 49 fracción VIII, 53, fracción X y 59, fracción V, de la Ley en consulta, cuyo sentido literal es el siguiente:</w:t>
      </w:r>
    </w:p>
    <w:p w:rsidR="008F7B6A" w:rsidRPr="006259B0" w:rsidRDefault="008434A8" w:rsidP="006259B0">
      <w:pPr>
        <w:spacing w:before="120" w:after="120"/>
        <w:ind w:left="851" w:right="900"/>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“Artículo 49.</w:t>
      </w:r>
      <w:r w:rsidRPr="006259B0">
        <w:rPr>
          <w:rFonts w:ascii="Palatino Linotype" w:eastAsia="Palatino Linotype" w:hAnsi="Palatino Linotype" w:cs="Palatino Linotype"/>
          <w:i/>
          <w:sz w:val="22"/>
          <w:szCs w:val="22"/>
        </w:rPr>
        <w:t xml:space="preserve"> </w:t>
      </w:r>
      <w:r w:rsidRPr="006259B0">
        <w:rPr>
          <w:rFonts w:ascii="Palatino Linotype" w:eastAsia="Palatino Linotype" w:hAnsi="Palatino Linotype" w:cs="Palatino Linotype"/>
          <w:b/>
          <w:i/>
          <w:sz w:val="22"/>
          <w:szCs w:val="22"/>
        </w:rPr>
        <w:t>Los Comités de Transparencia</w:t>
      </w:r>
      <w:r w:rsidRPr="006259B0">
        <w:rPr>
          <w:rFonts w:ascii="Palatino Linotype" w:eastAsia="Palatino Linotype" w:hAnsi="Palatino Linotype" w:cs="Palatino Linotype"/>
          <w:i/>
          <w:sz w:val="22"/>
          <w:szCs w:val="22"/>
        </w:rPr>
        <w:t xml:space="preserve"> tendrán las siguientes atribuciones:</w:t>
      </w:r>
    </w:p>
    <w:p w:rsidR="008F7B6A" w:rsidRPr="006259B0" w:rsidRDefault="008434A8" w:rsidP="006259B0">
      <w:pPr>
        <w:spacing w:before="120" w:after="120"/>
        <w:ind w:left="993" w:right="900"/>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VIII. Aprobar, modificar o revocar la clasificación de la información</w:t>
      </w:r>
      <w:r w:rsidRPr="006259B0">
        <w:rPr>
          <w:rFonts w:ascii="Palatino Linotype" w:eastAsia="Palatino Linotype" w:hAnsi="Palatino Linotype" w:cs="Palatino Linotype"/>
          <w:i/>
          <w:sz w:val="22"/>
          <w:szCs w:val="22"/>
        </w:rPr>
        <w:t>…”</w:t>
      </w:r>
    </w:p>
    <w:p w:rsidR="008F7B6A" w:rsidRPr="006259B0" w:rsidRDefault="008434A8" w:rsidP="006259B0">
      <w:pPr>
        <w:spacing w:before="120" w:after="120"/>
        <w:ind w:left="851" w:right="900"/>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i/>
          <w:sz w:val="22"/>
          <w:szCs w:val="22"/>
        </w:rPr>
        <w:t>“</w:t>
      </w:r>
      <w:r w:rsidRPr="006259B0">
        <w:rPr>
          <w:rFonts w:ascii="Palatino Linotype" w:eastAsia="Palatino Linotype" w:hAnsi="Palatino Linotype" w:cs="Palatino Linotype"/>
          <w:b/>
          <w:i/>
          <w:sz w:val="22"/>
          <w:szCs w:val="22"/>
        </w:rPr>
        <w:t>Artículo 53.</w:t>
      </w:r>
      <w:r w:rsidRPr="006259B0">
        <w:rPr>
          <w:rFonts w:ascii="Palatino Linotype" w:eastAsia="Palatino Linotype" w:hAnsi="Palatino Linotype" w:cs="Palatino Linotype"/>
          <w:i/>
          <w:sz w:val="22"/>
          <w:szCs w:val="22"/>
        </w:rPr>
        <w:t xml:space="preserve"> Las </w:t>
      </w:r>
      <w:r w:rsidRPr="006259B0">
        <w:rPr>
          <w:rFonts w:ascii="Palatino Linotype" w:eastAsia="Palatino Linotype" w:hAnsi="Palatino Linotype" w:cs="Palatino Linotype"/>
          <w:b/>
          <w:i/>
          <w:sz w:val="22"/>
          <w:szCs w:val="22"/>
        </w:rPr>
        <w:t>Unidades de Transparencia</w:t>
      </w:r>
      <w:r w:rsidRPr="006259B0">
        <w:rPr>
          <w:rFonts w:ascii="Palatino Linotype" w:eastAsia="Palatino Linotype" w:hAnsi="Palatino Linotype" w:cs="Palatino Linotype"/>
          <w:i/>
          <w:sz w:val="22"/>
          <w:szCs w:val="22"/>
        </w:rPr>
        <w:t xml:space="preserve"> tendrán las siguientes </w:t>
      </w:r>
      <w:r w:rsidRPr="006259B0">
        <w:rPr>
          <w:rFonts w:ascii="Palatino Linotype" w:eastAsia="Palatino Linotype" w:hAnsi="Palatino Linotype" w:cs="Palatino Linotype"/>
          <w:b/>
          <w:i/>
          <w:sz w:val="22"/>
          <w:szCs w:val="22"/>
        </w:rPr>
        <w:t>funciones</w:t>
      </w:r>
      <w:r w:rsidRPr="006259B0">
        <w:rPr>
          <w:rFonts w:ascii="Palatino Linotype" w:eastAsia="Palatino Linotype" w:hAnsi="Palatino Linotype" w:cs="Palatino Linotype"/>
          <w:i/>
          <w:sz w:val="22"/>
          <w:szCs w:val="22"/>
        </w:rPr>
        <w:t>:</w:t>
      </w:r>
    </w:p>
    <w:p w:rsidR="008F7B6A" w:rsidRPr="006259B0" w:rsidRDefault="008434A8" w:rsidP="006259B0">
      <w:pPr>
        <w:spacing w:before="120" w:after="120"/>
        <w:ind w:left="993" w:right="900"/>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X. Presentar ante el Comité, el proyecto de clasificación de información</w:t>
      </w:r>
      <w:r w:rsidRPr="006259B0">
        <w:rPr>
          <w:rFonts w:ascii="Palatino Linotype" w:eastAsia="Palatino Linotype" w:hAnsi="Palatino Linotype" w:cs="Palatino Linotype"/>
          <w:i/>
          <w:sz w:val="22"/>
          <w:szCs w:val="22"/>
        </w:rPr>
        <w:t xml:space="preserve">…” </w:t>
      </w:r>
    </w:p>
    <w:p w:rsidR="008F7B6A" w:rsidRPr="006259B0" w:rsidRDefault="008434A8" w:rsidP="006259B0">
      <w:pPr>
        <w:spacing w:before="120" w:after="120"/>
        <w:ind w:left="851" w:right="900"/>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“Artículo 59.</w:t>
      </w:r>
      <w:r w:rsidRPr="006259B0">
        <w:rPr>
          <w:rFonts w:ascii="Palatino Linotype" w:eastAsia="Palatino Linotype" w:hAnsi="Palatino Linotype" w:cs="Palatino Linotype"/>
          <w:i/>
          <w:sz w:val="22"/>
          <w:szCs w:val="22"/>
        </w:rPr>
        <w:t xml:space="preserve"> Los </w:t>
      </w:r>
      <w:r w:rsidRPr="006259B0">
        <w:rPr>
          <w:rFonts w:ascii="Palatino Linotype" w:eastAsia="Palatino Linotype" w:hAnsi="Palatino Linotype" w:cs="Palatino Linotype"/>
          <w:b/>
          <w:i/>
          <w:sz w:val="22"/>
          <w:szCs w:val="22"/>
        </w:rPr>
        <w:t>servidores públicos habilitados</w:t>
      </w:r>
      <w:r w:rsidRPr="006259B0">
        <w:rPr>
          <w:rFonts w:ascii="Palatino Linotype" w:eastAsia="Palatino Linotype" w:hAnsi="Palatino Linotype" w:cs="Palatino Linotype"/>
          <w:i/>
          <w:sz w:val="22"/>
          <w:szCs w:val="22"/>
        </w:rPr>
        <w:t xml:space="preserve"> tendrán las </w:t>
      </w:r>
      <w:r w:rsidRPr="006259B0">
        <w:rPr>
          <w:rFonts w:ascii="Palatino Linotype" w:eastAsia="Palatino Linotype" w:hAnsi="Palatino Linotype" w:cs="Palatino Linotype"/>
          <w:b/>
          <w:i/>
          <w:sz w:val="22"/>
          <w:szCs w:val="22"/>
        </w:rPr>
        <w:t>funciones</w:t>
      </w:r>
      <w:r w:rsidRPr="006259B0">
        <w:rPr>
          <w:rFonts w:ascii="Palatino Linotype" w:eastAsia="Palatino Linotype" w:hAnsi="Palatino Linotype" w:cs="Palatino Linotype"/>
          <w:i/>
          <w:sz w:val="22"/>
          <w:szCs w:val="22"/>
        </w:rPr>
        <w:t xml:space="preserve"> siguientes:</w:t>
      </w:r>
    </w:p>
    <w:p w:rsidR="008F7B6A" w:rsidRPr="006259B0" w:rsidRDefault="008434A8" w:rsidP="006259B0">
      <w:pPr>
        <w:spacing w:before="120" w:after="120"/>
        <w:ind w:left="851" w:right="900"/>
        <w:jc w:val="both"/>
        <w:rPr>
          <w:rFonts w:ascii="Palatino Linotype" w:eastAsia="Palatino Linotype" w:hAnsi="Palatino Linotype" w:cs="Palatino Linotype"/>
          <w:i/>
          <w:sz w:val="22"/>
          <w:szCs w:val="22"/>
        </w:rPr>
      </w:pPr>
      <w:r w:rsidRPr="006259B0">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6259B0">
        <w:rPr>
          <w:rFonts w:ascii="Palatino Linotype" w:eastAsia="Palatino Linotype" w:hAnsi="Palatino Linotype" w:cs="Palatino Linotype"/>
          <w:i/>
          <w:sz w:val="22"/>
          <w:szCs w:val="22"/>
        </w:rPr>
        <w:t>, la cual tendrá los fundamentos y argumentos en que se basa dicha propuesta…”</w:t>
      </w:r>
    </w:p>
    <w:p w:rsidR="008F7B6A" w:rsidRPr="006259B0" w:rsidRDefault="008434A8" w:rsidP="006259B0">
      <w:pPr>
        <w:widowControl w:val="0"/>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Asimismo, el Acuerdo de Clasificación de Información, se emitirá en términos de lo dispuesto tanto como en los en los artículos 128 y 129 de la Ley de Transparencia y Acceso a la Información Pública del Estado de México y Municipios, como en los </w:t>
      </w:r>
      <w:r w:rsidRPr="006259B0">
        <w:rPr>
          <w:rFonts w:ascii="Palatino Linotype" w:eastAsia="Palatino Linotype" w:hAnsi="Palatino Linotype" w:cs="Palatino Linotype"/>
        </w:rPr>
        <w:lastRenderedPageBreak/>
        <w:t xml:space="preserve">Lineamientos Generales en Materia de Clasificación y Desclasificación de la Información, así como para la elaboración de Versiones Públicas, motivando la referida clasificación al señalar las </w:t>
      </w:r>
      <w:r w:rsidRPr="006259B0">
        <w:rPr>
          <w:rFonts w:ascii="Palatino Linotype" w:eastAsia="Palatino Linotype" w:hAnsi="Palatino Linotype" w:cs="Palatino Linotype"/>
          <w:b/>
          <w:u w:val="single"/>
        </w:rPr>
        <w:t>razones, motivos o circunstancias especiales</w:t>
      </w:r>
      <w:r w:rsidRPr="006259B0">
        <w:rPr>
          <w:rFonts w:ascii="Palatino Linotype" w:eastAsia="Palatino Linotype" w:hAnsi="Palatino Linotype" w:cs="Palatino Linotype"/>
        </w:rPr>
        <w:t xml:space="preserve"> que lo llevaron a concluir que el caso concreto, se ajustó al o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rsidR="008F7B6A" w:rsidRPr="006259B0" w:rsidRDefault="008434A8" w:rsidP="006259B0">
      <w:pPr>
        <w:spacing w:before="240" w:after="240" w:line="360" w:lineRule="auto"/>
        <w:ind w:right="51"/>
        <w:jc w:val="both"/>
        <w:rPr>
          <w:rFonts w:ascii="Palatino Linotype" w:eastAsia="Palatino Linotype" w:hAnsi="Palatino Linotype" w:cs="Palatino Linotype"/>
        </w:rPr>
      </w:pPr>
      <w:bookmarkStart w:id="10" w:name="_heading=h.1ksv4uv" w:colFirst="0" w:colLast="0"/>
      <w:bookmarkEnd w:id="10"/>
      <w:r w:rsidRPr="006259B0">
        <w:rPr>
          <w:rFonts w:ascii="Palatino Linotype" w:eastAsia="Palatino Linotype" w:hAnsi="Palatino Linotype" w:cs="Palatino Linotype"/>
        </w:rPr>
        <w:t xml:space="preserve">De lo hasta aquí expuesto, se concluye que los motivos de inconformidad de la parte </w:t>
      </w:r>
      <w:r w:rsidRPr="006259B0">
        <w:rPr>
          <w:rFonts w:ascii="Palatino Linotype" w:eastAsia="Palatino Linotype" w:hAnsi="Palatino Linotype" w:cs="Palatino Linotype"/>
          <w:b/>
        </w:rPr>
        <w:t xml:space="preserve">Recurrente </w:t>
      </w:r>
      <w:r w:rsidRPr="006259B0">
        <w:rPr>
          <w:rFonts w:ascii="Palatino Linotype" w:eastAsia="Palatino Linotype" w:hAnsi="Palatino Linotype" w:cs="Palatino Linotype"/>
        </w:rPr>
        <w:t xml:space="preserve">devienen fundados, siendo procedente </w:t>
      </w:r>
      <w:r w:rsidRPr="006259B0">
        <w:rPr>
          <w:rFonts w:ascii="Palatino Linotype" w:eastAsia="Palatino Linotype" w:hAnsi="Palatino Linotype" w:cs="Palatino Linotype"/>
          <w:i/>
        </w:rPr>
        <w:t xml:space="preserve">Modificar </w:t>
      </w:r>
      <w:r w:rsidRPr="006259B0">
        <w:rPr>
          <w:rFonts w:ascii="Palatino Linotype" w:eastAsia="Palatino Linotype" w:hAnsi="Palatino Linotype" w:cs="Palatino Linotype"/>
        </w:rPr>
        <w:t xml:space="preserve">la respuesta proporcionada por el </w:t>
      </w:r>
      <w:r w:rsidRPr="006259B0">
        <w:rPr>
          <w:rFonts w:ascii="Palatino Linotype" w:eastAsia="Palatino Linotype" w:hAnsi="Palatino Linotype" w:cs="Palatino Linotype"/>
          <w:b/>
        </w:rPr>
        <w:t xml:space="preserve">Sujeto Obligado </w:t>
      </w:r>
      <w:r w:rsidRPr="006259B0">
        <w:rPr>
          <w:rFonts w:ascii="Palatino Linotype" w:eastAsia="Palatino Linotype" w:hAnsi="Palatino Linotype" w:cs="Palatino Linotype"/>
        </w:rPr>
        <w:t>en términos del artículo 186 fracción III de la Ley de Transparencia y Acceso a la Información Pública del Estado de México y Municipios.</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8F7B6A" w:rsidRPr="006259B0" w:rsidRDefault="008F7B6A" w:rsidP="006259B0">
      <w:pPr>
        <w:spacing w:before="240" w:after="240" w:line="360" w:lineRule="auto"/>
        <w:jc w:val="both"/>
        <w:rPr>
          <w:rFonts w:ascii="Palatino Linotype" w:eastAsia="Palatino Linotype" w:hAnsi="Palatino Linotype" w:cs="Palatino Linotype"/>
        </w:rPr>
      </w:pPr>
    </w:p>
    <w:p w:rsidR="008F7B6A" w:rsidRPr="006259B0" w:rsidRDefault="008434A8" w:rsidP="006259B0">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6259B0">
        <w:rPr>
          <w:rFonts w:ascii="Palatino Linotype" w:eastAsia="Palatino Linotype" w:hAnsi="Palatino Linotype" w:cs="Palatino Linotype"/>
          <w:b/>
        </w:rPr>
        <w:t>III. R E S U E L V E</w:t>
      </w:r>
    </w:p>
    <w:p w:rsidR="008F7B6A" w:rsidRPr="006259B0" w:rsidRDefault="008434A8" w:rsidP="006259B0">
      <w:pPr>
        <w:spacing w:before="240" w:after="240" w:line="360" w:lineRule="auto"/>
        <w:jc w:val="both"/>
        <w:rPr>
          <w:rFonts w:ascii="Palatino Linotype" w:eastAsia="Palatino Linotype" w:hAnsi="Palatino Linotype" w:cs="Palatino Linotype"/>
          <w:b/>
        </w:rPr>
      </w:pPr>
      <w:bookmarkStart w:id="11" w:name="_heading=h.1fob9te" w:colFirst="0" w:colLast="0"/>
      <w:bookmarkEnd w:id="11"/>
      <w:r w:rsidRPr="006259B0">
        <w:rPr>
          <w:rFonts w:ascii="Palatino Linotype" w:eastAsia="Palatino Linotype" w:hAnsi="Palatino Linotype" w:cs="Palatino Linotype"/>
          <w:b/>
        </w:rPr>
        <w:t xml:space="preserve">Primero. </w:t>
      </w:r>
      <w:r w:rsidRPr="006259B0">
        <w:rPr>
          <w:rFonts w:ascii="Palatino Linotype" w:eastAsia="Palatino Linotype" w:hAnsi="Palatino Linotype" w:cs="Palatino Linotype"/>
        </w:rPr>
        <w:t>Resultan</w:t>
      </w:r>
      <w:r w:rsidRPr="006259B0">
        <w:rPr>
          <w:rFonts w:ascii="Palatino Linotype" w:eastAsia="Palatino Linotype" w:hAnsi="Palatino Linotype" w:cs="Palatino Linotype"/>
          <w:b/>
        </w:rPr>
        <w:t xml:space="preserve"> fundados</w:t>
      </w:r>
      <w:r w:rsidRPr="006259B0">
        <w:rPr>
          <w:rFonts w:ascii="Palatino Linotype" w:eastAsia="Palatino Linotype" w:hAnsi="Palatino Linotype" w:cs="Palatino Linotype"/>
        </w:rPr>
        <w:t xml:space="preserve"> los motivos de inconformidad hechos valer por la parte </w:t>
      </w:r>
      <w:r w:rsidRPr="006259B0">
        <w:rPr>
          <w:rFonts w:ascii="Palatino Linotype" w:eastAsia="Palatino Linotype" w:hAnsi="Palatino Linotype" w:cs="Palatino Linotype"/>
          <w:b/>
        </w:rPr>
        <w:t xml:space="preserve">Recurrente </w:t>
      </w:r>
      <w:r w:rsidRPr="006259B0">
        <w:rPr>
          <w:rFonts w:ascii="Palatino Linotype" w:eastAsia="Palatino Linotype" w:hAnsi="Palatino Linotype" w:cs="Palatino Linotype"/>
        </w:rPr>
        <w:t xml:space="preserve">en el recurso de revisión </w:t>
      </w:r>
      <w:r w:rsidRPr="006259B0">
        <w:rPr>
          <w:rFonts w:ascii="Palatino Linotype" w:eastAsia="Palatino Linotype" w:hAnsi="Palatino Linotype" w:cs="Palatino Linotype"/>
          <w:b/>
        </w:rPr>
        <w:t xml:space="preserve">13664/INFOEM/IP/RR/2022, </w:t>
      </w:r>
      <w:r w:rsidRPr="006259B0">
        <w:rPr>
          <w:rFonts w:ascii="Palatino Linotype" w:eastAsia="Palatino Linotype" w:hAnsi="Palatino Linotype" w:cs="Palatino Linotype"/>
        </w:rPr>
        <w:t xml:space="preserve">por lo que, en términos del Considerando </w:t>
      </w:r>
      <w:r w:rsidRPr="006259B0">
        <w:rPr>
          <w:rFonts w:ascii="Palatino Linotype" w:eastAsia="Palatino Linotype" w:hAnsi="Palatino Linotype" w:cs="Palatino Linotype"/>
          <w:b/>
        </w:rPr>
        <w:t>Cuarto</w:t>
      </w:r>
      <w:r w:rsidRPr="006259B0">
        <w:rPr>
          <w:rFonts w:ascii="Palatino Linotype" w:eastAsia="Palatino Linotype" w:hAnsi="Palatino Linotype" w:cs="Palatino Linotype"/>
        </w:rPr>
        <w:t xml:space="preserve"> de la presente resolución, se</w:t>
      </w:r>
      <w:r w:rsidRPr="006259B0">
        <w:rPr>
          <w:rFonts w:ascii="Palatino Linotype" w:eastAsia="Palatino Linotype" w:hAnsi="Palatino Linotype" w:cs="Palatino Linotype"/>
          <w:b/>
        </w:rPr>
        <w:t xml:space="preserve"> Modifica </w:t>
      </w:r>
      <w:r w:rsidRPr="006259B0">
        <w:rPr>
          <w:rFonts w:ascii="Palatino Linotype" w:eastAsia="Palatino Linotype" w:hAnsi="Palatino Linotype" w:cs="Palatino Linotype"/>
        </w:rPr>
        <w:t>la respuesta</w:t>
      </w:r>
      <w:r w:rsidRPr="006259B0">
        <w:rPr>
          <w:rFonts w:ascii="Palatino Linotype" w:eastAsia="Palatino Linotype" w:hAnsi="Palatino Linotype" w:cs="Palatino Linotype"/>
          <w:b/>
        </w:rPr>
        <w:t xml:space="preserve"> </w:t>
      </w:r>
      <w:r w:rsidRPr="006259B0">
        <w:rPr>
          <w:rFonts w:ascii="Palatino Linotype" w:eastAsia="Palatino Linotype" w:hAnsi="Palatino Linotype" w:cs="Palatino Linotype"/>
        </w:rPr>
        <w:t xml:space="preserve">del </w:t>
      </w:r>
      <w:r w:rsidRPr="006259B0">
        <w:rPr>
          <w:rFonts w:ascii="Palatino Linotype" w:eastAsia="Palatino Linotype" w:hAnsi="Palatino Linotype" w:cs="Palatino Linotype"/>
          <w:b/>
        </w:rPr>
        <w:t>Sujeto Obligado.</w:t>
      </w:r>
    </w:p>
    <w:p w:rsidR="008F7B6A" w:rsidRPr="006259B0" w:rsidRDefault="008434A8" w:rsidP="006259B0">
      <w:pPr>
        <w:spacing w:before="240" w:after="240" w:line="360" w:lineRule="auto"/>
        <w:jc w:val="both"/>
        <w:rPr>
          <w:rFonts w:ascii="Palatino Linotype" w:eastAsia="Palatino Linotype" w:hAnsi="Palatino Linotype" w:cs="Palatino Linotype"/>
        </w:rPr>
      </w:pPr>
      <w:bookmarkStart w:id="12" w:name="_heading=h.4d34og8" w:colFirst="0" w:colLast="0"/>
      <w:bookmarkEnd w:id="12"/>
      <w:r w:rsidRPr="006259B0">
        <w:rPr>
          <w:rFonts w:ascii="Palatino Linotype" w:eastAsia="Palatino Linotype" w:hAnsi="Palatino Linotype" w:cs="Palatino Linotype"/>
          <w:b/>
        </w:rPr>
        <w:t xml:space="preserve">Segundo. </w:t>
      </w:r>
      <w:r w:rsidRPr="006259B0">
        <w:rPr>
          <w:rFonts w:ascii="Palatino Linotype" w:eastAsia="Palatino Linotype" w:hAnsi="Palatino Linotype" w:cs="Palatino Linotype"/>
        </w:rPr>
        <w:t xml:space="preserve">Se </w:t>
      </w:r>
      <w:r w:rsidRPr="006259B0">
        <w:rPr>
          <w:rFonts w:ascii="Palatino Linotype" w:eastAsia="Palatino Linotype" w:hAnsi="Palatino Linotype" w:cs="Palatino Linotype"/>
          <w:b/>
        </w:rPr>
        <w:t>Ordena</w:t>
      </w:r>
      <w:r w:rsidRPr="006259B0">
        <w:rPr>
          <w:rFonts w:ascii="Palatino Linotype" w:eastAsia="Palatino Linotype" w:hAnsi="Palatino Linotype" w:cs="Palatino Linotype"/>
        </w:rPr>
        <w:t xml:space="preserve"> al </w:t>
      </w:r>
      <w:r w:rsidRPr="006259B0">
        <w:rPr>
          <w:rFonts w:ascii="Palatino Linotype" w:eastAsia="Palatino Linotype" w:hAnsi="Palatino Linotype" w:cs="Palatino Linotype"/>
          <w:b/>
        </w:rPr>
        <w:t>Sujeto Obligado</w:t>
      </w:r>
      <w:r w:rsidRPr="006259B0">
        <w:rPr>
          <w:rFonts w:ascii="Palatino Linotype" w:eastAsia="Palatino Linotype" w:hAnsi="Palatino Linotype" w:cs="Palatino Linotype"/>
        </w:rPr>
        <w:t xml:space="preserve">, en términos del Considerando </w:t>
      </w:r>
      <w:r w:rsidRPr="006259B0">
        <w:rPr>
          <w:rFonts w:ascii="Palatino Linotype" w:eastAsia="Palatino Linotype" w:hAnsi="Palatino Linotype" w:cs="Palatino Linotype"/>
          <w:b/>
        </w:rPr>
        <w:t xml:space="preserve">Cuarto </w:t>
      </w:r>
      <w:r w:rsidRPr="006259B0">
        <w:rPr>
          <w:rFonts w:ascii="Palatino Linotype" w:eastAsia="Palatino Linotype" w:hAnsi="Palatino Linotype" w:cs="Palatino Linotype"/>
        </w:rPr>
        <w:t>de esta resolución, haga entrega, vía SAIMEX, de lo siguiente</w:t>
      </w:r>
    </w:p>
    <w:p w:rsidR="007D2C8A" w:rsidRPr="006259B0" w:rsidRDefault="008434A8" w:rsidP="006259B0">
      <w:pPr>
        <w:spacing w:before="240" w:after="240" w:line="360" w:lineRule="auto"/>
        <w:ind w:left="426"/>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1. Acuerdo del Comité de Transparencia en el que se clasifique </w:t>
      </w:r>
      <w:r w:rsidR="007D2C8A" w:rsidRPr="006259B0">
        <w:rPr>
          <w:rFonts w:ascii="Palatino Linotype" w:eastAsia="Palatino Linotype" w:hAnsi="Palatino Linotype" w:cs="Palatino Linotype"/>
        </w:rPr>
        <w:t>las 24 carpetas de investigación referidas en informe justificado como información reservada.</w:t>
      </w:r>
    </w:p>
    <w:p w:rsidR="008F7B6A" w:rsidRPr="006259B0" w:rsidRDefault="008434A8" w:rsidP="006259B0">
      <w:pPr>
        <w:spacing w:before="240" w:after="240" w:line="360" w:lineRule="auto"/>
        <w:jc w:val="both"/>
        <w:rPr>
          <w:rFonts w:ascii="Palatino Linotype" w:eastAsia="Palatino Linotype" w:hAnsi="Palatino Linotype" w:cs="Palatino Linotype"/>
          <w:b/>
        </w:rPr>
      </w:pPr>
      <w:r w:rsidRPr="006259B0">
        <w:rPr>
          <w:rFonts w:ascii="Palatino Linotype" w:eastAsia="Palatino Linotype" w:hAnsi="Palatino Linotype" w:cs="Palatino Linotype"/>
          <w:b/>
        </w:rPr>
        <w:t xml:space="preserve">Tercero. Notifíquese, </w:t>
      </w:r>
      <w:r w:rsidRPr="006259B0">
        <w:rPr>
          <w:rFonts w:ascii="Palatino Linotype" w:eastAsia="Palatino Linotype" w:hAnsi="Palatino Linotype" w:cs="Palatino Linotype"/>
        </w:rPr>
        <w:t xml:space="preserve">vía </w:t>
      </w:r>
      <w:r w:rsidRPr="006259B0">
        <w:rPr>
          <w:rFonts w:ascii="Palatino Linotype" w:eastAsia="Palatino Linotype" w:hAnsi="Palatino Linotype" w:cs="Palatino Linotype"/>
          <w:b/>
        </w:rPr>
        <w:t>SAIMEX</w:t>
      </w:r>
      <w:r w:rsidRPr="006259B0">
        <w:rPr>
          <w:rFonts w:ascii="Palatino Linotype" w:eastAsia="Palatino Linotype" w:hAnsi="Palatino Linotype" w:cs="Palatino Linotype"/>
        </w:rPr>
        <w:t xml:space="preserve">, al Titular de la Unidad de Transparencia del </w:t>
      </w:r>
      <w:r w:rsidRPr="006259B0">
        <w:rPr>
          <w:rFonts w:ascii="Palatino Linotype" w:eastAsia="Palatino Linotype" w:hAnsi="Palatino Linotype" w:cs="Palatino Linotype"/>
          <w:b/>
        </w:rPr>
        <w:t>Sujeto Obligado,</w:t>
      </w:r>
      <w:r w:rsidRPr="006259B0">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8F7B6A" w:rsidRPr="006259B0"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lastRenderedPageBreak/>
        <w:t xml:space="preserve">De conformidad con el artículo 198 de la Ley de Transparencia y Acceso a la Información Pública del Estado de México y Municipios, de considerarlo procedente, el </w:t>
      </w:r>
      <w:r w:rsidRPr="006259B0">
        <w:rPr>
          <w:rFonts w:ascii="Palatino Linotype" w:eastAsia="Palatino Linotype" w:hAnsi="Palatino Linotype" w:cs="Palatino Linotype"/>
          <w:b/>
        </w:rPr>
        <w:t>Sujeto Obligado</w:t>
      </w:r>
      <w:r w:rsidRPr="006259B0">
        <w:rPr>
          <w:rFonts w:ascii="Palatino Linotype" w:eastAsia="Palatino Linotype" w:hAnsi="Palatino Linotype" w:cs="Palatino Linotype"/>
        </w:rPr>
        <w:t xml:space="preserve"> de manera fundada y motivada, podrá solicitar una ampliación de plazo para el cumplimiento de la presente resolución.</w:t>
      </w:r>
    </w:p>
    <w:p w:rsidR="008F7B6A" w:rsidRPr="006259B0" w:rsidRDefault="008434A8" w:rsidP="006259B0">
      <w:pPr>
        <w:spacing w:before="240" w:after="240" w:line="360" w:lineRule="auto"/>
        <w:jc w:val="both"/>
        <w:rPr>
          <w:rFonts w:ascii="Palatino Linotype" w:eastAsia="Palatino Linotype" w:hAnsi="Palatino Linotype" w:cs="Palatino Linotype"/>
        </w:rPr>
      </w:pPr>
      <w:bookmarkStart w:id="13" w:name="_heading=h.lnxbz9" w:colFirst="0" w:colLast="0"/>
      <w:bookmarkEnd w:id="13"/>
      <w:r w:rsidRPr="006259B0">
        <w:rPr>
          <w:rFonts w:ascii="Palatino Linotype" w:eastAsia="Palatino Linotype" w:hAnsi="Palatino Linotype" w:cs="Palatino Linotype"/>
          <w:b/>
        </w:rPr>
        <w:t xml:space="preserve">Cuarto.  Notifíquese, </w:t>
      </w:r>
      <w:r w:rsidRPr="006259B0">
        <w:rPr>
          <w:rFonts w:ascii="Palatino Linotype" w:eastAsia="Palatino Linotype" w:hAnsi="Palatino Linotype" w:cs="Palatino Linotype"/>
        </w:rPr>
        <w:t xml:space="preserve">vía </w:t>
      </w:r>
      <w:r w:rsidRPr="006259B0">
        <w:rPr>
          <w:rFonts w:ascii="Palatino Linotype" w:eastAsia="Palatino Linotype" w:hAnsi="Palatino Linotype" w:cs="Palatino Linotype"/>
          <w:b/>
        </w:rPr>
        <w:t>SAIMEX</w:t>
      </w:r>
      <w:r w:rsidRPr="006259B0">
        <w:rPr>
          <w:rFonts w:ascii="Palatino Linotype" w:eastAsia="Palatino Linotype" w:hAnsi="Palatino Linotype" w:cs="Palatino Linotype"/>
        </w:rPr>
        <w:t xml:space="preserve">, a la parte </w:t>
      </w:r>
      <w:r w:rsidRPr="006259B0">
        <w:rPr>
          <w:rFonts w:ascii="Palatino Linotype" w:eastAsia="Palatino Linotype" w:hAnsi="Palatino Linotype" w:cs="Palatino Linotype"/>
          <w:b/>
        </w:rPr>
        <w:t xml:space="preserve">Recurrente </w:t>
      </w:r>
      <w:r w:rsidRPr="006259B0">
        <w:rPr>
          <w:rFonts w:ascii="Palatino Linotype" w:eastAsia="Palatino Linotype" w:hAnsi="Palatino Linotype" w:cs="Palatino Linotype"/>
        </w:rPr>
        <w:t>la presente resolución, así como, que de conformidad con lo establecido en los artículos 159 y 160 de la Ley General de Transparencia y Acceso a la Información Pública, y en el artículo 196 de la Ley de Transparencia y Acceso a la Información Pública del Estado de México y Municipios, podrá impugnarla vía recurso de inconformidad ante el Instituto Nacional de Transparencia, Acceso a la Información y Protección de Datos Personales, o bien, vía Juicio de Amparo en los términos de las leyes aplicables.</w:t>
      </w:r>
    </w:p>
    <w:p w:rsidR="008F7B6A" w:rsidRDefault="008434A8" w:rsidP="006259B0">
      <w:pPr>
        <w:spacing w:before="240" w:after="240" w:line="360" w:lineRule="auto"/>
        <w:jc w:val="both"/>
        <w:rPr>
          <w:rFonts w:ascii="Palatino Linotype" w:eastAsia="Palatino Linotype" w:hAnsi="Palatino Linotype" w:cs="Palatino Linotype"/>
        </w:rPr>
      </w:pPr>
      <w:r w:rsidRPr="006259B0">
        <w:rPr>
          <w:rFonts w:ascii="Palatino Linotype" w:eastAsia="Palatino Linotype" w:hAnsi="Palatino Linotype" w:cs="Palatino Linotype"/>
        </w:rPr>
        <w:t xml:space="preserve">ASÍ LO RESUELVE, POR </w:t>
      </w:r>
      <w:r w:rsidR="00843147" w:rsidRPr="006259B0">
        <w:rPr>
          <w:rFonts w:ascii="Palatino Linotype" w:eastAsia="Palatino Linotype" w:hAnsi="Palatino Linotype" w:cs="Palatino Linotype"/>
        </w:rPr>
        <w:t xml:space="preserve">MAYORÍA DE </w:t>
      </w:r>
      <w:r w:rsidRPr="006259B0">
        <w:rPr>
          <w:rFonts w:ascii="Palatino Linotype" w:eastAsia="Palatino Linotype" w:hAnsi="Palatino Linotype" w:cs="Palatino Linotype"/>
        </w:rPr>
        <w:t>VOTOS, EL PLENO DEL INSTITUTO DE TRANSPARENCIA, ACCESO A LA INFORMACIÓN PÚBLICA Y PROTECCIÓN DE DATOS PERSONALES DEL ESTADO DE MÉXICO Y MUNICIPIOS, CONFORMADO POR LOS COMISIONADOS JOSÉ MARTÍNEZ VILCHIS, MARÍA DEL ROSARIO MEJÍA AYALA</w:t>
      </w:r>
      <w:r w:rsidR="00843147" w:rsidRPr="006259B0">
        <w:rPr>
          <w:rFonts w:ascii="Palatino Linotype" w:eastAsia="Palatino Linotype" w:hAnsi="Palatino Linotype" w:cs="Palatino Linotype"/>
        </w:rPr>
        <w:t xml:space="preserve"> EMITIENDO VOTO DISIDENTE,</w:t>
      </w:r>
      <w:r w:rsidRPr="006259B0">
        <w:rPr>
          <w:rFonts w:ascii="Palatino Linotype" w:eastAsia="Palatino Linotype" w:hAnsi="Palatino Linotype" w:cs="Palatino Linotype"/>
        </w:rPr>
        <w:t xml:space="preserve"> SHARON CRISTINA MORALES MARTÍNEZ, LUIS GUSTAVO PARRA NORIEGA</w:t>
      </w:r>
      <w:r w:rsidR="00843147" w:rsidRPr="006259B0">
        <w:rPr>
          <w:rFonts w:ascii="Palatino Linotype" w:eastAsia="Palatino Linotype" w:hAnsi="Palatino Linotype" w:cs="Palatino Linotype"/>
        </w:rPr>
        <w:t xml:space="preserve">, EMITIENDO VOTO PARTICULAR </w:t>
      </w:r>
      <w:r w:rsidRPr="006259B0">
        <w:rPr>
          <w:rFonts w:ascii="Palatino Linotype" w:eastAsia="Palatino Linotype" w:hAnsi="Palatino Linotype" w:cs="Palatino Linotype"/>
        </w:rPr>
        <w:t>Y GUADALUPE RAMÍREZ PEÑA; EN LA VIGÉSIMO SEGUNDA SESIÓN ORDINARIA, CELEBRADA EL CATORCE DE JUNIO DE DOS MIL VEINTITRÉS, ANTE EL SECRETARIO TÉCNICO DEL PLENO ALEXIS TAPIA RAMÍREZ.</w:t>
      </w:r>
    </w:p>
    <w:p w:rsidR="008F7B6A" w:rsidRDefault="008F7B6A" w:rsidP="006259B0">
      <w:pPr>
        <w:rPr>
          <w:rFonts w:ascii="Palatino Linotype" w:eastAsia="Palatino Linotype" w:hAnsi="Palatino Linotype" w:cs="Palatino Linotype"/>
        </w:rPr>
      </w:pPr>
      <w:bookmarkStart w:id="14" w:name="_GoBack"/>
      <w:bookmarkEnd w:id="14"/>
    </w:p>
    <w:p w:rsidR="008F7B6A" w:rsidRDefault="008F7B6A" w:rsidP="006259B0">
      <w:pPr>
        <w:rPr>
          <w:rFonts w:ascii="Palatino Linotype" w:eastAsia="Palatino Linotype" w:hAnsi="Palatino Linotype" w:cs="Palatino Linotype"/>
        </w:rPr>
      </w:pPr>
    </w:p>
    <w:p w:rsidR="008F7B6A" w:rsidRDefault="008F7B6A" w:rsidP="006259B0">
      <w:pPr>
        <w:rPr>
          <w:rFonts w:ascii="Palatino Linotype" w:eastAsia="Palatino Linotype" w:hAnsi="Palatino Linotype" w:cs="Palatino Linotype"/>
        </w:rPr>
      </w:pPr>
    </w:p>
    <w:p w:rsidR="008F7B6A" w:rsidRDefault="008F7B6A" w:rsidP="006259B0">
      <w:pPr>
        <w:rPr>
          <w:rFonts w:ascii="Palatino Linotype" w:eastAsia="Palatino Linotype" w:hAnsi="Palatino Linotype" w:cs="Palatino Linotype"/>
        </w:rPr>
      </w:pPr>
    </w:p>
    <w:p w:rsidR="008F7B6A" w:rsidRDefault="008F7B6A" w:rsidP="006259B0">
      <w:pPr>
        <w:rPr>
          <w:rFonts w:ascii="Palatino Linotype" w:eastAsia="Palatino Linotype" w:hAnsi="Palatino Linotype" w:cs="Palatino Linotype"/>
        </w:rPr>
      </w:pPr>
    </w:p>
    <w:p w:rsidR="008F7B6A" w:rsidRDefault="008F7B6A" w:rsidP="006259B0">
      <w:pPr>
        <w:rPr>
          <w:rFonts w:ascii="Palatino Linotype" w:eastAsia="Palatino Linotype" w:hAnsi="Palatino Linotype" w:cs="Palatino Linotype"/>
        </w:rPr>
      </w:pPr>
    </w:p>
    <w:p w:rsidR="008F7B6A" w:rsidRDefault="008F7B6A" w:rsidP="006259B0">
      <w:pPr>
        <w:rPr>
          <w:rFonts w:ascii="Palatino Linotype" w:eastAsia="Palatino Linotype" w:hAnsi="Palatino Linotype" w:cs="Palatino Linotype"/>
        </w:rPr>
      </w:pPr>
    </w:p>
    <w:p w:rsidR="008F7B6A" w:rsidRDefault="008F7B6A" w:rsidP="006259B0">
      <w:pPr>
        <w:rPr>
          <w:rFonts w:ascii="Palatino Linotype" w:eastAsia="Palatino Linotype" w:hAnsi="Palatino Linotype" w:cs="Palatino Linotype"/>
        </w:rPr>
      </w:pPr>
    </w:p>
    <w:p w:rsidR="008F7B6A" w:rsidRDefault="008F7B6A" w:rsidP="006259B0">
      <w:pPr>
        <w:rPr>
          <w:rFonts w:ascii="Palatino Linotype" w:eastAsia="Palatino Linotype" w:hAnsi="Palatino Linotype" w:cs="Palatino Linotype"/>
        </w:rPr>
      </w:pPr>
    </w:p>
    <w:p w:rsidR="008F7B6A" w:rsidRDefault="008F7B6A" w:rsidP="006259B0">
      <w:pPr>
        <w:rPr>
          <w:rFonts w:ascii="Palatino Linotype" w:eastAsia="Palatino Linotype" w:hAnsi="Palatino Linotype" w:cs="Palatino Linotype"/>
        </w:rPr>
      </w:pPr>
    </w:p>
    <w:p w:rsidR="008F7B6A" w:rsidRDefault="008F7B6A" w:rsidP="006259B0">
      <w:pPr>
        <w:rPr>
          <w:rFonts w:ascii="Palatino Linotype" w:eastAsia="Palatino Linotype" w:hAnsi="Palatino Linotype" w:cs="Palatino Linotype"/>
        </w:rPr>
      </w:pPr>
    </w:p>
    <w:p w:rsidR="008F7B6A" w:rsidRDefault="008F7B6A" w:rsidP="006259B0">
      <w:pPr>
        <w:spacing w:line="360" w:lineRule="auto"/>
        <w:jc w:val="both"/>
        <w:rPr>
          <w:rFonts w:ascii="Palatino Linotype" w:eastAsia="Palatino Linotype" w:hAnsi="Palatino Linotype" w:cs="Palatino Linotype"/>
        </w:rPr>
      </w:pPr>
      <w:bookmarkStart w:id="15" w:name="_heading=h.3rdcrjn" w:colFirst="0" w:colLast="0"/>
      <w:bookmarkEnd w:id="15"/>
    </w:p>
    <w:p w:rsidR="008F7B6A" w:rsidRDefault="008F7B6A" w:rsidP="006259B0">
      <w:pPr>
        <w:spacing w:line="360" w:lineRule="auto"/>
        <w:jc w:val="both"/>
        <w:rPr>
          <w:rFonts w:ascii="Palatino Linotype" w:eastAsia="Palatino Linotype" w:hAnsi="Palatino Linotype" w:cs="Palatino Linotype"/>
        </w:rPr>
      </w:pPr>
    </w:p>
    <w:p w:rsidR="008F7B6A" w:rsidRDefault="008F7B6A" w:rsidP="006259B0">
      <w:pPr>
        <w:spacing w:line="360" w:lineRule="auto"/>
        <w:jc w:val="both"/>
        <w:rPr>
          <w:rFonts w:ascii="Palatino Linotype" w:eastAsia="Palatino Linotype" w:hAnsi="Palatino Linotype" w:cs="Palatino Linotype"/>
        </w:rPr>
      </w:pPr>
    </w:p>
    <w:p w:rsidR="008F7B6A" w:rsidRDefault="008F7B6A" w:rsidP="006259B0">
      <w:pPr>
        <w:spacing w:line="360" w:lineRule="auto"/>
        <w:jc w:val="both"/>
        <w:rPr>
          <w:rFonts w:ascii="Palatino Linotype" w:eastAsia="Palatino Linotype" w:hAnsi="Palatino Linotype" w:cs="Palatino Linotype"/>
        </w:rPr>
      </w:pPr>
      <w:bookmarkStart w:id="16" w:name="_heading=h.1t3h5sf" w:colFirst="0" w:colLast="0"/>
      <w:bookmarkEnd w:id="16"/>
    </w:p>
    <w:p w:rsidR="008F7B6A" w:rsidRDefault="008F7B6A" w:rsidP="006259B0">
      <w:pPr>
        <w:spacing w:line="360" w:lineRule="auto"/>
        <w:jc w:val="both"/>
        <w:rPr>
          <w:rFonts w:ascii="Palatino Linotype" w:eastAsia="Palatino Linotype" w:hAnsi="Palatino Linotype" w:cs="Palatino Linotype"/>
        </w:rPr>
      </w:pPr>
    </w:p>
    <w:p w:rsidR="008F7B6A" w:rsidRDefault="008F7B6A" w:rsidP="006259B0">
      <w:pPr>
        <w:spacing w:line="360" w:lineRule="auto"/>
        <w:jc w:val="both"/>
        <w:rPr>
          <w:rFonts w:ascii="Palatino Linotype" w:eastAsia="Palatino Linotype" w:hAnsi="Palatino Linotype" w:cs="Palatino Linotype"/>
        </w:rPr>
      </w:pPr>
    </w:p>
    <w:p w:rsidR="008F7B6A" w:rsidRDefault="008F7B6A" w:rsidP="006259B0">
      <w:pPr>
        <w:spacing w:line="360" w:lineRule="auto"/>
        <w:jc w:val="both"/>
        <w:rPr>
          <w:rFonts w:ascii="Palatino Linotype" w:eastAsia="Palatino Linotype" w:hAnsi="Palatino Linotype" w:cs="Palatino Linotype"/>
        </w:rPr>
      </w:pPr>
    </w:p>
    <w:p w:rsidR="008F7B6A" w:rsidRDefault="008F7B6A" w:rsidP="006259B0">
      <w:pPr>
        <w:spacing w:line="360" w:lineRule="auto"/>
        <w:jc w:val="both"/>
        <w:rPr>
          <w:rFonts w:ascii="Palatino Linotype" w:eastAsia="Palatino Linotype" w:hAnsi="Palatino Linotype" w:cs="Palatino Linotype"/>
        </w:rPr>
      </w:pPr>
    </w:p>
    <w:p w:rsidR="008F7B6A" w:rsidRDefault="008F7B6A" w:rsidP="006259B0">
      <w:pPr>
        <w:spacing w:line="360" w:lineRule="auto"/>
        <w:jc w:val="both"/>
        <w:rPr>
          <w:rFonts w:ascii="Palatino Linotype" w:eastAsia="Palatino Linotype" w:hAnsi="Palatino Linotype" w:cs="Palatino Linotype"/>
        </w:rPr>
      </w:pPr>
    </w:p>
    <w:p w:rsidR="008F7B6A" w:rsidRDefault="008F7B6A" w:rsidP="006259B0">
      <w:pPr>
        <w:spacing w:line="360" w:lineRule="auto"/>
        <w:jc w:val="both"/>
        <w:rPr>
          <w:rFonts w:ascii="Palatino Linotype" w:eastAsia="Palatino Linotype" w:hAnsi="Palatino Linotype" w:cs="Palatino Linotype"/>
        </w:rPr>
      </w:pPr>
    </w:p>
    <w:p w:rsidR="008F7B6A" w:rsidRDefault="008F7B6A" w:rsidP="006259B0">
      <w:pPr>
        <w:spacing w:line="360" w:lineRule="auto"/>
        <w:jc w:val="both"/>
        <w:rPr>
          <w:rFonts w:ascii="Palatino Linotype" w:eastAsia="Palatino Linotype" w:hAnsi="Palatino Linotype" w:cs="Palatino Linotype"/>
        </w:rPr>
      </w:pPr>
    </w:p>
    <w:p w:rsidR="008F7B6A" w:rsidRDefault="008F7B6A" w:rsidP="006259B0">
      <w:pPr>
        <w:spacing w:line="360" w:lineRule="auto"/>
        <w:jc w:val="both"/>
        <w:rPr>
          <w:rFonts w:ascii="Palatino Linotype" w:eastAsia="Palatino Linotype" w:hAnsi="Palatino Linotype" w:cs="Palatino Linotype"/>
        </w:rPr>
      </w:pPr>
    </w:p>
    <w:p w:rsidR="008F7B6A" w:rsidRDefault="008F7B6A" w:rsidP="006259B0">
      <w:pPr>
        <w:spacing w:line="360" w:lineRule="auto"/>
        <w:jc w:val="both"/>
        <w:rPr>
          <w:rFonts w:ascii="Palatino Linotype" w:eastAsia="Palatino Linotype" w:hAnsi="Palatino Linotype" w:cs="Palatino Linotype"/>
        </w:rPr>
      </w:pPr>
    </w:p>
    <w:p w:rsidR="008F7B6A" w:rsidRDefault="008F7B6A" w:rsidP="006259B0">
      <w:pPr>
        <w:spacing w:line="360" w:lineRule="auto"/>
        <w:jc w:val="both"/>
        <w:rPr>
          <w:rFonts w:ascii="Palatino Linotype" w:eastAsia="Palatino Linotype" w:hAnsi="Palatino Linotype" w:cs="Palatino Linotype"/>
        </w:rPr>
      </w:pPr>
    </w:p>
    <w:p w:rsidR="008F7B6A" w:rsidRDefault="008F7B6A" w:rsidP="006259B0">
      <w:pPr>
        <w:spacing w:line="360" w:lineRule="auto"/>
        <w:jc w:val="both"/>
        <w:rPr>
          <w:rFonts w:ascii="Palatino Linotype" w:eastAsia="Palatino Linotype" w:hAnsi="Palatino Linotype" w:cs="Palatino Linotype"/>
        </w:rPr>
      </w:pPr>
    </w:p>
    <w:sectPr w:rsidR="008F7B6A">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8FD" w:rsidRDefault="00C068FD">
      <w:r>
        <w:separator/>
      </w:r>
    </w:p>
  </w:endnote>
  <w:endnote w:type="continuationSeparator" w:id="0">
    <w:p w:rsidR="00C068FD" w:rsidRDefault="00C06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B6A" w:rsidRDefault="008434A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A5D0A">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A5D0A">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p>
  <w:p w:rsidR="008F7B6A" w:rsidRDefault="008F7B6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B6A" w:rsidRDefault="008434A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A5D0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A5D0A">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p>
  <w:p w:rsidR="008F7B6A" w:rsidRDefault="008F7B6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8FD" w:rsidRDefault="00C068FD">
      <w:r>
        <w:separator/>
      </w:r>
    </w:p>
  </w:footnote>
  <w:footnote w:type="continuationSeparator" w:id="0">
    <w:p w:rsidR="00C068FD" w:rsidRDefault="00C068FD">
      <w:r>
        <w:continuationSeparator/>
      </w:r>
    </w:p>
  </w:footnote>
  <w:footnote w:id="1">
    <w:p w:rsidR="008F7B6A" w:rsidRDefault="008434A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8F7B6A" w:rsidRDefault="008434A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rsidR="008F7B6A" w:rsidRDefault="008434A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proofErr w:type="spellStart"/>
      <w:r>
        <w:rPr>
          <w:rFonts w:ascii="Palatino Linotype" w:eastAsia="Palatino Linotype" w:hAnsi="Palatino Linotype" w:cs="Palatino Linotype"/>
          <w:color w:val="000000"/>
          <w:sz w:val="16"/>
          <w:szCs w:val="16"/>
        </w:rPr>
        <w:t>Nohely</w:t>
      </w:r>
      <w:proofErr w:type="spellEnd"/>
      <w:r>
        <w:rPr>
          <w:rFonts w:ascii="Palatino Linotype" w:eastAsia="Palatino Linotype" w:hAnsi="Palatino Linotype" w:cs="Palatino Linotype"/>
          <w:color w:val="000000"/>
          <w:sz w:val="16"/>
          <w:szCs w:val="16"/>
        </w:rPr>
        <w:t xml:space="preserve"> Bastidas </w:t>
      </w:r>
      <w:proofErr w:type="spellStart"/>
      <w:r>
        <w:rPr>
          <w:rFonts w:ascii="Palatino Linotype" w:eastAsia="Palatino Linotype" w:hAnsi="Palatino Linotype" w:cs="Palatino Linotype"/>
          <w:color w:val="000000"/>
          <w:sz w:val="16"/>
          <w:szCs w:val="16"/>
        </w:rPr>
        <w:t>Matheus</w:t>
      </w:r>
      <w:proofErr w:type="spellEnd"/>
      <w:r>
        <w:rPr>
          <w:rFonts w:ascii="Palatino Linotype" w:eastAsia="Palatino Linotype" w:hAnsi="Palatino Linotype" w:cs="Palatino Linotype"/>
          <w:color w:val="000000"/>
          <w:sz w:val="16"/>
          <w:szCs w:val="16"/>
        </w:rPr>
        <w:t xml:space="preserve">, La mala práctica médica y los derechos humanos, en Razón y Palabra, Primera Revista Electrónica en América Latina Especializada en Comunicación y Derechos Humanos, Número 8, noviembre 2012 – enero 2013, pp. 1-25. Disponible en </w:t>
      </w:r>
      <w:hyperlink r:id="rId1">
        <w:r>
          <w:rPr>
            <w:rFonts w:ascii="Palatino Linotype" w:eastAsia="Palatino Linotype" w:hAnsi="Palatino Linotype" w:cs="Palatino Linotype"/>
            <w:color w:val="0000FF"/>
            <w:sz w:val="16"/>
            <w:szCs w:val="16"/>
            <w:u w:val="single"/>
          </w:rPr>
          <w:t>https://www.redalyc.org/articulo.oa?id=199524700015</w:t>
        </w:r>
      </w:hyperlink>
      <w:r>
        <w:rPr>
          <w:rFonts w:ascii="Palatino Linotype" w:eastAsia="Palatino Linotype" w:hAnsi="Palatino Linotype" w:cs="Palatino Linotype"/>
          <w:color w:val="000000"/>
          <w:sz w:val="16"/>
          <w:szCs w:val="16"/>
        </w:rPr>
        <w:t xml:space="preserve">. Consultado en junio de 2023. </w:t>
      </w:r>
    </w:p>
  </w:footnote>
  <w:footnote w:id="3">
    <w:p w:rsidR="008F7B6A" w:rsidRDefault="008434A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Germán Fajardo </w:t>
      </w:r>
      <w:proofErr w:type="spellStart"/>
      <w:r>
        <w:rPr>
          <w:rFonts w:ascii="Palatino Linotype" w:eastAsia="Palatino Linotype" w:hAnsi="Palatino Linotype" w:cs="Palatino Linotype"/>
          <w:color w:val="000000"/>
          <w:sz w:val="16"/>
          <w:szCs w:val="16"/>
        </w:rPr>
        <w:t>Dolci</w:t>
      </w:r>
      <w:proofErr w:type="spellEnd"/>
      <w:r>
        <w:rPr>
          <w:rFonts w:ascii="Palatino Linotype" w:eastAsia="Palatino Linotype" w:hAnsi="Palatino Linotype" w:cs="Palatino Linotype"/>
          <w:color w:val="000000"/>
          <w:sz w:val="16"/>
          <w:szCs w:val="16"/>
        </w:rPr>
        <w:t xml:space="preserve"> y Francisco Hernández Torres (Coeditores), El arbitraje médico en México a través de sus Comisiones. 15 años de experiencia, Tomo I, Secretaria de Salud (SS) y Comisión Nacional de Arbitraje Médico (</w:t>
      </w:r>
      <w:proofErr w:type="spellStart"/>
      <w:r>
        <w:rPr>
          <w:rFonts w:ascii="Palatino Linotype" w:eastAsia="Palatino Linotype" w:hAnsi="Palatino Linotype" w:cs="Palatino Linotype"/>
          <w:color w:val="000000"/>
          <w:sz w:val="16"/>
          <w:szCs w:val="16"/>
        </w:rPr>
        <w:t>Conamed</w:t>
      </w:r>
      <w:proofErr w:type="spellEnd"/>
      <w:r>
        <w:rPr>
          <w:rFonts w:ascii="Palatino Linotype" w:eastAsia="Palatino Linotype" w:hAnsi="Palatino Linotype" w:cs="Palatino Linotype"/>
          <w:color w:val="000000"/>
          <w:sz w:val="16"/>
          <w:szCs w:val="16"/>
        </w:rPr>
        <w:t>), México, D.F., 2011. Disponible en http://www.conamed.gob.mx/publicaciones/pdf/15anios/parte_1.pdf. Consultado en junio de 2023.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B6A" w:rsidRDefault="008434A8">
    <w:pPr>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-1080117</wp:posOffset>
          </wp:positionH>
          <wp:positionV relativeFrom="paragraph">
            <wp:posOffset>-488295</wp:posOffset>
          </wp:positionV>
          <wp:extent cx="7809865" cy="10165715"/>
          <wp:effectExtent l="0" t="0" r="0" b="0"/>
          <wp:wrapNone/>
          <wp:docPr id="1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6"/>
      <w:tblW w:w="5953" w:type="dxa"/>
      <w:tblInd w:w="3261" w:type="dxa"/>
      <w:tblLayout w:type="fixed"/>
      <w:tblLook w:val="0400" w:firstRow="0" w:lastRow="0" w:firstColumn="0" w:lastColumn="0" w:noHBand="0" w:noVBand="1"/>
    </w:tblPr>
    <w:tblGrid>
      <w:gridCol w:w="2489"/>
      <w:gridCol w:w="3464"/>
    </w:tblGrid>
    <w:tr w:rsidR="008F7B6A">
      <w:tc>
        <w:tcPr>
          <w:tcW w:w="2489" w:type="dxa"/>
          <w:shd w:val="clear" w:color="auto" w:fill="auto"/>
        </w:tcPr>
        <w:p w:rsidR="008F7B6A" w:rsidRDefault="008434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8F7B6A" w:rsidRDefault="008434A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13664/INFOEM/IP/RR/2022</w:t>
          </w:r>
        </w:p>
      </w:tc>
    </w:tr>
    <w:tr w:rsidR="008F7B6A">
      <w:trPr>
        <w:trHeight w:val="228"/>
      </w:trPr>
      <w:tc>
        <w:tcPr>
          <w:tcW w:w="2489" w:type="dxa"/>
          <w:shd w:val="clear" w:color="auto" w:fill="auto"/>
          <w:vAlign w:val="center"/>
        </w:tcPr>
        <w:p w:rsidR="008F7B6A" w:rsidRDefault="008434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8F7B6A" w:rsidRDefault="008434A8">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Fiscalía General de Justicia del Estado de México</w:t>
          </w:r>
        </w:p>
      </w:tc>
    </w:tr>
    <w:tr w:rsidR="008F7B6A">
      <w:tc>
        <w:tcPr>
          <w:tcW w:w="2489" w:type="dxa"/>
          <w:shd w:val="clear" w:color="auto" w:fill="auto"/>
          <w:vAlign w:val="center"/>
        </w:tcPr>
        <w:p w:rsidR="008F7B6A" w:rsidRDefault="008434A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8F7B6A" w:rsidRDefault="008434A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8F7B6A" w:rsidRDefault="008434A8">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B6A" w:rsidRDefault="008434A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-1080123</wp:posOffset>
          </wp:positionH>
          <wp:positionV relativeFrom="paragraph">
            <wp:posOffset>-262866</wp:posOffset>
          </wp:positionV>
          <wp:extent cx="7809865" cy="10165715"/>
          <wp:effectExtent l="0" t="0" r="0" b="0"/>
          <wp:wrapNone/>
          <wp:docPr id="1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5"/>
      <w:tblW w:w="5670" w:type="dxa"/>
      <w:tblInd w:w="3261" w:type="dxa"/>
      <w:tblLayout w:type="fixed"/>
      <w:tblLook w:val="0400" w:firstRow="0" w:lastRow="0" w:firstColumn="0" w:lastColumn="0" w:noHBand="0" w:noVBand="1"/>
    </w:tblPr>
    <w:tblGrid>
      <w:gridCol w:w="2551"/>
      <w:gridCol w:w="3119"/>
    </w:tblGrid>
    <w:tr w:rsidR="008F7B6A">
      <w:tc>
        <w:tcPr>
          <w:tcW w:w="2551" w:type="dxa"/>
          <w:shd w:val="clear" w:color="auto" w:fill="auto"/>
          <w:vAlign w:val="center"/>
        </w:tcPr>
        <w:p w:rsidR="008F7B6A" w:rsidRDefault="008434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8F7B6A" w:rsidRDefault="008434A8">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13664/INFOEM/IP/RR/2022</w:t>
          </w:r>
        </w:p>
      </w:tc>
    </w:tr>
    <w:tr w:rsidR="008F7B6A">
      <w:trPr>
        <w:trHeight w:val="130"/>
      </w:trPr>
      <w:tc>
        <w:tcPr>
          <w:tcW w:w="2551" w:type="dxa"/>
          <w:shd w:val="clear" w:color="auto" w:fill="auto"/>
          <w:vAlign w:val="center"/>
        </w:tcPr>
        <w:p w:rsidR="008F7B6A" w:rsidRDefault="008434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8F7B6A" w:rsidRDefault="008F7B6A">
          <w:pPr>
            <w:ind w:left="-45"/>
            <w:jc w:val="both"/>
            <w:rPr>
              <w:rFonts w:ascii="Palatino Linotype" w:eastAsia="Palatino Linotype" w:hAnsi="Palatino Linotype" w:cs="Palatino Linotype"/>
              <w:b/>
              <w:sz w:val="22"/>
              <w:szCs w:val="22"/>
            </w:rPr>
          </w:pPr>
        </w:p>
      </w:tc>
    </w:tr>
    <w:tr w:rsidR="008F7B6A">
      <w:trPr>
        <w:trHeight w:val="228"/>
      </w:trPr>
      <w:tc>
        <w:tcPr>
          <w:tcW w:w="2551" w:type="dxa"/>
          <w:shd w:val="clear" w:color="auto" w:fill="auto"/>
          <w:vAlign w:val="center"/>
        </w:tcPr>
        <w:p w:rsidR="008F7B6A" w:rsidRDefault="008434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8F7B6A" w:rsidRDefault="008434A8">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Fiscalía General de Justicia del Estado de México</w:t>
          </w:r>
        </w:p>
      </w:tc>
    </w:tr>
    <w:tr w:rsidR="008F7B6A">
      <w:tc>
        <w:tcPr>
          <w:tcW w:w="2551" w:type="dxa"/>
          <w:shd w:val="clear" w:color="auto" w:fill="auto"/>
          <w:vAlign w:val="center"/>
        </w:tcPr>
        <w:p w:rsidR="008F7B6A" w:rsidRDefault="008434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8F7B6A" w:rsidRDefault="008434A8">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8F7B6A" w:rsidRDefault="008F7B6A">
    <w:pPr>
      <w:pBdr>
        <w:top w:val="nil"/>
        <w:left w:val="nil"/>
        <w:bottom w:val="nil"/>
        <w:right w:val="nil"/>
        <w:between w:val="nil"/>
      </w:pBdr>
      <w:tabs>
        <w:tab w:val="center" w:pos="4252"/>
        <w:tab w:val="right" w:pos="8504"/>
      </w:tabs>
      <w:rPr>
        <w:rFonts w:ascii="Cambria" w:eastAsia="Cambria" w:hAnsi="Cambria" w:cs="Cambria"/>
        <w:color w:val="000000"/>
      </w:rPr>
    </w:pPr>
  </w:p>
  <w:p w:rsidR="008F7B6A" w:rsidRDefault="008F7B6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7E77B8"/>
    <w:multiLevelType w:val="multilevel"/>
    <w:tmpl w:val="40846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11A6AF9"/>
    <w:multiLevelType w:val="multilevel"/>
    <w:tmpl w:val="5094CE70"/>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B6A"/>
    <w:rsid w:val="006259B0"/>
    <w:rsid w:val="00637553"/>
    <w:rsid w:val="007D2C8A"/>
    <w:rsid w:val="00843147"/>
    <w:rsid w:val="008434A8"/>
    <w:rsid w:val="008A1C28"/>
    <w:rsid w:val="008F7B6A"/>
    <w:rsid w:val="00A26F20"/>
    <w:rsid w:val="00AF3405"/>
    <w:rsid w:val="00C068FD"/>
    <w:rsid w:val="00EA5D0A"/>
    <w:rsid w:val="00EA5E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45074E-AAC4-4F84-BCC5-B6CCB4C9A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0">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20"/>
    <w:tblPr>
      <w:tblStyleRowBandSize w:val="1"/>
      <w:tblStyleColBandSize w:val="1"/>
      <w:tblCellMar>
        <w:top w:w="0" w:type="dxa"/>
        <w:left w:w="115" w:type="dxa"/>
        <w:bottom w:w="0" w:type="dxa"/>
        <w:right w:w="115" w:type="dxa"/>
      </w:tblCellMar>
    </w:tblPr>
  </w:style>
  <w:style w:type="table" w:customStyle="1" w:styleId="8">
    <w:name w:val="8"/>
    <w:basedOn w:val="TableNormal20"/>
    <w:tblPr>
      <w:tblStyleRowBandSize w:val="1"/>
      <w:tblStyleColBandSize w:val="1"/>
      <w:tblCellMar>
        <w:top w:w="0" w:type="dxa"/>
        <w:left w:w="115" w:type="dxa"/>
        <w:bottom w:w="0" w:type="dxa"/>
        <w:right w:w="115" w:type="dxa"/>
      </w:tblCellMar>
    </w:tblPr>
  </w:style>
  <w:style w:type="table" w:customStyle="1" w:styleId="7">
    <w:name w:val="7"/>
    <w:basedOn w:val="TableNormal30"/>
    <w:tblPr>
      <w:tblStyleRowBandSize w:val="1"/>
      <w:tblStyleColBandSize w:val="1"/>
      <w:tblCellMar>
        <w:top w:w="0" w:type="dxa"/>
        <w:left w:w="115" w:type="dxa"/>
        <w:bottom w:w="0" w:type="dxa"/>
        <w:right w:w="115" w:type="dxa"/>
      </w:tblCellMar>
    </w:tblPr>
  </w:style>
  <w:style w:type="table" w:customStyle="1" w:styleId="6">
    <w:name w:val="6"/>
    <w:basedOn w:val="TableNormal30"/>
    <w:tblPr>
      <w:tblStyleRowBandSize w:val="1"/>
      <w:tblStyleColBandSize w:val="1"/>
      <w:tblCellMar>
        <w:top w:w="0" w:type="dxa"/>
        <w:left w:w="115" w:type="dxa"/>
        <w:bottom w:w="0" w:type="dxa"/>
        <w:right w:w="115" w:type="dxa"/>
      </w:tblCellMar>
    </w:tblPr>
  </w:style>
  <w:style w:type="table" w:customStyle="1" w:styleId="20">
    <w:name w:val="20"/>
    <w:basedOn w:val="TableNormal40"/>
    <w:tblPr>
      <w:tblStyleRowBandSize w:val="1"/>
      <w:tblStyleColBandSize w:val="1"/>
      <w:tblCellMar>
        <w:top w:w="0" w:type="dxa"/>
        <w:left w:w="115" w:type="dxa"/>
        <w:bottom w:w="0" w:type="dxa"/>
        <w:right w:w="115" w:type="dxa"/>
      </w:tblCellMar>
    </w:tblPr>
  </w:style>
  <w:style w:type="table" w:customStyle="1" w:styleId="19">
    <w:name w:val="19"/>
    <w:basedOn w:val="TableNormal40"/>
    <w:tblPr>
      <w:tblStyleRowBandSize w:val="1"/>
      <w:tblStyleColBandSize w:val="1"/>
      <w:tblCellMar>
        <w:top w:w="0" w:type="dxa"/>
        <w:left w:w="115" w:type="dxa"/>
        <w:bottom w:w="0" w:type="dxa"/>
        <w:right w:w="115" w:type="dxa"/>
      </w:tblCellMar>
    </w:tblPr>
  </w:style>
  <w:style w:type="table" w:customStyle="1" w:styleId="18">
    <w:name w:val="18"/>
    <w:basedOn w:val="TableNormal50"/>
    <w:tblPr>
      <w:tblStyleRowBandSize w:val="1"/>
      <w:tblStyleColBandSize w:val="1"/>
      <w:tblCellMar>
        <w:top w:w="0" w:type="dxa"/>
        <w:left w:w="115" w:type="dxa"/>
        <w:bottom w:w="0" w:type="dxa"/>
        <w:right w:w="115" w:type="dxa"/>
      </w:tblCellMar>
    </w:tblPr>
  </w:style>
  <w:style w:type="table" w:customStyle="1" w:styleId="17">
    <w:name w:val="17"/>
    <w:basedOn w:val="TableNormal50"/>
    <w:tblPr>
      <w:tblStyleRowBandSize w:val="1"/>
      <w:tblStyleColBandSize w:val="1"/>
      <w:tblCellMar>
        <w:top w:w="0" w:type="dxa"/>
        <w:left w:w="115" w:type="dxa"/>
        <w:bottom w:w="0" w:type="dxa"/>
        <w:right w:w="115" w:type="dxa"/>
      </w:tblCellMar>
    </w:tblPr>
  </w:style>
  <w:style w:type="table" w:customStyle="1" w:styleId="16">
    <w:name w:val="16"/>
    <w:basedOn w:val="TableNormal60"/>
    <w:tblPr>
      <w:tblStyleRowBandSize w:val="1"/>
      <w:tblStyleColBandSize w:val="1"/>
      <w:tblCellMar>
        <w:top w:w="0" w:type="dxa"/>
        <w:left w:w="115" w:type="dxa"/>
        <w:bottom w:w="0" w:type="dxa"/>
        <w:right w:w="115" w:type="dxa"/>
      </w:tblCellMar>
    </w:tblPr>
  </w:style>
  <w:style w:type="table" w:customStyle="1" w:styleId="15">
    <w:name w:val="15"/>
    <w:basedOn w:val="TableNormal60"/>
    <w:tblPr>
      <w:tblStyleRowBandSize w:val="1"/>
      <w:tblStyleColBandSize w:val="1"/>
      <w:tblCellMar>
        <w:top w:w="0" w:type="dxa"/>
        <w:left w:w="115" w:type="dxa"/>
        <w:bottom w:w="0" w:type="dxa"/>
        <w:right w:w="115" w:type="dxa"/>
      </w:tblCellMar>
    </w:tblPr>
  </w:style>
  <w:style w:type="table" w:customStyle="1" w:styleId="14">
    <w:name w:val="14"/>
    <w:basedOn w:val="TableNormal70"/>
    <w:tblPr>
      <w:tblStyleRowBandSize w:val="1"/>
      <w:tblStyleColBandSize w:val="1"/>
      <w:tblCellMar>
        <w:top w:w="0" w:type="dxa"/>
        <w:left w:w="115" w:type="dxa"/>
        <w:bottom w:w="0" w:type="dxa"/>
        <w:right w:w="115" w:type="dxa"/>
      </w:tblCellMar>
    </w:tblPr>
  </w:style>
  <w:style w:type="table" w:customStyle="1" w:styleId="13">
    <w:name w:val="13"/>
    <w:basedOn w:val="TableNormal70"/>
    <w:tblPr>
      <w:tblStyleRowBandSize w:val="1"/>
      <w:tblStyleColBandSize w:val="1"/>
      <w:tblCellMar>
        <w:top w:w="0" w:type="dxa"/>
        <w:left w:w="115" w:type="dxa"/>
        <w:bottom w:w="0"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top w:w="0" w:type="dxa"/>
        <w:left w:w="115" w:type="dxa"/>
        <w:bottom w:w="0" w:type="dxa"/>
        <w:right w:w="115" w:type="dxa"/>
      </w:tblCellMar>
    </w:tblPr>
  </w:style>
  <w:style w:type="table" w:customStyle="1" w:styleId="10">
    <w:name w:val="10"/>
    <w:basedOn w:val="TableNormal8"/>
    <w:tblPr>
      <w:tblStyleRowBandSize w:val="1"/>
      <w:tblStyleColBandSize w:val="1"/>
      <w:tblCellMar>
        <w:top w:w="0" w:type="dxa"/>
        <w:left w:w="115" w:type="dxa"/>
        <w:bottom w:w="0" w:type="dxa"/>
        <w:right w:w="115" w:type="dxa"/>
      </w:tblCellMar>
    </w:tblPr>
  </w:style>
  <w:style w:type="table" w:customStyle="1" w:styleId="24">
    <w:name w:val="24"/>
    <w:basedOn w:val="TableNormal9"/>
    <w:tblPr>
      <w:tblStyleRowBandSize w:val="1"/>
      <w:tblStyleColBandSize w:val="1"/>
      <w:tblCellMar>
        <w:top w:w="0" w:type="dxa"/>
        <w:left w:w="115" w:type="dxa"/>
        <w:bottom w:w="0" w:type="dxa"/>
        <w:right w:w="115" w:type="dxa"/>
      </w:tblCellMar>
    </w:tblPr>
  </w:style>
  <w:style w:type="table" w:customStyle="1" w:styleId="23">
    <w:name w:val="23"/>
    <w:basedOn w:val="TableNormal9"/>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top w:w="0" w:type="dxa"/>
        <w:left w:w="115" w:type="dxa"/>
        <w:bottom w:w="0" w:type="dxa"/>
        <w:right w:w="115" w:type="dxa"/>
      </w:tblCellMar>
    </w:tblPr>
  </w:style>
  <w:style w:type="table" w:customStyle="1" w:styleId="21">
    <w:name w:val="21"/>
    <w:basedOn w:val="TableNormal9"/>
    <w:tblPr>
      <w:tblStyleRowBandSize w:val="1"/>
      <w:tblStyleColBandSize w:val="1"/>
      <w:tblCellMar>
        <w:top w:w="0" w:type="dxa"/>
        <w:left w:w="115" w:type="dxa"/>
        <w:bottom w:w="0" w:type="dxa"/>
        <w:right w:w="115" w:type="dxa"/>
      </w:tblCellMar>
    </w:tblPr>
  </w:style>
  <w:style w:type="table" w:customStyle="1" w:styleId="a">
    <w:basedOn w:val="TableNormal7"/>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7"/>
    <w:tblPr>
      <w:tblStyleRowBandSize w:val="1"/>
      <w:tblStyleColBandSize w:val="1"/>
      <w:tblCellMar>
        <w:top w:w="0" w:type="dxa"/>
        <w:left w:w="115" w:type="dxa"/>
        <w:bottom w:w="0" w:type="dxa"/>
        <w:right w:w="115" w:type="dxa"/>
      </w:tblCellMar>
    </w:tblPr>
  </w:style>
  <w:style w:type="table" w:customStyle="1" w:styleId="a2">
    <w:basedOn w:val="TableNormal7"/>
    <w:tblPr>
      <w:tblStyleRowBandSize w:val="1"/>
      <w:tblStyleColBandSize w:val="1"/>
      <w:tblCellMar>
        <w:top w:w="0" w:type="dxa"/>
        <w:left w:w="115" w:type="dxa"/>
        <w:bottom w:w="0" w:type="dxa"/>
        <w:right w:w="115" w:type="dxa"/>
      </w:tblCellMar>
    </w:tblPr>
  </w:style>
  <w:style w:type="table" w:customStyle="1" w:styleId="a3">
    <w:basedOn w:val="TableNormal6"/>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6"/>
    <w:tblPr>
      <w:tblStyleRowBandSize w:val="1"/>
      <w:tblStyleColBandSize w:val="1"/>
      <w:tblCellMar>
        <w:top w:w="0" w:type="dxa"/>
        <w:left w:w="115" w:type="dxa"/>
        <w:bottom w:w="0" w:type="dxa"/>
        <w:right w:w="115" w:type="dxa"/>
      </w:tblCellMar>
    </w:tblPr>
  </w:style>
  <w:style w:type="table" w:customStyle="1" w:styleId="a5">
    <w:basedOn w:val="TableNormal6"/>
    <w:tblPr>
      <w:tblStyleRowBandSize w:val="1"/>
      <w:tblStyleColBandSize w:val="1"/>
      <w:tblCellMar>
        <w:top w:w="0" w:type="dxa"/>
        <w:left w:w="115" w:type="dxa"/>
        <w:bottom w:w="0" w:type="dxa"/>
        <w:right w:w="115" w:type="dxa"/>
      </w:tblCellMar>
    </w:tblPr>
  </w:style>
  <w:style w:type="table" w:customStyle="1" w:styleId="a6">
    <w:basedOn w:val="TableNormal5"/>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5"/>
    <w:tblPr>
      <w:tblStyleRowBandSize w:val="1"/>
      <w:tblStyleColBandSize w:val="1"/>
      <w:tblCellMar>
        <w:top w:w="0" w:type="dxa"/>
        <w:left w:w="115" w:type="dxa"/>
        <w:bottom w:w="0" w:type="dxa"/>
        <w:right w:w="115" w:type="dxa"/>
      </w:tblCellMar>
    </w:tblPr>
  </w:style>
  <w:style w:type="table" w:customStyle="1" w:styleId="a8">
    <w:basedOn w:val="TableNormal5"/>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a9">
    <w:basedOn w:val="TableNormal4"/>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4"/>
    <w:tblPr>
      <w:tblStyleRowBandSize w:val="1"/>
      <w:tblStyleColBandSize w:val="1"/>
      <w:tblCellMar>
        <w:top w:w="0" w:type="dxa"/>
        <w:left w:w="115" w:type="dxa"/>
        <w:bottom w:w="0" w:type="dxa"/>
        <w:right w:w="115" w:type="dxa"/>
      </w:tblCellMar>
    </w:tblPr>
  </w:style>
  <w:style w:type="table" w:customStyle="1" w:styleId="ab">
    <w:basedOn w:val="TableNormal4"/>
    <w:tblPr>
      <w:tblStyleRowBandSize w:val="1"/>
      <w:tblStyleColBandSize w:val="1"/>
      <w:tblCellMar>
        <w:top w:w="0" w:type="dxa"/>
        <w:left w:w="115" w:type="dxa"/>
        <w:bottom w:w="0" w:type="dxa"/>
        <w:right w:w="115" w:type="dxa"/>
      </w:tblCellMar>
    </w:tblPr>
  </w:style>
  <w:style w:type="paragraph" w:styleId="Saludo">
    <w:name w:val="Salutation"/>
    <w:basedOn w:val="Normal"/>
    <w:next w:val="Normal"/>
    <w:link w:val="SaludoCar"/>
    <w:uiPriority w:val="99"/>
    <w:unhideWhenUsed/>
    <w:rsid w:val="00E47E56"/>
  </w:style>
  <w:style w:type="character" w:customStyle="1" w:styleId="SaludoCar">
    <w:name w:val="Saludo Car"/>
    <w:basedOn w:val="Fuentedeprrafopredeter"/>
    <w:link w:val="Saludo"/>
    <w:uiPriority w:val="99"/>
    <w:rsid w:val="00E47E56"/>
  </w:style>
  <w:style w:type="paragraph" w:styleId="Listaconvietas">
    <w:name w:val="List Bullet"/>
    <w:basedOn w:val="Normal"/>
    <w:uiPriority w:val="99"/>
    <w:unhideWhenUsed/>
    <w:rsid w:val="00E47E56"/>
    <w:pPr>
      <w:tabs>
        <w:tab w:val="num" w:pos="720"/>
      </w:tabs>
      <w:ind w:left="720" w:hanging="720"/>
      <w:contextualSpacing/>
    </w:pPr>
  </w:style>
  <w:style w:type="paragraph" w:styleId="Listaconvietas2">
    <w:name w:val="List Bullet 2"/>
    <w:basedOn w:val="Normal"/>
    <w:uiPriority w:val="99"/>
    <w:unhideWhenUsed/>
    <w:rsid w:val="00E47E56"/>
    <w:pPr>
      <w:tabs>
        <w:tab w:val="num" w:pos="720"/>
      </w:tabs>
      <w:ind w:left="720" w:hanging="720"/>
      <w:contextualSpacing/>
    </w:pPr>
  </w:style>
  <w:style w:type="paragraph" w:styleId="Descripcin">
    <w:name w:val="caption"/>
    <w:basedOn w:val="Normal"/>
    <w:next w:val="Normal"/>
    <w:uiPriority w:val="35"/>
    <w:unhideWhenUsed/>
    <w:qFormat/>
    <w:rsid w:val="00E47E56"/>
    <w:pPr>
      <w:spacing w:after="200"/>
    </w:pPr>
    <w:rPr>
      <w:i/>
      <w:iCs/>
      <w:color w:val="1F497D" w:themeColor="text2"/>
      <w:sz w:val="18"/>
      <w:szCs w:val="18"/>
    </w:rPr>
  </w:style>
  <w:style w:type="table" w:customStyle="1" w:styleId="ac">
    <w:basedOn w:val="TableNormal3"/>
    <w:tblPr>
      <w:tblStyleRowBandSize w:val="1"/>
      <w:tblStyleColBandSize w:val="1"/>
      <w:tblCellMar>
        <w:top w:w="0" w:type="dxa"/>
        <w:left w:w="108" w:type="dxa"/>
        <w:bottom w:w="0" w:type="dxa"/>
        <w:right w:w="108" w:type="dxa"/>
      </w:tblCellMar>
    </w:tblPr>
  </w:style>
  <w:style w:type="table" w:customStyle="1" w:styleId="ad">
    <w:basedOn w:val="TableNormal3"/>
    <w:tblPr>
      <w:tblStyleRowBandSize w:val="1"/>
      <w:tblStyleColBandSize w:val="1"/>
      <w:tblCellMar>
        <w:top w:w="0" w:type="dxa"/>
        <w:left w:w="108" w:type="dxa"/>
        <w:bottom w:w="0" w:type="dxa"/>
        <w:right w:w="108" w:type="dxa"/>
      </w:tblCellMar>
    </w:tblPr>
  </w:style>
  <w:style w:type="table" w:customStyle="1" w:styleId="ae">
    <w:basedOn w:val="TableNormal3"/>
    <w:tblPr>
      <w:tblStyleRowBandSize w:val="1"/>
      <w:tblStyleColBandSize w:val="1"/>
      <w:tblCellMar>
        <w:top w:w="0" w:type="dxa"/>
        <w:left w:w="108" w:type="dxa"/>
        <w:bottom w:w="0" w:type="dxa"/>
        <w:right w:w="108" w:type="dxa"/>
      </w:tblCellMar>
    </w:tblPr>
  </w:style>
  <w:style w:type="table" w:customStyle="1" w:styleId="af">
    <w:basedOn w:val="TableNormal3"/>
    <w:tblPr>
      <w:tblStyleRowBandSize w:val="1"/>
      <w:tblStyleColBandSize w:val="1"/>
      <w:tblCellMar>
        <w:top w:w="0" w:type="dxa"/>
        <w:left w:w="115" w:type="dxa"/>
        <w:bottom w:w="0" w:type="dxa"/>
        <w:right w:w="115" w:type="dxa"/>
      </w:tblCellMar>
    </w:tblPr>
  </w:style>
  <w:style w:type="table" w:customStyle="1" w:styleId="af0">
    <w:basedOn w:val="TableNormal3"/>
    <w:tblPr>
      <w:tblStyleRowBandSize w:val="1"/>
      <w:tblStyleColBandSize w:val="1"/>
      <w:tblCellMar>
        <w:top w:w="0" w:type="dxa"/>
        <w:left w:w="115" w:type="dxa"/>
        <w:bottom w:w="0" w:type="dxa"/>
        <w:right w:w="115" w:type="dxa"/>
      </w:tblCellMar>
    </w:tblPr>
  </w:style>
  <w:style w:type="table" w:customStyle="1" w:styleId="af1">
    <w:basedOn w:val="TableNormal2"/>
    <w:tblPr>
      <w:tblStyleRowBandSize w:val="1"/>
      <w:tblStyleColBandSize w:val="1"/>
      <w:tblCellMar>
        <w:top w:w="0" w:type="dxa"/>
        <w:left w:w="115" w:type="dxa"/>
        <w:bottom w:w="0" w:type="dxa"/>
        <w:right w:w="115" w:type="dxa"/>
      </w:tblCellMar>
    </w:tblPr>
  </w:style>
  <w:style w:type="table" w:customStyle="1" w:styleId="af2">
    <w:basedOn w:val="TableNormal2"/>
    <w:tblPr>
      <w:tblStyleRowBandSize w:val="1"/>
      <w:tblStyleColBandSize w:val="1"/>
      <w:tblCellMar>
        <w:top w:w="0" w:type="dxa"/>
        <w:left w:w="115" w:type="dxa"/>
        <w:bottom w:w="0" w:type="dxa"/>
        <w:right w:w="115" w:type="dxa"/>
      </w:tblCellMar>
    </w:tblPr>
  </w:style>
  <w:style w:type="table" w:customStyle="1" w:styleId="af3">
    <w:basedOn w:val="TableNormal1"/>
    <w:tblPr>
      <w:tblStyleRowBandSize w:val="1"/>
      <w:tblStyleColBandSize w:val="1"/>
      <w:tblCellMar>
        <w:top w:w="0" w:type="dxa"/>
        <w:left w:w="115" w:type="dxa"/>
        <w:bottom w:w="0" w:type="dxa"/>
        <w:right w:w="115" w:type="dxa"/>
      </w:tblCellMar>
    </w:tblPr>
  </w:style>
  <w:style w:type="table" w:customStyle="1" w:styleId="af4">
    <w:basedOn w:val="TableNormal1"/>
    <w:tblPr>
      <w:tblStyleRowBandSize w:val="1"/>
      <w:tblStyleColBandSize w:val="1"/>
      <w:tblCellMar>
        <w:top w:w="0" w:type="dxa"/>
        <w:left w:w="115" w:type="dxa"/>
        <w:bottom w:w="0" w:type="dxa"/>
        <w:right w:w="115" w:type="dxa"/>
      </w:tblCellMar>
    </w:tblPr>
  </w:style>
  <w:style w:type="character" w:customStyle="1" w:styleId="UnresolvedMention">
    <w:name w:val="Unresolved Mention"/>
    <w:basedOn w:val="Fuentedeprrafopredeter"/>
    <w:uiPriority w:val="99"/>
    <w:semiHidden/>
    <w:unhideWhenUsed/>
    <w:rsid w:val="00CA78BE"/>
    <w:rPr>
      <w:color w:val="605E5C"/>
      <w:shd w:val="clear" w:color="auto" w:fill="E1DFDD"/>
    </w:rPr>
  </w:style>
  <w:style w:type="table" w:customStyle="1" w:styleId="af5">
    <w:basedOn w:val="TableNormal0"/>
    <w:tblPr>
      <w:tblStyleRowBandSize w:val="1"/>
      <w:tblStyleColBandSize w:val="1"/>
      <w:tblCellMar>
        <w:top w:w="0" w:type="dxa"/>
        <w:left w:w="115" w:type="dxa"/>
        <w:bottom w:w="0" w:type="dxa"/>
        <w:right w:w="115" w:type="dxa"/>
      </w:tblCellMar>
    </w:tblPr>
  </w:style>
  <w:style w:type="table" w:customStyle="1" w:styleId="af6">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redalyc.org/articulo.oa?id=1995247000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CZ788LZIIIb2P6CJhDZ+hRZKVQ==">CgMxLjAyCGguZ2pkZ3hzMgloLjNkeTZ2a20yCWguMzBqMHpsbDIJaC4yczhleW8xMghoLnR5amN3dDIJaC4zem55c2g3MgloLjJldDkycDAyCWguMTdkcDh2dTIJaC4yNmluMXJnMgloLjM1bmt1bjIyCWguMWtzdjR1djIJaC4xZm9iOXRlMgloLjRkMzRvZzgyCGgubG54Yno5MgloLjNyZGNyam4yCWguMXQzaDVzZjgAciExRENOUlZjVWdXeGdkdlA5RklUU2dvTE5TTHZ3cU9WM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12509</Words>
  <Characters>68805</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2023-06-16T16:23:00Z</cp:lastPrinted>
  <dcterms:created xsi:type="dcterms:W3CDTF">2023-06-28T19:48:00Z</dcterms:created>
  <dcterms:modified xsi:type="dcterms:W3CDTF">2023-06-28T19:48:00Z</dcterms:modified>
</cp:coreProperties>
</file>