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1673E" w14:textId="1C6965A1" w:rsidR="00213579" w:rsidRPr="0066777E" w:rsidRDefault="009A6CA6">
      <w:pPr>
        <w:spacing w:before="240" w:after="240" w:line="360" w:lineRule="auto"/>
        <w:jc w:val="both"/>
        <w:rPr>
          <w:rFonts w:ascii="Palatino Linotype" w:eastAsia="Palatino Linotype" w:hAnsi="Palatino Linotype" w:cs="Palatino Linotype"/>
        </w:rPr>
      </w:pPr>
      <w:bookmarkStart w:id="0" w:name="_GoBack"/>
      <w:bookmarkEnd w:id="0"/>
      <w:r w:rsidRPr="0066777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95C06" w:rsidRPr="0066777E">
        <w:rPr>
          <w:rFonts w:ascii="Palatino Linotype" w:eastAsia="Palatino Linotype" w:hAnsi="Palatino Linotype" w:cs="Palatino Linotype"/>
        </w:rPr>
        <w:t>dieciocho de enero</w:t>
      </w:r>
      <w:r w:rsidRPr="0066777E">
        <w:rPr>
          <w:rFonts w:ascii="Palatino Linotype" w:eastAsia="Palatino Linotype" w:hAnsi="Palatino Linotype" w:cs="Palatino Linotype"/>
        </w:rPr>
        <w:t xml:space="preserve"> de dos mil veinti</w:t>
      </w:r>
      <w:r w:rsidR="00095C06" w:rsidRPr="0066777E">
        <w:rPr>
          <w:rFonts w:ascii="Palatino Linotype" w:eastAsia="Palatino Linotype" w:hAnsi="Palatino Linotype" w:cs="Palatino Linotype"/>
        </w:rPr>
        <w:t>trés</w:t>
      </w:r>
      <w:r w:rsidRPr="0066777E">
        <w:rPr>
          <w:rFonts w:ascii="Palatino Linotype" w:eastAsia="Palatino Linotype" w:hAnsi="Palatino Linotype" w:cs="Palatino Linotype"/>
        </w:rPr>
        <w:t xml:space="preserve">. </w:t>
      </w:r>
    </w:p>
    <w:p w14:paraId="2662919D" w14:textId="1D29FF2F"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t>VISTO</w:t>
      </w:r>
      <w:r w:rsidRPr="0066777E">
        <w:rPr>
          <w:rFonts w:ascii="Palatino Linotype" w:eastAsia="Palatino Linotype" w:hAnsi="Palatino Linotype" w:cs="Palatino Linotype"/>
        </w:rPr>
        <w:t xml:space="preserve"> el expediente formado con motivo del recurso de revisión </w:t>
      </w:r>
      <w:r w:rsidR="004832CF" w:rsidRPr="0066777E">
        <w:rPr>
          <w:rFonts w:ascii="Palatino Linotype" w:eastAsia="Palatino Linotype" w:hAnsi="Palatino Linotype" w:cs="Palatino Linotype"/>
          <w:b/>
        </w:rPr>
        <w:t>1</w:t>
      </w:r>
      <w:r w:rsidR="00095C06" w:rsidRPr="0066777E">
        <w:rPr>
          <w:rFonts w:ascii="Palatino Linotype" w:eastAsia="Palatino Linotype" w:hAnsi="Palatino Linotype" w:cs="Palatino Linotype"/>
          <w:b/>
        </w:rPr>
        <w:t>4359</w:t>
      </w:r>
      <w:r w:rsidRPr="0066777E">
        <w:rPr>
          <w:rFonts w:ascii="Palatino Linotype" w:eastAsia="Palatino Linotype" w:hAnsi="Palatino Linotype" w:cs="Palatino Linotype"/>
          <w:b/>
        </w:rPr>
        <w:t>/INFOEM/IP/RR/2022</w:t>
      </w:r>
      <w:r w:rsidRPr="0066777E">
        <w:rPr>
          <w:rFonts w:ascii="Palatino Linotype" w:eastAsia="Palatino Linotype" w:hAnsi="Palatino Linotype" w:cs="Palatino Linotype"/>
        </w:rPr>
        <w:t>, interpuesto por</w:t>
      </w:r>
      <w:r w:rsidR="004832CF" w:rsidRPr="0066777E">
        <w:rPr>
          <w:rFonts w:ascii="Palatino Linotype" w:eastAsia="Palatino Linotype" w:hAnsi="Palatino Linotype" w:cs="Palatino Linotype"/>
        </w:rPr>
        <w:t xml:space="preserve"> </w:t>
      </w:r>
      <w:r w:rsidR="004832CF" w:rsidRPr="0066777E">
        <w:rPr>
          <w:rFonts w:ascii="Palatino Linotype" w:eastAsia="Palatino Linotype" w:hAnsi="Palatino Linotype" w:cs="Palatino Linotype"/>
          <w:b/>
        </w:rPr>
        <w:t>un particular que no proporcionó nombre o seudónimo</w:t>
      </w:r>
      <w:r w:rsidRPr="0066777E">
        <w:rPr>
          <w:rFonts w:ascii="Palatino Linotype" w:eastAsia="Palatino Linotype" w:hAnsi="Palatino Linotype" w:cs="Palatino Linotype"/>
        </w:rPr>
        <w:t>, en lo sucesivo</w:t>
      </w:r>
      <w:r w:rsidRPr="0066777E">
        <w:rPr>
          <w:rFonts w:ascii="Palatino Linotype" w:eastAsia="Palatino Linotype" w:hAnsi="Palatino Linotype" w:cs="Palatino Linotype"/>
          <w:b/>
        </w:rPr>
        <w:t xml:space="preserve"> </w:t>
      </w:r>
      <w:r w:rsidRPr="0066777E">
        <w:rPr>
          <w:rFonts w:ascii="Palatino Linotype" w:eastAsia="Palatino Linotype" w:hAnsi="Palatino Linotype" w:cs="Palatino Linotype"/>
        </w:rPr>
        <w:t xml:space="preserve">la parte </w:t>
      </w:r>
      <w:r w:rsidRPr="0066777E">
        <w:rPr>
          <w:rFonts w:ascii="Palatino Linotype" w:eastAsia="Palatino Linotype" w:hAnsi="Palatino Linotype" w:cs="Palatino Linotype"/>
          <w:b/>
        </w:rPr>
        <w:t>Recurrente,</w:t>
      </w:r>
      <w:r w:rsidRPr="0066777E">
        <w:rPr>
          <w:rFonts w:ascii="Palatino Linotype" w:eastAsia="Palatino Linotype" w:hAnsi="Palatino Linotype" w:cs="Palatino Linotype"/>
        </w:rPr>
        <w:t xml:space="preserve"> en contra de la respue</w:t>
      </w:r>
      <w:r w:rsidR="004832CF" w:rsidRPr="0066777E">
        <w:rPr>
          <w:rFonts w:ascii="Palatino Linotype" w:eastAsia="Palatino Linotype" w:hAnsi="Palatino Linotype" w:cs="Palatino Linotype"/>
        </w:rPr>
        <w:t xml:space="preserve">sta a su solicitud por parte del </w:t>
      </w:r>
      <w:r w:rsidR="009254D0" w:rsidRPr="0066777E">
        <w:rPr>
          <w:rFonts w:ascii="Palatino Linotype" w:eastAsia="Palatino Linotype" w:hAnsi="Palatino Linotype" w:cs="Palatino Linotype"/>
          <w:b/>
        </w:rPr>
        <w:t xml:space="preserve">Organismo Público Descentralizado para la Prestación de </w:t>
      </w:r>
      <w:r w:rsidR="00325C43">
        <w:rPr>
          <w:rFonts w:ascii="Palatino Linotype" w:eastAsia="Palatino Linotype" w:hAnsi="Palatino Linotype" w:cs="Palatino Linotype"/>
          <w:b/>
        </w:rPr>
        <w:t>l</w:t>
      </w:r>
      <w:r w:rsidR="009254D0" w:rsidRPr="0066777E">
        <w:rPr>
          <w:rFonts w:ascii="Palatino Linotype" w:eastAsia="Palatino Linotype" w:hAnsi="Palatino Linotype" w:cs="Palatino Linotype"/>
          <w:b/>
        </w:rPr>
        <w:t>os Servicios de Agua Potable Alcantarillado y Saneamiento del Municipio de Naucalpan de Juárez</w:t>
      </w:r>
      <w:r w:rsidR="004832CF" w:rsidRPr="0066777E">
        <w:rPr>
          <w:rFonts w:ascii="Palatino Linotype" w:eastAsia="Palatino Linotype" w:hAnsi="Palatino Linotype" w:cs="Palatino Linotype"/>
          <w:b/>
        </w:rPr>
        <w:t>,</w:t>
      </w:r>
      <w:r w:rsidRPr="0066777E">
        <w:rPr>
          <w:rFonts w:ascii="Palatino Linotype" w:eastAsia="Palatino Linotype" w:hAnsi="Palatino Linotype" w:cs="Palatino Linotype"/>
          <w:b/>
        </w:rPr>
        <w:t xml:space="preserve"> </w:t>
      </w:r>
      <w:r w:rsidRPr="0066777E">
        <w:rPr>
          <w:rFonts w:ascii="Palatino Linotype" w:eastAsia="Palatino Linotype" w:hAnsi="Palatino Linotype" w:cs="Palatino Linotype"/>
        </w:rPr>
        <w:t xml:space="preserve">en lo sucesivo el </w:t>
      </w:r>
      <w:r w:rsidRPr="0066777E">
        <w:rPr>
          <w:rFonts w:ascii="Palatino Linotype" w:eastAsia="Palatino Linotype" w:hAnsi="Palatino Linotype" w:cs="Palatino Linotype"/>
          <w:b/>
        </w:rPr>
        <w:t xml:space="preserve">Sujeto Obligado, </w:t>
      </w:r>
      <w:r w:rsidRPr="0066777E">
        <w:rPr>
          <w:rFonts w:ascii="Palatino Linotype" w:eastAsia="Palatino Linotype" w:hAnsi="Palatino Linotype" w:cs="Palatino Linotype"/>
        </w:rPr>
        <w:t xml:space="preserve">se procede a dictar la presente resolución con base en los siguientes: </w:t>
      </w:r>
    </w:p>
    <w:p w14:paraId="2E78F094" w14:textId="77777777" w:rsidR="00213579" w:rsidRPr="0066777E" w:rsidRDefault="009A6CA6">
      <w:pPr>
        <w:spacing w:before="240" w:after="240" w:line="360" w:lineRule="auto"/>
        <w:jc w:val="center"/>
        <w:rPr>
          <w:rFonts w:ascii="Palatino Linotype" w:eastAsia="Palatino Linotype" w:hAnsi="Palatino Linotype" w:cs="Palatino Linotype"/>
          <w:b/>
        </w:rPr>
      </w:pPr>
      <w:r w:rsidRPr="0066777E">
        <w:rPr>
          <w:rFonts w:ascii="Palatino Linotype" w:eastAsia="Palatino Linotype" w:hAnsi="Palatino Linotype" w:cs="Palatino Linotype"/>
          <w:b/>
        </w:rPr>
        <w:t>I. A N T E C E D E N T E S</w:t>
      </w:r>
    </w:p>
    <w:p w14:paraId="70B22E9C" w14:textId="24693529"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t>1. Solicitud de acceso a la información.</w:t>
      </w:r>
      <w:r w:rsidRPr="0066777E">
        <w:rPr>
          <w:rFonts w:ascii="Palatino Linotype" w:eastAsia="Palatino Linotype" w:hAnsi="Palatino Linotype" w:cs="Palatino Linotype"/>
        </w:rPr>
        <w:t xml:space="preserve"> Con fecha </w:t>
      </w:r>
      <w:r w:rsidR="007A77F8" w:rsidRPr="0066777E">
        <w:rPr>
          <w:rFonts w:ascii="Palatino Linotype" w:eastAsia="Palatino Linotype" w:hAnsi="Palatino Linotype" w:cs="Palatino Linotype"/>
          <w:b/>
        </w:rPr>
        <w:t>doce de agosto</w:t>
      </w:r>
      <w:r w:rsidRPr="0066777E">
        <w:rPr>
          <w:rFonts w:ascii="Palatino Linotype" w:eastAsia="Palatino Linotype" w:hAnsi="Palatino Linotype" w:cs="Palatino Linotype"/>
          <w:b/>
        </w:rPr>
        <w:t xml:space="preserve"> dos mil veintidós,</w:t>
      </w:r>
      <w:r w:rsidRPr="0066777E">
        <w:rPr>
          <w:rFonts w:ascii="Palatino Linotype" w:eastAsia="Palatino Linotype" w:hAnsi="Palatino Linotype" w:cs="Palatino Linotype"/>
        </w:rPr>
        <w:t xml:space="preserve"> la parte </w:t>
      </w:r>
      <w:r w:rsidRPr="0066777E">
        <w:rPr>
          <w:rFonts w:ascii="Palatino Linotype" w:eastAsia="Palatino Linotype" w:hAnsi="Palatino Linotype" w:cs="Palatino Linotype"/>
          <w:b/>
        </w:rPr>
        <w:t xml:space="preserve">Recurrente </w:t>
      </w:r>
      <w:r w:rsidRPr="0066777E">
        <w:rPr>
          <w:rFonts w:ascii="Palatino Linotype" w:eastAsia="Palatino Linotype" w:hAnsi="Palatino Linotype" w:cs="Palatino Linotype"/>
        </w:rPr>
        <w:t xml:space="preserve">presentó, a través del Sistema de Acceso a la Información Mexiquense, en lo subsecuente el </w:t>
      </w:r>
      <w:r w:rsidRPr="0066777E">
        <w:rPr>
          <w:rFonts w:ascii="Palatino Linotype" w:eastAsia="Palatino Linotype" w:hAnsi="Palatino Linotype" w:cs="Palatino Linotype"/>
          <w:b/>
        </w:rPr>
        <w:t>SAIMEX,</w:t>
      </w:r>
      <w:r w:rsidRPr="0066777E">
        <w:rPr>
          <w:rFonts w:ascii="Palatino Linotype" w:eastAsia="Palatino Linotype" w:hAnsi="Palatino Linotype" w:cs="Palatino Linotype"/>
        </w:rPr>
        <w:t xml:space="preserve"> ante el </w:t>
      </w:r>
      <w:r w:rsidRPr="0066777E">
        <w:rPr>
          <w:rFonts w:ascii="Palatino Linotype" w:eastAsia="Palatino Linotype" w:hAnsi="Palatino Linotype" w:cs="Palatino Linotype"/>
          <w:b/>
        </w:rPr>
        <w:t>Sujeto Obligado</w:t>
      </w:r>
      <w:r w:rsidRPr="0066777E">
        <w:rPr>
          <w:rFonts w:ascii="Palatino Linotype" w:eastAsia="Palatino Linotype" w:hAnsi="Palatino Linotype" w:cs="Palatino Linotype"/>
        </w:rPr>
        <w:t>, la solicitud de acceso a la información pública, a la que se le asignó el número</w:t>
      </w:r>
      <w:r w:rsidRPr="0066777E">
        <w:rPr>
          <w:rFonts w:ascii="Palatino Linotype" w:eastAsia="Palatino Linotype" w:hAnsi="Palatino Linotype" w:cs="Palatino Linotype"/>
          <w:b/>
        </w:rPr>
        <w:t xml:space="preserve"> </w:t>
      </w:r>
      <w:r w:rsidR="007A77F8" w:rsidRPr="0066777E">
        <w:rPr>
          <w:rFonts w:ascii="Palatino Linotype" w:eastAsia="Palatino Linotype" w:hAnsi="Palatino Linotype" w:cs="Palatino Linotype"/>
          <w:b/>
        </w:rPr>
        <w:t>00131/OASNAUCAL/IP/2022</w:t>
      </w:r>
      <w:r w:rsidRPr="0066777E">
        <w:rPr>
          <w:rFonts w:ascii="Palatino Linotype" w:eastAsia="Palatino Linotype" w:hAnsi="Palatino Linotype" w:cs="Palatino Linotype"/>
          <w:b/>
        </w:rPr>
        <w:t xml:space="preserve">, </w:t>
      </w:r>
      <w:r w:rsidRPr="0066777E">
        <w:rPr>
          <w:rFonts w:ascii="Palatino Linotype" w:eastAsia="Palatino Linotype" w:hAnsi="Palatino Linotype" w:cs="Palatino Linotype"/>
        </w:rPr>
        <w:t xml:space="preserve">mediante la cual requirió la información siguiente: </w:t>
      </w:r>
    </w:p>
    <w:p w14:paraId="7EB3167F" w14:textId="78CE57FD" w:rsidR="00213579" w:rsidRPr="0066777E" w:rsidRDefault="009A6CA6">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66777E">
        <w:rPr>
          <w:rFonts w:ascii="Palatino Linotype" w:eastAsia="Palatino Linotype" w:hAnsi="Palatino Linotype" w:cs="Palatino Linotype"/>
          <w:i/>
          <w:sz w:val="22"/>
          <w:szCs w:val="22"/>
        </w:rPr>
        <w:lastRenderedPageBreak/>
        <w:t>“</w:t>
      </w:r>
      <w:r w:rsidR="007A77F8" w:rsidRPr="0066777E">
        <w:rPr>
          <w:rFonts w:ascii="Palatino Linotype" w:eastAsia="Palatino Linotype" w:hAnsi="Palatino Linotype" w:cs="Palatino Linotype"/>
          <w:i/>
          <w:sz w:val="22"/>
          <w:szCs w:val="22"/>
        </w:rPr>
        <w:t>Solicito: Todos los Convenios realizados por parte del OAPAS con la CAEM, desde los años 2020, 2021 hasta el ejercicio fiscal 2022</w:t>
      </w:r>
      <w:proofErr w:type="gramStart"/>
      <w:r w:rsidR="007A77F8"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b/>
          <w:i/>
          <w:sz w:val="22"/>
          <w:szCs w:val="22"/>
        </w:rPr>
        <w:t>”</w:t>
      </w:r>
      <w:proofErr w:type="gramEnd"/>
      <w:r w:rsidRPr="0066777E">
        <w:rPr>
          <w:rFonts w:ascii="Palatino Linotype" w:eastAsia="Palatino Linotype" w:hAnsi="Palatino Linotype" w:cs="Palatino Linotype"/>
          <w:i/>
          <w:sz w:val="22"/>
          <w:szCs w:val="22"/>
        </w:rPr>
        <w:t xml:space="preserve"> (sic) </w:t>
      </w:r>
    </w:p>
    <w:p w14:paraId="377301D8" w14:textId="77777777" w:rsidR="00213579" w:rsidRPr="0066777E" w:rsidRDefault="009A6CA6">
      <w:pPr>
        <w:spacing w:before="240" w:after="240" w:line="360" w:lineRule="auto"/>
        <w:ind w:right="49"/>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La parte </w:t>
      </w:r>
      <w:r w:rsidRPr="0066777E">
        <w:rPr>
          <w:rFonts w:ascii="Palatino Linotype" w:eastAsia="Palatino Linotype" w:hAnsi="Palatino Linotype" w:cs="Palatino Linotype"/>
          <w:b/>
        </w:rPr>
        <w:t>Recurrente</w:t>
      </w:r>
      <w:r w:rsidRPr="0066777E">
        <w:rPr>
          <w:rFonts w:ascii="Palatino Linotype" w:eastAsia="Palatino Linotype" w:hAnsi="Palatino Linotype" w:cs="Palatino Linotype"/>
        </w:rPr>
        <w:t xml:space="preserve"> no adjuntó archivos.</w:t>
      </w:r>
    </w:p>
    <w:p w14:paraId="521A911C" w14:textId="397A3B86"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t>Modalidad de Entrega:</w:t>
      </w:r>
      <w:r w:rsidRPr="0066777E">
        <w:rPr>
          <w:rFonts w:ascii="Palatino Linotype" w:eastAsia="Palatino Linotype" w:hAnsi="Palatino Linotype" w:cs="Palatino Linotype"/>
        </w:rPr>
        <w:t xml:space="preserve"> a través </w:t>
      </w:r>
      <w:r w:rsidRPr="0066777E">
        <w:rPr>
          <w:rFonts w:ascii="Palatino Linotype" w:eastAsia="Palatino Linotype" w:hAnsi="Palatino Linotype" w:cs="Palatino Linotype"/>
          <w:b/>
        </w:rPr>
        <w:t xml:space="preserve">de </w:t>
      </w:r>
      <w:r w:rsidR="004832CF" w:rsidRPr="0066777E">
        <w:rPr>
          <w:rFonts w:ascii="Palatino Linotype" w:eastAsia="Palatino Linotype" w:hAnsi="Palatino Linotype" w:cs="Palatino Linotype"/>
          <w:b/>
        </w:rPr>
        <w:t>SAIMEX</w:t>
      </w:r>
    </w:p>
    <w:p w14:paraId="19F19062" w14:textId="2400F42A" w:rsidR="00213579" w:rsidRPr="0066777E" w:rsidRDefault="009A6CA6">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66777E">
        <w:rPr>
          <w:rFonts w:ascii="Palatino Linotype" w:eastAsia="Palatino Linotype" w:hAnsi="Palatino Linotype" w:cs="Palatino Linotype"/>
          <w:b/>
        </w:rPr>
        <w:t xml:space="preserve">2. Respuesta. </w:t>
      </w:r>
      <w:r w:rsidRPr="0066777E">
        <w:rPr>
          <w:rFonts w:ascii="Palatino Linotype" w:eastAsia="Palatino Linotype" w:hAnsi="Palatino Linotype" w:cs="Palatino Linotype"/>
        </w:rPr>
        <w:t>Con fecha</w:t>
      </w:r>
      <w:r w:rsidRPr="0066777E">
        <w:rPr>
          <w:rFonts w:ascii="Palatino Linotype" w:eastAsia="Palatino Linotype" w:hAnsi="Palatino Linotype" w:cs="Palatino Linotype"/>
          <w:b/>
        </w:rPr>
        <w:t xml:space="preserve"> </w:t>
      </w:r>
      <w:r w:rsidR="009254D0" w:rsidRPr="0066777E">
        <w:rPr>
          <w:rFonts w:ascii="Palatino Linotype" w:eastAsia="Palatino Linotype" w:hAnsi="Palatino Linotype" w:cs="Palatino Linotype"/>
          <w:b/>
        </w:rPr>
        <w:t>dos de septiembre</w:t>
      </w:r>
      <w:r w:rsidRPr="0066777E">
        <w:rPr>
          <w:rFonts w:ascii="Palatino Linotype" w:eastAsia="Palatino Linotype" w:hAnsi="Palatino Linotype" w:cs="Palatino Linotype"/>
          <w:b/>
        </w:rPr>
        <w:t xml:space="preserve"> de dos mil veintidós</w:t>
      </w:r>
      <w:r w:rsidRPr="0066777E">
        <w:rPr>
          <w:rFonts w:ascii="Palatino Linotype" w:eastAsia="Palatino Linotype" w:hAnsi="Palatino Linotype" w:cs="Palatino Linotype"/>
        </w:rPr>
        <w:t xml:space="preserve">, el </w:t>
      </w:r>
      <w:r w:rsidRPr="0066777E">
        <w:rPr>
          <w:rFonts w:ascii="Palatino Linotype" w:eastAsia="Palatino Linotype" w:hAnsi="Palatino Linotype" w:cs="Palatino Linotype"/>
          <w:b/>
        </w:rPr>
        <w:t xml:space="preserve">Sujeto Obligado </w:t>
      </w:r>
      <w:r w:rsidRPr="0066777E">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33CC44F" w14:textId="4BACD04E" w:rsidR="00213579" w:rsidRPr="0066777E" w:rsidRDefault="009A6CA6">
      <w:pPr>
        <w:spacing w:before="240" w:after="240"/>
        <w:ind w:left="851" w:right="902"/>
        <w:jc w:val="both"/>
        <w:rPr>
          <w:rFonts w:ascii="Palatino Linotype" w:eastAsia="Palatino Linotype" w:hAnsi="Palatino Linotype" w:cs="Palatino Linotype"/>
          <w:b/>
          <w:i/>
          <w:sz w:val="22"/>
          <w:szCs w:val="22"/>
        </w:rPr>
      </w:pPr>
      <w:r w:rsidRPr="0066777E">
        <w:rPr>
          <w:rFonts w:ascii="Palatino Linotype" w:eastAsia="Palatino Linotype" w:hAnsi="Palatino Linotype" w:cs="Palatino Linotype"/>
          <w:i/>
          <w:sz w:val="22"/>
          <w:szCs w:val="22"/>
        </w:rPr>
        <w:t>“…</w:t>
      </w:r>
      <w:r w:rsidR="009254D0" w:rsidRPr="0066777E">
        <w:rPr>
          <w:rFonts w:ascii="Palatino Linotype" w:eastAsia="Palatino Linotype" w:hAnsi="Palatino Linotype" w:cs="Palatino Linotype"/>
          <w:i/>
          <w:sz w:val="22"/>
          <w:szCs w:val="22"/>
        </w:rPr>
        <w:t>se anexa oficio de respuesta, dando cumplimiento en tiempo y forma a lo solicitado</w:t>
      </w:r>
      <w:proofErr w:type="gramStart"/>
      <w:r w:rsidR="009254D0" w:rsidRPr="0066777E">
        <w:rPr>
          <w:rFonts w:ascii="Palatino Linotype" w:eastAsia="Palatino Linotype" w:hAnsi="Palatino Linotype" w:cs="Palatino Linotype"/>
          <w:i/>
          <w:sz w:val="22"/>
          <w:szCs w:val="22"/>
        </w:rPr>
        <w:t>.</w:t>
      </w:r>
      <w:r w:rsidR="004832CF"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i/>
          <w:sz w:val="22"/>
          <w:szCs w:val="22"/>
        </w:rPr>
        <w:t>..”</w:t>
      </w:r>
      <w:proofErr w:type="gramEnd"/>
      <w:r w:rsidRPr="0066777E">
        <w:rPr>
          <w:rFonts w:ascii="Palatino Linotype" w:eastAsia="Palatino Linotype" w:hAnsi="Palatino Linotype" w:cs="Palatino Linotype"/>
          <w:i/>
          <w:sz w:val="22"/>
          <w:szCs w:val="22"/>
        </w:rPr>
        <w:t xml:space="preserve"> (sic)</w:t>
      </w:r>
    </w:p>
    <w:p w14:paraId="7E4434BC" w14:textId="3E6EB9FD" w:rsidR="004832CF" w:rsidRPr="0066777E" w:rsidRDefault="009A6CA6">
      <w:pPr>
        <w:spacing w:before="240" w:after="240" w:line="360" w:lineRule="auto"/>
        <w:ind w:right="49"/>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El </w:t>
      </w:r>
      <w:r w:rsidRPr="0066777E">
        <w:rPr>
          <w:rFonts w:ascii="Palatino Linotype" w:eastAsia="Palatino Linotype" w:hAnsi="Palatino Linotype" w:cs="Palatino Linotype"/>
          <w:b/>
        </w:rPr>
        <w:t>Sujeto Obligado</w:t>
      </w:r>
      <w:r w:rsidRPr="0066777E">
        <w:rPr>
          <w:rFonts w:ascii="Palatino Linotype" w:eastAsia="Palatino Linotype" w:hAnsi="Palatino Linotype" w:cs="Palatino Linotype"/>
        </w:rPr>
        <w:t xml:space="preserve"> adjuntó </w:t>
      </w:r>
      <w:r w:rsidR="004832CF" w:rsidRPr="0066777E">
        <w:rPr>
          <w:rFonts w:ascii="Palatino Linotype" w:eastAsia="Palatino Linotype" w:hAnsi="Palatino Linotype" w:cs="Palatino Linotype"/>
        </w:rPr>
        <w:t xml:space="preserve">el archivo </w:t>
      </w:r>
      <w:r w:rsidRPr="0066777E">
        <w:rPr>
          <w:rFonts w:ascii="Palatino Linotype" w:eastAsia="Palatino Linotype" w:hAnsi="Palatino Linotype" w:cs="Palatino Linotype"/>
          <w:i/>
        </w:rPr>
        <w:t>“</w:t>
      </w:r>
      <w:r w:rsidR="009254D0" w:rsidRPr="0066777E">
        <w:rPr>
          <w:rFonts w:ascii="Palatino Linotype" w:eastAsia="Palatino Linotype" w:hAnsi="Palatino Linotype" w:cs="Palatino Linotype"/>
          <w:i/>
        </w:rPr>
        <w:t xml:space="preserve">SGT O 84 2022 </w:t>
      </w:r>
      <w:proofErr w:type="spellStart"/>
      <w:r w:rsidR="009254D0" w:rsidRPr="0066777E">
        <w:rPr>
          <w:rFonts w:ascii="Palatino Linotype" w:eastAsia="Palatino Linotype" w:hAnsi="Palatino Linotype" w:cs="Palatino Linotype"/>
          <w:i/>
        </w:rPr>
        <w:t>resp</w:t>
      </w:r>
      <w:proofErr w:type="spellEnd"/>
      <w:r w:rsidR="009254D0" w:rsidRPr="0066777E">
        <w:rPr>
          <w:rFonts w:ascii="Palatino Linotype" w:eastAsia="Palatino Linotype" w:hAnsi="Palatino Linotype" w:cs="Palatino Linotype"/>
          <w:i/>
        </w:rPr>
        <w:t xml:space="preserve"> a </w:t>
      </w:r>
      <w:proofErr w:type="spellStart"/>
      <w:r w:rsidR="009254D0" w:rsidRPr="0066777E">
        <w:rPr>
          <w:rFonts w:ascii="Palatino Linotype" w:eastAsia="Palatino Linotype" w:hAnsi="Palatino Linotype" w:cs="Palatino Linotype"/>
          <w:i/>
        </w:rPr>
        <w:t>solciitud</w:t>
      </w:r>
      <w:proofErr w:type="spellEnd"/>
      <w:r w:rsidR="009254D0" w:rsidRPr="0066777E">
        <w:rPr>
          <w:rFonts w:ascii="Palatino Linotype" w:eastAsia="Palatino Linotype" w:hAnsi="Palatino Linotype" w:cs="Palatino Linotype"/>
          <w:i/>
        </w:rPr>
        <w:t xml:space="preserve"> 131.pdf</w:t>
      </w:r>
      <w:r w:rsidRPr="0066777E">
        <w:rPr>
          <w:rFonts w:ascii="Palatino Linotype" w:eastAsia="Palatino Linotype" w:hAnsi="Palatino Linotype" w:cs="Palatino Linotype"/>
          <w:i/>
        </w:rPr>
        <w:t>”</w:t>
      </w:r>
      <w:r w:rsidRPr="0066777E">
        <w:rPr>
          <w:rFonts w:ascii="Palatino Linotype" w:eastAsia="Palatino Linotype" w:hAnsi="Palatino Linotype" w:cs="Palatino Linotype"/>
        </w:rPr>
        <w:t>,</w:t>
      </w:r>
      <w:r w:rsidR="004832CF" w:rsidRPr="0066777E">
        <w:rPr>
          <w:rFonts w:ascii="Palatino Linotype" w:eastAsia="Palatino Linotype" w:hAnsi="Palatino Linotype" w:cs="Palatino Linotype"/>
        </w:rPr>
        <w:t xml:space="preserve"> que contiene </w:t>
      </w:r>
      <w:r w:rsidR="009254D0" w:rsidRPr="0066777E">
        <w:rPr>
          <w:rFonts w:ascii="Palatino Linotype" w:eastAsia="Palatino Linotype" w:hAnsi="Palatino Linotype" w:cs="Palatino Linotype"/>
        </w:rPr>
        <w:t>el oficio número SGT/O/84/2022 de fecha dos de septiembre de dos mil veintidós, signado por la Subgerente de Transparencia, mediante el cual, en atención a la solicitud de información, refiere que derivado del análisis realizado a las líneas contenidas, y una vez efectuado el proceso de consulta interna para la obtención de la información, haciendo del conocimiento de la persona solicitante que no se encontró convenio celebrado con la Comisión de Agua del Estado de México durante los periodos señalados.</w:t>
      </w:r>
    </w:p>
    <w:p w14:paraId="51F10CE5" w14:textId="3C42066D" w:rsidR="00213579" w:rsidRPr="0066777E" w:rsidRDefault="00D91586">
      <w:pPr>
        <w:spacing w:before="240" w:after="240" w:line="360" w:lineRule="auto"/>
        <w:ind w:right="49"/>
        <w:jc w:val="both"/>
        <w:rPr>
          <w:rFonts w:ascii="Palatino Linotype" w:eastAsia="Palatino Linotype" w:hAnsi="Palatino Linotype" w:cs="Palatino Linotype"/>
        </w:rPr>
      </w:pPr>
      <w:r w:rsidRPr="0066777E">
        <w:rPr>
          <w:rFonts w:ascii="Palatino Linotype" w:eastAsia="Palatino Linotype" w:hAnsi="Palatino Linotype" w:cs="Palatino Linotype"/>
          <w:b/>
        </w:rPr>
        <w:t>3</w:t>
      </w:r>
      <w:r w:rsidR="009A6CA6" w:rsidRPr="0066777E">
        <w:rPr>
          <w:rFonts w:ascii="Palatino Linotype" w:eastAsia="Palatino Linotype" w:hAnsi="Palatino Linotype" w:cs="Palatino Linotype"/>
          <w:b/>
        </w:rPr>
        <w:t xml:space="preserve">. Interposición del recurso de revisión. </w:t>
      </w:r>
      <w:r w:rsidR="009A6CA6" w:rsidRPr="0066777E">
        <w:rPr>
          <w:rFonts w:ascii="Palatino Linotype" w:eastAsia="Palatino Linotype" w:hAnsi="Palatino Linotype" w:cs="Palatino Linotype"/>
        </w:rPr>
        <w:t xml:space="preserve">Inconforme con los términos de la respuesta emitida por parte del </w:t>
      </w:r>
      <w:r w:rsidR="009A6CA6" w:rsidRPr="0066777E">
        <w:rPr>
          <w:rFonts w:ascii="Palatino Linotype" w:eastAsia="Palatino Linotype" w:hAnsi="Palatino Linotype" w:cs="Palatino Linotype"/>
          <w:b/>
        </w:rPr>
        <w:t>Sujeto Obligado</w:t>
      </w:r>
      <w:r w:rsidR="009A6CA6" w:rsidRPr="0066777E">
        <w:rPr>
          <w:rFonts w:ascii="Palatino Linotype" w:eastAsia="Palatino Linotype" w:hAnsi="Palatino Linotype" w:cs="Palatino Linotype"/>
        </w:rPr>
        <w:t xml:space="preserve">, el </w:t>
      </w:r>
      <w:r w:rsidR="008200F6" w:rsidRPr="0066777E">
        <w:rPr>
          <w:rFonts w:ascii="Palatino Linotype" w:eastAsia="Palatino Linotype" w:hAnsi="Palatino Linotype" w:cs="Palatino Linotype"/>
          <w:b/>
        </w:rPr>
        <w:t>cinco de septiembre</w:t>
      </w:r>
      <w:r w:rsidR="009A6CA6" w:rsidRPr="0066777E">
        <w:rPr>
          <w:rFonts w:ascii="Palatino Linotype" w:eastAsia="Palatino Linotype" w:hAnsi="Palatino Linotype" w:cs="Palatino Linotype"/>
          <w:b/>
        </w:rPr>
        <w:t xml:space="preserve"> de dos </w:t>
      </w:r>
      <w:r w:rsidR="009A6CA6" w:rsidRPr="0066777E">
        <w:rPr>
          <w:rFonts w:ascii="Palatino Linotype" w:eastAsia="Palatino Linotype" w:hAnsi="Palatino Linotype" w:cs="Palatino Linotype"/>
          <w:b/>
        </w:rPr>
        <w:lastRenderedPageBreak/>
        <w:t>mil veintidós,</w:t>
      </w:r>
      <w:r w:rsidR="009A6CA6" w:rsidRPr="0066777E">
        <w:rPr>
          <w:rFonts w:ascii="Palatino Linotype" w:eastAsia="Palatino Linotype" w:hAnsi="Palatino Linotype" w:cs="Palatino Linotype"/>
        </w:rPr>
        <w:t xml:space="preserve"> la parte </w:t>
      </w:r>
      <w:r w:rsidR="009A6CA6" w:rsidRPr="0066777E">
        <w:rPr>
          <w:rFonts w:ascii="Palatino Linotype" w:eastAsia="Palatino Linotype" w:hAnsi="Palatino Linotype" w:cs="Palatino Linotype"/>
          <w:b/>
        </w:rPr>
        <w:t>Recurrente</w:t>
      </w:r>
      <w:r w:rsidR="009A6CA6" w:rsidRPr="0066777E">
        <w:rPr>
          <w:rFonts w:ascii="Palatino Linotype" w:eastAsia="Palatino Linotype" w:hAnsi="Palatino Linotype" w:cs="Palatino Linotype"/>
        </w:rPr>
        <w:t xml:space="preserve"> interpuso el recurso de revisión a través de </w:t>
      </w:r>
      <w:r w:rsidR="009A6CA6" w:rsidRPr="0066777E">
        <w:rPr>
          <w:rFonts w:ascii="Palatino Linotype" w:eastAsia="Palatino Linotype" w:hAnsi="Palatino Linotype" w:cs="Palatino Linotype"/>
          <w:b/>
        </w:rPr>
        <w:t xml:space="preserve">SAIMEX, </w:t>
      </w:r>
      <w:r w:rsidR="009A6CA6" w:rsidRPr="0066777E">
        <w:rPr>
          <w:rFonts w:ascii="Palatino Linotype" w:eastAsia="Palatino Linotype" w:hAnsi="Palatino Linotype" w:cs="Palatino Linotype"/>
        </w:rPr>
        <w:t>en donde se manifestó de la siguiente manera:</w:t>
      </w:r>
    </w:p>
    <w:p w14:paraId="27888B01" w14:textId="77777777" w:rsidR="00213579" w:rsidRPr="0066777E" w:rsidRDefault="009A6CA6">
      <w:pPr>
        <w:tabs>
          <w:tab w:val="left" w:pos="2745"/>
        </w:tabs>
        <w:spacing w:before="240" w:after="240" w:line="360" w:lineRule="auto"/>
        <w:jc w:val="both"/>
        <w:rPr>
          <w:rFonts w:ascii="Palatino Linotype" w:eastAsia="Palatino Linotype" w:hAnsi="Palatino Linotype" w:cs="Palatino Linotype"/>
          <w:b/>
        </w:rPr>
      </w:pPr>
      <w:r w:rsidRPr="0066777E">
        <w:rPr>
          <w:rFonts w:ascii="Palatino Linotype" w:eastAsia="Palatino Linotype" w:hAnsi="Palatino Linotype" w:cs="Palatino Linotype"/>
          <w:b/>
        </w:rPr>
        <w:t xml:space="preserve">Acto impugnado: </w:t>
      </w:r>
    </w:p>
    <w:p w14:paraId="3C4968B9" w14:textId="281A58C6" w:rsidR="00213579" w:rsidRPr="0066777E"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w:t>
      </w:r>
      <w:r w:rsidR="008200F6" w:rsidRPr="0066777E">
        <w:rPr>
          <w:rFonts w:ascii="Palatino Linotype" w:eastAsia="Palatino Linotype" w:hAnsi="Palatino Linotype" w:cs="Palatino Linotype"/>
          <w:i/>
          <w:sz w:val="22"/>
          <w:szCs w:val="22"/>
        </w:rPr>
        <w:t>No se anexa acta del comité de Transparencia en el que se determine la inexistencia de la documentación solicitada.</w:t>
      </w:r>
      <w:r w:rsidRPr="0066777E">
        <w:rPr>
          <w:rFonts w:ascii="Palatino Linotype" w:eastAsia="Palatino Linotype" w:hAnsi="Palatino Linotype" w:cs="Palatino Linotype"/>
          <w:i/>
          <w:sz w:val="22"/>
          <w:szCs w:val="22"/>
        </w:rPr>
        <w:t>” (sic)</w:t>
      </w:r>
    </w:p>
    <w:p w14:paraId="6743665C" w14:textId="77777777" w:rsidR="00213579" w:rsidRPr="0066777E" w:rsidRDefault="009A6CA6">
      <w:pPr>
        <w:spacing w:line="360" w:lineRule="auto"/>
        <w:jc w:val="both"/>
        <w:rPr>
          <w:rFonts w:ascii="Palatino Linotype" w:eastAsia="Palatino Linotype" w:hAnsi="Palatino Linotype" w:cs="Palatino Linotype"/>
        </w:rPr>
      </w:pPr>
      <w:bookmarkStart w:id="3" w:name="_heading=h.30j0zll" w:colFirst="0" w:colLast="0"/>
      <w:bookmarkEnd w:id="3"/>
      <w:r w:rsidRPr="0066777E">
        <w:rPr>
          <w:rFonts w:ascii="Palatino Linotype" w:eastAsia="Palatino Linotype" w:hAnsi="Palatino Linotype" w:cs="Palatino Linotype"/>
          <w:b/>
        </w:rPr>
        <w:t>Y Razones o motivos de inconformidad</w:t>
      </w:r>
      <w:r w:rsidRPr="0066777E">
        <w:rPr>
          <w:rFonts w:ascii="Palatino Linotype" w:eastAsia="Palatino Linotype" w:hAnsi="Palatino Linotype" w:cs="Palatino Linotype"/>
        </w:rPr>
        <w:t xml:space="preserve">: </w:t>
      </w:r>
    </w:p>
    <w:p w14:paraId="1FBAB981" w14:textId="4714591F" w:rsidR="00213579" w:rsidRPr="0066777E"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w:t>
      </w:r>
      <w:r w:rsidR="008200F6" w:rsidRPr="0066777E">
        <w:rPr>
          <w:rFonts w:ascii="Palatino Linotype" w:eastAsia="Palatino Linotype" w:hAnsi="Palatino Linotype" w:cs="Palatino Linotype"/>
          <w:i/>
          <w:sz w:val="22"/>
          <w:szCs w:val="22"/>
        </w:rPr>
        <w:t>un indebido proceso en generar la respuesta brindada</w:t>
      </w:r>
      <w:r w:rsidRPr="0066777E">
        <w:rPr>
          <w:rFonts w:ascii="Palatino Linotype" w:eastAsia="Palatino Linotype" w:hAnsi="Palatino Linotype" w:cs="Palatino Linotype"/>
          <w:i/>
          <w:sz w:val="22"/>
          <w:szCs w:val="22"/>
        </w:rPr>
        <w:t>” (sic)</w:t>
      </w:r>
    </w:p>
    <w:p w14:paraId="596B5AC9" w14:textId="77777777" w:rsidR="00213579" w:rsidRPr="0066777E" w:rsidRDefault="009A6CA6">
      <w:pPr>
        <w:spacing w:before="240" w:after="240" w:line="360" w:lineRule="auto"/>
        <w:ind w:right="49"/>
        <w:jc w:val="both"/>
        <w:rPr>
          <w:rFonts w:ascii="Palatino Linotype" w:eastAsia="Palatino Linotype" w:hAnsi="Palatino Linotype" w:cs="Palatino Linotype"/>
        </w:rPr>
      </w:pPr>
      <w:r w:rsidRPr="0066777E">
        <w:rPr>
          <w:rFonts w:ascii="Palatino Linotype" w:eastAsia="Palatino Linotype" w:hAnsi="Palatino Linotype" w:cs="Palatino Linotype"/>
          <w:b/>
        </w:rPr>
        <w:t xml:space="preserve">Anexos: </w:t>
      </w:r>
      <w:r w:rsidRPr="0066777E">
        <w:rPr>
          <w:rFonts w:ascii="Palatino Linotype" w:eastAsia="Palatino Linotype" w:hAnsi="Palatino Linotype" w:cs="Palatino Linotype"/>
        </w:rPr>
        <w:t xml:space="preserve">La parte </w:t>
      </w:r>
      <w:r w:rsidRPr="0066777E">
        <w:rPr>
          <w:rFonts w:ascii="Palatino Linotype" w:eastAsia="Palatino Linotype" w:hAnsi="Palatino Linotype" w:cs="Palatino Linotype"/>
          <w:b/>
        </w:rPr>
        <w:t xml:space="preserve">Recurrente </w:t>
      </w:r>
      <w:r w:rsidRPr="0066777E">
        <w:rPr>
          <w:rFonts w:ascii="Palatino Linotype" w:eastAsia="Palatino Linotype" w:hAnsi="Palatino Linotype" w:cs="Palatino Linotype"/>
        </w:rPr>
        <w:t xml:space="preserve">no adjuntó archivos. </w:t>
      </w:r>
    </w:p>
    <w:p w14:paraId="0686B175" w14:textId="20C49609" w:rsidR="00213579" w:rsidRPr="0066777E" w:rsidRDefault="00357C57">
      <w:pPr>
        <w:spacing w:before="240" w:after="240" w:line="360" w:lineRule="auto"/>
        <w:ind w:right="51"/>
        <w:jc w:val="both"/>
        <w:rPr>
          <w:rFonts w:ascii="Palatino Linotype" w:eastAsia="Palatino Linotype" w:hAnsi="Palatino Linotype" w:cs="Palatino Linotype"/>
        </w:rPr>
      </w:pPr>
      <w:r w:rsidRPr="0066777E">
        <w:rPr>
          <w:rFonts w:ascii="Palatino Linotype" w:eastAsia="Palatino Linotype" w:hAnsi="Palatino Linotype" w:cs="Palatino Linotype"/>
          <w:b/>
        </w:rPr>
        <w:t>4</w:t>
      </w:r>
      <w:r w:rsidR="009A6CA6" w:rsidRPr="0066777E">
        <w:rPr>
          <w:rFonts w:ascii="Palatino Linotype" w:eastAsia="Palatino Linotype" w:hAnsi="Palatino Linotype" w:cs="Palatino Linotype"/>
          <w:b/>
        </w:rPr>
        <w:t xml:space="preserve">. Turno. </w:t>
      </w:r>
      <w:r w:rsidR="009A6CA6" w:rsidRPr="0066777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9A6CA6" w:rsidRPr="0066777E">
        <w:rPr>
          <w:rFonts w:ascii="Palatino Linotype" w:eastAsia="Palatino Linotype" w:hAnsi="Palatino Linotype" w:cs="Palatino Linotype"/>
          <w:b/>
        </w:rPr>
        <w:t xml:space="preserve">Guadalupe Ramírez Peña, </w:t>
      </w:r>
      <w:r w:rsidR="009A6CA6" w:rsidRPr="0066777E">
        <w:rPr>
          <w:rFonts w:ascii="Palatino Linotype" w:eastAsia="Palatino Linotype" w:hAnsi="Palatino Linotype" w:cs="Palatino Linotype"/>
        </w:rPr>
        <w:t xml:space="preserve">a efecto de que analizara sobre su admisión o su </w:t>
      </w:r>
      <w:proofErr w:type="spellStart"/>
      <w:r w:rsidR="009A6CA6" w:rsidRPr="0066777E">
        <w:rPr>
          <w:rFonts w:ascii="Palatino Linotype" w:eastAsia="Palatino Linotype" w:hAnsi="Palatino Linotype" w:cs="Palatino Linotype"/>
        </w:rPr>
        <w:t>desechamiento</w:t>
      </w:r>
      <w:proofErr w:type="spellEnd"/>
      <w:r w:rsidR="009A6CA6" w:rsidRPr="0066777E">
        <w:rPr>
          <w:rFonts w:ascii="Palatino Linotype" w:eastAsia="Palatino Linotype" w:hAnsi="Palatino Linotype" w:cs="Palatino Linotype"/>
        </w:rPr>
        <w:t>.</w:t>
      </w:r>
    </w:p>
    <w:p w14:paraId="78528036" w14:textId="590FD43E" w:rsidR="00213579" w:rsidRPr="0066777E" w:rsidRDefault="00357C57">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t>5</w:t>
      </w:r>
      <w:r w:rsidR="009A6CA6" w:rsidRPr="0066777E">
        <w:rPr>
          <w:rFonts w:ascii="Palatino Linotype" w:eastAsia="Palatino Linotype" w:hAnsi="Palatino Linotype" w:cs="Palatino Linotype"/>
          <w:b/>
        </w:rPr>
        <w:t>. Admisión del Recurso de revisión.</w:t>
      </w:r>
      <w:r w:rsidR="009A6CA6" w:rsidRPr="0066777E">
        <w:rPr>
          <w:rFonts w:ascii="Palatino Linotype" w:eastAsia="Palatino Linotype" w:hAnsi="Palatino Linotype" w:cs="Palatino Linotype"/>
        </w:rPr>
        <w:t xml:space="preserve"> Con fecha</w:t>
      </w:r>
      <w:r w:rsidR="009A6CA6" w:rsidRPr="0066777E">
        <w:rPr>
          <w:rFonts w:ascii="Palatino Linotype" w:eastAsia="Palatino Linotype" w:hAnsi="Palatino Linotype" w:cs="Palatino Linotype"/>
          <w:b/>
        </w:rPr>
        <w:t xml:space="preserve"> </w:t>
      </w:r>
      <w:r w:rsidR="008200F6" w:rsidRPr="0066777E">
        <w:rPr>
          <w:rFonts w:ascii="Palatino Linotype" w:eastAsia="Palatino Linotype" w:hAnsi="Palatino Linotype" w:cs="Palatino Linotype"/>
          <w:b/>
        </w:rPr>
        <w:t>ocho de septiembre</w:t>
      </w:r>
      <w:r w:rsidR="009A6CA6" w:rsidRPr="0066777E">
        <w:rPr>
          <w:rFonts w:ascii="Palatino Linotype" w:eastAsia="Palatino Linotype" w:hAnsi="Palatino Linotype" w:cs="Palatino Linotype"/>
          <w:b/>
        </w:rPr>
        <w:t xml:space="preserve"> de dos mil veintidós, </w:t>
      </w:r>
      <w:r w:rsidR="009A6CA6" w:rsidRPr="0066777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9A6CA6" w:rsidRPr="0066777E">
        <w:rPr>
          <w:rFonts w:ascii="Palatino Linotype" w:eastAsia="Palatino Linotype" w:hAnsi="Palatino Linotype" w:cs="Palatino Linotype"/>
        </w:rPr>
        <w:lastRenderedPageBreak/>
        <w:t xml:space="preserve">conveniente, ofrecieran pruebas, formularan alegatos y el </w:t>
      </w:r>
      <w:r w:rsidR="009A6CA6" w:rsidRPr="0066777E">
        <w:rPr>
          <w:rFonts w:ascii="Palatino Linotype" w:eastAsia="Palatino Linotype" w:hAnsi="Palatino Linotype" w:cs="Palatino Linotype"/>
          <w:b/>
        </w:rPr>
        <w:t xml:space="preserve">Sujeto Obligado </w:t>
      </w:r>
      <w:r w:rsidR="009A6CA6" w:rsidRPr="0066777E">
        <w:rPr>
          <w:rFonts w:ascii="Palatino Linotype" w:eastAsia="Palatino Linotype" w:hAnsi="Palatino Linotype" w:cs="Palatino Linotype"/>
        </w:rPr>
        <w:t>presentara su informe justificado.</w:t>
      </w:r>
    </w:p>
    <w:p w14:paraId="5501DA16" w14:textId="77777777" w:rsidR="008200F6" w:rsidRPr="0066777E" w:rsidRDefault="00357C57" w:rsidP="008200F6">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66777E">
        <w:rPr>
          <w:rFonts w:ascii="Palatino Linotype" w:eastAsia="Palatino Linotype" w:hAnsi="Palatino Linotype" w:cs="Palatino Linotype"/>
          <w:b/>
        </w:rPr>
        <w:t>6</w:t>
      </w:r>
      <w:r w:rsidR="009A6CA6" w:rsidRPr="0066777E">
        <w:rPr>
          <w:rFonts w:ascii="Palatino Linotype" w:eastAsia="Palatino Linotype" w:hAnsi="Palatino Linotype" w:cs="Palatino Linotype"/>
          <w:b/>
        </w:rPr>
        <w:t>. Manifestaciones</w:t>
      </w:r>
      <w:r w:rsidR="009A6CA6" w:rsidRPr="0066777E">
        <w:rPr>
          <w:rFonts w:ascii="Palatino Linotype" w:eastAsia="Palatino Linotype" w:hAnsi="Palatino Linotype" w:cs="Palatino Linotype"/>
        </w:rPr>
        <w:t xml:space="preserve">. </w:t>
      </w:r>
      <w:r w:rsidR="008200F6" w:rsidRPr="0066777E">
        <w:rPr>
          <w:rFonts w:ascii="Palatino Linotype" w:eastAsia="Palatino Linotype" w:hAnsi="Palatino Linotype" w:cs="Palatino Linotype"/>
        </w:rPr>
        <w:t xml:space="preserve">De las constancias que obran en el expediente electrónico del SAIMEX se desprende que el </w:t>
      </w:r>
      <w:r w:rsidR="008200F6" w:rsidRPr="0066777E">
        <w:rPr>
          <w:rFonts w:ascii="Palatino Linotype" w:eastAsia="Palatino Linotype" w:hAnsi="Palatino Linotype" w:cs="Palatino Linotype"/>
          <w:b/>
        </w:rPr>
        <w:t>Sujeto Obligado</w:t>
      </w:r>
      <w:r w:rsidR="008200F6" w:rsidRPr="0066777E">
        <w:rPr>
          <w:rFonts w:ascii="Palatino Linotype" w:eastAsia="Palatino Linotype" w:hAnsi="Palatino Linotype" w:cs="Palatino Linotype"/>
        </w:rPr>
        <w:t xml:space="preserve"> no rindió su informe justificado, del mismo modo la parte </w:t>
      </w:r>
      <w:r w:rsidR="008200F6" w:rsidRPr="0066777E">
        <w:rPr>
          <w:rFonts w:ascii="Palatino Linotype" w:eastAsia="Palatino Linotype" w:hAnsi="Palatino Linotype" w:cs="Palatino Linotype"/>
          <w:b/>
        </w:rPr>
        <w:t>Recurrente</w:t>
      </w:r>
      <w:r w:rsidR="008200F6" w:rsidRPr="0066777E">
        <w:rPr>
          <w:rFonts w:ascii="Palatino Linotype" w:eastAsia="Palatino Linotype" w:hAnsi="Palatino Linotype" w:cs="Palatino Linotype"/>
        </w:rPr>
        <w:t xml:space="preserve"> omitió realizar manifestaciones, como se observa a continuación:</w:t>
      </w:r>
    </w:p>
    <w:p w14:paraId="663947DC" w14:textId="7BC27236" w:rsidR="007502EB" w:rsidRPr="0066777E" w:rsidRDefault="008200F6" w:rsidP="005B21CC">
      <w:pPr>
        <w:spacing w:before="240" w:after="240" w:line="360" w:lineRule="auto"/>
        <w:jc w:val="center"/>
        <w:rPr>
          <w:rFonts w:ascii="Palatino Linotype" w:eastAsia="Palatino Linotype" w:hAnsi="Palatino Linotype" w:cs="Palatino Linotype"/>
        </w:rPr>
      </w:pPr>
      <w:r w:rsidRPr="0066777E">
        <w:rPr>
          <w:rFonts w:ascii="Palatino Linotype" w:eastAsia="Palatino Linotype" w:hAnsi="Palatino Linotype" w:cs="Palatino Linotype"/>
          <w:noProof/>
        </w:rPr>
        <w:drawing>
          <wp:inline distT="0" distB="0" distL="0" distR="0" wp14:anchorId="56CC2477" wp14:editId="69EB1CF2">
            <wp:extent cx="5610225" cy="16287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628775"/>
                    </a:xfrm>
                    <a:prstGeom prst="rect">
                      <a:avLst/>
                    </a:prstGeom>
                    <a:noFill/>
                    <a:ln>
                      <a:noFill/>
                    </a:ln>
                  </pic:spPr>
                </pic:pic>
              </a:graphicData>
            </a:graphic>
          </wp:inline>
        </w:drawing>
      </w:r>
    </w:p>
    <w:p w14:paraId="4F01D30F" w14:textId="14B6F892" w:rsidR="008200F6" w:rsidRPr="0066777E" w:rsidRDefault="00357C57" w:rsidP="008200F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t>7</w:t>
      </w:r>
      <w:r w:rsidR="009A6CA6" w:rsidRPr="0066777E">
        <w:rPr>
          <w:rFonts w:ascii="Palatino Linotype" w:eastAsia="Palatino Linotype" w:hAnsi="Palatino Linotype" w:cs="Palatino Linotype"/>
          <w:b/>
        </w:rPr>
        <w:t xml:space="preserve">. </w:t>
      </w:r>
      <w:r w:rsidR="008200F6" w:rsidRPr="0066777E">
        <w:rPr>
          <w:rFonts w:ascii="Palatino Linotype" w:eastAsia="Palatino Linotype" w:hAnsi="Palatino Linotype" w:cs="Palatino Linotype"/>
          <w:b/>
        </w:rPr>
        <w:t xml:space="preserve">Cierre de instrucción. </w:t>
      </w:r>
      <w:r w:rsidR="008200F6" w:rsidRPr="0066777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200F6" w:rsidRPr="0066777E">
        <w:rPr>
          <w:rFonts w:ascii="Palatino Linotype" w:eastAsia="Palatino Linotype" w:hAnsi="Palatino Linotype" w:cs="Palatino Linotype"/>
          <w:b/>
        </w:rPr>
        <w:t>veintitrés de septiembre de dos mil veintidós</w:t>
      </w:r>
      <w:r w:rsidR="008200F6" w:rsidRPr="0066777E">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53D138A6" w14:textId="6D262474" w:rsidR="00213579" w:rsidRPr="0066777E" w:rsidRDefault="008200F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lastRenderedPageBreak/>
        <w:t xml:space="preserve">8. </w:t>
      </w:r>
      <w:r w:rsidR="009A6CA6" w:rsidRPr="0066777E">
        <w:rPr>
          <w:rFonts w:ascii="Palatino Linotype" w:eastAsia="Palatino Linotype" w:hAnsi="Palatino Linotype" w:cs="Palatino Linotype"/>
          <w:b/>
        </w:rPr>
        <w:t>Ampliación del término para resolver</w:t>
      </w:r>
      <w:r w:rsidR="009A6CA6" w:rsidRPr="0066777E">
        <w:rPr>
          <w:rFonts w:ascii="Palatino Linotype" w:eastAsia="Palatino Linotype" w:hAnsi="Palatino Linotype" w:cs="Palatino Linotype"/>
        </w:rPr>
        <w:t xml:space="preserve">. En fecha </w:t>
      </w:r>
      <w:r w:rsidR="00025BE0" w:rsidRPr="0066777E">
        <w:rPr>
          <w:rFonts w:ascii="Palatino Linotype" w:eastAsia="Palatino Linotype" w:hAnsi="Palatino Linotype" w:cs="Palatino Linotype"/>
          <w:b/>
        </w:rPr>
        <w:t>ocho de noviembre</w:t>
      </w:r>
      <w:r w:rsidR="009A6CA6" w:rsidRPr="0066777E">
        <w:rPr>
          <w:rFonts w:ascii="Palatino Linotype" w:eastAsia="Palatino Linotype" w:hAnsi="Palatino Linotype" w:cs="Palatino Linotype"/>
          <w:b/>
        </w:rPr>
        <w:t xml:space="preserve"> de dos mil veintidós</w:t>
      </w:r>
      <w:r w:rsidR="009A6CA6" w:rsidRPr="0066777E">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C771C56"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86D587"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FBA5E0D"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66777E">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5BB719E6"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A696C17" w14:textId="77777777" w:rsidR="00213579" w:rsidRPr="0066777E" w:rsidRDefault="009A6CA6">
      <w:pPr>
        <w:spacing w:before="240" w:after="240" w:line="360" w:lineRule="auto"/>
        <w:jc w:val="both"/>
        <w:rPr>
          <w:rFonts w:ascii="Palatino Linotype" w:eastAsia="Palatino Linotype" w:hAnsi="Palatino Linotype" w:cs="Palatino Linotype"/>
          <w:strike/>
        </w:rPr>
      </w:pPr>
      <w:r w:rsidRPr="0066777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9647889" w14:textId="77777777" w:rsidR="00213579" w:rsidRPr="0066777E" w:rsidRDefault="009A6CA6">
      <w:pPr>
        <w:numPr>
          <w:ilvl w:val="0"/>
          <w:numId w:val="1"/>
        </w:num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E70F2DD" w14:textId="77777777" w:rsidR="00213579" w:rsidRPr="0066777E" w:rsidRDefault="009A6CA6">
      <w:pPr>
        <w:numPr>
          <w:ilvl w:val="0"/>
          <w:numId w:val="1"/>
        </w:num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Actividad Procesal del interesado. Acciones u omisiones del interesado.</w:t>
      </w:r>
    </w:p>
    <w:p w14:paraId="4E21F2FC" w14:textId="77777777" w:rsidR="00213579" w:rsidRPr="0066777E" w:rsidRDefault="009A6CA6">
      <w:pPr>
        <w:numPr>
          <w:ilvl w:val="0"/>
          <w:numId w:val="1"/>
        </w:num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Conducta de la Autoridad: Las Acciones u omisiones realizadas en el procedimiento. Así como si la autoridad actuó con la debida diligencia.</w:t>
      </w:r>
    </w:p>
    <w:p w14:paraId="07737A34" w14:textId="77777777" w:rsidR="00213579" w:rsidRPr="0066777E" w:rsidRDefault="009A6CA6">
      <w:pPr>
        <w:spacing w:before="240" w:after="240" w:line="360" w:lineRule="auto"/>
        <w:ind w:left="567"/>
        <w:jc w:val="both"/>
        <w:rPr>
          <w:rFonts w:ascii="Palatino Linotype" w:eastAsia="Palatino Linotype" w:hAnsi="Palatino Linotype" w:cs="Palatino Linotype"/>
        </w:rPr>
      </w:pPr>
      <w:r w:rsidRPr="0066777E">
        <w:rPr>
          <w:rFonts w:ascii="Palatino Linotype" w:eastAsia="Palatino Linotype" w:hAnsi="Palatino Linotype" w:cs="Palatino Linotype"/>
        </w:rPr>
        <w:t>d) La afectación generada en la situación jurídica de la persona involucrada en el proceso: Violación a sus derechos humanos.</w:t>
      </w:r>
    </w:p>
    <w:p w14:paraId="7423C965"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F223DA" w14:textId="77777777" w:rsidR="00213579" w:rsidRPr="0066777E" w:rsidRDefault="009A6CA6">
      <w:pPr>
        <w:spacing w:before="240" w:after="240" w:line="360" w:lineRule="auto"/>
        <w:jc w:val="both"/>
        <w:rPr>
          <w:rFonts w:ascii="Palatino Linotype" w:eastAsia="Palatino Linotype" w:hAnsi="Palatino Linotype" w:cs="Palatino Linotype"/>
          <w:b/>
        </w:rPr>
      </w:pPr>
      <w:r w:rsidRPr="0066777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6777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6777E">
        <w:rPr>
          <w:rFonts w:ascii="Palatino Linotype" w:eastAsia="Palatino Linotype" w:hAnsi="Palatino Linotype" w:cs="Palatino Linotype"/>
        </w:rPr>
        <w:t>, visible en la Gaceta del Seminario Judicial de la Federación con el registro digital 205635.</w:t>
      </w:r>
    </w:p>
    <w:p w14:paraId="335614EC"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66777E">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086D7A74"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AFF6A03" w14:textId="77777777" w:rsidR="00213579" w:rsidRPr="0066777E" w:rsidRDefault="009A6CA6">
      <w:pPr>
        <w:spacing w:before="240" w:after="240"/>
        <w:ind w:left="851" w:right="902"/>
        <w:jc w:val="both"/>
        <w:rPr>
          <w:rFonts w:ascii="Palatino Linotype" w:eastAsia="Palatino Linotype" w:hAnsi="Palatino Linotype" w:cs="Palatino Linotype"/>
          <w:sz w:val="22"/>
          <w:szCs w:val="22"/>
        </w:rPr>
      </w:pPr>
      <w:r w:rsidRPr="0066777E">
        <w:rPr>
          <w:rFonts w:ascii="Palatino Linotype" w:eastAsia="Palatino Linotype" w:hAnsi="Palatino Linotype" w:cs="Palatino Linotype"/>
        </w:rPr>
        <w:t xml:space="preserve"> </w:t>
      </w:r>
      <w:r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b/>
          <w:i/>
          <w:sz w:val="22"/>
          <w:szCs w:val="22"/>
        </w:rPr>
        <w:t>PLAZO RAZONABLE PARA RESOLVER. DIMENSIÓN Y EFECTOS DE ESTE CONCEPTO CUANDO SE ADUCE EXCESIVA CARGA DE TRABAJO</w:t>
      </w:r>
      <w:r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sz w:val="22"/>
          <w:szCs w:val="22"/>
        </w:rPr>
        <w:t xml:space="preserve"> consultable en el Seminario Judicial de la Federación y su gaceta, con el registro digital 2002351.</w:t>
      </w:r>
    </w:p>
    <w:p w14:paraId="6392E5EE" w14:textId="77777777" w:rsidR="00213579" w:rsidRPr="0066777E" w:rsidRDefault="009A6CA6">
      <w:pPr>
        <w:spacing w:before="240" w:after="240"/>
        <w:ind w:left="851" w:right="902"/>
        <w:jc w:val="both"/>
        <w:rPr>
          <w:rFonts w:ascii="Palatino Linotype" w:eastAsia="Palatino Linotype" w:hAnsi="Palatino Linotype" w:cs="Palatino Linotype"/>
          <w:sz w:val="22"/>
          <w:szCs w:val="22"/>
        </w:rPr>
      </w:pPr>
      <w:r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sz w:val="22"/>
          <w:szCs w:val="22"/>
        </w:rPr>
        <w:t>, visible en el Seminario Judicial de la Federación y su gaceta, con el registro digital 2002350.</w:t>
      </w:r>
    </w:p>
    <w:p w14:paraId="2EE777EB" w14:textId="1A6C7CF0"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0F03849"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AABE7B1" w14:textId="77777777" w:rsidR="00213579" w:rsidRPr="0066777E" w:rsidRDefault="009A6CA6">
      <w:pPr>
        <w:widowControl w:val="0"/>
        <w:spacing w:before="240" w:after="240" w:line="360" w:lineRule="auto"/>
        <w:jc w:val="center"/>
        <w:rPr>
          <w:rFonts w:ascii="Palatino Linotype" w:eastAsia="Palatino Linotype" w:hAnsi="Palatino Linotype" w:cs="Palatino Linotype"/>
          <w:b/>
        </w:rPr>
      </w:pPr>
      <w:r w:rsidRPr="0066777E">
        <w:rPr>
          <w:rFonts w:ascii="Palatino Linotype" w:eastAsia="Palatino Linotype" w:hAnsi="Palatino Linotype" w:cs="Palatino Linotype"/>
          <w:b/>
        </w:rPr>
        <w:lastRenderedPageBreak/>
        <w:t>II. C O N S I D E R A N D O S</w:t>
      </w:r>
    </w:p>
    <w:p w14:paraId="4FE43A5B"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t>Primero. Competencia.</w:t>
      </w:r>
      <w:r w:rsidRPr="0066777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9F9E39" w14:textId="77777777" w:rsidR="00213579" w:rsidRPr="0066777E" w:rsidRDefault="009A6CA6">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66777E">
        <w:rPr>
          <w:rFonts w:ascii="Palatino Linotype" w:eastAsia="Palatino Linotype" w:hAnsi="Palatino Linotype" w:cs="Palatino Linotype"/>
          <w:b/>
        </w:rPr>
        <w:t>Segundo. Oportunidad y Procedibilidad del Recurso de Revisión</w:t>
      </w:r>
      <w:r w:rsidRPr="0066777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85B4BD" w14:textId="039697B2"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66777E">
        <w:rPr>
          <w:rFonts w:ascii="Palatino Linotype" w:eastAsia="Palatino Linotype" w:hAnsi="Palatino Linotype" w:cs="Palatino Linotype"/>
        </w:rPr>
        <w:lastRenderedPageBreak/>
        <w:t xml:space="preserve">Pública del Estado de México y Municipios, toda vez que el </w:t>
      </w:r>
      <w:r w:rsidRPr="0066777E">
        <w:rPr>
          <w:rFonts w:ascii="Palatino Linotype" w:eastAsia="Palatino Linotype" w:hAnsi="Palatino Linotype" w:cs="Palatino Linotype"/>
          <w:b/>
        </w:rPr>
        <w:t xml:space="preserve">Sujeto Obligado </w:t>
      </w:r>
      <w:r w:rsidRPr="0066777E">
        <w:rPr>
          <w:rFonts w:ascii="Palatino Linotype" w:eastAsia="Palatino Linotype" w:hAnsi="Palatino Linotype" w:cs="Palatino Linotype"/>
        </w:rPr>
        <w:t xml:space="preserve">remitió la respuesta a la solicitud de información el día </w:t>
      </w:r>
      <w:r w:rsidR="00A01072" w:rsidRPr="0066777E">
        <w:rPr>
          <w:rFonts w:ascii="Palatino Linotype" w:eastAsia="Palatino Linotype" w:hAnsi="Palatino Linotype" w:cs="Palatino Linotype"/>
          <w:b/>
        </w:rPr>
        <w:t>dos de septiembre</w:t>
      </w:r>
      <w:r w:rsidRPr="0066777E">
        <w:rPr>
          <w:rFonts w:ascii="Palatino Linotype" w:eastAsia="Palatino Linotype" w:hAnsi="Palatino Linotype" w:cs="Palatino Linotype"/>
          <w:b/>
        </w:rPr>
        <w:t xml:space="preserve"> de dos mil veintidós, </w:t>
      </w:r>
      <w:r w:rsidRPr="0066777E">
        <w:rPr>
          <w:rFonts w:ascii="Palatino Linotype" w:eastAsia="Palatino Linotype" w:hAnsi="Palatino Linotype" w:cs="Palatino Linotype"/>
        </w:rPr>
        <w:t xml:space="preserve">mientras que el recurso de revisión interpuesto por la parte </w:t>
      </w:r>
      <w:r w:rsidRPr="0066777E">
        <w:rPr>
          <w:rFonts w:ascii="Palatino Linotype" w:eastAsia="Palatino Linotype" w:hAnsi="Palatino Linotype" w:cs="Palatino Linotype"/>
          <w:b/>
        </w:rPr>
        <w:t>Recurrente</w:t>
      </w:r>
      <w:r w:rsidRPr="0066777E">
        <w:rPr>
          <w:rFonts w:ascii="Palatino Linotype" w:eastAsia="Palatino Linotype" w:hAnsi="Palatino Linotype" w:cs="Palatino Linotype"/>
        </w:rPr>
        <w:t xml:space="preserve">, se tuvo por presentado el día </w:t>
      </w:r>
      <w:r w:rsidR="00A01072" w:rsidRPr="0066777E">
        <w:rPr>
          <w:rFonts w:ascii="Palatino Linotype" w:eastAsia="Palatino Linotype" w:hAnsi="Palatino Linotype" w:cs="Palatino Linotype"/>
          <w:b/>
        </w:rPr>
        <w:t>cinco de septiembre</w:t>
      </w:r>
      <w:r w:rsidR="00B721A6" w:rsidRPr="0066777E">
        <w:rPr>
          <w:rFonts w:ascii="Palatino Linotype" w:eastAsia="Palatino Linotype" w:hAnsi="Palatino Linotype" w:cs="Palatino Linotype"/>
          <w:b/>
        </w:rPr>
        <w:t xml:space="preserve"> </w:t>
      </w:r>
      <w:r w:rsidRPr="0066777E">
        <w:rPr>
          <w:rFonts w:ascii="Palatino Linotype" w:eastAsia="Palatino Linotype" w:hAnsi="Palatino Linotype" w:cs="Palatino Linotype"/>
          <w:b/>
        </w:rPr>
        <w:t>de dos mil veintidós</w:t>
      </w:r>
      <w:r w:rsidRPr="0066777E">
        <w:rPr>
          <w:rFonts w:ascii="Palatino Linotype" w:eastAsia="Palatino Linotype" w:hAnsi="Palatino Linotype" w:cs="Palatino Linotype"/>
        </w:rPr>
        <w:t xml:space="preserve">, esto es, </w:t>
      </w:r>
      <w:r w:rsidR="00A01072" w:rsidRPr="0066777E">
        <w:rPr>
          <w:rFonts w:ascii="Palatino Linotype" w:eastAsia="Palatino Linotype" w:hAnsi="Palatino Linotype" w:cs="Palatino Linotype"/>
        </w:rPr>
        <w:t xml:space="preserve">al siguiente </w:t>
      </w:r>
      <w:r w:rsidRPr="0066777E">
        <w:rPr>
          <w:rFonts w:ascii="Palatino Linotype" w:eastAsia="Palatino Linotype" w:hAnsi="Palatino Linotype" w:cs="Palatino Linotype"/>
        </w:rPr>
        <w:t xml:space="preserve">día </w:t>
      </w:r>
      <w:r w:rsidR="00A01072" w:rsidRPr="0066777E">
        <w:rPr>
          <w:rFonts w:ascii="Palatino Linotype" w:eastAsia="Palatino Linotype" w:hAnsi="Palatino Linotype" w:cs="Palatino Linotype"/>
        </w:rPr>
        <w:t xml:space="preserve">hábil </w:t>
      </w:r>
      <w:r w:rsidRPr="0066777E">
        <w:rPr>
          <w:rFonts w:ascii="Palatino Linotype" w:eastAsia="Palatino Linotype" w:hAnsi="Palatino Linotype" w:cs="Palatino Linotype"/>
        </w:rPr>
        <w:t>en que tuvo conocimiento de la respuesta impugnada.</w:t>
      </w:r>
    </w:p>
    <w:p w14:paraId="4BCD77E3" w14:textId="77777777" w:rsidR="00213579" w:rsidRPr="0066777E" w:rsidRDefault="009A6CA6">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66777E">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A26AB4" w14:textId="2AFF4323" w:rsidR="00B721A6" w:rsidRPr="0066777E" w:rsidRDefault="00B721A6" w:rsidP="00B721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A efecto de sustentar lo anterior, es de suma importancia mencionar que si bien la persona solicitante </w:t>
      </w:r>
      <w:r w:rsidRPr="0066777E">
        <w:rPr>
          <w:rFonts w:ascii="Palatino Linotype" w:eastAsia="Palatino Linotype" w:hAnsi="Palatino Linotype" w:cs="Palatino Linotype"/>
          <w:b/>
        </w:rPr>
        <w:t xml:space="preserve">no proporcionó nombre, </w:t>
      </w:r>
      <w:r w:rsidRPr="0066777E">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BE4511C" w14:textId="77777777" w:rsidR="00B721A6" w:rsidRPr="0066777E" w:rsidRDefault="00B721A6" w:rsidP="00B721A6">
      <w:pPr>
        <w:spacing w:before="120" w:after="120"/>
        <w:ind w:left="851" w:right="902"/>
        <w:jc w:val="both"/>
        <w:rPr>
          <w:rFonts w:ascii="Palatino Linotype" w:eastAsia="Palatino Linotype" w:hAnsi="Palatino Linotype" w:cs="Palatino Linotype"/>
          <w:sz w:val="22"/>
          <w:szCs w:val="22"/>
        </w:rPr>
      </w:pPr>
      <w:r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b/>
          <w:i/>
          <w:sz w:val="22"/>
          <w:szCs w:val="22"/>
        </w:rPr>
        <w:t>Las solicitudes anónimas</w:t>
      </w:r>
      <w:r w:rsidRPr="0066777E">
        <w:rPr>
          <w:rFonts w:ascii="Palatino Linotype" w:eastAsia="Palatino Linotype" w:hAnsi="Palatino Linotype" w:cs="Palatino Linotype"/>
          <w:i/>
          <w:sz w:val="22"/>
          <w:szCs w:val="22"/>
        </w:rPr>
        <w:t xml:space="preserve">, con nombre incompleto o seudónimo </w:t>
      </w:r>
      <w:r w:rsidRPr="0066777E">
        <w:rPr>
          <w:rFonts w:ascii="Palatino Linotype" w:eastAsia="Palatino Linotype" w:hAnsi="Palatino Linotype" w:cs="Palatino Linotype"/>
          <w:b/>
          <w:i/>
          <w:sz w:val="22"/>
          <w:szCs w:val="22"/>
        </w:rPr>
        <w:t xml:space="preserve">serán procedentes para su trámite por parte del sujeto obligado ante quien se </w:t>
      </w:r>
      <w:r w:rsidRPr="0066777E">
        <w:rPr>
          <w:rFonts w:ascii="Palatino Linotype" w:eastAsia="Palatino Linotype" w:hAnsi="Palatino Linotype" w:cs="Palatino Linotype"/>
          <w:b/>
          <w:i/>
          <w:sz w:val="22"/>
          <w:szCs w:val="22"/>
        </w:rPr>
        <w:lastRenderedPageBreak/>
        <w:t>presente</w:t>
      </w:r>
      <w:r w:rsidRPr="0066777E">
        <w:rPr>
          <w:rFonts w:ascii="Palatino Linotype" w:eastAsia="Palatino Linotype" w:hAnsi="Palatino Linotype" w:cs="Palatino Linotype"/>
          <w:i/>
          <w:sz w:val="22"/>
          <w:szCs w:val="22"/>
        </w:rPr>
        <w:t>. No podrá requerirse información adicional con motivo del nombre proporcionado por el solicitante."</w:t>
      </w:r>
    </w:p>
    <w:p w14:paraId="41087138" w14:textId="77777777" w:rsidR="00B721A6" w:rsidRPr="0066777E" w:rsidRDefault="00B721A6" w:rsidP="00B721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66777E">
        <w:rPr>
          <w:rFonts w:ascii="Palatino Linotype" w:eastAsia="Palatino Linotype" w:hAnsi="Palatino Linotype" w:cs="Palatino Linotype"/>
          <w:b/>
        </w:rPr>
        <w:t>Recurrente</w:t>
      </w:r>
      <w:r w:rsidRPr="0066777E">
        <w:rPr>
          <w:rFonts w:ascii="Palatino Linotype" w:eastAsia="Palatino Linotype" w:hAnsi="Palatino Linotype" w:cs="Palatino Linotype"/>
        </w:rPr>
        <w:t>, por lo que, en el presente caso, al haber sido presentado el recurso de revisión vía SAIMEX, dicho requisito resulta innecesario.</w:t>
      </w:r>
    </w:p>
    <w:p w14:paraId="247D29DD" w14:textId="6D5D48DD"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Finalmente, se advierte que resulta procedente la interposición del recurso, según lo manifestado por la parte </w:t>
      </w:r>
      <w:r w:rsidRPr="0066777E">
        <w:rPr>
          <w:rFonts w:ascii="Palatino Linotype" w:eastAsia="Palatino Linotype" w:hAnsi="Palatino Linotype" w:cs="Palatino Linotype"/>
          <w:b/>
        </w:rPr>
        <w:t>Recurrente</w:t>
      </w:r>
      <w:r w:rsidRPr="0066777E">
        <w:rPr>
          <w:rFonts w:ascii="Palatino Linotype" w:eastAsia="Palatino Linotype" w:hAnsi="Palatino Linotype" w:cs="Palatino Linotype"/>
        </w:rPr>
        <w:t xml:space="preserve"> en sus motivos de inconformidad, de acuerdo al artículo 179, fracciones I y </w:t>
      </w:r>
      <w:r w:rsidR="00D95C0D" w:rsidRPr="0066777E">
        <w:rPr>
          <w:rFonts w:ascii="Palatino Linotype" w:eastAsia="Palatino Linotype" w:hAnsi="Palatino Linotype" w:cs="Palatino Linotype"/>
        </w:rPr>
        <w:t>II</w:t>
      </w:r>
      <w:r w:rsidRPr="0066777E">
        <w:rPr>
          <w:rFonts w:ascii="Palatino Linotype" w:eastAsia="Palatino Linotype" w:hAnsi="Palatino Linotype" w:cs="Palatino Linotype"/>
        </w:rPr>
        <w:t>I del ordenamiento legal citado, que a la letra dice: </w:t>
      </w:r>
    </w:p>
    <w:p w14:paraId="70BBDA6D" w14:textId="77777777" w:rsidR="00213579" w:rsidRPr="0066777E" w:rsidRDefault="009A6CA6">
      <w:pPr>
        <w:spacing w:before="120" w:after="120"/>
        <w:ind w:left="993"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b/>
          <w:i/>
          <w:sz w:val="22"/>
          <w:szCs w:val="22"/>
        </w:rPr>
        <w:t>Artículo 179.</w:t>
      </w:r>
      <w:r w:rsidRPr="0066777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1B76AF3" w14:textId="77777777" w:rsidR="00213579" w:rsidRPr="0066777E" w:rsidRDefault="009A6CA6">
      <w:pPr>
        <w:spacing w:before="120" w:after="120"/>
        <w:ind w:left="1134"/>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w:t>
      </w:r>
      <w:r w:rsidRPr="0066777E">
        <w:rPr>
          <w:rFonts w:ascii="Palatino Linotype" w:eastAsia="Palatino Linotype" w:hAnsi="Palatino Linotype" w:cs="Palatino Linotype"/>
          <w:i/>
          <w:sz w:val="22"/>
          <w:szCs w:val="22"/>
        </w:rPr>
        <w:t xml:space="preserve"> La negativa a la información solicitada;</w:t>
      </w:r>
    </w:p>
    <w:p w14:paraId="248EE716" w14:textId="77777777" w:rsidR="00213579" w:rsidRPr="0066777E" w:rsidRDefault="009A6CA6">
      <w:pPr>
        <w:spacing w:before="120" w:after="120"/>
        <w:ind w:left="1134"/>
        <w:rPr>
          <w:rFonts w:ascii="Palatino Linotype" w:eastAsia="Palatino Linotype" w:hAnsi="Palatino Linotype" w:cs="Palatino Linotype"/>
          <w:b/>
          <w:i/>
          <w:sz w:val="20"/>
          <w:szCs w:val="20"/>
        </w:rPr>
      </w:pPr>
      <w:r w:rsidRPr="0066777E">
        <w:rPr>
          <w:rFonts w:ascii="Palatino Linotype" w:eastAsia="Palatino Linotype" w:hAnsi="Palatino Linotype" w:cs="Palatino Linotype"/>
          <w:b/>
          <w:i/>
          <w:sz w:val="20"/>
          <w:szCs w:val="20"/>
        </w:rPr>
        <w:t>…</w:t>
      </w:r>
    </w:p>
    <w:p w14:paraId="194405BF" w14:textId="5D076120" w:rsidR="00213579" w:rsidRPr="0066777E" w:rsidRDefault="00D95C0D">
      <w:pPr>
        <w:spacing w:before="120" w:after="120"/>
        <w:ind w:left="1134"/>
        <w:rPr>
          <w:rFonts w:ascii="Palatino Linotype" w:eastAsia="Palatino Linotype" w:hAnsi="Palatino Linotype" w:cs="Palatino Linotype"/>
          <w:b/>
          <w:i/>
          <w:sz w:val="22"/>
          <w:szCs w:val="22"/>
        </w:rPr>
      </w:pPr>
      <w:r w:rsidRPr="0066777E">
        <w:rPr>
          <w:rFonts w:ascii="Palatino Linotype" w:eastAsia="Palatino Linotype" w:hAnsi="Palatino Linotype" w:cs="Palatino Linotype"/>
          <w:b/>
          <w:i/>
          <w:sz w:val="22"/>
          <w:szCs w:val="22"/>
        </w:rPr>
        <w:t xml:space="preserve">III. </w:t>
      </w:r>
      <w:r w:rsidRPr="0066777E">
        <w:rPr>
          <w:rFonts w:ascii="Palatino Linotype" w:eastAsia="Palatino Linotype" w:hAnsi="Palatino Linotype" w:cs="Palatino Linotype"/>
          <w:bCs/>
          <w:i/>
          <w:sz w:val="22"/>
          <w:szCs w:val="22"/>
        </w:rPr>
        <w:t>La declaración de inexistencia de la información</w:t>
      </w:r>
      <w:r w:rsidR="00B721A6" w:rsidRPr="0066777E">
        <w:rPr>
          <w:rFonts w:ascii="Palatino Linotype" w:eastAsia="Palatino Linotype" w:hAnsi="Palatino Linotype" w:cs="Palatino Linotype"/>
          <w:i/>
          <w:sz w:val="22"/>
          <w:szCs w:val="22"/>
        </w:rPr>
        <w:t>;”</w:t>
      </w:r>
    </w:p>
    <w:p w14:paraId="619D2030"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t xml:space="preserve">Tercero. Materia de la revisión. </w:t>
      </w:r>
      <w:r w:rsidRPr="0066777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6777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66777E">
        <w:rPr>
          <w:rFonts w:ascii="Palatino Linotype" w:eastAsia="Palatino Linotype" w:hAnsi="Palatino Linotype" w:cs="Palatino Linotype"/>
        </w:rPr>
        <w:t xml:space="preserve">de la parte </w:t>
      </w:r>
      <w:r w:rsidRPr="0066777E">
        <w:rPr>
          <w:rFonts w:ascii="Palatino Linotype" w:eastAsia="Palatino Linotype" w:hAnsi="Palatino Linotype" w:cs="Palatino Linotype"/>
          <w:b/>
        </w:rPr>
        <w:lastRenderedPageBreak/>
        <w:t>Recurrente</w:t>
      </w:r>
      <w:r w:rsidRPr="0066777E">
        <w:rPr>
          <w:rFonts w:ascii="Palatino Linotype" w:eastAsia="Palatino Linotype" w:hAnsi="Palatino Linotype" w:cs="Palatino Linotype"/>
        </w:rPr>
        <w:t>, o en su defecto, en caso de ser procedente, ordenar la entrega de información oportuna.</w:t>
      </w:r>
    </w:p>
    <w:p w14:paraId="63E8CD4B" w14:textId="77777777" w:rsidR="00213579" w:rsidRPr="0066777E" w:rsidRDefault="009A6CA6">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66777E">
        <w:rPr>
          <w:rFonts w:ascii="Palatino Linotype" w:eastAsia="Palatino Linotype" w:hAnsi="Palatino Linotype" w:cs="Palatino Linotype"/>
          <w:b/>
        </w:rPr>
        <w:t xml:space="preserve">Cuarto. Estudio del asunto. </w:t>
      </w:r>
      <w:r w:rsidRPr="0066777E">
        <w:rPr>
          <w:rFonts w:ascii="Palatino Linotype" w:eastAsia="Palatino Linotype" w:hAnsi="Palatino Linotype" w:cs="Palatino Linotype"/>
        </w:rPr>
        <w:t xml:space="preserve">Del análisis de la solicitud de información, motivo del recurso de revisión que ahora se resuelve se advierte que la parte </w:t>
      </w:r>
      <w:r w:rsidRPr="0066777E">
        <w:rPr>
          <w:rFonts w:ascii="Palatino Linotype" w:eastAsia="Palatino Linotype" w:hAnsi="Palatino Linotype" w:cs="Palatino Linotype"/>
          <w:b/>
        </w:rPr>
        <w:t>Recurrente</w:t>
      </w:r>
      <w:r w:rsidRPr="0066777E">
        <w:rPr>
          <w:rFonts w:ascii="Palatino Linotype" w:eastAsia="Palatino Linotype" w:hAnsi="Palatino Linotype" w:cs="Palatino Linotype"/>
        </w:rPr>
        <w:t xml:space="preserve"> requirió al </w:t>
      </w:r>
      <w:r w:rsidRPr="0066777E">
        <w:rPr>
          <w:rFonts w:ascii="Palatino Linotype" w:eastAsia="Palatino Linotype" w:hAnsi="Palatino Linotype" w:cs="Palatino Linotype"/>
          <w:b/>
        </w:rPr>
        <w:t xml:space="preserve">Sujeto Obligado </w:t>
      </w:r>
      <w:r w:rsidRPr="0066777E">
        <w:rPr>
          <w:rFonts w:ascii="Palatino Linotype" w:eastAsia="Palatino Linotype" w:hAnsi="Palatino Linotype" w:cs="Palatino Linotype"/>
        </w:rPr>
        <w:t>le proporcione, información consistente en lo siguiente:</w:t>
      </w:r>
    </w:p>
    <w:p w14:paraId="34D99993" w14:textId="31988829" w:rsidR="00BA3ED2" w:rsidRPr="0066777E" w:rsidRDefault="00BA3ED2" w:rsidP="00BA3ED2">
      <w:pPr>
        <w:spacing w:before="240" w:after="240" w:line="360" w:lineRule="auto"/>
        <w:ind w:left="284" w:right="49"/>
        <w:jc w:val="both"/>
        <w:rPr>
          <w:rFonts w:ascii="Palatino Linotype" w:eastAsia="Palatino Linotype" w:hAnsi="Palatino Linotype" w:cs="Palatino Linotype"/>
        </w:rPr>
      </w:pPr>
      <w:r w:rsidRPr="0066777E">
        <w:rPr>
          <w:rFonts w:ascii="Palatino Linotype" w:eastAsia="Palatino Linotype" w:hAnsi="Palatino Linotype" w:cs="Palatino Linotype"/>
        </w:rPr>
        <w:t>1. Todos los convenios realizados por parte del Organismo Público Descentralizado para la Prestación de Los Servicios de Agua Potable Alcantarillado y Saneamiento del Municipio de Naucalpan de Juárez con la Comisión del Agua del Estado de México</w:t>
      </w:r>
      <w:r w:rsidR="004127E0" w:rsidRPr="0066777E">
        <w:rPr>
          <w:rFonts w:ascii="Palatino Linotype" w:eastAsia="Palatino Linotype" w:hAnsi="Palatino Linotype" w:cs="Palatino Linotype"/>
        </w:rPr>
        <w:t>, CAEM</w:t>
      </w:r>
      <w:r w:rsidRPr="0066777E">
        <w:rPr>
          <w:rFonts w:ascii="Palatino Linotype" w:eastAsia="Palatino Linotype" w:hAnsi="Palatino Linotype" w:cs="Palatino Linotype"/>
        </w:rPr>
        <w:t>, desde los años 2020, 2021 hasta el ejercicio fiscal 2022.</w:t>
      </w:r>
    </w:p>
    <w:p w14:paraId="69880479" w14:textId="71972269" w:rsidR="002136C7" w:rsidRPr="0066777E" w:rsidRDefault="009A6CA6">
      <w:pPr>
        <w:spacing w:before="240" w:after="240" w:line="360" w:lineRule="auto"/>
        <w:ind w:right="49"/>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En respuesta, el </w:t>
      </w:r>
      <w:r w:rsidRPr="0066777E">
        <w:rPr>
          <w:rFonts w:ascii="Palatino Linotype" w:eastAsia="Palatino Linotype" w:hAnsi="Palatino Linotype" w:cs="Palatino Linotype"/>
          <w:b/>
        </w:rPr>
        <w:t>Sujeto Obligado</w:t>
      </w:r>
      <w:r w:rsidRPr="0066777E">
        <w:rPr>
          <w:rFonts w:ascii="Palatino Linotype" w:eastAsia="Palatino Linotype" w:hAnsi="Palatino Linotype" w:cs="Palatino Linotype"/>
        </w:rPr>
        <w:t xml:space="preserve">, a través de la Unidad de Transparencia, hizo del conocimiento de la persona solicitante </w:t>
      </w:r>
      <w:r w:rsidR="0063404D" w:rsidRPr="0066777E">
        <w:rPr>
          <w:rFonts w:ascii="Palatino Linotype" w:eastAsia="Palatino Linotype" w:hAnsi="Palatino Linotype" w:cs="Palatino Linotype"/>
        </w:rPr>
        <w:t>que</w:t>
      </w:r>
      <w:r w:rsidR="002136C7" w:rsidRPr="0066777E">
        <w:rPr>
          <w:rFonts w:ascii="Palatino Linotype" w:eastAsia="Palatino Linotype" w:hAnsi="Palatino Linotype" w:cs="Palatino Linotype"/>
        </w:rPr>
        <w:t xml:space="preserve"> derivado del análisis realizado </w:t>
      </w:r>
      <w:r w:rsidR="004127E0" w:rsidRPr="0066777E">
        <w:rPr>
          <w:rFonts w:ascii="Palatino Linotype" w:eastAsia="Palatino Linotype" w:hAnsi="Palatino Linotype" w:cs="Palatino Linotype"/>
        </w:rPr>
        <w:t xml:space="preserve">y una vez efectuado el proceso de consulta interna para la obtención de la información, no se encontró convenio celebrado con la Comisión del Agua del Estado de México durante los periodos referidos. </w:t>
      </w:r>
    </w:p>
    <w:p w14:paraId="4E2959DB" w14:textId="24580139" w:rsidR="007C4DB7" w:rsidRPr="0066777E" w:rsidRDefault="009A6CA6">
      <w:pPr>
        <w:spacing w:before="240" w:after="240" w:line="360" w:lineRule="auto"/>
        <w:ind w:right="49"/>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w:t>
      </w:r>
      <w:r w:rsidR="00D95C0D" w:rsidRPr="0066777E">
        <w:rPr>
          <w:rFonts w:ascii="Palatino Linotype" w:eastAsia="Palatino Linotype" w:hAnsi="Palatino Linotype" w:cs="Palatino Linotype"/>
        </w:rPr>
        <w:t xml:space="preserve">acto impugnado que </w:t>
      </w:r>
      <w:r w:rsidR="00C97DED" w:rsidRPr="0066777E">
        <w:rPr>
          <w:rFonts w:ascii="Palatino Linotype" w:eastAsia="Palatino Linotype" w:hAnsi="Palatino Linotype" w:cs="Palatino Linotype"/>
        </w:rPr>
        <w:t>no se anexó</w:t>
      </w:r>
      <w:r w:rsidR="007C4DB7" w:rsidRPr="0066777E">
        <w:rPr>
          <w:rFonts w:ascii="Palatino Linotype" w:eastAsia="Palatino Linotype" w:hAnsi="Palatino Linotype" w:cs="Palatino Linotype"/>
        </w:rPr>
        <w:t xml:space="preserve"> el acta del Comité de Transparencia en la que se determine la inexistencia de la información solicitada; </w:t>
      </w:r>
      <w:r w:rsidR="007C4DB7" w:rsidRPr="0066777E">
        <w:rPr>
          <w:rFonts w:ascii="Palatino Linotype" w:eastAsia="Palatino Linotype" w:hAnsi="Palatino Linotype" w:cs="Palatino Linotype"/>
        </w:rPr>
        <w:lastRenderedPageBreak/>
        <w:t>mientras que como motivos de inconformidad señaló que hubo un indebido proceso en generar la respuesta brindada.</w:t>
      </w:r>
    </w:p>
    <w:p w14:paraId="3154D93C" w14:textId="354567A5"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Por otro lado, una vez admitido el presente recurso de revisión, en términos del artículo 185 fracción II</w:t>
      </w:r>
      <w:r w:rsidRPr="0066777E">
        <w:rPr>
          <w:rFonts w:ascii="Palatino Linotype" w:eastAsia="Palatino Linotype" w:hAnsi="Palatino Linotype" w:cs="Palatino Linotype"/>
          <w:vertAlign w:val="superscript"/>
        </w:rPr>
        <w:footnoteReference w:id="1"/>
      </w:r>
      <w:r w:rsidRPr="0066777E">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r w:rsidR="00235429" w:rsidRPr="0066777E">
        <w:rPr>
          <w:rFonts w:ascii="Palatino Linotype" w:eastAsia="Palatino Linotype" w:hAnsi="Palatino Linotype" w:cs="Palatino Linotype"/>
        </w:rPr>
        <w:t>, siendo ambas partes omisas en ejercer dicha prerrogativa.</w:t>
      </w:r>
    </w:p>
    <w:p w14:paraId="7270AD52" w14:textId="77777777" w:rsidR="00213579" w:rsidRPr="0066777E" w:rsidRDefault="009A6CA6">
      <w:pPr>
        <w:spacing w:before="240" w:after="240" w:line="360" w:lineRule="auto"/>
        <w:ind w:right="51"/>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w:t>
      </w:r>
      <w:r w:rsidRPr="0066777E">
        <w:rPr>
          <w:rFonts w:ascii="Palatino Linotype" w:eastAsia="Palatino Linotype" w:hAnsi="Palatino Linotype" w:cs="Palatino Linotype"/>
        </w:rPr>
        <w:lastRenderedPageBreak/>
        <w:t>generada, obtenida, adquirida, transmitida, administrada o en posesión de los Sujetos Obligados es pública, y de manera excepcional puede ser clasificada.</w:t>
      </w:r>
    </w:p>
    <w:p w14:paraId="67B61E7E"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0BCC3C7" w14:textId="77777777" w:rsidR="00213579" w:rsidRPr="0066777E" w:rsidRDefault="009A6CA6">
      <w:pPr>
        <w:spacing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AF9ABB" w14:textId="77777777" w:rsidR="00213579" w:rsidRPr="0066777E" w:rsidRDefault="00213579">
      <w:pPr>
        <w:ind w:left="851" w:right="899"/>
        <w:jc w:val="both"/>
        <w:rPr>
          <w:rFonts w:ascii="Palatino Linotype" w:eastAsia="Palatino Linotype" w:hAnsi="Palatino Linotype" w:cs="Palatino Linotype"/>
          <w:i/>
        </w:rPr>
      </w:pPr>
    </w:p>
    <w:p w14:paraId="0FCFF84A" w14:textId="77777777" w:rsidR="00213579" w:rsidRPr="0066777E" w:rsidRDefault="009A6CA6">
      <w:pPr>
        <w:ind w:left="851" w:right="899"/>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b/>
          <w:i/>
          <w:sz w:val="22"/>
          <w:szCs w:val="22"/>
        </w:rPr>
        <w:t xml:space="preserve">Artículo 3. </w:t>
      </w:r>
      <w:r w:rsidRPr="0066777E">
        <w:rPr>
          <w:rFonts w:ascii="Palatino Linotype" w:eastAsia="Palatino Linotype" w:hAnsi="Palatino Linotype" w:cs="Palatino Linotype"/>
          <w:i/>
          <w:sz w:val="22"/>
          <w:szCs w:val="22"/>
        </w:rPr>
        <w:t>Para los efectos de la presente Ley se entenderá por:</w:t>
      </w:r>
    </w:p>
    <w:p w14:paraId="3874E834" w14:textId="77777777" w:rsidR="00213579" w:rsidRPr="0066777E" w:rsidRDefault="009A6CA6">
      <w:pPr>
        <w:ind w:left="1134" w:right="899"/>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w:t>
      </w:r>
    </w:p>
    <w:p w14:paraId="77FCEB01" w14:textId="77777777" w:rsidR="00213579" w:rsidRPr="0066777E" w:rsidRDefault="009A6CA6">
      <w:pPr>
        <w:ind w:left="1134" w:right="899"/>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lastRenderedPageBreak/>
        <w:t>XI. Documento:</w:t>
      </w:r>
      <w:r w:rsidRPr="0066777E">
        <w:rPr>
          <w:rFonts w:ascii="Palatino Linotype" w:eastAsia="Palatino Linotype" w:hAnsi="Palatino Linotype" w:cs="Palatino Linotype"/>
          <w:i/>
          <w:sz w:val="22"/>
          <w:szCs w:val="22"/>
        </w:rPr>
        <w:t xml:space="preserve"> Los expedientes, reportes, estudios, actas</w:t>
      </w:r>
      <w:r w:rsidRPr="0066777E">
        <w:rPr>
          <w:rFonts w:ascii="Palatino Linotype" w:eastAsia="Palatino Linotype" w:hAnsi="Palatino Linotype" w:cs="Palatino Linotype"/>
          <w:b/>
          <w:i/>
          <w:sz w:val="22"/>
          <w:szCs w:val="22"/>
        </w:rPr>
        <w:t>,</w:t>
      </w:r>
      <w:r w:rsidRPr="0066777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CD07695" w14:textId="77777777" w:rsidR="00213579" w:rsidRPr="0066777E" w:rsidRDefault="00213579">
      <w:pPr>
        <w:ind w:left="851" w:right="899"/>
        <w:jc w:val="both"/>
        <w:rPr>
          <w:rFonts w:ascii="Palatino Linotype" w:eastAsia="Palatino Linotype" w:hAnsi="Palatino Linotype" w:cs="Palatino Linotype"/>
          <w:sz w:val="22"/>
          <w:szCs w:val="22"/>
        </w:rPr>
      </w:pPr>
    </w:p>
    <w:p w14:paraId="2461F74A" w14:textId="77777777" w:rsidR="00213579" w:rsidRPr="0066777E" w:rsidRDefault="009A6CA6">
      <w:pPr>
        <w:spacing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589E75" w14:textId="77777777" w:rsidR="00213579" w:rsidRPr="0066777E" w:rsidRDefault="00213579">
      <w:pPr>
        <w:ind w:left="851" w:right="899"/>
        <w:jc w:val="both"/>
        <w:rPr>
          <w:rFonts w:ascii="Palatino Linotype" w:eastAsia="Palatino Linotype" w:hAnsi="Palatino Linotype" w:cs="Palatino Linotype"/>
        </w:rPr>
      </w:pPr>
    </w:p>
    <w:p w14:paraId="2BC3E0C5" w14:textId="77777777" w:rsidR="00213579" w:rsidRPr="0066777E" w:rsidRDefault="009A6CA6">
      <w:pPr>
        <w:ind w:left="851" w:right="899"/>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sz w:val="22"/>
          <w:szCs w:val="22"/>
        </w:rPr>
        <w:t>“</w:t>
      </w:r>
      <w:r w:rsidRPr="0066777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6777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92BF7C" w14:textId="77777777" w:rsidR="00213579" w:rsidRPr="0066777E" w:rsidRDefault="009A6CA6">
      <w:pPr>
        <w:ind w:left="851" w:right="899"/>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CC8AA53" w14:textId="77777777" w:rsidR="00213579" w:rsidRPr="0066777E" w:rsidRDefault="009A6CA6">
      <w:pPr>
        <w:ind w:left="1134" w:right="899"/>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93B076C" w14:textId="77777777" w:rsidR="00213579" w:rsidRPr="0066777E" w:rsidRDefault="009A6CA6">
      <w:pPr>
        <w:ind w:left="1134" w:right="899"/>
        <w:jc w:val="both"/>
        <w:rPr>
          <w:rFonts w:ascii="Palatino Linotype" w:eastAsia="Palatino Linotype" w:hAnsi="Palatino Linotype" w:cs="Palatino Linotype"/>
          <w:b/>
          <w:i/>
          <w:sz w:val="22"/>
          <w:szCs w:val="22"/>
        </w:rPr>
      </w:pPr>
      <w:r w:rsidRPr="0066777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89888D6" w14:textId="77777777" w:rsidR="00213579" w:rsidRPr="0066777E" w:rsidRDefault="009A6CA6">
      <w:pPr>
        <w:ind w:left="1134" w:right="899"/>
        <w:jc w:val="both"/>
        <w:rPr>
          <w:rFonts w:ascii="Palatino Linotype" w:eastAsia="Palatino Linotype" w:hAnsi="Palatino Linotype" w:cs="Palatino Linotype"/>
          <w:b/>
          <w:i/>
          <w:sz w:val="22"/>
          <w:szCs w:val="22"/>
        </w:rPr>
      </w:pPr>
      <w:r w:rsidRPr="0066777E">
        <w:rPr>
          <w:rFonts w:ascii="Palatino Linotype" w:eastAsia="Palatino Linotype" w:hAnsi="Palatino Linotype" w:cs="Palatino Linotype"/>
          <w:b/>
          <w:i/>
          <w:sz w:val="22"/>
          <w:szCs w:val="22"/>
        </w:rPr>
        <w:lastRenderedPageBreak/>
        <w:t xml:space="preserve">3) Que se trate de información registrada en cualquier soporte documental, que en ejercicio de las atribuciones conferidas, se encuentre en posesión de los Sujetos Obligados.” </w:t>
      </w:r>
    </w:p>
    <w:p w14:paraId="5EC641F9" w14:textId="77777777" w:rsidR="00213579" w:rsidRPr="0066777E" w:rsidRDefault="009A6CA6">
      <w:pPr>
        <w:spacing w:before="240" w:after="240" w:line="360" w:lineRule="auto"/>
        <w:ind w:right="51"/>
        <w:jc w:val="both"/>
        <w:rPr>
          <w:rFonts w:ascii="Palatino Linotype" w:eastAsia="Palatino Linotype" w:hAnsi="Palatino Linotype" w:cs="Palatino Linotype"/>
        </w:rPr>
      </w:pPr>
      <w:r w:rsidRPr="0066777E">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DDCB30"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66777E">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35C8F98F" w14:textId="77777777" w:rsidR="00213579" w:rsidRPr="0066777E" w:rsidRDefault="009A6CA6">
      <w:pPr>
        <w:spacing w:before="240" w:after="240" w:line="360" w:lineRule="auto"/>
        <w:ind w:right="49"/>
        <w:jc w:val="both"/>
        <w:rPr>
          <w:rFonts w:ascii="Palatino Linotype" w:eastAsia="Palatino Linotype" w:hAnsi="Palatino Linotype" w:cs="Palatino Linotype"/>
        </w:rPr>
      </w:pPr>
      <w:r w:rsidRPr="0066777E">
        <w:rPr>
          <w:rFonts w:ascii="Palatino Linotype" w:eastAsia="Palatino Linotype" w:hAnsi="Palatino Linotype" w:cs="Palatino Linotype"/>
        </w:rPr>
        <w:t>Asimismo, resulta de suma importancia invocar el contenido de los artículos 162, 163, 164 y 165 de la Ley de Transparencia y Acceso a la Información Pública del Estado de México y Municipios, que rezan así:</w:t>
      </w:r>
    </w:p>
    <w:p w14:paraId="7A1AA602" w14:textId="77777777" w:rsidR="00213579" w:rsidRPr="0066777E" w:rsidRDefault="009A6CA6">
      <w:pPr>
        <w:spacing w:after="120"/>
        <w:ind w:left="851" w:right="900"/>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“Artículo 162.</w:t>
      </w:r>
      <w:r w:rsidRPr="0066777E">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B5F8A5E" w14:textId="77777777" w:rsidR="00213579" w:rsidRPr="0066777E" w:rsidRDefault="009A6CA6">
      <w:pPr>
        <w:spacing w:after="120"/>
        <w:ind w:left="851" w:right="900"/>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Artículo 163.</w:t>
      </w:r>
      <w:r w:rsidRPr="0066777E">
        <w:rPr>
          <w:rFonts w:ascii="Palatino Linotype" w:eastAsia="Palatino Linotype" w:hAnsi="Palatino Linotype" w:cs="Palatino Linotype"/>
          <w:i/>
          <w:sz w:val="22"/>
          <w:szCs w:val="22"/>
        </w:rPr>
        <w:t xml:space="preserve"> La </w:t>
      </w:r>
      <w:r w:rsidRPr="0066777E">
        <w:rPr>
          <w:rFonts w:ascii="Palatino Linotype" w:eastAsia="Palatino Linotype" w:hAnsi="Palatino Linotype" w:cs="Palatino Linotype"/>
          <w:b/>
          <w:i/>
          <w:sz w:val="22"/>
          <w:szCs w:val="22"/>
        </w:rPr>
        <w:t>Unidad de Transparencia deberá notificar la respuesta a la solicitud al interesado en el menor tiempo posible</w:t>
      </w:r>
      <w:r w:rsidRPr="0066777E">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4B4C2ADD" w14:textId="77777777" w:rsidR="00213579" w:rsidRPr="0066777E" w:rsidRDefault="009A6CA6">
      <w:pPr>
        <w:spacing w:after="120"/>
        <w:ind w:left="851" w:right="900"/>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4153DB9" w14:textId="77777777" w:rsidR="00213579" w:rsidRPr="0066777E" w:rsidRDefault="009A6CA6">
      <w:pPr>
        <w:spacing w:after="120"/>
        <w:ind w:left="851" w:right="900"/>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Artículo 164.</w:t>
      </w:r>
      <w:r w:rsidRPr="0066777E">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DEDA916" w14:textId="77777777" w:rsidR="00213579" w:rsidRPr="0066777E" w:rsidRDefault="009A6CA6">
      <w:pPr>
        <w:spacing w:after="120"/>
        <w:ind w:left="851" w:right="900"/>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 xml:space="preserve">En cualquier caso, se deberá fundar y motivar la necesidad de ofrecer otras modalidades.  </w:t>
      </w:r>
    </w:p>
    <w:p w14:paraId="217CAAC1" w14:textId="77777777" w:rsidR="00213579" w:rsidRPr="0066777E" w:rsidRDefault="009A6CA6">
      <w:pPr>
        <w:spacing w:after="120"/>
        <w:ind w:left="851" w:right="900"/>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lastRenderedPageBreak/>
        <w:t>Artículo 165.</w:t>
      </w:r>
      <w:r w:rsidRPr="0066777E">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46AF6808" w14:textId="77777777" w:rsidR="00213579" w:rsidRPr="0066777E" w:rsidRDefault="009A6CA6">
      <w:pPr>
        <w:spacing w:before="240" w:after="240" w:line="360" w:lineRule="auto"/>
        <w:ind w:right="49"/>
        <w:jc w:val="both"/>
        <w:rPr>
          <w:rFonts w:ascii="Palatino Linotype" w:eastAsia="Palatino Linotype" w:hAnsi="Palatino Linotype" w:cs="Palatino Linotype"/>
        </w:rPr>
      </w:pPr>
      <w:r w:rsidRPr="0066777E">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5236E468" w14:textId="5BFAB54D" w:rsidR="00213579" w:rsidRPr="0066777E" w:rsidRDefault="009A6CA6">
      <w:pPr>
        <w:spacing w:before="240" w:after="240" w:line="360" w:lineRule="auto"/>
        <w:ind w:right="49"/>
        <w:jc w:val="both"/>
        <w:rPr>
          <w:rFonts w:ascii="Palatino Linotype" w:eastAsia="Palatino Linotype" w:hAnsi="Palatino Linotype" w:cs="Palatino Linotype"/>
        </w:rPr>
      </w:pPr>
      <w:r w:rsidRPr="0066777E">
        <w:rPr>
          <w:rFonts w:ascii="Palatino Linotype" w:eastAsia="Palatino Linotype" w:hAnsi="Palatino Linotype" w:cs="Palatino Linotype"/>
        </w:rPr>
        <w:t>Siendo la Unidad de Transparencia la responsable de hacer las notificaciones correspond</w:t>
      </w:r>
      <w:r w:rsidR="00FC4541" w:rsidRPr="0066777E">
        <w:rPr>
          <w:rFonts w:ascii="Palatino Linotype" w:eastAsia="Palatino Linotype" w:hAnsi="Palatino Linotype" w:cs="Palatino Linotype"/>
        </w:rPr>
        <w:t xml:space="preserve">ientes, además de llevar a cabo </w:t>
      </w:r>
      <w:r w:rsidRPr="0066777E">
        <w:rPr>
          <w:rFonts w:ascii="Palatino Linotype" w:eastAsia="Palatino Linotype" w:hAnsi="Palatino Linotype" w:cs="Palatino Linotype"/>
        </w:rPr>
        <w:t>todas las gestiones necesarias para facilitar el acceso a la información; así la respuesta deberá ser notificada al interesado en el menor tiempo posible, que no podrá exceder de quince días hábiles, contados a partir de la presentación de la solicitud.</w:t>
      </w:r>
    </w:p>
    <w:p w14:paraId="3653FC00" w14:textId="32E54BC8" w:rsidR="00057813"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En el caso concreto,</w:t>
      </w:r>
      <w:r w:rsidR="00057813" w:rsidRPr="0066777E">
        <w:rPr>
          <w:rFonts w:ascii="Palatino Linotype" w:eastAsia="Palatino Linotype" w:hAnsi="Palatino Linotype" w:cs="Palatino Linotype"/>
        </w:rPr>
        <w:t xml:space="preserve"> derivado de las constancias que obran en el expediente electrónico en el que se actúa, no se advierte que la Unidad de Transparencia hubiera turnado la solicitud de información a las áreas competentes, sino que de </w:t>
      </w:r>
      <w:r w:rsidR="00057813" w:rsidRPr="0066777E">
        <w:rPr>
          <w:rFonts w:ascii="Palatino Linotype" w:eastAsia="Palatino Linotype" w:hAnsi="Palatino Linotype" w:cs="Palatino Linotype"/>
          <w:i/>
        </w:rPr>
        <w:t>motu propio</w:t>
      </w:r>
      <w:r w:rsidR="00057813" w:rsidRPr="0066777E">
        <w:rPr>
          <w:rFonts w:ascii="Palatino Linotype" w:eastAsia="Palatino Linotype" w:hAnsi="Palatino Linotype" w:cs="Palatino Linotype"/>
        </w:rPr>
        <w:t xml:space="preserve"> </w:t>
      </w:r>
      <w:r w:rsidR="000260CF" w:rsidRPr="0066777E">
        <w:rPr>
          <w:rFonts w:ascii="Palatino Linotype" w:eastAsia="Palatino Linotype" w:hAnsi="Palatino Linotype" w:cs="Palatino Linotype"/>
        </w:rPr>
        <w:t xml:space="preserve">atendió la solicitud, </w:t>
      </w:r>
      <w:r w:rsidR="00057813" w:rsidRPr="0066777E">
        <w:rPr>
          <w:rFonts w:ascii="Palatino Linotype" w:eastAsia="Palatino Linotype" w:hAnsi="Palatino Linotype" w:cs="Palatino Linotype"/>
        </w:rPr>
        <w:t>como se muestra a continuación:</w:t>
      </w:r>
    </w:p>
    <w:p w14:paraId="1C3DE938" w14:textId="77777777" w:rsidR="00BB2D42" w:rsidRPr="0066777E" w:rsidRDefault="00BB2D42" w:rsidP="000260C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noProof/>
        </w:rPr>
        <w:drawing>
          <wp:inline distT="0" distB="0" distL="0" distR="0" wp14:anchorId="51CF7B03" wp14:editId="463BE638">
            <wp:extent cx="5610225" cy="10001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000125"/>
                    </a:xfrm>
                    <a:prstGeom prst="rect">
                      <a:avLst/>
                    </a:prstGeom>
                    <a:noFill/>
                    <a:ln>
                      <a:noFill/>
                    </a:ln>
                  </pic:spPr>
                </pic:pic>
              </a:graphicData>
            </a:graphic>
          </wp:inline>
        </w:drawing>
      </w:r>
    </w:p>
    <w:p w14:paraId="4FDA594D" w14:textId="1CEC5678" w:rsidR="000260CF" w:rsidRPr="0066777E" w:rsidRDefault="000260CF" w:rsidP="000260C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lastRenderedPageBreak/>
        <w:t>En tal sentido, se advierte que la Unidad de Transparencia no realizó con efectividad el procedimiento previsto en los artículos</w:t>
      </w:r>
      <w:r w:rsidRPr="0066777E">
        <w:rPr>
          <w:rFonts w:ascii="Palatino Linotype" w:hAnsi="Palatino Linotype"/>
        </w:rPr>
        <w:t xml:space="preserve"> 53</w:t>
      </w:r>
      <w:r w:rsidRPr="0066777E">
        <w:rPr>
          <w:rStyle w:val="Refdenotaalpie"/>
          <w:rFonts w:ascii="Palatino Linotype" w:hAnsi="Palatino Linotype"/>
        </w:rPr>
        <w:footnoteReference w:id="2"/>
      </w:r>
      <w:r w:rsidRPr="0066777E">
        <w:rPr>
          <w:rFonts w:ascii="Palatino Linotype" w:hAnsi="Palatino Linotype"/>
        </w:rPr>
        <w:t xml:space="preserve"> fracciones II y IV y  162</w:t>
      </w:r>
      <w:r w:rsidRPr="0066777E">
        <w:rPr>
          <w:rStyle w:val="Refdenotaalpie"/>
          <w:rFonts w:ascii="Palatino Linotype" w:hAnsi="Palatino Linotype"/>
        </w:rPr>
        <w:footnoteReference w:id="3"/>
      </w:r>
      <w:r w:rsidRPr="0066777E">
        <w:rPr>
          <w:rFonts w:ascii="Palatino Linotype" w:hAnsi="Palatino Linotype"/>
        </w:rPr>
        <w:t xml:space="preserve"> de la Ley de la Materia, siendo importante reiterar que </w:t>
      </w:r>
      <w:r w:rsidRPr="0066777E">
        <w:rPr>
          <w:rFonts w:ascii="Palatino Linotype" w:eastAsia="Palatino Linotype" w:hAnsi="Palatino Linotype" w:cs="Palatino Linotype"/>
        </w:rPr>
        <w:t>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6A0C28E" w14:textId="368EA3F9" w:rsidR="000260CF" w:rsidRPr="0066777E" w:rsidRDefault="000260CF" w:rsidP="000260CF">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De tal manera que, si bien </w:t>
      </w:r>
      <w:r w:rsidR="00BB2D42" w:rsidRPr="0066777E">
        <w:rPr>
          <w:rFonts w:ascii="Palatino Linotype" w:eastAsia="Palatino Linotype" w:hAnsi="Palatino Linotype" w:cs="Palatino Linotype"/>
        </w:rPr>
        <w:t>la</w:t>
      </w:r>
      <w:r w:rsidRPr="0066777E">
        <w:rPr>
          <w:rFonts w:ascii="Palatino Linotype" w:eastAsia="Palatino Linotype" w:hAnsi="Palatino Linotype" w:cs="Palatino Linotype"/>
        </w:rPr>
        <w:t xml:space="preserve"> Unidad de Transparencia no tiene bajo su resguardo el archivo que contiene la documentación en donde consta la información hoy solicitada, esta puede obrar en las distintas áreas que conforman la estructura orgánica del Sujeto Obligado, es por ello que debe turnar la solicitud al servidor público habilitado que tiene bajo su resguardo la misma. </w:t>
      </w:r>
    </w:p>
    <w:p w14:paraId="30814B7A" w14:textId="77777777" w:rsidR="000260CF" w:rsidRPr="0066777E" w:rsidRDefault="000260CF" w:rsidP="000260C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Por su parte, de conformidad con el artículo 59</w:t>
      </w:r>
      <w:r w:rsidRPr="0066777E">
        <w:rPr>
          <w:rFonts w:ascii="Palatino Linotype" w:eastAsia="Palatino Linotype" w:hAnsi="Palatino Linotype" w:cs="Palatino Linotype"/>
          <w:vertAlign w:val="superscript"/>
        </w:rPr>
        <w:footnoteReference w:id="4"/>
      </w:r>
      <w:r w:rsidRPr="0066777E">
        <w:rPr>
          <w:rFonts w:ascii="Palatino Linotype" w:eastAsia="Palatino Linotype" w:hAnsi="Palatino Linotype" w:cs="Palatino Linotype"/>
        </w:rPr>
        <w:t xml:space="preserve"> de la Ley de la materia, los servidores públicos habilitados tienen como función, buscar, localizar y en su caso entregar la información solicitada.</w:t>
      </w:r>
    </w:p>
    <w:p w14:paraId="6054846C" w14:textId="644B090B" w:rsidR="000260CF" w:rsidRPr="0066777E" w:rsidRDefault="000260CF" w:rsidP="000260C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lastRenderedPageBreak/>
        <w:t>De lo manifestado con antelación se advierte que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toda vez que en las constancias que obran en el expediente electrónico, no hay registro de que la solicitud se hubiera turnad</w:t>
      </w:r>
      <w:r w:rsidR="00BB2D42" w:rsidRPr="0066777E">
        <w:rPr>
          <w:rFonts w:ascii="Palatino Linotype" w:eastAsia="Palatino Linotype" w:hAnsi="Palatino Linotype" w:cs="Palatino Linotype"/>
        </w:rPr>
        <w:t>a</w:t>
      </w:r>
      <w:r w:rsidRPr="0066777E">
        <w:rPr>
          <w:rFonts w:ascii="Palatino Linotype" w:eastAsia="Palatino Linotype" w:hAnsi="Palatino Linotype" w:cs="Palatino Linotype"/>
        </w:rPr>
        <w:t xml:space="preserve"> para su atención a las áreas competentes, como pudiera ser</w:t>
      </w:r>
      <w:r w:rsidR="00BB2D42" w:rsidRPr="0066777E">
        <w:rPr>
          <w:rFonts w:ascii="Palatino Linotype" w:eastAsia="Palatino Linotype" w:hAnsi="Palatino Linotype" w:cs="Palatino Linotype"/>
        </w:rPr>
        <w:t xml:space="preserve"> la Dirección General</w:t>
      </w:r>
      <w:r w:rsidR="003F102A" w:rsidRPr="0066777E">
        <w:rPr>
          <w:rFonts w:ascii="Palatino Linotype" w:eastAsia="Palatino Linotype" w:hAnsi="Palatino Linotype" w:cs="Palatino Linotype"/>
        </w:rPr>
        <w:t>;</w:t>
      </w:r>
      <w:r w:rsidR="00BB2D42" w:rsidRPr="0066777E">
        <w:rPr>
          <w:rFonts w:ascii="Palatino Linotype" w:eastAsia="Palatino Linotype" w:hAnsi="Palatino Linotype" w:cs="Palatino Linotype"/>
        </w:rPr>
        <w:t xml:space="preserve"> </w:t>
      </w:r>
      <w:r w:rsidR="003F102A" w:rsidRPr="0066777E">
        <w:rPr>
          <w:rFonts w:ascii="Palatino Linotype" w:eastAsia="Palatino Linotype" w:hAnsi="Palatino Linotype" w:cs="Palatino Linotype"/>
        </w:rPr>
        <w:t>la Dirección de Administración y Finanzas, a través de la Gerencia de Finanzas, la Dirección de Construcción y Operación Hidráulica, a través de la Gerencia de Operación Hidráulica, Subgerencia de Agua Potabl</w:t>
      </w:r>
      <w:r w:rsidR="00924B92" w:rsidRPr="0066777E">
        <w:rPr>
          <w:rFonts w:ascii="Palatino Linotype" w:eastAsia="Palatino Linotype" w:hAnsi="Palatino Linotype" w:cs="Palatino Linotype"/>
        </w:rPr>
        <w:t>e.</w:t>
      </w:r>
    </w:p>
    <w:p w14:paraId="685C036D" w14:textId="1DD50AE9" w:rsidR="00924B92" w:rsidRPr="0066777E" w:rsidRDefault="000A5F2C" w:rsidP="000260CF">
      <w:pPr>
        <w:pBdr>
          <w:top w:val="nil"/>
          <w:left w:val="nil"/>
          <w:bottom w:val="nil"/>
          <w:right w:val="nil"/>
          <w:between w:val="nil"/>
        </w:pBdr>
        <w:spacing w:before="280" w:after="280" w:line="360" w:lineRule="auto"/>
        <w:jc w:val="both"/>
        <w:rPr>
          <w:rFonts w:ascii="Palatino Linotype" w:hAnsi="Palatino Linotype"/>
        </w:rPr>
      </w:pPr>
      <w:r w:rsidRPr="0066777E">
        <w:rPr>
          <w:rFonts w:ascii="Palatino Linotype" w:eastAsia="Palatino Linotype" w:hAnsi="Palatino Linotype" w:cs="Palatino Linotype"/>
        </w:rPr>
        <w:t>A efecto de sustentar lo anterior,</w:t>
      </w:r>
      <w:r w:rsidR="00924B92" w:rsidRPr="0066777E">
        <w:rPr>
          <w:rFonts w:ascii="Palatino Linotype" w:eastAsia="Palatino Linotype" w:hAnsi="Palatino Linotype" w:cs="Palatino Linotype"/>
        </w:rPr>
        <w:t xml:space="preserve"> resultan aplicables los artículos 25</w:t>
      </w:r>
      <w:r w:rsidR="00447520" w:rsidRPr="0066777E">
        <w:rPr>
          <w:rFonts w:ascii="Palatino Linotype" w:eastAsia="Palatino Linotype" w:hAnsi="Palatino Linotype" w:cs="Palatino Linotype"/>
        </w:rPr>
        <w:t xml:space="preserve"> y</w:t>
      </w:r>
      <w:r w:rsidR="00924B92" w:rsidRPr="0066777E">
        <w:rPr>
          <w:rFonts w:ascii="Palatino Linotype" w:eastAsia="Palatino Linotype" w:hAnsi="Palatino Linotype" w:cs="Palatino Linotype"/>
        </w:rPr>
        <w:t xml:space="preserve"> 28</w:t>
      </w:r>
      <w:r w:rsidR="00447520" w:rsidRPr="0066777E">
        <w:rPr>
          <w:rFonts w:ascii="Palatino Linotype" w:eastAsia="Palatino Linotype" w:hAnsi="Palatino Linotype" w:cs="Palatino Linotype"/>
        </w:rPr>
        <w:t xml:space="preserve"> </w:t>
      </w:r>
      <w:r w:rsidR="00744B65" w:rsidRPr="0066777E">
        <w:rPr>
          <w:rFonts w:ascii="Palatino Linotype" w:eastAsia="Palatino Linotype" w:hAnsi="Palatino Linotype" w:cs="Palatino Linotype"/>
        </w:rPr>
        <w:t>del Reglamento del Organismo P</w:t>
      </w:r>
      <w:r w:rsidR="00FC4541" w:rsidRPr="0066777E">
        <w:rPr>
          <w:rFonts w:ascii="Palatino Linotype" w:eastAsia="Palatino Linotype" w:hAnsi="Palatino Linotype" w:cs="Palatino Linotype"/>
        </w:rPr>
        <w:t>úblico Descentralizado para la Prestación de los servicios de A</w:t>
      </w:r>
      <w:r w:rsidR="00744B65" w:rsidRPr="0066777E">
        <w:rPr>
          <w:rFonts w:ascii="Palatino Linotype" w:eastAsia="Palatino Linotype" w:hAnsi="Palatino Linotype" w:cs="Palatino Linotype"/>
        </w:rPr>
        <w:t>gua potable,</w:t>
      </w:r>
      <w:r w:rsidR="00AD2AF4" w:rsidRPr="0066777E">
        <w:rPr>
          <w:rFonts w:ascii="Palatino Linotype" w:eastAsia="Palatino Linotype" w:hAnsi="Palatino Linotype" w:cs="Palatino Linotype"/>
        </w:rPr>
        <w:t xml:space="preserve"> </w:t>
      </w:r>
      <w:r w:rsidR="00FC4541" w:rsidRPr="0066777E">
        <w:rPr>
          <w:rFonts w:ascii="Palatino Linotype" w:eastAsia="Palatino Linotype" w:hAnsi="Palatino Linotype" w:cs="Palatino Linotype"/>
        </w:rPr>
        <w:t>A</w:t>
      </w:r>
      <w:r w:rsidR="00924B92" w:rsidRPr="0066777E">
        <w:rPr>
          <w:rFonts w:ascii="Palatino Linotype" w:hAnsi="Palatino Linotype"/>
        </w:rPr>
        <w:t xml:space="preserve">lcantarillado y </w:t>
      </w:r>
      <w:r w:rsidR="00FC4541" w:rsidRPr="0066777E">
        <w:rPr>
          <w:rFonts w:ascii="Palatino Linotype" w:hAnsi="Palatino Linotype"/>
        </w:rPr>
        <w:t>S</w:t>
      </w:r>
      <w:r w:rsidR="00924B92" w:rsidRPr="0066777E">
        <w:rPr>
          <w:rFonts w:ascii="Palatino Linotype" w:hAnsi="Palatino Linotype"/>
        </w:rPr>
        <w:t xml:space="preserve">aneamiento del municipio de </w:t>
      </w:r>
      <w:r w:rsidR="00744B65" w:rsidRPr="0066777E">
        <w:rPr>
          <w:rFonts w:ascii="Palatino Linotype" w:hAnsi="Palatino Linotype"/>
        </w:rPr>
        <w:t>Naucalpan, que en su parte conducente señalan lo siguiente:</w:t>
      </w:r>
    </w:p>
    <w:p w14:paraId="54DC44D3" w14:textId="61695051" w:rsidR="00AD2AF4" w:rsidRPr="0066777E" w:rsidRDefault="00AD2AF4" w:rsidP="00AD2AF4">
      <w:pPr>
        <w:ind w:left="851" w:right="900"/>
        <w:jc w:val="both"/>
        <w:rPr>
          <w:rFonts w:ascii="Palatino Linotype" w:hAnsi="Palatino Linotype"/>
          <w:i/>
          <w:iCs/>
          <w:sz w:val="22"/>
          <w:szCs w:val="22"/>
        </w:rPr>
      </w:pPr>
      <w:r w:rsidRPr="0066777E">
        <w:rPr>
          <w:rFonts w:ascii="Palatino Linotype" w:hAnsi="Palatino Linotype"/>
          <w:i/>
          <w:iCs/>
          <w:sz w:val="22"/>
          <w:szCs w:val="22"/>
        </w:rPr>
        <w:lastRenderedPageBreak/>
        <w:t>“</w:t>
      </w:r>
      <w:r w:rsidRPr="0066777E">
        <w:rPr>
          <w:rFonts w:ascii="Palatino Linotype" w:hAnsi="Palatino Linotype"/>
          <w:b/>
          <w:bCs/>
          <w:i/>
          <w:iCs/>
          <w:sz w:val="22"/>
          <w:szCs w:val="22"/>
        </w:rPr>
        <w:t>Artículo 25</w:t>
      </w:r>
      <w:r w:rsidRPr="0066777E">
        <w:rPr>
          <w:rFonts w:ascii="Palatino Linotype" w:hAnsi="Palatino Linotype"/>
          <w:i/>
          <w:iCs/>
          <w:sz w:val="22"/>
          <w:szCs w:val="22"/>
        </w:rPr>
        <w:t xml:space="preserve">.- La Dirección General del Organismo y/o O.A.P.A.S., estará a cargo de un titular, a quien se le </w:t>
      </w:r>
      <w:r w:rsidRPr="0066777E">
        <w:rPr>
          <w:rFonts w:ascii="Palatino Linotype" w:hAnsi="Palatino Linotype"/>
          <w:b/>
          <w:bCs/>
          <w:i/>
          <w:iCs/>
          <w:sz w:val="22"/>
          <w:szCs w:val="22"/>
        </w:rPr>
        <w:t>denominará Director</w:t>
      </w:r>
      <w:r w:rsidR="00447520" w:rsidRPr="0066777E">
        <w:rPr>
          <w:rFonts w:ascii="Palatino Linotype" w:hAnsi="Palatino Linotype"/>
          <w:b/>
          <w:bCs/>
          <w:i/>
          <w:iCs/>
          <w:sz w:val="22"/>
          <w:szCs w:val="22"/>
        </w:rPr>
        <w:t xml:space="preserve"> </w:t>
      </w:r>
      <w:r w:rsidRPr="0066777E">
        <w:rPr>
          <w:rFonts w:ascii="Palatino Linotype" w:hAnsi="Palatino Linotype"/>
          <w:b/>
          <w:bCs/>
          <w:i/>
          <w:iCs/>
          <w:sz w:val="22"/>
          <w:szCs w:val="22"/>
        </w:rPr>
        <w:t>General o Directora General,</w:t>
      </w:r>
      <w:r w:rsidRPr="0066777E">
        <w:rPr>
          <w:rFonts w:ascii="Palatino Linotype" w:hAnsi="Palatino Linotype"/>
          <w:i/>
          <w:iCs/>
          <w:sz w:val="22"/>
          <w:szCs w:val="22"/>
        </w:rPr>
        <w:t xml:space="preserve"> según sea el caso, y será nombrado por el Ayuntamiento a propuesta del Presidente Municipal; quien para el desempeño de sus funciones tendrá las siguientes atribuciones:</w:t>
      </w:r>
    </w:p>
    <w:p w14:paraId="214931AA" w14:textId="77777777" w:rsidR="00AD2AF4" w:rsidRPr="0066777E" w:rsidRDefault="00AD2AF4" w:rsidP="00AD2AF4">
      <w:pPr>
        <w:ind w:left="1134" w:right="900"/>
        <w:jc w:val="both"/>
        <w:rPr>
          <w:rFonts w:ascii="Palatino Linotype" w:hAnsi="Palatino Linotype"/>
          <w:i/>
          <w:iCs/>
          <w:sz w:val="22"/>
          <w:szCs w:val="22"/>
        </w:rPr>
      </w:pPr>
      <w:r w:rsidRPr="0066777E">
        <w:rPr>
          <w:rFonts w:ascii="Palatino Linotype" w:hAnsi="Palatino Linotype"/>
          <w:i/>
          <w:iCs/>
          <w:sz w:val="22"/>
          <w:szCs w:val="22"/>
        </w:rPr>
        <w:t>...</w:t>
      </w:r>
    </w:p>
    <w:p w14:paraId="1EC9280E" w14:textId="77777777" w:rsidR="00AD2AF4" w:rsidRPr="0066777E" w:rsidRDefault="00AD2AF4" w:rsidP="00AD2AF4">
      <w:pPr>
        <w:ind w:left="1134" w:right="900"/>
        <w:jc w:val="both"/>
        <w:rPr>
          <w:rFonts w:ascii="Palatino Linotype" w:hAnsi="Palatino Linotype"/>
          <w:i/>
          <w:iCs/>
          <w:sz w:val="22"/>
          <w:szCs w:val="22"/>
        </w:rPr>
      </w:pPr>
      <w:r w:rsidRPr="0066777E">
        <w:rPr>
          <w:rFonts w:ascii="Palatino Linotype" w:hAnsi="Palatino Linotype"/>
          <w:b/>
          <w:bCs/>
          <w:i/>
          <w:iCs/>
          <w:sz w:val="22"/>
          <w:szCs w:val="22"/>
        </w:rPr>
        <w:t>XXII</w:t>
      </w:r>
      <w:r w:rsidRPr="0066777E">
        <w:rPr>
          <w:rFonts w:ascii="Palatino Linotype" w:hAnsi="Palatino Linotype"/>
          <w:i/>
          <w:iCs/>
          <w:sz w:val="22"/>
          <w:szCs w:val="22"/>
        </w:rPr>
        <w:t xml:space="preserve">. </w:t>
      </w:r>
      <w:r w:rsidRPr="0066777E">
        <w:rPr>
          <w:rFonts w:ascii="Palatino Linotype" w:hAnsi="Palatino Linotype"/>
          <w:b/>
          <w:bCs/>
          <w:i/>
          <w:iCs/>
          <w:sz w:val="22"/>
          <w:szCs w:val="22"/>
        </w:rPr>
        <w:t>Celebrar contratos y convenios</w:t>
      </w:r>
      <w:r w:rsidRPr="0066777E">
        <w:rPr>
          <w:rFonts w:ascii="Palatino Linotype" w:hAnsi="Palatino Linotype"/>
          <w:i/>
          <w:iCs/>
          <w:sz w:val="22"/>
          <w:szCs w:val="22"/>
        </w:rPr>
        <w:t xml:space="preserve"> con dependencias y entidades públicas, ya sean Federales, Estatales y/o Municipales; de la sociedad civil y/o académicas;</w:t>
      </w:r>
    </w:p>
    <w:p w14:paraId="26126007" w14:textId="73C37E4D" w:rsidR="00AD2AF4" w:rsidRPr="0066777E" w:rsidRDefault="00AD2AF4" w:rsidP="00AD2AF4">
      <w:pPr>
        <w:ind w:left="851" w:right="900"/>
        <w:jc w:val="both"/>
        <w:rPr>
          <w:rFonts w:ascii="Palatino Linotype" w:hAnsi="Palatino Linotype"/>
          <w:i/>
          <w:iCs/>
          <w:sz w:val="22"/>
          <w:szCs w:val="22"/>
        </w:rPr>
      </w:pPr>
      <w:r w:rsidRPr="0066777E">
        <w:rPr>
          <w:rFonts w:ascii="Palatino Linotype" w:hAnsi="Palatino Linotype"/>
          <w:i/>
          <w:iCs/>
          <w:sz w:val="22"/>
          <w:szCs w:val="22"/>
        </w:rPr>
        <w:t>...</w:t>
      </w:r>
    </w:p>
    <w:p w14:paraId="29FAB633" w14:textId="77777777" w:rsidR="00AD2AF4" w:rsidRPr="0066777E" w:rsidRDefault="00AD2AF4" w:rsidP="00AD2AF4">
      <w:pPr>
        <w:ind w:left="851" w:right="900"/>
        <w:jc w:val="both"/>
        <w:rPr>
          <w:rFonts w:ascii="Palatino Linotype" w:hAnsi="Palatino Linotype"/>
          <w:i/>
          <w:iCs/>
          <w:sz w:val="22"/>
          <w:szCs w:val="22"/>
        </w:rPr>
      </w:pPr>
      <w:r w:rsidRPr="0066777E">
        <w:rPr>
          <w:rFonts w:ascii="Palatino Linotype" w:hAnsi="Palatino Linotype"/>
          <w:b/>
          <w:bCs/>
          <w:i/>
          <w:iCs/>
          <w:sz w:val="22"/>
          <w:szCs w:val="22"/>
        </w:rPr>
        <w:t>Artículo 28.-</w:t>
      </w:r>
      <w:r w:rsidRPr="0066777E">
        <w:rPr>
          <w:rFonts w:ascii="Palatino Linotype" w:hAnsi="Palatino Linotype"/>
          <w:i/>
          <w:iCs/>
          <w:sz w:val="22"/>
          <w:szCs w:val="22"/>
        </w:rPr>
        <w:t xml:space="preserve"> Corresponde a los </w:t>
      </w:r>
      <w:r w:rsidRPr="0066777E">
        <w:rPr>
          <w:rFonts w:ascii="Palatino Linotype" w:hAnsi="Palatino Linotype"/>
          <w:b/>
          <w:bCs/>
          <w:i/>
          <w:iCs/>
          <w:sz w:val="22"/>
          <w:szCs w:val="22"/>
        </w:rPr>
        <w:t xml:space="preserve">titulares </w:t>
      </w:r>
      <w:r w:rsidRPr="0066777E">
        <w:rPr>
          <w:rFonts w:ascii="Palatino Linotype" w:hAnsi="Palatino Linotype"/>
          <w:i/>
          <w:iCs/>
          <w:sz w:val="22"/>
          <w:szCs w:val="22"/>
        </w:rPr>
        <w:t xml:space="preserve">de la Secretaría Técnica, Contraloría Interna, </w:t>
      </w:r>
      <w:r w:rsidRPr="0066777E">
        <w:rPr>
          <w:rFonts w:ascii="Palatino Linotype" w:hAnsi="Palatino Linotype"/>
          <w:b/>
          <w:bCs/>
          <w:i/>
          <w:iCs/>
          <w:sz w:val="22"/>
          <w:szCs w:val="22"/>
        </w:rPr>
        <w:t>Direcciones, Gerencias y Subgerencias</w:t>
      </w:r>
      <w:r w:rsidRPr="0066777E">
        <w:rPr>
          <w:rFonts w:ascii="Palatino Linotype" w:hAnsi="Palatino Linotype"/>
          <w:i/>
          <w:iCs/>
          <w:sz w:val="22"/>
          <w:szCs w:val="22"/>
        </w:rPr>
        <w:t>, el despacho de las siguientes atribuciones genéricas:</w:t>
      </w:r>
    </w:p>
    <w:p w14:paraId="33B57712" w14:textId="5AA72E17" w:rsidR="00AD2AF4" w:rsidRPr="0066777E" w:rsidRDefault="00AD2AF4" w:rsidP="00AD2AF4">
      <w:pPr>
        <w:ind w:left="851" w:right="900"/>
        <w:jc w:val="both"/>
        <w:rPr>
          <w:rFonts w:ascii="Palatino Linotype" w:hAnsi="Palatino Linotype"/>
          <w:b/>
          <w:bCs/>
          <w:i/>
          <w:iCs/>
          <w:sz w:val="22"/>
          <w:szCs w:val="22"/>
        </w:rPr>
      </w:pPr>
      <w:r w:rsidRPr="0066777E">
        <w:rPr>
          <w:rFonts w:ascii="Palatino Linotype" w:hAnsi="Palatino Linotype"/>
          <w:b/>
          <w:bCs/>
          <w:i/>
          <w:iCs/>
          <w:sz w:val="22"/>
          <w:szCs w:val="22"/>
        </w:rPr>
        <w:t>...</w:t>
      </w:r>
    </w:p>
    <w:p w14:paraId="122C8B36" w14:textId="06422C98" w:rsidR="00AD2AF4" w:rsidRPr="0066777E" w:rsidRDefault="00AD2AF4" w:rsidP="00AD2AF4">
      <w:pPr>
        <w:ind w:left="1134" w:right="900"/>
        <w:jc w:val="both"/>
        <w:rPr>
          <w:rFonts w:ascii="Palatino Linotype" w:hAnsi="Palatino Linotype"/>
          <w:i/>
          <w:iCs/>
          <w:sz w:val="22"/>
          <w:szCs w:val="22"/>
        </w:rPr>
      </w:pPr>
      <w:r w:rsidRPr="0066777E">
        <w:rPr>
          <w:rFonts w:ascii="Palatino Linotype" w:hAnsi="Palatino Linotype"/>
          <w:b/>
          <w:bCs/>
          <w:i/>
          <w:iCs/>
          <w:sz w:val="22"/>
          <w:szCs w:val="22"/>
        </w:rPr>
        <w:t>VI.</w:t>
      </w:r>
      <w:r w:rsidRPr="0066777E">
        <w:rPr>
          <w:rFonts w:ascii="Palatino Linotype" w:hAnsi="Palatino Linotype"/>
          <w:i/>
          <w:iCs/>
          <w:sz w:val="22"/>
          <w:szCs w:val="22"/>
        </w:rPr>
        <w:t xml:space="preserve"> </w:t>
      </w:r>
      <w:r w:rsidRPr="0066777E">
        <w:rPr>
          <w:rFonts w:ascii="Palatino Linotype" w:hAnsi="Palatino Linotype"/>
          <w:b/>
          <w:bCs/>
          <w:i/>
          <w:iCs/>
          <w:sz w:val="22"/>
          <w:szCs w:val="22"/>
        </w:rPr>
        <w:t>Participar con el Director General en la suscripción de contratos, convenios</w:t>
      </w:r>
      <w:r w:rsidRPr="0066777E">
        <w:rPr>
          <w:rFonts w:ascii="Palatino Linotype" w:hAnsi="Palatino Linotype"/>
          <w:i/>
          <w:iCs/>
          <w:sz w:val="22"/>
          <w:szCs w:val="22"/>
        </w:rPr>
        <w:t xml:space="preserve"> y documentos relativos al ejercicio de sus atribuciones y facultades o por delegación de facultades;</w:t>
      </w:r>
      <w:r w:rsidRPr="0066777E">
        <w:rPr>
          <w:rFonts w:ascii="Palatino Linotype" w:hAnsi="Palatino Linotype"/>
          <w:i/>
          <w:iCs/>
          <w:sz w:val="22"/>
          <w:szCs w:val="22"/>
        </w:rPr>
        <w:tab/>
      </w:r>
    </w:p>
    <w:p w14:paraId="445BDBE7" w14:textId="77777777" w:rsidR="00447520" w:rsidRPr="0066777E" w:rsidRDefault="00447520" w:rsidP="00447520">
      <w:pPr>
        <w:ind w:right="900"/>
        <w:jc w:val="both"/>
        <w:rPr>
          <w:rFonts w:ascii="Palatino Linotype" w:hAnsi="Palatino Linotype"/>
          <w:b/>
          <w:bCs/>
          <w:i/>
          <w:iCs/>
          <w:sz w:val="22"/>
          <w:szCs w:val="22"/>
        </w:rPr>
      </w:pPr>
    </w:p>
    <w:p w14:paraId="6B2797E5" w14:textId="3C940878" w:rsidR="00447520" w:rsidRPr="0066777E" w:rsidRDefault="00447520" w:rsidP="00447520">
      <w:pPr>
        <w:spacing w:before="240" w:after="240" w:line="360" w:lineRule="auto"/>
        <w:ind w:right="51"/>
        <w:jc w:val="both"/>
        <w:rPr>
          <w:rFonts w:ascii="Palatino Linotype" w:hAnsi="Palatino Linotype"/>
        </w:rPr>
      </w:pPr>
      <w:r w:rsidRPr="0066777E">
        <w:rPr>
          <w:rFonts w:ascii="Palatino Linotype" w:hAnsi="Palatino Linotype"/>
        </w:rPr>
        <w:t>De los preceptos citados se desprende que la Dirección General, a través de Director, cuenta con atribuciones para celebrar contratos y convenios con las dependencias y entidades públicas de cualquier orden de gobierno, así como con sociedades civiles y académicas, asimismo, los titulares de las áreas cuentan con el deber de participar con el Director General en la suscripción de contratos y convenios.</w:t>
      </w:r>
    </w:p>
    <w:p w14:paraId="14163299" w14:textId="36DD7DEB" w:rsidR="00F733BF" w:rsidRPr="0066777E" w:rsidRDefault="00804212" w:rsidP="00FA3290">
      <w:pPr>
        <w:spacing w:before="240" w:after="240" w:line="360" w:lineRule="auto"/>
        <w:ind w:right="51"/>
        <w:jc w:val="both"/>
        <w:rPr>
          <w:rFonts w:ascii="Palatino Linotype" w:hAnsi="Palatino Linotype"/>
        </w:rPr>
      </w:pPr>
      <w:r w:rsidRPr="0066777E">
        <w:rPr>
          <w:rFonts w:ascii="Palatino Linotype" w:hAnsi="Palatino Linotype"/>
        </w:rPr>
        <w:t xml:space="preserve">Por otro lado, no obsta mencionar que de conformidad con </w:t>
      </w:r>
      <w:r w:rsidR="00A25BE4" w:rsidRPr="0066777E">
        <w:rPr>
          <w:rFonts w:ascii="Palatino Linotype" w:hAnsi="Palatino Linotype"/>
        </w:rPr>
        <w:t xml:space="preserve">el </w:t>
      </w:r>
      <w:r w:rsidR="00C97DED" w:rsidRPr="0066777E">
        <w:rPr>
          <w:rFonts w:ascii="Palatino Linotype" w:hAnsi="Palatino Linotype"/>
        </w:rPr>
        <w:t>artículo</w:t>
      </w:r>
      <w:r w:rsidR="00A25BE4" w:rsidRPr="0066777E">
        <w:rPr>
          <w:rFonts w:ascii="Palatino Linotype" w:hAnsi="Palatino Linotype"/>
        </w:rPr>
        <w:t xml:space="preserve"> 17 de la Ley del Agua del Estado de México y Municipios, la </w:t>
      </w:r>
      <w:r w:rsidR="00F504A7" w:rsidRPr="0066777E">
        <w:rPr>
          <w:rFonts w:ascii="Palatino Linotype" w:hAnsi="Palatino Linotype"/>
        </w:rPr>
        <w:t>Comisión del Agua del Estado de México</w:t>
      </w:r>
      <w:r w:rsidR="00A25BE4" w:rsidRPr="0066777E">
        <w:rPr>
          <w:rFonts w:ascii="Palatino Linotype" w:hAnsi="Palatino Linotype"/>
        </w:rPr>
        <w:t xml:space="preserve"> e</w:t>
      </w:r>
      <w:r w:rsidR="00F504A7" w:rsidRPr="0066777E">
        <w:rPr>
          <w:rFonts w:ascii="Palatino Linotype" w:hAnsi="Palatino Linotype"/>
        </w:rPr>
        <w:t>s un Organismo Público Descentralizado,</w:t>
      </w:r>
      <w:r w:rsidR="00A25BE4" w:rsidRPr="0066777E">
        <w:rPr>
          <w:rFonts w:ascii="Palatino Linotype" w:hAnsi="Palatino Linotype"/>
        </w:rPr>
        <w:t xml:space="preserve"> </w:t>
      </w:r>
      <w:r w:rsidR="00F504A7" w:rsidRPr="0066777E">
        <w:rPr>
          <w:rFonts w:ascii="Palatino Linotype" w:hAnsi="Palatino Linotype"/>
        </w:rPr>
        <w:t xml:space="preserve">con personalidad jurídica y patrimonio propio, </w:t>
      </w:r>
      <w:r w:rsidR="00A25BE4" w:rsidRPr="0066777E">
        <w:rPr>
          <w:rFonts w:ascii="Palatino Linotype" w:hAnsi="Palatino Linotype"/>
        </w:rPr>
        <w:t xml:space="preserve">cuyo objeto consiste en objeto planear, programar, </w:t>
      </w:r>
      <w:r w:rsidR="00A25BE4" w:rsidRPr="0066777E">
        <w:rPr>
          <w:rFonts w:ascii="Palatino Linotype" w:hAnsi="Palatino Linotype"/>
        </w:rPr>
        <w:lastRenderedPageBreak/>
        <w:t xml:space="preserve">presupuestar, diseñar, construir, conservar, mantener, operar y administrar sistemas de suministro de agua potable, desinfección, drenaje, alcantarillado, saneamiento, tratamiento y </w:t>
      </w:r>
      <w:r w:rsidR="00FC4541" w:rsidRPr="0066777E">
        <w:rPr>
          <w:rFonts w:ascii="Palatino Linotype" w:hAnsi="Palatino Linotype"/>
        </w:rPr>
        <w:t>reúso</w:t>
      </w:r>
      <w:r w:rsidR="00A25BE4" w:rsidRPr="0066777E">
        <w:rPr>
          <w:rFonts w:ascii="Palatino Linotype" w:hAnsi="Palatino Linotype"/>
        </w:rPr>
        <w:t xml:space="preserve"> de aguas tratadas, así como la disposición final de</w:t>
      </w:r>
      <w:r w:rsidR="00EE1790" w:rsidRPr="0066777E">
        <w:rPr>
          <w:rFonts w:ascii="Palatino Linotype" w:hAnsi="Palatino Linotype"/>
        </w:rPr>
        <w:t xml:space="preserve"> </w:t>
      </w:r>
      <w:r w:rsidR="00A25BE4" w:rsidRPr="0066777E">
        <w:rPr>
          <w:rFonts w:ascii="Palatino Linotype" w:hAnsi="Palatino Linotype"/>
        </w:rPr>
        <w:t>sus productos resultantes, e imponer las sanciones que correspondan en caso de incumplimiento de la normatividad en la materia</w:t>
      </w:r>
      <w:r w:rsidR="00EE1790" w:rsidRPr="0066777E">
        <w:rPr>
          <w:rFonts w:ascii="Palatino Linotype" w:hAnsi="Palatino Linotype"/>
        </w:rPr>
        <w:t xml:space="preserve">, </w:t>
      </w:r>
      <w:r w:rsidR="00FA3290" w:rsidRPr="0066777E">
        <w:rPr>
          <w:rFonts w:ascii="Palatino Linotype" w:hAnsi="Palatino Linotype"/>
        </w:rPr>
        <w:t>y, para el cumplimiento de dicho objeto, cuenta con diversas atribuciones, entre las que se encuentra</w:t>
      </w:r>
      <w:r w:rsidR="00F733BF" w:rsidRPr="0066777E">
        <w:rPr>
          <w:rFonts w:ascii="Palatino Linotype" w:hAnsi="Palatino Linotype"/>
        </w:rPr>
        <w:t>n las siguientes:</w:t>
      </w:r>
    </w:p>
    <w:p w14:paraId="4996723F" w14:textId="79659121" w:rsidR="00FA3290" w:rsidRPr="0066777E" w:rsidRDefault="00F733BF" w:rsidP="00F733BF">
      <w:pPr>
        <w:pStyle w:val="Prrafodelista"/>
        <w:numPr>
          <w:ilvl w:val="0"/>
          <w:numId w:val="4"/>
        </w:numPr>
        <w:spacing w:before="240" w:after="240" w:line="360" w:lineRule="auto"/>
        <w:ind w:left="426" w:right="51" w:firstLine="0"/>
        <w:jc w:val="both"/>
        <w:rPr>
          <w:rFonts w:ascii="Palatino Linotype" w:hAnsi="Palatino Linotype"/>
        </w:rPr>
      </w:pPr>
      <w:r w:rsidRPr="0066777E">
        <w:rPr>
          <w:rFonts w:ascii="Palatino Linotype" w:hAnsi="Palatino Linotype"/>
        </w:rPr>
        <w:t>C</w:t>
      </w:r>
      <w:r w:rsidR="00FA3290" w:rsidRPr="0066777E">
        <w:rPr>
          <w:rFonts w:ascii="Palatino Linotype" w:hAnsi="Palatino Linotype"/>
        </w:rPr>
        <w:t>onvenir con los municipios la prestación temporal de algunos de los servicios a que se</w:t>
      </w:r>
      <w:r w:rsidR="004C44C9" w:rsidRPr="0066777E">
        <w:rPr>
          <w:rFonts w:ascii="Palatino Linotype" w:hAnsi="Palatino Linotype"/>
        </w:rPr>
        <w:t xml:space="preserve"> </w:t>
      </w:r>
      <w:r w:rsidR="00FA3290" w:rsidRPr="0066777E">
        <w:rPr>
          <w:rFonts w:ascii="Palatino Linotype" w:hAnsi="Palatino Linotype"/>
        </w:rPr>
        <w:t>refiere la Ley</w:t>
      </w:r>
      <w:r w:rsidRPr="0066777E">
        <w:rPr>
          <w:rFonts w:ascii="Palatino Linotype" w:hAnsi="Palatino Linotype"/>
        </w:rPr>
        <w:t xml:space="preserve">, así como </w:t>
      </w:r>
      <w:r w:rsidR="00FA3290" w:rsidRPr="0066777E">
        <w:rPr>
          <w:rFonts w:ascii="Palatino Linotype" w:hAnsi="Palatino Linotype"/>
        </w:rPr>
        <w:t xml:space="preserve"> </w:t>
      </w:r>
    </w:p>
    <w:p w14:paraId="46288264" w14:textId="2C4D5D3D" w:rsidR="00F733BF" w:rsidRPr="0066777E" w:rsidRDefault="00F733BF" w:rsidP="00F733BF">
      <w:pPr>
        <w:pStyle w:val="Prrafodelista"/>
        <w:numPr>
          <w:ilvl w:val="0"/>
          <w:numId w:val="4"/>
        </w:numPr>
        <w:spacing w:before="240" w:after="240" w:line="360" w:lineRule="auto"/>
        <w:ind w:left="426" w:right="51" w:firstLine="0"/>
        <w:jc w:val="both"/>
        <w:rPr>
          <w:rFonts w:ascii="Palatino Linotype" w:hAnsi="Palatino Linotype"/>
        </w:rPr>
      </w:pPr>
      <w:r w:rsidRPr="0066777E">
        <w:rPr>
          <w:rFonts w:ascii="Palatino Linotype" w:hAnsi="Palatino Linotype"/>
        </w:rPr>
        <w:t>Operar, mantener, conservar, rehabilitar y administrar la infraestructura hidráulica estatal, así como la que convenga con la Federación, los municipios o los organismos operadores;</w:t>
      </w:r>
    </w:p>
    <w:p w14:paraId="2EFEB757" w14:textId="0C76335A" w:rsidR="00F733BF" w:rsidRPr="0066777E" w:rsidRDefault="00F733BF" w:rsidP="00F733BF">
      <w:pPr>
        <w:pStyle w:val="Prrafodelista"/>
        <w:numPr>
          <w:ilvl w:val="0"/>
          <w:numId w:val="4"/>
        </w:numPr>
        <w:spacing w:before="240" w:after="240" w:line="360" w:lineRule="auto"/>
        <w:ind w:left="426" w:right="51" w:firstLine="0"/>
        <w:jc w:val="both"/>
        <w:rPr>
          <w:rFonts w:ascii="Palatino Linotype" w:hAnsi="Palatino Linotype"/>
        </w:rPr>
      </w:pPr>
      <w:r w:rsidRPr="0066777E">
        <w:rPr>
          <w:rFonts w:ascii="Palatino Linotype" w:hAnsi="Palatino Linotype"/>
        </w:rPr>
        <w:t>Proporcionar el servicio de suministro y aplicación de gas cloro e hipoclorito de sodio y el mantenimiento de equipos de cloración, a los prestadores de los servicios que lo soliciten, en términos del convenio o contrato que se suscriba;</w:t>
      </w:r>
    </w:p>
    <w:p w14:paraId="1615C3A8" w14:textId="2DD7B315" w:rsidR="00804212" w:rsidRPr="0066777E" w:rsidRDefault="009F46FC" w:rsidP="00447520">
      <w:pPr>
        <w:spacing w:before="240" w:after="240" w:line="360" w:lineRule="auto"/>
        <w:ind w:right="51"/>
        <w:jc w:val="both"/>
        <w:rPr>
          <w:rFonts w:ascii="Palatino Linotype" w:hAnsi="Palatino Linotype"/>
        </w:rPr>
      </w:pPr>
      <w:r w:rsidRPr="0066777E">
        <w:rPr>
          <w:rFonts w:ascii="Palatino Linotype" w:hAnsi="Palatino Linotype"/>
        </w:rPr>
        <w:t xml:space="preserve">En el mismo tenor, </w:t>
      </w:r>
      <w:r w:rsidR="006A4D47" w:rsidRPr="0066777E">
        <w:rPr>
          <w:rFonts w:ascii="Palatino Linotype" w:hAnsi="Palatino Linotype"/>
        </w:rPr>
        <w:t xml:space="preserve">en </w:t>
      </w:r>
      <w:r w:rsidR="007471CF" w:rsidRPr="0066777E">
        <w:rPr>
          <w:rFonts w:ascii="Palatino Linotype" w:hAnsi="Palatino Linotype"/>
        </w:rPr>
        <w:t xml:space="preserve">la </w:t>
      </w:r>
      <w:r w:rsidR="006A4D47" w:rsidRPr="0066777E">
        <w:rPr>
          <w:rFonts w:ascii="Palatino Linotype" w:hAnsi="Palatino Linotype"/>
        </w:rPr>
        <w:t>página oficial</w:t>
      </w:r>
      <w:r w:rsidR="006A4D47" w:rsidRPr="0066777E">
        <w:rPr>
          <w:rStyle w:val="Refdenotaalpie"/>
          <w:rFonts w:ascii="Palatino Linotype" w:hAnsi="Palatino Linotype"/>
        </w:rPr>
        <w:footnoteReference w:id="5"/>
      </w:r>
      <w:r w:rsidR="006A4D47" w:rsidRPr="0066777E">
        <w:rPr>
          <w:rFonts w:ascii="Palatino Linotype" w:hAnsi="Palatino Linotype"/>
        </w:rPr>
        <w:t xml:space="preserve"> </w:t>
      </w:r>
      <w:r w:rsidR="007471CF" w:rsidRPr="0066777E">
        <w:rPr>
          <w:rFonts w:ascii="Palatino Linotype" w:hAnsi="Palatino Linotype"/>
        </w:rPr>
        <w:t xml:space="preserve">de la Comisión del Agua del Estado de México </w:t>
      </w:r>
      <w:r w:rsidRPr="0066777E">
        <w:rPr>
          <w:rFonts w:ascii="Palatino Linotype" w:hAnsi="Palatino Linotype"/>
        </w:rPr>
        <w:t xml:space="preserve">se puede leer que esta es un Organismo </w:t>
      </w:r>
      <w:r w:rsidR="00F504A7" w:rsidRPr="0066777E">
        <w:rPr>
          <w:rFonts w:ascii="Palatino Linotype" w:hAnsi="Palatino Linotype"/>
          <w:b/>
          <w:bCs/>
          <w:u w:val="single"/>
        </w:rPr>
        <w:t>encargad</w:t>
      </w:r>
      <w:r w:rsidRPr="0066777E">
        <w:rPr>
          <w:rFonts w:ascii="Palatino Linotype" w:hAnsi="Palatino Linotype"/>
          <w:b/>
          <w:bCs/>
          <w:u w:val="single"/>
        </w:rPr>
        <w:t>o</w:t>
      </w:r>
      <w:r w:rsidR="00F504A7" w:rsidRPr="0066777E">
        <w:rPr>
          <w:rFonts w:ascii="Palatino Linotype" w:hAnsi="Palatino Linotype"/>
          <w:b/>
          <w:bCs/>
          <w:u w:val="single"/>
        </w:rPr>
        <w:t xml:space="preserve"> de proporcionar agua en bloque a los municipios</w:t>
      </w:r>
      <w:r w:rsidR="00F504A7" w:rsidRPr="0066777E">
        <w:rPr>
          <w:rFonts w:ascii="Palatino Linotype" w:hAnsi="Palatino Linotype"/>
        </w:rPr>
        <w:t xml:space="preserve">, comunidades, núcleos de población, </w:t>
      </w:r>
      <w:r w:rsidR="00F504A7" w:rsidRPr="0066777E">
        <w:rPr>
          <w:rFonts w:ascii="Palatino Linotype" w:hAnsi="Palatino Linotype"/>
          <w:b/>
          <w:bCs/>
          <w:u w:val="single"/>
        </w:rPr>
        <w:t>organismos,</w:t>
      </w:r>
      <w:r w:rsidR="00F504A7" w:rsidRPr="0066777E">
        <w:rPr>
          <w:rFonts w:ascii="Palatino Linotype" w:hAnsi="Palatino Linotype"/>
        </w:rPr>
        <w:t xml:space="preserve"> </w:t>
      </w:r>
      <w:r w:rsidR="00F504A7" w:rsidRPr="0066777E">
        <w:rPr>
          <w:rFonts w:ascii="Palatino Linotype" w:hAnsi="Palatino Linotype"/>
        </w:rPr>
        <w:lastRenderedPageBreak/>
        <w:t xml:space="preserve">fraccionamientos y particulares </w:t>
      </w:r>
      <w:r w:rsidR="00F504A7" w:rsidRPr="0066777E">
        <w:rPr>
          <w:rFonts w:ascii="Palatino Linotype" w:hAnsi="Palatino Linotype"/>
          <w:b/>
          <w:bCs/>
          <w:u w:val="single"/>
        </w:rPr>
        <w:t>q</w:t>
      </w:r>
      <w:r w:rsidR="00FC4541" w:rsidRPr="0066777E">
        <w:rPr>
          <w:rFonts w:ascii="Palatino Linotype" w:hAnsi="Palatino Linotype"/>
          <w:b/>
          <w:bCs/>
          <w:u w:val="single"/>
        </w:rPr>
        <w:t xml:space="preserve"> </w:t>
      </w:r>
      <w:r w:rsidR="00FC4541" w:rsidRPr="0066777E">
        <w:rPr>
          <w:rFonts w:ascii="Palatino Linotype" w:hAnsi="Palatino Linotype"/>
          <w:b/>
          <w:bCs/>
          <w:u w:val="single"/>
        </w:rPr>
        <w:tab/>
      </w:r>
      <w:proofErr w:type="spellStart"/>
      <w:r w:rsidR="00F504A7" w:rsidRPr="0066777E">
        <w:rPr>
          <w:rFonts w:ascii="Palatino Linotype" w:hAnsi="Palatino Linotype"/>
          <w:b/>
          <w:bCs/>
          <w:u w:val="single"/>
        </w:rPr>
        <w:t>ue</w:t>
      </w:r>
      <w:proofErr w:type="spellEnd"/>
      <w:r w:rsidR="00F504A7" w:rsidRPr="0066777E">
        <w:rPr>
          <w:rFonts w:ascii="Palatino Linotype" w:hAnsi="Palatino Linotype"/>
          <w:b/>
          <w:bCs/>
          <w:u w:val="single"/>
        </w:rPr>
        <w:t xml:space="preserve"> lo soliciten, mediante la firma de contratos o convenios</w:t>
      </w:r>
      <w:r w:rsidR="00F504A7" w:rsidRPr="0066777E">
        <w:rPr>
          <w:rFonts w:ascii="Palatino Linotype" w:hAnsi="Palatino Linotype"/>
        </w:rPr>
        <w:t>.</w:t>
      </w:r>
    </w:p>
    <w:p w14:paraId="5BD18610" w14:textId="0519B795" w:rsidR="005C7B4F" w:rsidRPr="0066777E" w:rsidRDefault="009F46FC" w:rsidP="005C7B4F">
      <w:pPr>
        <w:spacing w:before="240" w:after="240" w:line="360" w:lineRule="auto"/>
        <w:ind w:right="51"/>
        <w:jc w:val="both"/>
        <w:rPr>
          <w:rFonts w:ascii="Palatino Linotype" w:hAnsi="Palatino Linotype"/>
        </w:rPr>
      </w:pPr>
      <w:r w:rsidRPr="0066777E">
        <w:rPr>
          <w:rFonts w:ascii="Palatino Linotype" w:hAnsi="Palatino Linotype"/>
        </w:rPr>
        <w:t xml:space="preserve">En este orden de ideas </w:t>
      </w:r>
      <w:r w:rsidR="00E847C8" w:rsidRPr="0066777E">
        <w:rPr>
          <w:rFonts w:ascii="Palatino Linotype" w:hAnsi="Palatino Linotype"/>
        </w:rPr>
        <w:t xml:space="preserve">de conformidad con </w:t>
      </w:r>
      <w:r w:rsidR="001D02ED" w:rsidRPr="0066777E">
        <w:rPr>
          <w:rFonts w:ascii="Palatino Linotype" w:hAnsi="Palatino Linotype"/>
        </w:rPr>
        <w:t xml:space="preserve">los artículos 46, 51 y 73 del </w:t>
      </w:r>
      <w:r w:rsidR="00E847C8" w:rsidRPr="0066777E">
        <w:rPr>
          <w:rFonts w:ascii="Palatino Linotype" w:hAnsi="Palatino Linotype"/>
        </w:rPr>
        <w:t>Reglamento Orgánico del Organismo</w:t>
      </w:r>
      <w:r w:rsidR="00FC4541" w:rsidRPr="0066777E">
        <w:rPr>
          <w:rFonts w:ascii="Palatino Linotype" w:hAnsi="Palatino Linotype"/>
        </w:rPr>
        <w:t xml:space="preserve"> Público Descentralizado para la Prestación de los servicios de Agua potable</w:t>
      </w:r>
      <w:r w:rsidR="0065411E" w:rsidRPr="0066777E">
        <w:rPr>
          <w:rFonts w:ascii="Palatino Linotype" w:hAnsi="Palatino Linotype"/>
        </w:rPr>
        <w:t xml:space="preserve">, Alcantarillado y Saneamiento, </w:t>
      </w:r>
      <w:r w:rsidR="00801573" w:rsidRPr="0066777E">
        <w:rPr>
          <w:rFonts w:ascii="Palatino Linotype" w:hAnsi="Palatino Linotype"/>
        </w:rPr>
        <w:t>la Gerencia de Operación Hidráulica</w:t>
      </w:r>
      <w:r w:rsidR="0065411E" w:rsidRPr="0066777E">
        <w:rPr>
          <w:rFonts w:ascii="Palatino Linotype" w:hAnsi="Palatino Linotype"/>
        </w:rPr>
        <w:t xml:space="preserve">, </w:t>
      </w:r>
      <w:r w:rsidR="005C7B4F" w:rsidRPr="0066777E">
        <w:rPr>
          <w:rFonts w:ascii="Palatino Linotype" w:hAnsi="Palatino Linotype"/>
        </w:rPr>
        <w:t>tiene a su cargo la vigilancia de los movimientos en cuanto al gasto entregado ante las autoridades competentes como la CAEM o CONAGUA; la Subdirección de Agua Potable, dependiente de aquella, lleva a cabo el proceso de macro medición de agua, así como su conciliación con la CONAGUA y la CAEM, y revisar la facturación emitida por la CONAGUA y la CAEM; finalmente la Gerencia de Finanzas, revisa y verifica todos los contratos, convenios y demás documentos que afecten el presupuesto del Organismo</w:t>
      </w:r>
      <w:r w:rsidR="005B21CC" w:rsidRPr="0066777E">
        <w:rPr>
          <w:rFonts w:ascii="Palatino Linotype" w:hAnsi="Palatino Linotype"/>
        </w:rPr>
        <w:t>, como se lee enseguida en su  parte conducente:</w:t>
      </w:r>
    </w:p>
    <w:p w14:paraId="68A39812" w14:textId="6AFFD58C" w:rsidR="005B21CC" w:rsidRPr="0066777E" w:rsidRDefault="005B21CC" w:rsidP="005B21CC">
      <w:pPr>
        <w:ind w:left="851" w:right="900"/>
        <w:jc w:val="both"/>
        <w:rPr>
          <w:rFonts w:ascii="Palatino Linotype" w:hAnsi="Palatino Linotype"/>
          <w:i/>
          <w:iCs/>
          <w:sz w:val="22"/>
          <w:szCs w:val="22"/>
        </w:rPr>
      </w:pPr>
      <w:r w:rsidRPr="0066777E">
        <w:rPr>
          <w:rFonts w:ascii="Palatino Linotype" w:hAnsi="Palatino Linotype"/>
          <w:i/>
          <w:iCs/>
          <w:sz w:val="22"/>
          <w:szCs w:val="22"/>
        </w:rPr>
        <w:t>“</w:t>
      </w:r>
      <w:r w:rsidRPr="0066777E">
        <w:rPr>
          <w:rFonts w:ascii="Palatino Linotype" w:hAnsi="Palatino Linotype"/>
          <w:b/>
          <w:bCs/>
          <w:i/>
          <w:iCs/>
          <w:sz w:val="22"/>
          <w:szCs w:val="22"/>
        </w:rPr>
        <w:t>Artículo 46</w:t>
      </w:r>
      <w:r w:rsidRPr="0066777E">
        <w:rPr>
          <w:rFonts w:ascii="Palatino Linotype" w:hAnsi="Palatino Linotype"/>
          <w:i/>
          <w:iCs/>
          <w:sz w:val="22"/>
          <w:szCs w:val="22"/>
        </w:rPr>
        <w:t xml:space="preserve">.- La </w:t>
      </w:r>
      <w:r w:rsidRPr="0066777E">
        <w:rPr>
          <w:rFonts w:ascii="Palatino Linotype" w:hAnsi="Palatino Linotype"/>
          <w:b/>
          <w:bCs/>
          <w:i/>
          <w:iCs/>
          <w:sz w:val="22"/>
          <w:szCs w:val="22"/>
        </w:rPr>
        <w:t>Gerencia de Operación Hidráulica</w:t>
      </w:r>
      <w:r w:rsidRPr="0066777E">
        <w:rPr>
          <w:rFonts w:ascii="Palatino Linotype" w:hAnsi="Palatino Linotype"/>
          <w:i/>
          <w:iCs/>
          <w:sz w:val="22"/>
          <w:szCs w:val="22"/>
        </w:rPr>
        <w:t>, estará a cargo de un titular, a quien se le denominará Gerente de Operación Hidráulica, quien responderá directamente del desempeño de sus funciones ante el Director de Construcción y Operación Hidráulica y quien tendrá las siguientes atribuciones y facultades relativas a su cargo:</w:t>
      </w:r>
    </w:p>
    <w:p w14:paraId="68B7E864" w14:textId="537F33FD" w:rsidR="005B21CC" w:rsidRPr="0066777E" w:rsidRDefault="005B21CC" w:rsidP="005B21CC">
      <w:pPr>
        <w:ind w:left="851" w:right="900"/>
        <w:jc w:val="both"/>
        <w:rPr>
          <w:rFonts w:ascii="Palatino Linotype" w:hAnsi="Palatino Linotype"/>
          <w:b/>
          <w:bCs/>
          <w:i/>
          <w:iCs/>
          <w:sz w:val="22"/>
          <w:szCs w:val="22"/>
        </w:rPr>
      </w:pPr>
      <w:r w:rsidRPr="0066777E">
        <w:rPr>
          <w:rFonts w:ascii="Palatino Linotype" w:hAnsi="Palatino Linotype"/>
          <w:b/>
          <w:bCs/>
          <w:i/>
          <w:iCs/>
          <w:sz w:val="22"/>
          <w:szCs w:val="22"/>
        </w:rPr>
        <w:t>...</w:t>
      </w:r>
    </w:p>
    <w:p w14:paraId="51FA4AE6" w14:textId="5A2CC6F3" w:rsidR="005B21CC" w:rsidRPr="0066777E" w:rsidRDefault="005B21CC" w:rsidP="005B21CC">
      <w:pPr>
        <w:ind w:left="1134" w:right="900"/>
        <w:jc w:val="both"/>
        <w:rPr>
          <w:rFonts w:ascii="Palatino Linotype" w:hAnsi="Palatino Linotype"/>
          <w:i/>
          <w:iCs/>
          <w:sz w:val="22"/>
          <w:szCs w:val="22"/>
        </w:rPr>
      </w:pPr>
      <w:r w:rsidRPr="0066777E">
        <w:rPr>
          <w:rFonts w:ascii="Palatino Linotype" w:hAnsi="Palatino Linotype"/>
          <w:b/>
          <w:bCs/>
          <w:i/>
          <w:iCs/>
          <w:sz w:val="22"/>
          <w:szCs w:val="22"/>
        </w:rPr>
        <w:t>XXVI.</w:t>
      </w:r>
      <w:r w:rsidRPr="0066777E">
        <w:rPr>
          <w:rFonts w:ascii="Palatino Linotype" w:hAnsi="Palatino Linotype"/>
          <w:i/>
          <w:iCs/>
          <w:sz w:val="22"/>
          <w:szCs w:val="22"/>
        </w:rPr>
        <w:t xml:space="preserve"> Vigilar los movimientos en cuanto al gasto entregado, realizando la gestión mediante el grupo de radio operación, ante las autoridades competentes (CAEM O CONAGUA) vía telefónica para poder restablecer en forma rápida el suministro de agua en bloque;</w:t>
      </w:r>
    </w:p>
    <w:p w14:paraId="02D92E86" w14:textId="3EDA61C7" w:rsidR="005B21CC" w:rsidRPr="0066777E" w:rsidRDefault="005B21CC" w:rsidP="005B21CC">
      <w:pPr>
        <w:ind w:left="851" w:right="900"/>
        <w:jc w:val="both"/>
        <w:rPr>
          <w:rFonts w:ascii="Palatino Linotype" w:hAnsi="Palatino Linotype"/>
          <w:i/>
          <w:iCs/>
          <w:sz w:val="22"/>
          <w:szCs w:val="22"/>
        </w:rPr>
      </w:pPr>
      <w:r w:rsidRPr="0066777E">
        <w:rPr>
          <w:rFonts w:ascii="Palatino Linotype" w:hAnsi="Palatino Linotype"/>
          <w:i/>
          <w:iCs/>
          <w:sz w:val="22"/>
          <w:szCs w:val="22"/>
        </w:rPr>
        <w:t>...</w:t>
      </w:r>
    </w:p>
    <w:p w14:paraId="5AE5D3B4" w14:textId="4182C228" w:rsidR="005B21CC" w:rsidRPr="0066777E" w:rsidRDefault="005B21CC" w:rsidP="005B21CC">
      <w:pPr>
        <w:ind w:left="851" w:right="900"/>
        <w:jc w:val="both"/>
        <w:rPr>
          <w:rFonts w:ascii="Palatino Linotype" w:hAnsi="Palatino Linotype"/>
          <w:i/>
          <w:iCs/>
          <w:sz w:val="22"/>
          <w:szCs w:val="22"/>
        </w:rPr>
      </w:pPr>
      <w:r w:rsidRPr="0066777E">
        <w:rPr>
          <w:rFonts w:ascii="Palatino Linotype" w:hAnsi="Palatino Linotype"/>
          <w:b/>
          <w:bCs/>
          <w:i/>
          <w:iCs/>
          <w:sz w:val="22"/>
          <w:szCs w:val="22"/>
        </w:rPr>
        <w:lastRenderedPageBreak/>
        <w:t>Artículo 51</w:t>
      </w:r>
      <w:r w:rsidRPr="0066777E">
        <w:rPr>
          <w:rFonts w:ascii="Palatino Linotype" w:hAnsi="Palatino Linotype"/>
          <w:i/>
          <w:iCs/>
          <w:sz w:val="22"/>
          <w:szCs w:val="22"/>
        </w:rPr>
        <w:t xml:space="preserve">.- La </w:t>
      </w:r>
      <w:r w:rsidRPr="0066777E">
        <w:rPr>
          <w:rFonts w:ascii="Palatino Linotype" w:hAnsi="Palatino Linotype"/>
          <w:b/>
          <w:bCs/>
          <w:i/>
          <w:iCs/>
          <w:sz w:val="22"/>
          <w:szCs w:val="22"/>
        </w:rPr>
        <w:t>Subgerencia de Agua Potable</w:t>
      </w:r>
      <w:r w:rsidRPr="0066777E">
        <w:rPr>
          <w:rFonts w:ascii="Palatino Linotype" w:hAnsi="Palatino Linotype"/>
          <w:i/>
          <w:iCs/>
          <w:sz w:val="22"/>
          <w:szCs w:val="22"/>
        </w:rPr>
        <w:t>, estará a cargo de un titular, a quien se le denominará Subgerente de Agua Potable, quien responderá directamente del desempeño de sus funciones ante el Gerente de Operación Hidráulica y quien tendrá las siguientes atribuciones y facultades relativas a su cargo:</w:t>
      </w:r>
    </w:p>
    <w:p w14:paraId="505F5059" w14:textId="48B9D01C" w:rsidR="005B21CC" w:rsidRPr="0066777E" w:rsidRDefault="005B21CC" w:rsidP="000B15EA">
      <w:pPr>
        <w:ind w:left="1134" w:right="900"/>
        <w:jc w:val="both"/>
        <w:rPr>
          <w:rFonts w:ascii="Palatino Linotype" w:hAnsi="Palatino Linotype"/>
          <w:i/>
          <w:iCs/>
          <w:sz w:val="22"/>
          <w:szCs w:val="22"/>
        </w:rPr>
      </w:pPr>
      <w:r w:rsidRPr="0066777E">
        <w:rPr>
          <w:rFonts w:ascii="Palatino Linotype" w:hAnsi="Palatino Linotype"/>
          <w:i/>
          <w:iCs/>
          <w:sz w:val="22"/>
          <w:szCs w:val="22"/>
        </w:rPr>
        <w:t>...</w:t>
      </w:r>
    </w:p>
    <w:p w14:paraId="1B71A022" w14:textId="07389CB8" w:rsidR="005B21CC" w:rsidRPr="0066777E" w:rsidRDefault="005B21CC" w:rsidP="005B21CC">
      <w:pPr>
        <w:ind w:left="1134" w:right="900"/>
        <w:jc w:val="both"/>
        <w:rPr>
          <w:rFonts w:ascii="Palatino Linotype" w:hAnsi="Palatino Linotype"/>
          <w:i/>
          <w:iCs/>
          <w:sz w:val="22"/>
          <w:szCs w:val="22"/>
        </w:rPr>
      </w:pPr>
      <w:r w:rsidRPr="0066777E">
        <w:rPr>
          <w:rFonts w:ascii="Palatino Linotype" w:hAnsi="Palatino Linotype"/>
          <w:b/>
          <w:bCs/>
          <w:i/>
          <w:iCs/>
          <w:sz w:val="22"/>
          <w:szCs w:val="22"/>
        </w:rPr>
        <w:t>XXIV.</w:t>
      </w:r>
      <w:r w:rsidRPr="0066777E">
        <w:rPr>
          <w:rFonts w:ascii="Palatino Linotype" w:hAnsi="Palatino Linotype"/>
          <w:i/>
          <w:iCs/>
          <w:sz w:val="22"/>
          <w:szCs w:val="22"/>
        </w:rPr>
        <w:t xml:space="preserve"> Llevar a cabo el proceso de macro medición de agua, así como su conciliación con la CONAGUA y la CAEM;</w:t>
      </w:r>
    </w:p>
    <w:p w14:paraId="21E0E8E1" w14:textId="2A8F2127" w:rsidR="005B21CC" w:rsidRPr="0066777E" w:rsidRDefault="005B21CC" w:rsidP="005B21CC">
      <w:pPr>
        <w:ind w:left="1134" w:right="900"/>
        <w:jc w:val="both"/>
        <w:rPr>
          <w:rFonts w:ascii="Palatino Linotype" w:hAnsi="Palatino Linotype"/>
          <w:i/>
          <w:iCs/>
          <w:sz w:val="22"/>
          <w:szCs w:val="22"/>
        </w:rPr>
      </w:pPr>
      <w:r w:rsidRPr="0066777E">
        <w:rPr>
          <w:rFonts w:ascii="Palatino Linotype" w:hAnsi="Palatino Linotype"/>
          <w:i/>
          <w:iCs/>
          <w:sz w:val="22"/>
          <w:szCs w:val="22"/>
        </w:rPr>
        <w:t>...</w:t>
      </w:r>
    </w:p>
    <w:p w14:paraId="4FF794B5" w14:textId="5B1DF9C2" w:rsidR="005B21CC" w:rsidRPr="0066777E" w:rsidRDefault="005B21CC" w:rsidP="005B21CC">
      <w:pPr>
        <w:ind w:left="1134" w:right="900"/>
        <w:jc w:val="both"/>
        <w:rPr>
          <w:rFonts w:ascii="Palatino Linotype" w:hAnsi="Palatino Linotype"/>
          <w:i/>
          <w:iCs/>
          <w:sz w:val="22"/>
          <w:szCs w:val="22"/>
        </w:rPr>
      </w:pPr>
      <w:r w:rsidRPr="0066777E">
        <w:rPr>
          <w:rFonts w:ascii="Palatino Linotype" w:hAnsi="Palatino Linotype"/>
          <w:b/>
          <w:bCs/>
          <w:i/>
          <w:iCs/>
          <w:sz w:val="22"/>
          <w:szCs w:val="22"/>
        </w:rPr>
        <w:t>XXVI.</w:t>
      </w:r>
      <w:r w:rsidRPr="0066777E">
        <w:rPr>
          <w:rFonts w:ascii="Palatino Linotype" w:hAnsi="Palatino Linotype"/>
          <w:i/>
          <w:iCs/>
          <w:sz w:val="22"/>
          <w:szCs w:val="22"/>
        </w:rPr>
        <w:t xml:space="preserve"> Revisar la facturación emitida por la CONAGUA y la CAEM;</w:t>
      </w:r>
    </w:p>
    <w:p w14:paraId="28037E9D" w14:textId="4D96E977" w:rsidR="005B21CC" w:rsidRPr="0066777E" w:rsidRDefault="005B21CC" w:rsidP="005B21CC">
      <w:pPr>
        <w:ind w:left="851" w:right="900"/>
        <w:jc w:val="both"/>
        <w:rPr>
          <w:rFonts w:ascii="Palatino Linotype" w:hAnsi="Palatino Linotype"/>
          <w:b/>
          <w:bCs/>
          <w:i/>
          <w:iCs/>
          <w:sz w:val="22"/>
          <w:szCs w:val="22"/>
        </w:rPr>
      </w:pPr>
      <w:r w:rsidRPr="0066777E">
        <w:rPr>
          <w:rFonts w:ascii="Palatino Linotype" w:hAnsi="Palatino Linotype"/>
          <w:i/>
          <w:iCs/>
          <w:sz w:val="22"/>
          <w:szCs w:val="22"/>
        </w:rPr>
        <w:t>...</w:t>
      </w:r>
    </w:p>
    <w:p w14:paraId="5A2E0399" w14:textId="3A68FC4B" w:rsidR="005B21CC" w:rsidRPr="0066777E" w:rsidRDefault="005B21CC" w:rsidP="005B21CC">
      <w:pPr>
        <w:ind w:left="851" w:right="900"/>
        <w:jc w:val="both"/>
        <w:rPr>
          <w:rFonts w:ascii="Palatino Linotype" w:hAnsi="Palatino Linotype"/>
          <w:i/>
          <w:iCs/>
          <w:sz w:val="22"/>
          <w:szCs w:val="22"/>
        </w:rPr>
      </w:pPr>
      <w:r w:rsidRPr="0066777E">
        <w:rPr>
          <w:rFonts w:ascii="Palatino Linotype" w:hAnsi="Palatino Linotype"/>
          <w:b/>
          <w:bCs/>
          <w:i/>
          <w:iCs/>
          <w:sz w:val="22"/>
          <w:szCs w:val="22"/>
        </w:rPr>
        <w:t>Artículo 73</w:t>
      </w:r>
      <w:r w:rsidRPr="0066777E">
        <w:rPr>
          <w:rFonts w:ascii="Palatino Linotype" w:hAnsi="Palatino Linotype"/>
          <w:i/>
          <w:iCs/>
          <w:sz w:val="22"/>
          <w:szCs w:val="22"/>
        </w:rPr>
        <w:t xml:space="preserve">.- La </w:t>
      </w:r>
      <w:r w:rsidRPr="0066777E">
        <w:rPr>
          <w:rFonts w:ascii="Palatino Linotype" w:hAnsi="Palatino Linotype"/>
          <w:b/>
          <w:bCs/>
          <w:i/>
          <w:iCs/>
          <w:sz w:val="22"/>
          <w:szCs w:val="22"/>
        </w:rPr>
        <w:t>Gerencia de Finanzas,</w:t>
      </w:r>
      <w:r w:rsidRPr="0066777E">
        <w:rPr>
          <w:rFonts w:ascii="Palatino Linotype" w:hAnsi="Palatino Linotype"/>
          <w:i/>
          <w:iCs/>
          <w:sz w:val="22"/>
          <w:szCs w:val="22"/>
        </w:rPr>
        <w:t xml:space="preserve"> estará a cargo de un titular, a quien se le denominará Gerente de Finanzas, quien responderá directamente del desempeño de sus funciones ante el Director de Administración y Finanzas y quien tendrá las siguientes atribuciones y facultades relativas a su cargo:</w:t>
      </w:r>
    </w:p>
    <w:p w14:paraId="4C534B64" w14:textId="0A698435" w:rsidR="005B21CC" w:rsidRPr="0066777E" w:rsidRDefault="005B21CC" w:rsidP="005B21CC">
      <w:pPr>
        <w:ind w:left="1134" w:right="900"/>
        <w:jc w:val="both"/>
        <w:rPr>
          <w:rFonts w:ascii="Palatino Linotype" w:hAnsi="Palatino Linotype"/>
          <w:b/>
          <w:bCs/>
          <w:i/>
          <w:iCs/>
          <w:sz w:val="22"/>
          <w:szCs w:val="22"/>
        </w:rPr>
      </w:pPr>
      <w:r w:rsidRPr="0066777E">
        <w:rPr>
          <w:rFonts w:ascii="Palatino Linotype" w:hAnsi="Palatino Linotype"/>
          <w:b/>
          <w:bCs/>
          <w:i/>
          <w:iCs/>
          <w:sz w:val="22"/>
          <w:szCs w:val="22"/>
        </w:rPr>
        <w:t>...</w:t>
      </w:r>
    </w:p>
    <w:p w14:paraId="324CF8B9" w14:textId="3EB60B5B" w:rsidR="005B21CC" w:rsidRPr="0066777E" w:rsidRDefault="005B21CC" w:rsidP="005B21CC">
      <w:pPr>
        <w:ind w:left="1134" w:right="900"/>
        <w:jc w:val="both"/>
        <w:rPr>
          <w:rFonts w:ascii="Palatino Linotype" w:hAnsi="Palatino Linotype"/>
          <w:i/>
          <w:iCs/>
          <w:sz w:val="22"/>
          <w:szCs w:val="22"/>
        </w:rPr>
      </w:pPr>
      <w:r w:rsidRPr="0066777E">
        <w:rPr>
          <w:rFonts w:ascii="Palatino Linotype" w:hAnsi="Palatino Linotype"/>
          <w:b/>
          <w:bCs/>
          <w:i/>
          <w:iCs/>
          <w:sz w:val="22"/>
          <w:szCs w:val="22"/>
        </w:rPr>
        <w:t>II</w:t>
      </w:r>
      <w:r w:rsidRPr="0066777E">
        <w:rPr>
          <w:rFonts w:ascii="Palatino Linotype" w:hAnsi="Palatino Linotype"/>
          <w:i/>
          <w:iCs/>
          <w:sz w:val="22"/>
          <w:szCs w:val="22"/>
        </w:rPr>
        <w:t>. Revisar y verificar todos los contratos, convenios y demás documentos que afecten el presupuesto del Organismo;”</w:t>
      </w:r>
    </w:p>
    <w:p w14:paraId="552EF32F" w14:textId="2DAB5FDF" w:rsidR="005143C5" w:rsidRPr="0066777E" w:rsidRDefault="005143C5" w:rsidP="005C7B4F">
      <w:pPr>
        <w:spacing w:before="240" w:after="240" w:line="360" w:lineRule="auto"/>
        <w:ind w:right="51"/>
        <w:jc w:val="both"/>
        <w:rPr>
          <w:rFonts w:ascii="Palatino Linotype" w:hAnsi="Palatino Linotype"/>
        </w:rPr>
      </w:pPr>
      <w:r w:rsidRPr="0066777E">
        <w:rPr>
          <w:rFonts w:ascii="Palatino Linotype" w:hAnsi="Palatino Linotype"/>
        </w:rPr>
        <w:t xml:space="preserve">En tal sentido </w:t>
      </w:r>
      <w:r w:rsidR="0065411E" w:rsidRPr="0066777E">
        <w:rPr>
          <w:rFonts w:ascii="Palatino Linotype" w:hAnsi="Palatino Linotype"/>
        </w:rPr>
        <w:t xml:space="preserve">si bien el Subgerente de </w:t>
      </w:r>
      <w:r w:rsidRPr="0066777E">
        <w:rPr>
          <w:rFonts w:ascii="Palatino Linotype" w:hAnsi="Palatino Linotype"/>
        </w:rPr>
        <w:t xml:space="preserve">Transparencia </w:t>
      </w:r>
      <w:r w:rsidR="0065411E" w:rsidRPr="0066777E">
        <w:rPr>
          <w:rFonts w:ascii="Palatino Linotype" w:hAnsi="Palatino Linotype"/>
        </w:rPr>
        <w:t xml:space="preserve">señaló que “una vez efectuado el proceso de consulta interna para la obtención de la información...” (sic), lo cierto es que no se tiene certeza de las áreas en las que se llevó a cabo la referida consulta o búsqueda, por lo tanto este Organismo Garamante no cuenta con elementos que permitan asegurar que se </w:t>
      </w:r>
      <w:r w:rsidRPr="0066777E">
        <w:rPr>
          <w:rFonts w:ascii="Palatino Linotype" w:hAnsi="Palatino Linotype"/>
        </w:rPr>
        <w:t>agot</w:t>
      </w:r>
      <w:r w:rsidR="0065411E" w:rsidRPr="0066777E">
        <w:rPr>
          <w:rFonts w:ascii="Palatino Linotype" w:hAnsi="Palatino Linotype"/>
        </w:rPr>
        <w:t xml:space="preserve">ó </w:t>
      </w:r>
      <w:r w:rsidRPr="0066777E">
        <w:rPr>
          <w:rFonts w:ascii="Palatino Linotype" w:hAnsi="Palatino Linotype"/>
        </w:rPr>
        <w:t>el procedimiento de búsqueda de la información,</w:t>
      </w:r>
      <w:r w:rsidR="0065411E" w:rsidRPr="0066777E">
        <w:rPr>
          <w:rFonts w:ascii="Palatino Linotype" w:hAnsi="Palatino Linotype"/>
        </w:rPr>
        <w:t xml:space="preserve"> máxime que </w:t>
      </w:r>
      <w:r w:rsidRPr="0066777E">
        <w:rPr>
          <w:rFonts w:ascii="Palatino Linotype" w:hAnsi="Palatino Linotype"/>
        </w:rPr>
        <w:t xml:space="preserve">no obra en el expediente electrónico pronunciamiento de las áreas que de acuerdo a sus atribuciones pudieran ser competentes para generar, administrar o poseer la información </w:t>
      </w:r>
      <w:r w:rsidR="0065411E" w:rsidRPr="0066777E">
        <w:rPr>
          <w:rFonts w:ascii="Palatino Linotype" w:hAnsi="Palatino Linotype"/>
        </w:rPr>
        <w:t>que es materia de la solicitud, r</w:t>
      </w:r>
      <w:r w:rsidR="008E50BA" w:rsidRPr="0066777E">
        <w:rPr>
          <w:rFonts w:ascii="Palatino Linotype" w:hAnsi="Palatino Linotype"/>
        </w:rPr>
        <w:t>azón por la cual se estima dable ordenar que se efectúe dicha búsqueda exhaustiva y razonable</w:t>
      </w:r>
      <w:r w:rsidR="009D704B" w:rsidRPr="0066777E">
        <w:rPr>
          <w:rFonts w:ascii="Palatino Linotype" w:hAnsi="Palatino Linotype"/>
        </w:rPr>
        <w:t xml:space="preserve">, y en caso de </w:t>
      </w:r>
      <w:r w:rsidR="009D704B" w:rsidRPr="0066777E">
        <w:rPr>
          <w:rFonts w:ascii="Palatino Linotype" w:hAnsi="Palatino Linotype"/>
        </w:rPr>
        <w:lastRenderedPageBreak/>
        <w:t>localizar información se proceda a su entrega en versión pública conforme al considerando siguiente.</w:t>
      </w:r>
    </w:p>
    <w:p w14:paraId="78138211" w14:textId="77777777" w:rsidR="009D704B" w:rsidRPr="0066777E" w:rsidRDefault="009D704B" w:rsidP="009D704B">
      <w:pPr>
        <w:spacing w:before="240" w:after="240" w:line="360" w:lineRule="auto"/>
        <w:jc w:val="both"/>
        <w:rPr>
          <w:rFonts w:ascii="Palatino Linotype" w:eastAsia="Palatino Linotype" w:hAnsi="Palatino Linotype" w:cs="Palatino Linotype"/>
        </w:rPr>
      </w:pPr>
      <w:r w:rsidRPr="0066777E">
        <w:rPr>
          <w:rFonts w:ascii="Palatino Linotype" w:hAnsi="Palatino Linotype"/>
        </w:rPr>
        <w:t xml:space="preserve">Sin embargo, toda vez que la normatividad aplicable al caso concreto no establece de manera precisa como una obligación la celebración de contratos o convenios por parte de los Organismos operadores de agua como lo es el </w:t>
      </w:r>
      <w:r w:rsidRPr="0066777E">
        <w:rPr>
          <w:rFonts w:ascii="Palatino Linotype" w:hAnsi="Palatino Linotype"/>
          <w:b/>
          <w:bCs/>
        </w:rPr>
        <w:t>Sujeto Obligado</w:t>
      </w:r>
      <w:r w:rsidRPr="0066777E">
        <w:rPr>
          <w:rFonts w:ascii="Palatino Linotype" w:hAnsi="Palatino Linotype"/>
        </w:rPr>
        <w:t xml:space="preserve">, con la Comisión del Agua del Estado de México, para el caso de que no se llegara a localizar información por no haberse generado, </w:t>
      </w:r>
      <w:r w:rsidRPr="0066777E">
        <w:rPr>
          <w:rFonts w:ascii="Palatino Linotype" w:eastAsia="Palatino Linotype" w:hAnsi="Palatino Linotype" w:cs="Palatino Linotype"/>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1F71D032" w14:textId="77777777" w:rsidR="009D704B" w:rsidRPr="0066777E" w:rsidRDefault="009D704B" w:rsidP="009D704B">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b/>
          <w:i/>
          <w:sz w:val="22"/>
          <w:szCs w:val="22"/>
        </w:rPr>
        <w:t>Artículo 19</w:t>
      </w:r>
      <w:r w:rsidRPr="0066777E">
        <w:rPr>
          <w:rFonts w:ascii="Palatino Linotype" w:eastAsia="Palatino Linotype" w:hAnsi="Palatino Linotype" w:cs="Palatino Linotype"/>
          <w:i/>
          <w:sz w:val="22"/>
          <w:szCs w:val="22"/>
        </w:rPr>
        <w:t>…</w:t>
      </w:r>
    </w:p>
    <w:p w14:paraId="6C4CD81E" w14:textId="77777777" w:rsidR="009D704B" w:rsidRPr="0066777E" w:rsidRDefault="009D704B" w:rsidP="009D704B">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1E9CD67" w14:textId="77777777" w:rsidR="00146545" w:rsidRPr="0066777E" w:rsidRDefault="00146545" w:rsidP="00146545">
      <w:pPr>
        <w:spacing w:before="240" w:after="240" w:line="360" w:lineRule="auto"/>
        <w:jc w:val="both"/>
        <w:rPr>
          <w:rFonts w:ascii="Palatino Linotype" w:hAnsi="Palatino Linotype"/>
          <w:i/>
          <w:iCs/>
          <w:sz w:val="22"/>
          <w:szCs w:val="22"/>
        </w:rPr>
      </w:pPr>
      <w:r w:rsidRPr="0066777E">
        <w:rPr>
          <w:rFonts w:ascii="Palatino Linotype" w:hAnsi="Palatino Linotype" w:cs="Arial"/>
        </w:rPr>
        <w:t>Siendo im</w:t>
      </w:r>
      <w:r w:rsidRPr="0066777E">
        <w:rPr>
          <w:rFonts w:ascii="Palatino Linotype" w:hAnsi="Palatino Linotype"/>
        </w:rPr>
        <w:t xml:space="preserve">procedente, en tal supuesto, la entrega de documento alguno, o en su caso, el Acuerdo de Inexistencia, toda vez que el pronunciamiento del </w:t>
      </w:r>
      <w:r w:rsidRPr="0066777E">
        <w:rPr>
          <w:rFonts w:ascii="Palatino Linotype" w:hAnsi="Palatino Linotype" w:cs="Arial"/>
          <w:b/>
        </w:rPr>
        <w:t>Sujeto Obligado</w:t>
      </w:r>
      <w:r w:rsidRPr="0066777E">
        <w:rPr>
          <w:rFonts w:ascii="Palatino Linotype" w:hAnsi="Palatino Linotype" w:cs="Arial"/>
        </w:rPr>
        <w:t xml:space="preserve"> </w:t>
      </w:r>
      <w:r w:rsidRPr="0066777E">
        <w:rPr>
          <w:rFonts w:ascii="Palatino Linotype" w:hAnsi="Palatino Linotype"/>
        </w:rPr>
        <w:t xml:space="preserve">declararía en automática la inexistencia de la información solicitada de modo que no existe obligación de justificar o allegar pruebas, y por ende no tiene aplicación lo </w:t>
      </w:r>
      <w:r w:rsidRPr="0066777E">
        <w:rPr>
          <w:rFonts w:ascii="Palatino Linotype" w:hAnsi="Palatino Linotype"/>
        </w:rPr>
        <w:lastRenderedPageBreak/>
        <w:t>estatuido en el artículo 49, fracción XIII</w:t>
      </w:r>
      <w:r w:rsidRPr="0066777E">
        <w:rPr>
          <w:rStyle w:val="Refdenotaalpie"/>
          <w:rFonts w:ascii="Palatino Linotype" w:hAnsi="Palatino Linotype"/>
        </w:rPr>
        <w:footnoteReference w:id="6"/>
      </w:r>
      <w:r w:rsidRPr="0066777E">
        <w:rPr>
          <w:rFonts w:ascii="Palatino Linotype" w:hAnsi="Palatino Linotype"/>
        </w:rPr>
        <w:t xml:space="preserve"> de la Ley de Transparencia y Acceso a la Información Pública del Estado de México y Municipios.</w:t>
      </w:r>
    </w:p>
    <w:p w14:paraId="1E4393C5" w14:textId="39D1A904" w:rsidR="00213579" w:rsidRPr="0066777E" w:rsidRDefault="009A6CA6">
      <w:pPr>
        <w:spacing w:before="240" w:after="240" w:line="360" w:lineRule="auto"/>
        <w:ind w:right="51"/>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De lo hasta aquí expuesto, se concluye que los motivos de inconformidad de la parte </w:t>
      </w:r>
      <w:r w:rsidRPr="0066777E">
        <w:rPr>
          <w:rFonts w:ascii="Palatino Linotype" w:eastAsia="Palatino Linotype" w:hAnsi="Palatino Linotype" w:cs="Palatino Linotype"/>
          <w:b/>
        </w:rPr>
        <w:t xml:space="preserve">Recurrente </w:t>
      </w:r>
      <w:r w:rsidRPr="0066777E">
        <w:rPr>
          <w:rFonts w:ascii="Palatino Linotype" w:eastAsia="Palatino Linotype" w:hAnsi="Palatino Linotype" w:cs="Palatino Linotype"/>
        </w:rPr>
        <w:t xml:space="preserve">devienen </w:t>
      </w:r>
      <w:r w:rsidR="00E83019" w:rsidRPr="0066777E">
        <w:rPr>
          <w:rFonts w:ascii="Palatino Linotype" w:eastAsia="Palatino Linotype" w:hAnsi="Palatino Linotype" w:cs="Palatino Linotype"/>
        </w:rPr>
        <w:t xml:space="preserve">parcialmente </w:t>
      </w:r>
      <w:r w:rsidRPr="0066777E">
        <w:rPr>
          <w:rFonts w:ascii="Palatino Linotype" w:eastAsia="Palatino Linotype" w:hAnsi="Palatino Linotype" w:cs="Palatino Linotype"/>
        </w:rPr>
        <w:t xml:space="preserve">fundados, siendo procedente </w:t>
      </w:r>
      <w:r w:rsidR="00FD1A57" w:rsidRPr="0066777E">
        <w:rPr>
          <w:rFonts w:ascii="Palatino Linotype" w:eastAsia="Palatino Linotype" w:hAnsi="Palatino Linotype" w:cs="Palatino Linotype"/>
          <w:i/>
        </w:rPr>
        <w:t>Revocar</w:t>
      </w:r>
      <w:r w:rsidRPr="0066777E">
        <w:rPr>
          <w:rFonts w:ascii="Palatino Linotype" w:eastAsia="Palatino Linotype" w:hAnsi="Palatino Linotype" w:cs="Palatino Linotype"/>
        </w:rPr>
        <w:t xml:space="preserve"> la respuesta proporcionada por el </w:t>
      </w:r>
      <w:r w:rsidRPr="0066777E">
        <w:rPr>
          <w:rFonts w:ascii="Palatino Linotype" w:eastAsia="Palatino Linotype" w:hAnsi="Palatino Linotype" w:cs="Palatino Linotype"/>
          <w:b/>
        </w:rPr>
        <w:t xml:space="preserve">Sujeto Obligado </w:t>
      </w:r>
      <w:r w:rsidRPr="0066777E">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188B626"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t>Quinto. Versión Pública.</w:t>
      </w:r>
      <w:r w:rsidRPr="0066777E">
        <w:rPr>
          <w:rFonts w:ascii="Palatino Linotype" w:eastAsia="Palatino Linotype" w:hAnsi="Palatino Linotype" w:cs="Palatino Linotype"/>
          <w:sz w:val="28"/>
          <w:szCs w:val="28"/>
        </w:rPr>
        <w:t xml:space="preserve"> </w:t>
      </w:r>
      <w:r w:rsidRPr="0066777E">
        <w:rPr>
          <w:rFonts w:ascii="Palatino Linotype" w:eastAsia="Palatino Linotype" w:hAnsi="Palatino Linotype" w:cs="Palatino Linotype"/>
        </w:rPr>
        <w:t>Finalmente, debe señalarse que de ser el caso en que los documentos que vayan a ser entregados por el</w:t>
      </w:r>
      <w:r w:rsidRPr="0066777E">
        <w:rPr>
          <w:rFonts w:ascii="Palatino Linotype" w:eastAsia="Palatino Linotype" w:hAnsi="Palatino Linotype" w:cs="Palatino Linotype"/>
          <w:b/>
        </w:rPr>
        <w:t xml:space="preserve"> </w:t>
      </w:r>
      <w:r w:rsidRPr="0066777E">
        <w:rPr>
          <w:rFonts w:ascii="Palatino Linotype" w:eastAsia="Palatino Linotype" w:hAnsi="Palatino Linotype" w:cs="Palatino Linotype"/>
        </w:rPr>
        <w:t xml:space="preserve">sujeto obligado, para dar cumplimiento a la presente resolución, contengan datos que deban ser clasificados, el </w:t>
      </w:r>
      <w:r w:rsidRPr="0066777E">
        <w:rPr>
          <w:rFonts w:ascii="Palatino Linotype" w:eastAsia="Palatino Linotype" w:hAnsi="Palatino Linotype" w:cs="Palatino Linotype"/>
          <w:b/>
        </w:rPr>
        <w:t>Sujeto Obligado</w:t>
      </w:r>
      <w:r w:rsidRPr="0066777E">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14C09185"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r w:rsidRPr="0066777E">
        <w:rPr>
          <w:rFonts w:ascii="Palatino Linotype" w:eastAsia="Palatino Linotype" w:hAnsi="Palatino Linotype" w:cs="Palatino Linotype"/>
        </w:rPr>
        <w:lastRenderedPageBreak/>
        <w:t>fracción I de la Ley de Transparencia y Acceso a la Información Pública del Estado de México y Municipios que establecen:</w:t>
      </w:r>
    </w:p>
    <w:p w14:paraId="3A9B5A42"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w:t>
      </w:r>
      <w:r w:rsidRPr="0066777E">
        <w:rPr>
          <w:rFonts w:ascii="Palatino Linotype" w:eastAsia="Palatino Linotype" w:hAnsi="Palatino Linotype" w:cs="Palatino Linotype"/>
          <w:b/>
          <w:i/>
          <w:sz w:val="22"/>
          <w:szCs w:val="22"/>
        </w:rPr>
        <w:t>Artículo 3</w:t>
      </w:r>
      <w:r w:rsidRPr="0066777E">
        <w:rPr>
          <w:rFonts w:ascii="Palatino Linotype" w:eastAsia="Palatino Linotype" w:hAnsi="Palatino Linotype" w:cs="Palatino Linotype"/>
          <w:i/>
          <w:sz w:val="22"/>
          <w:szCs w:val="22"/>
        </w:rPr>
        <w:t>. Para los efectos de la presente Ley se entenderá por:</w:t>
      </w:r>
    </w:p>
    <w:p w14:paraId="74E25FA1"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w:t>
      </w:r>
    </w:p>
    <w:p w14:paraId="2B7B9289"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IX. Datos personales</w:t>
      </w:r>
      <w:r w:rsidRPr="0066777E">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EB14CBD"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XX. Información clasificada</w:t>
      </w:r>
      <w:r w:rsidRPr="0066777E">
        <w:rPr>
          <w:rFonts w:ascii="Palatino Linotype" w:eastAsia="Palatino Linotype" w:hAnsi="Palatino Linotype" w:cs="Palatino Linotype"/>
          <w:i/>
          <w:sz w:val="22"/>
          <w:szCs w:val="22"/>
        </w:rPr>
        <w:t>: Aquella considerada por la presente Ley como reservada o confidencial;</w:t>
      </w:r>
    </w:p>
    <w:p w14:paraId="32D9C6A1"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 xml:space="preserve">XXI. Información confidencial: </w:t>
      </w:r>
      <w:r w:rsidRPr="0066777E">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A5CB67"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XLV. Versión pública:</w:t>
      </w:r>
      <w:r w:rsidRPr="0066777E">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E79221B"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w:t>
      </w:r>
    </w:p>
    <w:p w14:paraId="681E5107"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Artículo 91.</w:t>
      </w:r>
      <w:r w:rsidRPr="0066777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E1776F8"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Artículo 132.</w:t>
      </w:r>
      <w:r w:rsidRPr="0066777E">
        <w:rPr>
          <w:rFonts w:ascii="Palatino Linotype" w:eastAsia="Palatino Linotype" w:hAnsi="Palatino Linotype" w:cs="Palatino Linotype"/>
          <w:i/>
          <w:sz w:val="22"/>
          <w:szCs w:val="22"/>
        </w:rPr>
        <w:t xml:space="preserve"> La clasificación de la información se llevará a cabo en el momento en que:</w:t>
      </w:r>
    </w:p>
    <w:p w14:paraId="153C0AD9"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w:t>
      </w:r>
      <w:r w:rsidRPr="0066777E">
        <w:rPr>
          <w:rFonts w:ascii="Palatino Linotype" w:eastAsia="Palatino Linotype" w:hAnsi="Palatino Linotype" w:cs="Palatino Linotype"/>
          <w:i/>
          <w:sz w:val="22"/>
          <w:szCs w:val="22"/>
        </w:rPr>
        <w:t>. Se reciba una solicitud de acceso a la información;</w:t>
      </w:r>
    </w:p>
    <w:p w14:paraId="3B78D8F6"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II.</w:t>
      </w:r>
      <w:r w:rsidRPr="0066777E">
        <w:rPr>
          <w:rFonts w:ascii="Palatino Linotype" w:eastAsia="Palatino Linotype" w:hAnsi="Palatino Linotype" w:cs="Palatino Linotype"/>
          <w:i/>
          <w:sz w:val="22"/>
          <w:szCs w:val="22"/>
        </w:rPr>
        <w:t xml:space="preserve"> Se determine mediante resolución de autoridad competente; o</w:t>
      </w:r>
    </w:p>
    <w:p w14:paraId="26281CB3"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III.</w:t>
      </w:r>
      <w:r w:rsidRPr="0066777E">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BE1D5DE"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w:t>
      </w:r>
    </w:p>
    <w:p w14:paraId="51D6937E"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lastRenderedPageBreak/>
        <w:t>Artículo 143</w:t>
      </w:r>
      <w:r w:rsidRPr="0066777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FE52DB4"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w:t>
      </w:r>
      <w:r w:rsidRPr="0066777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6171F92"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II.</w:t>
      </w:r>
      <w:r w:rsidRPr="0066777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022DAF6"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III.</w:t>
      </w:r>
      <w:r w:rsidRPr="0066777E">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1436EEAE"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A6F3E7D"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8BCFA82"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4E31070"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14:paraId="55FA6FE7"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“Quincuagésimo sexto</w:t>
      </w:r>
      <w:r w:rsidRPr="0066777E">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3A3DB3F"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Quincuagésimo séptimo</w:t>
      </w:r>
      <w:r w:rsidRPr="0066777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01EA9B2"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w:t>
      </w:r>
      <w:r w:rsidRPr="0066777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360F923"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II.</w:t>
      </w:r>
      <w:r w:rsidRPr="0066777E">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6A42ADFF" w14:textId="77777777" w:rsidR="00213579" w:rsidRPr="0066777E" w:rsidRDefault="009A6CA6">
      <w:pPr>
        <w:spacing w:before="120" w:after="120"/>
        <w:ind w:left="1134"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III.</w:t>
      </w:r>
      <w:r w:rsidRPr="0066777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B19FA43"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4EA2A206" w14:textId="77777777" w:rsidR="00213579" w:rsidRPr="0066777E" w:rsidRDefault="009A6CA6">
      <w:pPr>
        <w:spacing w:before="120" w:after="120"/>
        <w:ind w:left="851" w:right="902"/>
        <w:jc w:val="both"/>
        <w:rPr>
          <w:rFonts w:ascii="Palatino Linotype" w:eastAsia="Palatino Linotype" w:hAnsi="Palatino Linotype" w:cs="Palatino Linotype"/>
          <w:i/>
          <w:sz w:val="22"/>
          <w:szCs w:val="22"/>
        </w:rPr>
      </w:pPr>
      <w:r w:rsidRPr="0066777E">
        <w:rPr>
          <w:rFonts w:ascii="Palatino Linotype" w:eastAsia="Palatino Linotype" w:hAnsi="Palatino Linotype" w:cs="Palatino Linotype"/>
          <w:b/>
          <w:i/>
          <w:sz w:val="22"/>
          <w:szCs w:val="22"/>
        </w:rPr>
        <w:t>Quincuagésimo octavo</w:t>
      </w:r>
      <w:r w:rsidRPr="0066777E">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502E972C"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6777E">
        <w:rPr>
          <w:rFonts w:ascii="Palatino Linotype" w:eastAsia="Palatino Linotype" w:hAnsi="Palatino Linotype" w:cs="Palatino Linotype"/>
          <w:b/>
        </w:rPr>
        <w:t>Sujeto Obligado</w:t>
      </w:r>
      <w:r w:rsidRPr="0066777E">
        <w:rPr>
          <w:rFonts w:ascii="Palatino Linotype" w:eastAsia="Palatino Linotype" w:hAnsi="Palatino Linotype" w:cs="Palatino Linotype"/>
        </w:rPr>
        <w:t xml:space="preserve"> a testar, suprimir o </w:t>
      </w:r>
      <w:r w:rsidRPr="0066777E">
        <w:rPr>
          <w:rFonts w:ascii="Palatino Linotype" w:eastAsia="Palatino Linotype" w:hAnsi="Palatino Linotype" w:cs="Palatino Linotype"/>
        </w:rPr>
        <w:lastRenderedPageBreak/>
        <w:t>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66A4868"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6"/>
        <w:tblW w:w="8828" w:type="dxa"/>
        <w:tblInd w:w="-113" w:type="dxa"/>
        <w:tblLayout w:type="fixed"/>
        <w:tblLook w:val="04A0" w:firstRow="1" w:lastRow="0" w:firstColumn="1" w:lastColumn="0" w:noHBand="0" w:noVBand="1"/>
      </w:tblPr>
      <w:tblGrid>
        <w:gridCol w:w="993"/>
        <w:gridCol w:w="3421"/>
        <w:gridCol w:w="968"/>
        <w:gridCol w:w="3446"/>
      </w:tblGrid>
      <w:tr w:rsidR="0066777E" w:rsidRPr="0066777E" w14:paraId="159817C3" w14:textId="77777777" w:rsidTr="000712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66873F4" w14:textId="77777777" w:rsidR="00213579" w:rsidRPr="0066777E" w:rsidRDefault="009A6CA6">
            <w:pPr>
              <w:jc w:val="center"/>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Parcial</w:t>
            </w:r>
          </w:p>
        </w:tc>
        <w:tc>
          <w:tcPr>
            <w:tcW w:w="4414" w:type="dxa"/>
            <w:gridSpan w:val="2"/>
          </w:tcPr>
          <w:p w14:paraId="00353DFF" w14:textId="77777777" w:rsidR="00213579" w:rsidRPr="0066777E" w:rsidRDefault="009A6CA6">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Total</w:t>
            </w:r>
          </w:p>
        </w:tc>
      </w:tr>
      <w:tr w:rsidR="0066777E" w:rsidRPr="0066777E" w14:paraId="451239F3" w14:textId="77777777" w:rsidTr="00071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6D44932" w14:textId="77777777" w:rsidR="00213579" w:rsidRPr="0066777E" w:rsidRDefault="009A6CA6">
            <w:pPr>
              <w:jc w:val="center"/>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Concepto</w:t>
            </w:r>
          </w:p>
        </w:tc>
        <w:tc>
          <w:tcPr>
            <w:tcW w:w="3421" w:type="dxa"/>
          </w:tcPr>
          <w:p w14:paraId="1908AB3C" w14:textId="77777777" w:rsidR="00213579" w:rsidRPr="0066777E" w:rsidRDefault="009A6CA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Dónde</w:t>
            </w:r>
          </w:p>
        </w:tc>
        <w:tc>
          <w:tcPr>
            <w:tcW w:w="968" w:type="dxa"/>
          </w:tcPr>
          <w:p w14:paraId="7C9DDEF0" w14:textId="77777777" w:rsidR="00213579" w:rsidRPr="0066777E" w:rsidRDefault="009A6CA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Concepto</w:t>
            </w:r>
          </w:p>
        </w:tc>
        <w:tc>
          <w:tcPr>
            <w:tcW w:w="3446" w:type="dxa"/>
          </w:tcPr>
          <w:p w14:paraId="4F7E8DC9" w14:textId="77777777" w:rsidR="00213579" w:rsidRPr="0066777E" w:rsidRDefault="009A6CA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Dónde</w:t>
            </w:r>
          </w:p>
        </w:tc>
      </w:tr>
      <w:tr w:rsidR="0066777E" w:rsidRPr="0066777E" w14:paraId="04C5CACE" w14:textId="77777777" w:rsidTr="000712E1">
        <w:tc>
          <w:tcPr>
            <w:cnfStyle w:val="001000000000" w:firstRow="0" w:lastRow="0" w:firstColumn="1" w:lastColumn="0" w:oddVBand="0" w:evenVBand="0" w:oddHBand="0" w:evenHBand="0" w:firstRowFirstColumn="0" w:firstRowLastColumn="0" w:lastRowFirstColumn="0" w:lastRowLastColumn="0"/>
            <w:tcW w:w="8828" w:type="dxa"/>
            <w:gridSpan w:val="4"/>
          </w:tcPr>
          <w:p w14:paraId="674608A0" w14:textId="77777777" w:rsidR="00213579" w:rsidRPr="0066777E" w:rsidRDefault="009A6CA6">
            <w:pPr>
              <w:jc w:val="center"/>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Sello oficial o logotipo del sujeto obligado</w:t>
            </w:r>
          </w:p>
        </w:tc>
      </w:tr>
      <w:tr w:rsidR="0066777E" w:rsidRPr="0066777E" w14:paraId="7673DBF6" w14:textId="77777777" w:rsidTr="00071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301EACC" w14:textId="77777777" w:rsidR="00213579" w:rsidRPr="0066777E" w:rsidRDefault="009A6CA6">
            <w:pPr>
              <w:jc w:val="both"/>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Fecha de clasificación</w:t>
            </w:r>
          </w:p>
        </w:tc>
        <w:tc>
          <w:tcPr>
            <w:tcW w:w="3421" w:type="dxa"/>
          </w:tcPr>
          <w:p w14:paraId="6B996328"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67DE792"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Fecha de clasificación</w:t>
            </w:r>
          </w:p>
        </w:tc>
        <w:tc>
          <w:tcPr>
            <w:tcW w:w="3446" w:type="dxa"/>
          </w:tcPr>
          <w:p w14:paraId="5729B78F"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66777E" w:rsidRPr="0066777E" w14:paraId="45B0130F" w14:textId="77777777" w:rsidTr="000712E1">
        <w:tc>
          <w:tcPr>
            <w:cnfStyle w:val="001000000000" w:firstRow="0" w:lastRow="0" w:firstColumn="1" w:lastColumn="0" w:oddVBand="0" w:evenVBand="0" w:oddHBand="0" w:evenHBand="0" w:firstRowFirstColumn="0" w:firstRowLastColumn="0" w:lastRowFirstColumn="0" w:lastRowLastColumn="0"/>
            <w:tcW w:w="993" w:type="dxa"/>
          </w:tcPr>
          <w:p w14:paraId="55CA659A" w14:textId="77777777" w:rsidR="00213579" w:rsidRPr="0066777E" w:rsidRDefault="009A6CA6">
            <w:pPr>
              <w:jc w:val="both"/>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Área</w:t>
            </w:r>
          </w:p>
        </w:tc>
        <w:tc>
          <w:tcPr>
            <w:tcW w:w="3421" w:type="dxa"/>
          </w:tcPr>
          <w:p w14:paraId="50A89AE3"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señalará el nombre del área del cual es titular quien clasifica.</w:t>
            </w:r>
          </w:p>
        </w:tc>
        <w:tc>
          <w:tcPr>
            <w:tcW w:w="968" w:type="dxa"/>
          </w:tcPr>
          <w:p w14:paraId="6F4ADD6A"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Área</w:t>
            </w:r>
          </w:p>
        </w:tc>
        <w:tc>
          <w:tcPr>
            <w:tcW w:w="3446" w:type="dxa"/>
          </w:tcPr>
          <w:p w14:paraId="261D1B61"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señalará el nombre del área de la cual es el titular quien clasifica.</w:t>
            </w:r>
          </w:p>
        </w:tc>
      </w:tr>
      <w:tr w:rsidR="0066777E" w:rsidRPr="0066777E" w14:paraId="4E78CE41" w14:textId="77777777" w:rsidTr="00071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ED7F07B" w14:textId="77777777" w:rsidR="00213579" w:rsidRPr="0066777E" w:rsidRDefault="009A6CA6">
            <w:pPr>
              <w:jc w:val="both"/>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Información reservada</w:t>
            </w:r>
          </w:p>
        </w:tc>
        <w:tc>
          <w:tcPr>
            <w:tcW w:w="3421" w:type="dxa"/>
          </w:tcPr>
          <w:p w14:paraId="0D3163D9"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AD0220C"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Reservado</w:t>
            </w:r>
          </w:p>
        </w:tc>
        <w:tc>
          <w:tcPr>
            <w:tcW w:w="3446" w:type="dxa"/>
          </w:tcPr>
          <w:p w14:paraId="5DB6F243"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Leyenda de información RESERVADA.</w:t>
            </w:r>
          </w:p>
        </w:tc>
      </w:tr>
      <w:tr w:rsidR="0066777E" w:rsidRPr="0066777E" w14:paraId="5446E07F" w14:textId="77777777" w:rsidTr="000712E1">
        <w:tc>
          <w:tcPr>
            <w:cnfStyle w:val="001000000000" w:firstRow="0" w:lastRow="0" w:firstColumn="1" w:lastColumn="0" w:oddVBand="0" w:evenVBand="0" w:oddHBand="0" w:evenHBand="0" w:firstRowFirstColumn="0" w:firstRowLastColumn="0" w:lastRowFirstColumn="0" w:lastRowLastColumn="0"/>
            <w:tcW w:w="993" w:type="dxa"/>
          </w:tcPr>
          <w:p w14:paraId="0B8D6C42" w14:textId="77777777" w:rsidR="00213579" w:rsidRPr="0066777E" w:rsidRDefault="009A6CA6">
            <w:pPr>
              <w:jc w:val="both"/>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Fundamento legal</w:t>
            </w:r>
          </w:p>
        </w:tc>
        <w:tc>
          <w:tcPr>
            <w:tcW w:w="3421" w:type="dxa"/>
          </w:tcPr>
          <w:p w14:paraId="4B7ECEE2"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AD382B3"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Periodo de reserva</w:t>
            </w:r>
          </w:p>
        </w:tc>
        <w:tc>
          <w:tcPr>
            <w:tcW w:w="3446" w:type="dxa"/>
          </w:tcPr>
          <w:p w14:paraId="7F49FB9E"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66777E" w:rsidRPr="0066777E" w14:paraId="3309B614" w14:textId="77777777" w:rsidTr="00071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E1F4AF8" w14:textId="77777777" w:rsidR="00213579" w:rsidRPr="0066777E" w:rsidRDefault="009A6CA6">
            <w:pPr>
              <w:jc w:val="both"/>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Ampliación del periodo de reserva</w:t>
            </w:r>
          </w:p>
        </w:tc>
        <w:tc>
          <w:tcPr>
            <w:tcW w:w="3421" w:type="dxa"/>
          </w:tcPr>
          <w:p w14:paraId="518BD5F9"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C9C8F0A"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Fundamento legal</w:t>
            </w:r>
          </w:p>
        </w:tc>
        <w:tc>
          <w:tcPr>
            <w:tcW w:w="3446" w:type="dxa"/>
          </w:tcPr>
          <w:p w14:paraId="1D286DD1"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66777E" w:rsidRPr="0066777E" w14:paraId="5CD3D4CB" w14:textId="77777777" w:rsidTr="000712E1">
        <w:tc>
          <w:tcPr>
            <w:cnfStyle w:val="001000000000" w:firstRow="0" w:lastRow="0" w:firstColumn="1" w:lastColumn="0" w:oddVBand="0" w:evenVBand="0" w:oddHBand="0" w:evenHBand="0" w:firstRowFirstColumn="0" w:firstRowLastColumn="0" w:lastRowFirstColumn="0" w:lastRowLastColumn="0"/>
            <w:tcW w:w="993" w:type="dxa"/>
          </w:tcPr>
          <w:p w14:paraId="169AFE3A" w14:textId="77777777" w:rsidR="00213579" w:rsidRPr="0066777E" w:rsidRDefault="009A6CA6">
            <w:pPr>
              <w:jc w:val="both"/>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Confidencial</w:t>
            </w:r>
          </w:p>
        </w:tc>
        <w:tc>
          <w:tcPr>
            <w:tcW w:w="3421" w:type="dxa"/>
          </w:tcPr>
          <w:p w14:paraId="5317AC32"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E35CBAF"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Ampliación del periodo de reserva</w:t>
            </w:r>
          </w:p>
        </w:tc>
        <w:tc>
          <w:tcPr>
            <w:tcW w:w="3446" w:type="dxa"/>
          </w:tcPr>
          <w:p w14:paraId="00D3EA65"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66777E" w:rsidRPr="0066777E" w14:paraId="7716D50B" w14:textId="77777777" w:rsidTr="00071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597611D" w14:textId="77777777" w:rsidR="00213579" w:rsidRPr="0066777E" w:rsidRDefault="009A6CA6">
            <w:pPr>
              <w:jc w:val="both"/>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Fundamento legal</w:t>
            </w:r>
          </w:p>
        </w:tc>
        <w:tc>
          <w:tcPr>
            <w:tcW w:w="3421" w:type="dxa"/>
          </w:tcPr>
          <w:p w14:paraId="5B757405"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43F0BF87"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Confidencial</w:t>
            </w:r>
          </w:p>
        </w:tc>
        <w:tc>
          <w:tcPr>
            <w:tcW w:w="3446" w:type="dxa"/>
          </w:tcPr>
          <w:p w14:paraId="05F08479"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Leyenda de información CONFIDENCIAL.</w:t>
            </w:r>
          </w:p>
        </w:tc>
      </w:tr>
      <w:tr w:rsidR="0066777E" w:rsidRPr="0066777E" w14:paraId="4B0AC778" w14:textId="77777777" w:rsidTr="000712E1">
        <w:tc>
          <w:tcPr>
            <w:cnfStyle w:val="001000000000" w:firstRow="0" w:lastRow="0" w:firstColumn="1" w:lastColumn="0" w:oddVBand="0" w:evenVBand="0" w:oddHBand="0" w:evenHBand="0" w:firstRowFirstColumn="0" w:firstRowLastColumn="0" w:lastRowFirstColumn="0" w:lastRowLastColumn="0"/>
            <w:tcW w:w="993" w:type="dxa"/>
          </w:tcPr>
          <w:p w14:paraId="41F804F3" w14:textId="77777777" w:rsidR="00213579" w:rsidRPr="0066777E" w:rsidRDefault="009A6CA6">
            <w:pPr>
              <w:jc w:val="both"/>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Rúbrica del titular del área</w:t>
            </w:r>
          </w:p>
        </w:tc>
        <w:tc>
          <w:tcPr>
            <w:tcW w:w="3421" w:type="dxa"/>
          </w:tcPr>
          <w:p w14:paraId="62E2C527"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Rúbrica autógrafa de quien clasifica.</w:t>
            </w:r>
          </w:p>
        </w:tc>
        <w:tc>
          <w:tcPr>
            <w:tcW w:w="968" w:type="dxa"/>
          </w:tcPr>
          <w:p w14:paraId="30B25212"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Fundamento legal</w:t>
            </w:r>
          </w:p>
        </w:tc>
        <w:tc>
          <w:tcPr>
            <w:tcW w:w="3446" w:type="dxa"/>
          </w:tcPr>
          <w:p w14:paraId="44033B67"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66777E" w:rsidRPr="0066777E" w14:paraId="1D8C101E" w14:textId="77777777" w:rsidTr="00071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7931364" w14:textId="77777777" w:rsidR="00213579" w:rsidRPr="0066777E" w:rsidRDefault="009A6CA6">
            <w:pPr>
              <w:jc w:val="both"/>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Fecha de desclasificación</w:t>
            </w:r>
          </w:p>
        </w:tc>
        <w:tc>
          <w:tcPr>
            <w:tcW w:w="3421" w:type="dxa"/>
          </w:tcPr>
          <w:p w14:paraId="605BEA7F"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anotará la fecha en que se desclasifica el documento.</w:t>
            </w:r>
          </w:p>
        </w:tc>
        <w:tc>
          <w:tcPr>
            <w:tcW w:w="968" w:type="dxa"/>
          </w:tcPr>
          <w:p w14:paraId="413FFE0D"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Rúbrica del titular del área</w:t>
            </w:r>
          </w:p>
        </w:tc>
        <w:tc>
          <w:tcPr>
            <w:tcW w:w="3446" w:type="dxa"/>
          </w:tcPr>
          <w:p w14:paraId="4F02127C"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Rúbrica autógrafa de quien clasifica.</w:t>
            </w:r>
          </w:p>
        </w:tc>
      </w:tr>
      <w:tr w:rsidR="0066777E" w:rsidRPr="0066777E" w14:paraId="7BD71826" w14:textId="77777777" w:rsidTr="000712E1">
        <w:tc>
          <w:tcPr>
            <w:cnfStyle w:val="001000000000" w:firstRow="0" w:lastRow="0" w:firstColumn="1" w:lastColumn="0" w:oddVBand="0" w:evenVBand="0" w:oddHBand="0" w:evenHBand="0" w:firstRowFirstColumn="0" w:firstRowLastColumn="0" w:lastRowFirstColumn="0" w:lastRowLastColumn="0"/>
            <w:tcW w:w="993" w:type="dxa"/>
          </w:tcPr>
          <w:p w14:paraId="2153060C" w14:textId="77777777" w:rsidR="00213579" w:rsidRPr="0066777E" w:rsidRDefault="009A6CA6">
            <w:pPr>
              <w:jc w:val="both"/>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lastRenderedPageBreak/>
              <w:t>Rúbrica y cargo del servidor público</w:t>
            </w:r>
          </w:p>
        </w:tc>
        <w:tc>
          <w:tcPr>
            <w:tcW w:w="3421" w:type="dxa"/>
          </w:tcPr>
          <w:p w14:paraId="091BC837"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Rúbrica autógrafa de quien desclasifica.</w:t>
            </w:r>
          </w:p>
        </w:tc>
        <w:tc>
          <w:tcPr>
            <w:tcW w:w="968" w:type="dxa"/>
          </w:tcPr>
          <w:p w14:paraId="09DC8EE5"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Fecha de desclasificación</w:t>
            </w:r>
          </w:p>
        </w:tc>
        <w:tc>
          <w:tcPr>
            <w:tcW w:w="3446" w:type="dxa"/>
          </w:tcPr>
          <w:p w14:paraId="6D62A169"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Se anotará la fecha en que se desclasifica.</w:t>
            </w:r>
          </w:p>
        </w:tc>
      </w:tr>
      <w:tr w:rsidR="0066777E" w:rsidRPr="0066777E" w14:paraId="5F8DF10C" w14:textId="77777777" w:rsidTr="00071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5C6764D" w14:textId="77777777" w:rsidR="00213579" w:rsidRPr="0066777E" w:rsidRDefault="00213579">
            <w:pPr>
              <w:jc w:val="both"/>
              <w:rPr>
                <w:rFonts w:ascii="Palatino Linotype" w:eastAsia="Palatino Linotype" w:hAnsi="Palatino Linotype" w:cs="Palatino Linotype"/>
                <w:sz w:val="12"/>
                <w:szCs w:val="12"/>
              </w:rPr>
            </w:pPr>
          </w:p>
        </w:tc>
        <w:tc>
          <w:tcPr>
            <w:tcW w:w="3421" w:type="dxa"/>
          </w:tcPr>
          <w:p w14:paraId="29B50B44" w14:textId="77777777" w:rsidR="00213579" w:rsidRPr="0066777E" w:rsidRDefault="0021357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217DF863"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Partes o secciones reservadas o confidenciales</w:t>
            </w:r>
          </w:p>
        </w:tc>
        <w:tc>
          <w:tcPr>
            <w:tcW w:w="3446" w:type="dxa"/>
          </w:tcPr>
          <w:p w14:paraId="78AEA8C8" w14:textId="77777777" w:rsidR="00213579" w:rsidRPr="0066777E"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 xml:space="preserve">En caso que una vez desclasificado el expediente, </w:t>
            </w:r>
            <w:proofErr w:type="spellStart"/>
            <w:r w:rsidRPr="0066777E">
              <w:rPr>
                <w:rFonts w:ascii="Palatino Linotype" w:eastAsia="Palatino Linotype" w:hAnsi="Palatino Linotype" w:cs="Palatino Linotype"/>
                <w:sz w:val="12"/>
                <w:szCs w:val="12"/>
              </w:rPr>
              <w:t>subsistanpartes</w:t>
            </w:r>
            <w:proofErr w:type="spellEnd"/>
            <w:r w:rsidRPr="0066777E">
              <w:rPr>
                <w:rFonts w:ascii="Palatino Linotype" w:eastAsia="Palatino Linotype" w:hAnsi="Palatino Linotype" w:cs="Palatino Linotype"/>
                <w:sz w:val="12"/>
                <w:szCs w:val="12"/>
              </w:rPr>
              <w:t xml:space="preserve"> o secciones del mismo reservadas o confidenciales, se señalará este hecho.</w:t>
            </w:r>
          </w:p>
        </w:tc>
      </w:tr>
      <w:tr w:rsidR="0066777E" w:rsidRPr="0066777E" w14:paraId="61B32B6A" w14:textId="77777777" w:rsidTr="000712E1">
        <w:tc>
          <w:tcPr>
            <w:cnfStyle w:val="001000000000" w:firstRow="0" w:lastRow="0" w:firstColumn="1" w:lastColumn="0" w:oddVBand="0" w:evenVBand="0" w:oddHBand="0" w:evenHBand="0" w:firstRowFirstColumn="0" w:firstRowLastColumn="0" w:lastRowFirstColumn="0" w:lastRowLastColumn="0"/>
            <w:tcW w:w="993" w:type="dxa"/>
          </w:tcPr>
          <w:p w14:paraId="636544E1" w14:textId="77777777" w:rsidR="00213579" w:rsidRPr="0066777E" w:rsidRDefault="00213579">
            <w:pPr>
              <w:jc w:val="both"/>
              <w:rPr>
                <w:rFonts w:ascii="Palatino Linotype" w:eastAsia="Palatino Linotype" w:hAnsi="Palatino Linotype" w:cs="Palatino Linotype"/>
                <w:sz w:val="12"/>
                <w:szCs w:val="12"/>
              </w:rPr>
            </w:pPr>
          </w:p>
        </w:tc>
        <w:tc>
          <w:tcPr>
            <w:tcW w:w="3421" w:type="dxa"/>
          </w:tcPr>
          <w:p w14:paraId="3F105EAE" w14:textId="77777777" w:rsidR="00213579" w:rsidRPr="0066777E" w:rsidRDefault="0021357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720D051C"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6777E">
              <w:rPr>
                <w:rFonts w:ascii="Palatino Linotype" w:eastAsia="Palatino Linotype" w:hAnsi="Palatino Linotype" w:cs="Palatino Linotype"/>
                <w:b/>
                <w:sz w:val="12"/>
                <w:szCs w:val="12"/>
              </w:rPr>
              <w:t>Rúbrica y cargo del servidor público</w:t>
            </w:r>
          </w:p>
        </w:tc>
        <w:tc>
          <w:tcPr>
            <w:tcW w:w="3446" w:type="dxa"/>
          </w:tcPr>
          <w:p w14:paraId="788A0372" w14:textId="77777777" w:rsidR="00213579" w:rsidRPr="0066777E"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6777E">
              <w:rPr>
                <w:rFonts w:ascii="Palatino Linotype" w:eastAsia="Palatino Linotype" w:hAnsi="Palatino Linotype" w:cs="Palatino Linotype"/>
                <w:sz w:val="12"/>
                <w:szCs w:val="12"/>
              </w:rPr>
              <w:t>Rúbrica autógrafa de quien desclasifica.</w:t>
            </w:r>
          </w:p>
        </w:tc>
      </w:tr>
    </w:tbl>
    <w:p w14:paraId="31957D37" w14:textId="77777777" w:rsidR="00213579" w:rsidRPr="0066777E" w:rsidRDefault="009A6CA6">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66777E">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EF17C8C" w14:textId="77777777" w:rsidR="00213579" w:rsidRPr="0066777E" w:rsidRDefault="009A6CA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6777E">
        <w:rPr>
          <w:rFonts w:ascii="Palatino Linotype" w:eastAsia="Palatino Linotype" w:hAnsi="Palatino Linotype" w:cs="Palatino Linotype"/>
          <w:b/>
        </w:rPr>
        <w:t>III. R E S U E L V E</w:t>
      </w:r>
    </w:p>
    <w:p w14:paraId="2143F156" w14:textId="449EC83D" w:rsidR="00213579" w:rsidRPr="0066777E" w:rsidRDefault="009A6CA6">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66777E">
        <w:rPr>
          <w:rFonts w:ascii="Palatino Linotype" w:eastAsia="Palatino Linotype" w:hAnsi="Palatino Linotype" w:cs="Palatino Linotype"/>
          <w:b/>
        </w:rPr>
        <w:t xml:space="preserve">Primero. </w:t>
      </w:r>
      <w:r w:rsidRPr="0066777E">
        <w:rPr>
          <w:rFonts w:ascii="Palatino Linotype" w:eastAsia="Palatino Linotype" w:hAnsi="Palatino Linotype" w:cs="Palatino Linotype"/>
        </w:rPr>
        <w:t>Resultan</w:t>
      </w:r>
      <w:r w:rsidRPr="0066777E">
        <w:rPr>
          <w:rFonts w:ascii="Palatino Linotype" w:eastAsia="Palatino Linotype" w:hAnsi="Palatino Linotype" w:cs="Palatino Linotype"/>
          <w:b/>
        </w:rPr>
        <w:t xml:space="preserve"> parcialmente fundados</w:t>
      </w:r>
      <w:r w:rsidRPr="0066777E">
        <w:rPr>
          <w:rFonts w:ascii="Palatino Linotype" w:eastAsia="Palatino Linotype" w:hAnsi="Palatino Linotype" w:cs="Palatino Linotype"/>
        </w:rPr>
        <w:t xml:space="preserve"> los motivos de inconformidad hechos valer por la parte </w:t>
      </w:r>
      <w:r w:rsidRPr="0066777E">
        <w:rPr>
          <w:rFonts w:ascii="Palatino Linotype" w:eastAsia="Palatino Linotype" w:hAnsi="Palatino Linotype" w:cs="Palatino Linotype"/>
          <w:b/>
        </w:rPr>
        <w:t xml:space="preserve">Recurrente </w:t>
      </w:r>
      <w:r w:rsidRPr="0066777E">
        <w:rPr>
          <w:rFonts w:ascii="Palatino Linotype" w:eastAsia="Palatino Linotype" w:hAnsi="Palatino Linotype" w:cs="Palatino Linotype"/>
        </w:rPr>
        <w:t xml:space="preserve">en el recurso de revisión </w:t>
      </w:r>
      <w:r w:rsidRPr="0066777E">
        <w:rPr>
          <w:rFonts w:ascii="Palatino Linotype" w:eastAsia="Palatino Linotype" w:hAnsi="Palatino Linotype" w:cs="Palatino Linotype"/>
          <w:b/>
        </w:rPr>
        <w:t>1</w:t>
      </w:r>
      <w:r w:rsidR="00FD1A57" w:rsidRPr="0066777E">
        <w:rPr>
          <w:rFonts w:ascii="Palatino Linotype" w:eastAsia="Palatino Linotype" w:hAnsi="Palatino Linotype" w:cs="Palatino Linotype"/>
          <w:b/>
        </w:rPr>
        <w:t>4359</w:t>
      </w:r>
      <w:r w:rsidRPr="0066777E">
        <w:rPr>
          <w:rFonts w:ascii="Palatino Linotype" w:eastAsia="Palatino Linotype" w:hAnsi="Palatino Linotype" w:cs="Palatino Linotype"/>
          <w:b/>
        </w:rPr>
        <w:t xml:space="preserve">/INFOEM/IP/RR/2022, </w:t>
      </w:r>
      <w:r w:rsidRPr="0066777E">
        <w:rPr>
          <w:rFonts w:ascii="Palatino Linotype" w:eastAsia="Palatino Linotype" w:hAnsi="Palatino Linotype" w:cs="Palatino Linotype"/>
        </w:rPr>
        <w:t xml:space="preserve">por lo que, en términos del Considerando </w:t>
      </w:r>
      <w:r w:rsidRPr="0066777E">
        <w:rPr>
          <w:rFonts w:ascii="Palatino Linotype" w:eastAsia="Palatino Linotype" w:hAnsi="Palatino Linotype" w:cs="Palatino Linotype"/>
          <w:b/>
        </w:rPr>
        <w:t>Cuarto</w:t>
      </w:r>
      <w:r w:rsidRPr="0066777E">
        <w:rPr>
          <w:rFonts w:ascii="Palatino Linotype" w:eastAsia="Palatino Linotype" w:hAnsi="Palatino Linotype" w:cs="Palatino Linotype"/>
        </w:rPr>
        <w:t xml:space="preserve"> de la presente resolución, se</w:t>
      </w:r>
      <w:r w:rsidRPr="0066777E">
        <w:rPr>
          <w:rFonts w:ascii="Palatino Linotype" w:eastAsia="Palatino Linotype" w:hAnsi="Palatino Linotype" w:cs="Palatino Linotype"/>
          <w:b/>
        </w:rPr>
        <w:t xml:space="preserve"> </w:t>
      </w:r>
      <w:r w:rsidR="00146545" w:rsidRPr="0066777E">
        <w:rPr>
          <w:rFonts w:ascii="Palatino Linotype" w:eastAsia="Palatino Linotype" w:hAnsi="Palatino Linotype" w:cs="Palatino Linotype"/>
          <w:b/>
        </w:rPr>
        <w:t>Revoca</w:t>
      </w:r>
      <w:r w:rsidR="00F57B69" w:rsidRPr="0066777E">
        <w:rPr>
          <w:rFonts w:ascii="Palatino Linotype" w:eastAsia="Palatino Linotype" w:hAnsi="Palatino Linotype" w:cs="Palatino Linotype"/>
          <w:b/>
        </w:rPr>
        <w:t xml:space="preserve"> </w:t>
      </w:r>
      <w:r w:rsidRPr="0066777E">
        <w:rPr>
          <w:rFonts w:ascii="Palatino Linotype" w:eastAsia="Palatino Linotype" w:hAnsi="Palatino Linotype" w:cs="Palatino Linotype"/>
        </w:rPr>
        <w:t>la respuesta</w:t>
      </w:r>
      <w:r w:rsidRPr="0066777E">
        <w:rPr>
          <w:rFonts w:ascii="Palatino Linotype" w:eastAsia="Palatino Linotype" w:hAnsi="Palatino Linotype" w:cs="Palatino Linotype"/>
          <w:b/>
        </w:rPr>
        <w:t xml:space="preserve"> </w:t>
      </w:r>
      <w:r w:rsidRPr="0066777E">
        <w:rPr>
          <w:rFonts w:ascii="Palatino Linotype" w:eastAsia="Palatino Linotype" w:hAnsi="Palatino Linotype" w:cs="Palatino Linotype"/>
        </w:rPr>
        <w:t xml:space="preserve">del </w:t>
      </w:r>
      <w:r w:rsidRPr="0066777E">
        <w:rPr>
          <w:rFonts w:ascii="Palatino Linotype" w:eastAsia="Palatino Linotype" w:hAnsi="Palatino Linotype" w:cs="Palatino Linotype"/>
          <w:b/>
        </w:rPr>
        <w:t>Sujeto Obligado.</w:t>
      </w:r>
    </w:p>
    <w:p w14:paraId="468E27FD" w14:textId="78BFA529"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t xml:space="preserve">Segundo. </w:t>
      </w:r>
      <w:r w:rsidRPr="0066777E">
        <w:rPr>
          <w:rFonts w:ascii="Palatino Linotype" w:eastAsia="Palatino Linotype" w:hAnsi="Palatino Linotype" w:cs="Palatino Linotype"/>
        </w:rPr>
        <w:t xml:space="preserve">Se </w:t>
      </w:r>
      <w:r w:rsidRPr="0066777E">
        <w:rPr>
          <w:rFonts w:ascii="Palatino Linotype" w:eastAsia="Palatino Linotype" w:hAnsi="Palatino Linotype" w:cs="Palatino Linotype"/>
          <w:b/>
        </w:rPr>
        <w:t>Ordena</w:t>
      </w:r>
      <w:r w:rsidRPr="0066777E">
        <w:rPr>
          <w:rFonts w:ascii="Palatino Linotype" w:eastAsia="Palatino Linotype" w:hAnsi="Palatino Linotype" w:cs="Palatino Linotype"/>
        </w:rPr>
        <w:t xml:space="preserve"> al </w:t>
      </w:r>
      <w:r w:rsidRPr="0066777E">
        <w:rPr>
          <w:rFonts w:ascii="Palatino Linotype" w:eastAsia="Palatino Linotype" w:hAnsi="Palatino Linotype" w:cs="Palatino Linotype"/>
          <w:b/>
        </w:rPr>
        <w:t>Sujeto Obligado</w:t>
      </w:r>
      <w:r w:rsidRPr="0066777E">
        <w:rPr>
          <w:rFonts w:ascii="Palatino Linotype" w:eastAsia="Palatino Linotype" w:hAnsi="Palatino Linotype" w:cs="Palatino Linotype"/>
        </w:rPr>
        <w:t xml:space="preserve">, en términos de los Considerandos </w:t>
      </w:r>
      <w:r w:rsidRPr="0066777E">
        <w:rPr>
          <w:rFonts w:ascii="Palatino Linotype" w:eastAsia="Palatino Linotype" w:hAnsi="Palatino Linotype" w:cs="Palatino Linotype"/>
          <w:b/>
        </w:rPr>
        <w:t xml:space="preserve">Cuarto </w:t>
      </w:r>
      <w:r w:rsidRPr="0066777E">
        <w:rPr>
          <w:rFonts w:ascii="Palatino Linotype" w:eastAsia="Palatino Linotype" w:hAnsi="Palatino Linotype" w:cs="Palatino Linotype"/>
        </w:rPr>
        <w:t xml:space="preserve">y </w:t>
      </w:r>
      <w:r w:rsidRPr="0066777E">
        <w:rPr>
          <w:rFonts w:ascii="Palatino Linotype" w:eastAsia="Palatino Linotype" w:hAnsi="Palatino Linotype" w:cs="Palatino Linotype"/>
          <w:b/>
        </w:rPr>
        <w:t xml:space="preserve">Quinto </w:t>
      </w:r>
      <w:r w:rsidRPr="0066777E">
        <w:rPr>
          <w:rFonts w:ascii="Palatino Linotype" w:eastAsia="Palatino Linotype" w:hAnsi="Palatino Linotype" w:cs="Palatino Linotype"/>
        </w:rPr>
        <w:t xml:space="preserve">de esta resolución, previa búsqueda exhaustiva y razonable, haga entrega, vía SAIMEX, en versión pública de ser necesario, </w:t>
      </w:r>
      <w:r w:rsidR="000712E1" w:rsidRPr="0066777E">
        <w:rPr>
          <w:rFonts w:ascii="Palatino Linotype" w:eastAsia="Palatino Linotype" w:hAnsi="Palatino Linotype" w:cs="Palatino Linotype"/>
        </w:rPr>
        <w:t xml:space="preserve">de </w:t>
      </w:r>
      <w:r w:rsidRPr="0066777E">
        <w:rPr>
          <w:rFonts w:ascii="Palatino Linotype" w:eastAsia="Palatino Linotype" w:hAnsi="Palatino Linotype" w:cs="Palatino Linotype"/>
        </w:rPr>
        <w:t>lo siguiente:</w:t>
      </w:r>
    </w:p>
    <w:p w14:paraId="681D93A9" w14:textId="428A90B5" w:rsidR="00FD1A57" w:rsidRPr="0066777E" w:rsidRDefault="00FD1A57" w:rsidP="00FD1A57">
      <w:pPr>
        <w:spacing w:before="240" w:after="240" w:line="360" w:lineRule="auto"/>
        <w:ind w:left="284" w:right="49"/>
        <w:jc w:val="both"/>
        <w:rPr>
          <w:rFonts w:ascii="Palatino Linotype" w:eastAsia="Palatino Linotype" w:hAnsi="Palatino Linotype" w:cs="Palatino Linotype"/>
        </w:rPr>
      </w:pPr>
      <w:bookmarkStart w:id="9" w:name="_heading=h.kelgs2428oa6" w:colFirst="0" w:colLast="0"/>
      <w:bookmarkEnd w:id="9"/>
      <w:r w:rsidRPr="0066777E">
        <w:rPr>
          <w:rFonts w:ascii="Palatino Linotype" w:eastAsia="Palatino Linotype" w:hAnsi="Palatino Linotype" w:cs="Palatino Linotype"/>
        </w:rPr>
        <w:lastRenderedPageBreak/>
        <w:t xml:space="preserve">1. Todos los convenios realizados por parte del Organismo Público Descentralizado para la Prestación de </w:t>
      </w:r>
      <w:r w:rsidR="0056603F" w:rsidRPr="0066777E">
        <w:rPr>
          <w:rFonts w:ascii="Palatino Linotype" w:eastAsia="Palatino Linotype" w:hAnsi="Palatino Linotype" w:cs="Palatino Linotype"/>
        </w:rPr>
        <w:t>l</w:t>
      </w:r>
      <w:r w:rsidRPr="0066777E">
        <w:rPr>
          <w:rFonts w:ascii="Palatino Linotype" w:eastAsia="Palatino Linotype" w:hAnsi="Palatino Linotype" w:cs="Palatino Linotype"/>
        </w:rPr>
        <w:t>os Servicios de Agua Potable Alcantarillado y Saneamiento del Municipio de Naucalpan de Juárez, con la Comisión del Agua del Estado de México, CAEM, del uno de enero de dos mil veinte al doce de agosto de dos mil veintidós.</w:t>
      </w:r>
    </w:p>
    <w:p w14:paraId="77C3041B" w14:textId="19760B74" w:rsidR="00213579" w:rsidRPr="0066777E" w:rsidRDefault="009A6CA6" w:rsidP="0056603F">
      <w:pPr>
        <w:spacing w:before="240" w:after="240"/>
        <w:ind w:left="284"/>
        <w:jc w:val="both"/>
        <w:rPr>
          <w:rFonts w:ascii="Palatino Linotype" w:eastAsia="Palatino Linotype" w:hAnsi="Palatino Linotype" w:cs="Palatino Linotype"/>
          <w:b/>
          <w:i/>
          <w:sz w:val="20"/>
          <w:szCs w:val="20"/>
        </w:rPr>
      </w:pPr>
      <w:r w:rsidRPr="0066777E">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66777E">
        <w:rPr>
          <w:rFonts w:ascii="Palatino Linotype" w:eastAsia="Palatino Linotype" w:hAnsi="Palatino Linotype" w:cs="Palatino Linotype"/>
          <w:b/>
          <w:i/>
          <w:sz w:val="20"/>
          <w:szCs w:val="20"/>
        </w:rPr>
        <w:t>Recurrente.</w:t>
      </w:r>
    </w:p>
    <w:p w14:paraId="4609170B" w14:textId="10FB9915" w:rsidR="0056603F" w:rsidRPr="0066777E" w:rsidRDefault="0056603F" w:rsidP="0056603F">
      <w:pPr>
        <w:ind w:left="284"/>
        <w:jc w:val="both"/>
        <w:rPr>
          <w:rFonts w:ascii="Palatino Linotype" w:eastAsia="Palatino Linotype" w:hAnsi="Palatino Linotype" w:cs="Palatino Linotype"/>
          <w:i/>
          <w:sz w:val="20"/>
          <w:szCs w:val="20"/>
        </w:rPr>
      </w:pPr>
      <w:r w:rsidRPr="0066777E">
        <w:rPr>
          <w:rFonts w:ascii="Palatino Linotype" w:eastAsia="Palatino Linotype" w:hAnsi="Palatino Linotype" w:cs="Palatino Linotype"/>
          <w:i/>
          <w:sz w:val="20"/>
          <w:szCs w:val="20"/>
        </w:rPr>
        <w:t xml:space="preserve">En el supuesto que la información ordenada no obre en los archivos del </w:t>
      </w:r>
      <w:r w:rsidRPr="0066777E">
        <w:rPr>
          <w:rFonts w:ascii="Palatino Linotype" w:eastAsia="Palatino Linotype" w:hAnsi="Palatino Linotype" w:cs="Palatino Linotype"/>
          <w:b/>
          <w:i/>
          <w:sz w:val="20"/>
          <w:szCs w:val="20"/>
        </w:rPr>
        <w:t xml:space="preserve">Sujeto Obligado </w:t>
      </w:r>
      <w:r w:rsidRPr="0066777E">
        <w:rPr>
          <w:rFonts w:ascii="Palatino Linotype" w:eastAsia="Palatino Linotype" w:hAnsi="Palatino Linotype" w:cs="Palatino Linotype"/>
          <w:i/>
          <w:sz w:val="20"/>
          <w:szCs w:val="20"/>
        </w:rPr>
        <w:t xml:space="preserve">por no haberse generado, bastará con que así lo haga del conocimiento de la parte </w:t>
      </w:r>
      <w:r w:rsidRPr="0066777E">
        <w:rPr>
          <w:rFonts w:ascii="Palatino Linotype" w:eastAsia="Palatino Linotype" w:hAnsi="Palatino Linotype" w:cs="Palatino Linotype"/>
          <w:b/>
          <w:i/>
          <w:sz w:val="20"/>
          <w:szCs w:val="20"/>
        </w:rPr>
        <w:t>Recurrente</w:t>
      </w:r>
      <w:r w:rsidRPr="0066777E">
        <w:rPr>
          <w:rFonts w:ascii="Palatino Linotype" w:eastAsia="Palatino Linotype" w:hAnsi="Palatino Linotype" w:cs="Palatino Linotype"/>
          <w:i/>
          <w:sz w:val="20"/>
          <w:szCs w:val="20"/>
        </w:rPr>
        <w:t>, de manera fundada y motivada, para tener por colmado el requerimiento de información.</w:t>
      </w:r>
    </w:p>
    <w:p w14:paraId="778E7405" w14:textId="3C22B2AD" w:rsidR="00213579" w:rsidRPr="0066777E" w:rsidRDefault="009A6CA6">
      <w:pPr>
        <w:spacing w:before="240" w:after="240" w:line="360" w:lineRule="auto"/>
        <w:jc w:val="both"/>
        <w:rPr>
          <w:rFonts w:ascii="Palatino Linotype" w:eastAsia="Palatino Linotype" w:hAnsi="Palatino Linotype" w:cs="Palatino Linotype"/>
          <w:b/>
        </w:rPr>
      </w:pPr>
      <w:r w:rsidRPr="0066777E">
        <w:rPr>
          <w:rFonts w:ascii="Palatino Linotype" w:eastAsia="Palatino Linotype" w:hAnsi="Palatino Linotype" w:cs="Palatino Linotype"/>
          <w:b/>
        </w:rPr>
        <w:t xml:space="preserve">Tercero. Notifíquese, </w:t>
      </w:r>
      <w:r w:rsidRPr="0066777E">
        <w:rPr>
          <w:rFonts w:ascii="Palatino Linotype" w:eastAsia="Palatino Linotype" w:hAnsi="Palatino Linotype" w:cs="Palatino Linotype"/>
        </w:rPr>
        <w:t>vía</w:t>
      </w:r>
      <w:r w:rsidRPr="0066777E">
        <w:rPr>
          <w:rFonts w:ascii="Palatino Linotype" w:eastAsia="Palatino Linotype" w:hAnsi="Palatino Linotype" w:cs="Palatino Linotype"/>
          <w:b/>
        </w:rPr>
        <w:t xml:space="preserve"> SAIMEX, </w:t>
      </w:r>
      <w:r w:rsidRPr="0066777E">
        <w:rPr>
          <w:rFonts w:ascii="Palatino Linotype" w:eastAsia="Palatino Linotype" w:hAnsi="Palatino Linotype" w:cs="Palatino Linotype"/>
        </w:rPr>
        <w:t xml:space="preserve">al Responsable de la Unidad de Transparencia del </w:t>
      </w:r>
      <w:r w:rsidRPr="0066777E">
        <w:rPr>
          <w:rFonts w:ascii="Palatino Linotype" w:eastAsia="Palatino Linotype" w:hAnsi="Palatino Linotype" w:cs="Palatino Linotype"/>
          <w:b/>
        </w:rPr>
        <w:t>Sujeto Obligado</w:t>
      </w:r>
      <w:r w:rsidRPr="0066777E">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66777E">
        <w:rPr>
          <w:rFonts w:ascii="Palatino Linotype" w:eastAsia="Palatino Linotype" w:hAnsi="Palatino Linotype" w:cs="Palatino Linotype"/>
          <w:b/>
        </w:rPr>
        <w:t>.</w:t>
      </w:r>
    </w:p>
    <w:p w14:paraId="2F05EBE3"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6777E">
        <w:rPr>
          <w:rFonts w:ascii="Palatino Linotype" w:eastAsia="Palatino Linotype" w:hAnsi="Palatino Linotype" w:cs="Palatino Linotype"/>
          <w:b/>
        </w:rPr>
        <w:t>Sujeto Obligado</w:t>
      </w:r>
      <w:r w:rsidRPr="0066777E">
        <w:rPr>
          <w:rFonts w:ascii="Palatino Linotype" w:eastAsia="Palatino Linotype" w:hAnsi="Palatino Linotype" w:cs="Palatino Linotype"/>
        </w:rPr>
        <w:t xml:space="preserve"> de manera fundada y motivada, podrá solicitar una ampliación de plazo para el cumplimiento de la presente resolución.</w:t>
      </w:r>
    </w:p>
    <w:p w14:paraId="113737EA" w14:textId="77777777" w:rsidR="00213579" w:rsidRPr="0066777E" w:rsidRDefault="009A6CA6">
      <w:pPr>
        <w:spacing w:before="240" w:after="240" w:line="360" w:lineRule="auto"/>
        <w:jc w:val="both"/>
        <w:rPr>
          <w:rFonts w:ascii="Palatino Linotype" w:eastAsia="Palatino Linotype" w:hAnsi="Palatino Linotype" w:cs="Palatino Linotype"/>
        </w:rPr>
      </w:pPr>
      <w:r w:rsidRPr="0066777E">
        <w:rPr>
          <w:rFonts w:ascii="Palatino Linotype" w:eastAsia="Palatino Linotype" w:hAnsi="Palatino Linotype" w:cs="Palatino Linotype"/>
          <w:b/>
        </w:rPr>
        <w:lastRenderedPageBreak/>
        <w:t xml:space="preserve">Cuarto.  Notifíquese, </w:t>
      </w:r>
      <w:r w:rsidRPr="0066777E">
        <w:rPr>
          <w:rFonts w:ascii="Palatino Linotype" w:eastAsia="Palatino Linotype" w:hAnsi="Palatino Linotype" w:cs="Palatino Linotype"/>
        </w:rPr>
        <w:t xml:space="preserve">vía </w:t>
      </w:r>
      <w:r w:rsidRPr="0066777E">
        <w:rPr>
          <w:rFonts w:ascii="Palatino Linotype" w:eastAsia="Palatino Linotype" w:hAnsi="Palatino Linotype" w:cs="Palatino Linotype"/>
          <w:b/>
        </w:rPr>
        <w:t>SAIMEX</w:t>
      </w:r>
      <w:r w:rsidRPr="0066777E">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E68B453" w14:textId="6C03B242" w:rsidR="00213579" w:rsidRPr="0066777E" w:rsidRDefault="009A6CA6">
      <w:pPr>
        <w:spacing w:line="360" w:lineRule="auto"/>
        <w:jc w:val="both"/>
        <w:rPr>
          <w:rFonts w:ascii="Palatino Linotype" w:eastAsia="Palatino Linotype" w:hAnsi="Palatino Linotype" w:cs="Palatino Linotype"/>
        </w:rPr>
      </w:pPr>
      <w:bookmarkStart w:id="10" w:name="_heading=h.4d34og8" w:colFirst="0" w:colLast="0"/>
      <w:bookmarkEnd w:id="10"/>
      <w:r w:rsidRPr="0066777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27E6A" w:rsidRPr="0066777E">
        <w:rPr>
          <w:rFonts w:ascii="Palatino Linotype" w:eastAsia="Palatino Linotype" w:hAnsi="Palatino Linotype" w:cs="Palatino Linotype"/>
        </w:rPr>
        <w:t>SEGUNDA</w:t>
      </w:r>
      <w:r w:rsidR="00E83019" w:rsidRPr="0066777E">
        <w:rPr>
          <w:rFonts w:ascii="Palatino Linotype" w:eastAsia="Palatino Linotype" w:hAnsi="Palatino Linotype" w:cs="Palatino Linotype"/>
        </w:rPr>
        <w:t xml:space="preserve"> </w:t>
      </w:r>
      <w:r w:rsidRPr="0066777E">
        <w:rPr>
          <w:rFonts w:ascii="Palatino Linotype" w:eastAsia="Palatino Linotype" w:hAnsi="Palatino Linotype" w:cs="Palatino Linotype"/>
        </w:rPr>
        <w:t xml:space="preserve">SESIÓN ORDINARIA CELEBRADA EL </w:t>
      </w:r>
      <w:r w:rsidR="00027E6A" w:rsidRPr="0066777E">
        <w:rPr>
          <w:rFonts w:ascii="Palatino Linotype" w:eastAsia="Palatino Linotype" w:hAnsi="Palatino Linotype" w:cs="Palatino Linotype"/>
        </w:rPr>
        <w:t>DIECIOCHO DE ENERO</w:t>
      </w:r>
      <w:r w:rsidRPr="0066777E">
        <w:rPr>
          <w:rFonts w:ascii="Palatino Linotype" w:eastAsia="Palatino Linotype" w:hAnsi="Palatino Linotype" w:cs="Palatino Linotype"/>
        </w:rPr>
        <w:t xml:space="preserve"> DE DOS MIL VEINTI</w:t>
      </w:r>
      <w:r w:rsidR="00027E6A" w:rsidRPr="0066777E">
        <w:rPr>
          <w:rFonts w:ascii="Palatino Linotype" w:eastAsia="Palatino Linotype" w:hAnsi="Palatino Linotype" w:cs="Palatino Linotype"/>
        </w:rPr>
        <w:t>TRÉS</w:t>
      </w:r>
      <w:r w:rsidRPr="0066777E">
        <w:rPr>
          <w:rFonts w:ascii="Palatino Linotype" w:eastAsia="Palatino Linotype" w:hAnsi="Palatino Linotype" w:cs="Palatino Linotype"/>
        </w:rPr>
        <w:t>, ANTE EL SECRETARIO TÉCNICO DEL PLENO ALEXIS TAPIA RAMÍREZ.</w:t>
      </w:r>
    </w:p>
    <w:p w14:paraId="61DA7CFD" w14:textId="77777777" w:rsidR="00213579" w:rsidRPr="0066777E" w:rsidRDefault="00213579">
      <w:pPr>
        <w:rPr>
          <w:rFonts w:ascii="Palatino Linotype" w:eastAsia="Palatino Linotype" w:hAnsi="Palatino Linotype" w:cs="Palatino Linotype"/>
        </w:rPr>
      </w:pPr>
    </w:p>
    <w:p w14:paraId="15F9CF87" w14:textId="639DC5D0" w:rsidR="00213579" w:rsidRPr="0066777E" w:rsidRDefault="000C26BC">
      <w:pPr>
        <w:rPr>
          <w:rFonts w:ascii="Palatino Linotype" w:eastAsia="Palatino Linotype" w:hAnsi="Palatino Linotype" w:cs="Palatino Linotype"/>
        </w:rPr>
      </w:pPr>
      <w:r w:rsidRPr="0066777E">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6BAA11E" wp14:editId="2880793C">
                <wp:simplePos x="0" y="0"/>
                <wp:positionH relativeFrom="margin">
                  <wp:align>right</wp:align>
                </wp:positionH>
                <wp:positionV relativeFrom="paragraph">
                  <wp:posOffset>50165</wp:posOffset>
                </wp:positionV>
                <wp:extent cx="5514975" cy="164782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514975" cy="1647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E220DB"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95pt" to="817.3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" strokecolor="black [3200]" strokeweight="2pt">
                <v:shadow on="t" color="black" opacity="24903f" origin=",.5" offset="0,.55556mm"/>
                <w10:wrap anchorx="margin"/>
              </v:line>
            </w:pict>
          </mc:Fallback>
        </mc:AlternateContent>
      </w:r>
    </w:p>
    <w:p w14:paraId="2B9B2AD0" w14:textId="77777777" w:rsidR="00213579" w:rsidRPr="0066777E" w:rsidRDefault="00213579">
      <w:pPr>
        <w:rPr>
          <w:rFonts w:ascii="Palatino Linotype" w:eastAsia="Palatino Linotype" w:hAnsi="Palatino Linotype" w:cs="Palatino Linotype"/>
        </w:rPr>
      </w:pPr>
    </w:p>
    <w:p w14:paraId="7AC62CF3" w14:textId="77777777" w:rsidR="00213579" w:rsidRPr="0066777E" w:rsidRDefault="00213579">
      <w:pPr>
        <w:rPr>
          <w:rFonts w:ascii="Palatino Linotype" w:eastAsia="Palatino Linotype" w:hAnsi="Palatino Linotype" w:cs="Palatino Linotype"/>
        </w:rPr>
      </w:pPr>
    </w:p>
    <w:p w14:paraId="1FB759BF" w14:textId="77777777" w:rsidR="00213579" w:rsidRPr="0066777E" w:rsidRDefault="00213579">
      <w:pPr>
        <w:rPr>
          <w:rFonts w:ascii="Palatino Linotype" w:eastAsia="Palatino Linotype" w:hAnsi="Palatino Linotype" w:cs="Palatino Linotype"/>
        </w:rPr>
      </w:pPr>
    </w:p>
    <w:p w14:paraId="57FAA46A" w14:textId="77777777" w:rsidR="00213579" w:rsidRPr="0066777E" w:rsidRDefault="00213579">
      <w:pPr>
        <w:rPr>
          <w:rFonts w:ascii="Palatino Linotype" w:eastAsia="Palatino Linotype" w:hAnsi="Palatino Linotype" w:cs="Palatino Linotype"/>
        </w:rPr>
      </w:pPr>
    </w:p>
    <w:p w14:paraId="458260E8" w14:textId="77777777" w:rsidR="00213579" w:rsidRPr="0066777E" w:rsidRDefault="00213579">
      <w:pPr>
        <w:rPr>
          <w:rFonts w:ascii="Palatino Linotype" w:eastAsia="Palatino Linotype" w:hAnsi="Palatino Linotype" w:cs="Palatino Linotype"/>
        </w:rPr>
      </w:pPr>
    </w:p>
    <w:p w14:paraId="35CC7B6C" w14:textId="77777777" w:rsidR="00213579" w:rsidRPr="0066777E" w:rsidRDefault="00213579">
      <w:pPr>
        <w:rPr>
          <w:rFonts w:ascii="Palatino Linotype" w:eastAsia="Palatino Linotype" w:hAnsi="Palatino Linotype" w:cs="Palatino Linotype"/>
        </w:rPr>
      </w:pPr>
    </w:p>
    <w:p w14:paraId="00A7C198" w14:textId="77777777" w:rsidR="00213579" w:rsidRPr="0066777E" w:rsidRDefault="00213579">
      <w:pPr>
        <w:rPr>
          <w:rFonts w:ascii="Palatino Linotype" w:eastAsia="Palatino Linotype" w:hAnsi="Palatino Linotype" w:cs="Palatino Linotype"/>
        </w:rPr>
      </w:pPr>
    </w:p>
    <w:p w14:paraId="3EBA9226" w14:textId="77777777" w:rsidR="00213579" w:rsidRPr="0066777E" w:rsidRDefault="00213579">
      <w:pPr>
        <w:rPr>
          <w:rFonts w:ascii="Palatino Linotype" w:eastAsia="Palatino Linotype" w:hAnsi="Palatino Linotype" w:cs="Palatino Linotype"/>
        </w:rPr>
      </w:pPr>
    </w:p>
    <w:p w14:paraId="1685A2E9" w14:textId="77777777" w:rsidR="00213579" w:rsidRPr="0066777E" w:rsidRDefault="00213579">
      <w:pPr>
        <w:rPr>
          <w:rFonts w:ascii="Palatino Linotype" w:eastAsia="Palatino Linotype" w:hAnsi="Palatino Linotype" w:cs="Palatino Linotype"/>
        </w:rPr>
      </w:pPr>
    </w:p>
    <w:p w14:paraId="1FC78130" w14:textId="77777777" w:rsidR="00213579" w:rsidRPr="0066777E" w:rsidRDefault="00213579">
      <w:pPr>
        <w:spacing w:line="360" w:lineRule="auto"/>
        <w:jc w:val="both"/>
        <w:rPr>
          <w:rFonts w:ascii="Palatino Linotype" w:eastAsia="Palatino Linotype" w:hAnsi="Palatino Linotype" w:cs="Palatino Linotype"/>
        </w:rPr>
      </w:pPr>
      <w:bookmarkStart w:id="11" w:name="_heading=h.3rdcrjn" w:colFirst="0" w:colLast="0"/>
      <w:bookmarkEnd w:id="11"/>
    </w:p>
    <w:p w14:paraId="43B3DF49" w14:textId="77777777" w:rsidR="00213579" w:rsidRPr="0066777E" w:rsidRDefault="00213579">
      <w:pPr>
        <w:spacing w:line="360" w:lineRule="auto"/>
        <w:jc w:val="both"/>
        <w:rPr>
          <w:rFonts w:ascii="Palatino Linotype" w:eastAsia="Palatino Linotype" w:hAnsi="Palatino Linotype" w:cs="Palatino Linotype"/>
        </w:rPr>
      </w:pPr>
    </w:p>
    <w:p w14:paraId="6689CCFB" w14:textId="77777777" w:rsidR="00213579" w:rsidRPr="0066777E" w:rsidRDefault="00213579">
      <w:pPr>
        <w:spacing w:line="360" w:lineRule="auto"/>
        <w:jc w:val="both"/>
        <w:rPr>
          <w:rFonts w:ascii="Palatino Linotype" w:eastAsia="Palatino Linotype" w:hAnsi="Palatino Linotype" w:cs="Palatino Linotype"/>
        </w:rPr>
      </w:pPr>
    </w:p>
    <w:p w14:paraId="4F89B4BD" w14:textId="77777777" w:rsidR="00213579" w:rsidRPr="0066777E" w:rsidRDefault="00213579">
      <w:pPr>
        <w:spacing w:line="360" w:lineRule="auto"/>
        <w:jc w:val="both"/>
        <w:rPr>
          <w:rFonts w:ascii="Palatino Linotype" w:eastAsia="Palatino Linotype" w:hAnsi="Palatino Linotype" w:cs="Palatino Linotype"/>
        </w:rPr>
      </w:pPr>
      <w:bookmarkStart w:id="12" w:name="_heading=h.1t3h5sf" w:colFirst="0" w:colLast="0"/>
      <w:bookmarkEnd w:id="12"/>
    </w:p>
    <w:p w14:paraId="70E7A4A7" w14:textId="77777777" w:rsidR="00213579" w:rsidRPr="0066777E" w:rsidRDefault="00213579">
      <w:pPr>
        <w:spacing w:line="360" w:lineRule="auto"/>
        <w:jc w:val="both"/>
        <w:rPr>
          <w:rFonts w:ascii="Palatino Linotype" w:eastAsia="Palatino Linotype" w:hAnsi="Palatino Linotype" w:cs="Palatino Linotype"/>
        </w:rPr>
      </w:pPr>
    </w:p>
    <w:p w14:paraId="01A48D63" w14:textId="77777777" w:rsidR="00213579" w:rsidRPr="0066777E" w:rsidRDefault="00213579">
      <w:pPr>
        <w:spacing w:line="360" w:lineRule="auto"/>
        <w:jc w:val="both"/>
        <w:rPr>
          <w:rFonts w:ascii="Palatino Linotype" w:eastAsia="Palatino Linotype" w:hAnsi="Palatino Linotype" w:cs="Palatino Linotype"/>
        </w:rPr>
      </w:pPr>
    </w:p>
    <w:p w14:paraId="20D0C60A" w14:textId="77777777" w:rsidR="00213579" w:rsidRPr="0066777E" w:rsidRDefault="00213579">
      <w:pPr>
        <w:spacing w:line="360" w:lineRule="auto"/>
        <w:jc w:val="both"/>
        <w:rPr>
          <w:rFonts w:ascii="Palatino Linotype" w:eastAsia="Palatino Linotype" w:hAnsi="Palatino Linotype" w:cs="Palatino Linotype"/>
        </w:rPr>
      </w:pPr>
    </w:p>
    <w:p w14:paraId="044A3485" w14:textId="77777777" w:rsidR="00213579" w:rsidRPr="0066777E" w:rsidRDefault="00213579">
      <w:pPr>
        <w:spacing w:line="360" w:lineRule="auto"/>
        <w:jc w:val="both"/>
        <w:rPr>
          <w:rFonts w:ascii="Palatino Linotype" w:eastAsia="Palatino Linotype" w:hAnsi="Palatino Linotype" w:cs="Palatino Linotype"/>
        </w:rPr>
      </w:pPr>
    </w:p>
    <w:p w14:paraId="2DCD8ADA" w14:textId="77777777" w:rsidR="00213579" w:rsidRPr="0066777E" w:rsidRDefault="00213579">
      <w:pPr>
        <w:spacing w:line="360" w:lineRule="auto"/>
        <w:jc w:val="both"/>
        <w:rPr>
          <w:rFonts w:ascii="Palatino Linotype" w:eastAsia="Palatino Linotype" w:hAnsi="Palatino Linotype" w:cs="Palatino Linotype"/>
        </w:rPr>
      </w:pPr>
    </w:p>
    <w:p w14:paraId="415495B0" w14:textId="77777777" w:rsidR="00213579" w:rsidRPr="0066777E" w:rsidRDefault="00213579">
      <w:pPr>
        <w:spacing w:line="360" w:lineRule="auto"/>
        <w:jc w:val="both"/>
        <w:rPr>
          <w:rFonts w:ascii="Palatino Linotype" w:eastAsia="Palatino Linotype" w:hAnsi="Palatino Linotype" w:cs="Palatino Linotype"/>
        </w:rPr>
      </w:pPr>
    </w:p>
    <w:p w14:paraId="64FF63E1" w14:textId="77777777" w:rsidR="00213579" w:rsidRPr="0066777E" w:rsidRDefault="00213579">
      <w:pPr>
        <w:spacing w:line="360" w:lineRule="auto"/>
        <w:jc w:val="both"/>
        <w:rPr>
          <w:rFonts w:ascii="Palatino Linotype" w:eastAsia="Palatino Linotype" w:hAnsi="Palatino Linotype" w:cs="Palatino Linotype"/>
        </w:rPr>
      </w:pPr>
    </w:p>
    <w:p w14:paraId="34A7964A" w14:textId="77777777" w:rsidR="00213579" w:rsidRPr="0066777E" w:rsidRDefault="00213579">
      <w:pPr>
        <w:spacing w:line="360" w:lineRule="auto"/>
        <w:jc w:val="both"/>
        <w:rPr>
          <w:rFonts w:ascii="Palatino Linotype" w:eastAsia="Palatino Linotype" w:hAnsi="Palatino Linotype" w:cs="Palatino Linotype"/>
        </w:rPr>
      </w:pPr>
    </w:p>
    <w:p w14:paraId="1C3D6FC6" w14:textId="77777777" w:rsidR="00213579" w:rsidRPr="0066777E" w:rsidRDefault="00213579">
      <w:pPr>
        <w:spacing w:line="360" w:lineRule="auto"/>
        <w:jc w:val="both"/>
        <w:rPr>
          <w:rFonts w:ascii="Palatino Linotype" w:eastAsia="Palatino Linotype" w:hAnsi="Palatino Linotype" w:cs="Palatino Linotype"/>
        </w:rPr>
      </w:pPr>
    </w:p>
    <w:p w14:paraId="7BF5BF11" w14:textId="77777777" w:rsidR="00213579" w:rsidRPr="0066777E" w:rsidRDefault="00213579">
      <w:pPr>
        <w:spacing w:line="360" w:lineRule="auto"/>
        <w:jc w:val="both"/>
        <w:rPr>
          <w:rFonts w:ascii="Palatino Linotype" w:eastAsia="Palatino Linotype" w:hAnsi="Palatino Linotype" w:cs="Palatino Linotype"/>
        </w:rPr>
      </w:pPr>
    </w:p>
    <w:p w14:paraId="1DAFDB99" w14:textId="77777777" w:rsidR="00213579" w:rsidRPr="0066777E" w:rsidRDefault="00213579">
      <w:pPr>
        <w:spacing w:line="360" w:lineRule="auto"/>
        <w:jc w:val="both"/>
        <w:rPr>
          <w:rFonts w:ascii="Palatino Linotype" w:eastAsia="Palatino Linotype" w:hAnsi="Palatino Linotype" w:cs="Palatino Linotype"/>
        </w:rPr>
      </w:pPr>
    </w:p>
    <w:sectPr w:rsidR="00213579" w:rsidRPr="0066777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65C6D" w14:textId="77777777" w:rsidR="00AC5A1A" w:rsidRDefault="00AC5A1A">
      <w:r>
        <w:separator/>
      </w:r>
    </w:p>
  </w:endnote>
  <w:endnote w:type="continuationSeparator" w:id="0">
    <w:p w14:paraId="14E31E3E" w14:textId="77777777" w:rsidR="00AC5A1A" w:rsidRDefault="00AC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0629F" w14:textId="77777777" w:rsidR="000A5F2C" w:rsidRDefault="000A5F2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76EF4">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76EF4">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18144F8C" w14:textId="77777777" w:rsidR="000A5F2C" w:rsidRDefault="000A5F2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352F" w14:textId="77777777" w:rsidR="000A5F2C" w:rsidRDefault="000A5F2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76EF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76EF4">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69BD0B16" w14:textId="77777777" w:rsidR="000A5F2C" w:rsidRDefault="000A5F2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9497B" w14:textId="77777777" w:rsidR="00AC5A1A" w:rsidRDefault="00AC5A1A">
      <w:r>
        <w:separator/>
      </w:r>
    </w:p>
  </w:footnote>
  <w:footnote w:type="continuationSeparator" w:id="0">
    <w:p w14:paraId="07D7B47E" w14:textId="77777777" w:rsidR="00AC5A1A" w:rsidRDefault="00AC5A1A">
      <w:r>
        <w:continuationSeparator/>
      </w:r>
    </w:p>
  </w:footnote>
  <w:footnote w:id="1">
    <w:p w14:paraId="3D567D9D" w14:textId="77777777" w:rsidR="000A5F2C" w:rsidRPr="006A4D47" w:rsidRDefault="000A5F2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6A4D47">
        <w:rPr>
          <w:rFonts w:ascii="Palatino Linotype" w:hAnsi="Palatino Linotype"/>
          <w:sz w:val="16"/>
          <w:szCs w:val="16"/>
          <w:vertAlign w:val="superscript"/>
        </w:rPr>
        <w:footnoteRef/>
      </w:r>
      <w:r w:rsidRPr="006A4D47">
        <w:rPr>
          <w:rFonts w:ascii="Palatino Linotype" w:eastAsia="Palatino Linotype" w:hAnsi="Palatino Linotype" w:cs="Palatino Linotype"/>
          <w:color w:val="000000"/>
          <w:sz w:val="16"/>
          <w:szCs w:val="16"/>
        </w:rPr>
        <w:t xml:space="preserve"> “</w:t>
      </w:r>
      <w:r w:rsidRPr="006A4D47">
        <w:rPr>
          <w:rFonts w:ascii="Palatino Linotype" w:eastAsia="Palatino Linotype" w:hAnsi="Palatino Linotype" w:cs="Palatino Linotype"/>
          <w:b/>
          <w:color w:val="000000"/>
          <w:sz w:val="16"/>
          <w:szCs w:val="16"/>
        </w:rPr>
        <w:t>Artículo 185.</w:t>
      </w:r>
      <w:r w:rsidRPr="006A4D47">
        <w:rPr>
          <w:rFonts w:ascii="Palatino Linotype" w:eastAsia="Palatino Linotype" w:hAnsi="Palatino Linotype" w:cs="Palatino Linotype"/>
          <w:color w:val="000000"/>
          <w:sz w:val="16"/>
          <w:szCs w:val="16"/>
        </w:rPr>
        <w:t xml:space="preserve"> El Instituto resolverá el recurso de revisión conforme a lo siguiente: (…)</w:t>
      </w:r>
    </w:p>
    <w:p w14:paraId="3A1DD497" w14:textId="77777777" w:rsidR="000A5F2C" w:rsidRPr="006A4D47" w:rsidRDefault="000A5F2C">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6A4D47">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2E59C3C" w14:textId="77777777" w:rsidR="000A5F2C" w:rsidRPr="006A4D47" w:rsidRDefault="000A5F2C" w:rsidP="000260CF">
      <w:pPr>
        <w:pStyle w:val="Textonotapie"/>
        <w:jc w:val="both"/>
        <w:rPr>
          <w:rFonts w:ascii="Palatino Linotype" w:hAnsi="Palatino Linotype"/>
          <w:sz w:val="16"/>
          <w:szCs w:val="16"/>
        </w:rPr>
      </w:pPr>
      <w:r w:rsidRPr="006A4D47">
        <w:rPr>
          <w:rStyle w:val="Refdenotaalpie"/>
          <w:rFonts w:ascii="Palatino Linotype" w:hAnsi="Palatino Linotype"/>
          <w:sz w:val="16"/>
          <w:szCs w:val="16"/>
        </w:rPr>
        <w:footnoteRef/>
      </w:r>
      <w:r w:rsidRPr="006A4D47">
        <w:rPr>
          <w:rFonts w:ascii="Palatino Linotype" w:hAnsi="Palatino Linotype"/>
          <w:sz w:val="16"/>
          <w:szCs w:val="16"/>
        </w:rPr>
        <w:t xml:space="preserve"> Artículo 53. Las Unidades de Transparencia tendrán las siguientes funciones:</w:t>
      </w:r>
    </w:p>
    <w:p w14:paraId="1DA7A641" w14:textId="77777777" w:rsidR="000A5F2C" w:rsidRPr="006A4D47" w:rsidRDefault="000A5F2C" w:rsidP="000260CF">
      <w:pPr>
        <w:pStyle w:val="Textonotapie"/>
        <w:jc w:val="both"/>
        <w:rPr>
          <w:rFonts w:ascii="Palatino Linotype" w:hAnsi="Palatino Linotype"/>
          <w:sz w:val="16"/>
          <w:szCs w:val="16"/>
        </w:rPr>
      </w:pPr>
      <w:r w:rsidRPr="006A4D47">
        <w:rPr>
          <w:rFonts w:ascii="Palatino Linotype" w:hAnsi="Palatino Linotype"/>
          <w:sz w:val="16"/>
          <w:szCs w:val="16"/>
        </w:rPr>
        <w:t>II. Recibir, tramitar y dar respuesta a las solicitudes de acceso a la información;</w:t>
      </w:r>
    </w:p>
    <w:p w14:paraId="43A1DA23" w14:textId="77777777" w:rsidR="000A5F2C" w:rsidRPr="006A4D47" w:rsidRDefault="000A5F2C" w:rsidP="000260CF">
      <w:pPr>
        <w:pStyle w:val="Textonotapie"/>
        <w:jc w:val="both"/>
        <w:rPr>
          <w:rFonts w:ascii="Palatino Linotype" w:hAnsi="Palatino Linotype"/>
          <w:sz w:val="16"/>
          <w:szCs w:val="16"/>
        </w:rPr>
      </w:pPr>
      <w:r w:rsidRPr="006A4D47">
        <w:rPr>
          <w:rFonts w:ascii="Palatino Linotype" w:hAnsi="Palatino Linotype"/>
          <w:sz w:val="16"/>
          <w:szCs w:val="16"/>
        </w:rPr>
        <w:t>IV. Realizar, con efectividad, los trámites internos necesarios para la atención de las solicitudes de acceso a la información;</w:t>
      </w:r>
    </w:p>
  </w:footnote>
  <w:footnote w:id="3">
    <w:p w14:paraId="333A5857" w14:textId="77777777" w:rsidR="000A5F2C" w:rsidRPr="006A4D47" w:rsidRDefault="000A5F2C" w:rsidP="000260CF">
      <w:pPr>
        <w:pStyle w:val="Textonotapie"/>
        <w:jc w:val="both"/>
        <w:rPr>
          <w:rFonts w:ascii="Palatino Linotype" w:hAnsi="Palatino Linotype"/>
          <w:sz w:val="16"/>
          <w:szCs w:val="16"/>
        </w:rPr>
      </w:pPr>
      <w:r w:rsidRPr="006A4D47">
        <w:rPr>
          <w:rStyle w:val="Refdenotaalpie"/>
          <w:rFonts w:ascii="Palatino Linotype" w:hAnsi="Palatino Linotype"/>
          <w:sz w:val="16"/>
          <w:szCs w:val="16"/>
        </w:rPr>
        <w:footnoteRef/>
      </w:r>
      <w:r w:rsidRPr="006A4D47">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47E41206" w14:textId="77777777" w:rsidR="000A5F2C" w:rsidRPr="006A4D47" w:rsidRDefault="000A5F2C" w:rsidP="000260CF">
      <w:pPr>
        <w:jc w:val="both"/>
        <w:rPr>
          <w:rFonts w:ascii="Palatino Linotype" w:eastAsia="Palatino Linotype" w:hAnsi="Palatino Linotype" w:cs="Palatino Linotype"/>
          <w:i/>
          <w:sz w:val="16"/>
          <w:szCs w:val="16"/>
        </w:rPr>
      </w:pPr>
      <w:r w:rsidRPr="006A4D47">
        <w:rPr>
          <w:rFonts w:ascii="Palatino Linotype" w:hAnsi="Palatino Linotype"/>
          <w:sz w:val="16"/>
          <w:szCs w:val="16"/>
          <w:vertAlign w:val="superscript"/>
        </w:rPr>
        <w:footnoteRef/>
      </w:r>
      <w:r w:rsidRPr="006A4D47">
        <w:rPr>
          <w:rFonts w:ascii="Palatino Linotype" w:eastAsia="Palatino Linotype" w:hAnsi="Palatino Linotype" w:cs="Palatino Linotype"/>
          <w:sz w:val="16"/>
          <w:szCs w:val="16"/>
        </w:rPr>
        <w:t xml:space="preserve"> </w:t>
      </w:r>
      <w:r w:rsidRPr="006A4D47">
        <w:rPr>
          <w:rFonts w:ascii="Palatino Linotype" w:eastAsia="Palatino Linotype" w:hAnsi="Palatino Linotype" w:cs="Palatino Linotype"/>
          <w:b/>
          <w:i/>
          <w:sz w:val="16"/>
          <w:szCs w:val="16"/>
        </w:rPr>
        <w:t>Artículo 59.</w:t>
      </w:r>
      <w:r w:rsidRPr="006A4D47">
        <w:rPr>
          <w:rFonts w:ascii="Palatino Linotype" w:eastAsia="Palatino Linotype" w:hAnsi="Palatino Linotype" w:cs="Palatino Linotype"/>
          <w:i/>
          <w:sz w:val="16"/>
          <w:szCs w:val="16"/>
        </w:rPr>
        <w:t xml:space="preserve"> Los servidores públicos habilitados tendrán las funciones siguientes:</w:t>
      </w:r>
    </w:p>
    <w:p w14:paraId="13943E7C" w14:textId="77777777" w:rsidR="000A5F2C" w:rsidRPr="006A4D47" w:rsidRDefault="000A5F2C" w:rsidP="000260CF">
      <w:pPr>
        <w:jc w:val="both"/>
        <w:rPr>
          <w:rFonts w:ascii="Palatino Linotype" w:eastAsia="Palatino Linotype" w:hAnsi="Palatino Linotype" w:cs="Palatino Linotype"/>
          <w:i/>
          <w:sz w:val="16"/>
          <w:szCs w:val="16"/>
        </w:rPr>
      </w:pPr>
      <w:r w:rsidRPr="006A4D47">
        <w:rPr>
          <w:rFonts w:ascii="Palatino Linotype" w:eastAsia="Palatino Linotype" w:hAnsi="Palatino Linotype" w:cs="Palatino Linotype"/>
          <w:b/>
          <w:i/>
          <w:sz w:val="16"/>
          <w:szCs w:val="16"/>
        </w:rPr>
        <w:t>I.</w:t>
      </w:r>
      <w:r w:rsidRPr="006A4D47">
        <w:rPr>
          <w:rFonts w:ascii="Palatino Linotype" w:eastAsia="Palatino Linotype" w:hAnsi="Palatino Linotype" w:cs="Palatino Linotype"/>
          <w:i/>
          <w:sz w:val="16"/>
          <w:szCs w:val="16"/>
        </w:rPr>
        <w:t xml:space="preserve"> Localizar la información que le solicite la Unidad de Transparencia;</w:t>
      </w:r>
    </w:p>
    <w:p w14:paraId="392DC768" w14:textId="77777777" w:rsidR="000A5F2C" w:rsidRPr="006A4D47" w:rsidRDefault="000A5F2C" w:rsidP="000260CF">
      <w:pPr>
        <w:jc w:val="both"/>
        <w:rPr>
          <w:rFonts w:ascii="Palatino Linotype" w:eastAsia="Palatino Linotype" w:hAnsi="Palatino Linotype" w:cs="Palatino Linotype"/>
          <w:i/>
          <w:sz w:val="16"/>
          <w:szCs w:val="16"/>
        </w:rPr>
      </w:pPr>
      <w:r w:rsidRPr="006A4D47">
        <w:rPr>
          <w:rFonts w:ascii="Palatino Linotype" w:eastAsia="Palatino Linotype" w:hAnsi="Palatino Linotype" w:cs="Palatino Linotype"/>
          <w:b/>
          <w:i/>
          <w:sz w:val="16"/>
          <w:szCs w:val="16"/>
        </w:rPr>
        <w:t>II.</w:t>
      </w:r>
      <w:r w:rsidRPr="006A4D47">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14:paraId="2C47A8A4" w14:textId="77777777" w:rsidR="000A5F2C" w:rsidRPr="006A4D47" w:rsidRDefault="000A5F2C" w:rsidP="000260CF">
      <w:pPr>
        <w:jc w:val="both"/>
        <w:rPr>
          <w:rFonts w:ascii="Palatino Linotype" w:eastAsia="Palatino Linotype" w:hAnsi="Palatino Linotype" w:cs="Palatino Linotype"/>
          <w:i/>
          <w:sz w:val="16"/>
          <w:szCs w:val="16"/>
        </w:rPr>
      </w:pPr>
      <w:r w:rsidRPr="006A4D47">
        <w:rPr>
          <w:rFonts w:ascii="Palatino Linotype" w:eastAsia="Palatino Linotype" w:hAnsi="Palatino Linotype" w:cs="Palatino Linotype"/>
          <w:b/>
          <w:i/>
          <w:sz w:val="16"/>
          <w:szCs w:val="16"/>
        </w:rPr>
        <w:t>III.</w:t>
      </w:r>
      <w:r w:rsidRPr="006A4D47">
        <w:rPr>
          <w:rFonts w:ascii="Palatino Linotype" w:eastAsia="Palatino Linotype" w:hAnsi="Palatino Linotype" w:cs="Palatino Linotype"/>
          <w:i/>
          <w:sz w:val="16"/>
          <w:szCs w:val="16"/>
        </w:rPr>
        <w:t xml:space="preserve"> Apoyar a la Unidad de Transparencia en lo que esta le solicite para el cumplimiento de sus funciones;</w:t>
      </w:r>
    </w:p>
    <w:p w14:paraId="541D5679" w14:textId="77777777" w:rsidR="000A5F2C" w:rsidRPr="006A4D47" w:rsidRDefault="000A5F2C" w:rsidP="000260CF">
      <w:pPr>
        <w:jc w:val="both"/>
        <w:rPr>
          <w:rFonts w:ascii="Palatino Linotype" w:eastAsia="Palatino Linotype" w:hAnsi="Palatino Linotype" w:cs="Palatino Linotype"/>
          <w:i/>
          <w:sz w:val="16"/>
          <w:szCs w:val="16"/>
        </w:rPr>
      </w:pPr>
      <w:r w:rsidRPr="006A4D47">
        <w:rPr>
          <w:rFonts w:ascii="Palatino Linotype" w:eastAsia="Palatino Linotype" w:hAnsi="Palatino Linotype" w:cs="Palatino Linotype"/>
          <w:b/>
          <w:i/>
          <w:sz w:val="16"/>
          <w:szCs w:val="16"/>
        </w:rPr>
        <w:t>IV.</w:t>
      </w:r>
      <w:r w:rsidRPr="006A4D47">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14:paraId="048B30F5" w14:textId="77777777" w:rsidR="000A5F2C" w:rsidRPr="006A4D47" w:rsidRDefault="000A5F2C" w:rsidP="000260CF">
      <w:pPr>
        <w:jc w:val="both"/>
        <w:rPr>
          <w:rFonts w:ascii="Palatino Linotype" w:eastAsia="Palatino Linotype" w:hAnsi="Palatino Linotype" w:cs="Palatino Linotype"/>
          <w:i/>
          <w:sz w:val="16"/>
          <w:szCs w:val="16"/>
        </w:rPr>
      </w:pPr>
      <w:r w:rsidRPr="006A4D47">
        <w:rPr>
          <w:rFonts w:ascii="Palatino Linotype" w:eastAsia="Palatino Linotype" w:hAnsi="Palatino Linotype" w:cs="Palatino Linotype"/>
          <w:b/>
          <w:i/>
          <w:sz w:val="16"/>
          <w:szCs w:val="16"/>
        </w:rPr>
        <w:t>V.</w:t>
      </w:r>
      <w:r w:rsidRPr="006A4D47">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14:paraId="6AE1E80A" w14:textId="77777777" w:rsidR="000A5F2C" w:rsidRPr="006A4D47" w:rsidRDefault="000A5F2C" w:rsidP="000260CF">
      <w:pPr>
        <w:jc w:val="both"/>
        <w:rPr>
          <w:rFonts w:ascii="Palatino Linotype" w:eastAsia="Palatino Linotype" w:hAnsi="Palatino Linotype" w:cs="Palatino Linotype"/>
          <w:i/>
          <w:sz w:val="16"/>
          <w:szCs w:val="16"/>
        </w:rPr>
      </w:pPr>
      <w:r w:rsidRPr="006A4D47">
        <w:rPr>
          <w:rFonts w:ascii="Palatino Linotype" w:eastAsia="Palatino Linotype" w:hAnsi="Palatino Linotype" w:cs="Palatino Linotype"/>
          <w:b/>
          <w:i/>
          <w:sz w:val="16"/>
          <w:szCs w:val="16"/>
        </w:rPr>
        <w:t>VI.</w:t>
      </w:r>
      <w:r w:rsidRPr="006A4D47">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14:paraId="778FBAF2" w14:textId="77777777" w:rsidR="000A5F2C" w:rsidRPr="006A4D47" w:rsidRDefault="000A5F2C" w:rsidP="000260CF">
      <w:pPr>
        <w:jc w:val="both"/>
        <w:rPr>
          <w:rFonts w:ascii="Palatino Linotype" w:eastAsia="Palatino Linotype" w:hAnsi="Palatino Linotype" w:cs="Palatino Linotype"/>
          <w:sz w:val="16"/>
          <w:szCs w:val="16"/>
        </w:rPr>
      </w:pPr>
      <w:r w:rsidRPr="006A4D47">
        <w:rPr>
          <w:rFonts w:ascii="Palatino Linotype" w:eastAsia="Palatino Linotype" w:hAnsi="Palatino Linotype" w:cs="Palatino Linotype"/>
          <w:b/>
          <w:i/>
          <w:sz w:val="16"/>
          <w:szCs w:val="16"/>
        </w:rPr>
        <w:t>VII.</w:t>
      </w:r>
      <w:r w:rsidRPr="006A4D47">
        <w:rPr>
          <w:rFonts w:ascii="Palatino Linotype" w:eastAsia="Palatino Linotype" w:hAnsi="Palatino Linotype" w:cs="Palatino Linotype"/>
          <w:i/>
          <w:sz w:val="16"/>
          <w:szCs w:val="16"/>
        </w:rPr>
        <w:t xml:space="preserve"> Dar cuenta a la Unidad de Transparencia del vencimiento de los plazos de reserva.</w:t>
      </w:r>
    </w:p>
  </w:footnote>
  <w:footnote w:id="5">
    <w:p w14:paraId="0BDB85CC" w14:textId="135EF1E9" w:rsidR="006A4D47" w:rsidRPr="006A4D47" w:rsidRDefault="006A4D47">
      <w:pPr>
        <w:pStyle w:val="Textonotapie"/>
        <w:rPr>
          <w:rFonts w:ascii="Palatino Linotype" w:hAnsi="Palatino Linotype"/>
          <w:sz w:val="16"/>
          <w:szCs w:val="16"/>
        </w:rPr>
      </w:pPr>
      <w:r w:rsidRPr="006A4D47">
        <w:rPr>
          <w:rStyle w:val="Refdenotaalpie"/>
          <w:rFonts w:ascii="Palatino Linotype" w:hAnsi="Palatino Linotype"/>
          <w:sz w:val="16"/>
          <w:szCs w:val="16"/>
        </w:rPr>
        <w:footnoteRef/>
      </w:r>
      <w:r w:rsidRPr="006A4D47">
        <w:rPr>
          <w:rFonts w:ascii="Palatino Linotype" w:hAnsi="Palatino Linotype"/>
          <w:sz w:val="16"/>
          <w:szCs w:val="16"/>
        </w:rPr>
        <w:t xml:space="preserve"> https://caem.edomex.gob.mx/</w:t>
      </w:r>
    </w:p>
  </w:footnote>
  <w:footnote w:id="6">
    <w:p w14:paraId="0179A617" w14:textId="77777777" w:rsidR="00146545" w:rsidRPr="00CC2244" w:rsidRDefault="00146545" w:rsidP="00146545">
      <w:pPr>
        <w:pStyle w:val="Textonotapie"/>
        <w:jc w:val="both"/>
        <w:rPr>
          <w:rFonts w:ascii="Palatino Linotype" w:hAnsi="Palatino Linotype"/>
          <w:sz w:val="16"/>
          <w:szCs w:val="16"/>
        </w:rPr>
      </w:pPr>
      <w:r w:rsidRPr="00CC2244">
        <w:rPr>
          <w:rStyle w:val="Refdenotaalpie"/>
          <w:rFonts w:ascii="Palatino Linotype" w:hAnsi="Palatino Linotype"/>
          <w:sz w:val="16"/>
          <w:szCs w:val="16"/>
        </w:rPr>
        <w:footnoteRef/>
      </w:r>
      <w:r w:rsidRPr="00CC2244">
        <w:rPr>
          <w:rFonts w:ascii="Palatino Linotype" w:hAnsi="Palatino Linotype"/>
          <w:sz w:val="16"/>
          <w:szCs w:val="16"/>
        </w:rPr>
        <w:t xml:space="preserve"> Artículo 49. Los Comités de Transparencia tendrán las siguientes atribuciones:</w:t>
      </w:r>
    </w:p>
    <w:p w14:paraId="32E56047" w14:textId="77777777" w:rsidR="00146545" w:rsidRPr="00CC2244" w:rsidRDefault="00146545" w:rsidP="00146545">
      <w:pPr>
        <w:pStyle w:val="Textonotapie"/>
        <w:jc w:val="both"/>
        <w:rPr>
          <w:rFonts w:ascii="Palatino Linotype" w:hAnsi="Palatino Linotype"/>
          <w:sz w:val="16"/>
          <w:szCs w:val="16"/>
        </w:rPr>
      </w:pPr>
      <w:r w:rsidRPr="00CC2244">
        <w:rPr>
          <w:rFonts w:ascii="Palatino Linotype" w:hAnsi="Palatino Linotype"/>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E060" w14:textId="77777777" w:rsidR="000A5F2C" w:rsidRDefault="000A5F2C">
    <w:pPr>
      <w:rPr>
        <w:rFonts w:ascii="Cambria" w:eastAsia="Cambria" w:hAnsi="Cambria" w:cs="Cambria"/>
        <w:color w:val="000000"/>
      </w:rPr>
    </w:pPr>
    <w:r>
      <w:rPr>
        <w:noProof/>
      </w:rPr>
      <w:drawing>
        <wp:anchor distT="0" distB="0" distL="0" distR="0" simplePos="0" relativeHeight="251658240" behindDoc="1" locked="0" layoutInCell="1" hidden="0" allowOverlap="1" wp14:anchorId="47A3A094" wp14:editId="6B543AA2">
          <wp:simplePos x="0" y="0"/>
          <wp:positionH relativeFrom="column">
            <wp:posOffset>-1080122</wp:posOffset>
          </wp:positionH>
          <wp:positionV relativeFrom="paragraph">
            <wp:posOffset>-488300</wp:posOffset>
          </wp:positionV>
          <wp:extent cx="7809865" cy="10165715"/>
          <wp:effectExtent l="0" t="0" r="0" b="0"/>
          <wp:wrapNone/>
          <wp:docPr id="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0A5F2C" w14:paraId="0F09F952" w14:textId="77777777">
      <w:tc>
        <w:tcPr>
          <w:tcW w:w="2489" w:type="dxa"/>
          <w:shd w:val="clear" w:color="auto" w:fill="auto"/>
        </w:tcPr>
        <w:p w14:paraId="6923AEB2"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F1CB1E" w14:textId="47BD24F8" w:rsidR="000A5F2C" w:rsidRDefault="000A5F2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095C06">
            <w:rPr>
              <w:rFonts w:ascii="Palatino Linotype" w:eastAsia="Palatino Linotype" w:hAnsi="Palatino Linotype" w:cs="Palatino Linotype"/>
              <w:b/>
              <w:sz w:val="22"/>
              <w:szCs w:val="22"/>
            </w:rPr>
            <w:t>4359</w:t>
          </w:r>
          <w:r>
            <w:rPr>
              <w:rFonts w:ascii="Palatino Linotype" w:eastAsia="Palatino Linotype" w:hAnsi="Palatino Linotype" w:cs="Palatino Linotype"/>
              <w:b/>
              <w:sz w:val="22"/>
              <w:szCs w:val="22"/>
            </w:rPr>
            <w:t>/INFOEM/IP/RR/2022</w:t>
          </w:r>
        </w:p>
      </w:tc>
    </w:tr>
    <w:tr w:rsidR="000A5F2C" w14:paraId="35AB27F8" w14:textId="77777777">
      <w:trPr>
        <w:trHeight w:val="228"/>
      </w:trPr>
      <w:tc>
        <w:tcPr>
          <w:tcW w:w="2489" w:type="dxa"/>
          <w:shd w:val="clear" w:color="auto" w:fill="auto"/>
          <w:vAlign w:val="center"/>
        </w:tcPr>
        <w:p w14:paraId="0CAE73D7"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E1010F7" w14:textId="77777777" w:rsidR="00095C06" w:rsidRPr="00095C06" w:rsidRDefault="00095C06" w:rsidP="00095C06">
          <w:pPr>
            <w:ind w:left="-45" w:right="176"/>
            <w:jc w:val="both"/>
            <w:rPr>
              <w:rFonts w:ascii="Palatino Linotype" w:eastAsia="Palatino Linotype" w:hAnsi="Palatino Linotype" w:cs="Palatino Linotype"/>
              <w:b/>
              <w:sz w:val="22"/>
              <w:szCs w:val="22"/>
            </w:rPr>
          </w:pPr>
        </w:p>
        <w:p w14:paraId="1B9EC9A9" w14:textId="659EC627" w:rsidR="000A5F2C" w:rsidRDefault="00095C06" w:rsidP="00095C06">
          <w:pPr>
            <w:ind w:left="-45" w:right="176"/>
            <w:jc w:val="both"/>
            <w:rPr>
              <w:rFonts w:ascii="Palatino Linotype" w:eastAsia="Palatino Linotype" w:hAnsi="Palatino Linotype" w:cs="Palatino Linotype"/>
              <w:b/>
              <w:sz w:val="22"/>
              <w:szCs w:val="22"/>
            </w:rPr>
          </w:pPr>
          <w:r w:rsidRPr="00095C06">
            <w:rPr>
              <w:rFonts w:ascii="Palatino Linotype" w:eastAsia="Palatino Linotype" w:hAnsi="Palatino Linotype" w:cs="Palatino Linotype"/>
              <w:b/>
              <w:sz w:val="22"/>
              <w:szCs w:val="22"/>
            </w:rPr>
            <w:t xml:space="preserve">Organismo Público Descentralizado para la Prestación de </w:t>
          </w:r>
          <w:r w:rsidR="00325C43">
            <w:rPr>
              <w:rFonts w:ascii="Palatino Linotype" w:eastAsia="Palatino Linotype" w:hAnsi="Palatino Linotype" w:cs="Palatino Linotype"/>
              <w:b/>
              <w:sz w:val="22"/>
              <w:szCs w:val="22"/>
            </w:rPr>
            <w:t>l</w:t>
          </w:r>
          <w:r w:rsidRPr="00095C06">
            <w:rPr>
              <w:rFonts w:ascii="Palatino Linotype" w:eastAsia="Palatino Linotype" w:hAnsi="Palatino Linotype" w:cs="Palatino Linotype"/>
              <w:b/>
              <w:sz w:val="22"/>
              <w:szCs w:val="22"/>
            </w:rPr>
            <w:t>os Servicios de Agua Potable Alcantarillado y Saneamiento del Municipio de Naucalpan de Juárez</w:t>
          </w:r>
        </w:p>
      </w:tc>
    </w:tr>
    <w:tr w:rsidR="000A5F2C" w14:paraId="15612B00" w14:textId="77777777">
      <w:tc>
        <w:tcPr>
          <w:tcW w:w="2489" w:type="dxa"/>
          <w:shd w:val="clear" w:color="auto" w:fill="auto"/>
          <w:vAlign w:val="center"/>
        </w:tcPr>
        <w:p w14:paraId="02292B31" w14:textId="77777777" w:rsidR="000A5F2C" w:rsidRDefault="000A5F2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06A9EF7" w14:textId="77777777" w:rsidR="000A5F2C" w:rsidRDefault="000A5F2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BB4B20" w14:textId="77777777" w:rsidR="000A5F2C" w:rsidRDefault="000A5F2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4F33" w14:textId="108BEDA8" w:rsidR="000A5F2C" w:rsidRDefault="000A5F2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95A5622" wp14:editId="1ABE11F1">
          <wp:simplePos x="0" y="0"/>
          <wp:positionH relativeFrom="column">
            <wp:posOffset>-1080128</wp:posOffset>
          </wp:positionH>
          <wp:positionV relativeFrom="paragraph">
            <wp:posOffset>-262871</wp:posOffset>
          </wp:positionV>
          <wp:extent cx="7809865" cy="10165715"/>
          <wp:effectExtent l="0" t="0" r="0" b="0"/>
          <wp:wrapNone/>
          <wp:docPr id="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5670" w:type="dxa"/>
      <w:tblInd w:w="3261" w:type="dxa"/>
      <w:tblLayout w:type="fixed"/>
      <w:tblLook w:val="0400" w:firstRow="0" w:lastRow="0" w:firstColumn="0" w:lastColumn="0" w:noHBand="0" w:noVBand="1"/>
    </w:tblPr>
    <w:tblGrid>
      <w:gridCol w:w="2551"/>
      <w:gridCol w:w="3119"/>
    </w:tblGrid>
    <w:tr w:rsidR="000A5F2C" w14:paraId="4BBB0AA8" w14:textId="77777777">
      <w:tc>
        <w:tcPr>
          <w:tcW w:w="2551" w:type="dxa"/>
          <w:shd w:val="clear" w:color="auto" w:fill="auto"/>
          <w:vAlign w:val="center"/>
        </w:tcPr>
        <w:p w14:paraId="400A271A"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08AE689" w14:textId="7F7FB048" w:rsidR="000A5F2C" w:rsidRDefault="000A5F2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095C06">
            <w:rPr>
              <w:rFonts w:ascii="Palatino Linotype" w:eastAsia="Palatino Linotype" w:hAnsi="Palatino Linotype" w:cs="Palatino Linotype"/>
              <w:b/>
              <w:sz w:val="22"/>
              <w:szCs w:val="22"/>
            </w:rPr>
            <w:t>4359</w:t>
          </w:r>
          <w:r>
            <w:rPr>
              <w:rFonts w:ascii="Palatino Linotype" w:eastAsia="Palatino Linotype" w:hAnsi="Palatino Linotype" w:cs="Palatino Linotype"/>
              <w:b/>
              <w:sz w:val="22"/>
              <w:szCs w:val="22"/>
            </w:rPr>
            <w:t>/INFOEM/IP/RR/2022</w:t>
          </w:r>
        </w:p>
      </w:tc>
    </w:tr>
    <w:tr w:rsidR="000A5F2C" w14:paraId="5036E2D8" w14:textId="77777777">
      <w:trPr>
        <w:trHeight w:val="130"/>
      </w:trPr>
      <w:tc>
        <w:tcPr>
          <w:tcW w:w="2551" w:type="dxa"/>
          <w:shd w:val="clear" w:color="auto" w:fill="auto"/>
          <w:vAlign w:val="center"/>
        </w:tcPr>
        <w:p w14:paraId="6194B6A8"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1302CE4" w14:textId="0A3A4B3B" w:rsidR="000A5F2C" w:rsidRDefault="000A5F2C">
          <w:pPr>
            <w:ind w:left="-45"/>
            <w:jc w:val="both"/>
            <w:rPr>
              <w:rFonts w:ascii="Palatino Linotype" w:eastAsia="Palatino Linotype" w:hAnsi="Palatino Linotype" w:cs="Palatino Linotype"/>
              <w:b/>
              <w:sz w:val="22"/>
              <w:szCs w:val="22"/>
            </w:rPr>
          </w:pPr>
        </w:p>
      </w:tc>
    </w:tr>
    <w:tr w:rsidR="000A5F2C" w14:paraId="5012263D" w14:textId="77777777">
      <w:trPr>
        <w:trHeight w:val="228"/>
      </w:trPr>
      <w:tc>
        <w:tcPr>
          <w:tcW w:w="2551" w:type="dxa"/>
          <w:shd w:val="clear" w:color="auto" w:fill="auto"/>
          <w:vAlign w:val="center"/>
        </w:tcPr>
        <w:p w14:paraId="64A96543"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79D2B37" w14:textId="77777777" w:rsidR="00095C06" w:rsidRPr="00095C06" w:rsidRDefault="00095C06" w:rsidP="00095C06">
          <w:pPr>
            <w:ind w:left="-45" w:right="176"/>
            <w:jc w:val="both"/>
            <w:rPr>
              <w:rFonts w:ascii="Palatino Linotype" w:eastAsia="Palatino Linotype" w:hAnsi="Palatino Linotype" w:cs="Palatino Linotype"/>
              <w:b/>
              <w:sz w:val="22"/>
              <w:szCs w:val="22"/>
            </w:rPr>
          </w:pPr>
        </w:p>
        <w:p w14:paraId="519EB1A7" w14:textId="36D0AC06" w:rsidR="000A5F2C" w:rsidRDefault="00095C06" w:rsidP="00095C06">
          <w:pPr>
            <w:ind w:left="-45" w:right="176"/>
            <w:jc w:val="both"/>
            <w:rPr>
              <w:rFonts w:ascii="Palatino Linotype" w:eastAsia="Palatino Linotype" w:hAnsi="Palatino Linotype" w:cs="Palatino Linotype"/>
              <w:b/>
              <w:sz w:val="22"/>
              <w:szCs w:val="22"/>
            </w:rPr>
          </w:pPr>
          <w:r w:rsidRPr="00095C06">
            <w:rPr>
              <w:rFonts w:ascii="Palatino Linotype" w:eastAsia="Palatino Linotype" w:hAnsi="Palatino Linotype" w:cs="Palatino Linotype"/>
              <w:b/>
              <w:sz w:val="22"/>
              <w:szCs w:val="22"/>
            </w:rPr>
            <w:t xml:space="preserve">Organismo Público Descentralizado para la Prestación de </w:t>
          </w:r>
          <w:r w:rsidR="00325C43">
            <w:rPr>
              <w:rFonts w:ascii="Palatino Linotype" w:eastAsia="Palatino Linotype" w:hAnsi="Palatino Linotype" w:cs="Palatino Linotype"/>
              <w:b/>
              <w:sz w:val="22"/>
              <w:szCs w:val="22"/>
            </w:rPr>
            <w:t>l</w:t>
          </w:r>
          <w:r w:rsidRPr="00095C06">
            <w:rPr>
              <w:rFonts w:ascii="Palatino Linotype" w:eastAsia="Palatino Linotype" w:hAnsi="Palatino Linotype" w:cs="Palatino Linotype"/>
              <w:b/>
              <w:sz w:val="22"/>
              <w:szCs w:val="22"/>
            </w:rPr>
            <w:t>os Servicios de Agua Potable Alcantarillado y Saneamiento del Municipio de Naucalpan de Juárez</w:t>
          </w:r>
        </w:p>
      </w:tc>
    </w:tr>
    <w:tr w:rsidR="000A5F2C" w14:paraId="74514B78" w14:textId="77777777">
      <w:tc>
        <w:tcPr>
          <w:tcW w:w="2551" w:type="dxa"/>
          <w:shd w:val="clear" w:color="auto" w:fill="auto"/>
          <w:vAlign w:val="center"/>
        </w:tcPr>
        <w:p w14:paraId="6351D271"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503228D" w14:textId="77777777" w:rsidR="000A5F2C" w:rsidRDefault="000A5F2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C92909" w14:textId="77777777" w:rsidR="000A5F2C" w:rsidRDefault="000A5F2C">
    <w:pPr>
      <w:pBdr>
        <w:top w:val="nil"/>
        <w:left w:val="nil"/>
        <w:bottom w:val="nil"/>
        <w:right w:val="nil"/>
        <w:between w:val="nil"/>
      </w:pBdr>
      <w:tabs>
        <w:tab w:val="center" w:pos="4252"/>
        <w:tab w:val="right" w:pos="8504"/>
      </w:tabs>
      <w:rPr>
        <w:rFonts w:ascii="Cambria" w:eastAsia="Cambria" w:hAnsi="Cambria" w:cs="Cambria"/>
        <w:color w:val="000000"/>
      </w:rPr>
    </w:pPr>
  </w:p>
  <w:p w14:paraId="59383495" w14:textId="77777777" w:rsidR="000A5F2C" w:rsidRDefault="000A5F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65A"/>
    <w:multiLevelType w:val="hybridMultilevel"/>
    <w:tmpl w:val="CB0E8998"/>
    <w:lvl w:ilvl="0" w:tplc="1B9CB582">
      <w:start w:val="2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DE2E17"/>
    <w:multiLevelType w:val="multilevel"/>
    <w:tmpl w:val="A3A6C1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211421C5"/>
    <w:multiLevelType w:val="hybridMultilevel"/>
    <w:tmpl w:val="3F2CFA2A"/>
    <w:lvl w:ilvl="0" w:tplc="19006620">
      <w:start w:val="28"/>
      <w:numFmt w:val="bullet"/>
      <w:lvlText w:val="-"/>
      <w:lvlJc w:val="left"/>
      <w:pPr>
        <w:ind w:left="720" w:hanging="360"/>
      </w:pPr>
      <w:rPr>
        <w:rFonts w:ascii="Times New Roman" w:eastAsia="Times New Roman" w:hAnsi="Times New Roman"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0EA4344"/>
    <w:multiLevelType w:val="multilevel"/>
    <w:tmpl w:val="B86EF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79"/>
    <w:rsid w:val="00011A19"/>
    <w:rsid w:val="00016345"/>
    <w:rsid w:val="00025BE0"/>
    <w:rsid w:val="000260CF"/>
    <w:rsid w:val="00027E6A"/>
    <w:rsid w:val="00057813"/>
    <w:rsid w:val="000578B7"/>
    <w:rsid w:val="00065C93"/>
    <w:rsid w:val="000664B6"/>
    <w:rsid w:val="000712E1"/>
    <w:rsid w:val="000763F5"/>
    <w:rsid w:val="00095514"/>
    <w:rsid w:val="00095C06"/>
    <w:rsid w:val="000A2469"/>
    <w:rsid w:val="000A3FC8"/>
    <w:rsid w:val="000A5F2C"/>
    <w:rsid w:val="000B15EA"/>
    <w:rsid w:val="000C26BC"/>
    <w:rsid w:val="000C3B77"/>
    <w:rsid w:val="000D0C86"/>
    <w:rsid w:val="000D3EAD"/>
    <w:rsid w:val="00103C3A"/>
    <w:rsid w:val="00146545"/>
    <w:rsid w:val="00151D21"/>
    <w:rsid w:val="0015396E"/>
    <w:rsid w:val="00172FF7"/>
    <w:rsid w:val="00196EBC"/>
    <w:rsid w:val="001D02ED"/>
    <w:rsid w:val="00213579"/>
    <w:rsid w:val="00213594"/>
    <w:rsid w:val="002136C7"/>
    <w:rsid w:val="00227BD6"/>
    <w:rsid w:val="002306C4"/>
    <w:rsid w:val="00235429"/>
    <w:rsid w:val="00250357"/>
    <w:rsid w:val="00256AD7"/>
    <w:rsid w:val="00280661"/>
    <w:rsid w:val="00297D3F"/>
    <w:rsid w:val="002A1734"/>
    <w:rsid w:val="002A3923"/>
    <w:rsid w:val="002B1723"/>
    <w:rsid w:val="002C5229"/>
    <w:rsid w:val="00306D2F"/>
    <w:rsid w:val="003111AA"/>
    <w:rsid w:val="00325C43"/>
    <w:rsid w:val="00357C57"/>
    <w:rsid w:val="003611AD"/>
    <w:rsid w:val="003732C1"/>
    <w:rsid w:val="00386BE0"/>
    <w:rsid w:val="003B7C04"/>
    <w:rsid w:val="003C238B"/>
    <w:rsid w:val="003D5DC8"/>
    <w:rsid w:val="003F102A"/>
    <w:rsid w:val="004127E0"/>
    <w:rsid w:val="00426A81"/>
    <w:rsid w:val="00441075"/>
    <w:rsid w:val="00447520"/>
    <w:rsid w:val="0045065C"/>
    <w:rsid w:val="00463CD4"/>
    <w:rsid w:val="00465716"/>
    <w:rsid w:val="004832CF"/>
    <w:rsid w:val="00490BCD"/>
    <w:rsid w:val="00492AC2"/>
    <w:rsid w:val="004947A1"/>
    <w:rsid w:val="004B4723"/>
    <w:rsid w:val="004C44C9"/>
    <w:rsid w:val="004F1C29"/>
    <w:rsid w:val="00507203"/>
    <w:rsid w:val="005143C5"/>
    <w:rsid w:val="0052065B"/>
    <w:rsid w:val="0056020F"/>
    <w:rsid w:val="0056603F"/>
    <w:rsid w:val="005765AA"/>
    <w:rsid w:val="005B21CC"/>
    <w:rsid w:val="005C7B4F"/>
    <w:rsid w:val="005F7AFB"/>
    <w:rsid w:val="006037EC"/>
    <w:rsid w:val="006131DE"/>
    <w:rsid w:val="006176C0"/>
    <w:rsid w:val="006267B9"/>
    <w:rsid w:val="0063404D"/>
    <w:rsid w:val="00647653"/>
    <w:rsid w:val="0065411E"/>
    <w:rsid w:val="0066282B"/>
    <w:rsid w:val="0066777E"/>
    <w:rsid w:val="00694667"/>
    <w:rsid w:val="006A4D47"/>
    <w:rsid w:val="006D4FB3"/>
    <w:rsid w:val="00724627"/>
    <w:rsid w:val="00727EC6"/>
    <w:rsid w:val="00744B65"/>
    <w:rsid w:val="0074526E"/>
    <w:rsid w:val="007471CF"/>
    <w:rsid w:val="007502EB"/>
    <w:rsid w:val="0078187E"/>
    <w:rsid w:val="007A77F8"/>
    <w:rsid w:val="007B45A7"/>
    <w:rsid w:val="007B605A"/>
    <w:rsid w:val="007C2A20"/>
    <w:rsid w:val="007C4DB7"/>
    <w:rsid w:val="007E0132"/>
    <w:rsid w:val="007E69E9"/>
    <w:rsid w:val="007F4DBD"/>
    <w:rsid w:val="00801573"/>
    <w:rsid w:val="00804212"/>
    <w:rsid w:val="00807930"/>
    <w:rsid w:val="008200F6"/>
    <w:rsid w:val="0087012B"/>
    <w:rsid w:val="008C27B0"/>
    <w:rsid w:val="008E50BA"/>
    <w:rsid w:val="008F0EBF"/>
    <w:rsid w:val="008F6C11"/>
    <w:rsid w:val="00924B92"/>
    <w:rsid w:val="009254D0"/>
    <w:rsid w:val="009309CF"/>
    <w:rsid w:val="009354B8"/>
    <w:rsid w:val="00941587"/>
    <w:rsid w:val="00947C80"/>
    <w:rsid w:val="00953501"/>
    <w:rsid w:val="00976EF4"/>
    <w:rsid w:val="00983E0F"/>
    <w:rsid w:val="009955CE"/>
    <w:rsid w:val="009A6CA6"/>
    <w:rsid w:val="009B330E"/>
    <w:rsid w:val="009C0578"/>
    <w:rsid w:val="009D704B"/>
    <w:rsid w:val="009E312C"/>
    <w:rsid w:val="009E4258"/>
    <w:rsid w:val="009F46FC"/>
    <w:rsid w:val="00A01072"/>
    <w:rsid w:val="00A028CA"/>
    <w:rsid w:val="00A162A4"/>
    <w:rsid w:val="00A17724"/>
    <w:rsid w:val="00A25BE4"/>
    <w:rsid w:val="00A5458B"/>
    <w:rsid w:val="00A82CD9"/>
    <w:rsid w:val="00A9276F"/>
    <w:rsid w:val="00AA0025"/>
    <w:rsid w:val="00AC5A1A"/>
    <w:rsid w:val="00AD2AF4"/>
    <w:rsid w:val="00B13DF6"/>
    <w:rsid w:val="00B256D4"/>
    <w:rsid w:val="00B349C9"/>
    <w:rsid w:val="00B56DF0"/>
    <w:rsid w:val="00B721A6"/>
    <w:rsid w:val="00BA22CF"/>
    <w:rsid w:val="00BA3ED2"/>
    <w:rsid w:val="00BB2D42"/>
    <w:rsid w:val="00BD1548"/>
    <w:rsid w:val="00BF131B"/>
    <w:rsid w:val="00C22388"/>
    <w:rsid w:val="00C51FF1"/>
    <w:rsid w:val="00C57649"/>
    <w:rsid w:val="00C97DED"/>
    <w:rsid w:val="00CB20C0"/>
    <w:rsid w:val="00CB2D06"/>
    <w:rsid w:val="00CB483F"/>
    <w:rsid w:val="00CD2D54"/>
    <w:rsid w:val="00D07839"/>
    <w:rsid w:val="00D14FD8"/>
    <w:rsid w:val="00D32F4D"/>
    <w:rsid w:val="00D46EDA"/>
    <w:rsid w:val="00D6318F"/>
    <w:rsid w:val="00D91586"/>
    <w:rsid w:val="00D95C0D"/>
    <w:rsid w:val="00DA5AA1"/>
    <w:rsid w:val="00DC0CA6"/>
    <w:rsid w:val="00DD38C8"/>
    <w:rsid w:val="00DE2EED"/>
    <w:rsid w:val="00E0233E"/>
    <w:rsid w:val="00E22E44"/>
    <w:rsid w:val="00E320E3"/>
    <w:rsid w:val="00E358FB"/>
    <w:rsid w:val="00E36AF1"/>
    <w:rsid w:val="00E40EE8"/>
    <w:rsid w:val="00E83019"/>
    <w:rsid w:val="00E847C8"/>
    <w:rsid w:val="00E93055"/>
    <w:rsid w:val="00EB2B0A"/>
    <w:rsid w:val="00EC7D2B"/>
    <w:rsid w:val="00ED30A3"/>
    <w:rsid w:val="00EE1790"/>
    <w:rsid w:val="00EE6D39"/>
    <w:rsid w:val="00F01D1F"/>
    <w:rsid w:val="00F12BD7"/>
    <w:rsid w:val="00F1324F"/>
    <w:rsid w:val="00F504A7"/>
    <w:rsid w:val="00F57B69"/>
    <w:rsid w:val="00F733BF"/>
    <w:rsid w:val="00F83095"/>
    <w:rsid w:val="00F91B5E"/>
    <w:rsid w:val="00FA3290"/>
    <w:rsid w:val="00FC4541"/>
    <w:rsid w:val="00FD1A57"/>
    <w:rsid w:val="00FD5D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CCC5"/>
  <w15:docId w15:val="{C01A82FF-644F-4072-837D-7766E2F2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A57"/>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4063">
      <w:bodyDiv w:val="1"/>
      <w:marLeft w:val="0"/>
      <w:marRight w:val="0"/>
      <w:marTop w:val="0"/>
      <w:marBottom w:val="0"/>
      <w:divBdr>
        <w:top w:val="none" w:sz="0" w:space="0" w:color="auto"/>
        <w:left w:val="none" w:sz="0" w:space="0" w:color="auto"/>
        <w:bottom w:val="none" w:sz="0" w:space="0" w:color="auto"/>
        <w:right w:val="none" w:sz="0" w:space="0" w:color="auto"/>
      </w:divBdr>
    </w:div>
    <w:div w:id="614597190">
      <w:bodyDiv w:val="1"/>
      <w:marLeft w:val="0"/>
      <w:marRight w:val="0"/>
      <w:marTop w:val="0"/>
      <w:marBottom w:val="0"/>
      <w:divBdr>
        <w:top w:val="none" w:sz="0" w:space="0" w:color="auto"/>
        <w:left w:val="none" w:sz="0" w:space="0" w:color="auto"/>
        <w:bottom w:val="none" w:sz="0" w:space="0" w:color="auto"/>
        <w:right w:val="none" w:sz="0" w:space="0" w:color="auto"/>
      </w:divBdr>
    </w:div>
    <w:div w:id="199163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BBA2F1-FA64-4233-98B6-E1BC9450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7302</Words>
  <Characters>40163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2023-01-20T17:31:00Z</cp:lastPrinted>
  <dcterms:created xsi:type="dcterms:W3CDTF">2023-01-26T23:42:00Z</dcterms:created>
  <dcterms:modified xsi:type="dcterms:W3CDTF">2023-01-26T23:42:00Z</dcterms:modified>
</cp:coreProperties>
</file>