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veintiséis de abril de dos mil veintitrés.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VISTO</w:t>
      </w:r>
      <w:r w:rsidRPr="0095012D">
        <w:rPr>
          <w:rFonts w:ascii="Palatino Linotype" w:eastAsia="Palatino Linotype" w:hAnsi="Palatino Linotype" w:cs="Palatino Linotype"/>
        </w:rPr>
        <w:t xml:space="preserve"> el expediente formado con motivo del recurso de revisión </w:t>
      </w:r>
      <w:r w:rsidRPr="0095012D">
        <w:rPr>
          <w:rFonts w:ascii="Palatino Linotype" w:eastAsia="Palatino Linotype" w:hAnsi="Palatino Linotype" w:cs="Palatino Linotype"/>
          <w:b/>
        </w:rPr>
        <w:t>15859/INFOEM/IP/RR/2022</w:t>
      </w:r>
      <w:r w:rsidRPr="0095012D">
        <w:rPr>
          <w:rFonts w:ascii="Palatino Linotype" w:eastAsia="Palatino Linotype" w:hAnsi="Palatino Linotype" w:cs="Palatino Linotype"/>
        </w:rPr>
        <w:t>, interpuesto por quien dijo ser</w:t>
      </w:r>
      <w:r w:rsidR="00FC44E2">
        <w:rPr>
          <w:rFonts w:ascii="Palatino Linotype" w:eastAsia="Palatino Linotype" w:hAnsi="Palatino Linotype" w:cs="Palatino Linotype"/>
          <w:b/>
        </w:rPr>
        <w:t xml:space="preserve"> XXXX XXX XXXXX</w:t>
      </w:r>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en lo sucesivo</w:t>
      </w:r>
      <w:r w:rsidRPr="0095012D">
        <w:rPr>
          <w:rFonts w:ascii="Palatino Linotype" w:eastAsia="Palatino Linotype" w:hAnsi="Palatino Linotype" w:cs="Palatino Linotype"/>
          <w:b/>
        </w:rPr>
        <w:t xml:space="preserve"> LA PARTE RECURRENTE,</w:t>
      </w:r>
      <w:r w:rsidRPr="0095012D">
        <w:rPr>
          <w:rFonts w:ascii="Palatino Linotype" w:eastAsia="Palatino Linotype" w:hAnsi="Palatino Linotype" w:cs="Palatino Linotype"/>
        </w:rPr>
        <w:t xml:space="preserve"> en contra de la respuesta a la solicitud </w:t>
      </w:r>
      <w:r w:rsidRPr="0095012D">
        <w:rPr>
          <w:rFonts w:ascii="Palatino Linotype" w:eastAsia="Palatino Linotype" w:hAnsi="Palatino Linotype" w:cs="Palatino Linotype"/>
          <w:b/>
        </w:rPr>
        <w:t xml:space="preserve">00216/OCOYOAC/IP/2022 </w:t>
      </w:r>
      <w:r w:rsidRPr="0095012D">
        <w:rPr>
          <w:rFonts w:ascii="Palatino Linotype" w:eastAsia="Palatino Linotype" w:hAnsi="Palatino Linotype" w:cs="Palatino Linotype"/>
        </w:rPr>
        <w:t>por parte del</w:t>
      </w:r>
      <w:r w:rsidRPr="0095012D">
        <w:rPr>
          <w:rFonts w:ascii="Palatino Linotype" w:eastAsia="Palatino Linotype" w:hAnsi="Palatino Linotype" w:cs="Palatino Linotype"/>
          <w:b/>
        </w:rPr>
        <w:t xml:space="preserve"> Ayuntamiento de </w:t>
      </w:r>
      <w:proofErr w:type="spellStart"/>
      <w:r w:rsidRPr="0095012D">
        <w:rPr>
          <w:rFonts w:ascii="Palatino Linotype" w:eastAsia="Palatino Linotype" w:hAnsi="Palatino Linotype" w:cs="Palatino Linotype"/>
          <w:b/>
        </w:rPr>
        <w:t>Ocoyoacac</w:t>
      </w:r>
      <w:proofErr w:type="spellEnd"/>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 xml:space="preserve">en lo sucesivo </w:t>
      </w:r>
      <w:r w:rsidRPr="0095012D">
        <w:rPr>
          <w:rFonts w:ascii="Palatino Linotype" w:eastAsia="Palatino Linotype" w:hAnsi="Palatino Linotype" w:cs="Palatino Linotype"/>
          <w:b/>
        </w:rPr>
        <w:t xml:space="preserve">EL SUJETO OBLIGADO, </w:t>
      </w:r>
      <w:r w:rsidRPr="0095012D">
        <w:rPr>
          <w:rFonts w:ascii="Palatino Linotype" w:eastAsia="Palatino Linotype" w:hAnsi="Palatino Linotype" w:cs="Palatino Linotype"/>
        </w:rPr>
        <w:t xml:space="preserve">se procede a dictar la presente resolución con base en los siguientes: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5012D">
        <w:rPr>
          <w:rFonts w:ascii="Palatino Linotype" w:eastAsia="Palatino Linotype" w:hAnsi="Palatino Linotype" w:cs="Palatino Linotype"/>
          <w:b/>
          <w:color w:val="000000"/>
        </w:rPr>
        <w:t>A N T E C E D E N T E S</w:t>
      </w:r>
    </w:p>
    <w:p w:rsidR="00494DAA" w:rsidRPr="0095012D" w:rsidRDefault="00494DAA">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494DAA" w:rsidRPr="0095012D" w:rsidRDefault="00674B6A">
      <w:pPr>
        <w:spacing w:line="360" w:lineRule="auto"/>
        <w:jc w:val="both"/>
        <w:rPr>
          <w:rFonts w:ascii="Palatino Linotype" w:eastAsia="Palatino Linotype" w:hAnsi="Palatino Linotype" w:cs="Palatino Linotype"/>
        </w:rPr>
      </w:pPr>
      <w:bookmarkStart w:id="0" w:name="_heading=h.gjdgxs" w:colFirst="0" w:colLast="0"/>
      <w:bookmarkEnd w:id="0"/>
      <w:r w:rsidRPr="0095012D">
        <w:rPr>
          <w:rFonts w:ascii="Palatino Linotype" w:eastAsia="Palatino Linotype" w:hAnsi="Palatino Linotype" w:cs="Palatino Linotype"/>
          <w:b/>
        </w:rPr>
        <w:t>1. Solicitud de acceso a la información.</w:t>
      </w:r>
      <w:r w:rsidRPr="0095012D">
        <w:rPr>
          <w:rFonts w:ascii="Palatino Linotype" w:eastAsia="Palatino Linotype" w:hAnsi="Palatino Linotype" w:cs="Palatino Linotype"/>
        </w:rPr>
        <w:t xml:space="preserve"> El </w:t>
      </w:r>
      <w:r w:rsidRPr="0095012D">
        <w:rPr>
          <w:rFonts w:ascii="Palatino Linotype" w:eastAsia="Palatino Linotype" w:hAnsi="Palatino Linotype" w:cs="Palatino Linotype"/>
          <w:b/>
        </w:rPr>
        <w:t>trece de octubre de dos mil veintidós,</w:t>
      </w:r>
      <w:r w:rsidRPr="0095012D">
        <w:rPr>
          <w:rFonts w:ascii="Palatino Linotype" w:eastAsia="Palatino Linotype" w:hAnsi="Palatino Linotype" w:cs="Palatino Linotype"/>
        </w:rPr>
        <w:t xml:space="preserve"> </w:t>
      </w:r>
      <w:r w:rsidRPr="0095012D">
        <w:rPr>
          <w:rFonts w:ascii="Palatino Linotype" w:eastAsia="Palatino Linotype" w:hAnsi="Palatino Linotype" w:cs="Palatino Linotype"/>
          <w:b/>
        </w:rPr>
        <w:t>LA PARTE</w:t>
      </w:r>
      <w:r w:rsidRPr="0095012D">
        <w:rPr>
          <w:rFonts w:ascii="Palatino Linotype" w:eastAsia="Palatino Linotype" w:hAnsi="Palatino Linotype" w:cs="Palatino Linotype"/>
        </w:rPr>
        <w:t xml:space="preserve"> </w:t>
      </w:r>
      <w:r w:rsidRPr="0095012D">
        <w:rPr>
          <w:rFonts w:ascii="Palatino Linotype" w:eastAsia="Palatino Linotype" w:hAnsi="Palatino Linotype" w:cs="Palatino Linotype"/>
          <w:b/>
        </w:rPr>
        <w:t xml:space="preserve">RECURRENTE </w:t>
      </w:r>
      <w:r w:rsidRPr="0095012D">
        <w:rPr>
          <w:rFonts w:ascii="Palatino Linotype" w:eastAsia="Palatino Linotype" w:hAnsi="Palatino Linotype" w:cs="Palatino Linotype"/>
        </w:rPr>
        <w:t>presentó, través del Sistema de Acceso a la Información Mexiquense o SAIMEX</w:t>
      </w:r>
      <w:r w:rsidRPr="0095012D">
        <w:rPr>
          <w:rFonts w:ascii="Palatino Linotype" w:eastAsia="Palatino Linotype" w:hAnsi="Palatino Linotype" w:cs="Palatino Linotype"/>
          <w:b/>
        </w:rPr>
        <w:t>,</w:t>
      </w:r>
      <w:r w:rsidRPr="0095012D">
        <w:rPr>
          <w:rFonts w:ascii="Palatino Linotype" w:eastAsia="Palatino Linotype" w:hAnsi="Palatino Linotype" w:cs="Palatino Linotype"/>
        </w:rPr>
        <w:t xml:space="preserve"> ante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la solicitud de acceso a la información pública</w:t>
      </w:r>
      <w:r w:rsidRPr="0095012D">
        <w:rPr>
          <w:rFonts w:ascii="Palatino Linotype" w:eastAsia="Palatino Linotype" w:hAnsi="Palatino Linotype" w:cs="Palatino Linotype"/>
          <w:b/>
        </w:rPr>
        <w:t xml:space="preserve"> 00216/OCOYOAC/IP/2022, </w:t>
      </w:r>
      <w:r w:rsidRPr="0095012D">
        <w:rPr>
          <w:rFonts w:ascii="Palatino Linotype" w:eastAsia="Palatino Linotype" w:hAnsi="Palatino Linotype" w:cs="Palatino Linotype"/>
        </w:rPr>
        <w:t xml:space="preserve">mediante la cual requirió la información siguiente: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r w:rsidRPr="0095012D">
        <w:rPr>
          <w:rFonts w:ascii="Palatino Linotype" w:eastAsia="Palatino Linotype" w:hAnsi="Palatino Linotype" w:cs="Palatino Linotype"/>
          <w:i/>
          <w:color w:val="000000"/>
          <w:sz w:val="22"/>
          <w:szCs w:val="22"/>
        </w:rPr>
        <w:t xml:space="preserve">Manual de organización, manual de procedimientos y reglamento interno VIGENTES de la contraloría interna municipal. Y los proyectos elaborados por la actual administración, así como también manual general de organización del </w:t>
      </w:r>
      <w:proofErr w:type="gramStart"/>
      <w:r w:rsidRPr="0095012D">
        <w:rPr>
          <w:rFonts w:ascii="Palatino Linotype" w:eastAsia="Palatino Linotype" w:hAnsi="Palatino Linotype" w:cs="Palatino Linotype"/>
          <w:i/>
          <w:color w:val="000000"/>
          <w:sz w:val="22"/>
          <w:szCs w:val="22"/>
        </w:rPr>
        <w:t>ayuntamiento</w:t>
      </w:r>
      <w:proofErr w:type="gramEnd"/>
      <w:r w:rsidRPr="0095012D">
        <w:rPr>
          <w:rFonts w:ascii="Palatino Linotype" w:eastAsia="Palatino Linotype" w:hAnsi="Palatino Linotype" w:cs="Palatino Linotype"/>
          <w:i/>
          <w:color w:val="000000"/>
          <w:sz w:val="22"/>
          <w:szCs w:val="22"/>
        </w:rPr>
        <w:t xml:space="preserve"> VIGENTE.</w:t>
      </w:r>
      <w:r w:rsidRPr="0095012D">
        <w:rPr>
          <w:rFonts w:ascii="Palatino Linotype" w:eastAsia="Palatino Linotype" w:hAnsi="Palatino Linotype" w:cs="Palatino Linotype"/>
          <w:i/>
          <w:color w:val="404040"/>
          <w:sz w:val="22"/>
          <w:szCs w:val="22"/>
        </w:rPr>
        <w:t>” (Sic)</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Modalidad de Entrega:</w:t>
      </w:r>
      <w:r w:rsidRPr="0095012D">
        <w:rPr>
          <w:rFonts w:ascii="Palatino Linotype" w:eastAsia="Palatino Linotype" w:hAnsi="Palatino Linotype" w:cs="Palatino Linotype"/>
        </w:rPr>
        <w:t xml:space="preserve"> A través de SAIMEX.</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lastRenderedPageBreak/>
        <w:t xml:space="preserve">2. Respuesta. </w:t>
      </w:r>
      <w:r w:rsidRPr="0095012D">
        <w:rPr>
          <w:rFonts w:ascii="Palatino Linotype" w:eastAsia="Palatino Linotype" w:hAnsi="Palatino Linotype" w:cs="Palatino Linotype"/>
        </w:rPr>
        <w:t xml:space="preserve">El </w:t>
      </w:r>
      <w:r w:rsidRPr="0095012D">
        <w:rPr>
          <w:rFonts w:ascii="Palatino Linotype" w:eastAsia="Palatino Linotype" w:hAnsi="Palatino Linotype" w:cs="Palatino Linotype"/>
          <w:b/>
        </w:rPr>
        <w:t xml:space="preserve">veintisiete de octubre de dos mil veintidós, EL SUJETO OBLIGADO </w:t>
      </w:r>
      <w:r w:rsidRPr="0095012D">
        <w:rPr>
          <w:rFonts w:ascii="Palatino Linotype" w:eastAsia="Palatino Linotype" w:hAnsi="Palatino Linotype" w:cs="Palatino Linotype"/>
        </w:rPr>
        <w:t xml:space="preserve">respondió a este requerimiento en los siguientes términos: </w:t>
      </w:r>
    </w:p>
    <w:p w:rsidR="00494DAA" w:rsidRPr="0095012D" w:rsidRDefault="00355CFC">
      <w:pPr>
        <w:spacing w:line="360" w:lineRule="auto"/>
        <w:jc w:val="center"/>
        <w:rPr>
          <w:rFonts w:ascii="Palatino Linotype" w:eastAsia="Palatino Linotype" w:hAnsi="Palatino Linotype" w:cs="Palatino Linotype"/>
        </w:rPr>
      </w:pPr>
      <w:r>
        <w:rPr>
          <w:noProof/>
        </w:rPr>
        <w:drawing>
          <wp:inline distT="0" distB="0" distL="0" distR="0" wp14:anchorId="2FDD04D6" wp14:editId="098B6864">
            <wp:extent cx="4705350" cy="3162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72" t="24441" r="34487" b="33012"/>
                    <a:stretch/>
                  </pic:blipFill>
                  <pic:spPr bwMode="auto">
                    <a:xfrm>
                      <a:off x="0" y="0"/>
                      <a:ext cx="4738411" cy="3184519"/>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494DAA" w:rsidRPr="0095012D" w:rsidRDefault="00494DAA">
      <w:pPr>
        <w:spacing w:line="360" w:lineRule="auto"/>
        <w:jc w:val="center"/>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bookmarkStart w:id="2" w:name="_heading=h.2et92p0" w:colFirst="0" w:colLast="0"/>
      <w:bookmarkEnd w:id="2"/>
      <w:r w:rsidRPr="0095012D">
        <w:rPr>
          <w:rFonts w:ascii="Palatino Linotype" w:eastAsia="Palatino Linotype" w:hAnsi="Palatino Linotype" w:cs="Palatino Linotype"/>
          <w:b/>
          <w:sz w:val="22"/>
          <w:szCs w:val="22"/>
        </w:rPr>
        <w:t>3.</w:t>
      </w:r>
      <w:r w:rsidRPr="0095012D">
        <w:rPr>
          <w:rFonts w:ascii="Palatino Linotype" w:eastAsia="Palatino Linotype" w:hAnsi="Palatino Linotype" w:cs="Palatino Linotype"/>
          <w:b/>
        </w:rPr>
        <w:t xml:space="preserve"> Interposición del recurso de revisión. </w:t>
      </w:r>
      <w:r w:rsidRPr="0095012D">
        <w:rPr>
          <w:rFonts w:ascii="Palatino Linotype" w:eastAsia="Palatino Linotype" w:hAnsi="Palatino Linotype" w:cs="Palatino Linotype"/>
        </w:rPr>
        <w:t xml:space="preserve">Inconforme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con la respuesta del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el día</w:t>
      </w:r>
      <w:r w:rsidRPr="0095012D">
        <w:rPr>
          <w:rFonts w:ascii="Palatino Linotype" w:eastAsia="Palatino Linotype" w:hAnsi="Palatino Linotype" w:cs="Palatino Linotype"/>
          <w:b/>
        </w:rPr>
        <w:t xml:space="preserve"> veintiocho de octubre de dos mil veintidós,</w:t>
      </w:r>
      <w:r w:rsidRPr="0095012D">
        <w:rPr>
          <w:rFonts w:ascii="Palatino Linotype" w:eastAsia="Palatino Linotype" w:hAnsi="Palatino Linotype" w:cs="Palatino Linotype"/>
        </w:rPr>
        <w:t xml:space="preserve"> interpuso el recurso de revisión a través de SAIMEX,</w:t>
      </w:r>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en donde se manifestó de la siguiente manera: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tabs>
          <w:tab w:val="left" w:pos="2745"/>
        </w:tabs>
        <w:spacing w:line="360" w:lineRule="auto"/>
        <w:jc w:val="both"/>
        <w:rPr>
          <w:rFonts w:ascii="Palatino Linotype" w:eastAsia="Palatino Linotype" w:hAnsi="Palatino Linotype" w:cs="Palatino Linotype"/>
          <w:b/>
        </w:rPr>
      </w:pPr>
      <w:r w:rsidRPr="0095012D">
        <w:rPr>
          <w:rFonts w:ascii="Palatino Linotype" w:eastAsia="Palatino Linotype" w:hAnsi="Palatino Linotype" w:cs="Palatino Linotype"/>
          <w:b/>
        </w:rPr>
        <w:t xml:space="preserve">Acto impugnado: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000000"/>
          <w:sz w:val="22"/>
          <w:szCs w:val="22"/>
        </w:rPr>
        <w:t>“Me otorgaron como "respuesta" una solicitud de aclaración respecto de una palabra; siendo omisos en entregar la demás información que fue solicitada clara y textualmente.” (Sic)</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spacing w:line="360" w:lineRule="auto"/>
        <w:jc w:val="both"/>
        <w:rPr>
          <w:rFonts w:ascii="Palatino Linotype" w:eastAsia="Palatino Linotype" w:hAnsi="Palatino Linotype" w:cs="Palatino Linotype"/>
        </w:rPr>
      </w:pPr>
      <w:bookmarkStart w:id="3" w:name="_heading=h.30j0zll" w:colFirst="0" w:colLast="0"/>
      <w:bookmarkEnd w:id="3"/>
      <w:r w:rsidRPr="0095012D">
        <w:rPr>
          <w:rFonts w:ascii="Palatino Linotype" w:eastAsia="Palatino Linotype" w:hAnsi="Palatino Linotype" w:cs="Palatino Linotype"/>
          <w:b/>
        </w:rPr>
        <w:t>Razones o motivos de inconformidad</w:t>
      </w:r>
      <w:r w:rsidRPr="0095012D">
        <w:rPr>
          <w:rFonts w:ascii="Palatino Linotype" w:eastAsia="Palatino Linotype" w:hAnsi="Palatino Linotype" w:cs="Palatino Linotype"/>
        </w:rPr>
        <w:t>:</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000000"/>
          <w:sz w:val="22"/>
          <w:szCs w:val="22"/>
        </w:rPr>
        <w:lastRenderedPageBreak/>
        <w:t xml:space="preserve">“No se me otorgó la respuesta ni la </w:t>
      </w:r>
      <w:proofErr w:type="spellStart"/>
      <w:r w:rsidRPr="0095012D">
        <w:rPr>
          <w:rFonts w:ascii="Palatino Linotype" w:eastAsia="Palatino Linotype" w:hAnsi="Palatino Linotype" w:cs="Palatino Linotype"/>
          <w:i/>
          <w:color w:val="000000"/>
          <w:sz w:val="22"/>
          <w:szCs w:val="22"/>
        </w:rPr>
        <w:t>infomación</w:t>
      </w:r>
      <w:proofErr w:type="spellEnd"/>
      <w:r w:rsidRPr="0095012D">
        <w:rPr>
          <w:rFonts w:ascii="Palatino Linotype" w:eastAsia="Palatino Linotype" w:hAnsi="Palatino Linotype" w:cs="Palatino Linotype"/>
          <w:i/>
          <w:color w:val="000000"/>
          <w:sz w:val="22"/>
          <w:szCs w:val="22"/>
        </w:rPr>
        <w:t xml:space="preserve"> solicitada y en su lugar se recibió un oficio donde solicitaban aclaración de la palabra "proyectos" sin que estuviera en tiempo para realizar la </w:t>
      </w:r>
      <w:proofErr w:type="spellStart"/>
      <w:r w:rsidRPr="0095012D">
        <w:rPr>
          <w:rFonts w:ascii="Palatino Linotype" w:eastAsia="Palatino Linotype" w:hAnsi="Palatino Linotype" w:cs="Palatino Linotype"/>
          <w:i/>
          <w:color w:val="000000"/>
          <w:sz w:val="22"/>
          <w:szCs w:val="22"/>
        </w:rPr>
        <w:t>aclaracion</w:t>
      </w:r>
      <w:proofErr w:type="spellEnd"/>
      <w:r w:rsidRPr="0095012D">
        <w:rPr>
          <w:rFonts w:ascii="Palatino Linotype" w:eastAsia="Palatino Linotype" w:hAnsi="Palatino Linotype" w:cs="Palatino Linotype"/>
          <w:i/>
          <w:color w:val="000000"/>
          <w:sz w:val="22"/>
          <w:szCs w:val="22"/>
        </w:rPr>
        <w:t xml:space="preserve">; por lo tanto, no se le dio trámite a mi </w:t>
      </w:r>
      <w:proofErr w:type="spellStart"/>
      <w:r w:rsidRPr="0095012D">
        <w:rPr>
          <w:rFonts w:ascii="Palatino Linotype" w:eastAsia="Palatino Linotype" w:hAnsi="Palatino Linotype" w:cs="Palatino Linotype"/>
          <w:i/>
          <w:color w:val="000000"/>
          <w:sz w:val="22"/>
          <w:szCs w:val="22"/>
        </w:rPr>
        <w:t>solictud</w:t>
      </w:r>
      <w:proofErr w:type="spellEnd"/>
      <w:r w:rsidRPr="0095012D">
        <w:rPr>
          <w:rFonts w:ascii="Palatino Linotype" w:eastAsia="Palatino Linotype" w:hAnsi="Palatino Linotype" w:cs="Palatino Linotype"/>
          <w:i/>
          <w:color w:val="000000"/>
          <w:sz w:val="22"/>
          <w:szCs w:val="22"/>
        </w:rPr>
        <w:t xml:space="preserve">, pues tampoco </w:t>
      </w:r>
      <w:proofErr w:type="spellStart"/>
      <w:r w:rsidRPr="0095012D">
        <w:rPr>
          <w:rFonts w:ascii="Palatino Linotype" w:eastAsia="Palatino Linotype" w:hAnsi="Palatino Linotype" w:cs="Palatino Linotype"/>
          <w:i/>
          <w:color w:val="000000"/>
          <w:sz w:val="22"/>
          <w:szCs w:val="22"/>
        </w:rPr>
        <w:t>estan</w:t>
      </w:r>
      <w:proofErr w:type="spellEnd"/>
      <w:r w:rsidRPr="0095012D">
        <w:rPr>
          <w:rFonts w:ascii="Palatino Linotype" w:eastAsia="Palatino Linotype" w:hAnsi="Palatino Linotype" w:cs="Palatino Linotype"/>
          <w:i/>
          <w:color w:val="000000"/>
          <w:sz w:val="22"/>
          <w:szCs w:val="22"/>
        </w:rPr>
        <w:t xml:space="preserve"> los oficios de requerimiento de información y por lo tanto, no me fue proporcionada la información solicitada.” (Sic)</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spacing w:line="360" w:lineRule="auto"/>
        <w:ind w:right="51"/>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4. Turno. </w:t>
      </w:r>
      <w:r w:rsidRPr="0095012D">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RPr="0095012D">
        <w:rPr>
          <w:rFonts w:ascii="Palatino Linotype" w:eastAsia="Palatino Linotype" w:hAnsi="Palatino Linotype" w:cs="Palatino Linotype"/>
          <w:b/>
        </w:rPr>
        <w:t xml:space="preserve">Comisionada Guadalupe Ramírez Peña, </w:t>
      </w:r>
      <w:r w:rsidRPr="0095012D">
        <w:rPr>
          <w:rFonts w:ascii="Palatino Linotype" w:eastAsia="Palatino Linotype" w:hAnsi="Palatino Linotype" w:cs="Palatino Linotype"/>
        </w:rPr>
        <w:t xml:space="preserve">a efecto de que analizara sobre su admisión o su </w:t>
      </w:r>
      <w:proofErr w:type="spellStart"/>
      <w:r w:rsidRPr="0095012D">
        <w:rPr>
          <w:rFonts w:ascii="Palatino Linotype" w:eastAsia="Palatino Linotype" w:hAnsi="Palatino Linotype" w:cs="Palatino Linotype"/>
        </w:rPr>
        <w:t>desechamiento</w:t>
      </w:r>
      <w:proofErr w:type="spellEnd"/>
      <w:r w:rsidRPr="0095012D">
        <w:rPr>
          <w:rFonts w:ascii="Palatino Linotype" w:eastAsia="Palatino Linotype" w:hAnsi="Palatino Linotype" w:cs="Palatino Linotype"/>
        </w:rPr>
        <w:t>.</w:t>
      </w:r>
    </w:p>
    <w:p w:rsidR="00494DAA" w:rsidRPr="0095012D" w:rsidRDefault="00494DAA">
      <w:pPr>
        <w:spacing w:line="360" w:lineRule="auto"/>
        <w:ind w:right="51"/>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5. Admisión del Recurso de revisión.</w:t>
      </w:r>
      <w:r w:rsidRPr="0095012D">
        <w:rPr>
          <w:rFonts w:ascii="Palatino Linotype" w:eastAsia="Palatino Linotype" w:hAnsi="Palatino Linotype" w:cs="Palatino Linotype"/>
        </w:rPr>
        <w:t xml:space="preserve"> El</w:t>
      </w:r>
      <w:r w:rsidRPr="0095012D">
        <w:rPr>
          <w:rFonts w:ascii="Palatino Linotype" w:eastAsia="Palatino Linotype" w:hAnsi="Palatino Linotype" w:cs="Palatino Linotype"/>
          <w:b/>
        </w:rPr>
        <w:t xml:space="preserve"> tres de noviembre de dos mil veintidós, </w:t>
      </w:r>
      <w:r w:rsidRPr="0095012D">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95012D">
        <w:rPr>
          <w:rFonts w:ascii="Palatino Linotype" w:eastAsia="Palatino Linotype" w:hAnsi="Palatino Linotype" w:cs="Palatino Linotype"/>
          <w:b/>
        </w:rPr>
        <w:t xml:space="preserve">EL SUJETO OBLIGADO </w:t>
      </w:r>
      <w:r w:rsidRPr="0095012D">
        <w:rPr>
          <w:rFonts w:ascii="Palatino Linotype" w:eastAsia="Palatino Linotype" w:hAnsi="Palatino Linotype" w:cs="Palatino Linotype"/>
        </w:rPr>
        <w:t>presentara su Informe Justificado.</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ind w:right="49"/>
        <w:jc w:val="both"/>
        <w:rPr>
          <w:rFonts w:ascii="Palatino Linotype" w:eastAsia="Palatino Linotype" w:hAnsi="Palatino Linotype" w:cs="Palatino Linotype"/>
        </w:rPr>
      </w:pPr>
      <w:bookmarkStart w:id="4" w:name="_heading=h.2s8eyo1" w:colFirst="0" w:colLast="0"/>
      <w:bookmarkEnd w:id="4"/>
      <w:r w:rsidRPr="0095012D">
        <w:rPr>
          <w:rFonts w:ascii="Palatino Linotype" w:eastAsia="Palatino Linotype" w:hAnsi="Palatino Linotype" w:cs="Palatino Linotype"/>
          <w:b/>
        </w:rPr>
        <w:t>6. Manifestaciones</w:t>
      </w:r>
      <w:r w:rsidRPr="0095012D">
        <w:rPr>
          <w:rFonts w:ascii="Palatino Linotype" w:eastAsia="Palatino Linotype" w:hAnsi="Palatino Linotype" w:cs="Palatino Linotype"/>
        </w:rPr>
        <w:t xml:space="preserve">. De las constancias que integran el expediente electrónico en que se actúa, se advierte que </w:t>
      </w:r>
      <w:r w:rsidRPr="0095012D">
        <w:rPr>
          <w:rFonts w:ascii="Palatino Linotype" w:eastAsia="Palatino Linotype" w:hAnsi="Palatino Linotype" w:cs="Palatino Linotype"/>
          <w:b/>
        </w:rPr>
        <w:t xml:space="preserve">EL SUJETO OBLIGADO </w:t>
      </w:r>
      <w:r w:rsidRPr="0095012D">
        <w:rPr>
          <w:rFonts w:ascii="Palatino Linotype" w:eastAsia="Palatino Linotype" w:hAnsi="Palatino Linotype" w:cs="Palatino Linotype"/>
        </w:rPr>
        <w:t xml:space="preserve">hizo uso de su derecho procesal remitiendo sus manifestaciones a través del archivo </w:t>
      </w:r>
      <w:hyperlink r:id="rId9">
        <w:r w:rsidRPr="0095012D">
          <w:rPr>
            <w:rFonts w:ascii="Palatino Linotype" w:eastAsia="Palatino Linotype" w:hAnsi="Palatino Linotype" w:cs="Palatino Linotype"/>
            <w:i/>
            <w:color w:val="000000"/>
          </w:rPr>
          <w:t>20221206180725385.pdf</w:t>
        </w:r>
      </w:hyperlink>
      <w:r w:rsidRPr="0095012D">
        <w:rPr>
          <w:rFonts w:ascii="Palatino Linotype" w:eastAsia="Palatino Linotype" w:hAnsi="Palatino Linotype" w:cs="Palatino Linotype"/>
        </w:rPr>
        <w:t xml:space="preserve">, que contiene el escrito sin fecha y sin número de oficio signado por la Secretaría del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de términos siguientes: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 En relación a su petición, la cual se solicitó a esta área por el Sistema de Acceso a la Información Publica Mexiquense (SAIMEX), informo a usted que se está trabajando en la publicación estos  y todos los manuales y reglamentos, aprobados previamente por sesión ordinaria de cabildo y no omito comentar que en cuanto esta secretaría cuente con el hipervínculo de la página oficial del </w:t>
      </w:r>
      <w:r w:rsidRPr="0095012D">
        <w:rPr>
          <w:rFonts w:ascii="Palatino Linotype" w:eastAsia="Palatino Linotype" w:hAnsi="Palatino Linotype" w:cs="Palatino Linotype"/>
          <w:i/>
          <w:color w:val="404040"/>
          <w:sz w:val="22"/>
          <w:szCs w:val="22"/>
        </w:rPr>
        <w:lastRenderedPageBreak/>
        <w:t xml:space="preserve">ayuntamiento de </w:t>
      </w:r>
      <w:proofErr w:type="spellStart"/>
      <w:r w:rsidRPr="0095012D">
        <w:rPr>
          <w:rFonts w:ascii="Palatino Linotype" w:eastAsia="Palatino Linotype" w:hAnsi="Palatino Linotype" w:cs="Palatino Linotype"/>
          <w:i/>
          <w:color w:val="404040"/>
          <w:sz w:val="22"/>
          <w:szCs w:val="22"/>
        </w:rPr>
        <w:t>Ocoyoacac</w:t>
      </w:r>
      <w:proofErr w:type="spellEnd"/>
      <w:r w:rsidRPr="0095012D">
        <w:rPr>
          <w:rFonts w:ascii="Palatino Linotype" w:eastAsia="Palatino Linotype" w:hAnsi="Palatino Linotype" w:cs="Palatino Linotype"/>
          <w:i/>
          <w:color w:val="404040"/>
          <w:sz w:val="22"/>
          <w:szCs w:val="22"/>
        </w:rPr>
        <w:t xml:space="preserve"> donde ya estén publicados en su totalidad todos estos manuales y reglamentos será remitido a usted para su consulta…” (Sic) </w:t>
      </w:r>
    </w:p>
    <w:p w:rsidR="00494DAA" w:rsidRPr="0095012D" w:rsidRDefault="00494DAA">
      <w:pPr>
        <w:spacing w:line="360" w:lineRule="auto"/>
        <w:ind w:right="49"/>
        <w:jc w:val="both"/>
        <w:rPr>
          <w:rFonts w:ascii="Palatino Linotype" w:eastAsia="Palatino Linotype" w:hAnsi="Palatino Linotype" w:cs="Palatino Linotype"/>
          <w:i/>
          <w:color w:val="404040"/>
          <w:sz w:val="22"/>
          <w:szCs w:val="22"/>
        </w:rPr>
      </w:pPr>
    </w:p>
    <w:p w:rsidR="00494DAA" w:rsidRPr="0095012D" w:rsidRDefault="00674B6A">
      <w:pPr>
        <w:spacing w:line="360" w:lineRule="auto"/>
        <w:ind w:right="49"/>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Dicho Informe Justificado fue hecho del conocimiento de </w:t>
      </w:r>
      <w:r w:rsidRPr="0095012D">
        <w:rPr>
          <w:rFonts w:ascii="Palatino Linotype" w:eastAsia="Palatino Linotype" w:hAnsi="Palatino Linotype" w:cs="Palatino Linotype"/>
          <w:b/>
        </w:rPr>
        <w:t xml:space="preserve">LA PARTE RECURRENTE </w:t>
      </w:r>
      <w:r w:rsidRPr="0095012D">
        <w:rPr>
          <w:rFonts w:ascii="Palatino Linotype" w:eastAsia="Palatino Linotype" w:hAnsi="Palatino Linotype" w:cs="Palatino Linotype"/>
        </w:rPr>
        <w:t xml:space="preserve">el pasado veintiocho de marzo de dos mil veintitrés, para que un plazo de tres días hábiles formulara las consideraciones que estimara procedentes, sin embargo, omitió hacer uso de ese derecho procesal como se demuestra en la imagen siguiente: </w:t>
      </w:r>
    </w:p>
    <w:p w:rsidR="00494DAA" w:rsidRPr="0095012D" w:rsidRDefault="00674B6A">
      <w:pPr>
        <w:spacing w:line="360" w:lineRule="auto"/>
        <w:ind w:right="49"/>
        <w:jc w:val="center"/>
        <w:rPr>
          <w:rFonts w:ascii="Palatino Linotype" w:eastAsia="Palatino Linotype" w:hAnsi="Palatino Linotype" w:cs="Palatino Linotype"/>
          <w:color w:val="404040"/>
        </w:rPr>
      </w:pPr>
      <w:r w:rsidRPr="0095012D">
        <w:rPr>
          <w:noProof/>
        </w:rPr>
        <w:drawing>
          <wp:inline distT="0" distB="0" distL="0" distR="0">
            <wp:extent cx="5638927" cy="1916446"/>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1709" t="16221" r="12763" b="38141"/>
                    <a:stretch>
                      <a:fillRect/>
                    </a:stretch>
                  </pic:blipFill>
                  <pic:spPr>
                    <a:xfrm>
                      <a:off x="0" y="0"/>
                      <a:ext cx="5638927" cy="1916446"/>
                    </a:xfrm>
                    <a:prstGeom prst="rect">
                      <a:avLst/>
                    </a:prstGeom>
                    <a:ln/>
                  </pic:spPr>
                </pic:pic>
              </a:graphicData>
            </a:graphic>
          </wp:inline>
        </w:drawing>
      </w:r>
    </w:p>
    <w:p w:rsidR="00494DAA" w:rsidRPr="0095012D" w:rsidRDefault="00494DAA">
      <w:pPr>
        <w:spacing w:line="360" w:lineRule="auto"/>
        <w:ind w:right="49"/>
        <w:jc w:val="center"/>
        <w:rPr>
          <w:rFonts w:ascii="Palatino Linotype" w:eastAsia="Palatino Linotype" w:hAnsi="Palatino Linotype" w:cs="Palatino Linotype"/>
          <w:color w:val="404040"/>
        </w:rPr>
      </w:pPr>
    </w:p>
    <w:p w:rsidR="00494DAA" w:rsidRPr="0095012D" w:rsidRDefault="00674B6A">
      <w:pPr>
        <w:widowControl w:val="0"/>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7. Ampliación del plazo para emitir resolución.</w:t>
      </w:r>
      <w:r w:rsidRPr="0095012D">
        <w:rPr>
          <w:rFonts w:ascii="Palatino Linotype" w:eastAsia="Palatino Linotype" w:hAnsi="Palatino Linotype" w:cs="Palatino Linotype"/>
        </w:rPr>
        <w:t xml:space="preserve"> El pasado </w:t>
      </w:r>
      <w:r w:rsidRPr="0095012D">
        <w:rPr>
          <w:rFonts w:ascii="Palatino Linotype" w:eastAsia="Palatino Linotype" w:hAnsi="Palatino Linotype" w:cs="Palatino Linotype"/>
          <w:b/>
        </w:rPr>
        <w:t>veintiocho de marzo de dos mil veintitrés,</w:t>
      </w:r>
      <w:r w:rsidRPr="0095012D">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494DAA" w:rsidRPr="0095012D" w:rsidRDefault="00494DAA">
      <w:pPr>
        <w:widowControl w:val="0"/>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w:t>
      </w:r>
      <w:r w:rsidRPr="0095012D">
        <w:rPr>
          <w:rFonts w:ascii="Palatino Linotype" w:eastAsia="Palatino Linotype" w:hAnsi="Palatino Linotype" w:cs="Palatino Linotype"/>
          <w:color w:val="000000"/>
        </w:rPr>
        <w:lastRenderedPageBreak/>
        <w:t>personal encargado de la proyección de las resoluciones a dichos medios de impugnación.</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94DAA" w:rsidRPr="0095012D" w:rsidRDefault="00494DAA">
      <w:pPr>
        <w:spacing w:line="360" w:lineRule="auto"/>
        <w:jc w:val="both"/>
        <w:rPr>
          <w:rFonts w:ascii="Palatino Linotype" w:eastAsia="Palatino Linotype" w:hAnsi="Palatino Linotype" w:cs="Palatino Linotype"/>
          <w:strike/>
          <w:color w:val="FF0000"/>
        </w:rPr>
      </w:pPr>
    </w:p>
    <w:p w:rsidR="00494DAA" w:rsidRPr="0095012D" w:rsidRDefault="00674B6A">
      <w:pPr>
        <w:numPr>
          <w:ilvl w:val="0"/>
          <w:numId w:val="4"/>
        </w:num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lastRenderedPageBreak/>
        <w:t xml:space="preserve">Complejidad del Asunto: </w:t>
      </w:r>
      <w:r w:rsidRPr="0095012D">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494DAA" w:rsidRPr="0095012D" w:rsidRDefault="00674B6A">
      <w:pPr>
        <w:numPr>
          <w:ilvl w:val="0"/>
          <w:numId w:val="4"/>
        </w:num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Actividad Procesal del interesado:</w:t>
      </w:r>
      <w:r w:rsidRPr="0095012D">
        <w:rPr>
          <w:rFonts w:ascii="Palatino Linotype" w:eastAsia="Palatino Linotype" w:hAnsi="Palatino Linotype" w:cs="Palatino Linotype"/>
        </w:rPr>
        <w:t xml:space="preserve"> Acciones u omisiones del interesado.</w:t>
      </w:r>
    </w:p>
    <w:p w:rsidR="00494DAA" w:rsidRPr="0095012D" w:rsidRDefault="00674B6A">
      <w:pPr>
        <w:numPr>
          <w:ilvl w:val="0"/>
          <w:numId w:val="4"/>
        </w:num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Conducta de la Autoridad:</w:t>
      </w:r>
      <w:r w:rsidRPr="0095012D">
        <w:rPr>
          <w:rFonts w:ascii="Palatino Linotype" w:eastAsia="Palatino Linotype" w:hAnsi="Palatino Linotype" w:cs="Palatino Linotype"/>
        </w:rPr>
        <w:t xml:space="preserve"> Las Acciones u omisiones realizadas en el procedimiento. Así como si la autoridad actuó con la debida diligencia.</w:t>
      </w:r>
    </w:p>
    <w:p w:rsidR="00494DAA" w:rsidRPr="0095012D" w:rsidRDefault="00674B6A">
      <w:pPr>
        <w:spacing w:line="360" w:lineRule="auto"/>
        <w:ind w:left="567"/>
        <w:jc w:val="both"/>
        <w:rPr>
          <w:rFonts w:ascii="Palatino Linotype" w:eastAsia="Palatino Linotype" w:hAnsi="Palatino Linotype" w:cs="Palatino Linotype"/>
        </w:rPr>
      </w:pPr>
      <w:r w:rsidRPr="0095012D">
        <w:rPr>
          <w:rFonts w:ascii="Palatino Linotype" w:eastAsia="Palatino Linotype" w:hAnsi="Palatino Linotype" w:cs="Palatino Linotype"/>
          <w:b/>
        </w:rPr>
        <w:t>d) La afectación generada en la situación jurídica de la persona involucrada en el proceso:</w:t>
      </w:r>
      <w:r w:rsidRPr="0095012D">
        <w:rPr>
          <w:rFonts w:ascii="Palatino Linotype" w:eastAsia="Palatino Linotype" w:hAnsi="Palatino Linotype" w:cs="Palatino Linotype"/>
        </w:rPr>
        <w:t xml:space="preserve"> Violación a sus derechos humanos.</w:t>
      </w:r>
    </w:p>
    <w:p w:rsidR="00494DAA" w:rsidRPr="0095012D" w:rsidRDefault="00494DAA">
      <w:pPr>
        <w:spacing w:line="360" w:lineRule="auto"/>
        <w:ind w:left="567"/>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Argumento que encuentra sustento en la jurisprudencia P</w:t>
      </w:r>
      <w:proofErr w:type="gramStart"/>
      <w:r w:rsidRPr="0095012D">
        <w:rPr>
          <w:rFonts w:ascii="Palatino Linotype" w:eastAsia="Palatino Linotype" w:hAnsi="Palatino Linotype" w:cs="Palatino Linotype"/>
        </w:rPr>
        <w:t>./</w:t>
      </w:r>
      <w:proofErr w:type="gramEnd"/>
      <w:r w:rsidRPr="0095012D">
        <w:rPr>
          <w:rFonts w:ascii="Palatino Linotype" w:eastAsia="Palatino Linotype" w:hAnsi="Palatino Linotype" w:cs="Palatino Linotype"/>
        </w:rPr>
        <w:t xml:space="preserve">J. 32/92 emitida por el Pleno de la Suprema Corte de Justicia de la Nación de rubro </w:t>
      </w:r>
      <w:r w:rsidRPr="0095012D">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95012D">
        <w:rPr>
          <w:rFonts w:ascii="Palatino Linotype" w:eastAsia="Palatino Linotype" w:hAnsi="Palatino Linotype" w:cs="Palatino Linotype"/>
          <w:b/>
        </w:rPr>
        <w:t>,</w:t>
      </w:r>
      <w:r w:rsidRPr="0095012D">
        <w:rPr>
          <w:rFonts w:ascii="Palatino Linotype" w:eastAsia="Palatino Linotype" w:hAnsi="Palatino Linotype" w:cs="Palatino Linotype"/>
        </w:rPr>
        <w:t xml:space="preserve"> visible en la Gaceta del Seminario Judicial de la Federación con el registro digital 205635.</w:t>
      </w: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i/>
        </w:rPr>
        <w:t>“PLAZO RAZONABLE PARA RESOLVER. DIMENSIÓN Y EFECTOS DE ESTE CONCEPTO CUANDO SE ADUCE EXCESIVA CARGA DE TRABAJO.”</w:t>
      </w:r>
      <w:r w:rsidRPr="0095012D">
        <w:rPr>
          <w:rFonts w:ascii="Palatino Linotype" w:eastAsia="Palatino Linotype" w:hAnsi="Palatino Linotype" w:cs="Palatino Linotype"/>
        </w:rPr>
        <w:t xml:space="preserve"> consultable en el Seminario Judicial de la Federación y su gaceta, con el registro digital 2002351.</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i/>
        </w:rPr>
        <w:t>“PLAZO RAZONABLE PARA RESOLVER. CONCEPTO Y ELEMENTOS QUE LO INTEGRAN A LA LUZ DEL DERECHO INTERNACIONAL DE LOS DERECHOS HUMANOS.”</w:t>
      </w:r>
      <w:r w:rsidRPr="0095012D">
        <w:rPr>
          <w:rFonts w:ascii="Palatino Linotype" w:eastAsia="Palatino Linotype" w:hAnsi="Palatino Linotype" w:cs="Palatino Linotype"/>
          <w:b/>
        </w:rPr>
        <w:t>,</w:t>
      </w:r>
      <w:r w:rsidRPr="0095012D">
        <w:rPr>
          <w:rFonts w:ascii="Palatino Linotype" w:eastAsia="Palatino Linotype" w:hAnsi="Palatino Linotype" w:cs="Palatino Linotype"/>
        </w:rPr>
        <w:t xml:space="preserve"> visible en el Seminario Judicial de la Federación y su gaceta, con el registro digital 2002350.</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8. Cierre de instrucción. </w:t>
      </w:r>
      <w:r w:rsidRPr="0095012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5012D">
        <w:rPr>
          <w:rFonts w:ascii="Palatino Linotype" w:eastAsia="Palatino Linotype" w:hAnsi="Palatino Linotype" w:cs="Palatino Linotype"/>
          <w:b/>
        </w:rPr>
        <w:t>once de abril de dos mil veintitrés</w:t>
      </w:r>
      <w:r w:rsidRPr="0095012D">
        <w:rPr>
          <w:rFonts w:ascii="Palatino Linotype" w:eastAsia="Palatino Linotype" w:hAnsi="Palatino Linotype" w:cs="Palatino Linotype"/>
        </w:rPr>
        <w:t xml:space="preserve">, la </w:t>
      </w:r>
      <w:r w:rsidRPr="0095012D">
        <w:rPr>
          <w:rFonts w:ascii="Palatino Linotype" w:eastAsia="Palatino Linotype" w:hAnsi="Palatino Linotype" w:cs="Palatino Linotype"/>
          <w:b/>
        </w:rPr>
        <w:t>Comisionada Ponente</w:t>
      </w:r>
      <w:r w:rsidRPr="0095012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494DAA" w:rsidRPr="0095012D" w:rsidRDefault="00494DAA">
      <w:pPr>
        <w:spacing w:line="360" w:lineRule="auto"/>
        <w:jc w:val="both"/>
        <w:rPr>
          <w:rFonts w:ascii="Palatino Linotype" w:eastAsia="Palatino Linotype" w:hAnsi="Palatino Linotype" w:cs="Palatino Linotype"/>
          <w:sz w:val="22"/>
          <w:szCs w:val="22"/>
        </w:rPr>
      </w:pPr>
    </w:p>
    <w:p w:rsidR="00494DAA" w:rsidRPr="0095012D" w:rsidRDefault="00674B6A">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5012D">
        <w:rPr>
          <w:rFonts w:ascii="Palatino Linotype" w:eastAsia="Palatino Linotype" w:hAnsi="Palatino Linotype" w:cs="Palatino Linotype"/>
          <w:b/>
          <w:color w:val="000000"/>
        </w:rPr>
        <w:t xml:space="preserve">C O N S I D E R A N D O </w:t>
      </w:r>
    </w:p>
    <w:p w:rsidR="00494DAA" w:rsidRPr="0095012D" w:rsidRDefault="00494DAA">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PRIMERO. COMPETENCIA.</w:t>
      </w:r>
      <w:r w:rsidRPr="0095012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w:t>
      </w:r>
      <w:r w:rsidRPr="0095012D">
        <w:rPr>
          <w:rFonts w:ascii="Palatino Linotype" w:eastAsia="Palatino Linotype" w:hAnsi="Palatino Linotype" w:cs="Palatino Linotype"/>
        </w:rPr>
        <w:lastRenderedPageBreak/>
        <w:t>Acceso a la Información Pública del Estado de México y Municipios; 9, fracciones I y XXIII, y 11 del Reglamento Interior del Instituto de Transparencia, Acceso a la Información Pública y Protección de Datos Personales del Estado de México y Municipios.</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SEGUNDO. OPORTUNIDAD Y PROCEDIBILIDAD DEL RECURSO DE REVISIÓN</w:t>
      </w:r>
      <w:r w:rsidRPr="0095012D">
        <w:rPr>
          <w:rFonts w:ascii="Palatino Linotype" w:eastAsia="Palatino Linotype" w:hAnsi="Palatino Linotype" w:cs="Palatino Linotype"/>
        </w:rPr>
        <w:t xml:space="preserve">. Previo al estudio del fondo del asunto, se procede a analizar los requisitos de oportunidad y </w:t>
      </w:r>
      <w:proofErr w:type="spellStart"/>
      <w:r w:rsidRPr="0095012D">
        <w:rPr>
          <w:rFonts w:ascii="Palatino Linotype" w:eastAsia="Palatino Linotype" w:hAnsi="Palatino Linotype" w:cs="Palatino Linotype"/>
        </w:rPr>
        <w:t>procedibilidad</w:t>
      </w:r>
      <w:proofErr w:type="spellEnd"/>
      <w:r w:rsidRPr="0095012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respondió a la solicitud de información el </w:t>
      </w:r>
      <w:r w:rsidRPr="0095012D">
        <w:rPr>
          <w:rFonts w:ascii="Palatino Linotype" w:eastAsia="Palatino Linotype" w:hAnsi="Palatino Linotype" w:cs="Palatino Linotype"/>
          <w:b/>
        </w:rPr>
        <w:t xml:space="preserve">siete de diciembre de dos mil veintidós, </w:t>
      </w:r>
      <w:r w:rsidRPr="0095012D">
        <w:rPr>
          <w:rFonts w:ascii="Palatino Linotype" w:eastAsia="Palatino Linotype" w:hAnsi="Palatino Linotype" w:cs="Palatino Linotype"/>
        </w:rPr>
        <w:t xml:space="preserve">mientras que el recurso de revisión se interpuso el </w:t>
      </w:r>
      <w:r w:rsidRPr="0095012D">
        <w:rPr>
          <w:rFonts w:ascii="Palatino Linotype" w:eastAsia="Palatino Linotype" w:hAnsi="Palatino Linotype" w:cs="Palatino Linotype"/>
          <w:b/>
        </w:rPr>
        <w:t>trece de enero de dos mil veintitrés</w:t>
      </w:r>
      <w:r w:rsidRPr="0095012D">
        <w:rPr>
          <w:rFonts w:ascii="Palatino Linotype" w:eastAsia="Palatino Linotype" w:hAnsi="Palatino Linotype" w:cs="Palatino Linotype"/>
        </w:rPr>
        <w:t xml:space="preserve">, esto es, al </w:t>
      </w:r>
      <w:r w:rsidRPr="0095012D">
        <w:rPr>
          <w:rFonts w:ascii="Palatino Linotype" w:eastAsia="Palatino Linotype" w:hAnsi="Palatino Linotype" w:cs="Palatino Linotype"/>
          <w:b/>
        </w:rPr>
        <w:t>décimo quinto y último día hábil</w:t>
      </w:r>
      <w:r w:rsidRPr="0095012D">
        <w:rPr>
          <w:rFonts w:ascii="Palatino Linotype" w:eastAsia="Palatino Linotype" w:hAnsi="Palatino Linotype" w:cs="Palatino Linotype"/>
        </w:rPr>
        <w:t xml:space="preserve"> en que tuvo conocimiento de la respuesta.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color w:val="000000"/>
        </w:rPr>
        <w:t xml:space="preserve">Asimismo, por cuanto hace a la </w:t>
      </w:r>
      <w:proofErr w:type="spellStart"/>
      <w:r w:rsidRPr="0095012D">
        <w:rPr>
          <w:rFonts w:ascii="Palatino Linotype" w:eastAsia="Palatino Linotype" w:hAnsi="Palatino Linotype" w:cs="Palatino Linotype"/>
          <w:color w:val="000000"/>
        </w:rPr>
        <w:t>procedibilidad</w:t>
      </w:r>
      <w:proofErr w:type="spellEnd"/>
      <w:r w:rsidRPr="0095012D">
        <w:rPr>
          <w:rFonts w:ascii="Palatino Linotype" w:eastAsia="Palatino Linotype" w:hAnsi="Palatino Linotype" w:cs="Palatino Linotype"/>
          <w:color w:val="000000"/>
        </w:rPr>
        <w:t xml:space="preserve"> del recurso de revisión, es de suma importancia señalar que </w:t>
      </w:r>
      <w:r w:rsidRPr="0095012D">
        <w:rPr>
          <w:rFonts w:ascii="Palatino Linotype" w:eastAsia="Palatino Linotype" w:hAnsi="Palatino Linotype" w:cs="Palatino Linotype"/>
        </w:rPr>
        <w:t>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 xml:space="preserve">Finalmente, se advierte que resulta procedente la interposición del recurso, según lo manifestado por </w:t>
      </w:r>
      <w:r w:rsidRPr="0095012D">
        <w:rPr>
          <w:rFonts w:ascii="Palatino Linotype" w:eastAsia="Palatino Linotype" w:hAnsi="Palatino Linotype" w:cs="Palatino Linotype"/>
          <w:b/>
        </w:rPr>
        <w:t xml:space="preserve">LA PARTE RECURRENTE </w:t>
      </w:r>
      <w:r w:rsidRPr="0095012D">
        <w:rPr>
          <w:rFonts w:ascii="Palatino Linotype" w:eastAsia="Palatino Linotype" w:hAnsi="Palatino Linotype" w:cs="Palatino Linotype"/>
        </w:rPr>
        <w:t>en sus motivos de inconformidad, de acuerdo a las fracciones VII y XI del artículo 179 del ordenamiento legal citado, que a la letra dice: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Artículo 179.</w:t>
      </w:r>
      <w:r w:rsidRPr="0095012D">
        <w:rPr>
          <w:rFonts w:ascii="Palatino Linotype" w:eastAsia="Palatino Linotype" w:hAnsi="Palatino Linotype" w:cs="Palatino Linotype"/>
          <w:i/>
          <w:color w:val="404040"/>
          <w:sz w:val="22"/>
          <w:szCs w:val="22"/>
        </w:rPr>
        <w:t xml:space="preserve"> El recurso de revisión es un medio de protección que la Ley otorga a los particulares, para hacer valer su derecho de acceso a la información pública, y procederá en contra de las siguientes causas: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95012D">
        <w:rPr>
          <w:rFonts w:ascii="Palatino Linotype" w:eastAsia="Palatino Linotype" w:hAnsi="Palatino Linotype" w:cs="Palatino Linotype"/>
          <w:b/>
          <w:i/>
          <w:color w:val="404040"/>
          <w:sz w:val="22"/>
          <w:szCs w:val="22"/>
        </w:rPr>
        <w:t xml:space="preserve">VII. La falta de respuesta a una solicitud de acceso a la información;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95012D">
        <w:rPr>
          <w:rFonts w:ascii="Palatino Linotype" w:eastAsia="Palatino Linotype" w:hAnsi="Palatino Linotype" w:cs="Palatino Linotype"/>
          <w:b/>
          <w:i/>
          <w:color w:val="404040"/>
          <w:sz w:val="22"/>
          <w:szCs w:val="22"/>
        </w:rPr>
        <w:t>XI. La falta de trámite a una solicitud;</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Pr>
        <w:rPr>
          <w:color w:val="FF0000"/>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TERCERO. MATERIA DE LA REVISIÓN. </w:t>
      </w:r>
      <w:r w:rsidRPr="0095012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se pronunciará será: </w:t>
      </w:r>
      <w:r w:rsidRPr="0095012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5012D">
        <w:rPr>
          <w:rFonts w:ascii="Palatino Linotype" w:eastAsia="Palatino Linotype" w:hAnsi="Palatino Linotype" w:cs="Palatino Linotype"/>
        </w:rPr>
        <w:t xml:space="preserve">de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o en su defecto, en caso de ser procedente, ordenar la entrega de información oportuna.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b/>
          <w:color w:val="000000"/>
        </w:rPr>
        <w:t xml:space="preserve">CUARTO. ESTUDIO DEL ASUNTO. </w:t>
      </w:r>
      <w:r w:rsidRPr="0095012D">
        <w:rPr>
          <w:rFonts w:ascii="Palatino Linotype" w:eastAsia="Palatino Linotype" w:hAnsi="Palatino Linotype" w:cs="Palatino Linotype"/>
          <w:color w:val="000000"/>
        </w:rPr>
        <w:t xml:space="preserve">Antes de entrar al análisis de los pronunciamientos del </w:t>
      </w:r>
      <w:r w:rsidRPr="0095012D">
        <w:rPr>
          <w:rFonts w:ascii="Palatino Linotype" w:eastAsia="Palatino Linotype" w:hAnsi="Palatino Linotype" w:cs="Palatino Linotype"/>
          <w:b/>
          <w:color w:val="000000"/>
        </w:rPr>
        <w:t>SUJETO OBLIGADO</w:t>
      </w:r>
      <w:r w:rsidRPr="0095012D">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95012D">
        <w:rPr>
          <w:rFonts w:ascii="Palatino Linotype" w:eastAsia="Palatino Linotype" w:hAnsi="Palatino Linotype" w:cs="Palatino Linotype"/>
          <w:color w:val="000000"/>
        </w:rPr>
        <w:lastRenderedPageBreak/>
        <w:t>arábigos 1 párrafos primero, segundo y tercero y 6 apartado A fracciones I, II, III, IV, V, VI y VII que a la letra señalan:</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u w:val="single"/>
        </w:rPr>
        <w:t>Artículo 1o. En los Estados Unidos Mexicanos todas las personas gozarán de los derechos humanos reconocidos en esta Constitución y en los tratados internacionales de los que el Estado Mexicano sea parte</w:t>
      </w:r>
      <w:r w:rsidRPr="0095012D">
        <w:rPr>
          <w:rFonts w:ascii="Palatino Linotype" w:eastAsia="Palatino Linotype" w:hAnsi="Palatino Linotype" w:cs="Palatino Linotype"/>
          <w:i/>
          <w:color w:val="404040"/>
          <w:sz w:val="22"/>
          <w:szCs w:val="22"/>
        </w:rPr>
        <w:t>, así como de las garantías para su protección, cuyo ejercicio no podrá restringirse ni suspenderse, salvo en los casos y bajo las condiciones que esta Constitución establece.</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95012D">
        <w:rPr>
          <w:rFonts w:ascii="Palatino Linotype" w:eastAsia="Palatino Linotype" w:hAnsi="Palatino Linotype" w:cs="Palatino Linotype"/>
          <w:b/>
          <w:i/>
          <w:color w:val="404040"/>
          <w:sz w:val="22"/>
          <w:szCs w:val="22"/>
        </w:rPr>
        <w:t>Las normas relativas a los derechos humanos se interpretarán de conformidad con esta Constitución y con los tratados internacionales de la materia favoreciendo en todo tiempo a las personas la protección más amplia.</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95012D">
        <w:rPr>
          <w:rFonts w:ascii="Palatino Linotype" w:eastAsia="Palatino Linotype" w:hAnsi="Palatino Linotype" w:cs="Palatino Linotype"/>
          <w:b/>
          <w:i/>
          <w:color w:val="40404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5012D">
        <w:rPr>
          <w:rFonts w:ascii="Palatino Linotype" w:eastAsia="Palatino Linotype" w:hAnsi="Palatino Linotype" w:cs="Palatino Linotype"/>
          <w:i/>
          <w:color w:val="404040"/>
          <w:sz w:val="22"/>
          <w:szCs w:val="22"/>
        </w:rPr>
        <w:t xml:space="preserve"> En consecuencia, el Estado deberá prevenir, investigar, sancionar y reparar las violaciones a los derechos humanos, en los términos que establezca la ley.</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95012D">
        <w:rPr>
          <w:rFonts w:ascii="Palatino Linotype" w:eastAsia="Palatino Linotype" w:hAnsi="Palatino Linotype" w:cs="Palatino Linotype"/>
          <w:b/>
          <w:i/>
          <w:color w:val="404040"/>
          <w:sz w:val="22"/>
          <w:szCs w:val="22"/>
        </w:rPr>
        <w:t>Artículo 6o.</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 xml:space="preserve">A. Para el ejercicio del derecho de acceso a la información, la Federación y </w:t>
      </w:r>
      <w:r w:rsidRPr="0095012D">
        <w:rPr>
          <w:rFonts w:ascii="Palatino Linotype" w:eastAsia="Palatino Linotype" w:hAnsi="Palatino Linotype" w:cs="Palatino Linotype"/>
          <w:b/>
          <w:i/>
          <w:color w:val="404040"/>
          <w:sz w:val="22"/>
          <w:szCs w:val="22"/>
          <w:u w:val="single"/>
        </w:rPr>
        <w:t>las entidades federativas</w:t>
      </w:r>
      <w:r w:rsidRPr="0095012D">
        <w:rPr>
          <w:rFonts w:ascii="Palatino Linotype" w:eastAsia="Palatino Linotype" w:hAnsi="Palatino Linotype" w:cs="Palatino Linotype"/>
          <w:b/>
          <w:i/>
          <w:color w:val="404040"/>
          <w:sz w:val="22"/>
          <w:szCs w:val="22"/>
        </w:rPr>
        <w:t>,</w:t>
      </w:r>
      <w:r w:rsidRPr="0095012D">
        <w:rPr>
          <w:rFonts w:ascii="Palatino Linotype" w:eastAsia="Palatino Linotype" w:hAnsi="Palatino Linotype" w:cs="Palatino Linotype"/>
          <w:i/>
          <w:color w:val="404040"/>
          <w:sz w:val="22"/>
          <w:szCs w:val="22"/>
        </w:rPr>
        <w:t xml:space="preserve"> en el ámbito de sus respectivas competencias, se regirán por los siguientes principios y bases: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 xml:space="preserve">I. </w:t>
      </w:r>
      <w:r w:rsidRPr="0095012D">
        <w:rPr>
          <w:rFonts w:ascii="Palatino Linotype" w:eastAsia="Palatino Linotype" w:hAnsi="Palatino Linotype" w:cs="Palatino Linotype"/>
          <w:b/>
          <w:i/>
          <w:color w:val="404040"/>
          <w:sz w:val="22"/>
          <w:szCs w:val="22"/>
          <w:u w:val="single"/>
        </w:rPr>
        <w:t>Toda la información en posesión de cualquier autoridad, entidad, órgano y organismo de los Poderes</w:t>
      </w:r>
      <w:r w:rsidRPr="0095012D">
        <w:rPr>
          <w:rFonts w:ascii="Palatino Linotype" w:eastAsia="Palatino Linotype" w:hAnsi="Palatino Linotype" w:cs="Palatino Linotype"/>
          <w:i/>
          <w:color w:val="404040"/>
          <w:sz w:val="22"/>
          <w:szCs w:val="22"/>
        </w:rPr>
        <w:t xml:space="preserve"> Ejecutivo, Legislativo </w:t>
      </w:r>
      <w:r w:rsidRPr="0095012D">
        <w:rPr>
          <w:rFonts w:ascii="Palatino Linotype" w:eastAsia="Palatino Linotype" w:hAnsi="Palatino Linotype" w:cs="Palatino Linotype"/>
          <w:b/>
          <w:i/>
          <w:color w:val="404040"/>
          <w:sz w:val="22"/>
          <w:szCs w:val="22"/>
          <w:u w:val="single"/>
        </w:rPr>
        <w:t>y Judicial</w:t>
      </w:r>
      <w:r w:rsidRPr="0095012D">
        <w:rPr>
          <w:rFonts w:ascii="Palatino Linotype" w:eastAsia="Palatino Linotype" w:hAnsi="Palatino Linotype" w:cs="Palatino Linotype"/>
          <w:i/>
          <w:color w:val="40404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5012D">
        <w:rPr>
          <w:rFonts w:ascii="Palatino Linotype" w:eastAsia="Palatino Linotype" w:hAnsi="Palatino Linotype" w:cs="Palatino Linotype"/>
          <w:b/>
          <w:i/>
          <w:color w:val="404040"/>
          <w:sz w:val="22"/>
          <w:szCs w:val="22"/>
        </w:rPr>
        <w:t>es pública y sólo podrá ser reservada temporalmente por razones de interés público y seguridad nacional,</w:t>
      </w:r>
      <w:r w:rsidRPr="0095012D">
        <w:rPr>
          <w:rFonts w:ascii="Palatino Linotype" w:eastAsia="Palatino Linotype" w:hAnsi="Palatino Linotype" w:cs="Palatino Linotype"/>
          <w:i/>
          <w:color w:val="40404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II. La información que se refiere a la vida privada y los datos personales será protegida en los términos y con las excepciones que fijen las leyes.</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 xml:space="preserve">III. </w:t>
      </w:r>
      <w:r w:rsidRPr="0095012D">
        <w:rPr>
          <w:rFonts w:ascii="Palatino Linotype" w:eastAsia="Palatino Linotype" w:hAnsi="Palatino Linotype" w:cs="Palatino Linotype"/>
          <w:b/>
          <w:i/>
          <w:color w:val="404040"/>
          <w:sz w:val="22"/>
          <w:szCs w:val="22"/>
          <w:u w:val="single"/>
        </w:rPr>
        <w:t>Toda persona, sin necesidad de acreditar interés alguno o justificar su utilización, tendrá acceso gratuito a la información pública,</w:t>
      </w:r>
      <w:r w:rsidRPr="0095012D">
        <w:rPr>
          <w:rFonts w:ascii="Palatino Linotype" w:eastAsia="Palatino Linotype" w:hAnsi="Palatino Linotype" w:cs="Palatino Linotype"/>
          <w:i/>
          <w:color w:val="404040"/>
          <w:sz w:val="22"/>
          <w:szCs w:val="22"/>
        </w:rPr>
        <w:t xml:space="preserve"> a sus datos personales o a la rectificación de éstos.</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 xml:space="preserve">IV. </w:t>
      </w:r>
      <w:r w:rsidRPr="0095012D">
        <w:rPr>
          <w:rFonts w:ascii="Palatino Linotype" w:eastAsia="Palatino Linotype" w:hAnsi="Palatino Linotype" w:cs="Palatino Linotype"/>
          <w:i/>
          <w:color w:val="404040"/>
          <w:sz w:val="22"/>
          <w:szCs w:val="22"/>
        </w:rPr>
        <w:t>Se establecerán mecanismos de acceso a la información y procedimientos de revisión expeditos que se sustanciarán ante los organismos autónomos especializados e imparciales que establece esta Constitución.</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 xml:space="preserve">V. </w:t>
      </w:r>
      <w:r w:rsidRPr="0095012D">
        <w:rPr>
          <w:rFonts w:ascii="Palatino Linotype" w:eastAsia="Palatino Linotype" w:hAnsi="Palatino Linotype" w:cs="Palatino Linotype"/>
          <w:i/>
          <w:color w:val="40404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 xml:space="preserve">VI. </w:t>
      </w:r>
      <w:r w:rsidRPr="0095012D">
        <w:rPr>
          <w:rFonts w:ascii="Palatino Linotype" w:eastAsia="Palatino Linotype" w:hAnsi="Palatino Linotype" w:cs="Palatino Linotype"/>
          <w:i/>
          <w:color w:val="404040"/>
          <w:sz w:val="22"/>
          <w:szCs w:val="22"/>
        </w:rPr>
        <w:t>Las leyes determinarán la manera en que los sujetos obligados deberán hacer pública la información relativa a los recursos públicos que entreguen a personas físicas o morales.</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w:t>
      </w:r>
      <w:r w:rsidRPr="0095012D">
        <w:rPr>
          <w:rFonts w:ascii="Palatino Linotype" w:eastAsia="Palatino Linotype" w:hAnsi="Palatino Linotype" w:cs="Palatino Linotype"/>
          <w:b/>
          <w:i/>
          <w:color w:val="404040"/>
          <w:sz w:val="22"/>
          <w:szCs w:val="22"/>
        </w:rPr>
        <w:t xml:space="preserve">VII. </w:t>
      </w:r>
      <w:r w:rsidRPr="0095012D">
        <w:rPr>
          <w:rFonts w:ascii="Palatino Linotype" w:eastAsia="Palatino Linotype" w:hAnsi="Palatino Linotype" w:cs="Palatino Linotype"/>
          <w:i/>
          <w:color w:val="404040"/>
          <w:sz w:val="22"/>
          <w:szCs w:val="22"/>
        </w:rPr>
        <w:t xml:space="preserve">La inobservancia a las disposiciones en materia de acceso a la información pública será sancionada en los términos que dispongan las leyes.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Artículo 4</w:t>
      </w:r>
      <w:r w:rsidRPr="0095012D">
        <w:rPr>
          <w:rFonts w:ascii="Palatino Linotype" w:eastAsia="Palatino Linotype" w:hAnsi="Palatino Linotype" w:cs="Palatino Linotype"/>
          <w:i/>
          <w:color w:val="40404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95012D">
        <w:rPr>
          <w:rFonts w:ascii="Palatino Linotype" w:eastAsia="Palatino Linotype" w:hAnsi="Palatino Linotype" w:cs="Palatino Linotype"/>
          <w:b/>
          <w:i/>
          <w:color w:val="40404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95012D">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494DAA" w:rsidRPr="0095012D" w:rsidRDefault="00494DAA">
      <w:pPr>
        <w:pBdr>
          <w:top w:val="nil"/>
          <w:left w:val="nil"/>
          <w:bottom w:val="nil"/>
          <w:right w:val="nil"/>
          <w:between w:val="nil"/>
        </w:pBdr>
        <w:ind w:left="864" w:right="864"/>
        <w:jc w:val="both"/>
        <w:rPr>
          <w:i/>
          <w:color w:val="404040"/>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Artículo 12</w:t>
      </w:r>
      <w:r w:rsidRPr="0095012D">
        <w:rPr>
          <w:rFonts w:ascii="Palatino Linotype" w:eastAsia="Palatino Linotype" w:hAnsi="Palatino Linotype" w:cs="Palatino Linotype"/>
          <w:i/>
          <w:color w:val="404040"/>
          <w:sz w:val="22"/>
          <w:szCs w:val="22"/>
        </w:rPr>
        <w:t>. Quienes generen, recopilen, administren, manejen, procesen, archiven o conserven información pública serán responsables de la misma en los términos de las disposiciones jurídicas aplicables. </w:t>
      </w:r>
    </w:p>
    <w:p w:rsidR="00494DAA" w:rsidRPr="0095012D" w:rsidRDefault="00494DAA"/>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95012D">
        <w:rPr>
          <w:rFonts w:ascii="Palatino Linotype" w:eastAsia="Palatino Linotype" w:hAnsi="Palatino Linotype" w:cs="Palatino Linotype"/>
          <w:i/>
          <w:color w:val="404040"/>
          <w:sz w:val="22"/>
          <w:szCs w:val="22"/>
        </w:rPr>
        <w:lastRenderedPageBreak/>
        <w:t>misma, ni el presentarla conforme al interés del solicitante; no estarán obligados a generarla, resumirla, efectuar cálculos o practicar investigaciones.</w:t>
      </w:r>
    </w:p>
    <w:p w:rsidR="00494DAA" w:rsidRPr="0095012D" w:rsidRDefault="00494DAA">
      <w:pPr>
        <w:pBdr>
          <w:top w:val="nil"/>
          <w:left w:val="nil"/>
          <w:bottom w:val="nil"/>
          <w:right w:val="nil"/>
          <w:between w:val="nil"/>
        </w:pBdr>
        <w:ind w:left="864" w:right="864"/>
        <w:jc w:val="both"/>
        <w:rPr>
          <w:i/>
          <w:color w:val="40404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95012D">
        <w:rPr>
          <w:rFonts w:ascii="Palatino Linotype" w:eastAsia="Palatino Linotype" w:hAnsi="Palatino Linotype" w:cs="Palatino Linotype"/>
          <w:b/>
          <w:color w:val="000000"/>
        </w:rPr>
        <w:t xml:space="preserve"> </w:t>
      </w:r>
      <w:r w:rsidRPr="0095012D">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95012D">
        <w:rPr>
          <w:rFonts w:ascii="Palatino Linotype" w:eastAsia="Palatino Linotype" w:hAnsi="Palatino Linotype" w:cs="Palatino Linotype"/>
          <w:i/>
          <w:color w:val="000000"/>
        </w:rPr>
        <w:t>ad hoc</w:t>
      </w:r>
      <w:r w:rsidRPr="0095012D">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03/17</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NO EXISTE OBLIGACIÓN DE ELABORAR DOCUMENTOS AD HOC PARA ATENDER LAS SOLICITUDES DE ACCESO A LA INFORMACIÓN.</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95012D">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rsidR="00494DAA" w:rsidRPr="0095012D" w:rsidRDefault="00494DAA">
      <w:pPr>
        <w:pBdr>
          <w:top w:val="nil"/>
          <w:left w:val="nil"/>
          <w:bottom w:val="nil"/>
          <w:right w:val="nil"/>
          <w:between w:val="nil"/>
        </w:pBdr>
        <w:spacing w:line="360" w:lineRule="auto"/>
        <w:jc w:val="both"/>
        <w:rPr>
          <w:color w:val="000000"/>
        </w:rPr>
      </w:pPr>
    </w:p>
    <w:p w:rsidR="00494DAA" w:rsidRPr="0095012D" w:rsidRDefault="00674B6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94DAA" w:rsidRPr="0095012D" w:rsidRDefault="00494DA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 xml:space="preserve">Artículo 3. </w:t>
      </w:r>
      <w:r w:rsidRPr="0095012D">
        <w:rPr>
          <w:rFonts w:ascii="Palatino Linotype" w:eastAsia="Palatino Linotype" w:hAnsi="Palatino Linotype" w:cs="Palatino Linotype"/>
          <w:i/>
          <w:color w:val="404040"/>
          <w:sz w:val="22"/>
          <w:szCs w:val="22"/>
        </w:rPr>
        <w:t>Para los efectos de la presente Ley se entenderá por:</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XI. Documento:</w:t>
      </w:r>
      <w:r w:rsidRPr="0095012D">
        <w:rPr>
          <w:rFonts w:ascii="Palatino Linotype" w:eastAsia="Palatino Linotype" w:hAnsi="Palatino Linotype" w:cs="Palatino Linotype"/>
          <w:i/>
          <w:color w:val="40404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95012D">
        <w:rPr>
          <w:rFonts w:ascii="Palatino Linotype" w:eastAsia="Palatino Linotype" w:hAnsi="Palatino Linotype" w:cs="Palatino Linotype"/>
          <w:i/>
          <w:color w:val="404040"/>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b/>
          <w:i/>
          <w:color w:val="404040"/>
          <w:sz w:val="22"/>
          <w:szCs w:val="22"/>
        </w:rPr>
        <w:t>(…</w:t>
      </w:r>
      <w:r w:rsidRPr="0095012D">
        <w:rPr>
          <w:rFonts w:ascii="Palatino Linotype" w:eastAsia="Palatino Linotype" w:hAnsi="Palatino Linotype" w:cs="Palatino Linotype"/>
          <w:i/>
          <w:color w:val="404040"/>
          <w:sz w:val="22"/>
          <w:szCs w:val="22"/>
        </w:rPr>
        <w:t>)</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spacing w:line="360" w:lineRule="auto"/>
        <w:jc w:val="both"/>
        <w:rPr>
          <w:color w:val="000000"/>
        </w:rPr>
      </w:pPr>
      <w:r w:rsidRPr="0095012D">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CRITERIO 0002-11</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En consecuencia el acceso a la información se refiere a que se cumplan cualquiera de los siguientes tres supuestos: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1. Que se trate de información registrada en cualquier soporte documental, que en ejercicio de las atribuciones conferidas, sea generada por los Sujetos Obligados;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2. Que se trate de información registrada en cualquier soporte documental, que en ejercicio de las atribuciones conferidas, sea administrada por los Sujetos Obligados, y</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3. Que se trate de información registrada en cualquier soporte documental, que en ejercicio de las atribuciones conferidas, se encuentre en posesión de los Sujetos Obligados.</w:t>
      </w:r>
    </w:p>
    <w:p w:rsidR="00494DAA" w:rsidRPr="0095012D" w:rsidRDefault="00494DAA">
      <w:pPr>
        <w:pBdr>
          <w:top w:val="nil"/>
          <w:left w:val="nil"/>
          <w:bottom w:val="nil"/>
          <w:right w:val="nil"/>
          <w:between w:val="nil"/>
        </w:pBdr>
        <w:spacing w:line="360" w:lineRule="auto"/>
        <w:ind w:left="567" w:right="567" w:hanging="284"/>
        <w:jc w:val="both"/>
        <w:rPr>
          <w:color w:val="00000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De ahí que </w:t>
      </w:r>
      <w:r w:rsidRPr="0095012D">
        <w:rPr>
          <w:rFonts w:ascii="Palatino Linotype" w:eastAsia="Palatino Linotype" w:hAnsi="Palatino Linotype" w:cs="Palatino Linotype"/>
          <w:b/>
          <w:color w:val="000000"/>
        </w:rPr>
        <w:t>EL SUJETO OBLIGADO</w:t>
      </w:r>
      <w:r w:rsidRPr="0095012D">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w:t>
      </w:r>
      <w:r w:rsidRPr="0095012D">
        <w:rPr>
          <w:rFonts w:ascii="Palatino Linotype" w:eastAsia="Palatino Linotype" w:hAnsi="Palatino Linotype" w:cs="Palatino Linotype"/>
          <w:color w:val="000000"/>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rPr>
      </w:pPr>
      <w:bookmarkStart w:id="5" w:name="_heading=h.3znysh7" w:colFirst="0" w:colLast="0"/>
      <w:bookmarkEnd w:id="5"/>
      <w:r w:rsidRPr="0095012D">
        <w:rPr>
          <w:rFonts w:ascii="Palatino Linotype" w:eastAsia="Palatino Linotype" w:hAnsi="Palatino Linotype" w:cs="Palatino Linotype"/>
          <w:color w:val="000000"/>
        </w:rPr>
        <w:t xml:space="preserve">Apuntado lo anterior, este Órgano Garante centrará su atención en el estudio de fondo de los agravios hechos valer por </w:t>
      </w:r>
      <w:r w:rsidRPr="0095012D">
        <w:rPr>
          <w:rFonts w:ascii="Palatino Linotype" w:eastAsia="Palatino Linotype" w:hAnsi="Palatino Linotype" w:cs="Palatino Linotype"/>
          <w:b/>
          <w:color w:val="000000"/>
        </w:rPr>
        <w:t xml:space="preserve">LA PARTE RECURRENTE, </w:t>
      </w:r>
      <w:r w:rsidRPr="0095012D">
        <w:rPr>
          <w:rFonts w:ascii="Palatino Linotype" w:eastAsia="Palatino Linotype" w:hAnsi="Palatino Linotype" w:cs="Palatino Linotype"/>
          <w:color w:val="000000"/>
        </w:rPr>
        <w:t xml:space="preserve">pues en la solicitud </w:t>
      </w:r>
      <w:r w:rsidRPr="0095012D">
        <w:rPr>
          <w:rFonts w:ascii="Palatino Linotype" w:eastAsia="Palatino Linotype" w:hAnsi="Palatino Linotype" w:cs="Palatino Linotype"/>
          <w:b/>
        </w:rPr>
        <w:t xml:space="preserve">00216/OCOYOAC/IP/2022, </w:t>
      </w:r>
      <w:r w:rsidRPr="0095012D">
        <w:rPr>
          <w:rFonts w:ascii="Palatino Linotype" w:eastAsia="Palatino Linotype" w:hAnsi="Palatino Linotype" w:cs="Palatino Linotype"/>
        </w:rPr>
        <w:t xml:space="preserve">pidió lo siguiente: </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rPr>
      </w:pPr>
    </w:p>
    <w:p w:rsidR="00494DAA" w:rsidRPr="0095012D" w:rsidRDefault="00674B6A">
      <w:pPr>
        <w:numPr>
          <w:ilvl w:val="0"/>
          <w:numId w:val="2"/>
        </w:numPr>
        <w:pBdr>
          <w:top w:val="nil"/>
          <w:left w:val="nil"/>
          <w:bottom w:val="nil"/>
          <w:right w:val="nil"/>
          <w:between w:val="nil"/>
        </w:pBdr>
        <w:spacing w:line="360" w:lineRule="auto"/>
        <w:ind w:right="864"/>
        <w:jc w:val="both"/>
        <w:rPr>
          <w:rFonts w:ascii="Palatino Linotype" w:eastAsia="Palatino Linotype" w:hAnsi="Palatino Linotype" w:cs="Palatino Linotype"/>
          <w:color w:val="404040"/>
        </w:rPr>
      </w:pPr>
      <w:r w:rsidRPr="0095012D">
        <w:rPr>
          <w:rFonts w:ascii="Palatino Linotype" w:eastAsia="Palatino Linotype" w:hAnsi="Palatino Linotype" w:cs="Palatino Linotype"/>
          <w:color w:val="000000"/>
        </w:rPr>
        <w:t>Manuales vigentes de organización, de procedimientos y reglamento interno de la contraloría interna municipal,</w:t>
      </w:r>
    </w:p>
    <w:p w:rsidR="00494DAA" w:rsidRPr="0095012D" w:rsidRDefault="00674B6A">
      <w:pPr>
        <w:numPr>
          <w:ilvl w:val="0"/>
          <w:numId w:val="2"/>
        </w:numPr>
        <w:pBdr>
          <w:top w:val="nil"/>
          <w:left w:val="nil"/>
          <w:bottom w:val="nil"/>
          <w:right w:val="nil"/>
          <w:between w:val="nil"/>
        </w:pBdr>
        <w:spacing w:line="360" w:lineRule="auto"/>
        <w:ind w:right="864"/>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Manual General de Organización del Ayuntamiento, vigente. </w:t>
      </w:r>
    </w:p>
    <w:p w:rsidR="00494DAA" w:rsidRPr="0095012D" w:rsidRDefault="00494DAA"/>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Antes de entrar al análisis de las constancias contenidas en este expediente, es importante señalar que bajo ninguna circunstancia se debe suponer que </w:t>
      </w:r>
      <w:r w:rsidRPr="0095012D">
        <w:rPr>
          <w:rFonts w:ascii="Palatino Linotype" w:eastAsia="Palatino Linotype" w:hAnsi="Palatino Linotype" w:cs="Palatino Linotype"/>
          <w:b/>
          <w:color w:val="000000"/>
        </w:rPr>
        <w:t xml:space="preserve">LA PARTE RECURRENTE </w:t>
      </w:r>
      <w:r w:rsidRPr="0095012D">
        <w:rPr>
          <w:rFonts w:ascii="Palatino Linotype" w:eastAsia="Palatino Linotype" w:hAnsi="Palatino Linotype" w:cs="Palatino Linotype"/>
          <w:color w:val="000000"/>
        </w:rPr>
        <w:t xml:space="preserve">sea una experta en Derecho, y mucho menos en el Derecho de Acceso a la Información Pública, y en ese sentido, bajo el amparo de los artículos 13 y 181 de la ley en la materia se determina que la Unidad Administrativa a la que hace referencia como Contraloría Interna Municipal es la </w:t>
      </w:r>
      <w:r w:rsidRPr="0095012D">
        <w:rPr>
          <w:rFonts w:ascii="Palatino Linotype" w:eastAsia="Palatino Linotype" w:hAnsi="Palatino Linotype" w:cs="Palatino Linotype"/>
        </w:rPr>
        <w:t>Contraloría Interna del Ayuntamiento y Órganos Desconcentrados y Descentralizados</w:t>
      </w:r>
      <w:r w:rsidRPr="0095012D">
        <w:rPr>
          <w:rFonts w:ascii="Palatino Linotype" w:eastAsia="Palatino Linotype" w:hAnsi="Palatino Linotype" w:cs="Palatino Linotype"/>
          <w:color w:val="000000"/>
        </w:rPr>
        <w:t xml:space="preserve">, esto según el Bando Municipal 2022 del Ayuntamiento de </w:t>
      </w:r>
      <w:proofErr w:type="spellStart"/>
      <w:r w:rsidRPr="0095012D">
        <w:rPr>
          <w:rFonts w:ascii="Palatino Linotype" w:eastAsia="Palatino Linotype" w:hAnsi="Palatino Linotype" w:cs="Palatino Linotype"/>
          <w:color w:val="000000"/>
        </w:rPr>
        <w:t>Ocoyoacac</w:t>
      </w:r>
      <w:proofErr w:type="spellEnd"/>
      <w:r w:rsidRPr="0095012D">
        <w:rPr>
          <w:rFonts w:ascii="Palatino Linotype" w:eastAsia="Palatino Linotype" w:hAnsi="Palatino Linotype" w:cs="Palatino Linotype"/>
          <w:color w:val="000000"/>
        </w:rPr>
        <w:t xml:space="preserve">. </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95012D">
        <w:rPr>
          <w:rFonts w:ascii="Palatino Linotype" w:eastAsia="Palatino Linotype" w:hAnsi="Palatino Linotype" w:cs="Palatino Linotype"/>
          <w:color w:val="000000"/>
        </w:rPr>
        <w:lastRenderedPageBreak/>
        <w:t xml:space="preserve">Determinado lo anterior, es de recordar que </w:t>
      </w:r>
      <w:r w:rsidRPr="0095012D">
        <w:rPr>
          <w:rFonts w:ascii="Palatino Linotype" w:eastAsia="Palatino Linotype" w:hAnsi="Palatino Linotype" w:cs="Palatino Linotype"/>
          <w:b/>
          <w:color w:val="000000"/>
        </w:rPr>
        <w:t>EL SUJETO OBLIGADO,</w:t>
      </w:r>
      <w:r w:rsidRPr="0095012D">
        <w:rPr>
          <w:rFonts w:ascii="Palatino Linotype" w:eastAsia="Palatino Linotype" w:hAnsi="Palatino Linotype" w:cs="Palatino Linotype"/>
          <w:color w:val="000000"/>
        </w:rPr>
        <w:t xml:space="preserve"> mediante su Unidad de Transparencia y a través del SAIMEX respondió que “… </w:t>
      </w:r>
      <w:r w:rsidRPr="0095012D">
        <w:rPr>
          <w:rFonts w:ascii="Palatino Linotype" w:eastAsia="Palatino Linotype" w:hAnsi="Palatino Linotype" w:cs="Palatino Linotype"/>
          <w:i/>
          <w:color w:val="000000"/>
        </w:rPr>
        <w:t xml:space="preserve">solicita aclaración en el apartado de "proyectos”…” (Sic) </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i/>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No pasa por inadvertido para este Organismo Garante enunciar que para considerarse válida una solicitud de aclaración por parte del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xml:space="preserve">, los datos proporcionados para hallar la información deben resultar insuficientes, incompletos o erróneos, y debe ser notificada a la parte solicitante en un plazo que no podrá exceder de cinco días hábiles posteriores a la recepción de la solicitud de acceso a la información; la Unidad de Transparencia tendrá que requerir al particular para que complemente, corrija o precise los requerimientos insertos en su petición inicial.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b/>
        </w:rPr>
      </w:pPr>
      <w:r w:rsidRPr="0095012D">
        <w:rPr>
          <w:rFonts w:ascii="Palatino Linotype" w:eastAsia="Palatino Linotype" w:hAnsi="Palatino Linotype" w:cs="Palatino Linotype"/>
        </w:rPr>
        <w:t xml:space="preserve">De lo anterior, se colige que no se actualizó dicha hipótesis normativa en virtud de que la solicitud de aclaración realizada por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fue emitida </w:t>
      </w:r>
      <w:r w:rsidRPr="0095012D">
        <w:rPr>
          <w:rFonts w:ascii="Palatino Linotype" w:eastAsia="Palatino Linotype" w:hAnsi="Palatino Linotype" w:cs="Palatino Linotype"/>
          <w:b/>
        </w:rPr>
        <w:t>al octavo día hábil posterior</w:t>
      </w:r>
      <w:r w:rsidRPr="0095012D">
        <w:rPr>
          <w:rFonts w:ascii="Palatino Linotype" w:eastAsia="Palatino Linotype" w:hAnsi="Palatino Linotype" w:cs="Palatino Linotype"/>
        </w:rPr>
        <w:t xml:space="preserve"> de recibida la solicitud de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en tal consideración se esgrime que no existió per sé algún pronunciamiento dable de nombrarse como respuesta a la solicitud </w:t>
      </w:r>
      <w:r w:rsidRPr="0095012D">
        <w:rPr>
          <w:rFonts w:ascii="Palatino Linotype" w:eastAsia="Palatino Linotype" w:hAnsi="Palatino Linotype" w:cs="Palatino Linotype"/>
          <w:b/>
        </w:rPr>
        <w:t>00216/OCOYOAC/IP/2022.</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Así pues,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se duele por la falta de respuesta y la falta de trámite a su solicitud, y en tales agravios decidió interponer este medio de defensa en contra de la violación a su Derecho al Acceso a la Información.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Como quedó de manifiesto en el Antecedente número seis de este fallo</w:t>
      </w:r>
      <w:r w:rsidRPr="0095012D">
        <w:rPr>
          <w:rFonts w:ascii="Palatino Linotype" w:eastAsia="Palatino Linotype" w:hAnsi="Palatino Linotype" w:cs="Palatino Linotype"/>
          <w:b/>
        </w:rPr>
        <w:t>, EL SUJETO OBLIGADO</w:t>
      </w:r>
      <w:r w:rsidRPr="0095012D">
        <w:rPr>
          <w:rFonts w:ascii="Palatino Linotype" w:eastAsia="Palatino Linotype" w:hAnsi="Palatino Linotype" w:cs="Palatino Linotype"/>
        </w:rPr>
        <w:t xml:space="preserve"> remitió el Informe Justificado suscrito por la Secretaría del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en donde su Titular señala que </w:t>
      </w:r>
      <w:r w:rsidRPr="0095012D">
        <w:rPr>
          <w:rFonts w:ascii="Palatino Linotype" w:eastAsia="Palatino Linotype" w:hAnsi="Palatino Linotype" w:cs="Palatino Linotype"/>
          <w:i/>
        </w:rPr>
        <w:t xml:space="preserve">“… En relación a su petición, la cual se solicitó a esta área por el Sistema de Acceso a la Información Publica Mexiquense (SAIMEX), informo a usted que se está trabajando en la publicación estos  y todos los manuales y reglamentos, aprobados previamente por sesión ordinaria de cabildo y no omito comentar que en cuanto esta secretaría cuente con el hipervínculo de la página oficial del ayuntamiento de </w:t>
      </w:r>
      <w:proofErr w:type="spellStart"/>
      <w:r w:rsidRPr="0095012D">
        <w:rPr>
          <w:rFonts w:ascii="Palatino Linotype" w:eastAsia="Palatino Linotype" w:hAnsi="Palatino Linotype" w:cs="Palatino Linotype"/>
          <w:i/>
        </w:rPr>
        <w:t>Ocoyoacac</w:t>
      </w:r>
      <w:proofErr w:type="spellEnd"/>
      <w:r w:rsidRPr="0095012D">
        <w:rPr>
          <w:rFonts w:ascii="Palatino Linotype" w:eastAsia="Palatino Linotype" w:hAnsi="Palatino Linotype" w:cs="Palatino Linotype"/>
          <w:i/>
        </w:rPr>
        <w:t xml:space="preserve"> donde ya estén publicados en su totalidad todos estos manuales y reglamentos será remitido a usted para su consulta…” (Sic)</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Se debe resaltar que con la información remitida en la Etapa de Instrucción por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este no niega contar ella</w:t>
      </w:r>
      <w:r w:rsidRPr="0095012D">
        <w:rPr>
          <w:rFonts w:ascii="Palatino Linotype" w:eastAsia="Palatino Linotype" w:hAnsi="Palatino Linotype" w:cs="Palatino Linotype"/>
          <w:b/>
        </w:rPr>
        <w:t>,</w:t>
      </w:r>
      <w:r w:rsidRPr="0095012D">
        <w:rPr>
          <w:rFonts w:ascii="Palatino Linotype" w:eastAsia="Palatino Linotype" w:hAnsi="Palatino Linotype" w:cs="Palatino Linotype"/>
        </w:rPr>
        <w:t xml:space="preserve"> sino por el contrario; señaló que los manuales y reglamentos requeridos por </w:t>
      </w:r>
      <w:r w:rsidRPr="0095012D">
        <w:rPr>
          <w:rFonts w:ascii="Palatino Linotype" w:eastAsia="Palatino Linotype" w:hAnsi="Palatino Linotype" w:cs="Palatino Linotype"/>
          <w:b/>
        </w:rPr>
        <w:t xml:space="preserve">LA PARTE RECURRENTE </w:t>
      </w:r>
      <w:r w:rsidRPr="0095012D">
        <w:rPr>
          <w:rFonts w:ascii="Palatino Linotype" w:eastAsia="Palatino Linotype" w:hAnsi="Palatino Linotype" w:cs="Palatino Linotype"/>
        </w:rPr>
        <w:t xml:space="preserve">se encontraban ya aprobados por el Cabildo, y que la Secretaría del Ayuntamiento entregaría el hipervínculo para la consulta de los mismos cuando ya estuvieran publicados en la página oficial del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i/>
        </w:rPr>
        <w:t>,</w:t>
      </w:r>
      <w:r w:rsidRPr="0095012D">
        <w:rPr>
          <w:rFonts w:ascii="Palatino Linotype" w:eastAsia="Palatino Linotype" w:hAnsi="Palatino Linotype" w:cs="Palatino Linotype"/>
        </w:rPr>
        <w:t xml:space="preserve"> entonces, la competencia para generar, poseer y administrar la información solicitada, en el caso concreto, es obvia.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Sirve de refuerzo a lo dicho, el marco jurídico contenido en la Ley Orgánica Municipal del Estado de México y en el Bando Municipal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2022, con el que cuenta 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para la aprobación de reglamentos y manuales: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LEY ORGÁNICA MUNICIPAL DEL ESTADO DE MÉXICO</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TITULO II De los Ayuntamientos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CAPITULO TERCERO ATRIBUCIONES DE LOS AYUNTAMIENTOS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lastRenderedPageBreak/>
        <w:t xml:space="preserve">Artículo 31.- Son atribuciones de los ayuntamientos: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BANDO MUNICIPAL DE OCOYOACAC 2022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TÍTULO CUARTO DEL GOBIERNO MUNICIPAL</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CAPÍTULO TERCERO DE LA ESTRUCTURA Y ORGANIZACIÓN ADMINISTRATIVA</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Artículo 36. El Ayuntamiento expedirá su Reglamento Orgánico, sus Reglamentos Internos, los Manuales de Organización, los Manuales de Procedimientos, los acuerdos y otras disposiciones que tiendan a regular y </w:t>
      </w:r>
      <w:proofErr w:type="spellStart"/>
      <w:r w:rsidRPr="0095012D">
        <w:rPr>
          <w:rFonts w:ascii="Palatino Linotype" w:eastAsia="Palatino Linotype" w:hAnsi="Palatino Linotype" w:cs="Palatino Linotype"/>
          <w:i/>
          <w:color w:val="404040"/>
          <w:sz w:val="22"/>
          <w:szCs w:val="22"/>
        </w:rPr>
        <w:t>eficientar</w:t>
      </w:r>
      <w:proofErr w:type="spellEnd"/>
      <w:r w:rsidRPr="0095012D">
        <w:rPr>
          <w:rFonts w:ascii="Palatino Linotype" w:eastAsia="Palatino Linotype" w:hAnsi="Palatino Linotype" w:cs="Palatino Linotype"/>
          <w:i/>
          <w:color w:val="404040"/>
          <w:sz w:val="22"/>
          <w:szCs w:val="22"/>
        </w:rPr>
        <w:t xml:space="preserve"> la organización y funcionamiento de las dependencias y entidades de la Administración Pública Municipal.</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TÍTULO QUINTO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CAPÍTULO l DE LA SECRETARIA DEL AYUNTAMIENTO</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Artículo 53. La Secretaría del Ayuntamiento es la responsable de:</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I. Levantar las actas correspondientes a las sesiones de Cabildo;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III. Tener a su cargo el archivo general del Ayuntamiento y la Administración Pública Municipal;</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Pr>
        <w:spacing w:line="360" w:lineRule="auto"/>
        <w:jc w:val="both"/>
        <w:rPr>
          <w:rFonts w:ascii="Palatino Linotype" w:eastAsia="Palatino Linotype" w:hAnsi="Palatino Linotype" w:cs="Palatino Linotype"/>
          <w:color w:val="FF0000"/>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Continuando con el estudio de mérito, este Instituto estima que la información entregada en el Informe Justificado, no satisfizo el Derecho de Acceso a la Información de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en razón de lo establecido en la propia Ley de Transparencia y Acceso a la Información Pública del Estado de México y Municipios, pues toda la información generada, obtenida, adquirida, transformada, administrada o en posesión de los Sujetos Obligados debe considerarse como pública y accesible de manera permanente a cualquier persona que requiera el acceso a la misma.</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En esa tesitura, el hecho de que los manuales y reglamentos ya aprobados por el Cabildo no estuvieran publicados en la página oficial del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no era óbice para que la información se hubiera proporcionado, pues es dable entender que la misma ya se encontraba en los archivos del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xml:space="preserve">, y no significaba impedimento hacer para la entrega a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en el momento procesal oportuno.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sz w:val="22"/>
          <w:szCs w:val="22"/>
        </w:rPr>
      </w:pPr>
      <w:r w:rsidRPr="0095012D">
        <w:rPr>
          <w:rFonts w:ascii="Palatino Linotype" w:eastAsia="Palatino Linotype" w:hAnsi="Palatino Linotype" w:cs="Palatino Linotype"/>
        </w:rPr>
        <w:t xml:space="preserve">Aunado a lo anterior, es preciso señalar que en materia de Transparencia, para que resulte procedente la entrega de la información que se solicite, es necesario que esta obre en cualquier documento que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genere, posea o administre, en consecuencia, los documentos </w:t>
      </w:r>
      <w:r w:rsidRPr="0095012D">
        <w:rPr>
          <w:rFonts w:ascii="Palatino Linotype" w:eastAsia="Palatino Linotype" w:hAnsi="Palatino Linotype" w:cs="Palatino Linotype"/>
          <w:i/>
        </w:rPr>
        <w:t>- como ya ha quedado establecido y refirió en el Informe Justificado -</w:t>
      </w:r>
      <w:r w:rsidRPr="0095012D">
        <w:rPr>
          <w:rFonts w:ascii="Palatino Linotype" w:eastAsia="Palatino Linotype" w:hAnsi="Palatino Linotype" w:cs="Palatino Linotype"/>
        </w:rPr>
        <w:t xml:space="preserve"> obran en sus archivos, lo cual significa que debió hacer la entrega de los documentos que ya obren en su poder y que contengan la información que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desea conocer.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Sirve de sustento a las consideraciones vertidas lo señalado en la Ley de Transparencia y Acceso a la Información Pública del Estado de México y Municipios, pues en la fracción primera de su artículo noventa y dos ordena lo siguiente: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Capítulo II De las Obligaciones de Transparencia Comunes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I. El marco normativo aplicable al sujeto obligado, en el que deberá incluirse leyes, códigos, reglamentos, decretos de creación, acuerdos, convenios, manuales de </w:t>
      </w:r>
      <w:r w:rsidRPr="0095012D">
        <w:rPr>
          <w:rFonts w:ascii="Palatino Linotype" w:eastAsia="Palatino Linotype" w:hAnsi="Palatino Linotype" w:cs="Palatino Linotype"/>
          <w:i/>
          <w:color w:val="404040"/>
          <w:sz w:val="22"/>
          <w:szCs w:val="22"/>
        </w:rPr>
        <w:lastRenderedPageBreak/>
        <w:t>organización y procedimientos, reglas de operación, criterios, políticas, entre otros;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494DAA">
      <w:pPr>
        <w:shd w:val="clear" w:color="auto" w:fill="FFFFFF"/>
        <w:spacing w:line="360" w:lineRule="auto"/>
        <w:jc w:val="both"/>
        <w:rPr>
          <w:rFonts w:ascii="Palatino Linotype" w:eastAsia="Palatino Linotype" w:hAnsi="Palatino Linotype" w:cs="Palatino Linotype"/>
        </w:rPr>
      </w:pPr>
    </w:p>
    <w:p w:rsidR="00494DAA" w:rsidRPr="0095012D" w:rsidRDefault="00674B6A">
      <w:pPr>
        <w:shd w:val="clear" w:color="auto" w:fill="FFFFFF"/>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De este precepto normativo se desprende una Obligación de Transparencia Común a la cual deben dar cumplimiento todos los Sujetos Obligados de nuestro Estado, y para dar atención a ella se deben de seguir los </w:t>
      </w:r>
      <w:r w:rsidRPr="0095012D">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5012D">
        <w:rPr>
          <w:rFonts w:ascii="Palatino Linotype" w:eastAsia="Palatino Linotype" w:hAnsi="Palatino Linotype" w:cs="Palatino Linotype"/>
        </w:rPr>
        <w:t xml:space="preserve"> emitidos por el Sistema Nacional de Transparencia, Acceso a la Información Pública y Protección de Datos Personales, que dicen para la fracción primera del artículo setenta de la Ley General de Transparencia y Acceso a la Información Pública lo siguiente: </w:t>
      </w:r>
    </w:p>
    <w:p w:rsidR="00494DAA" w:rsidRPr="0095012D" w:rsidRDefault="00494DA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Periodo de actualización: trimestral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Cuando se decrete, reforme, adicione, derogue o abrogue cualquier norma aplicable al sujeto obligado, la información deberá publicarse y/o actualizarse en un plazo no mayor a 15 días hábiles a partir de su publicación en Diario Oficial de la Federación (DOF), Periódico o Gaceta Oficial, o acuerdo de aprobación en el caso de normas publicadas por medios distintos, como el sitio de Internet.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Conservar en el sitio de Internet: información vigente </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Aplica a: todos los sujetos obligados</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w:t>
      </w:r>
    </w:p>
    <w:p w:rsidR="00494DAA" w:rsidRPr="0095012D" w:rsidRDefault="00674B6A">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Periodo de actualización de la información: trimestral. Cuando se decrete, reforme, adicione, derogue o abrogue cualquier norma aplicable al sujeto obligado, la información deberá publicarse y/o actualizarse en un plazo no mayor a 15 días hábiles a partir de su publicación y/o aprobación en el medio oficial que corresponda.</w:t>
      </w:r>
    </w:p>
    <w:p w:rsidR="00494DAA" w:rsidRPr="0095012D" w:rsidRDefault="00494DAA"/>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 xml:space="preserve">De los referidos Lineamientos Técnicos Generales entendemos que es cierto que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debe actualizar la fracción primera relativa a los manuales y reglamentos de manera trimestral, así como contener la información vigente, es decir; en la Plataforma Nacional de Transparencia y su portal de internet contendrá el Marco Normativo que está en vigor durante esa temporalidad </w:t>
      </w:r>
      <w:r w:rsidRPr="0095012D">
        <w:rPr>
          <w:rFonts w:ascii="Palatino Linotype" w:eastAsia="Palatino Linotype" w:hAnsi="Palatino Linotype" w:cs="Palatino Linotype"/>
          <w:i/>
        </w:rPr>
        <w:t>– el trimestre en curso –</w:t>
      </w:r>
      <w:r w:rsidRPr="0095012D">
        <w:rPr>
          <w:rFonts w:ascii="Palatino Linotype" w:eastAsia="Palatino Linotype" w:hAnsi="Palatino Linotype" w:cs="Palatino Linotype"/>
        </w:rPr>
        <w:t xml:space="preserve"> sin embargo, como hemos estudiado, el Servidor Público Habilitado de la Secretaría del Ayuntamiento en el Informe Justificado centró su atención en informar </w:t>
      </w:r>
      <w:r w:rsidRPr="0095012D">
        <w:rPr>
          <w:rFonts w:ascii="Palatino Linotype" w:eastAsia="Palatino Linotype" w:hAnsi="Palatino Linotype" w:cs="Palatino Linotype"/>
          <w:i/>
        </w:rPr>
        <w:t xml:space="preserve">“… que en cuanto esta secretaría cuente con el hipervínculo de la página oficial del ayuntamiento de </w:t>
      </w:r>
      <w:proofErr w:type="spellStart"/>
      <w:r w:rsidRPr="0095012D">
        <w:rPr>
          <w:rFonts w:ascii="Palatino Linotype" w:eastAsia="Palatino Linotype" w:hAnsi="Palatino Linotype" w:cs="Palatino Linotype"/>
          <w:i/>
        </w:rPr>
        <w:t>Ocoyoacac</w:t>
      </w:r>
      <w:proofErr w:type="spellEnd"/>
      <w:r w:rsidRPr="0095012D">
        <w:rPr>
          <w:rFonts w:ascii="Palatino Linotype" w:eastAsia="Palatino Linotype" w:hAnsi="Palatino Linotype" w:cs="Palatino Linotype"/>
          <w:i/>
        </w:rPr>
        <w:t xml:space="preserve"> donde ya estén publicados en su totalidad todos estos manuales y reglamentos será remitido a usted para su consulta…” (Sic) </w:t>
      </w:r>
      <w:r w:rsidRPr="0095012D">
        <w:rPr>
          <w:rFonts w:ascii="Palatino Linotype" w:eastAsia="Palatino Linotype" w:hAnsi="Palatino Linotype" w:cs="Palatino Linotype"/>
        </w:rPr>
        <w:t xml:space="preserve">situación que puede advertirse, existe desapegada a la normatividad aplicable en materia de Transparencia.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Lo anterior es así debido a que el no contar con un link que dirija a un sitio electrónico, dígase el portal oficial del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xml:space="preserve"> o a las fracciones contenidas dentro del Sistema de Información Pública de Oficio Mexiquense, no es motivo para obstaculizar el Derecho Humano de Acceso a la Información, pues como ya se ha demostrado, el Ayuntamiento de </w:t>
      </w:r>
      <w:proofErr w:type="spellStart"/>
      <w:r w:rsidRPr="0095012D">
        <w:rPr>
          <w:rFonts w:ascii="Palatino Linotype" w:eastAsia="Palatino Linotype" w:hAnsi="Palatino Linotype" w:cs="Palatino Linotype"/>
        </w:rPr>
        <w:t>Ocoyoacac</w:t>
      </w:r>
      <w:proofErr w:type="spellEnd"/>
      <w:r w:rsidRPr="0095012D">
        <w:rPr>
          <w:rFonts w:ascii="Palatino Linotype" w:eastAsia="Palatino Linotype" w:hAnsi="Palatino Linotype" w:cs="Palatino Linotype"/>
        </w:rPr>
        <w:t xml:space="preserve"> afirmó que dichos reglamentos y manuales solicitados por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ya habían sido aprobados por el Cabildo, entonces, es procedente afirmar que debió proporcionar la información pública que se le requirió y que obrara en sus archivos, en el estado en que esta se encuentre.</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 xml:space="preserve">Ahora bien, refiriéndonos a la solicitud de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que dice </w:t>
      </w:r>
      <w:r w:rsidRPr="0095012D">
        <w:rPr>
          <w:rFonts w:ascii="Palatino Linotype" w:eastAsia="Palatino Linotype" w:hAnsi="Palatino Linotype" w:cs="Palatino Linotype"/>
          <w:i/>
        </w:rPr>
        <w:t xml:space="preserve">“… </w:t>
      </w:r>
      <w:r w:rsidRPr="0095012D">
        <w:rPr>
          <w:rFonts w:ascii="Palatino Linotype" w:eastAsia="Palatino Linotype" w:hAnsi="Palatino Linotype" w:cs="Palatino Linotype"/>
          <w:i/>
          <w:color w:val="000000"/>
        </w:rPr>
        <w:t xml:space="preserve">Y los proyectos elaborados por la actual administración…” (Sic), </w:t>
      </w:r>
      <w:r w:rsidRPr="0095012D">
        <w:rPr>
          <w:rFonts w:ascii="Palatino Linotype" w:eastAsia="Palatino Linotype" w:hAnsi="Palatino Linotype" w:cs="Palatino Linotype"/>
          <w:color w:val="000000"/>
        </w:rPr>
        <w:t xml:space="preserve">se esgrime del estudio realizado que </w:t>
      </w:r>
      <w:r w:rsidRPr="0095012D">
        <w:rPr>
          <w:rFonts w:ascii="Palatino Linotype" w:eastAsia="Palatino Linotype" w:hAnsi="Palatino Linotype" w:cs="Palatino Linotype"/>
        </w:rPr>
        <w:t xml:space="preserve">respecto a los proyectos solicitados, se advierte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manifestó que todos los manuales y reglamentos fueron aprobados previamente en sesión ordinaria por el Cabildo del Ayuntamiento, tal y como consta de manera siguiente: </w:t>
      </w:r>
    </w:p>
    <w:p w:rsidR="00494DAA" w:rsidRPr="0095012D" w:rsidRDefault="00494DAA">
      <w:pPr>
        <w:spacing w:line="360" w:lineRule="auto"/>
        <w:jc w:val="both"/>
      </w:pPr>
    </w:p>
    <w:p w:rsidR="00494DAA" w:rsidRPr="0095012D" w:rsidRDefault="00674B6A">
      <w:pPr>
        <w:spacing w:line="360" w:lineRule="auto"/>
        <w:jc w:val="center"/>
        <w:rPr>
          <w:rFonts w:ascii="Palatino Linotype" w:eastAsia="Palatino Linotype" w:hAnsi="Palatino Linotype" w:cs="Palatino Linotype"/>
        </w:rPr>
      </w:pPr>
      <w:r w:rsidRPr="0095012D">
        <w:rPr>
          <w:noProof/>
        </w:rPr>
        <w:drawing>
          <wp:inline distT="0" distB="0" distL="0" distR="0">
            <wp:extent cx="5467143" cy="1569003"/>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7592" t="23905" r="3649" b="30807"/>
                    <a:stretch>
                      <a:fillRect/>
                    </a:stretch>
                  </pic:blipFill>
                  <pic:spPr>
                    <a:xfrm>
                      <a:off x="0" y="0"/>
                      <a:ext cx="5467143" cy="1569003"/>
                    </a:xfrm>
                    <a:prstGeom prst="rect">
                      <a:avLst/>
                    </a:prstGeom>
                    <a:ln/>
                  </pic:spPr>
                </pic:pic>
              </a:graphicData>
            </a:graphic>
          </wp:inline>
        </w:drawing>
      </w:r>
    </w:p>
    <w:p w:rsidR="00494DAA" w:rsidRPr="0095012D" w:rsidRDefault="00494DAA">
      <w:pPr>
        <w:spacing w:line="360" w:lineRule="auto"/>
        <w:jc w:val="both"/>
        <w:rPr>
          <w:rFonts w:ascii="Palatino Linotype" w:eastAsia="Palatino Linotype" w:hAnsi="Palatino Linotype" w:cs="Palatino Linotype"/>
          <w:color w:val="FF0000"/>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En este sentido, toda vez que hubo un pronunciamiento para atender el requerimiento de información por parte del Servidor Público Habilitado Competente, es procedente advertir que este Órgano Garante no está facultado para dudar de la veracidad de lo manifestado en respuesta por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lo cual, se robustece con lo plasmado en el criterio de interpretación para sujetos obligados reiterado histórico con clave de control </w:t>
      </w:r>
      <w:r w:rsidRPr="0095012D">
        <w:rPr>
          <w:rFonts w:ascii="Palatino Linotype" w:eastAsia="Palatino Linotype" w:hAnsi="Palatino Linotype" w:cs="Palatino Linotype"/>
          <w:i/>
        </w:rPr>
        <w:t>SO/031/2010</w:t>
      </w:r>
      <w:r w:rsidRPr="0095012D">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que lleva por rubro y texto los siguientes:</w:t>
      </w:r>
    </w:p>
    <w:p w:rsidR="00494DAA" w:rsidRPr="0095012D" w:rsidRDefault="00674B6A">
      <w:pPr>
        <w:spacing w:before="200" w:after="160"/>
        <w:ind w:left="864" w:right="864"/>
        <w:jc w:val="both"/>
        <w:rPr>
          <w:rFonts w:ascii="Palatino Linotype" w:eastAsia="Palatino Linotype" w:hAnsi="Palatino Linotype" w:cs="Palatino Linotype"/>
          <w:i/>
          <w:color w:val="404040"/>
          <w:sz w:val="22"/>
          <w:szCs w:val="22"/>
        </w:rPr>
      </w:pPr>
      <w:r w:rsidRPr="0095012D">
        <w:rPr>
          <w:rFonts w:ascii="Palatino Linotype" w:eastAsia="Palatino Linotype" w:hAnsi="Palatino Linotype" w:cs="Palatino Linotype"/>
          <w:i/>
          <w:color w:val="404040"/>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w:t>
      </w:r>
      <w:r w:rsidRPr="0095012D">
        <w:rPr>
          <w:rFonts w:ascii="Palatino Linotype" w:eastAsia="Palatino Linotype" w:hAnsi="Palatino Linotype" w:cs="Palatino Linotype"/>
          <w:i/>
          <w:color w:val="404040"/>
          <w:sz w:val="22"/>
          <w:szCs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94DAA" w:rsidRPr="0095012D" w:rsidRDefault="00494DAA">
      <w:pPr>
        <w:spacing w:before="200" w:after="160"/>
        <w:ind w:left="864" w:right="864"/>
        <w:jc w:val="both"/>
        <w:rPr>
          <w:rFonts w:ascii="Palatino Linotype" w:eastAsia="Palatino Linotype" w:hAnsi="Palatino Linotype" w:cs="Palatino Linotype"/>
          <w:i/>
          <w:color w:val="404040"/>
          <w:sz w:val="22"/>
          <w:szCs w:val="22"/>
        </w:rPr>
      </w:pPr>
    </w:p>
    <w:p w:rsidR="00494DAA" w:rsidRPr="0095012D" w:rsidRDefault="00674B6A">
      <w:pPr>
        <w:shd w:val="clear" w:color="auto" w:fill="FFFFFF"/>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Así pues, es dable para el </w:t>
      </w:r>
      <w:proofErr w:type="spellStart"/>
      <w:r w:rsidRPr="0095012D">
        <w:rPr>
          <w:rFonts w:ascii="Palatino Linotype" w:eastAsia="Palatino Linotype" w:hAnsi="Palatino Linotype" w:cs="Palatino Linotype"/>
        </w:rPr>
        <w:t>Infoem</w:t>
      </w:r>
      <w:proofErr w:type="spellEnd"/>
      <w:r w:rsidRPr="0095012D">
        <w:rPr>
          <w:rFonts w:ascii="Palatino Linotype" w:eastAsia="Palatino Linotype" w:hAnsi="Palatino Linotype" w:cs="Palatino Linotype"/>
        </w:rPr>
        <w:t xml:space="preserve">, ordenar la entrega de la información </w:t>
      </w:r>
      <w:r w:rsidRPr="0095012D">
        <w:rPr>
          <w:rFonts w:ascii="Palatino Linotype" w:eastAsia="Palatino Linotype" w:hAnsi="Palatino Linotype" w:cs="Palatino Linotype"/>
          <w:color w:val="000000"/>
        </w:rPr>
        <w:t xml:space="preserve">vigente a la fecha de recepción de la solicitud </w:t>
      </w:r>
      <w:r w:rsidRPr="0095012D">
        <w:rPr>
          <w:rFonts w:ascii="Palatino Linotype" w:eastAsia="Palatino Linotype" w:hAnsi="Palatino Linotype" w:cs="Palatino Linotype"/>
          <w:b/>
        </w:rPr>
        <w:t>00216/OCOYOAC/IP/2022</w:t>
      </w:r>
      <w:r w:rsidRPr="0095012D">
        <w:rPr>
          <w:rFonts w:ascii="Palatino Linotype" w:eastAsia="Palatino Linotype" w:hAnsi="Palatino Linotype" w:cs="Palatino Linotype"/>
          <w:color w:val="000000"/>
        </w:rPr>
        <w:t xml:space="preserve">, correspondiente al  Manual General de Organización del Ayuntamiento; y los manuales de organización, de procedimientos y el reglamento interno de la </w:t>
      </w:r>
      <w:r w:rsidRPr="0095012D">
        <w:rPr>
          <w:rFonts w:ascii="Palatino Linotype" w:eastAsia="Palatino Linotype" w:hAnsi="Palatino Linotype" w:cs="Palatino Linotype"/>
        </w:rPr>
        <w:t xml:space="preserve">Contraloría Interna del Ayuntamiento y Órganos Desconcentrados y Descentralizados, requeridos por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pues como ha quedado expuesto,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se encuentra facultado para satisfacer este derecho ciudadano, atendiendo al Considerando;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 xml:space="preserve">De lo hasta aquí expuesto, se concluye que los motivos de inconformidad de </w:t>
      </w:r>
      <w:r w:rsidRPr="0095012D">
        <w:rPr>
          <w:rFonts w:ascii="Palatino Linotype" w:eastAsia="Palatino Linotype" w:hAnsi="Palatino Linotype" w:cs="Palatino Linotype"/>
          <w:b/>
        </w:rPr>
        <w:t xml:space="preserve">LA PARTE RECURRENTE </w:t>
      </w:r>
      <w:r w:rsidRPr="0095012D">
        <w:rPr>
          <w:rFonts w:ascii="Palatino Linotype" w:eastAsia="Palatino Linotype" w:hAnsi="Palatino Linotype" w:cs="Palatino Linotype"/>
        </w:rPr>
        <w:t xml:space="preserve">devienen </w:t>
      </w:r>
      <w:r w:rsidRPr="0095012D">
        <w:rPr>
          <w:rFonts w:ascii="Palatino Linotype" w:eastAsia="Palatino Linotype" w:hAnsi="Palatino Linotype" w:cs="Palatino Linotype"/>
          <w:b/>
        </w:rPr>
        <w:t>FUNDADOS,</w:t>
      </w:r>
      <w:r w:rsidRPr="0095012D">
        <w:rPr>
          <w:rFonts w:ascii="Palatino Linotype" w:eastAsia="Palatino Linotype" w:hAnsi="Palatino Linotype" w:cs="Palatino Linotype"/>
        </w:rPr>
        <w:t xml:space="preserve"> siendo procedente </w:t>
      </w:r>
      <w:r w:rsidR="00CF2745" w:rsidRPr="0095012D">
        <w:rPr>
          <w:rFonts w:ascii="Palatino Linotype" w:eastAsia="Palatino Linotype" w:hAnsi="Palatino Linotype" w:cs="Palatino Linotype"/>
          <w:b/>
        </w:rPr>
        <w:t>REVOC</w:t>
      </w:r>
      <w:r w:rsidRPr="0095012D">
        <w:rPr>
          <w:rFonts w:ascii="Palatino Linotype" w:eastAsia="Palatino Linotype" w:hAnsi="Palatino Linotype" w:cs="Palatino Linotype"/>
          <w:b/>
        </w:rPr>
        <w:t>AR</w:t>
      </w:r>
      <w:r w:rsidRPr="0095012D">
        <w:rPr>
          <w:rFonts w:ascii="Palatino Linotype" w:eastAsia="Palatino Linotype" w:hAnsi="Palatino Linotype" w:cs="Palatino Linotype"/>
        </w:rPr>
        <w:t xml:space="preserve"> </w:t>
      </w:r>
      <w:r w:rsidR="00CF2745" w:rsidRPr="0095012D">
        <w:rPr>
          <w:rFonts w:ascii="Palatino Linotype" w:eastAsia="Palatino Linotype" w:hAnsi="Palatino Linotype" w:cs="Palatino Linotype"/>
        </w:rPr>
        <w:t xml:space="preserve">la respuesta del </w:t>
      </w:r>
      <w:r w:rsidRPr="0095012D">
        <w:rPr>
          <w:rFonts w:ascii="Palatino Linotype" w:eastAsia="Palatino Linotype" w:hAnsi="Palatino Linotype" w:cs="Palatino Linotype"/>
          <w:b/>
        </w:rPr>
        <w:t>SUJETO OBLIGADO</w:t>
      </w:r>
      <w:r w:rsidR="00CF2745" w:rsidRPr="0095012D">
        <w:rPr>
          <w:rFonts w:ascii="Palatino Linotype" w:eastAsia="Palatino Linotype" w:hAnsi="Palatino Linotype" w:cs="Palatino Linotype"/>
          <w:b/>
        </w:rPr>
        <w:t xml:space="preserve">, </w:t>
      </w:r>
      <w:r w:rsidR="00CF2745" w:rsidRPr="0095012D">
        <w:rPr>
          <w:rFonts w:ascii="Palatino Linotype" w:eastAsia="Palatino Linotype" w:hAnsi="Palatino Linotype" w:cs="Palatino Linotype"/>
        </w:rPr>
        <w:t>y ordenar</w:t>
      </w:r>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la entrega de la información</w:t>
      </w:r>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en térmi</w:t>
      </w:r>
      <w:r w:rsidR="00CF2745" w:rsidRPr="0095012D">
        <w:rPr>
          <w:rFonts w:ascii="Palatino Linotype" w:eastAsia="Palatino Linotype" w:hAnsi="Palatino Linotype" w:cs="Palatino Linotype"/>
        </w:rPr>
        <w:t>nos del artículo 186 fracción III</w:t>
      </w:r>
      <w:r w:rsidRPr="0095012D">
        <w:rPr>
          <w:rFonts w:ascii="Palatino Linotype" w:eastAsia="Palatino Linotype" w:hAnsi="Palatino Linotype" w:cs="Palatino Linotype"/>
        </w:rPr>
        <w:t xml:space="preserve"> de la Ley de Transparencia y Acceso a la Información Pública del Estado de México y Municipios.</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pBdr>
          <w:top w:val="nil"/>
          <w:left w:val="nil"/>
          <w:bottom w:val="nil"/>
          <w:right w:val="nil"/>
          <w:between w:val="nil"/>
        </w:pBd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lastRenderedPageBreak/>
        <w:t xml:space="preserve">Así, con fundamento en lo prescrito en los artículos 5 párrafos trigésimo, trigésimo primero y trigésimo segundo de la Constitución Política del Estado Libre y Soberano de México; 2, fracción II; 29, 36 fracciones I y II; 176, 178, 181, 185 y 186 fracción </w:t>
      </w:r>
      <w:r w:rsidR="00CF2745" w:rsidRPr="0095012D">
        <w:rPr>
          <w:rFonts w:ascii="Palatino Linotype" w:eastAsia="Palatino Linotype" w:hAnsi="Palatino Linotype" w:cs="Palatino Linotype"/>
        </w:rPr>
        <w:t xml:space="preserve">III </w:t>
      </w:r>
      <w:r w:rsidRPr="0095012D">
        <w:rPr>
          <w:rFonts w:ascii="Palatino Linotype" w:eastAsia="Palatino Linotype" w:hAnsi="Palatino Linotype" w:cs="Palatino Linotype"/>
        </w:rPr>
        <w:t>de la Ley de Transparencia y Acceso a la Información Pública del Estado de México y Municipios, este Pleno</w:t>
      </w:r>
    </w:p>
    <w:p w:rsidR="00494DAA" w:rsidRPr="0095012D" w:rsidRDefault="00494DAA">
      <w:pPr>
        <w:pBdr>
          <w:top w:val="nil"/>
          <w:left w:val="nil"/>
          <w:bottom w:val="nil"/>
          <w:right w:val="nil"/>
          <w:between w:val="nil"/>
        </w:pBdr>
        <w:spacing w:line="360" w:lineRule="auto"/>
        <w:jc w:val="both"/>
        <w:rPr>
          <w:rFonts w:ascii="Palatino Linotype" w:eastAsia="Palatino Linotype" w:hAnsi="Palatino Linotype" w:cs="Palatino Linotype"/>
        </w:rPr>
      </w:pPr>
    </w:p>
    <w:p w:rsidR="00494DAA" w:rsidRPr="0095012D" w:rsidRDefault="00674B6A">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95012D">
        <w:rPr>
          <w:rFonts w:ascii="Palatino Linotype" w:eastAsia="Palatino Linotype" w:hAnsi="Palatino Linotype" w:cs="Palatino Linotype"/>
          <w:b/>
          <w:color w:val="000000"/>
        </w:rPr>
        <w:t xml:space="preserve">R E S U E L V E: </w:t>
      </w:r>
    </w:p>
    <w:p w:rsidR="00494DAA" w:rsidRPr="0095012D" w:rsidRDefault="00494DAA">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494DAA" w:rsidRPr="0095012D" w:rsidRDefault="00674B6A">
      <w:pPr>
        <w:spacing w:line="360" w:lineRule="auto"/>
        <w:jc w:val="both"/>
        <w:rPr>
          <w:rFonts w:ascii="Palatino Linotype" w:eastAsia="Palatino Linotype" w:hAnsi="Palatino Linotype" w:cs="Palatino Linotype"/>
          <w:b/>
          <w:color w:val="FF0000"/>
        </w:rPr>
      </w:pPr>
      <w:bookmarkStart w:id="6" w:name="_heading=h.3rdcrjn" w:colFirst="0" w:colLast="0"/>
      <w:bookmarkEnd w:id="6"/>
      <w:r w:rsidRPr="0095012D">
        <w:rPr>
          <w:rFonts w:ascii="Palatino Linotype" w:eastAsia="Palatino Linotype" w:hAnsi="Palatino Linotype" w:cs="Palatino Linotype"/>
          <w:b/>
        </w:rPr>
        <w:t xml:space="preserve">PRIMERO. </w:t>
      </w:r>
      <w:r w:rsidRPr="0095012D">
        <w:rPr>
          <w:rFonts w:ascii="Palatino Linotype" w:eastAsia="Palatino Linotype" w:hAnsi="Palatino Linotype" w:cs="Palatino Linotype"/>
        </w:rPr>
        <w:t xml:space="preserve">Resultan </w:t>
      </w:r>
      <w:r w:rsidRPr="0095012D">
        <w:rPr>
          <w:rFonts w:ascii="Palatino Linotype" w:eastAsia="Palatino Linotype" w:hAnsi="Palatino Linotype" w:cs="Palatino Linotype"/>
          <w:b/>
        </w:rPr>
        <w:t>FUNDADAS</w:t>
      </w:r>
      <w:r w:rsidRPr="0095012D">
        <w:rPr>
          <w:rFonts w:ascii="Palatino Linotype" w:eastAsia="Palatino Linotype" w:hAnsi="Palatino Linotype" w:cs="Palatino Linotype"/>
        </w:rPr>
        <w:t xml:space="preserve"> las razones o motivos de inconformidad hechos valer por </w:t>
      </w:r>
      <w:r w:rsidRPr="0095012D">
        <w:rPr>
          <w:rFonts w:ascii="Palatino Linotype" w:eastAsia="Palatino Linotype" w:hAnsi="Palatino Linotype" w:cs="Palatino Linotype"/>
          <w:b/>
          <w:color w:val="000000"/>
        </w:rPr>
        <w:t>LA PARTE RECURRENTE</w:t>
      </w:r>
      <w:r w:rsidRPr="0095012D">
        <w:rPr>
          <w:rFonts w:ascii="Palatino Linotype" w:eastAsia="Palatino Linotype" w:hAnsi="Palatino Linotype" w:cs="Palatino Linotype"/>
          <w:color w:val="000000"/>
        </w:rPr>
        <w:t xml:space="preserve"> </w:t>
      </w:r>
      <w:r w:rsidRPr="0095012D">
        <w:rPr>
          <w:rFonts w:ascii="Palatino Linotype" w:eastAsia="Palatino Linotype" w:hAnsi="Palatino Linotype" w:cs="Palatino Linotype"/>
        </w:rPr>
        <w:t xml:space="preserve">en el recurso de revisión </w:t>
      </w:r>
      <w:r w:rsidRPr="0095012D">
        <w:rPr>
          <w:rFonts w:ascii="Palatino Linotype" w:eastAsia="Palatino Linotype" w:hAnsi="Palatino Linotype" w:cs="Palatino Linotype"/>
          <w:b/>
        </w:rPr>
        <w:t>15859/INFOEM/IP/RR/2022</w:t>
      </w:r>
      <w:r w:rsidRPr="0095012D">
        <w:rPr>
          <w:rFonts w:ascii="Palatino Linotype" w:eastAsia="Palatino Linotype" w:hAnsi="Palatino Linotype" w:cs="Palatino Linotype"/>
        </w:rPr>
        <w:t xml:space="preserve">; </w:t>
      </w:r>
      <w:r w:rsidR="00CF2745" w:rsidRPr="0095012D">
        <w:rPr>
          <w:rFonts w:ascii="Palatino Linotype" w:eastAsia="Palatino Linotype" w:hAnsi="Palatino Linotype" w:cs="Palatino Linotype"/>
        </w:rPr>
        <w:t>por lo que en</w:t>
      </w:r>
      <w:r w:rsidRPr="0095012D">
        <w:rPr>
          <w:rFonts w:ascii="Palatino Linotype" w:eastAsia="Palatino Linotype" w:hAnsi="Palatino Linotype" w:cs="Palatino Linotype"/>
        </w:rPr>
        <w:t xml:space="preserve"> términos del </w:t>
      </w:r>
      <w:r w:rsidRPr="0095012D">
        <w:rPr>
          <w:rFonts w:ascii="Palatino Linotype" w:eastAsia="Palatino Linotype" w:hAnsi="Palatino Linotype" w:cs="Palatino Linotype"/>
          <w:b/>
        </w:rPr>
        <w:t>CONSIDERANDO</w:t>
      </w:r>
      <w:r w:rsidRPr="0095012D">
        <w:rPr>
          <w:rFonts w:ascii="Palatino Linotype" w:eastAsia="Palatino Linotype" w:hAnsi="Palatino Linotype" w:cs="Palatino Linotype"/>
        </w:rPr>
        <w:t xml:space="preserve"> </w:t>
      </w:r>
      <w:r w:rsidRPr="0095012D">
        <w:rPr>
          <w:rFonts w:ascii="Palatino Linotype" w:eastAsia="Palatino Linotype" w:hAnsi="Palatino Linotype" w:cs="Palatino Linotype"/>
          <w:b/>
        </w:rPr>
        <w:t xml:space="preserve">CUARTO </w:t>
      </w:r>
      <w:r w:rsidR="00CF2745" w:rsidRPr="0095012D">
        <w:rPr>
          <w:rFonts w:ascii="Palatino Linotype" w:eastAsia="Palatino Linotype" w:hAnsi="Palatino Linotype" w:cs="Palatino Linotype"/>
        </w:rPr>
        <w:t xml:space="preserve">de esta resolución, se </w:t>
      </w:r>
      <w:r w:rsidR="00CF2745" w:rsidRPr="0095012D">
        <w:rPr>
          <w:rFonts w:ascii="Palatino Linotype" w:eastAsia="Palatino Linotype" w:hAnsi="Palatino Linotype" w:cs="Palatino Linotype"/>
          <w:b/>
        </w:rPr>
        <w:t>REVOCA</w:t>
      </w:r>
      <w:r w:rsidR="00CF2745" w:rsidRPr="0095012D">
        <w:rPr>
          <w:rFonts w:ascii="Palatino Linotype" w:eastAsia="Palatino Linotype" w:hAnsi="Palatino Linotype" w:cs="Palatino Linotype"/>
        </w:rPr>
        <w:t xml:space="preserve"> la respuesta del </w:t>
      </w:r>
      <w:r w:rsidR="00CF2745" w:rsidRPr="0095012D">
        <w:rPr>
          <w:rFonts w:ascii="Palatino Linotype" w:eastAsia="Palatino Linotype" w:hAnsi="Palatino Linotype" w:cs="Palatino Linotype"/>
          <w:b/>
        </w:rPr>
        <w:t xml:space="preserve">SUJETO OBLIGADO. </w:t>
      </w:r>
    </w:p>
    <w:p w:rsidR="00494DAA" w:rsidRPr="0095012D" w:rsidRDefault="00494DAA" w:rsidP="00CF2745">
      <w:pPr>
        <w:spacing w:line="360" w:lineRule="auto"/>
        <w:ind w:left="720" w:hanging="720"/>
        <w:jc w:val="both"/>
        <w:rPr>
          <w:rFonts w:ascii="Palatino Linotype" w:eastAsia="Palatino Linotype" w:hAnsi="Palatino Linotype" w:cs="Palatino Linotype"/>
          <w:b/>
          <w:color w:val="FF0000"/>
        </w:rPr>
      </w:pPr>
    </w:p>
    <w:p w:rsidR="00494DAA" w:rsidRPr="0095012D" w:rsidRDefault="00674B6A">
      <w:pPr>
        <w:spacing w:line="360" w:lineRule="auto"/>
        <w:ind w:right="49"/>
        <w:jc w:val="both"/>
        <w:rPr>
          <w:rFonts w:ascii="Palatino Linotype" w:eastAsia="Palatino Linotype" w:hAnsi="Palatino Linotype" w:cs="Palatino Linotype"/>
        </w:rPr>
      </w:pPr>
      <w:bookmarkStart w:id="7" w:name="_heading=h.1fob9te" w:colFirst="0" w:colLast="0"/>
      <w:bookmarkEnd w:id="7"/>
      <w:r w:rsidRPr="0095012D">
        <w:rPr>
          <w:rFonts w:ascii="Palatino Linotype" w:eastAsia="Palatino Linotype" w:hAnsi="Palatino Linotype" w:cs="Palatino Linotype"/>
          <w:b/>
        </w:rPr>
        <w:t>SEGUNDO.</w:t>
      </w:r>
      <w:r w:rsidRPr="0095012D">
        <w:rPr>
          <w:rFonts w:ascii="Palatino Linotype" w:eastAsia="Palatino Linotype" w:hAnsi="Palatino Linotype" w:cs="Palatino Linotype"/>
        </w:rPr>
        <w:t xml:space="preserve"> Se </w:t>
      </w:r>
      <w:r w:rsidRPr="0095012D">
        <w:rPr>
          <w:rFonts w:ascii="Palatino Linotype" w:eastAsia="Palatino Linotype" w:hAnsi="Palatino Linotype" w:cs="Palatino Linotype"/>
          <w:b/>
        </w:rPr>
        <w:t>ORDENA</w:t>
      </w:r>
      <w:r w:rsidRPr="0095012D">
        <w:rPr>
          <w:rFonts w:ascii="Palatino Linotype" w:eastAsia="Palatino Linotype" w:hAnsi="Palatino Linotype" w:cs="Palatino Linotype"/>
        </w:rPr>
        <w:t xml:space="preserve"> al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xml:space="preserve"> haga entrega a </w:t>
      </w:r>
      <w:r w:rsidRPr="0095012D">
        <w:rPr>
          <w:rFonts w:ascii="Palatino Linotype" w:eastAsia="Palatino Linotype" w:hAnsi="Palatino Linotype" w:cs="Palatino Linotype"/>
          <w:b/>
        </w:rPr>
        <w:t>LA PARTE RECURRENTE</w:t>
      </w:r>
      <w:r w:rsidRPr="0095012D">
        <w:rPr>
          <w:rFonts w:ascii="Palatino Linotype" w:eastAsia="Palatino Linotype" w:hAnsi="Palatino Linotype" w:cs="Palatino Linotype"/>
        </w:rPr>
        <w:t xml:space="preserve"> vía SAIMEX, en términos del </w:t>
      </w:r>
      <w:r w:rsidRPr="0095012D">
        <w:rPr>
          <w:rFonts w:ascii="Palatino Linotype" w:eastAsia="Palatino Linotype" w:hAnsi="Palatino Linotype" w:cs="Palatino Linotype"/>
          <w:b/>
        </w:rPr>
        <w:t>CONSIDERANDO CUARTO</w:t>
      </w:r>
      <w:r w:rsidRPr="0095012D">
        <w:rPr>
          <w:rFonts w:ascii="Palatino Linotype" w:eastAsia="Palatino Linotype" w:hAnsi="Palatino Linotype" w:cs="Palatino Linotype"/>
        </w:rPr>
        <w:t xml:space="preserve">, la siguiente información, vigente al trece de octubre de dos mil </w:t>
      </w:r>
      <w:proofErr w:type="spellStart"/>
      <w:r w:rsidRPr="0095012D">
        <w:rPr>
          <w:rFonts w:ascii="Palatino Linotype" w:eastAsia="Palatino Linotype" w:hAnsi="Palatino Linotype" w:cs="Palatino Linotype"/>
        </w:rPr>
        <w:t>veintidos</w:t>
      </w:r>
      <w:proofErr w:type="spellEnd"/>
      <w:r w:rsidRPr="0095012D">
        <w:rPr>
          <w:rFonts w:ascii="Palatino Linotype" w:eastAsia="Palatino Linotype" w:hAnsi="Palatino Linotype" w:cs="Palatino Linotype"/>
        </w:rPr>
        <w:t xml:space="preserve">: </w:t>
      </w:r>
    </w:p>
    <w:p w:rsidR="00494DAA" w:rsidRPr="0095012D" w:rsidRDefault="00494DAA">
      <w:pPr>
        <w:spacing w:line="360" w:lineRule="auto"/>
        <w:ind w:right="49"/>
        <w:jc w:val="both"/>
        <w:rPr>
          <w:rFonts w:ascii="Palatino Linotype" w:eastAsia="Palatino Linotype" w:hAnsi="Palatino Linotype" w:cs="Palatino Linotype"/>
        </w:rPr>
      </w:pPr>
    </w:p>
    <w:p w:rsidR="00494DAA" w:rsidRPr="0095012D" w:rsidRDefault="00674B6A">
      <w:pPr>
        <w:numPr>
          <w:ilvl w:val="0"/>
          <w:numId w:val="1"/>
        </w:numPr>
        <w:pBdr>
          <w:top w:val="nil"/>
          <w:left w:val="nil"/>
          <w:bottom w:val="nil"/>
          <w:right w:val="nil"/>
          <w:between w:val="nil"/>
        </w:pBdr>
        <w:spacing w:line="360" w:lineRule="auto"/>
        <w:ind w:right="864"/>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 xml:space="preserve">Manual General de Organización del Ayuntamiento, y los </w:t>
      </w:r>
    </w:p>
    <w:p w:rsidR="00494DAA" w:rsidRPr="0095012D" w:rsidRDefault="00674B6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95012D">
        <w:rPr>
          <w:rFonts w:ascii="Palatino Linotype" w:eastAsia="Palatino Linotype" w:hAnsi="Palatino Linotype" w:cs="Palatino Linotype"/>
          <w:color w:val="000000"/>
        </w:rPr>
        <w:t>Manuales de organización, de procedimientos y reglamento interno de la Contraloría Interna del Ayuntamiento y Órganos Desconcentrados y Descentralizados.</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TERCERO. NOTIFÍQUESE </w:t>
      </w:r>
      <w:r w:rsidRPr="0095012D">
        <w:rPr>
          <w:rFonts w:ascii="Palatino Linotype" w:eastAsia="Palatino Linotype" w:hAnsi="Palatino Linotype" w:cs="Palatino Linotype"/>
        </w:rPr>
        <w:t xml:space="preserve">la presente resolución al Titular de la Unidad de Transparencia del </w:t>
      </w:r>
      <w:r w:rsidRPr="0095012D">
        <w:rPr>
          <w:rFonts w:ascii="Palatino Linotype" w:eastAsia="Palatino Linotype" w:hAnsi="Palatino Linotype" w:cs="Palatino Linotype"/>
          <w:b/>
        </w:rPr>
        <w:t>SUJETO OBLIGADO,</w:t>
      </w:r>
      <w:r w:rsidRPr="0095012D">
        <w:rPr>
          <w:rFonts w:ascii="Palatino Linotype" w:eastAsia="Palatino Linotype" w:hAnsi="Palatino Linotype" w:cs="Palatino Linotype"/>
        </w:rPr>
        <w:t xml:space="preserve"> para que conforme al artículo 186 último </w:t>
      </w:r>
      <w:r w:rsidRPr="0095012D">
        <w:rPr>
          <w:rFonts w:ascii="Palatino Linotype" w:eastAsia="Palatino Linotype" w:hAnsi="Palatino Linotype" w:cs="Palatino Linotype"/>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94DAA" w:rsidRPr="0095012D" w:rsidRDefault="00494DAA">
      <w:pPr>
        <w:spacing w:line="360" w:lineRule="auto"/>
        <w:jc w:val="both"/>
        <w:rPr>
          <w:rFonts w:ascii="Palatino Linotype" w:eastAsia="Palatino Linotype" w:hAnsi="Palatino Linotype" w:cs="Palatino Linotype"/>
          <w:b/>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CUARTO. </w:t>
      </w:r>
      <w:r w:rsidRPr="0095012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95012D">
        <w:rPr>
          <w:rFonts w:ascii="Palatino Linotype" w:eastAsia="Palatino Linotype" w:hAnsi="Palatino Linotype" w:cs="Palatino Linotype"/>
          <w:b/>
        </w:rPr>
        <w:t>EL SUJETO OBLIGADO</w:t>
      </w:r>
      <w:r w:rsidRPr="0095012D">
        <w:rPr>
          <w:rFonts w:ascii="Palatino Linotype" w:eastAsia="Palatino Linotype" w:hAnsi="Palatino Linotype" w:cs="Palatino Linotype"/>
        </w:rPr>
        <w:t xml:space="preserve"> de manera fundada y motivada, podrá solicitar una ampliación de plazo para el cumplimiento de la presente resolución.</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74B6A">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b/>
        </w:rPr>
        <w:t xml:space="preserve">QUINTO. </w:t>
      </w:r>
      <w:r w:rsidRPr="0095012D">
        <w:rPr>
          <w:rFonts w:ascii="Palatino Linotype" w:eastAsia="Palatino Linotype" w:hAnsi="Palatino Linotype" w:cs="Palatino Linotype"/>
        </w:rPr>
        <w:t>Notifíquese vía SAIMEX,</w:t>
      </w:r>
      <w:r w:rsidRPr="0095012D">
        <w:rPr>
          <w:rFonts w:ascii="Palatino Linotype" w:eastAsia="Palatino Linotype" w:hAnsi="Palatino Linotype" w:cs="Palatino Linotype"/>
          <w:b/>
        </w:rPr>
        <w:t xml:space="preserve"> </w:t>
      </w:r>
      <w:r w:rsidRPr="0095012D">
        <w:rPr>
          <w:rFonts w:ascii="Palatino Linotype" w:eastAsia="Palatino Linotype" w:hAnsi="Palatino Linotype" w:cs="Palatino Linotype"/>
        </w:rPr>
        <w:t xml:space="preserve">a </w:t>
      </w:r>
      <w:r w:rsidRPr="0095012D">
        <w:rPr>
          <w:rFonts w:ascii="Palatino Linotype" w:eastAsia="Palatino Linotype" w:hAnsi="Palatino Linotype" w:cs="Palatino Linotype"/>
          <w:b/>
        </w:rPr>
        <w:t>LA PARTE</w:t>
      </w:r>
      <w:r w:rsidRPr="0095012D">
        <w:rPr>
          <w:rFonts w:ascii="Palatino Linotype" w:eastAsia="Palatino Linotype" w:hAnsi="Palatino Linotype" w:cs="Palatino Linotype"/>
        </w:rPr>
        <w:t xml:space="preserve"> </w:t>
      </w:r>
      <w:r w:rsidRPr="0095012D">
        <w:rPr>
          <w:rFonts w:ascii="Palatino Linotype" w:eastAsia="Palatino Linotype" w:hAnsi="Palatino Linotype" w:cs="Palatino Linotype"/>
          <w:b/>
        </w:rPr>
        <w:t>RECURRENTE</w:t>
      </w:r>
      <w:r w:rsidRPr="0095012D">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494DAA" w:rsidRPr="0095012D" w:rsidRDefault="00494DAA">
      <w:pPr>
        <w:spacing w:line="360" w:lineRule="auto"/>
        <w:jc w:val="both"/>
        <w:rPr>
          <w:rFonts w:ascii="Palatino Linotype" w:eastAsia="Palatino Linotype" w:hAnsi="Palatino Linotype" w:cs="Palatino Linotype"/>
        </w:rPr>
      </w:pPr>
    </w:p>
    <w:p w:rsidR="00494DAA" w:rsidRPr="0095012D" w:rsidRDefault="006614D7">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rPr>
        <w:t>ASÍ LO RESUELVE, POR UNANIMIDAD</w:t>
      </w:r>
      <w:r w:rsidR="00674B6A" w:rsidRPr="0095012D">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w:t>
      </w:r>
      <w:r w:rsidR="00674B6A" w:rsidRPr="0095012D">
        <w:rPr>
          <w:rFonts w:ascii="Palatino Linotype" w:eastAsia="Palatino Linotype" w:hAnsi="Palatino Linotype" w:cs="Palatino Linotype"/>
        </w:rPr>
        <w:lastRenderedPageBreak/>
        <w:t>VILCHIS, MARÍA DEL ROSARIO MEJÍA AYALA, SHARON CRISTINA MORALES MARTÍNEZ</w:t>
      </w:r>
      <w:r w:rsidR="00594B06" w:rsidRPr="0095012D">
        <w:rPr>
          <w:rFonts w:ascii="Palatino Linotype" w:eastAsia="Palatino Linotype" w:hAnsi="Palatino Linotype" w:cs="Palatino Linotype"/>
        </w:rPr>
        <w:t xml:space="preserve"> (CON AUSENCIA JUSTIFICADA)</w:t>
      </w:r>
      <w:r w:rsidR="00674B6A" w:rsidRPr="0095012D">
        <w:rPr>
          <w:rFonts w:ascii="Palatino Linotype" w:eastAsia="Palatino Linotype" w:hAnsi="Palatino Linotype" w:cs="Palatino Linotype"/>
        </w:rPr>
        <w:t>, LUIS GUSTAVO PARRA NORIEGA, Y GUADALUPE RAMÍREZ PEÑA; EN LA DÉCIMA QUINTA SESIÓN ORDINARIA CELEBRADA EL VEINTISÉIS DE ABRIL DE DOS MIL VEINTITRÉS, ANTE EL SECRETARIO TÉCNICO DEL PLENO ALEXIS TAPIA RAMÍREZ.</w:t>
      </w:r>
    </w:p>
    <w:p w:rsidR="00E853CC" w:rsidRPr="0095012D"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r w:rsidRPr="0095012D">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simplePos x="0" y="0"/>
                <wp:positionH relativeFrom="column">
                  <wp:posOffset>281939</wp:posOffset>
                </wp:positionH>
                <wp:positionV relativeFrom="paragraph">
                  <wp:posOffset>125730</wp:posOffset>
                </wp:positionV>
                <wp:extent cx="5172075" cy="50482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72075" cy="50482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327183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9.9pt" to="429.4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" strokecolor="#f68c36 [3049]"/>
            </w:pict>
          </mc:Fallback>
        </mc:AlternateContent>
      </w: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p w:rsidR="00E853CC" w:rsidRDefault="00E853CC">
      <w:pPr>
        <w:spacing w:line="360" w:lineRule="auto"/>
        <w:jc w:val="both"/>
        <w:rPr>
          <w:rFonts w:ascii="Palatino Linotype" w:eastAsia="Palatino Linotype" w:hAnsi="Palatino Linotype" w:cs="Palatino Linotype"/>
        </w:rPr>
      </w:pPr>
    </w:p>
    <w:sectPr w:rsidR="00E853CC">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938" w:rsidRDefault="00422938">
      <w:r>
        <w:separator/>
      </w:r>
    </w:p>
  </w:endnote>
  <w:endnote w:type="continuationSeparator" w:id="0">
    <w:p w:rsidR="00422938" w:rsidRDefault="0042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AA" w:rsidRDefault="00674B6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5CFC">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5CFC">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rsidR="00494DAA" w:rsidRDefault="00494DA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AA" w:rsidRDefault="00674B6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5CF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5CFC">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rsidR="00494DAA" w:rsidRDefault="00494DA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938" w:rsidRDefault="00422938">
      <w:r>
        <w:separator/>
      </w:r>
    </w:p>
  </w:footnote>
  <w:footnote w:type="continuationSeparator" w:id="0">
    <w:p w:rsidR="00422938" w:rsidRDefault="00422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AA" w:rsidRDefault="00674B6A">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-1080122</wp:posOffset>
          </wp:positionH>
          <wp:positionV relativeFrom="paragraph">
            <wp:posOffset>-488300</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494DAA">
      <w:tc>
        <w:tcPr>
          <w:tcW w:w="2489" w:type="dxa"/>
          <w:shd w:val="clear" w:color="auto" w:fill="auto"/>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94DAA" w:rsidRDefault="00674B6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15859/INFOEM/IP/RR/2022</w:t>
          </w:r>
        </w:p>
      </w:tc>
    </w:tr>
    <w:tr w:rsidR="00494DAA">
      <w:trPr>
        <w:trHeight w:val="228"/>
      </w:trPr>
      <w:tc>
        <w:tcPr>
          <w:tcW w:w="2489" w:type="dxa"/>
          <w:shd w:val="clear" w:color="auto" w:fill="auto"/>
          <w:vAlign w:val="center"/>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94DAA" w:rsidRDefault="00674B6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Ocoyoacac</w:t>
          </w:r>
          <w:proofErr w:type="spellEnd"/>
        </w:p>
      </w:tc>
    </w:tr>
    <w:tr w:rsidR="00494DAA">
      <w:tc>
        <w:tcPr>
          <w:tcW w:w="2489" w:type="dxa"/>
          <w:shd w:val="clear" w:color="auto" w:fill="auto"/>
          <w:vAlign w:val="center"/>
        </w:tcPr>
        <w:p w:rsidR="00494DAA" w:rsidRDefault="00674B6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94DAA" w:rsidRDefault="00674B6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94DAA" w:rsidRDefault="00674B6A">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DAA" w:rsidRDefault="00494DA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494DAA">
      <w:tc>
        <w:tcPr>
          <w:tcW w:w="2551" w:type="dxa"/>
          <w:shd w:val="clear" w:color="auto" w:fill="auto"/>
          <w:vAlign w:val="center"/>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494DAA" w:rsidRDefault="00674B6A">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15859/INFOEM/IP/RR/2022</w:t>
          </w:r>
        </w:p>
      </w:tc>
    </w:tr>
    <w:tr w:rsidR="00494DAA">
      <w:trPr>
        <w:trHeight w:val="130"/>
      </w:trPr>
      <w:tc>
        <w:tcPr>
          <w:tcW w:w="2551" w:type="dxa"/>
          <w:shd w:val="clear" w:color="auto" w:fill="auto"/>
          <w:vAlign w:val="center"/>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494DAA" w:rsidRDefault="00FC44E2" w:rsidP="00FC44E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 XXXXX</w:t>
          </w:r>
        </w:p>
      </w:tc>
    </w:tr>
    <w:tr w:rsidR="00494DAA">
      <w:trPr>
        <w:trHeight w:val="228"/>
      </w:trPr>
      <w:tc>
        <w:tcPr>
          <w:tcW w:w="2551" w:type="dxa"/>
          <w:shd w:val="clear" w:color="auto" w:fill="auto"/>
          <w:vAlign w:val="center"/>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494DAA" w:rsidRDefault="00674B6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Ocoyoacac</w:t>
          </w:r>
          <w:proofErr w:type="spellEnd"/>
        </w:p>
      </w:tc>
    </w:tr>
    <w:tr w:rsidR="00494DAA">
      <w:tc>
        <w:tcPr>
          <w:tcW w:w="2551" w:type="dxa"/>
          <w:shd w:val="clear" w:color="auto" w:fill="auto"/>
          <w:vAlign w:val="center"/>
        </w:tcPr>
        <w:p w:rsidR="00494DAA" w:rsidRDefault="00674B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494DAA" w:rsidRDefault="00674B6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94DAA" w:rsidRDefault="00674B6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-1089647</wp:posOffset>
          </wp:positionH>
          <wp:positionV relativeFrom="paragraph">
            <wp:posOffset>-1169657</wp:posOffset>
          </wp:positionV>
          <wp:extent cx="7809865" cy="101657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FE0417"/>
    <w:multiLevelType w:val="multilevel"/>
    <w:tmpl w:val="07D6FC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A6A128A"/>
    <w:multiLevelType w:val="multilevel"/>
    <w:tmpl w:val="DA00B3C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AE97FA1"/>
    <w:multiLevelType w:val="multilevel"/>
    <w:tmpl w:val="48CE8D34"/>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2303C0A"/>
    <w:multiLevelType w:val="multilevel"/>
    <w:tmpl w:val="0DA009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DAA"/>
    <w:rsid w:val="00004CEC"/>
    <w:rsid w:val="00142D9D"/>
    <w:rsid w:val="00215A54"/>
    <w:rsid w:val="00355CFC"/>
    <w:rsid w:val="00422938"/>
    <w:rsid w:val="004466FA"/>
    <w:rsid w:val="00494DAA"/>
    <w:rsid w:val="00537756"/>
    <w:rsid w:val="00594B06"/>
    <w:rsid w:val="006614D7"/>
    <w:rsid w:val="00674B6A"/>
    <w:rsid w:val="00835DB1"/>
    <w:rsid w:val="00836B96"/>
    <w:rsid w:val="008600C3"/>
    <w:rsid w:val="0095012D"/>
    <w:rsid w:val="00A4502F"/>
    <w:rsid w:val="00CF2745"/>
    <w:rsid w:val="00E853CC"/>
    <w:rsid w:val="00FC4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7E227-5D1B-4AE0-ADE2-4F66EBBE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
    <w:tblPr>
      <w:tblStyleRowBandSize w:val="1"/>
      <w:tblStyleColBandSize w:val="1"/>
      <w:tblCellMar>
        <w:top w:w="0" w:type="dxa"/>
        <w:left w:w="115" w:type="dxa"/>
        <w:bottom w:w="0" w:type="dxa"/>
        <w:right w:w="115" w:type="dxa"/>
      </w:tblCellMar>
    </w:tblPr>
  </w:style>
  <w:style w:type="table" w:customStyle="1" w:styleId="5">
    <w:name w:val="5"/>
    <w:basedOn w:val="TableNormal2"/>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aimex.org.mx/saimex/solicitud/downloadAttach/1658854.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bB4G5kR66QQ14sINfq7DpWtgNA==">AMUW2mUhKnEQG/L9Ym4IVDhqye6Z8Rr8wUl/RuV8kdiV/swEP75K1m4Cat2BB+I5Tkbj5WZxHbCS9cd9ZBlQ8llgGaqpiDVRfa+PCEKSabxNDFdUe8iRSTxpNyL1KSZDINU6Mixddl2NugxYVKAi9UlnIyKQfPyFE/jiXQgdCbks84T74Qo3ZRFpauYPCXdUFUwlCPZDu4ITI29a5jn2tBe3vgVv3exp1w==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6636</Words>
  <Characters>36504</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4</cp:revision>
  <cp:lastPrinted>2023-04-28T17:06:00Z</cp:lastPrinted>
  <dcterms:created xsi:type="dcterms:W3CDTF">2023-05-03T18:38:00Z</dcterms:created>
  <dcterms:modified xsi:type="dcterms:W3CDTF">2023-05-04T19:55:00Z</dcterms:modified>
</cp:coreProperties>
</file>