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186" w:rsidRPr="005F27AB" w:rsidRDefault="0068655E" w:rsidP="005F27AB">
      <w:pPr>
        <w:spacing w:line="360" w:lineRule="auto"/>
        <w:jc w:val="both"/>
        <w:rPr>
          <w:rFonts w:ascii="Palatino Linotype" w:eastAsia="Palatino Linotype" w:hAnsi="Palatino Linotype" w:cs="Palatino Linotype"/>
        </w:rPr>
      </w:pPr>
      <w:bookmarkStart w:id="0" w:name="_heading=h.gjdgxs" w:colFirst="0" w:colLast="0"/>
      <w:bookmarkStart w:id="1" w:name="_GoBack"/>
      <w:bookmarkEnd w:id="0"/>
      <w:bookmarkEnd w:id="1"/>
      <w:r w:rsidRPr="005F27A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nueve de febrero de dos mil veintitrés.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b/>
          <w:sz w:val="28"/>
          <w:szCs w:val="28"/>
        </w:rPr>
        <w:t>VISTO</w:t>
      </w:r>
      <w:r w:rsidRPr="005F27AB">
        <w:rPr>
          <w:rFonts w:ascii="Palatino Linotype" w:eastAsia="Palatino Linotype" w:hAnsi="Palatino Linotype" w:cs="Palatino Linotype"/>
        </w:rPr>
        <w:t xml:space="preserve"> el expediente formado con motivo del Recurso de Revisión </w:t>
      </w:r>
      <w:r w:rsidRPr="005F27AB">
        <w:rPr>
          <w:rFonts w:ascii="Palatino Linotype" w:eastAsia="Palatino Linotype" w:hAnsi="Palatino Linotype" w:cs="Palatino Linotype"/>
          <w:b/>
        </w:rPr>
        <w:t xml:space="preserve">14947/INFOEM/IP/RR/2022, </w:t>
      </w:r>
      <w:r w:rsidRPr="005F27AB">
        <w:rPr>
          <w:rFonts w:ascii="Palatino Linotype" w:eastAsia="Palatino Linotype" w:hAnsi="Palatino Linotype" w:cs="Palatino Linotype"/>
        </w:rPr>
        <w:t xml:space="preserve">promovido por </w:t>
      </w:r>
      <w:r w:rsidRPr="005F27AB">
        <w:rPr>
          <w:rFonts w:ascii="Palatino Linotype" w:eastAsia="Palatino Linotype" w:hAnsi="Palatino Linotype" w:cs="Palatino Linotype"/>
          <w:b/>
        </w:rPr>
        <w:t>un particular de forma anónima</w:t>
      </w:r>
      <w:r w:rsidRPr="005F27AB">
        <w:rPr>
          <w:rFonts w:ascii="Palatino Linotype" w:eastAsia="Palatino Linotype" w:hAnsi="Palatino Linotype" w:cs="Palatino Linotype"/>
        </w:rPr>
        <w:t xml:space="preserve">, a quien en lo sucesivo se le denominara como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en contra de la respuesta del </w:t>
      </w:r>
      <w:r w:rsidRPr="005F27AB">
        <w:rPr>
          <w:rFonts w:ascii="Palatino Linotype" w:eastAsia="Palatino Linotype" w:hAnsi="Palatino Linotype" w:cs="Palatino Linotype"/>
          <w:b/>
        </w:rPr>
        <w:t xml:space="preserve">Ayuntamiento de Atenco </w:t>
      </w:r>
      <w:r w:rsidRPr="005F27AB">
        <w:rPr>
          <w:rFonts w:ascii="Palatino Linotype" w:eastAsia="Palatino Linotype" w:hAnsi="Palatino Linotype" w:cs="Palatino Linotype"/>
        </w:rPr>
        <w:t xml:space="preserve">en lo subsecuente se le denominará </w:t>
      </w:r>
      <w:r w:rsidRPr="005F27AB">
        <w:rPr>
          <w:rFonts w:ascii="Palatino Linotype" w:eastAsia="Palatino Linotype" w:hAnsi="Palatino Linotype" w:cs="Palatino Linotype"/>
          <w:b/>
        </w:rPr>
        <w:t xml:space="preserve">EL SUJETO OBLIGADO, </w:t>
      </w:r>
      <w:r w:rsidRPr="005F27AB">
        <w:rPr>
          <w:rFonts w:ascii="Palatino Linotype" w:eastAsia="Palatino Linotype" w:hAnsi="Palatino Linotype" w:cs="Palatino Linotype"/>
        </w:rPr>
        <w:t>se procede a dictar la presente resolución con base en lo siguiente:</w:t>
      </w:r>
    </w:p>
    <w:p w:rsidR="00360186" w:rsidRPr="005F27AB" w:rsidRDefault="00360186" w:rsidP="005F27AB">
      <w:pPr>
        <w:spacing w:line="360" w:lineRule="auto"/>
        <w:jc w:val="both"/>
        <w:rPr>
          <w:rFonts w:ascii="Palatino Linotype" w:eastAsia="Palatino Linotype" w:hAnsi="Palatino Linotype" w:cs="Palatino Linotype"/>
          <w:b/>
        </w:rPr>
      </w:pPr>
    </w:p>
    <w:p w:rsidR="00360186" w:rsidRPr="005F27AB" w:rsidRDefault="0068655E" w:rsidP="005F27AB">
      <w:pPr>
        <w:jc w:val="center"/>
        <w:rPr>
          <w:rFonts w:ascii="Palatino Linotype" w:eastAsia="Palatino Linotype" w:hAnsi="Palatino Linotype" w:cs="Palatino Linotype"/>
          <w:b/>
          <w:sz w:val="28"/>
          <w:szCs w:val="28"/>
        </w:rPr>
      </w:pPr>
      <w:r w:rsidRPr="005F27AB">
        <w:rPr>
          <w:rFonts w:ascii="Palatino Linotype" w:eastAsia="Palatino Linotype" w:hAnsi="Palatino Linotype" w:cs="Palatino Linotype"/>
          <w:b/>
          <w:sz w:val="28"/>
          <w:szCs w:val="28"/>
        </w:rPr>
        <w:t>ANTECEDENTES</w:t>
      </w:r>
    </w:p>
    <w:p w:rsidR="00360186" w:rsidRPr="005F27AB" w:rsidRDefault="00360186" w:rsidP="005F27AB">
      <w:pPr>
        <w:rPr>
          <w:rFonts w:ascii="Palatino Linotype" w:eastAsia="Palatino Linotype" w:hAnsi="Palatino Linotype" w:cs="Palatino Linotype"/>
          <w:b/>
        </w:rPr>
      </w:pPr>
    </w:p>
    <w:p w:rsidR="00360186" w:rsidRPr="005F27AB" w:rsidRDefault="0068655E" w:rsidP="005F27AB">
      <w:pPr>
        <w:spacing w:line="360" w:lineRule="auto"/>
        <w:jc w:val="both"/>
        <w:rPr>
          <w:rFonts w:ascii="Palatino Linotype" w:eastAsia="Palatino Linotype" w:hAnsi="Palatino Linotype" w:cs="Palatino Linotype"/>
          <w:b/>
          <w:sz w:val="28"/>
          <w:szCs w:val="28"/>
        </w:rPr>
      </w:pPr>
      <w:r w:rsidRPr="005F27AB">
        <w:rPr>
          <w:rFonts w:ascii="Palatino Linotype" w:eastAsia="Palatino Linotype" w:hAnsi="Palatino Linotype" w:cs="Palatino Linotype"/>
          <w:b/>
          <w:sz w:val="28"/>
          <w:szCs w:val="28"/>
        </w:rPr>
        <w:t>I.</w:t>
      </w:r>
      <w:r w:rsidRPr="005F27AB">
        <w:rPr>
          <w:rFonts w:ascii="Palatino Linotype" w:eastAsia="Palatino Linotype" w:hAnsi="Palatino Linotype" w:cs="Palatino Linotype"/>
          <w:b/>
        </w:rPr>
        <w:t xml:space="preserve"> </w:t>
      </w:r>
      <w:r w:rsidRPr="005F27AB">
        <w:rPr>
          <w:rFonts w:ascii="Palatino Linotype" w:eastAsia="Palatino Linotype" w:hAnsi="Palatino Linotype" w:cs="Palatino Linotype"/>
          <w:b/>
          <w:sz w:val="28"/>
          <w:szCs w:val="28"/>
        </w:rPr>
        <w:t>De la Solicitud de Información</w:t>
      </w:r>
    </w:p>
    <w:p w:rsidR="00360186" w:rsidRPr="005F27AB" w:rsidRDefault="0068655E" w:rsidP="005F27AB">
      <w:pPr>
        <w:spacing w:line="360" w:lineRule="auto"/>
        <w:jc w:val="both"/>
        <w:rPr>
          <w:rFonts w:ascii="Palatino Linotype" w:eastAsia="Palatino Linotype" w:hAnsi="Palatino Linotype" w:cs="Palatino Linotype"/>
        </w:rPr>
      </w:pPr>
      <w:bookmarkStart w:id="2" w:name="_heading=h.ifuj3wtxm21l" w:colFirst="0" w:colLast="0"/>
      <w:bookmarkEnd w:id="2"/>
      <w:r w:rsidRPr="005F27AB">
        <w:rPr>
          <w:rFonts w:ascii="Palatino Linotype" w:eastAsia="Palatino Linotype" w:hAnsi="Palatino Linotype" w:cs="Palatino Linotype"/>
        </w:rPr>
        <w:t xml:space="preserve">El </w:t>
      </w:r>
      <w:r w:rsidRPr="005F27AB">
        <w:rPr>
          <w:rFonts w:ascii="Palatino Linotype" w:eastAsia="Palatino Linotype" w:hAnsi="Palatino Linotype" w:cs="Palatino Linotype"/>
          <w:b/>
        </w:rPr>
        <w:t xml:space="preserve">ocho de </w:t>
      </w:r>
      <w:r w:rsidR="006363D5" w:rsidRPr="005F27AB">
        <w:rPr>
          <w:rFonts w:ascii="Palatino Linotype" w:eastAsia="Palatino Linotype" w:hAnsi="Palatino Linotype" w:cs="Palatino Linotype"/>
          <w:b/>
        </w:rPr>
        <w:t>septiembre</w:t>
      </w:r>
      <w:r w:rsidRPr="005F27AB">
        <w:rPr>
          <w:rFonts w:ascii="Palatino Linotype" w:eastAsia="Palatino Linotype" w:hAnsi="Palatino Linotype" w:cs="Palatino Linotype"/>
          <w:b/>
        </w:rPr>
        <w:t xml:space="preserve"> de dos mil veintidós</w:t>
      </w:r>
      <w:r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presentó a través del Sistema de Acceso a la Información Mexiquense, en lo subsecuente </w:t>
      </w:r>
      <w:r w:rsidRPr="005F27AB">
        <w:rPr>
          <w:rFonts w:ascii="Palatino Linotype" w:eastAsia="Palatino Linotype" w:hAnsi="Palatino Linotype" w:cs="Palatino Linotype"/>
          <w:b/>
        </w:rPr>
        <w:t>EL SAIMEX</w:t>
      </w:r>
      <w:r w:rsidRPr="005F27AB">
        <w:rPr>
          <w:rFonts w:ascii="Palatino Linotype" w:eastAsia="Palatino Linotype" w:hAnsi="Palatino Linotype" w:cs="Palatino Linotype"/>
        </w:rPr>
        <w:t xml:space="preserve"> ante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la solicitud de acceso a la información pública, a la que se le asignó el número de expediente </w:t>
      </w:r>
      <w:r w:rsidRPr="005F27AB">
        <w:rPr>
          <w:rFonts w:ascii="Palatino Linotype" w:eastAsia="Palatino Linotype" w:hAnsi="Palatino Linotype" w:cs="Palatino Linotype"/>
          <w:b/>
        </w:rPr>
        <w:t xml:space="preserve">00386/ATENCO/IP/2022, </w:t>
      </w:r>
      <w:r w:rsidRPr="005F27AB">
        <w:rPr>
          <w:rFonts w:ascii="Palatino Linotype" w:eastAsia="Palatino Linotype" w:hAnsi="Palatino Linotype" w:cs="Palatino Linotype"/>
        </w:rPr>
        <w:t>requirió, lo siguiente:</w:t>
      </w: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“solicito todos los oficios salientes y firmados por la secretaria del ayuntamiento desde el 1 de enero al 31 de agosto de 2022.” (sic)</w:t>
      </w:r>
    </w:p>
    <w:p w:rsidR="00360186" w:rsidRPr="005F27AB" w:rsidRDefault="00360186" w:rsidP="005F27AB">
      <w:pPr>
        <w:tabs>
          <w:tab w:val="left" w:pos="851"/>
        </w:tabs>
        <w:ind w:right="901"/>
        <w:jc w:val="both"/>
        <w:rPr>
          <w:rFonts w:ascii="Palatino Linotype" w:eastAsia="Palatino Linotype" w:hAnsi="Palatino Linotype" w:cs="Palatino Linotype"/>
          <w:sz w:val="22"/>
          <w:szCs w:val="22"/>
        </w:rPr>
      </w:pPr>
    </w:p>
    <w:p w:rsidR="008B16E5" w:rsidRPr="005F27AB" w:rsidRDefault="008B16E5" w:rsidP="005F27AB">
      <w:pPr>
        <w:tabs>
          <w:tab w:val="left" w:pos="851"/>
        </w:tabs>
        <w:ind w:right="901"/>
        <w:jc w:val="both"/>
        <w:rPr>
          <w:rFonts w:ascii="Palatino Linotype" w:eastAsia="Palatino Linotype" w:hAnsi="Palatino Linotype" w:cs="Palatino Linotype"/>
          <w:sz w:val="22"/>
          <w:szCs w:val="22"/>
        </w:rPr>
      </w:pPr>
    </w:p>
    <w:p w:rsidR="00360186" w:rsidRPr="005F27AB" w:rsidRDefault="0068655E" w:rsidP="005F27AB">
      <w:pPr>
        <w:widowControl w:val="0"/>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rPr>
        <w:t xml:space="preserve">MODALIDAD DE ENTREGA: </w:t>
      </w:r>
      <w:r w:rsidRPr="005F27AB">
        <w:rPr>
          <w:rFonts w:ascii="Palatino Linotype" w:eastAsia="Palatino Linotype" w:hAnsi="Palatino Linotype" w:cs="Palatino Linotype"/>
        </w:rPr>
        <w:t xml:space="preserve">vía </w:t>
      </w:r>
      <w:r w:rsidRPr="005F27AB">
        <w:rPr>
          <w:rFonts w:ascii="Palatino Linotype" w:eastAsia="Palatino Linotype" w:hAnsi="Palatino Linotype" w:cs="Palatino Linotype"/>
          <w:b/>
        </w:rPr>
        <w:t xml:space="preserve">SAIMEX </w:t>
      </w:r>
    </w:p>
    <w:p w:rsidR="008B16E5" w:rsidRPr="005F27AB" w:rsidRDefault="008B16E5" w:rsidP="005F27AB">
      <w:pPr>
        <w:widowControl w:val="0"/>
        <w:spacing w:line="360" w:lineRule="auto"/>
        <w:jc w:val="both"/>
        <w:rPr>
          <w:rFonts w:ascii="Palatino Linotype" w:eastAsia="Palatino Linotype" w:hAnsi="Palatino Linotype" w:cs="Palatino Linotype"/>
          <w:b/>
        </w:rPr>
      </w:pPr>
    </w:p>
    <w:p w:rsidR="00360186" w:rsidRPr="005F27AB" w:rsidRDefault="0068655E" w:rsidP="005F27AB">
      <w:pPr>
        <w:widowControl w:val="0"/>
        <w:spacing w:line="360" w:lineRule="auto"/>
        <w:jc w:val="both"/>
        <w:rPr>
          <w:rFonts w:ascii="Palatino Linotype" w:eastAsia="Palatino Linotype" w:hAnsi="Palatino Linotype" w:cs="Palatino Linotype"/>
          <w:b/>
          <w:sz w:val="28"/>
          <w:szCs w:val="28"/>
        </w:rPr>
      </w:pPr>
      <w:r w:rsidRPr="005F27AB">
        <w:rPr>
          <w:rFonts w:ascii="Palatino Linotype" w:eastAsia="Palatino Linotype" w:hAnsi="Palatino Linotype" w:cs="Palatino Linotype"/>
          <w:b/>
          <w:sz w:val="28"/>
          <w:szCs w:val="28"/>
        </w:rPr>
        <w:lastRenderedPageBreak/>
        <w:t>II. Turno de requerimiento del Sujeto Obligado</w:t>
      </w:r>
    </w:p>
    <w:p w:rsidR="00360186" w:rsidRPr="005F27AB" w:rsidRDefault="0068655E" w:rsidP="005F27AB">
      <w:pPr>
        <w:spacing w:line="360" w:lineRule="auto"/>
        <w:jc w:val="both"/>
        <w:rPr>
          <w:rFonts w:ascii="Palatino Linotype" w:eastAsia="Palatino Linotype" w:hAnsi="Palatino Linotype" w:cs="Palatino Linotype"/>
          <w:b/>
          <w:sz w:val="28"/>
          <w:szCs w:val="28"/>
        </w:rPr>
      </w:pPr>
      <w:r w:rsidRPr="005F27AB">
        <w:rPr>
          <w:rFonts w:ascii="Palatino Linotype" w:eastAsia="Palatino Linotype" w:hAnsi="Palatino Linotype" w:cs="Palatino Linotype"/>
        </w:rPr>
        <w:t>De las constancias que obran en los expedientes electrónicos del SAIMEX se advierte el doce de septiembre de dos mil veintidós el turno de requerimiento por parte del Titular de la Unidad de Transparencia, en términos de lo establecido por el artículo 162 de la Ley de Transparencia y Acceso a la Información Pública del Estado de México y Municipios.</w:t>
      </w:r>
    </w:p>
    <w:p w:rsidR="00360186" w:rsidRPr="005F27AB" w:rsidRDefault="00360186" w:rsidP="005F27AB">
      <w:pPr>
        <w:spacing w:line="360" w:lineRule="auto"/>
        <w:jc w:val="both"/>
        <w:rPr>
          <w:rFonts w:ascii="Palatino Linotype" w:eastAsia="Palatino Linotype" w:hAnsi="Palatino Linotype" w:cs="Palatino Linotype"/>
          <w:b/>
          <w:sz w:val="28"/>
          <w:szCs w:val="28"/>
        </w:rPr>
      </w:pPr>
    </w:p>
    <w:p w:rsidR="00360186" w:rsidRPr="005F27AB" w:rsidRDefault="0068655E" w:rsidP="005F27AB">
      <w:pPr>
        <w:spacing w:line="360" w:lineRule="auto"/>
        <w:jc w:val="both"/>
        <w:rPr>
          <w:rFonts w:ascii="Palatino Linotype" w:eastAsia="Palatino Linotype" w:hAnsi="Palatino Linotype" w:cs="Palatino Linotype"/>
          <w:b/>
          <w:sz w:val="28"/>
          <w:szCs w:val="28"/>
        </w:rPr>
      </w:pPr>
      <w:r w:rsidRPr="005F27AB">
        <w:rPr>
          <w:rFonts w:ascii="Palatino Linotype" w:eastAsia="Palatino Linotype" w:hAnsi="Palatino Linotype" w:cs="Palatino Linotype"/>
          <w:b/>
          <w:sz w:val="28"/>
          <w:szCs w:val="28"/>
        </w:rPr>
        <w:t>III. Respuesta del Sujeto Obligado</w:t>
      </w: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De las constancias que obran en el expediente electrónico del SAIMEX se observa que el</w:t>
      </w:r>
      <w:r w:rsidRPr="005F27AB">
        <w:rPr>
          <w:rFonts w:ascii="Palatino Linotype" w:eastAsia="Palatino Linotype" w:hAnsi="Palatino Linotype" w:cs="Palatino Linotype"/>
          <w:b/>
        </w:rPr>
        <w:t xml:space="preserve"> catorce de septiembre de dos mil veintidós</w:t>
      </w:r>
      <w:r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dio respuesta en los términos siguientes: </w:t>
      </w: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“2022. Año del Quincentenario de Toluca, Capital del Estado de México” UNIDAD DE TRANSPARENCIA Oficio No.: PMA/UT/INT/2022/0374 Solicitud de Información: 00386/ATENCO/IP/2022 Atenco, Estado de México, a 12 de septiembre de 2022. C. SOLICITANTE DE INFORMACIÓN P R E S E N T E. Sea este el conducto mediante el cual reciba un cordial saludo, y a su vez,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00386/ATENCO/IP/2022,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w:t>
      </w:r>
      <w:r w:rsidRPr="005F27AB">
        <w:rPr>
          <w:rFonts w:ascii="Palatino Linotype" w:eastAsia="Palatino Linotype" w:hAnsi="Palatino Linotype" w:cs="Palatino Linotype"/>
          <w:i/>
          <w:sz w:val="22"/>
          <w:szCs w:val="22"/>
        </w:rPr>
        <w:lastRenderedPageBreak/>
        <w:t>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(Sic)</w:t>
      </w:r>
    </w:p>
    <w:p w:rsidR="00360186" w:rsidRPr="005F27AB" w:rsidRDefault="00360186" w:rsidP="005F27AB">
      <w:pPr>
        <w:ind w:right="899"/>
        <w:jc w:val="both"/>
        <w:rPr>
          <w:rFonts w:ascii="Palatino Linotype" w:eastAsia="Palatino Linotype" w:hAnsi="Palatino Linotype" w:cs="Palatino Linotype"/>
          <w:i/>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Adjuntando a su respuesta dos archivos, el primero denominado </w:t>
      </w:r>
      <w:r w:rsidRPr="005F27AB">
        <w:rPr>
          <w:rFonts w:ascii="Palatino Linotype" w:eastAsia="Palatino Linotype" w:hAnsi="Palatino Linotype" w:cs="Palatino Linotype"/>
          <w:b/>
          <w:i/>
        </w:rPr>
        <w:t xml:space="preserve">Sol. Info. 386.pdf </w:t>
      </w:r>
      <w:r w:rsidRPr="005F27AB">
        <w:rPr>
          <w:rFonts w:ascii="Palatino Linotype" w:eastAsia="Palatino Linotype" w:hAnsi="Palatino Linotype" w:cs="Palatino Linotype"/>
        </w:rPr>
        <w:t xml:space="preserve">del cual se advierte dos oficios, el primero de número PMA/UT/SOL/2022/00374 de doce de septiembre de dos mil veintidós firmado por la Encargada de despacho de la Unidad de Transparencia, mediante refiere adjuntar la respuesta del servidor público habilitado.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El </w:t>
      </w:r>
      <w:r w:rsidR="006363D5" w:rsidRPr="005F27AB">
        <w:rPr>
          <w:rFonts w:ascii="Palatino Linotype" w:eastAsia="Palatino Linotype" w:hAnsi="Palatino Linotype" w:cs="Palatino Linotype"/>
        </w:rPr>
        <w:t>segundo documento</w:t>
      </w:r>
      <w:r w:rsidRPr="005F27AB">
        <w:rPr>
          <w:rFonts w:ascii="Palatino Linotype" w:eastAsia="Palatino Linotype" w:hAnsi="Palatino Linotype" w:cs="Palatino Linotype"/>
        </w:rPr>
        <w:t xml:space="preserve"> denominado</w:t>
      </w:r>
      <w:r w:rsidRPr="005F27AB">
        <w:rPr>
          <w:rFonts w:ascii="Palatino Linotype" w:eastAsia="Palatino Linotype" w:hAnsi="Palatino Linotype" w:cs="Palatino Linotype"/>
          <w:b/>
          <w:i/>
        </w:rPr>
        <w:t xml:space="preserve"> Res. Sol. 386.pdf</w:t>
      </w:r>
      <w:r w:rsidRPr="005F27AB">
        <w:rPr>
          <w:rFonts w:ascii="Palatino Linotype" w:eastAsia="Palatino Linotype" w:hAnsi="Palatino Linotype" w:cs="Palatino Linotype"/>
        </w:rPr>
        <w:t xml:space="preserve"> contiene el oficio número PMA/JRH/709/2022 de fecha trece de septiembre de dos mil veintidós, donde se observa la </w:t>
      </w:r>
      <w:r w:rsidR="006363D5" w:rsidRPr="005F27AB">
        <w:rPr>
          <w:rFonts w:ascii="Palatino Linotype" w:eastAsia="Palatino Linotype" w:hAnsi="Palatino Linotype" w:cs="Palatino Linotype"/>
        </w:rPr>
        <w:t>respuesta a</w:t>
      </w:r>
      <w:r w:rsidRPr="005F27AB">
        <w:rPr>
          <w:rFonts w:ascii="Palatino Linotype" w:eastAsia="Palatino Linotype" w:hAnsi="Palatino Linotype" w:cs="Palatino Linotype"/>
        </w:rPr>
        <w:t xml:space="preserve"> una solicitud diversa a la que es materia del presente asunto.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sz w:val="28"/>
          <w:szCs w:val="28"/>
        </w:rPr>
        <w:t>IV. Del Recurso de Revisión</w:t>
      </w:r>
      <w:r w:rsidRPr="005F27AB">
        <w:rPr>
          <w:rFonts w:ascii="Palatino Linotype" w:eastAsia="Palatino Linotype" w:hAnsi="Palatino Linotype" w:cs="Palatino Linotype"/>
          <w:b/>
        </w:rPr>
        <w:t>.</w:t>
      </w:r>
    </w:p>
    <w:p w:rsidR="00360186" w:rsidRPr="005F27AB" w:rsidRDefault="0068655E" w:rsidP="005F27AB">
      <w:pPr>
        <w:widowControl w:val="0"/>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Inconforme con la respuesta del</w:t>
      </w:r>
      <w:r w:rsidRPr="005F27AB">
        <w:rPr>
          <w:rFonts w:ascii="Palatino Linotype" w:eastAsia="Palatino Linotype" w:hAnsi="Palatino Linotype" w:cs="Palatino Linotype"/>
          <w:b/>
        </w:rPr>
        <w:t xml:space="preserve"> SUJETO OBLIGADO</w:t>
      </w:r>
      <w:r w:rsidRPr="005F27AB">
        <w:rPr>
          <w:rFonts w:ascii="Palatino Linotype" w:eastAsia="Palatino Linotype" w:hAnsi="Palatino Linotype" w:cs="Palatino Linotype"/>
        </w:rPr>
        <w:t xml:space="preserve">, el veintiuno de septiembre de dos mil veintidós,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interpuso el Recurso de Revisión, mismo que fue registrado en </w:t>
      </w:r>
      <w:r w:rsidRPr="005F27AB">
        <w:rPr>
          <w:rFonts w:ascii="Palatino Linotype" w:eastAsia="Palatino Linotype" w:hAnsi="Palatino Linotype" w:cs="Palatino Linotype"/>
          <w:b/>
        </w:rPr>
        <w:t>EL SAIMEX</w:t>
      </w:r>
      <w:r w:rsidRPr="005F27AB">
        <w:rPr>
          <w:rFonts w:ascii="Palatino Linotype" w:eastAsia="Palatino Linotype" w:hAnsi="Palatino Linotype" w:cs="Palatino Linotype"/>
        </w:rPr>
        <w:t xml:space="preserve"> y se le asignó el número de expediente </w:t>
      </w:r>
      <w:r w:rsidRPr="005F27AB">
        <w:rPr>
          <w:rFonts w:ascii="Palatino Linotype" w:eastAsia="Palatino Linotype" w:hAnsi="Palatino Linotype" w:cs="Palatino Linotype"/>
          <w:b/>
        </w:rPr>
        <w:t xml:space="preserve">14947/INFOEM/IP/RR/2022, </w:t>
      </w:r>
      <w:r w:rsidRPr="005F27AB">
        <w:rPr>
          <w:rFonts w:ascii="Palatino Linotype" w:eastAsia="Palatino Linotype" w:hAnsi="Palatino Linotype" w:cs="Palatino Linotype"/>
        </w:rPr>
        <w:t>donde los motivos de agravio del</w:t>
      </w:r>
      <w:r w:rsidRPr="005F27AB">
        <w:rPr>
          <w:rFonts w:ascii="Palatino Linotype" w:eastAsia="Palatino Linotype" w:hAnsi="Palatino Linotype" w:cs="Palatino Linotype"/>
          <w:b/>
        </w:rPr>
        <w:t xml:space="preserve"> RECURRENTE </w:t>
      </w:r>
      <w:r w:rsidRPr="005F27AB">
        <w:rPr>
          <w:rFonts w:ascii="Palatino Linotype" w:eastAsia="Palatino Linotype" w:hAnsi="Palatino Linotype" w:cs="Palatino Linotype"/>
        </w:rPr>
        <w:t>fueron los siguientes:</w:t>
      </w:r>
    </w:p>
    <w:p w:rsidR="00360186" w:rsidRPr="005F27AB" w:rsidRDefault="00360186" w:rsidP="005F27AB">
      <w:pPr>
        <w:widowControl w:val="0"/>
        <w:spacing w:line="360" w:lineRule="auto"/>
        <w:jc w:val="both"/>
        <w:rPr>
          <w:rFonts w:ascii="Palatino Linotype" w:eastAsia="Palatino Linotype" w:hAnsi="Palatino Linotype" w:cs="Palatino Linotype"/>
        </w:rPr>
      </w:pPr>
    </w:p>
    <w:p w:rsidR="008B16E5" w:rsidRPr="005F27AB" w:rsidRDefault="008B16E5" w:rsidP="005F27AB">
      <w:pPr>
        <w:widowControl w:val="0"/>
        <w:spacing w:line="360" w:lineRule="auto"/>
        <w:jc w:val="both"/>
        <w:rPr>
          <w:rFonts w:ascii="Palatino Linotype" w:eastAsia="Palatino Linotype" w:hAnsi="Palatino Linotype" w:cs="Palatino Linotype"/>
        </w:rPr>
      </w:pPr>
    </w:p>
    <w:p w:rsidR="008B16E5" w:rsidRPr="005F27AB" w:rsidRDefault="008B16E5" w:rsidP="005F27AB">
      <w:pPr>
        <w:widowControl w:val="0"/>
        <w:spacing w:line="360" w:lineRule="auto"/>
        <w:jc w:val="both"/>
        <w:rPr>
          <w:rFonts w:ascii="Palatino Linotype" w:eastAsia="Palatino Linotype" w:hAnsi="Palatino Linotype" w:cs="Palatino Linotype"/>
        </w:rPr>
      </w:pPr>
    </w:p>
    <w:p w:rsidR="00360186" w:rsidRPr="005F27AB" w:rsidRDefault="0068655E" w:rsidP="005F27AB">
      <w:pPr>
        <w:spacing w:line="360" w:lineRule="auto"/>
        <w:ind w:left="-57" w:right="-57"/>
        <w:jc w:val="both"/>
        <w:rPr>
          <w:rFonts w:ascii="Palatino Linotype" w:eastAsia="Palatino Linotype" w:hAnsi="Palatino Linotype" w:cs="Palatino Linotype"/>
          <w:b/>
          <w:u w:val="single"/>
        </w:rPr>
      </w:pPr>
      <w:r w:rsidRPr="005F27AB">
        <w:rPr>
          <w:rFonts w:ascii="Palatino Linotype" w:eastAsia="Palatino Linotype" w:hAnsi="Palatino Linotype" w:cs="Palatino Linotype"/>
          <w:b/>
          <w:u w:val="single"/>
        </w:rPr>
        <w:lastRenderedPageBreak/>
        <w:t>Acto Impugnado:</w:t>
      </w:r>
      <w:r w:rsidRPr="005F27AB">
        <w:rPr>
          <w:b/>
          <w:u w:val="single"/>
        </w:rPr>
        <w:t xml:space="preserve"> </w:t>
      </w:r>
    </w:p>
    <w:p w:rsidR="00360186" w:rsidRPr="005F27AB" w:rsidRDefault="0068655E" w:rsidP="005F27AB">
      <w:pPr>
        <w:tabs>
          <w:tab w:val="left" w:pos="709"/>
        </w:tabs>
        <w:spacing w:before="66"/>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“LA RESPUESTA OTORGADA NO ES LA INFORMACIÓN QUE SOLICITE” (Sic)</w:t>
      </w:r>
    </w:p>
    <w:p w:rsidR="00360186" w:rsidRPr="005F27AB" w:rsidRDefault="00360186" w:rsidP="005F27AB">
      <w:pPr>
        <w:ind w:right="899"/>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b/>
          <w:u w:val="single"/>
        </w:rPr>
      </w:pPr>
      <w:r w:rsidRPr="005F27AB">
        <w:rPr>
          <w:rFonts w:ascii="Palatino Linotype" w:eastAsia="Palatino Linotype" w:hAnsi="Palatino Linotype" w:cs="Palatino Linotype"/>
          <w:b/>
          <w:u w:val="single"/>
        </w:rPr>
        <w:t>Razones o motivos de inconformidad:</w:t>
      </w:r>
    </w:p>
    <w:p w:rsidR="00360186" w:rsidRPr="005F27AB" w:rsidRDefault="0068655E" w:rsidP="005F27AB">
      <w:pPr>
        <w:tabs>
          <w:tab w:val="left" w:pos="709"/>
        </w:tabs>
        <w:spacing w:before="66"/>
        <w:ind w:left="850" w:right="899"/>
        <w:jc w:val="both"/>
        <w:rPr>
          <w:rFonts w:ascii="Palatino Linotype" w:eastAsia="Palatino Linotype" w:hAnsi="Palatino Linotype" w:cs="Palatino Linotype"/>
        </w:rPr>
      </w:pPr>
      <w:r w:rsidRPr="005F27AB">
        <w:rPr>
          <w:rFonts w:ascii="Palatino Linotype" w:eastAsia="Palatino Linotype" w:hAnsi="Palatino Linotype" w:cs="Palatino Linotype"/>
          <w:i/>
          <w:sz w:val="22"/>
          <w:szCs w:val="22"/>
        </w:rPr>
        <w:t>“LA RESPUESTA OTORGADA NO ES LA INFORMACIÓN QUE SOLICITE” (Sic)</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b/>
          <w:sz w:val="28"/>
          <w:szCs w:val="28"/>
        </w:rPr>
      </w:pPr>
      <w:r w:rsidRPr="005F27AB">
        <w:rPr>
          <w:rFonts w:ascii="Palatino Linotype" w:eastAsia="Palatino Linotype" w:hAnsi="Palatino Linotype" w:cs="Palatino Linotype"/>
          <w:b/>
          <w:sz w:val="28"/>
          <w:szCs w:val="28"/>
        </w:rPr>
        <w:t xml:space="preserve">V. Del turno del Recurso de Revisión. </w:t>
      </w: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El </w:t>
      </w:r>
      <w:r w:rsidRPr="005F27AB">
        <w:rPr>
          <w:rFonts w:ascii="Palatino Linotype" w:eastAsia="Palatino Linotype" w:hAnsi="Palatino Linotype" w:cs="Palatino Linotype"/>
          <w:b/>
        </w:rPr>
        <w:t>veintinueve de septiembre de dos mil veintidós</w:t>
      </w:r>
      <w:r w:rsidRPr="005F27AB">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5F27AB">
        <w:rPr>
          <w:rFonts w:ascii="Palatino Linotype" w:eastAsia="Palatino Linotype" w:hAnsi="Palatino Linotype" w:cs="Palatino Linotype"/>
          <w:b/>
        </w:rPr>
        <w:t>Comisionada Sharon Cristina Morales Martínez</w:t>
      </w:r>
      <w:r w:rsidRPr="005F27AB">
        <w:rPr>
          <w:rFonts w:ascii="Palatino Linotype" w:eastAsia="Palatino Linotype" w:hAnsi="Palatino Linotype" w:cs="Palatino Linotype"/>
        </w:rPr>
        <w:t>; a efecto de decretar su admisión o desechamiento.</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tabs>
          <w:tab w:val="center" w:pos="4252"/>
          <w:tab w:val="right" w:pos="8504"/>
        </w:tabs>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rPr>
        <w:t>a) Admisión del Recurso de Revisión</w:t>
      </w:r>
    </w:p>
    <w:p w:rsidR="00360186" w:rsidRPr="005F27AB" w:rsidRDefault="0068655E" w:rsidP="005F27AB">
      <w:pPr>
        <w:tabs>
          <w:tab w:val="center" w:pos="4252"/>
          <w:tab w:val="right" w:pos="8504"/>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De las constancias que obran en el expediente electrónico del</w:t>
      </w:r>
      <w:r w:rsidRPr="005F27AB">
        <w:rPr>
          <w:rFonts w:ascii="Palatino Linotype" w:eastAsia="Palatino Linotype" w:hAnsi="Palatino Linotype" w:cs="Palatino Linotype"/>
          <w:b/>
        </w:rPr>
        <w:t xml:space="preserve"> SAIMEX</w:t>
      </w:r>
      <w:r w:rsidRPr="005F27AB">
        <w:rPr>
          <w:rFonts w:ascii="Palatino Linotype" w:eastAsia="Palatino Linotype" w:hAnsi="Palatino Linotype" w:cs="Palatino Linotype"/>
        </w:rPr>
        <w:t xml:space="preserve">, relacionado con el asunto materia del presente estudio, se advierte que el </w:t>
      </w:r>
      <w:r w:rsidRPr="005F27AB">
        <w:rPr>
          <w:rFonts w:ascii="Palatino Linotype" w:eastAsia="Palatino Linotype" w:hAnsi="Palatino Linotype" w:cs="Palatino Linotype"/>
          <w:b/>
        </w:rPr>
        <w:t>veintidós de septiembre de dos mil veintidós</w:t>
      </w:r>
      <w:r w:rsidRPr="005F27AB">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5F27AB">
        <w:rPr>
          <w:rFonts w:ascii="Palatino Linotype" w:eastAsia="Palatino Linotype" w:hAnsi="Palatino Linotype" w:cs="Palatino Linotype"/>
          <w:b/>
        </w:rPr>
        <w:t xml:space="preserve"> </w:t>
      </w:r>
      <w:r w:rsidRPr="005F27AB">
        <w:rPr>
          <w:rFonts w:ascii="Palatino Linotype" w:eastAsia="Palatino Linotype" w:hAnsi="Palatino Linotype" w:cs="Palatino Linotype"/>
        </w:rPr>
        <w:t>al</w:t>
      </w:r>
      <w:r w:rsidRPr="005F27AB">
        <w:rPr>
          <w:rFonts w:ascii="Palatino Linotype" w:eastAsia="Palatino Linotype" w:hAnsi="Palatino Linotype" w:cs="Palatino Linotype"/>
          <w:b/>
        </w:rPr>
        <w:t xml:space="preserve"> RECURRENTE </w:t>
      </w:r>
      <w:r w:rsidRPr="005F27AB">
        <w:rPr>
          <w:rFonts w:ascii="Palatino Linotype" w:eastAsia="Palatino Linotype" w:hAnsi="Palatino Linotype" w:cs="Palatino Linotype"/>
        </w:rPr>
        <w:t xml:space="preserve">manifestara lo que a su derecho conviniera, a efecto de presentar pruebas y alegatos; así como, para que </w:t>
      </w:r>
      <w:r w:rsidRPr="005F27AB">
        <w:rPr>
          <w:rFonts w:ascii="Palatino Linotype" w:eastAsia="Palatino Linotype" w:hAnsi="Palatino Linotype" w:cs="Palatino Linotype"/>
          <w:b/>
        </w:rPr>
        <w:t xml:space="preserve">EL SUJETO OBLIGADO </w:t>
      </w:r>
      <w:r w:rsidRPr="005F27AB">
        <w:rPr>
          <w:rFonts w:ascii="Palatino Linotype" w:eastAsia="Palatino Linotype" w:hAnsi="Palatino Linotype" w:cs="Palatino Linotype"/>
        </w:rPr>
        <w:t xml:space="preserve">rindiera el </w:t>
      </w:r>
      <w:r w:rsidRPr="005F27AB">
        <w:rPr>
          <w:rFonts w:ascii="Palatino Linotype" w:eastAsia="Palatino Linotype" w:hAnsi="Palatino Linotype" w:cs="Palatino Linotype"/>
        </w:rPr>
        <w:lastRenderedPageBreak/>
        <w:t>correspondiente</w:t>
      </w:r>
      <w:r w:rsidRPr="005F27AB">
        <w:rPr>
          <w:rFonts w:ascii="Palatino Linotype" w:eastAsia="Palatino Linotype" w:hAnsi="Palatino Linotype" w:cs="Palatino Linotype"/>
          <w:b/>
        </w:rPr>
        <w:t xml:space="preserve"> </w:t>
      </w:r>
      <w:r w:rsidRPr="005F27AB">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rsidR="00360186" w:rsidRPr="005F27AB" w:rsidRDefault="00360186" w:rsidP="005F27AB">
      <w:pPr>
        <w:tabs>
          <w:tab w:val="center" w:pos="4252"/>
          <w:tab w:val="right" w:pos="8504"/>
        </w:tabs>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rPr>
        <w:t>b) Informe Justificado</w:t>
      </w:r>
    </w:p>
    <w:p w:rsidR="00360186" w:rsidRPr="005F27AB" w:rsidRDefault="0068655E" w:rsidP="005F27AB">
      <w:pPr>
        <w:widowControl w:val="0"/>
        <w:tabs>
          <w:tab w:val="left" w:pos="0"/>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Conforme a las constancias que obran en el expediente del </w:t>
      </w:r>
      <w:r w:rsidRPr="005F27AB">
        <w:rPr>
          <w:rFonts w:ascii="Palatino Linotype" w:eastAsia="Palatino Linotype" w:hAnsi="Palatino Linotype" w:cs="Palatino Linotype"/>
          <w:b/>
        </w:rPr>
        <w:t>SAIMEX,</w:t>
      </w:r>
      <w:r w:rsidRPr="005F27AB">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5F27AB">
        <w:rPr>
          <w:rFonts w:ascii="Palatino Linotype" w:eastAsia="Palatino Linotype" w:hAnsi="Palatino Linotype" w:cs="Palatino Linotype"/>
          <w:b/>
        </w:rPr>
        <w:t>RECURRENTE</w:t>
      </w:r>
      <w:r w:rsidRPr="005F27AB">
        <w:rPr>
          <w:rFonts w:ascii="Palatino Linotype" w:eastAsia="Palatino Linotype" w:hAnsi="Palatino Linotype" w:cs="Palatino Linotype"/>
        </w:rPr>
        <w:t xml:space="preserve"> este no presentó alegatos que a su derecho convinieran. </w:t>
      </w:r>
    </w:p>
    <w:p w:rsidR="00360186" w:rsidRPr="005F27AB" w:rsidRDefault="00360186" w:rsidP="005F27AB">
      <w:pPr>
        <w:widowControl w:val="0"/>
        <w:tabs>
          <w:tab w:val="left" w:pos="0"/>
        </w:tabs>
        <w:spacing w:line="360" w:lineRule="auto"/>
        <w:jc w:val="both"/>
        <w:rPr>
          <w:rFonts w:ascii="Palatino Linotype" w:eastAsia="Palatino Linotype" w:hAnsi="Palatino Linotype" w:cs="Palatino Linotype"/>
        </w:rPr>
      </w:pPr>
    </w:p>
    <w:p w:rsidR="00360186" w:rsidRPr="005F27AB" w:rsidRDefault="0068655E" w:rsidP="005F27AB">
      <w:pPr>
        <w:widowControl w:val="0"/>
        <w:tabs>
          <w:tab w:val="left" w:pos="0"/>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su parte,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remitió dos archivos. El primero denominado </w:t>
      </w:r>
      <w:r w:rsidRPr="005F27AB">
        <w:rPr>
          <w:rFonts w:ascii="Palatino Linotype" w:eastAsia="Palatino Linotype" w:hAnsi="Palatino Linotype" w:cs="Palatino Linotype"/>
          <w:i/>
        </w:rPr>
        <w:t xml:space="preserve">Resp. Sol 386 </w:t>
      </w:r>
      <w:r w:rsidR="006363D5" w:rsidRPr="005F27AB">
        <w:rPr>
          <w:rFonts w:ascii="Palatino Linotype" w:eastAsia="Palatino Linotype" w:hAnsi="Palatino Linotype" w:cs="Palatino Linotype"/>
          <w:i/>
        </w:rPr>
        <w:t>Sría.pdf mediante</w:t>
      </w:r>
      <w:r w:rsidRPr="005F27AB">
        <w:rPr>
          <w:rFonts w:ascii="Palatino Linotype" w:eastAsia="Palatino Linotype" w:hAnsi="Palatino Linotype" w:cs="Palatino Linotype"/>
        </w:rPr>
        <w:t xml:space="preserve"> el cual, el Servidor Público Habilitado de la Secretaría del Ayuntamiento refiere el cambio de modalidad de la información solicitada, toda vez que el peso de la misma es mayor al permitido por la plataforma del SAIMEX. </w:t>
      </w:r>
    </w:p>
    <w:p w:rsidR="00360186" w:rsidRPr="005F27AB" w:rsidRDefault="00360186" w:rsidP="005F27AB">
      <w:pPr>
        <w:widowControl w:val="0"/>
        <w:tabs>
          <w:tab w:val="left" w:pos="0"/>
        </w:tabs>
        <w:spacing w:line="360" w:lineRule="auto"/>
        <w:jc w:val="both"/>
        <w:rPr>
          <w:rFonts w:ascii="Palatino Linotype" w:eastAsia="Palatino Linotype" w:hAnsi="Palatino Linotype" w:cs="Palatino Linotype"/>
        </w:rPr>
      </w:pPr>
    </w:p>
    <w:p w:rsidR="00360186" w:rsidRPr="005F27AB" w:rsidRDefault="0068655E" w:rsidP="005F27AB">
      <w:pPr>
        <w:widowControl w:val="0"/>
        <w:tabs>
          <w:tab w:val="left" w:pos="0"/>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El segundo documento solicitante sol. 386.pdf, contiene la respuesta de la Encarga de despacho de la Unidad de Transparencia quien señala haber cometido un error en la respuesta primigenia y anexar el documento correcto. </w:t>
      </w:r>
    </w:p>
    <w:p w:rsidR="00360186" w:rsidRPr="005F27AB" w:rsidRDefault="00360186" w:rsidP="005F27AB">
      <w:pPr>
        <w:widowControl w:val="0"/>
        <w:tabs>
          <w:tab w:val="left" w:pos="0"/>
        </w:tabs>
        <w:spacing w:line="360" w:lineRule="auto"/>
        <w:jc w:val="both"/>
        <w:rPr>
          <w:rFonts w:ascii="Palatino Linotype" w:eastAsia="Palatino Linotype" w:hAnsi="Palatino Linotype" w:cs="Palatino Linotype"/>
        </w:rPr>
      </w:pPr>
    </w:p>
    <w:p w:rsidR="008B16E5" w:rsidRPr="005F27AB" w:rsidRDefault="008B16E5" w:rsidP="005F27AB">
      <w:pPr>
        <w:widowControl w:val="0"/>
        <w:tabs>
          <w:tab w:val="left" w:pos="0"/>
        </w:tabs>
        <w:spacing w:line="360" w:lineRule="auto"/>
        <w:jc w:val="both"/>
        <w:rPr>
          <w:rFonts w:ascii="Palatino Linotype" w:eastAsia="Palatino Linotype" w:hAnsi="Palatino Linotype" w:cs="Palatino Linotype"/>
        </w:rPr>
      </w:pPr>
    </w:p>
    <w:p w:rsidR="008B16E5" w:rsidRPr="005F27AB" w:rsidRDefault="008B16E5" w:rsidP="005F27AB">
      <w:pPr>
        <w:widowControl w:val="0"/>
        <w:tabs>
          <w:tab w:val="left" w:pos="0"/>
        </w:tabs>
        <w:spacing w:line="360" w:lineRule="auto"/>
        <w:jc w:val="both"/>
        <w:rPr>
          <w:rFonts w:ascii="Palatino Linotype" w:eastAsia="Palatino Linotype" w:hAnsi="Palatino Linotype" w:cs="Palatino Linotype"/>
        </w:rPr>
      </w:pPr>
    </w:p>
    <w:p w:rsidR="00360186" w:rsidRPr="005F27AB" w:rsidRDefault="0068655E" w:rsidP="005F27AB">
      <w:pPr>
        <w:widowControl w:val="0"/>
        <w:tabs>
          <w:tab w:val="left" w:pos="0"/>
        </w:tabs>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rPr>
        <w:lastRenderedPageBreak/>
        <w:t xml:space="preserve">c) De la ampliación </w:t>
      </w:r>
    </w:p>
    <w:p w:rsidR="00360186" w:rsidRPr="005F27AB" w:rsidRDefault="0068655E" w:rsidP="005F27AB">
      <w:pPr>
        <w:spacing w:line="360" w:lineRule="auto"/>
        <w:jc w:val="both"/>
        <w:rPr>
          <w:rFonts w:ascii="Palatino Linotype" w:eastAsia="Palatino Linotype" w:hAnsi="Palatino Linotype" w:cs="Palatino Linotype"/>
        </w:rPr>
      </w:pPr>
      <w:bookmarkStart w:id="3" w:name="_heading=h.1fob9te" w:colFirst="0" w:colLast="0"/>
      <w:bookmarkEnd w:id="3"/>
      <w:r w:rsidRPr="005F27AB">
        <w:rPr>
          <w:rFonts w:ascii="Palatino Linotype" w:eastAsia="Palatino Linotype" w:hAnsi="Palatino Linotype" w:cs="Palatino Linotype"/>
        </w:rPr>
        <w:t xml:space="preserve">El </w:t>
      </w:r>
      <w:r w:rsidRPr="005F27AB">
        <w:rPr>
          <w:rFonts w:ascii="Palatino Linotype" w:eastAsia="Palatino Linotype" w:hAnsi="Palatino Linotype" w:cs="Palatino Linotype"/>
          <w:b/>
        </w:rPr>
        <w:t>ocho de noviembre de dos mil veintidós</w:t>
      </w:r>
      <w:r w:rsidRPr="005F27AB">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360186" w:rsidRPr="005F27AB" w:rsidRDefault="00360186" w:rsidP="005F27AB">
      <w:pPr>
        <w:spacing w:line="360" w:lineRule="auto"/>
        <w:jc w:val="both"/>
        <w:rPr>
          <w:rFonts w:ascii="Palatino Linotype" w:eastAsia="Palatino Linotype" w:hAnsi="Palatino Linotype" w:cs="Palatino Linotype"/>
        </w:rPr>
      </w:pPr>
      <w:bookmarkStart w:id="4" w:name="_heading=h.vk1hlboevp3r" w:colFirst="0" w:colLast="0"/>
      <w:bookmarkEnd w:id="4"/>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ello, es menester precisar </w:t>
      </w:r>
      <w:r w:rsidR="006363D5" w:rsidRPr="005F27AB">
        <w:rPr>
          <w:rFonts w:ascii="Palatino Linotype" w:eastAsia="Palatino Linotype" w:hAnsi="Palatino Linotype" w:cs="Palatino Linotype"/>
        </w:rPr>
        <w:t>que,</w:t>
      </w:r>
      <w:r w:rsidRPr="005F27AB">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ind w:left="720"/>
        <w:jc w:val="both"/>
        <w:rPr>
          <w:rFonts w:ascii="Palatino Linotype" w:eastAsia="Palatino Linotype" w:hAnsi="Palatino Linotype" w:cs="Palatino Linotype"/>
        </w:rPr>
      </w:pPr>
      <w:r w:rsidRPr="005F27AB">
        <w:rPr>
          <w:rFonts w:ascii="Palatino Linotype" w:eastAsia="Palatino Linotype" w:hAnsi="Palatino Linotype" w:cs="Palatino Linotype"/>
          <w:b/>
        </w:rPr>
        <w:t>a)</w:t>
      </w:r>
      <w:r w:rsidRPr="005F27AB">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rsidR="00360186" w:rsidRPr="005F27AB" w:rsidRDefault="0068655E" w:rsidP="005F27AB">
      <w:pPr>
        <w:spacing w:line="360" w:lineRule="auto"/>
        <w:ind w:left="720"/>
        <w:jc w:val="both"/>
        <w:rPr>
          <w:rFonts w:ascii="Palatino Linotype" w:eastAsia="Palatino Linotype" w:hAnsi="Palatino Linotype" w:cs="Palatino Linotype"/>
        </w:rPr>
      </w:pPr>
      <w:r w:rsidRPr="005F27AB">
        <w:rPr>
          <w:rFonts w:ascii="Palatino Linotype" w:eastAsia="Palatino Linotype" w:hAnsi="Palatino Linotype" w:cs="Palatino Linotype"/>
          <w:b/>
        </w:rPr>
        <w:t>b)</w:t>
      </w:r>
      <w:r w:rsidRPr="005F27AB">
        <w:rPr>
          <w:rFonts w:ascii="Palatino Linotype" w:eastAsia="Palatino Linotype" w:hAnsi="Palatino Linotype" w:cs="Palatino Linotype"/>
        </w:rPr>
        <w:t xml:space="preserve"> Actividad Procesal del interesado: Acciones u omisiones del interesado.</w:t>
      </w:r>
    </w:p>
    <w:p w:rsidR="00360186" w:rsidRPr="005F27AB" w:rsidRDefault="0068655E" w:rsidP="005F27AB">
      <w:pPr>
        <w:spacing w:line="360" w:lineRule="auto"/>
        <w:ind w:left="720"/>
        <w:jc w:val="both"/>
        <w:rPr>
          <w:rFonts w:ascii="Palatino Linotype" w:eastAsia="Palatino Linotype" w:hAnsi="Palatino Linotype" w:cs="Palatino Linotype"/>
        </w:rPr>
      </w:pPr>
      <w:r w:rsidRPr="005F27AB">
        <w:rPr>
          <w:rFonts w:ascii="Palatino Linotype" w:eastAsia="Palatino Linotype" w:hAnsi="Palatino Linotype" w:cs="Palatino Linotype"/>
          <w:b/>
        </w:rPr>
        <w:t>c)</w:t>
      </w:r>
      <w:r w:rsidRPr="005F27AB">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rsidR="00360186" w:rsidRPr="005F27AB" w:rsidRDefault="0068655E" w:rsidP="005F27AB">
      <w:pPr>
        <w:spacing w:line="360" w:lineRule="auto"/>
        <w:ind w:left="720"/>
        <w:jc w:val="both"/>
        <w:rPr>
          <w:rFonts w:ascii="Palatino Linotype" w:eastAsia="Palatino Linotype" w:hAnsi="Palatino Linotype" w:cs="Palatino Linotype"/>
        </w:rPr>
      </w:pPr>
      <w:r w:rsidRPr="005F27AB">
        <w:rPr>
          <w:rFonts w:ascii="Palatino Linotype" w:eastAsia="Palatino Linotype" w:hAnsi="Palatino Linotype" w:cs="Palatino Linotype"/>
          <w:b/>
        </w:rPr>
        <w:t>d)</w:t>
      </w:r>
      <w:r w:rsidRPr="005F27AB">
        <w:rPr>
          <w:rFonts w:ascii="Palatino Linotype" w:eastAsia="Palatino Linotype" w:hAnsi="Palatino Linotype" w:cs="Palatino Linotype"/>
        </w:rPr>
        <w:t xml:space="preserve"> La afectación generada en la situación jurídica de la persona involucrada en el proceso: Violación a sus derechos humanos.</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Argumento que encuentra sustento en la jurisprudencia P./J. 32/92 emitida por el Pleno de la Suprema Corte de Justicia de la Nación de rubro “</w:t>
      </w:r>
      <w:r w:rsidRPr="005F27A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F27AB">
        <w:rPr>
          <w:rFonts w:ascii="Palatino Linotype" w:eastAsia="Palatino Linotype" w:hAnsi="Palatino Linotype" w:cs="Palatino Linotype"/>
        </w:rPr>
        <w:t>, visible en la Gaceta del Seminario Judicial de la Federación con el registro digital 205635.</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5F27AB">
        <w:rPr>
          <w:rFonts w:ascii="Palatino Linotype" w:eastAsia="Palatino Linotype" w:hAnsi="Palatino Linotype" w:cs="Palatino Linotype"/>
        </w:rPr>
        <w:lastRenderedPageBreak/>
        <w:t>términos legales previamente establecidos por la Ley, por tratarse de causas de fuerza mayor.</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i/>
        </w:rPr>
        <w:t>“PLAZO RAZONABLE PARA RESOLVER. DIMENSIÓN Y EFECTOS DE ESTE CONCEPTO CUANDO SE ADUCE EXCESIVA CARGA DE TRABAJO.”</w:t>
      </w:r>
      <w:r w:rsidRPr="005F27AB">
        <w:rPr>
          <w:rFonts w:ascii="Palatino Linotype" w:eastAsia="Palatino Linotype" w:hAnsi="Palatino Linotype" w:cs="Palatino Linotype"/>
        </w:rPr>
        <w:t xml:space="preserve"> consultable en el Seminario Judicial de la Federación y su gaceta, con el registro digital 2002351.</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i/>
        </w:rPr>
        <w:t>“PLAZO RAZONABLE PARA RESOLVER. CONCEPTO Y ELEMENTOS QUE LO INTEGRAN A LA LUZ DEL DERECHO INTERNACIONAL DE LOS DERECHOS HUMANOS.”</w:t>
      </w:r>
      <w:r w:rsidRPr="005F27AB">
        <w:rPr>
          <w:rFonts w:ascii="Palatino Linotype" w:eastAsia="Palatino Linotype" w:hAnsi="Palatino Linotype" w:cs="Palatino Linotype"/>
        </w:rPr>
        <w:t>, visible en el Seminario Judicial de la Federación y su gaceta, con el registro digital 2002350.</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360186" w:rsidRPr="005F27AB" w:rsidRDefault="00360186" w:rsidP="005F27AB">
      <w:pPr>
        <w:spacing w:line="360" w:lineRule="auto"/>
        <w:jc w:val="both"/>
        <w:rPr>
          <w:rFonts w:ascii="Palatino Linotype" w:eastAsia="Palatino Linotype" w:hAnsi="Palatino Linotype" w:cs="Palatino Linotype"/>
        </w:rPr>
      </w:pPr>
    </w:p>
    <w:p w:rsidR="008B16E5" w:rsidRPr="005F27AB" w:rsidRDefault="008B16E5" w:rsidP="005F27AB">
      <w:pPr>
        <w:spacing w:line="360" w:lineRule="auto"/>
        <w:jc w:val="both"/>
        <w:rPr>
          <w:rFonts w:ascii="Palatino Linotype" w:eastAsia="Palatino Linotype" w:hAnsi="Palatino Linotype" w:cs="Palatino Linotype"/>
        </w:rPr>
      </w:pPr>
    </w:p>
    <w:p w:rsidR="008B16E5" w:rsidRPr="005F27AB" w:rsidRDefault="008B16E5"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rPr>
        <w:lastRenderedPageBreak/>
        <w:t>d) Cierre de Instrucción</w:t>
      </w: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lo que, una vez analizado el estado procesal que guarda el expediente, el </w:t>
      </w:r>
      <w:r w:rsidR="008B16E5" w:rsidRPr="005F27AB">
        <w:rPr>
          <w:rFonts w:ascii="Palatino Linotype" w:eastAsia="Palatino Linotype" w:hAnsi="Palatino Linotype" w:cs="Palatino Linotype"/>
          <w:b/>
        </w:rPr>
        <w:t>dos</w:t>
      </w:r>
      <w:r w:rsidRPr="005F27AB">
        <w:rPr>
          <w:rFonts w:ascii="Palatino Linotype" w:eastAsia="Palatino Linotype" w:hAnsi="Palatino Linotype" w:cs="Palatino Linotype"/>
          <w:b/>
        </w:rPr>
        <w:t xml:space="preserve"> de febrero de dos mil veintitrés </w:t>
      </w:r>
      <w:r w:rsidRPr="005F27AB">
        <w:rPr>
          <w:rFonts w:ascii="Palatino Linotype" w:eastAsia="Palatino Linotype" w:hAnsi="Palatino Linotype" w:cs="Palatino Linotype"/>
        </w:rPr>
        <w:t xml:space="preserve">la </w:t>
      </w:r>
      <w:r w:rsidRPr="005F27AB">
        <w:rPr>
          <w:rFonts w:ascii="Palatino Linotype" w:eastAsia="Palatino Linotype" w:hAnsi="Palatino Linotype" w:cs="Palatino Linotype"/>
          <w:b/>
        </w:rPr>
        <w:t xml:space="preserve">Comisionada Sharon Cristina Morales Martínez </w:t>
      </w:r>
      <w:r w:rsidRPr="005F27AB">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360186" w:rsidRPr="005F27AB" w:rsidRDefault="00360186" w:rsidP="005F27AB">
      <w:pPr>
        <w:rPr>
          <w:rFonts w:ascii="Palatino Linotype" w:eastAsia="Palatino Linotype" w:hAnsi="Palatino Linotype" w:cs="Palatino Linotype"/>
          <w:b/>
          <w:sz w:val="28"/>
          <w:szCs w:val="28"/>
        </w:rPr>
      </w:pPr>
    </w:p>
    <w:p w:rsidR="00360186" w:rsidRPr="005F27AB" w:rsidRDefault="00360186" w:rsidP="005F27AB">
      <w:pPr>
        <w:jc w:val="center"/>
        <w:rPr>
          <w:rFonts w:ascii="Palatino Linotype" w:eastAsia="Palatino Linotype" w:hAnsi="Palatino Linotype" w:cs="Palatino Linotype"/>
          <w:b/>
          <w:sz w:val="28"/>
          <w:szCs w:val="28"/>
        </w:rPr>
      </w:pPr>
    </w:p>
    <w:p w:rsidR="00360186" w:rsidRPr="005F27AB" w:rsidRDefault="0068655E" w:rsidP="005F27AB">
      <w:pPr>
        <w:jc w:val="center"/>
        <w:rPr>
          <w:rFonts w:ascii="Palatino Linotype" w:eastAsia="Palatino Linotype" w:hAnsi="Palatino Linotype" w:cs="Palatino Linotype"/>
          <w:b/>
          <w:sz w:val="28"/>
          <w:szCs w:val="28"/>
        </w:rPr>
      </w:pPr>
      <w:r w:rsidRPr="005F27AB">
        <w:rPr>
          <w:rFonts w:ascii="Palatino Linotype" w:eastAsia="Palatino Linotype" w:hAnsi="Palatino Linotype" w:cs="Palatino Linotype"/>
          <w:b/>
          <w:sz w:val="28"/>
          <w:szCs w:val="28"/>
        </w:rPr>
        <w:t>CONSIDERANDO</w:t>
      </w:r>
    </w:p>
    <w:p w:rsidR="00360186" w:rsidRPr="005F27AB" w:rsidRDefault="00360186" w:rsidP="005F27AB">
      <w:pPr>
        <w:jc w:val="center"/>
        <w:rPr>
          <w:rFonts w:ascii="Palatino Linotype" w:eastAsia="Palatino Linotype" w:hAnsi="Palatino Linotype" w:cs="Palatino Linotype"/>
          <w:b/>
          <w:sz w:val="28"/>
          <w:szCs w:val="28"/>
        </w:rPr>
      </w:pPr>
    </w:p>
    <w:p w:rsidR="00360186" w:rsidRPr="005F27AB" w:rsidRDefault="0068655E" w:rsidP="005F27AB">
      <w:pPr>
        <w:widowControl w:val="0"/>
        <w:tabs>
          <w:tab w:val="left" w:pos="1701"/>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b/>
          <w:sz w:val="28"/>
          <w:szCs w:val="28"/>
        </w:rPr>
        <w:t>PRIMERO.</w:t>
      </w:r>
      <w:r w:rsidRPr="005F27AB">
        <w:rPr>
          <w:rFonts w:ascii="Palatino Linotype" w:eastAsia="Palatino Linotype" w:hAnsi="Palatino Linotype" w:cs="Palatino Linotype"/>
          <w:b/>
        </w:rPr>
        <w:t xml:space="preserve"> Competencia</w:t>
      </w:r>
      <w:r w:rsidRPr="005F27AB">
        <w:rPr>
          <w:rFonts w:ascii="Palatino Linotype" w:eastAsia="Palatino Linotype" w:hAnsi="Palatino Linotype" w:cs="Palatino Linotype"/>
        </w:rPr>
        <w:t>.</w:t>
      </w:r>
      <w:r w:rsidRPr="005F27AB">
        <w:rPr>
          <w:rFonts w:ascii="Palatino Linotype" w:eastAsia="Palatino Linotype" w:hAnsi="Palatino Linotype" w:cs="Palatino Linotype"/>
          <w:b/>
        </w:rPr>
        <w:t xml:space="preserve"> </w:t>
      </w:r>
    </w:p>
    <w:p w:rsidR="00360186" w:rsidRPr="005F27AB" w:rsidRDefault="0068655E" w:rsidP="005F27AB">
      <w:pPr>
        <w:widowControl w:val="0"/>
        <w:tabs>
          <w:tab w:val="left" w:pos="1701"/>
        </w:tabs>
        <w:spacing w:line="360" w:lineRule="auto"/>
        <w:jc w:val="both"/>
        <w:rPr>
          <w:rFonts w:ascii="Palatino Linotype" w:eastAsia="Palatino Linotype" w:hAnsi="Palatino Linotype" w:cs="Palatino Linotype"/>
        </w:rPr>
      </w:pPr>
      <w:bookmarkStart w:id="5" w:name="_heading=h.3znysh7" w:colFirst="0" w:colLast="0"/>
      <w:bookmarkEnd w:id="5"/>
      <w:r w:rsidRPr="005F27A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360186" w:rsidRPr="005F27AB" w:rsidRDefault="00360186" w:rsidP="005F27AB">
      <w:pPr>
        <w:spacing w:line="360" w:lineRule="auto"/>
        <w:jc w:val="both"/>
        <w:rPr>
          <w:rFonts w:ascii="Palatino Linotype" w:eastAsia="Palatino Linotype" w:hAnsi="Palatino Linotype" w:cs="Palatino Linotype"/>
          <w:b/>
          <w:sz w:val="28"/>
          <w:szCs w:val="28"/>
        </w:rPr>
      </w:pPr>
    </w:p>
    <w:p w:rsidR="006363D5" w:rsidRPr="005F27AB" w:rsidRDefault="006363D5" w:rsidP="005F27AB">
      <w:pPr>
        <w:spacing w:line="360" w:lineRule="auto"/>
        <w:jc w:val="both"/>
        <w:rPr>
          <w:rFonts w:ascii="Palatino Linotype" w:eastAsia="Palatino Linotype" w:hAnsi="Palatino Linotype" w:cs="Palatino Linotype"/>
          <w:b/>
          <w:sz w:val="28"/>
          <w:szCs w:val="28"/>
        </w:rPr>
      </w:pPr>
    </w:p>
    <w:p w:rsidR="00360186" w:rsidRPr="005F27AB" w:rsidRDefault="0068655E" w:rsidP="005F27AB">
      <w:pPr>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sz w:val="28"/>
          <w:szCs w:val="28"/>
        </w:rPr>
        <w:lastRenderedPageBreak/>
        <w:t>SEGUNDO</w:t>
      </w:r>
      <w:r w:rsidRPr="005F27AB">
        <w:rPr>
          <w:rFonts w:ascii="Palatino Linotype" w:eastAsia="Palatino Linotype" w:hAnsi="Palatino Linotype" w:cs="Palatino Linotype"/>
          <w:b/>
        </w:rPr>
        <w:t xml:space="preserve">. Interés. </w:t>
      </w:r>
    </w:p>
    <w:p w:rsidR="00360186" w:rsidRPr="005F27AB" w:rsidRDefault="0068655E" w:rsidP="005F27AB">
      <w:pPr>
        <w:spacing w:line="360" w:lineRule="auto"/>
        <w:jc w:val="both"/>
        <w:rPr>
          <w:rFonts w:ascii="Palatino Linotype" w:eastAsia="Palatino Linotype" w:hAnsi="Palatino Linotype" w:cs="Palatino Linotype"/>
          <w:b/>
          <w:color w:val="000000"/>
        </w:rPr>
      </w:pPr>
      <w:r w:rsidRPr="005F27AB">
        <w:rPr>
          <w:rFonts w:ascii="Palatino Linotype" w:eastAsia="Palatino Linotype" w:hAnsi="Palatino Linotype" w:cs="Palatino Linotype"/>
        </w:rPr>
        <w:t>El</w:t>
      </w:r>
      <w:r w:rsidRPr="005F27AB">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5F27AB">
        <w:rPr>
          <w:rFonts w:ascii="Palatino Linotype" w:eastAsia="Palatino Linotype" w:hAnsi="Palatino Linotype" w:cs="Palatino Linotype"/>
          <w:b/>
        </w:rPr>
        <w:t>EL</w:t>
      </w:r>
      <w:r w:rsidRPr="005F27AB">
        <w:rPr>
          <w:rFonts w:ascii="Palatino Linotype" w:eastAsia="Palatino Linotype" w:hAnsi="Palatino Linotype" w:cs="Palatino Linotype"/>
          <w:b/>
          <w:color w:val="000000"/>
        </w:rPr>
        <w:t xml:space="preserve"> RECURRENTE,</w:t>
      </w:r>
      <w:r w:rsidRPr="005F27AB">
        <w:rPr>
          <w:rFonts w:ascii="Palatino Linotype" w:eastAsia="Palatino Linotype" w:hAnsi="Palatino Linotype" w:cs="Palatino Linotype"/>
          <w:color w:val="000000"/>
        </w:rPr>
        <w:t xml:space="preserve"> quien es la misma persona que formuló la solicitud de acceso a la información pública al </w:t>
      </w:r>
      <w:r w:rsidRPr="005F27AB">
        <w:rPr>
          <w:rFonts w:ascii="Palatino Linotype" w:eastAsia="Palatino Linotype" w:hAnsi="Palatino Linotype" w:cs="Palatino Linotype"/>
          <w:b/>
          <w:color w:val="000000"/>
        </w:rPr>
        <w:t xml:space="preserve">SUJETO OBLIGADO, </w:t>
      </w:r>
      <w:r w:rsidRPr="005F27AB">
        <w:rPr>
          <w:rFonts w:ascii="Palatino Linotype" w:eastAsia="Palatino Linotype" w:hAnsi="Palatino Linotype" w:cs="Palatino Linotype"/>
          <w:color w:val="000000"/>
        </w:rPr>
        <w:t xml:space="preserve">pues para ello, es necesario que el particular ingrese al </w:t>
      </w:r>
      <w:r w:rsidRPr="005F27AB">
        <w:rPr>
          <w:rFonts w:ascii="Palatino Linotype" w:eastAsia="Palatino Linotype" w:hAnsi="Palatino Linotype" w:cs="Palatino Linotype"/>
          <w:b/>
          <w:color w:val="000000"/>
        </w:rPr>
        <w:t xml:space="preserve">SAIMEX </w:t>
      </w:r>
      <w:r w:rsidRPr="005F27AB">
        <w:rPr>
          <w:rFonts w:ascii="Palatino Linotype" w:eastAsia="Palatino Linotype" w:hAnsi="Palatino Linotype" w:cs="Palatino Linotype"/>
          <w:color w:val="000000"/>
        </w:rPr>
        <w:t>mediante la utilización de su clave de usuario y contraseña.</w:t>
      </w:r>
    </w:p>
    <w:p w:rsidR="00360186" w:rsidRPr="005F27AB" w:rsidRDefault="00360186" w:rsidP="005F27AB">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360186" w:rsidRPr="005F27AB" w:rsidRDefault="0068655E" w:rsidP="005F27AB">
      <w:pPr>
        <w:tabs>
          <w:tab w:val="center" w:pos="4252"/>
          <w:tab w:val="right" w:pos="8504"/>
        </w:tabs>
        <w:spacing w:line="360" w:lineRule="auto"/>
        <w:ind w:left="-57"/>
        <w:jc w:val="both"/>
        <w:rPr>
          <w:rFonts w:ascii="Palatino Linotype" w:eastAsia="Palatino Linotype" w:hAnsi="Palatino Linotype" w:cs="Palatino Linotype"/>
          <w:color w:val="000000"/>
        </w:rPr>
      </w:pPr>
      <w:r w:rsidRPr="005F27AB">
        <w:rPr>
          <w:rFonts w:ascii="Palatino Linotype" w:eastAsia="Palatino Linotype" w:hAnsi="Palatino Linotype" w:cs="Palatino Linotype"/>
          <w:b/>
          <w:sz w:val="28"/>
          <w:szCs w:val="28"/>
        </w:rPr>
        <w:t>TERCERO.</w:t>
      </w:r>
      <w:r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b/>
          <w:color w:val="000000"/>
        </w:rPr>
        <w:t>Oportunidad</w:t>
      </w:r>
      <w:r w:rsidRPr="005F27AB">
        <w:rPr>
          <w:rFonts w:ascii="Palatino Linotype" w:eastAsia="Palatino Linotype" w:hAnsi="Palatino Linotype" w:cs="Palatino Linotype"/>
          <w:color w:val="000000"/>
        </w:rPr>
        <w:t xml:space="preserve">. </w:t>
      </w:r>
    </w:p>
    <w:p w:rsidR="00360186" w:rsidRPr="005F27AB" w:rsidRDefault="0068655E" w:rsidP="005F27AB">
      <w:pPr>
        <w:widowControl w:val="0"/>
        <w:tabs>
          <w:tab w:val="left" w:pos="1701"/>
        </w:tabs>
        <w:spacing w:line="360" w:lineRule="auto"/>
        <w:ind w:right="49"/>
        <w:jc w:val="both"/>
        <w:rPr>
          <w:rFonts w:ascii="Palatino Linotype" w:eastAsia="Palatino Linotype" w:hAnsi="Palatino Linotype" w:cs="Palatino Linotype"/>
          <w:b/>
        </w:rPr>
      </w:pPr>
      <w:r w:rsidRPr="005F27AB">
        <w:rPr>
          <w:rFonts w:ascii="Palatino Linotype" w:eastAsia="Palatino Linotype" w:hAnsi="Palatino Linotype" w:cs="Palatino Linotype"/>
        </w:rPr>
        <w:t xml:space="preserve">El Recurso de Revisión fue interpuesto dentro del plazo de quince días hábiles, contados a partir del día siguiente al que </w:t>
      </w:r>
      <w:r w:rsidRPr="005F27AB">
        <w:rPr>
          <w:rFonts w:ascii="Palatino Linotype" w:eastAsia="Palatino Linotype" w:hAnsi="Palatino Linotype" w:cs="Palatino Linotype"/>
          <w:b/>
        </w:rPr>
        <w:t xml:space="preserve">EL RECURRENTE </w:t>
      </w:r>
      <w:r w:rsidRPr="005F27AB">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rsidR="00360186" w:rsidRPr="005F27AB" w:rsidRDefault="00360186" w:rsidP="005F27AB">
      <w:pPr>
        <w:ind w:left="720" w:right="709"/>
        <w:jc w:val="both"/>
        <w:rPr>
          <w:rFonts w:ascii="Palatino Linotype" w:eastAsia="Palatino Linotype" w:hAnsi="Palatino Linotype" w:cs="Palatino Linotype"/>
          <w:i/>
          <w:sz w:val="22"/>
          <w:szCs w:val="22"/>
        </w:rPr>
      </w:pP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Artículo 178.</w:t>
      </w:r>
      <w:r w:rsidRPr="005F27A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60186" w:rsidRPr="005F27AB" w:rsidRDefault="00360186" w:rsidP="005F27AB">
      <w:pPr>
        <w:ind w:left="851" w:right="899"/>
        <w:jc w:val="both"/>
        <w:rPr>
          <w:rFonts w:ascii="Palatino Linotype" w:eastAsia="Palatino Linotype" w:hAnsi="Palatino Linotype" w:cs="Palatino Linotype"/>
          <w:i/>
          <w:sz w:val="22"/>
          <w:szCs w:val="22"/>
        </w:rPr>
      </w:pP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60186" w:rsidRPr="005F27AB" w:rsidRDefault="00360186" w:rsidP="005F27AB">
      <w:pPr>
        <w:ind w:left="851" w:right="899"/>
        <w:jc w:val="both"/>
        <w:rPr>
          <w:rFonts w:ascii="Palatino Linotype" w:eastAsia="Palatino Linotype" w:hAnsi="Palatino Linotype" w:cs="Palatino Linotype"/>
          <w:i/>
          <w:sz w:val="22"/>
          <w:szCs w:val="22"/>
        </w:rPr>
      </w:pP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360186" w:rsidRPr="005F27AB" w:rsidRDefault="00360186" w:rsidP="005F27AB">
      <w:pPr>
        <w:ind w:left="720" w:right="709"/>
        <w:jc w:val="both"/>
        <w:rPr>
          <w:rFonts w:ascii="Palatino Linotype" w:eastAsia="Palatino Linotype" w:hAnsi="Palatino Linotype" w:cs="Palatino Linotype"/>
          <w:i/>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bookmarkStart w:id="6" w:name="_heading=h.2et92p0" w:colFirst="0" w:colLast="0"/>
      <w:bookmarkEnd w:id="6"/>
      <w:r w:rsidRPr="005F27AB">
        <w:rPr>
          <w:rFonts w:ascii="Palatino Linotype" w:eastAsia="Palatino Linotype" w:hAnsi="Palatino Linotype" w:cs="Palatino Linotype"/>
        </w:rPr>
        <w:lastRenderedPageBreak/>
        <w:t xml:space="preserve">En esa tesitura, atendiendo a que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notificó la respuesta a la solicitud de acceso a la información pública el día</w:t>
      </w:r>
      <w:r w:rsidRPr="005F27AB">
        <w:rPr>
          <w:rFonts w:ascii="Palatino Linotype" w:eastAsia="Palatino Linotype" w:hAnsi="Palatino Linotype" w:cs="Palatino Linotype"/>
          <w:b/>
        </w:rPr>
        <w:t xml:space="preserve"> catorce de septiembre de dos mil veintidós</w:t>
      </w:r>
      <w:r w:rsidRPr="005F27AB">
        <w:rPr>
          <w:rFonts w:ascii="Palatino Linotype" w:eastAsia="Palatino Linotype" w:hAnsi="Palatino Linotype" w:cs="Palatino Linotype"/>
        </w:rPr>
        <w:t>, así el plazo de quince días hábiles que el artículo 178 de la Ley de la materia otorga al</w:t>
      </w:r>
      <w:r w:rsidRPr="005F27AB">
        <w:rPr>
          <w:rFonts w:ascii="Palatino Linotype" w:eastAsia="Palatino Linotype" w:hAnsi="Palatino Linotype" w:cs="Palatino Linotype"/>
          <w:b/>
        </w:rPr>
        <w:t xml:space="preserve"> RECURRENTE</w:t>
      </w:r>
      <w:r w:rsidRPr="005F27AB">
        <w:rPr>
          <w:rFonts w:ascii="Palatino Linotype" w:eastAsia="Palatino Linotype" w:hAnsi="Palatino Linotype" w:cs="Palatino Linotype"/>
        </w:rPr>
        <w:t xml:space="preserve"> para presentar el respectivo Recurso de Revisión, transcurrió del</w:t>
      </w:r>
      <w:r w:rsidRPr="005F27AB">
        <w:rPr>
          <w:rFonts w:ascii="Palatino Linotype" w:eastAsia="Palatino Linotype" w:hAnsi="Palatino Linotype" w:cs="Palatino Linotype"/>
          <w:b/>
        </w:rPr>
        <w:t xml:space="preserve"> quince de septiembre al seis de octubre de dos mil veintidós, </w:t>
      </w:r>
      <w:r w:rsidRPr="005F27AB">
        <w:rPr>
          <w:rFonts w:ascii="Palatino Linotype" w:eastAsia="Palatino Linotype" w:hAnsi="Palatino Linotype" w:cs="Palatino Linotype"/>
        </w:rPr>
        <w:t xml:space="preserve">sin contemplar en el cómputo los días diecisiete, dieciocho, </w:t>
      </w:r>
      <w:r w:rsidR="006363D5" w:rsidRPr="005F27AB">
        <w:rPr>
          <w:rFonts w:ascii="Palatino Linotype" w:eastAsia="Palatino Linotype" w:hAnsi="Palatino Linotype" w:cs="Palatino Linotype"/>
        </w:rPr>
        <w:t>veinticuatro</w:t>
      </w:r>
      <w:r w:rsidRPr="005F27AB">
        <w:rPr>
          <w:rFonts w:ascii="Palatino Linotype" w:eastAsia="Palatino Linotype" w:hAnsi="Palatino Linotype" w:cs="Palatino Linotype"/>
        </w:rPr>
        <w:t xml:space="preserve">, veinticinco de septiembre, </w:t>
      </w:r>
      <w:r w:rsidR="006363D5" w:rsidRPr="005F27AB">
        <w:rPr>
          <w:rFonts w:ascii="Palatino Linotype" w:eastAsia="Palatino Linotype" w:hAnsi="Palatino Linotype" w:cs="Palatino Linotype"/>
        </w:rPr>
        <w:t>así</w:t>
      </w:r>
      <w:r w:rsidRPr="005F27AB">
        <w:rPr>
          <w:rFonts w:ascii="Palatino Linotype" w:eastAsia="Palatino Linotype" w:hAnsi="Palatino Linotype" w:cs="Palatino Linotype"/>
        </w:rPr>
        <w:t xml:space="preserve"> como uno y dos de octubre de dos mil veintidós, por corresponder a sábados y domingos, considerados como días inhábiles, en términos del artículo 3, fracción X de la Ley de Transparencia y Acceso a la Información Pública del Estado de México y Municipios. </w:t>
      </w:r>
    </w:p>
    <w:p w:rsidR="00360186" w:rsidRPr="005F27AB" w:rsidRDefault="00360186" w:rsidP="005F27AB">
      <w:pPr>
        <w:spacing w:line="360" w:lineRule="auto"/>
        <w:jc w:val="both"/>
        <w:rPr>
          <w:rFonts w:ascii="Palatino Linotype" w:eastAsia="Palatino Linotype" w:hAnsi="Palatino Linotype" w:cs="Palatino Linotype"/>
        </w:rPr>
      </w:pPr>
      <w:bookmarkStart w:id="7" w:name="_heading=h.qyc7rd7szyb2" w:colFirst="0" w:colLast="0"/>
      <w:bookmarkEnd w:id="7"/>
    </w:p>
    <w:p w:rsidR="00360186" w:rsidRPr="005F27AB" w:rsidRDefault="0068655E" w:rsidP="005F27AB">
      <w:pPr>
        <w:spacing w:line="360" w:lineRule="auto"/>
        <w:jc w:val="both"/>
        <w:rPr>
          <w:rFonts w:ascii="Palatino Linotype" w:eastAsia="Palatino Linotype" w:hAnsi="Palatino Linotype" w:cs="Palatino Linotype"/>
        </w:rPr>
      </w:pPr>
      <w:bookmarkStart w:id="8" w:name="_heading=h.umr0zfczji45" w:colFirst="0" w:colLast="0"/>
      <w:bookmarkEnd w:id="8"/>
      <w:r w:rsidRPr="005F27AB">
        <w:rPr>
          <w:rFonts w:ascii="Palatino Linotype" w:eastAsia="Palatino Linotype" w:hAnsi="Palatino Linotype" w:cs="Palatino Linotype"/>
        </w:rPr>
        <w:t xml:space="preserve">Exceptuando </w:t>
      </w:r>
      <w:r w:rsidR="006363D5" w:rsidRPr="005F27AB">
        <w:rPr>
          <w:rFonts w:ascii="Palatino Linotype" w:eastAsia="Palatino Linotype" w:hAnsi="Palatino Linotype" w:cs="Palatino Linotype"/>
        </w:rPr>
        <w:t>además el día</w:t>
      </w:r>
      <w:r w:rsidRPr="005F27AB">
        <w:rPr>
          <w:rFonts w:ascii="Palatino Linotype" w:eastAsia="Palatino Linotype" w:hAnsi="Palatino Linotype" w:cs="Palatino Linotype"/>
        </w:rPr>
        <w:t xml:space="preserve"> dieciséis de septiembre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5F27AB">
        <w:rPr>
          <w:rFonts w:ascii="Palatino Linotype" w:eastAsia="Palatino Linotype" w:hAnsi="Palatino Linotype" w:cs="Palatino Linotype"/>
          <w:vertAlign w:val="superscript"/>
        </w:rPr>
        <w:footnoteReference w:id="1"/>
      </w:r>
      <w:r w:rsidRPr="005F27AB">
        <w:rPr>
          <w:rFonts w:ascii="Palatino Linotype" w:eastAsia="Palatino Linotype" w:hAnsi="Palatino Linotype" w:cs="Palatino Linotype"/>
        </w:rPr>
        <w:t>.</w:t>
      </w:r>
    </w:p>
    <w:p w:rsidR="00360186" w:rsidRPr="005F27AB" w:rsidRDefault="00360186" w:rsidP="005F27AB">
      <w:pPr>
        <w:spacing w:line="360" w:lineRule="auto"/>
        <w:jc w:val="both"/>
        <w:rPr>
          <w:rFonts w:ascii="Palatino Linotype" w:eastAsia="Palatino Linotype" w:hAnsi="Palatino Linotype" w:cs="Palatino Linotype"/>
        </w:rPr>
      </w:pPr>
      <w:bookmarkStart w:id="9" w:name="_heading=h.1j5r03d45pmh" w:colFirst="0" w:colLast="0"/>
      <w:bookmarkEnd w:id="9"/>
    </w:p>
    <w:p w:rsidR="00360186" w:rsidRPr="005F27AB" w:rsidRDefault="0068655E" w:rsidP="005F27AB">
      <w:pPr>
        <w:spacing w:line="360" w:lineRule="auto"/>
        <w:jc w:val="both"/>
        <w:rPr>
          <w:rFonts w:ascii="Palatino Linotype" w:eastAsia="Palatino Linotype" w:hAnsi="Palatino Linotype" w:cs="Palatino Linotype"/>
        </w:rPr>
      </w:pPr>
      <w:bookmarkStart w:id="10" w:name="_heading=h.5rr2st44stcm" w:colFirst="0" w:colLast="0"/>
      <w:bookmarkEnd w:id="10"/>
      <w:r w:rsidRPr="005F27AB">
        <w:rPr>
          <w:rFonts w:ascii="Palatino Linotype" w:eastAsia="Palatino Linotype" w:hAnsi="Palatino Linotype" w:cs="Palatino Linotype"/>
        </w:rPr>
        <w:t xml:space="preserve">En ese tenor, se advierte que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presentó el medio de impugnación al rubro anotado el día veintiuno de septiembre de dos mil veintidós y por lo tanto su interposición se considera oportuna. </w:t>
      </w:r>
    </w:p>
    <w:p w:rsidR="00360186" w:rsidRPr="005F27AB" w:rsidRDefault="0068655E" w:rsidP="005F27AB">
      <w:pPr>
        <w:spacing w:line="360" w:lineRule="auto"/>
        <w:ind w:right="49"/>
        <w:jc w:val="both"/>
        <w:rPr>
          <w:rFonts w:ascii="Palatino Linotype" w:eastAsia="Palatino Linotype" w:hAnsi="Palatino Linotype" w:cs="Palatino Linotype"/>
          <w:b/>
        </w:rPr>
      </w:pPr>
      <w:r w:rsidRPr="005F27AB">
        <w:rPr>
          <w:rFonts w:ascii="Palatino Linotype" w:eastAsia="Palatino Linotype" w:hAnsi="Palatino Linotype" w:cs="Palatino Linotype"/>
          <w:b/>
          <w:sz w:val="28"/>
          <w:szCs w:val="28"/>
        </w:rPr>
        <w:lastRenderedPageBreak/>
        <w:t>CUARTO</w:t>
      </w:r>
      <w:r w:rsidRPr="005F27AB">
        <w:rPr>
          <w:rFonts w:ascii="Palatino Linotype" w:eastAsia="Palatino Linotype" w:hAnsi="Palatino Linotype" w:cs="Palatino Linotype"/>
          <w:b/>
        </w:rPr>
        <w:t xml:space="preserve">. Procedibilidad. </w:t>
      </w: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tabs>
          <w:tab w:val="left" w:pos="851"/>
        </w:tabs>
        <w:ind w:left="851" w:right="901"/>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 xml:space="preserve">“Artículo 180. </w:t>
      </w:r>
      <w:r w:rsidRPr="005F27AB">
        <w:rPr>
          <w:rFonts w:ascii="Palatino Linotype" w:eastAsia="Palatino Linotype" w:hAnsi="Palatino Linotype" w:cs="Palatino Linotype"/>
          <w:i/>
          <w:sz w:val="22"/>
          <w:szCs w:val="22"/>
        </w:rPr>
        <w:t>El Recurso de Revisión contendrá:</w:t>
      </w:r>
      <w:r w:rsidRPr="005F27AB">
        <w:rPr>
          <w:rFonts w:ascii="Palatino Linotype" w:eastAsia="Palatino Linotype" w:hAnsi="Palatino Linotype" w:cs="Palatino Linotype"/>
          <w:b/>
          <w:i/>
          <w:sz w:val="22"/>
          <w:szCs w:val="22"/>
        </w:rPr>
        <w:t xml:space="preserve"> </w:t>
      </w:r>
    </w:p>
    <w:p w:rsidR="00360186" w:rsidRPr="005F27AB" w:rsidRDefault="0068655E" w:rsidP="005F27AB">
      <w:pPr>
        <w:tabs>
          <w:tab w:val="left" w:pos="851"/>
        </w:tabs>
        <w:ind w:left="851" w:right="901"/>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w:t>
      </w:r>
    </w:p>
    <w:p w:rsidR="00360186" w:rsidRPr="005F27AB" w:rsidRDefault="0068655E" w:rsidP="005F27AB">
      <w:pPr>
        <w:tabs>
          <w:tab w:val="left" w:pos="851"/>
        </w:tabs>
        <w:ind w:left="851" w:right="90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 xml:space="preserve">II. El nombre del solicitante </w:t>
      </w:r>
      <w:r w:rsidRPr="005F27AB">
        <w:rPr>
          <w:rFonts w:ascii="Palatino Linotype" w:eastAsia="Palatino Linotype" w:hAnsi="Palatino Linotype" w:cs="Palatino Linotype"/>
          <w:b/>
          <w:i/>
          <w:color w:val="222222"/>
          <w:sz w:val="22"/>
          <w:szCs w:val="22"/>
        </w:rPr>
        <w:t>que</w:t>
      </w:r>
      <w:r w:rsidRPr="005F27AB">
        <w:rPr>
          <w:rFonts w:ascii="Palatino Linotype" w:eastAsia="Palatino Linotype" w:hAnsi="Palatino Linotype" w:cs="Palatino Linotype"/>
          <w:b/>
          <w:i/>
          <w:sz w:val="22"/>
          <w:szCs w:val="22"/>
        </w:rPr>
        <w:t xml:space="preserve"> recurre </w:t>
      </w:r>
      <w:r w:rsidRPr="005F27AB">
        <w:rPr>
          <w:rFonts w:ascii="Palatino Linotype" w:eastAsia="Palatino Linotype" w:hAnsi="Palatino Linotype" w:cs="Palatino Linotype"/>
          <w:i/>
          <w:sz w:val="22"/>
          <w:szCs w:val="22"/>
        </w:rPr>
        <w:t>o de su representante y, en su caso, …</w:t>
      </w:r>
    </w:p>
    <w:p w:rsidR="00360186" w:rsidRPr="005F27AB" w:rsidRDefault="0068655E" w:rsidP="005F27AB">
      <w:pPr>
        <w:tabs>
          <w:tab w:val="left" w:pos="851"/>
        </w:tabs>
        <w:ind w:left="851" w:right="901"/>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 xml:space="preserve">En caso de </w:t>
      </w:r>
      <w:r w:rsidRPr="005F27AB">
        <w:rPr>
          <w:rFonts w:ascii="Palatino Linotype" w:eastAsia="Palatino Linotype" w:hAnsi="Palatino Linotype" w:cs="Palatino Linotype"/>
          <w:b/>
          <w:i/>
          <w:color w:val="222222"/>
          <w:sz w:val="22"/>
          <w:szCs w:val="22"/>
        </w:rPr>
        <w:t>que</w:t>
      </w:r>
      <w:r w:rsidRPr="005F27AB">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5F27AB">
        <w:rPr>
          <w:rFonts w:ascii="Palatino Linotype" w:eastAsia="Palatino Linotype" w:hAnsi="Palatino Linotype" w:cs="Palatino Linotype"/>
          <w:i/>
          <w:sz w:val="22"/>
          <w:szCs w:val="22"/>
        </w:rPr>
        <w:t>, IV, VII y VIII.</w:t>
      </w:r>
      <w:r w:rsidRPr="005F27AB">
        <w:rPr>
          <w:rFonts w:ascii="Palatino Linotype" w:eastAsia="Palatino Linotype" w:hAnsi="Palatino Linotype" w:cs="Palatino Linotype"/>
          <w:b/>
          <w:i/>
          <w:sz w:val="22"/>
          <w:szCs w:val="22"/>
        </w:rPr>
        <w:t>”</w:t>
      </w:r>
    </w:p>
    <w:p w:rsidR="00360186" w:rsidRPr="005F27AB" w:rsidRDefault="0068655E" w:rsidP="005F27AB">
      <w:pPr>
        <w:tabs>
          <w:tab w:val="left" w:pos="851"/>
        </w:tabs>
        <w:ind w:left="851" w:right="90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(Énfasis añadido)</w:t>
      </w:r>
    </w:p>
    <w:p w:rsidR="00360186" w:rsidRPr="005F27AB" w:rsidRDefault="00360186" w:rsidP="005F27AB">
      <w:pPr>
        <w:tabs>
          <w:tab w:val="left" w:pos="851"/>
        </w:tabs>
        <w:ind w:right="901"/>
        <w:jc w:val="both"/>
        <w:rPr>
          <w:rFonts w:ascii="Palatino Linotype" w:eastAsia="Palatino Linotype" w:hAnsi="Palatino Linotype" w:cs="Palatino Linotype"/>
          <w:i/>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5F27AB">
        <w:rPr>
          <w:rFonts w:ascii="Palatino Linotype" w:eastAsia="Palatino Linotype" w:hAnsi="Palatino Linotype" w:cs="Palatino Linotype"/>
          <w:b/>
        </w:rPr>
        <w:t>;</w:t>
      </w:r>
      <w:r w:rsidRPr="005F27AB">
        <w:rPr>
          <w:rFonts w:ascii="Palatino Linotype" w:eastAsia="Palatino Linotype" w:hAnsi="Palatino Linotype" w:cs="Palatino Linotype"/>
        </w:rPr>
        <w:t xml:space="preserve"> por lo que, en el presente caso, al haber sido presentado el Recurso de Revisión vía </w:t>
      </w:r>
      <w:r w:rsidRPr="005F27AB">
        <w:rPr>
          <w:rFonts w:ascii="Palatino Linotype" w:eastAsia="Palatino Linotype" w:hAnsi="Palatino Linotype" w:cs="Palatino Linotype"/>
          <w:b/>
        </w:rPr>
        <w:t>SAIMEX</w:t>
      </w:r>
      <w:r w:rsidRPr="005F27AB">
        <w:rPr>
          <w:rFonts w:ascii="Palatino Linotype" w:eastAsia="Palatino Linotype" w:hAnsi="Palatino Linotype" w:cs="Palatino Linotype"/>
        </w:rPr>
        <w:t>, dicho requisito resulta innecesario.</w:t>
      </w:r>
    </w:p>
    <w:p w:rsidR="00360186" w:rsidRPr="005F27AB" w:rsidRDefault="00360186" w:rsidP="005F27AB">
      <w:pPr>
        <w:spacing w:line="360" w:lineRule="auto"/>
        <w:jc w:val="both"/>
        <w:rPr>
          <w:rFonts w:ascii="Palatino Linotype" w:eastAsia="Palatino Linotype" w:hAnsi="Palatino Linotype" w:cs="Palatino Linotype"/>
          <w:b/>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5F27AB">
        <w:rPr>
          <w:rFonts w:ascii="Palatino Linotype" w:eastAsia="Palatino Linotype" w:hAnsi="Palatino Linotype" w:cs="Palatino Linotype"/>
          <w:b/>
          <w:u w:val="single"/>
        </w:rPr>
        <w:t xml:space="preserve">el nombre no es un requisito </w:t>
      </w:r>
      <w:r w:rsidRPr="005F27AB">
        <w:rPr>
          <w:rFonts w:ascii="Palatino Linotype" w:eastAsia="Palatino Linotype" w:hAnsi="Palatino Linotype" w:cs="Palatino Linotype"/>
          <w:b/>
          <w:i/>
          <w:u w:val="single"/>
        </w:rPr>
        <w:t>sine qua non</w:t>
      </w:r>
      <w:r w:rsidRPr="005F27AB">
        <w:rPr>
          <w:rFonts w:ascii="Palatino Linotype" w:eastAsia="Palatino Linotype" w:hAnsi="Palatino Linotype" w:cs="Palatino Linotype"/>
        </w:rPr>
        <w:t xml:space="preserve"> para que los particulares ejerzan el derecho </w:t>
      </w:r>
      <w:r w:rsidRPr="005F27AB">
        <w:rPr>
          <w:rFonts w:ascii="Palatino Linotype" w:eastAsia="Palatino Linotype" w:hAnsi="Palatino Linotype" w:cs="Palatino Linotype"/>
        </w:rPr>
        <w:lastRenderedPageBreak/>
        <w:t>de Acceso a la Información Pública, pues por el contrario la Ley de la materia prevé en su artículo 155, párrafo segundo la posibilidad de que las solicitudes de información sean anónimas, al utilizar un nombre incompleto o, inclusive un seudónimo.</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sz w:val="22"/>
          <w:szCs w:val="22"/>
        </w:rPr>
      </w:pPr>
      <w:r w:rsidRPr="005F27AB">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360186" w:rsidRPr="005F27AB" w:rsidRDefault="00360186" w:rsidP="005F27AB">
      <w:pPr>
        <w:tabs>
          <w:tab w:val="left" w:pos="851"/>
        </w:tabs>
        <w:ind w:left="851" w:right="901"/>
        <w:jc w:val="both"/>
        <w:rPr>
          <w:rFonts w:ascii="Palatino Linotype" w:eastAsia="Palatino Linotype" w:hAnsi="Palatino Linotype" w:cs="Palatino Linotype"/>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Asimismo, se estima que el requisito relativo al nombre de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F27AB">
        <w:rPr>
          <w:rFonts w:ascii="Palatino Linotype" w:eastAsia="Palatino Linotype" w:hAnsi="Palatino Linotype" w:cs="Palatino Linotype"/>
          <w:b/>
        </w:rPr>
        <w:t xml:space="preserve">EL RECURRENTE </w:t>
      </w:r>
      <w:r w:rsidRPr="005F27AB">
        <w:rPr>
          <w:rFonts w:ascii="Palatino Linotype" w:eastAsia="Palatino Linotype" w:hAnsi="Palatino Linotype" w:cs="Palatino Linotype"/>
        </w:rPr>
        <w:t xml:space="preserve"> es la misma persona que realizó la solicitud de Acceso a la Información Pública que ahora se impugna.</w:t>
      </w: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sz w:val="28"/>
          <w:szCs w:val="28"/>
        </w:rPr>
        <w:t>QUINTO</w:t>
      </w:r>
      <w:r w:rsidRPr="005F27AB">
        <w:rPr>
          <w:rFonts w:ascii="Palatino Linotype" w:eastAsia="Palatino Linotype" w:hAnsi="Palatino Linotype" w:cs="Palatino Linotype"/>
          <w:b/>
        </w:rPr>
        <w:t xml:space="preserve">. Estudio y resolución del asunto. </w:t>
      </w:r>
    </w:p>
    <w:p w:rsidR="00360186" w:rsidRPr="005F27AB" w:rsidRDefault="0068655E" w:rsidP="005F27AB">
      <w:pPr>
        <w:tabs>
          <w:tab w:val="left" w:pos="709"/>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En primera instancia es importante recordar que,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solicitó al </w:t>
      </w:r>
      <w:r w:rsidRPr="005F27AB">
        <w:rPr>
          <w:rFonts w:ascii="Palatino Linotype" w:eastAsia="Palatino Linotype" w:hAnsi="Palatino Linotype" w:cs="Palatino Linotype"/>
          <w:b/>
        </w:rPr>
        <w:t>SUJETO OBLIGADO</w:t>
      </w:r>
      <w:r w:rsidRPr="005F27AB">
        <w:rPr>
          <w:rFonts w:ascii="Palatino Linotype" w:eastAsia="Palatino Linotype" w:hAnsi="Palatino Linotype" w:cs="Palatino Linotype"/>
        </w:rPr>
        <w:t xml:space="preserve"> lo siguiente: </w:t>
      </w: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“solicito todos los oficios salientes y firmados por la secretaria del ayuntamiento desde el 1 de enero al 31 de agosto de 2022.” (sic)</w:t>
      </w:r>
    </w:p>
    <w:p w:rsidR="00360186" w:rsidRPr="005F27AB" w:rsidRDefault="00360186" w:rsidP="005F27AB">
      <w:pPr>
        <w:ind w:left="850" w:right="899"/>
        <w:jc w:val="both"/>
        <w:rPr>
          <w:rFonts w:ascii="Palatino Linotype" w:eastAsia="Palatino Linotype" w:hAnsi="Palatino Linotype" w:cs="Palatino Linotype"/>
        </w:rPr>
      </w:pPr>
    </w:p>
    <w:p w:rsidR="00360186" w:rsidRPr="005F27AB" w:rsidRDefault="0068655E" w:rsidP="005F27AB">
      <w:pPr>
        <w:tabs>
          <w:tab w:val="left" w:pos="2422"/>
        </w:tabs>
        <w:spacing w:before="280" w:after="280"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 lo que,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en respuesta refirió una liga electrónica para acceder a información diversa a la solicitada, como se</w:t>
      </w:r>
      <w:r w:rsidR="006363D5" w:rsidRPr="005F27AB">
        <w:rPr>
          <w:rFonts w:ascii="Palatino Linotype" w:eastAsia="Palatino Linotype" w:hAnsi="Palatino Linotype" w:cs="Palatino Linotype"/>
        </w:rPr>
        <w:t xml:space="preserve"> puede</w:t>
      </w:r>
      <w:r w:rsidRPr="005F27AB">
        <w:rPr>
          <w:rFonts w:ascii="Palatino Linotype" w:eastAsia="Palatino Linotype" w:hAnsi="Palatino Linotype" w:cs="Palatino Linotype"/>
        </w:rPr>
        <w:t xml:space="preserve"> apreciar de la captura de pantalla que se inserta a continuación: </w:t>
      </w:r>
    </w:p>
    <w:p w:rsidR="00360186" w:rsidRPr="005F27AB" w:rsidRDefault="0068655E" w:rsidP="005F27AB">
      <w:pPr>
        <w:tabs>
          <w:tab w:val="left" w:pos="2422"/>
        </w:tabs>
        <w:spacing w:before="280" w:after="280" w:line="360" w:lineRule="auto"/>
        <w:ind w:right="49"/>
        <w:jc w:val="center"/>
        <w:rPr>
          <w:rFonts w:ascii="Palatino Linotype" w:eastAsia="Palatino Linotype" w:hAnsi="Palatino Linotype" w:cs="Palatino Linotype"/>
        </w:rPr>
      </w:pPr>
      <w:r w:rsidRPr="005F27AB">
        <w:rPr>
          <w:rFonts w:ascii="Palatino Linotype" w:eastAsia="Palatino Linotype" w:hAnsi="Palatino Linotype" w:cs="Palatino Linotype"/>
          <w:noProof/>
        </w:rPr>
        <w:lastRenderedPageBreak/>
        <w:drawing>
          <wp:inline distT="114300" distB="114300" distL="114300" distR="114300">
            <wp:extent cx="4467225" cy="4238625"/>
            <wp:effectExtent l="0" t="0" r="0" b="0"/>
            <wp:docPr id="4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467225" cy="4238625"/>
                    </a:xfrm>
                    <a:prstGeom prst="rect">
                      <a:avLst/>
                    </a:prstGeom>
                    <a:ln/>
                  </pic:spPr>
                </pic:pic>
              </a:graphicData>
            </a:graphic>
          </wp:inline>
        </w:drawing>
      </w:r>
      <w:r w:rsidRPr="005F27AB">
        <w:rPr>
          <w:rFonts w:ascii="Palatino Linotype" w:eastAsia="Palatino Linotype" w:hAnsi="Palatino Linotype" w:cs="Palatino Linotype"/>
        </w:rPr>
        <w:t xml:space="preserve"> </w:t>
      </w:r>
    </w:p>
    <w:p w:rsidR="00360186" w:rsidRPr="005F27AB" w:rsidRDefault="0068655E" w:rsidP="005F27AB">
      <w:pPr>
        <w:tabs>
          <w:tab w:val="left" w:pos="2422"/>
        </w:tabs>
        <w:spacing w:before="280" w:after="280"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De la imagen anterior, se puede apreciar que tanto la solicitud como la respuesta a la misma son diversas a lo requerido por el particular en la solicitud de información materia del presente asunto, motivo por el cual el particular se inconforma </w:t>
      </w:r>
      <w:r w:rsidR="006363D5" w:rsidRPr="005F27AB">
        <w:rPr>
          <w:rFonts w:ascii="Palatino Linotype" w:eastAsia="Palatino Linotype" w:hAnsi="Palatino Linotype" w:cs="Palatino Linotype"/>
        </w:rPr>
        <w:t>refiriendo</w:t>
      </w:r>
      <w:r w:rsidRPr="005F27AB">
        <w:rPr>
          <w:rFonts w:ascii="Palatino Linotype" w:eastAsia="Palatino Linotype" w:hAnsi="Palatino Linotype" w:cs="Palatino Linotype"/>
        </w:rPr>
        <w:t xml:space="preserve"> que la respuesta no fue lo que solicitó. </w:t>
      </w:r>
    </w:p>
    <w:p w:rsidR="00360186" w:rsidRPr="005F27AB" w:rsidRDefault="0068655E" w:rsidP="005F27AB">
      <w:pPr>
        <w:tabs>
          <w:tab w:val="left" w:pos="2422"/>
        </w:tabs>
        <w:spacing w:before="280" w:after="280"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Lo que en consecuencia actualiza la causal de procedencia prevista por la Ley de Transparencia y Acceso a la Información Pública del Estado de México y Municipios en su artículo 179</w:t>
      </w:r>
      <w:r w:rsidR="006363D5" w:rsidRPr="005F27AB">
        <w:rPr>
          <w:rFonts w:ascii="Palatino Linotype" w:eastAsia="Palatino Linotype" w:hAnsi="Palatino Linotype" w:cs="Palatino Linotype"/>
        </w:rPr>
        <w:t>,</w:t>
      </w:r>
      <w:r w:rsidRPr="005F27AB">
        <w:rPr>
          <w:rFonts w:ascii="Palatino Linotype" w:eastAsia="Palatino Linotype" w:hAnsi="Palatino Linotype" w:cs="Palatino Linotype"/>
        </w:rPr>
        <w:t xml:space="preserve"> fracción VI</w:t>
      </w:r>
      <w:r w:rsidR="006363D5" w:rsidRPr="005F27AB">
        <w:rPr>
          <w:rFonts w:ascii="Palatino Linotype" w:eastAsia="Palatino Linotype" w:hAnsi="Palatino Linotype" w:cs="Palatino Linotype"/>
        </w:rPr>
        <w:t>,</w:t>
      </w:r>
      <w:r w:rsidRPr="005F27AB">
        <w:rPr>
          <w:rFonts w:ascii="Palatino Linotype" w:eastAsia="Palatino Linotype" w:hAnsi="Palatino Linotype" w:cs="Palatino Linotype"/>
        </w:rPr>
        <w:t xml:space="preserve"> que establece lo siguiente:  </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lastRenderedPageBreak/>
        <w:t>“</w:t>
      </w:r>
      <w:r w:rsidRPr="005F27AB">
        <w:rPr>
          <w:rFonts w:ascii="Palatino Linotype" w:eastAsia="Palatino Linotype" w:hAnsi="Palatino Linotype" w:cs="Palatino Linotype"/>
          <w:b/>
          <w:i/>
          <w:sz w:val="22"/>
          <w:szCs w:val="22"/>
        </w:rPr>
        <w:t xml:space="preserve">Artículo 179. </w:t>
      </w:r>
      <w:r w:rsidRPr="005F27AB">
        <w:rPr>
          <w:rFonts w:ascii="Palatino Linotype" w:eastAsia="Palatino Linotype" w:hAnsi="Palatino Linotype" w:cs="Palatino Linotype"/>
          <w:i/>
          <w:sz w:val="22"/>
          <w:szCs w:val="22"/>
        </w:rPr>
        <w:t>El recurso de revisión es un medio de protección que la Ley otorga a los particulares,</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para hacer valer su derecho de acceso a la información pública, y procederá en contra de las siguientes</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causas:</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 La negativa a la información solicitada;</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II. La clasificación de la información;</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III. La declaración de inexistencia de la información;</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IV. La declaración de incompetencia por el sujeto obligado;</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V. La entrega de información incompleta;</w:t>
      </w:r>
    </w:p>
    <w:p w:rsidR="00360186" w:rsidRPr="005F27AB" w:rsidRDefault="0068655E" w:rsidP="005F27AB">
      <w:pPr>
        <w:tabs>
          <w:tab w:val="left" w:pos="2422"/>
        </w:tabs>
        <w:ind w:left="855" w:right="899"/>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VI. La entrega de información que no corresponda con lo solicitado;</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VII. La falta de respuesta a una solicitud de acceso a la información;</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VIII. La notificación, entrega o puesta a disposición de información en una modalidad o formato distinto al solicitado;</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IX. La entrega o puesta a disposición de información en un formato incomprensible y/o no accesible para el solicitante;</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X. Los costos o tiempos de entrega de la información;</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XI. La falta de trámite a una solicitud;</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XII. La negativa a permitir la consulta directa de la información;</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XIII. La falta, deficiencia o insuficiencia de la fundamentación y/o motivación en la respuesta; y</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XIV. La orientación a un trámite específico.</w:t>
      </w:r>
    </w:p>
    <w:p w:rsidR="00360186" w:rsidRPr="005F27AB" w:rsidRDefault="0068655E" w:rsidP="005F27AB">
      <w:pPr>
        <w:tabs>
          <w:tab w:val="left" w:pos="2422"/>
        </w:tabs>
        <w:ind w:left="855"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5F27AB">
        <w:rPr>
          <w:rFonts w:ascii="Palatino Linotype" w:eastAsia="Palatino Linotype" w:hAnsi="Palatino Linotype" w:cs="Palatino Linotype"/>
          <w:i/>
          <w:sz w:val="22"/>
          <w:szCs w:val="22"/>
        </w:rPr>
        <w:br/>
        <w:t>(énfasis añadido)</w:t>
      </w:r>
    </w:p>
    <w:p w:rsidR="00360186" w:rsidRPr="005F27AB" w:rsidRDefault="0068655E" w:rsidP="005F27AB">
      <w:pPr>
        <w:tabs>
          <w:tab w:val="left" w:pos="2422"/>
        </w:tabs>
        <w:spacing w:before="280" w:after="280"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Así se estima que las razones o motivos de inconformidad devienen fundadas, toda vez que en efecto corresponde a información diversa a la solicitada. </w:t>
      </w:r>
    </w:p>
    <w:p w:rsidR="00360186" w:rsidRPr="005F27AB" w:rsidRDefault="0068655E" w:rsidP="005F27AB">
      <w:pPr>
        <w:tabs>
          <w:tab w:val="left" w:pos="2422"/>
        </w:tabs>
        <w:spacing w:before="280" w:after="280"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No </w:t>
      </w:r>
      <w:r w:rsidR="006363D5" w:rsidRPr="005F27AB">
        <w:rPr>
          <w:rFonts w:ascii="Palatino Linotype" w:eastAsia="Palatino Linotype" w:hAnsi="Palatino Linotype" w:cs="Palatino Linotype"/>
        </w:rPr>
        <w:t>obstante,</w:t>
      </w:r>
      <w:r w:rsidRPr="005F27AB">
        <w:rPr>
          <w:rFonts w:ascii="Palatino Linotype" w:eastAsia="Palatino Linotype" w:hAnsi="Palatino Linotype" w:cs="Palatino Linotype"/>
        </w:rPr>
        <w:t xml:space="preserve"> lo anterior, una vez abierta la etapa de manifestaciones, </w:t>
      </w:r>
      <w:r w:rsidRPr="005F27AB">
        <w:rPr>
          <w:rFonts w:ascii="Palatino Linotype" w:eastAsia="Palatino Linotype" w:hAnsi="Palatino Linotype" w:cs="Palatino Linotype"/>
          <w:b/>
        </w:rPr>
        <w:t xml:space="preserve">EL SUEJTO OBLIGADO </w:t>
      </w:r>
      <w:r w:rsidRPr="005F27AB">
        <w:rPr>
          <w:rFonts w:ascii="Palatino Linotype" w:eastAsia="Palatino Linotype" w:hAnsi="Palatino Linotype" w:cs="Palatino Linotype"/>
        </w:rPr>
        <w:t xml:space="preserve">remitió dos archivos. El primero denominado </w:t>
      </w:r>
      <w:r w:rsidRPr="005F27AB">
        <w:rPr>
          <w:rFonts w:ascii="Palatino Linotype" w:eastAsia="Palatino Linotype" w:hAnsi="Palatino Linotype" w:cs="Palatino Linotype"/>
          <w:i/>
        </w:rPr>
        <w:t xml:space="preserve">Resp. Sol 386 </w:t>
      </w:r>
      <w:r w:rsidR="006363D5" w:rsidRPr="005F27AB">
        <w:rPr>
          <w:rFonts w:ascii="Palatino Linotype" w:eastAsia="Palatino Linotype" w:hAnsi="Palatino Linotype" w:cs="Palatino Linotype"/>
          <w:i/>
        </w:rPr>
        <w:t>Sría.pdf mediante</w:t>
      </w:r>
      <w:r w:rsidRPr="005F27AB">
        <w:rPr>
          <w:rFonts w:ascii="Palatino Linotype" w:eastAsia="Palatino Linotype" w:hAnsi="Palatino Linotype" w:cs="Palatino Linotype"/>
        </w:rPr>
        <w:t xml:space="preserve"> el cual, el Servidor Público Habilitado de la Secretaría del Ayuntamiento </w:t>
      </w:r>
      <w:r w:rsidRPr="005F27AB">
        <w:rPr>
          <w:rFonts w:ascii="Palatino Linotype" w:eastAsia="Palatino Linotype" w:hAnsi="Palatino Linotype" w:cs="Palatino Linotype"/>
        </w:rPr>
        <w:lastRenderedPageBreak/>
        <w:t xml:space="preserve">refiere el cambio de modalidad de la información solicitada, toda vez que el peso de la misma es mayor al permitido por la plataforma del SAIMEX. </w:t>
      </w:r>
    </w:p>
    <w:p w:rsidR="00360186" w:rsidRPr="005F27AB" w:rsidRDefault="0068655E" w:rsidP="005F27AB">
      <w:pPr>
        <w:widowControl w:val="0"/>
        <w:tabs>
          <w:tab w:val="left" w:pos="0"/>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El segundo documento solicitante sol. 386.pdf, contiene la respuesta de la Encarga de despacho de la Unidad de Transparencia quien señala haber cometido un error en la respuesta primigenia y anexar el documento correcto. </w:t>
      </w:r>
    </w:p>
    <w:p w:rsidR="00360186" w:rsidRPr="005F27AB" w:rsidRDefault="0068655E" w:rsidP="005F27AB">
      <w:pPr>
        <w:tabs>
          <w:tab w:val="left" w:pos="2422"/>
        </w:tabs>
        <w:spacing w:before="280" w:after="280"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Por lo que, lo procedente es analizar la totalidad de las constancias que obran en el expediente electrónico del SAIMEX del presente asunto, para determinar si con las mismas se puede tener por satisfecho el derecho de acceso a la información del particular.</w:t>
      </w: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De tal manera es importante referir, que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sidRPr="005F27AB">
        <w:rPr>
          <w:rFonts w:ascii="Palatino Linotype" w:eastAsia="Palatino Linotype" w:hAnsi="Palatino Linotype" w:cs="Palatino Linotype"/>
          <w:b/>
          <w:u w:val="single"/>
        </w:rPr>
        <w:t>Vía SAIMEX</w:t>
      </w:r>
      <w:r w:rsidRPr="005F27AB">
        <w:rPr>
          <w:rFonts w:ascii="Palatino Linotype" w:eastAsia="Palatino Linotype" w:hAnsi="Palatino Linotype" w:cs="Palatino Linotype"/>
        </w:rPr>
        <w:t xml:space="preserve">, por su parte,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mediante informe justificado</w:t>
      </w:r>
      <w:r w:rsidR="006363D5"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rPr>
        <w:t xml:space="preserve">cambió de forma unilateral la modalidad de entrega a consulta directa (in situ).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Así bien, es de señalar que los Sujetos Obligados deben respetar la forma seleccionada por los particulares para la entrega de la información; por lo que, si, en este caso en particular, el solicitante eligió </w:t>
      </w:r>
      <w:r w:rsidRPr="005F27AB">
        <w:rPr>
          <w:rFonts w:ascii="Palatino Linotype" w:eastAsia="Palatino Linotype" w:hAnsi="Palatino Linotype" w:cs="Palatino Linotype"/>
          <w:b/>
        </w:rPr>
        <w:t>EL SAIMEX</w:t>
      </w:r>
      <w:r w:rsidRPr="005F27AB">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 xml:space="preserve">No </w:t>
      </w:r>
      <w:r w:rsidR="006363D5" w:rsidRPr="005F27AB">
        <w:rPr>
          <w:rFonts w:ascii="Palatino Linotype" w:eastAsia="Palatino Linotype" w:hAnsi="Palatino Linotype" w:cs="Palatino Linotype"/>
        </w:rPr>
        <w:t>obstante,</w:t>
      </w:r>
      <w:r w:rsidRPr="005F27AB">
        <w:rPr>
          <w:rFonts w:ascii="Palatino Linotype" w:eastAsia="Palatino Linotype" w:hAnsi="Palatino Linotype" w:cs="Palatino Linotype"/>
        </w:rPr>
        <w:t xml:space="preserve"> lo anterior, el ente recurrido indicó que la información solicitada excede la cantidad permitida por el sistema, además de no contar con el p</w:t>
      </w:r>
      <w:r w:rsidR="006363D5" w:rsidRPr="005F27AB">
        <w:rPr>
          <w:rFonts w:ascii="Palatino Linotype" w:eastAsia="Palatino Linotype" w:hAnsi="Palatino Linotype" w:cs="Palatino Linotype"/>
        </w:rPr>
        <w:t>ersonal</w:t>
      </w:r>
      <w:r w:rsidRPr="005F27AB">
        <w:rPr>
          <w:rFonts w:ascii="Palatino Linotype" w:eastAsia="Palatino Linotype" w:hAnsi="Palatino Linotype" w:cs="Palatino Linotype"/>
        </w:rPr>
        <w:t xml:space="preserve"> suficiente para dar atención al cúmulo de solicitudes y por lo tanto se pondrá a disposición del particular en consulta directa en sus oficinas.</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Sustentando dicho cambio en el artículo 158 de la Ley de Transparencia y Acceso a la Información Pública del Estado de México y Municipios, mismo que a la letra señala: </w:t>
      </w:r>
    </w:p>
    <w:p w:rsidR="00360186" w:rsidRPr="005F27AB" w:rsidRDefault="0068655E" w:rsidP="005F27AB">
      <w:pPr>
        <w:widowControl w:val="0"/>
        <w:ind w:left="709" w:right="757"/>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 xml:space="preserve">Artículo 158. </w:t>
      </w:r>
      <w:r w:rsidRPr="005F27AB">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360186" w:rsidRPr="005F27AB" w:rsidRDefault="0068655E" w:rsidP="005F27AB">
      <w:pPr>
        <w:widowControl w:val="0"/>
        <w:ind w:left="709" w:right="76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p>
    <w:p w:rsidR="00360186" w:rsidRPr="005F27AB" w:rsidRDefault="0068655E" w:rsidP="005F27AB">
      <w:pPr>
        <w:widowControl w:val="0"/>
        <w:ind w:left="709" w:right="76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(Énfasis añadido)</w:t>
      </w:r>
    </w:p>
    <w:p w:rsidR="00360186" w:rsidRPr="005F27AB" w:rsidRDefault="00360186" w:rsidP="005F27AB">
      <w:pPr>
        <w:widowControl w:val="0"/>
        <w:spacing w:line="360" w:lineRule="auto"/>
        <w:jc w:val="both"/>
        <w:rPr>
          <w:rFonts w:ascii="Palatino Linotype" w:eastAsia="Palatino Linotype" w:hAnsi="Palatino Linotype" w:cs="Palatino Linotype"/>
        </w:rPr>
      </w:pPr>
    </w:p>
    <w:p w:rsidR="00360186" w:rsidRPr="005F27AB" w:rsidRDefault="0068655E" w:rsidP="005F27AB">
      <w:pPr>
        <w:widowControl w:val="0"/>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5F27AB">
        <w:rPr>
          <w:rFonts w:ascii="Palatino Linotype" w:eastAsia="Palatino Linotype" w:hAnsi="Palatino Linotype" w:cs="Palatino Linotype"/>
          <w:b/>
        </w:rPr>
        <w:t>SUJETO OBLIGADO</w:t>
      </w:r>
      <w:r w:rsidRPr="005F27AB">
        <w:rPr>
          <w:rFonts w:ascii="Palatino Linotype" w:eastAsia="Palatino Linotype" w:hAnsi="Palatino Linotype" w:cs="Palatino Linotype"/>
        </w:rPr>
        <w:t>.</w:t>
      </w:r>
    </w:p>
    <w:p w:rsidR="00360186" w:rsidRPr="005F27AB" w:rsidRDefault="00360186" w:rsidP="005F27AB">
      <w:pPr>
        <w:widowControl w:val="0"/>
        <w:spacing w:line="360" w:lineRule="auto"/>
        <w:jc w:val="both"/>
        <w:rPr>
          <w:rFonts w:ascii="Palatino Linotype" w:eastAsia="Palatino Linotype" w:hAnsi="Palatino Linotype" w:cs="Palatino Linotype"/>
        </w:rPr>
      </w:pPr>
    </w:p>
    <w:p w:rsidR="00360186" w:rsidRPr="005F27AB" w:rsidRDefault="0068655E" w:rsidP="005F27AB">
      <w:pPr>
        <w:widowControl w:val="0"/>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 xml:space="preserve">En tal sentido para que un cambio de modalidad se encuentre debidamente fundado y motivado, el Sujeto Obligado deberá acreditar de manera fehaciente las razones por las cuales el procesamiento de la información supera sus capacidades administrativas y las capacidades técnicas del sistema SAIMEX. </w:t>
      </w:r>
    </w:p>
    <w:p w:rsidR="00360186" w:rsidRPr="005F27AB" w:rsidRDefault="00360186" w:rsidP="005F27AB">
      <w:pPr>
        <w:spacing w:line="360" w:lineRule="auto"/>
        <w:ind w:right="51"/>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rsidR="00360186" w:rsidRPr="005F27AB" w:rsidRDefault="00360186" w:rsidP="005F27AB">
      <w:pPr>
        <w:ind w:left="850" w:right="900"/>
        <w:jc w:val="both"/>
        <w:rPr>
          <w:rFonts w:ascii="Palatino Linotype" w:eastAsia="Palatino Linotype" w:hAnsi="Palatino Linotype" w:cs="Palatino Linotype"/>
          <w:i/>
          <w:sz w:val="22"/>
          <w:szCs w:val="22"/>
        </w:rPr>
      </w:pPr>
    </w:p>
    <w:p w:rsidR="00360186" w:rsidRPr="005F27AB" w:rsidRDefault="0068655E" w:rsidP="005F27AB">
      <w:pPr>
        <w:ind w:left="850" w:right="90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 xml:space="preserve">FUNDAMENTACION Y MOTIVACION. </w:t>
      </w:r>
      <w:r w:rsidRPr="005F27AB">
        <w:rPr>
          <w:rFonts w:ascii="Palatino Linotype" w:eastAsia="Palatino Linotype" w:hAnsi="Palatino Linotype" w:cs="Palatino Linotype"/>
          <w:i/>
          <w:sz w:val="22"/>
          <w:szCs w:val="22"/>
        </w:rPr>
        <w:t xml:space="preserve">La </w:t>
      </w:r>
      <w:r w:rsidRPr="005F27AB">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F27AB">
        <w:rPr>
          <w:rFonts w:ascii="Palatino Linotype" w:eastAsia="Palatino Linotype" w:hAnsi="Palatino Linotype" w:cs="Palatino Linotype"/>
          <w:b/>
          <w:i/>
          <w:sz w:val="22"/>
          <w:szCs w:val="22"/>
        </w:rPr>
        <w:t xml:space="preserve">…” </w:t>
      </w:r>
      <w:r w:rsidRPr="005F27AB">
        <w:rPr>
          <w:rFonts w:ascii="Palatino Linotype" w:eastAsia="Palatino Linotype" w:hAnsi="Palatino Linotype" w:cs="Palatino Linotype"/>
          <w:i/>
          <w:sz w:val="22"/>
          <w:szCs w:val="22"/>
        </w:rPr>
        <w:t>(Sic)</w:t>
      </w:r>
    </w:p>
    <w:p w:rsidR="00360186" w:rsidRPr="005F27AB" w:rsidRDefault="00360186" w:rsidP="005F27AB">
      <w:pPr>
        <w:ind w:left="850" w:right="900"/>
        <w:jc w:val="both"/>
        <w:rPr>
          <w:rFonts w:ascii="Palatino Linotype" w:eastAsia="Palatino Linotype" w:hAnsi="Palatino Linotype" w:cs="Palatino Linotype"/>
          <w:i/>
          <w:sz w:val="22"/>
          <w:szCs w:val="22"/>
        </w:rPr>
      </w:pPr>
    </w:p>
    <w:p w:rsidR="00360186" w:rsidRPr="005F27AB" w:rsidRDefault="0068655E" w:rsidP="005F27AB">
      <w:pPr>
        <w:spacing w:line="360" w:lineRule="auto"/>
        <w:ind w:right="51"/>
        <w:jc w:val="both"/>
        <w:rPr>
          <w:rFonts w:ascii="Palatino Linotype" w:eastAsia="Palatino Linotype" w:hAnsi="Palatino Linotype" w:cs="Palatino Linotype"/>
        </w:rPr>
      </w:pPr>
      <w:r w:rsidRPr="005F27AB">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60186" w:rsidRPr="005F27AB" w:rsidRDefault="00360186" w:rsidP="005F27AB">
      <w:pPr>
        <w:spacing w:line="360" w:lineRule="auto"/>
        <w:ind w:right="51"/>
        <w:jc w:val="both"/>
        <w:rPr>
          <w:rFonts w:ascii="Palatino Linotype" w:eastAsia="Palatino Linotype" w:hAnsi="Palatino Linotype" w:cs="Palatino Linotype"/>
        </w:rPr>
      </w:pPr>
    </w:p>
    <w:p w:rsidR="00360186" w:rsidRPr="005F27AB" w:rsidRDefault="0068655E" w:rsidP="005F27AB">
      <w:pPr>
        <w:spacing w:line="360" w:lineRule="auto"/>
        <w:ind w:right="51"/>
        <w:jc w:val="both"/>
        <w:rPr>
          <w:rFonts w:ascii="Palatino Linotype" w:eastAsia="Palatino Linotype" w:hAnsi="Palatino Linotype" w:cs="Palatino Linotype"/>
        </w:rPr>
      </w:pPr>
      <w:r w:rsidRPr="005F27AB">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60186" w:rsidRPr="005F27AB" w:rsidRDefault="00360186" w:rsidP="005F27AB">
      <w:pPr>
        <w:ind w:left="850" w:right="900"/>
        <w:jc w:val="both"/>
        <w:rPr>
          <w:rFonts w:ascii="Palatino Linotype" w:eastAsia="Palatino Linotype" w:hAnsi="Palatino Linotype" w:cs="Palatino Linotype"/>
          <w:b/>
          <w:i/>
          <w:sz w:val="22"/>
          <w:szCs w:val="22"/>
        </w:rPr>
      </w:pPr>
    </w:p>
    <w:p w:rsidR="00360186" w:rsidRPr="005F27AB" w:rsidRDefault="0068655E" w:rsidP="005F27AB">
      <w:pPr>
        <w:ind w:left="850" w:right="90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 xml:space="preserve">“FUNDAMENTACIÓN Y MOTIVACIÓN. EL ASPECTO FORMAL DE LA GARANTÍA Y SU FINALIDAD SE TRADUCEN EN EXPLICAR, JUSTIFICAR, POSIBILITAR LA DEFENSA Y COMUNICAR LA </w:t>
      </w:r>
      <w:r w:rsidRPr="005F27AB">
        <w:rPr>
          <w:rFonts w:ascii="Palatino Linotype" w:eastAsia="Palatino Linotype" w:hAnsi="Palatino Linotype" w:cs="Palatino Linotype"/>
          <w:b/>
          <w:i/>
          <w:sz w:val="22"/>
          <w:szCs w:val="22"/>
        </w:rPr>
        <w:lastRenderedPageBreak/>
        <w:t>DECISIÓN</w:t>
      </w:r>
      <w:r w:rsidRPr="005F27AB">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5F27AB">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F27AB">
        <w:rPr>
          <w:rFonts w:ascii="Palatino Linotype" w:eastAsia="Palatino Linotype" w:hAnsi="Palatino Linotype" w:cs="Palatino Linotype"/>
          <w:i/>
          <w:sz w:val="22"/>
          <w:szCs w:val="22"/>
        </w:rPr>
        <w:t xml:space="preserve">. Por tanto, </w:t>
      </w:r>
      <w:r w:rsidRPr="005F27AB">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5F27AB">
        <w:rPr>
          <w:rFonts w:ascii="Palatino Linotype" w:eastAsia="Palatino Linotype" w:hAnsi="Palatino Linotype" w:cs="Palatino Linotype"/>
          <w:i/>
          <w:sz w:val="22"/>
          <w:szCs w:val="22"/>
        </w:rPr>
        <w:t>, que impida la finalidad del conocimiento, comprobación y defensa pertinente</w:t>
      </w:r>
      <w:r w:rsidRPr="005F27AB">
        <w:rPr>
          <w:rFonts w:ascii="Palatino Linotype" w:eastAsia="Palatino Linotype" w:hAnsi="Palatino Linotype" w:cs="Palatino Linotype"/>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i/>
          <w:sz w:val="22"/>
          <w:szCs w:val="22"/>
        </w:rPr>
        <w:t>(Sic)</w:t>
      </w:r>
    </w:p>
    <w:p w:rsidR="00360186" w:rsidRPr="005F27AB" w:rsidRDefault="00360186" w:rsidP="005F27AB">
      <w:pPr>
        <w:ind w:left="850" w:right="900"/>
        <w:jc w:val="both"/>
        <w:rPr>
          <w:rFonts w:ascii="Palatino Linotype" w:eastAsia="Palatino Linotype" w:hAnsi="Palatino Linotype" w:cs="Palatino Linotype"/>
          <w:i/>
          <w:sz w:val="22"/>
          <w:szCs w:val="22"/>
        </w:rPr>
      </w:pPr>
    </w:p>
    <w:p w:rsidR="00360186" w:rsidRPr="005F27AB" w:rsidRDefault="00360186" w:rsidP="005F27AB">
      <w:pPr>
        <w:ind w:left="850" w:right="900"/>
        <w:jc w:val="both"/>
        <w:rPr>
          <w:rFonts w:ascii="Palatino Linotype" w:eastAsia="Palatino Linotype" w:hAnsi="Palatino Linotype" w:cs="Palatino Linotype"/>
          <w:i/>
          <w:sz w:val="22"/>
          <w:szCs w:val="22"/>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w:t>
      </w:r>
      <w:r w:rsidRPr="005F27AB">
        <w:rPr>
          <w:rFonts w:ascii="Palatino Linotype" w:eastAsia="Palatino Linotype" w:hAnsi="Palatino Linotype" w:cs="Palatino Linotype"/>
        </w:rPr>
        <w:lastRenderedPageBreak/>
        <w:t xml:space="preserve">legal corresponde y la explicación de porqué dicha norma es procedente en el supuesto del que se trate. </w:t>
      </w:r>
    </w:p>
    <w:p w:rsidR="00360186" w:rsidRPr="005F27AB" w:rsidRDefault="00360186" w:rsidP="005F27AB">
      <w:pPr>
        <w:tabs>
          <w:tab w:val="left" w:pos="7938"/>
        </w:tabs>
        <w:spacing w:line="360" w:lineRule="auto"/>
        <w:jc w:val="both"/>
        <w:rPr>
          <w:rFonts w:ascii="Palatino Linotype" w:eastAsia="Palatino Linotype" w:hAnsi="Palatino Linotype" w:cs="Palatino Linotype"/>
        </w:rPr>
      </w:pPr>
    </w:p>
    <w:p w:rsidR="00360186" w:rsidRPr="005F27AB" w:rsidRDefault="0068655E" w:rsidP="005F27AB">
      <w:pPr>
        <w:tabs>
          <w:tab w:val="left" w:pos="7938"/>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En atención a lo anterior, la respuesta no refiere la cantidad de oficios que conforman la información solicitada, ni refiere cuánto pesa cada uno de ellos, tampoco se refieren las circunstancias específicas de lo acontecido al momento de intentar subir alguna factura al SAIMEX y que técnicamente no se haya podido cargar, no, el sujeto habilitado se limita a referir que el peso excede la cantidad del sistema. </w:t>
      </w:r>
    </w:p>
    <w:p w:rsidR="00360186" w:rsidRPr="005F27AB" w:rsidRDefault="00360186" w:rsidP="005F27AB">
      <w:pPr>
        <w:tabs>
          <w:tab w:val="left" w:pos="7938"/>
        </w:tabs>
        <w:spacing w:line="360" w:lineRule="auto"/>
        <w:jc w:val="both"/>
        <w:rPr>
          <w:rFonts w:ascii="Palatino Linotype" w:eastAsia="Palatino Linotype" w:hAnsi="Palatino Linotype" w:cs="Palatino Linotype"/>
        </w:rPr>
      </w:pPr>
    </w:p>
    <w:p w:rsidR="00360186" w:rsidRPr="005F27AB" w:rsidRDefault="0068655E" w:rsidP="005F27AB">
      <w:pPr>
        <w:tabs>
          <w:tab w:val="left" w:pos="7938"/>
        </w:tabs>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Asimismo, no hay incidencia emitida por la Dirección General de Informática de este Órgano Garante (a petición de ese sujeto obligado), no se corrobora por qué no se pudieron escanear los documentos de las facturas emitidas, para cargar en el SAIMEX, o en su defecto el Acta de la Sesión mediante la cual el Comité de Transparencia haya aprobado dicho cambio de modalidad, sino que es </w:t>
      </w:r>
      <w:r w:rsidR="006363D5" w:rsidRPr="005F27AB">
        <w:rPr>
          <w:rFonts w:ascii="Palatino Linotype" w:eastAsia="Palatino Linotype" w:hAnsi="Palatino Linotype" w:cs="Palatino Linotype"/>
        </w:rPr>
        <w:t>únicamente</w:t>
      </w:r>
      <w:r w:rsidRPr="005F27AB">
        <w:rPr>
          <w:rFonts w:ascii="Palatino Linotype" w:eastAsia="Palatino Linotype" w:hAnsi="Palatino Linotype" w:cs="Palatino Linotype"/>
        </w:rPr>
        <w:t xml:space="preserve"> un </w:t>
      </w:r>
      <w:r w:rsidR="006363D5" w:rsidRPr="005F27AB">
        <w:rPr>
          <w:rFonts w:ascii="Palatino Linotype" w:eastAsia="Palatino Linotype" w:hAnsi="Palatino Linotype" w:cs="Palatino Linotype"/>
        </w:rPr>
        <w:t>pronunciamiento</w:t>
      </w:r>
      <w:r w:rsidRPr="005F27AB">
        <w:rPr>
          <w:rFonts w:ascii="Palatino Linotype" w:eastAsia="Palatino Linotype" w:hAnsi="Palatino Linotype" w:cs="Palatino Linotype"/>
        </w:rPr>
        <w:t xml:space="preserve"> del servidor público habilitado. </w:t>
      </w:r>
    </w:p>
    <w:p w:rsidR="00360186" w:rsidRPr="005F27AB" w:rsidRDefault="00360186" w:rsidP="005F27AB">
      <w:pPr>
        <w:tabs>
          <w:tab w:val="left" w:pos="7938"/>
        </w:tabs>
        <w:spacing w:line="360" w:lineRule="auto"/>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Así pues, ya que del contenido de la respuesta remitida por </w:t>
      </w:r>
      <w:r w:rsidRPr="005F27AB">
        <w:rPr>
          <w:rFonts w:ascii="Palatino Linotype" w:eastAsia="Palatino Linotype" w:hAnsi="Palatino Linotype" w:cs="Palatino Linotype"/>
          <w:b/>
        </w:rPr>
        <w:t xml:space="preserve">EL SUJETO OBLIGADO </w:t>
      </w:r>
      <w:r w:rsidRPr="005F27AB">
        <w:rPr>
          <w:rFonts w:ascii="Palatino Linotype" w:eastAsia="Palatino Linotype" w:hAnsi="Palatino Linotype" w:cs="Palatino Linotype"/>
        </w:rPr>
        <w:t xml:space="preserve">no se advierten elementos suficientes para poder determinar la procedencia del cambio de modalidad sugerido por el ente recurrido. Esta Ponencia hizo un requerimiento de información adicional el </w:t>
      </w:r>
      <w:r w:rsidR="006363D5" w:rsidRPr="005F27AB">
        <w:rPr>
          <w:rFonts w:ascii="Palatino Linotype" w:eastAsia="Palatino Linotype" w:hAnsi="Palatino Linotype" w:cs="Palatino Linotype"/>
        </w:rPr>
        <w:t>veintiséis</w:t>
      </w:r>
      <w:r w:rsidRPr="005F27AB">
        <w:rPr>
          <w:rFonts w:ascii="Palatino Linotype" w:eastAsia="Palatino Linotype" w:hAnsi="Palatino Linotype" w:cs="Palatino Linotype"/>
        </w:rPr>
        <w:t xml:space="preserve"> de enero de dos mil </w:t>
      </w:r>
      <w:r w:rsidR="006363D5" w:rsidRPr="005F27AB">
        <w:rPr>
          <w:rFonts w:ascii="Palatino Linotype" w:eastAsia="Palatino Linotype" w:hAnsi="Palatino Linotype" w:cs="Palatino Linotype"/>
        </w:rPr>
        <w:t>veintitrés</w:t>
      </w:r>
      <w:r w:rsidRPr="005F27AB">
        <w:rPr>
          <w:rFonts w:ascii="Palatino Linotype" w:eastAsia="Palatino Linotype" w:hAnsi="Palatino Linotype" w:cs="Palatino Linotype"/>
        </w:rPr>
        <w:t xml:space="preserve"> en los términos siguientes: </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lastRenderedPageBreak/>
        <w:t xml:space="preserve">“LIC. RAQUEL GAYOSSO ESPINOSA </w:t>
      </w: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TITULAR DE LA UNIDAD DE TRANSPARENCIA DEL AYUNTAMIENTO DE ATENCO</w:t>
      </w: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P R E S E N T E</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Con fundamento en lo previsto por el artículo 195 de la Ley de Transparencia y Acceso a la Información Pública del Estado de México y Municipios; 124 del Código de Procedimientos Administrativos del Estado de México, de aplicación supletoria a la materia; me permito expresar lo siguiente:</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En el Recurso de Revisión 14947/INFOEM/IP/RR/2022 se advierte que, de la información que se le otorgó al ciudadano, mediante Informe Justificado se observa que refiere el cambio de modalidad de entrega de la información a consulta directa (in situ). </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Sin embargo, en atención a lo previsto en el artículo 158 de la Ley de Transparencia y Acceso a la Información Pública del Estado de México y Municipios, que dispone que se debe acreditar que la información solicitada sobrepase las capacidades técnicas, administrativas y humanas para cumplir con la solicitud de información del caso en concreto. </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En atención a lo anterior, es necesario realizar alguna de estas dos opciones: </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Solicitar ante la Dirección General de Informática de este Instituto consulta de incidencia de la capacidad (MB) de la información que debe subirse al Sistema de Acceso a la Información Mexiquense (SAIMEX) o; </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Remitir el acuerdo emitido por el Comité de Transparencia en el cual se apruebe el cambio de modalidad atendiendo de manera particular las solicitudes materia del presente asunto. </w:t>
      </w:r>
    </w:p>
    <w:p w:rsidR="00360186" w:rsidRPr="005F27AB" w:rsidRDefault="00360186" w:rsidP="005F27AB">
      <w:pPr>
        <w:ind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Por lo antes mencionado, se le requiere para </w:t>
      </w:r>
      <w:r w:rsidR="006363D5" w:rsidRPr="005F27AB">
        <w:rPr>
          <w:rFonts w:ascii="Palatino Linotype" w:eastAsia="Palatino Linotype" w:hAnsi="Palatino Linotype" w:cs="Palatino Linotype"/>
          <w:i/>
          <w:sz w:val="22"/>
          <w:szCs w:val="22"/>
        </w:rPr>
        <w:t>que,</w:t>
      </w:r>
      <w:r w:rsidRPr="005F27AB">
        <w:rPr>
          <w:rFonts w:ascii="Palatino Linotype" w:eastAsia="Palatino Linotype" w:hAnsi="Palatino Linotype" w:cs="Palatino Linotype"/>
          <w:i/>
          <w:sz w:val="22"/>
          <w:szCs w:val="22"/>
        </w:rPr>
        <w:t xml:space="preserve"> en un plazo no mayor a tres días, informe a este Instituto, de ser el caso, la imposibilidad de poder cargar la información en el Sistema de Acceso a la Información Mexiquense (SAIMEX) con la debida motivación, referida en el párrafo que antecede; ello con la finalidad de que </w:t>
      </w:r>
      <w:r w:rsidRPr="005F27AB">
        <w:rPr>
          <w:rFonts w:ascii="Palatino Linotype" w:eastAsia="Palatino Linotype" w:hAnsi="Palatino Linotype" w:cs="Palatino Linotype"/>
          <w:i/>
          <w:sz w:val="22"/>
          <w:szCs w:val="22"/>
        </w:rPr>
        <w:lastRenderedPageBreak/>
        <w:t xml:space="preserve">este Órgano Garante cuente con mayores elementos al momento de resolver los Recursos de Revisión citados.  </w:t>
      </w:r>
    </w:p>
    <w:p w:rsidR="00360186" w:rsidRPr="005F27AB" w:rsidRDefault="00360186" w:rsidP="005F27AB">
      <w:pPr>
        <w:ind w:left="850" w:right="899"/>
        <w:jc w:val="both"/>
        <w:rPr>
          <w:rFonts w:ascii="Palatino Linotype" w:eastAsia="Palatino Linotype" w:hAnsi="Palatino Linotype" w:cs="Palatino Linotype"/>
          <w:i/>
          <w:sz w:val="22"/>
          <w:szCs w:val="22"/>
        </w:rPr>
      </w:pPr>
    </w:p>
    <w:p w:rsidR="00360186" w:rsidRPr="005F27AB" w:rsidRDefault="0068655E" w:rsidP="005F27AB">
      <w:pPr>
        <w:ind w:left="850"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Sin más por el momento, aprovecho la ocasión para enviarle un cordial saludo.”</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De la transcripción anterior, se puede observar que le fue concedido al </w:t>
      </w:r>
      <w:r w:rsidRPr="005F27AB">
        <w:rPr>
          <w:rFonts w:ascii="Palatino Linotype" w:eastAsia="Palatino Linotype" w:hAnsi="Palatino Linotype" w:cs="Palatino Linotype"/>
          <w:b/>
        </w:rPr>
        <w:t>SUJETO OBLIGADO</w:t>
      </w:r>
      <w:r w:rsidRPr="005F27AB">
        <w:rPr>
          <w:rFonts w:ascii="Palatino Linotype" w:eastAsia="Palatino Linotype" w:hAnsi="Palatino Linotype" w:cs="Palatino Linotype"/>
        </w:rPr>
        <w:t xml:space="preserve"> un plazo de tres días hábiles para dar atención al requerimiento realizado. </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Posteriormente en fecha treinta de enero de dos mil </w:t>
      </w:r>
      <w:r w:rsidR="006363D5" w:rsidRPr="005F27AB">
        <w:rPr>
          <w:rFonts w:ascii="Palatino Linotype" w:eastAsia="Palatino Linotype" w:hAnsi="Palatino Linotype" w:cs="Palatino Linotype"/>
        </w:rPr>
        <w:t>veintitrés</w:t>
      </w:r>
      <w:r w:rsidRPr="005F27AB">
        <w:rPr>
          <w:rFonts w:ascii="Palatino Linotype" w:eastAsia="Palatino Linotype" w:hAnsi="Palatino Linotype" w:cs="Palatino Linotype"/>
        </w:rPr>
        <w:t xml:space="preserve"> se recibió  por correo  el Acta de la Sexta Sesión Extraordinaria del Comité de Transparencia de Atenco de fecha treinta de enero de dos mil </w:t>
      </w:r>
      <w:r w:rsidR="006363D5" w:rsidRPr="005F27AB">
        <w:rPr>
          <w:rFonts w:ascii="Palatino Linotype" w:eastAsia="Palatino Linotype" w:hAnsi="Palatino Linotype" w:cs="Palatino Linotype"/>
        </w:rPr>
        <w:t>veintitrés</w:t>
      </w:r>
      <w:r w:rsidRPr="005F27AB">
        <w:rPr>
          <w:rFonts w:ascii="Palatino Linotype" w:eastAsia="Palatino Linotype" w:hAnsi="Palatino Linotype" w:cs="Palatino Linotype"/>
        </w:rPr>
        <w:t xml:space="preserve"> donde se aprobó el cambio de modalidad a consulta directa y la versión pública de la información solicitada. Tal y como se aprecia a continuación: </w:t>
      </w: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noProof/>
        </w:rPr>
        <w:lastRenderedPageBreak/>
        <w:drawing>
          <wp:inline distT="114300" distB="114300" distL="114300" distR="114300">
            <wp:extent cx="5791835" cy="6146800"/>
            <wp:effectExtent l="0" t="0" r="0" b="0"/>
            <wp:docPr id="4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91835" cy="6146800"/>
                    </a:xfrm>
                    <a:prstGeom prst="rect">
                      <a:avLst/>
                    </a:prstGeom>
                    <a:ln/>
                  </pic:spPr>
                </pic:pic>
              </a:graphicData>
            </a:graphic>
          </wp:inline>
        </w:drawing>
      </w: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noProof/>
        </w:rPr>
        <w:lastRenderedPageBreak/>
        <w:drawing>
          <wp:inline distT="114300" distB="114300" distL="114300" distR="114300">
            <wp:extent cx="5791835" cy="6477000"/>
            <wp:effectExtent l="0" t="0" r="0" b="0"/>
            <wp:docPr id="4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91835" cy="6477000"/>
                    </a:xfrm>
                    <a:prstGeom prst="rect">
                      <a:avLst/>
                    </a:prstGeom>
                    <a:ln/>
                  </pic:spPr>
                </pic:pic>
              </a:graphicData>
            </a:graphic>
          </wp:inline>
        </w:drawing>
      </w: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noProof/>
        </w:rPr>
        <w:lastRenderedPageBreak/>
        <w:drawing>
          <wp:inline distT="114300" distB="114300" distL="114300" distR="114300">
            <wp:extent cx="5791835" cy="6350000"/>
            <wp:effectExtent l="0" t="0" r="0" b="0"/>
            <wp:docPr id="4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91835" cy="6350000"/>
                    </a:xfrm>
                    <a:prstGeom prst="rect">
                      <a:avLst/>
                    </a:prstGeom>
                    <a:ln/>
                  </pic:spPr>
                </pic:pic>
              </a:graphicData>
            </a:graphic>
          </wp:inline>
        </w:drawing>
      </w: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noProof/>
        </w:rPr>
        <w:lastRenderedPageBreak/>
        <w:drawing>
          <wp:inline distT="114300" distB="114300" distL="114300" distR="114300">
            <wp:extent cx="5791835" cy="6413500"/>
            <wp:effectExtent l="0" t="0" r="0" b="0"/>
            <wp:docPr id="4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791835" cy="6413500"/>
                    </a:xfrm>
                    <a:prstGeom prst="rect">
                      <a:avLst/>
                    </a:prstGeom>
                    <a:ln/>
                  </pic:spPr>
                </pic:pic>
              </a:graphicData>
            </a:graphic>
          </wp:inline>
        </w:drawing>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360186" w:rsidP="005F27AB">
      <w:pPr>
        <w:spacing w:line="360" w:lineRule="auto"/>
        <w:ind w:right="49"/>
        <w:jc w:val="both"/>
        <w:rPr>
          <w:rFonts w:ascii="Palatino Linotype" w:eastAsia="Palatino Linotype" w:hAnsi="Palatino Linotype" w:cs="Palatino Linotype"/>
          <w:b/>
        </w:rPr>
      </w:pPr>
    </w:p>
    <w:p w:rsidR="00360186" w:rsidRPr="005F27AB" w:rsidRDefault="0068655E" w:rsidP="005F27AB">
      <w:pPr>
        <w:spacing w:line="360" w:lineRule="auto"/>
        <w:ind w:right="49"/>
        <w:jc w:val="both"/>
        <w:rPr>
          <w:rFonts w:ascii="Palatino Linotype" w:eastAsia="Palatino Linotype" w:hAnsi="Palatino Linotype" w:cs="Palatino Linotype"/>
          <w:b/>
        </w:rPr>
      </w:pPr>
      <w:r w:rsidRPr="005F27AB">
        <w:rPr>
          <w:rFonts w:ascii="Palatino Linotype" w:eastAsia="Palatino Linotype" w:hAnsi="Palatino Linotype" w:cs="Palatino Linotype"/>
          <w:b/>
          <w:noProof/>
        </w:rPr>
        <w:drawing>
          <wp:inline distT="114300" distB="114300" distL="114300" distR="114300">
            <wp:extent cx="5791835" cy="6375400"/>
            <wp:effectExtent l="0" t="0" r="0" b="0"/>
            <wp:docPr id="4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91835" cy="6375400"/>
                    </a:xfrm>
                    <a:prstGeom prst="rect">
                      <a:avLst/>
                    </a:prstGeom>
                    <a:ln/>
                  </pic:spPr>
                </pic:pic>
              </a:graphicData>
            </a:graphic>
          </wp:inline>
        </w:drawing>
      </w:r>
    </w:p>
    <w:p w:rsidR="00360186" w:rsidRPr="005F27AB" w:rsidRDefault="0068655E" w:rsidP="005F27AB">
      <w:pPr>
        <w:spacing w:line="360" w:lineRule="auto"/>
        <w:ind w:right="49"/>
        <w:jc w:val="both"/>
        <w:rPr>
          <w:rFonts w:ascii="Palatino Linotype" w:eastAsia="Palatino Linotype" w:hAnsi="Palatino Linotype" w:cs="Palatino Linotype"/>
          <w:b/>
        </w:rPr>
      </w:pPr>
      <w:r w:rsidRPr="005F27AB">
        <w:rPr>
          <w:rFonts w:ascii="Palatino Linotype" w:eastAsia="Palatino Linotype" w:hAnsi="Palatino Linotype" w:cs="Palatino Linotype"/>
          <w:b/>
          <w:noProof/>
        </w:rPr>
        <w:lastRenderedPageBreak/>
        <w:drawing>
          <wp:inline distT="114300" distB="114300" distL="114300" distR="114300">
            <wp:extent cx="5791835" cy="6692900"/>
            <wp:effectExtent l="0" t="0" r="0" b="0"/>
            <wp:docPr id="4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91835" cy="6692900"/>
                    </a:xfrm>
                    <a:prstGeom prst="rect">
                      <a:avLst/>
                    </a:prstGeom>
                    <a:ln/>
                  </pic:spPr>
                </pic:pic>
              </a:graphicData>
            </a:graphic>
          </wp:inline>
        </w:drawing>
      </w:r>
    </w:p>
    <w:p w:rsidR="00360186" w:rsidRPr="005F27AB" w:rsidRDefault="0068655E" w:rsidP="005F27AB">
      <w:pPr>
        <w:spacing w:line="360" w:lineRule="auto"/>
        <w:ind w:right="49"/>
        <w:jc w:val="both"/>
        <w:rPr>
          <w:rFonts w:ascii="Palatino Linotype" w:eastAsia="Palatino Linotype" w:hAnsi="Palatino Linotype" w:cs="Palatino Linotype"/>
          <w:b/>
        </w:rPr>
      </w:pPr>
      <w:r w:rsidRPr="005F27AB">
        <w:rPr>
          <w:rFonts w:ascii="Palatino Linotype" w:eastAsia="Palatino Linotype" w:hAnsi="Palatino Linotype" w:cs="Palatino Linotype"/>
          <w:b/>
          <w:noProof/>
        </w:rPr>
        <w:lastRenderedPageBreak/>
        <w:drawing>
          <wp:inline distT="114300" distB="114300" distL="114300" distR="114300">
            <wp:extent cx="5791835" cy="5715000"/>
            <wp:effectExtent l="0" t="0" r="0" b="0"/>
            <wp:docPr id="4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91835" cy="5715000"/>
                    </a:xfrm>
                    <a:prstGeom prst="rect">
                      <a:avLst/>
                    </a:prstGeom>
                    <a:ln/>
                  </pic:spPr>
                </pic:pic>
              </a:graphicData>
            </a:graphic>
          </wp:inline>
        </w:drawing>
      </w:r>
    </w:p>
    <w:p w:rsidR="00360186" w:rsidRPr="005F27AB" w:rsidRDefault="0068655E" w:rsidP="005F27AB">
      <w:pPr>
        <w:spacing w:line="360" w:lineRule="auto"/>
        <w:ind w:right="49"/>
        <w:jc w:val="center"/>
        <w:rPr>
          <w:rFonts w:ascii="Palatino Linotype" w:eastAsia="Palatino Linotype" w:hAnsi="Palatino Linotype" w:cs="Palatino Linotype"/>
          <w:b/>
        </w:rPr>
      </w:pPr>
      <w:r w:rsidRPr="005F27AB">
        <w:rPr>
          <w:rFonts w:ascii="Palatino Linotype" w:eastAsia="Palatino Linotype" w:hAnsi="Palatino Linotype" w:cs="Palatino Linotype"/>
          <w:b/>
          <w:noProof/>
        </w:rPr>
        <w:lastRenderedPageBreak/>
        <w:drawing>
          <wp:inline distT="114300" distB="114300" distL="114300" distR="114300">
            <wp:extent cx="5295900" cy="6838950"/>
            <wp:effectExtent l="0" t="0" r="0" b="0"/>
            <wp:docPr id="4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295900" cy="6838950"/>
                    </a:xfrm>
                    <a:prstGeom prst="rect">
                      <a:avLst/>
                    </a:prstGeom>
                    <a:ln/>
                  </pic:spPr>
                </pic:pic>
              </a:graphicData>
            </a:graphic>
          </wp:inline>
        </w:drawing>
      </w:r>
    </w:p>
    <w:p w:rsidR="00360186" w:rsidRPr="005F27AB" w:rsidRDefault="0068655E" w:rsidP="005F27AB">
      <w:pPr>
        <w:spacing w:line="360" w:lineRule="auto"/>
        <w:ind w:right="49"/>
        <w:jc w:val="both"/>
        <w:rPr>
          <w:rFonts w:ascii="Palatino Linotype" w:eastAsia="Palatino Linotype" w:hAnsi="Palatino Linotype" w:cs="Palatino Linotype"/>
          <w:b/>
        </w:rPr>
      </w:pPr>
      <w:r w:rsidRPr="005F27AB">
        <w:rPr>
          <w:rFonts w:ascii="Palatino Linotype" w:eastAsia="Palatino Linotype" w:hAnsi="Palatino Linotype" w:cs="Palatino Linotype"/>
        </w:rPr>
        <w:lastRenderedPageBreak/>
        <w:t xml:space="preserve">No obstante, una vez analizado el contenido del documento remitido por </w:t>
      </w:r>
      <w:r w:rsidRPr="005F27AB">
        <w:rPr>
          <w:rFonts w:ascii="Palatino Linotype" w:eastAsia="Palatino Linotype" w:hAnsi="Palatino Linotype" w:cs="Palatino Linotype"/>
          <w:b/>
        </w:rPr>
        <w:t xml:space="preserve">EL SUJETO OBLIGADO </w:t>
      </w:r>
      <w:r w:rsidRPr="005F27AB">
        <w:rPr>
          <w:rFonts w:ascii="Palatino Linotype" w:eastAsia="Palatino Linotype" w:hAnsi="Palatino Linotype" w:cs="Palatino Linotype"/>
        </w:rPr>
        <w:t xml:space="preserve">no se advierte que haya argumentado las razones por las cuales la información solicitada, exceda ya sean las capacidades técnicas del sistema, o las capacidades administrativas de su estructura orgánica. No refiere la cantidad de hojas que conforman los documentos, ni el tamaño de los archivos electrónicos, sino </w:t>
      </w:r>
      <w:r w:rsidR="006363D5" w:rsidRPr="005F27AB">
        <w:rPr>
          <w:rFonts w:ascii="Palatino Linotype" w:eastAsia="Palatino Linotype" w:hAnsi="Palatino Linotype" w:cs="Palatino Linotype"/>
        </w:rPr>
        <w:t>únicamente</w:t>
      </w:r>
      <w:r w:rsidRPr="005F27AB">
        <w:rPr>
          <w:rFonts w:ascii="Palatino Linotype" w:eastAsia="Palatino Linotype" w:hAnsi="Palatino Linotype" w:cs="Palatino Linotype"/>
        </w:rPr>
        <w:t xml:space="preserve"> los artículos aplicables que como ya fue mencionado no constituye una correcta fundamentación y motivación </w:t>
      </w:r>
    </w:p>
    <w:p w:rsidR="00360186" w:rsidRPr="005F27AB" w:rsidRDefault="00360186" w:rsidP="005F27AB">
      <w:pPr>
        <w:ind w:left="851" w:right="850"/>
        <w:jc w:val="both"/>
        <w:rPr>
          <w:rFonts w:ascii="Palatino Linotype" w:eastAsia="Palatino Linotype" w:hAnsi="Palatino Linotype" w:cs="Palatino Linotype"/>
          <w:i/>
          <w:sz w:val="22"/>
          <w:szCs w:val="22"/>
        </w:rPr>
      </w:pP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363D5"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Asimismo,</w:t>
      </w:r>
      <w:r w:rsidR="0068655E" w:rsidRPr="005F27AB">
        <w:rPr>
          <w:rFonts w:ascii="Palatino Linotype" w:eastAsia="Palatino Linotype" w:hAnsi="Palatino Linotype" w:cs="Palatino Linotype"/>
        </w:rPr>
        <w:t xml:space="preserve"> es de señalar que existen lineamientos necesarios para llevar a </w:t>
      </w:r>
      <w:r w:rsidRPr="005F27AB">
        <w:rPr>
          <w:rFonts w:ascii="Palatino Linotype" w:eastAsia="Palatino Linotype" w:hAnsi="Palatino Linotype" w:cs="Palatino Linotype"/>
        </w:rPr>
        <w:t>cabo</w:t>
      </w:r>
      <w:r w:rsidR="0068655E" w:rsidRPr="005F27AB">
        <w:rPr>
          <w:rFonts w:ascii="Palatino Linotype" w:eastAsia="Palatino Linotype" w:hAnsi="Palatino Linotype" w:cs="Palatino Linotype"/>
        </w:rPr>
        <w:t xml:space="preserve"> la consulta directa, es decir, deberá señalar la hora, fecha, lugar y los procedimientos para llevar a cabo la consulta de la información, como lo establecen los Lineamientos generales en materia de clasificación y desclasificación de la información, así como para la elaboración de versiones públicas, que refieren:</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ind w:left="851" w:right="851"/>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 xml:space="preserve">CAPÍTULO X </w:t>
      </w:r>
    </w:p>
    <w:p w:rsidR="00360186" w:rsidRPr="005F27AB" w:rsidRDefault="0068655E" w:rsidP="005F27AB">
      <w:pPr>
        <w:ind w:left="851" w:right="851"/>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DE LA CONSULTA DIRECTA</w:t>
      </w:r>
    </w:p>
    <w:p w:rsidR="00360186" w:rsidRPr="005F27AB" w:rsidRDefault="00360186" w:rsidP="005F27AB">
      <w:pPr>
        <w:ind w:left="851" w:right="851"/>
        <w:jc w:val="both"/>
        <w:rPr>
          <w:rFonts w:ascii="Palatino Linotype" w:eastAsia="Palatino Linotype" w:hAnsi="Palatino Linotype" w:cs="Palatino Linotype"/>
          <w:b/>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Sexagésimo séptimo</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i/>
          <w:sz w:val="22"/>
          <w:szCs w:val="22"/>
          <w:u w:val="single"/>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r w:rsidRPr="005F27AB">
        <w:rPr>
          <w:rFonts w:ascii="Palatino Linotype" w:eastAsia="Palatino Linotype" w:hAnsi="Palatino Linotype" w:cs="Palatino Linotype"/>
          <w:i/>
          <w:sz w:val="22"/>
          <w:szCs w:val="22"/>
        </w:rPr>
        <w:t xml:space="preserve">.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Sexagésimo octavo</w:t>
      </w:r>
      <w:r w:rsidRPr="005F27AB">
        <w:rPr>
          <w:rFonts w:ascii="Palatino Linotype" w:eastAsia="Palatino Linotype" w:hAnsi="Palatino Linotype" w:cs="Palatino Linotype"/>
          <w:i/>
          <w:sz w:val="22"/>
          <w:szCs w:val="22"/>
        </w:rPr>
        <w:t xml:space="preserve">. En la resolución del Comité de Transparencia a que se refiere el lineamiento inmediato anterior, se deberán establecer las medidas que el personal </w:t>
      </w:r>
      <w:r w:rsidRPr="005F27AB">
        <w:rPr>
          <w:rFonts w:ascii="Palatino Linotype" w:eastAsia="Palatino Linotype" w:hAnsi="Palatino Linotype" w:cs="Palatino Linotype"/>
          <w:i/>
          <w:sz w:val="22"/>
          <w:szCs w:val="22"/>
        </w:rPr>
        <w:lastRenderedPageBreak/>
        <w:t xml:space="preserve">encargado de permitir el acceso al solicitante deberá implementar, a fin de que se resguarde la información clasificada, atendiendo a la naturaleza del documento y el formato en el que obra.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Sexagésimo noveno</w:t>
      </w:r>
      <w:r w:rsidRPr="005F27AB">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Septuagésimo</w:t>
      </w:r>
      <w:r w:rsidRPr="005F27AB">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i/>
          <w:sz w:val="22"/>
          <w:szCs w:val="22"/>
          <w:u w:val="single"/>
        </w:rPr>
        <w:t>Señalar claramente al particular, en la respuesta a su solicitud, el lugar, día y hora en que se podrá llevar a cabo la consulta de la documentación solicitada</w:t>
      </w:r>
      <w:r w:rsidRPr="005F27AB">
        <w:rPr>
          <w:rFonts w:ascii="Palatino Linotype" w:eastAsia="Palatino Linotype" w:hAnsi="Palatino Linotype" w:cs="Palatino Linotype"/>
          <w:i/>
          <w:sz w:val="22"/>
          <w:szCs w:val="22"/>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II</w:t>
      </w:r>
      <w:r w:rsidRPr="005F27AB">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III.</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i/>
          <w:sz w:val="22"/>
          <w:szCs w:val="22"/>
          <w:u w:val="single"/>
        </w:rPr>
        <w:t xml:space="preserve">Indicar claramente la ubicación del lugar en que el solicitante podrá llevar a cabo la consulta de la información debiendo ser éste, en la medida de lo posible, el domicilio de la Unidad de Transparencia, </w:t>
      </w:r>
      <w:r w:rsidRPr="005F27AB">
        <w:rPr>
          <w:rFonts w:ascii="Palatino Linotype" w:eastAsia="Palatino Linotype" w:hAnsi="Palatino Linotype" w:cs="Palatino Linotype"/>
          <w:b/>
          <w:i/>
          <w:sz w:val="22"/>
          <w:szCs w:val="22"/>
          <w:u w:val="single"/>
        </w:rPr>
        <w:t>así como el nombre, cargo y datos de contacto del personal que le permitirá el acceso</w:t>
      </w:r>
      <w:r w:rsidRPr="005F27AB">
        <w:rPr>
          <w:rFonts w:ascii="Palatino Linotype" w:eastAsia="Palatino Linotype" w:hAnsi="Palatino Linotype" w:cs="Palatino Linotype"/>
          <w:i/>
          <w:sz w:val="22"/>
          <w:szCs w:val="22"/>
        </w:rPr>
        <w:t xml:space="preserve">; </w:t>
      </w:r>
    </w:p>
    <w:p w:rsidR="00360186" w:rsidRPr="005F27AB" w:rsidRDefault="00360186" w:rsidP="005F27AB">
      <w:pPr>
        <w:ind w:left="851" w:right="851"/>
        <w:jc w:val="both"/>
        <w:rPr>
          <w:rFonts w:ascii="Palatino Linotype" w:eastAsia="Palatino Linotype" w:hAnsi="Palatino Linotype" w:cs="Palatino Linotype"/>
          <w:b/>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IV.</w:t>
      </w:r>
      <w:r w:rsidRPr="005F27AB">
        <w:rPr>
          <w:rFonts w:ascii="Palatino Linotype" w:eastAsia="Palatino Linotype" w:hAnsi="Palatino Linotype" w:cs="Palatino Linotype"/>
          <w:i/>
          <w:sz w:val="22"/>
          <w:szCs w:val="22"/>
        </w:rPr>
        <w:t xml:space="preserve"> Proporcionar al solicitante las facilidades y asistencia requerida para la consulta de los documentos;</w:t>
      </w:r>
    </w:p>
    <w:p w:rsidR="00360186" w:rsidRPr="005F27AB" w:rsidRDefault="00360186" w:rsidP="005F27AB">
      <w:pPr>
        <w:ind w:left="851" w:right="851"/>
        <w:jc w:val="both"/>
        <w:rPr>
          <w:rFonts w:ascii="Palatino Linotype" w:eastAsia="Palatino Linotype" w:hAnsi="Palatino Linotype" w:cs="Palatino Linotype"/>
          <w:b/>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V.</w:t>
      </w:r>
      <w:r w:rsidRPr="005F27AB">
        <w:rPr>
          <w:rFonts w:ascii="Palatino Linotype" w:eastAsia="Palatino Linotype" w:hAnsi="Palatino Linotype" w:cs="Palatino Linotype"/>
          <w:i/>
          <w:sz w:val="22"/>
          <w:szCs w:val="22"/>
        </w:rPr>
        <w:t xml:space="preserve"> Abstenerse de requerir al solicitante que acredite interés alguno;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lastRenderedPageBreak/>
        <w:t>VI.</w:t>
      </w:r>
      <w:r w:rsidRPr="005F27AB">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a)</w:t>
      </w:r>
      <w:r w:rsidRPr="005F27AB">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b)</w:t>
      </w:r>
      <w:r w:rsidRPr="005F27AB">
        <w:rPr>
          <w:rFonts w:ascii="Palatino Linotype" w:eastAsia="Palatino Linotype" w:hAnsi="Palatino Linotype" w:cs="Palatino Linotype"/>
          <w:i/>
          <w:sz w:val="22"/>
          <w:szCs w:val="22"/>
        </w:rPr>
        <w:t xml:space="preserve"> Equipo y personal de vigilancia;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c)</w:t>
      </w:r>
      <w:r w:rsidRPr="005F27AB">
        <w:rPr>
          <w:rFonts w:ascii="Palatino Linotype" w:eastAsia="Palatino Linotype" w:hAnsi="Palatino Linotype" w:cs="Palatino Linotype"/>
          <w:i/>
          <w:sz w:val="22"/>
          <w:szCs w:val="22"/>
        </w:rPr>
        <w:t xml:space="preserve"> Plan de acción contra robo o vandalismo;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d)</w:t>
      </w:r>
      <w:r w:rsidRPr="005F27AB">
        <w:rPr>
          <w:rFonts w:ascii="Palatino Linotype" w:eastAsia="Palatino Linotype" w:hAnsi="Palatino Linotype" w:cs="Palatino Linotype"/>
          <w:i/>
          <w:sz w:val="22"/>
          <w:szCs w:val="22"/>
        </w:rPr>
        <w:t xml:space="preserve"> Extintores de fuego de gas inocuo;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e)</w:t>
      </w:r>
      <w:r w:rsidRPr="005F27AB">
        <w:rPr>
          <w:rFonts w:ascii="Palatino Linotype" w:eastAsia="Palatino Linotype" w:hAnsi="Palatino Linotype" w:cs="Palatino Linotype"/>
          <w:i/>
          <w:sz w:val="22"/>
          <w:szCs w:val="22"/>
        </w:rPr>
        <w:t xml:space="preserve"> Registro e identificación del personal autorizado para el tratamiento de los documentos o expedientes a revisar;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f)</w:t>
      </w:r>
      <w:r w:rsidRPr="005F27AB">
        <w:rPr>
          <w:rFonts w:ascii="Palatino Linotype" w:eastAsia="Palatino Linotype" w:hAnsi="Palatino Linotype" w:cs="Palatino Linotype"/>
          <w:i/>
          <w:sz w:val="22"/>
          <w:szCs w:val="22"/>
        </w:rPr>
        <w:t xml:space="preserve"> Registro e identificación de los particulares autorizados para llevar a cabo la consulta directa, y </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g)</w:t>
      </w:r>
      <w:r w:rsidRPr="005F27AB">
        <w:rPr>
          <w:rFonts w:ascii="Palatino Linotype" w:eastAsia="Palatino Linotype" w:hAnsi="Palatino Linotype" w:cs="Palatino Linotype"/>
          <w:i/>
          <w:sz w:val="22"/>
          <w:szCs w:val="22"/>
        </w:rPr>
        <w:t xml:space="preserve"> Las demás que, a criterio de los sujetos obligados, resulten necesarias.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VII.</w:t>
      </w:r>
      <w:r w:rsidRPr="005F27AB">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VIII.</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i/>
          <w:sz w:val="22"/>
          <w:szCs w:val="22"/>
          <w:u w:val="single"/>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r w:rsidRPr="005F27AB">
        <w:rPr>
          <w:rFonts w:ascii="Palatino Linotype" w:eastAsia="Palatino Linotype" w:hAnsi="Palatino Linotype" w:cs="Palatino Linotype"/>
          <w:i/>
          <w:sz w:val="22"/>
          <w:szCs w:val="22"/>
        </w:rPr>
        <w:t xml:space="preserve">.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Septuagésimo primero</w:t>
      </w:r>
      <w:r w:rsidRPr="005F27AB">
        <w:rPr>
          <w:rFonts w:ascii="Palatino Linotype" w:eastAsia="Palatino Linotype" w:hAnsi="Palatino Linotype" w:cs="Palatino Linotype"/>
          <w:i/>
          <w:sz w:val="22"/>
          <w:szCs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Septuagésimo segundo</w:t>
      </w:r>
      <w:r w:rsidRPr="005F27AB">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Si una vez realizada la diligencia, en el tiempo previsto para ello, no fuera posible consultar toda </w:t>
      </w:r>
      <w:r w:rsidRPr="005F27AB">
        <w:rPr>
          <w:rFonts w:ascii="Palatino Linotype" w:eastAsia="Palatino Linotype" w:hAnsi="Palatino Linotype" w:cs="Palatino Linotype"/>
          <w:i/>
          <w:sz w:val="22"/>
          <w:szCs w:val="22"/>
        </w:rPr>
        <w:lastRenderedPageBreak/>
        <w:t xml:space="preserve">la documentación, el solicitante podrá requerir al sujeto obligado una nueva cita, misma que deberá ser programada indicándole al particular los días y horarios en que podrá llevarse a cabo.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bookmarkStart w:id="11" w:name="_heading=h.35nkun2" w:colFirst="0" w:colLast="0"/>
      <w:bookmarkEnd w:id="11"/>
      <w:r w:rsidRPr="005F27AB">
        <w:rPr>
          <w:rFonts w:ascii="Palatino Linotype" w:eastAsia="Palatino Linotype" w:hAnsi="Palatino Linotype" w:cs="Palatino Linotype"/>
          <w:b/>
          <w:i/>
          <w:sz w:val="22"/>
          <w:szCs w:val="22"/>
        </w:rPr>
        <w:t>Septuagésimo tercero</w:t>
      </w:r>
      <w:r w:rsidRPr="005F27AB">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La información deberá ser entregada sin costo, cuando implique la entrega de no más de veinte hojas simples.</w:t>
      </w:r>
    </w:p>
    <w:p w:rsidR="00360186" w:rsidRPr="005F27AB" w:rsidRDefault="00360186" w:rsidP="005F27AB">
      <w:pPr>
        <w:jc w:val="both"/>
        <w:rPr>
          <w:rFonts w:ascii="Palatino Linotype" w:eastAsia="Palatino Linotype" w:hAnsi="Palatino Linotype" w:cs="Palatino Linotype"/>
          <w:sz w:val="22"/>
          <w:szCs w:val="22"/>
        </w:rPr>
      </w:pP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lo que no se puede acreditar de forma fehaciente la necesidad de modificar la forma de entrega de la </w:t>
      </w:r>
      <w:r w:rsidR="006363D5" w:rsidRPr="005F27AB">
        <w:rPr>
          <w:rFonts w:ascii="Palatino Linotype" w:eastAsia="Palatino Linotype" w:hAnsi="Palatino Linotype" w:cs="Palatino Linotype"/>
        </w:rPr>
        <w:t>información</w:t>
      </w:r>
      <w:r w:rsidRPr="005F27AB">
        <w:rPr>
          <w:rFonts w:ascii="Palatino Linotype" w:eastAsia="Palatino Linotype" w:hAnsi="Palatino Linotype" w:cs="Palatino Linotype"/>
        </w:rPr>
        <w:t xml:space="preserve"> a la solicitada por el particular. Luego entonces, dicho cambio de modalidad decidido unilateralmente por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es improcedente por no haberse realizado en apego a los establecido por la Ley de Transparencia y Acceso a la Información Pública del Estado de México y Municipios. </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Una vez señalado anterior, cabe destacar que, en su informe justificado, </w:t>
      </w:r>
      <w:r w:rsidRPr="005F27AB">
        <w:rPr>
          <w:rFonts w:ascii="Palatino Linotype" w:eastAsia="Palatino Linotype" w:hAnsi="Palatino Linotype" w:cs="Palatino Linotype"/>
          <w:b/>
        </w:rPr>
        <w:t xml:space="preserve">EL SUJETO OBLIGADO </w:t>
      </w:r>
      <w:r w:rsidRPr="005F27AB">
        <w:rPr>
          <w:rFonts w:ascii="Palatino Linotype" w:eastAsia="Palatino Linotype" w:hAnsi="Palatino Linotype" w:cs="Palatino Linotype"/>
        </w:rPr>
        <w:t xml:space="preserve">manifiesta contar con dicho soporte documental, admitiendo generar, poseer y administrar la información solicitada por el ahora </w:t>
      </w:r>
      <w:r w:rsidRPr="005F27AB">
        <w:rPr>
          <w:rFonts w:ascii="Palatino Linotype" w:eastAsia="Palatino Linotype" w:hAnsi="Palatino Linotype" w:cs="Palatino Linotype"/>
          <w:b/>
        </w:rPr>
        <w:t>RECURRENTE</w:t>
      </w:r>
    </w:p>
    <w:p w:rsidR="00360186" w:rsidRPr="005F27AB" w:rsidRDefault="0068655E" w:rsidP="005F27AB">
      <w:pPr>
        <w:spacing w:before="280" w:after="280"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Asimismo, es de precisar que la Ley de Transparencia y Acceso a la Información Pública del Estado de México y Municipios que en su artículo 4, refiere que toda la información generada, obtenida, adquirida, transformada, administrada o en posesión de los sujetos obligados es pública y accesible de manera permanente a cualquier </w:t>
      </w:r>
      <w:r w:rsidRPr="005F27AB">
        <w:rPr>
          <w:rFonts w:ascii="Palatino Linotype" w:eastAsia="Palatino Linotype" w:hAnsi="Palatino Linotype" w:cs="Palatino Linotype"/>
        </w:rPr>
        <w:lastRenderedPageBreak/>
        <w:t>persona, privilegiando el principio de máxima publicidad, como así lo establece dicha determinación, que a continuación se transcribe para un mejor entendimiento:</w:t>
      </w:r>
    </w:p>
    <w:p w:rsidR="00360186" w:rsidRPr="005F27AB" w:rsidRDefault="0068655E" w:rsidP="005F27AB">
      <w:pPr>
        <w:spacing w:before="240"/>
        <w:ind w:left="709" w:right="76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Artículo 4</w:t>
      </w:r>
      <w:r w:rsidRPr="005F27A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60186" w:rsidRPr="005F27AB" w:rsidRDefault="0068655E" w:rsidP="005F27AB">
      <w:pPr>
        <w:ind w:left="709" w:right="76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F27A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60186" w:rsidRPr="005F27AB" w:rsidRDefault="0068655E" w:rsidP="005F27AB">
      <w:pPr>
        <w:ind w:left="709" w:right="760"/>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F27AB">
        <w:rPr>
          <w:rFonts w:ascii="Palatino Linotype" w:eastAsia="Palatino Linotype" w:hAnsi="Palatino Linotype" w:cs="Palatino Linotype"/>
          <w:i/>
          <w:sz w:val="22"/>
          <w:szCs w:val="22"/>
        </w:rPr>
        <w:t>.”(Sic)</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Esto es,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360186" w:rsidRPr="005F27AB" w:rsidRDefault="0068655E" w:rsidP="005F27AB">
      <w:pPr>
        <w:ind w:left="567" w:right="758"/>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“Artículo 12.-</w:t>
      </w:r>
      <w:r w:rsidRPr="005F27A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360186" w:rsidRPr="005F27AB" w:rsidRDefault="00360186" w:rsidP="005F27AB">
      <w:pPr>
        <w:ind w:left="567" w:right="758"/>
        <w:jc w:val="both"/>
        <w:rPr>
          <w:rFonts w:ascii="Palatino Linotype" w:eastAsia="Palatino Linotype" w:hAnsi="Palatino Linotype" w:cs="Palatino Linotype"/>
          <w:i/>
          <w:sz w:val="22"/>
          <w:szCs w:val="22"/>
        </w:rPr>
      </w:pPr>
    </w:p>
    <w:p w:rsidR="00360186" w:rsidRPr="005F27AB" w:rsidRDefault="0068655E" w:rsidP="005F27AB">
      <w:pPr>
        <w:ind w:left="567" w:right="758"/>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360186" w:rsidRPr="005F27AB" w:rsidRDefault="00360186" w:rsidP="005F27AB">
      <w:pPr>
        <w:spacing w:line="360" w:lineRule="auto"/>
        <w:ind w:right="-93"/>
        <w:jc w:val="both"/>
        <w:rPr>
          <w:rFonts w:ascii="Palatino Linotype" w:eastAsia="Palatino Linotype" w:hAnsi="Palatino Linotype" w:cs="Palatino Linotype"/>
        </w:rPr>
      </w:pPr>
    </w:p>
    <w:p w:rsidR="00360186" w:rsidRPr="005F27AB" w:rsidRDefault="0068655E" w:rsidP="005F27AB">
      <w:pPr>
        <w:spacing w:line="360" w:lineRule="auto"/>
        <w:ind w:right="-93"/>
        <w:jc w:val="both"/>
        <w:rPr>
          <w:rFonts w:ascii="Palatino Linotype" w:eastAsia="Palatino Linotype" w:hAnsi="Palatino Linotype" w:cs="Palatino Linotype"/>
        </w:rPr>
      </w:pPr>
      <w:r w:rsidRPr="005F27A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360186" w:rsidRPr="005F27AB" w:rsidRDefault="00360186" w:rsidP="005F27AB">
      <w:pPr>
        <w:spacing w:line="360" w:lineRule="auto"/>
        <w:ind w:right="-93"/>
        <w:jc w:val="both"/>
        <w:rPr>
          <w:rFonts w:ascii="Palatino Linotype" w:eastAsia="Palatino Linotype" w:hAnsi="Palatino Linotype" w:cs="Palatino Linotype"/>
        </w:rPr>
      </w:pP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Siempre y cuando no se trate de información reservada o clasificada, que el difundirla ponga en riesgo la seguridad jurídica y física del titular de la información, debiendo </w:t>
      </w:r>
      <w:r w:rsidRPr="005F27AB">
        <w:rPr>
          <w:rFonts w:ascii="Palatino Linotype" w:eastAsia="Palatino Linotype" w:hAnsi="Palatino Linotype" w:cs="Palatino Linotype"/>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60186" w:rsidRPr="005F27AB" w:rsidRDefault="00360186" w:rsidP="005F27AB">
      <w:pPr>
        <w:spacing w:line="360" w:lineRule="auto"/>
        <w:ind w:right="49"/>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60186" w:rsidRPr="005F27AB" w:rsidRDefault="00360186" w:rsidP="005F27AB">
      <w:pPr>
        <w:ind w:left="851" w:right="899"/>
        <w:jc w:val="both"/>
        <w:rPr>
          <w:rFonts w:ascii="Palatino Linotype" w:eastAsia="Palatino Linotype" w:hAnsi="Palatino Linotype" w:cs="Palatino Linotype"/>
          <w:i/>
          <w:sz w:val="22"/>
          <w:szCs w:val="22"/>
        </w:rPr>
      </w:pP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 xml:space="preserve">Artículo 3. </w:t>
      </w:r>
      <w:r w:rsidRPr="005F27AB">
        <w:rPr>
          <w:rFonts w:ascii="Palatino Linotype" w:eastAsia="Palatino Linotype" w:hAnsi="Palatino Linotype" w:cs="Palatino Linotype"/>
          <w:i/>
          <w:sz w:val="22"/>
          <w:szCs w:val="22"/>
        </w:rPr>
        <w:t>Para los efectos de la presente Ley se entenderá por:</w:t>
      </w: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XI. Documento:</w:t>
      </w:r>
      <w:r w:rsidRPr="005F27AB">
        <w:rPr>
          <w:rFonts w:ascii="Palatino Linotype" w:eastAsia="Palatino Linotype" w:hAnsi="Palatino Linotype" w:cs="Palatino Linotype"/>
          <w:i/>
          <w:sz w:val="22"/>
          <w:szCs w:val="22"/>
        </w:rPr>
        <w:t xml:space="preserve"> Los expedientes, reportes, estudios, actas</w:t>
      </w:r>
      <w:r w:rsidRPr="005F27AB">
        <w:rPr>
          <w:rFonts w:ascii="Palatino Linotype" w:eastAsia="Palatino Linotype" w:hAnsi="Palatino Linotype" w:cs="Palatino Linotype"/>
          <w:b/>
          <w:i/>
          <w:sz w:val="22"/>
          <w:szCs w:val="22"/>
        </w:rPr>
        <w:t>,</w:t>
      </w:r>
      <w:r w:rsidRPr="005F27A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360186" w:rsidRPr="005F27AB" w:rsidRDefault="00360186" w:rsidP="005F27AB">
      <w:pPr>
        <w:ind w:left="851" w:right="899"/>
        <w:jc w:val="both"/>
        <w:rPr>
          <w:rFonts w:ascii="Palatino Linotype" w:eastAsia="Palatino Linotype" w:hAnsi="Palatino Linotype" w:cs="Palatino Linotype"/>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sidRPr="005F27AB">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360186" w:rsidRPr="005F27AB" w:rsidRDefault="00360186" w:rsidP="005F27AB">
      <w:pPr>
        <w:ind w:left="851" w:right="899"/>
        <w:jc w:val="both"/>
        <w:rPr>
          <w:rFonts w:ascii="Palatino Linotype" w:eastAsia="Palatino Linotype" w:hAnsi="Palatino Linotype" w:cs="Palatino Linotype"/>
        </w:rPr>
      </w:pPr>
    </w:p>
    <w:p w:rsidR="00360186" w:rsidRPr="005F27AB" w:rsidRDefault="0068655E" w:rsidP="005F27AB">
      <w:pPr>
        <w:ind w:left="851" w:right="899"/>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sz w:val="22"/>
          <w:szCs w:val="22"/>
        </w:rPr>
        <w:t>“</w:t>
      </w:r>
      <w:r w:rsidRPr="005F27AB">
        <w:rPr>
          <w:rFonts w:ascii="Palatino Linotype" w:eastAsia="Palatino Linotype" w:hAnsi="Palatino Linotype" w:cs="Palatino Linotype"/>
          <w:b/>
          <w:i/>
          <w:sz w:val="22"/>
          <w:szCs w:val="22"/>
        </w:rPr>
        <w:t>CRITERIO 0002-11</w:t>
      </w: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F27A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360186" w:rsidRPr="005F27AB" w:rsidRDefault="0068655E" w:rsidP="005F27AB">
      <w:pPr>
        <w:ind w:left="851"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360186" w:rsidRPr="005F27AB" w:rsidRDefault="0068655E" w:rsidP="005F27AB">
      <w:pPr>
        <w:ind w:left="851" w:right="899"/>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360186" w:rsidRPr="005F27AB" w:rsidRDefault="0068655E" w:rsidP="005F27AB">
      <w:pPr>
        <w:ind w:left="851" w:right="899"/>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360186" w:rsidRPr="005F27AB" w:rsidRDefault="00360186" w:rsidP="005F27AB">
      <w:pPr>
        <w:spacing w:line="360" w:lineRule="auto"/>
        <w:ind w:right="-93"/>
        <w:jc w:val="both"/>
        <w:rPr>
          <w:rFonts w:ascii="Palatino Linotype" w:eastAsia="Palatino Linotype" w:hAnsi="Palatino Linotype" w:cs="Palatino Linotype"/>
        </w:rPr>
      </w:pPr>
    </w:p>
    <w:p w:rsidR="00360186" w:rsidRPr="005F27AB" w:rsidRDefault="0068655E" w:rsidP="005F27AB">
      <w:pPr>
        <w:tabs>
          <w:tab w:val="left" w:pos="709"/>
        </w:tabs>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En consecuencia con la finalidad de privilegiar el derecho de acceso a la información pública del </w:t>
      </w:r>
      <w:r w:rsidRPr="005F27AB">
        <w:rPr>
          <w:rFonts w:ascii="Palatino Linotype" w:eastAsia="Palatino Linotype" w:hAnsi="Palatino Linotype" w:cs="Palatino Linotype"/>
          <w:b/>
        </w:rPr>
        <w:t>RECURRENTE</w:t>
      </w:r>
      <w:r w:rsidRPr="005F27AB">
        <w:rPr>
          <w:rFonts w:ascii="Palatino Linotype" w:eastAsia="Palatino Linotype" w:hAnsi="Palatino Linotype" w:cs="Palatino Linotype"/>
        </w:rPr>
        <w:t xml:space="preserve">, el Pleno de este Instituto, estima que las razones o motivos de inconformidad hechos valer por </w:t>
      </w:r>
      <w:r w:rsidRPr="005F27AB">
        <w:rPr>
          <w:rFonts w:ascii="Palatino Linotype" w:eastAsia="Palatino Linotype" w:hAnsi="Palatino Linotype" w:cs="Palatino Linotype"/>
          <w:b/>
        </w:rPr>
        <w:t>EL RECURRENTE</w:t>
      </w:r>
      <w:r w:rsidRPr="005F27AB">
        <w:rPr>
          <w:rFonts w:ascii="Palatino Linotype" w:eastAsia="Palatino Linotype" w:hAnsi="Palatino Linotype" w:cs="Palatino Linotype"/>
        </w:rPr>
        <w:t xml:space="preserve"> resultan fundadas y se determina</w:t>
      </w:r>
      <w:r w:rsidRPr="005F27AB">
        <w:rPr>
          <w:rFonts w:ascii="Palatino Linotype" w:eastAsia="Palatino Linotype" w:hAnsi="Palatino Linotype" w:cs="Palatino Linotype"/>
          <w:b/>
        </w:rPr>
        <w:t xml:space="preserve"> REVOCAR </w:t>
      </w:r>
      <w:r w:rsidRPr="005F27AB">
        <w:rPr>
          <w:rFonts w:ascii="Palatino Linotype" w:eastAsia="Palatino Linotype" w:hAnsi="Palatino Linotype" w:cs="Palatino Linotype"/>
        </w:rPr>
        <w:t xml:space="preserve"> la respuesta del </w:t>
      </w:r>
      <w:r w:rsidRPr="005F27AB">
        <w:rPr>
          <w:rFonts w:ascii="Palatino Linotype" w:eastAsia="Palatino Linotype" w:hAnsi="Palatino Linotype" w:cs="Palatino Linotype"/>
          <w:b/>
        </w:rPr>
        <w:t>SUJETO OBLIGADO</w:t>
      </w:r>
      <w:r w:rsidRPr="005F27AB">
        <w:rPr>
          <w:rFonts w:ascii="Palatino Linotype" w:eastAsia="Palatino Linotype" w:hAnsi="Palatino Linotype" w:cs="Palatino Linotype"/>
        </w:rPr>
        <w:t xml:space="preserve"> a la solicitud de información </w:t>
      </w:r>
      <w:r w:rsidR="006363D5" w:rsidRPr="005F27AB">
        <w:rPr>
          <w:rFonts w:ascii="Palatino Linotype" w:eastAsia="Palatino Linotype" w:hAnsi="Palatino Linotype" w:cs="Palatino Linotype"/>
        </w:rPr>
        <w:t>recaída</w:t>
      </w:r>
      <w:r w:rsidRPr="005F27AB">
        <w:rPr>
          <w:rFonts w:ascii="Palatino Linotype" w:eastAsia="Palatino Linotype" w:hAnsi="Palatino Linotype" w:cs="Palatino Linotype"/>
        </w:rPr>
        <w:t xml:space="preserve"> en el Recurso de Revisión número </w:t>
      </w:r>
      <w:r w:rsidRPr="005F27AB">
        <w:rPr>
          <w:rFonts w:ascii="Palatino Linotype" w:eastAsia="Palatino Linotype" w:hAnsi="Palatino Linotype" w:cs="Palatino Linotype"/>
          <w:b/>
        </w:rPr>
        <w:t>14947/INFOEM/IP/RR/2022,</w:t>
      </w:r>
      <w:r w:rsidRPr="005F27AB">
        <w:rPr>
          <w:rFonts w:ascii="Palatino Linotype" w:eastAsia="Palatino Linotype" w:hAnsi="Palatino Linotype" w:cs="Palatino Linotype"/>
        </w:rPr>
        <w:t xml:space="preserve"> ordenar al </w:t>
      </w:r>
      <w:r w:rsidRPr="005F27AB">
        <w:rPr>
          <w:rFonts w:ascii="Palatino Linotype" w:eastAsia="Palatino Linotype" w:hAnsi="Palatino Linotype" w:cs="Palatino Linotype"/>
          <w:b/>
        </w:rPr>
        <w:t xml:space="preserve">SUJETO OBLIGADO </w:t>
      </w:r>
      <w:r w:rsidRPr="005F27AB">
        <w:rPr>
          <w:rFonts w:ascii="Palatino Linotype" w:eastAsia="Palatino Linotype" w:hAnsi="Palatino Linotype" w:cs="Palatino Linotype"/>
        </w:rPr>
        <w:t xml:space="preserve">permita la consulta directa, en versión pública, de </w:t>
      </w:r>
      <w:r w:rsidRPr="005F27AB">
        <w:rPr>
          <w:rFonts w:ascii="Palatino Linotype" w:eastAsia="Palatino Linotype" w:hAnsi="Palatino Linotype" w:cs="Palatino Linotype"/>
        </w:rPr>
        <w:lastRenderedPageBreak/>
        <w:t xml:space="preserve">los  oficios salientes y firmados por la secretaria del ayuntamiento del uno de enero al treinta y uno de agosto de dos mil </w:t>
      </w:r>
      <w:r w:rsidR="00B77B20" w:rsidRPr="005F27AB">
        <w:rPr>
          <w:rFonts w:ascii="Palatino Linotype" w:eastAsia="Palatino Linotype" w:hAnsi="Palatino Linotype" w:cs="Palatino Linotype"/>
        </w:rPr>
        <w:t>veintidós</w:t>
      </w:r>
      <w:r w:rsidRPr="005F27AB">
        <w:rPr>
          <w:rFonts w:ascii="Palatino Linotype" w:eastAsia="Palatino Linotype" w:hAnsi="Palatino Linotype" w:cs="Palatino Linotype"/>
        </w:rPr>
        <w:t>.</w:t>
      </w:r>
    </w:p>
    <w:p w:rsidR="00360186" w:rsidRPr="005F27AB" w:rsidRDefault="00360186" w:rsidP="005F27AB">
      <w:pPr>
        <w:tabs>
          <w:tab w:val="left" w:pos="709"/>
        </w:tabs>
        <w:spacing w:line="360" w:lineRule="auto"/>
        <w:ind w:right="49"/>
        <w:jc w:val="both"/>
        <w:rPr>
          <w:rFonts w:ascii="Palatino Linotype" w:eastAsia="Palatino Linotype" w:hAnsi="Palatino Linotype" w:cs="Palatino Linotype"/>
        </w:rPr>
      </w:pPr>
    </w:p>
    <w:p w:rsidR="00360186" w:rsidRPr="005F27AB" w:rsidRDefault="0068655E" w:rsidP="005F27AB">
      <w:pPr>
        <w:tabs>
          <w:tab w:val="left" w:pos="709"/>
        </w:tabs>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5F27AB">
        <w:rPr>
          <w:rFonts w:ascii="Palatino Linotype" w:eastAsia="Palatino Linotype" w:hAnsi="Palatino Linotype" w:cs="Palatino Linotype"/>
          <w:b/>
        </w:rPr>
        <w:t>SUJETO OBLIGADO</w:t>
      </w:r>
      <w:r w:rsidRPr="005F27AB">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ende,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w:t>
      </w:r>
      <w:r w:rsidRPr="005F27AB">
        <w:rPr>
          <w:rFonts w:ascii="Palatino Linotype" w:eastAsia="Palatino Linotype" w:hAnsi="Palatino Linotype" w:cs="Palatino Linotype"/>
        </w:rPr>
        <w:lastRenderedPageBreak/>
        <w:t>Primero de los Lineamientos Generales en materia de Clasificación y Desclasificación de la Información, así como para la elaboración de Versiones Públicas, que literalmente expresan:</w:t>
      </w:r>
    </w:p>
    <w:p w:rsidR="00360186" w:rsidRPr="005F27AB" w:rsidRDefault="0068655E" w:rsidP="005F27AB">
      <w:pPr>
        <w:ind w:left="851" w:right="902"/>
        <w:jc w:val="center"/>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Ley de Transparencia y Acceso a la Información Pública del Estado de México y Municipios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 xml:space="preserve">Artículo 49. </w:t>
      </w:r>
      <w:r w:rsidRPr="005F27AB">
        <w:rPr>
          <w:rFonts w:ascii="Palatino Linotype" w:eastAsia="Palatino Linotype" w:hAnsi="Palatino Linotype" w:cs="Palatino Linotype"/>
          <w:i/>
          <w:sz w:val="22"/>
          <w:szCs w:val="22"/>
        </w:rPr>
        <w:t>Los Comités de Transparencia tendrán las siguientes atribuciones: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VIII.</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b/>
          <w:i/>
          <w:sz w:val="22"/>
          <w:szCs w:val="22"/>
        </w:rPr>
        <w:t>Aprobar</w:t>
      </w:r>
      <w:r w:rsidRPr="005F27AB">
        <w:rPr>
          <w:rFonts w:ascii="Palatino Linotype" w:eastAsia="Palatino Linotype" w:hAnsi="Palatino Linotype" w:cs="Palatino Linotype"/>
          <w:i/>
          <w:sz w:val="22"/>
          <w:szCs w:val="22"/>
        </w:rPr>
        <w:t>, modificar o revocar la clasificación de la información;</w:t>
      </w:r>
    </w:p>
    <w:p w:rsidR="00360186" w:rsidRPr="005F27AB" w:rsidRDefault="0068655E" w:rsidP="005F27AB">
      <w:pPr>
        <w:ind w:left="851" w:right="902"/>
        <w:jc w:val="both"/>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Artículo 132.</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b/>
          <w:i/>
          <w:sz w:val="22"/>
          <w:szCs w:val="22"/>
        </w:rPr>
        <w:t>La clasificación de la información se llevará a cabo en el momento en que:</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II.</w:t>
      </w:r>
      <w:r w:rsidRPr="005F27AB">
        <w:rPr>
          <w:rFonts w:ascii="Palatino Linotype" w:eastAsia="Palatino Linotype" w:hAnsi="Palatino Linotype" w:cs="Palatino Linotype"/>
          <w:i/>
          <w:sz w:val="22"/>
          <w:szCs w:val="22"/>
        </w:rPr>
        <w:t xml:space="preserve"> Se determine mediante resolución de autoridad competente; o</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III</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b/>
          <w:i/>
          <w:sz w:val="22"/>
          <w:szCs w:val="22"/>
        </w:rPr>
        <w:t>Se generen versiones públicas para dar cumplimiento a las obligaciones de transparencia previstas en esta Ley</w:t>
      </w:r>
      <w:r w:rsidRPr="005F27AB">
        <w:rPr>
          <w:rFonts w:ascii="Palatino Linotype" w:eastAsia="Palatino Linotype" w:hAnsi="Palatino Linotype" w:cs="Palatino Linotype"/>
          <w:i/>
          <w:sz w:val="22"/>
          <w:szCs w:val="22"/>
        </w:rPr>
        <w:t>.”</w:t>
      </w:r>
    </w:p>
    <w:p w:rsidR="00360186" w:rsidRPr="005F27AB" w:rsidRDefault="0068655E" w:rsidP="005F27AB">
      <w:pPr>
        <w:ind w:left="851" w:right="902"/>
        <w:jc w:val="center"/>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Lineamientos Generales en materia de Clasificación y Desclasificación de la Información</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r w:rsidRPr="005F27AB">
        <w:rPr>
          <w:rFonts w:ascii="Palatino Linotype" w:eastAsia="Palatino Linotype" w:hAnsi="Palatino Linotype" w:cs="Palatino Linotype"/>
          <w:b/>
          <w:i/>
          <w:sz w:val="22"/>
          <w:szCs w:val="22"/>
        </w:rPr>
        <w:t>Segundo.-</w:t>
      </w:r>
      <w:r w:rsidRPr="005F27AB">
        <w:rPr>
          <w:rFonts w:ascii="Palatino Linotype" w:eastAsia="Palatino Linotype" w:hAnsi="Palatino Linotype" w:cs="Palatino Linotype"/>
          <w:i/>
          <w:sz w:val="22"/>
          <w:szCs w:val="22"/>
        </w:rPr>
        <w:t xml:space="preserve"> Para efectos de los presentes Lineamientos Generales, se entenderá por:</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XVIII.</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b/>
          <w:i/>
          <w:sz w:val="22"/>
          <w:szCs w:val="22"/>
        </w:rPr>
        <w:t>Versión pública:</w:t>
      </w:r>
      <w:r w:rsidRPr="005F27A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F27AB">
        <w:rPr>
          <w:rFonts w:ascii="Palatino Linotype" w:eastAsia="Palatino Linotype" w:hAnsi="Palatino Linotype" w:cs="Palatino Linotype"/>
          <w:b/>
          <w:i/>
          <w:sz w:val="22"/>
          <w:szCs w:val="22"/>
        </w:rPr>
        <w:t>fundando y motivando la</w:t>
      </w:r>
      <w:r w:rsidRPr="005F27AB">
        <w:rPr>
          <w:rFonts w:ascii="Palatino Linotype" w:eastAsia="Palatino Linotype" w:hAnsi="Palatino Linotype" w:cs="Palatino Linotype"/>
          <w:i/>
          <w:sz w:val="22"/>
          <w:szCs w:val="22"/>
        </w:rPr>
        <w:t xml:space="preserve"> reserva o </w:t>
      </w:r>
      <w:r w:rsidRPr="005F27AB">
        <w:rPr>
          <w:rFonts w:ascii="Palatino Linotype" w:eastAsia="Palatino Linotype" w:hAnsi="Palatino Linotype" w:cs="Palatino Linotype"/>
          <w:b/>
          <w:i/>
          <w:sz w:val="22"/>
          <w:szCs w:val="22"/>
        </w:rPr>
        <w:t>confidencialidad</w:t>
      </w:r>
      <w:r w:rsidRPr="005F27AB">
        <w:rPr>
          <w:rFonts w:ascii="Palatino Linotype" w:eastAsia="Palatino Linotype" w:hAnsi="Palatino Linotype" w:cs="Palatino Linotype"/>
          <w:i/>
          <w:sz w:val="22"/>
          <w:szCs w:val="22"/>
        </w:rPr>
        <w:t>, a través de la resolución que para tal efecto emita el Comité de Transparencia.</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Cuarto.</w:t>
      </w:r>
      <w:r w:rsidRPr="005F27AB">
        <w:rPr>
          <w:rFonts w:ascii="Palatino Linotype" w:eastAsia="Palatino Linotype" w:hAnsi="Palatino Linotype" w:cs="Palatino Linotype"/>
          <w:i/>
          <w:sz w:val="22"/>
          <w:szCs w:val="22"/>
        </w:rPr>
        <w:t xml:space="preserve"> </w:t>
      </w:r>
      <w:r w:rsidRPr="005F27AB">
        <w:rPr>
          <w:rFonts w:ascii="Palatino Linotype" w:eastAsia="Palatino Linotype" w:hAnsi="Palatino Linotype" w:cs="Palatino Linotype"/>
          <w:b/>
          <w:i/>
          <w:sz w:val="22"/>
          <w:szCs w:val="22"/>
        </w:rPr>
        <w:t>Para clasificar la información como</w:t>
      </w:r>
      <w:r w:rsidRPr="005F27AB">
        <w:rPr>
          <w:rFonts w:ascii="Palatino Linotype" w:eastAsia="Palatino Linotype" w:hAnsi="Palatino Linotype" w:cs="Palatino Linotype"/>
          <w:i/>
          <w:sz w:val="22"/>
          <w:szCs w:val="22"/>
        </w:rPr>
        <w:t xml:space="preserve"> reservada o </w:t>
      </w:r>
      <w:r w:rsidRPr="005F27A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5F27A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Quinto.</w:t>
      </w:r>
      <w:r w:rsidRPr="005F27A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5F27AB">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Sexto.</w:t>
      </w:r>
      <w:r w:rsidRPr="005F27A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Séptimo.</w:t>
      </w:r>
      <w:r w:rsidRPr="005F27AB">
        <w:rPr>
          <w:rFonts w:ascii="Palatino Linotype" w:eastAsia="Palatino Linotype" w:hAnsi="Palatino Linotype" w:cs="Palatino Linotype"/>
          <w:i/>
          <w:sz w:val="22"/>
          <w:szCs w:val="22"/>
        </w:rPr>
        <w:t xml:space="preserve"> La clasificación de la información se llevará a cabo en el momento en que:</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w:t>
      </w:r>
      <w:r w:rsidRPr="005F27AB">
        <w:rPr>
          <w:rFonts w:ascii="Palatino Linotype" w:eastAsia="Palatino Linotype" w:hAnsi="Palatino Linotype" w:cs="Palatino Linotype"/>
          <w:i/>
          <w:sz w:val="22"/>
          <w:szCs w:val="22"/>
        </w:rPr>
        <w:t xml:space="preserve"> Se reciba una solicitud de acceso a la información;</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II.</w:t>
      </w:r>
      <w:r w:rsidRPr="005F27AB">
        <w:rPr>
          <w:rFonts w:ascii="Palatino Linotype" w:eastAsia="Palatino Linotype" w:hAnsi="Palatino Linotype" w:cs="Palatino Linotype"/>
          <w:i/>
          <w:sz w:val="22"/>
          <w:szCs w:val="22"/>
        </w:rPr>
        <w:t xml:space="preserve"> Se determine mediante resolución de autoridad competente, o</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III.</w:t>
      </w:r>
      <w:r w:rsidRPr="005F27A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Octavo.</w:t>
      </w:r>
      <w:r w:rsidRPr="005F27A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Noveno.</w:t>
      </w:r>
      <w:r w:rsidRPr="005F27A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lastRenderedPageBreak/>
        <w:t>Décimo.</w:t>
      </w:r>
      <w:r w:rsidRPr="005F27A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360186" w:rsidRPr="005F27AB" w:rsidRDefault="0068655E" w:rsidP="005F27AB">
      <w:pPr>
        <w:ind w:left="851" w:right="902"/>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Décimo primero.</w:t>
      </w:r>
      <w:r w:rsidRPr="005F27A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60186" w:rsidRPr="005F27AB" w:rsidRDefault="00360186" w:rsidP="005F27AB">
      <w:pPr>
        <w:ind w:left="851" w:right="902"/>
        <w:jc w:val="both"/>
        <w:rPr>
          <w:rFonts w:ascii="Palatino Linotype" w:eastAsia="Palatino Linotype" w:hAnsi="Palatino Linotype" w:cs="Palatino Linotype"/>
          <w:i/>
          <w:sz w:val="22"/>
          <w:szCs w:val="22"/>
        </w:rPr>
      </w:pPr>
    </w:p>
    <w:p w:rsidR="00360186" w:rsidRPr="005F27AB" w:rsidRDefault="0068655E" w:rsidP="005F27AB">
      <w:pPr>
        <w:ind w:left="850" w:right="901"/>
        <w:jc w:val="center"/>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CAPÍTULO VIII</w:t>
      </w:r>
    </w:p>
    <w:p w:rsidR="00360186" w:rsidRPr="005F27AB" w:rsidRDefault="0068655E" w:rsidP="005F27AB">
      <w:pPr>
        <w:ind w:left="850" w:right="901"/>
        <w:jc w:val="center"/>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DE LA LEYENDA DE CLASIFICACIÓN</w:t>
      </w:r>
    </w:p>
    <w:p w:rsidR="00360186" w:rsidRPr="005F27AB" w:rsidRDefault="0068655E" w:rsidP="005F27AB">
      <w:pPr>
        <w:ind w:left="850" w:right="90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 xml:space="preserve">Quincuagésimo. </w:t>
      </w:r>
      <w:r w:rsidRPr="005F27A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5F27A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360186" w:rsidRPr="005F27AB" w:rsidRDefault="0068655E" w:rsidP="005F27AB">
      <w:pPr>
        <w:ind w:left="850" w:right="90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w:t>
      </w:r>
    </w:p>
    <w:p w:rsidR="00360186" w:rsidRPr="005F27AB" w:rsidRDefault="0068655E" w:rsidP="005F27AB">
      <w:pPr>
        <w:ind w:left="850" w:right="90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b/>
          <w:i/>
          <w:sz w:val="22"/>
          <w:szCs w:val="22"/>
        </w:rPr>
        <w:t xml:space="preserve">Quincuagésimo tercero. </w:t>
      </w:r>
      <w:r w:rsidRPr="005F27AB">
        <w:rPr>
          <w:rFonts w:ascii="Palatino Linotype" w:eastAsia="Palatino Linotype" w:hAnsi="Palatino Linotype" w:cs="Palatino Linotype"/>
          <w:b/>
          <w:i/>
          <w:sz w:val="22"/>
          <w:szCs w:val="22"/>
          <w:u w:val="single"/>
        </w:rPr>
        <w:t>El formato para señalar la clasificación parcial de un documento</w:t>
      </w:r>
      <w:r w:rsidRPr="005F27AB">
        <w:rPr>
          <w:rFonts w:ascii="Palatino Linotype" w:eastAsia="Palatino Linotype" w:hAnsi="Palatino Linotype" w:cs="Palatino Linotype"/>
          <w:i/>
          <w:sz w:val="22"/>
          <w:szCs w:val="22"/>
        </w:rPr>
        <w:t>, es el siguiente:</w:t>
      </w:r>
    </w:p>
    <w:p w:rsidR="00360186" w:rsidRPr="005F27AB" w:rsidRDefault="00360186" w:rsidP="005F27AB">
      <w:pPr>
        <w:ind w:left="850" w:right="901"/>
        <w:jc w:val="both"/>
        <w:rPr>
          <w:rFonts w:ascii="Palatino Linotype" w:eastAsia="Palatino Linotype" w:hAnsi="Palatino Linotype" w:cs="Palatino Linotype"/>
          <w:i/>
          <w:sz w:val="22"/>
          <w:szCs w:val="22"/>
        </w:rPr>
      </w:pPr>
    </w:p>
    <w:tbl>
      <w:tblPr>
        <w:tblStyle w:val="affffffffff2"/>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360186" w:rsidRPr="005F27AB">
        <w:trPr>
          <w:jc w:val="center"/>
        </w:trPr>
        <w:tc>
          <w:tcPr>
            <w:tcW w:w="1129" w:type="dxa"/>
            <w:tcBorders>
              <w:top w:val="single" w:sz="4" w:space="0" w:color="000000"/>
              <w:left w:val="single" w:sz="4" w:space="0" w:color="000000"/>
              <w:bottom w:val="single" w:sz="4" w:space="0" w:color="000000"/>
              <w:right w:val="single" w:sz="4" w:space="0" w:color="000000"/>
            </w:tcBorders>
          </w:tcPr>
          <w:p w:rsidR="00360186" w:rsidRPr="005F27AB" w:rsidRDefault="00360186" w:rsidP="005F27AB">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b/>
                <w:i/>
              </w:rPr>
            </w:pPr>
            <w:r w:rsidRPr="005F27A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b/>
                <w:i/>
              </w:rPr>
            </w:pPr>
            <w:r w:rsidRPr="005F27AB">
              <w:rPr>
                <w:rFonts w:ascii="Palatino Linotype" w:eastAsia="Palatino Linotype" w:hAnsi="Palatino Linotype" w:cs="Palatino Linotype"/>
                <w:b/>
                <w:i/>
              </w:rPr>
              <w:t>Dónde:</w:t>
            </w:r>
          </w:p>
        </w:tc>
      </w:tr>
      <w:tr w:rsidR="00360186" w:rsidRPr="005F27AB">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360186" w:rsidRPr="005F27AB" w:rsidRDefault="0068655E" w:rsidP="005F27AB">
            <w:pPr>
              <w:jc w:val="center"/>
              <w:rPr>
                <w:rFonts w:ascii="Palatino Linotype" w:eastAsia="Palatino Linotype" w:hAnsi="Palatino Linotype" w:cs="Palatino Linotype"/>
                <w:b/>
                <w:i/>
              </w:rPr>
            </w:pPr>
            <w:r w:rsidRPr="005F27A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Se anotará la fecha en la que el Comité de Transparencia confirmó la clasificación del documento, en su caso.</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Se señalará el nombre del área del cual es titular quien clasifica.</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anotarán todas las páginas que lo conforman. Si </w:t>
            </w:r>
            <w:r w:rsidRPr="005F27AB">
              <w:rPr>
                <w:rFonts w:ascii="Palatino Linotype" w:eastAsia="Palatino Linotype" w:hAnsi="Palatino Linotype" w:cs="Palatino Linotype"/>
                <w:i/>
              </w:rPr>
              <w:lastRenderedPageBreak/>
              <w:t>el documento no contiene información reservada, se tachará este apartado.</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Se anotará el número de años o meses por los que se mantendrá el documento o las partes del mismo como reservado.</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Se señalará el nombre del ordenamiento, el o los artículos, fracción(es), párrafo(s) con base en los cuales se sustente la reserva.</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b/>
                <w:i/>
                <w:u w:val="single"/>
              </w:rPr>
            </w:pPr>
            <w:r w:rsidRPr="005F27AB">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 xml:space="preserve">Se indicarán, en su caso, </w:t>
            </w:r>
            <w:r w:rsidRPr="005F27AB">
              <w:rPr>
                <w:rFonts w:ascii="Palatino Linotype" w:eastAsia="Palatino Linotype" w:hAnsi="Palatino Linotype" w:cs="Palatino Linotype"/>
                <w:b/>
                <w:i/>
                <w:u w:val="single"/>
              </w:rPr>
              <w:t>las partes o páginas del documento que se clasifica como confidencial</w:t>
            </w:r>
            <w:r w:rsidRPr="005F27AB">
              <w:rPr>
                <w:rFonts w:ascii="Palatino Linotype" w:eastAsia="Palatino Linotype" w:hAnsi="Palatino Linotype" w:cs="Palatino Linotype"/>
                <w:i/>
              </w:rPr>
              <w:t xml:space="preserve">. </w:t>
            </w:r>
            <w:r w:rsidRPr="005F27AB">
              <w:rPr>
                <w:rFonts w:ascii="Palatino Linotype" w:eastAsia="Palatino Linotype" w:hAnsi="Palatino Linotype" w:cs="Palatino Linotype"/>
                <w:b/>
                <w:i/>
                <w:u w:val="single"/>
              </w:rPr>
              <w:t>Si el documento fuera confidencial en su totalidad, se anotarán todas las páginas que lo conforman</w:t>
            </w:r>
            <w:r w:rsidRPr="005F27AB">
              <w:rPr>
                <w:rFonts w:ascii="Palatino Linotype" w:eastAsia="Palatino Linotype" w:hAnsi="Palatino Linotype" w:cs="Palatino Linotype"/>
                <w:i/>
              </w:rPr>
              <w:t>. Si el documento no contiene información confidencial, se tachará este apartado.</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Rúbrica autógrafa de quien clasifica.</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both"/>
              <w:rPr>
                <w:rFonts w:ascii="Palatino Linotype" w:eastAsia="Palatino Linotype" w:hAnsi="Palatino Linotype" w:cs="Palatino Linotype"/>
                <w:i/>
              </w:rPr>
            </w:pPr>
            <w:r w:rsidRPr="005F27AB">
              <w:rPr>
                <w:rFonts w:ascii="Palatino Linotype" w:eastAsia="Palatino Linotype" w:hAnsi="Palatino Linotype" w:cs="Palatino Linotype"/>
                <w:i/>
              </w:rPr>
              <w:t>Se anotará la fecha en que se desclasifica el documento.</w:t>
            </w:r>
          </w:p>
        </w:tc>
      </w:tr>
      <w:tr w:rsidR="00360186" w:rsidRPr="005F27AB">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360186" w:rsidRPr="005F27AB" w:rsidRDefault="00360186" w:rsidP="005F27AB">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360186" w:rsidRPr="005F27AB" w:rsidRDefault="0068655E" w:rsidP="005F27AB">
            <w:pPr>
              <w:jc w:val="center"/>
              <w:rPr>
                <w:rFonts w:ascii="Palatino Linotype" w:eastAsia="Palatino Linotype" w:hAnsi="Palatino Linotype" w:cs="Palatino Linotype"/>
                <w:i/>
              </w:rPr>
            </w:pPr>
            <w:r w:rsidRPr="005F27A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360186" w:rsidRPr="005F27AB" w:rsidRDefault="0068655E" w:rsidP="005F27AB">
            <w:pPr>
              <w:rPr>
                <w:rFonts w:ascii="Palatino Linotype" w:eastAsia="Palatino Linotype" w:hAnsi="Palatino Linotype" w:cs="Palatino Linotype"/>
                <w:i/>
              </w:rPr>
            </w:pPr>
            <w:r w:rsidRPr="005F27AB">
              <w:rPr>
                <w:rFonts w:ascii="Palatino Linotype" w:eastAsia="Palatino Linotype" w:hAnsi="Palatino Linotype" w:cs="Palatino Linotype"/>
                <w:i/>
              </w:rPr>
              <w:t>Rúbrica autógrafa de quien desclasifica.</w:t>
            </w:r>
          </w:p>
        </w:tc>
      </w:tr>
    </w:tbl>
    <w:p w:rsidR="00360186" w:rsidRPr="005F27AB" w:rsidRDefault="0068655E" w:rsidP="005F27AB">
      <w:pPr>
        <w:ind w:left="709" w:right="709"/>
        <w:jc w:val="both"/>
        <w:rPr>
          <w:rFonts w:ascii="Palatino Linotype" w:eastAsia="Palatino Linotype" w:hAnsi="Palatino Linotype" w:cs="Palatino Linotype"/>
          <w:sz w:val="22"/>
          <w:szCs w:val="22"/>
        </w:rPr>
      </w:pPr>
      <w:r w:rsidRPr="005F27AB">
        <w:rPr>
          <w:rFonts w:ascii="Palatino Linotype" w:eastAsia="Palatino Linotype" w:hAnsi="Palatino Linotype" w:cs="Palatino Linotype"/>
          <w:sz w:val="22"/>
          <w:szCs w:val="22"/>
        </w:rPr>
        <w:t>(Énfasis Añadido)</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 xml:space="preserve">Es importante referir que, </w:t>
      </w:r>
      <w:r w:rsidRPr="005F27AB">
        <w:rPr>
          <w:rFonts w:ascii="Palatino Linotype" w:eastAsia="Palatino Linotype" w:hAnsi="Palatino Linotype" w:cs="Palatino Linotype"/>
          <w:b/>
        </w:rPr>
        <w:t>EL SUJETO OBLIGADO</w:t>
      </w:r>
      <w:r w:rsidRPr="005F27AB">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5F27AB">
        <w:rPr>
          <w:rFonts w:ascii="Palatino Linotype" w:eastAsia="Palatino Linotype" w:hAnsi="Palatino Linotype" w:cs="Palatino Linotype"/>
          <w:b/>
        </w:rPr>
        <w:t xml:space="preserve"> </w:t>
      </w:r>
      <w:r w:rsidRPr="005F27AB">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Por último, en caso de que existiera impedimento justificado para la entrega de la información por la vía seleccionada por el particular, a efecto de privilegiar el derecho de acceso a la información, se considera procedente ordenar al </w:t>
      </w:r>
      <w:r w:rsidRPr="005F27AB">
        <w:rPr>
          <w:rFonts w:ascii="Palatino Linotype" w:eastAsia="Palatino Linotype" w:hAnsi="Palatino Linotype" w:cs="Palatino Linotype"/>
          <w:b/>
        </w:rPr>
        <w:t>SUJETO OBLIGADO</w:t>
      </w:r>
      <w:r w:rsidRPr="005F27AB">
        <w:rPr>
          <w:rFonts w:ascii="Palatino Linotype" w:eastAsia="Palatino Linotype" w:hAnsi="Palatino Linotype" w:cs="Palatino Linotype"/>
        </w:rPr>
        <w:t xml:space="preserve"> a efecto de que proporcione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correspondientes según lo dispuesto por el artículo 148 del Código Financiero del Estado de México y Municipios, que a la letra señala lo siguiente:</w:t>
      </w:r>
    </w:p>
    <w:p w:rsidR="00360186" w:rsidRPr="005F27AB" w:rsidRDefault="00360186" w:rsidP="005F27AB">
      <w:pPr>
        <w:spacing w:line="360" w:lineRule="auto"/>
        <w:jc w:val="both"/>
        <w:rPr>
          <w:rFonts w:ascii="Palatino Linotype" w:eastAsia="Palatino Linotype" w:hAnsi="Palatino Linotype" w:cs="Palatino Linotype"/>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Artículo 148.- Por la expedición de documentos solicitados en el ejercicio del derecho a la información pública, se pagarán los derechos conforme a la siguiente:</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center"/>
        <w:rPr>
          <w:rFonts w:ascii="Palatino Linotype" w:eastAsia="Palatino Linotype" w:hAnsi="Palatino Linotype" w:cs="Palatino Linotype"/>
          <w:b/>
          <w:i/>
          <w:sz w:val="22"/>
          <w:szCs w:val="22"/>
        </w:rPr>
      </w:pPr>
      <w:r w:rsidRPr="005F27AB">
        <w:rPr>
          <w:rFonts w:ascii="Palatino Linotype" w:eastAsia="Palatino Linotype" w:hAnsi="Palatino Linotype" w:cs="Palatino Linotype"/>
          <w:b/>
          <w:i/>
          <w:sz w:val="22"/>
          <w:szCs w:val="22"/>
        </w:rPr>
        <w:t>T A R I F A</w:t>
      </w:r>
    </w:p>
    <w:p w:rsidR="00360186" w:rsidRPr="005F27AB" w:rsidRDefault="00360186" w:rsidP="005F27AB">
      <w:pPr>
        <w:ind w:left="851" w:right="851"/>
        <w:rPr>
          <w:rFonts w:ascii="Palatino Linotype" w:eastAsia="Palatino Linotype" w:hAnsi="Palatino Linotype" w:cs="Palatino Linotype"/>
          <w:i/>
          <w:sz w:val="22"/>
          <w:szCs w:val="22"/>
        </w:rPr>
      </w:pPr>
    </w:p>
    <w:p w:rsidR="00360186" w:rsidRPr="005F27AB" w:rsidRDefault="0068655E" w:rsidP="005F27AB">
      <w:pPr>
        <w:ind w:left="851" w:right="851"/>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CONCEPTO  </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NÚMERO DE VECES EL VALOR</w:t>
      </w:r>
    </w:p>
    <w:p w:rsidR="00360186" w:rsidRPr="005F27AB" w:rsidRDefault="0068655E" w:rsidP="005F27AB">
      <w:pPr>
        <w:ind w:left="851" w:right="851"/>
        <w:jc w:val="right"/>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DIARIO DE LA UNIDAD DE</w:t>
      </w:r>
    </w:p>
    <w:p w:rsidR="00360186" w:rsidRPr="005F27AB" w:rsidRDefault="0068655E" w:rsidP="005F27AB">
      <w:pPr>
        <w:ind w:left="851" w:right="851"/>
        <w:jc w:val="right"/>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MEDIDA Y ACTUALIZACIÓN</w:t>
      </w:r>
    </w:p>
    <w:p w:rsidR="00360186" w:rsidRPr="005F27AB" w:rsidRDefault="0068655E" w:rsidP="005F27AB">
      <w:pPr>
        <w:ind w:left="851" w:right="851"/>
        <w:jc w:val="right"/>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VIGENTE</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 Por la expedición de copias simples:</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A). Por la primera hoja. </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0.224</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B). Por cada hoja subsecuente. </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0.016</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II. Por la expedición de copias certificadas:</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A). Por la primera hoja.</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0.850</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B). Por cada hoja subsecuente. </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0.417</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III. Por la expedición de información en medios magnéticos. </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0.224</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IV. Para la expedición de información en disco compacto por</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cada disco. 0.336</w:t>
      </w: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V. Por el escaneo y digitalización de documentos. </w:t>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r>
      <w:r w:rsidRPr="005F27AB">
        <w:rPr>
          <w:rFonts w:ascii="Palatino Linotype" w:eastAsia="Palatino Linotype" w:hAnsi="Palatino Linotype" w:cs="Palatino Linotype"/>
          <w:i/>
          <w:sz w:val="22"/>
          <w:szCs w:val="22"/>
        </w:rPr>
        <w:tab/>
        <w:t>0.008</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ind w:left="851" w:right="851"/>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Para los supuestos establecidos en las fracciones III y IV, el solicitante podrá proporcionar a la autoridad municipal, el medio en el que requiera le sea entregada la información pública, en cuyo caso no habrá costo que cubrir.</w:t>
      </w:r>
    </w:p>
    <w:p w:rsidR="00360186" w:rsidRPr="005F27AB" w:rsidRDefault="00360186" w:rsidP="005F27AB">
      <w:pPr>
        <w:ind w:left="851" w:right="851"/>
        <w:jc w:val="both"/>
        <w:rPr>
          <w:rFonts w:ascii="Palatino Linotype" w:eastAsia="Palatino Linotype" w:hAnsi="Palatino Linotype" w:cs="Palatino Linotype"/>
          <w:i/>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t>No obstante, a lo anterior, la información deberá ser entregada sin costo, cuando implique la entrega de no más de veinte hojas simples y para el caso de que el particular proporcione los medios en lo que requiere le sea entregada la información, no será procedente el cobro de la misma.</w:t>
      </w:r>
    </w:p>
    <w:p w:rsidR="00360186" w:rsidRPr="005F27AB" w:rsidRDefault="00360186" w:rsidP="005F27AB">
      <w:pPr>
        <w:tabs>
          <w:tab w:val="left" w:pos="709"/>
        </w:tabs>
        <w:spacing w:line="360" w:lineRule="auto"/>
        <w:ind w:right="49"/>
        <w:jc w:val="both"/>
        <w:rPr>
          <w:rFonts w:ascii="Palatino Linotype" w:eastAsia="Palatino Linotype" w:hAnsi="Palatino Linotype" w:cs="Palatino Linotype"/>
        </w:rPr>
      </w:pPr>
    </w:p>
    <w:p w:rsidR="00360186" w:rsidRPr="005F27AB" w:rsidRDefault="0068655E" w:rsidP="005F27AB">
      <w:pPr>
        <w:tabs>
          <w:tab w:val="left" w:pos="709"/>
        </w:tabs>
        <w:spacing w:line="360" w:lineRule="auto"/>
        <w:ind w:right="49"/>
        <w:jc w:val="both"/>
        <w:rPr>
          <w:rFonts w:ascii="Palatino Linotype" w:eastAsia="Palatino Linotype" w:hAnsi="Palatino Linotype" w:cs="Palatino Linotype"/>
        </w:rPr>
      </w:pPr>
      <w:r w:rsidRPr="005F27AB">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w:t>
      </w:r>
      <w:r w:rsidRPr="005F27AB">
        <w:rPr>
          <w:rFonts w:ascii="Palatino Linotype" w:eastAsia="Palatino Linotype" w:hAnsi="Palatino Linotype" w:cs="Palatino Linotype"/>
        </w:rPr>
        <w:lastRenderedPageBreak/>
        <w:t>Libre y Soberano de México; 2, fracción II, 29, 36, fracciones I y II, 176, 178, 179, 181, 185 fracción I, 186 y 188 de la Ley de Transparencia y Acceso a la Información Pública del Estado de México y Municipios, este Pleno:</w:t>
      </w:r>
    </w:p>
    <w:p w:rsidR="00360186" w:rsidRPr="005F27AB" w:rsidRDefault="00360186" w:rsidP="005F27AB">
      <w:pPr>
        <w:spacing w:line="360" w:lineRule="auto"/>
        <w:jc w:val="center"/>
        <w:rPr>
          <w:rFonts w:ascii="Palatino Linotype" w:eastAsia="Palatino Linotype" w:hAnsi="Palatino Linotype" w:cs="Palatino Linotype"/>
          <w:b/>
          <w:sz w:val="26"/>
          <w:szCs w:val="26"/>
        </w:rPr>
      </w:pPr>
    </w:p>
    <w:p w:rsidR="00360186" w:rsidRPr="005F27AB" w:rsidRDefault="0068655E" w:rsidP="005F27AB">
      <w:pPr>
        <w:spacing w:line="360" w:lineRule="auto"/>
        <w:jc w:val="center"/>
        <w:rPr>
          <w:rFonts w:ascii="Palatino Linotype" w:eastAsia="Palatino Linotype" w:hAnsi="Palatino Linotype" w:cs="Palatino Linotype"/>
          <w:b/>
          <w:sz w:val="26"/>
          <w:szCs w:val="26"/>
        </w:rPr>
      </w:pPr>
      <w:r w:rsidRPr="005F27AB">
        <w:rPr>
          <w:rFonts w:ascii="Palatino Linotype" w:eastAsia="Palatino Linotype" w:hAnsi="Palatino Linotype" w:cs="Palatino Linotype"/>
          <w:b/>
          <w:sz w:val="26"/>
          <w:szCs w:val="26"/>
        </w:rPr>
        <w:t>RESUELVE</w:t>
      </w:r>
    </w:p>
    <w:p w:rsidR="00360186" w:rsidRPr="005F27AB" w:rsidRDefault="0068655E" w:rsidP="005F27AB">
      <w:pPr>
        <w:spacing w:line="360" w:lineRule="auto"/>
        <w:jc w:val="both"/>
        <w:rPr>
          <w:rFonts w:ascii="Palatino Linotype" w:eastAsia="Palatino Linotype" w:hAnsi="Palatino Linotype" w:cs="Palatino Linotype"/>
        </w:rPr>
      </w:pPr>
      <w:bookmarkStart w:id="12" w:name="_heading=h.1ksv4uv" w:colFirst="0" w:colLast="0"/>
      <w:bookmarkEnd w:id="12"/>
      <w:r w:rsidRPr="005F27AB">
        <w:rPr>
          <w:rFonts w:ascii="Palatino Linotype" w:eastAsia="Palatino Linotype" w:hAnsi="Palatino Linotype" w:cs="Palatino Linotype"/>
          <w:b/>
          <w:sz w:val="28"/>
          <w:szCs w:val="28"/>
        </w:rPr>
        <w:t>PRIMERO</w:t>
      </w:r>
      <w:r w:rsidRPr="005F27AB">
        <w:rPr>
          <w:rFonts w:ascii="Palatino Linotype" w:eastAsia="Palatino Linotype" w:hAnsi="Palatino Linotype" w:cs="Palatino Linotype"/>
          <w:sz w:val="28"/>
          <w:szCs w:val="28"/>
        </w:rPr>
        <w:t>.</w:t>
      </w:r>
      <w:r w:rsidRPr="005F27AB">
        <w:rPr>
          <w:rFonts w:ascii="Palatino Linotype" w:eastAsia="Palatino Linotype" w:hAnsi="Palatino Linotype" w:cs="Palatino Linotype"/>
        </w:rPr>
        <w:t xml:space="preserve"> Resultan</w:t>
      </w:r>
      <w:r w:rsidRPr="005F27AB">
        <w:rPr>
          <w:rFonts w:ascii="Palatino Linotype" w:eastAsia="Palatino Linotype" w:hAnsi="Palatino Linotype" w:cs="Palatino Linotype"/>
          <w:b/>
        </w:rPr>
        <w:t xml:space="preserve"> fundadas</w:t>
      </w:r>
      <w:r w:rsidRPr="005F27AB">
        <w:rPr>
          <w:rFonts w:ascii="Palatino Linotype" w:eastAsia="Palatino Linotype" w:hAnsi="Palatino Linotype" w:cs="Palatino Linotype"/>
        </w:rPr>
        <w:t xml:space="preserve"> las</w:t>
      </w:r>
      <w:r w:rsidRPr="005F27AB">
        <w:rPr>
          <w:rFonts w:ascii="Palatino Linotype" w:eastAsia="Palatino Linotype" w:hAnsi="Palatino Linotype" w:cs="Palatino Linotype"/>
          <w:b/>
        </w:rPr>
        <w:t xml:space="preserve"> </w:t>
      </w:r>
      <w:r w:rsidRPr="005F27AB">
        <w:rPr>
          <w:rFonts w:ascii="Palatino Linotype" w:eastAsia="Palatino Linotype" w:hAnsi="Palatino Linotype" w:cs="Palatino Linotype"/>
        </w:rPr>
        <w:t xml:space="preserve">razones o motivos de inconformidad hechos valer en el Recurso de Revisión </w:t>
      </w:r>
      <w:r w:rsidR="005F65E0" w:rsidRPr="005F27AB">
        <w:rPr>
          <w:rFonts w:ascii="Palatino Linotype" w:eastAsia="Palatino Linotype" w:hAnsi="Palatino Linotype" w:cs="Palatino Linotype"/>
          <w:b/>
        </w:rPr>
        <w:t>14947/INFOEM/IP/RR/2022</w:t>
      </w:r>
      <w:r w:rsidRPr="005F27AB">
        <w:rPr>
          <w:rFonts w:ascii="Palatino Linotype" w:eastAsia="Palatino Linotype" w:hAnsi="Palatino Linotype" w:cs="Palatino Linotype"/>
          <w:b/>
        </w:rPr>
        <w:t xml:space="preserve">, </w:t>
      </w:r>
      <w:r w:rsidRPr="005F27AB">
        <w:rPr>
          <w:rFonts w:ascii="Palatino Linotype" w:eastAsia="Palatino Linotype" w:hAnsi="Palatino Linotype" w:cs="Palatino Linotype"/>
        </w:rPr>
        <w:t xml:space="preserve">en términos del Considerando </w:t>
      </w:r>
      <w:r w:rsidRPr="005F27AB">
        <w:rPr>
          <w:rFonts w:ascii="Palatino Linotype" w:eastAsia="Palatino Linotype" w:hAnsi="Palatino Linotype" w:cs="Palatino Linotype"/>
          <w:b/>
        </w:rPr>
        <w:t xml:space="preserve">QUINTO </w:t>
      </w:r>
      <w:r w:rsidRPr="005F27AB">
        <w:rPr>
          <w:rFonts w:ascii="Palatino Linotype" w:eastAsia="Palatino Linotype" w:hAnsi="Palatino Linotype" w:cs="Palatino Linotype"/>
        </w:rPr>
        <w:t>de la presente resolución.</w:t>
      </w:r>
    </w:p>
    <w:p w:rsidR="00360186" w:rsidRPr="005F27AB" w:rsidRDefault="00360186" w:rsidP="005F27AB">
      <w:pPr>
        <w:spacing w:before="240" w:line="360" w:lineRule="auto"/>
        <w:jc w:val="both"/>
        <w:rPr>
          <w:rFonts w:ascii="Palatino Linotype" w:eastAsia="Palatino Linotype" w:hAnsi="Palatino Linotype" w:cs="Palatino Linotype"/>
          <w:sz w:val="6"/>
          <w:szCs w:val="6"/>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b/>
          <w:sz w:val="28"/>
          <w:szCs w:val="28"/>
        </w:rPr>
        <w:t>SEGUNDO</w:t>
      </w:r>
      <w:r w:rsidRPr="005F27AB">
        <w:rPr>
          <w:rFonts w:ascii="Palatino Linotype" w:eastAsia="Palatino Linotype" w:hAnsi="Palatino Linotype" w:cs="Palatino Linotype"/>
        </w:rPr>
        <w:t xml:space="preserve">. Se </w:t>
      </w:r>
      <w:r w:rsidRPr="005F27AB">
        <w:rPr>
          <w:rFonts w:ascii="Palatino Linotype" w:eastAsia="Palatino Linotype" w:hAnsi="Palatino Linotype" w:cs="Palatino Linotype"/>
          <w:b/>
        </w:rPr>
        <w:t xml:space="preserve">REVOCA </w:t>
      </w:r>
      <w:r w:rsidRPr="005F27AB">
        <w:rPr>
          <w:rFonts w:ascii="Palatino Linotype" w:eastAsia="Palatino Linotype" w:hAnsi="Palatino Linotype" w:cs="Palatino Linotype"/>
        </w:rPr>
        <w:t>la respuesta otorgada por</w:t>
      </w:r>
      <w:r w:rsidRPr="005F27AB">
        <w:rPr>
          <w:rFonts w:ascii="Palatino Linotype" w:eastAsia="Palatino Linotype" w:hAnsi="Palatino Linotype" w:cs="Palatino Linotype"/>
          <w:b/>
        </w:rPr>
        <w:t xml:space="preserve"> EL SUJETO OBLIGADO</w:t>
      </w:r>
      <w:r w:rsidRPr="005F27AB">
        <w:rPr>
          <w:rFonts w:ascii="Palatino Linotype" w:eastAsia="Palatino Linotype" w:hAnsi="Palatino Linotype" w:cs="Palatino Linotype"/>
        </w:rPr>
        <w:t xml:space="preserve">, y se le ordena entregue al </w:t>
      </w:r>
      <w:r w:rsidRPr="005F27AB">
        <w:rPr>
          <w:rFonts w:ascii="Palatino Linotype" w:eastAsia="Palatino Linotype" w:hAnsi="Palatino Linotype" w:cs="Palatino Linotype"/>
          <w:b/>
        </w:rPr>
        <w:t>RECURRENTE</w:t>
      </w:r>
      <w:r w:rsidRPr="005F27AB">
        <w:rPr>
          <w:rFonts w:ascii="Palatino Linotype" w:eastAsia="Palatino Linotype" w:hAnsi="Palatino Linotype" w:cs="Palatino Linotype"/>
        </w:rPr>
        <w:t xml:space="preserve"> en términos del Considerando </w:t>
      </w:r>
      <w:r w:rsidRPr="005F27AB">
        <w:rPr>
          <w:rFonts w:ascii="Palatino Linotype" w:eastAsia="Palatino Linotype" w:hAnsi="Palatino Linotype" w:cs="Palatino Linotype"/>
          <w:b/>
        </w:rPr>
        <w:t xml:space="preserve">QUINTO </w:t>
      </w:r>
      <w:r w:rsidRPr="005F27AB">
        <w:rPr>
          <w:rFonts w:ascii="Palatino Linotype" w:eastAsia="Palatino Linotype" w:hAnsi="Palatino Linotype" w:cs="Palatino Linotype"/>
        </w:rPr>
        <w:t xml:space="preserve">de la presente resolución, entregue al </w:t>
      </w:r>
      <w:r w:rsidRPr="005F27AB">
        <w:rPr>
          <w:rFonts w:ascii="Palatino Linotype" w:eastAsia="Palatino Linotype" w:hAnsi="Palatino Linotype" w:cs="Palatino Linotype"/>
          <w:b/>
        </w:rPr>
        <w:t xml:space="preserve">RECURRENTE </w:t>
      </w:r>
      <w:r w:rsidRPr="005F27AB">
        <w:rPr>
          <w:rFonts w:ascii="Palatino Linotype" w:eastAsia="Palatino Linotype" w:hAnsi="Palatino Linotype" w:cs="Palatino Linotype"/>
        </w:rPr>
        <w:t>vía SAIMEX, en versión pública, de lo siguiente:</w:t>
      </w:r>
    </w:p>
    <w:p w:rsidR="00360186" w:rsidRPr="005F27AB" w:rsidRDefault="005F65E0" w:rsidP="005F27AB">
      <w:pPr>
        <w:tabs>
          <w:tab w:val="left" w:pos="709"/>
        </w:tabs>
        <w:ind w:left="1417"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Los oficios</w:t>
      </w:r>
      <w:r w:rsidR="0068655E" w:rsidRPr="005F27AB">
        <w:rPr>
          <w:rFonts w:ascii="Palatino Linotype" w:eastAsia="Palatino Linotype" w:hAnsi="Palatino Linotype" w:cs="Palatino Linotype"/>
          <w:i/>
          <w:sz w:val="22"/>
          <w:szCs w:val="22"/>
        </w:rPr>
        <w:t xml:space="preserve"> salientes y firmados por la secretaria del ayuntamiento del uno de enero al treinta y uno de agosto de dos mil </w:t>
      </w:r>
      <w:r w:rsidR="00B77B20" w:rsidRPr="005F27AB">
        <w:rPr>
          <w:rFonts w:ascii="Palatino Linotype" w:eastAsia="Palatino Linotype" w:hAnsi="Palatino Linotype" w:cs="Palatino Linotype"/>
          <w:i/>
          <w:sz w:val="22"/>
          <w:szCs w:val="22"/>
        </w:rPr>
        <w:t>veintidós</w:t>
      </w:r>
      <w:r w:rsidR="0068655E" w:rsidRPr="005F27AB">
        <w:rPr>
          <w:rFonts w:ascii="Palatino Linotype" w:eastAsia="Palatino Linotype" w:hAnsi="Palatino Linotype" w:cs="Palatino Linotype"/>
          <w:i/>
          <w:sz w:val="22"/>
          <w:szCs w:val="22"/>
        </w:rPr>
        <w:t>.</w:t>
      </w:r>
    </w:p>
    <w:p w:rsidR="00360186" w:rsidRPr="005F27AB" w:rsidRDefault="00360186" w:rsidP="005F27AB">
      <w:pPr>
        <w:tabs>
          <w:tab w:val="left" w:pos="709"/>
        </w:tabs>
        <w:ind w:left="1417" w:right="899"/>
        <w:jc w:val="both"/>
        <w:rPr>
          <w:rFonts w:ascii="Palatino Linotype" w:eastAsia="Palatino Linotype" w:hAnsi="Palatino Linotype" w:cs="Palatino Linotype"/>
          <w:i/>
          <w:sz w:val="22"/>
          <w:szCs w:val="22"/>
        </w:rPr>
      </w:pPr>
    </w:p>
    <w:p w:rsidR="00360186" w:rsidRPr="005F27AB" w:rsidRDefault="0068655E" w:rsidP="005F27AB">
      <w:pPr>
        <w:tabs>
          <w:tab w:val="left" w:pos="709"/>
        </w:tabs>
        <w:ind w:left="1417"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Debiendo notificar al </w:t>
      </w:r>
      <w:r w:rsidRPr="005F27AB">
        <w:rPr>
          <w:rFonts w:ascii="Palatino Linotype" w:eastAsia="Palatino Linotype" w:hAnsi="Palatino Linotype" w:cs="Palatino Linotype"/>
          <w:b/>
          <w:i/>
          <w:sz w:val="22"/>
          <w:szCs w:val="22"/>
        </w:rPr>
        <w:t>RECURRENTE</w:t>
      </w:r>
      <w:r w:rsidRPr="005F27AB">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rsidR="00360186" w:rsidRPr="005F27AB" w:rsidRDefault="00360186" w:rsidP="005F27AB">
      <w:pPr>
        <w:tabs>
          <w:tab w:val="left" w:pos="709"/>
        </w:tabs>
        <w:ind w:right="899"/>
        <w:jc w:val="both"/>
        <w:rPr>
          <w:rFonts w:ascii="Palatino Linotype" w:eastAsia="Palatino Linotype" w:hAnsi="Palatino Linotype" w:cs="Palatino Linotype"/>
          <w:i/>
          <w:sz w:val="22"/>
          <w:szCs w:val="22"/>
        </w:rPr>
      </w:pPr>
    </w:p>
    <w:p w:rsidR="00360186" w:rsidRPr="005F27AB" w:rsidRDefault="0068655E" w:rsidP="005F27AB">
      <w:pPr>
        <w:tabs>
          <w:tab w:val="left" w:pos="709"/>
        </w:tabs>
        <w:ind w:left="1417"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t xml:space="preserve">En caso de existir un impedimento justificado para la entrega vía SAIMEX, el </w:t>
      </w:r>
      <w:r w:rsidRPr="005F27AB">
        <w:rPr>
          <w:rFonts w:ascii="Palatino Linotype" w:eastAsia="Palatino Linotype" w:hAnsi="Palatino Linotype" w:cs="Palatino Linotype"/>
          <w:b/>
          <w:i/>
          <w:sz w:val="22"/>
          <w:szCs w:val="22"/>
        </w:rPr>
        <w:t xml:space="preserve">SUJETO OBLIGADO </w:t>
      </w:r>
      <w:r w:rsidRPr="005F27AB">
        <w:rPr>
          <w:rFonts w:ascii="Palatino Linotype" w:eastAsia="Palatino Linotype" w:hAnsi="Palatino Linotype" w:cs="Palatino Linotype"/>
          <w:i/>
          <w:sz w:val="22"/>
          <w:szCs w:val="22"/>
        </w:rPr>
        <w:t>deberá privilegiar la modalidad electrónica, previo pago de los derechos correspondientes en medios como, correo electrónico (este se debe entregar sin costo), disco compacto, dispositivo de almacenamiento USB. En caso de que exista imposibilidad fundada podrá ofrecer otras modalidades como copias simples o certificadas, con posibilidad de entrega en la Unidad de Transparencia o a domicilio por correo certificado.</w:t>
      </w:r>
    </w:p>
    <w:p w:rsidR="00360186" w:rsidRPr="005F27AB" w:rsidRDefault="00360186" w:rsidP="005F27AB">
      <w:pPr>
        <w:tabs>
          <w:tab w:val="left" w:pos="709"/>
        </w:tabs>
        <w:ind w:right="899"/>
        <w:jc w:val="both"/>
        <w:rPr>
          <w:rFonts w:ascii="Palatino Linotype" w:eastAsia="Palatino Linotype" w:hAnsi="Palatino Linotype" w:cs="Palatino Linotype"/>
          <w:i/>
          <w:sz w:val="22"/>
          <w:szCs w:val="22"/>
        </w:rPr>
      </w:pPr>
    </w:p>
    <w:p w:rsidR="00360186" w:rsidRPr="005F27AB" w:rsidRDefault="0068655E" w:rsidP="005F27AB">
      <w:pPr>
        <w:tabs>
          <w:tab w:val="left" w:pos="709"/>
        </w:tabs>
        <w:ind w:left="1417" w:right="899"/>
        <w:jc w:val="both"/>
        <w:rPr>
          <w:rFonts w:ascii="Palatino Linotype" w:eastAsia="Palatino Linotype" w:hAnsi="Palatino Linotype" w:cs="Palatino Linotype"/>
          <w:i/>
          <w:sz w:val="22"/>
          <w:szCs w:val="22"/>
        </w:rPr>
      </w:pPr>
      <w:r w:rsidRPr="005F27AB">
        <w:rPr>
          <w:rFonts w:ascii="Palatino Linotype" w:eastAsia="Palatino Linotype" w:hAnsi="Palatino Linotype" w:cs="Palatino Linotype"/>
          <w:i/>
          <w:sz w:val="22"/>
          <w:szCs w:val="22"/>
        </w:rPr>
        <w:lastRenderedPageBreak/>
        <w:t>En caso de que el Recurrente proporcione el dispositivo electrónico y acuda por la información a la Unidad de Transparencia, la entrega de la información, será sin costo.</w:t>
      </w:r>
    </w:p>
    <w:p w:rsidR="00360186" w:rsidRPr="005F27AB" w:rsidRDefault="00360186" w:rsidP="005F27AB">
      <w:pPr>
        <w:ind w:right="899"/>
        <w:jc w:val="both"/>
        <w:rPr>
          <w:rFonts w:ascii="Palatino Linotype" w:eastAsia="Palatino Linotype" w:hAnsi="Palatino Linotype" w:cs="Palatino Linotype"/>
          <w:i/>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b/>
        </w:rPr>
        <w:t>TERCERO.</w:t>
      </w:r>
      <w:r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b/>
        </w:rPr>
        <w:t xml:space="preserve">NOTIFÍQUESE </w:t>
      </w:r>
      <w:r w:rsidRPr="005F27AB">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360186" w:rsidRPr="005F27AB" w:rsidRDefault="00360186" w:rsidP="005F27AB">
      <w:pPr>
        <w:spacing w:line="360" w:lineRule="auto"/>
        <w:jc w:val="both"/>
        <w:rPr>
          <w:rFonts w:ascii="Palatino Linotype" w:eastAsia="Palatino Linotype" w:hAnsi="Palatino Linotype" w:cs="Palatino Linotype"/>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b/>
        </w:rPr>
        <w:t xml:space="preserve">CUARTO. </w:t>
      </w:r>
      <w:r w:rsidRPr="005F27A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60186" w:rsidRPr="005F27AB" w:rsidRDefault="00360186" w:rsidP="005F27AB">
      <w:pPr>
        <w:spacing w:line="360" w:lineRule="auto"/>
        <w:jc w:val="both"/>
        <w:rPr>
          <w:rFonts w:ascii="Palatino Linotype" w:eastAsia="Palatino Linotype" w:hAnsi="Palatino Linotype" w:cs="Palatino Linotype"/>
          <w:sz w:val="22"/>
          <w:szCs w:val="22"/>
        </w:rPr>
      </w:pPr>
    </w:p>
    <w:p w:rsidR="00360186" w:rsidRPr="005F27AB" w:rsidRDefault="0068655E" w:rsidP="005F27AB">
      <w:pPr>
        <w:spacing w:line="360" w:lineRule="auto"/>
        <w:jc w:val="both"/>
        <w:rPr>
          <w:rFonts w:ascii="Palatino Linotype" w:eastAsia="Palatino Linotype" w:hAnsi="Palatino Linotype" w:cs="Palatino Linotype"/>
          <w:b/>
        </w:rPr>
      </w:pPr>
      <w:r w:rsidRPr="005F27AB">
        <w:rPr>
          <w:rFonts w:ascii="Palatino Linotype" w:eastAsia="Palatino Linotype" w:hAnsi="Palatino Linotype" w:cs="Palatino Linotype"/>
          <w:b/>
        </w:rPr>
        <w:t>QUINTO.</w:t>
      </w:r>
      <w:r w:rsidRPr="005F27AB">
        <w:rPr>
          <w:rFonts w:ascii="Palatino Linotype" w:eastAsia="Palatino Linotype" w:hAnsi="Palatino Linotype" w:cs="Palatino Linotype"/>
        </w:rPr>
        <w:t xml:space="preserve"> </w:t>
      </w:r>
      <w:r w:rsidRPr="005F27AB">
        <w:rPr>
          <w:rFonts w:ascii="Palatino Linotype" w:eastAsia="Palatino Linotype" w:hAnsi="Palatino Linotype" w:cs="Palatino Linotype"/>
          <w:b/>
        </w:rPr>
        <w:t>NOTIFÍQUESE</w:t>
      </w:r>
      <w:r w:rsidRPr="005F27AB">
        <w:rPr>
          <w:rFonts w:ascii="Palatino Linotype" w:eastAsia="Palatino Linotype" w:hAnsi="Palatino Linotype" w:cs="Palatino Linotype"/>
        </w:rPr>
        <w:t xml:space="preserve"> al </w:t>
      </w:r>
      <w:r w:rsidR="005F27AB" w:rsidRPr="005F27AB">
        <w:rPr>
          <w:rFonts w:ascii="Palatino Linotype" w:eastAsia="Palatino Linotype" w:hAnsi="Palatino Linotype" w:cs="Palatino Linotype"/>
          <w:b/>
        </w:rPr>
        <w:t>RECURRENTE</w:t>
      </w:r>
      <w:r w:rsidRPr="005F27AB">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360186" w:rsidRPr="005F27AB" w:rsidRDefault="00360186" w:rsidP="005F27AB">
      <w:pPr>
        <w:spacing w:line="360" w:lineRule="auto"/>
        <w:jc w:val="both"/>
        <w:rPr>
          <w:rFonts w:ascii="Palatino Linotype" w:eastAsia="Palatino Linotype" w:hAnsi="Palatino Linotype" w:cs="Palatino Linotype"/>
          <w:sz w:val="22"/>
          <w:szCs w:val="22"/>
        </w:rPr>
      </w:pPr>
    </w:p>
    <w:p w:rsidR="008B16E5" w:rsidRPr="005F27AB" w:rsidRDefault="008B16E5" w:rsidP="005F27AB">
      <w:pPr>
        <w:spacing w:line="360" w:lineRule="auto"/>
        <w:jc w:val="both"/>
        <w:rPr>
          <w:rFonts w:ascii="Palatino Linotype" w:eastAsia="Palatino Linotype" w:hAnsi="Palatino Linotype" w:cs="Palatino Linotype"/>
          <w:sz w:val="22"/>
          <w:szCs w:val="22"/>
        </w:rPr>
      </w:pPr>
    </w:p>
    <w:p w:rsidR="00360186" w:rsidRPr="005F27AB" w:rsidRDefault="0068655E" w:rsidP="005F27AB">
      <w:pPr>
        <w:spacing w:line="360" w:lineRule="auto"/>
        <w:jc w:val="both"/>
        <w:rPr>
          <w:rFonts w:ascii="Palatino Linotype" w:eastAsia="Palatino Linotype" w:hAnsi="Palatino Linotype" w:cs="Palatino Linotype"/>
        </w:rPr>
      </w:pPr>
      <w:r w:rsidRPr="005F27AB">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F65E0" w:rsidRPr="005F27AB">
        <w:rPr>
          <w:rFonts w:ascii="Palatino Linotype" w:eastAsia="Palatino Linotype" w:hAnsi="Palatino Linotype" w:cs="Palatino Linotype"/>
        </w:rPr>
        <w:t>QUINTA SESIÓN</w:t>
      </w:r>
      <w:r w:rsidRPr="005F27AB">
        <w:rPr>
          <w:rFonts w:ascii="Palatino Linotype" w:eastAsia="Palatino Linotype" w:hAnsi="Palatino Linotype" w:cs="Palatino Linotype"/>
        </w:rPr>
        <w:t xml:space="preserve"> ORDINARIA CELEBRADA EL NUEVE DE FEBRERO DE DOS MIL VEINTITRÉS ANTE EL SECRETARIO TÉCNICO DEL PLENO, ALEXIS TAPIA RAMÍREZ.</w:t>
      </w:r>
    </w:p>
    <w:p w:rsidR="00360186" w:rsidRDefault="0068655E" w:rsidP="005F27AB">
      <w:pPr>
        <w:spacing w:line="360" w:lineRule="auto"/>
        <w:jc w:val="both"/>
        <w:rPr>
          <w:rFonts w:ascii="Palatino Linotype" w:eastAsia="Palatino Linotype" w:hAnsi="Palatino Linotype" w:cs="Palatino Linotype"/>
          <w:sz w:val="14"/>
          <w:szCs w:val="14"/>
        </w:rPr>
      </w:pPr>
      <w:r w:rsidRPr="005F27AB">
        <w:rPr>
          <w:rFonts w:ascii="Palatino Linotype" w:eastAsia="Palatino Linotype" w:hAnsi="Palatino Linotype" w:cs="Palatino Linotype"/>
          <w:sz w:val="14"/>
          <w:szCs w:val="14"/>
        </w:rPr>
        <w:t>SCMM/BLA/DEMF/PMRE</w:t>
      </w:r>
    </w:p>
    <w:p w:rsidR="00360186" w:rsidRDefault="0068655E" w:rsidP="005F27AB">
      <w:pPr>
        <w:rPr>
          <w:rFonts w:ascii="Palatino Linotype" w:eastAsia="Palatino Linotype" w:hAnsi="Palatino Linotype" w:cs="Palatino Linotype"/>
        </w:rPr>
      </w:pPr>
      <w:r>
        <w:br w:type="page"/>
      </w: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bookmarkStart w:id="13" w:name="_heading=h.30j0zll" w:colFirst="0" w:colLast="0"/>
      <w:bookmarkEnd w:id="13"/>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p w:rsidR="00360186" w:rsidRDefault="00360186" w:rsidP="005F27AB">
      <w:pPr>
        <w:spacing w:line="360" w:lineRule="auto"/>
        <w:jc w:val="both"/>
        <w:rPr>
          <w:rFonts w:ascii="Palatino Linotype" w:eastAsia="Palatino Linotype" w:hAnsi="Palatino Linotype" w:cs="Palatino Linotype"/>
        </w:rPr>
      </w:pPr>
    </w:p>
    <w:sectPr w:rsidR="00360186">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55E" w:rsidRDefault="0068655E">
      <w:r>
        <w:separator/>
      </w:r>
    </w:p>
  </w:endnote>
  <w:endnote w:type="continuationSeparator" w:id="0">
    <w:p w:rsidR="0068655E" w:rsidRDefault="0068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186" w:rsidRDefault="0068655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61372">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61372">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186" w:rsidRDefault="0068655E">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6137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61372">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55E" w:rsidRDefault="0068655E">
      <w:r>
        <w:separator/>
      </w:r>
    </w:p>
  </w:footnote>
  <w:footnote w:type="continuationSeparator" w:id="0">
    <w:p w:rsidR="0068655E" w:rsidRDefault="0068655E">
      <w:r>
        <w:continuationSeparator/>
      </w:r>
    </w:p>
  </w:footnote>
  <w:footnote w:id="1">
    <w:p w:rsidR="00360186" w:rsidRDefault="0068655E">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186" w:rsidRDefault="0086137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186" w:rsidRDefault="0086137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tbl>
    <w:tblPr>
      <w:tblStyle w:val="affffffffff4"/>
      <w:tblW w:w="9534" w:type="dxa"/>
      <w:tblInd w:w="-142" w:type="dxa"/>
      <w:tblLayout w:type="fixed"/>
      <w:tblLook w:val="0400" w:firstRow="0" w:lastRow="0" w:firstColumn="0" w:lastColumn="0" w:noHBand="0" w:noVBand="1"/>
    </w:tblPr>
    <w:tblGrid>
      <w:gridCol w:w="3261"/>
      <w:gridCol w:w="2551"/>
      <w:gridCol w:w="3722"/>
    </w:tblGrid>
    <w:tr w:rsidR="00360186">
      <w:tc>
        <w:tcPr>
          <w:tcW w:w="3261" w:type="dxa"/>
          <w:vMerge w:val="restart"/>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360186" w:rsidRDefault="006363D5">
          <w:pPr>
            <w:jc w:val="both"/>
            <w:rPr>
              <w:rFonts w:ascii="Palatino Linotype" w:eastAsia="Palatino Linotype" w:hAnsi="Palatino Linotype" w:cs="Palatino Linotype"/>
              <w:b/>
            </w:rPr>
          </w:pPr>
          <w:r>
            <w:rPr>
              <w:rFonts w:ascii="Palatino Linotype" w:eastAsia="Palatino Linotype" w:hAnsi="Palatino Linotype" w:cs="Palatino Linotype"/>
              <w:b/>
            </w:rPr>
            <w:t>14947/INFOEM/IP/RR/2022</w:t>
          </w:r>
        </w:p>
      </w:tc>
    </w:tr>
    <w:tr w:rsidR="00360186">
      <w:tc>
        <w:tcPr>
          <w:tcW w:w="3261" w:type="dxa"/>
          <w:vMerge/>
        </w:tcPr>
        <w:p w:rsidR="00360186" w:rsidRDefault="0036018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360186" w:rsidRDefault="006363D5">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Atenco</w:t>
          </w:r>
        </w:p>
      </w:tc>
    </w:tr>
    <w:tr w:rsidR="00360186">
      <w:trPr>
        <w:trHeight w:val="790"/>
      </w:trPr>
      <w:tc>
        <w:tcPr>
          <w:tcW w:w="3261" w:type="dxa"/>
          <w:vMerge/>
        </w:tcPr>
        <w:p w:rsidR="00360186" w:rsidRDefault="0036018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360186" w:rsidRDefault="0068655E">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360186" w:rsidRDefault="0036018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186" w:rsidRDefault="0086137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affffffffff3"/>
      <w:tblW w:w="9900" w:type="dxa"/>
      <w:tblInd w:w="-833" w:type="dxa"/>
      <w:tblLayout w:type="fixed"/>
      <w:tblLook w:val="0400" w:firstRow="0" w:lastRow="0" w:firstColumn="0" w:lastColumn="0" w:noHBand="0" w:noVBand="1"/>
    </w:tblPr>
    <w:tblGrid>
      <w:gridCol w:w="3805"/>
      <w:gridCol w:w="3000"/>
      <w:gridCol w:w="3095"/>
    </w:tblGrid>
    <w:tr w:rsidR="00360186">
      <w:tc>
        <w:tcPr>
          <w:tcW w:w="3805" w:type="dxa"/>
          <w:vMerge w:val="restart"/>
          <w:shd w:val="clear" w:color="auto" w:fill="auto"/>
        </w:tcPr>
        <w:p w:rsidR="00360186" w:rsidRDefault="0068655E">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4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360186" w:rsidRDefault="0068655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14947/INFOEM/IP/RR/2022 </w:t>
          </w:r>
        </w:p>
      </w:tc>
    </w:tr>
    <w:tr w:rsidR="00360186">
      <w:tc>
        <w:tcPr>
          <w:tcW w:w="3805" w:type="dxa"/>
          <w:vMerge/>
          <w:shd w:val="clear" w:color="auto" w:fill="auto"/>
        </w:tcPr>
        <w:p w:rsidR="00360186" w:rsidRDefault="0036018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360186" w:rsidRDefault="00360186">
          <w:pPr>
            <w:jc w:val="both"/>
            <w:rPr>
              <w:rFonts w:ascii="Palatino Linotype" w:eastAsia="Palatino Linotype" w:hAnsi="Palatino Linotype" w:cs="Palatino Linotype"/>
              <w:b/>
            </w:rPr>
          </w:pPr>
        </w:p>
      </w:tc>
    </w:tr>
    <w:tr w:rsidR="00360186">
      <w:trPr>
        <w:trHeight w:val="228"/>
      </w:trPr>
      <w:tc>
        <w:tcPr>
          <w:tcW w:w="3805" w:type="dxa"/>
          <w:vMerge/>
          <w:shd w:val="clear" w:color="auto" w:fill="auto"/>
        </w:tcPr>
        <w:p w:rsidR="00360186" w:rsidRDefault="0036018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360186" w:rsidRDefault="0068655E">
          <w:pPr>
            <w:jc w:val="both"/>
            <w:rPr>
              <w:rFonts w:ascii="Palatino Linotype" w:eastAsia="Palatino Linotype" w:hAnsi="Palatino Linotype" w:cs="Palatino Linotype"/>
              <w:b/>
            </w:rPr>
          </w:pPr>
          <w:r>
            <w:rPr>
              <w:rFonts w:ascii="Palatino Linotype" w:eastAsia="Palatino Linotype" w:hAnsi="Palatino Linotype" w:cs="Palatino Linotype"/>
              <w:b/>
            </w:rPr>
            <w:t>Ayuntamiento de Atenco</w:t>
          </w:r>
        </w:p>
      </w:tc>
    </w:tr>
    <w:tr w:rsidR="00360186">
      <w:tc>
        <w:tcPr>
          <w:tcW w:w="3805" w:type="dxa"/>
          <w:vMerge/>
          <w:shd w:val="clear" w:color="auto" w:fill="auto"/>
        </w:tcPr>
        <w:p w:rsidR="00360186" w:rsidRDefault="00360186">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360186" w:rsidRDefault="0068655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360186" w:rsidRDefault="0068655E">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360186" w:rsidRDefault="00360186">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186"/>
    <w:rsid w:val="00360186"/>
    <w:rsid w:val="005F27AB"/>
    <w:rsid w:val="005F65E0"/>
    <w:rsid w:val="006363D5"/>
    <w:rsid w:val="0068655E"/>
    <w:rsid w:val="00861372"/>
    <w:rsid w:val="008B16E5"/>
    <w:rsid w:val="00B77B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368B6FD-2223-4680-9502-CA59068D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ffc"/>
    <w:tblPr>
      <w:tblStyleRowBandSize w:val="1"/>
      <w:tblStyleColBandSize w:val="1"/>
      <w:tblCellMar>
        <w:top w:w="100" w:type="dxa"/>
        <w:left w:w="100" w:type="dxa"/>
        <w:bottom w:w="100" w:type="dxa"/>
        <w:right w:w="100" w:type="dxa"/>
      </w:tblCellMar>
    </w:tblPr>
  </w:style>
  <w:style w:type="table" w:customStyle="1" w:styleId="a0">
    <w:basedOn w:val="TableNormalfffc"/>
    <w:tblPr>
      <w:tblStyleRowBandSize w:val="1"/>
      <w:tblStyleColBandSize w:val="1"/>
      <w:tblCellMar>
        <w:left w:w="115" w:type="dxa"/>
        <w:right w:w="115" w:type="dxa"/>
      </w:tblCellMar>
    </w:tblPr>
  </w:style>
  <w:style w:type="table" w:customStyle="1" w:styleId="a1">
    <w:basedOn w:val="TableNormalfffc"/>
    <w:tblPr>
      <w:tblStyleRowBandSize w:val="1"/>
      <w:tblStyleColBandSize w:val="1"/>
      <w:tblCellMar>
        <w:left w:w="115" w:type="dxa"/>
        <w:right w:w="115" w:type="dxa"/>
      </w:tblCellMar>
    </w:tblPr>
  </w:style>
  <w:style w:type="table" w:customStyle="1" w:styleId="a2">
    <w:basedOn w:val="TableNormalfffc"/>
    <w:tblPr>
      <w:tblStyleRowBandSize w:val="1"/>
      <w:tblStyleColBandSize w:val="1"/>
      <w:tblCellMar>
        <w:left w:w="115" w:type="dxa"/>
        <w:right w:w="115" w:type="dxa"/>
      </w:tblCellMar>
    </w:tblPr>
  </w:style>
  <w:style w:type="table" w:customStyle="1" w:styleId="a3">
    <w:basedOn w:val="TableNormalfffc"/>
    <w:tblPr>
      <w:tblStyleRowBandSize w:val="1"/>
      <w:tblStyleColBandSize w:val="1"/>
      <w:tblCellMar>
        <w:left w:w="115" w:type="dxa"/>
        <w:right w:w="115" w:type="dxa"/>
      </w:tblCellMar>
    </w:tblPr>
  </w:style>
  <w:style w:type="table" w:customStyle="1" w:styleId="a4">
    <w:basedOn w:val="TableNormalfffc"/>
    <w:tblPr>
      <w:tblStyleRowBandSize w:val="1"/>
      <w:tblStyleColBandSize w:val="1"/>
      <w:tblCellMar>
        <w:left w:w="115" w:type="dxa"/>
        <w:right w:w="115" w:type="dxa"/>
      </w:tblCellMar>
    </w:tblPr>
  </w:style>
  <w:style w:type="table" w:customStyle="1" w:styleId="a5">
    <w:basedOn w:val="TableNormalfffc"/>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fc"/>
    <w:tblPr>
      <w:tblStyleRowBandSize w:val="1"/>
      <w:tblStyleColBandSize w:val="1"/>
      <w:tblCellMar>
        <w:left w:w="115" w:type="dxa"/>
        <w:right w:w="115" w:type="dxa"/>
      </w:tblCellMar>
    </w:tblPr>
  </w:style>
  <w:style w:type="table" w:customStyle="1" w:styleId="a7">
    <w:basedOn w:val="TableNormalfffc"/>
    <w:tblPr>
      <w:tblStyleRowBandSize w:val="1"/>
      <w:tblStyleColBandSize w:val="1"/>
      <w:tblCellMar>
        <w:left w:w="115" w:type="dxa"/>
        <w:right w:w="115" w:type="dxa"/>
      </w:tblCellMar>
    </w:tblPr>
  </w:style>
  <w:style w:type="table" w:customStyle="1" w:styleId="a8">
    <w:basedOn w:val="TableNormalfffc"/>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fc"/>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f9"/>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fb"/>
    <w:tblPr>
      <w:tblStyleRowBandSize w:val="1"/>
      <w:tblStyleColBandSize w:val="1"/>
      <w:tblCellMar>
        <w:left w:w="115" w:type="dxa"/>
        <w:right w:w="115" w:type="dxa"/>
      </w:tblCellMar>
    </w:tblPr>
  </w:style>
  <w:style w:type="table" w:customStyle="1" w:styleId="afff3">
    <w:basedOn w:val="TableNormalffb"/>
    <w:tblPr>
      <w:tblStyleRowBandSize w:val="1"/>
      <w:tblStyleColBandSize w:val="1"/>
      <w:tblCellMar>
        <w:top w:w="100" w:type="dxa"/>
        <w:left w:w="100" w:type="dxa"/>
        <w:bottom w:w="100" w:type="dxa"/>
        <w:right w:w="100" w:type="dxa"/>
      </w:tblCellMar>
    </w:tblPr>
  </w:style>
  <w:style w:type="table" w:customStyle="1" w:styleId="afff4">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fb"/>
    <w:tblPr>
      <w:tblStyleRowBandSize w:val="1"/>
      <w:tblStyleColBandSize w:val="1"/>
      <w:tblCellMar>
        <w:top w:w="100" w:type="dxa"/>
        <w:left w:w="100" w:type="dxa"/>
        <w:bottom w:w="100" w:type="dxa"/>
        <w:right w:w="100" w:type="dxa"/>
      </w:tblCellMar>
    </w:tblPr>
  </w:style>
  <w:style w:type="table" w:customStyle="1" w:styleId="afff7">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fb"/>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fb"/>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7">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8">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f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e">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0">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1">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2">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3">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4">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5">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6">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7">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8">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9">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a">
    <w:basedOn w:val="TableNormal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4">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5">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a">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b">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c">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d">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e">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0">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1">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2">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3">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fff4">
    <w:basedOn w:val="TableNormal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GM6ghQj/u2zNXbe8UR5AKYjbMA==">AMUW2mWi+gICzIR+OqFFAngoJewtNXpw2ihxz1wpzPcx+pJhs68lbqFivEUK0OzOwcnJK5yZVyVplLuA6Q2RToOnDrsEG1D//QlsQGOh1/xkJySUrMsMh8Llh7rYIID2GMQY0ufnzGnwACxgNEp2fXotAC3CkpNF0KSBLjXwcjkIwB2RvUQtuNbSO7LNpVfXNit9zzXvdc52ZS2BjVSLbnHTtcbcHvrmdIM+ToXaBCwFIVJb6GG5NPVA29BygwUzcBMIfChvAgO6NNubTC+i0ZJe3qoiUVj0i9LvgiXXih6ruIB1NgLytDsvsgAd4yakunNJC4+kbaLeztcqAw2k2XlOwZbteWfA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FDA2CE-0F42-43E2-B28B-625AC3062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9837</Words>
  <Characters>54104</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 infoem</cp:lastModifiedBy>
  <cp:revision>6</cp:revision>
  <cp:lastPrinted>2023-02-10T19:49:00Z</cp:lastPrinted>
  <dcterms:created xsi:type="dcterms:W3CDTF">2023-01-26T20:13:00Z</dcterms:created>
  <dcterms:modified xsi:type="dcterms:W3CDTF">2023-02-10T19:49:00Z</dcterms:modified>
</cp:coreProperties>
</file>