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767888" w:rsidP="00767888" w:rsidRDefault="00767888" w14:paraId="27B45AB7" w14:textId="77777777">
      <w:pPr>
        <w:spacing w:line="360" w:lineRule="auto"/>
        <w:ind w:right="-28"/>
        <w:jc w:val="both"/>
        <w:rPr>
          <w:rFonts w:ascii="Palatino Linotype" w:hAnsi="Palatino Linotype" w:cs="Tahoma"/>
          <w:bCs/>
          <w:sz w:val="22"/>
          <w:szCs w:val="22"/>
        </w:rPr>
      </w:pPr>
    </w:p>
    <w:p w:rsidRPr="003121BB" w:rsidR="00F368EE" w:rsidP="00767888" w:rsidRDefault="00F368EE" w14:paraId="1D61717F" w14:textId="47C8B9C7">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022705">
        <w:rPr>
          <w:rFonts w:ascii="Palatino Linotype" w:hAnsi="Palatino Linotype" w:cs="Tahoma"/>
          <w:bCs/>
          <w:sz w:val="22"/>
          <w:szCs w:val="22"/>
        </w:rPr>
        <w:t>nueve</w:t>
      </w:r>
      <w:r w:rsidR="00767888">
        <w:rPr>
          <w:rFonts w:ascii="Palatino Linotype" w:hAnsi="Palatino Linotype" w:cs="Tahoma"/>
          <w:bCs/>
          <w:sz w:val="22"/>
          <w:szCs w:val="22"/>
        </w:rPr>
        <w:t xml:space="preserve"> </w:t>
      </w:r>
      <w:r>
        <w:rPr>
          <w:rFonts w:ascii="Palatino Linotype" w:hAnsi="Palatino Linotype" w:cs="Tahoma"/>
          <w:bCs/>
          <w:sz w:val="22"/>
          <w:szCs w:val="22"/>
        </w:rPr>
        <w:t>de febrero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itrés</w:t>
      </w:r>
      <w:r w:rsidRPr="00A8500A">
        <w:rPr>
          <w:rFonts w:ascii="Palatino Linotype" w:hAnsi="Palatino Linotype" w:cs="Tahoma"/>
          <w:bCs/>
          <w:sz w:val="22"/>
          <w:szCs w:val="22"/>
        </w:rPr>
        <w:t>.</w:t>
      </w:r>
    </w:p>
    <w:p w:rsidRPr="003121BB" w:rsidR="00F368EE" w:rsidP="00767888" w:rsidRDefault="00F368EE" w14:paraId="3E4BD055" w14:textId="77777777">
      <w:pPr>
        <w:spacing w:line="360" w:lineRule="auto"/>
        <w:ind w:right="-28"/>
        <w:jc w:val="both"/>
        <w:rPr>
          <w:rFonts w:ascii="Palatino Linotype" w:hAnsi="Palatino Linotype"/>
          <w:noProof/>
          <w:sz w:val="22"/>
          <w:szCs w:val="22"/>
          <w:lang w:val="es-ES"/>
        </w:rPr>
      </w:pPr>
    </w:p>
    <w:p w:rsidR="00F368EE" w:rsidP="78940EE6" w:rsidRDefault="00F368EE" w14:paraId="7D841362" w14:textId="503F2EB5">
      <w:pPr>
        <w:spacing w:line="360" w:lineRule="auto"/>
        <w:ind w:right="-28"/>
        <w:jc w:val="both"/>
        <w:rPr>
          <w:rFonts w:ascii="Palatino Linotype" w:hAnsi="Palatino Linotype" w:cs="Tahoma"/>
          <w:sz w:val="22"/>
          <w:szCs w:val="22"/>
        </w:rPr>
      </w:pPr>
      <w:r w:rsidRPr="78940EE6" w:rsidR="78940EE6">
        <w:rPr>
          <w:rFonts w:ascii="Palatino Linotype" w:hAnsi="Palatino Linotype" w:cs="Tahoma"/>
          <w:b w:val="1"/>
          <w:bCs w:val="1"/>
          <w:sz w:val="22"/>
          <w:szCs w:val="22"/>
        </w:rPr>
        <w:t xml:space="preserve">VISTO </w:t>
      </w:r>
      <w:r w:rsidRPr="78940EE6" w:rsidR="78940EE6">
        <w:rPr>
          <w:rFonts w:ascii="Palatino Linotype" w:hAnsi="Palatino Linotype" w:cs="Tahoma"/>
          <w:sz w:val="22"/>
          <w:szCs w:val="22"/>
        </w:rPr>
        <w:t xml:space="preserve">el expediente conformado con motivo del Recurso de Revisión </w:t>
      </w:r>
      <w:r w:rsidRPr="78940EE6" w:rsidR="78940EE6">
        <w:rPr>
          <w:rFonts w:ascii="Palatino Linotype" w:hAnsi="Palatino Linotype" w:cs="Tahoma"/>
          <w:color w:val="0D0D0D" w:themeColor="text1" w:themeTint="F2" w:themeShade="FF"/>
          <w:sz w:val="22"/>
          <w:szCs w:val="22"/>
        </w:rPr>
        <w:t>15466/INFOEM/IP/RR/2022</w:t>
      </w:r>
      <w:r w:rsidRPr="78940EE6" w:rsidR="78940EE6">
        <w:rPr>
          <w:rFonts w:ascii="Palatino Linotype" w:hAnsi="Palatino Linotype" w:cs="Tahoma"/>
          <w:sz w:val="22"/>
          <w:szCs w:val="22"/>
        </w:rPr>
        <w:t xml:space="preserve">, interpuesto por </w:t>
      </w:r>
      <w:r w:rsidRPr="78940EE6" w:rsidR="78940EE6">
        <w:rPr>
          <w:rFonts w:ascii="Palatino Linotype" w:hAnsi="Palatino Linotype" w:eastAsia="Calibri" w:cs="Tahoma"/>
          <w:sz w:val="22"/>
          <w:szCs w:val="22"/>
          <w:highlight w:val="black"/>
          <w:lang w:eastAsia="en-US"/>
        </w:rPr>
        <w:t>XXXXXXXXXXXXXXXX</w:t>
      </w:r>
      <w:r w:rsidRPr="78940EE6" w:rsidR="78940EE6">
        <w:rPr>
          <w:rFonts w:ascii="Palatino Linotype" w:hAnsi="Palatino Linotype" w:eastAsia="Calibri" w:cs="Tahoma"/>
          <w:sz w:val="22"/>
          <w:szCs w:val="22"/>
          <w:lang w:eastAsia="en-US"/>
        </w:rPr>
        <w:t>, en lo sucesivo,</w:t>
      </w:r>
      <w:r w:rsidRPr="78940EE6" w:rsidR="78940EE6">
        <w:rPr>
          <w:rFonts w:ascii="Palatino Linotype" w:hAnsi="Palatino Linotype" w:cs="Tahoma"/>
          <w:sz w:val="22"/>
          <w:szCs w:val="22"/>
        </w:rPr>
        <w:t xml:space="preserve"> Recurrente o Particular, en contra de la respuesta del Sujeto Obligado, Ayuntamiento de Toluca, a la solicitud de acceso a la información pública, con número de folio </w:t>
      </w:r>
      <w:r w:rsidRPr="78940EE6" w:rsidR="78940EE6">
        <w:rPr>
          <w:rFonts w:ascii="Palatino Linotype" w:hAnsi="Palatino Linotype"/>
          <w:color w:val="000000" w:themeColor="text1" w:themeTint="FF" w:themeShade="FF"/>
          <w:sz w:val="22"/>
          <w:szCs w:val="22"/>
        </w:rPr>
        <w:t>01915/TOLUCA/IP/2022</w:t>
      </w:r>
      <w:r w:rsidRPr="78940EE6" w:rsidR="78940EE6">
        <w:rPr>
          <w:rFonts w:ascii="Palatino Linotype" w:hAnsi="Palatino Linotype" w:cs="Tahoma"/>
          <w:sz w:val="22"/>
          <w:szCs w:val="22"/>
        </w:rPr>
        <w:t>, se emite la presente Resolución, con base en los Antecedentes y Considerandos que se exponen a continuación:</w:t>
      </w:r>
    </w:p>
    <w:p w:rsidRPr="00A06F31" w:rsidR="00F368EE" w:rsidP="00767888" w:rsidRDefault="00F368EE" w14:paraId="4EE893E2" w14:textId="77777777">
      <w:pPr>
        <w:spacing w:line="360" w:lineRule="auto"/>
        <w:ind w:right="-28"/>
        <w:jc w:val="both"/>
        <w:rPr>
          <w:rFonts w:ascii="Palatino Linotype" w:hAnsi="Palatino Linotype" w:cs="Tahoma"/>
          <w:b/>
          <w:bCs/>
          <w:color w:val="0D0D0D" w:themeColor="text1" w:themeTint="F2"/>
          <w:sz w:val="22"/>
          <w:szCs w:val="22"/>
        </w:rPr>
      </w:pPr>
    </w:p>
    <w:p w:rsidRPr="003121BB" w:rsidR="00F368EE" w:rsidP="00767888" w:rsidRDefault="00F368EE" w14:paraId="4B7E138D"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F368EE" w:rsidP="00767888" w:rsidRDefault="00F368EE" w14:paraId="3EC0E8E1"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F368EE" w:rsidP="00767888" w:rsidRDefault="00F368EE" w14:paraId="09B2E5B8"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F368EE" w:rsidP="00767888" w:rsidRDefault="00F368EE" w14:paraId="2F237F7D"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F368EE" w:rsidR="00F368EE" w:rsidP="00767888" w:rsidRDefault="00F368EE" w14:paraId="7FDEA85C" w14:textId="77D3B7AD">
      <w:pPr>
        <w:autoSpaceDE w:val="0"/>
        <w:autoSpaceDN w:val="0"/>
        <w:adjustRightInd w:val="0"/>
        <w:spacing w:line="360" w:lineRule="auto"/>
        <w:jc w:val="both"/>
        <w:rPr>
          <w:rFonts w:ascii="Palatino Linotype" w:hAnsi="Palatino Linotype" w:cs="Tahoma"/>
          <w:b/>
          <w:bCs/>
          <w:sz w:val="22"/>
          <w:szCs w:val="22"/>
          <w:lang w:val="es-ES"/>
        </w:rPr>
      </w:pPr>
      <w:r w:rsidRPr="00F368EE">
        <w:rPr>
          <w:rFonts w:ascii="Palatino Linotype" w:hAnsi="Palatino Linotype" w:cs="Tahoma"/>
          <w:sz w:val="22"/>
          <w:szCs w:val="22"/>
        </w:rPr>
        <w:t>Con fecha doce de septiembre de dos mil veintidós, el Particular presentó una solicitud de acceso a la información pública, a través del Sistema de Acceso a la Información Mexiquense (SAIMEX), ante el Ayuntamiento de Toluca</w:t>
      </w:r>
      <w:r w:rsidRPr="00F368EE">
        <w:rPr>
          <w:rFonts w:ascii="Palatino Linotype" w:hAnsi="Palatino Linotype" w:cs="Tahoma"/>
          <w:bCs/>
          <w:sz w:val="22"/>
          <w:szCs w:val="22"/>
        </w:rPr>
        <w:t xml:space="preserve"> , </w:t>
      </w:r>
      <w:r w:rsidRPr="00F368EE">
        <w:rPr>
          <w:rFonts w:ascii="Palatino Linotype" w:hAnsi="Palatino Linotype" w:eastAsia="Calibri"/>
          <w:b/>
          <w:sz w:val="22"/>
          <w:szCs w:val="22"/>
        </w:rPr>
        <w:t xml:space="preserve">ya que si bien, se registró el </w:t>
      </w:r>
      <w:r>
        <w:rPr>
          <w:rFonts w:ascii="Palatino Linotype" w:hAnsi="Palatino Linotype" w:eastAsia="Calibri"/>
          <w:b/>
          <w:sz w:val="22"/>
          <w:szCs w:val="22"/>
        </w:rPr>
        <w:t xml:space="preserve">diez de </w:t>
      </w:r>
      <w:r w:rsidR="00767888">
        <w:rPr>
          <w:rFonts w:ascii="Palatino Linotype" w:hAnsi="Palatino Linotype" w:eastAsia="Calibri"/>
          <w:b/>
          <w:sz w:val="22"/>
          <w:szCs w:val="22"/>
        </w:rPr>
        <w:t>dicho mes y año</w:t>
      </w:r>
      <w:r w:rsidRPr="00F368EE">
        <w:rPr>
          <w:rFonts w:ascii="Palatino Linotype" w:hAnsi="Palatino Linotype" w:eastAsia="Calibri"/>
          <w:b/>
          <w:sz w:val="22"/>
          <w:szCs w:val="22"/>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Pr="00F368EE">
        <w:rPr>
          <w:rFonts w:ascii="Palatino Linotype" w:hAnsi="Palatino Linotype" w:eastAsia="Calibri"/>
          <w:bCs/>
          <w:sz w:val="22"/>
          <w:szCs w:val="22"/>
        </w:rPr>
        <w:t xml:space="preserve">; </w:t>
      </w:r>
      <w:r w:rsidRPr="00F368EE">
        <w:rPr>
          <w:rFonts w:ascii="Palatino Linotype" w:hAnsi="Palatino Linotype" w:cs="Tahoma"/>
          <w:bCs/>
          <w:sz w:val="22"/>
          <w:szCs w:val="22"/>
          <w:lang w:val="es-ES"/>
        </w:rPr>
        <w:t>mediante la cual requirió lo siguiente:</w:t>
      </w:r>
    </w:p>
    <w:p w:rsidR="00F368EE" w:rsidP="00767888" w:rsidRDefault="00F368EE" w14:paraId="1BEDDC57" w14:textId="4D08ECDB">
      <w:pPr>
        <w:tabs>
          <w:tab w:val="left" w:pos="4667"/>
        </w:tabs>
        <w:spacing w:line="360" w:lineRule="auto"/>
        <w:ind w:left="567" w:right="567"/>
        <w:jc w:val="both"/>
        <w:rPr>
          <w:rFonts w:ascii="Palatino Linotype" w:hAnsi="Palatino Linotype" w:cs="Tahoma"/>
          <w:b/>
          <w:bCs/>
          <w:i/>
        </w:rPr>
      </w:pPr>
    </w:p>
    <w:p w:rsidR="00767888" w:rsidP="00767888" w:rsidRDefault="00767888" w14:paraId="6A73673F" w14:textId="77777777">
      <w:pPr>
        <w:tabs>
          <w:tab w:val="left" w:pos="4667"/>
        </w:tabs>
        <w:spacing w:line="360" w:lineRule="auto"/>
        <w:ind w:left="567" w:right="567"/>
        <w:jc w:val="both"/>
        <w:rPr>
          <w:rFonts w:ascii="Palatino Linotype" w:hAnsi="Palatino Linotype" w:cs="Tahoma"/>
          <w:b/>
          <w:bCs/>
          <w:i/>
        </w:rPr>
      </w:pPr>
    </w:p>
    <w:p w:rsidRPr="00F368EE" w:rsidR="00F368EE" w:rsidP="00767888" w:rsidRDefault="00F368EE" w14:paraId="0F2AC675" w14:textId="77777777">
      <w:pPr>
        <w:tabs>
          <w:tab w:val="left" w:pos="4667"/>
        </w:tabs>
        <w:spacing w:line="360" w:lineRule="auto"/>
        <w:ind w:left="567" w:right="567"/>
        <w:jc w:val="both"/>
        <w:rPr>
          <w:rFonts w:ascii="Palatino Linotype" w:hAnsi="Palatino Linotype" w:cs="Tahoma"/>
          <w:b/>
          <w:bCs/>
          <w:i/>
        </w:rPr>
      </w:pPr>
      <w:r w:rsidRPr="00F368EE">
        <w:rPr>
          <w:rFonts w:ascii="Palatino Linotype" w:hAnsi="Palatino Linotype" w:cs="Tahoma"/>
          <w:b/>
          <w:bCs/>
          <w:i/>
        </w:rPr>
        <w:lastRenderedPageBreak/>
        <w:t>“DESCRIPCIÓN CLARA Y PRECISA DE LA INFORMACIÓN SOLICITADA:</w:t>
      </w:r>
    </w:p>
    <w:p w:rsidRPr="00F368EE" w:rsidR="00F368EE" w:rsidP="00767888" w:rsidRDefault="00F368EE" w14:paraId="770C299A" w14:textId="17FFEE7D">
      <w:pPr>
        <w:tabs>
          <w:tab w:val="left" w:pos="4667"/>
        </w:tabs>
        <w:spacing w:line="360" w:lineRule="auto"/>
        <w:ind w:left="567" w:right="567"/>
        <w:jc w:val="both"/>
        <w:rPr>
          <w:rFonts w:ascii="Palatino Linotype" w:hAnsi="Palatino Linotype" w:cs="Tahoma"/>
          <w:bCs/>
          <w:i/>
        </w:rPr>
      </w:pPr>
      <w:r w:rsidRPr="00F368EE">
        <w:rPr>
          <w:rFonts w:ascii="Palatino Linotype" w:hAnsi="Palatino Linotype"/>
          <w:i/>
          <w:color w:val="000000"/>
        </w:rPr>
        <w:t>Solicito la plantilla o listado del personal *servidores publicos* que integran las siguientes areas del Ayuntamiento de Toluca&gt; Contraloria Municipal, Coordinacion de Asesores, UIPPE y Unidad de Transparencia</w:t>
      </w:r>
      <w:r w:rsidRPr="00F368EE">
        <w:rPr>
          <w:rFonts w:ascii="Palatino Linotype" w:hAnsi="Palatino Linotype" w:cs="Tahoma"/>
          <w:bCs/>
          <w:i/>
        </w:rPr>
        <w:t xml:space="preserve">.” </w:t>
      </w:r>
    </w:p>
    <w:p w:rsidRPr="00F368EE" w:rsidR="00F368EE" w:rsidP="00767888" w:rsidRDefault="00F368EE" w14:paraId="28A4F481" w14:textId="77777777">
      <w:pPr>
        <w:tabs>
          <w:tab w:val="left" w:pos="4667"/>
        </w:tabs>
        <w:spacing w:line="360" w:lineRule="auto"/>
        <w:ind w:right="567"/>
        <w:jc w:val="both"/>
        <w:rPr>
          <w:rFonts w:ascii="Palatino Linotype" w:hAnsi="Palatino Linotype" w:cs="Tahoma"/>
          <w:bCs/>
          <w:i/>
        </w:rPr>
      </w:pPr>
    </w:p>
    <w:p w:rsidRPr="00F368EE" w:rsidR="00F368EE" w:rsidP="00767888" w:rsidRDefault="00F368EE" w14:paraId="5B44C091" w14:textId="77777777">
      <w:pPr>
        <w:tabs>
          <w:tab w:val="left" w:pos="4667"/>
        </w:tabs>
        <w:spacing w:line="360" w:lineRule="auto"/>
        <w:ind w:left="567"/>
        <w:jc w:val="both"/>
        <w:rPr>
          <w:rFonts w:ascii="Palatino Linotype" w:hAnsi="Palatino Linotype" w:cs="Tahoma"/>
          <w:b/>
          <w:bCs/>
          <w:i/>
        </w:rPr>
      </w:pPr>
      <w:r w:rsidRPr="00F368EE">
        <w:rPr>
          <w:rFonts w:ascii="Palatino Linotype" w:hAnsi="Palatino Linotype" w:cs="Tahoma"/>
          <w:b/>
          <w:bCs/>
          <w:i/>
        </w:rPr>
        <w:t xml:space="preserve">“Modalidad de Entrega: </w:t>
      </w:r>
    </w:p>
    <w:p w:rsidR="00F368EE" w:rsidP="00767888" w:rsidRDefault="00F368EE" w14:paraId="779C745B" w14:textId="7427E068">
      <w:pPr>
        <w:tabs>
          <w:tab w:val="left" w:pos="567"/>
        </w:tabs>
        <w:spacing w:line="360" w:lineRule="auto"/>
        <w:ind w:left="567" w:right="-28"/>
        <w:jc w:val="both"/>
        <w:rPr>
          <w:rFonts w:ascii="Palatino Linotype" w:hAnsi="Palatino Linotype" w:cs="Tahoma"/>
          <w:bCs/>
          <w:i/>
        </w:rPr>
      </w:pPr>
      <w:r w:rsidRPr="00F368EE" w:rsidDel="006544EC">
        <w:rPr>
          <w:rFonts w:ascii="Palatino Linotype" w:hAnsi="Palatino Linotype" w:cs="Tahoma"/>
          <w:b/>
          <w:bCs/>
          <w:i/>
        </w:rPr>
        <w:t xml:space="preserve"> </w:t>
      </w:r>
      <w:r w:rsidRPr="00F368EE">
        <w:rPr>
          <w:rFonts w:ascii="Palatino Linotype" w:hAnsi="Palatino Linotype" w:cs="Tahoma"/>
          <w:bCs/>
          <w:i/>
        </w:rPr>
        <w:t>A través de SAIMEX.”</w:t>
      </w:r>
    </w:p>
    <w:p w:rsidRPr="00F368EE" w:rsidR="00F368EE" w:rsidP="00767888" w:rsidRDefault="00F368EE" w14:paraId="38D8E2E1" w14:textId="77777777">
      <w:pPr>
        <w:tabs>
          <w:tab w:val="left" w:pos="567"/>
        </w:tabs>
        <w:spacing w:line="360" w:lineRule="auto"/>
        <w:ind w:left="567" w:right="-28"/>
        <w:jc w:val="both"/>
        <w:rPr>
          <w:rFonts w:ascii="Palatino Linotype" w:hAnsi="Palatino Linotype" w:cs="Tahoma"/>
          <w:bCs/>
          <w:i/>
        </w:rPr>
      </w:pPr>
    </w:p>
    <w:p w:rsidRPr="005864BF" w:rsidR="00F368EE" w:rsidP="00767888" w:rsidRDefault="00F368EE" w14:paraId="4828C6A9" w14:textId="77777777">
      <w:pPr>
        <w:tabs>
          <w:tab w:val="left" w:pos="4667"/>
        </w:tabs>
        <w:spacing w:line="360" w:lineRule="auto"/>
        <w:ind w:right="567"/>
        <w:jc w:val="both"/>
        <w:rPr>
          <w:rFonts w:ascii="Palatino Linotype" w:hAnsi="Palatino Linotype" w:cs="Tahoma"/>
          <w:b/>
          <w:bCs/>
          <w:sz w:val="22"/>
          <w:szCs w:val="24"/>
        </w:rPr>
      </w:pPr>
      <w:bookmarkStart w:name="_Hlk16082333" w:id="0"/>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bookmarkEnd w:id="0"/>
    <w:p w:rsidR="00F368EE" w:rsidP="00767888" w:rsidRDefault="00F368EE" w14:paraId="5F5A281F" w14:textId="77777777">
      <w:pPr>
        <w:autoSpaceDE w:val="0"/>
        <w:autoSpaceDN w:val="0"/>
        <w:adjustRightInd w:val="0"/>
        <w:spacing w:line="360" w:lineRule="auto"/>
        <w:contextualSpacing/>
        <w:jc w:val="both"/>
        <w:rPr>
          <w:rFonts w:ascii="Palatino Linotype" w:hAnsi="Palatino Linotype" w:cs="Tahoma"/>
          <w:b/>
          <w:sz w:val="22"/>
          <w:szCs w:val="22"/>
        </w:rPr>
      </w:pPr>
    </w:p>
    <w:p w:rsidRPr="001207E3" w:rsidR="00F368EE" w:rsidP="00767888" w:rsidRDefault="00F368EE" w14:paraId="20C2083A" w14:textId="3EF3C9BB">
      <w:pPr>
        <w:autoSpaceDE w:val="0"/>
        <w:autoSpaceDN w:val="0"/>
        <w:adjustRightInd w:val="0"/>
        <w:spacing w:line="360" w:lineRule="auto"/>
        <w:contextualSpacing/>
        <w:jc w:val="both"/>
        <w:rPr>
          <w:rFonts w:ascii="Palatino Linotype" w:hAnsi="Palatino Linotype" w:cs="Tahoma"/>
          <w:bCs/>
          <w:i/>
        </w:rPr>
      </w:pPr>
      <w:r>
        <w:rPr>
          <w:rFonts w:ascii="Palatino Linotype" w:hAnsi="Palatino Linotype" w:cs="Tahoma"/>
          <w:bCs/>
          <w:sz w:val="22"/>
          <w:szCs w:val="22"/>
        </w:rPr>
        <w:t>Con fecha cuatro de octubre de dos mil veintidós, el</w:t>
      </w:r>
      <w:r>
        <w:rPr>
          <w:rFonts w:ascii="Palatino Linotype" w:hAnsi="Palatino Linotype" w:cs="Tahoma"/>
          <w:b/>
          <w:sz w:val="22"/>
          <w:szCs w:val="22"/>
        </w:rPr>
        <w:t xml:space="preserve"> </w:t>
      </w:r>
      <w:r>
        <w:rPr>
          <w:rFonts w:ascii="Palatino Linotype" w:hAnsi="Palatino Linotype" w:cs="Tahoma"/>
          <w:sz w:val="22"/>
          <w:szCs w:val="22"/>
        </w:rPr>
        <w:t xml:space="preserve">Sujeto Obligado dio respuesta a la solicitud de acceso a la información, a través del Sistema de Acceso a la Información Mexiquense (SAIMEX), por medio del oficio sin número, </w:t>
      </w:r>
      <w:r w:rsidR="00AD11A8">
        <w:rPr>
          <w:rFonts w:ascii="Palatino Linotype" w:hAnsi="Palatino Linotype" w:cs="Tahoma"/>
          <w:sz w:val="22"/>
          <w:szCs w:val="22"/>
        </w:rPr>
        <w:t>de la misma fecha</w:t>
      </w:r>
      <w:r>
        <w:rPr>
          <w:rFonts w:ascii="Palatino Linotype" w:hAnsi="Palatino Linotype" w:cs="Tahoma"/>
          <w:sz w:val="22"/>
          <w:szCs w:val="22"/>
        </w:rPr>
        <w:t xml:space="preserve">, suscrito por la </w:t>
      </w:r>
      <w:r w:rsidR="00AD11A8">
        <w:rPr>
          <w:rFonts w:ascii="Palatino Linotype" w:hAnsi="Palatino Linotype" w:cs="Tahoma"/>
          <w:sz w:val="22"/>
          <w:szCs w:val="22"/>
        </w:rPr>
        <w:t>T</w:t>
      </w:r>
      <w:r>
        <w:rPr>
          <w:rFonts w:ascii="Palatino Linotype" w:hAnsi="Palatino Linotype" w:cs="Tahoma"/>
          <w:sz w:val="22"/>
          <w:szCs w:val="22"/>
        </w:rPr>
        <w:t xml:space="preserve">itular de la Unidad de Transparencia, dirigido al Solicitante, por medio del cual informa </w:t>
      </w:r>
      <w:r w:rsidR="00AD11A8">
        <w:rPr>
          <w:rFonts w:ascii="Palatino Linotype" w:hAnsi="Palatino Linotype" w:cs="Tahoma"/>
          <w:sz w:val="22"/>
          <w:szCs w:val="22"/>
        </w:rPr>
        <w:t xml:space="preserve"> que la </w:t>
      </w:r>
      <w:r w:rsidR="00B34E0C">
        <w:rPr>
          <w:rFonts w:ascii="Palatino Linotype" w:hAnsi="Palatino Linotype" w:cs="Tahoma"/>
          <w:sz w:val="22"/>
          <w:szCs w:val="22"/>
        </w:rPr>
        <w:t>Dirección</w:t>
      </w:r>
      <w:r w:rsidR="00AD11A8">
        <w:rPr>
          <w:rFonts w:ascii="Palatino Linotype" w:hAnsi="Palatino Linotype" w:cs="Tahoma"/>
          <w:sz w:val="22"/>
          <w:szCs w:val="22"/>
          <w:lang w:val="x-none"/>
        </w:rPr>
        <w:t xml:space="preserve"> General de Administración, después de realizar una búsqueda exhaustiva y razonable en sus archivos, proporcionaba la plantilla de servidores públicos que integraban la Contraloría Municipal, la Coordinación de Asesores, la Unidad de Información, Planeación, Programación y Evaluación y la Unidad de Transparencia.</w:t>
      </w:r>
    </w:p>
    <w:p w:rsidR="00F368EE" w:rsidP="00767888" w:rsidRDefault="00F368EE" w14:paraId="4EC2602D"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060ECF" w:rsidR="00F368EE" w:rsidP="00767888" w:rsidRDefault="00F368EE" w14:paraId="11F086A7" w14:textId="7C9E4E2A">
      <w:pPr>
        <w:autoSpaceDE w:val="0"/>
        <w:autoSpaceDN w:val="0"/>
        <w:adjustRightInd w:val="0"/>
        <w:spacing w:line="360" w:lineRule="auto"/>
        <w:ind w:right="-28"/>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El Sujeto Obligado adjuntó la digitalización </w:t>
      </w:r>
      <w:r w:rsidR="00AD11A8">
        <w:rPr>
          <w:rFonts w:ascii="Palatino Linotype" w:hAnsi="Palatino Linotype" w:cs="Tahoma"/>
          <w:bCs/>
          <w:sz w:val="22"/>
          <w:szCs w:val="22"/>
          <w:lang w:val="es-ES"/>
        </w:rPr>
        <w:t xml:space="preserve">de la </w:t>
      </w:r>
      <w:proofErr w:type="spellStart"/>
      <w:r w:rsidR="00AD11A8">
        <w:rPr>
          <w:rFonts w:ascii="Palatino Linotype" w:hAnsi="Palatino Linotype" w:cs="Tahoma"/>
          <w:bCs/>
          <w:sz w:val="22"/>
          <w:szCs w:val="22"/>
          <w:lang w:val="es-ES"/>
        </w:rPr>
        <w:t>relaci</w:t>
      </w:r>
      <w:r w:rsidR="00AD11A8">
        <w:rPr>
          <w:rFonts w:ascii="Palatino Linotype" w:hAnsi="Palatino Linotype" w:cs="Tahoma"/>
          <w:bCs/>
          <w:sz w:val="22"/>
          <w:szCs w:val="22"/>
          <w:lang w:val="x-none"/>
        </w:rPr>
        <w:t>ón</w:t>
      </w:r>
      <w:proofErr w:type="spellEnd"/>
      <w:r w:rsidR="00AD11A8">
        <w:rPr>
          <w:rFonts w:ascii="Palatino Linotype" w:hAnsi="Palatino Linotype" w:cs="Tahoma"/>
          <w:bCs/>
          <w:sz w:val="22"/>
          <w:szCs w:val="22"/>
          <w:lang w:val="x-none"/>
        </w:rPr>
        <w:t xml:space="preserve"> denominada </w:t>
      </w:r>
      <w:r w:rsidR="00513813">
        <w:rPr>
          <w:rFonts w:ascii="Palatino Linotype" w:hAnsi="Palatino Linotype" w:cs="Tahoma"/>
          <w:bCs/>
          <w:sz w:val="22"/>
          <w:szCs w:val="22"/>
          <w:lang w:val="x-none"/>
        </w:rPr>
        <w:t>“</w:t>
      </w:r>
      <w:r w:rsidR="00AD11A8">
        <w:rPr>
          <w:rFonts w:ascii="Palatino Linotype" w:hAnsi="Palatino Linotype" w:cs="Tahoma"/>
          <w:bCs/>
          <w:sz w:val="22"/>
          <w:szCs w:val="22"/>
          <w:lang w:val="x-none"/>
        </w:rPr>
        <w:t>Plantilla de Servidores Públicos</w:t>
      </w:r>
      <w:r w:rsidR="00513813">
        <w:rPr>
          <w:rFonts w:ascii="Palatino Linotype" w:hAnsi="Palatino Linotype" w:cs="Tahoma"/>
          <w:bCs/>
          <w:sz w:val="22"/>
          <w:szCs w:val="22"/>
          <w:lang w:val="x-none"/>
        </w:rPr>
        <w:t xml:space="preserve"> que integran: Contraloría Municipal, Coordinación de Asesores, UIPPE y Unidad de Transparencia.</w:t>
      </w:r>
    </w:p>
    <w:p w:rsidRPr="001207E3" w:rsidR="00F368EE" w:rsidP="00767888" w:rsidRDefault="00F368EE" w14:paraId="536A6226"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F368EE" w:rsidP="00767888" w:rsidRDefault="00F368EE" w14:paraId="33442F76"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F368EE" w:rsidP="00767888" w:rsidRDefault="00F368EE" w14:paraId="59DD8BAC" w14:textId="77777777">
      <w:pPr>
        <w:autoSpaceDE w:val="0"/>
        <w:autoSpaceDN w:val="0"/>
        <w:adjustRightInd w:val="0"/>
        <w:spacing w:line="360" w:lineRule="auto"/>
        <w:ind w:right="-28"/>
        <w:jc w:val="both"/>
        <w:rPr>
          <w:rFonts w:ascii="Palatino Linotype" w:hAnsi="Palatino Linotype" w:cs="Tahoma"/>
          <w:sz w:val="22"/>
          <w:szCs w:val="22"/>
        </w:rPr>
      </w:pPr>
    </w:p>
    <w:p w:rsidRPr="00474FBB" w:rsidR="00F368EE" w:rsidP="00767888" w:rsidRDefault="00F368EE" w14:paraId="23441C1B" w14:textId="66A2664A">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D7727E">
        <w:rPr>
          <w:rFonts w:ascii="Palatino Linotype" w:hAnsi="Palatino Linotype" w:cs="Tahoma"/>
          <w:bCs/>
          <w:sz w:val="22"/>
          <w:szCs w:val="22"/>
          <w:lang w:val="es-ES"/>
        </w:rPr>
        <w:t>diez de octubre</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xml:space="preserve">, el Recurso de Revisión interpuesto por la parte Recurrente, en contra de la respuesta del Sujeto Obligado, </w:t>
      </w:r>
      <w:r w:rsidRPr="00F368EE" w:rsidR="00D7727E">
        <w:rPr>
          <w:rFonts w:ascii="Palatino Linotype" w:hAnsi="Palatino Linotype" w:eastAsia="Calibri"/>
          <w:b/>
          <w:sz w:val="22"/>
          <w:szCs w:val="22"/>
        </w:rPr>
        <w:t xml:space="preserve">ya que si bien, se registró el </w:t>
      </w:r>
      <w:r w:rsidR="00D7727E">
        <w:rPr>
          <w:rFonts w:ascii="Palatino Linotype" w:hAnsi="Palatino Linotype" w:eastAsia="Calibri"/>
          <w:b/>
          <w:sz w:val="22"/>
          <w:szCs w:val="22"/>
        </w:rPr>
        <w:lastRenderedPageBreak/>
        <w:t xml:space="preserve">nueve </w:t>
      </w:r>
      <w:r w:rsidR="00AD11A8">
        <w:rPr>
          <w:rFonts w:ascii="Palatino Linotype" w:hAnsi="Palatino Linotype" w:eastAsia="Calibri"/>
          <w:b/>
          <w:sz w:val="22"/>
          <w:szCs w:val="22"/>
        </w:rPr>
        <w:t>de dicho mes y año</w:t>
      </w:r>
      <w:r w:rsidRPr="00F368EE" w:rsidR="00D7727E">
        <w:rPr>
          <w:rFonts w:ascii="Palatino Linotype" w:hAnsi="Palatino Linotype" w:eastAsia="Calibri"/>
          <w:b/>
          <w:sz w:val="22"/>
          <w:szCs w:val="22"/>
        </w:rPr>
        <w:t>, también lo es, que fue inhábil, por lo que, se tuvo por presentado el día hábil subsecuente</w:t>
      </w:r>
      <w:r w:rsidRPr="00F368EE" w:rsidR="00D7727E">
        <w:rPr>
          <w:rFonts w:ascii="Palatino Linotype" w:hAnsi="Palatino Linotype" w:eastAsia="Calibri"/>
          <w:bCs/>
          <w:sz w:val="22"/>
          <w:szCs w:val="22"/>
        </w:rPr>
        <w:t>;</w:t>
      </w:r>
      <w:r w:rsidR="00D7727E">
        <w:rPr>
          <w:rFonts w:ascii="Palatino Linotype" w:hAnsi="Palatino Linotype" w:eastAsia="Calibri"/>
          <w:bCs/>
          <w:sz w:val="22"/>
          <w:szCs w:val="22"/>
        </w:rPr>
        <w:t xml:space="preserve"> </w:t>
      </w:r>
      <w:r w:rsidRPr="00474FBB">
        <w:rPr>
          <w:rFonts w:ascii="Palatino Linotype" w:hAnsi="Palatino Linotype" w:cs="Tahoma"/>
          <w:bCs/>
          <w:sz w:val="22"/>
          <w:szCs w:val="22"/>
        </w:rPr>
        <w:t>en los siguientes términos:</w:t>
      </w:r>
    </w:p>
    <w:p w:rsidRPr="001207E3" w:rsidR="00F368EE" w:rsidP="00767888" w:rsidRDefault="00F368EE" w14:paraId="06F6EA64" w14:textId="77777777">
      <w:pPr>
        <w:autoSpaceDE w:val="0"/>
        <w:autoSpaceDN w:val="0"/>
        <w:adjustRightInd w:val="0"/>
        <w:spacing w:line="360" w:lineRule="auto"/>
        <w:ind w:right="-28"/>
        <w:jc w:val="both"/>
        <w:rPr>
          <w:rFonts w:ascii="Palatino Linotype" w:hAnsi="Palatino Linotype" w:cs="Tahoma"/>
          <w:sz w:val="22"/>
          <w:szCs w:val="22"/>
          <w:lang w:val="es-ES"/>
        </w:rPr>
      </w:pPr>
    </w:p>
    <w:p w:rsidRPr="001F2B92" w:rsidR="00F368EE" w:rsidP="00767888" w:rsidRDefault="00F368EE" w14:paraId="498AA2BE" w14:textId="77777777">
      <w:pPr>
        <w:tabs>
          <w:tab w:val="left" w:pos="4667"/>
        </w:tabs>
        <w:spacing w:line="360" w:lineRule="auto"/>
        <w:ind w:left="567" w:right="567"/>
        <w:jc w:val="both"/>
        <w:rPr>
          <w:rFonts w:ascii="Palatino Linotype" w:hAnsi="Palatino Linotype" w:cs="Tahoma"/>
          <w:b/>
          <w:bCs/>
          <w:i/>
        </w:rPr>
      </w:pPr>
      <w:r w:rsidRPr="001F2B92">
        <w:rPr>
          <w:rFonts w:ascii="Palatino Linotype" w:hAnsi="Palatino Linotype" w:cs="Tahoma"/>
          <w:b/>
          <w:bCs/>
          <w:i/>
        </w:rPr>
        <w:t>“ACTO IMPUGNADO</w:t>
      </w:r>
    </w:p>
    <w:p w:rsidRPr="001F2B92" w:rsidR="00F368EE" w:rsidP="00767888" w:rsidRDefault="00D7727E" w14:paraId="66923780" w14:textId="56215029">
      <w:pPr>
        <w:tabs>
          <w:tab w:val="left" w:pos="4667"/>
        </w:tabs>
        <w:spacing w:line="360" w:lineRule="auto"/>
        <w:ind w:left="567" w:right="567"/>
        <w:jc w:val="both"/>
        <w:rPr>
          <w:rFonts w:ascii="Palatino Linotype" w:hAnsi="Palatino Linotype" w:cs="Tahoma"/>
          <w:bCs/>
          <w:i/>
        </w:rPr>
      </w:pPr>
      <w:r w:rsidRPr="001F2B92">
        <w:rPr>
          <w:rFonts w:ascii="Palatino Linotype" w:hAnsi="Palatino Linotype"/>
          <w:i/>
          <w:color w:val="000000"/>
        </w:rPr>
        <w:t>Solicito recurso de revisión debido a que los documentos que se me están otorgando con la respuesta, están incompletos y descontinuos, como es el caso del listado que corresoponde a la Contraloría Municipal; ya que faltan nombres de personas que laboran en la Contraloría y no aparecen en este listado y además, el documento está cortado, pareciendo que la información fue manipulada por la Unidad de Transparencia; así mismo solicito que la Dirección General de Administración verifique si la información que me está dando la Unidad de Transparencia es la que originalmente esta Dirección envió para dar respuesta a mi solicitud. Parececiera que la Unidad de Transparencia manipula y oculta información que es de interés público y acomoda a modo la información que los servidores públicos habilitados envían a esa Unidad para cumplir con sus obligaciones. Por lo tanto pido la revisión y verificación de la información que me están dando y corrijan los faltantes en la respuesta, de manera que la Unidad de Transparencia no oculte, modifique o manipule la información. Gracias</w:t>
      </w:r>
      <w:r w:rsidRPr="001F2B92" w:rsidR="00F368EE">
        <w:rPr>
          <w:rFonts w:ascii="Palatino Linotype" w:hAnsi="Palatino Linotype" w:cs="Tahoma"/>
          <w:bCs/>
          <w:i/>
        </w:rPr>
        <w:t>.”</w:t>
      </w:r>
      <w:r w:rsidRPr="001F2B92" w:rsidR="001F2B92">
        <w:rPr>
          <w:rFonts w:ascii="Palatino Linotype" w:hAnsi="Palatino Linotype" w:cs="Tahoma"/>
          <w:bCs/>
          <w:i/>
        </w:rPr>
        <w:t xml:space="preserve"> </w:t>
      </w:r>
      <w:r w:rsidRPr="001F2B92" w:rsidR="00F368EE">
        <w:rPr>
          <w:rFonts w:ascii="Palatino Linotype" w:hAnsi="Palatino Linotype" w:cs="Tahoma"/>
          <w:bCs/>
          <w:i/>
        </w:rPr>
        <w:t>(Sic.)</w:t>
      </w:r>
    </w:p>
    <w:p w:rsidRPr="001F2B92" w:rsidR="00F368EE" w:rsidP="00767888" w:rsidRDefault="00F368EE" w14:paraId="12681999" w14:textId="77777777">
      <w:pPr>
        <w:tabs>
          <w:tab w:val="left" w:pos="4667"/>
        </w:tabs>
        <w:spacing w:line="360" w:lineRule="auto"/>
        <w:ind w:left="567" w:right="567"/>
        <w:jc w:val="both"/>
        <w:rPr>
          <w:rFonts w:ascii="Palatino Linotype" w:hAnsi="Palatino Linotype" w:cs="Tahoma"/>
          <w:bCs/>
          <w:i/>
        </w:rPr>
      </w:pPr>
    </w:p>
    <w:p w:rsidRPr="001F2B92" w:rsidR="00F368EE" w:rsidP="00767888" w:rsidRDefault="00F368EE" w14:paraId="3EAAABDE" w14:textId="77777777">
      <w:pPr>
        <w:tabs>
          <w:tab w:val="left" w:pos="4667"/>
        </w:tabs>
        <w:spacing w:line="360" w:lineRule="auto"/>
        <w:ind w:left="567" w:right="567"/>
        <w:jc w:val="both"/>
        <w:rPr>
          <w:rFonts w:ascii="Palatino Linotype" w:hAnsi="Palatino Linotype" w:cs="Tahoma"/>
          <w:b/>
          <w:bCs/>
          <w:i/>
        </w:rPr>
      </w:pPr>
      <w:r w:rsidRPr="001F2B92">
        <w:rPr>
          <w:rFonts w:ascii="Palatino Linotype" w:hAnsi="Palatino Linotype" w:cs="Tahoma"/>
          <w:b/>
          <w:bCs/>
          <w:i/>
        </w:rPr>
        <w:t>“RAZONES O MOTIVOS DE LA INCONFORMIDAD</w:t>
      </w:r>
    </w:p>
    <w:p w:rsidRPr="00513813" w:rsidR="00F368EE" w:rsidP="00513813" w:rsidRDefault="001F2B92" w14:paraId="1D0F5086" w14:textId="6029898E">
      <w:pPr>
        <w:tabs>
          <w:tab w:val="left" w:pos="4667"/>
        </w:tabs>
        <w:spacing w:line="360" w:lineRule="auto"/>
        <w:ind w:left="567" w:right="567"/>
        <w:jc w:val="both"/>
        <w:rPr>
          <w:rFonts w:ascii="Palatino Linotype" w:hAnsi="Palatino Linotype" w:cs="Tahoma"/>
          <w:bCs/>
          <w:i/>
        </w:rPr>
      </w:pPr>
      <w:r w:rsidRPr="001F2B92">
        <w:rPr>
          <w:rFonts w:ascii="Palatino Linotype" w:hAnsi="Palatino Linotype"/>
          <w:i/>
          <w:color w:val="000000"/>
        </w:rPr>
        <w:t>Solicito recurso de revisión debido a que los documentos que se me están otorgando con la respuesta, están incompletos y descontinuos, como es el caso del listado que corresoponde a la Contraloría Municipal; ya que faltan nombres de personas que laboran en la Contraloría y no aparecen en este listado y además, el documento está cortado, pareciendo que la información fue manipulada por la Unidad de Transparencia; así mismo solicito que la Dirección General de Administración verifique si la información que me está dando la Unidad de Transparencia es la que originalmente esta Dirección envió para dar respuesta a mi solicitud. Parececiera que la Unidad de Transparencia manipula y oculta información que es de interés público y acomoda a modo la información que los servidores públicos habilitados envían a esa Unidad para cumplir con sus obligaciones. Por lo tanto pido la revisión y verificación de la información que me están dando y corrijan los faltantes en la respuesta, de manera que la Unidad de Transparencia no oculte, modifique o manipule la información. Gracias</w:t>
      </w:r>
      <w:r w:rsidRPr="001F2B92" w:rsidR="00F368EE">
        <w:rPr>
          <w:rFonts w:ascii="Palatino Linotype" w:hAnsi="Palatino Linotype" w:cs="Tahoma"/>
          <w:bCs/>
          <w:i/>
        </w:rPr>
        <w:t>.”</w:t>
      </w:r>
      <w:r w:rsidRPr="001F2B92">
        <w:rPr>
          <w:rFonts w:ascii="Palatino Linotype" w:hAnsi="Palatino Linotype" w:cs="Tahoma"/>
          <w:bCs/>
          <w:i/>
        </w:rPr>
        <w:t xml:space="preserve"> </w:t>
      </w:r>
      <w:r w:rsidRPr="001F2B92" w:rsidR="00F368EE">
        <w:rPr>
          <w:rFonts w:ascii="Palatino Linotype" w:hAnsi="Palatino Linotype" w:cs="Tahoma"/>
          <w:bCs/>
          <w:i/>
        </w:rPr>
        <w:t>(Sic.)</w:t>
      </w:r>
    </w:p>
    <w:p w:rsidRPr="00D47A95" w:rsidR="00F368EE" w:rsidP="00767888" w:rsidRDefault="00F368EE" w14:paraId="6F90E650"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lastRenderedPageBreak/>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F368EE" w:rsidP="00767888" w:rsidRDefault="00F368EE" w14:paraId="24E08FC3" w14:textId="77777777">
      <w:pPr>
        <w:spacing w:line="360" w:lineRule="auto"/>
        <w:ind w:right="-28"/>
        <w:jc w:val="both"/>
        <w:rPr>
          <w:rFonts w:ascii="Palatino Linotype" w:hAnsi="Palatino Linotype" w:eastAsia="Batang" w:cs="Tahoma"/>
          <w:b/>
          <w:bCs/>
          <w:sz w:val="22"/>
          <w:szCs w:val="22"/>
        </w:rPr>
      </w:pPr>
    </w:p>
    <w:p w:rsidRPr="00FC6890" w:rsidR="00F368EE" w:rsidP="00767888" w:rsidRDefault="00F368EE" w14:paraId="55F7F9B0" w14:textId="6AB6132D">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AD11A8">
        <w:rPr>
          <w:rFonts w:ascii="Palatino Linotype" w:hAnsi="Palatino Linotype" w:cs="Tahoma"/>
          <w:sz w:val="22"/>
          <w:szCs w:val="22"/>
        </w:rPr>
        <w:t xml:space="preserve">diez </w:t>
      </w:r>
      <w:r w:rsidR="001F2B92">
        <w:rPr>
          <w:rFonts w:ascii="Palatino Linotype" w:hAnsi="Palatino Linotype" w:cs="Tahoma"/>
          <w:sz w:val="22"/>
          <w:szCs w:val="22"/>
        </w:rPr>
        <w:t>de octubre</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Pr>
          <w:rFonts w:ascii="Palatino Linotype" w:hAnsi="Palatino Linotype" w:eastAsia="Calibri" w:cs="Tahoma"/>
          <w:b/>
          <w:bCs/>
          <w:sz w:val="22"/>
          <w:szCs w:val="22"/>
          <w:lang w:eastAsia="en-US"/>
        </w:rPr>
        <w:t>1</w:t>
      </w:r>
      <w:r w:rsidR="001F2B92">
        <w:rPr>
          <w:rFonts w:ascii="Palatino Linotype" w:hAnsi="Palatino Linotype" w:eastAsia="Calibri" w:cs="Tahoma"/>
          <w:b/>
          <w:bCs/>
          <w:sz w:val="22"/>
          <w:szCs w:val="22"/>
          <w:lang w:eastAsia="en-US"/>
        </w:rPr>
        <w:t>5466</w:t>
      </w:r>
      <w:r w:rsidRPr="0097069D">
        <w:rPr>
          <w:rFonts w:ascii="Palatino Linotype" w:hAnsi="Palatino Linotype" w:eastAsia="Calibri" w:cs="Tahoma"/>
          <w:b/>
          <w:bCs/>
          <w:sz w:val="22"/>
          <w:szCs w:val="22"/>
          <w:lang w:eastAsia="en-US"/>
        </w:rPr>
        <w:t>/INFOEM/IP/RR/2022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F368EE" w:rsidP="00767888" w:rsidRDefault="00F368EE" w14:paraId="2532CA94" w14:textId="77777777">
      <w:pPr>
        <w:spacing w:line="360" w:lineRule="auto"/>
        <w:ind w:right="-28"/>
        <w:jc w:val="both"/>
        <w:rPr>
          <w:rFonts w:ascii="Palatino Linotype" w:hAnsi="Palatino Linotype" w:eastAsia="Batang" w:cs="Tahoma"/>
          <w:b/>
          <w:bCs/>
          <w:sz w:val="22"/>
          <w:szCs w:val="22"/>
        </w:rPr>
      </w:pPr>
    </w:p>
    <w:p w:rsidR="00F368EE" w:rsidP="00767888" w:rsidRDefault="00F368EE" w14:paraId="289249FD" w14:textId="675F4659">
      <w:pPr>
        <w:spacing w:line="360" w:lineRule="auto"/>
        <w:jc w:val="both"/>
        <w:rPr>
          <w:rFonts w:ascii="Palatino Linotype" w:hAnsi="Palatino Linotype" w:cs="Tahoma"/>
          <w:bCs/>
          <w:sz w:val="22"/>
          <w:szCs w:val="22"/>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7B3E1A">
        <w:rPr>
          <w:rFonts w:ascii="Palatino Linotype" w:hAnsi="Palatino Linotype" w:eastAsia="Batang" w:cs="Tahoma"/>
          <w:bCs/>
          <w:sz w:val="22"/>
          <w:szCs w:val="22"/>
          <w:lang w:val="es-ES_tradnl"/>
        </w:rPr>
        <w:t>trece de octubre</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F368EE" w:rsidP="00767888" w:rsidRDefault="00F368EE" w14:paraId="0F2D278F" w14:textId="77777777">
      <w:pPr>
        <w:spacing w:line="360" w:lineRule="auto"/>
        <w:ind w:right="-28"/>
        <w:jc w:val="both"/>
        <w:rPr>
          <w:rFonts w:ascii="Palatino Linotype" w:hAnsi="Palatino Linotype" w:cs="Tahoma"/>
          <w:b/>
          <w:sz w:val="22"/>
          <w:szCs w:val="22"/>
        </w:rPr>
      </w:pPr>
    </w:p>
    <w:p w:rsidR="00F368EE" w:rsidP="00513813" w:rsidRDefault="00F368EE" w14:paraId="525358B6" w14:textId="2F5C04A4">
      <w:pPr>
        <w:spacing w:line="360" w:lineRule="auto"/>
        <w:jc w:val="both"/>
        <w:rPr>
          <w:rFonts w:ascii="Palatino Linotype" w:hAnsi="Palatino Linotype" w:cs="Tahoma"/>
          <w:bCs/>
          <w:sz w:val="22"/>
          <w:szCs w:val="22"/>
          <w:lang w:val="x-none"/>
        </w:rPr>
      </w:pPr>
      <w:r w:rsidRPr="007B3E1A">
        <w:rPr>
          <w:rFonts w:ascii="Palatino Linotype" w:hAnsi="Palatino Linotype" w:cs="Tahoma"/>
          <w:b/>
          <w:sz w:val="22"/>
          <w:szCs w:val="22"/>
        </w:rPr>
        <w:t>c)</w:t>
      </w:r>
      <w:r w:rsidRPr="007B3E1A" w:rsidR="007B3E1A">
        <w:rPr>
          <w:rFonts w:ascii="Palatino Linotype" w:hAnsi="Palatino Linotype" w:cs="Tahoma"/>
          <w:b/>
          <w:bCs/>
          <w:sz w:val="22"/>
          <w:szCs w:val="22"/>
        </w:rPr>
        <w:t xml:space="preserve"> </w:t>
      </w:r>
      <w:r w:rsidRPr="007B3E1A" w:rsidR="007B3E1A">
        <w:rPr>
          <w:rFonts w:ascii="Palatino Linotype" w:hAnsi="Palatino Linotype" w:cs="Tahoma"/>
          <w:b/>
          <w:sz w:val="22"/>
          <w:szCs w:val="22"/>
          <w:lang w:val="es-ES_tradnl"/>
        </w:rPr>
        <w:t xml:space="preserve">Informe Justificado. </w:t>
      </w:r>
      <w:r w:rsidRPr="007B3E1A" w:rsidR="007B3E1A">
        <w:rPr>
          <w:rFonts w:ascii="Palatino Linotype" w:hAnsi="Palatino Linotype" w:cs="Tahoma"/>
          <w:bCs/>
          <w:sz w:val="22"/>
          <w:szCs w:val="22"/>
          <w:lang w:val="es-ES_tradnl"/>
        </w:rPr>
        <w:t xml:space="preserve">El </w:t>
      </w:r>
      <w:r w:rsidR="007B3E1A">
        <w:rPr>
          <w:rFonts w:ascii="Palatino Linotype" w:hAnsi="Palatino Linotype" w:cs="Tahoma"/>
          <w:bCs/>
          <w:sz w:val="22"/>
          <w:szCs w:val="22"/>
          <w:lang w:val="es-ES_tradnl"/>
        </w:rPr>
        <w:t>veinticinco de octubre</w:t>
      </w:r>
      <w:r w:rsidRPr="007B3E1A" w:rsidR="007B3E1A">
        <w:rPr>
          <w:rFonts w:ascii="Palatino Linotype" w:hAnsi="Palatino Linotype" w:cs="Tahoma"/>
          <w:bCs/>
          <w:sz w:val="22"/>
          <w:szCs w:val="22"/>
          <w:lang w:val="es-ES_tradnl"/>
        </w:rPr>
        <w:t xml:space="preserve"> de dos mil veintidós, se recibió en este Instituto, a través del Sistema de Acceso a la Información Mexiquense (SAIMEX), el Informe Justificado del Sujeto Obligado, </w:t>
      </w:r>
      <w:r w:rsidR="00513813">
        <w:rPr>
          <w:rFonts w:ascii="Palatino Linotype" w:hAnsi="Palatino Linotype" w:cs="Tahoma"/>
          <w:bCs/>
          <w:sz w:val="22"/>
          <w:szCs w:val="22"/>
          <w:lang w:val="es-ES_tradnl"/>
        </w:rPr>
        <w:t>por medio del oficio 2010</w:t>
      </w:r>
      <w:r w:rsidR="00E12035">
        <w:rPr>
          <w:rFonts w:ascii="Palatino Linotype" w:hAnsi="Palatino Linotype" w:cs="Tahoma"/>
          <w:bCs/>
          <w:sz w:val="22"/>
          <w:szCs w:val="22"/>
          <w:lang w:val="es-ES_tradnl"/>
        </w:rPr>
        <w:t>A4000/UT/RR/0**/2022, suscrito por la Titular de la Unidad de Transparencia y dirigido al Comisionado Ponente, mediante el cual precisa que, desde respuesta, la Dirección</w:t>
      </w:r>
      <w:r w:rsidR="00E12035">
        <w:rPr>
          <w:rFonts w:ascii="Palatino Linotype" w:hAnsi="Palatino Linotype" w:cs="Tahoma"/>
          <w:bCs/>
          <w:sz w:val="22"/>
          <w:szCs w:val="22"/>
          <w:lang w:val="x-none"/>
        </w:rPr>
        <w:t xml:space="preserve"> General de Administración, proporcionó la información que obraba en sus archivos.</w:t>
      </w:r>
    </w:p>
    <w:p w:rsidR="00E12035" w:rsidP="00513813" w:rsidRDefault="00E12035" w14:paraId="782AD49A" w14:textId="1E2B0DA9">
      <w:pPr>
        <w:spacing w:line="360" w:lineRule="auto"/>
        <w:jc w:val="both"/>
        <w:rPr>
          <w:rFonts w:ascii="Palatino Linotype" w:hAnsi="Palatino Linotype" w:cs="Tahoma"/>
          <w:bCs/>
          <w:sz w:val="22"/>
          <w:szCs w:val="22"/>
          <w:lang w:val="es-ES_tradnl"/>
        </w:rPr>
      </w:pPr>
    </w:p>
    <w:p w:rsidRPr="00513813" w:rsidR="00E12035" w:rsidP="00513813" w:rsidRDefault="00E12035" w14:paraId="74B7CDA7" w14:textId="2CA9E153">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t>El Sujeto Obligado adjuntó</w:t>
      </w:r>
      <w:r>
        <w:rPr>
          <w:rFonts w:ascii="Palatino Linotype" w:hAnsi="Palatino Linotype" w:cs="Tahoma"/>
          <w:bCs/>
          <w:sz w:val="22"/>
          <w:szCs w:val="22"/>
          <w:lang w:val="x-none"/>
        </w:rPr>
        <w:t xml:space="preserve"> la digitalización de la Plantilla de Servidores Públicos, proporcionada en respuesta a la solicitud.</w:t>
      </w:r>
    </w:p>
    <w:p w:rsidRPr="00040070" w:rsidR="00F368EE" w:rsidP="00767888" w:rsidRDefault="00F368EE" w14:paraId="627F2E0F" w14:textId="77777777">
      <w:pPr>
        <w:spacing w:line="360" w:lineRule="auto"/>
        <w:ind w:right="-28"/>
        <w:jc w:val="both"/>
        <w:rPr>
          <w:rFonts w:ascii="Palatino Linotype" w:hAnsi="Palatino Linotype" w:cs="Tahoma"/>
          <w:sz w:val="22"/>
          <w:szCs w:val="22"/>
        </w:rPr>
      </w:pPr>
    </w:p>
    <w:p w:rsidRPr="00040070" w:rsidR="00040070" w:rsidP="00767888" w:rsidRDefault="00F368EE" w14:paraId="31D617CC" w14:textId="13F6A051">
      <w:pPr>
        <w:spacing w:line="360" w:lineRule="auto"/>
        <w:jc w:val="both"/>
        <w:rPr>
          <w:rFonts w:ascii="Palatino Linotype" w:hAnsi="Palatino Linotype" w:cs="Tahoma"/>
          <w:b/>
          <w:bCs/>
          <w:sz w:val="22"/>
          <w:szCs w:val="22"/>
        </w:rPr>
      </w:pPr>
      <w:r w:rsidRPr="00040070">
        <w:rPr>
          <w:rFonts w:ascii="Palatino Linotype" w:hAnsi="Palatino Linotype" w:cs="Tahoma"/>
          <w:b/>
          <w:sz w:val="22"/>
          <w:szCs w:val="22"/>
        </w:rPr>
        <w:lastRenderedPageBreak/>
        <w:t>d)</w:t>
      </w:r>
      <w:r w:rsidRPr="00040070" w:rsidR="00040070">
        <w:rPr>
          <w:rFonts w:ascii="Palatino Linotype" w:hAnsi="Palatino Linotype" w:cs="Tahoma"/>
          <w:b/>
          <w:sz w:val="22"/>
          <w:szCs w:val="22"/>
        </w:rPr>
        <w:t xml:space="preserve"> </w:t>
      </w:r>
      <w:r w:rsidRPr="00040070" w:rsidR="00040070">
        <w:rPr>
          <w:rFonts w:ascii="Palatino Linotype" w:hAnsi="Palatino Linotype"/>
          <w:b/>
          <w:bCs/>
          <w:sz w:val="22"/>
          <w:szCs w:val="22"/>
        </w:rPr>
        <w:t>Vista del informe Justificado:</w:t>
      </w:r>
      <w:r w:rsidRPr="00040070" w:rsidR="00040070">
        <w:rPr>
          <w:rFonts w:ascii="Palatino Linotype" w:hAnsi="Palatino Linotype"/>
          <w:sz w:val="22"/>
          <w:szCs w:val="22"/>
        </w:rPr>
        <w:t xml:space="preserve"> El cuatro de noviembre de dos mil veintidós, se dictó acuerdo por medio del cual se puso a la vista del Recurrente el Informe Justificado entregado por el Sujeto Obligado, el cual fue notificado a las partes, a través del Sistema de Acceso a la Información Mexiquense (SAIMEX), en el mismo día de dicho mes y año. </w:t>
      </w:r>
      <w:r w:rsidRPr="00040070" w:rsidR="00040070">
        <w:rPr>
          <w:rFonts w:ascii="Palatino Linotype" w:hAnsi="Palatino Linotype"/>
          <w:b/>
          <w:bCs/>
          <w:sz w:val="22"/>
          <w:szCs w:val="22"/>
        </w:rPr>
        <w:t>Cabe señalar que el Particular fue omiso en realizar manifestación alguna.</w:t>
      </w:r>
    </w:p>
    <w:p w:rsidR="00040070" w:rsidP="00767888" w:rsidRDefault="00F368EE" w14:paraId="65E9E22A" w14:textId="77777777">
      <w:pPr>
        <w:widowControl w:val="0"/>
        <w:spacing w:line="360" w:lineRule="auto"/>
        <w:jc w:val="both"/>
        <w:rPr>
          <w:rFonts w:ascii="Palatino Linotype" w:hAnsi="Palatino Linotype" w:cs="Tahoma"/>
          <w:b/>
          <w:sz w:val="22"/>
          <w:szCs w:val="22"/>
        </w:rPr>
      </w:pPr>
      <w:r w:rsidRPr="00040070">
        <w:rPr>
          <w:rFonts w:ascii="Palatino Linotype" w:hAnsi="Palatino Linotype" w:cs="Tahoma"/>
          <w:b/>
          <w:sz w:val="22"/>
          <w:szCs w:val="22"/>
        </w:rPr>
        <w:t xml:space="preserve"> </w:t>
      </w:r>
    </w:p>
    <w:p w:rsidRPr="00040070" w:rsidR="00040070" w:rsidP="00767888" w:rsidRDefault="00040070" w14:paraId="6CE7B1CA" w14:textId="41634C3C">
      <w:pPr>
        <w:widowControl w:val="0"/>
        <w:spacing w:line="360" w:lineRule="auto"/>
        <w:jc w:val="both"/>
        <w:rPr>
          <w:rFonts w:ascii="Palatino Linotype" w:hAnsi="Palatino Linotype" w:cs="Tahoma"/>
          <w:b/>
          <w:sz w:val="22"/>
          <w:szCs w:val="22"/>
        </w:rPr>
      </w:pPr>
      <w:r w:rsidRPr="00040070">
        <w:rPr>
          <w:rFonts w:ascii="Palatino Linotype" w:hAnsi="Palatino Linotype" w:eastAsia="Palatino Linotype" w:cs="Palatino Linotype"/>
          <w:b/>
          <w:bCs/>
          <w:sz w:val="22"/>
          <w:szCs w:val="22"/>
          <w:lang w:val="es-ES"/>
        </w:rPr>
        <w:t xml:space="preserve">f) Ampliación de plazo para resolver. </w:t>
      </w:r>
      <w:r w:rsidRPr="00040070">
        <w:rPr>
          <w:rFonts w:ascii="Palatino Linotype" w:hAnsi="Palatino Linotype" w:eastAsia="Palatino Linotype" w:cs="Palatino Linotype"/>
          <w:sz w:val="22"/>
          <w:szCs w:val="22"/>
          <w:lang w:val="es-ES"/>
        </w:rPr>
        <w:t xml:space="preserve">El </w:t>
      </w:r>
      <w:r>
        <w:rPr>
          <w:rFonts w:ascii="Palatino Linotype" w:hAnsi="Palatino Linotype" w:eastAsia="Palatino Linotype" w:cs="Palatino Linotype"/>
          <w:sz w:val="22"/>
          <w:szCs w:val="22"/>
          <w:lang w:val="es-ES"/>
        </w:rPr>
        <w:t>treinta de noviembre</w:t>
      </w:r>
      <w:r w:rsidRPr="00040070">
        <w:rPr>
          <w:rFonts w:ascii="Palatino Linotype" w:hAnsi="Palatino Linotype" w:eastAsia="Palatino Linotype" w:cs="Palatino Linotype"/>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40070" w:rsidR="00040070" w:rsidP="00767888" w:rsidRDefault="00040070" w14:paraId="0F9C81CE" w14:textId="77777777">
      <w:pPr>
        <w:spacing w:line="360" w:lineRule="auto"/>
        <w:jc w:val="both"/>
        <w:rPr>
          <w:rFonts w:ascii="Palatino Linotype" w:hAnsi="Palatino Linotype" w:eastAsia="Calibri"/>
          <w:sz w:val="22"/>
          <w:szCs w:val="22"/>
        </w:rPr>
      </w:pPr>
    </w:p>
    <w:p w:rsidRPr="00040070" w:rsidR="00040070" w:rsidP="00767888" w:rsidRDefault="00040070" w14:paraId="022C7336"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40070" w:rsidR="00040070" w:rsidP="00767888" w:rsidRDefault="00040070" w14:paraId="7E4C9B02"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5BE38500"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40070" w:rsidR="00040070" w:rsidP="00767888" w:rsidRDefault="00040070" w14:paraId="427249B6"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3582967F"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40070" w:rsidR="00040070" w:rsidP="00767888" w:rsidRDefault="00040070" w14:paraId="6DD455A2"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05E61D58"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40070" w:rsidR="00040070" w:rsidP="00767888" w:rsidRDefault="00040070" w14:paraId="68006540"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72392F80"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040070" w:rsidR="00040070" w:rsidP="00767888" w:rsidRDefault="00040070" w14:paraId="16E026E1"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30405670"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 xml:space="preserve">Complejidad del asunto: </w:t>
      </w:r>
      <w:r w:rsidRPr="00040070">
        <w:rPr>
          <w:rFonts w:ascii="Palatino Linotype" w:hAnsi="Palatino Linotype" w:eastAsia="Calibri" w:cs="Tahoma"/>
          <w:bCs/>
          <w:sz w:val="22"/>
          <w:szCs w:val="22"/>
        </w:rPr>
        <w:t>La complejidad de la prueba, la pluralidad de sujetos procesales, el tiempo transcurrido, las características y contexto del recurso.</w:t>
      </w:r>
    </w:p>
    <w:p w:rsidRPr="00040070" w:rsidR="00040070" w:rsidP="00767888" w:rsidRDefault="00040070" w14:paraId="2F40D237" w14:textId="77777777">
      <w:pPr>
        <w:spacing w:line="360" w:lineRule="auto"/>
        <w:jc w:val="both"/>
        <w:rPr>
          <w:rFonts w:ascii="Palatino Linotype" w:hAnsi="Palatino Linotype" w:eastAsia="Calibri" w:cs="Tahoma"/>
          <w:bCs/>
          <w:sz w:val="22"/>
          <w:szCs w:val="22"/>
        </w:rPr>
      </w:pPr>
    </w:p>
    <w:p w:rsidRPr="00040070" w:rsidR="00040070" w:rsidP="00767888" w:rsidRDefault="00040070" w14:paraId="64CD656A"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Actividad Procesal del interesado:</w:t>
      </w:r>
      <w:r w:rsidRPr="00040070">
        <w:rPr>
          <w:rFonts w:ascii="Palatino Linotype" w:hAnsi="Palatino Linotype" w:eastAsia="Calibri" w:cs="Tahoma"/>
          <w:bCs/>
          <w:sz w:val="22"/>
          <w:szCs w:val="22"/>
        </w:rPr>
        <w:t xml:space="preserve"> Acciones u omisiones del interesado.</w:t>
      </w:r>
    </w:p>
    <w:p w:rsidRPr="00040070" w:rsidR="00040070" w:rsidP="00767888" w:rsidRDefault="00040070" w14:paraId="36B880C1" w14:textId="77777777">
      <w:pPr>
        <w:spacing w:line="360" w:lineRule="auto"/>
        <w:jc w:val="both"/>
        <w:rPr>
          <w:rFonts w:ascii="Palatino Linotype" w:hAnsi="Palatino Linotype" w:eastAsia="Calibri" w:cs="Tahoma"/>
          <w:b/>
          <w:sz w:val="22"/>
          <w:szCs w:val="22"/>
        </w:rPr>
      </w:pPr>
    </w:p>
    <w:p w:rsidRPr="00040070" w:rsidR="00040070" w:rsidP="00767888" w:rsidRDefault="00040070" w14:paraId="5F303F82"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Conducta de la Autoridad:</w:t>
      </w:r>
      <w:r w:rsidRPr="00040070">
        <w:rPr>
          <w:rFonts w:ascii="Palatino Linotype" w:hAnsi="Palatino Linotype" w:eastAsia="Calibri" w:cs="Tahoma"/>
          <w:bCs/>
          <w:sz w:val="22"/>
          <w:szCs w:val="22"/>
        </w:rPr>
        <w:t xml:space="preserve"> Las Acciones u omisiones realizadas en el procedimiento. Así como si la autoridad actuó con la debida diligencia.</w:t>
      </w:r>
    </w:p>
    <w:p w:rsidRPr="00040070" w:rsidR="00040070" w:rsidP="00767888" w:rsidRDefault="00040070" w14:paraId="59013E6F" w14:textId="77777777">
      <w:pPr>
        <w:spacing w:line="360" w:lineRule="auto"/>
        <w:jc w:val="both"/>
        <w:rPr>
          <w:rFonts w:ascii="Palatino Linotype" w:hAnsi="Palatino Linotype" w:eastAsia="Calibri" w:cs="Tahoma"/>
          <w:b/>
          <w:sz w:val="22"/>
          <w:szCs w:val="22"/>
        </w:rPr>
      </w:pPr>
    </w:p>
    <w:p w:rsidRPr="00040070" w:rsidR="00040070" w:rsidP="00767888" w:rsidRDefault="00040070" w14:paraId="1FC50ADB"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 xml:space="preserve">La afectación generada en la situación jurídica de la persona involucrada en el proceso: </w:t>
      </w:r>
      <w:r w:rsidRPr="00040070">
        <w:rPr>
          <w:rFonts w:ascii="Palatino Linotype" w:hAnsi="Palatino Linotype" w:eastAsia="Calibri" w:cs="Tahoma"/>
          <w:bCs/>
          <w:sz w:val="22"/>
          <w:szCs w:val="22"/>
        </w:rPr>
        <w:t>Violación a sus derechos humanos.</w:t>
      </w:r>
    </w:p>
    <w:p w:rsidRPr="00040070" w:rsidR="00040070" w:rsidP="00767888" w:rsidRDefault="00040070" w14:paraId="653E47ED" w14:textId="77777777">
      <w:pPr>
        <w:spacing w:line="360" w:lineRule="auto"/>
        <w:jc w:val="both"/>
        <w:rPr>
          <w:rFonts w:ascii="Palatino Linotype" w:hAnsi="Palatino Linotype"/>
          <w:sz w:val="22"/>
          <w:szCs w:val="22"/>
          <w:lang w:eastAsia="es-MX"/>
        </w:rPr>
      </w:pPr>
    </w:p>
    <w:p w:rsidRPr="00040070" w:rsidR="00040070" w:rsidP="00767888" w:rsidRDefault="00040070" w14:paraId="215A3D2B"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040070">
        <w:rPr>
          <w:rFonts w:ascii="Palatino Linotype" w:hAnsi="Palatino Linotype"/>
          <w:sz w:val="22"/>
          <w:szCs w:val="22"/>
          <w:lang w:eastAsia="es-MX"/>
        </w:rPr>
        <w:lastRenderedPageBreak/>
        <w:t>concluirse que es una excluyente de responsabilidad en relación con la actuación del funcionario, como ha acontecido en el caso que nos ocupa.</w:t>
      </w:r>
    </w:p>
    <w:p w:rsidRPr="00040070" w:rsidR="00040070" w:rsidP="00767888" w:rsidRDefault="00040070" w14:paraId="1DE96DF2" w14:textId="77777777">
      <w:pPr>
        <w:spacing w:line="360" w:lineRule="auto"/>
        <w:jc w:val="both"/>
        <w:rPr>
          <w:rFonts w:ascii="Palatino Linotype" w:hAnsi="Palatino Linotype"/>
          <w:sz w:val="22"/>
          <w:szCs w:val="22"/>
          <w:lang w:eastAsia="es-MX"/>
        </w:rPr>
      </w:pPr>
    </w:p>
    <w:p w:rsidRPr="00040070" w:rsidR="00040070" w:rsidP="00767888" w:rsidRDefault="00040070" w14:paraId="1F2B8FCB"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040070">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040070">
        <w:rPr>
          <w:rFonts w:ascii="Palatino Linotype" w:hAnsi="Palatino Linotype"/>
          <w:sz w:val="22"/>
          <w:szCs w:val="22"/>
          <w:lang w:eastAsia="es-MX"/>
        </w:rPr>
        <w:t xml:space="preserve"> visible en la Gaceta del Seminario Judicial de la Federación con el registro digital 205635.</w:t>
      </w:r>
    </w:p>
    <w:p w:rsidRPr="00040070" w:rsidR="00040070" w:rsidP="00767888" w:rsidRDefault="00040070" w14:paraId="65381F08" w14:textId="77777777">
      <w:pPr>
        <w:spacing w:line="360" w:lineRule="auto"/>
        <w:jc w:val="both"/>
        <w:rPr>
          <w:rFonts w:ascii="Palatino Linotype" w:hAnsi="Palatino Linotype"/>
          <w:sz w:val="22"/>
          <w:szCs w:val="22"/>
          <w:lang w:eastAsia="es-MX"/>
        </w:rPr>
      </w:pPr>
    </w:p>
    <w:p w:rsidRPr="00040070" w:rsidR="00040070" w:rsidP="00767888" w:rsidRDefault="00040070" w14:paraId="350B704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40070" w:rsidR="00040070" w:rsidP="00767888" w:rsidRDefault="00040070" w14:paraId="12DEABEF" w14:textId="77777777">
      <w:pPr>
        <w:spacing w:line="360" w:lineRule="auto"/>
        <w:jc w:val="both"/>
        <w:rPr>
          <w:rFonts w:ascii="Palatino Linotype" w:hAnsi="Palatino Linotype"/>
          <w:sz w:val="22"/>
          <w:szCs w:val="22"/>
          <w:lang w:eastAsia="es-MX"/>
        </w:rPr>
      </w:pPr>
    </w:p>
    <w:p w:rsidRPr="00040070" w:rsidR="00040070" w:rsidP="00767888" w:rsidRDefault="00040070" w14:paraId="0376B16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rsidRPr="00040070" w:rsidR="00040070" w:rsidP="00767888" w:rsidRDefault="00040070" w14:paraId="7B7FFA5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 </w:t>
      </w:r>
    </w:p>
    <w:p w:rsidRPr="00040070" w:rsidR="00040070" w:rsidP="00767888" w:rsidRDefault="00040070" w14:paraId="77B360C6" w14:textId="77777777">
      <w:pPr>
        <w:spacing w:line="360" w:lineRule="auto"/>
        <w:jc w:val="both"/>
        <w:rPr>
          <w:rFonts w:ascii="Palatino Linotype" w:hAnsi="Palatino Linotype"/>
          <w:sz w:val="22"/>
          <w:szCs w:val="22"/>
          <w:lang w:eastAsia="es-MX"/>
        </w:rPr>
      </w:pPr>
      <w:r w:rsidRPr="00040070">
        <w:rPr>
          <w:rFonts w:ascii="Palatino Linotype" w:hAnsi="Palatino Linotype"/>
          <w:b/>
          <w:bCs/>
          <w:sz w:val="22"/>
          <w:szCs w:val="22"/>
          <w:lang w:eastAsia="es-MX"/>
        </w:rPr>
        <w:t>“PLAZO RAZONABLE PARA RESOLVER. DIMENSIÓN Y EFECTOS DE ESTE CONCEPTO CUANDO SE ADUCE EXCESIVA CARGA DE TRABAJO.”</w:t>
      </w:r>
      <w:r w:rsidRPr="00040070">
        <w:rPr>
          <w:rFonts w:ascii="Palatino Linotype" w:hAnsi="Palatino Linotype"/>
          <w:sz w:val="22"/>
          <w:szCs w:val="22"/>
          <w:lang w:eastAsia="es-MX"/>
        </w:rPr>
        <w:t xml:space="preserve"> consultable en el Seminario Judicial de la Federación y su gaceta, con el registro digital 2002351.</w:t>
      </w:r>
    </w:p>
    <w:p w:rsidRPr="00040070" w:rsidR="00040070" w:rsidP="00767888" w:rsidRDefault="00040070" w14:paraId="37947A4D" w14:textId="77777777">
      <w:pPr>
        <w:spacing w:line="360" w:lineRule="auto"/>
        <w:jc w:val="both"/>
        <w:rPr>
          <w:rFonts w:ascii="Palatino Linotype" w:hAnsi="Palatino Linotype"/>
          <w:sz w:val="22"/>
          <w:szCs w:val="22"/>
          <w:lang w:eastAsia="es-MX"/>
        </w:rPr>
      </w:pPr>
    </w:p>
    <w:p w:rsidRPr="00040070" w:rsidR="00040070" w:rsidP="00767888" w:rsidRDefault="00040070" w14:paraId="5624A4E0" w14:textId="77777777">
      <w:pPr>
        <w:spacing w:line="360" w:lineRule="auto"/>
        <w:jc w:val="both"/>
        <w:rPr>
          <w:rFonts w:ascii="Palatino Linotype" w:hAnsi="Palatino Linotype"/>
          <w:sz w:val="22"/>
          <w:szCs w:val="22"/>
          <w:lang w:eastAsia="es-MX"/>
        </w:rPr>
      </w:pPr>
      <w:r w:rsidRPr="00040070">
        <w:rPr>
          <w:rFonts w:ascii="Palatino Linotype" w:hAnsi="Palatino Linotype"/>
          <w:b/>
          <w:bCs/>
          <w:sz w:val="22"/>
          <w:szCs w:val="22"/>
          <w:lang w:eastAsia="es-MX"/>
        </w:rPr>
        <w:t>“PLAZO RAZONABLE PARA RESOLVER. CONCEPTO Y ELEMENTOS QUE LO INTEGRAN A LA LUZ DEL DERECHO INTERNACIONAL DE LOS DERECHOS HUMANOS.”,</w:t>
      </w:r>
      <w:r w:rsidRPr="00040070">
        <w:rPr>
          <w:rFonts w:ascii="Palatino Linotype" w:hAnsi="Palatino Linotype"/>
          <w:sz w:val="22"/>
          <w:szCs w:val="22"/>
          <w:lang w:eastAsia="es-MX"/>
        </w:rPr>
        <w:t xml:space="preserve"> visible en el Seminario Judicial de la Federación y su gaceta, con el registro digital 2002350.</w:t>
      </w:r>
    </w:p>
    <w:p w:rsidRPr="00040070" w:rsidR="00040070" w:rsidP="00767888" w:rsidRDefault="00040070" w14:paraId="56D61B76" w14:textId="77777777">
      <w:pPr>
        <w:spacing w:line="360" w:lineRule="auto"/>
        <w:jc w:val="both"/>
        <w:rPr>
          <w:rFonts w:ascii="Palatino Linotype" w:hAnsi="Palatino Linotype"/>
          <w:sz w:val="22"/>
          <w:szCs w:val="22"/>
          <w:lang w:eastAsia="es-MX"/>
        </w:rPr>
      </w:pPr>
    </w:p>
    <w:p w:rsidRPr="00040070" w:rsidR="00040070" w:rsidP="00767888" w:rsidRDefault="00040070" w14:paraId="6EE861E5"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rsidRPr="00040070" w:rsidR="00040070" w:rsidP="00767888" w:rsidRDefault="00040070" w14:paraId="0444CEEA" w14:textId="64007AD6">
      <w:pPr>
        <w:widowControl w:val="0"/>
        <w:spacing w:line="360" w:lineRule="auto"/>
        <w:jc w:val="both"/>
        <w:rPr>
          <w:rFonts w:ascii="Palatino Linotype" w:hAnsi="Palatino Linotype" w:cs="Tahoma"/>
          <w:b/>
          <w:sz w:val="22"/>
          <w:szCs w:val="22"/>
        </w:rPr>
      </w:pPr>
    </w:p>
    <w:p w:rsidRPr="00D47A95" w:rsidR="00F368EE" w:rsidP="00767888" w:rsidRDefault="00040070" w14:paraId="4416DD86" w14:textId="2F762B8A">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Pr="00C07406" w:rsidR="00F368EE">
        <w:rPr>
          <w:rFonts w:ascii="Palatino Linotype" w:hAnsi="Palatino Linotype" w:cs="Tahoma"/>
          <w:b/>
          <w:sz w:val="22"/>
          <w:szCs w:val="22"/>
        </w:rPr>
        <w:t>Cierre de instrucción.</w:t>
      </w:r>
      <w:r w:rsidRPr="00D47A95" w:rsidR="00F368EE">
        <w:rPr>
          <w:rFonts w:ascii="Palatino Linotype" w:hAnsi="Palatino Linotype" w:cs="Tahoma"/>
          <w:b/>
          <w:sz w:val="22"/>
          <w:szCs w:val="22"/>
        </w:rPr>
        <w:t xml:space="preserve"> </w:t>
      </w:r>
      <w:r w:rsidR="00F368EE">
        <w:rPr>
          <w:rFonts w:ascii="Palatino Linotype" w:hAnsi="Palatino Linotype" w:cs="Tahoma"/>
          <w:sz w:val="22"/>
          <w:szCs w:val="22"/>
        </w:rPr>
        <w:t xml:space="preserve">El </w:t>
      </w:r>
      <w:r>
        <w:rPr>
          <w:rFonts w:ascii="Palatino Linotype" w:hAnsi="Palatino Linotype" w:cs="Tahoma"/>
          <w:sz w:val="22"/>
          <w:szCs w:val="22"/>
        </w:rPr>
        <w:t>primero de diciembre</w:t>
      </w:r>
      <w:r w:rsidR="00F368EE">
        <w:rPr>
          <w:rFonts w:ascii="Palatino Linotype" w:hAnsi="Palatino Linotype" w:cs="Tahoma"/>
          <w:sz w:val="22"/>
          <w:szCs w:val="22"/>
        </w:rPr>
        <w:t xml:space="preserve"> de dos mil veinti</w:t>
      </w:r>
      <w:r w:rsidR="007B3E1A">
        <w:rPr>
          <w:rFonts w:ascii="Palatino Linotype" w:hAnsi="Palatino Linotype" w:cs="Tahoma"/>
          <w:sz w:val="22"/>
          <w:szCs w:val="22"/>
        </w:rPr>
        <w:t>dós</w:t>
      </w:r>
      <w:r w:rsidRPr="00532FC1" w:rsidR="00F368EE">
        <w:rPr>
          <w:rFonts w:ascii="Palatino Linotype" w:hAnsi="Palatino Linotype" w:cs="Tahoma"/>
          <w:sz w:val="22"/>
          <w:szCs w:val="22"/>
        </w:rPr>
        <w:t>, al</w:t>
      </w:r>
      <w:r w:rsidRPr="00D47A95" w:rsidR="00F368EE">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sidR="00F368EE">
        <w:rPr>
          <w:rFonts w:ascii="Palatino Linotype" w:hAnsi="Palatino Linotype" w:cs="Tahoma"/>
          <w:sz w:val="22"/>
          <w:szCs w:val="22"/>
          <w:lang w:val="es-ES"/>
        </w:rPr>
        <w:t>Sistema de Acceso a la Información Mexiquense (SAIMEX)</w:t>
      </w:r>
      <w:r w:rsidRPr="00D47A95" w:rsidR="00F368EE">
        <w:rPr>
          <w:rFonts w:ascii="Palatino Linotype" w:hAnsi="Palatino Linotype" w:cs="Tahoma"/>
          <w:sz w:val="22"/>
          <w:szCs w:val="22"/>
        </w:rPr>
        <w:t>.</w:t>
      </w:r>
    </w:p>
    <w:p w:rsidRPr="00D47A95" w:rsidR="00F368EE" w:rsidP="00767888" w:rsidRDefault="00F368EE" w14:paraId="3C3D42FC" w14:textId="77777777">
      <w:pPr>
        <w:spacing w:line="360" w:lineRule="auto"/>
        <w:ind w:right="-28"/>
        <w:jc w:val="both"/>
        <w:rPr>
          <w:rFonts w:ascii="Palatino Linotype" w:hAnsi="Palatino Linotype" w:cs="Tahoma"/>
          <w:sz w:val="22"/>
          <w:szCs w:val="22"/>
          <w:lang w:val="es-ES"/>
        </w:rPr>
      </w:pPr>
    </w:p>
    <w:p w:rsidRPr="00D47A95" w:rsidR="00F368EE" w:rsidP="00767888" w:rsidRDefault="00F368EE" w14:paraId="153F8734"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D47A95" w:rsidR="00F368EE" w:rsidP="00767888" w:rsidRDefault="00F368EE" w14:paraId="41329E92" w14:textId="77777777">
      <w:pPr>
        <w:spacing w:line="360" w:lineRule="auto"/>
        <w:ind w:right="-28"/>
        <w:rPr>
          <w:rFonts w:ascii="Palatino Linotype" w:hAnsi="Palatino Linotype" w:cs="Tahoma"/>
          <w:b/>
          <w:sz w:val="22"/>
          <w:szCs w:val="22"/>
        </w:rPr>
      </w:pPr>
    </w:p>
    <w:p w:rsidRPr="00D47A95" w:rsidR="00F368EE" w:rsidP="00767888" w:rsidRDefault="00F368EE" w14:paraId="4DFA2838"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F368EE" w:rsidP="00767888" w:rsidRDefault="00F368EE" w14:paraId="10E5DCBD" w14:textId="77777777">
      <w:pPr>
        <w:spacing w:line="360" w:lineRule="auto"/>
        <w:ind w:right="-28"/>
        <w:jc w:val="center"/>
        <w:rPr>
          <w:rFonts w:ascii="Palatino Linotype" w:hAnsi="Palatino Linotype" w:cs="Tahoma"/>
          <w:b/>
          <w:sz w:val="22"/>
          <w:szCs w:val="22"/>
          <w:lang w:val="es-ES"/>
        </w:rPr>
      </w:pPr>
    </w:p>
    <w:p w:rsidRPr="00D47A95" w:rsidR="00F368EE" w:rsidP="00767888" w:rsidRDefault="00F368EE" w14:paraId="5D5203D1"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F368EE" w:rsidP="00767888" w:rsidRDefault="00F368EE" w14:paraId="2E695BDE"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F368EE" w:rsidP="00767888" w:rsidRDefault="00F368EE" w14:paraId="1AF61F8E" w14:textId="77777777">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w:t>
      </w:r>
      <w:r w:rsidRPr="00A021B4">
        <w:rPr>
          <w:rFonts w:ascii="Palatino Linotype" w:hAnsi="Palatino Linotype" w:cs="Tahoma"/>
          <w:color w:val="000000"/>
          <w:sz w:val="22"/>
          <w:szCs w:val="22"/>
        </w:rPr>
        <w:lastRenderedPageBreak/>
        <w:t xml:space="preserve">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F368EE" w:rsidP="00767888" w:rsidRDefault="00F368EE" w14:paraId="6F253E22" w14:textId="77777777">
      <w:pPr>
        <w:spacing w:line="360" w:lineRule="auto"/>
        <w:ind w:right="-28"/>
        <w:jc w:val="both"/>
        <w:rPr>
          <w:rFonts w:ascii="Palatino Linotype" w:hAnsi="Palatino Linotype" w:cs="Tahoma"/>
          <w:color w:val="000000"/>
          <w:sz w:val="22"/>
          <w:szCs w:val="22"/>
        </w:rPr>
      </w:pPr>
    </w:p>
    <w:p w:rsidR="00F368EE" w:rsidP="00767888" w:rsidRDefault="00F368EE" w14:paraId="02CD9D5C"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F368EE" w:rsidP="00767888" w:rsidRDefault="00F368EE" w14:paraId="251A8167" w14:textId="77777777">
      <w:pPr>
        <w:autoSpaceDE w:val="0"/>
        <w:autoSpaceDN w:val="0"/>
        <w:adjustRightInd w:val="0"/>
        <w:spacing w:line="360" w:lineRule="auto"/>
        <w:jc w:val="both"/>
        <w:rPr>
          <w:rFonts w:ascii="Palatino Linotype" w:hAnsi="Palatino Linotype" w:cs="Tahoma"/>
          <w:sz w:val="22"/>
          <w:szCs w:val="22"/>
          <w:lang w:val="es-ES"/>
        </w:rPr>
      </w:pPr>
    </w:p>
    <w:p w:rsidRPr="006A397F" w:rsidR="00F368EE" w:rsidP="00767888" w:rsidRDefault="00F368EE" w14:paraId="04E321FE"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F368EE" w:rsidP="00767888" w:rsidRDefault="00F368EE" w14:paraId="189BC207"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F368EE" w:rsidP="00767888" w:rsidRDefault="00F368EE" w14:paraId="2A6F353A"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3439B" w:rsidR="00F368EE" w:rsidP="00767888" w:rsidRDefault="00F368EE" w14:paraId="0759ABC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D47A95" w:rsidR="00F368EE" w:rsidP="00767888" w:rsidRDefault="00F368EE" w14:paraId="4AB838B8" w14:textId="6E86DABF">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368EE" w:rsidP="00767888" w:rsidRDefault="00F368EE" w14:paraId="1864D82B"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lastRenderedPageBreak/>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F368EE" w:rsidP="00767888" w:rsidRDefault="00F368EE" w14:paraId="6FC59D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368EE" w:rsidP="00767888" w:rsidRDefault="00F368EE" w14:paraId="0B3CB8DA" w14:textId="51A47325">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entrega de información </w:t>
      </w:r>
      <w:r w:rsidR="00040070">
        <w:rPr>
          <w:rFonts w:ascii="Palatino Linotype" w:hAnsi="Palatino Linotype" w:cs="Tahoma"/>
          <w:sz w:val="22"/>
          <w:szCs w:val="22"/>
        </w:rPr>
        <w:t>incompleta</w:t>
      </w:r>
      <w:r>
        <w:rPr>
          <w:rFonts w:ascii="Palatino Linotype" w:hAnsi="Palatino Linotype" w:cs="Tahoma"/>
          <w:sz w:val="22"/>
          <w:szCs w:val="22"/>
        </w:rPr>
        <w:t>.</w:t>
      </w:r>
    </w:p>
    <w:p w:rsidRPr="006D2718" w:rsidR="00F368EE" w:rsidP="00767888" w:rsidRDefault="00F368EE" w14:paraId="338C3FD0"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2718" w:rsidR="00F368EE" w:rsidP="00767888" w:rsidRDefault="00F368EE" w14:paraId="2678E661"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Pr="006D2718" w:rsidR="00F368EE" w:rsidP="00767888" w:rsidRDefault="00F368EE" w14:paraId="072AEC96" w14:textId="77777777">
      <w:pPr>
        <w:spacing w:line="360" w:lineRule="auto"/>
        <w:ind w:right="-28"/>
        <w:jc w:val="both"/>
        <w:rPr>
          <w:rFonts w:ascii="Palatino Linotype" w:hAnsi="Palatino Linotype" w:eastAsia="Calibri" w:cs="Tahoma"/>
          <w:sz w:val="22"/>
          <w:szCs w:val="22"/>
          <w:lang w:val="es-ES" w:eastAsia="es-ES_tradnl"/>
        </w:rPr>
      </w:pPr>
    </w:p>
    <w:p w:rsidRPr="00A021B4" w:rsidR="00F368EE" w:rsidP="00767888" w:rsidRDefault="00F368EE" w14:paraId="14C2E5B3"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F368EE" w:rsidP="00767888" w:rsidRDefault="00F368EE" w14:paraId="13F2C824" w14:textId="77777777">
      <w:pPr>
        <w:spacing w:line="360" w:lineRule="auto"/>
        <w:jc w:val="both"/>
        <w:rPr>
          <w:rFonts w:ascii="Palatino Linotype" w:hAnsi="Palatino Linotype" w:cs="Tahoma"/>
          <w:sz w:val="22"/>
          <w:szCs w:val="24"/>
        </w:rPr>
      </w:pPr>
    </w:p>
    <w:p w:rsidRPr="00A021B4" w:rsidR="00F368EE" w:rsidP="00767888" w:rsidRDefault="00F368EE" w14:paraId="63F4C4D3"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F368EE" w:rsidP="00767888" w:rsidRDefault="00F368EE" w14:paraId="402FB1E3" w14:textId="77777777">
      <w:pPr>
        <w:spacing w:line="360" w:lineRule="auto"/>
        <w:jc w:val="both"/>
        <w:rPr>
          <w:rFonts w:ascii="Palatino Linotype" w:hAnsi="Palatino Linotype" w:cs="Tahoma"/>
          <w:sz w:val="22"/>
          <w:szCs w:val="24"/>
        </w:rPr>
      </w:pPr>
    </w:p>
    <w:p w:rsidRPr="00AD1AAA" w:rsidR="00F368EE" w:rsidP="00AD1AAA" w:rsidRDefault="00F368EE" w14:paraId="196BC9EF" w14:textId="4682BA96">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F368EE" w:rsidP="00767888" w:rsidRDefault="00F368EE" w14:paraId="572E98A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lastRenderedPageBreak/>
        <w:t xml:space="preserve">TERCERO. Determinación de la Controversia. </w:t>
      </w:r>
    </w:p>
    <w:p w:rsidR="00F368EE" w:rsidP="00767888" w:rsidRDefault="00F368EE" w14:paraId="31A371A3"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F368EE" w:rsidP="00767888" w:rsidRDefault="00F368EE" w14:paraId="664B3B1A" w14:textId="6C5DF700">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Pr>
          <w:rFonts w:ascii="Palatino Linotype" w:hAnsi="Palatino Linotype" w:eastAsia="Calibri" w:cs="Tahoma"/>
          <w:iCs/>
          <w:sz w:val="22"/>
          <w:szCs w:val="22"/>
          <w:lang w:val="es-ES" w:eastAsia="es-ES_tradnl"/>
        </w:rPr>
        <w:t>solicitó un</w:t>
      </w:r>
      <w:r w:rsidR="0085415D">
        <w:rPr>
          <w:rFonts w:ascii="Palatino Linotype" w:hAnsi="Palatino Linotype" w:eastAsia="Calibri" w:cs="Tahoma"/>
          <w:iCs/>
          <w:sz w:val="22"/>
          <w:szCs w:val="22"/>
          <w:lang w:val="es-ES" w:eastAsia="es-ES_tradnl"/>
        </w:rPr>
        <w:t xml:space="preserve"> listado </w:t>
      </w:r>
      <w:r>
        <w:rPr>
          <w:rFonts w:ascii="Palatino Linotype" w:hAnsi="Palatino Linotype" w:eastAsia="Calibri" w:cs="Tahoma"/>
          <w:iCs/>
          <w:sz w:val="22"/>
          <w:szCs w:val="22"/>
          <w:lang w:val="es-ES" w:eastAsia="es-ES_tradnl"/>
        </w:rPr>
        <w:t>de los servidores públicos que integra</w:t>
      </w:r>
      <w:r w:rsidR="00E12035">
        <w:rPr>
          <w:rFonts w:ascii="Palatino Linotype" w:hAnsi="Palatino Linotype" w:eastAsia="Calibri" w:cs="Tahoma"/>
          <w:iCs/>
          <w:sz w:val="22"/>
          <w:szCs w:val="22"/>
          <w:lang w:val="es-ES" w:eastAsia="es-ES_tradnl"/>
        </w:rPr>
        <w:t>ba</w:t>
      </w:r>
      <w:r w:rsidR="0085415D">
        <w:rPr>
          <w:rFonts w:ascii="Palatino Linotype" w:hAnsi="Palatino Linotype" w:eastAsia="Calibri" w:cs="Tahoma"/>
          <w:iCs/>
          <w:sz w:val="22"/>
          <w:szCs w:val="22"/>
          <w:lang w:val="es-ES" w:eastAsia="es-ES_tradnl"/>
        </w:rPr>
        <w:t>n</w:t>
      </w:r>
      <w:r>
        <w:rPr>
          <w:rFonts w:ascii="Palatino Linotype" w:hAnsi="Palatino Linotype" w:eastAsia="Calibri" w:cs="Tahoma"/>
          <w:iCs/>
          <w:sz w:val="22"/>
          <w:szCs w:val="22"/>
          <w:lang w:val="es-ES" w:eastAsia="es-ES_tradnl"/>
        </w:rPr>
        <w:t xml:space="preserve"> </w:t>
      </w:r>
      <w:r w:rsidR="00E12035">
        <w:rPr>
          <w:rFonts w:ascii="Palatino Linotype" w:hAnsi="Palatino Linotype" w:eastAsia="Calibri" w:cs="Tahoma"/>
          <w:iCs/>
          <w:sz w:val="22"/>
          <w:szCs w:val="22"/>
          <w:lang w:val="es-ES" w:eastAsia="es-ES_tradnl"/>
        </w:rPr>
        <w:t xml:space="preserve">a </w:t>
      </w:r>
      <w:r>
        <w:rPr>
          <w:rFonts w:ascii="Palatino Linotype" w:hAnsi="Palatino Linotype" w:eastAsia="Calibri" w:cs="Tahoma"/>
          <w:iCs/>
          <w:sz w:val="22"/>
          <w:szCs w:val="22"/>
          <w:lang w:val="es-ES" w:eastAsia="es-ES_tradnl"/>
        </w:rPr>
        <w:t>la</w:t>
      </w:r>
      <w:r w:rsidR="0085415D">
        <w:rPr>
          <w:rFonts w:ascii="Palatino Linotype" w:hAnsi="Palatino Linotype" w:eastAsia="Calibri" w:cs="Tahoma"/>
          <w:iCs/>
          <w:sz w:val="22"/>
          <w:szCs w:val="22"/>
          <w:lang w:val="es-ES" w:eastAsia="es-ES_tradnl"/>
        </w:rPr>
        <w:t xml:space="preserve"> Contraloría Municipal, Coordinación de Asesores, Unidad de Información, Planeación, Programación y Evaluación y la Unidad de Transparencia</w:t>
      </w:r>
      <w:r>
        <w:rPr>
          <w:rFonts w:ascii="Palatino Linotype" w:hAnsi="Palatino Linotype" w:eastAsia="Calibri" w:cs="Tahoma"/>
          <w:iCs/>
          <w:sz w:val="22"/>
          <w:szCs w:val="22"/>
          <w:lang w:val="es-ES" w:eastAsia="es-ES_tradnl"/>
        </w:rPr>
        <w:t>.</w:t>
      </w:r>
    </w:p>
    <w:p w:rsidRPr="006A397F" w:rsidR="00F368EE" w:rsidP="00767888" w:rsidRDefault="00F368EE" w14:paraId="6F2739D2"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85415D" w:rsidR="00F368EE" w:rsidP="00767888" w:rsidRDefault="00F368EE" w14:paraId="4EE22446" w14:textId="7856922D">
      <w:pPr>
        <w:autoSpaceDE w:val="0"/>
        <w:autoSpaceDN w:val="0"/>
        <w:adjustRightInd w:val="0"/>
        <w:spacing w:line="360" w:lineRule="auto"/>
        <w:ind w:right="-28"/>
        <w:jc w:val="both"/>
        <w:rPr>
          <w:rFonts w:ascii="Palatino Linotype" w:hAnsi="Palatino Linotype" w:cs="Tahoma"/>
          <w:bCs/>
          <w:sz w:val="22"/>
          <w:szCs w:val="22"/>
          <w:lang w:val="es-ES"/>
        </w:rPr>
      </w:pPr>
      <w:r w:rsidRPr="006A397F">
        <w:rPr>
          <w:rFonts w:ascii="Palatino Linotype" w:hAnsi="Palatino Linotype" w:eastAsia="Calibri" w:cs="Tahoma"/>
          <w:iCs/>
          <w:sz w:val="22"/>
          <w:szCs w:val="22"/>
          <w:lang w:val="es-ES" w:eastAsia="es-ES_tradnl"/>
        </w:rPr>
        <w:t>En respuesta, el Sujeto Obligado</w:t>
      </w:r>
      <w:r>
        <w:rPr>
          <w:rFonts w:ascii="Palatino Linotype" w:hAnsi="Palatino Linotype" w:eastAsia="Calibri" w:cs="Tahoma"/>
          <w:iCs/>
          <w:sz w:val="22"/>
          <w:szCs w:val="22"/>
          <w:lang w:val="es-ES" w:eastAsia="es-ES_tradnl"/>
        </w:rPr>
        <w:t>,</w:t>
      </w:r>
      <w:r w:rsidR="00E12035">
        <w:rPr>
          <w:rFonts w:ascii="Palatino Linotype" w:hAnsi="Palatino Linotype" w:eastAsia="Calibri" w:cs="Tahoma"/>
          <w:iCs/>
          <w:sz w:val="22"/>
          <w:szCs w:val="22"/>
          <w:lang w:val="es-ES" w:eastAsia="es-ES_tradnl"/>
        </w:rPr>
        <w:t xml:space="preserve"> a </w:t>
      </w:r>
      <w:proofErr w:type="spellStart"/>
      <w:r w:rsidR="00E12035">
        <w:rPr>
          <w:rFonts w:ascii="Palatino Linotype" w:hAnsi="Palatino Linotype" w:eastAsia="Calibri" w:cs="Tahoma"/>
          <w:iCs/>
          <w:sz w:val="22"/>
          <w:szCs w:val="22"/>
          <w:lang w:val="es-ES" w:eastAsia="es-ES_tradnl"/>
        </w:rPr>
        <w:t>trav</w:t>
      </w:r>
      <w:r w:rsidR="00E12035">
        <w:rPr>
          <w:rFonts w:ascii="Palatino Linotype" w:hAnsi="Palatino Linotype" w:eastAsia="Calibri" w:cs="Tahoma"/>
          <w:iCs/>
          <w:sz w:val="22"/>
          <w:szCs w:val="22"/>
          <w:lang w:val="x-none" w:eastAsia="es-ES_tradnl"/>
        </w:rPr>
        <w:t>és</w:t>
      </w:r>
      <w:proofErr w:type="spellEnd"/>
      <w:r w:rsidR="00E12035">
        <w:rPr>
          <w:rFonts w:ascii="Palatino Linotype" w:hAnsi="Palatino Linotype" w:eastAsia="Calibri" w:cs="Tahoma"/>
          <w:iCs/>
          <w:sz w:val="22"/>
          <w:szCs w:val="22"/>
          <w:lang w:val="x-none" w:eastAsia="es-ES_tradnl"/>
        </w:rPr>
        <w:t xml:space="preserve"> de la Dirección General de Administración, previa búsqueda exhaustiva y razonable en sus archivos, </w:t>
      </w:r>
      <w:r>
        <w:rPr>
          <w:rFonts w:ascii="Palatino Linotype" w:hAnsi="Palatino Linotype" w:eastAsia="Calibri" w:cs="Tahoma"/>
          <w:iCs/>
          <w:sz w:val="22"/>
          <w:szCs w:val="22"/>
          <w:lang w:val="es-ES" w:eastAsia="es-ES_tradnl"/>
        </w:rPr>
        <w:t xml:space="preserve"> proporcionó </w:t>
      </w:r>
      <w:r w:rsidR="003F1008">
        <w:rPr>
          <w:rFonts w:ascii="Palatino Linotype" w:hAnsi="Palatino Linotype" w:cs="Tahoma"/>
          <w:bCs/>
          <w:sz w:val="22"/>
          <w:szCs w:val="22"/>
          <w:lang w:val="es-ES"/>
        </w:rPr>
        <w:t xml:space="preserve">la Plantilla de servidores </w:t>
      </w:r>
      <w:r w:rsidR="003F1008">
        <w:rPr>
          <w:rFonts w:ascii="Palatino Linotype" w:hAnsi="Palatino Linotype" w:cs="Tahoma"/>
          <w:bCs/>
          <w:sz w:val="22"/>
          <w:szCs w:val="22"/>
          <w:lang w:val="x-none"/>
        </w:rPr>
        <w:t xml:space="preserve">públicos adscritos a la </w:t>
      </w:r>
      <w:r w:rsidR="0085415D">
        <w:rPr>
          <w:rFonts w:ascii="Palatino Linotype" w:hAnsi="Palatino Linotype" w:cs="Tahoma"/>
          <w:bCs/>
          <w:sz w:val="22"/>
          <w:szCs w:val="22"/>
          <w:lang w:val="es-ES"/>
        </w:rPr>
        <w:t>Contraloría</w:t>
      </w:r>
      <w:r w:rsidR="003F1008">
        <w:rPr>
          <w:rFonts w:ascii="Palatino Linotype" w:hAnsi="Palatino Linotype" w:cs="Tahoma"/>
          <w:bCs/>
          <w:sz w:val="22"/>
          <w:szCs w:val="22"/>
          <w:lang w:val="es-ES"/>
        </w:rPr>
        <w:t xml:space="preserve"> Municipal</w:t>
      </w:r>
      <w:r w:rsidR="0085415D">
        <w:rPr>
          <w:rFonts w:ascii="Palatino Linotype" w:hAnsi="Palatino Linotype" w:cs="Tahoma"/>
          <w:bCs/>
          <w:sz w:val="22"/>
          <w:szCs w:val="22"/>
          <w:lang w:val="es-ES"/>
        </w:rPr>
        <w:t>,</w:t>
      </w:r>
      <w:r w:rsidR="003F1008">
        <w:rPr>
          <w:rFonts w:ascii="Palatino Linotype" w:hAnsi="Palatino Linotype" w:cs="Tahoma"/>
          <w:bCs/>
          <w:sz w:val="22"/>
          <w:szCs w:val="22"/>
          <w:lang w:val="es-ES"/>
        </w:rPr>
        <w:t xml:space="preserve"> la</w:t>
      </w:r>
      <w:r w:rsidR="0085415D">
        <w:rPr>
          <w:rFonts w:ascii="Palatino Linotype" w:hAnsi="Palatino Linotype" w:cs="Tahoma"/>
          <w:bCs/>
          <w:sz w:val="22"/>
          <w:szCs w:val="22"/>
          <w:lang w:val="es-ES"/>
        </w:rPr>
        <w:t xml:space="preserve"> Coordinación de Asesores, </w:t>
      </w:r>
      <w:r w:rsidR="003F1008">
        <w:rPr>
          <w:rFonts w:ascii="Palatino Linotype" w:hAnsi="Palatino Linotype" w:cs="Tahoma"/>
          <w:bCs/>
          <w:sz w:val="22"/>
          <w:szCs w:val="22"/>
          <w:lang w:val="es-ES"/>
        </w:rPr>
        <w:t xml:space="preserve">la </w:t>
      </w:r>
      <w:r w:rsidR="0085415D">
        <w:rPr>
          <w:rFonts w:ascii="Palatino Linotype" w:hAnsi="Palatino Linotype" w:cs="Tahoma"/>
          <w:bCs/>
          <w:sz w:val="22"/>
          <w:szCs w:val="22"/>
          <w:lang w:val="es-ES"/>
        </w:rPr>
        <w:t xml:space="preserve">Unidad de Transparencia y </w:t>
      </w:r>
      <w:r w:rsidR="003F1008">
        <w:rPr>
          <w:rFonts w:ascii="Palatino Linotype" w:hAnsi="Palatino Linotype" w:cs="Tahoma"/>
          <w:bCs/>
          <w:sz w:val="22"/>
          <w:szCs w:val="22"/>
          <w:lang w:val="es-ES"/>
        </w:rPr>
        <w:t xml:space="preserve">la </w:t>
      </w:r>
      <w:r w:rsidR="0085415D">
        <w:rPr>
          <w:rFonts w:ascii="Palatino Linotype" w:hAnsi="Palatino Linotype" w:cs="Tahoma"/>
          <w:bCs/>
          <w:sz w:val="22"/>
          <w:szCs w:val="22"/>
          <w:lang w:val="es-ES"/>
        </w:rPr>
        <w:t>Unidad de Información, Planeación, Programación y Evaluación</w:t>
      </w:r>
      <w:r>
        <w:rPr>
          <w:rFonts w:ascii="Palatino Linotype" w:hAnsi="Palatino Linotype" w:cs="Tahoma"/>
          <w:bCs/>
          <w:sz w:val="22"/>
          <w:szCs w:val="22"/>
          <w:lang w:val="es-ES"/>
        </w:rPr>
        <w:t>;</w:t>
      </w:r>
      <w:r w:rsidRPr="006A397F">
        <w:rPr>
          <w:rFonts w:ascii="Palatino Linotype" w:hAnsi="Palatino Linotype" w:eastAsia="Calibri" w:cs="Tahoma"/>
          <w:iCs/>
          <w:sz w:val="22"/>
          <w:szCs w:val="22"/>
          <w:lang w:val="es-ES" w:eastAsia="es-ES_tradnl"/>
        </w:rPr>
        <w:t xml:space="preserve"> </w:t>
      </w:r>
      <w:r w:rsidRPr="006A397F">
        <w:rPr>
          <w:rFonts w:ascii="Palatino Linotype" w:hAnsi="Palatino Linotype"/>
          <w:sz w:val="22"/>
          <w:szCs w:val="22"/>
        </w:rPr>
        <w:t>ante</w:t>
      </w:r>
      <w:r w:rsidRPr="0044419C">
        <w:rPr>
          <w:rFonts w:ascii="Palatino Linotype" w:hAnsi="Palatino Linotype"/>
          <w:sz w:val="22"/>
          <w:szCs w:val="22"/>
        </w:rPr>
        <w:t xml:space="preserve"> dicha circunstancia, la parte Recurrente se inconformó </w:t>
      </w:r>
      <w:r>
        <w:rPr>
          <w:rFonts w:ascii="Palatino Linotype" w:hAnsi="Palatino Linotype"/>
          <w:sz w:val="22"/>
          <w:szCs w:val="22"/>
        </w:rPr>
        <w:t>de la entrega de información</w:t>
      </w:r>
      <w:r w:rsidR="0085415D">
        <w:rPr>
          <w:rFonts w:ascii="Palatino Linotype" w:hAnsi="Palatino Linotype"/>
          <w:sz w:val="22"/>
          <w:szCs w:val="22"/>
        </w:rPr>
        <w:t xml:space="preserve"> incompleta, </w:t>
      </w:r>
      <w:r w:rsidR="003F1008">
        <w:rPr>
          <w:rFonts w:ascii="Palatino Linotype" w:hAnsi="Palatino Linotype"/>
          <w:sz w:val="22"/>
          <w:szCs w:val="22"/>
        </w:rPr>
        <w:t>al señalar que el listado no estaba completo, ni descontinuado</w:t>
      </w:r>
      <w:r>
        <w:rPr>
          <w:rFonts w:ascii="Palatino Linotype" w:hAnsi="Palatino Linotype" w:cs="Tahoma" w:eastAsiaTheme="minorHAnsi"/>
          <w:bCs/>
          <w:iCs/>
          <w:color w:val="000000" w:themeColor="text1"/>
          <w:sz w:val="22"/>
          <w:szCs w:val="22"/>
          <w:lang w:val="es-ES" w:eastAsia="en-US"/>
        </w:rPr>
        <w:t>, lo cual actualiza el supuesto previsto en el artículo 179, fracción V, de la Ley de Transparencia y Acceso a la Información Pública del Estado de México y Municipios</w:t>
      </w:r>
      <w:r>
        <w:rPr>
          <w:rFonts w:ascii="Palatino Linotype" w:hAnsi="Palatino Linotype" w:cs="Tahoma" w:eastAsiaTheme="minorHAnsi"/>
          <w:bCs/>
          <w:iCs/>
          <w:color w:val="000000" w:themeColor="text1"/>
          <w:sz w:val="22"/>
          <w:szCs w:val="22"/>
          <w:shd w:val="clear" w:color="auto" w:fill="FFFFFF"/>
          <w:lang w:eastAsia="en-US"/>
        </w:rPr>
        <w:t xml:space="preserve">. </w:t>
      </w:r>
      <w:r>
        <w:rPr>
          <w:rFonts w:ascii="Palatino Linotype" w:hAnsi="Palatino Linotype" w:cs="Tahoma" w:eastAsiaTheme="minorHAnsi"/>
          <w:color w:val="000000" w:themeColor="text1"/>
          <w:sz w:val="22"/>
          <w:szCs w:val="22"/>
          <w:lang w:val="es-ES" w:eastAsia="en-US"/>
        </w:rPr>
        <w:t xml:space="preserve">Así las cosas, una vez admitido y notificado los Recursos de Revisión a las partes, </w:t>
      </w:r>
      <w:r w:rsidR="003F1008">
        <w:rPr>
          <w:rFonts w:ascii="Palatino Linotype" w:hAnsi="Palatino Linotype" w:cs="Tahoma" w:eastAsiaTheme="minorHAnsi"/>
          <w:color w:val="000000" w:themeColor="text1"/>
          <w:sz w:val="22"/>
          <w:szCs w:val="22"/>
          <w:lang w:val="es-ES" w:eastAsia="en-US"/>
        </w:rPr>
        <w:t>el Sujeto Obligado ratificó</w:t>
      </w:r>
      <w:r w:rsidR="003F1008">
        <w:rPr>
          <w:rFonts w:ascii="Palatino Linotype" w:hAnsi="Palatino Linotype" w:cs="Tahoma" w:eastAsiaTheme="minorHAnsi"/>
          <w:color w:val="000000" w:themeColor="text1"/>
          <w:sz w:val="22"/>
          <w:szCs w:val="22"/>
          <w:lang w:val="x-none" w:eastAsia="en-US"/>
        </w:rPr>
        <w:t xml:space="preserve"> su respuesta primigenia</w:t>
      </w:r>
      <w:r>
        <w:rPr>
          <w:rFonts w:ascii="Palatino Linotype" w:hAnsi="Palatino Linotype" w:cs="Tahoma" w:eastAsiaTheme="minorHAnsi"/>
          <w:bCs/>
          <w:iCs/>
          <w:color w:val="000000" w:themeColor="text1"/>
          <w:sz w:val="22"/>
          <w:szCs w:val="22"/>
          <w:lang w:val="es-ES"/>
        </w:rPr>
        <w:t xml:space="preserve">. </w:t>
      </w:r>
    </w:p>
    <w:p w:rsidR="00F368EE" w:rsidP="00767888" w:rsidRDefault="00F368EE" w14:paraId="54967C5A"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p>
    <w:p w:rsidR="00F368EE" w:rsidP="00767888" w:rsidRDefault="00F368EE" w14:paraId="2C2D6A41" w14:textId="7311A511">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D64D4B">
        <w:rPr>
          <w:rFonts w:ascii="Palatino Linotype" w:hAnsi="Palatino Linotype" w:cs="Tahoma"/>
          <w:iCs/>
          <w:sz w:val="22"/>
          <w:szCs w:val="22"/>
        </w:rPr>
        <w:t>,</w:t>
      </w:r>
      <w:r>
        <w:rPr>
          <w:rFonts w:ascii="Palatino Linotype" w:hAnsi="Palatino Linotype" w:cs="Tahoma"/>
          <w:iCs/>
          <w:sz w:val="22"/>
          <w:szCs w:val="22"/>
        </w:rPr>
        <w:t xml:space="preserve"> el escrito recursal</w:t>
      </w:r>
      <w:r w:rsidR="00D64D4B">
        <w:rPr>
          <w:rFonts w:ascii="Palatino Linotype" w:hAnsi="Palatino Linotype" w:cs="Tahoma"/>
          <w:iCs/>
          <w:sz w:val="22"/>
          <w:szCs w:val="22"/>
        </w:rPr>
        <w:t xml:space="preserve"> y el informe justificado</w:t>
      </w:r>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F368EE" w:rsidP="00767888" w:rsidRDefault="00F368EE" w14:paraId="6552061E"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F368EE" w:rsidP="00767888" w:rsidRDefault="00F368EE" w14:paraId="16C1AA2E"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F368EE" w:rsidP="00767888" w:rsidRDefault="00F368EE" w14:paraId="1EAA752A" w14:textId="77777777">
      <w:pPr>
        <w:spacing w:line="360" w:lineRule="auto"/>
        <w:ind w:right="-28"/>
        <w:jc w:val="both"/>
        <w:rPr>
          <w:rFonts w:ascii="Palatino Linotype" w:hAnsi="Palatino Linotype" w:cs="Tahoma"/>
          <w:b/>
          <w:sz w:val="22"/>
          <w:szCs w:val="22"/>
        </w:rPr>
      </w:pPr>
    </w:p>
    <w:p w:rsidRPr="003E66FE" w:rsidR="00F368EE" w:rsidP="00767888" w:rsidRDefault="00F368EE" w14:paraId="0C5D868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F368EE" w:rsidP="00767888" w:rsidRDefault="00F368EE" w14:paraId="7AFFB532"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3ED74789"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F368EE" w:rsidP="00767888" w:rsidRDefault="00F368EE" w14:paraId="63E01CB9"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27BAC9C3"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F368EE" w:rsidP="00767888" w:rsidRDefault="00F368EE" w14:paraId="43DB0E8A"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45C98FA9"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F368EE" w:rsidP="00767888" w:rsidRDefault="00F368EE" w14:paraId="609923D4"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6E006942"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F368EE" w:rsidP="00767888" w:rsidRDefault="00F368EE" w14:paraId="20D302BD"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5A1CC694"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F368EE" w:rsidP="00767888" w:rsidRDefault="00F368EE" w14:paraId="1CFB0544" w14:textId="77777777">
      <w:pPr>
        <w:spacing w:line="360" w:lineRule="auto"/>
        <w:ind w:right="-28"/>
        <w:jc w:val="both"/>
        <w:rPr>
          <w:rFonts w:ascii="Palatino Linotype" w:hAnsi="Palatino Linotype" w:cs="Tahoma"/>
          <w:bCs/>
          <w:iCs/>
          <w:sz w:val="22"/>
          <w:szCs w:val="22"/>
        </w:rPr>
      </w:pPr>
    </w:p>
    <w:p w:rsidR="00F368EE" w:rsidP="00767888" w:rsidRDefault="00F368EE" w14:paraId="6505D1F3" w14:textId="37C4BB0B">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3E66F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002227A6" w:rsidP="00767888" w:rsidRDefault="002227A6" w14:paraId="11485A75" w14:textId="1FC2FC98">
      <w:pPr>
        <w:spacing w:line="360" w:lineRule="auto"/>
        <w:ind w:right="-28"/>
        <w:jc w:val="both"/>
        <w:rPr>
          <w:rFonts w:ascii="Palatino Linotype" w:hAnsi="Palatino Linotype" w:cs="Tahoma"/>
          <w:bCs/>
          <w:iCs/>
          <w:sz w:val="22"/>
          <w:szCs w:val="22"/>
        </w:rPr>
      </w:pPr>
    </w:p>
    <w:p w:rsidRPr="002227A6" w:rsidR="002227A6" w:rsidP="003F1008" w:rsidRDefault="002227A6" w14:paraId="16610EA4" w14:textId="23595C27">
      <w:pPr>
        <w:spacing w:line="360" w:lineRule="auto"/>
        <w:jc w:val="both"/>
        <w:rPr>
          <w:rFonts w:ascii="Palatino Linotype" w:hAnsi="Palatino Linotype" w:cs="Tahoma"/>
          <w:sz w:val="22"/>
          <w:szCs w:val="22"/>
        </w:rPr>
      </w:pPr>
      <w:r w:rsidRPr="002227A6">
        <w:rPr>
          <w:rFonts w:ascii="Palatino Linotype" w:hAnsi="Palatino Linotype" w:cs="Tahoma"/>
          <w:sz w:val="22"/>
          <w:szCs w:val="22"/>
        </w:rPr>
        <w:t>El artículo 92, fracción VII, que, la información sobre el Directorio de servidores públicos, corresponde a una Obligación Común de Transparencia para los Sujetos Obligados.</w:t>
      </w:r>
    </w:p>
    <w:p w:rsidR="00F368EE" w:rsidP="00767888" w:rsidRDefault="00F368EE" w14:paraId="2B5445B9" w14:textId="77777777">
      <w:pPr>
        <w:spacing w:line="360" w:lineRule="auto"/>
        <w:ind w:right="-28"/>
        <w:jc w:val="both"/>
        <w:rPr>
          <w:rFonts w:ascii="Palatino Linotype" w:hAnsi="Palatino Linotype" w:cs="Tahoma"/>
          <w:b/>
          <w:sz w:val="22"/>
          <w:szCs w:val="22"/>
          <w:lang w:val="es-ES"/>
        </w:rPr>
      </w:pPr>
    </w:p>
    <w:p w:rsidRPr="00931AB4" w:rsidR="00F368EE" w:rsidP="00767888" w:rsidRDefault="00F368EE" w14:paraId="5B039A01"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F368EE" w:rsidP="00767888" w:rsidRDefault="00F368EE" w14:paraId="3438035D"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F368EE" w:rsidP="00767888" w:rsidRDefault="00F368EE" w14:paraId="63E5C8F2" w14:textId="2028EF3B">
      <w:pPr>
        <w:spacing w:line="360" w:lineRule="auto"/>
        <w:ind w:right="-28"/>
        <w:contextualSpacing/>
        <w:jc w:val="both"/>
        <w:rPr>
          <w:rFonts w:ascii="Palatino Linotype" w:hAnsi="Palatino Linotype" w:cs="Tahoma"/>
          <w:bCs/>
          <w:iCs/>
          <w:sz w:val="22"/>
          <w:szCs w:val="22"/>
        </w:rPr>
      </w:pPr>
      <w:r w:rsidRPr="003C78F5">
        <w:rPr>
          <w:rFonts w:ascii="Palatino Linotype" w:hAnsi="Palatino Linotype" w:cs="Tahoma"/>
          <w:bCs/>
          <w:iCs/>
          <w:sz w:val="22"/>
          <w:szCs w:val="22"/>
        </w:rPr>
        <w:t xml:space="preserve">Expuestas las posturas de las partes, se procede al análisis del agravio hecho valer por el Particular, concerniente a la </w:t>
      </w:r>
      <w:r>
        <w:rPr>
          <w:rFonts w:ascii="Palatino Linotype" w:hAnsi="Palatino Linotype" w:cs="Tahoma"/>
          <w:bCs/>
          <w:iCs/>
          <w:sz w:val="22"/>
          <w:szCs w:val="22"/>
        </w:rPr>
        <w:t xml:space="preserve">entrega de información </w:t>
      </w:r>
      <w:r w:rsidR="002227A6">
        <w:rPr>
          <w:rFonts w:ascii="Palatino Linotype" w:hAnsi="Palatino Linotype" w:cs="Tahoma"/>
          <w:bCs/>
          <w:iCs/>
          <w:sz w:val="22"/>
          <w:szCs w:val="22"/>
        </w:rPr>
        <w:t>incompleta</w:t>
      </w:r>
      <w:r>
        <w:rPr>
          <w:rFonts w:ascii="Palatino Linotype" w:hAnsi="Palatino Linotype" w:cs="Tahoma"/>
          <w:bCs/>
          <w:iCs/>
          <w:sz w:val="22"/>
          <w:szCs w:val="22"/>
        </w:rPr>
        <w:t>, para lo cual, es necesario contextualizar la solicitud de información.</w:t>
      </w:r>
    </w:p>
    <w:p w:rsidR="00F368EE" w:rsidP="00767888" w:rsidRDefault="00F368EE" w14:paraId="015AD4AB" w14:textId="70DA56AB">
      <w:pPr>
        <w:spacing w:line="360" w:lineRule="auto"/>
        <w:ind w:right="-28"/>
        <w:contextualSpacing/>
        <w:jc w:val="both"/>
        <w:rPr>
          <w:rFonts w:ascii="Palatino Linotype" w:hAnsi="Palatino Linotype" w:cs="Tahoma"/>
          <w:bCs/>
          <w:iCs/>
          <w:sz w:val="22"/>
          <w:szCs w:val="22"/>
        </w:rPr>
      </w:pPr>
    </w:p>
    <w:p w:rsidRPr="007335EF" w:rsidR="007335EF" w:rsidP="007335EF" w:rsidRDefault="007335EF" w14:paraId="182360FB" w14:textId="1C1CC5DC">
      <w:pPr>
        <w:spacing w:line="360" w:lineRule="auto"/>
        <w:ind w:right="-28"/>
        <w:contextualSpacing/>
        <w:jc w:val="both"/>
        <w:rPr>
          <w:rFonts w:ascii="Palatino Linotype" w:hAnsi="Palatino Linotype" w:eastAsia="Calibri" w:cs="Tahoma"/>
          <w:b/>
          <w:sz w:val="22"/>
          <w:szCs w:val="22"/>
          <w:lang w:eastAsia="en-US"/>
        </w:rPr>
      </w:pPr>
      <w:r>
        <w:rPr>
          <w:rFonts w:ascii="Palatino Linotype" w:hAnsi="Palatino Linotype" w:cs="Tahoma"/>
          <w:sz w:val="22"/>
          <w:szCs w:val="22"/>
        </w:rPr>
        <w:t>En principio</w:t>
      </w:r>
      <w:r w:rsidRPr="007335EF">
        <w:rPr>
          <w:rFonts w:ascii="Palatino Linotype" w:hAnsi="Palatino Linotype" w:cs="Tahoma"/>
          <w:sz w:val="22"/>
          <w:szCs w:val="22"/>
        </w:rPr>
        <w:t xml:space="preserve">, </w:t>
      </w:r>
      <w:r w:rsidRPr="007335EF">
        <w:rPr>
          <w:rFonts w:ascii="Palatino Linotype" w:hAnsi="Palatino Linotype" w:eastAsia="Calibri" w:cs="Tahoma"/>
          <w:bCs/>
          <w:sz w:val="22"/>
          <w:szCs w:val="22"/>
          <w:lang w:eastAsia="en-US"/>
        </w:rPr>
        <w:t>es necesario traer a colación la Guía Técnica 9 “La Administración del Personal Municipal”,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rsidRPr="007335EF" w:rsidR="007335EF" w:rsidP="007335EF" w:rsidRDefault="007335EF" w14:paraId="204C4A5D" w14:textId="77777777">
      <w:pPr>
        <w:spacing w:line="360" w:lineRule="auto"/>
        <w:ind w:right="-28"/>
        <w:contextualSpacing/>
        <w:jc w:val="both"/>
        <w:rPr>
          <w:rFonts w:ascii="Palatino Linotype" w:hAnsi="Palatino Linotype" w:eastAsia="Calibri" w:cs="Tahoma"/>
          <w:b/>
          <w:sz w:val="22"/>
          <w:szCs w:val="22"/>
          <w:lang w:eastAsia="en-US"/>
        </w:rPr>
      </w:pPr>
    </w:p>
    <w:p w:rsidRPr="007335EF" w:rsidR="007335EF" w:rsidP="007335EF" w:rsidRDefault="007335EF" w14:paraId="29CD88B6" w14:textId="3D45D570">
      <w:pPr>
        <w:spacing w:line="360" w:lineRule="auto"/>
        <w:jc w:val="both"/>
        <w:rPr>
          <w:rFonts w:ascii="Palatino Linotype" w:hAnsi="Palatino Linotype"/>
          <w:iCs/>
          <w:sz w:val="22"/>
        </w:rPr>
      </w:pPr>
      <w:proofErr w:type="spellStart"/>
      <w:r>
        <w:rPr>
          <w:rFonts w:ascii="Palatino Linotype" w:hAnsi="Palatino Linotype"/>
          <w:iCs/>
          <w:sz w:val="22"/>
        </w:rPr>
        <w:t>Adem</w:t>
      </w:r>
      <w:r>
        <w:rPr>
          <w:rFonts w:ascii="Palatino Linotype" w:hAnsi="Palatino Linotype"/>
          <w:iCs/>
          <w:sz w:val="22"/>
          <w:lang w:val="x-none"/>
        </w:rPr>
        <w:t>ás</w:t>
      </w:r>
      <w:proofErr w:type="spellEnd"/>
      <w:r w:rsidRPr="007335EF">
        <w:rPr>
          <w:rFonts w:ascii="Palatino Linotype" w:hAnsi="Palatino Linotype"/>
          <w:iCs/>
          <w:sz w:val="22"/>
        </w:rPr>
        <w:t>, el artículo 70, fracci</w:t>
      </w:r>
      <w:r>
        <w:rPr>
          <w:rFonts w:ascii="Palatino Linotype" w:hAnsi="Palatino Linotype"/>
          <w:iCs/>
          <w:sz w:val="22"/>
        </w:rPr>
        <w:t>ones</w:t>
      </w:r>
      <w:r w:rsidRPr="007335EF">
        <w:rPr>
          <w:rFonts w:ascii="Palatino Linotype" w:hAnsi="Palatino Linotype"/>
          <w:iCs/>
          <w:sz w:val="22"/>
        </w:rPr>
        <w:t xml:space="preserve"> VII</w:t>
      </w:r>
      <w:r>
        <w:rPr>
          <w:rFonts w:ascii="Palatino Linotype" w:hAnsi="Palatino Linotype"/>
          <w:iCs/>
          <w:sz w:val="22"/>
        </w:rPr>
        <w:t xml:space="preserve"> y VIII</w:t>
      </w:r>
      <w:r w:rsidRPr="007335EF">
        <w:rPr>
          <w:rFonts w:ascii="Palatino Linotype" w:hAnsi="Palatino Linotype"/>
          <w:iCs/>
          <w:sz w:val="22"/>
        </w:rPr>
        <w:t>, de la Ley General de Transparencia y Acceso a la Información Pública y el diverso 92, fracci</w:t>
      </w:r>
      <w:r>
        <w:rPr>
          <w:rFonts w:ascii="Palatino Linotype" w:hAnsi="Palatino Linotype"/>
          <w:iCs/>
          <w:sz w:val="22"/>
        </w:rPr>
        <w:t>o</w:t>
      </w:r>
      <w:r w:rsidRPr="007335EF">
        <w:rPr>
          <w:rFonts w:ascii="Palatino Linotype" w:hAnsi="Palatino Linotype"/>
          <w:iCs/>
          <w:sz w:val="22"/>
        </w:rPr>
        <w:t>n</w:t>
      </w:r>
      <w:r>
        <w:rPr>
          <w:rFonts w:ascii="Palatino Linotype" w:hAnsi="Palatino Linotype"/>
          <w:iCs/>
          <w:sz w:val="22"/>
        </w:rPr>
        <w:t>es</w:t>
      </w:r>
      <w:r w:rsidRPr="007335EF">
        <w:rPr>
          <w:rFonts w:ascii="Palatino Linotype" w:hAnsi="Palatino Linotype"/>
          <w:iCs/>
          <w:sz w:val="22"/>
        </w:rPr>
        <w:t xml:space="preserve"> VII</w:t>
      </w:r>
      <w:r>
        <w:rPr>
          <w:rFonts w:ascii="Palatino Linotype" w:hAnsi="Palatino Linotype"/>
          <w:iCs/>
          <w:sz w:val="22"/>
        </w:rPr>
        <w:t xml:space="preserve"> y VIII</w:t>
      </w:r>
      <w:r w:rsidRPr="007335EF">
        <w:rPr>
          <w:rFonts w:ascii="Palatino Linotype" w:hAnsi="Palatino Linotype"/>
          <w:iCs/>
          <w:sz w:val="22"/>
        </w:rPr>
        <w:t xml:space="preserve">, de la Ley de Transparencia y Acceso a la Información Pública del Estado de México y Municipios, establece como obligación común de transparencia, el Directorio </w:t>
      </w:r>
      <w:r>
        <w:rPr>
          <w:rFonts w:ascii="Palatino Linotype" w:hAnsi="Palatino Linotype"/>
          <w:iCs/>
          <w:sz w:val="22"/>
        </w:rPr>
        <w:t xml:space="preserve">y Remuneraciones </w:t>
      </w:r>
      <w:r w:rsidRPr="007335EF">
        <w:rPr>
          <w:rFonts w:ascii="Palatino Linotype" w:hAnsi="Palatino Linotype"/>
          <w:iCs/>
          <w:sz w:val="22"/>
        </w:rPr>
        <w:t>de</w:t>
      </w:r>
      <w:r>
        <w:rPr>
          <w:rFonts w:ascii="Palatino Linotype" w:hAnsi="Palatino Linotype"/>
          <w:iCs/>
          <w:sz w:val="22"/>
        </w:rPr>
        <w:t xml:space="preserve"> los</w:t>
      </w:r>
      <w:r w:rsidRPr="007335EF">
        <w:rPr>
          <w:rFonts w:ascii="Palatino Linotype" w:hAnsi="Palatino Linotype"/>
          <w:iCs/>
          <w:sz w:val="22"/>
        </w:rPr>
        <w:t xml:space="preserve"> servidores públicos, el cual debe incluir diversos datos, entre los cuales se encuentra el nombre y cargo </w:t>
      </w:r>
      <w:r>
        <w:rPr>
          <w:rFonts w:ascii="Palatino Linotype" w:hAnsi="Palatino Linotype"/>
          <w:iCs/>
          <w:sz w:val="22"/>
        </w:rPr>
        <w:t>de estos.</w:t>
      </w:r>
    </w:p>
    <w:p w:rsidR="00F368EE" w:rsidP="00767888" w:rsidRDefault="00F368EE" w14:paraId="72D49EA6" w14:textId="3B1A0613">
      <w:pPr>
        <w:spacing w:line="360" w:lineRule="auto"/>
        <w:ind w:right="-28"/>
        <w:contextualSpacing/>
        <w:jc w:val="both"/>
        <w:rPr>
          <w:rFonts w:ascii="Palatino Linotype" w:hAnsi="Palatino Linotype" w:cs="Tahoma"/>
          <w:bCs/>
          <w:iCs/>
          <w:sz w:val="22"/>
          <w:szCs w:val="22"/>
        </w:rPr>
      </w:pPr>
    </w:p>
    <w:p w:rsidR="00F368EE" w:rsidP="00767888" w:rsidRDefault="007335EF" w14:paraId="61D74438" w14:textId="0C79DFDD">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Ahora bien, respecto a las </w:t>
      </w:r>
      <w:r>
        <w:rPr>
          <w:rFonts w:ascii="Palatino Linotype" w:hAnsi="Palatino Linotype" w:cs="Tahoma"/>
          <w:bCs/>
          <w:iCs/>
          <w:sz w:val="22"/>
          <w:szCs w:val="22"/>
          <w:lang w:val="x-none"/>
        </w:rPr>
        <w:t xml:space="preserve">áreas solicitadas, </w:t>
      </w:r>
      <w:r w:rsidR="00F368EE">
        <w:rPr>
          <w:rFonts w:ascii="Palatino Linotype" w:hAnsi="Palatino Linotype" w:cs="Tahoma"/>
          <w:bCs/>
          <w:iCs/>
          <w:sz w:val="22"/>
          <w:szCs w:val="22"/>
        </w:rPr>
        <w:t>los artículos 3</w:t>
      </w:r>
      <w:r w:rsidR="00CC4A00">
        <w:rPr>
          <w:rFonts w:ascii="Palatino Linotype" w:hAnsi="Palatino Linotype" w:cs="Tahoma"/>
          <w:bCs/>
          <w:iCs/>
          <w:sz w:val="22"/>
          <w:szCs w:val="22"/>
        </w:rPr>
        <w:t>.2</w:t>
      </w:r>
      <w:r>
        <w:rPr>
          <w:rFonts w:ascii="Palatino Linotype" w:hAnsi="Palatino Linotype" w:cs="Tahoma"/>
          <w:bCs/>
          <w:iCs/>
          <w:sz w:val="22"/>
          <w:szCs w:val="22"/>
        </w:rPr>
        <w:t>,</w:t>
      </w:r>
      <w:r w:rsidR="00F368EE">
        <w:rPr>
          <w:rFonts w:ascii="Palatino Linotype" w:hAnsi="Palatino Linotype" w:cs="Tahoma"/>
          <w:bCs/>
          <w:iCs/>
          <w:sz w:val="22"/>
          <w:szCs w:val="22"/>
        </w:rPr>
        <w:t xml:space="preserve"> </w:t>
      </w:r>
      <w:r w:rsidR="00CC4A00">
        <w:rPr>
          <w:rFonts w:ascii="Palatino Linotype" w:hAnsi="Palatino Linotype" w:cs="Tahoma"/>
          <w:bCs/>
          <w:iCs/>
          <w:sz w:val="22"/>
          <w:szCs w:val="22"/>
        </w:rPr>
        <w:t xml:space="preserve">fracción </w:t>
      </w:r>
      <w:r w:rsidR="00F368EE">
        <w:rPr>
          <w:rFonts w:ascii="Palatino Linotype" w:hAnsi="Palatino Linotype" w:cs="Tahoma"/>
          <w:bCs/>
          <w:iCs/>
          <w:sz w:val="22"/>
          <w:szCs w:val="22"/>
        </w:rPr>
        <w:t>I</w:t>
      </w:r>
      <w:r>
        <w:rPr>
          <w:rFonts w:ascii="Palatino Linotype" w:hAnsi="Palatino Linotype" w:cs="Tahoma"/>
          <w:bCs/>
          <w:iCs/>
          <w:sz w:val="22"/>
          <w:szCs w:val="22"/>
        </w:rPr>
        <w:t>, numeral 2,</w:t>
      </w:r>
      <w:r w:rsidR="00F368EE">
        <w:rPr>
          <w:rFonts w:ascii="Palatino Linotype" w:hAnsi="Palatino Linotype" w:cs="Tahoma"/>
          <w:bCs/>
          <w:iCs/>
          <w:sz w:val="22"/>
          <w:szCs w:val="22"/>
        </w:rPr>
        <w:t xml:space="preserve"> </w:t>
      </w:r>
      <w:r w:rsidR="00CC4A00">
        <w:rPr>
          <w:rFonts w:ascii="Palatino Linotype" w:hAnsi="Palatino Linotype" w:cs="Tahoma"/>
          <w:bCs/>
          <w:iCs/>
          <w:sz w:val="22"/>
          <w:szCs w:val="22"/>
        </w:rPr>
        <w:t>3.3 numeral 4, 3.12 y 5.4</w:t>
      </w:r>
      <w:r w:rsidR="00867202">
        <w:rPr>
          <w:rFonts w:ascii="Palatino Linotype" w:hAnsi="Palatino Linotype" w:cs="Tahoma"/>
          <w:bCs/>
          <w:iCs/>
          <w:sz w:val="22"/>
          <w:szCs w:val="22"/>
        </w:rPr>
        <w:t>4</w:t>
      </w:r>
      <w:r w:rsidR="00CC4A00">
        <w:rPr>
          <w:rFonts w:ascii="Palatino Linotype" w:hAnsi="Palatino Linotype" w:cs="Tahoma"/>
          <w:bCs/>
          <w:iCs/>
          <w:sz w:val="22"/>
          <w:szCs w:val="22"/>
        </w:rPr>
        <w:t xml:space="preserve">, </w:t>
      </w:r>
      <w:r w:rsidR="00F368EE">
        <w:rPr>
          <w:rFonts w:ascii="Palatino Linotype" w:hAnsi="Palatino Linotype" w:cs="Tahoma"/>
          <w:bCs/>
          <w:iCs/>
          <w:sz w:val="22"/>
          <w:szCs w:val="22"/>
        </w:rPr>
        <w:t xml:space="preserve">del </w:t>
      </w:r>
      <w:r w:rsidR="00CC4A00">
        <w:rPr>
          <w:rFonts w:ascii="Palatino Linotype" w:hAnsi="Palatino Linotype" w:cs="Tahoma"/>
          <w:bCs/>
          <w:iCs/>
          <w:sz w:val="22"/>
          <w:szCs w:val="22"/>
        </w:rPr>
        <w:t xml:space="preserve">Código </w:t>
      </w:r>
      <w:r w:rsidR="00F368EE">
        <w:rPr>
          <w:rFonts w:ascii="Palatino Linotype" w:hAnsi="Palatino Linotype" w:cs="Tahoma"/>
          <w:bCs/>
          <w:iCs/>
          <w:sz w:val="22"/>
          <w:szCs w:val="22"/>
        </w:rPr>
        <w:t>Reglament</w:t>
      </w:r>
      <w:r w:rsidR="00CC4A00">
        <w:rPr>
          <w:rFonts w:ascii="Palatino Linotype" w:hAnsi="Palatino Linotype" w:cs="Tahoma"/>
          <w:bCs/>
          <w:iCs/>
          <w:sz w:val="22"/>
          <w:szCs w:val="22"/>
        </w:rPr>
        <w:t>ario de Toluca</w:t>
      </w:r>
      <w:r w:rsidR="00F368EE">
        <w:rPr>
          <w:rFonts w:ascii="Palatino Linotype" w:hAnsi="Palatino Linotype" w:cs="Tahoma"/>
          <w:bCs/>
          <w:iCs/>
          <w:sz w:val="22"/>
          <w:szCs w:val="22"/>
        </w:rPr>
        <w:t>, establecen que el Sujeto Obligado</w:t>
      </w:r>
      <w:r w:rsidR="00CC4A00">
        <w:rPr>
          <w:rFonts w:ascii="Palatino Linotype" w:hAnsi="Palatino Linotype" w:cs="Tahoma"/>
          <w:bCs/>
          <w:iCs/>
          <w:sz w:val="22"/>
          <w:szCs w:val="22"/>
        </w:rPr>
        <w:t>,</w:t>
      </w:r>
      <w:r>
        <w:rPr>
          <w:rFonts w:ascii="Palatino Linotype" w:hAnsi="Palatino Linotype" w:cs="Tahoma"/>
          <w:bCs/>
          <w:iCs/>
          <w:sz w:val="22"/>
          <w:szCs w:val="22"/>
        </w:rPr>
        <w:t xml:space="preserve"> par el </w:t>
      </w:r>
      <w:r>
        <w:rPr>
          <w:rFonts w:ascii="Palatino Linotype" w:hAnsi="Palatino Linotype" w:cs="Tahoma"/>
          <w:bCs/>
          <w:iCs/>
          <w:sz w:val="22"/>
          <w:szCs w:val="22"/>
        </w:rPr>
        <w:lastRenderedPageBreak/>
        <w:t xml:space="preserve">ejercicio de sus funciones </w:t>
      </w:r>
      <w:r w:rsidR="00CC4A00">
        <w:rPr>
          <w:rFonts w:ascii="Palatino Linotype" w:hAnsi="Palatino Linotype" w:cs="Tahoma"/>
          <w:bCs/>
          <w:iCs/>
          <w:sz w:val="22"/>
          <w:szCs w:val="22"/>
        </w:rPr>
        <w:t>co</w:t>
      </w:r>
      <w:r>
        <w:rPr>
          <w:rFonts w:ascii="Palatino Linotype" w:hAnsi="Palatino Linotype" w:cs="Tahoma"/>
          <w:bCs/>
          <w:iCs/>
          <w:sz w:val="22"/>
          <w:szCs w:val="22"/>
        </w:rPr>
        <w:t>n</w:t>
      </w:r>
      <w:r w:rsidR="00CC4A00">
        <w:rPr>
          <w:rFonts w:ascii="Palatino Linotype" w:hAnsi="Palatino Linotype" w:cs="Tahoma"/>
          <w:bCs/>
          <w:iCs/>
          <w:sz w:val="22"/>
          <w:szCs w:val="22"/>
        </w:rPr>
        <w:t>tará con la Contralorí</w:t>
      </w:r>
      <w:r>
        <w:rPr>
          <w:rFonts w:ascii="Palatino Linotype" w:hAnsi="Palatino Linotype" w:cs="Tahoma"/>
          <w:bCs/>
          <w:iCs/>
          <w:sz w:val="22"/>
          <w:szCs w:val="22"/>
        </w:rPr>
        <w:t>a</w:t>
      </w:r>
      <w:r w:rsidR="00CC4A00">
        <w:rPr>
          <w:rFonts w:ascii="Palatino Linotype" w:hAnsi="Palatino Linotype" w:cs="Tahoma"/>
          <w:bCs/>
          <w:iCs/>
          <w:sz w:val="22"/>
          <w:szCs w:val="22"/>
        </w:rPr>
        <w:t>, la</w:t>
      </w:r>
      <w:r>
        <w:rPr>
          <w:rFonts w:ascii="Palatino Linotype" w:hAnsi="Palatino Linotype" w:cs="Tahoma"/>
          <w:bCs/>
          <w:iCs/>
          <w:sz w:val="22"/>
          <w:szCs w:val="22"/>
        </w:rPr>
        <w:t xml:space="preserve"> </w:t>
      </w:r>
      <w:proofErr w:type="spellStart"/>
      <w:r>
        <w:rPr>
          <w:rFonts w:ascii="Palatino Linotype" w:hAnsi="Palatino Linotype" w:cs="Tahoma"/>
          <w:bCs/>
          <w:iCs/>
          <w:sz w:val="22"/>
          <w:szCs w:val="22"/>
        </w:rPr>
        <w:t>Coordinaci</w:t>
      </w:r>
      <w:r>
        <w:rPr>
          <w:rFonts w:ascii="Palatino Linotype" w:hAnsi="Palatino Linotype" w:cs="Tahoma"/>
          <w:bCs/>
          <w:iCs/>
          <w:sz w:val="22"/>
          <w:szCs w:val="22"/>
          <w:lang w:val="x-none"/>
        </w:rPr>
        <w:t>ón</w:t>
      </w:r>
      <w:proofErr w:type="spellEnd"/>
      <w:r>
        <w:rPr>
          <w:rFonts w:ascii="Palatino Linotype" w:hAnsi="Palatino Linotype" w:cs="Tahoma"/>
          <w:bCs/>
          <w:iCs/>
          <w:sz w:val="22"/>
          <w:szCs w:val="22"/>
          <w:lang w:val="x-none"/>
        </w:rPr>
        <w:t xml:space="preserve"> de Asesores adscrita a la</w:t>
      </w:r>
      <w:r w:rsidR="00CC4A00">
        <w:rPr>
          <w:rFonts w:ascii="Palatino Linotype" w:hAnsi="Palatino Linotype" w:cs="Tahoma"/>
          <w:bCs/>
          <w:iCs/>
          <w:sz w:val="22"/>
          <w:szCs w:val="22"/>
        </w:rPr>
        <w:t xml:space="preserve"> Presidencia Municipal</w:t>
      </w:r>
      <w:r>
        <w:rPr>
          <w:rFonts w:ascii="Palatino Linotype" w:hAnsi="Palatino Linotype" w:cs="Tahoma"/>
          <w:bCs/>
          <w:iCs/>
          <w:sz w:val="22"/>
          <w:szCs w:val="22"/>
        </w:rPr>
        <w:t xml:space="preserve">, la Unidad </w:t>
      </w:r>
      <w:r w:rsidRPr="00CC4A00">
        <w:rPr>
          <w:rFonts w:ascii="Palatino Linotype" w:hAnsi="Palatino Linotype"/>
          <w:sz w:val="22"/>
          <w:szCs w:val="22"/>
        </w:rPr>
        <w:t>de Información, Planeación, Programación y Evaluación</w:t>
      </w:r>
      <w:r>
        <w:rPr>
          <w:rFonts w:ascii="Palatino Linotype" w:hAnsi="Palatino Linotype"/>
          <w:sz w:val="22"/>
          <w:szCs w:val="22"/>
        </w:rPr>
        <w:t xml:space="preserve"> de la Secretar</w:t>
      </w:r>
      <w:proofErr w:type="spellStart"/>
      <w:r>
        <w:rPr>
          <w:rFonts w:ascii="Palatino Linotype" w:hAnsi="Palatino Linotype"/>
          <w:sz w:val="22"/>
          <w:szCs w:val="22"/>
          <w:lang w:val="x-none"/>
        </w:rPr>
        <w:t>ía</w:t>
      </w:r>
      <w:proofErr w:type="spellEnd"/>
      <w:r>
        <w:rPr>
          <w:rFonts w:ascii="Palatino Linotype" w:hAnsi="Palatino Linotype"/>
          <w:sz w:val="22"/>
          <w:szCs w:val="22"/>
          <w:lang w:val="x-none"/>
        </w:rPr>
        <w:t xml:space="preserve"> del Ayuntamiento </w:t>
      </w:r>
      <w:r w:rsidR="00867202">
        <w:rPr>
          <w:rFonts w:ascii="Palatino Linotype" w:hAnsi="Palatino Linotype"/>
          <w:sz w:val="22"/>
          <w:szCs w:val="22"/>
          <w:lang w:val="x-none"/>
        </w:rPr>
        <w:t>y la Unidad de Transparencia.</w:t>
      </w:r>
    </w:p>
    <w:p w:rsidR="00F368EE" w:rsidP="00767888" w:rsidRDefault="00F368EE" w14:paraId="246F3CCB" w14:textId="77777777">
      <w:pPr>
        <w:spacing w:line="360" w:lineRule="auto"/>
        <w:ind w:right="-28"/>
        <w:contextualSpacing/>
        <w:jc w:val="both"/>
        <w:rPr>
          <w:rFonts w:ascii="Palatino Linotype" w:hAnsi="Palatino Linotype" w:cs="Tahoma"/>
          <w:bCs/>
          <w:iCs/>
          <w:sz w:val="22"/>
          <w:szCs w:val="22"/>
        </w:rPr>
      </w:pPr>
    </w:p>
    <w:p w:rsidR="00F368EE" w:rsidP="00767888" w:rsidRDefault="00F368EE" w14:paraId="618DFDC3" w14:textId="1048ACF0">
      <w:pPr>
        <w:spacing w:line="360" w:lineRule="auto"/>
        <w:ind w:right="-28"/>
        <w:contextualSpacing/>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 xml:space="preserve">De tal circunstancia, se logra vislumbrar que la pretensión del ahora Recurrente es obtener </w:t>
      </w:r>
      <w:r w:rsidR="00CC4A00">
        <w:rPr>
          <w:rFonts w:ascii="Palatino Linotype" w:hAnsi="Palatino Linotype" w:eastAsia="Calibri" w:cs="Tahoma"/>
          <w:iCs/>
          <w:sz w:val="22"/>
          <w:szCs w:val="22"/>
          <w:lang w:val="es-ES" w:eastAsia="es-ES_tradnl"/>
        </w:rPr>
        <w:t xml:space="preserve">un listado </w:t>
      </w:r>
      <w:r w:rsidR="00867202">
        <w:rPr>
          <w:rFonts w:ascii="Palatino Linotype" w:hAnsi="Palatino Linotype" w:eastAsia="Calibri" w:cs="Tahoma"/>
          <w:iCs/>
          <w:sz w:val="22"/>
          <w:szCs w:val="22"/>
          <w:lang w:val="es-ES" w:eastAsia="es-ES_tradnl"/>
        </w:rPr>
        <w:t>con los nombres de</w:t>
      </w:r>
      <w:r w:rsidR="00CC4A00">
        <w:rPr>
          <w:rFonts w:ascii="Palatino Linotype" w:hAnsi="Palatino Linotype" w:eastAsia="Calibri" w:cs="Tahoma"/>
          <w:iCs/>
          <w:sz w:val="22"/>
          <w:szCs w:val="22"/>
          <w:lang w:val="es-ES" w:eastAsia="es-ES_tradnl"/>
        </w:rPr>
        <w:t xml:space="preserve"> los servidores públicos que </w:t>
      </w:r>
      <w:r w:rsidR="00867202">
        <w:rPr>
          <w:rFonts w:ascii="Palatino Linotype" w:hAnsi="Palatino Linotype" w:eastAsia="Calibri" w:cs="Tahoma"/>
          <w:iCs/>
          <w:sz w:val="22"/>
          <w:szCs w:val="22"/>
          <w:lang w:val="es-ES" w:eastAsia="es-ES_tradnl"/>
        </w:rPr>
        <w:t xml:space="preserve">estaban adscritos </w:t>
      </w:r>
      <w:r w:rsidR="00867202">
        <w:rPr>
          <w:rFonts w:ascii="Palatino Linotype" w:hAnsi="Palatino Linotype" w:eastAsia="Calibri" w:cs="Tahoma"/>
          <w:iCs/>
          <w:sz w:val="22"/>
          <w:szCs w:val="22"/>
          <w:lang w:val="x-none" w:eastAsia="es-ES_tradnl"/>
        </w:rPr>
        <w:t>a</w:t>
      </w:r>
      <w:r w:rsidR="00CC4A00">
        <w:rPr>
          <w:rFonts w:ascii="Palatino Linotype" w:hAnsi="Palatino Linotype" w:eastAsia="Calibri" w:cs="Tahoma"/>
          <w:iCs/>
          <w:sz w:val="22"/>
          <w:szCs w:val="22"/>
          <w:lang w:val="es-ES" w:eastAsia="es-ES_tradnl"/>
        </w:rPr>
        <w:t xml:space="preserve"> la Contraloría Municipal, </w:t>
      </w:r>
      <w:r w:rsidR="00867202">
        <w:rPr>
          <w:rFonts w:ascii="Palatino Linotype" w:hAnsi="Palatino Linotype" w:eastAsia="Calibri" w:cs="Tahoma"/>
          <w:iCs/>
          <w:sz w:val="22"/>
          <w:szCs w:val="22"/>
          <w:lang w:val="es-ES" w:eastAsia="es-ES_tradnl"/>
        </w:rPr>
        <w:t xml:space="preserve">la </w:t>
      </w:r>
      <w:r w:rsidR="00CC4A00">
        <w:rPr>
          <w:rFonts w:ascii="Palatino Linotype" w:hAnsi="Palatino Linotype" w:eastAsia="Calibri" w:cs="Tahoma"/>
          <w:iCs/>
          <w:sz w:val="22"/>
          <w:szCs w:val="22"/>
          <w:lang w:val="es-ES" w:eastAsia="es-ES_tradnl"/>
        </w:rPr>
        <w:t xml:space="preserve">Coordinación de Asesores, </w:t>
      </w:r>
      <w:r w:rsidR="00867202">
        <w:rPr>
          <w:rFonts w:ascii="Palatino Linotype" w:hAnsi="Palatino Linotype" w:eastAsia="Calibri" w:cs="Tahoma"/>
          <w:iCs/>
          <w:sz w:val="22"/>
          <w:szCs w:val="22"/>
          <w:lang w:val="es-ES" w:eastAsia="es-ES_tradnl"/>
        </w:rPr>
        <w:t xml:space="preserve"> la </w:t>
      </w:r>
      <w:r w:rsidR="00CC4A00">
        <w:rPr>
          <w:rFonts w:ascii="Palatino Linotype" w:hAnsi="Palatino Linotype" w:eastAsia="Calibri" w:cs="Tahoma"/>
          <w:iCs/>
          <w:sz w:val="22"/>
          <w:szCs w:val="22"/>
          <w:lang w:val="es-ES" w:eastAsia="es-ES_tradnl"/>
        </w:rPr>
        <w:t>Unidad de Información, Planeación, Programación y Evaluación y la Unidad de Transparencia</w:t>
      </w:r>
      <w:r w:rsidR="00867202">
        <w:rPr>
          <w:rFonts w:ascii="Palatino Linotype" w:hAnsi="Palatino Linotype" w:eastAsia="Calibri" w:cs="Tahoma"/>
          <w:iCs/>
          <w:sz w:val="22"/>
          <w:szCs w:val="22"/>
          <w:lang w:val="es-ES" w:eastAsia="es-ES_tradnl"/>
        </w:rPr>
        <w:t>, al doce de septiembre de dos mil veintidós</w:t>
      </w:r>
      <w:r w:rsidR="00867202">
        <w:rPr>
          <w:rFonts w:ascii="Palatino Linotype" w:hAnsi="Palatino Linotype" w:eastAsia="Calibri" w:cs="Tahoma"/>
          <w:iCs/>
          <w:sz w:val="22"/>
          <w:szCs w:val="22"/>
          <w:lang w:val="x-none" w:eastAsia="es-ES_tradnl"/>
        </w:rPr>
        <w:t>.</w:t>
      </w:r>
    </w:p>
    <w:p w:rsidR="00CC4A00" w:rsidP="00767888" w:rsidRDefault="00CC4A00" w14:paraId="547DE7B3" w14:textId="77777777">
      <w:pPr>
        <w:spacing w:line="360" w:lineRule="auto"/>
        <w:ind w:right="-28"/>
        <w:contextualSpacing/>
        <w:jc w:val="both"/>
        <w:rPr>
          <w:rFonts w:ascii="Palatino Linotype" w:hAnsi="Palatino Linotype" w:cs="Tahoma"/>
          <w:bCs/>
          <w:iCs/>
          <w:sz w:val="22"/>
          <w:szCs w:val="22"/>
        </w:rPr>
      </w:pPr>
    </w:p>
    <w:p w:rsidR="00F368EE" w:rsidP="00767888" w:rsidRDefault="00F368EE" w14:paraId="1F4D0A98" w14:textId="65C14586">
      <w:pPr>
        <w:spacing w:line="360" w:lineRule="auto"/>
        <w:jc w:val="both"/>
        <w:rPr>
          <w:rFonts w:ascii="Palatino Linotype" w:hAnsi="Palatino Linotype" w:eastAsia="Calibri" w:cs="Tahoma"/>
          <w:bCs/>
          <w:iCs/>
          <w:color w:val="000000"/>
          <w:sz w:val="22"/>
          <w:szCs w:val="24"/>
          <w:lang w:eastAsia="es-MX"/>
        </w:rPr>
      </w:pPr>
      <w:r>
        <w:rPr>
          <w:rFonts w:ascii="Palatino Linotype" w:hAnsi="Palatino Linotype" w:cs="Tahoma"/>
          <w:bCs/>
          <w:iCs/>
          <w:sz w:val="22"/>
          <w:szCs w:val="22"/>
        </w:rPr>
        <w:t xml:space="preserve">Ahora bien, se procede analizar la respuesta otorgada, para lo cual, en principio cabe precisar que de las constancias que obran en el expediente, se logra vislumbrar a que el Ayuntamiento turno la solicitud a la </w:t>
      </w:r>
      <w:proofErr w:type="spellStart"/>
      <w:r w:rsidR="00867202">
        <w:rPr>
          <w:rFonts w:ascii="Palatino Linotype" w:hAnsi="Palatino Linotype" w:cs="Tahoma"/>
          <w:bCs/>
          <w:iCs/>
          <w:sz w:val="22"/>
          <w:szCs w:val="22"/>
        </w:rPr>
        <w:t>Direcci</w:t>
      </w:r>
      <w:r w:rsidR="00867202">
        <w:rPr>
          <w:rFonts w:ascii="Palatino Linotype" w:hAnsi="Palatino Linotype" w:cs="Tahoma"/>
          <w:bCs/>
          <w:iCs/>
          <w:sz w:val="22"/>
          <w:szCs w:val="22"/>
          <w:lang w:val="x-none"/>
        </w:rPr>
        <w:t>ón</w:t>
      </w:r>
      <w:proofErr w:type="spellEnd"/>
      <w:r w:rsidR="00867202">
        <w:rPr>
          <w:rFonts w:ascii="Palatino Linotype" w:hAnsi="Palatino Linotype" w:cs="Tahoma"/>
          <w:bCs/>
          <w:iCs/>
          <w:sz w:val="22"/>
          <w:szCs w:val="22"/>
          <w:lang w:val="x-none"/>
        </w:rPr>
        <w:t xml:space="preserve"> General de Administración</w:t>
      </w:r>
      <w:r>
        <w:rPr>
          <w:rFonts w:ascii="Palatino Linotype" w:hAnsi="Palatino Linotype" w:cs="Tahoma"/>
          <w:bCs/>
          <w:iCs/>
          <w:sz w:val="22"/>
          <w:szCs w:val="22"/>
        </w:rPr>
        <w:t xml:space="preserve">; por lo que, </w:t>
      </w:r>
      <w:r>
        <w:rPr>
          <w:rFonts w:ascii="Palatino Linotype" w:hAnsi="Palatino Linotype" w:eastAsia="Calibri" w:cs="Tahoma"/>
          <w:bCs/>
          <w:color w:val="000000"/>
          <w:sz w:val="22"/>
          <w:szCs w:val="24"/>
          <w:lang w:eastAsia="es-MX"/>
        </w:rPr>
        <w:t xml:space="preserve">es necesario hacer referencia </w:t>
      </w:r>
      <w:r>
        <w:rPr>
          <w:rFonts w:ascii="Palatino Linotype" w:hAnsi="Palatino Linotype" w:eastAsia="Calibri" w:cs="Tahoma"/>
          <w:color w:val="000000"/>
          <w:sz w:val="22"/>
          <w:szCs w:val="24"/>
          <w:lang w:eastAsia="es-MX"/>
        </w:rPr>
        <w:t xml:space="preserve">al </w:t>
      </w:r>
      <w:r>
        <w:rPr>
          <w:rFonts w:ascii="Palatino Linotype" w:hAnsi="Palatino Linotype" w:eastAsia="Calibri" w:cs="Tahoma"/>
          <w:b/>
          <w:color w:val="000000"/>
          <w:sz w:val="22"/>
          <w:szCs w:val="24"/>
          <w:lang w:eastAsia="es-MX"/>
        </w:rPr>
        <w:t>procedimiento de búsqueda que deben de seguir los Sujetos Obligados para localizar la información</w:t>
      </w:r>
      <w:r>
        <w:rPr>
          <w:rFonts w:ascii="Palatino Linotype" w:hAnsi="Palatino Linotype" w:eastAsia="Calibri" w:cs="Tahoma"/>
          <w:color w:val="000000"/>
          <w:sz w:val="22"/>
          <w:szCs w:val="24"/>
          <w:lang w:eastAsia="es-MX"/>
        </w:rPr>
        <w:t>, el cual se encuentra previsto en los artículos</w:t>
      </w:r>
      <w:r>
        <w:rPr>
          <w:rFonts w:ascii="Palatino Linotype" w:hAnsi="Palatino Linotype" w:eastAsia="Calibri" w:cs="Tahoma"/>
          <w:bCs/>
          <w:color w:val="000000"/>
          <w:sz w:val="22"/>
          <w:szCs w:val="24"/>
          <w:lang w:eastAsia="es-MX"/>
        </w:rPr>
        <w:t xml:space="preserve"> 160 y 162 de la Ley de Transparencia y Acceso a la Información Pública del Estado de México y Municipios, mismo que es el siguiente:</w:t>
      </w:r>
    </w:p>
    <w:p w:rsidR="00F368EE" w:rsidP="00767888" w:rsidRDefault="00F368EE" w14:paraId="699C1A25"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00F368EE" w:rsidP="00767888" w:rsidRDefault="00F368EE" w14:paraId="24A3EEBC" w14:textId="5BE4AB27">
      <w:pPr>
        <w:numPr>
          <w:ilvl w:val="0"/>
          <w:numId w:val="1"/>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t xml:space="preserve">Las Unidades de Transparencia garantizarán que las solicitudes de acceso a la información se turnen a todas las áreas competentes que cuenten con la información o deban tenerla </w:t>
      </w:r>
      <w:r w:rsidR="00AD1AAA">
        <w:rPr>
          <w:rFonts w:ascii="Palatino Linotype" w:hAnsi="Palatino Linotype" w:eastAsia="Calibri" w:cs="Tahoma"/>
          <w:bCs/>
          <w:color w:val="000000"/>
          <w:sz w:val="22"/>
          <w:szCs w:val="24"/>
          <w:lang w:val="es-ES" w:eastAsia="es-MX"/>
        </w:rPr>
        <w:t>de acuerdo con</w:t>
      </w:r>
      <w:r>
        <w:rPr>
          <w:rFonts w:ascii="Palatino Linotype" w:hAnsi="Palatino Linotype" w:eastAsia="Calibri" w:cs="Tahoma"/>
          <w:bCs/>
          <w:color w:val="000000"/>
          <w:sz w:val="22"/>
          <w:szCs w:val="24"/>
          <w:lang w:val="es-ES" w:eastAsia="es-MX"/>
        </w:rPr>
        <w:t xml:space="preserve"> las facultades, competencias y funciones, con el objeto de que dichas áreas realicen una búsqueda exhaustiva y razonable de la información requerida, y</w:t>
      </w:r>
    </w:p>
    <w:p w:rsidR="00AD1AAA" w:rsidP="00AD1AAA" w:rsidRDefault="00AD1AAA" w14:paraId="71E62123" w14:textId="77777777">
      <w:pPr>
        <w:autoSpaceDE w:val="0"/>
        <w:autoSpaceDN w:val="0"/>
        <w:adjustRightInd w:val="0"/>
        <w:spacing w:line="360" w:lineRule="auto"/>
        <w:ind w:left="720"/>
        <w:jc w:val="both"/>
        <w:rPr>
          <w:rFonts w:ascii="Palatino Linotype" w:hAnsi="Palatino Linotype" w:eastAsia="Calibri" w:cs="Tahoma"/>
          <w:bCs/>
          <w:color w:val="000000"/>
          <w:sz w:val="22"/>
          <w:szCs w:val="24"/>
          <w:lang w:val="es-ES" w:eastAsia="es-MX"/>
        </w:rPr>
      </w:pPr>
    </w:p>
    <w:p w:rsidRPr="00AD1AAA" w:rsidR="00F368EE" w:rsidP="00767888" w:rsidRDefault="00F368EE" w14:paraId="6636BF78" w14:textId="1999FD67">
      <w:pPr>
        <w:numPr>
          <w:ilvl w:val="0"/>
          <w:numId w:val="1"/>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8D60CF" w:rsidR="008D60CF" w:rsidP="00767888" w:rsidRDefault="008D60CF" w14:paraId="1B78A64C" w14:textId="3C07F3DA">
      <w:pPr>
        <w:spacing w:line="360" w:lineRule="auto"/>
        <w:ind w:right="-28"/>
        <w:contextualSpacing/>
        <w:jc w:val="both"/>
        <w:rPr>
          <w:rFonts w:ascii="Palatino Linotype" w:hAnsi="Palatino Linotype" w:eastAsia="Calibri" w:cs="Tahoma"/>
          <w:b/>
          <w:color w:val="000000"/>
          <w:sz w:val="22"/>
          <w:szCs w:val="22"/>
        </w:rPr>
      </w:pPr>
      <w:r w:rsidRPr="008D60CF">
        <w:rPr>
          <w:rFonts w:ascii="Palatino Linotype" w:hAnsi="Palatino Linotype" w:eastAsia="Calibri" w:cs="Tahoma"/>
          <w:bCs/>
          <w:color w:val="000000"/>
          <w:sz w:val="22"/>
          <w:szCs w:val="22"/>
        </w:rPr>
        <w:lastRenderedPageBreak/>
        <w:t>Así, a efecto de determinar si el Sujeto Obligado cumplió con el procedimiento de búsqueda, resulta necesario citar l</w:t>
      </w:r>
      <w:r>
        <w:rPr>
          <w:rFonts w:ascii="Palatino Linotype" w:hAnsi="Palatino Linotype" w:eastAsia="Calibri" w:cs="Tahoma"/>
          <w:bCs/>
          <w:color w:val="000000"/>
          <w:sz w:val="22"/>
          <w:szCs w:val="22"/>
        </w:rPr>
        <w:t>os</w:t>
      </w:r>
      <w:r w:rsidRPr="008D60CF">
        <w:rPr>
          <w:rFonts w:ascii="Palatino Linotype" w:hAnsi="Palatino Linotype" w:eastAsia="Calibri" w:cs="Tahoma"/>
          <w:bCs/>
          <w:color w:val="000000"/>
          <w:sz w:val="22"/>
          <w:szCs w:val="22"/>
        </w:rPr>
        <w:t xml:space="preserve"> artícu</w:t>
      </w:r>
      <w:r>
        <w:rPr>
          <w:rFonts w:ascii="Palatino Linotype" w:hAnsi="Palatino Linotype" w:eastAsia="Calibri" w:cs="Tahoma"/>
          <w:bCs/>
          <w:color w:val="000000"/>
          <w:sz w:val="22"/>
          <w:szCs w:val="22"/>
        </w:rPr>
        <w:t xml:space="preserve">lo </w:t>
      </w:r>
      <w:r w:rsidR="00D323A7">
        <w:rPr>
          <w:rFonts w:ascii="Palatino Linotype" w:hAnsi="Palatino Linotype" w:eastAsia="Calibri" w:cs="Tahoma"/>
          <w:bCs/>
          <w:color w:val="000000"/>
          <w:sz w:val="22"/>
          <w:szCs w:val="22"/>
        </w:rPr>
        <w:t>3.40</w:t>
      </w:r>
      <w:r w:rsidR="00867202">
        <w:rPr>
          <w:rFonts w:ascii="Palatino Linotype" w:hAnsi="Palatino Linotype" w:eastAsia="Calibri" w:cs="Tahoma"/>
          <w:bCs/>
          <w:color w:val="000000"/>
          <w:sz w:val="22"/>
          <w:szCs w:val="22"/>
        </w:rPr>
        <w:t>, 3.41 y 3.42</w:t>
      </w:r>
      <w:r w:rsidRPr="008D60CF">
        <w:rPr>
          <w:rFonts w:ascii="Palatino Linotype" w:hAnsi="Palatino Linotype" w:eastAsia="Calibri" w:cs="Tahoma"/>
          <w:bCs/>
          <w:color w:val="000000"/>
          <w:sz w:val="22"/>
          <w:szCs w:val="22"/>
        </w:rPr>
        <w:t xml:space="preserve"> del </w:t>
      </w:r>
      <w:r w:rsidRPr="008D60CF">
        <w:rPr>
          <w:rFonts w:ascii="Palatino Linotype" w:hAnsi="Palatino Linotype"/>
          <w:iCs/>
          <w:sz w:val="22"/>
          <w:szCs w:val="22"/>
        </w:rPr>
        <w:t>Código Reglamentario Municipal de Toluca, que establece que el Sujeto Obligado cuenta con diversas unidades administrativas para el ejercicio de sus funciones, entre las cuales se encuentra la Dirección General de Administración, encargada de coordinar y dirigir los sistemas de reclutamiento, selección, contratación e inducción y desarrollo de personal; autorizar las altas, bajas, cambios, permisos, licencias y comisiones del personal</w:t>
      </w:r>
      <w:r w:rsidR="00867202">
        <w:rPr>
          <w:rFonts w:ascii="Palatino Linotype" w:hAnsi="Palatino Linotype"/>
          <w:iCs/>
          <w:sz w:val="22"/>
          <w:szCs w:val="22"/>
        </w:rPr>
        <w:t>, as</w:t>
      </w:r>
      <w:r w:rsidR="00867202">
        <w:rPr>
          <w:rFonts w:ascii="Palatino Linotype" w:hAnsi="Palatino Linotype"/>
          <w:iCs/>
          <w:sz w:val="22"/>
          <w:szCs w:val="22"/>
          <w:lang w:val="x-none"/>
        </w:rPr>
        <w:t>í como, la elaboración y distribución de la nómina al personal. Lo anterior, por medio de la Dirección de Recursos Humanos, encargada de registrar y administrar los movimientos de personal.</w:t>
      </w:r>
    </w:p>
    <w:p w:rsidRPr="008D60CF" w:rsidR="008D60CF" w:rsidP="00767888" w:rsidRDefault="008D60CF" w14:paraId="7E90829A" w14:textId="77777777">
      <w:pPr>
        <w:spacing w:line="360" w:lineRule="auto"/>
        <w:jc w:val="both"/>
        <w:rPr>
          <w:rFonts w:ascii="Palatino Linotype" w:hAnsi="Palatino Linotype" w:cs="Tahoma"/>
          <w:bCs/>
          <w:iCs/>
          <w:sz w:val="22"/>
          <w:szCs w:val="22"/>
        </w:rPr>
      </w:pPr>
    </w:p>
    <w:p w:rsidRPr="00867202" w:rsidR="00F368EE" w:rsidP="00767888" w:rsidRDefault="008D60CF" w14:paraId="01CAE884" w14:textId="460CD394">
      <w:pPr>
        <w:spacing w:line="360" w:lineRule="auto"/>
        <w:jc w:val="both"/>
        <w:rPr>
          <w:rFonts w:ascii="Palatino Linotype" w:hAnsi="Palatino Linotype" w:cs="Tahoma"/>
          <w:bCs/>
          <w:iCs/>
          <w:sz w:val="22"/>
          <w:szCs w:val="22"/>
        </w:rPr>
      </w:pPr>
      <w:r w:rsidRPr="008D60CF">
        <w:rPr>
          <w:rFonts w:ascii="Palatino Linotype" w:hAnsi="Palatino Linotype" w:cs="Tahoma"/>
          <w:bCs/>
          <w:iCs/>
          <w:sz w:val="22"/>
          <w:szCs w:val="22"/>
        </w:rPr>
        <w:t xml:space="preserve">Conforme a lo anterior se logra observar que el Ayuntamiento de Toluca, </w:t>
      </w:r>
      <w:proofErr w:type="spellStart"/>
      <w:r w:rsidRPr="008D60CF">
        <w:rPr>
          <w:rFonts w:ascii="Palatino Linotype" w:hAnsi="Palatino Linotype" w:cs="Tahoma"/>
          <w:bCs/>
          <w:iCs/>
          <w:sz w:val="22"/>
          <w:szCs w:val="22"/>
        </w:rPr>
        <w:t>gestion</w:t>
      </w:r>
      <w:r w:rsidR="00867202">
        <w:rPr>
          <w:rFonts w:ascii="Palatino Linotype" w:hAnsi="Palatino Linotype" w:cs="Tahoma"/>
          <w:bCs/>
          <w:iCs/>
          <w:sz w:val="22"/>
          <w:szCs w:val="22"/>
          <w:lang w:val="x-none"/>
        </w:rPr>
        <w:t>ó</w:t>
      </w:r>
      <w:proofErr w:type="spellEnd"/>
      <w:r w:rsidRPr="008D60CF">
        <w:rPr>
          <w:rFonts w:ascii="Palatino Linotype" w:hAnsi="Palatino Linotype" w:cs="Tahoma"/>
          <w:bCs/>
          <w:iCs/>
          <w:sz w:val="22"/>
          <w:szCs w:val="22"/>
        </w:rPr>
        <w:t xml:space="preserve"> la solicitud de información a la unidad administrativa competente para conocer de lo requerido</w:t>
      </w:r>
      <w:r w:rsidR="00867202">
        <w:rPr>
          <w:rFonts w:ascii="Palatino Linotype" w:hAnsi="Palatino Linotype" w:cs="Tahoma"/>
          <w:bCs/>
          <w:iCs/>
          <w:sz w:val="22"/>
          <w:szCs w:val="22"/>
        </w:rPr>
        <w:t>, toda v</w:t>
      </w:r>
      <w:proofErr w:type="spellStart"/>
      <w:r w:rsidR="00867202">
        <w:rPr>
          <w:rFonts w:ascii="Palatino Linotype" w:hAnsi="Palatino Linotype" w:cs="Tahoma"/>
          <w:bCs/>
          <w:iCs/>
          <w:sz w:val="22"/>
          <w:szCs w:val="22"/>
          <w:lang w:val="x-none"/>
        </w:rPr>
        <w:t>és</w:t>
      </w:r>
      <w:proofErr w:type="spellEnd"/>
      <w:r w:rsidR="00867202">
        <w:rPr>
          <w:rFonts w:ascii="Palatino Linotype" w:hAnsi="Palatino Linotype" w:cs="Tahoma"/>
          <w:bCs/>
          <w:iCs/>
          <w:sz w:val="22"/>
          <w:szCs w:val="22"/>
          <w:lang w:val="x-none"/>
        </w:rPr>
        <w:t xml:space="preserve"> que la Dirección General de Administración, a través de la Dirección de Recursos Humanos, ve todas las cuestiones relacionadas con la administración de los servidores públicos con los que contaba el Ayuntamiento</w:t>
      </w:r>
      <w:r w:rsidRPr="008D60CF">
        <w:rPr>
          <w:rFonts w:ascii="Palatino Linotype" w:hAnsi="Palatino Linotype" w:cs="Tahoma"/>
          <w:bCs/>
          <w:iCs/>
          <w:sz w:val="22"/>
          <w:szCs w:val="22"/>
        </w:rPr>
        <w:t>, por lo que, cumplió con el procedimiento de búsqueda establecido en la Ley de la materia.</w:t>
      </w:r>
      <w:r w:rsidR="00F368EE">
        <w:rPr>
          <w:rFonts w:ascii="Palatino Linotype" w:hAnsi="Palatino Linotype" w:eastAsia="Calibri" w:cs="Tahoma"/>
          <w:color w:val="000000"/>
          <w:sz w:val="22"/>
          <w:szCs w:val="24"/>
          <w:lang w:val="es-ES" w:eastAsia="es-MX"/>
        </w:rPr>
        <w:t xml:space="preserve"> </w:t>
      </w:r>
    </w:p>
    <w:p w:rsidR="00F368EE" w:rsidP="00767888" w:rsidRDefault="00F368EE" w14:paraId="6046CB72" w14:textId="77777777">
      <w:pPr>
        <w:spacing w:line="360" w:lineRule="auto"/>
        <w:jc w:val="both"/>
        <w:rPr>
          <w:rFonts w:ascii="Palatino Linotype" w:hAnsi="Palatino Linotype" w:eastAsia="Calibri" w:cs="Tahoma"/>
          <w:color w:val="000000"/>
          <w:sz w:val="22"/>
          <w:szCs w:val="24"/>
          <w:lang w:val="es-ES" w:eastAsia="es-MX"/>
        </w:rPr>
      </w:pPr>
    </w:p>
    <w:p w:rsidR="00F368EE" w:rsidP="00767888" w:rsidRDefault="00F368EE" w14:paraId="382C8D8C" w14:textId="48651404">
      <w:pPr>
        <w:spacing w:line="360" w:lineRule="auto"/>
        <w:jc w:val="both"/>
        <w:rPr>
          <w:rFonts w:ascii="Palatino Linotype" w:hAnsi="Palatino Linotype" w:cs="Tahoma"/>
          <w:bCs/>
          <w:sz w:val="22"/>
          <w:szCs w:val="22"/>
          <w:lang w:val="x-none"/>
        </w:rPr>
      </w:pPr>
      <w:r w:rsidRPr="00CC67C3">
        <w:rPr>
          <w:rFonts w:ascii="Palatino Linotype" w:hAnsi="Palatino Linotype" w:eastAsia="Calibri" w:cs="Tahoma"/>
          <w:color w:val="000000"/>
          <w:sz w:val="22"/>
          <w:szCs w:val="24"/>
          <w:lang w:val="es-ES" w:eastAsia="es-MX"/>
        </w:rPr>
        <w:t>Ahora bien, dicha área</w:t>
      </w:r>
      <w:r w:rsidR="00867202">
        <w:rPr>
          <w:rFonts w:ascii="Palatino Linotype" w:hAnsi="Palatino Linotype" w:eastAsia="Calibri" w:cs="Tahoma"/>
          <w:color w:val="000000"/>
          <w:sz w:val="22"/>
          <w:szCs w:val="24"/>
          <w:lang w:val="es-ES" w:eastAsia="es-MX"/>
        </w:rPr>
        <w:t xml:space="preserve"> previa </w:t>
      </w:r>
      <w:r w:rsidR="00867202">
        <w:rPr>
          <w:rFonts w:ascii="Palatino Linotype" w:hAnsi="Palatino Linotype" w:eastAsia="Calibri" w:cs="Tahoma"/>
          <w:color w:val="000000"/>
          <w:sz w:val="22"/>
          <w:szCs w:val="24"/>
          <w:lang w:val="x-none" w:eastAsia="es-MX"/>
        </w:rPr>
        <w:t xml:space="preserve">búsqueda exhaustiva y razonable en sus archivos, proporcionó </w:t>
      </w:r>
      <w:r w:rsidR="00867202">
        <w:rPr>
          <w:rFonts w:ascii="Palatino Linotype" w:hAnsi="Palatino Linotype" w:eastAsia="Calibri" w:cs="Tahoma"/>
          <w:color w:val="000000"/>
          <w:sz w:val="22"/>
          <w:szCs w:val="24"/>
          <w:lang w:val="es-ES" w:eastAsia="es-MX"/>
        </w:rPr>
        <w:t xml:space="preserve">la </w:t>
      </w:r>
      <w:proofErr w:type="spellStart"/>
      <w:r w:rsidR="00867202">
        <w:rPr>
          <w:rFonts w:ascii="Palatino Linotype" w:hAnsi="Palatino Linotype" w:eastAsia="Calibri" w:cs="Tahoma"/>
          <w:color w:val="000000"/>
          <w:sz w:val="22"/>
          <w:szCs w:val="24"/>
          <w:lang w:val="es-ES" w:eastAsia="es-MX"/>
        </w:rPr>
        <w:t>relaci</w:t>
      </w:r>
      <w:r w:rsidR="00867202">
        <w:rPr>
          <w:rFonts w:ascii="Palatino Linotype" w:hAnsi="Palatino Linotype" w:eastAsia="Calibri" w:cs="Tahoma"/>
          <w:color w:val="000000"/>
          <w:sz w:val="22"/>
          <w:szCs w:val="24"/>
          <w:lang w:val="x-none" w:eastAsia="es-MX"/>
        </w:rPr>
        <w:t>ón</w:t>
      </w:r>
      <w:proofErr w:type="spellEnd"/>
      <w:r w:rsidR="00867202">
        <w:rPr>
          <w:rFonts w:ascii="Palatino Linotype" w:hAnsi="Palatino Linotype" w:eastAsia="Calibri" w:cs="Tahoma"/>
          <w:color w:val="000000"/>
          <w:sz w:val="22"/>
          <w:szCs w:val="24"/>
          <w:lang w:val="x-none" w:eastAsia="es-MX"/>
        </w:rPr>
        <w:t xml:space="preserve"> denominada </w:t>
      </w:r>
      <w:r w:rsidR="00867202">
        <w:rPr>
          <w:rFonts w:ascii="Palatino Linotype" w:hAnsi="Palatino Linotype" w:cs="Tahoma"/>
          <w:bCs/>
          <w:sz w:val="22"/>
          <w:szCs w:val="22"/>
          <w:lang w:val="x-none"/>
        </w:rPr>
        <w:t xml:space="preserve">“Plantilla de Servidores Públicos que integran: Contraloría Municipal, Coordinación de Asesores, UIPPE y Unidad de Transparencia”, la cual contiene el nombre, categoría, tipo de empleado, departamento y adscripción, tal como se muestra en el </w:t>
      </w:r>
      <w:r w:rsidR="00AD1AAA">
        <w:rPr>
          <w:rFonts w:ascii="Palatino Linotype" w:hAnsi="Palatino Linotype" w:cs="Tahoma"/>
          <w:bCs/>
          <w:sz w:val="22"/>
          <w:szCs w:val="22"/>
          <w:lang w:val="x-none"/>
        </w:rPr>
        <w:t>siguiente</w:t>
      </w:r>
      <w:r w:rsidR="00867202">
        <w:rPr>
          <w:rFonts w:ascii="Palatino Linotype" w:hAnsi="Palatino Linotype" w:cs="Tahoma"/>
          <w:bCs/>
          <w:sz w:val="22"/>
          <w:szCs w:val="22"/>
          <w:lang w:val="x-none"/>
        </w:rPr>
        <w:t xml:space="preserve"> extracto</w:t>
      </w:r>
      <w:r w:rsidR="00AD1AAA">
        <w:rPr>
          <w:rFonts w:ascii="Palatino Linotype" w:hAnsi="Palatino Linotype" w:cs="Tahoma"/>
          <w:bCs/>
          <w:sz w:val="22"/>
          <w:szCs w:val="22"/>
          <w:lang w:val="x-none"/>
        </w:rPr>
        <w:t>:</w:t>
      </w:r>
    </w:p>
    <w:p w:rsidR="00AD1AAA" w:rsidP="00767888" w:rsidRDefault="00AD1AAA" w14:paraId="68BDAF59" w14:textId="77777777">
      <w:pPr>
        <w:spacing w:line="360" w:lineRule="auto"/>
        <w:jc w:val="both"/>
        <w:rPr>
          <w:rFonts w:ascii="Palatino Linotype" w:hAnsi="Palatino Linotype" w:eastAsia="Calibri" w:cs="Tahoma"/>
          <w:color w:val="000000"/>
          <w:sz w:val="22"/>
          <w:szCs w:val="24"/>
          <w:lang w:val="es-ES" w:eastAsia="es-MX"/>
        </w:rPr>
      </w:pPr>
    </w:p>
    <w:p w:rsidRPr="00CC67C3" w:rsidR="00F368EE" w:rsidP="00767888" w:rsidRDefault="00D323A7" w14:paraId="203EFABE" w14:textId="6A660816">
      <w:pPr>
        <w:spacing w:line="360" w:lineRule="auto"/>
        <w:jc w:val="center"/>
        <w:rPr>
          <w:rFonts w:ascii="Palatino Linotype" w:hAnsi="Palatino Linotype" w:eastAsia="Calibri" w:cs="Tahoma"/>
          <w:color w:val="000000"/>
          <w:sz w:val="22"/>
          <w:szCs w:val="24"/>
          <w:lang w:val="es-ES" w:eastAsia="es-MX"/>
        </w:rPr>
      </w:pPr>
      <w:r>
        <w:rPr>
          <w:noProof/>
          <w:lang w:eastAsia="es-MX"/>
        </w:rPr>
        <w:drawing>
          <wp:inline distT="0" distB="0" distL="0" distR="0" wp14:anchorId="67512A90" wp14:editId="6415EB2E">
            <wp:extent cx="5794513" cy="8811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447" t="23394" r="16293" b="55980"/>
                    <a:stretch/>
                  </pic:blipFill>
                  <pic:spPr bwMode="auto">
                    <a:xfrm>
                      <a:off x="0" y="0"/>
                      <a:ext cx="6119034" cy="930513"/>
                    </a:xfrm>
                    <a:prstGeom prst="rect">
                      <a:avLst/>
                    </a:prstGeom>
                    <a:ln>
                      <a:noFill/>
                    </a:ln>
                    <a:extLst>
                      <a:ext uri="{53640926-AAD7-44D8-BBD7-CCE9431645EC}">
                        <a14:shadowObscured xmlns:a14="http://schemas.microsoft.com/office/drawing/2010/main"/>
                      </a:ext>
                    </a:extLst>
                  </pic:spPr>
                </pic:pic>
              </a:graphicData>
            </a:graphic>
          </wp:inline>
        </w:drawing>
      </w:r>
    </w:p>
    <w:p w:rsidR="00F368EE" w:rsidP="00767888" w:rsidRDefault="00F368EE" w14:paraId="2B261E6C" w14:textId="77777777">
      <w:pPr>
        <w:spacing w:line="360" w:lineRule="auto"/>
        <w:jc w:val="both"/>
        <w:rPr>
          <w:rFonts w:ascii="Palatino Linotype" w:hAnsi="Palatino Linotype" w:eastAsia="Calibri" w:cs="Tahoma"/>
          <w:color w:val="000000"/>
          <w:sz w:val="22"/>
          <w:szCs w:val="24"/>
          <w:lang w:val="es-ES" w:eastAsia="es-MX"/>
        </w:rPr>
      </w:pPr>
    </w:p>
    <w:p w:rsidRPr="00AB09D7" w:rsidR="00F368EE" w:rsidP="00767888" w:rsidRDefault="00F368EE" w14:paraId="7069CF14" w14:textId="77777777">
      <w:pPr>
        <w:spacing w:line="360" w:lineRule="auto"/>
        <w:jc w:val="both"/>
        <w:rPr>
          <w:rFonts w:ascii="Palatino Linotype" w:hAnsi="Palatino Linotype" w:eastAsia="Calibri" w:cs="Tahoma"/>
          <w:color w:val="000000" w:themeColor="text1"/>
          <w:sz w:val="22"/>
          <w:szCs w:val="22"/>
          <w:lang w:eastAsia="en-US"/>
        </w:rPr>
      </w:pPr>
      <w:r w:rsidRPr="00AB09D7">
        <w:rPr>
          <w:rFonts w:ascii="Palatino Linotype" w:hAnsi="Palatino Linotype" w:eastAsia="Calibri" w:cs="Tahoma"/>
          <w:color w:val="000000"/>
          <w:sz w:val="22"/>
          <w:szCs w:val="24"/>
          <w:lang w:eastAsia="es-MX"/>
        </w:rPr>
        <w:lastRenderedPageBreak/>
        <w:t>A</w:t>
      </w:r>
      <w:r w:rsidRPr="00AB09D7">
        <w:rPr>
          <w:rFonts w:ascii="Palatino Linotype" w:hAnsi="Palatino Linotype" w:eastAsia="Calibri" w:cs="Tahoma"/>
          <w:bCs/>
          <w:color w:val="000000" w:themeColor="text1"/>
          <w:sz w:val="22"/>
          <w:szCs w:val="22"/>
          <w:lang w:eastAsia="en-US"/>
        </w:rPr>
        <w:t>l respecto, es señalar que este Instituto, no tiene atribuciones para pronunciarse sobre la veracidad de la información, inclusive la publicada en los portales de Internet. A</w:t>
      </w:r>
      <w:r w:rsidRPr="00AB09D7">
        <w:rPr>
          <w:rFonts w:ascii="Palatino Linotype" w:hAnsi="Palatino Linotype" w:eastAsia="Calibri" w:cs="Tahoma"/>
          <w:bCs/>
          <w:iCs/>
          <w:color w:val="000000" w:themeColor="text1"/>
          <w:sz w:val="22"/>
          <w:szCs w:val="22"/>
          <w:lang w:eastAsia="en-US"/>
        </w:rPr>
        <w:t xml:space="preserve">poya lo anterior, el </w:t>
      </w:r>
      <w:r w:rsidRPr="00AB09D7">
        <w:rPr>
          <w:rFonts w:ascii="Palatino Linotype" w:hAnsi="Palatino Linotype" w:eastAsia="Calibri" w:cs="Tahoma"/>
          <w:bCs/>
          <w:color w:val="000000" w:themeColor="text1"/>
          <w:sz w:val="22"/>
          <w:szCs w:val="22"/>
          <w:lang w:val="es-ES" w:eastAsia="en-US"/>
        </w:rPr>
        <w:t xml:space="preserve">Criterio de Interpretación, de la Primera Época, con número de registro </w:t>
      </w:r>
      <w:r w:rsidRPr="00AB09D7">
        <w:rPr>
          <w:rFonts w:ascii="Palatino Linotype" w:hAnsi="Palatino Linotype" w:eastAsia="Calibri" w:cs="Tahoma"/>
          <w:bCs/>
          <w:color w:val="000000" w:themeColor="text1"/>
          <w:sz w:val="22"/>
          <w:szCs w:val="22"/>
          <w:lang w:eastAsia="en-US"/>
        </w:rPr>
        <w:t>SO/031/2010,</w:t>
      </w:r>
      <w:r w:rsidRPr="00AB09D7">
        <w:rPr>
          <w:rFonts w:ascii="Palatino Linotype" w:hAnsi="Palatino Linotype" w:eastAsia="Calibri" w:cs="Tahoma"/>
          <w:bCs/>
          <w:iCs/>
          <w:color w:val="000000" w:themeColor="text1"/>
          <w:sz w:val="22"/>
          <w:szCs w:val="22"/>
          <w:lang w:eastAsia="en-US"/>
        </w:rPr>
        <w:t xml:space="preserve"> emitido por el Pleno del entonces Instituto Federal de Acceso a la Información y Protección de Datos, que a continuación se cita:</w:t>
      </w:r>
    </w:p>
    <w:p w:rsidRPr="00AB09D7" w:rsidR="00F368EE" w:rsidP="00767888" w:rsidRDefault="00F368EE" w14:paraId="263A14CC" w14:textId="77777777">
      <w:pPr>
        <w:spacing w:line="360" w:lineRule="auto"/>
        <w:jc w:val="both"/>
        <w:rPr>
          <w:rFonts w:ascii="Palatino Linotype" w:hAnsi="Palatino Linotype" w:eastAsia="Calibri" w:cs="Tahoma"/>
          <w:color w:val="000000" w:themeColor="text1"/>
          <w:lang w:eastAsia="en-US"/>
        </w:rPr>
      </w:pPr>
    </w:p>
    <w:p w:rsidRPr="00AB09D7" w:rsidR="00F368EE" w:rsidP="00767888" w:rsidRDefault="00F368EE" w14:paraId="1D3CAA8E" w14:textId="77777777">
      <w:pPr>
        <w:spacing w:line="360" w:lineRule="auto"/>
        <w:ind w:left="567" w:right="567"/>
        <w:jc w:val="both"/>
        <w:rPr>
          <w:rFonts w:ascii="Palatino Linotype" w:hAnsi="Palatino Linotype" w:eastAsia="Calibri" w:cs="Tahoma"/>
          <w:bCs/>
          <w:i/>
          <w:color w:val="000000" w:themeColor="text1"/>
          <w:lang w:eastAsia="en-US"/>
        </w:rPr>
      </w:pPr>
      <w:r w:rsidRPr="00AB09D7">
        <w:rPr>
          <w:rFonts w:ascii="Palatino Linotype" w:hAnsi="Palatino Linotype" w:eastAsia="Calibri" w:cs="Tahoma"/>
          <w:b/>
          <w:bCs/>
          <w:i/>
          <w:color w:val="000000" w:themeColor="text1"/>
          <w:lang w:eastAsia="en-US"/>
        </w:rPr>
        <w:t xml:space="preserve">“El Instituto Federal de Acceso a la Información y Protección de Datos </w:t>
      </w:r>
      <w:r w:rsidRPr="00AB09D7">
        <w:rPr>
          <w:rFonts w:ascii="Palatino Linotype" w:hAnsi="Palatino Linotype" w:eastAsia="Calibri" w:cs="Tahoma"/>
          <w:b/>
          <w:bCs/>
          <w:i/>
          <w:color w:val="000000" w:themeColor="text1"/>
          <w:u w:val="single"/>
          <w:lang w:eastAsia="en-US"/>
        </w:rPr>
        <w:t xml:space="preserve">no cuenta con facultades para pronunciarse respecto de la veracidad de los documentos proporcionados por los sujetos obligados. </w:t>
      </w:r>
      <w:r w:rsidRPr="00AB09D7">
        <w:rPr>
          <w:rFonts w:ascii="Palatino Linotype" w:hAnsi="Palatino Linotype" w:eastAsia="Calibri" w:cs="Tahoma"/>
          <w:bCs/>
          <w:i/>
          <w:color w:val="000000" w:themeColor="text1"/>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368EE" w:rsidP="00767888" w:rsidRDefault="00F368EE" w14:paraId="3B67D843" w14:textId="77777777">
      <w:pPr>
        <w:spacing w:line="360" w:lineRule="auto"/>
        <w:jc w:val="both"/>
        <w:rPr>
          <w:rFonts w:ascii="Palatino Linotype" w:hAnsi="Palatino Linotype" w:eastAsia="Calibri" w:cs="Tahoma"/>
          <w:color w:val="000000"/>
          <w:sz w:val="22"/>
          <w:szCs w:val="24"/>
          <w:lang w:val="es-ES" w:eastAsia="es-MX"/>
        </w:rPr>
      </w:pPr>
    </w:p>
    <w:p w:rsidR="00AD1AAA" w:rsidP="00767888" w:rsidRDefault="00F368EE" w14:paraId="312708D1" w14:textId="479855FD">
      <w:pPr>
        <w:spacing w:line="360" w:lineRule="auto"/>
        <w:ind w:right="-28"/>
        <w:contextualSpacing/>
        <w:jc w:val="both"/>
        <w:rPr>
          <w:rFonts w:ascii="Palatino Linotype" w:hAnsi="Palatino Linotype" w:eastAsia="Calibri" w:cs="Tahoma"/>
          <w:iCs/>
          <w:sz w:val="22"/>
          <w:szCs w:val="22"/>
          <w:lang w:val="x-none" w:eastAsia="es-ES_tradnl"/>
        </w:rPr>
      </w:pPr>
      <w:r>
        <w:rPr>
          <w:rFonts w:ascii="Palatino Linotype" w:hAnsi="Palatino Linotype" w:cs="Tahoma"/>
          <w:bCs/>
          <w:iCs/>
          <w:sz w:val="22"/>
          <w:szCs w:val="22"/>
        </w:rPr>
        <w:t>En ese contexto,</w:t>
      </w:r>
      <w:r w:rsidR="00AD1AAA">
        <w:rPr>
          <w:rFonts w:ascii="Palatino Linotype" w:hAnsi="Palatino Linotype" w:cs="Tahoma"/>
          <w:bCs/>
          <w:iCs/>
          <w:sz w:val="22"/>
          <w:szCs w:val="22"/>
        </w:rPr>
        <w:t xml:space="preserve"> de la </w:t>
      </w:r>
      <w:proofErr w:type="spellStart"/>
      <w:r w:rsidR="00AD1AAA">
        <w:rPr>
          <w:rFonts w:ascii="Palatino Linotype" w:hAnsi="Palatino Linotype" w:cs="Tahoma"/>
          <w:bCs/>
          <w:iCs/>
          <w:sz w:val="22"/>
          <w:szCs w:val="22"/>
        </w:rPr>
        <w:t>revisi</w:t>
      </w:r>
      <w:r w:rsidR="00AD1AAA">
        <w:rPr>
          <w:rFonts w:ascii="Palatino Linotype" w:hAnsi="Palatino Linotype" w:cs="Tahoma"/>
          <w:bCs/>
          <w:iCs/>
          <w:sz w:val="22"/>
          <w:szCs w:val="22"/>
          <w:lang w:val="x-none"/>
        </w:rPr>
        <w:t>ón</w:t>
      </w:r>
      <w:proofErr w:type="spellEnd"/>
      <w:r>
        <w:rPr>
          <w:rFonts w:ascii="Palatino Linotype" w:hAnsi="Palatino Linotype" w:cs="Tahoma"/>
          <w:bCs/>
          <w:iCs/>
          <w:sz w:val="22"/>
          <w:szCs w:val="22"/>
        </w:rPr>
        <w:t xml:space="preserve"> de dicho documento se logra vislumbrar que contiene el nombre de los servidores públicos adscritos a la </w:t>
      </w:r>
      <w:r w:rsidR="00D323A7">
        <w:rPr>
          <w:rFonts w:ascii="Palatino Linotype" w:hAnsi="Palatino Linotype" w:eastAsia="Calibri" w:cs="Tahoma"/>
          <w:iCs/>
          <w:sz w:val="22"/>
          <w:szCs w:val="22"/>
          <w:lang w:val="es-ES" w:eastAsia="es-ES_tradnl"/>
        </w:rPr>
        <w:t>Contraloría,</w:t>
      </w:r>
      <w:r w:rsidR="00AD1AAA">
        <w:rPr>
          <w:rFonts w:ascii="Palatino Linotype" w:hAnsi="Palatino Linotype" w:eastAsia="Calibri" w:cs="Tahoma"/>
          <w:iCs/>
          <w:sz w:val="22"/>
          <w:szCs w:val="22"/>
          <w:lang w:val="es-ES" w:eastAsia="es-ES_tradnl"/>
        </w:rPr>
        <w:t xml:space="preserve"> la</w:t>
      </w:r>
      <w:r w:rsidR="00D323A7">
        <w:rPr>
          <w:rFonts w:ascii="Palatino Linotype" w:hAnsi="Palatino Linotype" w:eastAsia="Calibri" w:cs="Tahoma"/>
          <w:iCs/>
          <w:sz w:val="22"/>
          <w:szCs w:val="22"/>
          <w:lang w:val="es-ES" w:eastAsia="es-ES_tradnl"/>
        </w:rPr>
        <w:t xml:space="preserve"> Coordinación de Asesores, </w:t>
      </w:r>
      <w:r w:rsidR="00AD1AAA">
        <w:rPr>
          <w:rFonts w:ascii="Palatino Linotype" w:hAnsi="Palatino Linotype" w:eastAsia="Calibri" w:cs="Tahoma"/>
          <w:iCs/>
          <w:sz w:val="22"/>
          <w:szCs w:val="22"/>
          <w:lang w:val="es-ES" w:eastAsia="es-ES_tradnl"/>
        </w:rPr>
        <w:t xml:space="preserve">la </w:t>
      </w:r>
      <w:r w:rsidR="00D323A7">
        <w:rPr>
          <w:rFonts w:ascii="Palatino Linotype" w:hAnsi="Palatino Linotype" w:eastAsia="Calibri" w:cs="Tahoma"/>
          <w:iCs/>
          <w:sz w:val="22"/>
          <w:szCs w:val="22"/>
          <w:lang w:val="es-ES" w:eastAsia="es-ES_tradnl"/>
        </w:rPr>
        <w:t>Unidad de Información, Planeación, Programación y Evaluación y la Unidad de Transparencia</w:t>
      </w:r>
      <w:r w:rsidR="00AD1AAA">
        <w:rPr>
          <w:rFonts w:ascii="Palatino Linotype" w:hAnsi="Palatino Linotype" w:eastAsia="Calibri" w:cs="Tahoma"/>
          <w:iCs/>
          <w:sz w:val="22"/>
          <w:szCs w:val="22"/>
          <w:lang w:val="es-ES" w:eastAsia="es-ES_tradnl"/>
        </w:rPr>
        <w:t>; lo cual acreditó</w:t>
      </w:r>
      <w:r w:rsidR="00AD1AAA">
        <w:rPr>
          <w:rFonts w:ascii="Palatino Linotype" w:hAnsi="Palatino Linotype" w:eastAsia="Calibri" w:cs="Tahoma"/>
          <w:iCs/>
          <w:sz w:val="22"/>
          <w:szCs w:val="22"/>
          <w:lang w:val="x-none" w:eastAsia="es-ES_tradnl"/>
        </w:rPr>
        <w:t xml:space="preserve"> la Dirección General de Administración, al señalar en Informe Justificado que había proporcionado la información que daba cuenta de lo solicitado, tal y como obraba en sus archivos.</w:t>
      </w:r>
    </w:p>
    <w:p w:rsidR="00AD1AAA" w:rsidP="00767888" w:rsidRDefault="00AD1AAA" w14:paraId="3A279F5B" w14:textId="1D1934BC">
      <w:pPr>
        <w:spacing w:line="360" w:lineRule="auto"/>
        <w:ind w:right="-28"/>
        <w:contextualSpacing/>
        <w:jc w:val="both"/>
        <w:rPr>
          <w:rFonts w:ascii="Palatino Linotype" w:hAnsi="Palatino Linotype" w:eastAsia="Calibri" w:cs="Tahoma"/>
          <w:iCs/>
          <w:sz w:val="22"/>
          <w:szCs w:val="22"/>
          <w:lang w:val="es-ES" w:eastAsia="es-ES_tradnl"/>
        </w:rPr>
      </w:pPr>
    </w:p>
    <w:p w:rsidR="00AD1AAA" w:rsidP="00767888" w:rsidRDefault="00AD1AAA" w14:paraId="6B08DF7E" w14:textId="42264C4F">
      <w:pPr>
        <w:spacing w:line="360" w:lineRule="auto"/>
        <w:ind w:right="-28"/>
        <w:contextualSpacing/>
        <w:jc w:val="both"/>
        <w:rPr>
          <w:rFonts w:ascii="Palatino Linotype" w:hAnsi="Palatino Linotype" w:eastAsia="Calibri" w:cs="Tahoma"/>
          <w:iCs/>
          <w:sz w:val="22"/>
          <w:szCs w:val="22"/>
          <w:lang w:val="es-ES" w:eastAsia="es-ES_tradnl"/>
        </w:rPr>
      </w:pPr>
      <w:proofErr w:type="spellStart"/>
      <w:r>
        <w:rPr>
          <w:rFonts w:ascii="Palatino Linotype" w:hAnsi="Palatino Linotype" w:eastAsia="Calibri" w:cs="Tahoma"/>
          <w:iCs/>
          <w:sz w:val="22"/>
          <w:szCs w:val="22"/>
          <w:lang w:val="es-ES" w:eastAsia="es-ES_tradnl"/>
        </w:rPr>
        <w:t>Adem</w:t>
      </w:r>
      <w:r>
        <w:rPr>
          <w:rFonts w:ascii="Palatino Linotype" w:hAnsi="Palatino Linotype" w:eastAsia="Calibri" w:cs="Tahoma"/>
          <w:iCs/>
          <w:sz w:val="22"/>
          <w:szCs w:val="22"/>
          <w:lang w:val="x-none" w:eastAsia="es-ES_tradnl"/>
        </w:rPr>
        <w:t>ás</w:t>
      </w:r>
      <w:proofErr w:type="spellEnd"/>
      <w:r>
        <w:rPr>
          <w:rFonts w:ascii="Palatino Linotype" w:hAnsi="Palatino Linotype" w:eastAsia="Calibri" w:cs="Tahoma"/>
          <w:iCs/>
          <w:sz w:val="22"/>
          <w:szCs w:val="22"/>
          <w:lang w:val="x-none" w:eastAsia="es-ES_tradnl"/>
        </w:rPr>
        <w:t xml:space="preserve">, este Instituto revisó la fracción VIII A, del Portal de Información Pública de Oficio Mexiquense del Ayuntamiento de Toluca (consultado el treinta de enero de dos mil veintitrés, a las quince horas con treinta minutos, en la página electrónica </w:t>
      </w:r>
      <w:hyperlink w:history="1" r:id="rId8">
        <w:r w:rsidRPr="005D60DE">
          <w:rPr>
            <w:rStyle w:val="Hipervnculo"/>
            <w:rFonts w:ascii="Palatino Linotype" w:hAnsi="Palatino Linotype" w:eastAsia="Calibri" w:cs="Tahoma"/>
            <w:iCs/>
            <w:sz w:val="22"/>
            <w:szCs w:val="22"/>
            <w:lang w:val="x-none" w:eastAsia="es-ES_tradnl"/>
          </w:rPr>
          <w:t>https://ipomex.org.mx/ipo3/lgt/indice/TOLUCA/art_92_viii/4.web?token=03AFY_a8VAk6q-D7kM2XV26lhoe7QU9U-TE1leBew3q9f6o10UxgmCen8L1BbpNIcncwjmf4poYDRhvi6nWUM98ufovPjjXc-3vVSE1Zti9fjyKrUUTTt0IzFu1BocuDUJ-pRiA7wWADjXGmYdopIj4_YkPCc2ZTm_2l6rtWriwJxF06nIIVNLSIvo6ux9nLgyWLPcWGuIDNIH8SH0KvAhPjDVEa7qJikEWA2BI0C7lggToZ_v7PSuQ3c-IJQE0LBKQoRoxr1iVafTKaPlRr1w_3_JaYRTw9gnWpHvv3LeDvgfi6A6a0uzGCsuu7EX3VpfLETpAty4V-V0LbRwTfnucYkgUosIHaEgpS5yJ8w76jSb6bKxatTfJDVciLkluwl0TS5TdZ0Ioksk7g4OPTUGoORVUwOAtpvNxUqHszXwVd-A7n7IZ3OWiP-ZfcVoJytcPCvHYzblqZikEzhbSsiawvm0FaJBs0iE-aWCWZrS-KjpUjiTI9wJkrYavkqyEgGXYxTcfBvMPZtt</w:t>
        </w:r>
      </w:hyperlink>
      <w:r>
        <w:rPr>
          <w:rFonts w:ascii="Palatino Linotype" w:hAnsi="Palatino Linotype" w:eastAsia="Calibri" w:cs="Tahoma"/>
          <w:iCs/>
          <w:sz w:val="22"/>
          <w:szCs w:val="22"/>
          <w:lang w:val="x-none" w:eastAsia="es-ES_tradnl"/>
        </w:rPr>
        <w:t>), y no logro desprender que la información entregada estuviera incompleta; es decir, se proporcionó la información de todos los trabajadores gubernamentales con los que contaba el Ayuntamiento.</w:t>
      </w:r>
    </w:p>
    <w:p w:rsidR="00AD1AAA" w:rsidP="00767888" w:rsidRDefault="00AD1AAA" w14:paraId="689B1E15" w14:textId="77777777">
      <w:pPr>
        <w:spacing w:line="360" w:lineRule="auto"/>
        <w:ind w:right="-28"/>
        <w:contextualSpacing/>
        <w:jc w:val="both"/>
        <w:rPr>
          <w:rFonts w:ascii="Palatino Linotype" w:hAnsi="Palatino Linotype" w:cs="Tahoma"/>
          <w:bCs/>
          <w:iCs/>
          <w:sz w:val="22"/>
          <w:szCs w:val="22"/>
        </w:rPr>
      </w:pPr>
    </w:p>
    <w:p w:rsidRPr="00AD1AAA" w:rsidR="00F368EE" w:rsidP="00767888" w:rsidRDefault="00AD1AAA" w14:paraId="4C4E2684" w14:textId="76424589">
      <w:pPr>
        <w:spacing w:line="360" w:lineRule="auto"/>
        <w:ind w:right="-28"/>
        <w:contextualSpacing/>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Por tales circunstancias</w:t>
      </w:r>
      <w:r w:rsidR="00F368EE">
        <w:rPr>
          <w:rFonts w:ascii="Palatino Linotype" w:hAnsi="Palatino Linotype" w:cs="Tahoma"/>
          <w:bCs/>
          <w:iCs/>
          <w:sz w:val="22"/>
          <w:szCs w:val="22"/>
        </w:rPr>
        <w:t>,</w:t>
      </w:r>
      <w:r>
        <w:rPr>
          <w:rFonts w:ascii="Palatino Linotype" w:hAnsi="Palatino Linotype" w:cs="Tahoma"/>
          <w:bCs/>
          <w:iCs/>
          <w:sz w:val="22"/>
          <w:szCs w:val="22"/>
        </w:rPr>
        <w:t xml:space="preserve"> contrario a lo señalado por el Particular,</w:t>
      </w:r>
      <w:r w:rsidR="00F368EE">
        <w:rPr>
          <w:rFonts w:ascii="Palatino Linotype" w:hAnsi="Palatino Linotype" w:cs="Tahoma"/>
          <w:bCs/>
          <w:iCs/>
          <w:sz w:val="22"/>
          <w:szCs w:val="22"/>
        </w:rPr>
        <w:t xml:space="preserve"> este Instituto considera que el Sujeto Obligado proporcionó </w:t>
      </w:r>
      <w:r w:rsidR="00D323A7">
        <w:rPr>
          <w:rFonts w:ascii="Palatino Linotype" w:hAnsi="Palatino Linotype" w:cs="Tahoma"/>
          <w:bCs/>
          <w:iCs/>
          <w:sz w:val="22"/>
          <w:szCs w:val="22"/>
        </w:rPr>
        <w:t xml:space="preserve">desde la respuesta, </w:t>
      </w:r>
      <w:r w:rsidR="00F368EE">
        <w:rPr>
          <w:rFonts w:ascii="Palatino Linotype" w:hAnsi="Palatino Linotype" w:cs="Tahoma"/>
          <w:bCs/>
          <w:iCs/>
          <w:sz w:val="22"/>
          <w:szCs w:val="22"/>
        </w:rPr>
        <w:t>el documento que daba cuenta de lo peticionado, tal como obraban en sus archivos</w:t>
      </w:r>
      <w:r>
        <w:rPr>
          <w:rFonts w:ascii="Palatino Linotype" w:hAnsi="Palatino Linotype" w:cs="Tahoma"/>
          <w:bCs/>
          <w:iCs/>
          <w:sz w:val="22"/>
          <w:szCs w:val="22"/>
        </w:rPr>
        <w:t>;</w:t>
      </w:r>
      <w:r>
        <w:rPr>
          <w:rFonts w:ascii="Palatino Linotype" w:hAnsi="Palatino Linotype" w:eastAsia="Calibri" w:cs="Tahoma"/>
          <w:iCs/>
          <w:sz w:val="22"/>
          <w:szCs w:val="22"/>
          <w:lang w:val="es-ES" w:eastAsia="es-ES_tradnl"/>
        </w:rPr>
        <w:t xml:space="preserve"> d</w:t>
      </w:r>
      <w:r w:rsidRPr="00631B6C" w:rsidR="00F368EE">
        <w:rPr>
          <w:rFonts w:ascii="Palatino Linotype" w:hAnsi="Palatino Linotype" w:eastAsia="Calibri" w:cs="Tahoma"/>
          <w:bCs/>
          <w:iCs/>
          <w:sz w:val="22"/>
          <w:szCs w:val="22"/>
          <w:lang w:eastAsia="en-US"/>
        </w:rPr>
        <w:t>icha situación, toma sustento en</w:t>
      </w:r>
      <w:r w:rsidRPr="00631B6C" w:rsidR="00F368EE">
        <w:rPr>
          <w:rFonts w:ascii="Palatino Linotype" w:hAnsi="Palatino Linotype" w:eastAsia="Calibri" w:cs="Tahoma"/>
          <w:bCs/>
          <w:sz w:val="22"/>
          <w:szCs w:val="22"/>
          <w:lang w:eastAsia="en-US"/>
        </w:rPr>
        <w:t xml:space="preserve">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631B6C" w:rsidR="00F368EE" w:rsidP="00767888" w:rsidRDefault="00F368EE" w14:paraId="6D287BB4" w14:textId="77777777">
      <w:pPr>
        <w:spacing w:line="360" w:lineRule="auto"/>
        <w:ind w:right="-28"/>
        <w:contextualSpacing/>
        <w:jc w:val="both"/>
        <w:rPr>
          <w:rFonts w:ascii="Palatino Linotype" w:hAnsi="Palatino Linotype" w:eastAsia="Calibri" w:cs="Tahoma"/>
          <w:bCs/>
          <w:sz w:val="22"/>
          <w:szCs w:val="22"/>
          <w:lang w:eastAsia="en-US"/>
        </w:rPr>
      </w:pPr>
    </w:p>
    <w:p w:rsidRPr="00631B6C" w:rsidR="00F368EE" w:rsidP="00767888" w:rsidRDefault="00F368EE" w14:paraId="451E9BDB" w14:textId="77777777">
      <w:pPr>
        <w:spacing w:line="360" w:lineRule="auto"/>
        <w:ind w:right="-28"/>
        <w:contextualSpacing/>
        <w:jc w:val="both"/>
        <w:rPr>
          <w:rFonts w:ascii="Palatino Linotype" w:hAnsi="Palatino Linotype" w:eastAsia="Calibri" w:cs="Tahoma"/>
          <w:bCs/>
          <w:sz w:val="22"/>
          <w:szCs w:val="22"/>
          <w:lang w:eastAsia="en-US"/>
        </w:rPr>
      </w:pPr>
      <w:r w:rsidRPr="00631B6C">
        <w:rPr>
          <w:rFonts w:ascii="Palatino Linotype" w:hAnsi="Palatino Linotype" w:eastAsia="Calibri" w:cs="Tahoma"/>
          <w:bCs/>
          <w:sz w:val="22"/>
          <w:szCs w:val="22"/>
          <w:lang w:eastAsia="en-US"/>
        </w:rPr>
        <w:t xml:space="preserve">De esta manera, </w:t>
      </w:r>
      <w:r w:rsidRPr="00631B6C">
        <w:rPr>
          <w:rFonts w:ascii="Palatino Linotype" w:hAnsi="Palatino Linotype" w:eastAsia="Calibri"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631B6C">
        <w:rPr>
          <w:rFonts w:ascii="Palatino Linotype" w:hAnsi="Palatino Linotype" w:eastAsia="Calibri" w:cs="Tahoma"/>
          <w:bCs/>
          <w:i/>
          <w:sz w:val="22"/>
          <w:szCs w:val="22"/>
          <w:lang w:eastAsia="en-US"/>
        </w:rPr>
        <w:t>ad hoc</w:t>
      </w:r>
      <w:r w:rsidRPr="00631B6C">
        <w:rPr>
          <w:rFonts w:ascii="Palatino Linotype" w:hAnsi="Palatino Linotype" w:eastAsia="Calibri" w:cs="Tahoma"/>
          <w:bCs/>
          <w:sz w:val="22"/>
          <w:szCs w:val="22"/>
          <w:lang w:eastAsia="en-US"/>
        </w:rPr>
        <w:t xml:space="preserve">; lo cual, de conformidad con en el artículo 160 de la Ley de </w:t>
      </w:r>
      <w:r w:rsidRPr="00631B6C">
        <w:rPr>
          <w:rFonts w:ascii="Palatino Linotype" w:hAnsi="Palatino Linotype" w:eastAsia="Calibri" w:cs="Tahoma"/>
          <w:bCs/>
          <w:sz w:val="22"/>
          <w:szCs w:val="22"/>
          <w:lang w:eastAsia="en-US"/>
        </w:rPr>
        <w:lastRenderedPageBreak/>
        <w:t xml:space="preserve">Transparencia y Acceso a la Información Pública del Estado de México y Municipios, el cual refiere que los sujetos obligados deberán entregar la información que obre en sus archivos. </w:t>
      </w:r>
    </w:p>
    <w:p w:rsidRPr="00631B6C" w:rsidR="00F368EE" w:rsidP="00767888" w:rsidRDefault="00F368EE" w14:paraId="424DF6F3" w14:textId="77777777">
      <w:pPr>
        <w:spacing w:line="360" w:lineRule="auto"/>
        <w:ind w:right="-28"/>
        <w:contextualSpacing/>
        <w:jc w:val="both"/>
        <w:rPr>
          <w:rFonts w:ascii="Palatino Linotype" w:hAnsi="Palatino Linotype" w:eastAsia="Calibri" w:cs="Tahoma"/>
          <w:bCs/>
          <w:i/>
          <w:sz w:val="22"/>
          <w:szCs w:val="22"/>
          <w:lang w:eastAsia="en-US"/>
        </w:rPr>
      </w:pPr>
    </w:p>
    <w:p w:rsidRPr="00D323A7" w:rsidR="00F368EE" w:rsidP="00767888" w:rsidRDefault="00F368EE" w14:paraId="4407B2AD" w14:textId="2A0BB1E8">
      <w:pPr>
        <w:spacing w:line="360" w:lineRule="auto"/>
        <w:ind w:right="-28"/>
        <w:contextualSpacing/>
        <w:jc w:val="both"/>
        <w:rPr>
          <w:rFonts w:ascii="Palatino Linotype" w:hAnsi="Palatino Linotype" w:eastAsia="Calibri" w:cs="Tahoma"/>
          <w:iCs/>
          <w:sz w:val="22"/>
          <w:szCs w:val="22"/>
          <w:lang w:val="es-ES" w:eastAsia="es-ES_tradnl"/>
        </w:rPr>
      </w:pPr>
      <w:r w:rsidRPr="00631B6C">
        <w:rPr>
          <w:rFonts w:ascii="Palatino Linotype" w:hAnsi="Palatino Linotype" w:eastAsia="Calibri"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w:t>
      </w:r>
      <w:r w:rsidR="00AD1AAA">
        <w:rPr>
          <w:rFonts w:ascii="Palatino Linotype" w:hAnsi="Palatino Linotype" w:eastAsia="Calibri" w:cs="Tahoma"/>
          <w:bCs/>
          <w:sz w:val="22"/>
          <w:szCs w:val="22"/>
          <w:lang w:val="es-ES" w:eastAsia="en-US"/>
        </w:rPr>
        <w:t xml:space="preserve"> desde contestación</w:t>
      </w:r>
      <w:r w:rsidR="00AD1AAA">
        <w:rPr>
          <w:rFonts w:ascii="Palatino Linotype" w:hAnsi="Palatino Linotype" w:eastAsia="Calibri" w:cs="Tahoma"/>
          <w:bCs/>
          <w:sz w:val="22"/>
          <w:szCs w:val="22"/>
          <w:lang w:val="x-none" w:eastAsia="en-US"/>
        </w:rPr>
        <w:t xml:space="preserve"> inicial el área competente</w:t>
      </w:r>
      <w:r w:rsidRPr="00631B6C">
        <w:rPr>
          <w:rFonts w:ascii="Palatino Linotype" w:hAnsi="Palatino Linotype" w:eastAsia="Calibri" w:cs="Tahoma"/>
          <w:bCs/>
          <w:sz w:val="22"/>
          <w:szCs w:val="22"/>
          <w:lang w:val="es-ES" w:eastAsia="en-US"/>
        </w:rPr>
        <w:t xml:space="preserve"> proporcionó </w:t>
      </w:r>
      <w:r>
        <w:rPr>
          <w:rFonts w:ascii="Palatino Linotype" w:hAnsi="Palatino Linotype" w:eastAsia="Calibri" w:cs="Tahoma"/>
          <w:bCs/>
          <w:sz w:val="22"/>
          <w:szCs w:val="22"/>
          <w:lang w:val="es-ES" w:eastAsia="en-US"/>
        </w:rPr>
        <w:t xml:space="preserve">la relación </w:t>
      </w:r>
      <w:r w:rsidR="00AD1AAA">
        <w:rPr>
          <w:rFonts w:ascii="Palatino Linotype" w:hAnsi="Palatino Linotype" w:eastAsia="Calibri" w:cs="Tahoma"/>
          <w:bCs/>
          <w:sz w:val="22"/>
          <w:szCs w:val="22"/>
          <w:lang w:val="es-ES" w:eastAsia="en-US"/>
        </w:rPr>
        <w:t xml:space="preserve">con los servidores </w:t>
      </w:r>
      <w:r w:rsidR="00AD1AAA">
        <w:rPr>
          <w:rFonts w:ascii="Palatino Linotype" w:hAnsi="Palatino Linotype" w:eastAsia="Calibri" w:cs="Tahoma"/>
          <w:bCs/>
          <w:sz w:val="22"/>
          <w:szCs w:val="22"/>
          <w:lang w:val="x-none" w:eastAsia="en-US"/>
        </w:rPr>
        <w:t>públicos que integraban a</w:t>
      </w:r>
      <w:r>
        <w:rPr>
          <w:rFonts w:ascii="Palatino Linotype" w:hAnsi="Palatino Linotype" w:eastAsia="Calibri" w:cs="Tahoma"/>
          <w:bCs/>
          <w:sz w:val="22"/>
          <w:szCs w:val="22"/>
          <w:lang w:val="es-ES" w:eastAsia="en-US"/>
        </w:rPr>
        <w:t xml:space="preserve"> </w:t>
      </w:r>
      <w:r w:rsidR="00D323A7">
        <w:rPr>
          <w:rFonts w:ascii="Palatino Linotype" w:hAnsi="Palatino Linotype" w:eastAsia="Calibri" w:cs="Tahoma"/>
          <w:iCs/>
          <w:sz w:val="22"/>
          <w:szCs w:val="22"/>
          <w:lang w:val="es-ES" w:eastAsia="es-ES_tradnl"/>
        </w:rPr>
        <w:t xml:space="preserve">la Contraloría Municipal, </w:t>
      </w:r>
      <w:r w:rsidR="00AD1AAA">
        <w:rPr>
          <w:rFonts w:ascii="Palatino Linotype" w:hAnsi="Palatino Linotype" w:eastAsia="Calibri" w:cs="Tahoma"/>
          <w:iCs/>
          <w:sz w:val="22"/>
          <w:szCs w:val="22"/>
          <w:lang w:val="es-ES" w:eastAsia="es-ES_tradnl"/>
        </w:rPr>
        <w:t xml:space="preserve">la </w:t>
      </w:r>
      <w:r w:rsidR="00D323A7">
        <w:rPr>
          <w:rFonts w:ascii="Palatino Linotype" w:hAnsi="Palatino Linotype" w:eastAsia="Calibri" w:cs="Tahoma"/>
          <w:iCs/>
          <w:sz w:val="22"/>
          <w:szCs w:val="22"/>
          <w:lang w:val="es-ES" w:eastAsia="es-ES_tradnl"/>
        </w:rPr>
        <w:t xml:space="preserve">Coordinación de Asesores, </w:t>
      </w:r>
      <w:r w:rsidR="00AD1AAA">
        <w:rPr>
          <w:rFonts w:ascii="Palatino Linotype" w:hAnsi="Palatino Linotype" w:eastAsia="Calibri" w:cs="Tahoma"/>
          <w:iCs/>
          <w:sz w:val="22"/>
          <w:szCs w:val="22"/>
          <w:lang w:val="es-ES" w:eastAsia="es-ES_tradnl"/>
        </w:rPr>
        <w:t xml:space="preserve">la </w:t>
      </w:r>
      <w:r w:rsidR="00D323A7">
        <w:rPr>
          <w:rFonts w:ascii="Palatino Linotype" w:hAnsi="Palatino Linotype" w:eastAsia="Calibri" w:cs="Tahoma"/>
          <w:iCs/>
          <w:sz w:val="22"/>
          <w:szCs w:val="22"/>
          <w:lang w:val="es-ES" w:eastAsia="es-ES_tradnl"/>
        </w:rPr>
        <w:t>Unidad de Información, Planeación, Programación y Evaluación y la Unidad de Transparencia</w:t>
      </w:r>
      <w:r>
        <w:rPr>
          <w:rFonts w:ascii="Palatino Linotype" w:hAnsi="Palatino Linotype" w:eastAsia="Calibri" w:cs="Tahoma"/>
          <w:bCs/>
          <w:sz w:val="22"/>
          <w:szCs w:val="22"/>
          <w:lang w:val="es-ES" w:eastAsia="en-US"/>
        </w:rPr>
        <w:t xml:space="preserve">, lo cual da como resultado que el agravio </w:t>
      </w:r>
      <w:r w:rsidR="00AD1AAA">
        <w:rPr>
          <w:rFonts w:ascii="Palatino Linotype" w:hAnsi="Palatino Linotype" w:eastAsia="Calibri" w:cs="Tahoma"/>
          <w:bCs/>
          <w:sz w:val="22"/>
          <w:szCs w:val="22"/>
          <w:lang w:val="es-ES" w:eastAsia="en-US"/>
        </w:rPr>
        <w:t xml:space="preserve">devenga de </w:t>
      </w:r>
      <w:r>
        <w:rPr>
          <w:rFonts w:ascii="Palatino Linotype" w:hAnsi="Palatino Linotype" w:eastAsia="Calibri" w:cs="Tahoma"/>
          <w:b/>
          <w:sz w:val="22"/>
          <w:szCs w:val="22"/>
          <w:lang w:val="es-ES" w:eastAsia="en-US"/>
        </w:rPr>
        <w:t>INFUNDADO.</w:t>
      </w:r>
      <w:r>
        <w:rPr>
          <w:rFonts w:ascii="Palatino Linotype" w:hAnsi="Palatino Linotype" w:eastAsia="Calibri" w:cs="Tahoma"/>
          <w:bCs/>
          <w:sz w:val="22"/>
          <w:szCs w:val="22"/>
          <w:lang w:val="es-ES" w:eastAsia="en-US"/>
        </w:rPr>
        <w:t xml:space="preserve"> </w:t>
      </w:r>
    </w:p>
    <w:p w:rsidR="00F368EE" w:rsidP="00767888" w:rsidRDefault="00F368EE" w14:paraId="765E6DFC" w14:textId="77777777">
      <w:pPr>
        <w:spacing w:line="360" w:lineRule="auto"/>
        <w:ind w:right="-28"/>
        <w:contextualSpacing/>
        <w:jc w:val="both"/>
        <w:rPr>
          <w:rFonts w:ascii="Palatino Linotype" w:hAnsi="Palatino Linotype" w:eastAsia="Calibri" w:cs="Tahoma"/>
          <w:bCs/>
          <w:sz w:val="22"/>
          <w:szCs w:val="22"/>
          <w:lang w:eastAsia="en-US"/>
        </w:rPr>
      </w:pPr>
    </w:p>
    <w:p w:rsidR="00F368EE" w:rsidP="00767888" w:rsidRDefault="00F368EE" w14:paraId="1FAE6644"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F368EE" w:rsidP="00767888" w:rsidRDefault="00F368EE" w14:paraId="00961327" w14:textId="77777777">
      <w:pPr>
        <w:spacing w:line="360" w:lineRule="auto"/>
        <w:ind w:right="-28"/>
        <w:jc w:val="both"/>
        <w:rPr>
          <w:rFonts w:ascii="Palatino Linotype" w:hAnsi="Palatino Linotype" w:cs="Tahoma"/>
          <w:b/>
          <w:sz w:val="22"/>
          <w:szCs w:val="22"/>
        </w:rPr>
      </w:pPr>
    </w:p>
    <w:p w:rsidRPr="00631B6C" w:rsidR="00F368EE" w:rsidP="00767888" w:rsidRDefault="00F368EE" w14:paraId="1869677B" w14:textId="77777777">
      <w:pPr>
        <w:spacing w:line="360" w:lineRule="auto"/>
        <w:contextualSpacing/>
        <w:jc w:val="both"/>
        <w:rPr>
          <w:rFonts w:ascii="Palatino Linotype" w:hAnsi="Palatino Linotype" w:eastAsia="Calibri" w:cs="Tahoma"/>
          <w:color w:val="000000" w:themeColor="text1"/>
          <w:sz w:val="22"/>
          <w:szCs w:val="22"/>
          <w:lang w:eastAsia="en-US"/>
        </w:rPr>
      </w:pPr>
      <w:r w:rsidRPr="00631B6C">
        <w:rPr>
          <w:rFonts w:ascii="Palatino Linotype" w:hAnsi="Palatino Linotype" w:eastAsia="Calibri" w:cs="Tahoma"/>
          <w:color w:val="000000" w:themeColor="text1"/>
          <w:sz w:val="22"/>
          <w:szCs w:val="22"/>
          <w:lang w:eastAsia="en-US"/>
        </w:rPr>
        <w:t xml:space="preserve">Con fundamento en el artículo 186, fracción II, de la Ley de Transparencia y Acceso a la Información Pública del Estado de México y Municipios, este Instituto considera procedente </w:t>
      </w:r>
      <w:r w:rsidRPr="00631B6C">
        <w:rPr>
          <w:rFonts w:ascii="Palatino Linotype" w:hAnsi="Palatino Linotype" w:eastAsia="Calibri" w:cs="Tahoma"/>
          <w:b/>
          <w:color w:val="000000" w:themeColor="text1"/>
          <w:sz w:val="22"/>
          <w:szCs w:val="22"/>
          <w:lang w:eastAsia="en-US"/>
        </w:rPr>
        <w:t xml:space="preserve">CONFIRMAR </w:t>
      </w:r>
      <w:r w:rsidRPr="00631B6C">
        <w:rPr>
          <w:rFonts w:ascii="Palatino Linotype" w:hAnsi="Palatino Linotype" w:eastAsia="Calibri" w:cs="Tahoma"/>
          <w:color w:val="000000" w:themeColor="text1"/>
          <w:sz w:val="22"/>
          <w:szCs w:val="22"/>
          <w:lang w:eastAsia="en-US"/>
        </w:rPr>
        <w:t xml:space="preserve">la respuesta otorgada por el Sujeto Obligado. </w:t>
      </w:r>
    </w:p>
    <w:p w:rsidR="00F368EE" w:rsidP="00767888" w:rsidRDefault="00F368EE" w14:paraId="1EB3A8E3" w14:textId="77777777">
      <w:pPr>
        <w:spacing w:line="360" w:lineRule="auto"/>
        <w:jc w:val="both"/>
        <w:rPr>
          <w:rFonts w:ascii="Palatino Linotype" w:hAnsi="Palatino Linotype" w:cs="Tahoma"/>
          <w:sz w:val="22"/>
          <w:szCs w:val="22"/>
        </w:rPr>
      </w:pPr>
    </w:p>
    <w:p w:rsidRPr="00501A5E" w:rsidR="00F368EE" w:rsidP="00767888" w:rsidRDefault="00F368EE" w14:paraId="6D62CB3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F368EE" w:rsidP="00767888" w:rsidRDefault="00F368EE" w14:paraId="021AEEC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631B6C" w:rsidR="00F368EE" w:rsidP="00767888" w:rsidRDefault="00F368EE" w14:paraId="42C54C53" w14:textId="732CF91E">
      <w:pPr>
        <w:widowControl w:val="0"/>
        <w:spacing w:line="360" w:lineRule="auto"/>
        <w:jc w:val="both"/>
        <w:rPr>
          <w:rFonts w:ascii="Palatino Linotype" w:hAnsi="Palatino Linotype" w:eastAsia="Calibri" w:cs="Tahoma"/>
          <w:bCs/>
          <w:iCs/>
          <w:sz w:val="22"/>
          <w:szCs w:val="22"/>
          <w:lang w:val="es-ES_tradnl" w:eastAsia="en-US"/>
        </w:rPr>
      </w:pPr>
      <w:r w:rsidRPr="00631B6C">
        <w:rPr>
          <w:rFonts w:ascii="Palatino Linotype" w:hAnsi="Palatino Linotype" w:eastAsia="Calibri" w:cs="Tahoma"/>
          <w:bCs/>
          <w:iCs/>
          <w:sz w:val="22"/>
          <w:szCs w:val="22"/>
          <w:lang w:eastAsia="en-US"/>
        </w:rPr>
        <w:t xml:space="preserve">Se le hace del conocimiento al Particular, que, en el presente caso, no se le da la razón pues el Sujeto Obligado, proporcionó </w:t>
      </w:r>
      <w:r>
        <w:rPr>
          <w:rFonts w:ascii="Palatino Linotype" w:hAnsi="Palatino Linotype" w:eastAsia="Calibri" w:cs="Tahoma"/>
          <w:bCs/>
          <w:iCs/>
          <w:sz w:val="22"/>
          <w:szCs w:val="22"/>
          <w:lang w:eastAsia="en-US"/>
        </w:rPr>
        <w:t>el documento donde obraba lo solicitado</w:t>
      </w:r>
      <w:r w:rsidR="00AD1AAA">
        <w:rPr>
          <w:rFonts w:ascii="Palatino Linotype" w:hAnsi="Palatino Linotype" w:eastAsia="Calibri" w:cs="Tahoma"/>
          <w:bCs/>
          <w:iCs/>
          <w:sz w:val="22"/>
          <w:szCs w:val="22"/>
          <w:lang w:eastAsia="en-US"/>
        </w:rPr>
        <w:t xml:space="preserve">, es decir la </w:t>
      </w:r>
      <w:proofErr w:type="spellStart"/>
      <w:r w:rsidR="00AD1AAA">
        <w:rPr>
          <w:rFonts w:ascii="Palatino Linotype" w:hAnsi="Palatino Linotype" w:eastAsia="Calibri" w:cs="Tahoma"/>
          <w:bCs/>
          <w:iCs/>
          <w:sz w:val="22"/>
          <w:szCs w:val="22"/>
          <w:lang w:eastAsia="en-US"/>
        </w:rPr>
        <w:t>relaci</w:t>
      </w:r>
      <w:r w:rsidR="00AD1AAA">
        <w:rPr>
          <w:rFonts w:ascii="Palatino Linotype" w:hAnsi="Palatino Linotype" w:eastAsia="Calibri" w:cs="Tahoma"/>
          <w:bCs/>
          <w:iCs/>
          <w:sz w:val="22"/>
          <w:szCs w:val="22"/>
          <w:lang w:val="x-none" w:eastAsia="en-US"/>
        </w:rPr>
        <w:t>ón</w:t>
      </w:r>
      <w:proofErr w:type="spellEnd"/>
      <w:r w:rsidR="00AD1AAA">
        <w:rPr>
          <w:rFonts w:ascii="Palatino Linotype" w:hAnsi="Palatino Linotype" w:eastAsia="Calibri" w:cs="Tahoma"/>
          <w:bCs/>
          <w:iCs/>
          <w:sz w:val="22"/>
          <w:szCs w:val="22"/>
          <w:lang w:val="x-none" w:eastAsia="en-US"/>
        </w:rPr>
        <w:t xml:space="preserve"> completa, con el nombre de los servidores públicos adscritos a las áreas requeridas; </w:t>
      </w:r>
      <w:r w:rsidR="00AD1AAA">
        <w:rPr>
          <w:rFonts w:ascii="Palatino Linotype" w:hAnsi="Palatino Linotype" w:eastAsia="Calibri" w:cs="Tahoma"/>
          <w:bCs/>
          <w:iCs/>
          <w:sz w:val="22"/>
          <w:szCs w:val="22"/>
          <w:lang w:val="es-ES_tradnl" w:eastAsia="en-US"/>
        </w:rPr>
        <w:t>l</w:t>
      </w:r>
      <w:r w:rsidRPr="00631B6C">
        <w:rPr>
          <w:rFonts w:ascii="Palatino Linotype" w:hAnsi="Palatino Linotype" w:eastAsia="Calibri" w:cs="Tahoma"/>
          <w:bCs/>
          <w:iCs/>
          <w:sz w:val="22"/>
          <w:szCs w:val="22"/>
          <w:lang w:val="es-ES_tradnl" w:eastAsia="en-US"/>
        </w:rPr>
        <w:t>a labor del Instituto, es apoyar a la población a acceder a la información pública y garantizar la protección de los datos personales.</w:t>
      </w:r>
    </w:p>
    <w:p w:rsidRPr="002B1BBE" w:rsidR="00F368EE" w:rsidP="00767888" w:rsidRDefault="00F368EE" w14:paraId="260DE924" w14:textId="77777777">
      <w:pPr>
        <w:widowControl w:val="0"/>
        <w:spacing w:line="360" w:lineRule="auto"/>
        <w:jc w:val="both"/>
        <w:rPr>
          <w:rFonts w:ascii="Palatino Linotype" w:hAnsi="Palatino Linotype" w:eastAsia="Calibri" w:cs="Tahoma"/>
          <w:bCs/>
          <w:iCs/>
          <w:sz w:val="22"/>
          <w:szCs w:val="22"/>
          <w:lang w:val="es-ES_tradnl" w:eastAsia="en-US"/>
        </w:rPr>
      </w:pPr>
    </w:p>
    <w:p w:rsidR="00F368EE" w:rsidP="00767888" w:rsidRDefault="00F368EE" w14:paraId="7EB5CD83"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00F368EE" w:rsidP="00767888" w:rsidRDefault="00F368EE" w14:paraId="1F9A06B7" w14:textId="1DB4CEF3">
      <w:pPr>
        <w:spacing w:line="360" w:lineRule="auto"/>
        <w:ind w:right="-28"/>
        <w:jc w:val="both"/>
        <w:rPr>
          <w:rFonts w:ascii="Palatino Linotype" w:hAnsi="Palatino Linotype" w:eastAsia="Calibri" w:cs="Tahoma"/>
          <w:bCs/>
          <w:sz w:val="22"/>
          <w:szCs w:val="22"/>
          <w:lang w:eastAsia="en-US"/>
        </w:rPr>
      </w:pPr>
    </w:p>
    <w:p w:rsidR="00AD1AAA" w:rsidP="00767888" w:rsidRDefault="00AD1AAA" w14:paraId="3C740690" w14:textId="77777777">
      <w:pPr>
        <w:spacing w:line="360" w:lineRule="auto"/>
        <w:ind w:right="-28"/>
        <w:jc w:val="both"/>
        <w:rPr>
          <w:rFonts w:ascii="Palatino Linotype" w:hAnsi="Palatino Linotype" w:eastAsia="Calibri" w:cs="Tahoma"/>
          <w:bCs/>
          <w:sz w:val="22"/>
          <w:szCs w:val="22"/>
          <w:lang w:eastAsia="en-US"/>
        </w:rPr>
      </w:pPr>
    </w:p>
    <w:p w:rsidR="00F368EE" w:rsidP="00767888" w:rsidRDefault="00F368EE" w14:paraId="73005226"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F368EE" w:rsidP="00767888" w:rsidRDefault="00F368EE" w14:paraId="6E5C7A6E" w14:textId="77777777">
      <w:pPr>
        <w:spacing w:line="360" w:lineRule="auto"/>
        <w:ind w:right="-28"/>
        <w:jc w:val="center"/>
        <w:rPr>
          <w:rFonts w:ascii="Palatino Linotype" w:hAnsi="Palatino Linotype" w:cs="Tahoma"/>
          <w:b/>
          <w:bCs/>
          <w:sz w:val="22"/>
          <w:szCs w:val="22"/>
        </w:rPr>
      </w:pPr>
    </w:p>
    <w:p w:rsidRPr="00631B6C" w:rsidR="00F368EE" w:rsidP="0050617A" w:rsidRDefault="00F368EE" w14:paraId="6CD1CD43" w14:textId="0A30F67D">
      <w:pPr>
        <w:spacing w:line="360" w:lineRule="auto"/>
        <w:contextualSpacing/>
        <w:jc w:val="both"/>
        <w:rPr>
          <w:rFonts w:ascii="Palatino Linotype" w:hAnsi="Palatino Linotype" w:eastAsia="Calibri" w:cs="Tahoma"/>
          <w:iCs/>
          <w:color w:val="000000" w:themeColor="text1"/>
          <w:sz w:val="22"/>
          <w:szCs w:val="22"/>
          <w:lang w:eastAsia="en-US"/>
        </w:rPr>
      </w:pPr>
      <w:r w:rsidRPr="00631B6C">
        <w:rPr>
          <w:rFonts w:ascii="Palatino Linotype" w:hAnsi="Palatino Linotype" w:eastAsia="Calibri" w:cs="Tahoma"/>
          <w:b/>
          <w:iCs/>
          <w:color w:val="000000" w:themeColor="text1"/>
          <w:sz w:val="22"/>
          <w:szCs w:val="22"/>
          <w:lang w:eastAsia="en-US"/>
        </w:rPr>
        <w:t>PRIMERO.</w:t>
      </w:r>
      <w:r w:rsidRPr="00631B6C">
        <w:rPr>
          <w:rFonts w:ascii="Palatino Linotype" w:hAnsi="Palatino Linotype" w:eastAsia="Calibri" w:cs="Tahoma"/>
          <w:bCs/>
          <w:iCs/>
          <w:color w:val="000000" w:themeColor="text1"/>
          <w:sz w:val="22"/>
          <w:szCs w:val="22"/>
          <w:lang w:eastAsia="en-US"/>
        </w:rPr>
        <w:t xml:space="preserve"> Se </w:t>
      </w:r>
      <w:r w:rsidRPr="00631B6C">
        <w:rPr>
          <w:rFonts w:ascii="Palatino Linotype" w:hAnsi="Palatino Linotype" w:eastAsia="Calibri" w:cs="Tahoma"/>
          <w:b/>
          <w:bCs/>
          <w:iCs/>
          <w:color w:val="000000" w:themeColor="text1"/>
          <w:sz w:val="22"/>
          <w:szCs w:val="22"/>
          <w:lang w:eastAsia="en-US"/>
        </w:rPr>
        <w:t xml:space="preserve">CONFIRMA </w:t>
      </w:r>
      <w:r w:rsidRPr="00631B6C">
        <w:rPr>
          <w:rFonts w:ascii="Palatino Linotype" w:hAnsi="Palatino Linotype" w:eastAsia="Calibri" w:cs="Tahoma"/>
          <w:iCs/>
          <w:color w:val="000000" w:themeColor="text1"/>
          <w:sz w:val="22"/>
          <w:szCs w:val="22"/>
          <w:lang w:eastAsia="en-US"/>
        </w:rPr>
        <w:t xml:space="preserve">la respuesta entregada por el Sujeto Obligado a la solicitud de acceso a la información </w:t>
      </w:r>
      <w:r w:rsidRPr="00631B6C">
        <w:rPr>
          <w:rFonts w:ascii="Palatino Linotype" w:hAnsi="Palatino Linotype" w:eastAsia="Calibri" w:cs="Tahoma"/>
          <w:color w:val="0D0D0D" w:themeColor="text1" w:themeTint="F2"/>
          <w:sz w:val="22"/>
          <w:szCs w:val="22"/>
          <w:lang w:eastAsia="en-US"/>
        </w:rPr>
        <w:t>con número de folio</w:t>
      </w:r>
      <w:r w:rsidRPr="00631B6C">
        <w:rPr>
          <w:rFonts w:ascii="Palatino Linotype" w:hAnsi="Palatino Linotype" w:eastAsia="Calibri"/>
          <w:b/>
          <w:bCs/>
          <w:color w:val="FF0000"/>
          <w:sz w:val="22"/>
          <w:szCs w:val="22"/>
          <w:lang w:eastAsia="en-US"/>
        </w:rPr>
        <w:t> </w:t>
      </w:r>
      <w:r w:rsidRPr="00F368EE" w:rsidR="00D323A7">
        <w:rPr>
          <w:rFonts w:ascii="Palatino Linotype" w:hAnsi="Palatino Linotype"/>
          <w:color w:val="000000" w:themeColor="text1"/>
          <w:sz w:val="22"/>
          <w:szCs w:val="22"/>
        </w:rPr>
        <w:t>01915/TOLUCA/IP/2022</w:t>
      </w:r>
      <w:r w:rsidRPr="00631B6C">
        <w:rPr>
          <w:rFonts w:ascii="Palatino Linotype" w:hAnsi="Palatino Linotype" w:eastAsia="Calibri" w:cs="Tahoma"/>
          <w:bCs/>
          <w:color w:val="0D0D0D" w:themeColor="text1" w:themeTint="F2"/>
          <w:sz w:val="22"/>
          <w:szCs w:val="22"/>
          <w:lang w:eastAsia="en-US"/>
        </w:rPr>
        <w:t xml:space="preserve">, </w:t>
      </w:r>
      <w:r w:rsidRPr="00631B6C">
        <w:rPr>
          <w:rFonts w:ascii="Palatino Linotype" w:hAnsi="Palatino Linotype" w:eastAsia="Calibri" w:cs="Tahoma"/>
          <w:bCs/>
          <w:iCs/>
          <w:color w:val="000000" w:themeColor="text1"/>
          <w:sz w:val="22"/>
          <w:szCs w:val="22"/>
          <w:lang w:eastAsia="en-US"/>
        </w:rPr>
        <w:t xml:space="preserve">por resultar </w:t>
      </w:r>
      <w:r w:rsidRPr="00631B6C">
        <w:rPr>
          <w:rFonts w:ascii="Palatino Linotype" w:hAnsi="Palatino Linotype" w:eastAsia="Calibri" w:cs="Tahoma"/>
          <w:b/>
          <w:bCs/>
          <w:iCs/>
          <w:color w:val="000000" w:themeColor="text1"/>
          <w:sz w:val="22"/>
          <w:szCs w:val="22"/>
          <w:lang w:eastAsia="en-US"/>
        </w:rPr>
        <w:t>INFUNDADAS</w:t>
      </w:r>
      <w:r w:rsidRPr="00631B6C">
        <w:rPr>
          <w:rFonts w:ascii="Palatino Linotype" w:hAnsi="Palatino Linotype" w:eastAsia="Calibri" w:cs="Tahoma"/>
          <w:bCs/>
          <w:iCs/>
          <w:color w:val="000000" w:themeColor="text1"/>
          <w:sz w:val="22"/>
          <w:szCs w:val="22"/>
          <w:lang w:eastAsia="en-US"/>
        </w:rPr>
        <w:t xml:space="preserve"> las razón o motivo de inconformidad hecho valer por el Recurrente, en términos de los Considerandos </w:t>
      </w:r>
      <w:r w:rsidRPr="00631B6C">
        <w:rPr>
          <w:rFonts w:ascii="Palatino Linotype" w:hAnsi="Palatino Linotype" w:eastAsia="Calibri" w:cs="Tahoma"/>
          <w:iCs/>
          <w:color w:val="000000" w:themeColor="text1"/>
          <w:sz w:val="22"/>
          <w:szCs w:val="22"/>
          <w:lang w:eastAsia="en-US"/>
        </w:rPr>
        <w:t>QUINTO y SEXTO de esta Resolución.</w:t>
      </w:r>
    </w:p>
    <w:p w:rsidR="00F368EE" w:rsidP="0050617A" w:rsidRDefault="00F368EE" w14:paraId="47BC748E" w14:textId="77777777">
      <w:pPr>
        <w:spacing w:line="360" w:lineRule="auto"/>
        <w:ind w:right="-28"/>
        <w:jc w:val="center"/>
        <w:rPr>
          <w:rFonts w:ascii="Palatino Linotype" w:hAnsi="Palatino Linotype" w:cs="Tahoma"/>
          <w:b/>
          <w:bCs/>
          <w:sz w:val="22"/>
          <w:szCs w:val="22"/>
        </w:rPr>
      </w:pPr>
    </w:p>
    <w:p w:rsidRPr="0050617A" w:rsidR="00F368EE" w:rsidP="0050617A" w:rsidRDefault="00F368EE" w14:paraId="23D0571C" w14:textId="77777777">
      <w:pPr>
        <w:spacing w:line="360" w:lineRule="auto"/>
        <w:contextualSpacing/>
        <w:jc w:val="both"/>
        <w:rPr>
          <w:rFonts w:ascii="Palatino Linotype" w:hAnsi="Palatino Linotype" w:eastAsia="Calibri" w:cs="Tahoma"/>
          <w:bCs/>
          <w:i/>
          <w:iCs/>
          <w:color w:val="000000" w:themeColor="text1"/>
          <w:sz w:val="22"/>
          <w:szCs w:val="22"/>
          <w:lang w:eastAsia="en-US"/>
        </w:rPr>
      </w:pPr>
      <w:r w:rsidRPr="0050617A">
        <w:rPr>
          <w:rFonts w:ascii="Palatino Linotype" w:hAnsi="Palatino Linotype" w:eastAsia="Calibri" w:cs="Tahoma"/>
          <w:b/>
          <w:bCs/>
          <w:iCs/>
          <w:color w:val="000000" w:themeColor="text1"/>
          <w:sz w:val="22"/>
          <w:szCs w:val="22"/>
          <w:lang w:eastAsia="en-US"/>
        </w:rPr>
        <w:t xml:space="preserve">SEGUNDO. NOTIFÍQUESE </w:t>
      </w:r>
      <w:r w:rsidRPr="0050617A">
        <w:rPr>
          <w:rFonts w:ascii="Palatino Linotype" w:hAnsi="Palatino Linotype" w:eastAsia="Calibri" w:cs="Tahoma"/>
          <w:bCs/>
          <w:iCs/>
          <w:color w:val="000000" w:themeColor="text1"/>
          <w:sz w:val="22"/>
          <w:szCs w:val="22"/>
          <w:lang w:eastAsia="en-US"/>
        </w:rPr>
        <w:t>la presente resolución al Titular de la Unidad de Transparencia del Sujeto Obligado.</w:t>
      </w:r>
    </w:p>
    <w:p w:rsidRPr="0050617A" w:rsidR="00F368EE" w:rsidP="0050617A" w:rsidRDefault="00F368EE" w14:paraId="0AAA99C1" w14:textId="77777777">
      <w:pPr>
        <w:spacing w:line="360" w:lineRule="auto"/>
        <w:contextualSpacing/>
        <w:jc w:val="both"/>
        <w:rPr>
          <w:rFonts w:ascii="Palatino Linotype" w:hAnsi="Palatino Linotype" w:eastAsia="Calibri" w:cs="Tahoma"/>
          <w:bCs/>
          <w:iCs/>
          <w:color w:val="000000" w:themeColor="text1"/>
          <w:sz w:val="22"/>
          <w:szCs w:val="22"/>
          <w:lang w:eastAsia="en-US"/>
        </w:rPr>
      </w:pPr>
      <w:bookmarkStart w:name="_GoBack" w:id="1"/>
      <w:bookmarkEnd w:id="1"/>
    </w:p>
    <w:p w:rsidRPr="0050617A" w:rsidR="00F368EE" w:rsidP="0050617A" w:rsidRDefault="00F368EE" w14:paraId="4DD926A7" w14:textId="77777777">
      <w:pPr>
        <w:spacing w:line="360" w:lineRule="auto"/>
        <w:contextualSpacing/>
        <w:jc w:val="both"/>
        <w:rPr>
          <w:rFonts w:ascii="Palatino Linotype" w:hAnsi="Palatino Linotype" w:eastAsia="Calibri" w:cs="Tahoma"/>
          <w:bCs/>
          <w:iCs/>
          <w:color w:val="000000" w:themeColor="text1"/>
          <w:sz w:val="22"/>
          <w:szCs w:val="22"/>
          <w:lang w:eastAsia="en-US"/>
        </w:rPr>
      </w:pPr>
      <w:r w:rsidRPr="0050617A">
        <w:rPr>
          <w:rFonts w:ascii="Palatino Linotype" w:hAnsi="Palatino Linotype" w:eastAsia="Calibri" w:cs="Tahoma"/>
          <w:b/>
          <w:bCs/>
          <w:iCs/>
          <w:color w:val="000000" w:themeColor="text1"/>
          <w:sz w:val="22"/>
          <w:szCs w:val="22"/>
          <w:lang w:eastAsia="en-US"/>
        </w:rPr>
        <w:t>TERCERO. NOTIFÍQUESE</w:t>
      </w:r>
      <w:r w:rsidRPr="0050617A">
        <w:rPr>
          <w:rFonts w:ascii="Palatino Linotype" w:hAnsi="Palatino Linotype" w:eastAsia="Calibri" w:cs="Tahoma"/>
          <w:bCs/>
          <w:iCs/>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0617A" w:rsidR="00F368EE" w:rsidP="0050617A" w:rsidRDefault="00F368EE" w14:paraId="1EACAE96" w14:textId="77777777">
      <w:pPr>
        <w:spacing w:line="360" w:lineRule="auto"/>
        <w:ind w:right="-28"/>
        <w:jc w:val="both"/>
        <w:rPr>
          <w:rFonts w:ascii="Palatino Linotype" w:hAnsi="Palatino Linotype" w:cs="Tahoma"/>
          <w:sz w:val="22"/>
          <w:szCs w:val="22"/>
        </w:rPr>
      </w:pPr>
    </w:p>
    <w:p w:rsidR="00F368EE" w:rsidP="0050617A" w:rsidRDefault="00F368EE" w14:paraId="61B262C4" w14:textId="76793D33">
      <w:pPr>
        <w:spacing w:line="360" w:lineRule="auto"/>
        <w:jc w:val="both"/>
        <w:rPr>
          <w:rFonts w:ascii="Palatino Linotype" w:hAnsi="Palatino Linotype" w:eastAsia="Calibri" w:cs="Tahoma"/>
          <w:sz w:val="22"/>
          <w:szCs w:val="22"/>
          <w:lang w:val="es-ES" w:eastAsia="es-ES_tradnl"/>
        </w:rPr>
      </w:pPr>
      <w:r w:rsidRPr="0050617A">
        <w:rPr>
          <w:rFonts w:ascii="Palatino Linotype" w:hAnsi="Palatino Linotype" w:eastAsia="Calibri" w:cs="Tahoma"/>
          <w:sz w:val="22"/>
          <w:szCs w:val="22"/>
          <w:lang w:val="es-ES" w:eastAsia="es-ES_tradnl"/>
        </w:rPr>
        <w:t xml:space="preserve">ASÍ LO RESUELVE, </w:t>
      </w:r>
      <w:r w:rsidRPr="0050617A">
        <w:rPr>
          <w:rFonts w:ascii="Palatino Linotype" w:hAnsi="Palatino Linotype" w:eastAsia="Calibri" w:cs="Tahoma"/>
          <w:b/>
          <w:bCs/>
          <w:sz w:val="22"/>
          <w:szCs w:val="22"/>
          <w:lang w:val="es-ES" w:eastAsia="es-ES_tradnl"/>
        </w:rPr>
        <w:t>POR UNANIMIDAD</w:t>
      </w:r>
      <w:r w:rsidRPr="0050617A">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w:t>
      </w:r>
      <w:r>
        <w:rPr>
          <w:rFonts w:ascii="Palatino Linotype" w:hAnsi="Palatino Linotype" w:eastAsia="Calibri" w:cs="Tahoma"/>
          <w:sz w:val="22"/>
          <w:szCs w:val="22"/>
          <w:lang w:val="es-ES" w:eastAsia="es-ES_tradnl"/>
        </w:rPr>
        <w:t xml:space="preserve"> DEL ESTADO DE MÉXICO Y MUNICIPIOS, CONFORMADO POR LOS COMISIONADOS JOSÉ MARTÍNEZ VILCHIS, MARÍA DEL ROSARIO MEJÍA AYALA, SHARON CRISTINA MORALES MARTÍNEZ, LUIS GUSTAVO PARRA NORIEGA Y GUADALUPE RAMÍREZ PEÑA, EN LA </w:t>
      </w:r>
      <w:r w:rsidR="00D323A7">
        <w:rPr>
          <w:rFonts w:ascii="Palatino Linotype" w:hAnsi="Palatino Linotype" w:eastAsia="Calibri" w:cs="Tahoma"/>
          <w:sz w:val="22"/>
          <w:szCs w:val="22"/>
          <w:lang w:val="es-ES" w:eastAsia="es-ES_tradnl"/>
        </w:rPr>
        <w:t>QUINTA</w:t>
      </w:r>
      <w:r>
        <w:rPr>
          <w:rFonts w:ascii="Palatino Linotype" w:hAnsi="Palatino Linotype" w:eastAsia="Calibri" w:cs="Tahoma"/>
          <w:sz w:val="22"/>
          <w:szCs w:val="22"/>
          <w:lang w:val="es-ES" w:eastAsia="es-ES_tradnl"/>
        </w:rPr>
        <w:t xml:space="preserve"> SESIÓN ORDINARIA, CELEBRADA EL </w:t>
      </w:r>
      <w:r w:rsidR="00D323A7">
        <w:rPr>
          <w:rFonts w:ascii="Palatino Linotype" w:hAnsi="Palatino Linotype" w:eastAsia="Calibri" w:cs="Tahoma"/>
          <w:sz w:val="22"/>
          <w:szCs w:val="22"/>
          <w:lang w:val="es-ES" w:eastAsia="es-ES_tradnl"/>
        </w:rPr>
        <w:t>NUEVE</w:t>
      </w:r>
      <w:r>
        <w:rPr>
          <w:rFonts w:ascii="Palatino Linotype" w:hAnsi="Palatino Linotype" w:eastAsia="Calibri" w:cs="Tahoma"/>
          <w:sz w:val="22"/>
          <w:szCs w:val="22"/>
          <w:lang w:val="es-ES" w:eastAsia="es-ES_tradnl"/>
        </w:rPr>
        <w:t xml:space="preserve"> DE FEBRERO DE DOS MIL VEINTIDÓS, ANTE EL SECRETARIO TÉCNICO DEL PLENO, ALEXIS TAPIA RAMÍREZ.</w:t>
      </w:r>
    </w:p>
    <w:p w:rsidRPr="00C61C11" w:rsidR="00F368EE" w:rsidP="00767888" w:rsidRDefault="00F368EE" w14:paraId="1383F4D6" w14:textId="77777777">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p w:rsidR="00DD1AF1" w:rsidP="00767888" w:rsidRDefault="00DD1AF1" w14:paraId="39CFF539" w14:textId="77777777">
      <w:pPr>
        <w:spacing w:line="360" w:lineRule="auto"/>
      </w:pPr>
    </w:p>
    <w:sectPr w:rsidR="00DD1AF1" w:rsidSect="00D3439B">
      <w:headerReference w:type="even" r:id="rId9"/>
      <w:headerReference w:type="default" r:id="rId10"/>
      <w:footerReference w:type="default" r:id="rId11"/>
      <w:headerReference w:type="first" r:id="rId12"/>
      <w:footerReference w:type="first" r:id="rId13"/>
      <w:pgSz w:w="12240" w:h="15840" w:orient="portrait"/>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696" w:rsidP="00F368EE" w:rsidRDefault="000F3696" w14:paraId="143D8A88" w14:textId="77777777">
      <w:r>
        <w:separator/>
      </w:r>
    </w:p>
  </w:endnote>
  <w:endnote w:type="continuationSeparator" w:id="0">
    <w:p w:rsidR="000F3696" w:rsidP="00F368EE" w:rsidRDefault="000F3696" w14:paraId="281391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F3461" w:rsidRDefault="000F3696" w14:paraId="38D79C5D" w14:textId="77777777">
            <w:pPr>
              <w:pStyle w:val="Piedepgina"/>
              <w:jc w:val="right"/>
              <w:rPr>
                <w:sz w:val="26"/>
                <w:szCs w:val="26"/>
              </w:rPr>
            </w:pPr>
          </w:p>
          <w:p w:rsidR="005F3461" w:rsidRDefault="00D323A7" w14:paraId="4296667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617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617A">
              <w:rPr>
                <w:b/>
                <w:bCs/>
                <w:noProof/>
              </w:rPr>
              <w:t>20</w:t>
            </w:r>
            <w:r>
              <w:rPr>
                <w:b/>
                <w:bCs/>
                <w:sz w:val="24"/>
                <w:szCs w:val="24"/>
              </w:rPr>
              <w:fldChar w:fldCharType="end"/>
            </w:r>
          </w:p>
        </w:sdtContent>
      </w:sdt>
    </w:sdtContent>
  </w:sdt>
  <w:p w:rsidR="005F3461" w:rsidRDefault="000F3696" w14:paraId="1EE6A6EC"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0F3696" w14:paraId="5816A126" w14:textId="77777777">
    <w:pPr>
      <w:pStyle w:val="Piedepgina"/>
      <w:jc w:val="right"/>
    </w:pPr>
  </w:p>
  <w:p w:rsidR="005F3461" w:rsidRDefault="000F3696" w14:paraId="773109C4" w14:textId="77777777">
    <w:pPr>
      <w:pStyle w:val="Piedepgina"/>
      <w:jc w:val="right"/>
    </w:pPr>
  </w:p>
  <w:p w:rsidR="005F3461" w:rsidRDefault="000F3696" w14:paraId="2F5091AD" w14:textId="77777777">
    <w:pPr>
      <w:pStyle w:val="Piedepgina"/>
      <w:jc w:val="right"/>
    </w:pPr>
  </w:p>
  <w:p w:rsidR="005F3461" w:rsidRDefault="00D323A7" w14:paraId="40F15BD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61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617A">
      <w:rPr>
        <w:b/>
        <w:bCs/>
        <w:noProof/>
      </w:rPr>
      <w:t>20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696" w:rsidP="00F368EE" w:rsidRDefault="000F3696" w14:paraId="4E7B81D4" w14:textId="77777777">
      <w:r>
        <w:separator/>
      </w:r>
    </w:p>
  </w:footnote>
  <w:footnote w:type="continuationSeparator" w:id="0">
    <w:p w:rsidR="000F3696" w:rsidP="00F368EE" w:rsidRDefault="000F3696" w14:paraId="2796208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0F3696" w14:paraId="5BBA63BD" w14:textId="77777777">
    <w:pPr>
      <w:pStyle w:val="Encabezado"/>
    </w:pPr>
    <w:r>
      <w:rPr>
        <w:noProof/>
        <w:lang w:eastAsia="es-MX"/>
      </w:rPr>
      <w:pict w14:anchorId="7A233E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5F3461" w:rsidP="005F3461" w:rsidRDefault="000F3696" w14:paraId="176CC4BD" w14:textId="77777777">
    <w:pPr>
      <w:tabs>
        <w:tab w:val="left" w:pos="3416"/>
      </w:tabs>
      <w:rPr>
        <w:sz w:val="22"/>
        <w:szCs w:val="22"/>
      </w:rPr>
    </w:pPr>
    <w:r>
      <w:rPr>
        <w:noProof/>
        <w:sz w:val="14"/>
        <w:lang w:eastAsia="es-MX"/>
      </w:rPr>
      <w:pict w14:anchorId="351873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5F3461" w:rsidTr="00AF6ADC" w14:paraId="1B2A0B58" w14:textId="77777777">
      <w:trPr>
        <w:trHeight w:val="70"/>
      </w:trPr>
      <w:tc>
        <w:tcPr>
          <w:tcW w:w="2552" w:type="dxa"/>
          <w:shd w:val="clear" w:color="auto" w:fill="auto"/>
        </w:tcPr>
        <w:p w:rsidRPr="005C106F" w:rsidR="005F3461" w:rsidP="005F3461" w:rsidRDefault="000F3696" w14:paraId="42C43DBC"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5F3461" w:rsidTr="00A021B4" w14:paraId="1E95C018" w14:textId="77777777">
            <w:trPr>
              <w:trHeight w:val="128"/>
            </w:trPr>
            <w:tc>
              <w:tcPr>
                <w:tcW w:w="2408" w:type="dxa"/>
                <w:vAlign w:val="bottom"/>
              </w:tcPr>
              <w:p w:rsidRPr="008B41A2" w:rsidR="005F3461" w:rsidP="005F3461" w:rsidRDefault="00D323A7" w14:paraId="7D811C2D"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5F3461" w:rsidP="00B43BFA" w:rsidRDefault="00D323A7" w14:paraId="5D22E41B" w14:textId="25154B0A">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1</w:t>
                </w:r>
                <w:r w:rsidR="00F368EE">
                  <w:rPr>
                    <w:rFonts w:ascii="Palatino Linotype" w:hAnsi="Palatino Linotype" w:eastAsia="Calibri" w:cs="Tahoma"/>
                    <w:sz w:val="22"/>
                    <w:szCs w:val="22"/>
                    <w:lang w:val="es-MX"/>
                  </w:rPr>
                  <w:t>5466</w:t>
                </w:r>
                <w:r w:rsidRPr="00782062">
                  <w:rPr>
                    <w:rFonts w:ascii="Palatino Linotype" w:hAnsi="Palatino Linotype" w:eastAsia="Calibri" w:cs="Tahoma"/>
                    <w:sz w:val="22"/>
                    <w:szCs w:val="22"/>
                    <w:lang w:val="es-MX"/>
                  </w:rPr>
                  <w:t>/INFOEM/IP/RR/2022</w:t>
                </w:r>
              </w:p>
            </w:tc>
          </w:tr>
          <w:tr w:rsidR="005F3461" w:rsidTr="00A021B4" w14:paraId="4F987D5B" w14:textId="77777777">
            <w:trPr>
              <w:trHeight w:val="251"/>
            </w:trPr>
            <w:tc>
              <w:tcPr>
                <w:tcW w:w="2408" w:type="dxa"/>
              </w:tcPr>
              <w:p w:rsidRPr="008B41A2" w:rsidR="005F3461" w:rsidP="005F3461" w:rsidRDefault="00D323A7" w14:paraId="71F71BD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5F3461" w:rsidP="00782062" w:rsidRDefault="00D323A7" w14:paraId="2FF470CF" w14:textId="0871D98F">
                <w:pPr>
                  <w:tabs>
                    <w:tab w:val="right" w:pos="8838"/>
                  </w:tabs>
                  <w:ind w:right="273"/>
                  <w:jc w:val="both"/>
                  <w:rPr>
                    <w:rFonts w:ascii="Palatino Linotype" w:hAnsi="Palatino Linotype" w:eastAsia="Calibri" w:cs="Tahoma"/>
                    <w:sz w:val="22"/>
                    <w:szCs w:val="22"/>
                    <w:lang w:val="es-MX"/>
                  </w:rPr>
                </w:pPr>
                <w:r>
                  <w:rPr>
                    <w:rFonts w:ascii="Palatino Linotype" w:hAnsi="Palatino Linotype" w:eastAsia="Calibri" w:cs="Tahoma"/>
                    <w:sz w:val="22"/>
                    <w:szCs w:val="22"/>
                  </w:rPr>
                  <w:t>Ayuntamiento de T</w:t>
                </w:r>
                <w:r w:rsidR="00F368EE">
                  <w:rPr>
                    <w:rFonts w:ascii="Palatino Linotype" w:hAnsi="Palatino Linotype" w:eastAsia="Calibri" w:cs="Tahoma"/>
                    <w:sz w:val="22"/>
                    <w:szCs w:val="22"/>
                  </w:rPr>
                  <w:t>oluca</w:t>
                </w:r>
              </w:p>
            </w:tc>
          </w:tr>
          <w:tr w:rsidR="005F3461" w:rsidTr="00A021B4" w14:paraId="66CBE6F1" w14:textId="77777777">
            <w:trPr>
              <w:trHeight w:val="251"/>
            </w:trPr>
            <w:tc>
              <w:tcPr>
                <w:tcW w:w="2408" w:type="dxa"/>
              </w:tcPr>
              <w:p w:rsidRPr="008B41A2" w:rsidR="005F3461" w:rsidP="005F3461" w:rsidRDefault="00D323A7" w14:paraId="280DE2D4"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5F3461" w:rsidP="005F3461" w:rsidRDefault="00D323A7" w14:paraId="37C39F88"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5F3461" w:rsidP="005F3461" w:rsidRDefault="000F3696" w14:paraId="376790C8" w14:textId="77777777">
          <w:pPr>
            <w:tabs>
              <w:tab w:val="right" w:pos="8838"/>
            </w:tabs>
            <w:ind w:left="-28"/>
            <w:rPr>
              <w:rFonts w:ascii="Arial" w:hAnsi="Arial" w:eastAsia="Calibri" w:cs="Arial"/>
              <w:b/>
            </w:rPr>
          </w:pPr>
        </w:p>
      </w:tc>
    </w:tr>
  </w:tbl>
  <w:p w:rsidR="005F3461" w:rsidP="005F3461" w:rsidRDefault="000F3696" w14:paraId="3701FBC5" w14:textId="77777777">
    <w:pPr>
      <w:pStyle w:val="Encabezado"/>
      <w:rPr>
        <w:sz w:val="14"/>
      </w:rPr>
    </w:pPr>
  </w:p>
  <w:p w:rsidRPr="00443C6B" w:rsidR="005F3461" w:rsidP="005F3461" w:rsidRDefault="000F3696" w14:paraId="6224955F"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5F3461" w:rsidTr="78940EE6" w14:paraId="73178F07" w14:textId="77777777">
      <w:trPr>
        <w:trHeight w:val="302"/>
      </w:trPr>
      <w:tc>
        <w:tcPr>
          <w:tcW w:w="2420" w:type="dxa"/>
          <w:tcMar/>
        </w:tcPr>
        <w:p w:rsidRPr="00D3618F" w:rsidR="005F3461" w:rsidP="005F3461" w:rsidRDefault="00D323A7" w14:paraId="07AB3EC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5F3461" w:rsidP="00767888" w:rsidRDefault="00D323A7" w14:paraId="4F93C5C9" w14:textId="0DB1D2D8">
          <w:pPr>
            <w:tabs>
              <w:tab w:val="right" w:pos="8838"/>
            </w:tabs>
            <w:ind w:left="19"/>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w:t>
          </w:r>
          <w:r w:rsidR="00F368EE">
            <w:rPr>
              <w:rFonts w:ascii="Palatino Linotype" w:hAnsi="Palatino Linotype" w:eastAsia="Calibri" w:cs="Tahoma"/>
              <w:sz w:val="22"/>
              <w:szCs w:val="22"/>
              <w:lang w:val="es-MX" w:eastAsia="en-US"/>
            </w:rPr>
            <w:t>5466</w:t>
          </w:r>
          <w:r w:rsidRPr="00782062">
            <w:rPr>
              <w:rFonts w:ascii="Palatino Linotype" w:hAnsi="Palatino Linotype" w:eastAsia="Calibri" w:cs="Tahoma"/>
              <w:sz w:val="22"/>
              <w:szCs w:val="22"/>
              <w:lang w:val="es-MX" w:eastAsia="en-US"/>
            </w:rPr>
            <w:t>/INFOEM/IP/RR/2022</w:t>
          </w:r>
        </w:p>
      </w:tc>
    </w:tr>
    <w:tr w:rsidRPr="00264223" w:rsidR="005F3461" w:rsidTr="78940EE6" w14:paraId="4D3F4AC2" w14:textId="77777777">
      <w:trPr>
        <w:trHeight w:val="110"/>
      </w:trPr>
      <w:tc>
        <w:tcPr>
          <w:tcW w:w="2420" w:type="dxa"/>
          <w:tcMar/>
        </w:tcPr>
        <w:p w:rsidRPr="00D3618F" w:rsidR="005F3461" w:rsidP="005F3461" w:rsidRDefault="00D323A7" w14:paraId="69D6E5A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060ECF" w:rsidR="005F3461" w:rsidP="78940EE6" w:rsidRDefault="00F368EE" w14:paraId="7435C123" w14:textId="7C3007F7">
          <w:pPr>
            <w:pStyle w:val="Normal"/>
            <w:tabs>
              <w:tab w:val="right" w:leader="none" w:pos="8838"/>
            </w:tabs>
            <w:bidi w:val="0"/>
            <w:spacing w:before="0" w:beforeAutospacing="off" w:after="0" w:afterAutospacing="off" w:line="240" w:lineRule="auto"/>
            <w:ind w:left="19" w:right="0"/>
            <w:jc w:val="both"/>
            <w:rPr>
              <w:rFonts w:ascii="Palatino Linotype" w:hAnsi="Palatino Linotype" w:eastAsia="Calibri" w:cs="Tahoma"/>
              <w:sz w:val="22"/>
              <w:szCs w:val="22"/>
              <w:highlight w:val="black"/>
              <w:lang w:val="es-MX" w:eastAsia="en-US"/>
            </w:rPr>
          </w:pPr>
          <w:r w:rsidRPr="78940EE6" w:rsidR="78940EE6">
            <w:rPr>
              <w:rFonts w:ascii="Palatino Linotype" w:hAnsi="Palatino Linotype" w:eastAsia="Calibri" w:cs="Tahoma"/>
              <w:sz w:val="22"/>
              <w:szCs w:val="22"/>
              <w:highlight w:val="black"/>
              <w:lang w:val="es-MX" w:eastAsia="en-US"/>
            </w:rPr>
            <w:t>XXXXXXXXXXXXXXX</w:t>
          </w:r>
        </w:p>
      </w:tc>
    </w:tr>
    <w:tr w:rsidRPr="00264223" w:rsidR="005F3461" w:rsidTr="78940EE6" w14:paraId="0833B48B" w14:textId="77777777">
      <w:trPr>
        <w:trHeight w:val="248"/>
      </w:trPr>
      <w:tc>
        <w:tcPr>
          <w:tcW w:w="2420" w:type="dxa"/>
          <w:tcMar/>
        </w:tcPr>
        <w:p w:rsidRPr="00D3618F" w:rsidR="005F3461" w:rsidP="005F3461" w:rsidRDefault="00D323A7" w14:paraId="1023D5D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5F3461" w:rsidP="00767888" w:rsidRDefault="00D323A7" w14:paraId="49CE3E2A" w14:textId="473BC077">
          <w:pPr>
            <w:tabs>
              <w:tab w:val="right" w:pos="8838"/>
            </w:tabs>
            <w:ind w:left="19"/>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Ayuntamiento de T</w:t>
          </w:r>
          <w:r w:rsidR="00F368EE">
            <w:rPr>
              <w:rFonts w:ascii="Palatino Linotype" w:hAnsi="Palatino Linotype" w:eastAsia="Calibri" w:cs="Tahoma"/>
              <w:sz w:val="22"/>
              <w:szCs w:val="22"/>
              <w:lang w:eastAsia="en-US"/>
            </w:rPr>
            <w:t>oluca</w:t>
          </w:r>
        </w:p>
      </w:tc>
    </w:tr>
    <w:tr w:rsidRPr="00264223" w:rsidR="005F3461" w:rsidTr="78940EE6" w14:paraId="2E0594A3" w14:textId="77777777">
      <w:trPr>
        <w:trHeight w:val="248"/>
      </w:trPr>
      <w:tc>
        <w:tcPr>
          <w:tcW w:w="2420" w:type="dxa"/>
          <w:tcMar/>
        </w:tcPr>
        <w:p w:rsidRPr="00D3618F" w:rsidR="005F3461" w:rsidP="005F3461" w:rsidRDefault="00D323A7" w14:paraId="42A1DF7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5F3461" w:rsidP="00767888" w:rsidRDefault="00D323A7" w14:paraId="570676BA" w14:textId="77777777">
          <w:pPr>
            <w:tabs>
              <w:tab w:val="right" w:pos="8838"/>
            </w:tabs>
            <w:ind w:left="19"/>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F3461" w:rsidP="00E06BA5" w:rsidRDefault="000F3696" w14:paraId="27240D9A" w14:textId="77777777">
    <w:pPr>
      <w:ind w:right="-312"/>
    </w:pPr>
    <w:r>
      <w:rPr>
        <w:noProof/>
        <w:lang w:eastAsia="es-MX"/>
      </w:rPr>
      <w:pict w14:anchorId="060728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EE"/>
    <w:rsid w:val="00022705"/>
    <w:rsid w:val="00040070"/>
    <w:rsid w:val="000F3696"/>
    <w:rsid w:val="001F2B92"/>
    <w:rsid w:val="0021668E"/>
    <w:rsid w:val="002227A6"/>
    <w:rsid w:val="003E2ABB"/>
    <w:rsid w:val="003F1008"/>
    <w:rsid w:val="0050617A"/>
    <w:rsid w:val="00513813"/>
    <w:rsid w:val="007335EF"/>
    <w:rsid w:val="00767888"/>
    <w:rsid w:val="007B3E1A"/>
    <w:rsid w:val="0085415D"/>
    <w:rsid w:val="00867202"/>
    <w:rsid w:val="008D60CF"/>
    <w:rsid w:val="00AD11A8"/>
    <w:rsid w:val="00AD1AAA"/>
    <w:rsid w:val="00B34E0C"/>
    <w:rsid w:val="00CC4A00"/>
    <w:rsid w:val="00D323A7"/>
    <w:rsid w:val="00D64D4B"/>
    <w:rsid w:val="00D7727E"/>
    <w:rsid w:val="00DD1AF1"/>
    <w:rsid w:val="00E12035"/>
    <w:rsid w:val="00EB1594"/>
    <w:rsid w:val="00F04DA9"/>
    <w:rsid w:val="00F368EE"/>
    <w:rsid w:val="78940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75205"/>
  <w15:chartTrackingRefBased/>
  <w15:docId w15:val="{3E6015E6-E695-4982-92F4-47F1140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68EE"/>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368EE"/>
    <w:pPr>
      <w:tabs>
        <w:tab w:val="center" w:pos="4419"/>
        <w:tab w:val="right" w:pos="8838"/>
      </w:tabs>
    </w:pPr>
  </w:style>
  <w:style w:type="character" w:styleId="EncabezadoCar" w:customStyle="1">
    <w:name w:val="Encabezado Car"/>
    <w:basedOn w:val="Fuentedeprrafopredeter"/>
    <w:link w:val="Encabezado"/>
    <w:uiPriority w:val="99"/>
    <w:rsid w:val="00F368E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F368EE"/>
    <w:pPr>
      <w:tabs>
        <w:tab w:val="center" w:pos="4419"/>
        <w:tab w:val="right" w:pos="8838"/>
      </w:tabs>
    </w:pPr>
  </w:style>
  <w:style w:type="character" w:styleId="PiedepginaCar" w:customStyle="1">
    <w:name w:val="Pie de página Car"/>
    <w:basedOn w:val="Fuentedeprrafopredeter"/>
    <w:link w:val="Piedepgina"/>
    <w:uiPriority w:val="99"/>
    <w:rsid w:val="00F368E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68E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368EE"/>
    <w:rPr>
      <w:rFonts w:ascii="Century Gothic" w:hAnsi="Century Gothic" w:eastAsia="Times New Roman" w:cs="Times New Roman"/>
      <w:szCs w:val="24"/>
      <w:lang w:eastAsia="es-ES"/>
    </w:rPr>
  </w:style>
  <w:style w:type="table" w:styleId="Tablaconcuadrcula">
    <w:name w:val="Table Grid"/>
    <w:basedOn w:val="Tablanormal"/>
    <w:uiPriority w:val="59"/>
    <w:rsid w:val="00F368E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767888"/>
    <w:rPr>
      <w:sz w:val="18"/>
      <w:szCs w:val="18"/>
    </w:rPr>
  </w:style>
  <w:style w:type="character" w:styleId="TextodegloboCar" w:customStyle="1">
    <w:name w:val="Texto de globo Car"/>
    <w:basedOn w:val="Fuentedeprrafopredeter"/>
    <w:link w:val="Textodeglobo"/>
    <w:uiPriority w:val="99"/>
    <w:semiHidden/>
    <w:rsid w:val="00767888"/>
    <w:rPr>
      <w:rFonts w:ascii="Times New Roman" w:hAnsi="Times New Roman" w:eastAsia="Times New Roman" w:cs="Times New Roman"/>
      <w:sz w:val="18"/>
      <w:szCs w:val="18"/>
      <w:lang w:eastAsia="es-ES"/>
    </w:rPr>
  </w:style>
  <w:style w:type="character" w:styleId="Hipervnculo">
    <w:name w:val="Hyperlink"/>
    <w:basedOn w:val="Fuentedeprrafopredeter"/>
    <w:uiPriority w:val="99"/>
    <w:unhideWhenUsed/>
    <w:rsid w:val="00AD1AAA"/>
    <w:rPr>
      <w:color w:val="0563C1" w:themeColor="hyperlink"/>
      <w:u w:val="single"/>
    </w:rPr>
  </w:style>
  <w:style w:type="character" w:styleId="UnresolvedMention" w:customStyle="1">
    <w:name w:val="Unresolved Mention"/>
    <w:basedOn w:val="Fuentedeprrafopredeter"/>
    <w:uiPriority w:val="99"/>
    <w:semiHidden/>
    <w:unhideWhenUsed/>
    <w:rsid w:val="00AD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pomex.org.mx/ipo3/lgt/indice/TOLUCA/art_92_viii/4.web?token=03AFY_a8VAk6q-D7kM2XV26lhoe7QU9U-TE1leBew3q9f6o10UxgmCen8L1BbpNIcncwjmf4poYDRhvi6nWUM98ufovPjjXc-3vVSE1Zti9fjyKrUUTTt0IzFu1BocuDUJ-pRiA7wWADjXGmYdopIj4_YkPCc2ZTm_2l6rtWriwJxF06nIIVNLSIvo6ux9nLgyWLPcWGuIDNIH8SH0KvAhPjDVEa7qJikEWA2BI0C7lggToZ_v7PSuQ3c-IJQE0LBKQoRoxr1iVafTKaPlRr1w_3_JaYRTw9gnWpHvv3LeDvgfi6A6a0uzGCsuu7EX3VpfLETpAty4V-V0LbRwTfnucYkgUosIHaEgpS5yJ8w76jSb6bKxatTfJDVciLkluwl0TS5TdZ0Ioksk7g4OPTUGoORVUwOAtpvNxUqHszXwVd-A7n7IZ3OWiP-ZfcVoJytcPCvHYzblqZikEzhbSsiawvm0FaJBs0iE-aWCWZrS-KjpUjiTI9wJkrYavkqyEgGXYxTcfBvMPZtt"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16d685d884444d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1264320-f3be-4b2d-822a-34e357a4f607}"/>
      </w:docPartPr>
      <w:docPartBody>
        <w:p w14:paraId="4AA6BC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2023-01-31T20:43:00.0000000Z</dcterms:created>
  <dcterms:modified xsi:type="dcterms:W3CDTF">2023-03-09T18:21:28.0438015Z</dcterms:modified>
</coreProperties>
</file>