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E83846" w14:textId="77777777" w:rsidR="0054329D" w:rsidRDefault="007C2D5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veinticinco de octubre de dos mil veintitrés. </w:t>
      </w:r>
    </w:p>
    <w:p w14:paraId="49C3A348" w14:textId="77777777" w:rsidR="0054329D" w:rsidRDefault="0054329D">
      <w:pPr>
        <w:spacing w:after="0" w:line="360" w:lineRule="auto"/>
        <w:ind w:right="49"/>
        <w:jc w:val="both"/>
        <w:rPr>
          <w:rFonts w:ascii="Palatino Linotype" w:eastAsia="Palatino Linotype" w:hAnsi="Palatino Linotype" w:cs="Palatino Linotype"/>
          <w:color w:val="FF0000"/>
          <w:sz w:val="24"/>
          <w:szCs w:val="24"/>
        </w:rPr>
      </w:pPr>
    </w:p>
    <w:p w14:paraId="715BD06D" w14:textId="0BF4DAC7" w:rsidR="0054329D" w:rsidRDefault="007C2D5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Visto el expediente relativo al recurso de revisión </w:t>
      </w:r>
      <w:r>
        <w:rPr>
          <w:rFonts w:ascii="Palatino Linotype" w:eastAsia="Palatino Linotype" w:hAnsi="Palatino Linotype" w:cs="Palatino Linotype"/>
          <w:b/>
          <w:sz w:val="24"/>
          <w:szCs w:val="24"/>
        </w:rPr>
        <w:t>00554/INFOEM/IP/RR/2023</w:t>
      </w:r>
      <w:r>
        <w:rPr>
          <w:rFonts w:ascii="Palatino Linotype" w:eastAsia="Palatino Linotype" w:hAnsi="Palatino Linotype" w:cs="Palatino Linotype"/>
          <w:sz w:val="24"/>
          <w:szCs w:val="24"/>
        </w:rPr>
        <w:t xml:space="preserve">, interpuesto por </w:t>
      </w:r>
      <w:r w:rsidR="0091070E">
        <w:rPr>
          <w:rFonts w:ascii="Palatino Linotype" w:eastAsia="Palatino Linotype" w:hAnsi="Palatino Linotype" w:cs="Palatino Linotype"/>
          <w:b/>
          <w:sz w:val="24"/>
          <w:szCs w:val="24"/>
        </w:rPr>
        <w:t>XXXX XXXXXXXXX XXXXXXX</w:t>
      </w:r>
      <w:bookmarkStart w:id="0" w:name="_GoBack"/>
      <w:bookmarkEnd w:id="0"/>
      <w:r>
        <w:rPr>
          <w:rFonts w:ascii="Palatino Linotype" w:eastAsia="Palatino Linotype" w:hAnsi="Palatino Linotype" w:cs="Palatino Linotype"/>
          <w:sz w:val="24"/>
          <w:szCs w:val="24"/>
        </w:rPr>
        <w:t xml:space="preserve">, al cual en lo sucesivo se le denominará </w:t>
      </w:r>
      <w:r>
        <w:rPr>
          <w:rFonts w:ascii="Palatino Linotype" w:eastAsia="Palatino Linotype" w:hAnsi="Palatino Linotype" w:cs="Palatino Linotype"/>
          <w:b/>
          <w:sz w:val="24"/>
          <w:szCs w:val="24"/>
        </w:rPr>
        <w:t>la parte Recurrente</w:t>
      </w:r>
      <w:r>
        <w:rPr>
          <w:rFonts w:ascii="Palatino Linotype" w:eastAsia="Palatino Linotype" w:hAnsi="Palatino Linotype" w:cs="Palatino Linotype"/>
          <w:sz w:val="24"/>
          <w:szCs w:val="24"/>
        </w:rPr>
        <w:t xml:space="preserve">, en contra la respuesta a su solicitud de información identificada con número de folio </w:t>
      </w:r>
      <w:r>
        <w:rPr>
          <w:rFonts w:ascii="Palatino Linotype" w:eastAsia="Palatino Linotype" w:hAnsi="Palatino Linotype" w:cs="Palatino Linotype"/>
          <w:b/>
          <w:sz w:val="24"/>
          <w:szCs w:val="24"/>
        </w:rPr>
        <w:t>00063/INFOEM/IP/2023</w:t>
      </w:r>
      <w:r>
        <w:rPr>
          <w:rFonts w:ascii="Palatino Linotype" w:eastAsia="Palatino Linotype" w:hAnsi="Palatino Linotype" w:cs="Palatino Linotype"/>
          <w:sz w:val="24"/>
          <w:szCs w:val="24"/>
        </w:rPr>
        <w:t xml:space="preserve"> proporcionada por parte del </w:t>
      </w:r>
      <w:r>
        <w:rPr>
          <w:rFonts w:ascii="Palatino Linotype" w:eastAsia="Palatino Linotype" w:hAnsi="Palatino Linotype" w:cs="Palatino Linotype"/>
          <w:b/>
          <w:color w:val="000000"/>
          <w:sz w:val="24"/>
          <w:szCs w:val="24"/>
        </w:rPr>
        <w:t>Instituto de Transparencia, Acceso a la Información Pública y Protección de Datos Personales del Estado de México y Municipios</w:t>
      </w:r>
      <w:r>
        <w:rPr>
          <w:rFonts w:ascii="Palatino Linotype" w:eastAsia="Palatino Linotype" w:hAnsi="Palatino Linotype" w:cs="Palatino Linotype"/>
          <w:sz w:val="24"/>
          <w:szCs w:val="24"/>
        </w:rPr>
        <w:t xml:space="preserve">, en lo sucesivo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se procede a dictar la presente resolución, con base en los siguientes:</w:t>
      </w:r>
    </w:p>
    <w:p w14:paraId="6A57EC8B" w14:textId="77777777" w:rsidR="0054329D" w:rsidRDefault="0054329D">
      <w:pPr>
        <w:spacing w:after="0" w:line="360" w:lineRule="auto"/>
        <w:ind w:right="49"/>
        <w:jc w:val="both"/>
        <w:rPr>
          <w:rFonts w:ascii="Palatino Linotype" w:eastAsia="Palatino Linotype" w:hAnsi="Palatino Linotype" w:cs="Palatino Linotype"/>
          <w:sz w:val="24"/>
          <w:szCs w:val="24"/>
        </w:rPr>
      </w:pPr>
    </w:p>
    <w:p w14:paraId="4A1A6F94" w14:textId="77777777" w:rsidR="0054329D" w:rsidRDefault="007C2D5C">
      <w:pPr>
        <w:spacing w:after="0" w:line="360" w:lineRule="auto"/>
        <w:ind w:right="49"/>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I.</w:t>
      </w:r>
      <w:r>
        <w:rPr>
          <w:rFonts w:ascii="Palatino Linotype" w:eastAsia="Palatino Linotype" w:hAnsi="Palatino Linotype" w:cs="Palatino Linotype"/>
          <w:b/>
          <w:sz w:val="24"/>
          <w:szCs w:val="24"/>
        </w:rPr>
        <w:tab/>
        <w:t>A N T E C E D E N T E S</w:t>
      </w:r>
    </w:p>
    <w:p w14:paraId="73376DDC" w14:textId="77777777" w:rsidR="0054329D" w:rsidRDefault="0054329D">
      <w:pPr>
        <w:spacing w:after="0" w:line="360" w:lineRule="auto"/>
        <w:ind w:right="49"/>
        <w:jc w:val="both"/>
        <w:rPr>
          <w:rFonts w:ascii="Palatino Linotype" w:eastAsia="Palatino Linotype" w:hAnsi="Palatino Linotype" w:cs="Palatino Linotype"/>
          <w:sz w:val="24"/>
          <w:szCs w:val="24"/>
        </w:rPr>
      </w:pPr>
    </w:p>
    <w:p w14:paraId="307E7CBF" w14:textId="77777777" w:rsidR="0054329D" w:rsidRDefault="007C2D5C">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Solicitud de acceso a la información.</w:t>
      </w:r>
      <w:r>
        <w:rPr>
          <w:rFonts w:ascii="Palatino Linotype" w:eastAsia="Palatino Linotype" w:hAnsi="Palatino Linotype" w:cs="Palatino Linotype"/>
          <w:color w:val="000000"/>
          <w:sz w:val="24"/>
          <w:szCs w:val="24"/>
        </w:rPr>
        <w:t xml:space="preserve"> Con fecha </w:t>
      </w:r>
      <w:r>
        <w:rPr>
          <w:rFonts w:ascii="Palatino Linotype" w:eastAsia="Palatino Linotype" w:hAnsi="Palatino Linotype" w:cs="Palatino Linotype"/>
          <w:b/>
          <w:color w:val="000000"/>
          <w:sz w:val="24"/>
          <w:szCs w:val="24"/>
        </w:rPr>
        <w:t>veintitrés de enero de dos mil veintitrés</w:t>
      </w:r>
      <w:r>
        <w:rPr>
          <w:rFonts w:ascii="Palatino Linotype" w:eastAsia="Palatino Linotype" w:hAnsi="Palatino Linotype" w:cs="Palatino Linotype"/>
          <w:color w:val="000000"/>
          <w:sz w:val="24"/>
          <w:szCs w:val="24"/>
        </w:rPr>
        <w:t xml:space="preserve">,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formuló solicitud de acceso a información pública al</w:t>
      </w:r>
      <w:r>
        <w:rPr>
          <w:rFonts w:ascii="Palatino Linotype" w:eastAsia="Palatino Linotype" w:hAnsi="Palatino Linotype" w:cs="Palatino Linotype"/>
          <w:b/>
          <w:color w:val="000000"/>
          <w:sz w:val="24"/>
          <w:szCs w:val="24"/>
        </w:rPr>
        <w:t xml:space="preserve"> Sujeto Obligado</w:t>
      </w:r>
      <w:r>
        <w:rPr>
          <w:rFonts w:ascii="Palatino Linotype" w:eastAsia="Palatino Linotype" w:hAnsi="Palatino Linotype" w:cs="Palatino Linotype"/>
          <w:color w:val="000000"/>
          <w:sz w:val="24"/>
          <w:szCs w:val="24"/>
        </w:rPr>
        <w:t xml:space="preserve"> a través del Sistema de Acceso a la Información Mexiquense, en adelante SAIMEX, en la que requirió lo siguiente: </w:t>
      </w:r>
    </w:p>
    <w:p w14:paraId="7F846D8B" w14:textId="77777777" w:rsidR="0054329D" w:rsidRDefault="0054329D">
      <w:pPr>
        <w:tabs>
          <w:tab w:val="left" w:pos="8505"/>
        </w:tabs>
        <w:spacing w:after="0"/>
        <w:ind w:left="567" w:right="560"/>
        <w:jc w:val="both"/>
        <w:rPr>
          <w:rFonts w:ascii="Palatino Linotype" w:eastAsia="Palatino Linotype" w:hAnsi="Palatino Linotype" w:cs="Palatino Linotype"/>
          <w:i/>
        </w:rPr>
      </w:pPr>
      <w:bookmarkStart w:id="1" w:name="_heading=h.30j0zll" w:colFirst="0" w:colLast="0"/>
      <w:bookmarkEnd w:id="1"/>
    </w:p>
    <w:p w14:paraId="166B7C9D" w14:textId="77777777" w:rsidR="0054329D" w:rsidRDefault="007C2D5C">
      <w:pPr>
        <w:tabs>
          <w:tab w:val="left" w:pos="8505"/>
        </w:tabs>
        <w:spacing w:after="0"/>
        <w:ind w:left="567" w:right="560"/>
        <w:jc w:val="both"/>
        <w:rPr>
          <w:rFonts w:ascii="Palatino Linotype" w:eastAsia="Palatino Linotype" w:hAnsi="Palatino Linotype" w:cs="Palatino Linotype"/>
          <w:i/>
        </w:rPr>
      </w:pPr>
      <w:bookmarkStart w:id="2" w:name="_heading=h.2et92p0" w:colFirst="0" w:colLast="0"/>
      <w:bookmarkEnd w:id="2"/>
      <w:r>
        <w:rPr>
          <w:rFonts w:ascii="Palatino Linotype" w:eastAsia="Palatino Linotype" w:hAnsi="Palatino Linotype" w:cs="Palatino Linotype"/>
          <w:i/>
        </w:rPr>
        <w:t xml:space="preserve">“solicito se me entregue el soporte documental y/o toda información que me </w:t>
      </w:r>
      <w:proofErr w:type="spellStart"/>
      <w:r>
        <w:rPr>
          <w:rFonts w:ascii="Palatino Linotype" w:eastAsia="Palatino Linotype" w:hAnsi="Palatino Linotype" w:cs="Palatino Linotype"/>
          <w:i/>
        </w:rPr>
        <w:t>de</w:t>
      </w:r>
      <w:proofErr w:type="spellEnd"/>
      <w:r>
        <w:rPr>
          <w:rFonts w:ascii="Palatino Linotype" w:eastAsia="Palatino Linotype" w:hAnsi="Palatino Linotype" w:cs="Palatino Linotype"/>
          <w:i/>
        </w:rPr>
        <w:t xml:space="preserve"> cuenta de los criterios, principios, lineamientos y/o requerimientos que se ocupan para la entrega de </w:t>
      </w:r>
      <w:r>
        <w:rPr>
          <w:rFonts w:ascii="Palatino Linotype" w:eastAsia="Palatino Linotype" w:hAnsi="Palatino Linotype" w:cs="Palatino Linotype"/>
          <w:i/>
        </w:rPr>
        <w:lastRenderedPageBreak/>
        <w:t xml:space="preserve">versiones </w:t>
      </w:r>
      <w:proofErr w:type="spellStart"/>
      <w:r>
        <w:rPr>
          <w:rFonts w:ascii="Palatino Linotype" w:eastAsia="Palatino Linotype" w:hAnsi="Palatino Linotype" w:cs="Palatino Linotype"/>
          <w:i/>
        </w:rPr>
        <w:t>publicas</w:t>
      </w:r>
      <w:proofErr w:type="spellEnd"/>
      <w:r>
        <w:rPr>
          <w:rFonts w:ascii="Palatino Linotype" w:eastAsia="Palatino Linotype" w:hAnsi="Palatino Linotype" w:cs="Palatino Linotype"/>
          <w:i/>
        </w:rPr>
        <w:t xml:space="preserve"> de documentos por parte de sujetos obligados así como el fundamento legal de cada uno de estos” </w:t>
      </w:r>
    </w:p>
    <w:p w14:paraId="3498441D" w14:textId="77777777" w:rsidR="0054329D" w:rsidRDefault="0054329D">
      <w:pPr>
        <w:tabs>
          <w:tab w:val="left" w:pos="8505"/>
        </w:tabs>
        <w:spacing w:after="0"/>
        <w:ind w:left="567" w:right="560"/>
        <w:jc w:val="both"/>
        <w:rPr>
          <w:rFonts w:ascii="Palatino Linotype" w:eastAsia="Palatino Linotype" w:hAnsi="Palatino Linotype" w:cs="Palatino Linotype"/>
          <w:i/>
        </w:rPr>
      </w:pPr>
    </w:p>
    <w:p w14:paraId="5079E566" w14:textId="77777777" w:rsidR="0054329D" w:rsidRDefault="007C2D5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Modalidad elegida para la entrega de la información:</w:t>
      </w:r>
      <w:r>
        <w:rPr>
          <w:rFonts w:ascii="Palatino Linotype" w:eastAsia="Palatino Linotype" w:hAnsi="Palatino Linotype" w:cs="Palatino Linotype"/>
          <w:sz w:val="24"/>
          <w:szCs w:val="24"/>
        </w:rPr>
        <w:t xml:space="preserve"> a través del Sistema de Acceso a la Información Mexiquense (SAIMEX). </w:t>
      </w:r>
    </w:p>
    <w:p w14:paraId="6F62643A" w14:textId="77777777" w:rsidR="0054329D" w:rsidRDefault="0054329D">
      <w:pPr>
        <w:spacing w:after="0" w:line="360" w:lineRule="auto"/>
        <w:ind w:right="49"/>
        <w:jc w:val="both"/>
        <w:rPr>
          <w:rFonts w:ascii="Palatino Linotype" w:eastAsia="Palatino Linotype" w:hAnsi="Palatino Linotype" w:cs="Palatino Linotype"/>
          <w:sz w:val="24"/>
          <w:szCs w:val="24"/>
        </w:rPr>
      </w:pPr>
    </w:p>
    <w:p w14:paraId="2CABEDAC" w14:textId="77777777" w:rsidR="0054329D" w:rsidRDefault="007C2D5C">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Respuesta.</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 xml:space="preserve">En fecha </w:t>
      </w:r>
      <w:r>
        <w:rPr>
          <w:rFonts w:ascii="Palatino Linotype" w:eastAsia="Palatino Linotype" w:hAnsi="Palatino Linotype" w:cs="Palatino Linotype"/>
          <w:b/>
          <w:sz w:val="24"/>
          <w:szCs w:val="24"/>
        </w:rPr>
        <w:t>treinta de enero de dos mil veintitrés</w:t>
      </w:r>
      <w:r>
        <w:rPr>
          <w:rFonts w:ascii="Palatino Linotype" w:eastAsia="Palatino Linotype" w:hAnsi="Palatino Linotype" w:cs="Palatino Linotype"/>
          <w:sz w:val="24"/>
          <w:szCs w:val="24"/>
        </w:rPr>
        <w:t xml:space="preserv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remitió respuesta a la solicitud de información, al tenor de lo siguiente: </w:t>
      </w:r>
    </w:p>
    <w:p w14:paraId="5AC9A8D6" w14:textId="77777777" w:rsidR="0054329D" w:rsidRDefault="0054329D">
      <w:pPr>
        <w:spacing w:after="0" w:line="276" w:lineRule="auto"/>
        <w:ind w:left="567" w:right="560"/>
        <w:jc w:val="both"/>
        <w:rPr>
          <w:rFonts w:ascii="Palatino Linotype" w:eastAsia="Palatino Linotype" w:hAnsi="Palatino Linotype" w:cs="Palatino Linotype"/>
          <w:i/>
        </w:rPr>
      </w:pPr>
    </w:p>
    <w:p w14:paraId="055F1348" w14:textId="77777777" w:rsidR="0054329D" w:rsidRDefault="007C2D5C">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B735619" w14:textId="77777777" w:rsidR="0054329D" w:rsidRDefault="0054329D">
      <w:pPr>
        <w:spacing w:after="0" w:line="276" w:lineRule="auto"/>
        <w:ind w:left="567" w:right="560"/>
        <w:jc w:val="both"/>
        <w:rPr>
          <w:rFonts w:ascii="Palatino Linotype" w:eastAsia="Palatino Linotype" w:hAnsi="Palatino Linotype" w:cs="Palatino Linotype"/>
          <w:i/>
        </w:rPr>
      </w:pPr>
    </w:p>
    <w:p w14:paraId="02BAC59E" w14:textId="77777777" w:rsidR="0054329D" w:rsidRDefault="007C2D5C">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Con fundamento en el artículo 53 fracción II de la Ley de Transparencia y Acceso a la Información Pública del Estado de México y Municipios, se adjunta la respuesta a su solicitud de acceso a la información pública.</w:t>
      </w:r>
    </w:p>
    <w:p w14:paraId="523BEB48" w14:textId="77777777" w:rsidR="0054329D" w:rsidRDefault="007C2D5C">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rPr>
        <w:t>(Sic)</w:t>
      </w:r>
    </w:p>
    <w:p w14:paraId="5FBDFB6E" w14:textId="77777777" w:rsidR="0054329D" w:rsidRDefault="0054329D">
      <w:pPr>
        <w:spacing w:after="0" w:line="360" w:lineRule="auto"/>
        <w:ind w:right="560"/>
        <w:jc w:val="both"/>
        <w:rPr>
          <w:rFonts w:ascii="Palatino Linotype" w:eastAsia="Palatino Linotype" w:hAnsi="Palatino Linotype" w:cs="Palatino Linotype"/>
          <w:i/>
        </w:rPr>
      </w:pPr>
    </w:p>
    <w:p w14:paraId="16638660" w14:textId="77777777" w:rsidR="0054329D" w:rsidRDefault="007C2D5C">
      <w:pPr>
        <w:spacing w:after="0" w:line="360" w:lineRule="auto"/>
        <w:ind w:right="-7"/>
        <w:jc w:val="both"/>
        <w:rPr>
          <w:rFonts w:ascii="Palatino Linotype" w:eastAsia="Palatino Linotype" w:hAnsi="Palatino Linotype" w:cs="Palatino Linotype"/>
        </w:rPr>
      </w:pPr>
      <w:bookmarkStart w:id="3" w:name="_heading=h.tyjcwt" w:colFirst="0" w:colLast="0"/>
      <w:bookmarkEnd w:id="3"/>
      <w:r>
        <w:rPr>
          <w:rFonts w:ascii="Palatino Linotype" w:eastAsia="Palatino Linotype" w:hAnsi="Palatino Linotype" w:cs="Palatino Linotype"/>
        </w:rPr>
        <w:t xml:space="preserve">Adjunto a la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aportó los documentos que se describen a continuación: </w:t>
      </w:r>
    </w:p>
    <w:p w14:paraId="0326DB6F" w14:textId="77777777" w:rsidR="0054329D" w:rsidRDefault="0054329D">
      <w:pPr>
        <w:spacing w:after="0" w:line="360" w:lineRule="auto"/>
        <w:ind w:right="-7"/>
        <w:jc w:val="both"/>
        <w:rPr>
          <w:rFonts w:ascii="Palatino Linotype" w:eastAsia="Palatino Linotype" w:hAnsi="Palatino Linotype" w:cs="Palatino Linotype"/>
        </w:rPr>
      </w:pPr>
    </w:p>
    <w:p w14:paraId="04BCDA8A" w14:textId="77777777" w:rsidR="0054329D" w:rsidRDefault="007C2D5C">
      <w:pPr>
        <w:numPr>
          <w:ilvl w:val="0"/>
          <w:numId w:val="3"/>
        </w:numPr>
        <w:pBdr>
          <w:top w:val="nil"/>
          <w:left w:val="nil"/>
          <w:bottom w:val="nil"/>
          <w:right w:val="nil"/>
          <w:between w:val="nil"/>
        </w:pBdr>
        <w:spacing w:after="0" w:line="360" w:lineRule="auto"/>
        <w:ind w:right="-7"/>
        <w:jc w:val="both"/>
        <w:rPr>
          <w:rFonts w:ascii="Palatino Linotype" w:eastAsia="Palatino Linotype" w:hAnsi="Palatino Linotype" w:cs="Palatino Linotype"/>
          <w:color w:val="000000"/>
        </w:rPr>
      </w:pPr>
      <w:bookmarkStart w:id="4" w:name="_heading=h.3dy6vkm" w:colFirst="0" w:colLast="0"/>
      <w:bookmarkEnd w:id="4"/>
      <w:r>
        <w:rPr>
          <w:rFonts w:ascii="Palatino Linotype" w:eastAsia="Palatino Linotype" w:hAnsi="Palatino Linotype" w:cs="Palatino Linotype"/>
          <w:color w:val="000000"/>
        </w:rPr>
        <w:t>Archivo electrónico denominado “</w:t>
      </w:r>
      <w:r>
        <w:rPr>
          <w:rFonts w:ascii="Palatino Linotype" w:eastAsia="Palatino Linotype" w:hAnsi="Palatino Linotype" w:cs="Palatino Linotype"/>
          <w:b/>
          <w:i/>
          <w:color w:val="000000"/>
        </w:rPr>
        <w:t>RespuestaResumen00063.pdf</w:t>
      </w:r>
      <w:r>
        <w:rPr>
          <w:rFonts w:ascii="Palatino Linotype" w:eastAsia="Palatino Linotype" w:hAnsi="Palatino Linotype" w:cs="Palatino Linotype"/>
          <w:color w:val="000000"/>
        </w:rPr>
        <w:t>” que contiene: Documento sin fecha, a través del cual el Titular de la Unidad de Transparencia en atención a la solicitud de información, medularmente indica que comparte con el particular las ligas electrónicas de las distintas normatividades que son observables para realizar las versiones públicas de documentos por parte de los sujetos obligados.</w:t>
      </w:r>
    </w:p>
    <w:p w14:paraId="5C188FDD" w14:textId="77777777" w:rsidR="0054329D" w:rsidRDefault="007C2D5C">
      <w:pPr>
        <w:numPr>
          <w:ilvl w:val="0"/>
          <w:numId w:val="3"/>
        </w:numPr>
        <w:pBdr>
          <w:top w:val="nil"/>
          <w:left w:val="nil"/>
          <w:bottom w:val="nil"/>
          <w:right w:val="nil"/>
          <w:between w:val="nil"/>
        </w:pBdr>
        <w:spacing w:after="0" w:line="360" w:lineRule="auto"/>
        <w:ind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Archivo comprimido </w:t>
      </w:r>
      <w:proofErr w:type="spellStart"/>
      <w:r>
        <w:rPr>
          <w:rFonts w:ascii="Palatino Linotype" w:eastAsia="Palatino Linotype" w:hAnsi="Palatino Linotype" w:cs="Palatino Linotype"/>
          <w:color w:val="000000"/>
        </w:rPr>
        <w:t>zip</w:t>
      </w:r>
      <w:proofErr w:type="spellEnd"/>
      <w:r>
        <w:rPr>
          <w:rFonts w:ascii="Palatino Linotype" w:eastAsia="Palatino Linotype" w:hAnsi="Palatino Linotype" w:cs="Palatino Linotype"/>
          <w:color w:val="000000"/>
        </w:rPr>
        <w:t xml:space="preserve"> denominado “</w:t>
      </w:r>
      <w:r>
        <w:rPr>
          <w:rFonts w:ascii="Palatino Linotype" w:eastAsia="Palatino Linotype" w:hAnsi="Palatino Linotype" w:cs="Palatino Linotype"/>
          <w:b/>
          <w:i/>
          <w:color w:val="000000"/>
        </w:rPr>
        <w:t>RespuestaSolicitud00063UT.zip</w:t>
      </w:r>
      <w:r>
        <w:rPr>
          <w:rFonts w:ascii="Palatino Linotype" w:eastAsia="Palatino Linotype" w:hAnsi="Palatino Linotype" w:cs="Palatino Linotype"/>
          <w:color w:val="000000"/>
        </w:rPr>
        <w:t>”, a través del cual adjuntó los siguientes documentos:</w:t>
      </w:r>
    </w:p>
    <w:p w14:paraId="3553F6CE" w14:textId="77777777" w:rsidR="0054329D" w:rsidRDefault="0054329D">
      <w:pPr>
        <w:pBdr>
          <w:top w:val="nil"/>
          <w:left w:val="nil"/>
          <w:bottom w:val="nil"/>
          <w:right w:val="nil"/>
          <w:between w:val="nil"/>
        </w:pBdr>
        <w:spacing w:after="0" w:line="360" w:lineRule="auto"/>
        <w:ind w:left="360" w:right="-7"/>
        <w:jc w:val="both"/>
        <w:rPr>
          <w:rFonts w:ascii="Palatino Linotype" w:eastAsia="Palatino Linotype" w:hAnsi="Palatino Linotype" w:cs="Palatino Linotype"/>
          <w:color w:val="000000"/>
        </w:rPr>
      </w:pPr>
    </w:p>
    <w:p w14:paraId="71300C1B" w14:textId="77777777" w:rsidR="0054329D" w:rsidRDefault="007C2D5C">
      <w:pPr>
        <w:numPr>
          <w:ilvl w:val="0"/>
          <w:numId w:val="1"/>
        </w:numPr>
        <w:pBdr>
          <w:top w:val="nil"/>
          <w:left w:val="nil"/>
          <w:bottom w:val="nil"/>
          <w:right w:val="nil"/>
          <w:between w:val="nil"/>
        </w:pBdr>
        <w:spacing w:after="0" w:line="360" w:lineRule="auto"/>
        <w:ind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b/>
          <w:i/>
          <w:color w:val="000000"/>
        </w:rPr>
        <w:t>RespuestaSolicitud00063DGJV.pdf</w:t>
      </w:r>
      <w:r>
        <w:rPr>
          <w:rFonts w:ascii="Palatino Linotype" w:eastAsia="Palatino Linotype" w:hAnsi="Palatino Linotype" w:cs="Palatino Linotype"/>
          <w:color w:val="000000"/>
        </w:rPr>
        <w:t xml:space="preserve">”: Oficio número MM/INFOEM/DGJV/0034/2023 del treinta de enero de dos mil veintitrés, a través del cual el Director General Jurídico y de Verificación informa al Titular de la Unidad de Transparencia que, con relación a la solicitud de información, que el artículo 3, fracción XLV de la Ley de Transparencia y Acceso a la Información Pública del Estado de México y Municipios (Ley de Transparencia) define a la versión pública como el documento en el que se elimina, suprime o borra aquella información que actualiza alguno de los supuestos de clasificación de confidencialidad o reserva; asimismo que, los Sujetos Obligados al elaborar la versión pública correspondiente que actualice alguno de los supuestos de clasificación de confidencialidad o reserva deben atender lo dispuesto en la Ley de Transparencia; Ley de Protección de Datos Personales en Posesión de Sujetos Obligados del Estado de México y Municipios; Lineamientos Generales de Protección de Datos Personales para el Sector Público; Lineamientos Generales en Materia de Clasificación y Desclasificación de la Información, así como para la elaboración de versiones públicas; y los "Lineamientos Técnicos Generales para la Publicación, Homologación y Estandarización de la Información de las Obligaciones Establecidas en el Titulo Quinto y en la Fracción IV del Artículo 31 de la Ley General de Transparencia y Acceso a la Información Pública, que deben de Difundir los Sujetos Obligados en los Portales de Internet y en la Plataforma Nacional de Transparencia, en lo Referente a la Fracción II del Artículo 73 de la Ley General de Transparencia y Acceso </w:t>
      </w:r>
      <w:r>
        <w:rPr>
          <w:rFonts w:ascii="Palatino Linotype" w:eastAsia="Palatino Linotype" w:hAnsi="Palatino Linotype" w:cs="Palatino Linotype"/>
          <w:color w:val="000000"/>
        </w:rPr>
        <w:lastRenderedPageBreak/>
        <w:t>a la Información Pública"; 002 10 Criterio Versiones Públicas. Para su validez los Sujetos Obligados deberán generarlas de conformidad con las formalidades establecidas en la normatividad aplicable; normatividad que indicó podía ser consultada en los links siguientes:</w:t>
      </w:r>
    </w:p>
    <w:p w14:paraId="5B4D6EC1" w14:textId="77777777" w:rsidR="0054329D" w:rsidRDefault="0054329D">
      <w:pPr>
        <w:pBdr>
          <w:top w:val="nil"/>
          <w:left w:val="nil"/>
          <w:bottom w:val="nil"/>
          <w:right w:val="nil"/>
          <w:between w:val="nil"/>
        </w:pBdr>
        <w:spacing w:after="0" w:line="360" w:lineRule="auto"/>
        <w:ind w:left="720" w:right="-7"/>
        <w:jc w:val="both"/>
        <w:rPr>
          <w:rFonts w:ascii="Palatino Linotype" w:eastAsia="Palatino Linotype" w:hAnsi="Palatino Linotype" w:cs="Palatino Linotype"/>
          <w:color w:val="000000"/>
        </w:rPr>
      </w:pPr>
    </w:p>
    <w:p w14:paraId="449EC133" w14:textId="77777777" w:rsidR="0054329D" w:rsidRDefault="007C2D5C">
      <w:pPr>
        <w:pBdr>
          <w:top w:val="nil"/>
          <w:left w:val="nil"/>
          <w:bottom w:val="nil"/>
          <w:right w:val="nil"/>
          <w:between w:val="nil"/>
        </w:pBdr>
        <w:spacing w:after="0" w:line="360" w:lineRule="auto"/>
        <w:ind w:left="720" w:right="-7"/>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59D24C66" wp14:editId="73C9C7E2">
            <wp:extent cx="4843153" cy="3676247"/>
            <wp:effectExtent l="3175" t="3175" r="3175" b="3175"/>
            <wp:docPr id="209806997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4843153" cy="3676247"/>
                    </a:xfrm>
                    <a:prstGeom prst="rect">
                      <a:avLst/>
                    </a:prstGeom>
                    <a:ln w="3175">
                      <a:solidFill>
                        <a:srgbClr val="000000"/>
                      </a:solidFill>
                      <a:prstDash val="solid"/>
                    </a:ln>
                  </pic:spPr>
                </pic:pic>
              </a:graphicData>
            </a:graphic>
          </wp:inline>
        </w:drawing>
      </w:r>
    </w:p>
    <w:p w14:paraId="19668843" w14:textId="77777777" w:rsidR="0054329D" w:rsidRDefault="007C2D5C">
      <w:pPr>
        <w:pBdr>
          <w:top w:val="nil"/>
          <w:left w:val="nil"/>
          <w:bottom w:val="nil"/>
          <w:right w:val="nil"/>
          <w:between w:val="nil"/>
        </w:pBdr>
        <w:spacing w:after="0" w:line="360" w:lineRule="auto"/>
        <w:ind w:left="720" w:right="-7"/>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p>
    <w:p w14:paraId="0D8637CD" w14:textId="77777777" w:rsidR="0054329D" w:rsidRDefault="007C2D5C">
      <w:pPr>
        <w:pBdr>
          <w:top w:val="nil"/>
          <w:left w:val="nil"/>
          <w:bottom w:val="nil"/>
          <w:right w:val="nil"/>
          <w:between w:val="nil"/>
        </w:pBdr>
        <w:spacing w:after="0" w:line="360" w:lineRule="auto"/>
        <w:ind w:left="720" w:right="-7"/>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1F061959" wp14:editId="480722B4">
            <wp:extent cx="4843945" cy="1029375"/>
            <wp:effectExtent l="3175" t="3175" r="3175" b="3175"/>
            <wp:docPr id="209806997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a:stretch>
                      <a:fillRect/>
                    </a:stretch>
                  </pic:blipFill>
                  <pic:spPr>
                    <a:xfrm>
                      <a:off x="0" y="0"/>
                      <a:ext cx="4843945" cy="1029375"/>
                    </a:xfrm>
                    <a:prstGeom prst="rect">
                      <a:avLst/>
                    </a:prstGeom>
                    <a:ln w="3175">
                      <a:solidFill>
                        <a:srgbClr val="000000"/>
                      </a:solidFill>
                      <a:prstDash val="solid"/>
                    </a:ln>
                  </pic:spPr>
                </pic:pic>
              </a:graphicData>
            </a:graphic>
          </wp:inline>
        </w:drawing>
      </w:r>
    </w:p>
    <w:p w14:paraId="7117758F" w14:textId="77777777" w:rsidR="0054329D" w:rsidRDefault="007C2D5C">
      <w:pPr>
        <w:pBdr>
          <w:top w:val="nil"/>
          <w:left w:val="nil"/>
          <w:bottom w:val="nil"/>
          <w:right w:val="nil"/>
          <w:between w:val="nil"/>
        </w:pBdr>
        <w:spacing w:after="0" w:line="360" w:lineRule="auto"/>
        <w:ind w:left="720" w:right="-7"/>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w:t>
      </w:r>
    </w:p>
    <w:p w14:paraId="2C05D0BB" w14:textId="77777777" w:rsidR="0054329D" w:rsidRDefault="007C2D5C">
      <w:pPr>
        <w:numPr>
          <w:ilvl w:val="0"/>
          <w:numId w:val="1"/>
        </w:numPr>
        <w:pBdr>
          <w:top w:val="nil"/>
          <w:left w:val="nil"/>
          <w:bottom w:val="nil"/>
          <w:right w:val="nil"/>
          <w:between w:val="nil"/>
        </w:pBdr>
        <w:spacing w:after="0" w:line="360" w:lineRule="auto"/>
        <w:ind w:right="-7"/>
        <w:jc w:val="both"/>
        <w:rPr>
          <w:rFonts w:ascii="Palatino Linotype" w:eastAsia="Palatino Linotype" w:hAnsi="Palatino Linotype" w:cs="Palatino Linotype"/>
          <w:color w:val="000000"/>
          <w:u w:val="single"/>
        </w:rPr>
      </w:pPr>
      <w:bookmarkStart w:id="5" w:name="_heading=h.1t3h5sf" w:colFirst="0" w:colLast="0"/>
      <w:bookmarkEnd w:id="5"/>
      <w:r>
        <w:rPr>
          <w:rFonts w:ascii="Palatino Linotype" w:eastAsia="Palatino Linotype" w:hAnsi="Palatino Linotype" w:cs="Palatino Linotype"/>
          <w:color w:val="000000"/>
        </w:rPr>
        <w:t>“</w:t>
      </w:r>
      <w:r>
        <w:rPr>
          <w:rFonts w:ascii="Palatino Linotype" w:eastAsia="Palatino Linotype" w:hAnsi="Palatino Linotype" w:cs="Palatino Linotype"/>
          <w:b/>
          <w:i/>
          <w:color w:val="000000"/>
        </w:rPr>
        <w:t>RespuestaSolicitud00063DGPDP.pdf</w:t>
      </w:r>
      <w:r>
        <w:rPr>
          <w:rFonts w:ascii="Palatino Linotype" w:eastAsia="Palatino Linotype" w:hAnsi="Palatino Linotype" w:cs="Palatino Linotype"/>
          <w:color w:val="000000"/>
        </w:rPr>
        <w:t xml:space="preserve">”: Oficio número INFOEM/DGPDP/042/2023 del veinticinco de enero de dos mil veintitrés, a través del cual el Director General de Protección de Datos Personales informó al Titular de la Unidad de Transparencia que cuando aplique la versión pública, los sujetos obligados deberán elaborarla atendiendo lo dispuesto en la siguiente normatividad: </w:t>
      </w:r>
      <w:r>
        <w:rPr>
          <w:rFonts w:ascii="Palatino Linotype" w:eastAsia="Palatino Linotype" w:hAnsi="Palatino Linotype" w:cs="Palatino Linotype"/>
          <w:color w:val="000000"/>
          <w:u w:val="single"/>
        </w:rPr>
        <w:t>Ley de Transparencia, Ley de Protección de Datos Personales en Posesión de Sujetos Obligados del Estado de México y Municipios, Lineamientos Generales de Protección de Datos Personales para el Sector Público, Lineamientos Generales en Materia de Clasificación y Desclasificación de la Información, así como para la elaboración de versiones públicas y los Lineamientos Técnicos Generales para la Publicación, Homologación y Estandarización de la Información de las Obligaciones Establecidas en el Titulo Quinto y en la Fracción IV del Artículo 31 de la Ley General de Transparencia y Acceso a la Información Pública, Que deben de Difundir los Sujetos Obligados en los Portales de Internet y en la Plataforma Nacional de Transparencia, en lo Referente a la Fracción II del Artículo 73 de la Ley General de Transparencia y Acceso a la Información Pública, proporcionando los links donde se ubica la normatividad de referencia, como se muestra a continuación:</w:t>
      </w:r>
    </w:p>
    <w:p w14:paraId="7625716B" w14:textId="77777777" w:rsidR="0054329D" w:rsidRDefault="007C2D5C">
      <w:pPr>
        <w:pBdr>
          <w:top w:val="nil"/>
          <w:left w:val="nil"/>
          <w:bottom w:val="nil"/>
          <w:right w:val="nil"/>
          <w:between w:val="nil"/>
        </w:pBdr>
        <w:spacing w:after="0" w:line="360" w:lineRule="auto"/>
        <w:ind w:left="720" w:right="-7"/>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54CB3625" wp14:editId="12E912B8">
            <wp:extent cx="4752962" cy="1387224"/>
            <wp:effectExtent l="3175" t="3175" r="3175" b="3175"/>
            <wp:docPr id="209806997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752962" cy="1387224"/>
                    </a:xfrm>
                    <a:prstGeom prst="rect">
                      <a:avLst/>
                    </a:prstGeom>
                    <a:ln w="3175">
                      <a:solidFill>
                        <a:srgbClr val="000000"/>
                      </a:solidFill>
                      <a:prstDash val="solid"/>
                    </a:ln>
                  </pic:spPr>
                </pic:pic>
              </a:graphicData>
            </a:graphic>
          </wp:inline>
        </w:drawing>
      </w:r>
    </w:p>
    <w:p w14:paraId="157D0DC2" w14:textId="77777777" w:rsidR="0054329D" w:rsidRDefault="007C2D5C">
      <w:pPr>
        <w:pBdr>
          <w:top w:val="nil"/>
          <w:left w:val="nil"/>
          <w:bottom w:val="nil"/>
          <w:right w:val="nil"/>
          <w:between w:val="nil"/>
        </w:pBdr>
        <w:spacing w:after="0" w:line="360" w:lineRule="auto"/>
        <w:ind w:left="720" w:right="-7"/>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w:t>
      </w:r>
    </w:p>
    <w:p w14:paraId="798596ED" w14:textId="77777777" w:rsidR="0054329D" w:rsidRDefault="007C2D5C">
      <w:pPr>
        <w:pBdr>
          <w:top w:val="nil"/>
          <w:left w:val="nil"/>
          <w:bottom w:val="nil"/>
          <w:right w:val="nil"/>
          <w:between w:val="nil"/>
        </w:pBdr>
        <w:spacing w:after="0" w:line="360" w:lineRule="auto"/>
        <w:ind w:left="720" w:right="-7"/>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127FD831" wp14:editId="4D957DE2">
            <wp:extent cx="4988988" cy="1960271"/>
            <wp:effectExtent l="3175" t="3175" r="3175" b="3175"/>
            <wp:docPr id="20980699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988988" cy="1960271"/>
                    </a:xfrm>
                    <a:prstGeom prst="rect">
                      <a:avLst/>
                    </a:prstGeom>
                    <a:ln w="3175">
                      <a:solidFill>
                        <a:srgbClr val="000000"/>
                      </a:solidFill>
                      <a:prstDash val="solid"/>
                    </a:ln>
                  </pic:spPr>
                </pic:pic>
              </a:graphicData>
            </a:graphic>
          </wp:inline>
        </w:drawing>
      </w:r>
    </w:p>
    <w:p w14:paraId="14FBFEEE" w14:textId="77777777" w:rsidR="0054329D" w:rsidRDefault="007C2D5C">
      <w:pPr>
        <w:spacing w:after="0" w:line="360" w:lineRule="auto"/>
        <w:ind w:right="-7"/>
        <w:jc w:val="center"/>
        <w:rPr>
          <w:rFonts w:ascii="Palatino Linotype" w:eastAsia="Palatino Linotype" w:hAnsi="Palatino Linotype" w:cs="Palatino Linotype"/>
        </w:rPr>
      </w:pPr>
      <w:r>
        <w:rPr>
          <w:rFonts w:ascii="Palatino Linotype" w:eastAsia="Palatino Linotype" w:hAnsi="Palatino Linotype" w:cs="Palatino Linotype"/>
        </w:rPr>
        <w:t>[…]</w:t>
      </w:r>
    </w:p>
    <w:p w14:paraId="226FBB9E" w14:textId="77777777" w:rsidR="0054329D" w:rsidRDefault="007C2D5C">
      <w:pPr>
        <w:pBdr>
          <w:top w:val="nil"/>
          <w:left w:val="nil"/>
          <w:bottom w:val="nil"/>
          <w:right w:val="nil"/>
          <w:between w:val="nil"/>
        </w:pBdr>
        <w:spacing w:after="0" w:line="360" w:lineRule="auto"/>
        <w:ind w:left="720" w:right="-7"/>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7B0B15C6" wp14:editId="734F427D">
            <wp:extent cx="5017462" cy="3487019"/>
            <wp:effectExtent l="3175" t="3175" r="3175" b="3175"/>
            <wp:docPr id="209806998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5017462" cy="3487019"/>
                    </a:xfrm>
                    <a:prstGeom prst="rect">
                      <a:avLst/>
                    </a:prstGeom>
                    <a:ln w="3175">
                      <a:solidFill>
                        <a:srgbClr val="000000"/>
                      </a:solidFill>
                      <a:prstDash val="solid"/>
                    </a:ln>
                  </pic:spPr>
                </pic:pic>
              </a:graphicData>
            </a:graphic>
          </wp:inline>
        </w:drawing>
      </w:r>
    </w:p>
    <w:p w14:paraId="337D56FE" w14:textId="77777777" w:rsidR="0054329D" w:rsidRDefault="0054329D">
      <w:pPr>
        <w:pBdr>
          <w:top w:val="nil"/>
          <w:left w:val="nil"/>
          <w:bottom w:val="nil"/>
          <w:right w:val="nil"/>
          <w:between w:val="nil"/>
        </w:pBdr>
        <w:spacing w:after="0" w:line="360" w:lineRule="auto"/>
        <w:ind w:left="720" w:right="-7"/>
        <w:jc w:val="both"/>
        <w:rPr>
          <w:rFonts w:ascii="Palatino Linotype" w:eastAsia="Palatino Linotype" w:hAnsi="Palatino Linotype" w:cs="Palatino Linotype"/>
          <w:color w:val="000000"/>
          <w:u w:val="single"/>
        </w:rPr>
      </w:pPr>
    </w:p>
    <w:p w14:paraId="6A7F29C2" w14:textId="77777777" w:rsidR="0054329D" w:rsidRDefault="007C2D5C">
      <w:pPr>
        <w:numPr>
          <w:ilvl w:val="0"/>
          <w:numId w:val="1"/>
        </w:numPr>
        <w:pBdr>
          <w:top w:val="nil"/>
          <w:left w:val="nil"/>
          <w:bottom w:val="nil"/>
          <w:right w:val="nil"/>
          <w:between w:val="nil"/>
        </w:pBdr>
        <w:spacing w:after="0" w:line="360" w:lineRule="auto"/>
        <w:ind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w:t>
      </w:r>
      <w:r>
        <w:rPr>
          <w:rFonts w:ascii="Palatino Linotype" w:eastAsia="Palatino Linotype" w:hAnsi="Palatino Linotype" w:cs="Palatino Linotype"/>
          <w:b/>
          <w:i/>
          <w:color w:val="000000"/>
        </w:rPr>
        <w:t>RespuestaSolicitud00063UT2023.pdf</w:t>
      </w:r>
      <w:r>
        <w:rPr>
          <w:rFonts w:ascii="Palatino Linotype" w:eastAsia="Palatino Linotype" w:hAnsi="Palatino Linotype" w:cs="Palatino Linotype"/>
          <w:color w:val="000000"/>
        </w:rPr>
        <w:t>”: Oficio número INFOEM/UT/033/2023 del treinta de enero de dos mil veintitrés, a través del cual el Titular de la Unidad de Transferencia informa al solicitante que, con relación a la información requerida, en archivo adjunto encontraría la respuesta del servidor público habilitado de la Dirección General de Protección de Datos Personales contenida en el oficio INFOEM/DGPDP/042/2023, así como la respuesta del servidor público habilitado de la Dirección General Jurídica y de Verificación contenida en el oficio MM/INFOEM/DGJV/0034/2023.</w:t>
      </w:r>
    </w:p>
    <w:p w14:paraId="2B71EF5D" w14:textId="77777777" w:rsidR="0054329D" w:rsidRDefault="0054329D">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color w:val="000000"/>
          <w:sz w:val="24"/>
          <w:szCs w:val="24"/>
        </w:rPr>
      </w:pPr>
    </w:p>
    <w:p w14:paraId="4CF88E3D" w14:textId="77777777" w:rsidR="0054329D" w:rsidRDefault="007C2D5C">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Recurso de revisión.</w:t>
      </w:r>
      <w:r>
        <w:rPr>
          <w:rFonts w:ascii="Palatino Linotype" w:eastAsia="Palatino Linotype" w:hAnsi="Palatino Linotype" w:cs="Palatino Linotype"/>
          <w:color w:val="000000"/>
          <w:sz w:val="24"/>
          <w:szCs w:val="24"/>
        </w:rPr>
        <w:t xml:space="preserve"> El Particular, derivado de la respuesta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interpuso Recurso de Revisión a través del </w:t>
      </w:r>
      <w:r>
        <w:rPr>
          <w:rFonts w:ascii="Palatino Linotype" w:eastAsia="Palatino Linotype" w:hAnsi="Palatino Linotype" w:cs="Palatino Linotype"/>
          <w:b/>
          <w:color w:val="000000"/>
          <w:sz w:val="24"/>
          <w:szCs w:val="24"/>
        </w:rPr>
        <w:t>SAIMEX</w:t>
      </w:r>
      <w:r>
        <w:rPr>
          <w:rFonts w:ascii="Palatino Linotype" w:eastAsia="Palatino Linotype" w:hAnsi="Palatino Linotype" w:cs="Palatino Linotype"/>
          <w:color w:val="000000"/>
          <w:sz w:val="24"/>
          <w:szCs w:val="24"/>
        </w:rPr>
        <w:t xml:space="preserve"> en fecha </w:t>
      </w:r>
      <w:r>
        <w:rPr>
          <w:rFonts w:ascii="Palatino Linotype" w:eastAsia="Palatino Linotype" w:hAnsi="Palatino Linotype" w:cs="Palatino Linotype"/>
          <w:b/>
          <w:color w:val="000000"/>
          <w:sz w:val="24"/>
          <w:szCs w:val="24"/>
        </w:rPr>
        <w:t>treinta y uno de enero de dos mil veinti</w:t>
      </w:r>
      <w:r>
        <w:rPr>
          <w:rFonts w:ascii="Palatino Linotype" w:eastAsia="Palatino Linotype" w:hAnsi="Palatino Linotype" w:cs="Palatino Linotype"/>
          <w:b/>
          <w:sz w:val="24"/>
          <w:szCs w:val="24"/>
        </w:rPr>
        <w:t>trés</w:t>
      </w:r>
      <w:r>
        <w:rPr>
          <w:rFonts w:ascii="Palatino Linotype" w:eastAsia="Palatino Linotype" w:hAnsi="Palatino Linotype" w:cs="Palatino Linotype"/>
          <w:color w:val="000000"/>
          <w:sz w:val="24"/>
          <w:szCs w:val="24"/>
        </w:rPr>
        <w:t>, a través del cual expresó lo siguiente:</w:t>
      </w:r>
    </w:p>
    <w:p w14:paraId="767590A0" w14:textId="77777777" w:rsidR="0054329D" w:rsidRDefault="0054329D">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b/>
          <w:color w:val="000000"/>
          <w:sz w:val="24"/>
          <w:szCs w:val="24"/>
        </w:rPr>
      </w:pPr>
    </w:p>
    <w:p w14:paraId="173A3B7F" w14:textId="77777777" w:rsidR="0054329D" w:rsidRDefault="007C2D5C">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sz w:val="24"/>
          <w:szCs w:val="24"/>
        </w:rPr>
        <w:t xml:space="preserve">Acto impugnado. </w:t>
      </w:r>
      <w:r>
        <w:rPr>
          <w:rFonts w:ascii="Palatino Linotype" w:eastAsia="Palatino Linotype" w:hAnsi="Palatino Linotype" w:cs="Palatino Linotype"/>
          <w:i/>
          <w:color w:val="000000"/>
        </w:rPr>
        <w:t>“la respuesta</w:t>
      </w:r>
      <w:r>
        <w:rPr>
          <w:rFonts w:ascii="Palatino Linotype" w:eastAsia="Palatino Linotype" w:hAnsi="Palatino Linotype" w:cs="Palatino Linotype"/>
          <w:i/>
          <w:color w:val="000000"/>
          <w:sz w:val="24"/>
          <w:szCs w:val="24"/>
        </w:rPr>
        <w:t>”.</w:t>
      </w:r>
    </w:p>
    <w:p w14:paraId="300923DF" w14:textId="77777777" w:rsidR="0054329D" w:rsidRDefault="0054329D">
      <w:pPr>
        <w:pBdr>
          <w:top w:val="nil"/>
          <w:left w:val="nil"/>
          <w:bottom w:val="nil"/>
          <w:right w:val="nil"/>
          <w:between w:val="nil"/>
        </w:pBdr>
        <w:tabs>
          <w:tab w:val="left" w:pos="993"/>
        </w:tabs>
        <w:spacing w:after="0" w:line="276" w:lineRule="auto"/>
        <w:ind w:left="567" w:right="701"/>
        <w:jc w:val="both"/>
        <w:rPr>
          <w:rFonts w:ascii="Palatino Linotype" w:eastAsia="Palatino Linotype" w:hAnsi="Palatino Linotype" w:cs="Palatino Linotype"/>
          <w:b/>
          <w:color w:val="000000"/>
          <w:sz w:val="24"/>
          <w:szCs w:val="24"/>
        </w:rPr>
      </w:pPr>
    </w:p>
    <w:p w14:paraId="69B1E658" w14:textId="77777777" w:rsidR="0054329D" w:rsidRDefault="007C2D5C">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sz w:val="24"/>
          <w:szCs w:val="24"/>
        </w:rPr>
        <w:t xml:space="preserve">Razones o motivos de la inconformidad: </w:t>
      </w:r>
      <w:r>
        <w:rPr>
          <w:rFonts w:ascii="Palatino Linotype" w:eastAsia="Palatino Linotype" w:hAnsi="Palatino Linotype" w:cs="Palatino Linotype"/>
          <w:i/>
          <w:color w:val="000000"/>
        </w:rPr>
        <w:t xml:space="preserve">“varias ligas aparecen inhabilitadas, espero me las puedan proporcionar o en su defecto proporcionar el </w:t>
      </w:r>
      <w:proofErr w:type="spellStart"/>
      <w:r>
        <w:rPr>
          <w:rFonts w:ascii="Palatino Linotype" w:eastAsia="Palatino Linotype" w:hAnsi="Palatino Linotype" w:cs="Palatino Linotype"/>
          <w:i/>
          <w:color w:val="000000"/>
        </w:rPr>
        <w:t>pdf</w:t>
      </w:r>
      <w:proofErr w:type="spellEnd"/>
      <w:r>
        <w:rPr>
          <w:rFonts w:ascii="Palatino Linotype" w:eastAsia="Palatino Linotype" w:hAnsi="Palatino Linotype" w:cs="Palatino Linotype"/>
          <w:i/>
          <w:color w:val="000000"/>
        </w:rPr>
        <w:t xml:space="preserve"> por favor</w:t>
      </w:r>
      <w:r>
        <w:rPr>
          <w:rFonts w:ascii="Palatino Linotype" w:eastAsia="Palatino Linotype" w:hAnsi="Palatino Linotype" w:cs="Palatino Linotype"/>
          <w:i/>
          <w:color w:val="000000"/>
          <w:sz w:val="24"/>
          <w:szCs w:val="24"/>
        </w:rPr>
        <w:t>”.</w:t>
      </w:r>
    </w:p>
    <w:p w14:paraId="68DEB0FB" w14:textId="77777777" w:rsidR="0054329D" w:rsidRDefault="0054329D">
      <w:pPr>
        <w:spacing w:after="0" w:line="360" w:lineRule="auto"/>
        <w:ind w:right="49"/>
        <w:jc w:val="both"/>
        <w:rPr>
          <w:rFonts w:ascii="Palatino Linotype" w:eastAsia="Palatino Linotype" w:hAnsi="Palatino Linotype" w:cs="Palatino Linotype"/>
          <w:sz w:val="24"/>
          <w:szCs w:val="24"/>
        </w:rPr>
      </w:pPr>
    </w:p>
    <w:p w14:paraId="4238866B" w14:textId="77777777" w:rsidR="0054329D" w:rsidRDefault="007C2D5C">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Turno.</w:t>
      </w:r>
      <w:r>
        <w:rPr>
          <w:rFonts w:ascii="Palatino Linotype" w:eastAsia="Palatino Linotype" w:hAnsi="Palatino Linotype" w:cs="Palatino Linotype"/>
          <w:color w:val="000000"/>
          <w:sz w:val="24"/>
          <w:szCs w:val="24"/>
        </w:rPr>
        <w:t xml:space="preserve"> 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color w:val="000000"/>
          <w:sz w:val="24"/>
          <w:szCs w:val="24"/>
        </w:rPr>
        <w:t>00554/INFOEM/IP/RR/2023</w:t>
      </w:r>
      <w:r>
        <w:rPr>
          <w:rFonts w:ascii="Palatino Linotype" w:eastAsia="Palatino Linotype" w:hAnsi="Palatino Linotype" w:cs="Palatino Linotype"/>
          <w:color w:val="000000"/>
          <w:sz w:val="24"/>
          <w:szCs w:val="24"/>
        </w:rPr>
        <w:t xml:space="preserve">,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color w:val="000000"/>
          <w:sz w:val="24"/>
          <w:szCs w:val="24"/>
        </w:rPr>
        <w:t xml:space="preserve">Comisionada Guadalupe </w:t>
      </w:r>
      <w:r>
        <w:rPr>
          <w:rFonts w:ascii="Palatino Linotype" w:eastAsia="Palatino Linotype" w:hAnsi="Palatino Linotype" w:cs="Palatino Linotype"/>
          <w:b/>
          <w:color w:val="000000"/>
          <w:sz w:val="24"/>
          <w:szCs w:val="24"/>
        </w:rPr>
        <w:lastRenderedPageBreak/>
        <w:t>Ramírez Peña</w:t>
      </w:r>
      <w:r>
        <w:rPr>
          <w:rFonts w:ascii="Palatino Linotype" w:eastAsia="Palatino Linotype" w:hAnsi="Palatino Linotype" w:cs="Palatino Linotype"/>
          <w:color w:val="000000"/>
          <w:sz w:val="24"/>
          <w:szCs w:val="24"/>
        </w:rPr>
        <w:t xml:space="preserve"> para su análisis, estudio, elaboración del proyecto y presentación ante el Pleno de este Instituto.</w:t>
      </w:r>
    </w:p>
    <w:p w14:paraId="0D898CAB" w14:textId="77777777" w:rsidR="0054329D" w:rsidRDefault="0054329D">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70E62EC5" w14:textId="77777777" w:rsidR="0054329D" w:rsidRDefault="007C2D5C">
      <w:pPr>
        <w:numPr>
          <w:ilvl w:val="0"/>
          <w:numId w:val="5"/>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Admisión del recurso de revisión</w:t>
      </w:r>
      <w:r>
        <w:rPr>
          <w:rFonts w:ascii="Palatino Linotype" w:eastAsia="Palatino Linotype" w:hAnsi="Palatino Linotype" w:cs="Palatino Linotype"/>
          <w:color w:val="000000"/>
          <w:sz w:val="24"/>
          <w:szCs w:val="24"/>
        </w:rPr>
        <w:t xml:space="preserve">: En fecha </w:t>
      </w:r>
      <w:r>
        <w:rPr>
          <w:rFonts w:ascii="Palatino Linotype" w:eastAsia="Palatino Linotype" w:hAnsi="Palatino Linotype" w:cs="Palatino Linotype"/>
          <w:b/>
          <w:color w:val="000000"/>
          <w:sz w:val="24"/>
          <w:szCs w:val="24"/>
        </w:rPr>
        <w:t>tres de febrero de dos mil veintitrés</w:t>
      </w:r>
      <w:r>
        <w:rPr>
          <w:rFonts w:ascii="Palatino Linotype" w:eastAsia="Palatino Linotype" w:hAnsi="Palatino Linotype" w:cs="Palatino Linotype"/>
          <w:color w:val="000000"/>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499D33AD" w14:textId="77777777" w:rsidR="0054329D" w:rsidRDefault="0054329D">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2ED45448" w14:textId="77777777" w:rsidR="0054329D" w:rsidRDefault="007C2D5C">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4"/>
          <w:szCs w:val="24"/>
        </w:rPr>
        <w:t xml:space="preserve">Informe Justificado. </w:t>
      </w:r>
      <w:r>
        <w:rPr>
          <w:rFonts w:ascii="Palatino Linotype" w:eastAsia="Palatino Linotype" w:hAnsi="Palatino Linotype" w:cs="Palatino Linotype"/>
          <w:color w:val="000000"/>
          <w:sz w:val="24"/>
          <w:szCs w:val="24"/>
        </w:rPr>
        <w:t xml:space="preserve">En fecha </w:t>
      </w:r>
      <w:r>
        <w:rPr>
          <w:rFonts w:ascii="Palatino Linotype" w:eastAsia="Palatino Linotype" w:hAnsi="Palatino Linotype" w:cs="Palatino Linotype"/>
          <w:b/>
          <w:color w:val="000000"/>
          <w:sz w:val="24"/>
          <w:szCs w:val="24"/>
        </w:rPr>
        <w:t>quince de febrero de dos mil veintitrés</w:t>
      </w:r>
      <w:r>
        <w:rPr>
          <w:rFonts w:ascii="Palatino Linotype" w:eastAsia="Palatino Linotype" w:hAnsi="Palatino Linotype" w:cs="Palatino Linotype"/>
          <w:color w:val="000000"/>
          <w:sz w:val="24"/>
          <w:szCs w:val="24"/>
        </w:rPr>
        <w:t xml:space="preserve">,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remitió su informe justificado, mediante los archivos electrónicos que a continuación se describen: </w:t>
      </w:r>
    </w:p>
    <w:p w14:paraId="22B21F3B" w14:textId="77777777" w:rsidR="0054329D" w:rsidRDefault="0054329D">
      <w:pPr>
        <w:pBdr>
          <w:top w:val="nil"/>
          <w:left w:val="nil"/>
          <w:bottom w:val="nil"/>
          <w:right w:val="nil"/>
          <w:between w:val="nil"/>
        </w:pBdr>
        <w:spacing w:after="0"/>
        <w:ind w:left="720"/>
        <w:rPr>
          <w:rFonts w:ascii="Palatino Linotype" w:eastAsia="Palatino Linotype" w:hAnsi="Palatino Linotype" w:cs="Palatino Linotype"/>
          <w:color w:val="000000"/>
        </w:rPr>
      </w:pPr>
    </w:p>
    <w:p w14:paraId="2664E271" w14:textId="77777777" w:rsidR="0054329D" w:rsidRDefault="007C2D5C">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color w:val="000000"/>
        </w:rPr>
        <w:t>Archivo electrónico denominado “</w:t>
      </w:r>
      <w:r>
        <w:rPr>
          <w:rFonts w:ascii="Palatino Linotype" w:eastAsia="Palatino Linotype" w:hAnsi="Palatino Linotype" w:cs="Palatino Linotype"/>
          <w:b/>
          <w:i/>
          <w:color w:val="000000"/>
        </w:rPr>
        <w:t>InformeJustificadoRecurso554UT_2023.pdf</w:t>
      </w:r>
      <w:r>
        <w:rPr>
          <w:rFonts w:ascii="Palatino Linotype" w:eastAsia="Palatino Linotype" w:hAnsi="Palatino Linotype" w:cs="Palatino Linotype"/>
          <w:color w:val="000000"/>
        </w:rPr>
        <w:t>”:</w:t>
      </w:r>
      <w:r>
        <w:rPr>
          <w:color w:val="000000"/>
        </w:rPr>
        <w:t xml:space="preserve"> </w:t>
      </w:r>
      <w:r>
        <w:rPr>
          <w:rFonts w:ascii="Palatino Linotype" w:eastAsia="Palatino Linotype" w:hAnsi="Palatino Linotype" w:cs="Palatino Linotype"/>
          <w:color w:val="000000"/>
        </w:rPr>
        <w:t xml:space="preserve">Oficio número INFOEM/UT/075/2023, del quince de febrero de dos mil veintitrés, a través del cual el Titular de la Unidad de Transparencia rinde informe justificado en el que con relación al recurso de revisión que nos ocupa indica que; una vez analizada la solicitud de información se requirió la misma a los servidores públicos habilitados de la Dirección General de Protección de Datos Personales y de la Dirección General Jurídica y de Verificación, mismos que proporcionaron su respuesta en los términos indicados; por lo que, una vez teniendo conocimiento del recurso de revisión, el mismo se informó a dichos servidores públicos habilitados, los cuales rindieron sus informes mediante memorándum </w:t>
      </w:r>
      <w:r>
        <w:rPr>
          <w:rFonts w:ascii="Palatino Linotype" w:eastAsia="Palatino Linotype" w:hAnsi="Palatino Linotype" w:cs="Palatino Linotype"/>
          <w:color w:val="000000"/>
        </w:rPr>
        <w:lastRenderedPageBreak/>
        <w:t>y oficios MM/INFOEM/DGJV/0054/2023 e INFOEM/DGPDP/085/2023, donde remiten información en alcance para que sea puesta a disposición del particular, esto es, los documentos a que direccionaban las ligas electrónicas proporcionadas en su respuesta.</w:t>
      </w:r>
    </w:p>
    <w:p w14:paraId="074FD1E3" w14:textId="77777777" w:rsidR="0054329D" w:rsidRDefault="0054329D">
      <w:pPr>
        <w:pBdr>
          <w:top w:val="nil"/>
          <w:left w:val="nil"/>
          <w:bottom w:val="nil"/>
          <w:right w:val="nil"/>
          <w:between w:val="nil"/>
        </w:pBdr>
        <w:spacing w:after="0" w:line="360" w:lineRule="auto"/>
        <w:ind w:left="360" w:right="49"/>
        <w:jc w:val="both"/>
        <w:rPr>
          <w:rFonts w:ascii="Palatino Linotype" w:eastAsia="Palatino Linotype" w:hAnsi="Palatino Linotype" w:cs="Palatino Linotype"/>
          <w:color w:val="000000"/>
        </w:rPr>
      </w:pPr>
    </w:p>
    <w:p w14:paraId="1C3393DC" w14:textId="77777777" w:rsidR="0054329D" w:rsidRDefault="007C2D5C">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Lo anterior, ya que el solicitante en sus motivos de inconformidad arguyó que varias de las ligas electrónicas proporcionadas no le permitían la consulta de la documentación que requería; por lo que, dichos servidores públicos habilitados remitieron los documentos a que direccionaban dichas ligas electrónicas, </w:t>
      </w:r>
      <w:r>
        <w:rPr>
          <w:rFonts w:ascii="Palatino Linotype" w:eastAsia="Palatino Linotype" w:hAnsi="Palatino Linotype" w:cs="Palatino Linotype"/>
          <w:b/>
          <w:color w:val="000000"/>
        </w:rPr>
        <w:t>consistentes en los ordenamientos jurídicos y criterios que, en su caso, se relacionan con la elaboración de versiones públicas por los Sujetos Obligados.</w:t>
      </w:r>
    </w:p>
    <w:p w14:paraId="01BC20B7" w14:textId="77777777" w:rsidR="0054329D" w:rsidRDefault="0054329D">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color w:val="000000"/>
        </w:rPr>
      </w:pPr>
    </w:p>
    <w:p w14:paraId="293FAC07" w14:textId="77777777" w:rsidR="0054329D" w:rsidRDefault="007C2D5C">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Archivo electrónico denominado “</w:t>
      </w:r>
      <w:r>
        <w:rPr>
          <w:rFonts w:ascii="Palatino Linotype" w:eastAsia="Palatino Linotype" w:hAnsi="Palatino Linotype" w:cs="Palatino Linotype"/>
          <w:b/>
          <w:i/>
          <w:color w:val="000000"/>
        </w:rPr>
        <w:t>RequerimientoInformeRR00554DGJV2023.pdf</w:t>
      </w:r>
      <w:r>
        <w:rPr>
          <w:rFonts w:ascii="Palatino Linotype" w:eastAsia="Palatino Linotype" w:hAnsi="Palatino Linotype" w:cs="Palatino Linotype"/>
          <w:color w:val="000000"/>
        </w:rPr>
        <w:t>”: Oficio número INFOEM/UT/026/2023 del siete de febrero de dos mil veintitrés, a través del cual el Titular de la Unidad de Transparencia; en primer término, informó al servidor público habilitado de la Dirección General Jurídica y de Verificación la interposición del presente recurso de revisión, así como el acto impugnado y las razones y motivos de inconformidad; asimismo, solicitó remitiera el informe derivado de la respuesta a la solicitud de información a fin de integrar y rendir el informe justificado correspondiente.</w:t>
      </w:r>
    </w:p>
    <w:p w14:paraId="0AB74E15" w14:textId="77777777" w:rsidR="0054329D" w:rsidRDefault="0054329D">
      <w:pPr>
        <w:pBdr>
          <w:top w:val="nil"/>
          <w:left w:val="nil"/>
          <w:bottom w:val="nil"/>
          <w:right w:val="nil"/>
          <w:between w:val="nil"/>
        </w:pBdr>
        <w:spacing w:after="0" w:line="360" w:lineRule="auto"/>
        <w:ind w:left="360" w:right="49"/>
        <w:jc w:val="both"/>
        <w:rPr>
          <w:rFonts w:ascii="Palatino Linotype" w:eastAsia="Palatino Linotype" w:hAnsi="Palatino Linotype" w:cs="Palatino Linotype"/>
          <w:color w:val="000000"/>
        </w:rPr>
      </w:pPr>
    </w:p>
    <w:p w14:paraId="353B3553" w14:textId="77777777" w:rsidR="0054329D" w:rsidRDefault="007C2D5C">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Archivo electrónico denominado “</w:t>
      </w:r>
      <w:r>
        <w:rPr>
          <w:rFonts w:ascii="Palatino Linotype" w:eastAsia="Palatino Linotype" w:hAnsi="Palatino Linotype" w:cs="Palatino Linotype"/>
          <w:b/>
          <w:i/>
          <w:color w:val="000000"/>
        </w:rPr>
        <w:t>RequerimientoInformeRR00554DGPDP2023.pdf</w:t>
      </w:r>
      <w:r>
        <w:rPr>
          <w:rFonts w:ascii="Palatino Linotype" w:eastAsia="Palatino Linotype" w:hAnsi="Palatino Linotype" w:cs="Palatino Linotype"/>
          <w:color w:val="000000"/>
        </w:rPr>
        <w:t xml:space="preserve">”: Oficio número INFOEM/UT/067/2023 del siete de febrero de dos mil veintitrés, a través del cual el Titular de la Unidad de Transparencia; en primer término, informó al servidor público habilitado de la Dirección General de Protección de Datos Personales la </w:t>
      </w:r>
      <w:r>
        <w:rPr>
          <w:rFonts w:ascii="Palatino Linotype" w:eastAsia="Palatino Linotype" w:hAnsi="Palatino Linotype" w:cs="Palatino Linotype"/>
          <w:color w:val="000000"/>
        </w:rPr>
        <w:lastRenderedPageBreak/>
        <w:t>interposición del presente recurso de revisión, así como el acto impugnado y las razones y motivos de inconformidad; asimismo, solicitó remitiera el informe derivado de la respuesta a la solicitud de información a fin de integrar y rendir el informe justificado correspondiente.</w:t>
      </w:r>
    </w:p>
    <w:p w14:paraId="3B7985BF" w14:textId="77777777" w:rsidR="0054329D" w:rsidRDefault="0054329D">
      <w:pPr>
        <w:pBdr>
          <w:top w:val="nil"/>
          <w:left w:val="nil"/>
          <w:bottom w:val="nil"/>
          <w:right w:val="nil"/>
          <w:between w:val="nil"/>
        </w:pBdr>
        <w:spacing w:after="0" w:line="360" w:lineRule="auto"/>
        <w:ind w:left="360" w:right="49"/>
        <w:jc w:val="both"/>
        <w:rPr>
          <w:rFonts w:ascii="Palatino Linotype" w:eastAsia="Palatino Linotype" w:hAnsi="Palatino Linotype" w:cs="Palatino Linotype"/>
          <w:color w:val="000000"/>
        </w:rPr>
      </w:pPr>
    </w:p>
    <w:p w14:paraId="400CCD00" w14:textId="77777777" w:rsidR="0054329D" w:rsidRDefault="007C2D5C">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bookmarkStart w:id="6" w:name="_heading=h.4d34og8" w:colFirst="0" w:colLast="0"/>
      <w:bookmarkEnd w:id="6"/>
      <w:r>
        <w:rPr>
          <w:rFonts w:ascii="Palatino Linotype" w:eastAsia="Palatino Linotype" w:hAnsi="Palatino Linotype" w:cs="Palatino Linotype"/>
          <w:color w:val="000000"/>
        </w:rPr>
        <w:t>Archivos electrónicos denominados “</w:t>
      </w:r>
      <w:r>
        <w:rPr>
          <w:rFonts w:ascii="Palatino Linotype" w:eastAsia="Palatino Linotype" w:hAnsi="Palatino Linotype" w:cs="Palatino Linotype"/>
          <w:b/>
          <w:i/>
          <w:color w:val="000000"/>
        </w:rPr>
        <w:t xml:space="preserve">InformeJustificadoRR005543DGJV.pdf” </w:t>
      </w:r>
      <w:r>
        <w:rPr>
          <w:rFonts w:ascii="Palatino Linotype" w:eastAsia="Palatino Linotype" w:hAnsi="Palatino Linotype" w:cs="Palatino Linotype"/>
          <w:color w:val="000000"/>
        </w:rPr>
        <w:t>y “</w:t>
      </w:r>
      <w:r>
        <w:rPr>
          <w:rFonts w:ascii="Palatino Linotype" w:eastAsia="Palatino Linotype" w:hAnsi="Palatino Linotype" w:cs="Palatino Linotype"/>
          <w:b/>
          <w:i/>
          <w:color w:val="000000"/>
        </w:rPr>
        <w:t>InformeJustificadoRR005543DGJV.docx</w:t>
      </w:r>
      <w:r>
        <w:rPr>
          <w:rFonts w:ascii="Palatino Linotype" w:eastAsia="Palatino Linotype" w:hAnsi="Palatino Linotype" w:cs="Palatino Linotype"/>
          <w:color w:val="000000"/>
        </w:rPr>
        <w:t>”: En versión “</w:t>
      </w:r>
      <w:proofErr w:type="spellStart"/>
      <w:r>
        <w:rPr>
          <w:rFonts w:ascii="Palatino Linotype" w:eastAsia="Palatino Linotype" w:hAnsi="Palatino Linotype" w:cs="Palatino Linotype"/>
          <w:color w:val="000000"/>
        </w:rPr>
        <w:t>word</w:t>
      </w:r>
      <w:proofErr w:type="spellEnd"/>
      <w:r>
        <w:rPr>
          <w:rFonts w:ascii="Palatino Linotype" w:eastAsia="Palatino Linotype" w:hAnsi="Palatino Linotype" w:cs="Palatino Linotype"/>
          <w:color w:val="000000"/>
        </w:rPr>
        <w:t>” y “</w:t>
      </w:r>
      <w:proofErr w:type="spellStart"/>
      <w:r>
        <w:rPr>
          <w:rFonts w:ascii="Palatino Linotype" w:eastAsia="Palatino Linotype" w:hAnsi="Palatino Linotype" w:cs="Palatino Linotype"/>
          <w:color w:val="000000"/>
        </w:rPr>
        <w:t>pdf</w:t>
      </w:r>
      <w:proofErr w:type="spellEnd"/>
      <w:r>
        <w:rPr>
          <w:rFonts w:ascii="Palatino Linotype" w:eastAsia="Palatino Linotype" w:hAnsi="Palatino Linotype" w:cs="Palatino Linotype"/>
          <w:color w:val="000000"/>
        </w:rPr>
        <w:t>” el oficio número MM/INFOEM/DGJV/0054/2023 del ocho de febrero de dos mil veintitrés, a través del cual el Director General Jurídico y de Verificación rindió su informe justificado, en el sentido de que, la solicitud de información fue atendida mediante memorándum número INFOEM/DGJV/0034/2023</w:t>
      </w:r>
      <w:r>
        <w:rPr>
          <w:color w:val="000000"/>
        </w:rPr>
        <w:t xml:space="preserve"> d</w:t>
      </w:r>
      <w:r>
        <w:rPr>
          <w:rFonts w:ascii="Palatino Linotype" w:eastAsia="Palatino Linotype" w:hAnsi="Palatino Linotype" w:cs="Palatino Linotype"/>
          <w:color w:val="000000"/>
        </w:rPr>
        <w:t>el treinta de enero de dos mil veintitrés, proporcionando de nueva cuenta los links de la normatividad aplicable para la elaboración de versiones públicas:</w:t>
      </w:r>
    </w:p>
    <w:p w14:paraId="46213FF5" w14:textId="77777777" w:rsidR="0054329D" w:rsidRDefault="0054329D">
      <w:pPr>
        <w:pBdr>
          <w:top w:val="nil"/>
          <w:left w:val="nil"/>
          <w:bottom w:val="nil"/>
          <w:right w:val="nil"/>
          <w:between w:val="nil"/>
        </w:pBdr>
        <w:spacing w:after="0" w:line="360" w:lineRule="auto"/>
        <w:ind w:left="360" w:right="49"/>
        <w:jc w:val="both"/>
        <w:rPr>
          <w:rFonts w:ascii="Palatino Linotype" w:eastAsia="Palatino Linotype" w:hAnsi="Palatino Linotype" w:cs="Palatino Linotype"/>
          <w:color w:val="000000"/>
        </w:rPr>
      </w:pPr>
    </w:p>
    <w:p w14:paraId="049F745F" w14:textId="77777777" w:rsidR="0054329D" w:rsidRDefault="007C2D5C">
      <w:pPr>
        <w:pBdr>
          <w:top w:val="nil"/>
          <w:left w:val="nil"/>
          <w:bottom w:val="nil"/>
          <w:right w:val="nil"/>
          <w:between w:val="nil"/>
        </w:pBdr>
        <w:spacing w:after="0" w:line="360" w:lineRule="auto"/>
        <w:ind w:left="360" w:right="49"/>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42B6B576" wp14:editId="765C5A0A">
            <wp:extent cx="5168662" cy="1265813"/>
            <wp:effectExtent l="3175" t="3175" r="3175" b="3175"/>
            <wp:docPr id="20980699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168662" cy="1265813"/>
                    </a:xfrm>
                    <a:prstGeom prst="rect">
                      <a:avLst/>
                    </a:prstGeom>
                    <a:ln w="3175">
                      <a:solidFill>
                        <a:srgbClr val="000000"/>
                      </a:solidFill>
                      <a:prstDash val="solid"/>
                    </a:ln>
                  </pic:spPr>
                </pic:pic>
              </a:graphicData>
            </a:graphic>
          </wp:inline>
        </w:drawing>
      </w:r>
    </w:p>
    <w:p w14:paraId="7440163C" w14:textId="77777777" w:rsidR="0054329D" w:rsidRDefault="007C2D5C">
      <w:pPr>
        <w:pBdr>
          <w:top w:val="nil"/>
          <w:left w:val="nil"/>
          <w:bottom w:val="nil"/>
          <w:right w:val="nil"/>
          <w:between w:val="nil"/>
        </w:pBdr>
        <w:spacing w:after="0" w:line="360" w:lineRule="auto"/>
        <w:ind w:left="360" w:right="49"/>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p>
    <w:p w14:paraId="59A1DEB3" w14:textId="77777777" w:rsidR="0054329D" w:rsidRDefault="007C2D5C">
      <w:pPr>
        <w:pBdr>
          <w:top w:val="nil"/>
          <w:left w:val="nil"/>
          <w:bottom w:val="nil"/>
          <w:right w:val="nil"/>
          <w:between w:val="nil"/>
        </w:pBdr>
        <w:spacing w:after="0" w:line="360" w:lineRule="auto"/>
        <w:ind w:left="360" w:right="49"/>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lastRenderedPageBreak/>
        <w:drawing>
          <wp:inline distT="0" distB="0" distL="0" distR="0" wp14:anchorId="4FF71A3B" wp14:editId="55B63927">
            <wp:extent cx="5194567" cy="1409772"/>
            <wp:effectExtent l="3175" t="3175" r="3175" b="3175"/>
            <wp:docPr id="20980699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194567" cy="1409772"/>
                    </a:xfrm>
                    <a:prstGeom prst="rect">
                      <a:avLst/>
                    </a:prstGeom>
                    <a:ln w="3175">
                      <a:solidFill>
                        <a:srgbClr val="000000"/>
                      </a:solidFill>
                      <a:prstDash val="solid"/>
                    </a:ln>
                  </pic:spPr>
                </pic:pic>
              </a:graphicData>
            </a:graphic>
          </wp:inline>
        </w:drawing>
      </w:r>
    </w:p>
    <w:p w14:paraId="31E9703D" w14:textId="77777777" w:rsidR="0054329D" w:rsidRDefault="0054329D">
      <w:pPr>
        <w:pBdr>
          <w:top w:val="nil"/>
          <w:left w:val="nil"/>
          <w:bottom w:val="nil"/>
          <w:right w:val="nil"/>
          <w:between w:val="nil"/>
        </w:pBdr>
        <w:spacing w:after="0" w:line="360" w:lineRule="auto"/>
        <w:ind w:left="360" w:right="49"/>
        <w:jc w:val="both"/>
        <w:rPr>
          <w:rFonts w:ascii="Palatino Linotype" w:eastAsia="Palatino Linotype" w:hAnsi="Palatino Linotype" w:cs="Palatino Linotype"/>
          <w:color w:val="000000"/>
        </w:rPr>
      </w:pPr>
    </w:p>
    <w:p w14:paraId="6383AD9F" w14:textId="77777777" w:rsidR="0054329D" w:rsidRDefault="007C2D5C">
      <w:pPr>
        <w:pBdr>
          <w:top w:val="nil"/>
          <w:left w:val="nil"/>
          <w:bottom w:val="nil"/>
          <w:right w:val="nil"/>
          <w:between w:val="nil"/>
        </w:pBdr>
        <w:spacing w:after="0" w:line="360" w:lineRule="auto"/>
        <w:ind w:left="360" w:right="49"/>
        <w:jc w:val="both"/>
        <w:rPr>
          <w:rFonts w:ascii="Palatino Linotype" w:eastAsia="Palatino Linotype" w:hAnsi="Palatino Linotype" w:cs="Palatino Linotype"/>
          <w:color w:val="000000"/>
          <w:u w:val="single"/>
        </w:rPr>
      </w:pPr>
      <w:r>
        <w:rPr>
          <w:rFonts w:ascii="Palatino Linotype" w:eastAsia="Palatino Linotype" w:hAnsi="Palatino Linotype" w:cs="Palatino Linotype"/>
          <w:color w:val="000000"/>
        </w:rPr>
        <w:t xml:space="preserve">Asimismo, en dicho oficio, se informó que al realizar una revisión de los links proporcionados, se pudo apreciar que sí se puede visualizar la información solicitada por la parte recurrente, no obstante, atendiendo el principio de máxima publicidad, se proporcionaba en formato ”PDF” los archivos que contenía la normatividad siguiente: </w:t>
      </w:r>
      <w:r>
        <w:rPr>
          <w:rFonts w:ascii="Palatino Linotype" w:eastAsia="Palatino Linotype" w:hAnsi="Palatino Linotype" w:cs="Palatino Linotype"/>
          <w:color w:val="000000"/>
          <w:u w:val="single"/>
        </w:rPr>
        <w:t xml:space="preserve">Ley General de Transparencia y Acceso a la Información Pública; Ley de Transparencia y Acceso a la Información Pública y Protección de Datos Personales del Estado de México y Municipios; Ley de Protección de Datos Personales en Posesión de Sujetos Obligados del Estado de México y Municipios; Lineamientos Generales de Protección de Datos Personales para el Sector Público; Lineamientos Generales en Materia de Clasificación y Desclasificación de la Información, así como para la elaboración de versiones públicas; Lineamientos Técnicos Generales para la Publicación, Homologación y Estandarización de la Información de las Obligaciones Establecidas en el Titulo Quinto y en la Fracción IV del Artículo 31 de la Ley General de Transparencia  y Acceso a la Información Pública, que deben de Difundir los Sujetos Obligados en los Portales de Internet y en la Plataforma Nacional de Transparencia, en lo Referente a la Fracción II del Artículo 73 de la Ley General de Transparencia y Acceso a la Información Pública; Criterio 002 10 emitido por el Instituto de Transparencia, Acceso a la Información Pública y Protección de Datos </w:t>
      </w:r>
      <w:r>
        <w:rPr>
          <w:rFonts w:ascii="Palatino Linotype" w:eastAsia="Palatino Linotype" w:hAnsi="Palatino Linotype" w:cs="Palatino Linotype"/>
          <w:color w:val="000000"/>
          <w:u w:val="single"/>
        </w:rPr>
        <w:lastRenderedPageBreak/>
        <w:t>Personales del Estado de México y Municipios, denominado Versiones Públicas. Para su validez los Sujetos Obligados deberán generarlas de conformidad con las formalidades establecidas en la normatividad aplicable.</w:t>
      </w:r>
    </w:p>
    <w:p w14:paraId="4DA8A851" w14:textId="77777777" w:rsidR="0054329D" w:rsidRDefault="0054329D">
      <w:pPr>
        <w:pBdr>
          <w:top w:val="nil"/>
          <w:left w:val="nil"/>
          <w:bottom w:val="nil"/>
          <w:right w:val="nil"/>
          <w:between w:val="nil"/>
        </w:pBdr>
        <w:spacing w:after="0" w:line="360" w:lineRule="auto"/>
        <w:ind w:left="360" w:right="49"/>
        <w:jc w:val="both"/>
        <w:rPr>
          <w:rFonts w:ascii="Palatino Linotype" w:eastAsia="Palatino Linotype" w:hAnsi="Palatino Linotype" w:cs="Palatino Linotype"/>
          <w:color w:val="000000"/>
          <w:u w:val="single"/>
        </w:rPr>
      </w:pPr>
    </w:p>
    <w:p w14:paraId="5A4E196B" w14:textId="77777777" w:rsidR="0054329D" w:rsidRDefault="007C2D5C">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Archivos electrónicos denominados “</w:t>
      </w:r>
      <w:r>
        <w:rPr>
          <w:rFonts w:ascii="Palatino Linotype" w:eastAsia="Palatino Linotype" w:hAnsi="Palatino Linotype" w:cs="Palatino Linotype"/>
          <w:b/>
          <w:i/>
          <w:color w:val="000000"/>
        </w:rPr>
        <w:t xml:space="preserve">InformeJustificadoRR005543DGPDP.pdf” </w:t>
      </w:r>
      <w:r>
        <w:rPr>
          <w:rFonts w:ascii="Palatino Linotype" w:eastAsia="Palatino Linotype" w:hAnsi="Palatino Linotype" w:cs="Palatino Linotype"/>
          <w:color w:val="000000"/>
        </w:rPr>
        <w:t>y “</w:t>
      </w:r>
      <w:r>
        <w:rPr>
          <w:rFonts w:ascii="Palatino Linotype" w:eastAsia="Palatino Linotype" w:hAnsi="Palatino Linotype" w:cs="Palatino Linotype"/>
          <w:b/>
          <w:i/>
          <w:color w:val="000000"/>
        </w:rPr>
        <w:t>InformeJustificadoRR005543DGPDP.docx</w:t>
      </w:r>
      <w:r>
        <w:rPr>
          <w:rFonts w:ascii="Palatino Linotype" w:eastAsia="Palatino Linotype" w:hAnsi="Palatino Linotype" w:cs="Palatino Linotype"/>
          <w:color w:val="000000"/>
        </w:rPr>
        <w:t>”: En versión “</w:t>
      </w:r>
      <w:proofErr w:type="spellStart"/>
      <w:r>
        <w:rPr>
          <w:rFonts w:ascii="Palatino Linotype" w:eastAsia="Palatino Linotype" w:hAnsi="Palatino Linotype" w:cs="Palatino Linotype"/>
          <w:color w:val="000000"/>
        </w:rPr>
        <w:t>word</w:t>
      </w:r>
      <w:proofErr w:type="spellEnd"/>
      <w:r>
        <w:rPr>
          <w:rFonts w:ascii="Palatino Linotype" w:eastAsia="Palatino Linotype" w:hAnsi="Palatino Linotype" w:cs="Palatino Linotype"/>
          <w:color w:val="000000"/>
        </w:rPr>
        <w:t>” y “</w:t>
      </w:r>
      <w:proofErr w:type="spellStart"/>
      <w:r>
        <w:rPr>
          <w:rFonts w:ascii="Palatino Linotype" w:eastAsia="Palatino Linotype" w:hAnsi="Palatino Linotype" w:cs="Palatino Linotype"/>
          <w:color w:val="000000"/>
        </w:rPr>
        <w:t>pdf</w:t>
      </w:r>
      <w:proofErr w:type="spellEnd"/>
      <w:r>
        <w:rPr>
          <w:rFonts w:ascii="Palatino Linotype" w:eastAsia="Palatino Linotype" w:hAnsi="Palatino Linotype" w:cs="Palatino Linotype"/>
          <w:color w:val="000000"/>
        </w:rPr>
        <w:t xml:space="preserve">” el oficio número INFOEM/DGPDP/085/2023, del ocho de febrero de dos mil veintitrés, a través del cual el Director General de Protección de Datos Personales rindió su informe justificado, en el sentido de que, en atención al acto impugnado y las razones o motivos de inconformidad de la parte recurrente, adjuntaba en formato </w:t>
      </w:r>
      <w:proofErr w:type="spellStart"/>
      <w:r>
        <w:rPr>
          <w:rFonts w:ascii="Palatino Linotype" w:eastAsia="Palatino Linotype" w:hAnsi="Palatino Linotype" w:cs="Palatino Linotype"/>
          <w:color w:val="000000"/>
        </w:rPr>
        <w:t>pdf</w:t>
      </w:r>
      <w:proofErr w:type="spellEnd"/>
      <w:r>
        <w:rPr>
          <w:rFonts w:ascii="Palatino Linotype" w:eastAsia="Palatino Linotype" w:hAnsi="Palatino Linotype" w:cs="Palatino Linotype"/>
          <w:color w:val="000000"/>
        </w:rPr>
        <w:t xml:space="preserve"> los siguientes documentos:</w:t>
      </w:r>
    </w:p>
    <w:p w14:paraId="01321097" w14:textId="77777777" w:rsidR="0054329D" w:rsidRDefault="0054329D">
      <w:pPr>
        <w:pBdr>
          <w:top w:val="nil"/>
          <w:left w:val="nil"/>
          <w:bottom w:val="nil"/>
          <w:right w:val="nil"/>
          <w:between w:val="nil"/>
        </w:pBdr>
        <w:spacing w:after="0" w:line="360" w:lineRule="auto"/>
        <w:ind w:left="360" w:right="49"/>
        <w:jc w:val="both"/>
        <w:rPr>
          <w:rFonts w:ascii="Palatino Linotype" w:eastAsia="Palatino Linotype" w:hAnsi="Palatino Linotype" w:cs="Palatino Linotype"/>
          <w:color w:val="000000"/>
        </w:rPr>
      </w:pPr>
    </w:p>
    <w:p w14:paraId="78B327DA" w14:textId="77777777" w:rsidR="0054329D" w:rsidRDefault="007C2D5C">
      <w:pPr>
        <w:pBdr>
          <w:top w:val="nil"/>
          <w:left w:val="nil"/>
          <w:bottom w:val="nil"/>
          <w:right w:val="nil"/>
          <w:between w:val="nil"/>
        </w:pBdr>
        <w:spacing w:after="0" w:line="360" w:lineRule="auto"/>
        <w:ind w:left="360" w:right="49"/>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4ABB6057" wp14:editId="116BB4E9">
            <wp:extent cx="5323186" cy="2400367"/>
            <wp:effectExtent l="3175" t="3175" r="3175" b="3175"/>
            <wp:docPr id="20980699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323186" cy="2400367"/>
                    </a:xfrm>
                    <a:prstGeom prst="rect">
                      <a:avLst/>
                    </a:prstGeom>
                    <a:ln w="3175">
                      <a:solidFill>
                        <a:srgbClr val="000000"/>
                      </a:solidFill>
                      <a:prstDash val="solid"/>
                    </a:ln>
                  </pic:spPr>
                </pic:pic>
              </a:graphicData>
            </a:graphic>
          </wp:inline>
        </w:drawing>
      </w:r>
    </w:p>
    <w:p w14:paraId="0C0CBC7A" w14:textId="77777777" w:rsidR="0054329D" w:rsidRDefault="007C2D5C">
      <w:pPr>
        <w:pBdr>
          <w:top w:val="nil"/>
          <w:left w:val="nil"/>
          <w:bottom w:val="nil"/>
          <w:right w:val="nil"/>
          <w:between w:val="nil"/>
        </w:pBdr>
        <w:spacing w:after="0" w:line="360" w:lineRule="auto"/>
        <w:ind w:left="360" w:right="49"/>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p>
    <w:p w14:paraId="5FA75116" w14:textId="77777777" w:rsidR="0054329D" w:rsidRDefault="007C2D5C">
      <w:pPr>
        <w:pBdr>
          <w:top w:val="nil"/>
          <w:left w:val="nil"/>
          <w:bottom w:val="nil"/>
          <w:right w:val="nil"/>
          <w:between w:val="nil"/>
        </w:pBdr>
        <w:spacing w:after="0" w:line="360" w:lineRule="auto"/>
        <w:ind w:left="360" w:right="49"/>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lastRenderedPageBreak/>
        <w:drawing>
          <wp:inline distT="0" distB="0" distL="0" distR="0" wp14:anchorId="6C08172C" wp14:editId="0D6DEC99">
            <wp:extent cx="5349206" cy="2512447"/>
            <wp:effectExtent l="3175" t="3175" r="3175" b="3175"/>
            <wp:docPr id="209806998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5349206" cy="2512447"/>
                    </a:xfrm>
                    <a:prstGeom prst="rect">
                      <a:avLst/>
                    </a:prstGeom>
                    <a:ln w="3175">
                      <a:solidFill>
                        <a:srgbClr val="000000"/>
                      </a:solidFill>
                      <a:prstDash val="solid"/>
                    </a:ln>
                  </pic:spPr>
                </pic:pic>
              </a:graphicData>
            </a:graphic>
          </wp:inline>
        </w:drawing>
      </w:r>
    </w:p>
    <w:p w14:paraId="30DE9EBF" w14:textId="77777777" w:rsidR="0054329D" w:rsidRDefault="0054329D">
      <w:pPr>
        <w:pBdr>
          <w:top w:val="nil"/>
          <w:left w:val="nil"/>
          <w:bottom w:val="nil"/>
          <w:right w:val="nil"/>
          <w:between w:val="nil"/>
        </w:pBdr>
        <w:spacing w:after="0" w:line="360" w:lineRule="auto"/>
        <w:ind w:left="360" w:right="49"/>
        <w:jc w:val="both"/>
        <w:rPr>
          <w:rFonts w:ascii="Palatino Linotype" w:eastAsia="Palatino Linotype" w:hAnsi="Palatino Linotype" w:cs="Palatino Linotype"/>
          <w:color w:val="000000"/>
        </w:rPr>
      </w:pPr>
    </w:p>
    <w:p w14:paraId="677CD27C" w14:textId="77777777" w:rsidR="0054329D" w:rsidRDefault="007C2D5C">
      <w:pPr>
        <w:pBdr>
          <w:top w:val="nil"/>
          <w:left w:val="nil"/>
          <w:bottom w:val="nil"/>
          <w:right w:val="nil"/>
          <w:between w:val="nil"/>
        </w:pBdr>
        <w:spacing w:after="0" w:line="360" w:lineRule="auto"/>
        <w:ind w:left="360"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en lo relativo a los Criterios Orientadores Derivados de las Resoluciones emitidas del INFOEM y los Criterios de Interpretación del INAI, y por las características específicas de vigencia, así como la cantidad de información, a través de dicho oficio proporcionó los pasos a seguir para consultar ambos criterios, como se muestra a continuación:</w:t>
      </w:r>
    </w:p>
    <w:p w14:paraId="3AA3DBBA" w14:textId="77777777" w:rsidR="0054329D" w:rsidRDefault="0054329D">
      <w:pPr>
        <w:pBdr>
          <w:top w:val="nil"/>
          <w:left w:val="nil"/>
          <w:bottom w:val="nil"/>
          <w:right w:val="nil"/>
          <w:between w:val="nil"/>
        </w:pBdr>
        <w:spacing w:after="0" w:line="360" w:lineRule="auto"/>
        <w:ind w:left="360" w:right="49"/>
        <w:jc w:val="both"/>
        <w:rPr>
          <w:rFonts w:ascii="Palatino Linotype" w:eastAsia="Palatino Linotype" w:hAnsi="Palatino Linotype" w:cs="Palatino Linotype"/>
          <w:color w:val="000000"/>
        </w:rPr>
      </w:pPr>
    </w:p>
    <w:p w14:paraId="3B315200" w14:textId="77777777" w:rsidR="0054329D" w:rsidRDefault="007C2D5C">
      <w:pPr>
        <w:ind w:left="284"/>
        <w:rPr>
          <w:rFonts w:ascii="Palatino Linotype" w:eastAsia="Palatino Linotype" w:hAnsi="Palatino Linotype" w:cs="Palatino Linotype"/>
          <w:color w:val="000000"/>
        </w:rPr>
      </w:pPr>
      <w:r>
        <w:rPr>
          <w:noProof/>
        </w:rPr>
        <w:drawing>
          <wp:inline distT="0" distB="0" distL="0" distR="0" wp14:anchorId="4D1A5591" wp14:editId="0651670F">
            <wp:extent cx="5472169" cy="633392"/>
            <wp:effectExtent l="3175" t="3175" r="3175" b="3175"/>
            <wp:docPr id="209806998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472169" cy="633392"/>
                    </a:xfrm>
                    <a:prstGeom prst="rect">
                      <a:avLst/>
                    </a:prstGeom>
                    <a:ln w="3175">
                      <a:solidFill>
                        <a:srgbClr val="000000"/>
                      </a:solidFill>
                      <a:prstDash val="solid"/>
                    </a:ln>
                  </pic:spPr>
                </pic:pic>
              </a:graphicData>
            </a:graphic>
          </wp:inline>
        </w:drawing>
      </w:r>
    </w:p>
    <w:p w14:paraId="6E23A543" w14:textId="77777777" w:rsidR="0054329D" w:rsidRDefault="007C2D5C">
      <w:pPr>
        <w:ind w:firstLine="284"/>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p>
    <w:p w14:paraId="6887DE51" w14:textId="77777777" w:rsidR="0054329D" w:rsidRDefault="007C2D5C">
      <w:pPr>
        <w:pBdr>
          <w:top w:val="nil"/>
          <w:left w:val="nil"/>
          <w:bottom w:val="nil"/>
          <w:right w:val="nil"/>
          <w:between w:val="nil"/>
        </w:pBdr>
        <w:spacing w:after="0"/>
        <w:ind w:left="72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lastRenderedPageBreak/>
        <w:drawing>
          <wp:inline distT="0" distB="0" distL="0" distR="0" wp14:anchorId="7BEB5395" wp14:editId="0DF2709F">
            <wp:extent cx="5198928" cy="6038995"/>
            <wp:effectExtent l="3175" t="3175" r="3175" b="3175"/>
            <wp:docPr id="209806998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198928" cy="6038995"/>
                    </a:xfrm>
                    <a:prstGeom prst="rect">
                      <a:avLst/>
                    </a:prstGeom>
                    <a:ln w="3175">
                      <a:solidFill>
                        <a:srgbClr val="000000"/>
                      </a:solidFill>
                      <a:prstDash val="solid"/>
                    </a:ln>
                  </pic:spPr>
                </pic:pic>
              </a:graphicData>
            </a:graphic>
          </wp:inline>
        </w:drawing>
      </w:r>
    </w:p>
    <w:p w14:paraId="3F68C7AE" w14:textId="77777777" w:rsidR="0054329D" w:rsidRDefault="007C2D5C">
      <w:pPr>
        <w:pBdr>
          <w:top w:val="nil"/>
          <w:left w:val="nil"/>
          <w:bottom w:val="nil"/>
          <w:right w:val="nil"/>
          <w:between w:val="nil"/>
        </w:pBdr>
        <w:spacing w:after="0"/>
        <w:ind w:left="720"/>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p>
    <w:p w14:paraId="31C13A86" w14:textId="77777777" w:rsidR="0054329D" w:rsidRDefault="007C2D5C">
      <w:pPr>
        <w:pBdr>
          <w:top w:val="nil"/>
          <w:left w:val="nil"/>
          <w:bottom w:val="nil"/>
          <w:right w:val="nil"/>
          <w:between w:val="nil"/>
        </w:pBdr>
        <w:spacing w:after="0"/>
        <w:ind w:left="72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lastRenderedPageBreak/>
        <w:drawing>
          <wp:inline distT="0" distB="0" distL="0" distR="0" wp14:anchorId="28D7300C" wp14:editId="625AFD3F">
            <wp:extent cx="5271666" cy="6040975"/>
            <wp:effectExtent l="3175" t="3175" r="3175" b="3175"/>
            <wp:docPr id="209806998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5271666" cy="6040975"/>
                    </a:xfrm>
                    <a:prstGeom prst="rect">
                      <a:avLst/>
                    </a:prstGeom>
                    <a:ln w="3175">
                      <a:solidFill>
                        <a:srgbClr val="000000"/>
                      </a:solidFill>
                      <a:prstDash val="solid"/>
                    </a:ln>
                  </pic:spPr>
                </pic:pic>
              </a:graphicData>
            </a:graphic>
          </wp:inline>
        </w:drawing>
      </w:r>
    </w:p>
    <w:p w14:paraId="5CEEF820" w14:textId="77777777" w:rsidR="0054329D" w:rsidRDefault="007C2D5C">
      <w:pPr>
        <w:pBdr>
          <w:top w:val="nil"/>
          <w:left w:val="nil"/>
          <w:bottom w:val="nil"/>
          <w:right w:val="nil"/>
          <w:between w:val="nil"/>
        </w:pBdr>
        <w:spacing w:after="0"/>
        <w:ind w:left="720"/>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p>
    <w:p w14:paraId="56B1CE79" w14:textId="77777777" w:rsidR="0054329D" w:rsidRDefault="007C2D5C">
      <w:pPr>
        <w:pBdr>
          <w:top w:val="nil"/>
          <w:left w:val="nil"/>
          <w:bottom w:val="nil"/>
          <w:right w:val="nil"/>
          <w:between w:val="nil"/>
        </w:pBdr>
        <w:spacing w:after="0"/>
        <w:ind w:left="72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lastRenderedPageBreak/>
        <w:drawing>
          <wp:inline distT="0" distB="0" distL="0" distR="0" wp14:anchorId="57B23F43" wp14:editId="6C31E453">
            <wp:extent cx="5330224" cy="3077350"/>
            <wp:effectExtent l="3175" t="3175" r="3175" b="3175"/>
            <wp:docPr id="209806999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5330224" cy="3077350"/>
                    </a:xfrm>
                    <a:prstGeom prst="rect">
                      <a:avLst/>
                    </a:prstGeom>
                    <a:ln w="3175">
                      <a:solidFill>
                        <a:srgbClr val="000000"/>
                      </a:solidFill>
                      <a:prstDash val="solid"/>
                    </a:ln>
                  </pic:spPr>
                </pic:pic>
              </a:graphicData>
            </a:graphic>
          </wp:inline>
        </w:drawing>
      </w:r>
    </w:p>
    <w:p w14:paraId="7E4AD28B" w14:textId="77777777" w:rsidR="0054329D" w:rsidRDefault="007C2D5C">
      <w:pPr>
        <w:pBdr>
          <w:top w:val="nil"/>
          <w:left w:val="nil"/>
          <w:bottom w:val="nil"/>
          <w:right w:val="nil"/>
          <w:between w:val="nil"/>
        </w:pBdr>
        <w:spacing w:after="0"/>
        <w:ind w:left="720"/>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p>
    <w:p w14:paraId="177C0F7E" w14:textId="77777777" w:rsidR="0054329D" w:rsidRDefault="007C2D5C">
      <w:pPr>
        <w:pBdr>
          <w:top w:val="nil"/>
          <w:left w:val="nil"/>
          <w:bottom w:val="nil"/>
          <w:right w:val="nil"/>
          <w:between w:val="nil"/>
        </w:pBdr>
        <w:spacing w:after="0"/>
        <w:ind w:left="72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51112F13" wp14:editId="1B47CD89">
            <wp:extent cx="5348006" cy="2955402"/>
            <wp:effectExtent l="3175" t="3175" r="3175" b="3175"/>
            <wp:docPr id="209806999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5348006" cy="2955402"/>
                    </a:xfrm>
                    <a:prstGeom prst="rect">
                      <a:avLst/>
                    </a:prstGeom>
                    <a:ln w="3175">
                      <a:solidFill>
                        <a:srgbClr val="000000"/>
                      </a:solidFill>
                      <a:prstDash val="solid"/>
                    </a:ln>
                  </pic:spPr>
                </pic:pic>
              </a:graphicData>
            </a:graphic>
          </wp:inline>
        </w:drawing>
      </w:r>
    </w:p>
    <w:p w14:paraId="0D6B04F5" w14:textId="77777777" w:rsidR="0054329D" w:rsidRDefault="007C2D5C">
      <w:pPr>
        <w:pBdr>
          <w:top w:val="nil"/>
          <w:left w:val="nil"/>
          <w:bottom w:val="nil"/>
          <w:right w:val="nil"/>
          <w:between w:val="nil"/>
        </w:pBdr>
        <w:spacing w:after="0"/>
        <w:ind w:left="720"/>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lastRenderedPageBreak/>
        <w:drawing>
          <wp:inline distT="0" distB="0" distL="0" distR="0" wp14:anchorId="2CA4CE3F" wp14:editId="498919AF">
            <wp:extent cx="5302523" cy="3537132"/>
            <wp:effectExtent l="3175" t="3175" r="3175" b="3175"/>
            <wp:docPr id="209806999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2"/>
                    <a:srcRect/>
                    <a:stretch>
                      <a:fillRect/>
                    </a:stretch>
                  </pic:blipFill>
                  <pic:spPr>
                    <a:xfrm>
                      <a:off x="0" y="0"/>
                      <a:ext cx="5302523" cy="3537132"/>
                    </a:xfrm>
                    <a:prstGeom prst="rect">
                      <a:avLst/>
                    </a:prstGeom>
                    <a:ln w="3175">
                      <a:solidFill>
                        <a:srgbClr val="000000"/>
                      </a:solidFill>
                      <a:prstDash val="solid"/>
                    </a:ln>
                  </pic:spPr>
                </pic:pic>
              </a:graphicData>
            </a:graphic>
          </wp:inline>
        </w:drawing>
      </w:r>
    </w:p>
    <w:p w14:paraId="5DA9D69C" w14:textId="77777777" w:rsidR="0054329D" w:rsidRDefault="0054329D">
      <w:pPr>
        <w:pBdr>
          <w:top w:val="nil"/>
          <w:left w:val="nil"/>
          <w:bottom w:val="nil"/>
          <w:right w:val="nil"/>
          <w:between w:val="nil"/>
        </w:pBdr>
        <w:spacing w:after="0" w:line="360" w:lineRule="auto"/>
        <w:ind w:left="360" w:right="49"/>
        <w:jc w:val="both"/>
        <w:rPr>
          <w:rFonts w:ascii="Palatino Linotype" w:eastAsia="Palatino Linotype" w:hAnsi="Palatino Linotype" w:cs="Palatino Linotype"/>
          <w:color w:val="000000"/>
        </w:rPr>
      </w:pPr>
    </w:p>
    <w:p w14:paraId="579B13EF" w14:textId="77777777" w:rsidR="0054329D" w:rsidRDefault="007C2D5C">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Archivo comprimido </w:t>
      </w:r>
      <w:proofErr w:type="spellStart"/>
      <w:r>
        <w:rPr>
          <w:rFonts w:ascii="Palatino Linotype" w:eastAsia="Palatino Linotype" w:hAnsi="Palatino Linotype" w:cs="Palatino Linotype"/>
          <w:color w:val="000000"/>
        </w:rPr>
        <w:t>zip</w:t>
      </w:r>
      <w:proofErr w:type="spellEnd"/>
      <w:r>
        <w:rPr>
          <w:rFonts w:ascii="Palatino Linotype" w:eastAsia="Palatino Linotype" w:hAnsi="Palatino Linotype" w:cs="Palatino Linotype"/>
          <w:color w:val="000000"/>
        </w:rPr>
        <w:t xml:space="preserve"> denominado “</w:t>
      </w:r>
      <w:r>
        <w:rPr>
          <w:rFonts w:ascii="Palatino Linotype" w:eastAsia="Palatino Linotype" w:hAnsi="Palatino Linotype" w:cs="Palatino Linotype"/>
          <w:b/>
          <w:i/>
          <w:color w:val="000000"/>
        </w:rPr>
        <w:t>Anexos RR DGJV.zip</w:t>
      </w:r>
      <w:r>
        <w:rPr>
          <w:rFonts w:ascii="Palatino Linotype" w:eastAsia="Palatino Linotype" w:hAnsi="Palatino Linotype" w:cs="Palatino Linotype"/>
          <w:color w:val="000000"/>
        </w:rPr>
        <w:t>”, a través del cual la Dirección General Jurídica y de Verificación aportó doce documentos que contienen lo siguiente:</w:t>
      </w:r>
    </w:p>
    <w:p w14:paraId="73589BED" w14:textId="77777777" w:rsidR="0054329D" w:rsidRDefault="0054329D">
      <w:pPr>
        <w:pBdr>
          <w:top w:val="nil"/>
          <w:left w:val="nil"/>
          <w:bottom w:val="nil"/>
          <w:right w:val="nil"/>
          <w:between w:val="nil"/>
        </w:pBdr>
        <w:spacing w:after="0" w:line="360" w:lineRule="auto"/>
        <w:ind w:left="360" w:right="49"/>
        <w:jc w:val="both"/>
        <w:rPr>
          <w:rFonts w:ascii="Palatino Linotype" w:eastAsia="Palatino Linotype" w:hAnsi="Palatino Linotype" w:cs="Palatino Linotype"/>
          <w:color w:val="000000"/>
          <w:sz w:val="12"/>
          <w:szCs w:val="12"/>
        </w:rPr>
      </w:pPr>
    </w:p>
    <w:p w14:paraId="2962C6B7" w14:textId="77777777" w:rsidR="0054329D" w:rsidRDefault="007C2D5C">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color w:val="000000"/>
          <w:u w:val="single"/>
        </w:rPr>
      </w:pPr>
      <w:r>
        <w:rPr>
          <w:rFonts w:ascii="Palatino Linotype" w:eastAsia="Palatino Linotype" w:hAnsi="Palatino Linotype" w:cs="Palatino Linotype"/>
          <w:b/>
          <w:color w:val="000000"/>
          <w:u w:val="single"/>
        </w:rPr>
        <w:t>En versión “</w:t>
      </w:r>
      <w:proofErr w:type="spellStart"/>
      <w:r>
        <w:rPr>
          <w:rFonts w:ascii="Palatino Linotype" w:eastAsia="Palatino Linotype" w:hAnsi="Palatino Linotype" w:cs="Palatino Linotype"/>
          <w:b/>
          <w:color w:val="000000"/>
          <w:u w:val="single"/>
        </w:rPr>
        <w:t>pdf</w:t>
      </w:r>
      <w:proofErr w:type="spellEnd"/>
      <w:r>
        <w:rPr>
          <w:rFonts w:ascii="Palatino Linotype" w:eastAsia="Palatino Linotype" w:hAnsi="Palatino Linotype" w:cs="Palatino Linotype"/>
          <w:b/>
          <w:color w:val="000000"/>
          <w:u w:val="single"/>
        </w:rPr>
        <w:t>”, aportó:</w:t>
      </w:r>
    </w:p>
    <w:p w14:paraId="4D6E1872" w14:textId="77777777" w:rsidR="0054329D" w:rsidRDefault="007C2D5C">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bookmarkStart w:id="7" w:name="_heading=h.2s8eyo1" w:colFirst="0" w:colLast="0"/>
      <w:bookmarkEnd w:id="7"/>
      <w:r>
        <w:rPr>
          <w:rFonts w:ascii="Palatino Linotype" w:eastAsia="Palatino Linotype" w:hAnsi="Palatino Linotype" w:cs="Palatino Linotype"/>
          <w:color w:val="000000"/>
        </w:rPr>
        <w:t>La Ley General de Transparencia y Acceso a la Información Pública.</w:t>
      </w:r>
    </w:p>
    <w:p w14:paraId="13ACAF93" w14:textId="77777777" w:rsidR="0054329D" w:rsidRDefault="007C2D5C">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Ley de Transparencia y Acceso a la Información Pública del Estado de México y Municipios.</w:t>
      </w:r>
    </w:p>
    <w:p w14:paraId="62D84BEE" w14:textId="77777777" w:rsidR="0054329D" w:rsidRDefault="007C2D5C">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Ley de Protección de Datos Personales en Posesión de Sujetos Obligados del Estado de México.</w:t>
      </w:r>
    </w:p>
    <w:p w14:paraId="1EE5C5C6" w14:textId="77777777" w:rsidR="0054329D" w:rsidRDefault="007C2D5C">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Lineamientos Generales de Protección de Datos Personales para el Sector Público.</w:t>
      </w:r>
    </w:p>
    <w:p w14:paraId="6FE10E60" w14:textId="77777777" w:rsidR="0054329D" w:rsidRDefault="007C2D5C">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Lineamientos Generales en Materia de Clasificación y Desclasificación de la Información, así como para la Elaboración de Versiones Públicas.</w:t>
      </w:r>
    </w:p>
    <w:p w14:paraId="27F163B9" w14:textId="77777777" w:rsidR="0054329D" w:rsidRDefault="007C2D5C">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Criterio 002 10 emitido por el Instituto de Transparencia, Acceso a la Información Pública y Protección de Datos Personales del Estado de México y Municipios, denominado Versiones Públicas. Para su validez los Sujetos Obligados deberán generarlas de conformidad con las formalidades establecidas en la normatividad aplicable.</w:t>
      </w:r>
    </w:p>
    <w:p w14:paraId="728B8AF1" w14:textId="77777777" w:rsidR="0054329D" w:rsidRDefault="007C2D5C">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ACUERDO CONAIP/SNT/ACUERDO/ORD02-09/07/2021-04, MEDIANTE EL CUAL SE MODIFICAN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LO REFERENTE A LA FRACCIÓN II DEL ARTÍCULO 73 DE LA LEY GENERAL DE TRANSPARENCIA Y ACCESO A LA INFORMACIÓN PÚBLICA; y, su Anexo Único que contiene los Lineamientos Técnicos Generales para la Publicación, Homologación y Estandarización de la Información de las Obligaciones Establecidas en el Titulo Quinto y en la Fracción IV del Artículo 31 de la Ley General de Transparencia  y Acceso a la Información Pública, que deben de Difundir los Sujetos Obligados en los Portales de Internet y en la Plataforma Nacional de Transparencia.</w:t>
      </w:r>
    </w:p>
    <w:p w14:paraId="6E5E3E7A" w14:textId="77777777" w:rsidR="0054329D" w:rsidRDefault="007C2D5C">
      <w:pPr>
        <w:pBdr>
          <w:top w:val="nil"/>
          <w:left w:val="nil"/>
          <w:bottom w:val="nil"/>
          <w:right w:val="nil"/>
          <w:between w:val="nil"/>
        </w:pBdr>
        <w:spacing w:after="0" w:line="360" w:lineRule="auto"/>
        <w:ind w:left="360" w:right="49"/>
        <w:jc w:val="both"/>
        <w:rPr>
          <w:rFonts w:ascii="Palatino Linotype" w:eastAsia="Palatino Linotype" w:hAnsi="Palatino Linotype" w:cs="Palatino Linotype"/>
          <w:b/>
          <w:color w:val="000000"/>
          <w:u w:val="single"/>
        </w:rPr>
      </w:pPr>
      <w:r>
        <w:rPr>
          <w:rFonts w:ascii="Palatino Linotype" w:eastAsia="Palatino Linotype" w:hAnsi="Palatino Linotype" w:cs="Palatino Linotype"/>
          <w:b/>
          <w:color w:val="000000"/>
          <w:u w:val="single"/>
        </w:rPr>
        <w:lastRenderedPageBreak/>
        <w:t>En versión “</w:t>
      </w:r>
      <w:proofErr w:type="spellStart"/>
      <w:r>
        <w:rPr>
          <w:rFonts w:ascii="Palatino Linotype" w:eastAsia="Palatino Linotype" w:hAnsi="Palatino Linotype" w:cs="Palatino Linotype"/>
          <w:b/>
          <w:color w:val="000000"/>
          <w:u w:val="single"/>
        </w:rPr>
        <w:t>word</w:t>
      </w:r>
      <w:proofErr w:type="spellEnd"/>
      <w:r>
        <w:rPr>
          <w:rFonts w:ascii="Palatino Linotype" w:eastAsia="Palatino Linotype" w:hAnsi="Palatino Linotype" w:cs="Palatino Linotype"/>
          <w:b/>
          <w:color w:val="000000"/>
          <w:u w:val="single"/>
        </w:rPr>
        <w:t>”, aportó:</w:t>
      </w:r>
    </w:p>
    <w:p w14:paraId="308FC323" w14:textId="77777777" w:rsidR="0054329D" w:rsidRDefault="007C2D5C">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Criterio de Interpretación para sujetos obligados con clave de control </w:t>
      </w:r>
      <w:r>
        <w:rPr>
          <w:rFonts w:ascii="Palatino Linotype" w:eastAsia="Palatino Linotype" w:hAnsi="Palatino Linotype" w:cs="Palatino Linotype"/>
          <w:b/>
          <w:color w:val="000000"/>
        </w:rPr>
        <w:t>SO/003/2009</w:t>
      </w:r>
      <w:r>
        <w:rPr>
          <w:rFonts w:ascii="Palatino Linotype" w:eastAsia="Palatino Linotype" w:hAnsi="Palatino Linotype" w:cs="Palatino Linotype"/>
          <w:color w:val="000000"/>
        </w:rPr>
        <w:t xml:space="preserve">, emitido por el Instituto Nacional de Transparencia, Acceso a la Información y Protección de Datos Personales sobre: </w:t>
      </w:r>
      <w:proofErr w:type="spellStart"/>
      <w:r>
        <w:rPr>
          <w:rFonts w:ascii="Palatino Linotype" w:eastAsia="Palatino Linotype" w:hAnsi="Palatino Linotype" w:cs="Palatino Linotype"/>
          <w:color w:val="000000"/>
          <w:u w:val="single"/>
        </w:rPr>
        <w:t>Curriculum</w:t>
      </w:r>
      <w:proofErr w:type="spellEnd"/>
      <w:r>
        <w:rPr>
          <w:rFonts w:ascii="Palatino Linotype" w:eastAsia="Palatino Linotype" w:hAnsi="Palatino Linotype" w:cs="Palatino Linotype"/>
          <w:color w:val="000000"/>
          <w:u w:val="single"/>
        </w:rPr>
        <w:t xml:space="preserve"> Vitae de servidores públicos. Es obligación de los sujetos obligados otorgar acceso a versiones públicas de los mismos ante una solicitud de acceso.</w:t>
      </w:r>
    </w:p>
    <w:p w14:paraId="163DD016" w14:textId="77777777" w:rsidR="0054329D" w:rsidRDefault="007C2D5C">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Criterio de Interpretación para sujetos obligados con clave de control </w:t>
      </w:r>
      <w:r>
        <w:rPr>
          <w:rFonts w:ascii="Palatino Linotype" w:eastAsia="Palatino Linotype" w:hAnsi="Palatino Linotype" w:cs="Palatino Linotype"/>
          <w:b/>
          <w:color w:val="000000"/>
        </w:rPr>
        <w:t>SO/010/2013,</w:t>
      </w:r>
      <w:r>
        <w:rPr>
          <w:rFonts w:ascii="Palatino Linotype" w:eastAsia="Palatino Linotype" w:hAnsi="Palatino Linotype" w:cs="Palatino Linotype"/>
          <w:color w:val="000000"/>
        </w:rPr>
        <w:t xml:space="preserve"> emitido por el Instituto Nacional de Transparencia, Acceso a la Información y Protección de Datos Personales sobre:</w:t>
      </w:r>
      <w:r>
        <w:rPr>
          <w:color w:val="000000"/>
        </w:rPr>
        <w:t xml:space="preserve"> </w:t>
      </w:r>
      <w:r>
        <w:rPr>
          <w:rFonts w:ascii="Palatino Linotype" w:eastAsia="Palatino Linotype" w:hAnsi="Palatino Linotype" w:cs="Palatino Linotype"/>
          <w:color w:val="000000"/>
          <w:u w:val="single"/>
        </w:rPr>
        <w:t>Número de cuenta bancaria de particulares, personas físicas y morales, constituye información confidencial.</w:t>
      </w:r>
    </w:p>
    <w:p w14:paraId="5C64A293" w14:textId="77777777" w:rsidR="0054329D" w:rsidRDefault="007C2D5C">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Criterio de Interpretación para sujetos obligados con clave de control </w:t>
      </w:r>
      <w:r>
        <w:rPr>
          <w:rFonts w:ascii="Palatino Linotype" w:eastAsia="Palatino Linotype" w:hAnsi="Palatino Linotype" w:cs="Palatino Linotype"/>
          <w:b/>
          <w:color w:val="000000"/>
        </w:rPr>
        <w:t>SO/014/2013,</w:t>
      </w:r>
      <w:r>
        <w:rPr>
          <w:rFonts w:ascii="Palatino Linotype" w:eastAsia="Palatino Linotype" w:hAnsi="Palatino Linotype" w:cs="Palatino Linotype"/>
          <w:color w:val="000000"/>
        </w:rPr>
        <w:t xml:space="preserve"> emitido por el Instituto Nacional de Transparencia, Acceso a la Información y Protección de Datos Personales sobre: </w:t>
      </w:r>
      <w:r>
        <w:rPr>
          <w:rFonts w:ascii="Palatino Linotype" w:eastAsia="Palatino Linotype" w:hAnsi="Palatino Linotype" w:cs="Palatino Linotype"/>
          <w:color w:val="000000"/>
          <w:u w:val="single"/>
        </w:rPr>
        <w:t>Actas, minutas y versiones estenográficas de sesiones de autoridades, en principio son públicas.</w:t>
      </w:r>
    </w:p>
    <w:p w14:paraId="1BBDBF4A" w14:textId="77777777" w:rsidR="0054329D" w:rsidRDefault="007C2D5C">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Criterio de Interpretación para sujetos obligados con clave de control </w:t>
      </w:r>
      <w:r>
        <w:rPr>
          <w:rFonts w:ascii="Palatino Linotype" w:eastAsia="Palatino Linotype" w:hAnsi="Palatino Linotype" w:cs="Palatino Linotype"/>
          <w:b/>
          <w:color w:val="000000"/>
        </w:rPr>
        <w:t>SO/016/2010,</w:t>
      </w:r>
      <w:r>
        <w:rPr>
          <w:rFonts w:ascii="Palatino Linotype" w:eastAsia="Palatino Linotype" w:hAnsi="Palatino Linotype" w:cs="Palatino Linotype"/>
          <w:color w:val="000000"/>
        </w:rPr>
        <w:t xml:space="preserve"> emitido por el Instituto Nacional de Transparencia, Acceso a la Información y Protección de Datos Personales sobre:</w:t>
      </w:r>
      <w:r>
        <w:rPr>
          <w:color w:val="000000"/>
        </w:rPr>
        <w:t xml:space="preserve"> </w:t>
      </w:r>
      <w:r>
        <w:rPr>
          <w:rFonts w:ascii="Palatino Linotype" w:eastAsia="Palatino Linotype" w:hAnsi="Palatino Linotype" w:cs="Palatino Linotype"/>
          <w:color w:val="000000"/>
          <w:u w:val="single"/>
        </w:rPr>
        <w:t>Procede el otorgamiento de una versión pública en los casos de solicitudes de acceso a licencias médicas de servidores públicos.</w:t>
      </w:r>
      <w:r>
        <w:rPr>
          <w:rFonts w:ascii="Palatino Linotype" w:eastAsia="Palatino Linotype" w:hAnsi="Palatino Linotype" w:cs="Palatino Linotype"/>
          <w:color w:val="000000"/>
        </w:rPr>
        <w:t xml:space="preserve">  </w:t>
      </w:r>
    </w:p>
    <w:p w14:paraId="59604436" w14:textId="77777777" w:rsidR="0054329D" w:rsidRDefault="007C2D5C">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Criterio de Interpretación para sujetos obligados con clave de control </w:t>
      </w:r>
      <w:r>
        <w:rPr>
          <w:rFonts w:ascii="Palatino Linotype" w:eastAsia="Palatino Linotype" w:hAnsi="Palatino Linotype" w:cs="Palatino Linotype"/>
          <w:b/>
          <w:color w:val="000000"/>
        </w:rPr>
        <w:t>SO/024/2010,</w:t>
      </w:r>
      <w:r>
        <w:rPr>
          <w:rFonts w:ascii="Palatino Linotype" w:eastAsia="Palatino Linotype" w:hAnsi="Palatino Linotype" w:cs="Palatino Linotype"/>
          <w:color w:val="000000"/>
        </w:rPr>
        <w:t xml:space="preserve"> emitido por el Instituto Nacional de Transparencia, Acceso a la Información y Protección de Datos Personales sobre:</w:t>
      </w:r>
      <w:r>
        <w:rPr>
          <w:color w:val="000000"/>
        </w:rPr>
        <w:t xml:space="preserve"> </w:t>
      </w:r>
      <w:r>
        <w:rPr>
          <w:rFonts w:ascii="Palatino Linotype" w:eastAsia="Palatino Linotype" w:hAnsi="Palatino Linotype" w:cs="Palatino Linotype"/>
          <w:color w:val="000000"/>
          <w:u w:val="single"/>
        </w:rPr>
        <w:t>Ante solicitudes de acceso a hojas únicas de servicios, por personas distintas a su titular, procede el otorgamiento de una versión pública.</w:t>
      </w:r>
    </w:p>
    <w:p w14:paraId="5D25ACA6" w14:textId="77777777" w:rsidR="0054329D" w:rsidRDefault="007C2D5C">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Archivo comprimido </w:t>
      </w:r>
      <w:proofErr w:type="spellStart"/>
      <w:r>
        <w:rPr>
          <w:rFonts w:ascii="Palatino Linotype" w:eastAsia="Palatino Linotype" w:hAnsi="Palatino Linotype" w:cs="Palatino Linotype"/>
          <w:color w:val="000000"/>
        </w:rPr>
        <w:t>zip</w:t>
      </w:r>
      <w:proofErr w:type="spellEnd"/>
      <w:r>
        <w:rPr>
          <w:rFonts w:ascii="Palatino Linotype" w:eastAsia="Palatino Linotype" w:hAnsi="Palatino Linotype" w:cs="Palatino Linotype"/>
          <w:color w:val="000000"/>
        </w:rPr>
        <w:t xml:space="preserve"> denominado “</w:t>
      </w:r>
      <w:r>
        <w:rPr>
          <w:rFonts w:ascii="Palatino Linotype" w:eastAsia="Palatino Linotype" w:hAnsi="Palatino Linotype" w:cs="Palatino Linotype"/>
          <w:b/>
          <w:i/>
          <w:color w:val="000000"/>
        </w:rPr>
        <w:t>AnexosRR00557 DGPDP.zip</w:t>
      </w:r>
      <w:r>
        <w:rPr>
          <w:rFonts w:ascii="Palatino Linotype" w:eastAsia="Palatino Linotype" w:hAnsi="Palatino Linotype" w:cs="Palatino Linotype"/>
          <w:color w:val="000000"/>
        </w:rPr>
        <w:t xml:space="preserve">”, a través del cual la Dirección General de Protección de Datos Personales aportó cinco documentos </w:t>
      </w:r>
      <w:r>
        <w:rPr>
          <w:rFonts w:ascii="Palatino Linotype" w:eastAsia="Palatino Linotype" w:hAnsi="Palatino Linotype" w:cs="Palatino Linotype"/>
          <w:b/>
          <w:color w:val="000000"/>
        </w:rPr>
        <w:t>en versión “</w:t>
      </w:r>
      <w:proofErr w:type="spellStart"/>
      <w:r>
        <w:rPr>
          <w:rFonts w:ascii="Palatino Linotype" w:eastAsia="Palatino Linotype" w:hAnsi="Palatino Linotype" w:cs="Palatino Linotype"/>
          <w:b/>
          <w:color w:val="000000"/>
        </w:rPr>
        <w:t>pdf</w:t>
      </w:r>
      <w:proofErr w:type="spellEnd"/>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que contienen lo siguiente:</w:t>
      </w:r>
    </w:p>
    <w:p w14:paraId="095D3EC4" w14:textId="77777777" w:rsidR="0054329D" w:rsidRDefault="007C2D5C">
      <w:pPr>
        <w:numPr>
          <w:ilvl w:val="0"/>
          <w:numId w:val="1"/>
        </w:numPr>
        <w:pBdr>
          <w:top w:val="nil"/>
          <w:left w:val="nil"/>
          <w:bottom w:val="nil"/>
          <w:right w:val="nil"/>
          <w:between w:val="nil"/>
        </w:pBdr>
        <w:spacing w:after="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ACUERDO CONAIP/SNT/ACUERDO/ORD02-09/07/2021-04, MEDIANTE EL CUAL SE MODIFICAN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LO REFERENTE A LA FRACCIÓN II DEL ARTÍCULO 73 DE LA LEY GENERAL DE TRANSPARENCIA Y ACCESO A LA INFORMACIÓN PÚBLICA; y, su Anexo Único que contiene los Lineamientos Técnicos Generales para la Publicación, Homologación y Estandarización de la Información de las Obligaciones Establecidas en el Titulo Quinto y en la Fracción IV del Artículo 31 de la Ley General de Transparencia  y Acceso a la Información Pública, que deben de Difundir los Sujetos Obligados en los Portales de Internet y en la Plataforma Nacional de Transparencia.</w:t>
      </w:r>
    </w:p>
    <w:p w14:paraId="593D8C3D" w14:textId="77777777" w:rsidR="0054329D" w:rsidRDefault="007C2D5C">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Ley de Transparencia y Acceso a la Información Pública del Estado de México y Municipios.</w:t>
      </w:r>
    </w:p>
    <w:p w14:paraId="2939F25A" w14:textId="77777777" w:rsidR="0054329D" w:rsidRDefault="007C2D5C">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Ley de Protección de Datos Personales en Posesión de Sujetos Obligados del Estado de México.</w:t>
      </w:r>
    </w:p>
    <w:p w14:paraId="2F1339A4" w14:textId="77777777" w:rsidR="0054329D" w:rsidRDefault="007C2D5C">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Lineamientos Generales de Protección de Datos Personales para el Sector Público.</w:t>
      </w:r>
    </w:p>
    <w:p w14:paraId="0F972558" w14:textId="77777777" w:rsidR="0054329D" w:rsidRDefault="007C2D5C">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Lineamientos Generales en Materia de Clasificación y Desclasificación de la Información, así como para la Elaboración de Versiones Públicas.</w:t>
      </w:r>
    </w:p>
    <w:p w14:paraId="34804F80" w14:textId="77777777" w:rsidR="0054329D" w:rsidRDefault="007C2D5C">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Documentos que se hicieron del conocimiento 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una vez que fueron analizados, con la finalidad de que manifestara lo que a su derecho estimara conveniente, sin embargo, fue omisa en ejercer dicha prerrogativa.</w:t>
      </w:r>
    </w:p>
    <w:p w14:paraId="3976B39F" w14:textId="77777777" w:rsidR="0054329D" w:rsidRDefault="0054329D">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color w:val="000000"/>
          <w:sz w:val="24"/>
          <w:szCs w:val="24"/>
        </w:rPr>
      </w:pPr>
    </w:p>
    <w:p w14:paraId="19D5B79A" w14:textId="77777777" w:rsidR="0054329D" w:rsidRDefault="007C2D5C">
      <w:pPr>
        <w:numPr>
          <w:ilvl w:val="0"/>
          <w:numId w:val="5"/>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Ampliación de plazo:</w:t>
      </w:r>
      <w:r>
        <w:rPr>
          <w:rFonts w:ascii="Palatino Linotype" w:eastAsia="Palatino Linotype" w:hAnsi="Palatino Linotype" w:cs="Palatino Linotype"/>
          <w:color w:val="000000"/>
          <w:sz w:val="24"/>
          <w:szCs w:val="24"/>
        </w:rPr>
        <w:t xml:space="preserve"> El</w:t>
      </w:r>
      <w:r>
        <w:rPr>
          <w:rFonts w:ascii="Palatino Linotype" w:eastAsia="Palatino Linotype" w:hAnsi="Palatino Linotype" w:cs="Palatino Linotype"/>
          <w:b/>
          <w:color w:val="000000"/>
          <w:sz w:val="24"/>
          <w:szCs w:val="24"/>
        </w:rPr>
        <w:t xml:space="preserve"> diez de octubre de dos mil veintitrés</w:t>
      </w:r>
      <w:r>
        <w:rPr>
          <w:rFonts w:ascii="Palatino Linotype" w:eastAsia="Palatino Linotype" w:hAnsi="Palatino Linotype" w:cs="Palatino Linotype"/>
          <w:color w:val="000000"/>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36F14472" w14:textId="77777777" w:rsidR="0054329D" w:rsidRDefault="0054329D">
      <w:pPr>
        <w:spacing w:after="0" w:line="360" w:lineRule="auto"/>
        <w:ind w:right="49"/>
        <w:jc w:val="both"/>
        <w:rPr>
          <w:rFonts w:ascii="Palatino Linotype" w:eastAsia="Palatino Linotype" w:hAnsi="Palatino Linotype" w:cs="Palatino Linotype"/>
          <w:sz w:val="24"/>
          <w:szCs w:val="24"/>
        </w:rPr>
      </w:pPr>
    </w:p>
    <w:p w14:paraId="60DB976A" w14:textId="77777777" w:rsidR="0054329D" w:rsidRDefault="007C2D5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634C9AB7" w14:textId="77777777" w:rsidR="0054329D" w:rsidRDefault="007C2D5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14:paraId="0CD85D30" w14:textId="77777777" w:rsidR="0054329D" w:rsidRDefault="007C2D5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w:t>
      </w:r>
      <w:r>
        <w:rPr>
          <w:rFonts w:ascii="Palatino Linotype" w:eastAsia="Palatino Linotype" w:hAnsi="Palatino Linotype" w:cs="Palatino Linotype"/>
          <w:sz w:val="24"/>
          <w:szCs w:val="24"/>
        </w:rPr>
        <w:lastRenderedPageBreak/>
        <w:t>órganos jurisdiccionales federales, aplicables también en procedimientos análogos, como el que nos ocupa.</w:t>
      </w:r>
    </w:p>
    <w:p w14:paraId="637BB3D5" w14:textId="77777777" w:rsidR="0054329D" w:rsidRDefault="007C2D5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14:paraId="1BAED177" w14:textId="77777777" w:rsidR="0054329D" w:rsidRDefault="007C2D5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CA688F7" w14:textId="77777777" w:rsidR="0054329D" w:rsidRDefault="0054329D">
      <w:pPr>
        <w:spacing w:after="0" w:line="360" w:lineRule="auto"/>
        <w:ind w:right="49"/>
        <w:jc w:val="both"/>
        <w:rPr>
          <w:rFonts w:ascii="Palatino Linotype" w:eastAsia="Palatino Linotype" w:hAnsi="Palatino Linotype" w:cs="Palatino Linotype"/>
          <w:sz w:val="24"/>
          <w:szCs w:val="24"/>
        </w:rPr>
      </w:pPr>
    </w:p>
    <w:p w14:paraId="3BE13131" w14:textId="77777777" w:rsidR="0054329D" w:rsidRDefault="007C2D5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928E6E3" w14:textId="77777777" w:rsidR="0054329D" w:rsidRDefault="0054329D">
      <w:pPr>
        <w:spacing w:after="0" w:line="360" w:lineRule="auto"/>
        <w:ind w:right="49"/>
        <w:jc w:val="both"/>
        <w:rPr>
          <w:rFonts w:ascii="Palatino Linotype" w:eastAsia="Palatino Linotype" w:hAnsi="Palatino Linotype" w:cs="Palatino Linotype"/>
          <w:sz w:val="24"/>
          <w:szCs w:val="24"/>
        </w:rPr>
      </w:pPr>
    </w:p>
    <w:p w14:paraId="412E743F" w14:textId="77777777" w:rsidR="0054329D" w:rsidRDefault="007C2D5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2E2E704D" w14:textId="77777777" w:rsidR="0054329D" w:rsidRDefault="0054329D">
      <w:pPr>
        <w:spacing w:after="0" w:line="360" w:lineRule="auto"/>
        <w:ind w:right="49"/>
        <w:jc w:val="both"/>
        <w:rPr>
          <w:rFonts w:ascii="Palatino Linotype" w:eastAsia="Palatino Linotype" w:hAnsi="Palatino Linotype" w:cs="Palatino Linotype"/>
          <w:sz w:val="24"/>
          <w:szCs w:val="24"/>
        </w:rPr>
      </w:pPr>
    </w:p>
    <w:p w14:paraId="46970487" w14:textId="77777777" w:rsidR="0054329D" w:rsidRDefault="007C2D5C">
      <w:pPr>
        <w:tabs>
          <w:tab w:val="left" w:pos="709"/>
        </w:tabs>
        <w:spacing w:after="0" w:line="360"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b/>
          <w:sz w:val="24"/>
          <w:szCs w:val="24"/>
        </w:rPr>
        <w:t>a</w:t>
      </w:r>
      <w:r>
        <w:rPr>
          <w:rFonts w:ascii="Palatino Linotype" w:eastAsia="Palatino Linotype" w:hAnsi="Palatino Linotype" w:cs="Palatino Linotype"/>
          <w:b/>
        </w:rPr>
        <w:t>)    Complejidad del asunto:</w:t>
      </w:r>
      <w:r>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2A957E9E" w14:textId="77777777" w:rsidR="0054329D" w:rsidRDefault="007C2D5C">
      <w:pPr>
        <w:tabs>
          <w:tab w:val="left" w:pos="709"/>
        </w:tabs>
        <w:spacing w:after="0" w:line="360"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b/>
        </w:rPr>
        <w:t>b)   Actividad Procesal del interesado</w:t>
      </w:r>
      <w:r>
        <w:rPr>
          <w:rFonts w:ascii="Palatino Linotype" w:eastAsia="Palatino Linotype" w:hAnsi="Palatino Linotype" w:cs="Palatino Linotype"/>
        </w:rPr>
        <w:t>: Acciones u omisiones del interesado.</w:t>
      </w:r>
    </w:p>
    <w:p w14:paraId="4427497E" w14:textId="77777777" w:rsidR="0054329D" w:rsidRDefault="007C2D5C">
      <w:pPr>
        <w:tabs>
          <w:tab w:val="left" w:pos="851"/>
        </w:tabs>
        <w:spacing w:after="0" w:line="360"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b/>
        </w:rPr>
        <w:t>c)  Conducta de la Autoridad:</w:t>
      </w:r>
      <w:r>
        <w:rPr>
          <w:rFonts w:ascii="Palatino Linotype" w:eastAsia="Palatino Linotype" w:hAnsi="Palatino Linotype" w:cs="Palatino Linotype"/>
        </w:rPr>
        <w:t xml:space="preserve"> Las Acciones u omisiones realizadas en el procedimiento. Así como si la autoridad actuó con la debida diligencia.</w:t>
      </w:r>
    </w:p>
    <w:p w14:paraId="323B354D" w14:textId="77777777" w:rsidR="0054329D" w:rsidRDefault="007C2D5C">
      <w:pPr>
        <w:tabs>
          <w:tab w:val="left" w:pos="851"/>
        </w:tabs>
        <w:spacing w:after="0" w:line="360"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b/>
        </w:rPr>
        <w:lastRenderedPageBreak/>
        <w:t>d) La afectación generada en la situación jurídica de la persona involucrada en el proceso:</w:t>
      </w:r>
      <w:r>
        <w:rPr>
          <w:rFonts w:ascii="Palatino Linotype" w:eastAsia="Palatino Linotype" w:hAnsi="Palatino Linotype" w:cs="Palatino Linotype"/>
        </w:rPr>
        <w:t xml:space="preserve"> Violación a sus derechos humanos.</w:t>
      </w:r>
    </w:p>
    <w:p w14:paraId="24788C3D" w14:textId="77777777" w:rsidR="0054329D" w:rsidRDefault="0054329D">
      <w:pPr>
        <w:tabs>
          <w:tab w:val="left" w:pos="851"/>
        </w:tabs>
        <w:spacing w:after="0" w:line="360" w:lineRule="auto"/>
        <w:ind w:left="567" w:right="560"/>
        <w:jc w:val="both"/>
        <w:rPr>
          <w:rFonts w:ascii="Palatino Linotype" w:eastAsia="Palatino Linotype" w:hAnsi="Palatino Linotype" w:cs="Palatino Linotype"/>
        </w:rPr>
      </w:pPr>
    </w:p>
    <w:p w14:paraId="3FA8BBA7" w14:textId="77777777" w:rsidR="0054329D" w:rsidRDefault="007C2D5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733D80C" w14:textId="77777777" w:rsidR="0054329D" w:rsidRDefault="007C2D5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14:paraId="2AF43128" w14:textId="77777777" w:rsidR="0054329D" w:rsidRDefault="007C2D5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Argumento que encuentra sustento en la jurisprudencia P</w:t>
      </w:r>
      <w:proofErr w:type="gramStart"/>
      <w:r>
        <w:rPr>
          <w:rFonts w:ascii="Palatino Linotype" w:eastAsia="Palatino Linotype" w:hAnsi="Palatino Linotype" w:cs="Palatino Linotype"/>
          <w:sz w:val="24"/>
          <w:szCs w:val="24"/>
        </w:rPr>
        <w:t>./</w:t>
      </w:r>
      <w:proofErr w:type="gramEnd"/>
      <w:r>
        <w:rPr>
          <w:rFonts w:ascii="Palatino Linotype" w:eastAsia="Palatino Linotype" w:hAnsi="Palatino Linotype" w:cs="Palatino Linotype"/>
          <w:sz w:val="24"/>
          <w:szCs w:val="24"/>
        </w:rPr>
        <w:t>J. 32/92 emitida por el Pleno de la Suprema Corte de Justicia de la Nación de rubro “</w:t>
      </w:r>
      <w:r>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14:paraId="750E9B7A" w14:textId="77777777" w:rsidR="0054329D" w:rsidRDefault="007C2D5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14:paraId="4C6F9041" w14:textId="77777777" w:rsidR="0054329D" w:rsidRDefault="007C2D5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Pr>
          <w:rFonts w:ascii="Palatino Linotype" w:eastAsia="Palatino Linotype" w:hAnsi="Palatino Linotype" w:cs="Palatino Linotype"/>
          <w:sz w:val="24"/>
          <w:szCs w:val="24"/>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EFDEE0B" w14:textId="77777777" w:rsidR="0054329D" w:rsidRDefault="0054329D">
      <w:pPr>
        <w:spacing w:after="0" w:line="360" w:lineRule="auto"/>
        <w:ind w:right="49"/>
        <w:jc w:val="both"/>
        <w:rPr>
          <w:rFonts w:ascii="Palatino Linotype" w:eastAsia="Palatino Linotype" w:hAnsi="Palatino Linotype" w:cs="Palatino Linotype"/>
          <w:sz w:val="24"/>
          <w:szCs w:val="24"/>
        </w:rPr>
      </w:pPr>
    </w:p>
    <w:p w14:paraId="1EA2136F" w14:textId="77777777" w:rsidR="0054329D" w:rsidRDefault="007C2D5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4AD0517B" w14:textId="77777777" w:rsidR="0054329D" w:rsidRDefault="007C2D5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p>
    <w:p w14:paraId="34D2B274" w14:textId="77777777" w:rsidR="0054329D" w:rsidRDefault="007C2D5C">
      <w:pPr>
        <w:spacing w:after="0" w:line="360"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b/>
        </w:rPr>
        <w:t xml:space="preserve"> “PLAZO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1214CCA8" w14:textId="77777777" w:rsidR="0054329D" w:rsidRDefault="007C2D5C">
      <w:pPr>
        <w:spacing w:after="0" w:line="360"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42FC0B91" w14:textId="77777777" w:rsidR="0054329D" w:rsidRDefault="007C2D5C">
      <w:pPr>
        <w:spacing w:after="0" w:line="360"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b/>
        </w:rPr>
        <w:t>“PLAZO RAZONABLE PARA RESOLVER. CONCEPTO Y ELEMENTOS QUE LO INTEGRAN A LA LUZ DEL DERECHO INTERNACIONAL DE LOS DERECHOS HUMANOS.”,</w:t>
      </w:r>
      <w:r>
        <w:rPr>
          <w:rFonts w:ascii="Palatino Linotype" w:eastAsia="Palatino Linotype" w:hAnsi="Palatino Linotype" w:cs="Palatino Linotype"/>
        </w:rPr>
        <w:t xml:space="preserve"> visible en el Seminario Judicial de la Federación y su gaceta, con el registro digital 2002350.</w:t>
      </w:r>
    </w:p>
    <w:p w14:paraId="5A549EE7" w14:textId="77777777" w:rsidR="0054329D" w:rsidRDefault="0054329D">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7B60ECF7" w14:textId="77777777" w:rsidR="0054329D" w:rsidRDefault="007C2D5C">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Por ello, este organismo garante comprometido con la tutela de los derechos humanos confiados señala que este exceso del plazo legal para resolver el presente asunto resulta de carácter excepcional.</w:t>
      </w:r>
    </w:p>
    <w:p w14:paraId="506FB2E5" w14:textId="77777777" w:rsidR="0054329D" w:rsidRDefault="0054329D">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682EDC12" w14:textId="77777777" w:rsidR="0054329D" w:rsidRDefault="007C2D5C">
      <w:pPr>
        <w:numPr>
          <w:ilvl w:val="0"/>
          <w:numId w:val="5"/>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Cierre de instrucción</w:t>
      </w:r>
      <w:r>
        <w:rPr>
          <w:rFonts w:ascii="Palatino Linotype" w:eastAsia="Palatino Linotype" w:hAnsi="Palatino Linotype" w:cs="Palatino Linotype"/>
          <w:color w:val="000000"/>
          <w:sz w:val="24"/>
          <w:szCs w:val="24"/>
        </w:rPr>
        <w:t xml:space="preserve">. En fecha </w:t>
      </w:r>
      <w:r>
        <w:rPr>
          <w:rFonts w:ascii="Palatino Linotype" w:eastAsia="Palatino Linotype" w:hAnsi="Palatino Linotype" w:cs="Palatino Linotype"/>
          <w:b/>
          <w:color w:val="000000"/>
          <w:sz w:val="24"/>
          <w:szCs w:val="24"/>
        </w:rPr>
        <w:t>dieciséis de octubre de dos mil veintitrés</w:t>
      </w:r>
      <w:r>
        <w:rPr>
          <w:rFonts w:ascii="Palatino Linotype" w:eastAsia="Palatino Linotype" w:hAnsi="Palatino Linotype" w:cs="Palatino Linotype"/>
          <w:color w:val="000000"/>
          <w:sz w:val="24"/>
          <w:szCs w:val="24"/>
        </w:rPr>
        <w:t>, la Comisionada Ponente determinó el cierre de instrucción en términos de la fracción VI del artículo 185 de la Ley de Transparencia y Acceso a la Información Pública del Estado de México y Municipios.</w:t>
      </w:r>
    </w:p>
    <w:p w14:paraId="68BD996B" w14:textId="77777777" w:rsidR="0054329D" w:rsidRDefault="0054329D">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4CB399E1" w14:textId="77777777" w:rsidR="0054329D" w:rsidRDefault="007C2D5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14:paraId="212317D2" w14:textId="77777777" w:rsidR="0054329D" w:rsidRDefault="0054329D">
      <w:p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sz w:val="24"/>
          <w:szCs w:val="24"/>
        </w:rPr>
      </w:pPr>
    </w:p>
    <w:p w14:paraId="5A5586EA" w14:textId="77777777" w:rsidR="0054329D" w:rsidRDefault="007C2D5C">
      <w:pPr>
        <w:spacing w:after="0" w:line="360" w:lineRule="auto"/>
        <w:ind w:right="49"/>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II.</w:t>
      </w:r>
      <w:r>
        <w:rPr>
          <w:rFonts w:ascii="Palatino Linotype" w:eastAsia="Palatino Linotype" w:hAnsi="Palatino Linotype" w:cs="Palatino Linotype"/>
          <w:b/>
          <w:sz w:val="24"/>
          <w:szCs w:val="24"/>
        </w:rPr>
        <w:tab/>
        <w:t>C O N S I D E R A N D O:</w:t>
      </w:r>
    </w:p>
    <w:p w14:paraId="1E259E9E" w14:textId="77777777" w:rsidR="0054329D" w:rsidRDefault="0054329D">
      <w:pPr>
        <w:spacing w:after="0" w:line="360" w:lineRule="auto"/>
        <w:ind w:right="49"/>
        <w:jc w:val="both"/>
        <w:rPr>
          <w:rFonts w:ascii="Palatino Linotype" w:eastAsia="Palatino Linotype" w:hAnsi="Palatino Linotype" w:cs="Palatino Linotype"/>
          <w:sz w:val="24"/>
          <w:szCs w:val="24"/>
        </w:rPr>
      </w:pPr>
    </w:p>
    <w:p w14:paraId="2442E48C" w14:textId="77777777" w:rsidR="0054329D" w:rsidRDefault="007C2D5C">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w:t>
      </w:r>
      <w:r>
        <w:rPr>
          <w:rFonts w:ascii="Palatino Linotype" w:eastAsia="Palatino Linotype" w:hAnsi="Palatino Linotype" w:cs="Palatino Linotype"/>
          <w:sz w:val="24"/>
          <w:szCs w:val="24"/>
        </w:rPr>
        <w:lastRenderedPageBreak/>
        <w:t>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5469DD6" w14:textId="77777777" w:rsidR="0054329D" w:rsidRDefault="0054329D">
      <w:pPr>
        <w:spacing w:after="0" w:line="360" w:lineRule="auto"/>
        <w:ind w:right="49"/>
        <w:jc w:val="both"/>
        <w:rPr>
          <w:rFonts w:ascii="Palatino Linotype" w:eastAsia="Palatino Linotype" w:hAnsi="Palatino Linotype" w:cs="Palatino Linotype"/>
          <w:sz w:val="24"/>
          <w:szCs w:val="24"/>
        </w:rPr>
      </w:pPr>
    </w:p>
    <w:p w14:paraId="7121DF73" w14:textId="77777777" w:rsidR="0054329D" w:rsidRDefault="007C2D5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Oportunidad y </w:t>
      </w:r>
      <w:proofErr w:type="spellStart"/>
      <w:r>
        <w:rPr>
          <w:rFonts w:ascii="Palatino Linotype" w:eastAsia="Palatino Linotype" w:hAnsi="Palatino Linotype" w:cs="Palatino Linotype"/>
          <w:b/>
          <w:sz w:val="24"/>
          <w:szCs w:val="24"/>
        </w:rPr>
        <w:t>Procedibilidad</w:t>
      </w:r>
      <w:proofErr w:type="spellEnd"/>
      <w:r>
        <w:rPr>
          <w:rFonts w:ascii="Palatino Linotype" w:eastAsia="Palatino Linotype" w:hAnsi="Palatino Linotype" w:cs="Palatino Linotype"/>
          <w:b/>
          <w:sz w:val="24"/>
          <w:szCs w:val="24"/>
        </w:rPr>
        <w:t xml:space="preserve"> del Recurso de Revisión</w:t>
      </w:r>
      <w:r>
        <w:rPr>
          <w:rFonts w:ascii="Palatino Linotype" w:eastAsia="Palatino Linotype" w:hAnsi="Palatino Linotype" w:cs="Palatino Linotype"/>
          <w:sz w:val="24"/>
          <w:szCs w:val="24"/>
        </w:rPr>
        <w:t xml:space="preserve">. Previo al estudio del fondo del asunto, se procede a analizar los requisitos de oportunidad y </w:t>
      </w:r>
      <w:proofErr w:type="spellStart"/>
      <w:r>
        <w:rPr>
          <w:rFonts w:ascii="Palatino Linotype" w:eastAsia="Palatino Linotype" w:hAnsi="Palatino Linotype" w:cs="Palatino Linotype"/>
          <w:sz w:val="24"/>
          <w:szCs w:val="24"/>
        </w:rPr>
        <w:t>procedibilidad</w:t>
      </w:r>
      <w:proofErr w:type="spellEnd"/>
      <w:r>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w:t>
      </w:r>
    </w:p>
    <w:p w14:paraId="3B862E45" w14:textId="77777777" w:rsidR="0054329D" w:rsidRDefault="0054329D">
      <w:pPr>
        <w:spacing w:after="0" w:line="360" w:lineRule="auto"/>
        <w:jc w:val="both"/>
        <w:rPr>
          <w:rFonts w:ascii="Palatino Linotype" w:eastAsia="Palatino Linotype" w:hAnsi="Palatino Linotype" w:cs="Palatino Linotype"/>
        </w:rPr>
      </w:pPr>
    </w:p>
    <w:p w14:paraId="25A9F1B2" w14:textId="77777777" w:rsidR="0054329D" w:rsidRDefault="007C2D5C">
      <w:pPr>
        <w:spacing w:after="0" w:line="360" w:lineRule="auto"/>
        <w:jc w:val="both"/>
        <w:rPr>
          <w:rFonts w:ascii="Palatino Linotype" w:eastAsia="Palatino Linotype" w:hAnsi="Palatino Linotype" w:cs="Palatino Linotype"/>
          <w:sz w:val="24"/>
          <w:szCs w:val="24"/>
        </w:rPr>
      </w:pPr>
      <w:bookmarkStart w:id="8" w:name="_heading=h.3znysh7" w:colFirst="0" w:colLast="0"/>
      <w:bookmarkEnd w:id="8"/>
      <w:r>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remitió su respuesta en fecha </w:t>
      </w:r>
      <w:r>
        <w:rPr>
          <w:rFonts w:ascii="Palatino Linotype" w:eastAsia="Palatino Linotype" w:hAnsi="Palatino Linotype" w:cs="Palatino Linotype"/>
          <w:b/>
          <w:sz w:val="24"/>
          <w:szCs w:val="24"/>
        </w:rPr>
        <w:t>treinta de enero de dos mil veintitrés</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mientras que el recurso de revisión interpuesto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se tuvo por presentado el </w:t>
      </w:r>
      <w:r>
        <w:rPr>
          <w:rFonts w:ascii="Palatino Linotype" w:eastAsia="Palatino Linotype" w:hAnsi="Palatino Linotype" w:cs="Palatino Linotype"/>
          <w:b/>
          <w:sz w:val="24"/>
          <w:szCs w:val="24"/>
        </w:rPr>
        <w:t>treinta y uno de enero de dos mil veintitrés</w:t>
      </w:r>
      <w:r>
        <w:rPr>
          <w:rFonts w:ascii="Palatino Linotype" w:eastAsia="Palatino Linotype" w:hAnsi="Palatino Linotype" w:cs="Palatino Linotype"/>
          <w:sz w:val="24"/>
          <w:szCs w:val="24"/>
        </w:rPr>
        <w:t xml:space="preserve">, esto es al primer día hábil siguiente a la fecha en que se tuvo conocimiento de la respuesta. </w:t>
      </w:r>
    </w:p>
    <w:p w14:paraId="03AA1156" w14:textId="77777777" w:rsidR="0054329D" w:rsidRDefault="0054329D">
      <w:pPr>
        <w:spacing w:after="0" w:line="360" w:lineRule="auto"/>
        <w:jc w:val="both"/>
        <w:rPr>
          <w:rFonts w:ascii="Palatino Linotype" w:eastAsia="Palatino Linotype" w:hAnsi="Palatino Linotype" w:cs="Palatino Linotype"/>
          <w:sz w:val="24"/>
          <w:szCs w:val="24"/>
        </w:rPr>
      </w:pPr>
    </w:p>
    <w:p w14:paraId="2E67B149" w14:textId="77777777" w:rsidR="0054329D" w:rsidRDefault="007C2D5C">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lastRenderedPageBreak/>
        <w:t xml:space="preserve">Así también, por cuanto hace a la </w:t>
      </w:r>
      <w:proofErr w:type="spellStart"/>
      <w:r>
        <w:rPr>
          <w:rFonts w:ascii="Palatino Linotype" w:eastAsia="Palatino Linotype" w:hAnsi="Palatino Linotype" w:cs="Palatino Linotype"/>
          <w:sz w:val="24"/>
          <w:szCs w:val="24"/>
        </w:rPr>
        <w:t>procedibilidad</w:t>
      </w:r>
      <w:proofErr w:type="spellEnd"/>
      <w:r>
        <w:rPr>
          <w:rFonts w:ascii="Palatino Linotype" w:eastAsia="Palatino Linotype" w:hAnsi="Palatino Linotype" w:cs="Palatino Linotype"/>
          <w:sz w:val="24"/>
          <w:szCs w:val="24"/>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Pr>
          <w:rFonts w:ascii="Palatino Linotype" w:eastAsia="Palatino Linotype" w:hAnsi="Palatino Linotype" w:cs="Palatino Linotype"/>
          <w:b/>
          <w:sz w:val="24"/>
          <w:szCs w:val="24"/>
        </w:rPr>
        <w:t>SAIMEX.</w:t>
      </w:r>
    </w:p>
    <w:p w14:paraId="5B091B54" w14:textId="77777777" w:rsidR="0054329D" w:rsidRDefault="0054329D">
      <w:pPr>
        <w:spacing w:after="0" w:line="360" w:lineRule="auto"/>
        <w:jc w:val="both"/>
        <w:rPr>
          <w:rFonts w:ascii="Palatino Linotype" w:eastAsia="Palatino Linotype" w:hAnsi="Palatino Linotype" w:cs="Palatino Linotype"/>
        </w:rPr>
      </w:pPr>
    </w:p>
    <w:p w14:paraId="076A4F3E" w14:textId="77777777" w:rsidR="0054329D" w:rsidRDefault="007C2D5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Finalmente, se advierte que resulta procedente la interposición del recurso, según lo manifestado por la persona Recurrente en sus motivos de inconformidad, de acuerdo con el artículo 179, fracción IX del ordenamiento legal citado, que a la letra dice: </w:t>
      </w:r>
    </w:p>
    <w:p w14:paraId="146EBC51" w14:textId="77777777" w:rsidR="0054329D" w:rsidRDefault="0054329D">
      <w:pPr>
        <w:spacing w:after="0" w:line="360" w:lineRule="auto"/>
        <w:jc w:val="both"/>
        <w:rPr>
          <w:rFonts w:ascii="Palatino Linotype" w:eastAsia="Palatino Linotype" w:hAnsi="Palatino Linotype" w:cs="Palatino Linotype"/>
        </w:rPr>
      </w:pPr>
    </w:p>
    <w:p w14:paraId="773B2B24" w14:textId="77777777" w:rsidR="0054329D" w:rsidRDefault="007C2D5C">
      <w:pPr>
        <w:spacing w:after="0" w:line="276" w:lineRule="auto"/>
        <w:ind w:left="567"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33F2FB5D" w14:textId="77777777" w:rsidR="0054329D" w:rsidRDefault="007C2D5C">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0BA1FF39" w14:textId="77777777" w:rsidR="0054329D" w:rsidRDefault="007C2D5C">
      <w:pPr>
        <w:spacing w:after="0"/>
        <w:ind w:left="567" w:right="985"/>
        <w:jc w:val="both"/>
        <w:rPr>
          <w:rFonts w:ascii="Palatino Linotype" w:eastAsia="Palatino Linotype" w:hAnsi="Palatino Linotype" w:cs="Palatino Linotype"/>
          <w:i/>
        </w:rPr>
      </w:pPr>
      <w:bookmarkStart w:id="9" w:name="_heading=h.17dp8vu" w:colFirst="0" w:colLast="0"/>
      <w:bookmarkEnd w:id="9"/>
      <w:r>
        <w:rPr>
          <w:rFonts w:ascii="Palatino Linotype" w:eastAsia="Palatino Linotype" w:hAnsi="Palatino Linotype" w:cs="Palatino Linotype"/>
          <w:i/>
        </w:rPr>
        <w:t>IX. La entrega o puesta a disposición de información en un formato incomprensible y/o no accesible para el solicitante;”</w:t>
      </w:r>
    </w:p>
    <w:p w14:paraId="60C8D86A" w14:textId="77777777" w:rsidR="0054329D" w:rsidRDefault="0054329D">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color w:val="000000"/>
          <w:sz w:val="24"/>
          <w:szCs w:val="24"/>
        </w:rPr>
      </w:pPr>
    </w:p>
    <w:p w14:paraId="142348E1" w14:textId="77777777" w:rsidR="0054329D" w:rsidRDefault="007C2D5C">
      <w:pPr>
        <w:spacing w:before="240" w:after="240" w:line="360" w:lineRule="auto"/>
        <w:ind w:right="60"/>
        <w:jc w:val="both"/>
        <w:rPr>
          <w:rFonts w:ascii="Palatino Linotype" w:eastAsia="Palatino Linotype" w:hAnsi="Palatino Linotype" w:cs="Palatino Linotype"/>
          <w:b/>
          <w:sz w:val="24"/>
          <w:szCs w:val="24"/>
        </w:rPr>
      </w:pPr>
      <w:r>
        <w:rPr>
          <w:rFonts w:ascii="Palatino Linotype" w:eastAsia="Palatino Linotype" w:hAnsi="Palatino Linotype" w:cs="Palatino Linotype"/>
          <w:b/>
          <w:color w:val="000000"/>
          <w:sz w:val="24"/>
          <w:szCs w:val="24"/>
        </w:rPr>
        <w:t xml:space="preserve">Tercero. </w:t>
      </w:r>
      <w:r>
        <w:rPr>
          <w:rFonts w:ascii="Palatino Linotype" w:eastAsia="Palatino Linotype" w:hAnsi="Palatino Linotype" w:cs="Palatino Linotype"/>
          <w:b/>
          <w:sz w:val="24"/>
          <w:szCs w:val="24"/>
        </w:rPr>
        <w:t xml:space="preserve">Análisis de las causales de sobreseimiento de los recursos de revisión. </w:t>
      </w:r>
      <w:r>
        <w:rPr>
          <w:rFonts w:ascii="Palatino Linotype" w:eastAsia="Palatino Linotype" w:hAnsi="Palatino Linotype" w:cs="Palatino Linotype"/>
          <w:sz w:val="24"/>
          <w:szCs w:val="24"/>
        </w:rPr>
        <w:t xml:space="preserve">Es menester resaltar que en el procedimiento de acceso a la información pública y de los medios de impugnación de la materia, se advierten diversos supuestos de </w:t>
      </w:r>
      <w:proofErr w:type="spellStart"/>
      <w:r>
        <w:rPr>
          <w:rFonts w:ascii="Palatino Linotype" w:eastAsia="Palatino Linotype" w:hAnsi="Palatino Linotype" w:cs="Palatino Linotype"/>
          <w:sz w:val="24"/>
          <w:szCs w:val="24"/>
        </w:rPr>
        <w:t>procedibilidad</w:t>
      </w:r>
      <w:proofErr w:type="spellEnd"/>
      <w:r>
        <w:rPr>
          <w:rFonts w:ascii="Palatino Linotype" w:eastAsia="Palatino Linotype" w:hAnsi="Palatino Linotype" w:cs="Palatino Linotype"/>
          <w:sz w:val="24"/>
          <w:szCs w:val="24"/>
        </w:rPr>
        <w:t xml:space="preserve"> que deben estudiarse con la finalidad de dar cumplimiento a los principios de legalidad y objetividad inmersos en el artículo 9 de Ley de </w:t>
      </w:r>
      <w:r>
        <w:rPr>
          <w:rFonts w:ascii="Palatino Linotype" w:eastAsia="Palatino Linotype" w:hAnsi="Palatino Linotype" w:cs="Palatino Linotype"/>
          <w:sz w:val="24"/>
          <w:szCs w:val="24"/>
        </w:rPr>
        <w:lastRenderedPageBreak/>
        <w:t>Transparencia y Acceso a la Información Pública del Estado de México y Municipios, en correlación con la seguridad jurídica que debe generar lo actuado ante este Organismo Garante.</w:t>
      </w:r>
    </w:p>
    <w:p w14:paraId="28AFA892" w14:textId="77777777" w:rsidR="0054329D" w:rsidRDefault="007C2D5C">
      <w:pPr>
        <w:spacing w:before="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75E2B1CB" w14:textId="77777777" w:rsidR="0054329D" w:rsidRDefault="0054329D">
      <w:pPr>
        <w:spacing w:line="360" w:lineRule="auto"/>
        <w:ind w:right="51"/>
        <w:jc w:val="both"/>
        <w:rPr>
          <w:rFonts w:ascii="Palatino Linotype" w:eastAsia="Palatino Linotype" w:hAnsi="Palatino Linotype" w:cs="Palatino Linotype"/>
          <w:sz w:val="24"/>
          <w:szCs w:val="24"/>
        </w:rPr>
      </w:pPr>
    </w:p>
    <w:p w14:paraId="14CBA0E6" w14:textId="77777777" w:rsidR="0054329D" w:rsidRDefault="007C2D5C">
      <w:pPr>
        <w:spacing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manera preliminar en el caso concreto conviene analizar si se actualiza alguna de las causales de sobreseimiento del recurso de revisión.</w:t>
      </w:r>
    </w:p>
    <w:p w14:paraId="62E85D9C" w14:textId="77777777" w:rsidR="0054329D" w:rsidRDefault="0054329D">
      <w:pPr>
        <w:spacing w:after="0" w:line="360" w:lineRule="auto"/>
        <w:ind w:right="-93"/>
        <w:jc w:val="both"/>
        <w:rPr>
          <w:rFonts w:ascii="Palatino Linotype" w:eastAsia="Palatino Linotype" w:hAnsi="Palatino Linotype" w:cs="Palatino Linotype"/>
        </w:rPr>
      </w:pPr>
    </w:p>
    <w:p w14:paraId="075C2382" w14:textId="77777777" w:rsidR="0054329D" w:rsidRDefault="007C2D5C">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del análisis de la solicitud de información motivo del recurso de revisión que ahora se resuelve, se advierte que el particular requirió al Instituto de Transparencia, Acceso </w:t>
      </w:r>
      <w:r>
        <w:rPr>
          <w:rFonts w:ascii="Palatino Linotype" w:eastAsia="Palatino Linotype" w:hAnsi="Palatino Linotype" w:cs="Palatino Linotype"/>
          <w:sz w:val="24"/>
          <w:szCs w:val="24"/>
        </w:rPr>
        <w:lastRenderedPageBreak/>
        <w:t>a la Información Pública y Protección de Datos Personales del Estado de México y Municipios, lo siguiente:</w:t>
      </w:r>
    </w:p>
    <w:p w14:paraId="74CAF309" w14:textId="77777777" w:rsidR="0054329D" w:rsidRDefault="0054329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28DAA50B" w14:textId="77777777" w:rsidR="0054329D" w:rsidRDefault="007C2D5C">
      <w:pPr>
        <w:numPr>
          <w:ilvl w:val="0"/>
          <w:numId w:val="3"/>
        </w:numPr>
        <w:pBdr>
          <w:top w:val="nil"/>
          <w:left w:val="nil"/>
          <w:bottom w:val="nil"/>
          <w:right w:val="nil"/>
          <w:between w:val="nil"/>
        </w:pBdr>
        <w:spacing w:after="0" w:line="360" w:lineRule="auto"/>
        <w:ind w:right="-150"/>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El soporte documental y/o toda la información sobre los criterios, principios, lineamientos y/o requerimientos que se ocupan para la entrega de versiones públicas de documentos por parte de los sujetos obligados, y su fundamento legal de cada uno.</w:t>
      </w:r>
    </w:p>
    <w:p w14:paraId="66FA6BBD" w14:textId="77777777" w:rsidR="0054329D" w:rsidRDefault="0054329D">
      <w:pPr>
        <w:pBdr>
          <w:top w:val="nil"/>
          <w:left w:val="nil"/>
          <w:bottom w:val="nil"/>
          <w:right w:val="nil"/>
          <w:between w:val="nil"/>
        </w:pBdr>
        <w:spacing w:after="0" w:line="360" w:lineRule="auto"/>
        <w:ind w:left="567" w:right="-150"/>
        <w:jc w:val="both"/>
        <w:rPr>
          <w:rFonts w:ascii="Palatino Linotype" w:eastAsia="Palatino Linotype" w:hAnsi="Palatino Linotype" w:cs="Palatino Linotype"/>
          <w:b/>
          <w:color w:val="000000"/>
        </w:rPr>
      </w:pPr>
    </w:p>
    <w:p w14:paraId="30041C36" w14:textId="77777777" w:rsidR="0054329D" w:rsidRDefault="007C2D5C">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respuesta,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adjuntó los oficios números INFOEM/DGPDP/042/2023 y MM/INFOEM/DGJV/0034/2023, del veinticinco y treinta de enero de dos mil veintitrés, respectivamente, a través de los cuales tanto el Director General de Protección de Datos Personales como el Director General Jurídico y de Verificación, informaron que el artículo 3, fracción XLV de la Ley de Transparencia y Acceso a la Información Pública del Estado de México y Municipios (Ley de Transparencia) definía a la </w:t>
      </w:r>
      <w:r>
        <w:rPr>
          <w:rFonts w:ascii="Palatino Linotype" w:eastAsia="Palatino Linotype" w:hAnsi="Palatino Linotype" w:cs="Palatino Linotype"/>
          <w:b/>
          <w:sz w:val="24"/>
          <w:szCs w:val="24"/>
          <w:u w:val="single"/>
        </w:rPr>
        <w:t>versión pública</w:t>
      </w:r>
      <w:r>
        <w:rPr>
          <w:rFonts w:ascii="Palatino Linotype" w:eastAsia="Palatino Linotype" w:hAnsi="Palatino Linotype" w:cs="Palatino Linotype"/>
          <w:sz w:val="24"/>
          <w:szCs w:val="24"/>
        </w:rPr>
        <w:t xml:space="preserve"> como el documento en el que se elimina, suprime o borra aquella información que actualiza alguno de los supuestos de clasificación de confidencialidad o reserva.</w:t>
      </w:r>
    </w:p>
    <w:p w14:paraId="28BB0255" w14:textId="77777777" w:rsidR="0054329D" w:rsidRDefault="0054329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295551FE" w14:textId="77777777" w:rsidR="0054329D" w:rsidRDefault="007C2D5C">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Asimismo, a través de dichos oficios, los Titulares de la </w:t>
      </w:r>
      <w:r>
        <w:rPr>
          <w:rFonts w:ascii="Palatino Linotype" w:eastAsia="Palatino Linotype" w:hAnsi="Palatino Linotype" w:cs="Palatino Linotype"/>
          <w:b/>
          <w:sz w:val="24"/>
          <w:szCs w:val="24"/>
        </w:rPr>
        <w:t xml:space="preserve">Dirección General de Protección de Datos Personales </w:t>
      </w:r>
      <w:r>
        <w:rPr>
          <w:rFonts w:ascii="Palatino Linotype" w:eastAsia="Palatino Linotype" w:hAnsi="Palatino Linotype" w:cs="Palatino Linotype"/>
          <w:sz w:val="24"/>
          <w:szCs w:val="24"/>
        </w:rPr>
        <w:t>y de la</w:t>
      </w:r>
      <w:r>
        <w:rPr>
          <w:rFonts w:ascii="Palatino Linotype" w:eastAsia="Palatino Linotype" w:hAnsi="Palatino Linotype" w:cs="Palatino Linotype"/>
          <w:b/>
          <w:sz w:val="24"/>
          <w:szCs w:val="24"/>
        </w:rPr>
        <w:t xml:space="preserve"> Dirección General Jurídico y de Verificación</w:t>
      </w:r>
      <w:r>
        <w:rPr>
          <w:rFonts w:ascii="Palatino Linotype" w:eastAsia="Palatino Linotype" w:hAnsi="Palatino Linotype" w:cs="Palatino Linotype"/>
          <w:sz w:val="24"/>
          <w:szCs w:val="24"/>
        </w:rPr>
        <w:t xml:space="preserve">, respectivamente, proporcionaron las ligas electrónicas de la normatividad con base en </w:t>
      </w:r>
      <w:r>
        <w:rPr>
          <w:rFonts w:ascii="Palatino Linotype" w:eastAsia="Palatino Linotype" w:hAnsi="Palatino Linotype" w:cs="Palatino Linotype"/>
          <w:sz w:val="24"/>
          <w:szCs w:val="24"/>
        </w:rPr>
        <w:lastRenderedPageBreak/>
        <w:t>la cual los Sujetos Obligados deben llevar a cabo la elaboración de la versión pública en el caso de que así proceda, siendo estas las siguientes:</w:t>
      </w:r>
    </w:p>
    <w:p w14:paraId="49375251" w14:textId="77777777" w:rsidR="0054329D" w:rsidRDefault="0054329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6A5DCD7B" w14:textId="77777777" w:rsidR="0054329D" w:rsidRDefault="007C2D5C">
      <w:pPr>
        <w:numPr>
          <w:ilvl w:val="0"/>
          <w:numId w:val="2"/>
        </w:num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u w:val="single"/>
        </w:rPr>
      </w:pPr>
      <w:r>
        <w:rPr>
          <w:rFonts w:ascii="Palatino Linotype" w:eastAsia="Palatino Linotype" w:hAnsi="Palatino Linotype" w:cs="Palatino Linotype"/>
          <w:color w:val="000000"/>
          <w:u w:val="single"/>
        </w:rPr>
        <w:t>Ley General de Transparencia y Acceso a la Información Pública (infoem.org.mx)</w:t>
      </w:r>
    </w:p>
    <w:p w14:paraId="2BA0E2A4" w14:textId="77777777" w:rsidR="0054329D" w:rsidRDefault="0054329D">
      <w:p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u w:val="single"/>
        </w:rPr>
      </w:pPr>
    </w:p>
    <w:p w14:paraId="56238A30" w14:textId="77777777" w:rsidR="0054329D" w:rsidRDefault="007C2D5C">
      <w:pPr>
        <w:numPr>
          <w:ilvl w:val="0"/>
          <w:numId w:val="2"/>
        </w:num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u w:val="single"/>
        </w:rPr>
      </w:pPr>
      <w:r>
        <w:rPr>
          <w:rFonts w:ascii="Palatino Linotype" w:eastAsia="Palatino Linotype" w:hAnsi="Palatino Linotype" w:cs="Palatino Linotype"/>
          <w:color w:val="000000"/>
        </w:rPr>
        <w:t>Ley de Transparencia y Acceso a la Información Pública del Estado de México y Municipios (https://www.infoem.org.mx/doc/publicaciones/LeyDeTransparenciaAccesoALaInformacionPublicaDelEstadoDeMexicoYMunicipio.pdf)</w:t>
      </w:r>
    </w:p>
    <w:p w14:paraId="2C7940C2" w14:textId="77777777" w:rsidR="0054329D" w:rsidRDefault="0054329D">
      <w:pPr>
        <w:pBdr>
          <w:top w:val="nil"/>
          <w:left w:val="nil"/>
          <w:bottom w:val="nil"/>
          <w:right w:val="nil"/>
          <w:between w:val="nil"/>
        </w:pBdr>
        <w:spacing w:after="0" w:line="276" w:lineRule="auto"/>
        <w:ind w:right="-150"/>
        <w:jc w:val="both"/>
        <w:rPr>
          <w:rFonts w:ascii="Palatino Linotype" w:eastAsia="Palatino Linotype" w:hAnsi="Palatino Linotype" w:cs="Palatino Linotype"/>
        </w:rPr>
      </w:pPr>
    </w:p>
    <w:p w14:paraId="42B62CD7" w14:textId="77777777" w:rsidR="0054329D" w:rsidRDefault="007C2D5C">
      <w:pPr>
        <w:numPr>
          <w:ilvl w:val="0"/>
          <w:numId w:val="2"/>
        </w:num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Ley de Protección de Datos Personales en Posesión de Sujetos Obligados del Estado de México y Municipios (</w:t>
      </w:r>
      <w:hyperlink r:id="rId23">
        <w:r>
          <w:rPr>
            <w:rFonts w:ascii="Palatino Linotype" w:eastAsia="Palatino Linotype" w:hAnsi="Palatino Linotype" w:cs="Palatino Linotype"/>
            <w:color w:val="000000"/>
          </w:rPr>
          <w:t>https://www.infoem.org.mx/doc/publicaciones/LeyDeDatos</w:t>
        </w:r>
      </w:hyperlink>
      <w:r>
        <w:rPr>
          <w:rFonts w:ascii="Palatino Linotype" w:eastAsia="Palatino Linotype" w:hAnsi="Palatino Linotype" w:cs="Palatino Linotype"/>
          <w:color w:val="000000"/>
        </w:rPr>
        <w:t xml:space="preserve"> Personales.pdf)</w:t>
      </w:r>
    </w:p>
    <w:p w14:paraId="61E31031" w14:textId="77777777" w:rsidR="0054329D" w:rsidRDefault="0054329D">
      <w:pPr>
        <w:pBdr>
          <w:top w:val="nil"/>
          <w:left w:val="nil"/>
          <w:bottom w:val="nil"/>
          <w:right w:val="nil"/>
          <w:between w:val="nil"/>
        </w:pBdr>
        <w:spacing w:after="0" w:line="276" w:lineRule="auto"/>
        <w:ind w:right="-150"/>
        <w:jc w:val="both"/>
        <w:rPr>
          <w:rFonts w:ascii="Palatino Linotype" w:eastAsia="Palatino Linotype" w:hAnsi="Palatino Linotype" w:cs="Palatino Linotype"/>
        </w:rPr>
      </w:pPr>
    </w:p>
    <w:p w14:paraId="5EF10AB4" w14:textId="77777777" w:rsidR="0054329D" w:rsidRDefault="007C2D5C">
      <w:pPr>
        <w:numPr>
          <w:ilvl w:val="0"/>
          <w:numId w:val="2"/>
        </w:num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Lineamientos Generales de Protección de Datos Personales para el Sector Público (https://www.infoem.org.mx/doc/normatividad/LI Lineamientos Generales de </w:t>
      </w:r>
      <w:proofErr w:type="spellStart"/>
      <w:r>
        <w:rPr>
          <w:rFonts w:ascii="Palatino Linotype" w:eastAsia="Palatino Linotype" w:hAnsi="Palatino Linotype" w:cs="Palatino Linotype"/>
          <w:color w:val="000000"/>
        </w:rPr>
        <w:t>Proteccion</w:t>
      </w:r>
      <w:proofErr w:type="spellEnd"/>
      <w:r>
        <w:rPr>
          <w:rFonts w:ascii="Palatino Linotype" w:eastAsia="Palatino Linotype" w:hAnsi="Palatino Linotype" w:cs="Palatino Linotype"/>
          <w:color w:val="000000"/>
        </w:rPr>
        <w:t xml:space="preserve"> de Datos Personales para el Sector Publico.pdf).</w:t>
      </w:r>
    </w:p>
    <w:p w14:paraId="6034929A" w14:textId="77777777" w:rsidR="0054329D" w:rsidRDefault="0054329D">
      <w:pPr>
        <w:pBdr>
          <w:top w:val="nil"/>
          <w:left w:val="nil"/>
          <w:bottom w:val="nil"/>
          <w:right w:val="nil"/>
          <w:between w:val="nil"/>
        </w:pBdr>
        <w:spacing w:after="0" w:line="276" w:lineRule="auto"/>
        <w:ind w:right="-150"/>
        <w:jc w:val="both"/>
        <w:rPr>
          <w:rFonts w:ascii="Palatino Linotype" w:eastAsia="Palatino Linotype" w:hAnsi="Palatino Linotype" w:cs="Palatino Linotype"/>
        </w:rPr>
      </w:pPr>
    </w:p>
    <w:p w14:paraId="5BE8F769" w14:textId="77777777" w:rsidR="0054329D" w:rsidRDefault="007C2D5C">
      <w:pPr>
        <w:numPr>
          <w:ilvl w:val="0"/>
          <w:numId w:val="2"/>
        </w:num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Lineamientos Generales en Materia de Clasificación y Desclasificación de la Información, así como para la elaboración de versiones públicas (https://www.infoem.org.mx/doc/normatividad/LI Lineamientos generales en materia de </w:t>
      </w:r>
      <w:proofErr w:type="spellStart"/>
      <w:r>
        <w:rPr>
          <w:rFonts w:ascii="Palatino Linotype" w:eastAsia="Palatino Linotype" w:hAnsi="Palatino Linotype" w:cs="Palatino Linotype"/>
          <w:color w:val="000000"/>
        </w:rPr>
        <w:t>clasificacion</w:t>
      </w:r>
      <w:proofErr w:type="spellEnd"/>
      <w:r>
        <w:rPr>
          <w:rFonts w:ascii="Palatino Linotype" w:eastAsia="Palatino Linotype" w:hAnsi="Palatino Linotype" w:cs="Palatino Linotype"/>
          <w:color w:val="000000"/>
        </w:rPr>
        <w:t xml:space="preserve"> y </w:t>
      </w:r>
      <w:proofErr w:type="spellStart"/>
      <w:r>
        <w:rPr>
          <w:rFonts w:ascii="Palatino Linotype" w:eastAsia="Palatino Linotype" w:hAnsi="Palatino Linotype" w:cs="Palatino Linotype"/>
          <w:color w:val="000000"/>
        </w:rPr>
        <w:t>desclasificacion</w:t>
      </w:r>
      <w:proofErr w:type="spellEnd"/>
      <w:r>
        <w:rPr>
          <w:rFonts w:ascii="Palatino Linotype" w:eastAsia="Palatino Linotype" w:hAnsi="Palatino Linotype" w:cs="Palatino Linotype"/>
          <w:color w:val="000000"/>
        </w:rPr>
        <w:t xml:space="preserve"> de la </w:t>
      </w:r>
      <w:proofErr w:type="spellStart"/>
      <w:r>
        <w:rPr>
          <w:rFonts w:ascii="Palatino Linotype" w:eastAsia="Palatino Linotype" w:hAnsi="Palatino Linotype" w:cs="Palatino Linotype"/>
          <w:color w:val="000000"/>
        </w:rPr>
        <w:t>informacion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asi</w:t>
      </w:r>
      <w:proofErr w:type="spellEnd"/>
      <w:r>
        <w:rPr>
          <w:rFonts w:ascii="Palatino Linotype" w:eastAsia="Palatino Linotype" w:hAnsi="Palatino Linotype" w:cs="Palatino Linotype"/>
          <w:color w:val="000000"/>
        </w:rPr>
        <w:t xml:space="preserve"> como para la </w:t>
      </w:r>
      <w:proofErr w:type="spellStart"/>
      <w:r>
        <w:rPr>
          <w:rFonts w:ascii="Palatino Linotype" w:eastAsia="Palatino Linotype" w:hAnsi="Palatino Linotype" w:cs="Palatino Linotype"/>
          <w:color w:val="000000"/>
        </w:rPr>
        <w:t>elaboracion</w:t>
      </w:r>
      <w:proofErr w:type="spellEnd"/>
      <w:r>
        <w:rPr>
          <w:rFonts w:ascii="Palatino Linotype" w:eastAsia="Palatino Linotype" w:hAnsi="Palatino Linotype" w:cs="Palatino Linotype"/>
          <w:color w:val="000000"/>
        </w:rPr>
        <w:t xml:space="preserve"> de versiones publicas.pdf)</w:t>
      </w:r>
    </w:p>
    <w:p w14:paraId="13684C57" w14:textId="77777777" w:rsidR="0054329D" w:rsidRDefault="0054329D">
      <w:pPr>
        <w:pBdr>
          <w:top w:val="nil"/>
          <w:left w:val="nil"/>
          <w:bottom w:val="nil"/>
          <w:right w:val="nil"/>
          <w:between w:val="nil"/>
        </w:pBdr>
        <w:spacing w:after="0" w:line="276" w:lineRule="auto"/>
        <w:ind w:right="-150"/>
        <w:jc w:val="both"/>
        <w:rPr>
          <w:rFonts w:ascii="Palatino Linotype" w:eastAsia="Palatino Linotype" w:hAnsi="Palatino Linotype" w:cs="Palatino Linotype"/>
        </w:rPr>
      </w:pPr>
    </w:p>
    <w:p w14:paraId="23456D3D" w14:textId="77777777" w:rsidR="0054329D" w:rsidRDefault="007C2D5C">
      <w:pPr>
        <w:numPr>
          <w:ilvl w:val="0"/>
          <w:numId w:val="2"/>
        </w:num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Lineamientos Técnicos Generales para la Publicación, Homologación y Estandarización de la Información de las Obligaciones Establecidas en el Titulo Quinto y en la Fracción IV del Artículo 31 de la Ley General de Transparencia y Acceso a la Información Pública, Que deben de Difundir los Sujetos Obligados en los Portales de Internet y en la Plataforma Nacional de Transparencia, en lo Referente a la Fracción II del Artículo 73 de la Ley General de Transparencia y Acceso a la Información Pública. </w:t>
      </w:r>
      <w:r>
        <w:rPr>
          <w:rFonts w:ascii="Palatino Linotype" w:eastAsia="Palatino Linotype" w:hAnsi="Palatino Linotype" w:cs="Palatino Linotype"/>
          <w:color w:val="000000"/>
        </w:rPr>
        <w:lastRenderedPageBreak/>
        <w:t>(https://www.dof.gob.mx/2021/INAI/CONAIP-SNT-ACUERDO-ORD02-09-07-2021-04.pdf)</w:t>
      </w:r>
    </w:p>
    <w:p w14:paraId="397C8983" w14:textId="77777777" w:rsidR="0054329D" w:rsidRDefault="0054329D">
      <w:p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rPr>
      </w:pPr>
    </w:p>
    <w:p w14:paraId="79B443F3" w14:textId="77777777" w:rsidR="0054329D" w:rsidRDefault="007C2D5C">
      <w:pPr>
        <w:numPr>
          <w:ilvl w:val="0"/>
          <w:numId w:val="2"/>
        </w:num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Criterios Orientadores Derivados de las Resoluciones Emitidas del INFOEM. (</w:t>
      </w:r>
      <w:r>
        <w:rPr>
          <w:rFonts w:ascii="Palatino Linotype" w:eastAsia="Palatino Linotype" w:hAnsi="Palatino Linotype" w:cs="Palatino Linotype"/>
          <w:color w:val="000000"/>
          <w:u w:val="single"/>
        </w:rPr>
        <w:t>https://ipomex.org.mx/ip03/lgt/indice/INFOEM/art_97_iii_bl.web?token=03AFY_a8Xr|Kwe6EjTBUM1qwBYpXDEcDz178G68pNtuxqtarb|31VsdY5LEwRSO0scZqPkMH0GkL738uOWmWLfpNvBCyzhOw0MRmfdjWAWwm160UQfCq|E9CXp6A9AAmLnGZ1uUFZHb1]rzdFEViXqtZgPHEn3H12Ts1L83ah1w|IS040XuRAejZ0yONkH28jFECAigkniPBUKvkIQe6HSFRitSz|myb23iczISYVrAZz6vNrrq4bKrotUaYY18RXALDN3zGbuPEdIVmgU7Gzv5FCuT2RtUq8ZDMP4honPipah9tV|1e56WCNn3XsMUo2iGmX2zYv9et7K7HB70SU4zXFcHWQg3nRaHm4ReWyeTrr964dg8XXRTatODPmqQcZKFd4TFNmnykXqp16MxdpE8aX1QT90UDCVQ9tft3dLc0f9MdG2OfeMb1AjLO6iOzm|Jbp5TUiruANGE34aYrz6AodiAXGz6ZBIpCuIDwN-9wu IbbmLr6-oRhk2</w:t>
      </w:r>
      <w:r>
        <w:rPr>
          <w:rFonts w:ascii="Palatino Linotype" w:eastAsia="Palatino Linotype" w:hAnsi="Palatino Linotype" w:cs="Palatino Linotype"/>
          <w:color w:val="000000"/>
        </w:rPr>
        <w:t>)</w:t>
      </w:r>
    </w:p>
    <w:p w14:paraId="139FA78F" w14:textId="77777777" w:rsidR="0054329D" w:rsidRDefault="0054329D">
      <w:pPr>
        <w:pBdr>
          <w:top w:val="nil"/>
          <w:left w:val="nil"/>
          <w:bottom w:val="nil"/>
          <w:right w:val="nil"/>
          <w:between w:val="nil"/>
        </w:pBdr>
        <w:spacing w:after="0"/>
        <w:ind w:left="720"/>
        <w:rPr>
          <w:rFonts w:ascii="Palatino Linotype" w:eastAsia="Palatino Linotype" w:hAnsi="Palatino Linotype" w:cs="Palatino Linotype"/>
          <w:color w:val="000000"/>
        </w:rPr>
      </w:pPr>
    </w:p>
    <w:p w14:paraId="6EEBCA2D" w14:textId="77777777" w:rsidR="0054329D" w:rsidRDefault="007C2D5C">
      <w:pPr>
        <w:numPr>
          <w:ilvl w:val="0"/>
          <w:numId w:val="2"/>
        </w:num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Criterios de Interpretación INAI (</w:t>
      </w:r>
      <w:r>
        <w:rPr>
          <w:rFonts w:ascii="Palatino Linotype" w:eastAsia="Palatino Linotype" w:hAnsi="Palatino Linotype" w:cs="Palatino Linotype"/>
          <w:color w:val="000000"/>
          <w:u w:val="single"/>
        </w:rPr>
        <w:t>https://home.inai.org.mx/?page id=5994&amp;q=Criterios)</w:t>
      </w:r>
    </w:p>
    <w:p w14:paraId="66B80726" w14:textId="77777777" w:rsidR="0054329D" w:rsidRDefault="0054329D">
      <w:pPr>
        <w:pBdr>
          <w:top w:val="nil"/>
          <w:left w:val="nil"/>
          <w:bottom w:val="nil"/>
          <w:right w:val="nil"/>
          <w:between w:val="nil"/>
        </w:pBdr>
        <w:spacing w:after="0"/>
        <w:ind w:left="720"/>
        <w:rPr>
          <w:rFonts w:ascii="Palatino Linotype" w:eastAsia="Palatino Linotype" w:hAnsi="Palatino Linotype" w:cs="Palatino Linotype"/>
          <w:color w:val="000000"/>
        </w:rPr>
      </w:pPr>
    </w:p>
    <w:p w14:paraId="3CF71EBD" w14:textId="77777777" w:rsidR="0054329D" w:rsidRDefault="007C2D5C">
      <w:pPr>
        <w:numPr>
          <w:ilvl w:val="0"/>
          <w:numId w:val="2"/>
        </w:num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002 10 Criterio VERSIONES PUBLICAS PARA SU VALIDEZ SE DEBERAN GENER AR CONFORME A LAS FORMALIDADES.docx (live.com)</w:t>
      </w:r>
    </w:p>
    <w:p w14:paraId="6F62FBA5" w14:textId="77777777" w:rsidR="0054329D" w:rsidRDefault="0054329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435CD19E" w14:textId="77777777" w:rsidR="0054329D" w:rsidRDefault="007C2D5C">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Inconforme con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el Particular promovió el presente recurso de revisión, en el que manifiesta como agravio el hecho de que varias de las ligas proporcionadas aparecían inhabilitadas, solicitando se le pudieran proporcionar o en su caso el archivo </w:t>
      </w:r>
      <w:proofErr w:type="spellStart"/>
      <w:r>
        <w:rPr>
          <w:rFonts w:ascii="Palatino Linotype" w:eastAsia="Palatino Linotype" w:hAnsi="Palatino Linotype" w:cs="Palatino Linotype"/>
          <w:sz w:val="24"/>
          <w:szCs w:val="24"/>
        </w:rPr>
        <w:t>pdf</w:t>
      </w:r>
      <w:proofErr w:type="spellEnd"/>
      <w:r>
        <w:rPr>
          <w:rFonts w:ascii="Palatino Linotype" w:eastAsia="Palatino Linotype" w:hAnsi="Palatino Linotype" w:cs="Palatino Linotype"/>
          <w:sz w:val="24"/>
          <w:szCs w:val="24"/>
        </w:rPr>
        <w:t>.</w:t>
      </w:r>
    </w:p>
    <w:p w14:paraId="5AE26ACC" w14:textId="77777777" w:rsidR="0054329D" w:rsidRDefault="0054329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3B27EA21" w14:textId="77777777" w:rsidR="0054329D" w:rsidRDefault="007C2D5C">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bookmarkStart w:id="10" w:name="_heading=h.3rdcrjn" w:colFirst="0" w:colLast="0"/>
      <w:bookmarkEnd w:id="10"/>
      <w:r>
        <w:rPr>
          <w:rFonts w:ascii="Palatino Linotype" w:eastAsia="Palatino Linotype" w:hAnsi="Palatino Linotype" w:cs="Palatino Linotype"/>
          <w:sz w:val="24"/>
          <w:szCs w:val="24"/>
        </w:rPr>
        <w:t xml:space="preserve">De lo anterior, se tiene que la inconformidad del Particular estriba en no poder acceder a las ligas electrónicas proporcionadas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sobre la normatividad </w:t>
      </w:r>
      <w:r>
        <w:rPr>
          <w:rFonts w:ascii="Palatino Linotype" w:eastAsia="Palatino Linotype" w:hAnsi="Palatino Linotype" w:cs="Palatino Linotype"/>
          <w:sz w:val="24"/>
          <w:szCs w:val="24"/>
        </w:rPr>
        <w:lastRenderedPageBreak/>
        <w:t xml:space="preserve">aplicable para la elaboración de versiones públicas por parte de los sujetos obligados, por lo que requirió que se le pudieran proporcionar las mismas en formato </w:t>
      </w:r>
      <w:proofErr w:type="spellStart"/>
      <w:r>
        <w:rPr>
          <w:rFonts w:ascii="Palatino Linotype" w:eastAsia="Palatino Linotype" w:hAnsi="Palatino Linotype" w:cs="Palatino Linotype"/>
          <w:sz w:val="24"/>
          <w:szCs w:val="24"/>
        </w:rPr>
        <w:t>pdf</w:t>
      </w:r>
      <w:proofErr w:type="spellEnd"/>
      <w:r>
        <w:rPr>
          <w:rFonts w:ascii="Palatino Linotype" w:eastAsia="Palatino Linotype" w:hAnsi="Palatino Linotype" w:cs="Palatino Linotype"/>
          <w:sz w:val="24"/>
          <w:szCs w:val="24"/>
        </w:rPr>
        <w:t>.</w:t>
      </w:r>
    </w:p>
    <w:p w14:paraId="054DBB8C" w14:textId="77777777" w:rsidR="0054329D" w:rsidRDefault="0054329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1220AF3F" w14:textId="77777777" w:rsidR="0054329D" w:rsidRDefault="007C2D5C">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Posteriormente,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en calidad de informe justificado por conducto del Titular de la Unidad de Transparencia; en primer lugar, refirió el procedimiento que efectuó para dar atención a la solicitud, precisando que una vez analizada la misma, se procedió a requerir la información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sz w:val="24"/>
          <w:szCs w:val="24"/>
        </w:rPr>
        <w:t>a los servidores públicos habilitados de la Dirección General de Protección de Datos Personales y de la Dirección General Jurídica y de Verificación, los cuales aportaron la información entregada en respuesta; y, en segundo lugar, indica que al tener conocimiento del medio de impugnación que nos ocupa, dicho Titular de la Unidad de Transparencia procedió a informarlo a los servidores públicos que dieron la respuesta primigenia, a fin de requerirles mediante los oficios números  INFOEM/UT/026/2023 y INFOEM/UT/067/2023, ambos del siete de febrero de dos mil veintitrés, rindieran su informe respectivo derivado de la solicitud de información y poder rendir el informe justificado correspondiente.</w:t>
      </w:r>
    </w:p>
    <w:p w14:paraId="0AEFBF02" w14:textId="77777777" w:rsidR="0054329D" w:rsidRDefault="0054329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2A7F6F44" w14:textId="77777777" w:rsidR="0054329D" w:rsidRDefault="007C2D5C">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 motivo de lo anterior, los servidores públicos habilitados de la Dirección General de Protección de Datos Personales y de la Dirección General Jurídica y de Verificación, al momento de rendir sus informes, a través de los oficios INFOEM/DGPDP/085/2023 y </w:t>
      </w:r>
      <w:r>
        <w:rPr>
          <w:rFonts w:ascii="Palatino Linotype" w:eastAsia="Palatino Linotype" w:hAnsi="Palatino Linotype" w:cs="Palatino Linotype"/>
          <w:color w:val="000000"/>
          <w:sz w:val="24"/>
          <w:szCs w:val="24"/>
        </w:rPr>
        <w:t xml:space="preserve">MM/INFOEM/DGJV/0054/2023, ambos </w:t>
      </w:r>
      <w:r>
        <w:rPr>
          <w:rFonts w:ascii="Palatino Linotype" w:eastAsia="Palatino Linotype" w:hAnsi="Palatino Linotype" w:cs="Palatino Linotype"/>
          <w:sz w:val="24"/>
          <w:szCs w:val="24"/>
        </w:rPr>
        <w:t xml:space="preserve">del ocho de febrero de dos mil veintitrés, si bien, en el primer oficio de los indicados, se manifestó que al realizar una revisión de los links </w:t>
      </w:r>
      <w:r>
        <w:rPr>
          <w:rFonts w:ascii="Palatino Linotype" w:eastAsia="Palatino Linotype" w:hAnsi="Palatino Linotype" w:cs="Palatino Linotype"/>
          <w:sz w:val="24"/>
          <w:szCs w:val="24"/>
        </w:rPr>
        <w:lastRenderedPageBreak/>
        <w:t xml:space="preserve">proporcionados, se apreció que sí se podía visualizar la información requerida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también bajo el principio de máxima publicidad, ambas direcciones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aportaron en formato </w:t>
      </w:r>
      <w:proofErr w:type="spellStart"/>
      <w:r>
        <w:rPr>
          <w:rFonts w:ascii="Palatino Linotype" w:eastAsia="Palatino Linotype" w:hAnsi="Palatino Linotype" w:cs="Palatino Linotype"/>
          <w:sz w:val="24"/>
          <w:szCs w:val="24"/>
        </w:rPr>
        <w:t>pdf</w:t>
      </w:r>
      <w:proofErr w:type="spellEnd"/>
      <w:r>
        <w:rPr>
          <w:rFonts w:ascii="Palatino Linotype" w:eastAsia="Palatino Linotype" w:hAnsi="Palatino Linotype" w:cs="Palatino Linotype"/>
          <w:sz w:val="24"/>
          <w:szCs w:val="24"/>
        </w:rPr>
        <w:t xml:space="preserve"> y Word, la siguiente información:</w:t>
      </w:r>
    </w:p>
    <w:p w14:paraId="75DC5EBD" w14:textId="77777777" w:rsidR="0054329D" w:rsidRDefault="0054329D">
      <w:p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u w:val="single"/>
        </w:rPr>
      </w:pPr>
    </w:p>
    <w:p w14:paraId="222B6D1A" w14:textId="77777777" w:rsidR="0054329D" w:rsidRDefault="007C2D5C">
      <w:p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u w:val="single"/>
        </w:rPr>
      </w:pPr>
      <w:r>
        <w:rPr>
          <w:rFonts w:ascii="Palatino Linotype" w:eastAsia="Palatino Linotype" w:hAnsi="Palatino Linotype" w:cs="Palatino Linotype"/>
          <w:b/>
          <w:color w:val="000000"/>
          <w:u w:val="single"/>
        </w:rPr>
        <w:t>En versión “</w:t>
      </w:r>
      <w:proofErr w:type="spellStart"/>
      <w:r>
        <w:rPr>
          <w:rFonts w:ascii="Palatino Linotype" w:eastAsia="Palatino Linotype" w:hAnsi="Palatino Linotype" w:cs="Palatino Linotype"/>
          <w:b/>
          <w:color w:val="000000"/>
          <w:u w:val="single"/>
        </w:rPr>
        <w:t>pdf</w:t>
      </w:r>
      <w:proofErr w:type="spellEnd"/>
      <w:r>
        <w:rPr>
          <w:rFonts w:ascii="Palatino Linotype" w:eastAsia="Palatino Linotype" w:hAnsi="Palatino Linotype" w:cs="Palatino Linotype"/>
          <w:b/>
          <w:color w:val="000000"/>
          <w:u w:val="single"/>
        </w:rPr>
        <w:t>”, aportó:</w:t>
      </w:r>
    </w:p>
    <w:p w14:paraId="77053C68" w14:textId="77777777" w:rsidR="0054329D" w:rsidRDefault="007C2D5C">
      <w:pPr>
        <w:numPr>
          <w:ilvl w:val="0"/>
          <w:numId w:val="1"/>
        </w:numPr>
        <w:pBdr>
          <w:top w:val="nil"/>
          <w:left w:val="nil"/>
          <w:bottom w:val="nil"/>
          <w:right w:val="nil"/>
          <w:between w:val="nil"/>
        </w:pBdr>
        <w:spacing w:after="0" w:line="276" w:lineRule="auto"/>
        <w:ind w:left="426"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Ley General de Transparencia y Acceso a la Información Pública.</w:t>
      </w:r>
    </w:p>
    <w:p w14:paraId="1EEB6A4E" w14:textId="77777777" w:rsidR="0054329D" w:rsidRDefault="0054329D">
      <w:pPr>
        <w:pBdr>
          <w:top w:val="nil"/>
          <w:left w:val="nil"/>
          <w:bottom w:val="nil"/>
          <w:right w:val="nil"/>
          <w:between w:val="nil"/>
        </w:pBdr>
        <w:spacing w:after="0" w:line="276" w:lineRule="auto"/>
        <w:ind w:left="426" w:right="49"/>
        <w:jc w:val="both"/>
        <w:rPr>
          <w:rFonts w:ascii="Palatino Linotype" w:eastAsia="Palatino Linotype" w:hAnsi="Palatino Linotype" w:cs="Palatino Linotype"/>
          <w:color w:val="000000"/>
        </w:rPr>
      </w:pPr>
    </w:p>
    <w:p w14:paraId="4859E403" w14:textId="77777777" w:rsidR="0054329D" w:rsidRDefault="007C2D5C">
      <w:pPr>
        <w:numPr>
          <w:ilvl w:val="0"/>
          <w:numId w:val="1"/>
        </w:numPr>
        <w:pBdr>
          <w:top w:val="nil"/>
          <w:left w:val="nil"/>
          <w:bottom w:val="nil"/>
          <w:right w:val="nil"/>
          <w:between w:val="nil"/>
        </w:pBdr>
        <w:spacing w:after="0" w:line="276" w:lineRule="auto"/>
        <w:ind w:left="426"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Ley de Transparencia y Acceso a la Información Pública del Estado de México y Municipios.</w:t>
      </w:r>
    </w:p>
    <w:p w14:paraId="3B8D3157" w14:textId="77777777" w:rsidR="0054329D" w:rsidRDefault="0054329D">
      <w:pPr>
        <w:pBdr>
          <w:top w:val="nil"/>
          <w:left w:val="nil"/>
          <w:bottom w:val="nil"/>
          <w:right w:val="nil"/>
          <w:between w:val="nil"/>
        </w:pBdr>
        <w:spacing w:after="0"/>
        <w:ind w:left="720"/>
        <w:rPr>
          <w:rFonts w:ascii="Palatino Linotype" w:eastAsia="Palatino Linotype" w:hAnsi="Palatino Linotype" w:cs="Palatino Linotype"/>
          <w:color w:val="000000"/>
        </w:rPr>
      </w:pPr>
    </w:p>
    <w:p w14:paraId="32AA9FD0" w14:textId="77777777" w:rsidR="0054329D" w:rsidRDefault="007C2D5C">
      <w:pPr>
        <w:numPr>
          <w:ilvl w:val="0"/>
          <w:numId w:val="1"/>
        </w:numPr>
        <w:pBdr>
          <w:top w:val="nil"/>
          <w:left w:val="nil"/>
          <w:bottom w:val="nil"/>
          <w:right w:val="nil"/>
          <w:between w:val="nil"/>
        </w:pBdr>
        <w:spacing w:after="0" w:line="276" w:lineRule="auto"/>
        <w:ind w:left="426" w:right="49"/>
        <w:jc w:val="both"/>
        <w:rPr>
          <w:rFonts w:ascii="Palatino Linotype" w:eastAsia="Palatino Linotype" w:hAnsi="Palatino Linotype" w:cs="Palatino Linotype"/>
          <w:color w:val="000000"/>
        </w:rPr>
      </w:pPr>
      <w:bookmarkStart w:id="11" w:name="_heading=h.26in1rg" w:colFirst="0" w:colLast="0"/>
      <w:bookmarkEnd w:id="11"/>
      <w:r>
        <w:rPr>
          <w:rFonts w:ascii="Palatino Linotype" w:eastAsia="Palatino Linotype" w:hAnsi="Palatino Linotype" w:cs="Palatino Linotype"/>
          <w:color w:val="000000"/>
        </w:rPr>
        <w:t>La Ley de Protección de Datos Personales en Posesión de Sujetos Obligados del Estado de México.</w:t>
      </w:r>
    </w:p>
    <w:p w14:paraId="56C1B3CC" w14:textId="77777777" w:rsidR="0054329D" w:rsidRDefault="0054329D">
      <w:pPr>
        <w:pBdr>
          <w:top w:val="nil"/>
          <w:left w:val="nil"/>
          <w:bottom w:val="nil"/>
          <w:right w:val="nil"/>
          <w:between w:val="nil"/>
        </w:pBdr>
        <w:spacing w:after="0"/>
        <w:ind w:left="720"/>
        <w:rPr>
          <w:rFonts w:ascii="Palatino Linotype" w:eastAsia="Palatino Linotype" w:hAnsi="Palatino Linotype" w:cs="Palatino Linotype"/>
          <w:color w:val="000000"/>
        </w:rPr>
      </w:pPr>
    </w:p>
    <w:p w14:paraId="601B6CA7" w14:textId="77777777" w:rsidR="0054329D" w:rsidRDefault="007C2D5C">
      <w:pPr>
        <w:numPr>
          <w:ilvl w:val="0"/>
          <w:numId w:val="1"/>
        </w:numPr>
        <w:pBdr>
          <w:top w:val="nil"/>
          <w:left w:val="nil"/>
          <w:bottom w:val="nil"/>
          <w:right w:val="nil"/>
          <w:between w:val="nil"/>
        </w:pBdr>
        <w:spacing w:after="0" w:line="276" w:lineRule="auto"/>
        <w:ind w:left="426"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Lineamientos Generales de Protección de Datos Personales para el Sector Público.</w:t>
      </w:r>
    </w:p>
    <w:p w14:paraId="172430D1" w14:textId="77777777" w:rsidR="0054329D" w:rsidRDefault="0054329D">
      <w:pPr>
        <w:pBdr>
          <w:top w:val="nil"/>
          <w:left w:val="nil"/>
          <w:bottom w:val="nil"/>
          <w:right w:val="nil"/>
          <w:between w:val="nil"/>
        </w:pBdr>
        <w:spacing w:after="0"/>
        <w:ind w:left="720"/>
        <w:rPr>
          <w:rFonts w:ascii="Palatino Linotype" w:eastAsia="Palatino Linotype" w:hAnsi="Palatino Linotype" w:cs="Palatino Linotype"/>
          <w:color w:val="000000"/>
        </w:rPr>
      </w:pPr>
    </w:p>
    <w:p w14:paraId="627175D9" w14:textId="77777777" w:rsidR="0054329D" w:rsidRDefault="007C2D5C">
      <w:pPr>
        <w:numPr>
          <w:ilvl w:val="0"/>
          <w:numId w:val="1"/>
        </w:numPr>
        <w:pBdr>
          <w:top w:val="nil"/>
          <w:left w:val="nil"/>
          <w:bottom w:val="nil"/>
          <w:right w:val="nil"/>
          <w:between w:val="nil"/>
        </w:pBdr>
        <w:spacing w:after="0" w:line="276" w:lineRule="auto"/>
        <w:ind w:left="426"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Lineamientos Generales en Materia de Clasificación y Desclasificación de la Información, así como para la Elaboración de Versiones Públicas.</w:t>
      </w:r>
    </w:p>
    <w:p w14:paraId="35C30151" w14:textId="77777777" w:rsidR="0054329D" w:rsidRDefault="0054329D">
      <w:pPr>
        <w:pBdr>
          <w:top w:val="nil"/>
          <w:left w:val="nil"/>
          <w:bottom w:val="nil"/>
          <w:right w:val="nil"/>
          <w:between w:val="nil"/>
        </w:pBdr>
        <w:spacing w:after="0"/>
        <w:ind w:left="720"/>
        <w:rPr>
          <w:rFonts w:ascii="Palatino Linotype" w:eastAsia="Palatino Linotype" w:hAnsi="Palatino Linotype" w:cs="Palatino Linotype"/>
          <w:color w:val="000000"/>
        </w:rPr>
      </w:pPr>
    </w:p>
    <w:p w14:paraId="15164118" w14:textId="77777777" w:rsidR="0054329D" w:rsidRDefault="007C2D5C">
      <w:pPr>
        <w:numPr>
          <w:ilvl w:val="0"/>
          <w:numId w:val="1"/>
        </w:numPr>
        <w:pBdr>
          <w:top w:val="nil"/>
          <w:left w:val="nil"/>
          <w:bottom w:val="nil"/>
          <w:right w:val="nil"/>
          <w:between w:val="nil"/>
        </w:pBdr>
        <w:spacing w:after="0" w:line="276" w:lineRule="auto"/>
        <w:ind w:left="42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Criterio 002 10 emitido por el Instituto de Transparencia, Acceso a la Información Pública y Protección de Datos Personales del Estado de México y Municipios, denominado Versiones Públicas. Para su validez los Sujetos Obligados deberán generarlas de conformidad con las formalidades establecidas en la normatividad aplicable.</w:t>
      </w:r>
    </w:p>
    <w:p w14:paraId="11CBDFD5" w14:textId="77777777" w:rsidR="0054329D" w:rsidRDefault="0054329D">
      <w:pPr>
        <w:pBdr>
          <w:top w:val="nil"/>
          <w:left w:val="nil"/>
          <w:bottom w:val="nil"/>
          <w:right w:val="nil"/>
          <w:between w:val="nil"/>
        </w:pBdr>
        <w:spacing w:after="0"/>
        <w:ind w:left="720"/>
        <w:rPr>
          <w:rFonts w:ascii="Palatino Linotype" w:eastAsia="Palatino Linotype" w:hAnsi="Palatino Linotype" w:cs="Palatino Linotype"/>
          <w:color w:val="000000"/>
        </w:rPr>
      </w:pPr>
    </w:p>
    <w:p w14:paraId="5556A500" w14:textId="77777777" w:rsidR="0054329D" w:rsidRDefault="007C2D5C">
      <w:pPr>
        <w:numPr>
          <w:ilvl w:val="0"/>
          <w:numId w:val="1"/>
        </w:numPr>
        <w:pBdr>
          <w:top w:val="nil"/>
          <w:left w:val="nil"/>
          <w:bottom w:val="nil"/>
          <w:right w:val="nil"/>
          <w:between w:val="nil"/>
        </w:pBdr>
        <w:spacing w:after="0" w:line="276" w:lineRule="auto"/>
        <w:ind w:left="426"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ACUERDO CONAIP/SNT/ACUERDO/ORD02-09/07/2021-04, MEDIANTE EL CUAL SE MODIFICAN LOS LINEAMIENTOS TÉCNICOS GENERALES PARA LA PUBLICACIÓN, HOMOLOGACIÓN Y ESTANDARIZACIÓN DE LA INFORMACIÓN DE LAS OBLIGACIONES ESTABLECIDAS EN EL TÍTULO QUINTO Y EN LA FRACCIÓN IV DEL ARTÍCULO 31 DE LA LEY GENERAL DE TRANSPARENCIA Y </w:t>
      </w:r>
      <w:r>
        <w:rPr>
          <w:rFonts w:ascii="Palatino Linotype" w:eastAsia="Palatino Linotype" w:hAnsi="Palatino Linotype" w:cs="Palatino Linotype"/>
          <w:color w:val="000000"/>
        </w:rPr>
        <w:lastRenderedPageBreak/>
        <w:t>ACCESO A LA INFORMACIÓN PÚBLICA, QUE DEBEN DE DIFUNDIR LOS SUJETOS OBLIGADOS EN LOS PORTALES DE INTERNET Y EN LA PLATAFORMA NACIONAL DE TRANSPARENCIA, EN LO REFERENTE A LA FRACCIÓN II DEL ARTÍCULO 73 DE LA LEY GENERAL DE TRANSPARENCIA Y ACCESO A LA INFORMACIÓN PÚBLICA; y, su Anexo Único que contiene los Lineamientos Técnicos Generales para la Publicación, Homologación y Estandarización de la Información de las Obligaciones Establecidas en el Titulo Quinto y en la Fracción IV del Artículo 31 de la Ley General de Transparencia  y Acceso a la Información Pública, que deben de Difundir los Sujetos Obligados en los Portales de Internet y en la Plataforma Nacional de Transparencia.</w:t>
      </w:r>
    </w:p>
    <w:p w14:paraId="7804DACC" w14:textId="77777777" w:rsidR="0054329D" w:rsidRDefault="0054329D">
      <w:pPr>
        <w:pBdr>
          <w:top w:val="nil"/>
          <w:left w:val="nil"/>
          <w:bottom w:val="nil"/>
          <w:right w:val="nil"/>
          <w:between w:val="nil"/>
        </w:pBdr>
        <w:ind w:left="720"/>
        <w:rPr>
          <w:rFonts w:ascii="Palatino Linotype" w:eastAsia="Palatino Linotype" w:hAnsi="Palatino Linotype" w:cs="Palatino Linotype"/>
          <w:color w:val="000000"/>
        </w:rPr>
      </w:pPr>
    </w:p>
    <w:p w14:paraId="6D4AB03A" w14:textId="77777777" w:rsidR="0054329D" w:rsidRDefault="007C2D5C">
      <w:p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u w:val="single"/>
        </w:rPr>
      </w:pPr>
      <w:r>
        <w:rPr>
          <w:rFonts w:ascii="Palatino Linotype" w:eastAsia="Palatino Linotype" w:hAnsi="Palatino Linotype" w:cs="Palatino Linotype"/>
          <w:b/>
          <w:color w:val="000000"/>
          <w:u w:val="single"/>
        </w:rPr>
        <w:t>En versión “</w:t>
      </w:r>
      <w:proofErr w:type="spellStart"/>
      <w:r>
        <w:rPr>
          <w:rFonts w:ascii="Palatino Linotype" w:eastAsia="Palatino Linotype" w:hAnsi="Palatino Linotype" w:cs="Palatino Linotype"/>
          <w:b/>
          <w:color w:val="000000"/>
          <w:u w:val="single"/>
        </w:rPr>
        <w:t>word</w:t>
      </w:r>
      <w:proofErr w:type="spellEnd"/>
      <w:r>
        <w:rPr>
          <w:rFonts w:ascii="Palatino Linotype" w:eastAsia="Palatino Linotype" w:hAnsi="Palatino Linotype" w:cs="Palatino Linotype"/>
          <w:b/>
          <w:color w:val="000000"/>
          <w:u w:val="single"/>
        </w:rPr>
        <w:t>”, aportó:</w:t>
      </w:r>
    </w:p>
    <w:p w14:paraId="6557A577" w14:textId="77777777" w:rsidR="0054329D" w:rsidRDefault="007C2D5C">
      <w:pPr>
        <w:numPr>
          <w:ilvl w:val="0"/>
          <w:numId w:val="1"/>
        </w:numPr>
        <w:pBdr>
          <w:top w:val="nil"/>
          <w:left w:val="nil"/>
          <w:bottom w:val="nil"/>
          <w:right w:val="nil"/>
          <w:between w:val="nil"/>
        </w:pBdr>
        <w:spacing w:after="0" w:line="276" w:lineRule="auto"/>
        <w:ind w:left="426"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Criterio de Interpretación para sujetos obligados con clave de control </w:t>
      </w:r>
      <w:r>
        <w:rPr>
          <w:rFonts w:ascii="Palatino Linotype" w:eastAsia="Palatino Linotype" w:hAnsi="Palatino Linotype" w:cs="Palatino Linotype"/>
          <w:b/>
          <w:color w:val="000000"/>
        </w:rPr>
        <w:t>SO/003/2009</w:t>
      </w:r>
      <w:r>
        <w:rPr>
          <w:rFonts w:ascii="Palatino Linotype" w:eastAsia="Palatino Linotype" w:hAnsi="Palatino Linotype" w:cs="Palatino Linotype"/>
          <w:color w:val="000000"/>
        </w:rPr>
        <w:t xml:space="preserve">, emitido por el Instituto Nacional de Transparencia, Acceso a la Información y Protección de Datos Personales sobre: </w:t>
      </w:r>
      <w:proofErr w:type="spellStart"/>
      <w:r>
        <w:rPr>
          <w:rFonts w:ascii="Palatino Linotype" w:eastAsia="Palatino Linotype" w:hAnsi="Palatino Linotype" w:cs="Palatino Linotype"/>
          <w:color w:val="000000"/>
          <w:u w:val="single"/>
        </w:rPr>
        <w:t>Curriculum</w:t>
      </w:r>
      <w:proofErr w:type="spellEnd"/>
      <w:r>
        <w:rPr>
          <w:rFonts w:ascii="Palatino Linotype" w:eastAsia="Palatino Linotype" w:hAnsi="Palatino Linotype" w:cs="Palatino Linotype"/>
          <w:color w:val="000000"/>
          <w:u w:val="single"/>
        </w:rPr>
        <w:t xml:space="preserve"> Vitae de servidores públicos. Es obligación de los sujetos obligados otorgar acceso a versiones públicas de los mismos ante una solicitud de acceso.</w:t>
      </w:r>
    </w:p>
    <w:p w14:paraId="6E73C4EF" w14:textId="77777777" w:rsidR="0054329D" w:rsidRDefault="0054329D">
      <w:pPr>
        <w:pBdr>
          <w:top w:val="nil"/>
          <w:left w:val="nil"/>
          <w:bottom w:val="nil"/>
          <w:right w:val="nil"/>
          <w:between w:val="nil"/>
        </w:pBdr>
        <w:spacing w:after="0" w:line="276" w:lineRule="auto"/>
        <w:ind w:left="426" w:right="49"/>
        <w:jc w:val="both"/>
        <w:rPr>
          <w:rFonts w:ascii="Palatino Linotype" w:eastAsia="Palatino Linotype" w:hAnsi="Palatino Linotype" w:cs="Palatino Linotype"/>
          <w:color w:val="000000"/>
        </w:rPr>
      </w:pPr>
    </w:p>
    <w:p w14:paraId="6A56E495" w14:textId="77777777" w:rsidR="0054329D" w:rsidRDefault="007C2D5C">
      <w:pPr>
        <w:numPr>
          <w:ilvl w:val="0"/>
          <w:numId w:val="1"/>
        </w:numPr>
        <w:pBdr>
          <w:top w:val="nil"/>
          <w:left w:val="nil"/>
          <w:bottom w:val="nil"/>
          <w:right w:val="nil"/>
          <w:between w:val="nil"/>
        </w:pBdr>
        <w:spacing w:after="0" w:line="276" w:lineRule="auto"/>
        <w:ind w:left="426"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Criterio de Interpretación para sujetos obligados con clave de control </w:t>
      </w:r>
      <w:r>
        <w:rPr>
          <w:rFonts w:ascii="Palatino Linotype" w:eastAsia="Palatino Linotype" w:hAnsi="Palatino Linotype" w:cs="Palatino Linotype"/>
          <w:b/>
          <w:color w:val="000000"/>
        </w:rPr>
        <w:t>SO/010/2013,</w:t>
      </w:r>
      <w:r>
        <w:rPr>
          <w:rFonts w:ascii="Palatino Linotype" w:eastAsia="Palatino Linotype" w:hAnsi="Palatino Linotype" w:cs="Palatino Linotype"/>
          <w:color w:val="000000"/>
        </w:rPr>
        <w:t xml:space="preserve"> emitido por el Instituto Nacional de Transparencia, Acceso a la Información y Protección de Datos Personales sobre:</w:t>
      </w:r>
      <w:r>
        <w:rPr>
          <w:color w:val="000000"/>
        </w:rPr>
        <w:t xml:space="preserve"> </w:t>
      </w:r>
      <w:r>
        <w:rPr>
          <w:rFonts w:ascii="Palatino Linotype" w:eastAsia="Palatino Linotype" w:hAnsi="Palatino Linotype" w:cs="Palatino Linotype"/>
          <w:color w:val="000000"/>
          <w:u w:val="single"/>
        </w:rPr>
        <w:t>Número de cuenta bancaria de particulares, personas físicas y morales, constituye información confidencial.</w:t>
      </w:r>
    </w:p>
    <w:p w14:paraId="228C075D" w14:textId="77777777" w:rsidR="0054329D" w:rsidRDefault="0054329D">
      <w:pPr>
        <w:pBdr>
          <w:top w:val="nil"/>
          <w:left w:val="nil"/>
          <w:bottom w:val="nil"/>
          <w:right w:val="nil"/>
          <w:between w:val="nil"/>
        </w:pBdr>
        <w:spacing w:after="0"/>
        <w:ind w:left="720"/>
        <w:rPr>
          <w:rFonts w:ascii="Palatino Linotype" w:eastAsia="Palatino Linotype" w:hAnsi="Palatino Linotype" w:cs="Palatino Linotype"/>
          <w:color w:val="000000"/>
        </w:rPr>
      </w:pPr>
    </w:p>
    <w:p w14:paraId="71034F74" w14:textId="77777777" w:rsidR="0054329D" w:rsidRDefault="007C2D5C">
      <w:pPr>
        <w:numPr>
          <w:ilvl w:val="0"/>
          <w:numId w:val="1"/>
        </w:numPr>
        <w:pBdr>
          <w:top w:val="nil"/>
          <w:left w:val="nil"/>
          <w:bottom w:val="nil"/>
          <w:right w:val="nil"/>
          <w:between w:val="nil"/>
        </w:pBdr>
        <w:spacing w:after="0" w:line="276" w:lineRule="auto"/>
        <w:ind w:left="426"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Criterio de Interpretación para sujetos obligados con clave de control </w:t>
      </w:r>
      <w:r>
        <w:rPr>
          <w:rFonts w:ascii="Palatino Linotype" w:eastAsia="Palatino Linotype" w:hAnsi="Palatino Linotype" w:cs="Palatino Linotype"/>
          <w:b/>
          <w:color w:val="000000"/>
        </w:rPr>
        <w:t>SO/014/2013,</w:t>
      </w:r>
      <w:r>
        <w:rPr>
          <w:rFonts w:ascii="Palatino Linotype" w:eastAsia="Palatino Linotype" w:hAnsi="Palatino Linotype" w:cs="Palatino Linotype"/>
          <w:color w:val="000000"/>
        </w:rPr>
        <w:t xml:space="preserve"> emitido por el Instituto Nacional de Transparencia, Acceso a la Información y Protección de Datos Personales sobre: </w:t>
      </w:r>
      <w:r>
        <w:rPr>
          <w:rFonts w:ascii="Palatino Linotype" w:eastAsia="Palatino Linotype" w:hAnsi="Palatino Linotype" w:cs="Palatino Linotype"/>
          <w:color w:val="000000"/>
          <w:u w:val="single"/>
        </w:rPr>
        <w:t>Actas, minutas y versiones estenográficas de sesiones de autoridades, en principio son públicas.</w:t>
      </w:r>
    </w:p>
    <w:p w14:paraId="270BF8B9" w14:textId="77777777" w:rsidR="0054329D" w:rsidRDefault="0054329D">
      <w:pPr>
        <w:pBdr>
          <w:top w:val="nil"/>
          <w:left w:val="nil"/>
          <w:bottom w:val="nil"/>
          <w:right w:val="nil"/>
          <w:between w:val="nil"/>
        </w:pBdr>
        <w:spacing w:after="0"/>
        <w:ind w:left="720"/>
        <w:rPr>
          <w:rFonts w:ascii="Palatino Linotype" w:eastAsia="Palatino Linotype" w:hAnsi="Palatino Linotype" w:cs="Palatino Linotype"/>
          <w:color w:val="000000"/>
        </w:rPr>
      </w:pPr>
    </w:p>
    <w:p w14:paraId="1151941F" w14:textId="77777777" w:rsidR="0054329D" w:rsidRDefault="007C2D5C">
      <w:pPr>
        <w:numPr>
          <w:ilvl w:val="0"/>
          <w:numId w:val="1"/>
        </w:numPr>
        <w:pBdr>
          <w:top w:val="nil"/>
          <w:left w:val="nil"/>
          <w:bottom w:val="nil"/>
          <w:right w:val="nil"/>
          <w:between w:val="nil"/>
        </w:pBdr>
        <w:spacing w:after="0" w:line="276" w:lineRule="auto"/>
        <w:ind w:left="426"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Criterio de Interpretación para sujetos obligados con clave de control </w:t>
      </w:r>
      <w:r>
        <w:rPr>
          <w:rFonts w:ascii="Palatino Linotype" w:eastAsia="Palatino Linotype" w:hAnsi="Palatino Linotype" w:cs="Palatino Linotype"/>
          <w:b/>
          <w:color w:val="000000"/>
        </w:rPr>
        <w:t>SO/016/2010,</w:t>
      </w:r>
      <w:r>
        <w:rPr>
          <w:rFonts w:ascii="Palatino Linotype" w:eastAsia="Palatino Linotype" w:hAnsi="Palatino Linotype" w:cs="Palatino Linotype"/>
          <w:color w:val="000000"/>
        </w:rPr>
        <w:t xml:space="preserve"> emitido por el Instituto Nacional de Transparencia, Acceso a la Información y Protección de Datos Personales sobre:</w:t>
      </w:r>
      <w:r>
        <w:rPr>
          <w:color w:val="000000"/>
        </w:rPr>
        <w:t xml:space="preserve"> </w:t>
      </w:r>
      <w:r>
        <w:rPr>
          <w:rFonts w:ascii="Palatino Linotype" w:eastAsia="Palatino Linotype" w:hAnsi="Palatino Linotype" w:cs="Palatino Linotype"/>
          <w:color w:val="000000"/>
          <w:u w:val="single"/>
        </w:rPr>
        <w:t>Procede el otorgamiento de una versión pública en los casos de solicitudes de acceso a licencias médicas de servidores públicos.</w:t>
      </w:r>
      <w:r>
        <w:rPr>
          <w:rFonts w:ascii="Palatino Linotype" w:eastAsia="Palatino Linotype" w:hAnsi="Palatino Linotype" w:cs="Palatino Linotype"/>
          <w:color w:val="000000"/>
        </w:rPr>
        <w:t xml:space="preserve">  </w:t>
      </w:r>
    </w:p>
    <w:p w14:paraId="01AC249C" w14:textId="77777777" w:rsidR="0054329D" w:rsidRDefault="0054329D">
      <w:pPr>
        <w:pBdr>
          <w:top w:val="nil"/>
          <w:left w:val="nil"/>
          <w:bottom w:val="nil"/>
          <w:right w:val="nil"/>
          <w:between w:val="nil"/>
        </w:pBdr>
        <w:spacing w:after="0"/>
        <w:ind w:left="720"/>
        <w:rPr>
          <w:rFonts w:ascii="Palatino Linotype" w:eastAsia="Palatino Linotype" w:hAnsi="Palatino Linotype" w:cs="Palatino Linotype"/>
          <w:color w:val="000000"/>
        </w:rPr>
      </w:pPr>
    </w:p>
    <w:p w14:paraId="440522C1" w14:textId="77777777" w:rsidR="0054329D" w:rsidRDefault="007C2D5C">
      <w:pPr>
        <w:numPr>
          <w:ilvl w:val="0"/>
          <w:numId w:val="1"/>
        </w:numPr>
        <w:pBdr>
          <w:top w:val="nil"/>
          <w:left w:val="nil"/>
          <w:bottom w:val="nil"/>
          <w:right w:val="nil"/>
          <w:between w:val="nil"/>
        </w:pBdr>
        <w:spacing w:after="0" w:line="276" w:lineRule="auto"/>
        <w:ind w:left="426"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Criterio de Interpretación para sujetos obligados con clave de control </w:t>
      </w:r>
      <w:r>
        <w:rPr>
          <w:rFonts w:ascii="Palatino Linotype" w:eastAsia="Palatino Linotype" w:hAnsi="Palatino Linotype" w:cs="Palatino Linotype"/>
          <w:b/>
          <w:color w:val="000000"/>
        </w:rPr>
        <w:t>SO/024/2010,</w:t>
      </w:r>
      <w:r>
        <w:rPr>
          <w:rFonts w:ascii="Palatino Linotype" w:eastAsia="Palatino Linotype" w:hAnsi="Palatino Linotype" w:cs="Palatino Linotype"/>
          <w:color w:val="000000"/>
        </w:rPr>
        <w:t xml:space="preserve"> emitido por el Instituto Nacional de Transparencia, Acceso a la Información y Protección de Datos Personales sobre:</w:t>
      </w:r>
      <w:r>
        <w:rPr>
          <w:color w:val="000000"/>
        </w:rPr>
        <w:t xml:space="preserve"> </w:t>
      </w:r>
      <w:r>
        <w:rPr>
          <w:rFonts w:ascii="Palatino Linotype" w:eastAsia="Palatino Linotype" w:hAnsi="Palatino Linotype" w:cs="Palatino Linotype"/>
          <w:color w:val="000000"/>
          <w:u w:val="single"/>
        </w:rPr>
        <w:t>Ante solicitudes de acceso a hojas únicas de servicios, por personas distintas a su titular, procede el otorgamiento de una versión pública.</w:t>
      </w:r>
    </w:p>
    <w:p w14:paraId="141314CB" w14:textId="77777777" w:rsidR="0054329D" w:rsidRDefault="0054329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3B116F96" w14:textId="77777777" w:rsidR="0054329D" w:rsidRDefault="007C2D5C">
      <w:pPr>
        <w:pBdr>
          <w:top w:val="nil"/>
          <w:left w:val="nil"/>
          <w:bottom w:val="nil"/>
          <w:right w:val="nil"/>
          <w:between w:val="nil"/>
        </w:pBdr>
        <w:spacing w:after="0" w:line="360" w:lineRule="auto"/>
        <w:ind w:right="-150"/>
        <w:jc w:val="both"/>
        <w:rPr>
          <w:rFonts w:ascii="Palatino Linotype" w:eastAsia="Palatino Linotype" w:hAnsi="Palatino Linotype" w:cs="Palatino Linotype"/>
          <w:sz w:val="28"/>
          <w:szCs w:val="28"/>
          <w:u w:val="single"/>
        </w:rPr>
      </w:pPr>
      <w:r>
        <w:rPr>
          <w:rFonts w:ascii="Palatino Linotype" w:eastAsia="Palatino Linotype" w:hAnsi="Palatino Linotype" w:cs="Palatino Linotype"/>
          <w:color w:val="000000"/>
          <w:sz w:val="24"/>
          <w:szCs w:val="24"/>
        </w:rPr>
        <w:t xml:space="preserve">Asimismo, en lo relativo a los Criterios Orientadores Derivados de las Resoluciones emitidas del INFOEM y los Criterios de Interpretación del INAI, y por las características específicas de vigencia, así como la cantidad de información, el Titular de la Dirección General de Protección de Datos Personales precisó en su informe </w:t>
      </w:r>
      <w:r>
        <w:rPr>
          <w:rFonts w:ascii="Palatino Linotype" w:eastAsia="Palatino Linotype" w:hAnsi="Palatino Linotype" w:cs="Palatino Linotype"/>
          <w:color w:val="000000"/>
          <w:sz w:val="24"/>
          <w:szCs w:val="24"/>
          <w:u w:val="single"/>
        </w:rPr>
        <w:t>los pasos a seguir para consultar ambos criterios, como quedó precisado en el apartado de antecedentes de la presente resolución.</w:t>
      </w:r>
    </w:p>
    <w:p w14:paraId="26F29E0B" w14:textId="77777777" w:rsidR="0054329D" w:rsidRDefault="0054329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44A5C996" w14:textId="77777777" w:rsidR="0054329D" w:rsidRDefault="007C2D5C">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Sin embargo, respecto de lo proporcionado mediante informe justificado por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el Particular no realizó manifestaciones. </w:t>
      </w:r>
    </w:p>
    <w:p w14:paraId="2733652C" w14:textId="77777777" w:rsidR="0054329D" w:rsidRDefault="0054329D">
      <w:pPr>
        <w:spacing w:after="0" w:line="360" w:lineRule="auto"/>
        <w:ind w:right="49"/>
        <w:jc w:val="both"/>
        <w:rPr>
          <w:rFonts w:ascii="Palatino Linotype" w:eastAsia="Palatino Linotype" w:hAnsi="Palatino Linotype" w:cs="Palatino Linotype"/>
          <w:b/>
          <w:i/>
        </w:rPr>
      </w:pPr>
    </w:p>
    <w:p w14:paraId="79BD0F1D"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 base en lo precedente, se determina que la información proporcionada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su respuesta e informe justificado, cumple con lo establecido por los artículos 4, 12 y 24 último párrafo de la Ley de Transparencia y Acceso a la Información Pública del Estado de México y Municipios; no obstante, los motivos de </w:t>
      </w:r>
      <w:r>
        <w:rPr>
          <w:rFonts w:ascii="Palatino Linotype" w:eastAsia="Palatino Linotype" w:hAnsi="Palatino Linotype" w:cs="Palatino Linotype"/>
          <w:sz w:val="24"/>
          <w:szCs w:val="24"/>
        </w:rPr>
        <w:lastRenderedPageBreak/>
        <w:t xml:space="preserve">inconformidad hechos valer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devienen </w:t>
      </w:r>
      <w:r>
        <w:rPr>
          <w:rFonts w:ascii="Palatino Linotype" w:eastAsia="Palatino Linotype" w:hAnsi="Palatino Linotype" w:cs="Palatino Linotype"/>
          <w:b/>
          <w:sz w:val="24"/>
          <w:szCs w:val="24"/>
          <w:u w:val="single"/>
        </w:rPr>
        <w:t>infundados</w:t>
      </w:r>
      <w:r>
        <w:rPr>
          <w:rFonts w:ascii="Palatino Linotype" w:eastAsia="Palatino Linotype" w:hAnsi="Palatino Linotype" w:cs="Palatino Linotype"/>
          <w:sz w:val="24"/>
          <w:szCs w:val="24"/>
        </w:rPr>
        <w:t xml:space="preserve"> para modificar o revocar la respuesta del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ello, en razón de las consideraciones de derecho que a continuación se exponen:</w:t>
      </w:r>
    </w:p>
    <w:p w14:paraId="64F9CC56" w14:textId="77777777" w:rsidR="0054329D" w:rsidRDefault="0054329D">
      <w:pPr>
        <w:tabs>
          <w:tab w:val="left" w:pos="4962"/>
        </w:tabs>
        <w:spacing w:after="0" w:line="360" w:lineRule="auto"/>
        <w:jc w:val="both"/>
        <w:rPr>
          <w:rFonts w:ascii="Palatino Linotype" w:eastAsia="Palatino Linotype" w:hAnsi="Palatino Linotype" w:cs="Palatino Linotype"/>
          <w:sz w:val="24"/>
          <w:szCs w:val="24"/>
        </w:rPr>
      </w:pPr>
    </w:p>
    <w:p w14:paraId="5E20E25F" w14:textId="77777777" w:rsidR="0054329D" w:rsidRDefault="007C2D5C">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u w:val="single"/>
        </w:rPr>
      </w:pPr>
      <w:r>
        <w:rPr>
          <w:rFonts w:ascii="Palatino Linotype" w:eastAsia="Palatino Linotype" w:hAnsi="Palatino Linotype" w:cs="Palatino Linotype"/>
          <w:b/>
          <w:color w:val="000000"/>
          <w:sz w:val="24"/>
          <w:szCs w:val="24"/>
          <w:u w:val="single"/>
        </w:rPr>
        <w:t xml:space="preserve">De las facultades, atribuciones y competencias del Sujeto Obligado.  </w:t>
      </w:r>
    </w:p>
    <w:p w14:paraId="2E993C44" w14:textId="77777777" w:rsidR="0054329D" w:rsidRDefault="0054329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47A9C9CE" w14:textId="77777777" w:rsidR="0054329D" w:rsidRDefault="007C2D5C">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un inicio es importante referir que la Ley de Transparencia y Acceso a la Información Pública del Estado de México y Municipios, establece en sus artículos 4 y 8 lo siguiente:</w:t>
      </w:r>
    </w:p>
    <w:p w14:paraId="57AFBA27" w14:textId="77777777" w:rsidR="0054329D" w:rsidRDefault="007C2D5C">
      <w:pPr>
        <w:pBdr>
          <w:top w:val="nil"/>
          <w:left w:val="nil"/>
          <w:bottom w:val="nil"/>
          <w:right w:val="nil"/>
          <w:between w:val="nil"/>
        </w:pBdr>
        <w:spacing w:after="0" w:line="276" w:lineRule="auto"/>
        <w:ind w:left="567" w:right="560"/>
        <w:jc w:val="center"/>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“Capítulo II</w:t>
      </w:r>
    </w:p>
    <w:p w14:paraId="0B854D9A" w14:textId="77777777" w:rsidR="0054329D" w:rsidRDefault="007C2D5C">
      <w:pPr>
        <w:pBdr>
          <w:top w:val="nil"/>
          <w:left w:val="nil"/>
          <w:bottom w:val="nil"/>
          <w:right w:val="nil"/>
          <w:between w:val="nil"/>
        </w:pBdr>
        <w:spacing w:after="0" w:line="276" w:lineRule="auto"/>
        <w:ind w:left="567" w:right="560"/>
        <w:jc w:val="center"/>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De los Principios Generales</w:t>
      </w:r>
    </w:p>
    <w:p w14:paraId="13FEC1D9" w14:textId="77777777" w:rsidR="0054329D" w:rsidRDefault="0054329D">
      <w:pPr>
        <w:pBdr>
          <w:top w:val="nil"/>
          <w:left w:val="nil"/>
          <w:bottom w:val="nil"/>
          <w:right w:val="nil"/>
          <w:between w:val="nil"/>
        </w:pBdr>
        <w:spacing w:after="0" w:line="276" w:lineRule="auto"/>
        <w:ind w:left="567" w:right="560"/>
        <w:jc w:val="center"/>
        <w:rPr>
          <w:rFonts w:ascii="Palatino Linotype" w:eastAsia="Palatino Linotype" w:hAnsi="Palatino Linotype" w:cs="Palatino Linotype"/>
          <w:i/>
          <w:color w:val="000000"/>
        </w:rPr>
      </w:pPr>
    </w:p>
    <w:p w14:paraId="2F5F5E73" w14:textId="77777777" w:rsidR="0054329D" w:rsidRDefault="007C2D5C">
      <w:pPr>
        <w:pBdr>
          <w:top w:val="nil"/>
          <w:left w:val="nil"/>
          <w:bottom w:val="nil"/>
          <w:right w:val="nil"/>
          <w:between w:val="nil"/>
        </w:pBdr>
        <w:spacing w:after="0" w:line="276" w:lineRule="auto"/>
        <w:ind w:left="567" w:right="560"/>
        <w:jc w:val="center"/>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Sección Primera</w:t>
      </w:r>
    </w:p>
    <w:p w14:paraId="78B73997" w14:textId="77777777" w:rsidR="0054329D" w:rsidRDefault="007C2D5C">
      <w:pPr>
        <w:pBdr>
          <w:top w:val="nil"/>
          <w:left w:val="nil"/>
          <w:bottom w:val="nil"/>
          <w:right w:val="nil"/>
          <w:between w:val="nil"/>
        </w:pBdr>
        <w:spacing w:after="0" w:line="276" w:lineRule="auto"/>
        <w:ind w:left="567" w:right="560"/>
        <w:jc w:val="center"/>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De los Principios Rectores del Instituto</w:t>
      </w:r>
    </w:p>
    <w:p w14:paraId="28295190" w14:textId="77777777" w:rsidR="0054329D" w:rsidRDefault="0054329D">
      <w:pPr>
        <w:pBdr>
          <w:top w:val="nil"/>
          <w:left w:val="nil"/>
          <w:bottom w:val="nil"/>
          <w:right w:val="nil"/>
          <w:between w:val="nil"/>
        </w:pBdr>
        <w:spacing w:after="0" w:line="276" w:lineRule="auto"/>
        <w:ind w:left="567" w:right="560"/>
        <w:jc w:val="center"/>
        <w:rPr>
          <w:rFonts w:ascii="Palatino Linotype" w:eastAsia="Palatino Linotype" w:hAnsi="Palatino Linotype" w:cs="Palatino Linotype"/>
          <w:i/>
          <w:color w:val="000000"/>
        </w:rPr>
      </w:pPr>
    </w:p>
    <w:p w14:paraId="542AD6F4" w14:textId="77777777" w:rsidR="0054329D" w:rsidRDefault="007C2D5C">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b/>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4.</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 xml:space="preserve">El derecho humano de acceso a la información pública es la prerrogativa de las personas para buscar, difundir, investigar, recabar, recibir y solicitar información pública, sin necesidad de acreditar personalidad ni interés jurídico. </w:t>
      </w:r>
    </w:p>
    <w:p w14:paraId="0A854016" w14:textId="77777777" w:rsidR="0054329D" w:rsidRDefault="0054329D">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color w:val="000000"/>
        </w:rPr>
      </w:pPr>
    </w:p>
    <w:p w14:paraId="34F83F9E" w14:textId="77777777" w:rsidR="0054329D" w:rsidRDefault="007C2D5C">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Pr>
          <w:rFonts w:ascii="Palatino Linotype" w:eastAsia="Palatino Linotype" w:hAnsi="Palatino Linotype" w:cs="Palatino Linotype"/>
          <w:i/>
          <w:color w:val="000000"/>
        </w:rPr>
        <w:lastRenderedPageBreak/>
        <w:t xml:space="preserve">por razones de interés público, en los términos de las causas legítimas y estrictamente necesarias previstas por esta Ley. </w:t>
      </w:r>
    </w:p>
    <w:p w14:paraId="32AD7002" w14:textId="77777777" w:rsidR="0054329D" w:rsidRDefault="0054329D">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color w:val="000000"/>
        </w:rPr>
      </w:pPr>
    </w:p>
    <w:p w14:paraId="42AECDE0" w14:textId="77777777" w:rsidR="0054329D" w:rsidRDefault="007C2D5C">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Los sujetos obligados deben poner en práctica, políticas y programas de acceso a la información que se apeguen a criterios de publicidad, veracidad, oportunidad, precisión y suficiencia en beneficio de los solicitantes.</w:t>
      </w:r>
    </w:p>
    <w:p w14:paraId="471CD959" w14:textId="77777777" w:rsidR="0054329D" w:rsidRDefault="0054329D">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color w:val="000000"/>
        </w:rPr>
      </w:pPr>
    </w:p>
    <w:p w14:paraId="38CB1668" w14:textId="77777777" w:rsidR="0054329D" w:rsidRDefault="007C2D5C">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b/>
          <w:i/>
          <w:color w:val="000000"/>
        </w:rPr>
      </w:pPr>
      <w:bookmarkStart w:id="12" w:name="_heading=h.lnxbz9" w:colFirst="0" w:colLast="0"/>
      <w:bookmarkEnd w:id="12"/>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 xml:space="preserve">Artículo 8.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62275CE9" w14:textId="77777777" w:rsidR="0054329D" w:rsidRDefault="0054329D">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color w:val="000000"/>
        </w:rPr>
      </w:pPr>
    </w:p>
    <w:p w14:paraId="1B243B47" w14:textId="77777777" w:rsidR="0054329D" w:rsidRDefault="007C2D5C">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Pr>
          <w:rFonts w:ascii="Palatino Linotype" w:eastAsia="Palatino Linotype" w:hAnsi="Palatino Linotype" w:cs="Palatino Linotype"/>
          <w:i/>
          <w:color w:val="000000"/>
        </w:rPr>
        <w:t>pro</w:t>
      </w:r>
      <w:proofErr w:type="spellEnd"/>
      <w:r>
        <w:rPr>
          <w:rFonts w:ascii="Palatino Linotype" w:eastAsia="Palatino Linotype" w:hAnsi="Palatino Linotype" w:cs="Palatino Linotype"/>
          <w:i/>
          <w:color w:val="000000"/>
        </w:rPr>
        <w:t xml:space="preserve"> persona. </w:t>
      </w:r>
    </w:p>
    <w:p w14:paraId="5802C418" w14:textId="77777777" w:rsidR="0054329D" w:rsidRDefault="0054329D">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color w:val="000000"/>
        </w:rPr>
      </w:pPr>
    </w:p>
    <w:p w14:paraId="7D29BA7C" w14:textId="77777777" w:rsidR="0054329D" w:rsidRDefault="007C2D5C">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Para el caso de la interpretación se podrá tomar en cuenta los criterios, determinaciones y opiniones de los organismos nacionales e internacionales, en materia de transparencia y el derecho de acceso a la información.”</w:t>
      </w:r>
    </w:p>
    <w:p w14:paraId="44E42B38" w14:textId="77777777" w:rsidR="0054329D" w:rsidRDefault="0054329D">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b/>
          <w:i/>
          <w:color w:val="000000"/>
        </w:rPr>
      </w:pPr>
    </w:p>
    <w:p w14:paraId="005AED12" w14:textId="77777777" w:rsidR="0054329D" w:rsidRDefault="007C2D5C">
      <w:pPr>
        <w:pBdr>
          <w:top w:val="nil"/>
          <w:left w:val="nil"/>
          <w:bottom w:val="nil"/>
          <w:right w:val="nil"/>
          <w:between w:val="nil"/>
        </w:pBdr>
        <w:spacing w:after="0" w:line="276" w:lineRule="auto"/>
        <w:ind w:left="567" w:right="560"/>
        <w:jc w:val="right"/>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(Énfasis añadido)</w:t>
      </w:r>
    </w:p>
    <w:p w14:paraId="3B458A54" w14:textId="77777777" w:rsidR="0054329D" w:rsidRDefault="0054329D">
      <w:pPr>
        <w:pBdr>
          <w:top w:val="nil"/>
          <w:left w:val="nil"/>
          <w:bottom w:val="nil"/>
          <w:right w:val="nil"/>
          <w:between w:val="nil"/>
        </w:pBdr>
        <w:spacing w:after="0" w:line="276" w:lineRule="auto"/>
        <w:ind w:right="560"/>
        <w:rPr>
          <w:rFonts w:ascii="Palatino Linotype" w:eastAsia="Palatino Linotype" w:hAnsi="Palatino Linotype" w:cs="Palatino Linotype"/>
          <w:i/>
          <w:color w:val="000000"/>
        </w:rPr>
      </w:pPr>
    </w:p>
    <w:p w14:paraId="75D89A98" w14:textId="77777777" w:rsidR="0054329D" w:rsidRDefault="007C2D5C">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Como se desprende de los numerales trascritos, dentro de los principios rectores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se encuentran; en primer lugar, garantizar el derecho de acceso a la información pública generada, obtenida, adquirida, transformada, administrada o en posesión de los sujetos obligados</w:t>
      </w:r>
      <w:r>
        <w:t xml:space="preserve">, </w:t>
      </w:r>
      <w:r>
        <w:rPr>
          <w:rFonts w:ascii="Palatino Linotype" w:eastAsia="Palatino Linotype" w:hAnsi="Palatino Linotype" w:cs="Palatino Linotype"/>
          <w:sz w:val="24"/>
          <w:szCs w:val="24"/>
        </w:rPr>
        <w:t xml:space="preserve">poniendo </w:t>
      </w:r>
      <w:r>
        <w:rPr>
          <w:rFonts w:ascii="Palatino Linotype" w:eastAsia="Palatino Linotype" w:hAnsi="Palatino Linotype" w:cs="Palatino Linotype"/>
          <w:color w:val="000000"/>
          <w:sz w:val="24"/>
          <w:szCs w:val="24"/>
        </w:rPr>
        <w:t xml:space="preserve">en práctica, políticas y programas de </w:t>
      </w:r>
      <w:r>
        <w:rPr>
          <w:rFonts w:ascii="Palatino Linotype" w:eastAsia="Palatino Linotype" w:hAnsi="Palatino Linotype" w:cs="Palatino Linotype"/>
          <w:color w:val="000000"/>
          <w:sz w:val="24"/>
          <w:szCs w:val="24"/>
        </w:rPr>
        <w:lastRenderedPageBreak/>
        <w:t xml:space="preserve">acceso a la información que se apeguen a criterios de publicidad, veracidad, oportunidad, precisión y suficiencia en beneficio de los solicitantes; asimismo, que el derecho de acceso a la información o la clasificación de la información se interpretarán conforme a los principios establecidos en la Constitución Federal, los tratados internacionales de los que el Estado mexicano sea parte, la Ley General, la Constitución Local y dicha Ley; por lo que, </w:t>
      </w:r>
      <w:r>
        <w:rPr>
          <w:rFonts w:ascii="Palatino Linotype" w:eastAsia="Palatino Linotype" w:hAnsi="Palatino Linotype" w:cs="Palatino Linotype"/>
          <w:b/>
          <w:color w:val="000000"/>
          <w:sz w:val="24"/>
          <w:szCs w:val="24"/>
        </w:rPr>
        <w:t>para el caso de la interpretación se dispone que se podrá tomar en cuenta los criterios, determinaciones y opiniones de los organismos nacionales e internacionales, en materia de transparencia y el derecho de acceso a la información.</w:t>
      </w:r>
    </w:p>
    <w:p w14:paraId="11AFBEE5" w14:textId="77777777" w:rsidR="0054329D" w:rsidRDefault="0054329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1E3B0C78" w14:textId="77777777" w:rsidR="0054329D" w:rsidRDefault="007C2D5C">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Asimismo, atendiendo la información requerida por el particular, conviene citar el contenido del artículo 92, fracción I de la Ley de mérito, que a la letra dispone lo siguiente:</w:t>
      </w:r>
    </w:p>
    <w:p w14:paraId="5A5A10B0" w14:textId="77777777" w:rsidR="0054329D" w:rsidRDefault="0054329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4C3F1983" w14:textId="77777777" w:rsidR="0054329D" w:rsidRDefault="007C2D5C">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92.</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color w:val="000000"/>
          <w:u w:val="single"/>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Palatino Linotype" w:eastAsia="Palatino Linotype" w:hAnsi="Palatino Linotype" w:cs="Palatino Linotype"/>
          <w:i/>
          <w:color w:val="000000"/>
        </w:rPr>
        <w:t xml:space="preserve"> </w:t>
      </w:r>
    </w:p>
    <w:p w14:paraId="2BC28DCF" w14:textId="77777777" w:rsidR="0054329D" w:rsidRDefault="0054329D">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color w:val="000000"/>
        </w:rPr>
      </w:pPr>
    </w:p>
    <w:p w14:paraId="61C70228" w14:textId="77777777" w:rsidR="0054329D" w:rsidRDefault="007C2D5C">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I. El marco normativo aplicable al sujeto obligado, en el que deberá incluirse leyes,</w:t>
      </w:r>
      <w:r>
        <w:rPr>
          <w:rFonts w:ascii="Palatino Linotype" w:eastAsia="Palatino Linotype" w:hAnsi="Palatino Linotype" w:cs="Palatino Linotype"/>
          <w:i/>
          <w:color w:val="000000"/>
        </w:rPr>
        <w:t xml:space="preserve"> códigos, reglamentos, decretos de creación, acuerdos, convenios, manuales de organización y procedimientos, reglas de operación, </w:t>
      </w:r>
      <w:r>
        <w:rPr>
          <w:rFonts w:ascii="Palatino Linotype" w:eastAsia="Palatino Linotype" w:hAnsi="Palatino Linotype" w:cs="Palatino Linotype"/>
          <w:b/>
          <w:i/>
          <w:color w:val="000000"/>
        </w:rPr>
        <w:t>criterios,</w:t>
      </w:r>
      <w:r>
        <w:rPr>
          <w:rFonts w:ascii="Palatino Linotype" w:eastAsia="Palatino Linotype" w:hAnsi="Palatino Linotype" w:cs="Palatino Linotype"/>
          <w:i/>
          <w:color w:val="000000"/>
        </w:rPr>
        <w:t xml:space="preserve"> políticas, entre otros;</w:t>
      </w:r>
    </w:p>
    <w:p w14:paraId="2AAAAF12" w14:textId="77777777" w:rsidR="0054329D" w:rsidRDefault="0054329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710B06A6" w14:textId="77777777" w:rsidR="0054329D" w:rsidRDefault="007C2D5C">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Del precepto legal citado, se desprende que constituye una obligación de transparencia común para el Sujeto Obligado, el poner a disposición, entre otra información, </w:t>
      </w:r>
      <w:r>
        <w:rPr>
          <w:rFonts w:ascii="Palatino Linotype" w:eastAsia="Palatino Linotype" w:hAnsi="Palatino Linotype" w:cs="Palatino Linotype"/>
          <w:b/>
          <w:color w:val="000000"/>
          <w:sz w:val="24"/>
          <w:szCs w:val="24"/>
        </w:rPr>
        <w:t>el marco normativo aplicable al mismo,</w:t>
      </w:r>
      <w:r>
        <w:rPr>
          <w:rFonts w:ascii="Palatino Linotype" w:eastAsia="Palatino Linotype" w:hAnsi="Palatino Linotype" w:cs="Palatino Linotype"/>
          <w:color w:val="000000"/>
          <w:sz w:val="24"/>
          <w:szCs w:val="24"/>
        </w:rPr>
        <w:t xml:space="preserve"> en el que se incluyan </w:t>
      </w:r>
      <w:r>
        <w:rPr>
          <w:rFonts w:ascii="Palatino Linotype" w:eastAsia="Palatino Linotype" w:hAnsi="Palatino Linotype" w:cs="Palatino Linotype"/>
          <w:b/>
          <w:color w:val="000000"/>
          <w:sz w:val="24"/>
          <w:szCs w:val="24"/>
        </w:rPr>
        <w:t>leyes,</w:t>
      </w:r>
      <w:r>
        <w:rPr>
          <w:rFonts w:ascii="Palatino Linotype" w:eastAsia="Palatino Linotype" w:hAnsi="Palatino Linotype" w:cs="Palatino Linotype"/>
          <w:color w:val="000000"/>
          <w:sz w:val="24"/>
          <w:szCs w:val="24"/>
        </w:rPr>
        <w:t xml:space="preserve"> códigos, reglamentos, decretos de creación, </w:t>
      </w:r>
      <w:r>
        <w:rPr>
          <w:rFonts w:ascii="Palatino Linotype" w:eastAsia="Palatino Linotype" w:hAnsi="Palatino Linotype" w:cs="Palatino Linotype"/>
          <w:b/>
          <w:color w:val="000000"/>
          <w:sz w:val="24"/>
          <w:szCs w:val="24"/>
        </w:rPr>
        <w:t>acuerdos,</w:t>
      </w:r>
      <w:r>
        <w:rPr>
          <w:rFonts w:ascii="Palatino Linotype" w:eastAsia="Palatino Linotype" w:hAnsi="Palatino Linotype" w:cs="Palatino Linotype"/>
          <w:color w:val="000000"/>
          <w:sz w:val="24"/>
          <w:szCs w:val="24"/>
        </w:rPr>
        <w:t xml:space="preserve"> convenios, manuales de organización y procedimientos, reglas de operación</w:t>
      </w:r>
      <w:r>
        <w:rPr>
          <w:rFonts w:ascii="Palatino Linotype" w:eastAsia="Palatino Linotype" w:hAnsi="Palatino Linotype" w:cs="Palatino Linotype"/>
          <w:b/>
          <w:color w:val="000000"/>
          <w:sz w:val="24"/>
          <w:szCs w:val="24"/>
        </w:rPr>
        <w:t>, criterios,</w:t>
      </w:r>
      <w:r>
        <w:rPr>
          <w:rFonts w:ascii="Palatino Linotype" w:eastAsia="Palatino Linotype" w:hAnsi="Palatino Linotype" w:cs="Palatino Linotype"/>
          <w:color w:val="000000"/>
          <w:sz w:val="24"/>
          <w:szCs w:val="24"/>
        </w:rPr>
        <w:t xml:space="preserve"> políticas, entre otros.</w:t>
      </w:r>
    </w:p>
    <w:p w14:paraId="4F0B0896" w14:textId="77777777" w:rsidR="0054329D" w:rsidRDefault="0054329D">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75554D1D" w14:textId="77777777" w:rsidR="0054329D" w:rsidRDefault="007C2D5C">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esta manera, atendiendo que el particular requirió información relativa a la normatividad aplicable para la elaboración de versiones públicas que deben considerar los Sujetos Obligados cuando les requieren documentación pública que posean, generen o administren; ineludiblemente, dicha información constituye una obligación de transparencia común a la que se encuentra obligada a tener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por lo que se acredita la existencia de fuente obligacional para contar con la información.</w:t>
      </w:r>
    </w:p>
    <w:p w14:paraId="647C3D94" w14:textId="77777777" w:rsidR="0054329D" w:rsidRDefault="007C2D5C">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Resulta de suma importancia invocar el contenido de los artículos 162, 163, 164 y 165 de la Ley de Transparencia y Acceso a la Información Pública del Estado de México y Municipios, que rezan así:</w:t>
      </w:r>
    </w:p>
    <w:p w14:paraId="0D535446" w14:textId="77777777" w:rsidR="0054329D" w:rsidRDefault="007C2D5C">
      <w:pPr>
        <w:spacing w:after="120"/>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“Artículo 162.</w:t>
      </w:r>
      <w:r>
        <w:rPr>
          <w:rFonts w:ascii="Palatino Linotype" w:eastAsia="Palatino Linotype" w:hAnsi="Palatino Linotype" w:cs="Palatino Linotype"/>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50D4BE6C" w14:textId="77777777" w:rsidR="0054329D" w:rsidRDefault="007C2D5C">
      <w:pPr>
        <w:spacing w:after="120"/>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163.</w:t>
      </w:r>
      <w:r>
        <w:rPr>
          <w:rFonts w:ascii="Palatino Linotype" w:eastAsia="Palatino Linotype" w:hAnsi="Palatino Linotype" w:cs="Palatino Linotype"/>
          <w:i/>
        </w:rPr>
        <w:t xml:space="preserve"> La Unidad de Transparencia deberá notificar la respuesta a la solicitud al interesado en el menor tiempo posible, que no podrá exceder de quince días hábiles, contados a partir del día siguiente a la presentación de aquélla.  </w:t>
      </w:r>
    </w:p>
    <w:p w14:paraId="0C9A0988" w14:textId="77777777" w:rsidR="0054329D" w:rsidRDefault="007C2D5C">
      <w:pPr>
        <w:spacing w:after="120"/>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0C6C6726" w14:textId="77777777" w:rsidR="0054329D" w:rsidRDefault="007C2D5C">
      <w:pPr>
        <w:spacing w:after="120"/>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Artículo 164.</w:t>
      </w:r>
      <w:r>
        <w:rPr>
          <w:rFonts w:ascii="Palatino Linotype" w:eastAsia="Palatino Linotype" w:hAnsi="Palatino Linotype" w:cs="Palatino Linotype"/>
          <w:i/>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35BDCDE2" w14:textId="77777777" w:rsidR="0054329D" w:rsidRDefault="007C2D5C">
      <w:pPr>
        <w:spacing w:after="120"/>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En cualquier caso, se deberá fundar y motivar la necesidad de ofrecer otras modalidades.  </w:t>
      </w:r>
    </w:p>
    <w:p w14:paraId="4D902FF7" w14:textId="77777777" w:rsidR="0054329D" w:rsidRDefault="007C2D5C">
      <w:pPr>
        <w:spacing w:after="120"/>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Artículo 165.</w:t>
      </w:r>
      <w:r>
        <w:rPr>
          <w:rFonts w:ascii="Palatino Linotype" w:eastAsia="Palatino Linotype" w:hAnsi="Palatino Linotype" w:cs="Palatino Linotype"/>
          <w:i/>
        </w:rPr>
        <w:t xml:space="preserve"> Los sujetos obligados establecerán la forma y términos en que darán trámite interno a las solicitudes en materia de acceso a la información…”</w:t>
      </w:r>
    </w:p>
    <w:p w14:paraId="2F8D00E8" w14:textId="77777777" w:rsidR="0054329D" w:rsidRDefault="007C2D5C">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4F688684" w14:textId="77777777" w:rsidR="0054329D" w:rsidRDefault="007C2D5C">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Siendo la Unidad de Transparencia la responsable de hacer las notificaciones correspondientes, además de llevar a </w:t>
      </w:r>
      <w:proofErr w:type="gramStart"/>
      <w:r>
        <w:rPr>
          <w:rFonts w:ascii="Palatino Linotype" w:eastAsia="Palatino Linotype" w:hAnsi="Palatino Linotype" w:cs="Palatino Linotype"/>
          <w:sz w:val="24"/>
          <w:szCs w:val="24"/>
        </w:rPr>
        <w:t>cabo todas</w:t>
      </w:r>
      <w:proofErr w:type="gramEnd"/>
      <w:r>
        <w:rPr>
          <w:rFonts w:ascii="Palatino Linotype" w:eastAsia="Palatino Linotype" w:hAnsi="Palatino Linotype" w:cs="Palatino Linotype"/>
          <w:sz w:val="24"/>
          <w:szCs w:val="24"/>
        </w:rPr>
        <w:t xml:space="preserve"> las gestiones necesarias para facilitar el acceso a la información; así la respuesta deberá ser notificada al interesado en el </w:t>
      </w:r>
      <w:r>
        <w:rPr>
          <w:rFonts w:ascii="Palatino Linotype" w:eastAsia="Palatino Linotype" w:hAnsi="Palatino Linotype" w:cs="Palatino Linotype"/>
          <w:sz w:val="24"/>
          <w:szCs w:val="24"/>
        </w:rPr>
        <w:lastRenderedPageBreak/>
        <w:t>menor tiempo posible, que no podrá exceder de quince días hábiles, contados a partir de la presentación de la solicitud.</w:t>
      </w:r>
    </w:p>
    <w:p w14:paraId="77FD65AB" w14:textId="77777777" w:rsidR="0054329D" w:rsidRDefault="007C2D5C">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el caso concreto, el Titular de la Unidad de Transparencia, turnó la solicitud de información a la </w:t>
      </w:r>
      <w:r>
        <w:rPr>
          <w:rFonts w:ascii="Palatino Linotype" w:eastAsia="Palatino Linotype" w:hAnsi="Palatino Linotype" w:cs="Palatino Linotype"/>
          <w:b/>
          <w:sz w:val="24"/>
          <w:szCs w:val="24"/>
        </w:rPr>
        <w:t>Dirección General de Protección de Datos Personales</w:t>
      </w:r>
      <w:r>
        <w:rPr>
          <w:rFonts w:ascii="Palatino Linotype" w:eastAsia="Palatino Linotype" w:hAnsi="Palatino Linotype" w:cs="Palatino Linotype"/>
          <w:sz w:val="24"/>
          <w:szCs w:val="24"/>
        </w:rPr>
        <w:t xml:space="preserve"> y la </w:t>
      </w:r>
      <w:r>
        <w:rPr>
          <w:rFonts w:ascii="Palatino Linotype" w:eastAsia="Palatino Linotype" w:hAnsi="Palatino Linotype" w:cs="Palatino Linotype"/>
          <w:b/>
          <w:sz w:val="24"/>
          <w:szCs w:val="24"/>
        </w:rPr>
        <w:t>Dirección General Jurídica y de Verificación</w:t>
      </w:r>
      <w:r>
        <w:rPr>
          <w:rFonts w:ascii="Palatino Linotype" w:eastAsia="Palatino Linotype" w:hAnsi="Palatino Linotype" w:cs="Palatino Linotype"/>
          <w:sz w:val="24"/>
          <w:szCs w:val="24"/>
        </w:rPr>
        <w:t>, unidades administrativas que una vez informadas de la solicitud de información asumieron contar con la misma y mediante oficio la proporcionaron al Titular de la Unidad de Transparencia, para que esta fuera puesta a disposición del particular.</w:t>
      </w:r>
    </w:p>
    <w:p w14:paraId="4F324AA7" w14:textId="77777777" w:rsidR="0054329D" w:rsidRDefault="007C2D5C">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Ahora, a fin de determinar si dichas unidades administrativas son las áreas competentes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para poseer o administrar la información requerida por el particular, </w:t>
      </w:r>
      <w:r>
        <w:rPr>
          <w:rFonts w:ascii="Palatino Linotype" w:eastAsia="Palatino Linotype" w:hAnsi="Palatino Linotype" w:cs="Palatino Linotype"/>
          <w:color w:val="000000"/>
          <w:sz w:val="24"/>
          <w:szCs w:val="24"/>
        </w:rPr>
        <w:t>conviene traer a colación el Reglamento Interior del Instituto de Transparencia y Acceso a la Información Pública y Protección de Datos Personales del Estado de México y Municipios, el cual dispone en sus artículos 1 y 3, lo siguiente:</w:t>
      </w:r>
    </w:p>
    <w:p w14:paraId="5766DA7C" w14:textId="77777777" w:rsidR="0054329D" w:rsidRDefault="007C2D5C">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1.</w:t>
      </w:r>
      <w:r>
        <w:rPr>
          <w:rFonts w:ascii="Palatino Linotype" w:eastAsia="Palatino Linotype" w:hAnsi="Palatino Linotype" w:cs="Palatino Linotype"/>
          <w:i/>
          <w:color w:val="000000"/>
        </w:rPr>
        <w:t xml:space="preserve"> El presente Reglamento Interior tiene por objeto establecer la organización y el funcionamiento del Instituto de Transparencia, Acceso a la Información Pública y Protección de Datos Personales del Estado de México y Municipios.</w:t>
      </w:r>
    </w:p>
    <w:p w14:paraId="1FD89D84" w14:textId="77777777" w:rsidR="0054329D" w:rsidRDefault="0054329D">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color w:val="000000"/>
        </w:rPr>
      </w:pPr>
    </w:p>
    <w:p w14:paraId="541F9BF5" w14:textId="77777777" w:rsidR="0054329D" w:rsidRDefault="007C2D5C">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color w:val="000000"/>
        </w:rPr>
      </w:pPr>
      <w:bookmarkStart w:id="13" w:name="_heading=h.35nkun2" w:colFirst="0" w:colLast="0"/>
      <w:bookmarkEnd w:id="13"/>
      <w:r>
        <w:rPr>
          <w:rFonts w:ascii="Palatino Linotype" w:eastAsia="Palatino Linotype" w:hAnsi="Palatino Linotype" w:cs="Palatino Linotype"/>
          <w:b/>
          <w:i/>
          <w:color w:val="000000"/>
        </w:rPr>
        <w:t>“Artículo 3.</w:t>
      </w:r>
      <w:r>
        <w:rPr>
          <w:rFonts w:ascii="Palatino Linotype" w:eastAsia="Palatino Linotype" w:hAnsi="Palatino Linotype" w:cs="Palatino Linotype"/>
          <w:i/>
          <w:color w:val="000000"/>
        </w:rPr>
        <w:t xml:space="preserve"> El Instituto, para el ejercicio de las atribuciones y el despacho de los asuntos que le otorga la Ley de Transparencia, la Ley de Protección de Datos Personales y demás disposiciones legales que resulten aplicables contará con la estructura orgánica siguiente:</w:t>
      </w:r>
    </w:p>
    <w:p w14:paraId="5BAED906" w14:textId="77777777" w:rsidR="0054329D" w:rsidRDefault="0054329D">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color w:val="000000"/>
        </w:rPr>
      </w:pPr>
    </w:p>
    <w:p w14:paraId="5DC89EE8" w14:textId="77777777" w:rsidR="0054329D" w:rsidRDefault="007C2D5C">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 Pleno;</w:t>
      </w:r>
    </w:p>
    <w:p w14:paraId="7485216A" w14:textId="77777777" w:rsidR="0054329D" w:rsidRDefault="007C2D5C">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II. Comisionada o Comisionado Presidente;</w:t>
      </w:r>
    </w:p>
    <w:p w14:paraId="325FD85E" w14:textId="77777777" w:rsidR="0054329D" w:rsidRDefault="007C2D5C">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III. Comisionadas o Comisionados;</w:t>
      </w:r>
    </w:p>
    <w:p w14:paraId="21FC678A" w14:textId="77777777" w:rsidR="0054329D" w:rsidRDefault="007C2D5C">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IV. Secretaría Técnica del Pleno;</w:t>
      </w:r>
    </w:p>
    <w:p w14:paraId="6B1CE75B" w14:textId="77777777" w:rsidR="0054329D" w:rsidRDefault="007C2D5C">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 Unidad de Transparencia;</w:t>
      </w:r>
    </w:p>
    <w:p w14:paraId="4EE4802C" w14:textId="77777777" w:rsidR="0054329D" w:rsidRDefault="007C2D5C">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VI. Dirección General de Capacitación y Certificación;</w:t>
      </w:r>
    </w:p>
    <w:p w14:paraId="2F160A67" w14:textId="77777777" w:rsidR="0054329D" w:rsidRDefault="007C2D5C">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VII. Dirección General de Informática;</w:t>
      </w:r>
    </w:p>
    <w:p w14:paraId="7B99D2E7" w14:textId="77777777" w:rsidR="0054329D" w:rsidRDefault="007C2D5C">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b/>
          <w:i/>
          <w:color w:val="000000"/>
          <w:u w:val="single"/>
        </w:rPr>
        <w:t>VIII. Dirección General Jurídica y de Verificación;</w:t>
      </w:r>
    </w:p>
    <w:p w14:paraId="573CDEAE" w14:textId="77777777" w:rsidR="0054329D" w:rsidRDefault="007C2D5C">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b/>
          <w:i/>
          <w:color w:val="000000"/>
          <w:u w:val="single"/>
        </w:rPr>
        <w:t>IX. Dirección General de Protección de Datos Personales;</w:t>
      </w:r>
    </w:p>
    <w:p w14:paraId="55378F4D" w14:textId="77777777" w:rsidR="0054329D" w:rsidRDefault="007C2D5C">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X. Dirección General de Transparencia, Acceso a la Información Pública y Gobierno Abierto;</w:t>
      </w:r>
    </w:p>
    <w:p w14:paraId="4F8171DC" w14:textId="77777777" w:rsidR="0054329D" w:rsidRDefault="007C2D5C">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XI. Dirección General de Administración y Finanzas;</w:t>
      </w:r>
    </w:p>
    <w:p w14:paraId="33F9EC8C" w14:textId="77777777" w:rsidR="0054329D" w:rsidRDefault="007C2D5C">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XII. Órgano Interno de Control;</w:t>
      </w:r>
    </w:p>
    <w:p w14:paraId="15F498B8" w14:textId="77777777" w:rsidR="0054329D" w:rsidRDefault="007C2D5C">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XIII. Dirección de Archivo y Gestión Documental;</w:t>
      </w:r>
    </w:p>
    <w:p w14:paraId="639386DC" w14:textId="77777777" w:rsidR="0054329D" w:rsidRDefault="007C2D5C">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XIV. Unidad de Comunicación;</w:t>
      </w:r>
    </w:p>
    <w:p w14:paraId="2DA992B8" w14:textId="77777777" w:rsidR="0054329D" w:rsidRDefault="007C2D5C">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XV. Unidad de Igualdad de Género y Erradicación de la Violencia;</w:t>
      </w:r>
    </w:p>
    <w:p w14:paraId="5D6E6CCA" w14:textId="77777777" w:rsidR="0054329D" w:rsidRDefault="007C2D5C">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XVI. Unidad de Vinculación;</w:t>
      </w:r>
    </w:p>
    <w:p w14:paraId="70507A50" w14:textId="77777777" w:rsidR="0054329D" w:rsidRDefault="007C2D5C">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XVII. Unidad de Asesores; y XVIII. Unidad de Investigación.”</w:t>
      </w:r>
    </w:p>
    <w:p w14:paraId="5A7155B5" w14:textId="77777777" w:rsidR="0054329D" w:rsidRDefault="0054329D">
      <w:pPr>
        <w:tabs>
          <w:tab w:val="left" w:pos="4962"/>
        </w:tabs>
        <w:spacing w:after="0" w:line="360" w:lineRule="auto"/>
        <w:jc w:val="both"/>
        <w:rPr>
          <w:rFonts w:ascii="Palatino Linotype" w:eastAsia="Palatino Linotype" w:hAnsi="Palatino Linotype" w:cs="Palatino Linotype"/>
          <w:sz w:val="24"/>
          <w:szCs w:val="24"/>
        </w:rPr>
      </w:pPr>
    </w:p>
    <w:p w14:paraId="48F1EA54"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bookmarkStart w:id="14" w:name="_heading=h.1ksv4uv" w:colFirst="0" w:colLast="0"/>
      <w:bookmarkEnd w:id="14"/>
      <w:r>
        <w:rPr>
          <w:rFonts w:ascii="Palatino Linotype" w:eastAsia="Palatino Linotype" w:hAnsi="Palatino Linotype" w:cs="Palatino Linotype"/>
          <w:sz w:val="24"/>
          <w:szCs w:val="24"/>
        </w:rPr>
        <w:t xml:space="preserve">Como se desprende de los numerales trascritos, el Reglamento Interior del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tiene por objeto establecer la organización y el funcionamiento del mismo, y para el ejercicio de las atribuciones y el despacho de los asuntos que le otorga la Ley de Transparencia, la Ley de Protección de Datos Personales y demás disposiciones legales que resulten aplicables contará con una estructura orgánica, dentro de la cual tendrá diversas unidades administrativas, incluidas la </w:t>
      </w:r>
      <w:r>
        <w:rPr>
          <w:rFonts w:ascii="Palatino Linotype" w:eastAsia="Palatino Linotype" w:hAnsi="Palatino Linotype" w:cs="Palatino Linotype"/>
          <w:b/>
          <w:sz w:val="24"/>
          <w:szCs w:val="24"/>
        </w:rPr>
        <w:t>Dirección General de Protección de Datos Personales</w:t>
      </w:r>
      <w:r>
        <w:rPr>
          <w:rFonts w:ascii="Palatino Linotype" w:eastAsia="Palatino Linotype" w:hAnsi="Palatino Linotype" w:cs="Palatino Linotype"/>
          <w:sz w:val="24"/>
          <w:szCs w:val="24"/>
        </w:rPr>
        <w:t xml:space="preserve"> y la </w:t>
      </w:r>
      <w:r>
        <w:rPr>
          <w:rFonts w:ascii="Palatino Linotype" w:eastAsia="Palatino Linotype" w:hAnsi="Palatino Linotype" w:cs="Palatino Linotype"/>
          <w:b/>
          <w:sz w:val="24"/>
          <w:szCs w:val="24"/>
        </w:rPr>
        <w:t xml:space="preserve">Dirección General Jurídica y de Verificación, </w:t>
      </w:r>
      <w:r>
        <w:rPr>
          <w:rFonts w:ascii="Palatino Linotype" w:eastAsia="Palatino Linotype" w:hAnsi="Palatino Linotype" w:cs="Palatino Linotype"/>
          <w:sz w:val="24"/>
          <w:szCs w:val="24"/>
        </w:rPr>
        <w:t>presididas por un titular.</w:t>
      </w:r>
    </w:p>
    <w:p w14:paraId="03B76FBC" w14:textId="77777777" w:rsidR="0054329D" w:rsidRDefault="0054329D">
      <w:pPr>
        <w:tabs>
          <w:tab w:val="left" w:pos="4962"/>
        </w:tabs>
        <w:spacing w:after="0" w:line="360" w:lineRule="auto"/>
        <w:jc w:val="both"/>
        <w:rPr>
          <w:rFonts w:ascii="Palatino Linotype" w:eastAsia="Palatino Linotype" w:hAnsi="Palatino Linotype" w:cs="Palatino Linotype"/>
          <w:b/>
          <w:sz w:val="24"/>
          <w:szCs w:val="24"/>
        </w:rPr>
      </w:pPr>
    </w:p>
    <w:p w14:paraId="2F464342"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Dentro de las facultades y atribuciones que tienen dichas unidades administrativas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conforme el Reglamento Interior de mérito, se encuentran las establecidas en los artículos 23, fracciones XI y XIII, y 24, fracción XXI, que a la letra disponen lo siguiente:</w:t>
      </w:r>
    </w:p>
    <w:p w14:paraId="358F0B27" w14:textId="77777777" w:rsidR="0054329D" w:rsidRDefault="0054329D">
      <w:pPr>
        <w:tabs>
          <w:tab w:val="left" w:pos="4962"/>
        </w:tabs>
        <w:spacing w:after="0" w:line="360" w:lineRule="auto"/>
        <w:jc w:val="both"/>
        <w:rPr>
          <w:rFonts w:ascii="Palatino Linotype" w:eastAsia="Palatino Linotype" w:hAnsi="Palatino Linotype" w:cs="Palatino Linotype"/>
          <w:sz w:val="24"/>
          <w:szCs w:val="24"/>
        </w:rPr>
      </w:pPr>
    </w:p>
    <w:p w14:paraId="4BAB9848" w14:textId="77777777" w:rsidR="0054329D" w:rsidRDefault="007C2D5C">
      <w:pPr>
        <w:tabs>
          <w:tab w:val="left" w:pos="4962"/>
        </w:tabs>
        <w:spacing w:after="0" w:line="276" w:lineRule="auto"/>
        <w:ind w:left="567" w:right="70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23. Corresponde a la Dirección General Jurídica y de Verificación ejercer las atribuciones siguientes:</w:t>
      </w:r>
    </w:p>
    <w:p w14:paraId="10FDD614" w14:textId="77777777" w:rsidR="0054329D" w:rsidRDefault="007C2D5C">
      <w:pPr>
        <w:tabs>
          <w:tab w:val="left" w:pos="4962"/>
        </w:tabs>
        <w:spacing w:after="0" w:line="276" w:lineRule="auto"/>
        <w:ind w:left="567" w:right="7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50A8186" w14:textId="77777777" w:rsidR="0054329D" w:rsidRDefault="007C2D5C">
      <w:pPr>
        <w:tabs>
          <w:tab w:val="left" w:pos="4962"/>
        </w:tabs>
        <w:spacing w:after="0" w:line="276" w:lineRule="auto"/>
        <w:ind w:left="567" w:right="701"/>
        <w:jc w:val="both"/>
        <w:rPr>
          <w:rFonts w:ascii="Palatino Linotype" w:eastAsia="Palatino Linotype" w:hAnsi="Palatino Linotype" w:cs="Palatino Linotype"/>
          <w:b/>
          <w:i/>
        </w:rPr>
      </w:pPr>
      <w:bookmarkStart w:id="15" w:name="_heading=h.44sinio" w:colFirst="0" w:colLast="0"/>
      <w:bookmarkEnd w:id="15"/>
      <w:r>
        <w:rPr>
          <w:rFonts w:ascii="Palatino Linotype" w:eastAsia="Palatino Linotype" w:hAnsi="Palatino Linotype" w:cs="Palatino Linotype"/>
          <w:b/>
          <w:i/>
        </w:rPr>
        <w:t>XI. Elaborar y proponer proyectos de interpretación de la Ley de Transparencia y Ley de Protección de Datos Personales y de este Reglamento, de lineamientos y criterios en los diversos rubros de la competencia del Instituto, para que sean sometidos a consideración del Pleno, por conducto de la o el Comisionado que lo solicitó;</w:t>
      </w:r>
    </w:p>
    <w:p w14:paraId="2F17DDBA" w14:textId="77777777" w:rsidR="0054329D" w:rsidRDefault="007C2D5C">
      <w:pPr>
        <w:tabs>
          <w:tab w:val="left" w:pos="4962"/>
        </w:tabs>
        <w:spacing w:after="0" w:line="276" w:lineRule="auto"/>
        <w:ind w:left="567" w:right="7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1A1FFB6" w14:textId="77777777" w:rsidR="0054329D" w:rsidRDefault="007C2D5C">
      <w:pPr>
        <w:tabs>
          <w:tab w:val="left" w:pos="4962"/>
        </w:tabs>
        <w:spacing w:after="0" w:line="276" w:lineRule="auto"/>
        <w:ind w:left="567" w:right="701"/>
        <w:jc w:val="both"/>
        <w:rPr>
          <w:rFonts w:ascii="Palatino Linotype" w:eastAsia="Palatino Linotype" w:hAnsi="Palatino Linotype" w:cs="Palatino Linotype"/>
          <w:b/>
          <w:i/>
        </w:rPr>
      </w:pPr>
      <w:bookmarkStart w:id="16" w:name="_heading=h.2jxsxqh" w:colFirst="0" w:colLast="0"/>
      <w:bookmarkEnd w:id="16"/>
      <w:r>
        <w:rPr>
          <w:rFonts w:ascii="Palatino Linotype" w:eastAsia="Palatino Linotype" w:hAnsi="Palatino Linotype" w:cs="Palatino Linotype"/>
          <w:b/>
          <w:i/>
        </w:rPr>
        <w:t>XIII. Compilar y emitir opinión de las normas jurídicas relacionadas con el ejercicio de las atribuciones del Instituto;</w:t>
      </w:r>
    </w:p>
    <w:p w14:paraId="7EDBCC78" w14:textId="77777777" w:rsidR="0054329D" w:rsidRDefault="007C2D5C">
      <w:pPr>
        <w:tabs>
          <w:tab w:val="left" w:pos="4962"/>
        </w:tabs>
        <w:spacing w:after="0" w:line="276" w:lineRule="auto"/>
        <w:ind w:left="567" w:right="7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1401240" w14:textId="77777777" w:rsidR="0054329D" w:rsidRDefault="0054329D">
      <w:pPr>
        <w:tabs>
          <w:tab w:val="left" w:pos="4962"/>
        </w:tabs>
        <w:spacing w:after="0" w:line="276" w:lineRule="auto"/>
        <w:ind w:left="567" w:right="701"/>
        <w:jc w:val="both"/>
        <w:rPr>
          <w:rFonts w:ascii="Palatino Linotype" w:eastAsia="Palatino Linotype" w:hAnsi="Palatino Linotype" w:cs="Palatino Linotype"/>
          <w:i/>
        </w:rPr>
      </w:pPr>
    </w:p>
    <w:p w14:paraId="2209086E" w14:textId="77777777" w:rsidR="0054329D" w:rsidRDefault="007C2D5C">
      <w:pPr>
        <w:tabs>
          <w:tab w:val="left" w:pos="4962"/>
        </w:tabs>
        <w:spacing w:after="0" w:line="276" w:lineRule="auto"/>
        <w:ind w:left="567" w:right="701"/>
        <w:jc w:val="both"/>
        <w:rPr>
          <w:rFonts w:ascii="Palatino Linotype" w:eastAsia="Palatino Linotype" w:hAnsi="Palatino Linotype" w:cs="Palatino Linotype"/>
          <w:i/>
        </w:rPr>
      </w:pPr>
      <w:bookmarkStart w:id="17" w:name="_heading=h.z337ya" w:colFirst="0" w:colLast="0"/>
      <w:bookmarkEnd w:id="17"/>
      <w:r>
        <w:rPr>
          <w:rFonts w:ascii="Palatino Linotype" w:eastAsia="Palatino Linotype" w:hAnsi="Palatino Linotype" w:cs="Palatino Linotype"/>
          <w:i/>
        </w:rPr>
        <w:t>“</w:t>
      </w:r>
      <w:r>
        <w:rPr>
          <w:rFonts w:ascii="Palatino Linotype" w:eastAsia="Palatino Linotype" w:hAnsi="Palatino Linotype" w:cs="Palatino Linotype"/>
          <w:b/>
          <w:i/>
        </w:rPr>
        <w:t>Artículo 24.</w:t>
      </w:r>
      <w:r>
        <w:rPr>
          <w:rFonts w:ascii="Palatino Linotype" w:eastAsia="Palatino Linotype" w:hAnsi="Palatino Linotype" w:cs="Palatino Linotype"/>
          <w:i/>
        </w:rPr>
        <w:t xml:space="preserve"> Corresponde a la Dirección General de Protección de Datos Personales ejercer las atribuciones siguientes:</w:t>
      </w:r>
    </w:p>
    <w:p w14:paraId="4F951C02" w14:textId="77777777" w:rsidR="0054329D" w:rsidRDefault="007C2D5C">
      <w:pPr>
        <w:tabs>
          <w:tab w:val="left" w:pos="4962"/>
        </w:tabs>
        <w:spacing w:after="0" w:line="276" w:lineRule="auto"/>
        <w:ind w:left="567" w:right="7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6604D79" w14:textId="77777777" w:rsidR="0054329D" w:rsidRDefault="007C2D5C">
      <w:pPr>
        <w:tabs>
          <w:tab w:val="left" w:pos="4962"/>
        </w:tabs>
        <w:spacing w:after="0" w:line="276" w:lineRule="auto"/>
        <w:ind w:left="567" w:right="701"/>
        <w:jc w:val="both"/>
        <w:rPr>
          <w:rFonts w:ascii="Palatino Linotype" w:eastAsia="Palatino Linotype" w:hAnsi="Palatino Linotype" w:cs="Palatino Linotype"/>
          <w:b/>
          <w:i/>
        </w:rPr>
      </w:pPr>
      <w:bookmarkStart w:id="18" w:name="_heading=h.3j2qqm3" w:colFirst="0" w:colLast="0"/>
      <w:bookmarkEnd w:id="18"/>
      <w:r>
        <w:rPr>
          <w:rFonts w:ascii="Palatino Linotype" w:eastAsia="Palatino Linotype" w:hAnsi="Palatino Linotype" w:cs="Palatino Linotype"/>
          <w:b/>
          <w:i/>
        </w:rPr>
        <w:t>XXI. Acceder sin restricciones a la información clasificada en posesión de los Responsables para el cumplimiento de las atribuciones de investigación, verificación, auditoria y evaluación;</w:t>
      </w:r>
    </w:p>
    <w:p w14:paraId="5788DF24" w14:textId="77777777" w:rsidR="0054329D" w:rsidRDefault="007C2D5C">
      <w:pPr>
        <w:tabs>
          <w:tab w:val="left" w:pos="4962"/>
        </w:tabs>
        <w:spacing w:after="0" w:line="276" w:lineRule="auto"/>
        <w:ind w:left="567" w:right="7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8E54D28" w14:textId="77777777" w:rsidR="0054329D" w:rsidRDefault="0054329D">
      <w:pPr>
        <w:tabs>
          <w:tab w:val="left" w:pos="4962"/>
        </w:tabs>
        <w:spacing w:after="0" w:line="276" w:lineRule="auto"/>
        <w:ind w:left="567" w:right="701"/>
        <w:jc w:val="both"/>
        <w:rPr>
          <w:rFonts w:ascii="Palatino Linotype" w:eastAsia="Palatino Linotype" w:hAnsi="Palatino Linotype" w:cs="Palatino Linotype"/>
          <w:sz w:val="24"/>
          <w:szCs w:val="24"/>
        </w:rPr>
      </w:pPr>
    </w:p>
    <w:p w14:paraId="4FCDD2A5" w14:textId="77777777" w:rsidR="0054329D" w:rsidRDefault="007C2D5C">
      <w:pPr>
        <w:tabs>
          <w:tab w:val="left" w:pos="4962"/>
        </w:tabs>
        <w:spacing w:after="0" w:line="276" w:lineRule="auto"/>
        <w:ind w:left="567" w:right="701"/>
        <w:jc w:val="right"/>
        <w:rPr>
          <w:rFonts w:ascii="Palatino Linotype" w:eastAsia="Palatino Linotype" w:hAnsi="Palatino Linotype" w:cs="Palatino Linotype"/>
        </w:rPr>
      </w:pPr>
      <w:r>
        <w:rPr>
          <w:rFonts w:ascii="Palatino Linotype" w:eastAsia="Palatino Linotype" w:hAnsi="Palatino Linotype" w:cs="Palatino Linotype"/>
        </w:rPr>
        <w:lastRenderedPageBreak/>
        <w:t>(Énfasis añadido)</w:t>
      </w:r>
    </w:p>
    <w:p w14:paraId="2616D8FD" w14:textId="77777777" w:rsidR="0054329D" w:rsidRDefault="0054329D">
      <w:pPr>
        <w:tabs>
          <w:tab w:val="left" w:pos="4962"/>
        </w:tabs>
        <w:spacing w:after="0" w:line="360" w:lineRule="auto"/>
        <w:ind w:left="567" w:right="701"/>
        <w:jc w:val="both"/>
        <w:rPr>
          <w:rFonts w:ascii="Palatino Linotype" w:eastAsia="Palatino Linotype" w:hAnsi="Palatino Linotype" w:cs="Palatino Linotype"/>
          <w:sz w:val="24"/>
          <w:szCs w:val="24"/>
        </w:rPr>
      </w:pPr>
    </w:p>
    <w:p w14:paraId="558F1B9B"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bookmarkStart w:id="19" w:name="_heading=h.1y810tw" w:colFirst="0" w:colLast="0"/>
      <w:bookmarkEnd w:id="19"/>
      <w:r>
        <w:rPr>
          <w:rFonts w:ascii="Palatino Linotype" w:eastAsia="Palatino Linotype" w:hAnsi="Palatino Linotype" w:cs="Palatino Linotype"/>
          <w:sz w:val="24"/>
          <w:szCs w:val="24"/>
        </w:rPr>
        <w:t xml:space="preserve">Como se desprende de los artículos insertos; en primer lugar, por cuanto hace a las atribuciones de la </w:t>
      </w:r>
      <w:r>
        <w:rPr>
          <w:rFonts w:ascii="Palatino Linotype" w:eastAsia="Palatino Linotype" w:hAnsi="Palatino Linotype" w:cs="Palatino Linotype"/>
          <w:b/>
          <w:sz w:val="24"/>
          <w:szCs w:val="24"/>
        </w:rPr>
        <w:t>Dirección General Jurídica y de Verificación</w:t>
      </w:r>
      <w:r>
        <w:rPr>
          <w:rFonts w:ascii="Palatino Linotype" w:eastAsia="Palatino Linotype" w:hAnsi="Palatino Linotype" w:cs="Palatino Linotype"/>
          <w:sz w:val="24"/>
          <w:szCs w:val="24"/>
        </w:rPr>
        <w:t>, relativas a “</w:t>
      </w:r>
      <w:r>
        <w:rPr>
          <w:rFonts w:ascii="Palatino Linotype" w:eastAsia="Palatino Linotype" w:hAnsi="Palatino Linotype" w:cs="Palatino Linotype"/>
          <w:i/>
          <w:sz w:val="24"/>
          <w:szCs w:val="24"/>
        </w:rPr>
        <w:t>Elaborar y proponer proyectos de interpretación de la Ley de Transparencia y Ley de Protección de Datos Personales y de este Reglamento, de lineamientos y criterios en los diversos rubros de la competencia del Instituto</w:t>
      </w:r>
      <w:r>
        <w:rPr>
          <w:rFonts w:ascii="Palatino Linotype" w:eastAsia="Palatino Linotype" w:hAnsi="Palatino Linotype" w:cs="Palatino Linotype"/>
          <w:sz w:val="24"/>
          <w:szCs w:val="24"/>
        </w:rPr>
        <w:t>” y “</w:t>
      </w:r>
      <w:r>
        <w:rPr>
          <w:rFonts w:ascii="Palatino Linotype" w:eastAsia="Palatino Linotype" w:hAnsi="Palatino Linotype" w:cs="Palatino Linotype"/>
          <w:i/>
          <w:sz w:val="24"/>
          <w:szCs w:val="24"/>
        </w:rPr>
        <w:t>Compilar y emitir opinión de las normas jurídicas relacionadas con el ejercicio de las atribuciones del Instituto</w:t>
      </w:r>
      <w:r>
        <w:rPr>
          <w:rFonts w:ascii="Palatino Linotype" w:eastAsia="Palatino Linotype" w:hAnsi="Palatino Linotype" w:cs="Palatino Linotype"/>
          <w:sz w:val="24"/>
          <w:szCs w:val="24"/>
        </w:rPr>
        <w:t xml:space="preserve">”, se desprende que dicha unidad administrativa es competente para poseer o administrar la información requerida en la solicitud de información, por ser la encargada de elaborar y proponer proyectos de interpretación de la Ley de la materia, aplicable al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así como lineamientos y criterios competencia del mismo, que de manera enunciativa más no limitativa se encuentran aquellos que están encaminados a la clasificación de la información en las versiones públicas; así como, también dicha unidad administrativa es la encargada de recabar opiniones sobre las normas jurídicas aplicables a dicho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por lo que, de lo anterior se desprende fuente obligacional y se acredita la competencia para conocer de la solicitud por conducto de dicha unidad administrativa.</w:t>
      </w:r>
    </w:p>
    <w:p w14:paraId="6E22DDE6" w14:textId="77777777" w:rsidR="0054329D" w:rsidRDefault="0054329D">
      <w:pPr>
        <w:tabs>
          <w:tab w:val="left" w:pos="4962"/>
        </w:tabs>
        <w:spacing w:after="0" w:line="360" w:lineRule="auto"/>
        <w:jc w:val="both"/>
        <w:rPr>
          <w:rFonts w:ascii="Palatino Linotype" w:eastAsia="Palatino Linotype" w:hAnsi="Palatino Linotype" w:cs="Palatino Linotype"/>
          <w:sz w:val="24"/>
          <w:szCs w:val="24"/>
        </w:rPr>
      </w:pPr>
    </w:p>
    <w:p w14:paraId="4AA7C387"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Lo mismo, en el caso de la </w:t>
      </w:r>
      <w:r>
        <w:rPr>
          <w:rFonts w:ascii="Palatino Linotype" w:eastAsia="Palatino Linotype" w:hAnsi="Palatino Linotype" w:cs="Palatino Linotype"/>
          <w:b/>
          <w:sz w:val="24"/>
          <w:szCs w:val="24"/>
        </w:rPr>
        <w:t>Dirección General de Protección de Datos Personales</w:t>
      </w:r>
      <w:r>
        <w:rPr>
          <w:rFonts w:ascii="Palatino Linotype" w:eastAsia="Palatino Linotype" w:hAnsi="Palatino Linotype" w:cs="Palatino Linotype"/>
          <w:sz w:val="24"/>
          <w:szCs w:val="24"/>
        </w:rPr>
        <w:t>, pues de las atribuciones que tiene consistentes en “</w:t>
      </w:r>
      <w:r>
        <w:rPr>
          <w:rFonts w:ascii="Palatino Linotype" w:eastAsia="Palatino Linotype" w:hAnsi="Palatino Linotype" w:cs="Palatino Linotype"/>
          <w:i/>
          <w:sz w:val="24"/>
          <w:szCs w:val="24"/>
        </w:rPr>
        <w:t xml:space="preserve">Acceder sin restricciones a la información clasificada en posesión de los Responsables para el cumplimiento de las atribuciones de </w:t>
      </w:r>
      <w:r>
        <w:rPr>
          <w:rFonts w:ascii="Palatino Linotype" w:eastAsia="Palatino Linotype" w:hAnsi="Palatino Linotype" w:cs="Palatino Linotype"/>
          <w:i/>
          <w:sz w:val="24"/>
          <w:szCs w:val="24"/>
        </w:rPr>
        <w:lastRenderedPageBreak/>
        <w:t>investigación, verificación, auditoria y evaluación</w:t>
      </w:r>
      <w:r>
        <w:rPr>
          <w:rFonts w:ascii="Palatino Linotype" w:eastAsia="Palatino Linotype" w:hAnsi="Palatino Linotype" w:cs="Palatino Linotype"/>
          <w:sz w:val="24"/>
          <w:szCs w:val="24"/>
        </w:rPr>
        <w:t>” se desprende que, al tener acceso a la información clasificada en posesión de sujetos obligados para su investigación, verificación, auditoría y evaluación, tiene conocimiento de la normatividad, lineamientos y criterios aplicables en materia de clasificación de la información en las versiones públicas emitidas por los entes públicos obligados; por lo que, ineludiblemente dicha unidad administrativa posee y/o administra la información requerida por el particular.</w:t>
      </w:r>
    </w:p>
    <w:p w14:paraId="2104FF5E" w14:textId="77777777" w:rsidR="0054329D" w:rsidRDefault="0054329D">
      <w:pPr>
        <w:tabs>
          <w:tab w:val="left" w:pos="4962"/>
        </w:tabs>
        <w:spacing w:after="0" w:line="360" w:lineRule="auto"/>
        <w:jc w:val="both"/>
        <w:rPr>
          <w:rFonts w:ascii="Palatino Linotype" w:eastAsia="Palatino Linotype" w:hAnsi="Palatino Linotype" w:cs="Palatino Linotype"/>
          <w:sz w:val="24"/>
          <w:szCs w:val="24"/>
        </w:rPr>
      </w:pPr>
    </w:p>
    <w:p w14:paraId="57C56D26"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toda vez que tanto la </w:t>
      </w:r>
      <w:r>
        <w:rPr>
          <w:rFonts w:ascii="Palatino Linotype" w:eastAsia="Palatino Linotype" w:hAnsi="Palatino Linotype" w:cs="Palatino Linotype"/>
          <w:b/>
          <w:sz w:val="24"/>
          <w:szCs w:val="24"/>
        </w:rPr>
        <w:t>Dirección General de Protección de Datos Personales</w:t>
      </w:r>
      <w:r>
        <w:rPr>
          <w:rFonts w:ascii="Palatino Linotype" w:eastAsia="Palatino Linotype" w:hAnsi="Palatino Linotype" w:cs="Palatino Linotype"/>
          <w:sz w:val="24"/>
          <w:szCs w:val="24"/>
        </w:rPr>
        <w:t xml:space="preserve"> y la </w:t>
      </w:r>
      <w:r>
        <w:rPr>
          <w:rFonts w:ascii="Palatino Linotype" w:eastAsia="Palatino Linotype" w:hAnsi="Palatino Linotype" w:cs="Palatino Linotype"/>
          <w:b/>
          <w:sz w:val="24"/>
          <w:szCs w:val="24"/>
        </w:rPr>
        <w:t xml:space="preserve">Dirección General Jurídica y de Verificación </w:t>
      </w:r>
      <w:r>
        <w:rPr>
          <w:rFonts w:ascii="Palatino Linotype" w:eastAsia="Palatino Linotype" w:hAnsi="Palatino Linotype" w:cs="Palatino Linotype"/>
          <w:sz w:val="24"/>
          <w:szCs w:val="24"/>
        </w:rPr>
        <w:t xml:space="preserve">del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son las unidades administrativas competentes para conocer de la solicitud, ya que la información solicitada por el particular en efecto corresponde a información, generada, poseída o administrada por las áreas que proporcionaron la respuesta y rindieron su informe; este Organismo Garante estima que en el caso existe fuente obligacional para que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conozca de la información requerida.</w:t>
      </w:r>
    </w:p>
    <w:p w14:paraId="4BF926E4" w14:textId="77777777" w:rsidR="0054329D" w:rsidRDefault="0054329D">
      <w:pPr>
        <w:tabs>
          <w:tab w:val="left" w:pos="4962"/>
        </w:tabs>
        <w:spacing w:after="0" w:line="360" w:lineRule="auto"/>
        <w:jc w:val="both"/>
        <w:rPr>
          <w:rFonts w:ascii="Palatino Linotype" w:eastAsia="Palatino Linotype" w:hAnsi="Palatino Linotype" w:cs="Palatino Linotype"/>
          <w:sz w:val="24"/>
          <w:szCs w:val="24"/>
        </w:rPr>
      </w:pPr>
    </w:p>
    <w:p w14:paraId="3055DBBC" w14:textId="77777777" w:rsidR="0054329D" w:rsidRDefault="007C2D5C">
      <w:pPr>
        <w:numPr>
          <w:ilvl w:val="0"/>
          <w:numId w:val="3"/>
        </w:numPr>
        <w:pBdr>
          <w:top w:val="nil"/>
          <w:left w:val="nil"/>
          <w:bottom w:val="nil"/>
          <w:right w:val="nil"/>
          <w:between w:val="nil"/>
        </w:pBdr>
        <w:tabs>
          <w:tab w:val="left" w:pos="4962"/>
        </w:tabs>
        <w:spacing w:after="0" w:line="360" w:lineRule="auto"/>
        <w:jc w:val="both"/>
        <w:rPr>
          <w:rFonts w:ascii="Palatino Linotype" w:eastAsia="Palatino Linotype" w:hAnsi="Palatino Linotype" w:cs="Palatino Linotype"/>
          <w:b/>
          <w:color w:val="000000"/>
          <w:sz w:val="24"/>
          <w:szCs w:val="24"/>
          <w:u w:val="single"/>
        </w:rPr>
      </w:pPr>
      <w:r>
        <w:rPr>
          <w:rFonts w:ascii="Palatino Linotype" w:eastAsia="Palatino Linotype" w:hAnsi="Palatino Linotype" w:cs="Palatino Linotype"/>
          <w:b/>
          <w:color w:val="000000"/>
          <w:sz w:val="24"/>
          <w:szCs w:val="24"/>
          <w:u w:val="single"/>
        </w:rPr>
        <w:t>Del análisis a la respuesta e informe justificado del Sujeto Obligado:</w:t>
      </w:r>
    </w:p>
    <w:p w14:paraId="68DB8C24" w14:textId="77777777" w:rsidR="0054329D" w:rsidRDefault="0054329D">
      <w:pPr>
        <w:tabs>
          <w:tab w:val="left" w:pos="4962"/>
        </w:tabs>
        <w:spacing w:after="0" w:line="360" w:lineRule="auto"/>
        <w:jc w:val="both"/>
        <w:rPr>
          <w:rFonts w:ascii="Palatino Linotype" w:eastAsia="Palatino Linotype" w:hAnsi="Palatino Linotype" w:cs="Palatino Linotype"/>
          <w:sz w:val="24"/>
          <w:szCs w:val="24"/>
        </w:rPr>
      </w:pPr>
    </w:p>
    <w:p w14:paraId="499C40E8"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se procede a analizar si desde la respuesta proporcionada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se colmó el derecho de acceso a la información pública, o bien, si en el caso se actualizó la hipótesis por la que la parte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 xml:space="preserve">procedió a promover recurso </w:t>
      </w:r>
      <w:r>
        <w:rPr>
          <w:rFonts w:ascii="Palatino Linotype" w:eastAsia="Palatino Linotype" w:hAnsi="Palatino Linotype" w:cs="Palatino Linotype"/>
          <w:sz w:val="24"/>
          <w:szCs w:val="24"/>
        </w:rPr>
        <w:lastRenderedPageBreak/>
        <w:t xml:space="preserve">de revisión, consistente en el no poder acceder a las ligas electrónicas proporcionadas en respuesta sobre la normatividad aplicable para la elaboración de versiones públicas por parte de los sujetos obligados, y por las que en el presente medio de impugnación  requirió que se de proporcionaran en formato </w:t>
      </w:r>
      <w:proofErr w:type="spellStart"/>
      <w:r>
        <w:rPr>
          <w:rFonts w:ascii="Palatino Linotype" w:eastAsia="Palatino Linotype" w:hAnsi="Palatino Linotype" w:cs="Palatino Linotype"/>
          <w:sz w:val="24"/>
          <w:szCs w:val="24"/>
        </w:rPr>
        <w:t>pdf</w:t>
      </w:r>
      <w:proofErr w:type="spellEnd"/>
      <w:r>
        <w:rPr>
          <w:rFonts w:ascii="Palatino Linotype" w:eastAsia="Palatino Linotype" w:hAnsi="Palatino Linotype" w:cs="Palatino Linotype"/>
          <w:sz w:val="24"/>
          <w:szCs w:val="24"/>
        </w:rPr>
        <w:t>.</w:t>
      </w:r>
    </w:p>
    <w:p w14:paraId="0A72D97A" w14:textId="77777777" w:rsidR="0054329D" w:rsidRDefault="0054329D">
      <w:pPr>
        <w:tabs>
          <w:tab w:val="left" w:pos="4962"/>
        </w:tabs>
        <w:spacing w:after="0" w:line="360" w:lineRule="auto"/>
        <w:jc w:val="both"/>
        <w:rPr>
          <w:rFonts w:ascii="Palatino Linotype" w:eastAsia="Palatino Linotype" w:hAnsi="Palatino Linotype" w:cs="Palatino Linotype"/>
          <w:color w:val="FF0000"/>
          <w:sz w:val="24"/>
          <w:szCs w:val="24"/>
        </w:rPr>
      </w:pPr>
    </w:p>
    <w:p w14:paraId="730DE4F3"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Una vez precisado lo anterior, de la revisión que este Órgano Garante efectúa a la respuesta proporcionada tanto por la </w:t>
      </w:r>
      <w:r>
        <w:rPr>
          <w:rFonts w:ascii="Palatino Linotype" w:eastAsia="Palatino Linotype" w:hAnsi="Palatino Linotype" w:cs="Palatino Linotype"/>
          <w:b/>
          <w:sz w:val="24"/>
          <w:szCs w:val="24"/>
        </w:rPr>
        <w:t xml:space="preserve">Dirección General de Protección de Datos Personales </w:t>
      </w:r>
      <w:r>
        <w:rPr>
          <w:rFonts w:ascii="Palatino Linotype" w:eastAsia="Palatino Linotype" w:hAnsi="Palatino Linotype" w:cs="Palatino Linotype"/>
          <w:sz w:val="24"/>
          <w:szCs w:val="24"/>
        </w:rPr>
        <w:t>como por</w:t>
      </w:r>
      <w:r>
        <w:rPr>
          <w:rFonts w:ascii="Palatino Linotype" w:eastAsia="Palatino Linotype" w:hAnsi="Palatino Linotype" w:cs="Palatino Linotype"/>
          <w:b/>
          <w:sz w:val="24"/>
          <w:szCs w:val="24"/>
        </w:rPr>
        <w:t xml:space="preserve"> la Dirección General Jurídica y de Verificación</w:t>
      </w:r>
      <w:r>
        <w:rPr>
          <w:rFonts w:ascii="Palatino Linotype" w:eastAsia="Palatino Linotype" w:hAnsi="Palatino Linotype" w:cs="Palatino Linotype"/>
          <w:sz w:val="24"/>
          <w:szCs w:val="24"/>
        </w:rPr>
        <w:t xml:space="preserve">, por conducto del </w:t>
      </w:r>
      <w:r>
        <w:rPr>
          <w:rFonts w:ascii="Palatino Linotype" w:eastAsia="Palatino Linotype" w:hAnsi="Palatino Linotype" w:cs="Palatino Linotype"/>
          <w:b/>
          <w:sz w:val="24"/>
          <w:szCs w:val="24"/>
        </w:rPr>
        <w:t>Titular de la Unidad de Transparencia</w:t>
      </w:r>
      <w:r>
        <w:rPr>
          <w:rFonts w:ascii="Palatino Linotype" w:eastAsia="Palatino Linotype" w:hAnsi="Palatino Linotype" w:cs="Palatino Linotype"/>
          <w:sz w:val="24"/>
          <w:szCs w:val="24"/>
        </w:rPr>
        <w:t xml:space="preserve">, se advierte que las ligas electrónicas versan sobre </w:t>
      </w:r>
      <w:r>
        <w:rPr>
          <w:rFonts w:ascii="Palatino Linotype" w:eastAsia="Palatino Linotype" w:hAnsi="Palatino Linotype" w:cs="Palatino Linotype"/>
          <w:sz w:val="24"/>
          <w:szCs w:val="24"/>
          <w:u w:val="single"/>
        </w:rPr>
        <w:t>la normatividad que los sujetos obligados deben utilizar para llevar a cabo la elaboración de versiones públicas cuando existan documentos que contengan información de carácter confidencial o reservada, susceptible de ser clasificada</w:t>
      </w:r>
      <w:r>
        <w:rPr>
          <w:rFonts w:ascii="Palatino Linotype" w:eastAsia="Palatino Linotype" w:hAnsi="Palatino Linotype" w:cs="Palatino Linotype"/>
          <w:sz w:val="24"/>
          <w:szCs w:val="24"/>
        </w:rPr>
        <w:t>.</w:t>
      </w:r>
    </w:p>
    <w:p w14:paraId="771530FD" w14:textId="77777777" w:rsidR="0054329D" w:rsidRDefault="0054329D">
      <w:pPr>
        <w:tabs>
          <w:tab w:val="left" w:pos="4962"/>
        </w:tabs>
        <w:spacing w:after="0" w:line="360" w:lineRule="auto"/>
        <w:jc w:val="both"/>
        <w:rPr>
          <w:rFonts w:ascii="Palatino Linotype" w:eastAsia="Palatino Linotype" w:hAnsi="Palatino Linotype" w:cs="Palatino Linotype"/>
          <w:sz w:val="24"/>
          <w:szCs w:val="24"/>
        </w:rPr>
      </w:pPr>
    </w:p>
    <w:p w14:paraId="03055DB7"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a fin de verificar que el particular tuvo efectivo acceso a las ligas electrónicas puestas a disposición en respuesta otorgada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este Órgano Garante se dio a la tarea de consultar cada una, localizando lo siguiente:</w:t>
      </w:r>
    </w:p>
    <w:p w14:paraId="7FE8D612" w14:textId="77777777" w:rsidR="0054329D" w:rsidRDefault="0054329D">
      <w:pPr>
        <w:tabs>
          <w:tab w:val="left" w:pos="4962"/>
        </w:tabs>
        <w:spacing w:after="0" w:line="360" w:lineRule="auto"/>
        <w:jc w:val="both"/>
        <w:rPr>
          <w:rFonts w:ascii="Palatino Linotype" w:eastAsia="Palatino Linotype" w:hAnsi="Palatino Linotype" w:cs="Palatino Linotype"/>
          <w:sz w:val="24"/>
          <w:szCs w:val="24"/>
        </w:rPr>
      </w:pPr>
    </w:p>
    <w:p w14:paraId="22697145" w14:textId="77777777" w:rsidR="0054329D" w:rsidRDefault="007C2D5C">
      <w:pPr>
        <w:numPr>
          <w:ilvl w:val="0"/>
          <w:numId w:val="2"/>
        </w:num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rPr>
      </w:pPr>
      <w:bookmarkStart w:id="20" w:name="_heading=h.4i7ojhp" w:colFirst="0" w:colLast="0"/>
      <w:bookmarkEnd w:id="20"/>
      <w:r>
        <w:rPr>
          <w:rFonts w:ascii="Palatino Linotype" w:eastAsia="Palatino Linotype" w:hAnsi="Palatino Linotype" w:cs="Palatino Linotype"/>
          <w:color w:val="000000"/>
        </w:rPr>
        <w:t xml:space="preserve">De la consulta para acceder a la liga electrónica que contiene la Ley General de Transparencia y Acceso a la Información Pública: </w:t>
      </w:r>
      <w:hyperlink r:id="rId24">
        <w:r>
          <w:rPr>
            <w:rFonts w:ascii="Palatino Linotype" w:eastAsia="Palatino Linotype" w:hAnsi="Palatino Linotype" w:cs="Palatino Linotype"/>
            <w:b/>
            <w:color w:val="0563C1"/>
            <w:u w:val="single"/>
          </w:rPr>
          <w:t>Ley General de Transparencia y Acceso a la Información Pública (infoem.org.mx)</w:t>
        </w:r>
      </w:hyperlink>
      <w:r>
        <w:rPr>
          <w:rFonts w:ascii="Palatino Linotype" w:eastAsia="Palatino Linotype" w:hAnsi="Palatino Linotype" w:cs="Palatino Linotype"/>
          <w:color w:val="000000"/>
          <w:u w:val="single"/>
        </w:rPr>
        <w:t xml:space="preserve"> </w:t>
      </w:r>
      <w:r>
        <w:rPr>
          <w:rFonts w:ascii="Palatino Linotype" w:eastAsia="Palatino Linotype" w:hAnsi="Palatino Linotype" w:cs="Palatino Linotype"/>
          <w:color w:val="000000"/>
        </w:rPr>
        <w:t>se obtuvo el siguiente resultado al copiar el vínculo en el navegador:</w:t>
      </w:r>
    </w:p>
    <w:p w14:paraId="422B30DE" w14:textId="77777777" w:rsidR="0054329D" w:rsidRDefault="007C2D5C">
      <w:pPr>
        <w:pBdr>
          <w:top w:val="nil"/>
          <w:left w:val="nil"/>
          <w:bottom w:val="nil"/>
          <w:right w:val="nil"/>
          <w:between w:val="nil"/>
        </w:pBdr>
        <w:spacing w:after="0" w:line="276" w:lineRule="auto"/>
        <w:ind w:left="360" w:right="-150"/>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lastRenderedPageBreak/>
        <w:drawing>
          <wp:inline distT="0" distB="0" distL="0" distR="0" wp14:anchorId="2BAB1D66" wp14:editId="5E93AF30">
            <wp:extent cx="4855915" cy="5010561"/>
            <wp:effectExtent l="3175" t="3175" r="3175" b="3175"/>
            <wp:docPr id="209806999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4855915" cy="5010561"/>
                    </a:xfrm>
                    <a:prstGeom prst="rect">
                      <a:avLst/>
                    </a:prstGeom>
                    <a:ln w="3175">
                      <a:solidFill>
                        <a:srgbClr val="000000"/>
                      </a:solidFill>
                      <a:prstDash val="solid"/>
                    </a:ln>
                  </pic:spPr>
                </pic:pic>
              </a:graphicData>
            </a:graphic>
          </wp:inline>
        </w:drawing>
      </w:r>
    </w:p>
    <w:p w14:paraId="0DFE9576" w14:textId="77777777" w:rsidR="0054329D" w:rsidRDefault="0054329D">
      <w:p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u w:val="single"/>
        </w:rPr>
      </w:pPr>
    </w:p>
    <w:p w14:paraId="7AB8770D" w14:textId="77777777" w:rsidR="0054329D" w:rsidRDefault="007C2D5C">
      <w:pPr>
        <w:numPr>
          <w:ilvl w:val="0"/>
          <w:numId w:val="2"/>
        </w:num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 consulta a la liga proporcionada para acceder a la Ley de Transparencia y Acceso a la Información Pública del Estado de México y Municipios: </w:t>
      </w:r>
      <w:hyperlink r:id="rId26">
        <w:r>
          <w:rPr>
            <w:rFonts w:ascii="Palatino Linotype" w:eastAsia="Palatino Linotype" w:hAnsi="Palatino Linotype" w:cs="Palatino Linotype"/>
            <w:b/>
            <w:color w:val="0563C1"/>
            <w:u w:val="single"/>
          </w:rPr>
          <w:t>https://www.infoem.org.mx/doc/publicaciones/LeyDeTransparenciaAccesoALaInformacionPublicaDelEstadoDeMexicoYMunicipios.pdf</w:t>
        </w:r>
      </w:hyperlink>
      <w:r>
        <w:rPr>
          <w:rFonts w:ascii="Palatino Linotype" w:eastAsia="Palatino Linotype" w:hAnsi="Palatino Linotype" w:cs="Palatino Linotype"/>
          <w:b/>
          <w:color w:val="0563C1"/>
          <w:u w:val="single"/>
        </w:rPr>
        <w:t xml:space="preserve"> </w:t>
      </w:r>
      <w:r>
        <w:rPr>
          <w:rFonts w:ascii="Palatino Linotype" w:eastAsia="Palatino Linotype" w:hAnsi="Palatino Linotype" w:cs="Palatino Linotype"/>
          <w:color w:val="000000"/>
        </w:rPr>
        <w:t>se obtuvo el siguiente resultado al copiar el vínculo en el navegador:</w:t>
      </w:r>
    </w:p>
    <w:p w14:paraId="11BC2DDA" w14:textId="77777777" w:rsidR="0054329D" w:rsidRDefault="0054329D">
      <w:p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u w:val="single"/>
        </w:rPr>
      </w:pPr>
    </w:p>
    <w:p w14:paraId="7B37CF0C" w14:textId="77777777" w:rsidR="0054329D" w:rsidRDefault="0054329D">
      <w:p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rPr>
      </w:pPr>
    </w:p>
    <w:p w14:paraId="270EEACF" w14:textId="77777777" w:rsidR="0054329D" w:rsidRDefault="007C2D5C">
      <w:pPr>
        <w:pBdr>
          <w:top w:val="nil"/>
          <w:left w:val="nil"/>
          <w:bottom w:val="nil"/>
          <w:right w:val="nil"/>
          <w:between w:val="nil"/>
        </w:pBdr>
        <w:spacing w:after="0" w:line="276" w:lineRule="auto"/>
        <w:ind w:left="360" w:right="-150"/>
        <w:jc w:val="center"/>
        <w:rPr>
          <w:rFonts w:ascii="Palatino Linotype" w:eastAsia="Palatino Linotype" w:hAnsi="Palatino Linotype" w:cs="Palatino Linotype"/>
          <w:color w:val="000000"/>
          <w:u w:val="single"/>
        </w:rPr>
      </w:pPr>
      <w:r>
        <w:rPr>
          <w:rFonts w:ascii="Palatino Linotype" w:eastAsia="Palatino Linotype" w:hAnsi="Palatino Linotype" w:cs="Palatino Linotype"/>
          <w:noProof/>
          <w:color w:val="000000"/>
          <w:u w:val="single"/>
        </w:rPr>
        <w:drawing>
          <wp:inline distT="0" distB="0" distL="0" distR="0" wp14:anchorId="62B4BC2C" wp14:editId="4AA3C7DD">
            <wp:extent cx="4577981" cy="4698192"/>
            <wp:effectExtent l="0" t="0" r="0" b="0"/>
            <wp:docPr id="209806999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4577981" cy="4698192"/>
                    </a:xfrm>
                    <a:prstGeom prst="rect">
                      <a:avLst/>
                    </a:prstGeom>
                    <a:ln/>
                  </pic:spPr>
                </pic:pic>
              </a:graphicData>
            </a:graphic>
          </wp:inline>
        </w:drawing>
      </w:r>
    </w:p>
    <w:p w14:paraId="0252CCF6" w14:textId="77777777" w:rsidR="0054329D" w:rsidRDefault="0054329D">
      <w:p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rPr>
      </w:pPr>
    </w:p>
    <w:p w14:paraId="3D8DB0F7" w14:textId="77777777" w:rsidR="0054329D" w:rsidRDefault="007C2D5C">
      <w:pPr>
        <w:numPr>
          <w:ilvl w:val="0"/>
          <w:numId w:val="2"/>
        </w:numPr>
        <w:pBdr>
          <w:top w:val="nil"/>
          <w:left w:val="nil"/>
          <w:bottom w:val="nil"/>
          <w:right w:val="nil"/>
          <w:between w:val="nil"/>
        </w:pBdr>
        <w:spacing w:after="0" w:line="276" w:lineRule="auto"/>
        <w:ind w:left="426"/>
        <w:jc w:val="both"/>
        <w:rPr>
          <w:rFonts w:ascii="Palatino Linotype" w:eastAsia="Palatino Linotype" w:hAnsi="Palatino Linotype" w:cs="Palatino Linotype"/>
          <w:b/>
          <w:color w:val="000000"/>
        </w:rPr>
      </w:pPr>
      <w:bookmarkStart w:id="21" w:name="_heading=h.2xcytpi" w:colFirst="0" w:colLast="0"/>
      <w:bookmarkEnd w:id="21"/>
      <w:r>
        <w:rPr>
          <w:rFonts w:ascii="Palatino Linotype" w:eastAsia="Palatino Linotype" w:hAnsi="Palatino Linotype" w:cs="Palatino Linotype"/>
          <w:color w:val="000000"/>
        </w:rPr>
        <w:t xml:space="preserve">De la consulta para acceder a la liga electrónica que contiene la Ley de Protección de Datos Personales en Posesión de Sujetos Obligados del Estado de México y Municipios: </w:t>
      </w:r>
      <w:hyperlink r:id="rId28">
        <w:r>
          <w:rPr>
            <w:rFonts w:ascii="Palatino Linotype" w:eastAsia="Palatino Linotype" w:hAnsi="Palatino Linotype" w:cs="Palatino Linotype"/>
            <w:b/>
            <w:color w:val="0563C1"/>
            <w:u w:val="single"/>
          </w:rPr>
          <w:t>https://www.infoem.org.mx/doc/publicaciones/LeyDeDatosPersonales.pdf</w:t>
        </w:r>
      </w:hyperlink>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se obtuvo el siguiente resultado al copiar el vínculo en el navegador:</w:t>
      </w:r>
    </w:p>
    <w:p w14:paraId="7FCAC507" w14:textId="77777777" w:rsidR="0054329D" w:rsidRDefault="0054329D">
      <w:p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rPr>
      </w:pPr>
    </w:p>
    <w:p w14:paraId="20F59176" w14:textId="77777777" w:rsidR="0054329D" w:rsidRDefault="007C2D5C">
      <w:pPr>
        <w:pBdr>
          <w:top w:val="nil"/>
          <w:left w:val="nil"/>
          <w:bottom w:val="nil"/>
          <w:right w:val="nil"/>
          <w:between w:val="nil"/>
        </w:pBdr>
        <w:spacing w:after="0" w:line="276" w:lineRule="auto"/>
        <w:ind w:right="-150"/>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08374800" wp14:editId="4BD1CBE4">
            <wp:extent cx="4756217" cy="4463636"/>
            <wp:effectExtent l="0" t="0" r="0" b="0"/>
            <wp:docPr id="209806999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4756217" cy="4463636"/>
                    </a:xfrm>
                    <a:prstGeom prst="rect">
                      <a:avLst/>
                    </a:prstGeom>
                    <a:ln/>
                  </pic:spPr>
                </pic:pic>
              </a:graphicData>
            </a:graphic>
          </wp:inline>
        </w:drawing>
      </w:r>
    </w:p>
    <w:p w14:paraId="07DA0F59" w14:textId="77777777" w:rsidR="0054329D" w:rsidRDefault="0054329D">
      <w:pPr>
        <w:pBdr>
          <w:top w:val="nil"/>
          <w:left w:val="nil"/>
          <w:bottom w:val="nil"/>
          <w:right w:val="nil"/>
          <w:between w:val="nil"/>
        </w:pBdr>
        <w:spacing w:after="0" w:line="276" w:lineRule="auto"/>
        <w:ind w:right="-150"/>
        <w:jc w:val="center"/>
        <w:rPr>
          <w:rFonts w:ascii="Palatino Linotype" w:eastAsia="Palatino Linotype" w:hAnsi="Palatino Linotype" w:cs="Palatino Linotype"/>
        </w:rPr>
      </w:pPr>
    </w:p>
    <w:p w14:paraId="538B74A4" w14:textId="77777777" w:rsidR="0054329D" w:rsidRDefault="007C2D5C">
      <w:pPr>
        <w:numPr>
          <w:ilvl w:val="0"/>
          <w:numId w:val="2"/>
        </w:numPr>
        <w:pBdr>
          <w:top w:val="nil"/>
          <w:left w:val="nil"/>
          <w:bottom w:val="nil"/>
          <w:right w:val="nil"/>
          <w:between w:val="nil"/>
        </w:pBdr>
        <w:spacing w:after="0" w:line="276" w:lineRule="auto"/>
        <w:ind w:left="426"/>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De la consulta para acceder a la liga electrónica que contiene los Lineamientos Generales de Protección de Datos Personales para el Sector Público: </w:t>
      </w:r>
      <w:hyperlink r:id="rId30">
        <w:r>
          <w:rPr>
            <w:rFonts w:ascii="Palatino Linotype" w:eastAsia="Palatino Linotype" w:hAnsi="Palatino Linotype" w:cs="Palatino Linotype"/>
            <w:b/>
            <w:color w:val="0563C1"/>
            <w:u w:val="single"/>
          </w:rPr>
          <w:t>https://www.infoem.org.mx/doc/normatividad/LI_Lineamientos_Generales_de_Proteccion_de_Datos_Personales_para_el_Sector_Publico.pdf</w:t>
        </w:r>
      </w:hyperlink>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se obtuvo el siguiente resultado al copiar el vínculo en el navegador:</w:t>
      </w:r>
    </w:p>
    <w:p w14:paraId="280690F8" w14:textId="77777777" w:rsidR="0054329D" w:rsidRDefault="0054329D">
      <w:pPr>
        <w:pBdr>
          <w:top w:val="nil"/>
          <w:left w:val="nil"/>
          <w:bottom w:val="nil"/>
          <w:right w:val="nil"/>
          <w:between w:val="nil"/>
        </w:pBdr>
        <w:spacing w:after="0" w:line="276" w:lineRule="auto"/>
        <w:ind w:left="426"/>
        <w:jc w:val="both"/>
        <w:rPr>
          <w:rFonts w:ascii="Palatino Linotype" w:eastAsia="Palatino Linotype" w:hAnsi="Palatino Linotype" w:cs="Palatino Linotype"/>
          <w:color w:val="000000"/>
        </w:rPr>
      </w:pPr>
    </w:p>
    <w:p w14:paraId="1EF44852" w14:textId="77777777" w:rsidR="0054329D" w:rsidRDefault="007C2D5C">
      <w:pPr>
        <w:pBdr>
          <w:top w:val="nil"/>
          <w:left w:val="nil"/>
          <w:bottom w:val="nil"/>
          <w:right w:val="nil"/>
          <w:between w:val="nil"/>
        </w:pBdr>
        <w:spacing w:after="0" w:line="276" w:lineRule="auto"/>
        <w:ind w:left="426"/>
        <w:jc w:val="center"/>
        <w:rPr>
          <w:rFonts w:ascii="Palatino Linotype" w:eastAsia="Palatino Linotype" w:hAnsi="Palatino Linotype" w:cs="Palatino Linotype"/>
          <w:b/>
          <w:color w:val="000000"/>
        </w:rPr>
      </w:pPr>
      <w:r>
        <w:rPr>
          <w:rFonts w:ascii="Palatino Linotype" w:eastAsia="Palatino Linotype" w:hAnsi="Palatino Linotype" w:cs="Palatino Linotype"/>
          <w:b/>
          <w:noProof/>
          <w:color w:val="000000"/>
        </w:rPr>
        <w:lastRenderedPageBreak/>
        <w:drawing>
          <wp:inline distT="0" distB="0" distL="0" distR="0" wp14:anchorId="4A87C3E4" wp14:editId="5572E867">
            <wp:extent cx="5257899" cy="4702751"/>
            <wp:effectExtent l="3175" t="3175" r="3175" b="3175"/>
            <wp:docPr id="209806999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a:srcRect/>
                    <a:stretch>
                      <a:fillRect/>
                    </a:stretch>
                  </pic:blipFill>
                  <pic:spPr>
                    <a:xfrm>
                      <a:off x="0" y="0"/>
                      <a:ext cx="5257899" cy="4702751"/>
                    </a:xfrm>
                    <a:prstGeom prst="rect">
                      <a:avLst/>
                    </a:prstGeom>
                    <a:ln w="3175">
                      <a:solidFill>
                        <a:srgbClr val="000000"/>
                      </a:solidFill>
                      <a:prstDash val="solid"/>
                    </a:ln>
                  </pic:spPr>
                </pic:pic>
              </a:graphicData>
            </a:graphic>
          </wp:inline>
        </w:drawing>
      </w:r>
    </w:p>
    <w:p w14:paraId="1C873D8B" w14:textId="77777777" w:rsidR="0054329D" w:rsidRDefault="0054329D">
      <w:pPr>
        <w:pBdr>
          <w:top w:val="nil"/>
          <w:left w:val="nil"/>
          <w:bottom w:val="nil"/>
          <w:right w:val="nil"/>
          <w:between w:val="nil"/>
        </w:pBdr>
        <w:spacing w:after="0" w:line="276" w:lineRule="auto"/>
        <w:ind w:left="426"/>
        <w:jc w:val="center"/>
        <w:rPr>
          <w:rFonts w:ascii="Palatino Linotype" w:eastAsia="Palatino Linotype" w:hAnsi="Palatino Linotype" w:cs="Palatino Linotype"/>
          <w:b/>
          <w:color w:val="000000"/>
        </w:rPr>
      </w:pPr>
    </w:p>
    <w:p w14:paraId="0B50C97A" w14:textId="77777777" w:rsidR="0054329D" w:rsidRDefault="007C2D5C">
      <w:pPr>
        <w:numPr>
          <w:ilvl w:val="0"/>
          <w:numId w:val="2"/>
        </w:numPr>
        <w:pBdr>
          <w:top w:val="nil"/>
          <w:left w:val="nil"/>
          <w:bottom w:val="nil"/>
          <w:right w:val="nil"/>
          <w:between w:val="nil"/>
        </w:pBdr>
        <w:spacing w:after="0" w:line="276" w:lineRule="auto"/>
        <w:ind w:left="426"/>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De la consulta para acceder a la liga electrónica que contiene Lineamientos Generales en Materia de Clasificación y Desclasificación de la Información, así como para la elaboración de versiones públicas: </w:t>
      </w:r>
      <w:hyperlink r:id="rId32">
        <w:r>
          <w:rPr>
            <w:rFonts w:ascii="Palatino Linotype" w:eastAsia="Palatino Linotype" w:hAnsi="Palatino Linotype" w:cs="Palatino Linotype"/>
            <w:b/>
            <w:color w:val="0563C1"/>
            <w:u w:val="single"/>
          </w:rPr>
          <w:t>https://www.infoem.org.mx/doc/normatividad/LI_Lineamientos_generales_en_materia_de_clasificacion_y_desclasificacion_de_la_informacion_asi_como_para_la_elaboracion_de_versiones_publicas.pdf</w:t>
        </w:r>
      </w:hyperlink>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se obtuvo el siguiente resultado al copiar el vínculo en el navegador:</w:t>
      </w:r>
    </w:p>
    <w:p w14:paraId="354E07D7" w14:textId="77777777" w:rsidR="0054329D" w:rsidRDefault="007C2D5C">
      <w:pPr>
        <w:pBdr>
          <w:top w:val="nil"/>
          <w:left w:val="nil"/>
          <w:bottom w:val="nil"/>
          <w:right w:val="nil"/>
          <w:between w:val="nil"/>
        </w:pBdr>
        <w:spacing w:after="0" w:line="276" w:lineRule="auto"/>
        <w:ind w:left="426"/>
        <w:jc w:val="both"/>
        <w:rPr>
          <w:rFonts w:ascii="Palatino Linotype" w:eastAsia="Palatino Linotype" w:hAnsi="Palatino Linotype" w:cs="Palatino Linotype"/>
          <w:b/>
          <w:color w:val="000000"/>
        </w:rPr>
      </w:pPr>
      <w:r>
        <w:rPr>
          <w:rFonts w:ascii="Palatino Linotype" w:eastAsia="Palatino Linotype" w:hAnsi="Palatino Linotype" w:cs="Palatino Linotype"/>
          <w:b/>
          <w:noProof/>
          <w:color w:val="000000"/>
        </w:rPr>
        <w:lastRenderedPageBreak/>
        <w:drawing>
          <wp:inline distT="0" distB="0" distL="0" distR="0" wp14:anchorId="344AAACF" wp14:editId="2F87968D">
            <wp:extent cx="5664491" cy="6178868"/>
            <wp:effectExtent l="3175" t="3175" r="3175" b="3175"/>
            <wp:docPr id="209806999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a:stretch>
                      <a:fillRect/>
                    </a:stretch>
                  </pic:blipFill>
                  <pic:spPr>
                    <a:xfrm>
                      <a:off x="0" y="0"/>
                      <a:ext cx="5664491" cy="6178868"/>
                    </a:xfrm>
                    <a:prstGeom prst="rect">
                      <a:avLst/>
                    </a:prstGeom>
                    <a:ln w="3175">
                      <a:solidFill>
                        <a:srgbClr val="000000"/>
                      </a:solidFill>
                      <a:prstDash val="solid"/>
                    </a:ln>
                  </pic:spPr>
                </pic:pic>
              </a:graphicData>
            </a:graphic>
          </wp:inline>
        </w:drawing>
      </w:r>
    </w:p>
    <w:p w14:paraId="0D8F97A1" w14:textId="77777777" w:rsidR="0054329D" w:rsidRDefault="0054329D">
      <w:p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rPr>
      </w:pPr>
    </w:p>
    <w:p w14:paraId="58B8AAC4" w14:textId="77777777" w:rsidR="0054329D" w:rsidRDefault="0054329D">
      <w:pPr>
        <w:pBdr>
          <w:top w:val="nil"/>
          <w:left w:val="nil"/>
          <w:bottom w:val="nil"/>
          <w:right w:val="nil"/>
          <w:between w:val="nil"/>
        </w:pBdr>
        <w:spacing w:after="0" w:line="276" w:lineRule="auto"/>
        <w:ind w:right="-150"/>
        <w:jc w:val="both"/>
        <w:rPr>
          <w:rFonts w:ascii="Palatino Linotype" w:eastAsia="Palatino Linotype" w:hAnsi="Palatino Linotype" w:cs="Palatino Linotype"/>
        </w:rPr>
      </w:pPr>
    </w:p>
    <w:p w14:paraId="3F7C12A5" w14:textId="77777777" w:rsidR="0054329D" w:rsidRDefault="007C2D5C">
      <w:pPr>
        <w:numPr>
          <w:ilvl w:val="0"/>
          <w:numId w:val="2"/>
        </w:num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rPr>
      </w:pPr>
      <w:bookmarkStart w:id="22" w:name="_heading=h.1ci93xb" w:colFirst="0" w:colLast="0"/>
      <w:bookmarkEnd w:id="22"/>
      <w:r>
        <w:rPr>
          <w:rFonts w:ascii="Palatino Linotype" w:eastAsia="Palatino Linotype" w:hAnsi="Palatino Linotype" w:cs="Palatino Linotype"/>
          <w:color w:val="000000"/>
        </w:rPr>
        <w:t xml:space="preserve">De la consulta para acceder a la liga electrónica que contiene los Lineamientos Técnicos Generales para la Publicación, Homologación y Estandarización de la Información de las Obligaciones Establecidas en el Titulo Quinto y en la Fracción IV del Artículo 31 de la Ley General de Transparencia y Acceso a la Información Pública, Que deben de Difundir los Sujetos Obligados en los Portales de Internet y en la Plataforma Nacional de Transparencia, en lo Referente a la Fracción II del Artículo 73 de la Ley General de Transparencia y Acceso a la Información Pública:  </w:t>
      </w:r>
      <w:hyperlink r:id="rId34">
        <w:r>
          <w:rPr>
            <w:rFonts w:ascii="Palatino Linotype" w:eastAsia="Palatino Linotype" w:hAnsi="Palatino Linotype" w:cs="Palatino Linotype"/>
            <w:b/>
            <w:color w:val="0563C1"/>
            <w:u w:val="single"/>
          </w:rPr>
          <w:t>https://www.dof.gob.mx/2021/INAI/CONAIP-SNT-ACUERDO-ORD02-09-07-2021-04.pdf</w:t>
        </w:r>
      </w:hyperlink>
      <w:r>
        <w:rPr>
          <w:rFonts w:ascii="Palatino Linotype" w:eastAsia="Palatino Linotype" w:hAnsi="Palatino Linotype" w:cs="Palatino Linotype"/>
          <w:color w:val="000000"/>
        </w:rPr>
        <w:t xml:space="preserve"> se obtuvo el siguiente resultado al copiar el vínculo en el navegador:</w:t>
      </w:r>
    </w:p>
    <w:p w14:paraId="15E41DEF" w14:textId="77777777" w:rsidR="0054329D" w:rsidRDefault="0054329D">
      <w:p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rPr>
      </w:pPr>
    </w:p>
    <w:p w14:paraId="6B5D1311" w14:textId="77777777" w:rsidR="0054329D" w:rsidRDefault="007C2D5C">
      <w:pPr>
        <w:pBdr>
          <w:top w:val="nil"/>
          <w:left w:val="nil"/>
          <w:bottom w:val="nil"/>
          <w:right w:val="nil"/>
          <w:between w:val="nil"/>
        </w:pBdr>
        <w:spacing w:after="0" w:line="276" w:lineRule="auto"/>
        <w:ind w:left="360" w:right="-150"/>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7FA76068" wp14:editId="532A7708">
            <wp:extent cx="4353302" cy="4112501"/>
            <wp:effectExtent l="3175" t="3175" r="3175" b="3175"/>
            <wp:docPr id="20980699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4353302" cy="4112501"/>
                    </a:xfrm>
                    <a:prstGeom prst="rect">
                      <a:avLst/>
                    </a:prstGeom>
                    <a:ln w="3175">
                      <a:solidFill>
                        <a:srgbClr val="000000"/>
                      </a:solidFill>
                      <a:prstDash val="solid"/>
                    </a:ln>
                  </pic:spPr>
                </pic:pic>
              </a:graphicData>
            </a:graphic>
          </wp:inline>
        </w:drawing>
      </w:r>
    </w:p>
    <w:p w14:paraId="6CB16AAF" w14:textId="77777777" w:rsidR="0054329D" w:rsidRDefault="007C2D5C">
      <w:pPr>
        <w:pBdr>
          <w:top w:val="nil"/>
          <w:left w:val="nil"/>
          <w:bottom w:val="nil"/>
          <w:right w:val="nil"/>
          <w:between w:val="nil"/>
        </w:pBdr>
        <w:spacing w:after="0" w:line="276" w:lineRule="auto"/>
        <w:ind w:left="360" w:right="-150"/>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w:t>
      </w:r>
    </w:p>
    <w:p w14:paraId="6D56B0FC" w14:textId="77777777" w:rsidR="0054329D" w:rsidRDefault="007C2D5C">
      <w:pPr>
        <w:pBdr>
          <w:top w:val="nil"/>
          <w:left w:val="nil"/>
          <w:bottom w:val="nil"/>
          <w:right w:val="nil"/>
          <w:between w:val="nil"/>
        </w:pBdr>
        <w:spacing w:after="0" w:line="276" w:lineRule="auto"/>
        <w:ind w:left="360" w:right="-150"/>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1F25547C" wp14:editId="7626E612">
            <wp:extent cx="4416576" cy="4196548"/>
            <wp:effectExtent l="3175" t="3175" r="3175" b="3175"/>
            <wp:docPr id="209806997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6"/>
                    <a:srcRect/>
                    <a:stretch>
                      <a:fillRect/>
                    </a:stretch>
                  </pic:blipFill>
                  <pic:spPr>
                    <a:xfrm>
                      <a:off x="0" y="0"/>
                      <a:ext cx="4416576" cy="4196548"/>
                    </a:xfrm>
                    <a:prstGeom prst="rect">
                      <a:avLst/>
                    </a:prstGeom>
                    <a:ln w="3175">
                      <a:solidFill>
                        <a:srgbClr val="000000"/>
                      </a:solidFill>
                      <a:prstDash val="solid"/>
                    </a:ln>
                  </pic:spPr>
                </pic:pic>
              </a:graphicData>
            </a:graphic>
          </wp:inline>
        </w:drawing>
      </w:r>
    </w:p>
    <w:p w14:paraId="31D0A5AA" w14:textId="77777777" w:rsidR="0054329D" w:rsidRDefault="0054329D">
      <w:p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rPr>
      </w:pPr>
    </w:p>
    <w:p w14:paraId="2C7036D0" w14:textId="77777777" w:rsidR="0054329D" w:rsidRDefault="0054329D">
      <w:p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rPr>
      </w:pPr>
    </w:p>
    <w:p w14:paraId="67F38B0C" w14:textId="77777777" w:rsidR="0054329D" w:rsidRDefault="007C2D5C">
      <w:pPr>
        <w:numPr>
          <w:ilvl w:val="0"/>
          <w:numId w:val="2"/>
        </w:num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rPr>
      </w:pPr>
      <w:bookmarkStart w:id="23" w:name="_heading=h.3whwml4" w:colFirst="0" w:colLast="0"/>
      <w:bookmarkEnd w:id="23"/>
      <w:r>
        <w:rPr>
          <w:rFonts w:ascii="Palatino Linotype" w:eastAsia="Palatino Linotype" w:hAnsi="Palatino Linotype" w:cs="Palatino Linotype"/>
          <w:color w:val="000000"/>
        </w:rPr>
        <w:t>De la consulta a la liga electrónica para ingresar a los Criterios Orientadores Derivados de las Resoluciones Emitidas del INFOEM. (</w:t>
      </w:r>
      <w:r>
        <w:rPr>
          <w:rFonts w:ascii="Palatino Linotype" w:eastAsia="Palatino Linotype" w:hAnsi="Palatino Linotype" w:cs="Palatino Linotype"/>
          <w:color w:val="000000"/>
          <w:u w:val="single"/>
        </w:rPr>
        <w:t>https://ipomex.org.mx/ip03/lgt/indice/INFOEM/art_97_iii_bl.web?token=03AFY_a8Xr|Kwe6EjTBUM1qwBYpXDEcDz178G68pNtuxqtarb|31VsdY5LEwRSO0scZqPkMH0GkL738uOWmWLfpNvBCyzhOw0MRmfdjWAWwm160UQfCq|E9CXp6A9AAmLnGZ1uUFZHb1]rzdFEViXqtZgPHEn3H12Ts1L83ah1w|IS040XuRAejZ0yONkH28jFECAigkniPBUKvkIQe6HSFRitSz|myb23iczISYVrAZz6vNrrq4bKrotUaYY18RXALDN3zGbuPEdIVmgU7Gzv5FCuT2RtUq8ZDMP4honPipah9tV|1e56WCNn3XsMUo2iGmX2zYv9et7K7HB70SU4zXFcHW</w:t>
      </w:r>
      <w:r>
        <w:rPr>
          <w:rFonts w:ascii="Palatino Linotype" w:eastAsia="Palatino Linotype" w:hAnsi="Palatino Linotype" w:cs="Palatino Linotype"/>
          <w:color w:val="000000"/>
          <w:u w:val="single"/>
        </w:rPr>
        <w:lastRenderedPageBreak/>
        <w:t>Qg3nRaHm4ReWyeTrr964dg8XXRTatODPmqQcZKFd4TFNmnykXqp16MxdpE8aX1QT90UDCVQ9tft3dLc0f9MdG2OfeMb1AjLO6iOzm|Jbp5TUiruANGE34aYrz6AodiAXGz6ZBIpCuIDwN-9wu IbbmLr6-oRhk2</w:t>
      </w:r>
      <w:r>
        <w:rPr>
          <w:rFonts w:ascii="Palatino Linotype" w:eastAsia="Palatino Linotype" w:hAnsi="Palatino Linotype" w:cs="Palatino Linotype"/>
          <w:color w:val="000000"/>
        </w:rPr>
        <w:t>) se obtuvo el siguiente resultado al copiar el vínculo en el navegador:</w:t>
      </w:r>
    </w:p>
    <w:p w14:paraId="052A4220" w14:textId="77777777" w:rsidR="0054329D" w:rsidRDefault="0054329D">
      <w:p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rPr>
      </w:pPr>
    </w:p>
    <w:p w14:paraId="41377548" w14:textId="77777777" w:rsidR="0054329D" w:rsidRDefault="007C2D5C">
      <w:pPr>
        <w:pBdr>
          <w:top w:val="nil"/>
          <w:left w:val="nil"/>
          <w:bottom w:val="nil"/>
          <w:right w:val="nil"/>
          <w:between w:val="nil"/>
        </w:pBdr>
        <w:spacing w:after="0" w:line="276" w:lineRule="auto"/>
        <w:ind w:left="360" w:right="-150"/>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4D553640" wp14:editId="590F1CE0">
            <wp:extent cx="4686264" cy="3710711"/>
            <wp:effectExtent l="6350" t="6350" r="6350" b="6350"/>
            <wp:docPr id="20980699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4686264" cy="3710711"/>
                    </a:xfrm>
                    <a:prstGeom prst="rect">
                      <a:avLst/>
                    </a:prstGeom>
                    <a:ln w="6350">
                      <a:solidFill>
                        <a:srgbClr val="000000"/>
                      </a:solidFill>
                      <a:prstDash val="solid"/>
                    </a:ln>
                  </pic:spPr>
                </pic:pic>
              </a:graphicData>
            </a:graphic>
          </wp:inline>
        </w:drawing>
      </w:r>
    </w:p>
    <w:p w14:paraId="079B12B7" w14:textId="77777777" w:rsidR="0054329D" w:rsidRDefault="0054329D">
      <w:p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rPr>
      </w:pPr>
    </w:p>
    <w:p w14:paraId="6329BBDD" w14:textId="77777777" w:rsidR="0054329D" w:rsidRDefault="0054329D">
      <w:pPr>
        <w:pBdr>
          <w:top w:val="nil"/>
          <w:left w:val="nil"/>
          <w:bottom w:val="nil"/>
          <w:right w:val="nil"/>
          <w:between w:val="nil"/>
        </w:pBdr>
        <w:spacing w:after="0"/>
        <w:ind w:left="720"/>
        <w:rPr>
          <w:rFonts w:ascii="Palatino Linotype" w:eastAsia="Palatino Linotype" w:hAnsi="Palatino Linotype" w:cs="Palatino Linotype"/>
          <w:color w:val="000000"/>
        </w:rPr>
      </w:pPr>
    </w:p>
    <w:p w14:paraId="5318EEC4" w14:textId="77777777" w:rsidR="0054329D" w:rsidRDefault="007C2D5C">
      <w:pPr>
        <w:numPr>
          <w:ilvl w:val="0"/>
          <w:numId w:val="2"/>
        </w:num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rPr>
      </w:pPr>
      <w:bookmarkStart w:id="24" w:name="_heading=h.2bn6wsx" w:colFirst="0" w:colLast="0"/>
      <w:bookmarkEnd w:id="24"/>
      <w:r>
        <w:rPr>
          <w:rFonts w:ascii="Palatino Linotype" w:eastAsia="Palatino Linotype" w:hAnsi="Palatino Linotype" w:cs="Palatino Linotype"/>
          <w:color w:val="000000"/>
        </w:rPr>
        <w:t>De la consulta a la liga electrónica para ingresar a los Criterios de Interpretación INAI (</w:t>
      </w:r>
      <w:r>
        <w:rPr>
          <w:rFonts w:ascii="Palatino Linotype" w:eastAsia="Palatino Linotype" w:hAnsi="Palatino Linotype" w:cs="Palatino Linotype"/>
          <w:color w:val="000000"/>
          <w:u w:val="single"/>
        </w:rPr>
        <w:t>https://home.inai.org.mx/?page id=5994&amp;q=Criterios)</w:t>
      </w:r>
      <w:r>
        <w:rPr>
          <w:rFonts w:ascii="Palatino Linotype" w:eastAsia="Palatino Linotype" w:hAnsi="Palatino Linotype" w:cs="Palatino Linotype"/>
          <w:color w:val="000000"/>
        </w:rPr>
        <w:t xml:space="preserve"> se obtuvo el siguiente resultado al copiar el vínculo en el navegador:</w:t>
      </w:r>
    </w:p>
    <w:p w14:paraId="7E8CBB1A" w14:textId="77777777" w:rsidR="0054329D" w:rsidRDefault="0054329D">
      <w:p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rPr>
      </w:pPr>
    </w:p>
    <w:p w14:paraId="77F2D5D8" w14:textId="77777777" w:rsidR="0054329D" w:rsidRDefault="007C2D5C">
      <w:pPr>
        <w:pBdr>
          <w:top w:val="nil"/>
          <w:left w:val="nil"/>
          <w:bottom w:val="nil"/>
          <w:right w:val="nil"/>
          <w:between w:val="nil"/>
        </w:pBdr>
        <w:spacing w:after="0" w:line="276" w:lineRule="auto"/>
        <w:ind w:left="360" w:right="-150"/>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lastRenderedPageBreak/>
        <w:drawing>
          <wp:inline distT="0" distB="0" distL="0" distR="0" wp14:anchorId="33D39F3B" wp14:editId="58907CD0">
            <wp:extent cx="4735507" cy="5586206"/>
            <wp:effectExtent l="3175" t="3175" r="3175" b="3175"/>
            <wp:docPr id="20980699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a:stretch>
                      <a:fillRect/>
                    </a:stretch>
                  </pic:blipFill>
                  <pic:spPr>
                    <a:xfrm>
                      <a:off x="0" y="0"/>
                      <a:ext cx="4735507" cy="5586206"/>
                    </a:xfrm>
                    <a:prstGeom prst="rect">
                      <a:avLst/>
                    </a:prstGeom>
                    <a:ln w="3175">
                      <a:solidFill>
                        <a:srgbClr val="000000"/>
                      </a:solidFill>
                      <a:prstDash val="solid"/>
                    </a:ln>
                  </pic:spPr>
                </pic:pic>
              </a:graphicData>
            </a:graphic>
          </wp:inline>
        </w:drawing>
      </w:r>
    </w:p>
    <w:p w14:paraId="3A02B3FC" w14:textId="77777777" w:rsidR="0054329D" w:rsidRDefault="0054329D">
      <w:pPr>
        <w:pBdr>
          <w:top w:val="nil"/>
          <w:left w:val="nil"/>
          <w:bottom w:val="nil"/>
          <w:right w:val="nil"/>
          <w:between w:val="nil"/>
        </w:pBdr>
        <w:spacing w:after="0"/>
        <w:ind w:left="720"/>
        <w:rPr>
          <w:rFonts w:ascii="Palatino Linotype" w:eastAsia="Palatino Linotype" w:hAnsi="Palatino Linotype" w:cs="Palatino Linotype"/>
          <w:color w:val="000000"/>
        </w:rPr>
      </w:pPr>
    </w:p>
    <w:p w14:paraId="14BF8F69" w14:textId="77777777" w:rsidR="0054329D" w:rsidRDefault="007C2D5C">
      <w:pPr>
        <w:numPr>
          <w:ilvl w:val="0"/>
          <w:numId w:val="2"/>
        </w:num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u w:val="single"/>
        </w:rPr>
      </w:pPr>
      <w:r>
        <w:rPr>
          <w:rFonts w:ascii="Palatino Linotype" w:eastAsia="Palatino Linotype" w:hAnsi="Palatino Linotype" w:cs="Palatino Linotype"/>
          <w:color w:val="000000"/>
        </w:rPr>
        <w:t xml:space="preserve">De la consulta a la liga electrónica para ingresar al Criterio 002 10 emitido por el Instituto de Transparencia, Acceso a la Información Pública y Protección de Datos Personales del Estado de México y Municipios, denominado Versiones Públicas: </w:t>
      </w:r>
      <w:r>
        <w:rPr>
          <w:rFonts w:ascii="Palatino Linotype" w:eastAsia="Palatino Linotype" w:hAnsi="Palatino Linotype" w:cs="Palatino Linotype"/>
          <w:color w:val="000000"/>
          <w:u w:val="single"/>
        </w:rPr>
        <w:t xml:space="preserve">002 10 Criterio VERSIONES </w:t>
      </w:r>
      <w:r>
        <w:rPr>
          <w:rFonts w:ascii="Palatino Linotype" w:eastAsia="Palatino Linotype" w:hAnsi="Palatino Linotype" w:cs="Palatino Linotype"/>
          <w:color w:val="000000"/>
          <w:u w:val="single"/>
        </w:rPr>
        <w:lastRenderedPageBreak/>
        <w:t>PUBLICAS PARA SU VALIDEZ SE DEBERAN GENER AR CONFORME A LAS FORMALIDADES.docx (live.com)</w:t>
      </w:r>
      <w:r>
        <w:rPr>
          <w:rFonts w:ascii="Palatino Linotype" w:eastAsia="Palatino Linotype" w:hAnsi="Palatino Linotype" w:cs="Palatino Linotype"/>
          <w:color w:val="000000"/>
        </w:rPr>
        <w:t xml:space="preserve"> se obtuvo el siguiente resultado al copiar el vínculo en el navegador:</w:t>
      </w:r>
    </w:p>
    <w:p w14:paraId="13ED5FDA" w14:textId="77777777" w:rsidR="0054329D" w:rsidRDefault="0054329D">
      <w:pPr>
        <w:pBdr>
          <w:top w:val="nil"/>
          <w:left w:val="nil"/>
          <w:bottom w:val="nil"/>
          <w:right w:val="nil"/>
          <w:between w:val="nil"/>
        </w:pBdr>
        <w:spacing w:after="0" w:line="276" w:lineRule="auto"/>
        <w:ind w:left="360" w:right="-150"/>
        <w:jc w:val="both"/>
        <w:rPr>
          <w:rFonts w:ascii="Palatino Linotype" w:eastAsia="Palatino Linotype" w:hAnsi="Palatino Linotype" w:cs="Palatino Linotype"/>
          <w:color w:val="000000"/>
        </w:rPr>
      </w:pPr>
    </w:p>
    <w:p w14:paraId="1482E439" w14:textId="77777777" w:rsidR="0054329D" w:rsidRDefault="007C2D5C">
      <w:pPr>
        <w:pBdr>
          <w:top w:val="nil"/>
          <w:left w:val="nil"/>
          <w:bottom w:val="nil"/>
          <w:right w:val="nil"/>
          <w:between w:val="nil"/>
        </w:pBdr>
        <w:spacing w:after="0" w:line="276" w:lineRule="auto"/>
        <w:ind w:left="360" w:right="-150"/>
        <w:jc w:val="center"/>
        <w:rPr>
          <w:rFonts w:ascii="Palatino Linotype" w:eastAsia="Palatino Linotype" w:hAnsi="Palatino Linotype" w:cs="Palatino Linotype"/>
          <w:color w:val="000000"/>
          <w:u w:val="single"/>
        </w:rPr>
      </w:pPr>
      <w:r>
        <w:rPr>
          <w:rFonts w:ascii="Palatino Linotype" w:eastAsia="Palatino Linotype" w:hAnsi="Palatino Linotype" w:cs="Palatino Linotype"/>
          <w:noProof/>
          <w:color w:val="000000"/>
          <w:u w:val="single"/>
        </w:rPr>
        <w:drawing>
          <wp:inline distT="0" distB="0" distL="0" distR="0" wp14:anchorId="3A11245C" wp14:editId="3EACAD5F">
            <wp:extent cx="4442081" cy="4837683"/>
            <wp:effectExtent l="3175" t="3175" r="3175" b="3175"/>
            <wp:docPr id="209806997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a:stretch>
                      <a:fillRect/>
                    </a:stretch>
                  </pic:blipFill>
                  <pic:spPr>
                    <a:xfrm>
                      <a:off x="0" y="0"/>
                      <a:ext cx="4442081" cy="4837683"/>
                    </a:xfrm>
                    <a:prstGeom prst="rect">
                      <a:avLst/>
                    </a:prstGeom>
                    <a:ln w="3175">
                      <a:solidFill>
                        <a:srgbClr val="000000"/>
                      </a:solidFill>
                      <a:prstDash val="solid"/>
                    </a:ln>
                  </pic:spPr>
                </pic:pic>
              </a:graphicData>
            </a:graphic>
          </wp:inline>
        </w:drawing>
      </w:r>
    </w:p>
    <w:p w14:paraId="7C7A10C1" w14:textId="77777777" w:rsidR="0054329D" w:rsidRDefault="0054329D">
      <w:pPr>
        <w:tabs>
          <w:tab w:val="left" w:pos="4962"/>
        </w:tabs>
        <w:spacing w:after="0" w:line="360" w:lineRule="auto"/>
        <w:jc w:val="both"/>
        <w:rPr>
          <w:rFonts w:ascii="Palatino Linotype" w:eastAsia="Palatino Linotype" w:hAnsi="Palatino Linotype" w:cs="Palatino Linotype"/>
          <w:sz w:val="24"/>
          <w:szCs w:val="24"/>
        </w:rPr>
      </w:pPr>
    </w:p>
    <w:p w14:paraId="71E1C933"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Como se desprende de lo anterior, contrario a los motivos de inconformidad manifestados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las ligas electrónicas proporcionadas en respuesta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dan acceso a la normatividad que se indica, a excepción de las relativas para consultar los Criterios Orientadores Derivados de las Resoluciones Emitidas del INFOEM y los Criterios de Interpretación del INAI, pues como se desprende de las anteriores digitalizaciones, respecto de los primeros criterios, al </w:t>
      </w:r>
      <w:proofErr w:type="spellStart"/>
      <w:r>
        <w:rPr>
          <w:rFonts w:ascii="Palatino Linotype" w:eastAsia="Palatino Linotype" w:hAnsi="Palatino Linotype" w:cs="Palatino Linotype"/>
          <w:sz w:val="24"/>
          <w:szCs w:val="24"/>
        </w:rPr>
        <w:t>accesar</w:t>
      </w:r>
      <w:proofErr w:type="spellEnd"/>
      <w:r>
        <w:rPr>
          <w:rFonts w:ascii="Palatino Linotype" w:eastAsia="Palatino Linotype" w:hAnsi="Palatino Linotype" w:cs="Palatino Linotype"/>
          <w:sz w:val="24"/>
          <w:szCs w:val="24"/>
        </w:rPr>
        <w:t xml:space="preserve"> al link nos arroja como resultado el directorio de los sitios electrónicos de sujetos obligados  a la transparencia, y en el caso de los segundos criterios, al ingresar al </w:t>
      </w:r>
      <w:proofErr w:type="spellStart"/>
      <w:r>
        <w:rPr>
          <w:rFonts w:ascii="Palatino Linotype" w:eastAsia="Palatino Linotype" w:hAnsi="Palatino Linotype" w:cs="Palatino Linotype"/>
          <w:sz w:val="24"/>
          <w:szCs w:val="24"/>
        </w:rPr>
        <w:t>vinculo</w:t>
      </w:r>
      <w:proofErr w:type="spellEnd"/>
      <w:r>
        <w:rPr>
          <w:rFonts w:ascii="Palatino Linotype" w:eastAsia="Palatino Linotype" w:hAnsi="Palatino Linotype" w:cs="Palatino Linotype"/>
          <w:sz w:val="24"/>
          <w:szCs w:val="24"/>
        </w:rPr>
        <w:t xml:space="preserve"> nos arroja como primer resultado la página oficial del Instituto Nacional Transparencia, Acceso a la Información y Protección de Datos Personales; por lo que, a consideración de este Órgano Garante, no se colma en su totalidad la solicitud de información.</w:t>
      </w:r>
    </w:p>
    <w:p w14:paraId="7DF0AAED" w14:textId="77777777" w:rsidR="0054329D" w:rsidRDefault="0054329D">
      <w:pPr>
        <w:tabs>
          <w:tab w:val="left" w:pos="4962"/>
        </w:tabs>
        <w:spacing w:after="0" w:line="360" w:lineRule="auto"/>
        <w:jc w:val="both"/>
        <w:rPr>
          <w:rFonts w:ascii="Palatino Linotype" w:eastAsia="Palatino Linotype" w:hAnsi="Palatino Linotype" w:cs="Palatino Linotype"/>
          <w:sz w:val="24"/>
          <w:szCs w:val="24"/>
        </w:rPr>
      </w:pPr>
    </w:p>
    <w:p w14:paraId="14DA3A9D"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Se afirma lo anterior, pues como se pudo apreciar, dichas ligas electrónicas, no redirigen directamente a la información requerida por el particular.</w:t>
      </w:r>
    </w:p>
    <w:p w14:paraId="13075DE6" w14:textId="77777777" w:rsidR="0054329D" w:rsidRDefault="0054329D">
      <w:pPr>
        <w:tabs>
          <w:tab w:val="left" w:pos="4962"/>
        </w:tabs>
        <w:spacing w:after="0" w:line="360" w:lineRule="auto"/>
        <w:jc w:val="both"/>
        <w:rPr>
          <w:rFonts w:ascii="Palatino Linotype" w:eastAsia="Palatino Linotype" w:hAnsi="Palatino Linotype" w:cs="Palatino Linotype"/>
          <w:sz w:val="24"/>
          <w:szCs w:val="24"/>
        </w:rPr>
      </w:pPr>
    </w:p>
    <w:p w14:paraId="1CA9F143"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modo que, es importante traer a colación que el artículo 161</w:t>
      </w:r>
      <w:r>
        <w:rPr>
          <w:rFonts w:ascii="Palatino Linotype" w:eastAsia="Palatino Linotype" w:hAnsi="Palatino Linotype" w:cs="Palatino Linotype"/>
          <w:sz w:val="24"/>
          <w:szCs w:val="24"/>
          <w:vertAlign w:val="superscript"/>
        </w:rPr>
        <w:t xml:space="preserve"> </w:t>
      </w:r>
      <w:r>
        <w:rPr>
          <w:rFonts w:ascii="Palatino Linotype" w:eastAsia="Palatino Linotype" w:hAnsi="Palatino Linotype" w:cs="Palatino Linotype"/>
          <w:sz w:val="24"/>
          <w:szCs w:val="24"/>
        </w:rPr>
        <w:t>de la Ley de Transparencia y Acceso a la Información Pública del Estado de México y Municipios</w:t>
      </w:r>
      <w:r>
        <w:rPr>
          <w:rFonts w:ascii="Palatino Linotype" w:eastAsia="Palatino Linotype" w:hAnsi="Palatino Linotype" w:cs="Palatino Linotype"/>
          <w:i/>
          <w:sz w:val="24"/>
          <w:szCs w:val="24"/>
        </w:rPr>
        <w:t xml:space="preserve"> </w:t>
      </w:r>
      <w:r>
        <w:rPr>
          <w:rFonts w:ascii="Palatino Linotype" w:eastAsia="Palatino Linotype" w:hAnsi="Palatino Linotype" w:cs="Palatino Linotype"/>
          <w:sz w:val="24"/>
          <w:szCs w:val="24"/>
        </w:rPr>
        <w:t xml:space="preserve">establece las características que debe tener la información desde el momento de su generación, publicación y entrega; de igual manera se contempla el procedimiento a seguir por el sujeto obligado para informar a los solicitantes sobre información que se </w:t>
      </w:r>
      <w:r>
        <w:rPr>
          <w:rFonts w:ascii="Palatino Linotype" w:eastAsia="Palatino Linotype" w:hAnsi="Palatino Linotype" w:cs="Palatino Linotype"/>
          <w:sz w:val="24"/>
          <w:szCs w:val="24"/>
        </w:rPr>
        <w:lastRenderedPageBreak/>
        <w:t xml:space="preserve">encuentre disponible en libros, compendios, formatos electrónicos, entre otros, haciéndole saber al solicitante como podrá consultar, reproducir o adquirir la información, </w:t>
      </w:r>
      <w:r>
        <w:rPr>
          <w:rFonts w:ascii="Palatino Linotype" w:eastAsia="Palatino Linotype" w:hAnsi="Palatino Linotype" w:cs="Palatino Linotype"/>
          <w:b/>
          <w:sz w:val="24"/>
          <w:szCs w:val="24"/>
          <w:u w:val="single"/>
        </w:rPr>
        <w:t>en un plazo no mayor a cinco días hábiles</w:t>
      </w:r>
      <w:r>
        <w:rPr>
          <w:rFonts w:ascii="Palatino Linotype" w:eastAsia="Palatino Linotype" w:hAnsi="Palatino Linotype" w:cs="Palatino Linotype"/>
          <w:sz w:val="24"/>
          <w:szCs w:val="24"/>
        </w:rPr>
        <w:t>, comprendiendo:</w:t>
      </w:r>
    </w:p>
    <w:p w14:paraId="3E994D5D" w14:textId="77777777" w:rsidR="0054329D" w:rsidRDefault="0054329D">
      <w:pPr>
        <w:tabs>
          <w:tab w:val="left" w:pos="4962"/>
        </w:tabs>
        <w:spacing w:after="0" w:line="360" w:lineRule="auto"/>
        <w:jc w:val="both"/>
        <w:rPr>
          <w:rFonts w:ascii="Palatino Linotype" w:eastAsia="Palatino Linotype" w:hAnsi="Palatino Linotype" w:cs="Palatino Linotype"/>
          <w:sz w:val="24"/>
          <w:szCs w:val="24"/>
        </w:rPr>
      </w:pPr>
    </w:p>
    <w:p w14:paraId="1A39C134"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 La fuente</w:t>
      </w:r>
    </w:p>
    <w:p w14:paraId="34B5A841"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b) El lugar y</w:t>
      </w:r>
    </w:p>
    <w:p w14:paraId="3804A094"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 La forma</w:t>
      </w:r>
    </w:p>
    <w:p w14:paraId="249114E0" w14:textId="77777777" w:rsidR="0054329D" w:rsidRDefault="0054329D">
      <w:pPr>
        <w:tabs>
          <w:tab w:val="left" w:pos="4962"/>
        </w:tabs>
        <w:spacing w:after="0" w:line="360" w:lineRule="auto"/>
        <w:jc w:val="both"/>
        <w:rPr>
          <w:rFonts w:ascii="Palatino Linotype" w:eastAsia="Palatino Linotype" w:hAnsi="Palatino Linotype" w:cs="Palatino Linotype"/>
          <w:sz w:val="24"/>
          <w:szCs w:val="24"/>
        </w:rPr>
      </w:pPr>
    </w:p>
    <w:p w14:paraId="6CDA974F"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Asimismo, se establece que la fuente de la información deberá ser:</w:t>
      </w:r>
    </w:p>
    <w:p w14:paraId="18EBABE9" w14:textId="77777777" w:rsidR="0054329D" w:rsidRDefault="0054329D">
      <w:pPr>
        <w:tabs>
          <w:tab w:val="left" w:pos="4962"/>
        </w:tabs>
        <w:spacing w:after="0" w:line="360" w:lineRule="auto"/>
        <w:jc w:val="both"/>
        <w:rPr>
          <w:rFonts w:ascii="Palatino Linotype" w:eastAsia="Palatino Linotype" w:hAnsi="Palatino Linotype" w:cs="Palatino Linotype"/>
          <w:sz w:val="24"/>
          <w:szCs w:val="24"/>
        </w:rPr>
      </w:pPr>
    </w:p>
    <w:p w14:paraId="242EC703"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 Precisa</w:t>
      </w:r>
    </w:p>
    <w:p w14:paraId="31958EDD"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b) Concreta</w:t>
      </w:r>
    </w:p>
    <w:p w14:paraId="519686C8" w14:textId="77777777" w:rsidR="0054329D" w:rsidRDefault="007C2D5C">
      <w:pPr>
        <w:tabs>
          <w:tab w:val="left" w:pos="4962"/>
        </w:tabs>
        <w:spacing w:after="0" w:line="360" w:lineRule="auto"/>
        <w:jc w:val="both"/>
        <w:rPr>
          <w:rFonts w:ascii="Palatino Linotype" w:eastAsia="Palatino Linotype" w:hAnsi="Palatino Linotype" w:cs="Palatino Linotype"/>
          <w:b/>
          <w:sz w:val="24"/>
          <w:szCs w:val="24"/>
          <w:u w:val="single"/>
        </w:rPr>
      </w:pPr>
      <w:r>
        <w:rPr>
          <w:rFonts w:ascii="Palatino Linotype" w:eastAsia="Palatino Linotype" w:hAnsi="Palatino Linotype" w:cs="Palatino Linotype"/>
          <w:b/>
          <w:sz w:val="24"/>
          <w:szCs w:val="24"/>
          <w:u w:val="single"/>
        </w:rPr>
        <w:t>c) Y no debe implicar que el solicitante realice una búsqueda en toda la información que se encuentre disponible.</w:t>
      </w:r>
    </w:p>
    <w:p w14:paraId="16BD7FF9" w14:textId="77777777" w:rsidR="0054329D" w:rsidRDefault="0054329D">
      <w:pPr>
        <w:tabs>
          <w:tab w:val="left" w:pos="4962"/>
        </w:tabs>
        <w:spacing w:after="0" w:line="360" w:lineRule="auto"/>
        <w:jc w:val="both"/>
        <w:rPr>
          <w:rFonts w:ascii="Palatino Linotype" w:eastAsia="Palatino Linotype" w:hAnsi="Palatino Linotype" w:cs="Palatino Linotype"/>
          <w:sz w:val="24"/>
          <w:szCs w:val="24"/>
        </w:rPr>
      </w:pPr>
    </w:p>
    <w:p w14:paraId="7EE33AB6"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Imperativos legales que detallan el procedimiento que debe seguir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para que pueda tomarse como válida su orientación sobre la forma en que puede consultar la información requerida.</w:t>
      </w:r>
    </w:p>
    <w:p w14:paraId="6E504E5A" w14:textId="77777777" w:rsidR="0054329D" w:rsidRDefault="0054329D">
      <w:pPr>
        <w:tabs>
          <w:tab w:val="left" w:pos="4962"/>
        </w:tabs>
        <w:spacing w:after="0" w:line="360" w:lineRule="auto"/>
        <w:jc w:val="both"/>
        <w:rPr>
          <w:rFonts w:ascii="Palatino Linotype" w:eastAsia="Palatino Linotype" w:hAnsi="Palatino Linotype" w:cs="Palatino Linotype"/>
          <w:sz w:val="24"/>
          <w:szCs w:val="24"/>
        </w:rPr>
      </w:pPr>
    </w:p>
    <w:p w14:paraId="19DAC4D0"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Dicho esto, se tiene que, respecto a la información que la persona Solicitante requirió, las ligas electrónicas que proporcionó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b/>
          <w:sz w:val="24"/>
          <w:szCs w:val="24"/>
          <w:u w:val="single"/>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por cuanto hace a los </w:t>
      </w:r>
      <w:r>
        <w:rPr>
          <w:rFonts w:ascii="Palatino Linotype" w:eastAsia="Palatino Linotype" w:hAnsi="Palatino Linotype" w:cs="Palatino Linotype"/>
          <w:sz w:val="24"/>
          <w:szCs w:val="24"/>
        </w:rPr>
        <w:lastRenderedPageBreak/>
        <w:t>Criterios Orientadores Derivados de las Resoluciones Emitidas del INFOEM y los Criterios de Interpretación del INAI</w:t>
      </w:r>
      <w:r>
        <w:rPr>
          <w:rFonts w:ascii="Palatino Linotype" w:eastAsia="Palatino Linotype" w:hAnsi="Palatino Linotype" w:cs="Palatino Linotype"/>
          <w:b/>
          <w:sz w:val="24"/>
          <w:szCs w:val="24"/>
          <w:u w:val="single"/>
        </w:rPr>
        <w:t>, no redirigen directamente a la información requerida por el particular,</w:t>
      </w:r>
      <w:r>
        <w:rPr>
          <w:rFonts w:ascii="Palatino Linotype" w:eastAsia="Palatino Linotype" w:hAnsi="Palatino Linotype" w:cs="Palatino Linotype"/>
          <w:sz w:val="24"/>
          <w:szCs w:val="24"/>
        </w:rPr>
        <w:t xml:space="preserve"> por el contrario implica que este tenga que realizar una búsqueda en la página proporcionada, por lo que, se determina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observó lo que dispone el artículo 161 de la Ley en la materia.</w:t>
      </w:r>
    </w:p>
    <w:p w14:paraId="78BD2B9D" w14:textId="77777777" w:rsidR="0054329D" w:rsidRDefault="0054329D">
      <w:pPr>
        <w:tabs>
          <w:tab w:val="left" w:pos="4962"/>
        </w:tabs>
        <w:spacing w:after="0" w:line="360" w:lineRule="auto"/>
        <w:jc w:val="both"/>
        <w:rPr>
          <w:rFonts w:ascii="Palatino Linotype" w:eastAsia="Palatino Linotype" w:hAnsi="Palatino Linotype" w:cs="Palatino Linotype"/>
          <w:sz w:val="24"/>
          <w:szCs w:val="24"/>
        </w:rPr>
      </w:pPr>
    </w:p>
    <w:p w14:paraId="0C3F0DE4"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del análisis al informe justificado, se desprende que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aportó en formato </w:t>
      </w:r>
      <w:proofErr w:type="spellStart"/>
      <w:r>
        <w:rPr>
          <w:rFonts w:ascii="Palatino Linotype" w:eastAsia="Palatino Linotype" w:hAnsi="Palatino Linotype" w:cs="Palatino Linotype"/>
          <w:sz w:val="24"/>
          <w:szCs w:val="24"/>
        </w:rPr>
        <w:t>pdf</w:t>
      </w:r>
      <w:proofErr w:type="spellEnd"/>
      <w:r>
        <w:rPr>
          <w:rFonts w:ascii="Palatino Linotype" w:eastAsia="Palatino Linotype" w:hAnsi="Palatino Linotype" w:cs="Palatino Linotype"/>
          <w:sz w:val="24"/>
          <w:szCs w:val="24"/>
        </w:rPr>
        <w:t xml:space="preserve"> la normatividad a que dirigen las ligas electrónicas aportadas en su respuesta inicial; y, en el caso de los Criterios Orientadores Derivados de las Resoluciones Emitidas del INFOEM y los Criterios de Interpretación del INAI, como se mencionó en el antecedente ubicado bajo el numeral </w:t>
      </w:r>
      <w:r>
        <w:rPr>
          <w:rFonts w:ascii="Palatino Linotype" w:eastAsia="Palatino Linotype" w:hAnsi="Palatino Linotype" w:cs="Palatino Linotype"/>
          <w:b/>
          <w:sz w:val="24"/>
          <w:szCs w:val="24"/>
        </w:rPr>
        <w:t xml:space="preserve">6 </w:t>
      </w:r>
      <w:r>
        <w:rPr>
          <w:rFonts w:ascii="Palatino Linotype" w:eastAsia="Palatino Linotype" w:hAnsi="Palatino Linotype" w:cs="Palatino Linotype"/>
          <w:sz w:val="24"/>
          <w:szCs w:val="24"/>
        </w:rPr>
        <w:t>de la presente resolución, se precisaron los pasos para poder consultar los criterios de referencia, mismos que fueron corroborados por este Órgano Garante y en efecto, permiten al particular consultar los mismos.</w:t>
      </w:r>
    </w:p>
    <w:p w14:paraId="6A048E03" w14:textId="77777777" w:rsidR="0054329D" w:rsidRDefault="0054329D">
      <w:pPr>
        <w:tabs>
          <w:tab w:val="left" w:pos="4962"/>
        </w:tabs>
        <w:spacing w:after="0" w:line="360" w:lineRule="auto"/>
        <w:jc w:val="both"/>
        <w:rPr>
          <w:rFonts w:ascii="Palatino Linotype" w:eastAsia="Palatino Linotype" w:hAnsi="Palatino Linotype" w:cs="Palatino Linotype"/>
          <w:sz w:val="24"/>
          <w:szCs w:val="24"/>
        </w:rPr>
      </w:pPr>
    </w:p>
    <w:p w14:paraId="4BC8ED0B"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tanto, es que en el presente asunto se considera que no fue, sino hasta el informe justificado que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colmó en su totalidad la solicitud de información del particular y garantizo su derecho al acceso a la información pública.</w:t>
      </w:r>
    </w:p>
    <w:p w14:paraId="763AA4AC" w14:textId="77777777" w:rsidR="0054329D" w:rsidRDefault="0054329D">
      <w:pPr>
        <w:tabs>
          <w:tab w:val="left" w:pos="4962"/>
        </w:tabs>
        <w:spacing w:after="0" w:line="360" w:lineRule="auto"/>
        <w:jc w:val="both"/>
        <w:rPr>
          <w:rFonts w:ascii="Palatino Linotype" w:eastAsia="Palatino Linotype" w:hAnsi="Palatino Linotype" w:cs="Palatino Linotype"/>
          <w:sz w:val="24"/>
          <w:szCs w:val="24"/>
        </w:rPr>
      </w:pPr>
    </w:p>
    <w:p w14:paraId="42CC46FB"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Ahora, para robustecer lo anterior, es conveniente analizar si la normatividad, lineamientos, acuerdos y </w:t>
      </w:r>
      <w:proofErr w:type="gramStart"/>
      <w:r>
        <w:rPr>
          <w:rFonts w:ascii="Palatino Linotype" w:eastAsia="Palatino Linotype" w:hAnsi="Palatino Linotype" w:cs="Palatino Linotype"/>
          <w:sz w:val="24"/>
          <w:szCs w:val="24"/>
        </w:rPr>
        <w:t>criterios proporcionada</w:t>
      </w:r>
      <w:proofErr w:type="gramEnd"/>
      <w:r>
        <w:rPr>
          <w:rFonts w:ascii="Palatino Linotype" w:eastAsia="Palatino Linotype" w:hAnsi="Palatino Linotype" w:cs="Palatino Linotype"/>
          <w:sz w:val="24"/>
          <w:szCs w:val="24"/>
        </w:rPr>
        <w:t xml:space="preserve"> en respuesta e informe justificado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en efecto corresponde a lo requerido por el particular.</w:t>
      </w:r>
    </w:p>
    <w:p w14:paraId="31CBE5A0" w14:textId="77777777" w:rsidR="0054329D" w:rsidRDefault="0054329D">
      <w:pPr>
        <w:tabs>
          <w:tab w:val="left" w:pos="4962"/>
        </w:tabs>
        <w:spacing w:after="0" w:line="360" w:lineRule="auto"/>
        <w:jc w:val="both"/>
        <w:rPr>
          <w:rFonts w:ascii="Palatino Linotype" w:eastAsia="Palatino Linotype" w:hAnsi="Palatino Linotype" w:cs="Palatino Linotype"/>
          <w:sz w:val="24"/>
          <w:szCs w:val="24"/>
        </w:rPr>
      </w:pPr>
    </w:p>
    <w:p w14:paraId="7634E7D0"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bookmarkStart w:id="25" w:name="_heading=h.qsh70q" w:colFirst="0" w:colLast="0"/>
      <w:bookmarkEnd w:id="25"/>
      <w:r>
        <w:rPr>
          <w:rFonts w:ascii="Palatino Linotype" w:eastAsia="Palatino Linotype" w:hAnsi="Palatino Linotype" w:cs="Palatino Linotype"/>
          <w:sz w:val="24"/>
          <w:szCs w:val="24"/>
        </w:rPr>
        <w:t xml:space="preserve">En primer lugar, del análisis a la </w:t>
      </w:r>
      <w:r>
        <w:rPr>
          <w:rFonts w:ascii="Palatino Linotype" w:eastAsia="Palatino Linotype" w:hAnsi="Palatino Linotype" w:cs="Palatino Linotype"/>
          <w:b/>
          <w:sz w:val="24"/>
          <w:szCs w:val="24"/>
        </w:rPr>
        <w:t>Ley General de Transparencia y Acceso a la Información Pública</w:t>
      </w:r>
      <w:r>
        <w:rPr>
          <w:rFonts w:ascii="Palatino Linotype" w:eastAsia="Palatino Linotype" w:hAnsi="Palatino Linotype" w:cs="Palatino Linotype"/>
          <w:sz w:val="24"/>
          <w:szCs w:val="24"/>
        </w:rPr>
        <w:t xml:space="preserve">, en el TITULO SEXTO. INFORMACIÓN CLASIFICADA, bajo el </w:t>
      </w:r>
      <w:proofErr w:type="spellStart"/>
      <w:r>
        <w:rPr>
          <w:rFonts w:ascii="Palatino Linotype" w:eastAsia="Palatino Linotype" w:hAnsi="Palatino Linotype" w:cs="Palatino Linotype"/>
          <w:sz w:val="24"/>
          <w:szCs w:val="24"/>
        </w:rPr>
        <w:t>Capitulo</w:t>
      </w:r>
      <w:proofErr w:type="spellEnd"/>
      <w:r>
        <w:rPr>
          <w:rFonts w:ascii="Palatino Linotype" w:eastAsia="Palatino Linotype" w:hAnsi="Palatino Linotype" w:cs="Palatino Linotype"/>
          <w:sz w:val="24"/>
          <w:szCs w:val="24"/>
        </w:rPr>
        <w:t xml:space="preserve"> I, se establecen las disposiciones generales de la clasificación y desclasificación de la información, en la que, se toca el tema de las versiones públicas que los sujetos obligados deben realizar en caso de localizar en documentos públicos información que tenga que ser clasificada; asimismo, de dicha Ley, particularmente en los artículos 3, fracción XXI y en el artículo 111, en el primero, se define lo que se entiende por una versión pública, y en el segundo, se indica el procedimiento genérico que deben seguir los sujetos obligados en la elaboración de versiones públicas cuando un documento contenga partes o secciones reservadas o confidenciales; al efecto dichos numerales disponen lo siguiente:</w:t>
      </w:r>
    </w:p>
    <w:p w14:paraId="66AE1BB5" w14:textId="77777777" w:rsidR="0054329D" w:rsidRDefault="0054329D">
      <w:pPr>
        <w:tabs>
          <w:tab w:val="left" w:pos="4962"/>
        </w:tabs>
        <w:spacing w:after="0" w:line="360" w:lineRule="auto"/>
        <w:jc w:val="both"/>
        <w:rPr>
          <w:rFonts w:ascii="Palatino Linotype" w:eastAsia="Palatino Linotype" w:hAnsi="Palatino Linotype" w:cs="Palatino Linotype"/>
          <w:sz w:val="24"/>
          <w:szCs w:val="24"/>
        </w:rPr>
      </w:pPr>
    </w:p>
    <w:p w14:paraId="4069E66A" w14:textId="77777777" w:rsidR="0054329D" w:rsidRDefault="007C2D5C">
      <w:pPr>
        <w:tabs>
          <w:tab w:val="left" w:pos="4962"/>
        </w:tabs>
        <w:spacing w:after="0" w:line="276" w:lineRule="auto"/>
        <w:ind w:left="567" w:right="70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3.</w:t>
      </w:r>
      <w:r>
        <w:rPr>
          <w:rFonts w:ascii="Palatino Linotype" w:eastAsia="Palatino Linotype" w:hAnsi="Palatino Linotype" w:cs="Palatino Linotype"/>
          <w:i/>
        </w:rPr>
        <w:t xml:space="preserve"> Para los efectos de la presente Ley se entenderá por:</w:t>
      </w:r>
    </w:p>
    <w:p w14:paraId="39B94D6B" w14:textId="77777777" w:rsidR="0054329D" w:rsidRDefault="0054329D">
      <w:pPr>
        <w:tabs>
          <w:tab w:val="left" w:pos="4962"/>
        </w:tabs>
        <w:spacing w:after="0" w:line="276" w:lineRule="auto"/>
        <w:ind w:left="567" w:right="701"/>
        <w:jc w:val="both"/>
        <w:rPr>
          <w:rFonts w:ascii="Palatino Linotype" w:eastAsia="Palatino Linotype" w:hAnsi="Palatino Linotype" w:cs="Palatino Linotype"/>
          <w:i/>
        </w:rPr>
      </w:pPr>
    </w:p>
    <w:p w14:paraId="14DBE4B4" w14:textId="77777777" w:rsidR="0054329D" w:rsidRDefault="007C2D5C">
      <w:pPr>
        <w:tabs>
          <w:tab w:val="left" w:pos="4962"/>
        </w:tabs>
        <w:spacing w:after="0" w:line="276" w:lineRule="auto"/>
        <w:ind w:left="567" w:right="70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2E19745" w14:textId="77777777" w:rsidR="0054329D" w:rsidRDefault="0054329D">
      <w:pPr>
        <w:tabs>
          <w:tab w:val="left" w:pos="4962"/>
        </w:tabs>
        <w:spacing w:after="0" w:line="276" w:lineRule="auto"/>
        <w:ind w:left="567" w:right="701"/>
        <w:jc w:val="both"/>
        <w:rPr>
          <w:rFonts w:ascii="Palatino Linotype" w:eastAsia="Palatino Linotype" w:hAnsi="Palatino Linotype" w:cs="Palatino Linotype"/>
          <w:i/>
        </w:rPr>
      </w:pPr>
    </w:p>
    <w:p w14:paraId="33750FA7" w14:textId="77777777" w:rsidR="0054329D" w:rsidRDefault="007C2D5C">
      <w:pPr>
        <w:tabs>
          <w:tab w:val="left" w:pos="4962"/>
        </w:tabs>
        <w:spacing w:after="0" w:line="276" w:lineRule="auto"/>
        <w:ind w:left="567" w:right="701"/>
        <w:jc w:val="both"/>
        <w:rPr>
          <w:rFonts w:ascii="Palatino Linotype" w:eastAsia="Palatino Linotype" w:hAnsi="Palatino Linotype" w:cs="Palatino Linotype"/>
          <w:i/>
        </w:rPr>
      </w:pPr>
      <w:r>
        <w:rPr>
          <w:rFonts w:ascii="Palatino Linotype" w:eastAsia="Palatino Linotype" w:hAnsi="Palatino Linotype" w:cs="Palatino Linotype"/>
          <w:b/>
          <w:i/>
        </w:rPr>
        <w:t>XXI. Versión Pública:</w:t>
      </w:r>
      <w:r>
        <w:rPr>
          <w:rFonts w:ascii="Palatino Linotype" w:eastAsia="Palatino Linotype" w:hAnsi="Palatino Linotype" w:cs="Palatino Linotype"/>
          <w:i/>
        </w:rPr>
        <w:t xml:space="preserve"> Documento o Expediente en el que se da acceso a información eliminando u omitiendo las partes o secciones clasificadas. [..]”</w:t>
      </w:r>
    </w:p>
    <w:p w14:paraId="2CE64E7D" w14:textId="77777777" w:rsidR="0054329D" w:rsidRDefault="007C2D5C">
      <w:pPr>
        <w:tabs>
          <w:tab w:val="left" w:pos="4962"/>
        </w:tabs>
        <w:spacing w:after="0" w:line="276" w:lineRule="auto"/>
        <w:ind w:left="567" w:right="70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111.</w:t>
      </w:r>
      <w:r>
        <w:rPr>
          <w:rFonts w:ascii="Palatino Linotype" w:eastAsia="Palatino Linotype" w:hAnsi="Palatino Linotype" w:cs="Palatino Linotype"/>
          <w:i/>
        </w:rPr>
        <w:t xml:space="preserve"> Cuando un Documento contenga partes o secciones reservadas o confidenciales, los sujetos obligados, para efectos de atender una solicitud de información, deberán elaborar una Versión Pública en la que se testen las partes o secciones clasificadas, indicando su contenido de manera genérica y fundando y motivando su clasificación.</w:t>
      </w:r>
    </w:p>
    <w:p w14:paraId="1A5DDC91" w14:textId="77777777" w:rsidR="0054329D" w:rsidRDefault="0054329D">
      <w:pPr>
        <w:tabs>
          <w:tab w:val="left" w:pos="4962"/>
        </w:tabs>
        <w:spacing w:after="0" w:line="360" w:lineRule="auto"/>
        <w:jc w:val="both"/>
        <w:rPr>
          <w:rFonts w:ascii="Palatino Linotype" w:eastAsia="Palatino Linotype" w:hAnsi="Palatino Linotype" w:cs="Palatino Linotype"/>
          <w:sz w:val="24"/>
          <w:szCs w:val="24"/>
        </w:rPr>
      </w:pPr>
    </w:p>
    <w:p w14:paraId="1DE36146"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los numerales trascritos, se desprende que se entiende por </w:t>
      </w:r>
      <w:r>
        <w:rPr>
          <w:rFonts w:ascii="Palatino Linotype" w:eastAsia="Palatino Linotype" w:hAnsi="Palatino Linotype" w:cs="Palatino Linotype"/>
          <w:b/>
          <w:sz w:val="24"/>
          <w:szCs w:val="24"/>
        </w:rPr>
        <w:t>versión pública</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sz w:val="24"/>
          <w:szCs w:val="24"/>
          <w:u w:val="single"/>
        </w:rPr>
        <w:t>documento o expediente a través del cual se da acceso a información, eliminando u omitiendo partes o secciones clasificadas como información reservada o confidencial</w:t>
      </w:r>
      <w:r>
        <w:rPr>
          <w:rFonts w:ascii="Palatino Linotype" w:eastAsia="Palatino Linotype" w:hAnsi="Palatino Linotype" w:cs="Palatino Linotype"/>
          <w:sz w:val="24"/>
          <w:szCs w:val="24"/>
        </w:rPr>
        <w:t xml:space="preserve">; por lo que, cuando un documento contenga partes o secciones que se tienen ese carácter, los sujetos obligados se encuentran constreñidos a elaborar una versión pública en la que testen o supriman las partes o secciones clasificadas, indicando el contenido, fundando y motivando la clasificación; </w:t>
      </w:r>
      <w:r>
        <w:rPr>
          <w:rFonts w:ascii="Palatino Linotype" w:eastAsia="Palatino Linotype" w:hAnsi="Palatino Linotype" w:cs="Palatino Linotype"/>
          <w:b/>
          <w:sz w:val="24"/>
          <w:szCs w:val="24"/>
        </w:rPr>
        <w:t>por lo tanto, dicho ordenamiento corresponde con lo solicitado por el particular.</w:t>
      </w:r>
    </w:p>
    <w:p w14:paraId="37176F8E" w14:textId="77777777" w:rsidR="0054329D" w:rsidRDefault="0054329D">
      <w:pPr>
        <w:tabs>
          <w:tab w:val="left" w:pos="4962"/>
        </w:tabs>
        <w:spacing w:after="0" w:line="360" w:lineRule="auto"/>
        <w:jc w:val="both"/>
        <w:rPr>
          <w:rFonts w:ascii="Palatino Linotype" w:eastAsia="Palatino Linotype" w:hAnsi="Palatino Linotype" w:cs="Palatino Linotype"/>
          <w:sz w:val="24"/>
          <w:szCs w:val="24"/>
        </w:rPr>
      </w:pPr>
    </w:p>
    <w:p w14:paraId="191F6C1C"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Asimismo, de la Ley de Transparencia y Acceso a la Información Pública del Estado de México y Municipios, en el TITULO SEXTO. DE LA INFORMACIÓN CLASIFICADA, Capitulo I. De la Clasificación y Desclasificación, se establece la regulación en el tema de la clasificación y desclasificación de la información, y se precisa en lo relativo a las versiones públicas el procedimiento a seguir por los sujetos obligados en caso de localizar en documentos públicos información que tenga que ser clasificada como confidencial o reservada; asimismo, se desprende que, a través de dicha Ley, particularmente en los numerales 3, fracción XLV y 137; </w:t>
      </w:r>
      <w:r>
        <w:rPr>
          <w:rFonts w:ascii="Palatino Linotype" w:eastAsia="Palatino Linotype" w:hAnsi="Palatino Linotype" w:cs="Palatino Linotype"/>
          <w:b/>
          <w:sz w:val="24"/>
          <w:szCs w:val="24"/>
        </w:rPr>
        <w:t xml:space="preserve">en el primer </w:t>
      </w:r>
      <w:r>
        <w:rPr>
          <w:rFonts w:ascii="Palatino Linotype" w:eastAsia="Palatino Linotype" w:hAnsi="Palatino Linotype" w:cs="Palatino Linotype"/>
          <w:b/>
          <w:sz w:val="24"/>
          <w:szCs w:val="24"/>
        </w:rPr>
        <w:lastRenderedPageBreak/>
        <w:t>numeral</w:t>
      </w:r>
      <w:r>
        <w:rPr>
          <w:rFonts w:ascii="Palatino Linotype" w:eastAsia="Palatino Linotype" w:hAnsi="Palatino Linotype" w:cs="Palatino Linotype"/>
          <w:sz w:val="24"/>
          <w:szCs w:val="24"/>
        </w:rPr>
        <w:t xml:space="preserve">, se define lo que se entiende por una versión pública; </w:t>
      </w:r>
      <w:r>
        <w:rPr>
          <w:rFonts w:ascii="Palatino Linotype" w:eastAsia="Palatino Linotype" w:hAnsi="Palatino Linotype" w:cs="Palatino Linotype"/>
          <w:b/>
          <w:sz w:val="24"/>
          <w:szCs w:val="24"/>
        </w:rPr>
        <w:t>y en el segundo</w:t>
      </w:r>
      <w:r>
        <w:rPr>
          <w:rFonts w:ascii="Palatino Linotype" w:eastAsia="Palatino Linotype" w:hAnsi="Palatino Linotype" w:cs="Palatino Linotype"/>
          <w:sz w:val="24"/>
          <w:szCs w:val="24"/>
        </w:rPr>
        <w:t xml:space="preserve">, se indica el procedimiento genérico que deben seguir los sujetos obligados en la elaboración de versiones públicas cuando un documento contenga partes o secciones reservadas o confidenciales; </w:t>
      </w:r>
      <w:r>
        <w:rPr>
          <w:rFonts w:ascii="Palatino Linotype" w:eastAsia="Palatino Linotype" w:hAnsi="Palatino Linotype" w:cs="Palatino Linotype"/>
          <w:b/>
          <w:sz w:val="24"/>
          <w:szCs w:val="24"/>
        </w:rPr>
        <w:t>por lo tanto, dicho ordenamiento corresponde con lo solicitado por el particular.</w:t>
      </w:r>
    </w:p>
    <w:p w14:paraId="6583399F" w14:textId="77777777" w:rsidR="0054329D" w:rsidRDefault="0054329D">
      <w:pPr>
        <w:tabs>
          <w:tab w:val="left" w:pos="4962"/>
        </w:tabs>
        <w:spacing w:after="0" w:line="360" w:lineRule="auto"/>
        <w:jc w:val="both"/>
        <w:rPr>
          <w:rFonts w:ascii="Palatino Linotype" w:eastAsia="Palatino Linotype" w:hAnsi="Palatino Linotype" w:cs="Palatino Linotype"/>
          <w:sz w:val="24"/>
          <w:szCs w:val="24"/>
        </w:rPr>
      </w:pPr>
    </w:p>
    <w:p w14:paraId="76468597" w14:textId="77777777" w:rsidR="0054329D" w:rsidRDefault="007C2D5C">
      <w:pPr>
        <w:tabs>
          <w:tab w:val="left" w:pos="4962"/>
        </w:tabs>
        <w:spacing w:after="0" w:line="360" w:lineRule="auto"/>
        <w:jc w:val="both"/>
        <w:rPr>
          <w:rFonts w:ascii="Palatino Linotype" w:eastAsia="Palatino Linotype" w:hAnsi="Palatino Linotype" w:cs="Palatino Linotype"/>
          <w:sz w:val="24"/>
          <w:szCs w:val="24"/>
        </w:rPr>
      </w:pPr>
      <w:proofErr w:type="gramStart"/>
      <w:r>
        <w:rPr>
          <w:rFonts w:ascii="Palatino Linotype" w:eastAsia="Palatino Linotype" w:hAnsi="Palatino Linotype" w:cs="Palatino Linotype"/>
          <w:sz w:val="24"/>
          <w:szCs w:val="24"/>
        </w:rPr>
        <w:t>Al efecto dichos</w:t>
      </w:r>
      <w:proofErr w:type="gramEnd"/>
      <w:r>
        <w:rPr>
          <w:rFonts w:ascii="Palatino Linotype" w:eastAsia="Palatino Linotype" w:hAnsi="Palatino Linotype" w:cs="Palatino Linotype"/>
          <w:sz w:val="24"/>
          <w:szCs w:val="24"/>
        </w:rPr>
        <w:t xml:space="preserve"> numerales disponen lo siguiente:</w:t>
      </w:r>
    </w:p>
    <w:p w14:paraId="0A7FE33A" w14:textId="77777777" w:rsidR="0054329D" w:rsidRDefault="0054329D">
      <w:pPr>
        <w:tabs>
          <w:tab w:val="left" w:pos="4962"/>
        </w:tabs>
        <w:spacing w:after="0" w:line="276" w:lineRule="auto"/>
        <w:ind w:left="567" w:right="843"/>
        <w:jc w:val="both"/>
        <w:rPr>
          <w:rFonts w:ascii="Palatino Linotype" w:eastAsia="Palatino Linotype" w:hAnsi="Palatino Linotype" w:cs="Palatino Linotype"/>
          <w:i/>
        </w:rPr>
      </w:pPr>
    </w:p>
    <w:p w14:paraId="673CD4CD" w14:textId="77777777" w:rsidR="0054329D" w:rsidRDefault="007C2D5C">
      <w:pPr>
        <w:tabs>
          <w:tab w:val="left" w:pos="4962"/>
        </w:tabs>
        <w:spacing w:after="0" w:line="276" w:lineRule="auto"/>
        <w:ind w:left="567" w:right="843"/>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3.</w:t>
      </w:r>
      <w:r>
        <w:rPr>
          <w:rFonts w:ascii="Palatino Linotype" w:eastAsia="Palatino Linotype" w:hAnsi="Palatino Linotype" w:cs="Palatino Linotype"/>
          <w:i/>
        </w:rPr>
        <w:t xml:space="preserve"> Para los efectos de la presente Ley se entenderá por:</w:t>
      </w:r>
    </w:p>
    <w:p w14:paraId="23BCA72C" w14:textId="77777777" w:rsidR="0054329D" w:rsidRDefault="007C2D5C">
      <w:pPr>
        <w:tabs>
          <w:tab w:val="left" w:pos="4962"/>
        </w:tabs>
        <w:spacing w:after="0" w:line="276" w:lineRule="auto"/>
        <w:ind w:left="567" w:right="843"/>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7660FA4" w14:textId="77777777" w:rsidR="0054329D" w:rsidRDefault="007C2D5C">
      <w:pPr>
        <w:tabs>
          <w:tab w:val="left" w:pos="4962"/>
        </w:tabs>
        <w:spacing w:after="0" w:line="276" w:lineRule="auto"/>
        <w:ind w:left="567" w:right="843"/>
        <w:jc w:val="both"/>
        <w:rPr>
          <w:rFonts w:ascii="Palatino Linotype" w:eastAsia="Palatino Linotype" w:hAnsi="Palatino Linotype" w:cs="Palatino Linotype"/>
          <w:i/>
        </w:rPr>
      </w:pPr>
      <w:r>
        <w:rPr>
          <w:rFonts w:ascii="Palatino Linotype" w:eastAsia="Palatino Linotype" w:hAnsi="Palatino Linotype" w:cs="Palatino Linotype"/>
          <w:b/>
          <w:i/>
        </w:rPr>
        <w:t>XLV. Versión pública:</w:t>
      </w:r>
      <w:r>
        <w:rPr>
          <w:rFonts w:ascii="Palatino Linotype" w:eastAsia="Palatino Linotype" w:hAnsi="Palatino Linotype" w:cs="Palatino Linotype"/>
          <w:i/>
        </w:rPr>
        <w:t xml:space="preserve"> Documento en el que se elimine, suprime o borra la información clasificada como reservada o confidencial para permitir su acceso. […]”</w:t>
      </w:r>
    </w:p>
    <w:p w14:paraId="4172B316" w14:textId="77777777" w:rsidR="0054329D" w:rsidRDefault="0054329D">
      <w:pPr>
        <w:tabs>
          <w:tab w:val="left" w:pos="4962"/>
        </w:tabs>
        <w:spacing w:after="0" w:line="276" w:lineRule="auto"/>
        <w:ind w:left="567" w:right="843"/>
        <w:jc w:val="both"/>
        <w:rPr>
          <w:rFonts w:ascii="Palatino Linotype" w:eastAsia="Palatino Linotype" w:hAnsi="Palatino Linotype" w:cs="Palatino Linotype"/>
          <w:i/>
        </w:rPr>
      </w:pPr>
    </w:p>
    <w:p w14:paraId="684D28C8" w14:textId="77777777" w:rsidR="0054329D" w:rsidRDefault="007C2D5C">
      <w:pPr>
        <w:tabs>
          <w:tab w:val="left" w:pos="4962"/>
        </w:tabs>
        <w:spacing w:after="0" w:line="276" w:lineRule="auto"/>
        <w:ind w:left="567" w:right="843"/>
        <w:jc w:val="both"/>
        <w:rPr>
          <w:rFonts w:ascii="Palatino Linotype" w:eastAsia="Palatino Linotype" w:hAnsi="Palatino Linotype" w:cs="Palatino Linotype"/>
          <w:i/>
        </w:rPr>
      </w:pPr>
      <w:r>
        <w:rPr>
          <w:rFonts w:ascii="Palatino Linotype" w:eastAsia="Palatino Linotype" w:hAnsi="Palatino Linotype" w:cs="Palatino Linotype"/>
          <w:b/>
          <w:i/>
        </w:rPr>
        <w:t>“Artículo 137.</w:t>
      </w:r>
      <w:r>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3228008" w14:textId="77777777" w:rsidR="0054329D" w:rsidRDefault="0054329D">
      <w:pPr>
        <w:tabs>
          <w:tab w:val="left" w:pos="4962"/>
        </w:tabs>
        <w:spacing w:after="0" w:line="360" w:lineRule="auto"/>
        <w:jc w:val="both"/>
        <w:rPr>
          <w:rFonts w:ascii="Palatino Linotype" w:eastAsia="Palatino Linotype" w:hAnsi="Palatino Linotype" w:cs="Palatino Linotype"/>
          <w:sz w:val="24"/>
          <w:szCs w:val="24"/>
        </w:rPr>
      </w:pPr>
    </w:p>
    <w:p w14:paraId="0D96AB05" w14:textId="77777777" w:rsidR="0054329D" w:rsidRDefault="007C2D5C">
      <w:pPr>
        <w:spacing w:after="0" w:line="360" w:lineRule="auto"/>
        <w:jc w:val="both"/>
        <w:rPr>
          <w:rFonts w:ascii="Palatino Linotype" w:eastAsia="Palatino Linotype" w:hAnsi="Palatino Linotype" w:cs="Palatino Linotype"/>
          <w:sz w:val="24"/>
          <w:szCs w:val="24"/>
        </w:rPr>
      </w:pPr>
      <w:bookmarkStart w:id="26" w:name="_heading=h.gjdgxs" w:colFirst="0" w:colLast="0"/>
      <w:bookmarkEnd w:id="26"/>
      <w:r>
        <w:rPr>
          <w:rFonts w:ascii="Palatino Linotype" w:eastAsia="Palatino Linotype" w:hAnsi="Palatino Linotype" w:cs="Palatino Linotype"/>
          <w:sz w:val="24"/>
          <w:szCs w:val="24"/>
        </w:rPr>
        <w:t xml:space="preserve">Asimismo, del análisis a la </w:t>
      </w:r>
      <w:r>
        <w:rPr>
          <w:rFonts w:ascii="Palatino Linotype" w:eastAsia="Palatino Linotype" w:hAnsi="Palatino Linotype" w:cs="Palatino Linotype"/>
          <w:b/>
          <w:sz w:val="24"/>
          <w:szCs w:val="24"/>
        </w:rPr>
        <w:t>Ley de Protección de Datos Personales en Posesión de Sujetos Obligados del Estado de México</w:t>
      </w:r>
      <w:r>
        <w:rPr>
          <w:rFonts w:ascii="Palatino Linotype" w:eastAsia="Palatino Linotype" w:hAnsi="Palatino Linotype" w:cs="Palatino Linotype"/>
          <w:sz w:val="24"/>
          <w:szCs w:val="24"/>
        </w:rPr>
        <w:t xml:space="preserve"> proporcionada en respuesta e informe justificado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se desprende que la misma, en efecto resulta de aplicación a los Sujetos Obligados al momento de elaborar las versiones públicas, en virtud de que la misma tiene por objeto establecer las bases, principios y </w:t>
      </w:r>
      <w:r>
        <w:rPr>
          <w:rFonts w:ascii="Palatino Linotype" w:eastAsia="Palatino Linotype" w:hAnsi="Palatino Linotype" w:cs="Palatino Linotype"/>
          <w:sz w:val="24"/>
          <w:szCs w:val="24"/>
        </w:rPr>
        <w:lastRenderedPageBreak/>
        <w:t>procedimientos para tutelar y garantizar el derecho que tiene toda persona a la protección de sus datos personales, en posesión de los sujetos obligados, tal y como se desprende de su artículo 1, que dispone lo siguiente:</w:t>
      </w:r>
    </w:p>
    <w:p w14:paraId="682B98E2" w14:textId="77777777" w:rsidR="0054329D" w:rsidRDefault="0054329D">
      <w:pPr>
        <w:spacing w:after="0" w:line="360" w:lineRule="auto"/>
        <w:jc w:val="both"/>
        <w:rPr>
          <w:rFonts w:ascii="Palatino Linotype" w:eastAsia="Palatino Linotype" w:hAnsi="Palatino Linotype" w:cs="Palatino Linotype"/>
          <w:sz w:val="24"/>
          <w:szCs w:val="24"/>
        </w:rPr>
      </w:pPr>
    </w:p>
    <w:p w14:paraId="6B950D89" w14:textId="77777777" w:rsidR="0054329D" w:rsidRDefault="007C2D5C">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b/>
          <w:i/>
        </w:rPr>
        <w:t>“Artículo 1.</w:t>
      </w:r>
      <w:r>
        <w:rPr>
          <w:rFonts w:ascii="Palatino Linotype" w:eastAsia="Palatino Linotype" w:hAnsi="Palatino Linotype" w:cs="Palatino Linotype"/>
          <w:i/>
        </w:rPr>
        <w:t xml:space="preserve"> La presente Ley es de orden público, interés social y observancia obligatoria en el Estado de México y sus Municipios. Es reglamentaria de las disposiciones en materia de protección de datos personales </w:t>
      </w:r>
      <w:proofErr w:type="gramStart"/>
      <w:r>
        <w:rPr>
          <w:rFonts w:ascii="Palatino Linotype" w:eastAsia="Palatino Linotype" w:hAnsi="Palatino Linotype" w:cs="Palatino Linotype"/>
          <w:i/>
        </w:rPr>
        <w:t>previstas</w:t>
      </w:r>
      <w:proofErr w:type="gramEnd"/>
      <w:r>
        <w:rPr>
          <w:rFonts w:ascii="Palatino Linotype" w:eastAsia="Palatino Linotype" w:hAnsi="Palatino Linotype" w:cs="Palatino Linotype"/>
          <w:i/>
        </w:rPr>
        <w:t xml:space="preserve"> en la Constitución Política del Estado Libre y Soberano de México. </w:t>
      </w:r>
    </w:p>
    <w:p w14:paraId="50352F23" w14:textId="77777777" w:rsidR="0054329D" w:rsidRDefault="0054329D">
      <w:pPr>
        <w:spacing w:after="0" w:line="276" w:lineRule="auto"/>
        <w:ind w:left="567" w:right="560"/>
        <w:jc w:val="both"/>
        <w:rPr>
          <w:rFonts w:ascii="Palatino Linotype" w:eastAsia="Palatino Linotype" w:hAnsi="Palatino Linotype" w:cs="Palatino Linotype"/>
          <w:i/>
        </w:rPr>
      </w:pPr>
    </w:p>
    <w:p w14:paraId="235E40FC" w14:textId="77777777" w:rsidR="0054329D" w:rsidRDefault="007C2D5C">
      <w:pPr>
        <w:spacing w:after="0" w:line="276" w:lineRule="auto"/>
        <w:ind w:left="567" w:right="560"/>
        <w:jc w:val="both"/>
        <w:rPr>
          <w:rFonts w:ascii="Palatino Linotype" w:eastAsia="Palatino Linotype" w:hAnsi="Palatino Linotype" w:cs="Palatino Linotype"/>
          <w:b/>
          <w:i/>
        </w:rPr>
      </w:pPr>
      <w:r>
        <w:rPr>
          <w:rFonts w:ascii="Palatino Linotype" w:eastAsia="Palatino Linotype" w:hAnsi="Palatino Linotype" w:cs="Palatino Linotype"/>
          <w:b/>
          <w:i/>
        </w:rPr>
        <w:t>Tiene por objeto establecer las bases, principios y procedimientos para tutelar y garantizar el derecho que tiene toda persona a la protección de sus datos personales, en posesión de los sujetos obligados.”</w:t>
      </w:r>
    </w:p>
    <w:p w14:paraId="71EFD345" w14:textId="77777777" w:rsidR="0054329D" w:rsidRDefault="007C2D5C">
      <w:pPr>
        <w:spacing w:after="0" w:line="276" w:lineRule="auto"/>
        <w:ind w:left="567" w:right="560"/>
        <w:jc w:val="right"/>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1888E219" w14:textId="77777777" w:rsidR="0054329D" w:rsidRDefault="0054329D">
      <w:pPr>
        <w:spacing w:after="0" w:line="360" w:lineRule="auto"/>
        <w:jc w:val="both"/>
        <w:rPr>
          <w:rFonts w:ascii="Palatino Linotype" w:eastAsia="Palatino Linotype" w:hAnsi="Palatino Linotype" w:cs="Palatino Linotype"/>
          <w:sz w:val="24"/>
          <w:szCs w:val="24"/>
        </w:rPr>
      </w:pPr>
    </w:p>
    <w:p w14:paraId="56569F70" w14:textId="77777777" w:rsidR="0054329D" w:rsidRDefault="007C2D5C">
      <w:pPr>
        <w:spacing w:after="0" w:line="360" w:lineRule="auto"/>
        <w:jc w:val="both"/>
        <w:rPr>
          <w:rFonts w:ascii="Palatino Linotype" w:eastAsia="Palatino Linotype" w:hAnsi="Palatino Linotype" w:cs="Palatino Linotype"/>
          <w:sz w:val="24"/>
          <w:szCs w:val="24"/>
        </w:rPr>
      </w:pPr>
      <w:bookmarkStart w:id="27" w:name="_heading=h.3as4poj" w:colFirst="0" w:colLast="0"/>
      <w:bookmarkEnd w:id="27"/>
      <w:r>
        <w:rPr>
          <w:rFonts w:ascii="Palatino Linotype" w:eastAsia="Palatino Linotype" w:hAnsi="Palatino Linotype" w:cs="Palatino Linotype"/>
          <w:sz w:val="24"/>
          <w:szCs w:val="24"/>
        </w:rPr>
        <w:t xml:space="preserve">Asimismo, a través de dicho ordenamiento, en relación con las versiones públicas, en el segundo párrafo del artículo 35, atendiendo a la creación del sistema de datos personales, se establece que, por lo que concierne al acuerdo de clasificación que emitan los Sujetos Obligados, donde se clasifique como confidencial determinada información, el mismo servirá de soporte para la emisión de versiones públicas; </w:t>
      </w:r>
      <w:r>
        <w:rPr>
          <w:rFonts w:ascii="Palatino Linotype" w:eastAsia="Palatino Linotype" w:hAnsi="Palatino Linotype" w:cs="Palatino Linotype"/>
          <w:b/>
          <w:sz w:val="24"/>
          <w:szCs w:val="24"/>
        </w:rPr>
        <w:t>por lo tanto, dicho ordenamiento corresponde con lo solicitado por el particular.</w:t>
      </w:r>
    </w:p>
    <w:p w14:paraId="542F7B08" w14:textId="77777777" w:rsidR="0054329D" w:rsidRDefault="0054329D">
      <w:pPr>
        <w:spacing w:after="0" w:line="360" w:lineRule="auto"/>
        <w:jc w:val="both"/>
        <w:rPr>
          <w:rFonts w:ascii="Palatino Linotype" w:eastAsia="Palatino Linotype" w:hAnsi="Palatino Linotype" w:cs="Palatino Linotype"/>
          <w:sz w:val="24"/>
          <w:szCs w:val="24"/>
        </w:rPr>
      </w:pPr>
    </w:p>
    <w:p w14:paraId="3C8FB899" w14:textId="77777777" w:rsidR="0054329D" w:rsidRDefault="007C2D5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mayor proveer, se cita la porción normativa de mérito:</w:t>
      </w:r>
    </w:p>
    <w:p w14:paraId="70A9A57D" w14:textId="77777777" w:rsidR="0054329D" w:rsidRDefault="0054329D">
      <w:pPr>
        <w:spacing w:after="0" w:line="360" w:lineRule="auto"/>
        <w:jc w:val="both"/>
        <w:rPr>
          <w:rFonts w:ascii="Palatino Linotype" w:eastAsia="Palatino Linotype" w:hAnsi="Palatino Linotype" w:cs="Palatino Linotype"/>
          <w:sz w:val="24"/>
          <w:szCs w:val="24"/>
        </w:rPr>
      </w:pPr>
    </w:p>
    <w:p w14:paraId="373E996F" w14:textId="77777777" w:rsidR="0054329D" w:rsidRDefault="007C2D5C">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35</w:t>
      </w:r>
      <w:r>
        <w:rPr>
          <w:rFonts w:ascii="Palatino Linotype" w:eastAsia="Palatino Linotype" w:hAnsi="Palatino Linotype" w:cs="Palatino Linotype"/>
          <w:i/>
        </w:rPr>
        <w:t>. […]</w:t>
      </w:r>
    </w:p>
    <w:p w14:paraId="7790F5E3" w14:textId="77777777" w:rsidR="0054329D" w:rsidRDefault="0054329D">
      <w:pPr>
        <w:spacing w:after="0" w:line="276" w:lineRule="auto"/>
        <w:ind w:left="567" w:right="560"/>
        <w:jc w:val="both"/>
        <w:rPr>
          <w:rFonts w:ascii="Palatino Linotype" w:eastAsia="Palatino Linotype" w:hAnsi="Palatino Linotype" w:cs="Palatino Linotype"/>
          <w:i/>
        </w:rPr>
      </w:pPr>
    </w:p>
    <w:p w14:paraId="0F35F902" w14:textId="77777777" w:rsidR="0054329D" w:rsidRDefault="007C2D5C">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De manera conjunta con la creación del sistema de datos personales, deberá emitirse el acuerdo que los clasifique con carácter confidencial, precisando además los datos que tienen el carácter no confidencial, acuerdo que deberá cumplir con lo dispuesto por la Ley de Transparencia</w:t>
      </w:r>
      <w:r>
        <w:rPr>
          <w:rFonts w:ascii="Palatino Linotype" w:eastAsia="Palatino Linotype" w:hAnsi="Palatino Linotype" w:cs="Palatino Linotype"/>
          <w:b/>
          <w:i/>
          <w:u w:val="single"/>
        </w:rPr>
        <w:t>. El acuerdo de clasificación al que hace referencia el presente párrafo servirá de soporte para la emisión de versiones públicas</w:t>
      </w:r>
      <w:r>
        <w:rPr>
          <w:rFonts w:ascii="Palatino Linotype" w:eastAsia="Palatino Linotype" w:hAnsi="Palatino Linotype" w:cs="Palatino Linotype"/>
          <w:i/>
        </w:rPr>
        <w:t>, sólo podrá ser modificado con motivo de acciones correctivas y preventivas a propuesta del administrador.”</w:t>
      </w:r>
    </w:p>
    <w:p w14:paraId="249E78CD" w14:textId="77777777" w:rsidR="0054329D" w:rsidRDefault="0054329D">
      <w:pPr>
        <w:spacing w:after="0" w:line="276" w:lineRule="auto"/>
        <w:ind w:left="567" w:right="560"/>
        <w:jc w:val="both"/>
        <w:rPr>
          <w:rFonts w:ascii="Palatino Linotype" w:eastAsia="Palatino Linotype" w:hAnsi="Palatino Linotype" w:cs="Palatino Linotype"/>
          <w:i/>
        </w:rPr>
      </w:pPr>
    </w:p>
    <w:p w14:paraId="6E8D175A" w14:textId="77777777" w:rsidR="0054329D" w:rsidRDefault="007C2D5C">
      <w:pPr>
        <w:spacing w:after="0" w:line="276" w:lineRule="auto"/>
        <w:ind w:left="567" w:right="560"/>
        <w:jc w:val="right"/>
        <w:rPr>
          <w:rFonts w:ascii="Palatino Linotype" w:eastAsia="Palatino Linotype" w:hAnsi="Palatino Linotype" w:cs="Palatino Linotype"/>
        </w:rPr>
      </w:pPr>
      <w:r>
        <w:rPr>
          <w:rFonts w:ascii="Palatino Linotype" w:eastAsia="Palatino Linotype" w:hAnsi="Palatino Linotype" w:cs="Palatino Linotype"/>
        </w:rPr>
        <w:t>(Énfasis añadido)</w:t>
      </w:r>
    </w:p>
    <w:p w14:paraId="35C5D174" w14:textId="77777777" w:rsidR="0054329D" w:rsidRDefault="007C2D5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concierne a los </w:t>
      </w:r>
      <w:r>
        <w:rPr>
          <w:rFonts w:ascii="Palatino Linotype" w:eastAsia="Palatino Linotype" w:hAnsi="Palatino Linotype" w:cs="Palatino Linotype"/>
          <w:b/>
          <w:sz w:val="24"/>
          <w:szCs w:val="24"/>
        </w:rPr>
        <w:t>Lineamientos Generales de Protección de Datos Personales para el Sector Público</w:t>
      </w:r>
      <w:r>
        <w:rPr>
          <w:rFonts w:ascii="Palatino Linotype" w:eastAsia="Palatino Linotype" w:hAnsi="Palatino Linotype" w:cs="Palatino Linotype"/>
          <w:sz w:val="24"/>
          <w:szCs w:val="24"/>
        </w:rPr>
        <w:t xml:space="preserve">, y, los </w:t>
      </w:r>
      <w:r>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Pr>
          <w:rFonts w:ascii="Palatino Linotype" w:eastAsia="Palatino Linotype" w:hAnsi="Palatino Linotype" w:cs="Palatino Linotype"/>
          <w:sz w:val="24"/>
          <w:szCs w:val="24"/>
        </w:rPr>
        <w:t xml:space="preserve">, proporcionados en respuesta e informe justificado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del análisis a los mismos; </w:t>
      </w:r>
      <w:r>
        <w:rPr>
          <w:rFonts w:ascii="Palatino Linotype" w:eastAsia="Palatino Linotype" w:hAnsi="Palatino Linotype" w:cs="Palatino Linotype"/>
          <w:b/>
          <w:sz w:val="24"/>
          <w:szCs w:val="24"/>
        </w:rPr>
        <w:t>a través del primer documento</w:t>
      </w:r>
      <w:r>
        <w:rPr>
          <w:rFonts w:ascii="Palatino Linotype" w:eastAsia="Palatino Linotype" w:hAnsi="Palatino Linotype" w:cs="Palatino Linotype"/>
          <w:sz w:val="24"/>
          <w:szCs w:val="24"/>
        </w:rPr>
        <w:t>, como se desprende del primer párrafo del numeral 3, se sientan las bases para que los sujetos obligados dentro del ámbito de sus atribuciones y funciones lleven a cabo el tratamiento de datos personales de personas físicas;</w:t>
      </w:r>
      <w:r>
        <w:rPr>
          <w:rFonts w:ascii="Palatino Linotype" w:eastAsia="Palatino Linotype" w:hAnsi="Palatino Linotype" w:cs="Palatino Linotype"/>
          <w:b/>
          <w:sz w:val="24"/>
          <w:szCs w:val="24"/>
        </w:rPr>
        <w:t xml:space="preserve"> y, mediante el segundo documento,</w:t>
      </w:r>
      <w:r>
        <w:rPr>
          <w:rFonts w:ascii="Palatino Linotype" w:eastAsia="Palatino Linotype" w:hAnsi="Palatino Linotype" w:cs="Palatino Linotype"/>
          <w:sz w:val="24"/>
          <w:szCs w:val="24"/>
        </w:rPr>
        <w:t xml:space="preserve"> de conformidad con el primer lineamiento, dicho documentos tiene por objeto establecer los criterios con base en los cuales los sujetos obligados clasificarán como reservada o confidencial la información que posean, así como para desclasificar y generar, en su caso, versiones públicas de expedientes o documentos que contengan partes o secciones clasificadas, los cuales son de observancia obligatoria.</w:t>
      </w:r>
    </w:p>
    <w:p w14:paraId="01012F6D" w14:textId="77777777" w:rsidR="0054329D" w:rsidRDefault="007C2D5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efecto, se citan las porciones de nuestro interés de los documentos indicados:</w:t>
      </w:r>
    </w:p>
    <w:p w14:paraId="25852BBC" w14:textId="77777777" w:rsidR="0054329D" w:rsidRDefault="0054329D">
      <w:pPr>
        <w:spacing w:after="0" w:line="360" w:lineRule="auto"/>
        <w:jc w:val="both"/>
        <w:rPr>
          <w:rFonts w:ascii="Palatino Linotype" w:eastAsia="Palatino Linotype" w:hAnsi="Palatino Linotype" w:cs="Palatino Linotype"/>
          <w:sz w:val="24"/>
          <w:szCs w:val="24"/>
        </w:rPr>
      </w:pPr>
    </w:p>
    <w:p w14:paraId="00EB9B8D" w14:textId="77777777" w:rsidR="0054329D" w:rsidRDefault="007C2D5C">
      <w:pPr>
        <w:spacing w:after="0" w:line="360" w:lineRule="auto"/>
        <w:jc w:val="center"/>
        <w:rPr>
          <w:rFonts w:ascii="Palatino Linotype" w:eastAsia="Palatino Linotype" w:hAnsi="Palatino Linotype" w:cs="Palatino Linotype"/>
          <w:b/>
          <w:i/>
        </w:rPr>
      </w:pPr>
      <w:r>
        <w:rPr>
          <w:rFonts w:ascii="Palatino Linotype" w:eastAsia="Palatino Linotype" w:hAnsi="Palatino Linotype" w:cs="Palatino Linotype"/>
          <w:b/>
          <w:i/>
        </w:rPr>
        <w:lastRenderedPageBreak/>
        <w:t>Lineamientos Generales de Protección de Datos Personales para el Sector Público</w:t>
      </w:r>
    </w:p>
    <w:p w14:paraId="69BB1D71" w14:textId="77777777" w:rsidR="0054329D" w:rsidRDefault="0054329D">
      <w:pPr>
        <w:spacing w:after="0" w:line="360" w:lineRule="auto"/>
        <w:jc w:val="both"/>
        <w:rPr>
          <w:rFonts w:ascii="Palatino Linotype" w:eastAsia="Palatino Linotype" w:hAnsi="Palatino Linotype" w:cs="Palatino Linotype"/>
          <w:sz w:val="24"/>
          <w:szCs w:val="24"/>
        </w:rPr>
      </w:pPr>
    </w:p>
    <w:p w14:paraId="4A655680" w14:textId="77777777" w:rsidR="0054329D" w:rsidRDefault="007C2D5C">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3.</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Los presentes Lineamientos generales serán aplicables a cualquier autoridad, entidad, </w:t>
      </w:r>
      <w:r>
        <w:rPr>
          <w:rFonts w:ascii="Palatino Linotype" w:eastAsia="Palatino Linotype" w:hAnsi="Palatino Linotype" w:cs="Palatino Linotype"/>
          <w:i/>
        </w:rPr>
        <w:t xml:space="preserve">órgano y organismo de los Poderes Ejecutivo, Legislativo y Judicial, órganos autónomos, fideicomisos y fondos públicos, del ámbito federal y partidos </w:t>
      </w:r>
      <w:proofErr w:type="spellStart"/>
      <w:r>
        <w:rPr>
          <w:rFonts w:ascii="Palatino Linotype" w:eastAsia="Palatino Linotype" w:hAnsi="Palatino Linotype" w:cs="Palatino Linotype"/>
          <w:i/>
        </w:rPr>
        <w:t>politicos</w:t>
      </w:r>
      <w:proofErr w:type="spellEnd"/>
      <w:r>
        <w:rPr>
          <w:rFonts w:ascii="Palatino Linotype" w:eastAsia="Palatino Linotype" w:hAnsi="Palatino Linotype" w:cs="Palatino Linotype"/>
          <w:i/>
        </w:rPr>
        <w:t xml:space="preserve"> </w:t>
      </w:r>
      <w:r>
        <w:rPr>
          <w:rFonts w:ascii="Palatino Linotype" w:eastAsia="Palatino Linotype" w:hAnsi="Palatino Linotype" w:cs="Palatino Linotype"/>
          <w:b/>
          <w:i/>
        </w:rPr>
        <w:t>que en el ejercicio de sus atribuciones y funciones lleven a cabo tratamientos de datos personales de personas físicas,</w:t>
      </w:r>
      <w:r>
        <w:rPr>
          <w:rFonts w:ascii="Palatino Linotype" w:eastAsia="Palatino Linotype" w:hAnsi="Palatino Linotype" w:cs="Palatino Linotype"/>
          <w:i/>
        </w:rPr>
        <w:t xml:space="preserve"> en términos de lo dispuesto en la Ley General y los presentes Lineamientos generales, </w:t>
      </w:r>
      <w:proofErr w:type="spellStart"/>
      <w:r>
        <w:rPr>
          <w:rFonts w:ascii="Palatino Linotype" w:eastAsia="Palatino Linotype" w:hAnsi="Palatino Linotype" w:cs="Palatino Linotype"/>
          <w:i/>
        </w:rPr>
        <w:t>asi</w:t>
      </w:r>
      <w:proofErr w:type="spellEnd"/>
      <w:r>
        <w:rPr>
          <w:rFonts w:ascii="Palatino Linotype" w:eastAsia="Palatino Linotype" w:hAnsi="Palatino Linotype" w:cs="Palatino Linotype"/>
          <w:i/>
        </w:rPr>
        <w:t xml:space="preserve"> como al Instituto y los organismos garantes en lo que respecta a la sustanciación de los recursos de inconformidad.</w:t>
      </w:r>
    </w:p>
    <w:p w14:paraId="2CB43D0D" w14:textId="77777777" w:rsidR="0054329D" w:rsidRDefault="007C2D5C">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996D951" w14:textId="77777777" w:rsidR="0054329D" w:rsidRDefault="0054329D">
      <w:pPr>
        <w:spacing w:after="0" w:line="276" w:lineRule="auto"/>
        <w:ind w:left="567" w:right="560"/>
        <w:jc w:val="both"/>
        <w:rPr>
          <w:rFonts w:ascii="Palatino Linotype" w:eastAsia="Palatino Linotype" w:hAnsi="Palatino Linotype" w:cs="Palatino Linotype"/>
          <w:i/>
        </w:rPr>
      </w:pPr>
    </w:p>
    <w:p w14:paraId="4B1BB7BD" w14:textId="77777777" w:rsidR="0054329D" w:rsidRDefault="007C2D5C">
      <w:pPr>
        <w:spacing w:after="0" w:line="276" w:lineRule="auto"/>
        <w:ind w:left="567" w:right="560"/>
        <w:jc w:val="center"/>
        <w:rPr>
          <w:rFonts w:ascii="Palatino Linotype" w:eastAsia="Palatino Linotype" w:hAnsi="Palatino Linotype" w:cs="Palatino Linotype"/>
          <w:b/>
          <w:i/>
        </w:rPr>
      </w:pPr>
      <w:r>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14:paraId="0164BA29" w14:textId="77777777" w:rsidR="0054329D" w:rsidRDefault="0054329D">
      <w:pPr>
        <w:spacing w:after="0" w:line="360" w:lineRule="auto"/>
        <w:jc w:val="both"/>
        <w:rPr>
          <w:rFonts w:ascii="Palatino Linotype" w:eastAsia="Palatino Linotype" w:hAnsi="Palatino Linotype" w:cs="Palatino Linotype"/>
          <w:sz w:val="24"/>
          <w:szCs w:val="24"/>
        </w:rPr>
      </w:pPr>
    </w:p>
    <w:p w14:paraId="10466AF9" w14:textId="77777777" w:rsidR="0054329D" w:rsidRDefault="007C2D5C">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Primero.</w:t>
      </w:r>
      <w:r>
        <w:rPr>
          <w:rFonts w:ascii="Palatino Linotype" w:eastAsia="Palatino Linotype" w:hAnsi="Palatino Linotype" w:cs="Palatino Linotype"/>
          <w:i/>
        </w:rPr>
        <w:t xml:space="preserve"> Los presentes Lineamientos Generales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 </w:t>
      </w:r>
    </w:p>
    <w:p w14:paraId="78828F26" w14:textId="77777777" w:rsidR="0054329D" w:rsidRDefault="0054329D">
      <w:pPr>
        <w:spacing w:after="0" w:line="276" w:lineRule="auto"/>
        <w:ind w:left="567" w:right="560"/>
        <w:jc w:val="both"/>
        <w:rPr>
          <w:rFonts w:ascii="Palatino Linotype" w:eastAsia="Palatino Linotype" w:hAnsi="Palatino Linotype" w:cs="Palatino Linotype"/>
          <w:i/>
        </w:rPr>
      </w:pPr>
    </w:p>
    <w:p w14:paraId="43BA8F17" w14:textId="77777777" w:rsidR="0054329D" w:rsidRDefault="007C2D5C">
      <w:pPr>
        <w:spacing w:after="0" w:line="276" w:lineRule="auto"/>
        <w:ind w:left="567" w:right="560"/>
        <w:jc w:val="both"/>
        <w:rPr>
          <w:rFonts w:ascii="Palatino Linotype" w:eastAsia="Palatino Linotype" w:hAnsi="Palatino Linotype" w:cs="Palatino Linotype"/>
          <w:i/>
        </w:rPr>
      </w:pPr>
      <w:r>
        <w:rPr>
          <w:rFonts w:ascii="Palatino Linotype" w:eastAsia="Palatino Linotype" w:hAnsi="Palatino Linotype" w:cs="Palatino Linotype"/>
          <w:i/>
        </w:rPr>
        <w:t>El presente cuerpo normativo es de observancia obligatoria para los sujetos obligados.”</w:t>
      </w:r>
    </w:p>
    <w:p w14:paraId="67104556" w14:textId="77777777" w:rsidR="0054329D" w:rsidRDefault="0054329D">
      <w:pPr>
        <w:spacing w:after="0" w:line="360" w:lineRule="auto"/>
        <w:jc w:val="both"/>
        <w:rPr>
          <w:rFonts w:ascii="Palatino Linotype" w:eastAsia="Palatino Linotype" w:hAnsi="Palatino Linotype" w:cs="Palatino Linotype"/>
          <w:sz w:val="24"/>
          <w:szCs w:val="24"/>
        </w:rPr>
      </w:pPr>
    </w:p>
    <w:p w14:paraId="7640E83A" w14:textId="77777777" w:rsidR="0054329D" w:rsidRDefault="007C2D5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Como se desprende de los lineamientos proporcionados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los mismos en efecto corresponden a la normatividad de observancia obligatoria que los sujetos obligados deben atender al momento de elaborar las versiones públicas, pues </w:t>
      </w:r>
      <w:r>
        <w:rPr>
          <w:rFonts w:ascii="Palatino Linotype" w:eastAsia="Palatino Linotype" w:hAnsi="Palatino Linotype" w:cs="Palatino Linotype"/>
          <w:b/>
          <w:sz w:val="24"/>
          <w:szCs w:val="24"/>
        </w:rPr>
        <w:t>a través de los primeros</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lineamientos</w:t>
      </w:r>
      <w:r>
        <w:rPr>
          <w:rFonts w:ascii="Palatino Linotype" w:eastAsia="Palatino Linotype" w:hAnsi="Palatino Linotype" w:cs="Palatino Linotype"/>
          <w:sz w:val="24"/>
          <w:szCs w:val="24"/>
        </w:rPr>
        <w:t xml:space="preserve">, se indica lo relativo al tratamiento de los datos personales de personas físicas en posesión de sujetos obligados, lo que es de suma </w:t>
      </w:r>
      <w:r>
        <w:rPr>
          <w:rFonts w:ascii="Palatino Linotype" w:eastAsia="Palatino Linotype" w:hAnsi="Palatino Linotype" w:cs="Palatino Linotype"/>
          <w:sz w:val="24"/>
          <w:szCs w:val="24"/>
        </w:rPr>
        <w:lastRenderedPageBreak/>
        <w:t xml:space="preserve">importancia al momento de clasificar información en versiones públicas que los contengan para definir si el mismo cae en el supuesto de confidencialidad, en armonía con la normatividad anteriormente proporcionada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y, a través de los otros lineamientos, como se puede apreciar, propiamente se establecen los criterios que los sujetos obligados debe tomar en cuenta al momento de llevar a cabo la clasificación o desclasificación de información en las versiones públicas, al advertirse información de carácter confidencial o reservada; </w:t>
      </w:r>
      <w:r>
        <w:rPr>
          <w:rFonts w:ascii="Palatino Linotype" w:eastAsia="Palatino Linotype" w:hAnsi="Palatino Linotype" w:cs="Palatino Linotype"/>
          <w:b/>
          <w:sz w:val="24"/>
          <w:szCs w:val="24"/>
        </w:rPr>
        <w:t>por ende, dichos lineamientos corresponden a lo solicitado por el particular.</w:t>
      </w:r>
    </w:p>
    <w:p w14:paraId="331A002B" w14:textId="77777777" w:rsidR="0054329D" w:rsidRDefault="0054329D">
      <w:pPr>
        <w:spacing w:after="0" w:line="360" w:lineRule="auto"/>
        <w:jc w:val="both"/>
        <w:rPr>
          <w:rFonts w:ascii="Palatino Linotype" w:eastAsia="Palatino Linotype" w:hAnsi="Palatino Linotype" w:cs="Palatino Linotype"/>
          <w:sz w:val="24"/>
          <w:szCs w:val="24"/>
        </w:rPr>
      </w:pPr>
    </w:p>
    <w:p w14:paraId="07853848" w14:textId="77777777" w:rsidR="0054329D" w:rsidRDefault="007C2D5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otro lado, del análisis al Criterio 002 10 emitido por el Instituto de Transparencia, Acceso a la Información Pública y Protección de Datos Personales del Estado de México y Municipios, se advierte que el mismo es relativo a las versiones públicas y se establece que, para su validez los Sujetos Obligados deberán generarlas de conformidad con las formalidades establecidas en la normatividad aplicable; </w:t>
      </w:r>
      <w:r>
        <w:rPr>
          <w:rFonts w:ascii="Palatino Linotype" w:eastAsia="Palatino Linotype" w:hAnsi="Palatino Linotype" w:cs="Palatino Linotype"/>
          <w:b/>
          <w:sz w:val="24"/>
          <w:szCs w:val="24"/>
        </w:rPr>
        <w:t>por lo tanto, dicho criterio corresponde con lo solicitado por el particular.</w:t>
      </w:r>
    </w:p>
    <w:p w14:paraId="1CCCE0A6" w14:textId="77777777" w:rsidR="0054329D" w:rsidRDefault="0054329D">
      <w:pPr>
        <w:spacing w:after="0" w:line="360" w:lineRule="auto"/>
        <w:jc w:val="both"/>
        <w:rPr>
          <w:rFonts w:ascii="Palatino Linotype" w:eastAsia="Palatino Linotype" w:hAnsi="Palatino Linotype" w:cs="Palatino Linotype"/>
          <w:sz w:val="24"/>
          <w:szCs w:val="24"/>
        </w:rPr>
      </w:pPr>
    </w:p>
    <w:p w14:paraId="7AD30682" w14:textId="77777777" w:rsidR="0054329D" w:rsidRDefault="007C2D5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igual forma, del ACUERDO CONAIP/SNT/ACUERDO/ORD02-09/07/2021-04, MEDIANTE EL CUAL SE MODIFICAN LOS LINEAMIENTOS TÉCNICOS GENERALES PARA LA PUBLICACIÓN, HOMOLOGACIÓN Y ESTANDARIZACIÓN DE LA INFORMACIÓN DE LAS OBLIGACIONES ESTABLECIDAS EN EL TÍTULO QUINTO Y EN LA FRACCIÓN IV DEL ARTÍCULO </w:t>
      </w:r>
      <w:r>
        <w:rPr>
          <w:rFonts w:ascii="Palatino Linotype" w:eastAsia="Palatino Linotype" w:hAnsi="Palatino Linotype" w:cs="Palatino Linotype"/>
          <w:sz w:val="24"/>
          <w:szCs w:val="24"/>
        </w:rPr>
        <w:lastRenderedPageBreak/>
        <w:t xml:space="preserve">31 DE LA LEY GENERAL DE TRANSPARENCIA Y ACCESO A LA INFORMACIÓN PÚBLICA, QUE DEBEN DE DIFUNDIR LOS SUJETOS OBLIGADOS EN LOS PORTALES DE INTERNET Y EN LA PLATAFORMA NACIONAL DE TRANSPARENCIA, EN LO REFERENTE A LA FRACCIÓN II DEL ARTÍCULO 73 DE LA LEY GENERAL DE TRANSPARENCIA Y ACCESO A LA INFORMACIÓN PÚBLICA; y, su Anexo Único que contiene los Lineamientos Técnicos de mérito, se desprende que por lo que concierne al tema de elaboración de versiones públicas, proporcionado en respuesta e informe justificado por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dicho documento establece los criterios sustantivos de contenido que deben seguir sujetos obligados como el Poder Judicial Federal y de las Entidades Federativas para la elaboración de las mismas, como se desprende a partir de la foja 8 de dicho documento:</w:t>
      </w:r>
    </w:p>
    <w:p w14:paraId="0CADB100" w14:textId="77777777" w:rsidR="0054329D" w:rsidRDefault="007C2D5C">
      <w:pPr>
        <w:spacing w:after="0"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drawing>
          <wp:inline distT="0" distB="0" distL="0" distR="0" wp14:anchorId="0183E816" wp14:editId="3C6B4DEA">
            <wp:extent cx="4404280" cy="2085750"/>
            <wp:effectExtent l="3175" t="3175" r="3175" b="3175"/>
            <wp:docPr id="209806997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0"/>
                    <a:srcRect/>
                    <a:stretch>
                      <a:fillRect/>
                    </a:stretch>
                  </pic:blipFill>
                  <pic:spPr>
                    <a:xfrm>
                      <a:off x="0" y="0"/>
                      <a:ext cx="4404280" cy="2085750"/>
                    </a:xfrm>
                    <a:prstGeom prst="rect">
                      <a:avLst/>
                    </a:prstGeom>
                    <a:ln w="3175">
                      <a:solidFill>
                        <a:srgbClr val="000000"/>
                      </a:solidFill>
                      <a:prstDash val="solid"/>
                    </a:ln>
                  </pic:spPr>
                </pic:pic>
              </a:graphicData>
            </a:graphic>
          </wp:inline>
        </w:drawing>
      </w:r>
    </w:p>
    <w:p w14:paraId="7E6C0591" w14:textId="77777777" w:rsidR="0054329D" w:rsidRDefault="007C2D5C">
      <w:pPr>
        <w:spacing w:after="0"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p>
    <w:p w14:paraId="111E9134" w14:textId="77777777" w:rsidR="0054329D" w:rsidRDefault="007C2D5C">
      <w:pPr>
        <w:spacing w:after="0"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lastRenderedPageBreak/>
        <w:drawing>
          <wp:inline distT="0" distB="0" distL="0" distR="0" wp14:anchorId="7B98CD24" wp14:editId="3002E028">
            <wp:extent cx="4342857" cy="2474516"/>
            <wp:effectExtent l="3175" t="3175" r="3175" b="3175"/>
            <wp:docPr id="20980699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4342857" cy="2474516"/>
                    </a:xfrm>
                    <a:prstGeom prst="rect">
                      <a:avLst/>
                    </a:prstGeom>
                    <a:ln w="3175">
                      <a:solidFill>
                        <a:srgbClr val="000000"/>
                      </a:solidFill>
                      <a:prstDash val="solid"/>
                    </a:ln>
                  </pic:spPr>
                </pic:pic>
              </a:graphicData>
            </a:graphic>
          </wp:inline>
        </w:drawing>
      </w:r>
    </w:p>
    <w:p w14:paraId="5CB51F60" w14:textId="77777777" w:rsidR="0054329D" w:rsidRDefault="007C2D5C">
      <w:pPr>
        <w:spacing w:after="0"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t>
      </w:r>
    </w:p>
    <w:p w14:paraId="2B819B84" w14:textId="77777777" w:rsidR="0054329D" w:rsidRDefault="007C2D5C">
      <w:pPr>
        <w:spacing w:after="0" w:line="360" w:lineRule="auto"/>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w:drawing>
          <wp:inline distT="0" distB="0" distL="0" distR="0" wp14:anchorId="795E1E97" wp14:editId="2AC892AC">
            <wp:extent cx="4355459" cy="3055350"/>
            <wp:effectExtent l="3175" t="3175" r="3175" b="3175"/>
            <wp:docPr id="209806997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2"/>
                    <a:srcRect/>
                    <a:stretch>
                      <a:fillRect/>
                    </a:stretch>
                  </pic:blipFill>
                  <pic:spPr>
                    <a:xfrm>
                      <a:off x="0" y="0"/>
                      <a:ext cx="4355459" cy="3055350"/>
                    </a:xfrm>
                    <a:prstGeom prst="rect">
                      <a:avLst/>
                    </a:prstGeom>
                    <a:ln w="3175">
                      <a:solidFill>
                        <a:srgbClr val="000000"/>
                      </a:solidFill>
                      <a:prstDash val="solid"/>
                    </a:ln>
                  </pic:spPr>
                </pic:pic>
              </a:graphicData>
            </a:graphic>
          </wp:inline>
        </w:drawing>
      </w:r>
    </w:p>
    <w:p w14:paraId="2637D12D" w14:textId="77777777" w:rsidR="0054329D" w:rsidRDefault="007C2D5C">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P</w:t>
      </w:r>
      <w:r>
        <w:rPr>
          <w:rFonts w:ascii="Palatino Linotype" w:eastAsia="Palatino Linotype" w:hAnsi="Palatino Linotype" w:cs="Palatino Linotype"/>
          <w:b/>
          <w:sz w:val="24"/>
          <w:szCs w:val="24"/>
        </w:rPr>
        <w:t xml:space="preserve">or lo tanto, </w:t>
      </w:r>
      <w:r>
        <w:rPr>
          <w:rFonts w:ascii="Palatino Linotype" w:eastAsia="Palatino Linotype" w:hAnsi="Palatino Linotype" w:cs="Palatino Linotype"/>
          <w:sz w:val="24"/>
          <w:szCs w:val="24"/>
        </w:rPr>
        <w:t xml:space="preserve">dicho acuerdo y su Anexo Único que contiene los Lineamientos Técnicos Generales para la Publicación, Homologación y Estandarización de la Información de </w:t>
      </w:r>
      <w:r>
        <w:rPr>
          <w:rFonts w:ascii="Palatino Linotype" w:eastAsia="Palatino Linotype" w:hAnsi="Palatino Linotype" w:cs="Palatino Linotype"/>
          <w:sz w:val="24"/>
          <w:szCs w:val="24"/>
        </w:rPr>
        <w:lastRenderedPageBreak/>
        <w:t>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lo referente a la fracción II del artículo 73 de la Ley General de Transparencia y Acceso a la Información Pública</w:t>
      </w:r>
      <w:r>
        <w:rPr>
          <w:rFonts w:ascii="Palatino Linotype" w:eastAsia="Palatino Linotype" w:hAnsi="Palatino Linotype" w:cs="Palatino Linotype"/>
          <w:b/>
          <w:sz w:val="24"/>
          <w:szCs w:val="24"/>
        </w:rPr>
        <w:t>, corresponden con lo solicitado por el particular.</w:t>
      </w:r>
    </w:p>
    <w:p w14:paraId="466063FE" w14:textId="77777777" w:rsidR="0054329D" w:rsidRDefault="0054329D">
      <w:pPr>
        <w:spacing w:after="0" w:line="360" w:lineRule="auto"/>
        <w:jc w:val="both"/>
        <w:rPr>
          <w:rFonts w:ascii="Palatino Linotype" w:eastAsia="Palatino Linotype" w:hAnsi="Palatino Linotype" w:cs="Palatino Linotype"/>
          <w:b/>
          <w:sz w:val="24"/>
          <w:szCs w:val="24"/>
        </w:rPr>
      </w:pPr>
    </w:p>
    <w:p w14:paraId="7AE8ED66" w14:textId="77777777" w:rsidR="0054329D" w:rsidRDefault="007C2D5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igual forma, con relación a los Criterios de Interpretación para sujetos obligados con claves de control </w:t>
      </w:r>
      <w:r>
        <w:rPr>
          <w:rFonts w:ascii="Palatino Linotype" w:eastAsia="Palatino Linotype" w:hAnsi="Palatino Linotype" w:cs="Palatino Linotype"/>
          <w:b/>
          <w:sz w:val="24"/>
          <w:szCs w:val="24"/>
        </w:rPr>
        <w:t xml:space="preserve">SO/003/2009, SO/010/2013, SO/014/2013, SO/016/2010 y </w:t>
      </w:r>
      <w:r>
        <w:rPr>
          <w:rFonts w:ascii="Palatino Linotype" w:eastAsia="Palatino Linotype" w:hAnsi="Palatino Linotype" w:cs="Palatino Linotype"/>
          <w:b/>
          <w:color w:val="000000"/>
          <w:sz w:val="24"/>
          <w:szCs w:val="24"/>
        </w:rPr>
        <w:t>SO/016/2010,</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sz w:val="24"/>
          <w:szCs w:val="24"/>
        </w:rPr>
        <w:t>emitidos por el Instituto Nacional de Transparencia, Acceso a la Información y Protección de Datos Personales, proporcionados en informe justificado en formato “</w:t>
      </w:r>
      <w:proofErr w:type="spellStart"/>
      <w:r>
        <w:rPr>
          <w:rFonts w:ascii="Palatino Linotype" w:eastAsia="Palatino Linotype" w:hAnsi="Palatino Linotype" w:cs="Palatino Linotype"/>
          <w:sz w:val="24"/>
          <w:szCs w:val="24"/>
        </w:rPr>
        <w:t>word</w:t>
      </w:r>
      <w:proofErr w:type="spellEnd"/>
      <w:r>
        <w:rPr>
          <w:rFonts w:ascii="Palatino Linotype" w:eastAsia="Palatino Linotype" w:hAnsi="Palatino Linotype" w:cs="Palatino Linotype"/>
          <w:sz w:val="24"/>
          <w:szCs w:val="24"/>
        </w:rPr>
        <w:t>” sobre los siguientes temas:</w:t>
      </w:r>
    </w:p>
    <w:p w14:paraId="54E851FF" w14:textId="77777777" w:rsidR="0054329D" w:rsidRDefault="0054329D">
      <w:pPr>
        <w:spacing w:after="0" w:line="360" w:lineRule="auto"/>
        <w:jc w:val="both"/>
        <w:rPr>
          <w:rFonts w:ascii="Palatino Linotype" w:eastAsia="Palatino Linotype" w:hAnsi="Palatino Linotype" w:cs="Palatino Linotype"/>
          <w:sz w:val="24"/>
          <w:szCs w:val="24"/>
        </w:rPr>
      </w:pPr>
    </w:p>
    <w:p w14:paraId="6F9E8BDC" w14:textId="77777777" w:rsidR="0054329D" w:rsidRDefault="007C2D5C">
      <w:pPr>
        <w:numPr>
          <w:ilvl w:val="0"/>
          <w:numId w:val="1"/>
        </w:numPr>
        <w:pBdr>
          <w:top w:val="nil"/>
          <w:left w:val="nil"/>
          <w:bottom w:val="nil"/>
          <w:right w:val="nil"/>
          <w:between w:val="nil"/>
        </w:pBdr>
        <w:spacing w:after="0" w:line="276" w:lineRule="auto"/>
        <w:ind w:left="426" w:right="49"/>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color w:val="000000"/>
          <w:u w:val="single"/>
        </w:rPr>
        <w:t>Curriculum</w:t>
      </w:r>
      <w:proofErr w:type="spellEnd"/>
      <w:r>
        <w:rPr>
          <w:rFonts w:ascii="Palatino Linotype" w:eastAsia="Palatino Linotype" w:hAnsi="Palatino Linotype" w:cs="Palatino Linotype"/>
          <w:color w:val="000000"/>
          <w:u w:val="single"/>
        </w:rPr>
        <w:t xml:space="preserve"> Vitae de servidores públicos. Es obligación de los sujetos obligados otorgar acceso a versiones públicas de los mismos ante una solicitud de acceso.</w:t>
      </w:r>
    </w:p>
    <w:p w14:paraId="30686A2A" w14:textId="77777777" w:rsidR="0054329D" w:rsidRDefault="0054329D">
      <w:pPr>
        <w:pBdr>
          <w:top w:val="nil"/>
          <w:left w:val="nil"/>
          <w:bottom w:val="nil"/>
          <w:right w:val="nil"/>
          <w:between w:val="nil"/>
        </w:pBdr>
        <w:spacing w:after="0" w:line="276" w:lineRule="auto"/>
        <w:ind w:left="426" w:right="49"/>
        <w:jc w:val="both"/>
        <w:rPr>
          <w:rFonts w:ascii="Palatino Linotype" w:eastAsia="Palatino Linotype" w:hAnsi="Palatino Linotype" w:cs="Palatino Linotype"/>
          <w:color w:val="000000"/>
        </w:rPr>
      </w:pPr>
    </w:p>
    <w:p w14:paraId="30BD8ED2" w14:textId="77777777" w:rsidR="0054329D" w:rsidRDefault="007C2D5C">
      <w:pPr>
        <w:numPr>
          <w:ilvl w:val="0"/>
          <w:numId w:val="1"/>
        </w:numPr>
        <w:pBdr>
          <w:top w:val="nil"/>
          <w:left w:val="nil"/>
          <w:bottom w:val="nil"/>
          <w:right w:val="nil"/>
          <w:between w:val="nil"/>
        </w:pBdr>
        <w:spacing w:after="0" w:line="276" w:lineRule="auto"/>
        <w:ind w:left="426"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u w:val="single"/>
        </w:rPr>
        <w:t>Número de cuenta bancaria de particulares, personas físicas y morales, constituye información confidencial.</w:t>
      </w:r>
    </w:p>
    <w:p w14:paraId="731CE5A7" w14:textId="77777777" w:rsidR="0054329D" w:rsidRDefault="0054329D">
      <w:pPr>
        <w:pBdr>
          <w:top w:val="nil"/>
          <w:left w:val="nil"/>
          <w:bottom w:val="nil"/>
          <w:right w:val="nil"/>
          <w:between w:val="nil"/>
        </w:pBdr>
        <w:spacing w:after="0"/>
        <w:ind w:left="720"/>
        <w:rPr>
          <w:rFonts w:ascii="Palatino Linotype" w:eastAsia="Palatino Linotype" w:hAnsi="Palatino Linotype" w:cs="Palatino Linotype"/>
          <w:color w:val="000000"/>
        </w:rPr>
      </w:pPr>
    </w:p>
    <w:p w14:paraId="36A32FEE" w14:textId="77777777" w:rsidR="0054329D" w:rsidRDefault="007C2D5C">
      <w:pPr>
        <w:numPr>
          <w:ilvl w:val="0"/>
          <w:numId w:val="1"/>
        </w:numPr>
        <w:pBdr>
          <w:top w:val="nil"/>
          <w:left w:val="nil"/>
          <w:bottom w:val="nil"/>
          <w:right w:val="nil"/>
          <w:between w:val="nil"/>
        </w:pBdr>
        <w:spacing w:after="0" w:line="276" w:lineRule="auto"/>
        <w:ind w:left="426"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u w:val="single"/>
        </w:rPr>
        <w:t>Actas, minutas y versiones estenográficas de sesiones de autoridades, en principio son públicas.</w:t>
      </w:r>
    </w:p>
    <w:p w14:paraId="2D728578" w14:textId="77777777" w:rsidR="0054329D" w:rsidRDefault="0054329D">
      <w:pPr>
        <w:pBdr>
          <w:top w:val="nil"/>
          <w:left w:val="nil"/>
          <w:bottom w:val="nil"/>
          <w:right w:val="nil"/>
          <w:between w:val="nil"/>
        </w:pBdr>
        <w:spacing w:after="0"/>
        <w:ind w:left="720"/>
        <w:rPr>
          <w:rFonts w:ascii="Palatino Linotype" w:eastAsia="Palatino Linotype" w:hAnsi="Palatino Linotype" w:cs="Palatino Linotype"/>
          <w:color w:val="000000"/>
        </w:rPr>
      </w:pPr>
    </w:p>
    <w:p w14:paraId="1D77156D" w14:textId="77777777" w:rsidR="0054329D" w:rsidRDefault="007C2D5C">
      <w:pPr>
        <w:numPr>
          <w:ilvl w:val="0"/>
          <w:numId w:val="1"/>
        </w:numPr>
        <w:pBdr>
          <w:top w:val="nil"/>
          <w:left w:val="nil"/>
          <w:bottom w:val="nil"/>
          <w:right w:val="nil"/>
          <w:between w:val="nil"/>
        </w:pBdr>
        <w:spacing w:after="0" w:line="276" w:lineRule="auto"/>
        <w:ind w:left="426"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u w:val="single"/>
        </w:rPr>
        <w:t>Procede el otorgamiento de una versión pública en los casos de solicitudes de acceso a licencias médicas de servidores públicos.</w:t>
      </w:r>
      <w:r>
        <w:rPr>
          <w:rFonts w:ascii="Palatino Linotype" w:eastAsia="Palatino Linotype" w:hAnsi="Palatino Linotype" w:cs="Palatino Linotype"/>
          <w:color w:val="000000"/>
        </w:rPr>
        <w:t xml:space="preserve">  </w:t>
      </w:r>
    </w:p>
    <w:p w14:paraId="7C7DBF5A" w14:textId="77777777" w:rsidR="0054329D" w:rsidRDefault="0054329D">
      <w:pPr>
        <w:pBdr>
          <w:top w:val="nil"/>
          <w:left w:val="nil"/>
          <w:bottom w:val="nil"/>
          <w:right w:val="nil"/>
          <w:between w:val="nil"/>
        </w:pBdr>
        <w:spacing w:after="0"/>
        <w:ind w:left="720"/>
        <w:rPr>
          <w:rFonts w:ascii="Palatino Linotype" w:eastAsia="Palatino Linotype" w:hAnsi="Palatino Linotype" w:cs="Palatino Linotype"/>
          <w:color w:val="000000"/>
        </w:rPr>
      </w:pPr>
    </w:p>
    <w:p w14:paraId="7F22C7D8" w14:textId="77777777" w:rsidR="0054329D" w:rsidRDefault="007C2D5C">
      <w:pPr>
        <w:numPr>
          <w:ilvl w:val="0"/>
          <w:numId w:val="1"/>
        </w:numPr>
        <w:pBdr>
          <w:top w:val="nil"/>
          <w:left w:val="nil"/>
          <w:bottom w:val="nil"/>
          <w:right w:val="nil"/>
          <w:between w:val="nil"/>
        </w:pBdr>
        <w:spacing w:after="0" w:line="276" w:lineRule="auto"/>
        <w:ind w:left="426"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u w:val="single"/>
        </w:rPr>
        <w:lastRenderedPageBreak/>
        <w:t>Ante solicitudes de acceso a hojas únicas de servicios, por personas distintas a su titular, procede el otorgamiento de una versión pública.</w:t>
      </w:r>
    </w:p>
    <w:p w14:paraId="745995E3" w14:textId="77777777" w:rsidR="0054329D" w:rsidRDefault="0054329D">
      <w:pPr>
        <w:spacing w:after="0" w:line="360" w:lineRule="auto"/>
        <w:jc w:val="both"/>
        <w:rPr>
          <w:rFonts w:ascii="Palatino Linotype" w:eastAsia="Palatino Linotype" w:hAnsi="Palatino Linotype" w:cs="Palatino Linotype"/>
          <w:sz w:val="24"/>
          <w:szCs w:val="24"/>
        </w:rPr>
      </w:pPr>
    </w:p>
    <w:p w14:paraId="2BD81F60" w14:textId="77777777" w:rsidR="0054329D" w:rsidRDefault="007C2D5C">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Del análisis a los mismos, se desprende el tipo de información que, a criterio del Instituto Nacional de Transparencia, Acceso a la Información y Protección de Datos Personales, es procedente su entrega en versión pública, así como el tipo de datos que son o no susceptibles de clasificarse en las mismas; </w:t>
      </w:r>
      <w:r>
        <w:rPr>
          <w:rFonts w:ascii="Palatino Linotype" w:eastAsia="Palatino Linotype" w:hAnsi="Palatino Linotype" w:cs="Palatino Linotype"/>
          <w:b/>
          <w:sz w:val="24"/>
          <w:szCs w:val="24"/>
        </w:rPr>
        <w:t>lo cual guarda relación con lo solicitado por el particular.</w:t>
      </w:r>
    </w:p>
    <w:p w14:paraId="1D386DBC" w14:textId="77777777" w:rsidR="0054329D" w:rsidRDefault="0054329D">
      <w:pPr>
        <w:spacing w:after="0" w:line="360" w:lineRule="auto"/>
        <w:jc w:val="both"/>
        <w:rPr>
          <w:rFonts w:ascii="Palatino Linotype" w:eastAsia="Palatino Linotype" w:hAnsi="Palatino Linotype" w:cs="Palatino Linotype"/>
          <w:sz w:val="24"/>
          <w:szCs w:val="24"/>
        </w:rPr>
      </w:pPr>
    </w:p>
    <w:p w14:paraId="18D68031" w14:textId="77777777" w:rsidR="0054329D" w:rsidRDefault="007C2D5C">
      <w:pPr>
        <w:spacing w:after="0" w:line="360" w:lineRule="auto"/>
        <w:jc w:val="both"/>
        <w:rPr>
          <w:rFonts w:ascii="Palatino Linotype" w:eastAsia="Palatino Linotype" w:hAnsi="Palatino Linotype" w:cs="Palatino Linotype"/>
          <w:sz w:val="24"/>
          <w:szCs w:val="24"/>
        </w:rPr>
      </w:pPr>
      <w:bookmarkStart w:id="28" w:name="_heading=h.1pxezwc" w:colFirst="0" w:colLast="0"/>
      <w:bookmarkEnd w:id="28"/>
      <w:r>
        <w:rPr>
          <w:rFonts w:ascii="Palatino Linotype" w:eastAsia="Palatino Linotype" w:hAnsi="Palatino Linotype" w:cs="Palatino Linotype"/>
          <w:sz w:val="24"/>
          <w:szCs w:val="24"/>
        </w:rPr>
        <w:t xml:space="preserve">Finalmente, respecto a los Criterios Orientadores Derivados de las Resoluciones emitidas por el Instituto de Transparencia, Acceso a la Información Pública y Protección de Datos Personales del Estado de México y Municipios (INFOEM), y los  Criterios de Interpretación del Instituto Nacional de Transparencia, Acceso a la Información y Protección de Datos Personales (INAI), como quedó precisado anteriormente se proporcionaron en informe justificado a la parte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los pasos para su consulta; pasos que fueron corroborados por este Órgano Garante y en efecto, permiten al particular consultar dichos criterios, que estrechamente guardan relación con la elaboración de versiones públicas.</w:t>
      </w:r>
    </w:p>
    <w:p w14:paraId="7800A8CC" w14:textId="77777777" w:rsidR="0054329D" w:rsidRDefault="0054329D">
      <w:pPr>
        <w:spacing w:after="0" w:line="360" w:lineRule="auto"/>
        <w:jc w:val="both"/>
        <w:rPr>
          <w:rFonts w:ascii="Palatino Linotype" w:eastAsia="Palatino Linotype" w:hAnsi="Palatino Linotype" w:cs="Palatino Linotype"/>
          <w:sz w:val="24"/>
          <w:szCs w:val="24"/>
        </w:rPr>
      </w:pPr>
    </w:p>
    <w:p w14:paraId="4C588183" w14:textId="77777777" w:rsidR="0054329D" w:rsidRDefault="007C2D5C">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De esta manera, es que con la información proporcionada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informe justificado se colma el derecho de acceso a la información pública de la parte </w:t>
      </w:r>
      <w:r>
        <w:rPr>
          <w:rFonts w:ascii="Palatino Linotype" w:eastAsia="Palatino Linotype" w:hAnsi="Palatino Linotype" w:cs="Palatino Linotype"/>
          <w:b/>
          <w:sz w:val="24"/>
          <w:szCs w:val="24"/>
        </w:rPr>
        <w:t>Recurrente.</w:t>
      </w:r>
    </w:p>
    <w:p w14:paraId="7A6D4B8A" w14:textId="77777777" w:rsidR="0054329D" w:rsidRDefault="0054329D">
      <w:pPr>
        <w:spacing w:after="0" w:line="360" w:lineRule="auto"/>
        <w:jc w:val="both"/>
        <w:rPr>
          <w:rFonts w:ascii="Palatino Linotype" w:eastAsia="Palatino Linotype" w:hAnsi="Palatino Linotype" w:cs="Palatino Linotype"/>
          <w:b/>
          <w:sz w:val="24"/>
          <w:szCs w:val="24"/>
        </w:rPr>
      </w:pPr>
    </w:p>
    <w:p w14:paraId="4DF7DBE0" w14:textId="77777777" w:rsidR="0054329D" w:rsidRDefault="007C2D5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Además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de que las áreas del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que se pronunciaron sobre la información, fue la </w:t>
      </w:r>
      <w:r>
        <w:rPr>
          <w:rFonts w:ascii="Palatino Linotype" w:eastAsia="Palatino Linotype" w:hAnsi="Palatino Linotype" w:cs="Palatino Linotype"/>
          <w:b/>
          <w:sz w:val="24"/>
          <w:szCs w:val="24"/>
        </w:rPr>
        <w:t>Dirección General de Protección de Datos Personales</w:t>
      </w:r>
      <w:r>
        <w:rPr>
          <w:rFonts w:ascii="Palatino Linotype" w:eastAsia="Palatino Linotype" w:hAnsi="Palatino Linotype" w:cs="Palatino Linotype"/>
          <w:sz w:val="24"/>
          <w:szCs w:val="24"/>
        </w:rPr>
        <w:t xml:space="preserve"> y la </w:t>
      </w:r>
      <w:r>
        <w:rPr>
          <w:rFonts w:ascii="Palatino Linotype" w:eastAsia="Palatino Linotype" w:hAnsi="Palatino Linotype" w:cs="Palatino Linotype"/>
          <w:b/>
          <w:sz w:val="24"/>
          <w:szCs w:val="24"/>
        </w:rPr>
        <w:t>Dirección General Jurídica y de Verificación</w:t>
      </w:r>
      <w:r>
        <w:rPr>
          <w:rFonts w:ascii="Palatino Linotype" w:eastAsia="Palatino Linotype" w:hAnsi="Palatino Linotype" w:cs="Palatino Linotype"/>
          <w:sz w:val="24"/>
          <w:szCs w:val="24"/>
        </w:rPr>
        <w:t xml:space="preserve">, en términos de los artículos 23, fracciones XI y XIII, y 24, fracción XXI, del </w:t>
      </w:r>
      <w:r>
        <w:rPr>
          <w:rFonts w:ascii="Palatino Linotype" w:eastAsia="Palatino Linotype" w:hAnsi="Palatino Linotype" w:cs="Palatino Linotype"/>
          <w:color w:val="000000"/>
          <w:sz w:val="24"/>
          <w:szCs w:val="24"/>
        </w:rPr>
        <w:t>Reglamento Interior del Instituto de Transparencia y Acceso a la Información Pública y Protección de Datos Personales del Estado de México y Municipios, son las áreas competentes para poseer o administrar la información requerida por el particular.</w:t>
      </w:r>
    </w:p>
    <w:p w14:paraId="38BB0C33" w14:textId="77777777" w:rsidR="0054329D" w:rsidRDefault="0054329D">
      <w:pPr>
        <w:spacing w:after="0" w:line="360" w:lineRule="auto"/>
        <w:jc w:val="both"/>
        <w:rPr>
          <w:rFonts w:ascii="Palatino Linotype" w:eastAsia="Palatino Linotype" w:hAnsi="Palatino Linotype" w:cs="Palatino Linotype"/>
          <w:sz w:val="24"/>
          <w:szCs w:val="24"/>
        </w:rPr>
      </w:pPr>
    </w:p>
    <w:p w14:paraId="7ACFC29C" w14:textId="77777777" w:rsidR="0054329D" w:rsidRDefault="007C2D5C">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este sentido y toda vez que las áreas competentes dieron respuesta a la solicitud de información,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0F69E2D2" w14:textId="77777777" w:rsidR="0054329D" w:rsidRDefault="0054329D">
      <w:pPr>
        <w:spacing w:after="120" w:line="360" w:lineRule="auto"/>
        <w:jc w:val="both"/>
        <w:rPr>
          <w:rFonts w:ascii="Palatino Linotype" w:eastAsia="Palatino Linotype" w:hAnsi="Palatino Linotype" w:cs="Palatino Linotype"/>
        </w:rPr>
      </w:pPr>
    </w:p>
    <w:p w14:paraId="6C2F4769" w14:textId="77777777" w:rsidR="0054329D" w:rsidRDefault="007C2D5C">
      <w:pPr>
        <w:spacing w:before="120" w:after="12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presupuestaria y de decisión, encargado </w:t>
      </w:r>
      <w:r>
        <w:rPr>
          <w:rFonts w:ascii="Palatino Linotype" w:eastAsia="Palatino Linotype" w:hAnsi="Palatino Linotype" w:cs="Palatino Linotype"/>
          <w:i/>
        </w:rPr>
        <w:lastRenderedPageBreak/>
        <w:t>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14:paraId="6CD37F07" w14:textId="77777777" w:rsidR="0054329D" w:rsidRDefault="007C2D5C">
      <w:pPr>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conformidad con lo anterior, y una vez analizada las constancias que integran el expediente en que se actúa, las razones o motivos de inconformidad vertidos con relación a la respuesta, los mismos devienen </w:t>
      </w:r>
      <w:r>
        <w:rPr>
          <w:rFonts w:ascii="Palatino Linotype" w:eastAsia="Palatino Linotype" w:hAnsi="Palatino Linotype" w:cs="Palatino Linotype"/>
          <w:b/>
          <w:sz w:val="24"/>
          <w:szCs w:val="24"/>
        </w:rPr>
        <w:t>parcialmente fundados</w:t>
      </w:r>
      <w:r>
        <w:rPr>
          <w:rFonts w:ascii="Palatino Linotype" w:eastAsia="Palatino Linotype" w:hAnsi="Palatino Linotype" w:cs="Palatino Linotype"/>
          <w:sz w:val="24"/>
          <w:szCs w:val="24"/>
        </w:rPr>
        <w:t xml:space="preserve">, pues en el informe justificado fue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colmó en su totalidad el derecho de acceso a la información pública al modificar su respuesta, aportando tanto las ligas electrónicas como los pasos para tener acceso a los </w:t>
      </w:r>
      <w:r>
        <w:rPr>
          <w:rFonts w:ascii="Palatino Linotype" w:eastAsia="Palatino Linotype" w:hAnsi="Palatino Linotype" w:cs="Palatino Linotype"/>
          <w:sz w:val="24"/>
          <w:szCs w:val="24"/>
          <w:u w:val="single"/>
        </w:rPr>
        <w:t>Criterios Orientadores Derivados de las Resoluciones emitidas por el Instituto de Transparencia, Acceso a la Información Pública y Protección de Datos Personales del Estado de México y Municipios (INFOEM), y los  Criterios de Interpretación del Instituto Nacional de Transparencia, Acceso a la Información y Protección de Datos Personales (INAI).</w:t>
      </w:r>
    </w:p>
    <w:p w14:paraId="08BD215D" w14:textId="77777777" w:rsidR="0054329D" w:rsidRDefault="007C2D5C">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consecuencia, de todo lo anterior, se actualiza la causal de sobreseimiento prevista en la fracción III del artículo 192 de la Ley de Transparencia y Acceso a la Información Pública del Estado de México y Municipios, que dispone lo siguiente:</w:t>
      </w:r>
    </w:p>
    <w:p w14:paraId="5AB59CF6" w14:textId="77777777" w:rsidR="0054329D" w:rsidRDefault="0054329D">
      <w:pPr>
        <w:spacing w:line="360" w:lineRule="auto"/>
        <w:jc w:val="both"/>
        <w:rPr>
          <w:rFonts w:ascii="Palatino Linotype" w:eastAsia="Palatino Linotype" w:hAnsi="Palatino Linotype" w:cs="Palatino Linotype"/>
          <w:color w:val="FF0000"/>
        </w:rPr>
      </w:pPr>
    </w:p>
    <w:p w14:paraId="045381B5" w14:textId="77777777" w:rsidR="0054329D" w:rsidRDefault="007C2D5C">
      <w:pPr>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 xml:space="preserve">“Artículo 192. </w:t>
      </w:r>
      <w:r>
        <w:rPr>
          <w:rFonts w:ascii="Palatino Linotype" w:eastAsia="Palatino Linotype" w:hAnsi="Palatino Linotype" w:cs="Palatino Linotype"/>
          <w:i/>
        </w:rPr>
        <w:t>El recurso será sobreseído en todo o en parte cuando una vez admitido, se actualicen alguno de los siguientes supuestos:</w:t>
      </w:r>
    </w:p>
    <w:p w14:paraId="12A3A54B" w14:textId="77777777" w:rsidR="0054329D" w:rsidRDefault="007C2D5C">
      <w:pPr>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w:t>
      </w:r>
    </w:p>
    <w:p w14:paraId="2B08EBFD" w14:textId="77777777" w:rsidR="0054329D" w:rsidRDefault="007C2D5C">
      <w:pPr>
        <w:ind w:left="992" w:right="1043"/>
        <w:jc w:val="both"/>
        <w:rPr>
          <w:rFonts w:ascii="Palatino Linotype" w:eastAsia="Palatino Linotype" w:hAnsi="Palatino Linotype" w:cs="Palatino Linotype"/>
          <w:b/>
          <w:i/>
        </w:rPr>
      </w:pPr>
      <w:r>
        <w:rPr>
          <w:rFonts w:ascii="Palatino Linotype" w:eastAsia="Palatino Linotype" w:hAnsi="Palatino Linotype" w:cs="Palatino Linotype"/>
          <w:b/>
          <w:i/>
        </w:rPr>
        <w:t>III. El sujeto obligado responsable del acto lo modifique o revoque de tal manera que el recurso de revisión quede sin materia…”. (Sic)</w:t>
      </w:r>
    </w:p>
    <w:p w14:paraId="1052162A" w14:textId="77777777" w:rsidR="0054329D" w:rsidRDefault="0054329D">
      <w:pPr>
        <w:spacing w:line="360" w:lineRule="auto"/>
        <w:jc w:val="both"/>
        <w:rPr>
          <w:rFonts w:ascii="Palatino Linotype" w:eastAsia="Palatino Linotype" w:hAnsi="Palatino Linotype" w:cs="Palatino Linotype"/>
          <w:b/>
          <w:i/>
          <w:sz w:val="28"/>
          <w:szCs w:val="28"/>
        </w:rPr>
      </w:pPr>
    </w:p>
    <w:p w14:paraId="38290726" w14:textId="77777777" w:rsidR="0054329D" w:rsidRDefault="007C2D5C">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establecido en el precepto legal citado se advierte que el sobreseimiento del recurso de revisión procede en los siguientes casos:</w:t>
      </w:r>
    </w:p>
    <w:p w14:paraId="190417FF" w14:textId="77777777" w:rsidR="0054329D" w:rsidRDefault="007C2D5C">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 Cuando el sujeto obligado modifique el acto impugnado.</w:t>
      </w:r>
    </w:p>
    <w:p w14:paraId="4D194749" w14:textId="77777777" w:rsidR="0054329D" w:rsidRDefault="007C2D5C">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b) Cuando el sujeto obligado revoque el acto impugnado.</w:t>
      </w:r>
    </w:p>
    <w:p w14:paraId="5DD09774" w14:textId="77777777" w:rsidR="0054329D" w:rsidRDefault="007C2D5C">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Quedando en ambos casos el acto combatido sin materia o sin efectos.</w:t>
      </w:r>
    </w:p>
    <w:p w14:paraId="264F3879" w14:textId="77777777" w:rsidR="0054329D" w:rsidRDefault="007C2D5C">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Como se observa de lo anterior, un acto impugnado es modificado en aquellos casos en los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después de haber otorgado una respuesta, emite una diversa de manera posterior y en esta subsana las deficiencias que hubiera tenido, quedando satisfecho el derecho subjetivo accionado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w:t>
      </w:r>
    </w:p>
    <w:p w14:paraId="4836530C" w14:textId="77777777" w:rsidR="0054329D" w:rsidRDefault="007C2D5C">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que hace a la revocación, esta se actualiza cuando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deja sin efectos la primera respuesta y en su lugar emite otra con las características y cualidades suficientes para dejar satisfecho el ejercicio del derecho al acceso a la información pública.</w:t>
      </w:r>
    </w:p>
    <w:p w14:paraId="671CCC13" w14:textId="77777777" w:rsidR="0054329D" w:rsidRDefault="007C2D5C">
      <w:pPr>
        <w:spacing w:before="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En ese tenor, un acto impugnado queda sin efectos, cuando aun existiendo jurídicamente (esto es, que no se ha modificado, ni revocado) ya no genera ninguna consecuencia legal.</w:t>
      </w:r>
    </w:p>
    <w:p w14:paraId="56CDD123" w14:textId="77777777" w:rsidR="0054329D" w:rsidRDefault="007C2D5C">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tanto, en el presente caso queda sin materia, toda vez que con el Informe Justificado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modificó la respuesta al entregar la información solicitada de manera completa.</w:t>
      </w:r>
    </w:p>
    <w:p w14:paraId="30DD1C8F" w14:textId="77777777" w:rsidR="0054329D" w:rsidRDefault="007C2D5C">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Tomando en consideración dicha circunstancia, así como el hecho de que la información proporcionada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fue puesta a la vista de la parte </w:t>
      </w:r>
      <w:r>
        <w:rPr>
          <w:rFonts w:ascii="Palatino Linotype" w:eastAsia="Palatino Linotype" w:hAnsi="Palatino Linotype" w:cs="Palatino Linotype"/>
          <w:b/>
          <w:sz w:val="24"/>
          <w:szCs w:val="24"/>
        </w:rPr>
        <w:t xml:space="preserve">Recurrente </w:t>
      </w:r>
      <w:r>
        <w:rPr>
          <w:rFonts w:ascii="Palatino Linotype" w:eastAsia="Palatino Linotype" w:hAnsi="Palatino Linotype" w:cs="Palatino Linotype"/>
          <w:sz w:val="24"/>
          <w:szCs w:val="24"/>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2D9D628E" w14:textId="77777777" w:rsidR="0054329D" w:rsidRDefault="007C2D5C">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resumen,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dio respuesta completa a la solicitud de acceso a la información pública 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09DABBCE" w14:textId="77777777" w:rsidR="0054329D" w:rsidRDefault="007C2D5C">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Siendo el </w:t>
      </w:r>
      <w:r>
        <w:rPr>
          <w:rFonts w:ascii="Palatino Linotype" w:eastAsia="Palatino Linotype" w:hAnsi="Palatino Linotype" w:cs="Palatino Linotype"/>
          <w:i/>
          <w:sz w:val="24"/>
          <w:szCs w:val="24"/>
        </w:rPr>
        <w:t>sobreseimiento</w:t>
      </w:r>
      <w:r>
        <w:rPr>
          <w:rFonts w:ascii="Palatino Linotype" w:eastAsia="Palatino Linotype" w:hAnsi="Palatino Linotype" w:cs="Palatino Linotype"/>
          <w:sz w:val="24"/>
          <w:szCs w:val="24"/>
        </w:rPr>
        <w:t xml:space="preserve"> un acto que da por terminado el procedimiento administrativo de impugnación sin resolver el fondo de la cuestión planteada, por presentarse causas que impiden a la autoridad referirse a lo sustancial de lo planteado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los efectos del sobreseimiento son los de dar por concluido el recurso administrativo sin entrar al estudio de fondo del asunto de que se trate; lo anterior con apoyo en el criterio del Poder Judicial de la Federación con rubro:</w:t>
      </w:r>
    </w:p>
    <w:p w14:paraId="276375A0" w14:textId="77777777" w:rsidR="0054329D" w:rsidRDefault="007C2D5C">
      <w:pPr>
        <w:spacing w:before="240"/>
        <w:ind w:left="567" w:right="567"/>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SOBRESEIMIENTO, NO PERMITE ENTRAR AL ESTUDIO DE LAS CUESTIONES DE FONDO</w:t>
      </w:r>
    </w:p>
    <w:p w14:paraId="2DA43FE9" w14:textId="77777777" w:rsidR="0054329D" w:rsidRDefault="007C2D5C">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Localización: 213609. II.2o.183 K. Tribunales Colegiados de Circuito. Octava Época. Semanario Judicial de la Federación. Tomo XIII, Febrero de 1994, Pág. 420</w:t>
      </w:r>
    </w:p>
    <w:p w14:paraId="11349DBF" w14:textId="77777777" w:rsidR="0054329D" w:rsidRDefault="007C2D5C">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2A946288" w14:textId="77777777" w:rsidR="0054329D" w:rsidRDefault="0054329D">
      <w:pPr>
        <w:ind w:left="567" w:right="567"/>
        <w:jc w:val="both"/>
        <w:rPr>
          <w:rFonts w:ascii="Palatino Linotype" w:eastAsia="Palatino Linotype" w:hAnsi="Palatino Linotype" w:cs="Palatino Linotype"/>
          <w:i/>
        </w:rPr>
      </w:pPr>
    </w:p>
    <w:p w14:paraId="1994D373" w14:textId="77777777" w:rsidR="0054329D" w:rsidRDefault="007C2D5C">
      <w:pPr>
        <w:spacing w:after="240" w:line="360"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sz w:val="24"/>
          <w:szCs w:val="24"/>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7D80A6A9" w14:textId="77777777" w:rsidR="0054329D" w:rsidRDefault="007C2D5C">
      <w:pPr>
        <w:spacing w:before="240"/>
        <w:ind w:left="567" w:right="567"/>
        <w:jc w:val="both"/>
        <w:rPr>
          <w:rFonts w:ascii="Palatino Linotype" w:eastAsia="Palatino Linotype" w:hAnsi="Palatino Linotype" w:cs="Palatino Linotype"/>
          <w:i/>
        </w:rPr>
      </w:pPr>
      <w:r>
        <w:rPr>
          <w:rFonts w:ascii="Palatino Linotype" w:eastAsia="Palatino Linotype" w:hAnsi="Palatino Linotype" w:cs="Palatino Linotype"/>
        </w:rPr>
        <w:t xml:space="preserve"> </w:t>
      </w:r>
      <w:r>
        <w:rPr>
          <w:rFonts w:ascii="Palatino Linotype" w:eastAsia="Palatino Linotype" w:hAnsi="Palatino Linotype" w:cs="Palatino Linotype"/>
          <w:i/>
        </w:rPr>
        <w:t>“DESECHAMIENTO O SOBRESEIMIENTO EN EL JUICIO DE AMPARO. NO IMPLICA DENEGACIÓN DE JUSTICIA NI GENERA INSEGURIDAD JURÍDICA”</w:t>
      </w:r>
    </w:p>
    <w:p w14:paraId="4B8690F6" w14:textId="77777777" w:rsidR="0054329D" w:rsidRDefault="007C2D5C">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w:t>
      </w:r>
      <w:r>
        <w:rPr>
          <w:rFonts w:ascii="Palatino Linotype" w:eastAsia="Palatino Linotype" w:hAnsi="Palatino Linotype" w:cs="Palatino Linotype"/>
          <w:i/>
        </w:rPr>
        <w:lastRenderedPageBreak/>
        <w:t xml:space="preserve">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Pr>
          <w:rFonts w:ascii="Palatino Linotype" w:eastAsia="Palatino Linotype" w:hAnsi="Palatino Linotype" w:cs="Palatino Linotype"/>
          <w:i/>
        </w:rPr>
        <w:t>promovente</w:t>
      </w:r>
      <w:proofErr w:type="spellEnd"/>
      <w:r>
        <w:rPr>
          <w:rFonts w:ascii="Palatino Linotype" w:eastAsia="Palatino Linotype" w:hAnsi="Palatino Linotype" w:cs="Palatino Linotype"/>
          <w:i/>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0474190B" w14:textId="77777777" w:rsidR="0054329D" w:rsidRDefault="0054329D">
      <w:pPr>
        <w:ind w:left="567" w:right="567"/>
        <w:jc w:val="both"/>
        <w:rPr>
          <w:rFonts w:ascii="Palatino Linotype" w:eastAsia="Palatino Linotype" w:hAnsi="Palatino Linotype" w:cs="Palatino Linotype"/>
          <w:i/>
        </w:rPr>
      </w:pPr>
    </w:p>
    <w:p w14:paraId="74F16F25" w14:textId="77777777" w:rsidR="0054329D" w:rsidRDefault="007C2D5C">
      <w:pPr>
        <w:spacing w:after="240" w:line="360" w:lineRule="auto"/>
        <w:jc w:val="both"/>
        <w:rPr>
          <w:rFonts w:ascii="Palatino Linotype" w:eastAsia="Palatino Linotype" w:hAnsi="Palatino Linotype" w:cs="Palatino Linotype"/>
          <w:sz w:val="28"/>
          <w:szCs w:val="28"/>
        </w:rPr>
      </w:pPr>
      <w:r>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 de la Ley de Transparencia y Acceso a la Información Pública del Estado de México y Municipios, este Pleno:</w:t>
      </w:r>
    </w:p>
    <w:p w14:paraId="6D41C876" w14:textId="77777777" w:rsidR="0054329D" w:rsidRDefault="007C2D5C">
      <w:pPr>
        <w:spacing w:before="240" w:line="360" w:lineRule="auto"/>
        <w:ind w:left="360"/>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III.R E S U E L V E:</w:t>
      </w:r>
    </w:p>
    <w:p w14:paraId="0FB457F9" w14:textId="77777777" w:rsidR="0054329D" w:rsidRDefault="007C2D5C">
      <w:pPr>
        <w:spacing w:before="280" w:after="28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highlight w:val="white"/>
        </w:rPr>
        <w:t>Primero</w:t>
      </w:r>
      <w:r>
        <w:rPr>
          <w:rFonts w:ascii="Palatino Linotype" w:eastAsia="Palatino Linotype" w:hAnsi="Palatino Linotype" w:cs="Palatino Linotype"/>
          <w:color w:val="000000"/>
          <w:sz w:val="24"/>
          <w:szCs w:val="24"/>
          <w:highlight w:val="white"/>
        </w:rPr>
        <w:t xml:space="preserve">. Se </w:t>
      </w:r>
      <w:r>
        <w:rPr>
          <w:rFonts w:ascii="Palatino Linotype" w:eastAsia="Palatino Linotype" w:hAnsi="Palatino Linotype" w:cs="Palatino Linotype"/>
          <w:b/>
          <w:color w:val="000000"/>
          <w:sz w:val="24"/>
          <w:szCs w:val="24"/>
          <w:highlight w:val="white"/>
        </w:rPr>
        <w:t>SOBRESEE</w:t>
      </w:r>
      <w:r>
        <w:rPr>
          <w:rFonts w:ascii="Palatino Linotype" w:eastAsia="Palatino Linotype" w:hAnsi="Palatino Linotype" w:cs="Palatino Linotype"/>
          <w:color w:val="000000"/>
          <w:sz w:val="24"/>
          <w:szCs w:val="24"/>
          <w:highlight w:val="white"/>
        </w:rPr>
        <w:t xml:space="preserve"> el recurso de revisión número </w:t>
      </w:r>
      <w:r>
        <w:rPr>
          <w:rFonts w:ascii="Palatino Linotype" w:eastAsia="Palatino Linotype" w:hAnsi="Palatino Linotype" w:cs="Palatino Linotype"/>
          <w:b/>
          <w:color w:val="000000"/>
          <w:sz w:val="24"/>
          <w:szCs w:val="24"/>
        </w:rPr>
        <w:t>00554</w:t>
      </w:r>
      <w:r>
        <w:rPr>
          <w:rFonts w:ascii="Palatino Linotype" w:eastAsia="Palatino Linotype" w:hAnsi="Palatino Linotype" w:cs="Palatino Linotype"/>
          <w:b/>
          <w:sz w:val="24"/>
          <w:szCs w:val="24"/>
        </w:rPr>
        <w:t>/INFOEM/IP/RR/2023</w:t>
      </w: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color w:val="000000"/>
          <w:sz w:val="24"/>
          <w:szCs w:val="24"/>
        </w:rPr>
        <w:t xml:space="preserve"> porque al </w:t>
      </w:r>
      <w:r>
        <w:rPr>
          <w:rFonts w:ascii="Palatino Linotype" w:eastAsia="Palatino Linotype" w:hAnsi="Palatino Linotype" w:cs="Palatino Linotype"/>
          <w:b/>
          <w:color w:val="000000"/>
          <w:sz w:val="24"/>
          <w:szCs w:val="24"/>
        </w:rPr>
        <w:t>modificar la respuesta</w:t>
      </w:r>
      <w:r>
        <w:rPr>
          <w:rFonts w:ascii="Palatino Linotype" w:eastAsia="Palatino Linotype" w:hAnsi="Palatino Linotype" w:cs="Palatino Linotype"/>
          <w:color w:val="000000"/>
          <w:sz w:val="24"/>
          <w:szCs w:val="24"/>
        </w:rPr>
        <w:t xml:space="preserve"> se actualizó la causal prevista en el artículo 192, fracción III, de la Ley de Transparencia y Acceso a la Información Pública del Estado de México y Municipios, quedándose sin materia en términos del considerando </w:t>
      </w:r>
      <w:r>
        <w:rPr>
          <w:rFonts w:ascii="Palatino Linotype" w:eastAsia="Palatino Linotype" w:hAnsi="Palatino Linotype" w:cs="Palatino Linotype"/>
          <w:i/>
          <w:color w:val="000000"/>
          <w:sz w:val="24"/>
          <w:szCs w:val="24"/>
        </w:rPr>
        <w:t xml:space="preserve">Tercero </w:t>
      </w:r>
      <w:r>
        <w:rPr>
          <w:rFonts w:ascii="Palatino Linotype" w:eastAsia="Palatino Linotype" w:hAnsi="Palatino Linotype" w:cs="Palatino Linotype"/>
          <w:color w:val="000000"/>
          <w:sz w:val="24"/>
          <w:szCs w:val="24"/>
        </w:rPr>
        <w:t>de la presente Resolución.</w:t>
      </w:r>
    </w:p>
    <w:p w14:paraId="149F9DBD" w14:textId="77777777" w:rsidR="0054329D" w:rsidRDefault="007C2D5C">
      <w:pPr>
        <w:spacing w:line="360" w:lineRule="auto"/>
        <w:jc w:val="both"/>
        <w:rPr>
          <w:rFonts w:ascii="Palatino Linotype" w:eastAsia="Palatino Linotype" w:hAnsi="Palatino Linotype" w:cs="Palatino Linotype"/>
          <w:sz w:val="24"/>
          <w:szCs w:val="24"/>
          <w:highlight w:val="white"/>
        </w:rPr>
      </w:pPr>
      <w:r>
        <w:rPr>
          <w:rFonts w:ascii="Palatino Linotype" w:eastAsia="Palatino Linotype" w:hAnsi="Palatino Linotype" w:cs="Palatino Linotype"/>
          <w:b/>
          <w:sz w:val="24"/>
          <w:szCs w:val="24"/>
          <w:highlight w:val="white"/>
        </w:rPr>
        <w:lastRenderedPageBreak/>
        <w:t xml:space="preserve">Segundo. Notifíquese vía </w:t>
      </w:r>
      <w:r>
        <w:rPr>
          <w:rFonts w:ascii="Palatino Linotype" w:eastAsia="Palatino Linotype" w:hAnsi="Palatino Linotype" w:cs="Palatino Linotype"/>
          <w:sz w:val="24"/>
          <w:szCs w:val="24"/>
        </w:rPr>
        <w:t>Sistema de Acceso a la Información Mexiquense (</w:t>
      </w:r>
      <w:r>
        <w:rPr>
          <w:rFonts w:ascii="Palatino Linotype" w:eastAsia="Palatino Linotype" w:hAnsi="Palatino Linotype" w:cs="Palatino Linotype"/>
          <w:b/>
          <w:sz w:val="24"/>
          <w:szCs w:val="24"/>
          <w:highlight w:val="white"/>
        </w:rPr>
        <w:t>SAIMEX)</w:t>
      </w:r>
      <w:r>
        <w:rPr>
          <w:rFonts w:ascii="Palatino Linotype" w:eastAsia="Palatino Linotype" w:hAnsi="Palatino Linotype" w:cs="Palatino Linotype"/>
          <w:b/>
          <w:i/>
          <w:sz w:val="24"/>
          <w:szCs w:val="24"/>
          <w:highlight w:val="white"/>
        </w:rPr>
        <w:t xml:space="preserve">, </w:t>
      </w:r>
      <w:r>
        <w:rPr>
          <w:rFonts w:ascii="Palatino Linotype" w:eastAsia="Palatino Linotype" w:hAnsi="Palatino Linotype" w:cs="Palatino Linotype"/>
          <w:sz w:val="24"/>
          <w:szCs w:val="24"/>
          <w:highlight w:val="white"/>
        </w:rPr>
        <w:t xml:space="preserve">al Titular de la Unidad de Transparencia del </w:t>
      </w:r>
      <w:r>
        <w:rPr>
          <w:rFonts w:ascii="Palatino Linotype" w:eastAsia="Palatino Linotype" w:hAnsi="Palatino Linotype" w:cs="Palatino Linotype"/>
          <w:b/>
          <w:sz w:val="24"/>
          <w:szCs w:val="24"/>
          <w:highlight w:val="white"/>
        </w:rPr>
        <w:t>Sujeto Obligado</w:t>
      </w:r>
      <w:r>
        <w:rPr>
          <w:rFonts w:ascii="Palatino Linotype" w:eastAsia="Palatino Linotype" w:hAnsi="Palatino Linotype" w:cs="Palatino Linotype"/>
          <w:sz w:val="24"/>
          <w:szCs w:val="24"/>
          <w:highlight w:val="white"/>
        </w:rPr>
        <w:t xml:space="preserve"> la presente resolución, para su conocimiento. </w:t>
      </w:r>
    </w:p>
    <w:p w14:paraId="4A730A91" w14:textId="77777777" w:rsidR="0054329D" w:rsidRDefault="007C2D5C">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Notifíquese a través </w:t>
      </w:r>
      <w:r>
        <w:rPr>
          <w:rFonts w:ascii="Palatino Linotype" w:eastAsia="Palatino Linotype" w:hAnsi="Palatino Linotype" w:cs="Palatino Linotype"/>
          <w:sz w:val="24"/>
          <w:szCs w:val="24"/>
        </w:rPr>
        <w:t>del Sistema de Acceso a la Información Mexiquense</w:t>
      </w:r>
      <w:r>
        <w:rPr>
          <w:rFonts w:ascii="Palatino Linotype" w:eastAsia="Palatino Linotype" w:hAnsi="Palatino Linotype" w:cs="Palatino Linotype"/>
          <w:color w:val="980000"/>
          <w:sz w:val="24"/>
          <w:szCs w:val="24"/>
        </w:rPr>
        <w:t xml:space="preserve"> </w:t>
      </w:r>
      <w:r>
        <w:rPr>
          <w:rFonts w:ascii="Palatino Linotype" w:eastAsia="Palatino Linotype" w:hAnsi="Palatino Linotype" w:cs="Palatino Linotype"/>
          <w:sz w:val="24"/>
          <w:szCs w:val="24"/>
        </w:rPr>
        <w:t xml:space="preserve">a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6FAE0B05" w14:textId="77777777" w:rsidR="0054329D" w:rsidRDefault="007C2D5C">
      <w:pPr>
        <w:spacing w:after="0" w:line="360" w:lineRule="auto"/>
        <w:ind w:right="-93"/>
        <w:jc w:val="both"/>
        <w:rPr>
          <w:rFonts w:ascii="Palatino Linotype" w:eastAsia="Palatino Linotype" w:hAnsi="Palatino Linotype" w:cs="Palatino Linotype"/>
          <w:sz w:val="24"/>
          <w:szCs w:val="24"/>
        </w:rPr>
      </w:pPr>
      <w:bookmarkStart w:id="29" w:name="_heading=h.1fob9te" w:colFirst="0" w:colLast="0"/>
      <w:bookmarkEnd w:id="29"/>
      <w:r>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VEINTICINCO DE OCTUBRE DE DOS MIL VEINTITRÉS, ANTE EL SECRETARIO TÉCNICO DEL PLENO ALEXIS TAPIA RAMÍREZ.</w:t>
      </w:r>
    </w:p>
    <w:p w14:paraId="02E9C2EB" w14:textId="77777777" w:rsidR="0054329D" w:rsidRDefault="0054329D">
      <w:pPr>
        <w:spacing w:after="0" w:line="360" w:lineRule="auto"/>
        <w:ind w:right="-93"/>
        <w:jc w:val="both"/>
        <w:rPr>
          <w:rFonts w:ascii="Palatino Linotype" w:eastAsia="Palatino Linotype" w:hAnsi="Palatino Linotype" w:cs="Palatino Linotype"/>
          <w:sz w:val="24"/>
          <w:szCs w:val="24"/>
        </w:rPr>
      </w:pPr>
      <w:bookmarkStart w:id="30" w:name="_heading=h.fi15315esjyb" w:colFirst="0" w:colLast="0"/>
      <w:bookmarkEnd w:id="30"/>
    </w:p>
    <w:p w14:paraId="5CE76DD6" w14:textId="77777777" w:rsidR="0054329D" w:rsidRDefault="0054329D">
      <w:pPr>
        <w:spacing w:after="0" w:line="360" w:lineRule="auto"/>
        <w:ind w:right="-93"/>
        <w:jc w:val="both"/>
        <w:rPr>
          <w:rFonts w:ascii="Palatino Linotype" w:eastAsia="Palatino Linotype" w:hAnsi="Palatino Linotype" w:cs="Palatino Linotype"/>
          <w:sz w:val="24"/>
          <w:szCs w:val="24"/>
        </w:rPr>
      </w:pPr>
      <w:bookmarkStart w:id="31" w:name="_heading=h.isixz8cat6x3" w:colFirst="0" w:colLast="0"/>
      <w:bookmarkEnd w:id="31"/>
    </w:p>
    <w:p w14:paraId="356D9AFD" w14:textId="77777777" w:rsidR="0054329D" w:rsidRDefault="0054329D">
      <w:pPr>
        <w:spacing w:after="0" w:line="360" w:lineRule="auto"/>
        <w:ind w:right="-93"/>
        <w:jc w:val="both"/>
        <w:rPr>
          <w:rFonts w:ascii="Palatino Linotype" w:eastAsia="Palatino Linotype" w:hAnsi="Palatino Linotype" w:cs="Palatino Linotype"/>
          <w:sz w:val="24"/>
          <w:szCs w:val="24"/>
        </w:rPr>
      </w:pPr>
      <w:bookmarkStart w:id="32" w:name="_heading=h.w4ug6rve1rg2" w:colFirst="0" w:colLast="0"/>
      <w:bookmarkEnd w:id="32"/>
    </w:p>
    <w:p w14:paraId="48DFAA23" w14:textId="77777777" w:rsidR="0054329D" w:rsidRDefault="0054329D">
      <w:pPr>
        <w:spacing w:after="0" w:line="360" w:lineRule="auto"/>
        <w:ind w:right="-93"/>
        <w:jc w:val="both"/>
        <w:rPr>
          <w:rFonts w:ascii="Palatino Linotype" w:eastAsia="Palatino Linotype" w:hAnsi="Palatino Linotype" w:cs="Palatino Linotype"/>
          <w:sz w:val="24"/>
          <w:szCs w:val="24"/>
        </w:rPr>
      </w:pPr>
      <w:bookmarkStart w:id="33" w:name="_heading=h.rdy9orxho355" w:colFirst="0" w:colLast="0"/>
      <w:bookmarkEnd w:id="33"/>
    </w:p>
    <w:p w14:paraId="478ECC78" w14:textId="77777777" w:rsidR="0054329D" w:rsidRDefault="0054329D">
      <w:pPr>
        <w:spacing w:after="0" w:line="360" w:lineRule="auto"/>
        <w:ind w:right="-93"/>
        <w:jc w:val="both"/>
        <w:rPr>
          <w:rFonts w:ascii="Palatino Linotype" w:eastAsia="Palatino Linotype" w:hAnsi="Palatino Linotype" w:cs="Palatino Linotype"/>
          <w:sz w:val="24"/>
          <w:szCs w:val="24"/>
        </w:rPr>
      </w:pPr>
      <w:bookmarkStart w:id="34" w:name="_heading=h.nxnpar3uqt2g" w:colFirst="0" w:colLast="0"/>
      <w:bookmarkEnd w:id="34"/>
    </w:p>
    <w:p w14:paraId="4C46E392" w14:textId="77777777" w:rsidR="0054329D" w:rsidRDefault="0054329D">
      <w:pPr>
        <w:spacing w:after="0" w:line="360" w:lineRule="auto"/>
        <w:ind w:right="-93"/>
        <w:jc w:val="both"/>
        <w:rPr>
          <w:rFonts w:ascii="Palatino Linotype" w:eastAsia="Palatino Linotype" w:hAnsi="Palatino Linotype" w:cs="Palatino Linotype"/>
          <w:sz w:val="24"/>
          <w:szCs w:val="24"/>
        </w:rPr>
      </w:pPr>
      <w:bookmarkStart w:id="35" w:name="_heading=h.j98vhy75sc3h" w:colFirst="0" w:colLast="0"/>
      <w:bookmarkEnd w:id="35"/>
    </w:p>
    <w:p w14:paraId="569538EC" w14:textId="77777777" w:rsidR="0054329D" w:rsidRDefault="0054329D">
      <w:pPr>
        <w:spacing w:after="0" w:line="360" w:lineRule="auto"/>
        <w:ind w:right="-93"/>
        <w:jc w:val="both"/>
        <w:rPr>
          <w:rFonts w:ascii="Palatino Linotype" w:eastAsia="Palatino Linotype" w:hAnsi="Palatino Linotype" w:cs="Palatino Linotype"/>
          <w:sz w:val="24"/>
          <w:szCs w:val="24"/>
        </w:rPr>
      </w:pPr>
      <w:bookmarkStart w:id="36" w:name="_heading=h.pbscasp3ktpr" w:colFirst="0" w:colLast="0"/>
      <w:bookmarkEnd w:id="36"/>
    </w:p>
    <w:p w14:paraId="35B58A41" w14:textId="77777777" w:rsidR="0054329D" w:rsidRDefault="0054329D">
      <w:pPr>
        <w:spacing w:after="0" w:line="360" w:lineRule="auto"/>
        <w:ind w:right="-93"/>
        <w:jc w:val="both"/>
        <w:rPr>
          <w:rFonts w:ascii="Palatino Linotype" w:eastAsia="Palatino Linotype" w:hAnsi="Palatino Linotype" w:cs="Palatino Linotype"/>
          <w:sz w:val="24"/>
          <w:szCs w:val="24"/>
        </w:rPr>
      </w:pPr>
      <w:bookmarkStart w:id="37" w:name="_heading=h.ww83okdy1m1u" w:colFirst="0" w:colLast="0"/>
      <w:bookmarkEnd w:id="37"/>
    </w:p>
    <w:p w14:paraId="1085B542" w14:textId="77777777" w:rsidR="0054329D" w:rsidRDefault="0054329D">
      <w:pPr>
        <w:spacing w:after="0" w:line="360" w:lineRule="auto"/>
        <w:ind w:right="-93"/>
        <w:jc w:val="both"/>
        <w:rPr>
          <w:rFonts w:ascii="Palatino Linotype" w:eastAsia="Palatino Linotype" w:hAnsi="Palatino Linotype" w:cs="Palatino Linotype"/>
          <w:sz w:val="24"/>
          <w:szCs w:val="24"/>
        </w:rPr>
      </w:pPr>
      <w:bookmarkStart w:id="38" w:name="_heading=h.6o1y42xz0g3i" w:colFirst="0" w:colLast="0"/>
      <w:bookmarkEnd w:id="38"/>
    </w:p>
    <w:p w14:paraId="7487700D" w14:textId="77777777" w:rsidR="0054329D" w:rsidRDefault="0054329D">
      <w:pPr>
        <w:spacing w:after="0" w:line="360" w:lineRule="auto"/>
        <w:ind w:right="-93"/>
        <w:jc w:val="both"/>
        <w:rPr>
          <w:rFonts w:ascii="Palatino Linotype" w:eastAsia="Palatino Linotype" w:hAnsi="Palatino Linotype" w:cs="Palatino Linotype"/>
          <w:sz w:val="24"/>
          <w:szCs w:val="24"/>
        </w:rPr>
      </w:pPr>
      <w:bookmarkStart w:id="39" w:name="_heading=h.yh3vcn4uf07l" w:colFirst="0" w:colLast="0"/>
      <w:bookmarkEnd w:id="39"/>
    </w:p>
    <w:p w14:paraId="0AE2A314" w14:textId="77777777" w:rsidR="0054329D" w:rsidRDefault="0054329D">
      <w:pPr>
        <w:spacing w:after="0" w:line="360" w:lineRule="auto"/>
        <w:ind w:right="-93"/>
        <w:jc w:val="both"/>
        <w:rPr>
          <w:rFonts w:ascii="Palatino Linotype" w:eastAsia="Palatino Linotype" w:hAnsi="Palatino Linotype" w:cs="Palatino Linotype"/>
          <w:sz w:val="24"/>
          <w:szCs w:val="24"/>
        </w:rPr>
      </w:pPr>
      <w:bookmarkStart w:id="40" w:name="_heading=h.r7dmqduyzj1q" w:colFirst="0" w:colLast="0"/>
      <w:bookmarkEnd w:id="40"/>
    </w:p>
    <w:p w14:paraId="3396EF96" w14:textId="77777777" w:rsidR="0054329D" w:rsidRDefault="0054329D">
      <w:pPr>
        <w:spacing w:after="0" w:line="360" w:lineRule="auto"/>
        <w:ind w:right="-93"/>
        <w:jc w:val="both"/>
        <w:rPr>
          <w:rFonts w:ascii="Palatino Linotype" w:eastAsia="Palatino Linotype" w:hAnsi="Palatino Linotype" w:cs="Palatino Linotype"/>
          <w:sz w:val="24"/>
          <w:szCs w:val="24"/>
        </w:rPr>
      </w:pPr>
      <w:bookmarkStart w:id="41" w:name="_heading=h.8i263x10nnq7" w:colFirst="0" w:colLast="0"/>
      <w:bookmarkEnd w:id="41"/>
    </w:p>
    <w:p w14:paraId="4072259C" w14:textId="77777777" w:rsidR="0054329D" w:rsidRDefault="0054329D">
      <w:pPr>
        <w:spacing w:after="0" w:line="360" w:lineRule="auto"/>
        <w:ind w:right="-93"/>
        <w:jc w:val="both"/>
        <w:rPr>
          <w:rFonts w:ascii="Palatino Linotype" w:eastAsia="Palatino Linotype" w:hAnsi="Palatino Linotype" w:cs="Palatino Linotype"/>
          <w:sz w:val="24"/>
          <w:szCs w:val="24"/>
        </w:rPr>
      </w:pPr>
      <w:bookmarkStart w:id="42" w:name="_heading=h.dz30glvtm7l2" w:colFirst="0" w:colLast="0"/>
      <w:bookmarkEnd w:id="42"/>
    </w:p>
    <w:p w14:paraId="76199C86" w14:textId="77777777" w:rsidR="0054329D" w:rsidRDefault="0054329D">
      <w:pPr>
        <w:spacing w:after="0" w:line="360" w:lineRule="auto"/>
        <w:ind w:right="-93"/>
        <w:jc w:val="both"/>
        <w:rPr>
          <w:rFonts w:ascii="Palatino Linotype" w:eastAsia="Palatino Linotype" w:hAnsi="Palatino Linotype" w:cs="Palatino Linotype"/>
          <w:sz w:val="24"/>
          <w:szCs w:val="24"/>
        </w:rPr>
      </w:pPr>
      <w:bookmarkStart w:id="43" w:name="_heading=h.a7p3szkaku64" w:colFirst="0" w:colLast="0"/>
      <w:bookmarkEnd w:id="43"/>
    </w:p>
    <w:p w14:paraId="4F96AC20" w14:textId="77777777" w:rsidR="0054329D" w:rsidRDefault="0054329D">
      <w:pPr>
        <w:spacing w:after="0" w:line="360" w:lineRule="auto"/>
        <w:ind w:right="-93"/>
        <w:jc w:val="both"/>
        <w:rPr>
          <w:rFonts w:ascii="Palatino Linotype" w:eastAsia="Palatino Linotype" w:hAnsi="Palatino Linotype" w:cs="Palatino Linotype"/>
          <w:sz w:val="24"/>
          <w:szCs w:val="24"/>
        </w:rPr>
      </w:pPr>
      <w:bookmarkStart w:id="44" w:name="_heading=h.lrxyx8mnb56b" w:colFirst="0" w:colLast="0"/>
      <w:bookmarkEnd w:id="44"/>
    </w:p>
    <w:p w14:paraId="625633BF" w14:textId="77777777" w:rsidR="0054329D" w:rsidRDefault="0054329D">
      <w:pPr>
        <w:spacing w:after="0" w:line="360" w:lineRule="auto"/>
        <w:ind w:right="-93"/>
        <w:jc w:val="both"/>
        <w:rPr>
          <w:rFonts w:ascii="Palatino Linotype" w:eastAsia="Palatino Linotype" w:hAnsi="Palatino Linotype" w:cs="Palatino Linotype"/>
          <w:sz w:val="24"/>
          <w:szCs w:val="24"/>
        </w:rPr>
      </w:pPr>
      <w:bookmarkStart w:id="45" w:name="_heading=h.ymhnd9bbgwes" w:colFirst="0" w:colLast="0"/>
      <w:bookmarkEnd w:id="45"/>
    </w:p>
    <w:p w14:paraId="200C0459" w14:textId="77777777" w:rsidR="0054329D" w:rsidRDefault="0054329D">
      <w:pPr>
        <w:spacing w:after="0" w:line="360" w:lineRule="auto"/>
        <w:ind w:right="-93"/>
        <w:jc w:val="both"/>
        <w:rPr>
          <w:rFonts w:ascii="Palatino Linotype" w:eastAsia="Palatino Linotype" w:hAnsi="Palatino Linotype" w:cs="Palatino Linotype"/>
          <w:sz w:val="24"/>
          <w:szCs w:val="24"/>
        </w:rPr>
      </w:pPr>
      <w:bookmarkStart w:id="46" w:name="_heading=h.ombrhkwhzc3" w:colFirst="0" w:colLast="0"/>
      <w:bookmarkEnd w:id="46"/>
    </w:p>
    <w:p w14:paraId="080F9BA2" w14:textId="77777777" w:rsidR="0054329D" w:rsidRDefault="0054329D">
      <w:pPr>
        <w:spacing w:after="0" w:line="360" w:lineRule="auto"/>
        <w:ind w:right="-93"/>
        <w:jc w:val="both"/>
        <w:rPr>
          <w:rFonts w:ascii="Palatino Linotype" w:eastAsia="Palatino Linotype" w:hAnsi="Palatino Linotype" w:cs="Palatino Linotype"/>
          <w:sz w:val="24"/>
          <w:szCs w:val="24"/>
        </w:rPr>
      </w:pPr>
      <w:bookmarkStart w:id="47" w:name="_heading=h.lsakjf9jjw0a" w:colFirst="0" w:colLast="0"/>
      <w:bookmarkEnd w:id="47"/>
    </w:p>
    <w:sectPr w:rsidR="0054329D">
      <w:headerReference w:type="default" r:id="rId43"/>
      <w:footerReference w:type="default" r:id="rId44"/>
      <w:headerReference w:type="first" r:id="rId45"/>
      <w:footerReference w:type="first" r:id="rId46"/>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F3DC6" w14:textId="77777777" w:rsidR="005F40F6" w:rsidRDefault="005F40F6">
      <w:pPr>
        <w:spacing w:after="0" w:line="240" w:lineRule="auto"/>
      </w:pPr>
      <w:r>
        <w:separator/>
      </w:r>
    </w:p>
  </w:endnote>
  <w:endnote w:type="continuationSeparator" w:id="0">
    <w:p w14:paraId="4CA84907" w14:textId="77777777" w:rsidR="005F40F6" w:rsidRDefault="005F4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B7654" w14:textId="77777777" w:rsidR="007C2D5C" w:rsidRDefault="007C2D5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1070E">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1070E">
      <w:rPr>
        <w:b/>
        <w:noProof/>
        <w:color w:val="000000"/>
        <w:sz w:val="24"/>
        <w:szCs w:val="24"/>
      </w:rPr>
      <w:t>78</w:t>
    </w:r>
    <w:r>
      <w:rPr>
        <w:b/>
        <w:color w:val="000000"/>
        <w:sz w:val="24"/>
        <w:szCs w:val="24"/>
      </w:rPr>
      <w:fldChar w:fldCharType="end"/>
    </w:r>
  </w:p>
  <w:p w14:paraId="77D75120" w14:textId="77777777" w:rsidR="007C2D5C" w:rsidRDefault="007C2D5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48B0C" w14:textId="77777777" w:rsidR="007C2D5C" w:rsidRDefault="007C2D5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1070E">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1070E">
      <w:rPr>
        <w:b/>
        <w:noProof/>
        <w:color w:val="000000"/>
        <w:sz w:val="24"/>
        <w:szCs w:val="24"/>
      </w:rPr>
      <w:t>78</w:t>
    </w:r>
    <w:r>
      <w:rPr>
        <w:b/>
        <w:color w:val="000000"/>
        <w:sz w:val="24"/>
        <w:szCs w:val="24"/>
      </w:rPr>
      <w:fldChar w:fldCharType="end"/>
    </w:r>
  </w:p>
  <w:p w14:paraId="2A9732FD" w14:textId="77777777" w:rsidR="007C2D5C" w:rsidRDefault="007C2D5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8B56BD" w14:textId="77777777" w:rsidR="005F40F6" w:rsidRDefault="005F40F6">
      <w:pPr>
        <w:spacing w:after="0" w:line="240" w:lineRule="auto"/>
      </w:pPr>
      <w:r>
        <w:separator/>
      </w:r>
    </w:p>
  </w:footnote>
  <w:footnote w:type="continuationSeparator" w:id="0">
    <w:p w14:paraId="24280F2A" w14:textId="77777777" w:rsidR="005F40F6" w:rsidRDefault="005F40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65F98" w14:textId="77777777" w:rsidR="007C2D5C" w:rsidRDefault="007C2D5C">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2C1372E8" wp14:editId="012BFE3C">
          <wp:simplePos x="0" y="0"/>
          <wp:positionH relativeFrom="column">
            <wp:posOffset>-746122</wp:posOffset>
          </wp:positionH>
          <wp:positionV relativeFrom="paragraph">
            <wp:posOffset>-448307</wp:posOffset>
          </wp:positionV>
          <wp:extent cx="7809876" cy="10165823"/>
          <wp:effectExtent l="0" t="0" r="0" b="0"/>
          <wp:wrapNone/>
          <wp:docPr id="20980699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603" w:type="dxa"/>
      <w:tblInd w:w="3611" w:type="dxa"/>
      <w:tblLayout w:type="fixed"/>
      <w:tblLook w:val="0400" w:firstRow="0" w:lastRow="0" w:firstColumn="0" w:lastColumn="0" w:noHBand="0" w:noVBand="1"/>
    </w:tblPr>
    <w:tblGrid>
      <w:gridCol w:w="2551"/>
      <w:gridCol w:w="3052"/>
    </w:tblGrid>
    <w:tr w:rsidR="007C2D5C" w14:paraId="32962C89" w14:textId="77777777">
      <w:tc>
        <w:tcPr>
          <w:tcW w:w="2551" w:type="dxa"/>
          <w:vAlign w:val="center"/>
        </w:tcPr>
        <w:p w14:paraId="485E3C09" w14:textId="77777777" w:rsidR="007C2D5C" w:rsidRDefault="007C2D5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6231FBCF" w14:textId="77777777" w:rsidR="007C2D5C" w:rsidRDefault="007C2D5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00554/INFOEM/IP/RR/2023</w:t>
          </w:r>
        </w:p>
      </w:tc>
    </w:tr>
    <w:tr w:rsidR="007C2D5C" w14:paraId="0C72320C" w14:textId="77777777">
      <w:trPr>
        <w:trHeight w:val="228"/>
      </w:trPr>
      <w:tc>
        <w:tcPr>
          <w:tcW w:w="2551" w:type="dxa"/>
          <w:vAlign w:val="center"/>
        </w:tcPr>
        <w:p w14:paraId="463752AB" w14:textId="77777777" w:rsidR="007C2D5C" w:rsidRDefault="007C2D5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536B4E39" w14:textId="77777777" w:rsidR="007C2D5C" w:rsidRDefault="007C2D5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56A4D452" w14:textId="77777777" w:rsidR="007C2D5C" w:rsidRDefault="007C2D5C">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Instituto de Transparencia, Acceso a la Información Pública y Protección de Datos Personales del Estado de México y Municipios</w:t>
          </w:r>
        </w:p>
      </w:tc>
    </w:tr>
    <w:tr w:rsidR="007C2D5C" w14:paraId="438055EE" w14:textId="77777777">
      <w:tc>
        <w:tcPr>
          <w:tcW w:w="2551" w:type="dxa"/>
          <w:vAlign w:val="center"/>
        </w:tcPr>
        <w:p w14:paraId="13F6AB30" w14:textId="77777777" w:rsidR="007C2D5C" w:rsidRDefault="007C2D5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79120615" w14:textId="77777777" w:rsidR="007C2D5C" w:rsidRDefault="007C2D5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D6D6082" w14:textId="77777777" w:rsidR="007C2D5C" w:rsidRDefault="007C2D5C">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C8F5B" w14:textId="77777777" w:rsidR="007C2D5C" w:rsidRDefault="007C2D5C">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0FC4F002" wp14:editId="113836A7">
          <wp:simplePos x="0" y="0"/>
          <wp:positionH relativeFrom="column">
            <wp:posOffset>-713102</wp:posOffset>
          </wp:positionH>
          <wp:positionV relativeFrom="paragraph">
            <wp:posOffset>-154937</wp:posOffset>
          </wp:positionV>
          <wp:extent cx="7809876" cy="10165823"/>
          <wp:effectExtent l="0" t="0" r="0" b="0"/>
          <wp:wrapNone/>
          <wp:docPr id="20980699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
      <w:tblW w:w="6095" w:type="dxa"/>
      <w:tblInd w:w="3119" w:type="dxa"/>
      <w:tblLayout w:type="fixed"/>
      <w:tblLook w:val="0400" w:firstRow="0" w:lastRow="0" w:firstColumn="0" w:lastColumn="0" w:noHBand="0" w:noVBand="1"/>
    </w:tblPr>
    <w:tblGrid>
      <w:gridCol w:w="2551"/>
      <w:gridCol w:w="3544"/>
    </w:tblGrid>
    <w:tr w:rsidR="007C2D5C" w14:paraId="44284EFE" w14:textId="77777777">
      <w:tc>
        <w:tcPr>
          <w:tcW w:w="2551" w:type="dxa"/>
          <w:vAlign w:val="center"/>
        </w:tcPr>
        <w:p w14:paraId="35A452C0" w14:textId="77777777" w:rsidR="007C2D5C" w:rsidRDefault="007C2D5C">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544" w:type="dxa"/>
          <w:vAlign w:val="center"/>
        </w:tcPr>
        <w:p w14:paraId="7C076E88" w14:textId="77777777" w:rsidR="007C2D5C" w:rsidRDefault="007C2D5C">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00554/INFOEM/IP/RR/2023</w:t>
          </w:r>
        </w:p>
      </w:tc>
    </w:tr>
    <w:tr w:rsidR="007C2D5C" w14:paraId="39B4CA54" w14:textId="77777777">
      <w:tc>
        <w:tcPr>
          <w:tcW w:w="2551" w:type="dxa"/>
          <w:vAlign w:val="center"/>
        </w:tcPr>
        <w:p w14:paraId="596B3C37" w14:textId="77777777" w:rsidR="007C2D5C" w:rsidRDefault="007C2D5C">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544" w:type="dxa"/>
          <w:vAlign w:val="center"/>
        </w:tcPr>
        <w:p w14:paraId="01F1F0F0" w14:textId="33EF2C28" w:rsidR="007C2D5C" w:rsidRDefault="0091070E" w:rsidP="0091070E">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 XXXXXXXXX XXXXXXX</w:t>
          </w:r>
        </w:p>
      </w:tc>
    </w:tr>
    <w:tr w:rsidR="007C2D5C" w14:paraId="34AECF7B" w14:textId="77777777">
      <w:trPr>
        <w:trHeight w:val="228"/>
      </w:trPr>
      <w:tc>
        <w:tcPr>
          <w:tcW w:w="2551" w:type="dxa"/>
          <w:vAlign w:val="center"/>
        </w:tcPr>
        <w:p w14:paraId="67C2D99F" w14:textId="77777777" w:rsidR="007C2D5C" w:rsidRDefault="007C2D5C">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3923A931" w14:textId="77777777" w:rsidR="007C2D5C" w:rsidRDefault="007C2D5C">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p>
      </w:tc>
      <w:tc>
        <w:tcPr>
          <w:tcW w:w="3544" w:type="dxa"/>
          <w:vAlign w:val="center"/>
        </w:tcPr>
        <w:p w14:paraId="281E7D04" w14:textId="77777777" w:rsidR="007C2D5C" w:rsidRDefault="007C2D5C">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Instituto de Transparencia, Acceso a la Información Pública y Protección de Datos Personales del Estado de México y Municipios</w:t>
          </w:r>
        </w:p>
      </w:tc>
    </w:tr>
    <w:tr w:rsidR="007C2D5C" w14:paraId="5B898E64" w14:textId="77777777">
      <w:tc>
        <w:tcPr>
          <w:tcW w:w="2551" w:type="dxa"/>
          <w:vAlign w:val="center"/>
        </w:tcPr>
        <w:p w14:paraId="315A7109" w14:textId="77777777" w:rsidR="007C2D5C" w:rsidRDefault="007C2D5C">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544" w:type="dxa"/>
          <w:vAlign w:val="center"/>
        </w:tcPr>
        <w:p w14:paraId="75AF2774" w14:textId="77777777" w:rsidR="007C2D5C" w:rsidRDefault="007C2D5C">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472878E8" w14:textId="77777777" w:rsidR="007C2D5C" w:rsidRDefault="007C2D5C">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14820"/>
    <w:multiLevelType w:val="multilevel"/>
    <w:tmpl w:val="634A93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0D604754"/>
    <w:multiLevelType w:val="multilevel"/>
    <w:tmpl w:val="57EA1414"/>
    <w:lvl w:ilvl="0">
      <w:start w:val="1"/>
      <w:numFmt w:val="bullet"/>
      <w:lvlText w:val="●"/>
      <w:lvlJc w:val="left"/>
      <w:pPr>
        <w:ind w:left="720" w:hanging="360"/>
      </w:pPr>
      <w:rPr>
        <w:rFonts w:ascii="Noto Sans Symbols" w:eastAsia="Noto Sans Symbols" w:hAnsi="Noto Sans Symbols" w:cs="Noto Sans Symbols"/>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4CC0F5D"/>
    <w:multiLevelType w:val="multilevel"/>
    <w:tmpl w:val="0C54394A"/>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CAD59FB"/>
    <w:multiLevelType w:val="multilevel"/>
    <w:tmpl w:val="7E9230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5E7C0259"/>
    <w:multiLevelType w:val="multilevel"/>
    <w:tmpl w:val="5B46ED9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29D"/>
    <w:rsid w:val="002C38FF"/>
    <w:rsid w:val="003B780F"/>
    <w:rsid w:val="0054329D"/>
    <w:rsid w:val="005F40F6"/>
    <w:rsid w:val="00761533"/>
    <w:rsid w:val="007C2D5C"/>
    <w:rsid w:val="0091070E"/>
    <w:rsid w:val="00F117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59872"/>
  <w15:docId w15:val="{219D1192-3BD3-4E15-ACC0-5B5F04A4C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1"/>
    <w:tblPr>
      <w:tblStyleRowBandSize w:val="1"/>
      <w:tblStyleColBandSize w:val="1"/>
      <w:tblCellMar>
        <w:top w:w="15" w:type="dxa"/>
        <w:left w:w="15" w:type="dxa"/>
        <w:bottom w:w="15" w:type="dxa"/>
        <w:right w:w="15" w:type="dxa"/>
      </w:tblCellMar>
    </w:tblPr>
  </w:style>
  <w:style w:type="table" w:customStyle="1" w:styleId="6">
    <w:name w:val="6"/>
    <w:basedOn w:val="TableNormal1"/>
    <w:tblPr>
      <w:tblStyleRowBandSize w:val="1"/>
      <w:tblStyleColBandSize w:val="1"/>
      <w:tblCellMar>
        <w:top w:w="0" w:type="dxa"/>
        <w:left w:w="115" w:type="dxa"/>
        <w:bottom w:w="0" w:type="dxa"/>
        <w:right w:w="115" w:type="dxa"/>
      </w:tblCellMar>
    </w:tblPr>
  </w:style>
  <w:style w:type="table" w:customStyle="1" w:styleId="5">
    <w:name w:val="5"/>
    <w:basedOn w:val="TableNormal1"/>
    <w:tblPr>
      <w:tblStyleRowBandSize w:val="1"/>
      <w:tblStyleColBandSize w:val="1"/>
      <w:tblCellMar>
        <w:top w:w="0" w:type="dxa"/>
        <w:left w:w="115" w:type="dxa"/>
        <w:bottom w:w="0" w:type="dxa"/>
        <w:right w:w="115" w:type="dxa"/>
      </w:tblCellMar>
    </w:tblPr>
  </w:style>
  <w:style w:type="table" w:customStyle="1" w:styleId="4">
    <w:name w:val="4"/>
    <w:basedOn w:val="TableNormal1"/>
    <w:tblPr>
      <w:tblStyleRowBandSize w:val="1"/>
      <w:tblStyleColBandSize w:val="1"/>
      <w:tblCellMar>
        <w:top w:w="15" w:type="dxa"/>
        <w:left w:w="115" w:type="dxa"/>
        <w:bottom w:w="15" w:type="dxa"/>
        <w:right w:w="115" w:type="dxa"/>
      </w:tblCellMar>
    </w:tblPr>
  </w:style>
  <w:style w:type="table" w:customStyle="1" w:styleId="3">
    <w:name w:val="3"/>
    <w:basedOn w:val="TableNormal1"/>
    <w:tblPr>
      <w:tblStyleRowBandSize w:val="1"/>
      <w:tblStyleColBandSize w:val="1"/>
      <w:tblCellMar>
        <w:top w:w="15" w:type="dxa"/>
        <w:left w:w="115" w:type="dxa"/>
        <w:bottom w:w="15" w:type="dxa"/>
        <w:right w:w="115" w:type="dxa"/>
      </w:tblCellMar>
    </w:tblPr>
  </w:style>
  <w:style w:type="table" w:customStyle="1" w:styleId="2">
    <w:name w:val="2"/>
    <w:basedOn w:val="TableNormal2"/>
    <w:tblPr>
      <w:tblStyleRowBandSize w:val="1"/>
      <w:tblStyleColBandSize w:val="1"/>
      <w:tblCellMar>
        <w:top w:w="15" w:type="dxa"/>
        <w:left w:w="115" w:type="dxa"/>
        <w:bottom w:w="15" w:type="dxa"/>
        <w:right w:w="115" w:type="dxa"/>
      </w:tblCellMar>
    </w:tblPr>
  </w:style>
  <w:style w:type="table" w:customStyle="1" w:styleId="1">
    <w:name w:val="1"/>
    <w:basedOn w:val="TableNormal2"/>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D44D6C"/>
    <w:rPr>
      <w:color w:val="605E5C"/>
      <w:shd w:val="clear" w:color="auto" w:fill="E1DFDD"/>
    </w:rPr>
  </w:style>
  <w:style w:type="character" w:styleId="Hipervnculovisitado">
    <w:name w:val="FollowedHyperlink"/>
    <w:basedOn w:val="Fuentedeprrafopredeter"/>
    <w:uiPriority w:val="99"/>
    <w:semiHidden/>
    <w:unhideWhenUsed/>
    <w:rsid w:val="00102A2C"/>
    <w:rPr>
      <w:color w:val="954F72" w:themeColor="followedHyperlink"/>
      <w:u w:val="single"/>
    </w:rPr>
  </w:style>
  <w:style w:type="character" w:customStyle="1" w:styleId="UnresolvedMention">
    <w:name w:val="Unresolved Mention"/>
    <w:basedOn w:val="Fuentedeprrafopredeter"/>
    <w:uiPriority w:val="99"/>
    <w:semiHidden/>
    <w:unhideWhenUsed/>
    <w:rsid w:val="00102A2C"/>
    <w:rPr>
      <w:color w:val="605E5C"/>
      <w:shd w:val="clear" w:color="auto" w:fill="E1DFDD"/>
    </w:rPr>
  </w:style>
  <w:style w:type="table" w:customStyle="1" w:styleId="a">
    <w:basedOn w:val="TableNormal0"/>
    <w:tblPr>
      <w:tblStyleRowBandSize w:val="1"/>
      <w:tblStyleColBandSize w:val="1"/>
      <w:tblCellMar>
        <w:top w:w="15" w:type="dxa"/>
        <w:left w:w="115" w:type="dxa"/>
        <w:bottom w:w="15" w:type="dxa"/>
        <w:right w:w="115" w:type="dxa"/>
      </w:tblCellMar>
    </w:tblPr>
  </w:style>
  <w:style w:type="table" w:customStyle="1" w:styleId="a0">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infoem.org.mx/doc/publicaciones/LeyDeTransparenciaAccesoALaInformacionPublicaDelEstadoDeMexicoYMunicipios.pdf" TargetMode="External"/><Relationship Id="rId39" Type="http://schemas.openxmlformats.org/officeDocument/2006/relationships/image" Target="media/image25.png"/><Relationship Id="rId21" Type="http://schemas.openxmlformats.org/officeDocument/2006/relationships/image" Target="media/image14.png"/><Relationship Id="rId34" Type="http://schemas.openxmlformats.org/officeDocument/2006/relationships/hyperlink" Target="https://www.dof.gob.mx/2021/INAI/CONAIP-SNT-ACUERDO-ORD02-09-07-2021-04.pdf" TargetMode="External"/><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nfoem.org.mx/doc/normatividad/L_Ley_General_de_Transparencia_y_Acceso_a_la_Informacion_Publica.pdf" TargetMode="External"/><Relationship Id="rId32" Type="http://schemas.openxmlformats.org/officeDocument/2006/relationships/hyperlink" Target="https://www.infoem.org.mx/doc/normatividad/LI_Lineamientos_generales_en_materia_de_clasificacion_y_desclasificacion_de_la_informacion_asi_como_para_la_elaboracion_de_versiones_publicas.pdf"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infoem.org.mx/doc/publicaciones/LeyDeDatos" TargetMode="External"/><Relationship Id="rId28" Type="http://schemas.openxmlformats.org/officeDocument/2006/relationships/hyperlink" Target="https://www.infoem.org.mx/doc/publicaciones/LeyDeDatosPersonales.pdf" TargetMode="External"/><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hyperlink" Target="https://www.infoem.org.mx/doc/normatividad/LI_Lineamientos_Generales_de_Proteccion_de_Datos_Personales_para_el_Sector_Publico.pdf" TargetMode="External"/><Relationship Id="rId35" Type="http://schemas.openxmlformats.org/officeDocument/2006/relationships/image" Target="media/image21.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pu+avK5oSe0+YqMXGZd5iYhl7g==">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13666</Words>
  <Characters>75168</Characters>
  <Application>Microsoft Office Word</Application>
  <DocSecurity>0</DocSecurity>
  <Lines>626</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USUARIO</cp:lastModifiedBy>
  <cp:revision>2</cp:revision>
  <cp:lastPrinted>2023-10-27T15:53:00Z</cp:lastPrinted>
  <dcterms:created xsi:type="dcterms:W3CDTF">2023-10-31T18:14:00Z</dcterms:created>
  <dcterms:modified xsi:type="dcterms:W3CDTF">2023-10-31T18:14:00Z</dcterms:modified>
</cp:coreProperties>
</file>