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CE970" w14:textId="0E1C555B"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26989" w:rsidRPr="00942231">
        <w:rPr>
          <w:rFonts w:ascii="Palatino Linotype" w:eastAsia="Palatino Linotype" w:hAnsi="Palatino Linotype" w:cs="Palatino Linotype"/>
        </w:rPr>
        <w:t>dieciocho</w:t>
      </w:r>
      <w:r w:rsidR="005C0569" w:rsidRPr="00942231">
        <w:rPr>
          <w:rFonts w:ascii="Palatino Linotype" w:eastAsia="Palatino Linotype" w:hAnsi="Palatino Linotype" w:cs="Palatino Linotype"/>
        </w:rPr>
        <w:t xml:space="preserve"> de </w:t>
      </w:r>
      <w:r w:rsidRPr="00942231">
        <w:rPr>
          <w:rFonts w:ascii="Palatino Linotype" w:eastAsia="Palatino Linotype" w:hAnsi="Palatino Linotype" w:cs="Palatino Linotype"/>
        </w:rPr>
        <w:t xml:space="preserve">enero de dos mil veintitrés. </w:t>
      </w:r>
    </w:p>
    <w:p w14:paraId="1C045AC9" w14:textId="7DD3F3C5"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b/>
        </w:rPr>
        <w:t>VISTO</w:t>
      </w:r>
      <w:r w:rsidRPr="00942231">
        <w:rPr>
          <w:rFonts w:ascii="Palatino Linotype" w:eastAsia="Palatino Linotype" w:hAnsi="Palatino Linotype" w:cs="Palatino Linotype"/>
        </w:rPr>
        <w:t xml:space="preserve"> el expediente formado con motivo del recurso de revisión </w:t>
      </w:r>
      <w:r w:rsidRPr="00942231">
        <w:rPr>
          <w:rFonts w:ascii="Palatino Linotype" w:eastAsia="Palatino Linotype" w:hAnsi="Palatino Linotype" w:cs="Palatino Linotype"/>
          <w:b/>
        </w:rPr>
        <w:t>12369/INFOEM/IP/RR/2022</w:t>
      </w:r>
      <w:r w:rsidRPr="00942231">
        <w:rPr>
          <w:rFonts w:ascii="Palatino Linotype" w:eastAsia="Palatino Linotype" w:hAnsi="Palatino Linotype" w:cs="Palatino Linotype"/>
        </w:rPr>
        <w:t xml:space="preserve">, interpuesto por </w:t>
      </w:r>
      <w:r w:rsidR="00110F21">
        <w:rPr>
          <w:rFonts w:ascii="Palatino Linotype" w:eastAsia="Palatino Linotype" w:hAnsi="Palatino Linotype" w:cs="Palatino Linotype"/>
          <w:b/>
        </w:rPr>
        <w:t>XXXX</w:t>
      </w:r>
      <w:bookmarkStart w:id="0" w:name="_GoBack"/>
      <w:bookmarkEnd w:id="0"/>
      <w:r w:rsidRPr="00942231">
        <w:rPr>
          <w:rFonts w:ascii="Palatino Linotype" w:eastAsia="Palatino Linotype" w:hAnsi="Palatino Linotype" w:cs="Palatino Linotype"/>
        </w:rPr>
        <w:t>, en lo sucesivo</w:t>
      </w:r>
      <w:r w:rsidRPr="00942231">
        <w:rPr>
          <w:rFonts w:ascii="Palatino Linotype" w:eastAsia="Palatino Linotype" w:hAnsi="Palatino Linotype" w:cs="Palatino Linotype"/>
          <w:b/>
        </w:rPr>
        <w:t xml:space="preserve"> </w:t>
      </w:r>
      <w:r w:rsidRPr="00942231">
        <w:rPr>
          <w:rFonts w:ascii="Palatino Linotype" w:eastAsia="Palatino Linotype" w:hAnsi="Palatino Linotype" w:cs="Palatino Linotype"/>
        </w:rPr>
        <w:t xml:space="preserve">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xml:space="preserve"> en contra de la respuesta a su solicitud por parte de la </w:t>
      </w:r>
      <w:r w:rsidRPr="00942231">
        <w:rPr>
          <w:rFonts w:ascii="Palatino Linotype" w:eastAsia="Palatino Linotype" w:hAnsi="Palatino Linotype" w:cs="Palatino Linotype"/>
          <w:b/>
        </w:rPr>
        <w:t xml:space="preserve">Secretaría de Finanzas, </w:t>
      </w:r>
      <w:r w:rsidRPr="00942231">
        <w:rPr>
          <w:rFonts w:ascii="Palatino Linotype" w:eastAsia="Palatino Linotype" w:hAnsi="Palatino Linotype" w:cs="Palatino Linotype"/>
        </w:rPr>
        <w:t xml:space="preserve">en lo sucesivo el </w:t>
      </w:r>
      <w:r w:rsidRPr="00942231">
        <w:rPr>
          <w:rFonts w:ascii="Palatino Linotype" w:eastAsia="Palatino Linotype" w:hAnsi="Palatino Linotype" w:cs="Palatino Linotype"/>
          <w:b/>
        </w:rPr>
        <w:t xml:space="preserve">Sujeto Obligado, </w:t>
      </w:r>
      <w:r w:rsidRPr="00942231">
        <w:rPr>
          <w:rFonts w:ascii="Palatino Linotype" w:eastAsia="Palatino Linotype" w:hAnsi="Palatino Linotype" w:cs="Palatino Linotype"/>
        </w:rPr>
        <w:t xml:space="preserve">se procede a dictar la presente resolución con base en los siguientes: </w:t>
      </w:r>
    </w:p>
    <w:p w14:paraId="6E1B967A" w14:textId="77777777" w:rsidR="00131CFC" w:rsidRPr="00942231" w:rsidRDefault="00212DEF">
      <w:pPr>
        <w:spacing w:before="240" w:after="240" w:line="360" w:lineRule="auto"/>
        <w:jc w:val="center"/>
        <w:rPr>
          <w:rFonts w:ascii="Palatino Linotype" w:eastAsia="Palatino Linotype" w:hAnsi="Palatino Linotype" w:cs="Palatino Linotype"/>
          <w:b/>
        </w:rPr>
      </w:pPr>
      <w:r w:rsidRPr="00942231">
        <w:rPr>
          <w:rFonts w:ascii="Palatino Linotype" w:eastAsia="Palatino Linotype" w:hAnsi="Palatino Linotype" w:cs="Palatino Linotype"/>
          <w:b/>
        </w:rPr>
        <w:t>I. A N T E C E D E N T E S</w:t>
      </w:r>
    </w:p>
    <w:p w14:paraId="3368AEC5"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b/>
        </w:rPr>
        <w:t>1. Solicitud de acceso a la información.</w:t>
      </w:r>
      <w:r w:rsidRPr="00942231">
        <w:rPr>
          <w:rFonts w:ascii="Palatino Linotype" w:eastAsia="Palatino Linotype" w:hAnsi="Palatino Linotype" w:cs="Palatino Linotype"/>
        </w:rPr>
        <w:t xml:space="preserve"> Con fecha </w:t>
      </w:r>
      <w:r w:rsidRPr="00942231">
        <w:rPr>
          <w:rFonts w:ascii="Palatino Linotype" w:eastAsia="Palatino Linotype" w:hAnsi="Palatino Linotype" w:cs="Palatino Linotype"/>
          <w:b/>
        </w:rPr>
        <w:t>trece de junio de dos mil veintidós,</w:t>
      </w:r>
      <w:r w:rsidRPr="00942231">
        <w:rPr>
          <w:rFonts w:ascii="Palatino Linotype" w:eastAsia="Palatino Linotype" w:hAnsi="Palatino Linotype" w:cs="Palatino Linotype"/>
        </w:rPr>
        <w:t xml:space="preserve"> la parte </w:t>
      </w:r>
      <w:r w:rsidRPr="00942231">
        <w:rPr>
          <w:rFonts w:ascii="Palatino Linotype" w:eastAsia="Palatino Linotype" w:hAnsi="Palatino Linotype" w:cs="Palatino Linotype"/>
          <w:b/>
        </w:rPr>
        <w:t xml:space="preserve">Recurrente </w:t>
      </w:r>
      <w:r w:rsidRPr="00942231">
        <w:rPr>
          <w:rFonts w:ascii="Palatino Linotype" w:eastAsia="Palatino Linotype" w:hAnsi="Palatino Linotype" w:cs="Palatino Linotype"/>
        </w:rPr>
        <w:t xml:space="preserve">presentó, a través del Sistema de Acceso a la Información Mexiquense, en lo subsecuente el </w:t>
      </w:r>
      <w:r w:rsidRPr="00942231">
        <w:rPr>
          <w:rFonts w:ascii="Palatino Linotype" w:eastAsia="Palatino Linotype" w:hAnsi="Palatino Linotype" w:cs="Palatino Linotype"/>
          <w:b/>
        </w:rPr>
        <w:t>SAIMEX,</w:t>
      </w:r>
      <w:r w:rsidRPr="00942231">
        <w:rPr>
          <w:rFonts w:ascii="Palatino Linotype" w:eastAsia="Palatino Linotype" w:hAnsi="Palatino Linotype" w:cs="Palatino Linotype"/>
        </w:rPr>
        <w:t xml:space="preserve"> ante 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la solicitud de acceso a la información pública, a la que se le asignó el número</w:t>
      </w:r>
      <w:r w:rsidRPr="00942231">
        <w:rPr>
          <w:rFonts w:ascii="Palatino Linotype" w:eastAsia="Palatino Linotype" w:hAnsi="Palatino Linotype" w:cs="Palatino Linotype"/>
          <w:b/>
        </w:rPr>
        <w:t xml:space="preserve"> 00266/SF/IP/2022, </w:t>
      </w:r>
      <w:r w:rsidRPr="00942231">
        <w:rPr>
          <w:rFonts w:ascii="Palatino Linotype" w:eastAsia="Palatino Linotype" w:hAnsi="Palatino Linotype" w:cs="Palatino Linotype"/>
        </w:rPr>
        <w:t xml:space="preserve">mediante la cual requirió la información siguiente: </w:t>
      </w:r>
    </w:p>
    <w:p w14:paraId="52059D7F" w14:textId="77777777" w:rsidR="00131CFC" w:rsidRPr="00942231" w:rsidRDefault="00212DEF">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42231">
        <w:rPr>
          <w:rFonts w:ascii="Palatino Linotype" w:eastAsia="Palatino Linotype" w:hAnsi="Palatino Linotype" w:cs="Palatino Linotype"/>
          <w:i/>
          <w:sz w:val="22"/>
          <w:szCs w:val="22"/>
        </w:rPr>
        <w:t xml:space="preserve">“Total de ingresos recaudados en 2019, 2020, 2021,y 2022 por concepto de contribuciones o aprovechamientos, pagados a la Hacienda del Estado de México por concesionarios, licenciatarios, o titulares por cualquier </w:t>
      </w:r>
      <w:proofErr w:type="spellStart"/>
      <w:r w:rsidRPr="00942231">
        <w:rPr>
          <w:rFonts w:ascii="Palatino Linotype" w:eastAsia="Palatino Linotype" w:hAnsi="Palatino Linotype" w:cs="Palatino Linotype"/>
          <w:i/>
          <w:sz w:val="22"/>
          <w:szCs w:val="22"/>
        </w:rPr>
        <w:t>titulo</w:t>
      </w:r>
      <w:proofErr w:type="spellEnd"/>
      <w:r w:rsidRPr="00942231">
        <w:rPr>
          <w:rFonts w:ascii="Palatino Linotype" w:eastAsia="Palatino Linotype" w:hAnsi="Palatino Linotype" w:cs="Palatino Linotype"/>
          <w:i/>
          <w:sz w:val="22"/>
          <w:szCs w:val="22"/>
        </w:rPr>
        <w:t xml:space="preserve"> legal de corralones en la entidad, derivados de la explotación de dicha licencia, concesión , etc.” (sic)</w:t>
      </w:r>
    </w:p>
    <w:p w14:paraId="3C77FA7D"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xml:space="preserve"> adjuntó no adjuntó archivos.</w:t>
      </w:r>
    </w:p>
    <w:p w14:paraId="61D14FB8"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b/>
        </w:rPr>
        <w:t>Modalidad de Entrega:</w:t>
      </w:r>
      <w:r w:rsidRPr="00942231">
        <w:rPr>
          <w:rFonts w:ascii="Palatino Linotype" w:eastAsia="Palatino Linotype" w:hAnsi="Palatino Linotype" w:cs="Palatino Linotype"/>
        </w:rPr>
        <w:t xml:space="preserve"> a través del </w:t>
      </w:r>
      <w:r w:rsidRPr="00942231">
        <w:rPr>
          <w:rFonts w:ascii="Palatino Linotype" w:eastAsia="Palatino Linotype" w:hAnsi="Palatino Linotype" w:cs="Palatino Linotype"/>
          <w:b/>
        </w:rPr>
        <w:t>SAIMEX</w:t>
      </w:r>
      <w:r w:rsidRPr="00942231">
        <w:rPr>
          <w:rFonts w:ascii="Palatino Linotype" w:eastAsia="Palatino Linotype" w:hAnsi="Palatino Linotype" w:cs="Palatino Linotype"/>
        </w:rPr>
        <w:t>.</w:t>
      </w:r>
    </w:p>
    <w:p w14:paraId="35EC3C88" w14:textId="77777777" w:rsidR="00131CFC" w:rsidRPr="00942231" w:rsidRDefault="00212DEF">
      <w:pPr>
        <w:spacing w:before="240" w:after="240" w:line="360" w:lineRule="auto"/>
        <w:jc w:val="both"/>
        <w:rPr>
          <w:rFonts w:ascii="Palatino Linotype" w:eastAsia="Palatino Linotype" w:hAnsi="Palatino Linotype" w:cs="Palatino Linotype"/>
          <w:b/>
        </w:rPr>
      </w:pPr>
      <w:r w:rsidRPr="00942231">
        <w:rPr>
          <w:rFonts w:ascii="Palatino Linotype" w:eastAsia="Palatino Linotype" w:hAnsi="Palatino Linotype" w:cs="Palatino Linotype"/>
          <w:b/>
        </w:rPr>
        <w:lastRenderedPageBreak/>
        <w:t xml:space="preserve">2. Respuesta. </w:t>
      </w:r>
      <w:r w:rsidRPr="00942231">
        <w:rPr>
          <w:rFonts w:ascii="Palatino Linotype" w:eastAsia="Palatino Linotype" w:hAnsi="Palatino Linotype" w:cs="Palatino Linotype"/>
        </w:rPr>
        <w:t>Con fecha</w:t>
      </w:r>
      <w:r w:rsidRPr="00942231">
        <w:rPr>
          <w:rFonts w:ascii="Palatino Linotype" w:eastAsia="Palatino Linotype" w:hAnsi="Palatino Linotype" w:cs="Palatino Linotype"/>
          <w:b/>
        </w:rPr>
        <w:t xml:space="preserve"> veintisiete de junio de dos mil veintidós</w:t>
      </w:r>
      <w:r w:rsidRPr="00942231">
        <w:rPr>
          <w:rFonts w:ascii="Palatino Linotype" w:eastAsia="Palatino Linotype" w:hAnsi="Palatino Linotype" w:cs="Palatino Linotype"/>
        </w:rPr>
        <w:t xml:space="preserve">, el </w:t>
      </w:r>
      <w:r w:rsidRPr="00942231">
        <w:rPr>
          <w:rFonts w:ascii="Palatino Linotype" w:eastAsia="Palatino Linotype" w:hAnsi="Palatino Linotype" w:cs="Palatino Linotype"/>
          <w:b/>
        </w:rPr>
        <w:t xml:space="preserve">Sujeto Obligado </w:t>
      </w:r>
      <w:r w:rsidRPr="0094223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2DAFC75" w14:textId="77777777" w:rsidR="00131CFC" w:rsidRPr="00942231" w:rsidRDefault="00212DEF">
      <w:pPr>
        <w:spacing w:before="240" w:after="24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“...Sobre el particular, sírvase encontrar en archivo adjunto copia del oficio de notificación número 20700004S/UT-1063/2022 mediante el cual se detalla lo referente a su solicitud....” (sic)</w:t>
      </w:r>
    </w:p>
    <w:p w14:paraId="6613E02E"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xml:space="preserve"> adjuntó los archivos:</w:t>
      </w:r>
    </w:p>
    <w:p w14:paraId="238C3016"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  </w:t>
      </w:r>
      <w:r w:rsidRPr="00942231">
        <w:rPr>
          <w:rFonts w:ascii="Palatino Linotype" w:eastAsia="Palatino Linotype" w:hAnsi="Palatino Linotype" w:cs="Palatino Linotype"/>
          <w:i/>
        </w:rPr>
        <w:t xml:space="preserve">“266 DGR.pdf” </w:t>
      </w:r>
      <w:r w:rsidRPr="00942231">
        <w:rPr>
          <w:rFonts w:ascii="Palatino Linotype" w:eastAsia="Palatino Linotype" w:hAnsi="Palatino Linotype" w:cs="Palatino Linotype"/>
        </w:rPr>
        <w:t xml:space="preserve">que contiene la digitalización del oficio número 2070004S/UT-1063/2022 de fecha veintitrés de junio de dos mil veintidós, signado por el Jefe de la UIPPE y Titular de la Unidad de Transparencia, mediante el cual notifica a la persona solicitante el pronunciamiento emitido por el Servidor Público Habilitado Suplente de la Dirección General de Recaudación, a través del oficio número 20703001030200L/205/2022 en atención a la solicitud de información. </w:t>
      </w:r>
    </w:p>
    <w:p w14:paraId="541D7AA2"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i/>
        </w:rPr>
        <w:t>- “UIPPE 266.pdf”</w:t>
      </w:r>
      <w:r w:rsidRPr="00942231">
        <w:rPr>
          <w:rFonts w:ascii="Palatino Linotype" w:eastAsia="Palatino Linotype" w:hAnsi="Palatino Linotype" w:cs="Palatino Linotype"/>
        </w:rPr>
        <w:t>, que contiene la digitalización del oficio número 20703001030200L/205/2022 de fecha veintitrés de junio de dos mil veintidós, signado por el Subdirector de Normas y Procedimientos y Servidor Público Habilitado Suplente de la Dirección General de Recaudación, mediante el cual refiere que la Dirección de Administración Tributaria informó, mediante el oficio número 20703001020000L/581/2022, que no cuenta con información al respecto, precisando que dicha área no recauda ingresos por concepto de corralones vehiculares.</w:t>
      </w:r>
    </w:p>
    <w:p w14:paraId="09F66D00"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b/>
        </w:rPr>
        <w:t xml:space="preserve">3. Interposición del recurso de revisión. </w:t>
      </w:r>
      <w:r w:rsidRPr="00942231">
        <w:rPr>
          <w:rFonts w:ascii="Palatino Linotype" w:eastAsia="Palatino Linotype" w:hAnsi="Palatino Linotype" w:cs="Palatino Linotype"/>
        </w:rPr>
        <w:t xml:space="preserve">Inconforme con los términos de la respuesta emitida por parte del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xml:space="preserve">, el </w:t>
      </w:r>
      <w:r w:rsidRPr="00942231">
        <w:rPr>
          <w:rFonts w:ascii="Palatino Linotype" w:eastAsia="Palatino Linotype" w:hAnsi="Palatino Linotype" w:cs="Palatino Linotype"/>
          <w:b/>
        </w:rPr>
        <w:t xml:space="preserve">cuatro de julio de dos mil </w:t>
      </w:r>
      <w:r w:rsidRPr="00942231">
        <w:rPr>
          <w:rFonts w:ascii="Palatino Linotype" w:eastAsia="Palatino Linotype" w:hAnsi="Palatino Linotype" w:cs="Palatino Linotype"/>
          <w:b/>
        </w:rPr>
        <w:lastRenderedPageBreak/>
        <w:t>veintidós,</w:t>
      </w:r>
      <w:r w:rsidRPr="00942231">
        <w:rPr>
          <w:rFonts w:ascii="Palatino Linotype" w:eastAsia="Palatino Linotype" w:hAnsi="Palatino Linotype" w:cs="Palatino Linotype"/>
        </w:rPr>
        <w:t xml:space="preserve"> 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xml:space="preserve"> interpuso el recurso de revisión a través de </w:t>
      </w:r>
      <w:r w:rsidRPr="00942231">
        <w:rPr>
          <w:rFonts w:ascii="Palatino Linotype" w:eastAsia="Palatino Linotype" w:hAnsi="Palatino Linotype" w:cs="Palatino Linotype"/>
          <w:b/>
        </w:rPr>
        <w:t xml:space="preserve">SAIMEX, </w:t>
      </w:r>
      <w:r w:rsidRPr="00942231">
        <w:rPr>
          <w:rFonts w:ascii="Palatino Linotype" w:eastAsia="Palatino Linotype" w:hAnsi="Palatino Linotype" w:cs="Palatino Linotype"/>
        </w:rPr>
        <w:t>en donde se manifestó de la siguiente manera:</w:t>
      </w:r>
    </w:p>
    <w:p w14:paraId="4DC04BCD" w14:textId="77777777" w:rsidR="00131CFC" w:rsidRPr="00942231" w:rsidRDefault="00212DEF">
      <w:pPr>
        <w:tabs>
          <w:tab w:val="left" w:pos="2745"/>
        </w:tabs>
        <w:spacing w:before="240" w:after="240" w:line="360" w:lineRule="auto"/>
        <w:jc w:val="both"/>
        <w:rPr>
          <w:rFonts w:ascii="Palatino Linotype" w:eastAsia="Palatino Linotype" w:hAnsi="Palatino Linotype" w:cs="Palatino Linotype"/>
          <w:b/>
        </w:rPr>
      </w:pPr>
      <w:r w:rsidRPr="00942231">
        <w:rPr>
          <w:rFonts w:ascii="Palatino Linotype" w:eastAsia="Palatino Linotype" w:hAnsi="Palatino Linotype" w:cs="Palatino Linotype"/>
          <w:b/>
        </w:rPr>
        <w:t xml:space="preserve">Acto impugnado: </w:t>
      </w:r>
    </w:p>
    <w:p w14:paraId="6528D727" w14:textId="77777777" w:rsidR="00131CFC" w:rsidRPr="00942231" w:rsidRDefault="00212DEF">
      <w:pPr>
        <w:tabs>
          <w:tab w:val="left" w:pos="2745"/>
        </w:tabs>
        <w:spacing w:before="240" w:after="240"/>
        <w:ind w:left="851" w:right="900"/>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“Respuesta a la solicitud de información.” (sic)</w:t>
      </w:r>
    </w:p>
    <w:p w14:paraId="6AD2F1A5" w14:textId="77777777" w:rsidR="00131CFC" w:rsidRPr="00942231" w:rsidRDefault="00212DEF">
      <w:pPr>
        <w:spacing w:line="360" w:lineRule="auto"/>
        <w:jc w:val="both"/>
        <w:rPr>
          <w:rFonts w:ascii="Palatino Linotype" w:eastAsia="Palatino Linotype" w:hAnsi="Palatino Linotype" w:cs="Palatino Linotype"/>
        </w:rPr>
      </w:pPr>
      <w:bookmarkStart w:id="2" w:name="_heading=h.30j0zll" w:colFirst="0" w:colLast="0"/>
      <w:bookmarkEnd w:id="2"/>
      <w:r w:rsidRPr="00942231">
        <w:rPr>
          <w:rFonts w:ascii="Palatino Linotype" w:eastAsia="Palatino Linotype" w:hAnsi="Palatino Linotype" w:cs="Palatino Linotype"/>
          <w:b/>
        </w:rPr>
        <w:t>Y Razones o motivos de inconformidad</w:t>
      </w:r>
      <w:r w:rsidRPr="00942231">
        <w:rPr>
          <w:rFonts w:ascii="Palatino Linotype" w:eastAsia="Palatino Linotype" w:hAnsi="Palatino Linotype" w:cs="Palatino Linotype"/>
        </w:rPr>
        <w:t xml:space="preserve">: </w:t>
      </w:r>
    </w:p>
    <w:p w14:paraId="398D3829" w14:textId="77777777" w:rsidR="00131CFC" w:rsidRPr="00942231" w:rsidRDefault="00212DEF">
      <w:pPr>
        <w:tabs>
          <w:tab w:val="left" w:pos="2745"/>
          <w:tab w:val="left" w:pos="6663"/>
        </w:tabs>
        <w:spacing w:before="240" w:after="240"/>
        <w:ind w:left="851" w:right="900"/>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 xml:space="preserve">“Se solicitó información de los </w:t>
      </w:r>
      <w:proofErr w:type="spellStart"/>
      <w:r w:rsidRPr="00942231">
        <w:rPr>
          <w:rFonts w:ascii="Palatino Linotype" w:eastAsia="Palatino Linotype" w:hAnsi="Palatino Linotype" w:cs="Palatino Linotype"/>
          <w:i/>
          <w:sz w:val="22"/>
          <w:szCs w:val="22"/>
        </w:rPr>
        <w:t>los</w:t>
      </w:r>
      <w:proofErr w:type="spellEnd"/>
      <w:r w:rsidRPr="00942231">
        <w:rPr>
          <w:rFonts w:ascii="Palatino Linotype" w:eastAsia="Palatino Linotype" w:hAnsi="Palatino Linotype" w:cs="Palatino Linotype"/>
          <w:i/>
          <w:sz w:val="22"/>
          <w:szCs w:val="22"/>
        </w:rPr>
        <w:t xml:space="preserve"> pagos a la Hacienda del Estado de México efectuados por concesionarios, licenciatarios, o titulares por cualquier </w:t>
      </w:r>
      <w:proofErr w:type="spellStart"/>
      <w:r w:rsidRPr="00942231">
        <w:rPr>
          <w:rFonts w:ascii="Palatino Linotype" w:eastAsia="Palatino Linotype" w:hAnsi="Palatino Linotype" w:cs="Palatino Linotype"/>
          <w:i/>
          <w:sz w:val="22"/>
          <w:szCs w:val="22"/>
        </w:rPr>
        <w:t>titulo</w:t>
      </w:r>
      <w:proofErr w:type="spellEnd"/>
      <w:r w:rsidRPr="00942231">
        <w:rPr>
          <w:rFonts w:ascii="Palatino Linotype" w:eastAsia="Palatino Linotype" w:hAnsi="Palatino Linotype" w:cs="Palatino Linotype"/>
          <w:i/>
          <w:sz w:val="22"/>
          <w:szCs w:val="22"/>
        </w:rPr>
        <w:t xml:space="preserve"> legal de corralones en la entidad, sin embargo el sujeto responsable dice que no recauda por corralones. Esto es, no se solito lo que la ciudadanía paga por corralones, sino los pagos de los licenciatarios o titulares por cualquier </w:t>
      </w:r>
      <w:proofErr w:type="spellStart"/>
      <w:r w:rsidRPr="00942231">
        <w:rPr>
          <w:rFonts w:ascii="Palatino Linotype" w:eastAsia="Palatino Linotype" w:hAnsi="Palatino Linotype" w:cs="Palatino Linotype"/>
          <w:i/>
          <w:sz w:val="22"/>
          <w:szCs w:val="22"/>
        </w:rPr>
        <w:t>titulo</w:t>
      </w:r>
      <w:proofErr w:type="spellEnd"/>
      <w:r w:rsidRPr="00942231">
        <w:rPr>
          <w:rFonts w:ascii="Palatino Linotype" w:eastAsia="Palatino Linotype" w:hAnsi="Palatino Linotype" w:cs="Palatino Linotype"/>
          <w:i/>
          <w:sz w:val="22"/>
          <w:szCs w:val="22"/>
        </w:rPr>
        <w:t xml:space="preserve"> legal de corralones en la entidad, provenientes de su actividad o como consecuencia de ella</w:t>
      </w:r>
      <w:proofErr w:type="gramStart"/>
      <w:r w:rsidRPr="00942231">
        <w:rPr>
          <w:rFonts w:ascii="Palatino Linotype" w:eastAsia="Palatino Linotype" w:hAnsi="Palatino Linotype" w:cs="Palatino Linotype"/>
          <w:i/>
          <w:sz w:val="22"/>
          <w:szCs w:val="22"/>
        </w:rPr>
        <w:t>..”</w:t>
      </w:r>
      <w:proofErr w:type="gramEnd"/>
      <w:r w:rsidRPr="00942231">
        <w:rPr>
          <w:rFonts w:ascii="Palatino Linotype" w:eastAsia="Palatino Linotype" w:hAnsi="Palatino Linotype" w:cs="Palatino Linotype"/>
          <w:i/>
          <w:sz w:val="22"/>
          <w:szCs w:val="22"/>
        </w:rPr>
        <w:t xml:space="preserve"> (sic)</w:t>
      </w:r>
    </w:p>
    <w:p w14:paraId="79B0420D"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b/>
        </w:rPr>
        <w:t xml:space="preserve">Anexos: </w:t>
      </w:r>
      <w:r w:rsidRPr="00942231">
        <w:rPr>
          <w:rFonts w:ascii="Palatino Linotype" w:eastAsia="Palatino Linotype" w:hAnsi="Palatino Linotype" w:cs="Palatino Linotype"/>
        </w:rPr>
        <w:t xml:space="preserve">La parte </w:t>
      </w:r>
      <w:r w:rsidRPr="00942231">
        <w:rPr>
          <w:rFonts w:ascii="Palatino Linotype" w:eastAsia="Palatino Linotype" w:hAnsi="Palatino Linotype" w:cs="Palatino Linotype"/>
          <w:b/>
        </w:rPr>
        <w:t xml:space="preserve">Recurrente </w:t>
      </w:r>
      <w:r w:rsidRPr="00942231">
        <w:rPr>
          <w:rFonts w:ascii="Palatino Linotype" w:eastAsia="Palatino Linotype" w:hAnsi="Palatino Linotype" w:cs="Palatino Linotype"/>
        </w:rPr>
        <w:t xml:space="preserve">no adjuntó archivos. </w:t>
      </w:r>
    </w:p>
    <w:p w14:paraId="79E2DFA9" w14:textId="77777777" w:rsidR="00131CFC" w:rsidRPr="00942231" w:rsidRDefault="00212DEF">
      <w:pPr>
        <w:spacing w:before="240" w:after="240" w:line="360" w:lineRule="auto"/>
        <w:ind w:right="51"/>
        <w:jc w:val="both"/>
        <w:rPr>
          <w:rFonts w:ascii="Palatino Linotype" w:eastAsia="Palatino Linotype" w:hAnsi="Palatino Linotype" w:cs="Palatino Linotype"/>
        </w:rPr>
      </w:pPr>
      <w:r w:rsidRPr="00942231">
        <w:rPr>
          <w:rFonts w:ascii="Palatino Linotype" w:eastAsia="Palatino Linotype" w:hAnsi="Palatino Linotype" w:cs="Palatino Linotype"/>
          <w:b/>
        </w:rPr>
        <w:t xml:space="preserve">4. Turno. </w:t>
      </w:r>
      <w:r w:rsidRPr="0094223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42231">
        <w:rPr>
          <w:rFonts w:ascii="Palatino Linotype" w:eastAsia="Palatino Linotype" w:hAnsi="Palatino Linotype" w:cs="Palatino Linotype"/>
          <w:b/>
        </w:rPr>
        <w:t xml:space="preserve">Guadalupe Ramírez Peña, </w:t>
      </w:r>
      <w:r w:rsidRPr="00942231">
        <w:rPr>
          <w:rFonts w:ascii="Palatino Linotype" w:eastAsia="Palatino Linotype" w:hAnsi="Palatino Linotype" w:cs="Palatino Linotype"/>
        </w:rPr>
        <w:t xml:space="preserve">a efecto de que analizara sobre su admisión o su </w:t>
      </w:r>
      <w:proofErr w:type="spellStart"/>
      <w:r w:rsidRPr="00942231">
        <w:rPr>
          <w:rFonts w:ascii="Palatino Linotype" w:eastAsia="Palatino Linotype" w:hAnsi="Palatino Linotype" w:cs="Palatino Linotype"/>
        </w:rPr>
        <w:t>desechamiento</w:t>
      </w:r>
      <w:proofErr w:type="spellEnd"/>
      <w:r w:rsidRPr="00942231">
        <w:rPr>
          <w:rFonts w:ascii="Palatino Linotype" w:eastAsia="Palatino Linotype" w:hAnsi="Palatino Linotype" w:cs="Palatino Linotype"/>
        </w:rPr>
        <w:t>.</w:t>
      </w:r>
    </w:p>
    <w:p w14:paraId="0FAB48D0"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b/>
        </w:rPr>
        <w:t>5. Admisión del Recurso de revisión.</w:t>
      </w:r>
      <w:r w:rsidRPr="00942231">
        <w:rPr>
          <w:rFonts w:ascii="Palatino Linotype" w:eastAsia="Palatino Linotype" w:hAnsi="Palatino Linotype" w:cs="Palatino Linotype"/>
        </w:rPr>
        <w:t xml:space="preserve"> Con fecha</w:t>
      </w:r>
      <w:r w:rsidRPr="00942231">
        <w:rPr>
          <w:rFonts w:ascii="Palatino Linotype" w:eastAsia="Palatino Linotype" w:hAnsi="Palatino Linotype" w:cs="Palatino Linotype"/>
          <w:b/>
        </w:rPr>
        <w:t xml:space="preserve"> siete de julio de dos mil veintidós, </w:t>
      </w:r>
      <w:r w:rsidRPr="0094223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Pr="00942231">
        <w:rPr>
          <w:rFonts w:ascii="Palatino Linotype" w:eastAsia="Palatino Linotype" w:hAnsi="Palatino Linotype" w:cs="Palatino Linotype"/>
        </w:rPr>
        <w:lastRenderedPageBreak/>
        <w:t xml:space="preserve">pruebas, formularan alegatos y el </w:t>
      </w:r>
      <w:r w:rsidRPr="00942231">
        <w:rPr>
          <w:rFonts w:ascii="Palatino Linotype" w:eastAsia="Palatino Linotype" w:hAnsi="Palatino Linotype" w:cs="Palatino Linotype"/>
          <w:b/>
        </w:rPr>
        <w:t xml:space="preserve">Sujeto Obligado </w:t>
      </w:r>
      <w:r w:rsidRPr="00942231">
        <w:rPr>
          <w:rFonts w:ascii="Palatino Linotype" w:eastAsia="Palatino Linotype" w:hAnsi="Palatino Linotype" w:cs="Palatino Linotype"/>
        </w:rPr>
        <w:t>presentara su informe justificado.</w:t>
      </w:r>
    </w:p>
    <w:p w14:paraId="39151520" w14:textId="77777777" w:rsidR="00131CFC" w:rsidRPr="00942231" w:rsidRDefault="00212DEF">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942231">
        <w:rPr>
          <w:rFonts w:ascii="Palatino Linotype" w:eastAsia="Palatino Linotype" w:hAnsi="Palatino Linotype" w:cs="Palatino Linotype"/>
          <w:b/>
        </w:rPr>
        <w:t>6. Manifestaciones</w:t>
      </w:r>
      <w:r w:rsidRPr="00942231">
        <w:rPr>
          <w:rFonts w:ascii="Palatino Linotype" w:eastAsia="Palatino Linotype" w:hAnsi="Palatino Linotype" w:cs="Palatino Linotype"/>
        </w:rPr>
        <w:t xml:space="preserve">. De las constancias que integran el expediente electrónico en que se actúa se advierte que en fecha </w:t>
      </w:r>
      <w:r w:rsidRPr="00942231">
        <w:rPr>
          <w:rFonts w:ascii="Palatino Linotype" w:eastAsia="Palatino Linotype" w:hAnsi="Palatino Linotype" w:cs="Palatino Linotype"/>
          <w:b/>
        </w:rPr>
        <w:t xml:space="preserve">quince de julio de dos mil veintidós, </w:t>
      </w:r>
      <w:r w:rsidRPr="00942231">
        <w:rPr>
          <w:rFonts w:ascii="Palatino Linotype" w:eastAsia="Palatino Linotype" w:hAnsi="Palatino Linotype" w:cs="Palatino Linotype"/>
        </w:rPr>
        <w:t xml:space="preserve">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xml:space="preserve"> remitió su informe justificado mediante el cual ratificó en lo sustancial la respuesta emitida en primera instancia, y, con relación a los motivos de inconformidad aducidos por 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señaló, de conformidad con el artículo 87, inciso c) del Código Financiero del Estado de México, que el servicio de depósito y guarda vehicular da lugar al cobro de derechos por servicios prestados por la Secretaría de Movilidad.</w:t>
      </w:r>
    </w:p>
    <w:p w14:paraId="78D843FD"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Asimismo, adjuntó el oficio 20703001030200L/2016/2022 de fecha once de julio de dos mil veintidós, signado por el Subdirector de Normas y Procedimientos, y Servidor Público Habilitado suplente de la Dirección General de Recaudación, mediante el cual, notifica el pronunciamiento emitido por la Dirección de Administración Tributaria a través del oficio 20703001020000L/735/2022, mediante el cual informa que no se encontró en los archivos que obran en la Dirección recaudación por concepto de contribuciones o aprovechamientos pagados a la Hacienda del Estado de México por concesionarios, licenciatarios o titulares por cualquier título legal de corralones de la entidad, derivados de la explotación de dicha licencia, concesión, etcétera.  </w:t>
      </w:r>
    </w:p>
    <w:p w14:paraId="1BB5392C"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Documentos que, una vez analizados se hicieron del conocimiento de la parte </w:t>
      </w:r>
      <w:r w:rsidRPr="00942231">
        <w:rPr>
          <w:rFonts w:ascii="Palatino Linotype" w:eastAsia="Palatino Linotype" w:hAnsi="Palatino Linotype" w:cs="Palatino Linotype"/>
          <w:b/>
        </w:rPr>
        <w:t xml:space="preserve">Recurrente </w:t>
      </w:r>
      <w:r w:rsidRPr="00942231">
        <w:rPr>
          <w:rFonts w:ascii="Palatino Linotype" w:eastAsia="Palatino Linotype" w:hAnsi="Palatino Linotype" w:cs="Palatino Linotype"/>
        </w:rPr>
        <w:t>a efecto de que manifestara lo que a su derecho estimara conveniente, siendo omisa en ejercer dicha prerrogativa.</w:t>
      </w:r>
    </w:p>
    <w:p w14:paraId="125F14FE" w14:textId="77777777" w:rsidR="00131CFC" w:rsidRPr="00942231" w:rsidRDefault="00212DEF">
      <w:pPr>
        <w:spacing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b/>
        </w:rPr>
        <w:lastRenderedPageBreak/>
        <w:t>7. Ampliación del término para resolver</w:t>
      </w:r>
      <w:r w:rsidRPr="00942231">
        <w:rPr>
          <w:rFonts w:ascii="Palatino Linotype" w:eastAsia="Palatino Linotype" w:hAnsi="Palatino Linotype" w:cs="Palatino Linotype"/>
        </w:rPr>
        <w:t xml:space="preserve">. En fecha </w:t>
      </w:r>
      <w:r w:rsidRPr="00942231">
        <w:rPr>
          <w:rFonts w:ascii="Palatino Linotype" w:eastAsia="Palatino Linotype" w:hAnsi="Palatino Linotype" w:cs="Palatino Linotype"/>
          <w:b/>
        </w:rPr>
        <w:t>ocho de noviembre de dos mil veintidós</w:t>
      </w:r>
      <w:r w:rsidRPr="0094223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4B51D1A"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32A5D91"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B544576"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F9AC23"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942231">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674DA69C" w14:textId="77777777" w:rsidR="00131CFC" w:rsidRPr="00942231" w:rsidRDefault="00212DEF">
      <w:pPr>
        <w:spacing w:before="240" w:after="240" w:line="360" w:lineRule="auto"/>
        <w:jc w:val="both"/>
        <w:rPr>
          <w:rFonts w:ascii="Palatino Linotype" w:eastAsia="Palatino Linotype" w:hAnsi="Palatino Linotype" w:cs="Palatino Linotype"/>
          <w:strike/>
        </w:rPr>
      </w:pPr>
      <w:r w:rsidRPr="0094223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8FD9E18" w14:textId="77777777" w:rsidR="00131CFC" w:rsidRPr="00942231" w:rsidRDefault="00212DEF">
      <w:pPr>
        <w:numPr>
          <w:ilvl w:val="0"/>
          <w:numId w:val="1"/>
        </w:num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4A6B605" w14:textId="77777777" w:rsidR="00131CFC" w:rsidRPr="00942231" w:rsidRDefault="00212DEF">
      <w:pPr>
        <w:numPr>
          <w:ilvl w:val="0"/>
          <w:numId w:val="1"/>
        </w:num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Actividad Procesal del interesado. Acciones u omisiones del interesado.</w:t>
      </w:r>
    </w:p>
    <w:p w14:paraId="2AA1933E" w14:textId="77777777" w:rsidR="00131CFC" w:rsidRPr="00942231" w:rsidRDefault="00212DEF">
      <w:pPr>
        <w:numPr>
          <w:ilvl w:val="0"/>
          <w:numId w:val="1"/>
        </w:num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Conducta de la Autoridad: Las Acciones u omisiones realizadas en el procedimiento. Así como si la autoridad actuó con la debida diligencia.</w:t>
      </w:r>
    </w:p>
    <w:p w14:paraId="139A788F" w14:textId="77777777" w:rsidR="00131CFC" w:rsidRPr="00942231" w:rsidRDefault="00212DEF">
      <w:pPr>
        <w:spacing w:before="240" w:after="240" w:line="360" w:lineRule="auto"/>
        <w:ind w:left="567"/>
        <w:jc w:val="both"/>
        <w:rPr>
          <w:rFonts w:ascii="Palatino Linotype" w:eastAsia="Palatino Linotype" w:hAnsi="Palatino Linotype" w:cs="Palatino Linotype"/>
        </w:rPr>
      </w:pPr>
      <w:r w:rsidRPr="00942231">
        <w:rPr>
          <w:rFonts w:ascii="Palatino Linotype" w:eastAsia="Palatino Linotype" w:hAnsi="Palatino Linotype" w:cs="Palatino Linotype"/>
        </w:rPr>
        <w:t>d) La afectación generada en la situación jurídica de la persona involucrada en el proceso: Violación a sus derechos humanos.</w:t>
      </w:r>
    </w:p>
    <w:p w14:paraId="280FC0EB"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68CF55" w14:textId="77777777" w:rsidR="00131CFC" w:rsidRPr="00942231" w:rsidRDefault="00212DEF">
      <w:pPr>
        <w:spacing w:before="240" w:after="240" w:line="360" w:lineRule="auto"/>
        <w:jc w:val="both"/>
        <w:rPr>
          <w:rFonts w:ascii="Palatino Linotype" w:eastAsia="Palatino Linotype" w:hAnsi="Palatino Linotype" w:cs="Palatino Linotype"/>
          <w:b/>
        </w:rPr>
      </w:pPr>
      <w:r w:rsidRPr="0094223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42231">
        <w:rPr>
          <w:rFonts w:ascii="Palatino Linotype" w:eastAsia="Palatino Linotype" w:hAnsi="Palatino Linotype" w:cs="Palatino Linotype"/>
          <w:i/>
        </w:rPr>
        <w:t xml:space="preserve">“TÉRMINOS </w:t>
      </w:r>
      <w:r w:rsidRPr="00942231">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942231">
        <w:rPr>
          <w:rFonts w:ascii="Palatino Linotype" w:eastAsia="Palatino Linotype" w:hAnsi="Palatino Linotype" w:cs="Palatino Linotype"/>
        </w:rPr>
        <w:t>, visible en la Gaceta del Seminario Judicial de la Federación con el registro digital 205635.</w:t>
      </w:r>
    </w:p>
    <w:p w14:paraId="72E6F985"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FF5715"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BBC8C88" w14:textId="77777777" w:rsidR="00131CFC" w:rsidRPr="00942231" w:rsidRDefault="00212DEF">
      <w:pPr>
        <w:spacing w:before="240" w:after="240"/>
        <w:ind w:left="851" w:right="902"/>
        <w:jc w:val="both"/>
        <w:rPr>
          <w:rFonts w:ascii="Palatino Linotype" w:eastAsia="Palatino Linotype" w:hAnsi="Palatino Linotype" w:cs="Palatino Linotype"/>
          <w:sz w:val="22"/>
          <w:szCs w:val="22"/>
        </w:rPr>
      </w:pPr>
      <w:r w:rsidRPr="00942231">
        <w:rPr>
          <w:rFonts w:ascii="Palatino Linotype" w:eastAsia="Palatino Linotype" w:hAnsi="Palatino Linotype" w:cs="Palatino Linotype"/>
        </w:rPr>
        <w:t xml:space="preserve"> </w:t>
      </w: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PLAZO RAZONABLE PARA RESOLVER. DIMENSIÓN Y EFECTOS DE ESTE CONCEPTO CUANDO SE ADUCE EXCESIVA CARGA DE TRABAJO</w:t>
      </w: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681751" w14:textId="77777777" w:rsidR="00131CFC" w:rsidRPr="00942231" w:rsidRDefault="00212DEF">
      <w:pPr>
        <w:spacing w:before="240" w:after="240"/>
        <w:ind w:left="851" w:right="902"/>
        <w:jc w:val="both"/>
        <w:rPr>
          <w:rFonts w:ascii="Palatino Linotype" w:eastAsia="Palatino Linotype" w:hAnsi="Palatino Linotype" w:cs="Palatino Linotype"/>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sz w:val="22"/>
          <w:szCs w:val="22"/>
        </w:rPr>
        <w:t xml:space="preserve">, visible en el </w:t>
      </w:r>
      <w:r w:rsidRPr="00942231">
        <w:rPr>
          <w:rFonts w:ascii="Palatino Linotype" w:eastAsia="Palatino Linotype" w:hAnsi="Palatino Linotype" w:cs="Palatino Linotype"/>
          <w:sz w:val="22"/>
          <w:szCs w:val="22"/>
        </w:rPr>
        <w:lastRenderedPageBreak/>
        <w:t>Seminario Judicial de la Federación y su gaceta, con el registro digital 2002350.</w:t>
      </w:r>
    </w:p>
    <w:p w14:paraId="13537D6F"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4FFBA4F" w14:textId="77777777" w:rsidR="00131CFC" w:rsidRPr="00942231" w:rsidRDefault="00212DEF">
      <w:pPr>
        <w:spacing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b/>
        </w:rPr>
        <w:t xml:space="preserve">8. Cierre de instrucción. </w:t>
      </w:r>
      <w:r w:rsidRPr="0094223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42231">
        <w:rPr>
          <w:rFonts w:ascii="Palatino Linotype" w:eastAsia="Palatino Linotype" w:hAnsi="Palatino Linotype" w:cs="Palatino Linotype"/>
          <w:b/>
        </w:rPr>
        <w:t>veinte de diciembre de dos mil veintidós</w:t>
      </w:r>
      <w:r w:rsidRPr="0094223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19B17E7"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5F0E365" w14:textId="77777777" w:rsidR="00131CFC" w:rsidRPr="00942231" w:rsidRDefault="00212DEF">
      <w:pPr>
        <w:widowControl w:val="0"/>
        <w:spacing w:before="240" w:after="240" w:line="360" w:lineRule="auto"/>
        <w:jc w:val="center"/>
        <w:rPr>
          <w:rFonts w:ascii="Palatino Linotype" w:eastAsia="Palatino Linotype" w:hAnsi="Palatino Linotype" w:cs="Palatino Linotype"/>
          <w:b/>
        </w:rPr>
      </w:pPr>
      <w:r w:rsidRPr="00942231">
        <w:rPr>
          <w:rFonts w:ascii="Palatino Linotype" w:eastAsia="Palatino Linotype" w:hAnsi="Palatino Linotype" w:cs="Palatino Linotype"/>
          <w:b/>
        </w:rPr>
        <w:t>II. C O N S I D E R A N D O S</w:t>
      </w:r>
    </w:p>
    <w:p w14:paraId="55505170"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b/>
        </w:rPr>
        <w:t>Primero. Competencia.</w:t>
      </w:r>
      <w:r w:rsidRPr="0094223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942231">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055114ED" w14:textId="77777777" w:rsidR="00131CFC" w:rsidRPr="00942231" w:rsidRDefault="00212DEF">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942231">
        <w:rPr>
          <w:rFonts w:ascii="Palatino Linotype" w:eastAsia="Palatino Linotype" w:hAnsi="Palatino Linotype" w:cs="Palatino Linotype"/>
          <w:b/>
        </w:rPr>
        <w:t>Segundo. Oportunidad y Procedibilidad del Recurso de Revisión</w:t>
      </w:r>
      <w:r w:rsidRPr="0094223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9C7668"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42231">
        <w:rPr>
          <w:rFonts w:ascii="Palatino Linotype" w:eastAsia="Palatino Linotype" w:hAnsi="Palatino Linotype" w:cs="Palatino Linotype"/>
          <w:b/>
        </w:rPr>
        <w:t xml:space="preserve">Sujeto Obligado </w:t>
      </w:r>
      <w:r w:rsidRPr="00942231">
        <w:rPr>
          <w:rFonts w:ascii="Palatino Linotype" w:eastAsia="Palatino Linotype" w:hAnsi="Palatino Linotype" w:cs="Palatino Linotype"/>
        </w:rPr>
        <w:t xml:space="preserve">remitió la respuesta a la solicitud de información el día </w:t>
      </w:r>
      <w:r w:rsidRPr="00942231">
        <w:rPr>
          <w:rFonts w:ascii="Palatino Linotype" w:eastAsia="Palatino Linotype" w:hAnsi="Palatino Linotype" w:cs="Palatino Linotype"/>
          <w:b/>
        </w:rPr>
        <w:t xml:space="preserve">veintisiete de junio de dos mil veintidós, </w:t>
      </w:r>
      <w:r w:rsidRPr="00942231">
        <w:rPr>
          <w:rFonts w:ascii="Palatino Linotype" w:eastAsia="Palatino Linotype" w:hAnsi="Palatino Linotype" w:cs="Palatino Linotype"/>
        </w:rPr>
        <w:t xml:space="preserve">mientras que el recurso de revisión interpuesto por 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xml:space="preserve">, se tuvo por presentado el día </w:t>
      </w:r>
      <w:r w:rsidRPr="00942231">
        <w:rPr>
          <w:rFonts w:ascii="Palatino Linotype" w:eastAsia="Palatino Linotype" w:hAnsi="Palatino Linotype" w:cs="Palatino Linotype"/>
          <w:b/>
        </w:rPr>
        <w:t>cuatro de julio de dos mil veintidós</w:t>
      </w:r>
      <w:r w:rsidRPr="00942231">
        <w:rPr>
          <w:rFonts w:ascii="Palatino Linotype" w:eastAsia="Palatino Linotype" w:hAnsi="Palatino Linotype" w:cs="Palatino Linotype"/>
        </w:rPr>
        <w:t>, esto es, al quinto día hábil posterior en que tuvo conocimiento de la respuesta impugnada.</w:t>
      </w:r>
    </w:p>
    <w:p w14:paraId="17773100" w14:textId="77777777" w:rsidR="00131CFC" w:rsidRPr="00942231" w:rsidRDefault="00212DEF">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942231">
        <w:rPr>
          <w:rFonts w:ascii="Palatino Linotype" w:eastAsia="Palatino Linotype" w:hAnsi="Palatino Linotype" w:cs="Palatino Linotype"/>
        </w:rPr>
        <w:t xml:space="preserve">En este sentido, al considerar la fecha en que se formuló la solicitud y la fecha en que respondió a ésta 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29F8FD6"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942231">
        <w:rPr>
          <w:rFonts w:ascii="Palatino Linotype" w:eastAsia="Palatino Linotype" w:hAnsi="Palatino Linotype" w:cs="Palatino Linotype"/>
        </w:rPr>
        <w:lastRenderedPageBreak/>
        <w:t>Municipios, en atención a que fue presentado mediante el formato visible en el SAIMEX.</w:t>
      </w:r>
    </w:p>
    <w:p w14:paraId="4E5DDF7B"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A efecto de sustentar lo anterior, es de suma importancia mencionar que si bien la persona solicitante </w:t>
      </w:r>
      <w:r w:rsidRPr="00942231">
        <w:rPr>
          <w:rFonts w:ascii="Palatino Linotype" w:eastAsia="Palatino Linotype" w:hAnsi="Palatino Linotype" w:cs="Palatino Linotype"/>
          <w:b/>
        </w:rPr>
        <w:t xml:space="preserve">no proporcionó nombre </w:t>
      </w:r>
      <w:r w:rsidRPr="00942231">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534A41" w14:textId="77777777" w:rsidR="00131CFC" w:rsidRPr="00942231" w:rsidRDefault="00212DEF">
      <w:pPr>
        <w:spacing w:before="120" w:after="120"/>
        <w:ind w:left="851" w:right="902"/>
        <w:jc w:val="both"/>
        <w:rPr>
          <w:rFonts w:ascii="Palatino Linotype" w:eastAsia="Palatino Linotype" w:hAnsi="Palatino Linotype" w:cs="Palatino Linotype"/>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Las solicitudes anónimas</w:t>
      </w:r>
      <w:r w:rsidRPr="00942231">
        <w:rPr>
          <w:rFonts w:ascii="Palatino Linotype" w:eastAsia="Palatino Linotype" w:hAnsi="Palatino Linotype" w:cs="Palatino Linotype"/>
          <w:i/>
          <w:sz w:val="22"/>
          <w:szCs w:val="22"/>
        </w:rPr>
        <w:t xml:space="preserve">, con nombre incompleto o seudónimo </w:t>
      </w:r>
      <w:r w:rsidRPr="00942231">
        <w:rPr>
          <w:rFonts w:ascii="Palatino Linotype" w:eastAsia="Palatino Linotype" w:hAnsi="Palatino Linotype" w:cs="Palatino Linotype"/>
          <w:b/>
          <w:i/>
          <w:sz w:val="22"/>
          <w:szCs w:val="22"/>
        </w:rPr>
        <w:t>serán procedentes para su trámite por parte del sujeto obligado ante quien se presente</w:t>
      </w:r>
      <w:r w:rsidRPr="00942231">
        <w:rPr>
          <w:rFonts w:ascii="Palatino Linotype" w:eastAsia="Palatino Linotype" w:hAnsi="Palatino Linotype" w:cs="Palatino Linotype"/>
          <w:i/>
          <w:sz w:val="22"/>
          <w:szCs w:val="22"/>
        </w:rPr>
        <w:t>. No podrá requerirse información adicional con motivo del nombre proporcionado por el solicitante."</w:t>
      </w:r>
    </w:p>
    <w:p w14:paraId="5054478D"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por lo que, en el presente caso, al haber sido presentado el recurso de revisión vía SAIMEX, dicho requisito resulta innecesario.</w:t>
      </w:r>
    </w:p>
    <w:p w14:paraId="4C49BEF2"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Finalmente, se advierte que resulta procedente la interposición del recurso, según lo manifestado por 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xml:space="preserve"> en sus motivos de inconformidad, de acuerdo al artículo 179, fracción I del ordenamiento legal citado, que a la letra dice: </w:t>
      </w:r>
    </w:p>
    <w:p w14:paraId="442F28C6" w14:textId="77777777" w:rsidR="00131CFC" w:rsidRPr="00942231" w:rsidRDefault="00212DEF">
      <w:pPr>
        <w:spacing w:before="120" w:after="120"/>
        <w:ind w:left="993"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Artículo 179.</w:t>
      </w:r>
      <w:r w:rsidRPr="0094223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03C0C1E" w14:textId="77777777" w:rsidR="00131CFC" w:rsidRPr="00942231" w:rsidRDefault="00212DEF">
      <w:pPr>
        <w:spacing w:before="120" w:after="120"/>
        <w:ind w:left="1134"/>
        <w:rPr>
          <w:rFonts w:ascii="Palatino Linotype" w:eastAsia="Palatino Linotype" w:hAnsi="Palatino Linotype" w:cs="Palatino Linotype"/>
          <w:b/>
          <w:i/>
          <w:sz w:val="22"/>
          <w:szCs w:val="22"/>
        </w:rPr>
      </w:pPr>
      <w:r w:rsidRPr="00942231">
        <w:rPr>
          <w:rFonts w:ascii="Palatino Linotype" w:eastAsia="Palatino Linotype" w:hAnsi="Palatino Linotype" w:cs="Palatino Linotype"/>
          <w:b/>
          <w:i/>
          <w:sz w:val="22"/>
          <w:szCs w:val="22"/>
        </w:rPr>
        <w:t xml:space="preserve">I. </w:t>
      </w:r>
      <w:r w:rsidRPr="00942231">
        <w:rPr>
          <w:rFonts w:ascii="Palatino Linotype" w:eastAsia="Palatino Linotype" w:hAnsi="Palatino Linotype" w:cs="Palatino Linotype"/>
          <w:i/>
          <w:sz w:val="22"/>
          <w:szCs w:val="22"/>
        </w:rPr>
        <w:t>La negativa a la información solicitada</w:t>
      </w:r>
      <w:r w:rsidRPr="00942231">
        <w:rPr>
          <w:rFonts w:ascii="Palatino Linotype" w:eastAsia="Palatino Linotype" w:hAnsi="Palatino Linotype" w:cs="Palatino Linotype"/>
          <w:b/>
          <w:i/>
          <w:sz w:val="22"/>
          <w:szCs w:val="22"/>
        </w:rPr>
        <w:t>;</w:t>
      </w:r>
      <w:r w:rsidRPr="00942231">
        <w:rPr>
          <w:rFonts w:ascii="Palatino Linotype" w:eastAsia="Palatino Linotype" w:hAnsi="Palatino Linotype" w:cs="Palatino Linotype"/>
          <w:i/>
          <w:sz w:val="22"/>
          <w:szCs w:val="22"/>
        </w:rPr>
        <w:t>”</w:t>
      </w:r>
    </w:p>
    <w:p w14:paraId="7AA9D315"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b/>
        </w:rPr>
        <w:lastRenderedPageBreak/>
        <w:t xml:space="preserve">Tercero. Materia de la revisión. </w:t>
      </w:r>
      <w:r w:rsidRPr="0094223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42231">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42231">
        <w:rPr>
          <w:rFonts w:ascii="Palatino Linotype" w:eastAsia="Palatino Linotype" w:hAnsi="Palatino Linotype" w:cs="Palatino Linotype"/>
        </w:rPr>
        <w:t xml:space="preserve">de 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o en su defecto, en caso de ser procedente, ordenar la entrega de información oportuna.</w:t>
      </w:r>
    </w:p>
    <w:p w14:paraId="6013B3F4" w14:textId="77777777" w:rsidR="00131CFC" w:rsidRPr="00942231" w:rsidRDefault="00212DEF">
      <w:pPr>
        <w:spacing w:before="240" w:after="240" w:line="360" w:lineRule="auto"/>
        <w:ind w:right="51"/>
        <w:jc w:val="both"/>
        <w:rPr>
          <w:rFonts w:ascii="Palatino Linotype" w:eastAsia="Palatino Linotype" w:hAnsi="Palatino Linotype" w:cs="Palatino Linotype"/>
        </w:rPr>
      </w:pPr>
      <w:r w:rsidRPr="00942231">
        <w:rPr>
          <w:rFonts w:ascii="Palatino Linotype" w:eastAsia="Palatino Linotype" w:hAnsi="Palatino Linotype" w:cs="Palatino Linotype"/>
          <w:b/>
        </w:rPr>
        <w:t xml:space="preserve">Cuarto. Estudio del asunto. </w:t>
      </w:r>
      <w:r w:rsidRPr="00942231">
        <w:rPr>
          <w:rFonts w:ascii="Palatino Linotype" w:eastAsia="Palatino Linotype" w:hAnsi="Palatino Linotype" w:cs="Palatino Linotype"/>
        </w:rPr>
        <w:t xml:space="preserve">Del análisis de la solicitud de información, motivo del recurso de revisión que ahora se resuelve se advierte que 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xml:space="preserve"> requirió al </w:t>
      </w:r>
      <w:r w:rsidRPr="00942231">
        <w:rPr>
          <w:rFonts w:ascii="Palatino Linotype" w:eastAsia="Palatino Linotype" w:hAnsi="Palatino Linotype" w:cs="Palatino Linotype"/>
          <w:b/>
        </w:rPr>
        <w:t xml:space="preserve">Sujeto Obligado </w:t>
      </w:r>
      <w:r w:rsidRPr="00942231">
        <w:rPr>
          <w:rFonts w:ascii="Palatino Linotype" w:eastAsia="Palatino Linotype" w:hAnsi="Palatino Linotype" w:cs="Palatino Linotype"/>
        </w:rPr>
        <w:t>le proporcione, información consistente en lo siguiente:</w:t>
      </w:r>
    </w:p>
    <w:p w14:paraId="6EEB840F" w14:textId="77777777" w:rsidR="00131CFC" w:rsidRPr="00942231" w:rsidRDefault="00212DEF">
      <w:pPr>
        <w:tabs>
          <w:tab w:val="left" w:pos="7513"/>
        </w:tabs>
        <w:spacing w:before="240" w:after="240" w:line="360" w:lineRule="auto"/>
        <w:ind w:left="284" w:right="49"/>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1. Total de ingresos recaudados en 2019, 2020, 2021 y 2022 por concepto de contribuciones o aprovechamientos, pagados a la Hacienda del Estado de México por concesionarios, licenciatarios, o titulares por cualquier título legal de corralones en la entidad, derivados de la explotación de dicha licencia, concesión, etcétera. </w:t>
      </w:r>
    </w:p>
    <w:p w14:paraId="5C362D48" w14:textId="77777777" w:rsidR="00131CFC" w:rsidRPr="00942231" w:rsidRDefault="00212DEF">
      <w:pPr>
        <w:spacing w:before="240" w:after="240" w:line="360" w:lineRule="auto"/>
        <w:ind w:right="51"/>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En respuesta, la Unidad de Transparencia del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hizo del conocimiento de la persona solicitante, con base en el pronunciamiento emitido por la Dirección de Administración Tributaria, dependiente de  la Dirección General de Recaudación, no cuenta se con información al respecto, precisando que la Dirección de Administración Tributaria no recauda ingresos por concepto de corralones vehiculares.</w:t>
      </w:r>
    </w:p>
    <w:p w14:paraId="25740A7C" w14:textId="77777777" w:rsidR="00131CFC" w:rsidRPr="00942231" w:rsidRDefault="00212DEF">
      <w:pPr>
        <w:spacing w:before="240" w:after="240" w:line="360" w:lineRule="auto"/>
        <w:ind w:right="51"/>
        <w:jc w:val="both"/>
        <w:rPr>
          <w:rFonts w:ascii="Palatino Linotype" w:eastAsia="Palatino Linotype" w:hAnsi="Palatino Linotype" w:cs="Palatino Linotype"/>
          <w:i/>
        </w:rPr>
      </w:pPr>
      <w:r w:rsidRPr="00942231">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w:t>
      </w:r>
      <w:r w:rsidRPr="00942231">
        <w:rPr>
          <w:rFonts w:ascii="Palatino Linotype" w:eastAsia="Palatino Linotype" w:hAnsi="Palatino Linotype" w:cs="Palatino Linotype"/>
        </w:rPr>
        <w:lastRenderedPageBreak/>
        <w:t>cual, como motivo de inconformidad refirió que “...</w:t>
      </w:r>
      <w:r w:rsidRPr="00942231">
        <w:rPr>
          <w:rFonts w:ascii="Palatino Linotype" w:eastAsia="Palatino Linotype" w:hAnsi="Palatino Linotype" w:cs="Palatino Linotype"/>
          <w:i/>
        </w:rPr>
        <w:t xml:space="preserve">no se solito lo que la ciudadanía paga por corralones, sino los pagos de los licenciatarios o titulares por cualquier </w:t>
      </w:r>
      <w:proofErr w:type="spellStart"/>
      <w:r w:rsidRPr="00942231">
        <w:rPr>
          <w:rFonts w:ascii="Palatino Linotype" w:eastAsia="Palatino Linotype" w:hAnsi="Palatino Linotype" w:cs="Palatino Linotype"/>
          <w:i/>
        </w:rPr>
        <w:t>titulo</w:t>
      </w:r>
      <w:proofErr w:type="spellEnd"/>
      <w:r w:rsidRPr="00942231">
        <w:rPr>
          <w:rFonts w:ascii="Palatino Linotype" w:eastAsia="Palatino Linotype" w:hAnsi="Palatino Linotype" w:cs="Palatino Linotype"/>
          <w:i/>
        </w:rPr>
        <w:t xml:space="preserve"> legal de corralones en la entidad, provenientes de su actividad o como consecuencia de ella” (sic)</w:t>
      </w:r>
    </w:p>
    <w:p w14:paraId="6FC2FD07"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Admitido el presente recurso de revisión, en términos del artículo 185 fracción II</w:t>
      </w:r>
      <w:r w:rsidRPr="00942231">
        <w:rPr>
          <w:rFonts w:ascii="Palatino Linotype" w:eastAsia="Palatino Linotype" w:hAnsi="Palatino Linotype" w:cs="Palatino Linotype"/>
          <w:vertAlign w:val="superscript"/>
        </w:rPr>
        <w:footnoteReference w:id="1"/>
      </w:r>
      <w:r w:rsidRPr="00942231">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671E869"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En este sentido, el </w:t>
      </w:r>
      <w:r w:rsidRPr="00942231">
        <w:rPr>
          <w:rFonts w:ascii="Palatino Linotype" w:eastAsia="Palatino Linotype" w:hAnsi="Palatino Linotype" w:cs="Palatino Linotype"/>
          <w:b/>
        </w:rPr>
        <w:t xml:space="preserve">Sujeto Obligado, </w:t>
      </w:r>
      <w:r w:rsidRPr="00942231">
        <w:rPr>
          <w:rFonts w:ascii="Palatino Linotype" w:eastAsia="Palatino Linotype" w:hAnsi="Palatino Linotype" w:cs="Palatino Linotype"/>
        </w:rPr>
        <w:t xml:space="preserve">a través de la Unidad de Transparencia con base en el pronunciamiento emitido por la Dirección de Administración Tributaria dependiente de la Dirección General de Recaudación, informó que no se encontró en los archivos que obran en la Dirección recaudación por concepto de contribuciones o aprovechamientos pagados a la Hacienda del Estado de México por concesionarios, licenciatarios o titulares por cualquier título legal de corralones de la entidad, derivados de la explotación de dicha licencia o concesión. </w:t>
      </w:r>
    </w:p>
    <w:p w14:paraId="7AEDC926" w14:textId="77777777" w:rsidR="00131CFC" w:rsidRPr="00942231" w:rsidRDefault="00212DE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Documentos que se pusieron a la vista de la parte </w:t>
      </w:r>
      <w:r w:rsidRPr="00942231">
        <w:rPr>
          <w:rFonts w:ascii="Palatino Linotype" w:eastAsia="Palatino Linotype" w:hAnsi="Palatino Linotype" w:cs="Palatino Linotype"/>
          <w:b/>
        </w:rPr>
        <w:t xml:space="preserve">Recurrente, </w:t>
      </w:r>
      <w:r w:rsidRPr="00942231">
        <w:rPr>
          <w:rFonts w:ascii="Palatino Linotype" w:eastAsia="Palatino Linotype" w:hAnsi="Palatino Linotype" w:cs="Palatino Linotype"/>
        </w:rPr>
        <w:t>sin advertir algún pronunciamiento.</w:t>
      </w:r>
    </w:p>
    <w:p w14:paraId="0F4AC22D" w14:textId="77777777" w:rsidR="00131CFC" w:rsidRPr="00942231" w:rsidRDefault="00212DEF">
      <w:pPr>
        <w:spacing w:before="240" w:after="240" w:line="360" w:lineRule="auto"/>
        <w:ind w:right="51"/>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w:t>
      </w:r>
      <w:r w:rsidRPr="00942231">
        <w:rPr>
          <w:rFonts w:ascii="Palatino Linotype" w:eastAsia="Palatino Linotype" w:hAnsi="Palatino Linotype" w:cs="Palatino Linotype"/>
        </w:rPr>
        <w:lastRenderedPageBreak/>
        <w:t>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207E621"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44145927" w14:textId="77777777" w:rsidR="00131CFC" w:rsidRPr="00942231" w:rsidRDefault="00212DEF">
      <w:pPr>
        <w:spacing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AD0CDA" w14:textId="77777777" w:rsidR="00131CFC" w:rsidRPr="00942231" w:rsidRDefault="00131CFC">
      <w:pPr>
        <w:ind w:left="851" w:right="899"/>
        <w:jc w:val="both"/>
        <w:rPr>
          <w:rFonts w:ascii="Palatino Linotype" w:eastAsia="Palatino Linotype" w:hAnsi="Palatino Linotype" w:cs="Palatino Linotype"/>
          <w:i/>
        </w:rPr>
      </w:pPr>
    </w:p>
    <w:p w14:paraId="18D2DF50" w14:textId="77777777" w:rsidR="00131CFC" w:rsidRPr="00942231" w:rsidRDefault="00212DEF">
      <w:pPr>
        <w:ind w:left="851" w:right="899"/>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lastRenderedPageBreak/>
        <w:t>“</w:t>
      </w:r>
      <w:r w:rsidRPr="00942231">
        <w:rPr>
          <w:rFonts w:ascii="Palatino Linotype" w:eastAsia="Palatino Linotype" w:hAnsi="Palatino Linotype" w:cs="Palatino Linotype"/>
          <w:b/>
          <w:i/>
          <w:sz w:val="22"/>
          <w:szCs w:val="22"/>
        </w:rPr>
        <w:t xml:space="preserve">Artículo 3. </w:t>
      </w:r>
      <w:r w:rsidRPr="00942231">
        <w:rPr>
          <w:rFonts w:ascii="Palatino Linotype" w:eastAsia="Palatino Linotype" w:hAnsi="Palatino Linotype" w:cs="Palatino Linotype"/>
          <w:i/>
          <w:sz w:val="22"/>
          <w:szCs w:val="22"/>
        </w:rPr>
        <w:t>Para los efectos de la presente Ley se entenderá por:</w:t>
      </w:r>
    </w:p>
    <w:p w14:paraId="6CCDCAEA" w14:textId="77777777" w:rsidR="00131CFC" w:rsidRPr="00942231" w:rsidRDefault="00212DEF">
      <w:pPr>
        <w:ind w:left="1134" w:right="899"/>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2DEE5E75" w14:textId="77777777" w:rsidR="00131CFC" w:rsidRPr="00942231" w:rsidRDefault="00212DEF">
      <w:pPr>
        <w:ind w:left="1134" w:right="899"/>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XI. Documento:</w:t>
      </w:r>
      <w:r w:rsidRPr="00942231">
        <w:rPr>
          <w:rFonts w:ascii="Palatino Linotype" w:eastAsia="Palatino Linotype" w:hAnsi="Palatino Linotype" w:cs="Palatino Linotype"/>
          <w:i/>
          <w:sz w:val="22"/>
          <w:szCs w:val="22"/>
        </w:rPr>
        <w:t xml:space="preserve"> Los expedientes, reportes, estudios, actas</w:t>
      </w:r>
      <w:r w:rsidRPr="00942231">
        <w:rPr>
          <w:rFonts w:ascii="Palatino Linotype" w:eastAsia="Palatino Linotype" w:hAnsi="Palatino Linotype" w:cs="Palatino Linotype"/>
          <w:b/>
          <w:i/>
          <w:sz w:val="22"/>
          <w:szCs w:val="22"/>
        </w:rPr>
        <w:t>,</w:t>
      </w:r>
      <w:r w:rsidRPr="0094223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CAA7443" w14:textId="77777777" w:rsidR="00131CFC" w:rsidRPr="00942231" w:rsidRDefault="00131CFC">
      <w:pPr>
        <w:ind w:left="851" w:right="899"/>
        <w:jc w:val="both"/>
        <w:rPr>
          <w:rFonts w:ascii="Palatino Linotype" w:eastAsia="Palatino Linotype" w:hAnsi="Palatino Linotype" w:cs="Palatino Linotype"/>
          <w:sz w:val="22"/>
          <w:szCs w:val="22"/>
        </w:rPr>
      </w:pPr>
    </w:p>
    <w:p w14:paraId="223B0C4D" w14:textId="77777777" w:rsidR="00131CFC" w:rsidRPr="00942231" w:rsidRDefault="00212DEF">
      <w:pPr>
        <w:spacing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E53B745" w14:textId="77777777" w:rsidR="00131CFC" w:rsidRPr="00942231" w:rsidRDefault="00131CFC">
      <w:pPr>
        <w:ind w:left="851" w:right="899"/>
        <w:jc w:val="both"/>
        <w:rPr>
          <w:rFonts w:ascii="Palatino Linotype" w:eastAsia="Palatino Linotype" w:hAnsi="Palatino Linotype" w:cs="Palatino Linotype"/>
        </w:rPr>
      </w:pPr>
    </w:p>
    <w:p w14:paraId="7CAAAEF9" w14:textId="77777777" w:rsidR="00131CFC" w:rsidRPr="00942231" w:rsidRDefault="00212DEF">
      <w:pPr>
        <w:ind w:left="851" w:right="899"/>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sz w:val="22"/>
          <w:szCs w:val="22"/>
        </w:rPr>
        <w:t>“</w:t>
      </w:r>
      <w:r w:rsidRPr="0094223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4223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078FA7" w14:textId="77777777" w:rsidR="00131CFC" w:rsidRPr="00942231" w:rsidRDefault="00212DEF">
      <w:pPr>
        <w:ind w:left="851" w:right="899"/>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C1EC3A0" w14:textId="77777777" w:rsidR="00131CFC" w:rsidRPr="00942231" w:rsidRDefault="00212DEF">
      <w:pPr>
        <w:ind w:left="1134" w:right="899"/>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3438F51" w14:textId="77777777" w:rsidR="00131CFC" w:rsidRPr="00942231" w:rsidRDefault="00212DEF">
      <w:pPr>
        <w:ind w:left="1134" w:right="899"/>
        <w:jc w:val="both"/>
        <w:rPr>
          <w:rFonts w:ascii="Palatino Linotype" w:eastAsia="Palatino Linotype" w:hAnsi="Palatino Linotype" w:cs="Palatino Linotype"/>
          <w:b/>
          <w:i/>
          <w:sz w:val="22"/>
          <w:szCs w:val="22"/>
        </w:rPr>
      </w:pPr>
      <w:r w:rsidRPr="0094223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1DDE720" w14:textId="77777777" w:rsidR="00131CFC" w:rsidRPr="00942231" w:rsidRDefault="00212DEF">
      <w:pPr>
        <w:ind w:left="1134" w:right="899"/>
        <w:jc w:val="both"/>
        <w:rPr>
          <w:rFonts w:ascii="Palatino Linotype" w:eastAsia="Palatino Linotype" w:hAnsi="Palatino Linotype" w:cs="Palatino Linotype"/>
          <w:b/>
          <w:i/>
          <w:sz w:val="22"/>
          <w:szCs w:val="22"/>
        </w:rPr>
      </w:pPr>
      <w:r w:rsidRPr="0094223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8F88226" w14:textId="77777777" w:rsidR="00131CFC" w:rsidRPr="00942231" w:rsidRDefault="00212DEF">
      <w:pPr>
        <w:spacing w:before="240" w:after="240" w:line="360" w:lineRule="auto"/>
        <w:ind w:right="51"/>
        <w:jc w:val="both"/>
        <w:rPr>
          <w:rFonts w:ascii="Palatino Linotype" w:eastAsia="Palatino Linotype" w:hAnsi="Palatino Linotype" w:cs="Palatino Linotype"/>
        </w:rPr>
      </w:pPr>
      <w:r w:rsidRPr="00942231">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0A5EF9A"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17EC43E" w14:textId="64D1A0E8" w:rsidR="00131CFC" w:rsidRPr="00942231" w:rsidRDefault="001A52C3">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Ahora bien, </w:t>
      </w:r>
      <w:r w:rsidR="00212DEF" w:rsidRPr="00942231">
        <w:rPr>
          <w:rFonts w:ascii="Palatino Linotype" w:eastAsia="Palatino Linotype" w:hAnsi="Palatino Linotype" w:cs="Palatino Linotype"/>
        </w:rPr>
        <w:t>derivado de las constancias que obran en el expediente electrónico en el que se actúa, se advierte que la Unidad de Trasparencia,</w:t>
      </w:r>
      <w:r w:rsidRPr="00942231">
        <w:rPr>
          <w:rFonts w:ascii="Palatino Linotype" w:eastAsia="Palatino Linotype" w:hAnsi="Palatino Linotype" w:cs="Palatino Linotype"/>
        </w:rPr>
        <w:t xml:space="preserve"> </w:t>
      </w:r>
      <w:r w:rsidRPr="00942231">
        <w:rPr>
          <w:rFonts w:ascii="Palatino Linotype" w:hAnsi="Palatino Linotype"/>
        </w:rPr>
        <w:t xml:space="preserve">en observancia de lo </w:t>
      </w:r>
      <w:r w:rsidRPr="00942231">
        <w:rPr>
          <w:rFonts w:ascii="Palatino Linotype" w:hAnsi="Palatino Linotype"/>
        </w:rPr>
        <w:lastRenderedPageBreak/>
        <w:t>previsto en los artículos 53</w:t>
      </w:r>
      <w:r w:rsidRPr="00942231">
        <w:rPr>
          <w:rStyle w:val="Refdenotaalpie"/>
          <w:rFonts w:ascii="Palatino Linotype" w:hAnsi="Palatino Linotype"/>
        </w:rPr>
        <w:footnoteReference w:id="2"/>
      </w:r>
      <w:r w:rsidRPr="00942231">
        <w:rPr>
          <w:rFonts w:ascii="Palatino Linotype" w:hAnsi="Palatino Linotype"/>
        </w:rPr>
        <w:t xml:space="preserve"> fracciones II y IV y  162</w:t>
      </w:r>
      <w:r w:rsidRPr="00942231">
        <w:rPr>
          <w:rStyle w:val="Refdenotaalpie"/>
          <w:rFonts w:ascii="Palatino Linotype" w:hAnsi="Palatino Linotype"/>
        </w:rPr>
        <w:footnoteReference w:id="3"/>
      </w:r>
      <w:r w:rsidRPr="00942231">
        <w:rPr>
          <w:rFonts w:ascii="Palatino Linotype" w:hAnsi="Palatino Linotype"/>
        </w:rPr>
        <w:t xml:space="preserve"> de la Ley de la Materia, </w:t>
      </w:r>
      <w:r w:rsidR="00212DEF" w:rsidRPr="00942231">
        <w:rPr>
          <w:rFonts w:ascii="Palatino Linotype" w:eastAsia="Palatino Linotype" w:hAnsi="Palatino Linotype" w:cs="Palatino Linotype"/>
        </w:rPr>
        <w:t>para la atención de la solicitud de información</w:t>
      </w:r>
      <w:r w:rsidRPr="00942231">
        <w:rPr>
          <w:rFonts w:ascii="Palatino Linotype" w:eastAsia="Palatino Linotype" w:hAnsi="Palatino Linotype" w:cs="Palatino Linotype"/>
        </w:rPr>
        <w:t xml:space="preserve">, </w:t>
      </w:r>
      <w:r w:rsidRPr="00942231">
        <w:rPr>
          <w:rFonts w:ascii="Palatino Linotype" w:hAnsi="Palatino Linotype"/>
        </w:rPr>
        <w:t xml:space="preserve">se auxilió </w:t>
      </w:r>
      <w:r w:rsidR="00212DEF" w:rsidRPr="00942231">
        <w:rPr>
          <w:rFonts w:ascii="Palatino Linotype" w:eastAsia="Palatino Linotype" w:hAnsi="Palatino Linotype" w:cs="Palatino Linotype"/>
        </w:rPr>
        <w:t>de la Dirección General de Recaudación, unidad administrativa que depende de la Subsecretaria de Ingresos de conformidad con el artículos 11, fracción I, del Reglamento Interior de la Secretaría de Finanzas, a saber:</w:t>
      </w:r>
    </w:p>
    <w:p w14:paraId="373B4B1A"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Artículo 11</w:t>
      </w:r>
      <w:r w:rsidRPr="00942231">
        <w:rPr>
          <w:rFonts w:ascii="Palatino Linotype" w:eastAsia="Palatino Linotype" w:hAnsi="Palatino Linotype" w:cs="Palatino Linotype"/>
          <w:i/>
          <w:sz w:val="22"/>
          <w:szCs w:val="22"/>
        </w:rPr>
        <w:t>.- Para el despacho de los asuntos de su competencia, la Subsecretaría de Ingresos se auxiliará de las siguientes unidades administrativas:</w:t>
      </w:r>
    </w:p>
    <w:p w14:paraId="78BCF058"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w:t>
      </w:r>
      <w:r w:rsidRPr="00942231">
        <w:rPr>
          <w:rFonts w:ascii="Palatino Linotype" w:eastAsia="Palatino Linotype" w:hAnsi="Palatino Linotype" w:cs="Palatino Linotype"/>
          <w:i/>
          <w:sz w:val="22"/>
          <w:szCs w:val="22"/>
        </w:rPr>
        <w:t>. Dirección General de Recaudación.”</w:t>
      </w:r>
    </w:p>
    <w:p w14:paraId="035D6040"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Teniendo a su cargo, entre otras, las siguientes atribuciones en su parte conducente:</w:t>
      </w:r>
    </w:p>
    <w:p w14:paraId="30422987"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“Artículo 14.-</w:t>
      </w:r>
      <w:r w:rsidRPr="00942231">
        <w:rPr>
          <w:rFonts w:ascii="Palatino Linotype" w:eastAsia="Palatino Linotype" w:hAnsi="Palatino Linotype" w:cs="Palatino Linotype"/>
          <w:i/>
          <w:sz w:val="22"/>
          <w:szCs w:val="22"/>
        </w:rPr>
        <w:t xml:space="preserve"> Corresponde a la Dirección General de Recaudación:</w:t>
      </w:r>
    </w:p>
    <w:p w14:paraId="753FF54F"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31B2CCAA"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IV.</w:t>
      </w:r>
      <w:r w:rsidRPr="00942231">
        <w:rPr>
          <w:rFonts w:ascii="Palatino Linotype" w:eastAsia="Palatino Linotype" w:hAnsi="Palatino Linotype" w:cs="Palatino Linotype"/>
          <w:i/>
          <w:sz w:val="22"/>
          <w:szCs w:val="22"/>
        </w:rPr>
        <w:t xml:space="preserve"> Establecer, normar y controlar los programas de recaudación tributaria.</w:t>
      </w:r>
    </w:p>
    <w:p w14:paraId="33625E11"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5FBF7084"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V</w:t>
      </w:r>
      <w:r w:rsidRPr="00942231">
        <w:rPr>
          <w:rFonts w:ascii="Palatino Linotype" w:eastAsia="Palatino Linotype" w:hAnsi="Palatino Linotype" w:cs="Palatino Linotype"/>
          <w:i/>
          <w:sz w:val="22"/>
          <w:szCs w:val="22"/>
        </w:rPr>
        <w:t>. Proponer y establecer mecanismos, estrategias, programas, políticas y procedimientos que permitan promover e incrementar la captación de la recaudación tributaria en el Estado, así como de las contribuciones, aprovechamientos y productos en los términos de los convenios suscritos para tales efectos.</w:t>
      </w:r>
    </w:p>
    <w:p w14:paraId="4E4C5696"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61A2A224" w14:textId="77777777" w:rsidR="00131CFC" w:rsidRPr="00942231" w:rsidRDefault="00212DEF">
      <w:pPr>
        <w:spacing w:before="120" w:after="120"/>
        <w:ind w:left="1134" w:right="902"/>
        <w:jc w:val="both"/>
        <w:rPr>
          <w:rFonts w:ascii="Palatino Linotype" w:eastAsia="Palatino Linotype" w:hAnsi="Palatino Linotype" w:cs="Palatino Linotype"/>
          <w:b/>
          <w:i/>
          <w:sz w:val="22"/>
          <w:szCs w:val="22"/>
        </w:rPr>
      </w:pPr>
      <w:r w:rsidRPr="00942231">
        <w:rPr>
          <w:rFonts w:ascii="Palatino Linotype" w:eastAsia="Palatino Linotype" w:hAnsi="Palatino Linotype" w:cs="Palatino Linotype"/>
          <w:b/>
          <w:i/>
          <w:sz w:val="22"/>
          <w:szCs w:val="22"/>
        </w:rPr>
        <w:t>XIII.</w:t>
      </w:r>
      <w:r w:rsidRPr="00942231">
        <w:rPr>
          <w:rFonts w:ascii="Palatino Linotype" w:eastAsia="Palatino Linotype" w:hAnsi="Palatino Linotype" w:cs="Palatino Linotype"/>
          <w:i/>
          <w:sz w:val="22"/>
          <w:szCs w:val="22"/>
        </w:rPr>
        <w:t xml:space="preserve"> Diseñar, integrar, modificar, mantener actualizado y operar el Sistema Integral de Ingresos del Gobierno del Estado de México; y desarrollar nuevos procesos informáticos en relación con los registros de contribuyentes en materia estatal y federal, así como respecto a los movimientos en el Registro Federal de Contribuyentes y los derivados de los convenios suscritos con la </w:t>
      </w:r>
      <w:r w:rsidRPr="00942231">
        <w:rPr>
          <w:rFonts w:ascii="Palatino Linotype" w:eastAsia="Palatino Linotype" w:hAnsi="Palatino Linotype" w:cs="Palatino Linotype"/>
          <w:i/>
          <w:sz w:val="22"/>
          <w:szCs w:val="22"/>
        </w:rPr>
        <w:lastRenderedPageBreak/>
        <w:t>Federación, las entidades federativas, y los municipios y organismos auxiliares.</w:t>
      </w:r>
    </w:p>
    <w:p w14:paraId="37331D44"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LIV. Recaudar el importe de los ingresos del Estado provenientes de contribuciones</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rPr>
        <w:t>aprovechamientos, productos, créditos fiscales</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rPr>
        <w:t>así como los derivados de los convenios de colaboración administrativa</w:t>
      </w:r>
      <w:r w:rsidRPr="00942231">
        <w:rPr>
          <w:rFonts w:ascii="Palatino Linotype" w:eastAsia="Palatino Linotype" w:hAnsi="Palatino Linotype" w:cs="Palatino Linotype"/>
          <w:i/>
          <w:sz w:val="22"/>
          <w:szCs w:val="22"/>
        </w:rPr>
        <w:t xml:space="preserve"> en materia fiscal federal y municipal directamente, o por medio de las instituciones del sistema financiero mexicano o establecimientos autorizados, así como los que deba percibir, a través de los municipios con los que se convenga dicho esquema, en los términos de los convenios suscritos al efecto.”</w:t>
      </w:r>
    </w:p>
    <w:p w14:paraId="3EF6798B" w14:textId="77777777" w:rsidR="00131CFC" w:rsidRPr="00942231" w:rsidRDefault="00212DEF">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Como se advierte la Dirección General de Recaudación tiene a su cargo la recaudación de los ingresos del estado proveniente de contribuciones, aprovechamientos, productos, créditos fiscales, así como los derivados de los convenios de colaboración administrativa, para lo cual se auxilia de las Direcciones de Desarrollo de Sistemas e Informática, de Administración Tributaria, Jurídica Consultiva, de Operación, del Registro Estatal de Vehículos, de Administración de Cartera, de Atención al Contribuyente, de Vinculación con Municipios y Organismos Auxiliares y de Administración y Servicios Generales, de conformidad con el Manual General de Organización de la Secretaría de Finanzas.</w:t>
      </w:r>
    </w:p>
    <w:p w14:paraId="10A19A0C" w14:textId="77777777" w:rsidR="00131CFC" w:rsidRPr="00942231" w:rsidRDefault="00212DEF">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En este tenor, la atención de la solicitud de información estuvo a cargo de la Dirección de Administración Tributaria, cuyo objetivo, según lo establecido en el Manual General de Organización consiste en coordinar y supervisar la implementación de los programas relacionados con los padrones, la vigilancia de obligaciones, el control de ingresos con base en la normatividad y los lineamientos externos e internos, a efecto de mejorar la recaudación de las y los contribuyentes en el Estado de México, y cuenta con las siguientes funciones en su parte conducente:</w:t>
      </w:r>
    </w:p>
    <w:p w14:paraId="229F7BF4" w14:textId="77777777" w:rsidR="0020529D" w:rsidRPr="00942231" w:rsidRDefault="0020529D">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5B62FEF4" w14:textId="77777777" w:rsidR="00131CFC" w:rsidRPr="00942231" w:rsidRDefault="00212DEF">
      <w:pPr>
        <w:widowControl w:val="0"/>
        <w:pBdr>
          <w:top w:val="nil"/>
          <w:left w:val="nil"/>
          <w:bottom w:val="nil"/>
          <w:right w:val="nil"/>
          <w:between w:val="nil"/>
        </w:pBdr>
        <w:spacing w:before="240" w:after="240" w:line="276" w:lineRule="auto"/>
        <w:ind w:left="284"/>
        <w:jc w:val="both"/>
        <w:rPr>
          <w:rFonts w:ascii="Palatino Linotype" w:eastAsia="Palatino Linotype" w:hAnsi="Palatino Linotype" w:cs="Palatino Linotype"/>
        </w:rPr>
      </w:pPr>
      <w:r w:rsidRPr="00942231">
        <w:lastRenderedPageBreak/>
        <w:t>F</w:t>
      </w:r>
      <w:r w:rsidRPr="00942231">
        <w:rPr>
          <w:rFonts w:ascii="Palatino Linotype" w:eastAsia="Palatino Linotype" w:hAnsi="Palatino Linotype" w:cs="Palatino Linotype"/>
        </w:rPr>
        <w:t>UNCIONES:</w:t>
      </w:r>
    </w:p>
    <w:p w14:paraId="7FDBC322" w14:textId="77777777" w:rsidR="00131CFC" w:rsidRPr="00942231" w:rsidRDefault="00212DEF">
      <w:pPr>
        <w:widowControl w:val="0"/>
        <w:pBdr>
          <w:top w:val="nil"/>
          <w:left w:val="nil"/>
          <w:bottom w:val="nil"/>
          <w:right w:val="nil"/>
          <w:between w:val="nil"/>
        </w:pBdr>
        <w:spacing w:before="240" w:after="240" w:line="276" w:lineRule="auto"/>
        <w:ind w:left="284"/>
        <w:jc w:val="both"/>
        <w:rPr>
          <w:rFonts w:ascii="Palatino Linotype" w:eastAsia="Palatino Linotype" w:hAnsi="Palatino Linotype" w:cs="Palatino Linotype"/>
        </w:rPr>
      </w:pPr>
      <w:r w:rsidRPr="00942231">
        <w:rPr>
          <w:rFonts w:ascii="Palatino Linotype" w:eastAsia="Palatino Linotype" w:hAnsi="Palatino Linotype" w:cs="Palatino Linotype"/>
        </w:rPr>
        <w:t>− Diseñar e implementar programas que faciliten el cumplimiento voluntario y oportuno de las obligaciones de las y los contribuyentes del Estado de México.</w:t>
      </w:r>
    </w:p>
    <w:p w14:paraId="2CD9F028" w14:textId="77777777" w:rsidR="00131CFC" w:rsidRPr="00942231" w:rsidRDefault="00212DEF">
      <w:pPr>
        <w:widowControl w:val="0"/>
        <w:pBdr>
          <w:top w:val="nil"/>
          <w:left w:val="nil"/>
          <w:bottom w:val="nil"/>
          <w:right w:val="nil"/>
          <w:between w:val="nil"/>
        </w:pBdr>
        <w:spacing w:before="240" w:after="240" w:line="276" w:lineRule="auto"/>
        <w:ind w:left="284"/>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 − Elaborar y proponer los pronósticos anuales de ingresos tributarios del Gobierno del Estado, a efecto de fijar y evaluar las metas de recaudación, en coordinación con la Dirección de Operación, para cada ejercicio fiscal. </w:t>
      </w:r>
    </w:p>
    <w:p w14:paraId="3FDEEB4C" w14:textId="77777777" w:rsidR="00131CFC" w:rsidRPr="00942231" w:rsidRDefault="00212DEF">
      <w:pPr>
        <w:widowControl w:val="0"/>
        <w:pBdr>
          <w:top w:val="nil"/>
          <w:left w:val="nil"/>
          <w:bottom w:val="nil"/>
          <w:right w:val="nil"/>
          <w:between w:val="nil"/>
        </w:pBdr>
        <w:spacing w:before="240" w:after="240" w:line="276" w:lineRule="auto"/>
        <w:ind w:left="284"/>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 Analizar, validar e informar periódicamente sobre los montos que por concepto de contribuciones recauda el Estado. </w:t>
      </w:r>
    </w:p>
    <w:p w14:paraId="65F5A85C" w14:textId="77777777" w:rsidR="00131CFC" w:rsidRPr="00942231" w:rsidRDefault="00212DEF">
      <w:pPr>
        <w:widowControl w:val="0"/>
        <w:pBdr>
          <w:top w:val="nil"/>
          <w:left w:val="nil"/>
          <w:bottom w:val="nil"/>
          <w:right w:val="nil"/>
          <w:between w:val="nil"/>
        </w:pBdr>
        <w:spacing w:line="276" w:lineRule="auto"/>
        <w:ind w:left="284"/>
        <w:jc w:val="both"/>
        <w:rPr>
          <w:rFonts w:ascii="Palatino Linotype" w:eastAsia="Palatino Linotype" w:hAnsi="Palatino Linotype" w:cs="Palatino Linotype"/>
        </w:rPr>
      </w:pPr>
      <w:r w:rsidRPr="00942231">
        <w:rPr>
          <w:rFonts w:ascii="Palatino Linotype" w:eastAsia="Palatino Linotype" w:hAnsi="Palatino Linotype" w:cs="Palatino Linotype"/>
        </w:rPr>
        <w:t>− Diseñar las formas oficiales de los avisos, requerimientos declaraciones y demás documentos solicitados por las disposiciones legales.</w:t>
      </w:r>
    </w:p>
    <w:p w14:paraId="1C48C4E4" w14:textId="77777777" w:rsidR="00131CFC" w:rsidRPr="00942231" w:rsidRDefault="00212DEF">
      <w:pPr>
        <w:widowControl w:val="0"/>
        <w:pBdr>
          <w:top w:val="nil"/>
          <w:left w:val="nil"/>
          <w:bottom w:val="nil"/>
          <w:right w:val="nil"/>
          <w:between w:val="nil"/>
        </w:pBdr>
        <w:spacing w:line="276" w:lineRule="auto"/>
        <w:ind w:left="284"/>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 Supervisar la administración y actualización, en materia de su competencia, del Sistema Integral de Ingresos del Gobierno del Estado de México (SIIGEM), en relación a los registros de contribuyentes, así como realizar el seguimiento al cumplimiento de sus obligaciones. </w:t>
      </w:r>
    </w:p>
    <w:p w14:paraId="2EB60EC9" w14:textId="77777777" w:rsidR="00131CFC" w:rsidRPr="00942231" w:rsidRDefault="00212DEF">
      <w:pPr>
        <w:widowControl w:val="0"/>
        <w:pBdr>
          <w:top w:val="nil"/>
          <w:left w:val="nil"/>
          <w:bottom w:val="nil"/>
          <w:right w:val="nil"/>
          <w:between w:val="nil"/>
        </w:pBdr>
        <w:spacing w:line="276" w:lineRule="auto"/>
        <w:ind w:left="284"/>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 Estimar los ingresos propios del Gobierno del Estado de México del ejercicio fiscal inmediato para proporcionar las cifras respectivas a la Dirección General de Política Fiscal, así como la información relacionada con el comportamiento mensual de los ingresos. </w:t>
      </w:r>
    </w:p>
    <w:p w14:paraId="1961F217" w14:textId="77777777" w:rsidR="00131CFC" w:rsidRPr="00942231" w:rsidRDefault="00212DEF">
      <w:pPr>
        <w:widowControl w:val="0"/>
        <w:pBdr>
          <w:top w:val="nil"/>
          <w:left w:val="nil"/>
          <w:bottom w:val="nil"/>
          <w:right w:val="nil"/>
          <w:between w:val="nil"/>
        </w:pBdr>
        <w:spacing w:line="276" w:lineRule="auto"/>
        <w:ind w:left="284"/>
        <w:jc w:val="both"/>
        <w:rPr>
          <w:rFonts w:ascii="Palatino Linotype" w:eastAsia="Palatino Linotype" w:hAnsi="Palatino Linotype" w:cs="Palatino Linotype"/>
          <w:b/>
        </w:rPr>
      </w:pPr>
      <w:r w:rsidRPr="00942231">
        <w:rPr>
          <w:rFonts w:ascii="Palatino Linotype" w:eastAsia="Palatino Linotype" w:hAnsi="Palatino Linotype" w:cs="Palatino Linotype"/>
          <w:b/>
        </w:rPr>
        <w:t>− Registrar y supervisar los ingresos diarios obtenidos.</w:t>
      </w:r>
    </w:p>
    <w:p w14:paraId="5D911141" w14:textId="77777777" w:rsidR="00131CFC" w:rsidRPr="00942231" w:rsidRDefault="00212DEF">
      <w:pPr>
        <w:widowControl w:val="0"/>
        <w:pBdr>
          <w:top w:val="nil"/>
          <w:left w:val="nil"/>
          <w:bottom w:val="nil"/>
          <w:right w:val="nil"/>
          <w:between w:val="nil"/>
        </w:pBdr>
        <w:spacing w:line="276" w:lineRule="auto"/>
        <w:ind w:left="284"/>
        <w:jc w:val="both"/>
        <w:rPr>
          <w:rFonts w:ascii="Palatino Linotype" w:eastAsia="Palatino Linotype" w:hAnsi="Palatino Linotype" w:cs="Palatino Linotype"/>
          <w:b/>
        </w:rPr>
      </w:pPr>
      <w:r w:rsidRPr="00942231">
        <w:rPr>
          <w:rFonts w:ascii="Palatino Linotype" w:eastAsia="Palatino Linotype" w:hAnsi="Palatino Linotype" w:cs="Palatino Linotype"/>
          <w:b/>
        </w:rPr>
        <w:t>− Registrar, clasificar, controlar, determinar e informar los montos de las contribuciones recaudadas por el Gobierno del Estado</w:t>
      </w:r>
      <w:r w:rsidRPr="00942231">
        <w:rPr>
          <w:rFonts w:ascii="Palatino Linotype" w:eastAsia="Palatino Linotype" w:hAnsi="Palatino Linotype" w:cs="Palatino Linotype"/>
        </w:rPr>
        <w:t>.</w:t>
      </w:r>
    </w:p>
    <w:p w14:paraId="214FCD99" w14:textId="77777777" w:rsidR="00131CFC" w:rsidRPr="00942231" w:rsidRDefault="00212DEF">
      <w:pPr>
        <w:widowControl w:val="0"/>
        <w:pBdr>
          <w:top w:val="nil"/>
          <w:left w:val="nil"/>
          <w:bottom w:val="nil"/>
          <w:right w:val="nil"/>
          <w:between w:val="nil"/>
        </w:pBdr>
        <w:spacing w:line="276" w:lineRule="auto"/>
        <w:ind w:left="284"/>
        <w:jc w:val="both"/>
        <w:rPr>
          <w:rFonts w:ascii="Palatino Linotype" w:eastAsia="Palatino Linotype" w:hAnsi="Palatino Linotype" w:cs="Palatino Linotype"/>
        </w:rPr>
      </w:pPr>
      <w:r w:rsidRPr="00942231">
        <w:rPr>
          <w:rFonts w:ascii="Palatino Linotype" w:eastAsia="Palatino Linotype" w:hAnsi="Palatino Linotype" w:cs="Palatino Linotype"/>
        </w:rPr>
        <w:t>− Verificar la operación del sistema de recaudación y control de ingresos y determinar, en materia de su competencia, el contenido de los programas electrónicos.</w:t>
      </w:r>
    </w:p>
    <w:p w14:paraId="0D8F180A" w14:textId="77777777" w:rsidR="00131CFC" w:rsidRPr="00942231" w:rsidRDefault="00212DEF">
      <w:pPr>
        <w:widowControl w:val="0"/>
        <w:pBdr>
          <w:top w:val="nil"/>
          <w:left w:val="nil"/>
          <w:bottom w:val="nil"/>
          <w:right w:val="nil"/>
          <w:between w:val="nil"/>
        </w:pBdr>
        <w:spacing w:line="276" w:lineRule="auto"/>
        <w:ind w:left="284"/>
        <w:jc w:val="both"/>
        <w:rPr>
          <w:rFonts w:ascii="Palatino Linotype" w:eastAsia="Palatino Linotype" w:hAnsi="Palatino Linotype" w:cs="Palatino Linotype"/>
        </w:rPr>
      </w:pPr>
      <w:r w:rsidRPr="00942231">
        <w:rPr>
          <w:rFonts w:ascii="Palatino Linotype" w:eastAsia="Palatino Linotype" w:hAnsi="Palatino Linotype" w:cs="Palatino Linotype"/>
        </w:rPr>
        <w:t>− Formular los requerimientos y recibir los avisos, declaraciones y demás documentación que acredite el cumplimiento de las obligaciones fiscales de las y los contribuyentes, de conformidad con las disposiciones legales vigentes.</w:t>
      </w:r>
    </w:p>
    <w:p w14:paraId="4599E69D" w14:textId="77777777" w:rsidR="00131CFC" w:rsidRPr="00942231" w:rsidRDefault="00212DEF">
      <w:pPr>
        <w:widowControl w:val="0"/>
        <w:pBdr>
          <w:top w:val="nil"/>
          <w:left w:val="nil"/>
          <w:bottom w:val="nil"/>
          <w:right w:val="nil"/>
          <w:between w:val="nil"/>
        </w:pBdr>
        <w:spacing w:line="276" w:lineRule="auto"/>
        <w:ind w:left="284"/>
        <w:jc w:val="both"/>
        <w:rPr>
          <w:rFonts w:ascii="Palatino Linotype" w:eastAsia="Palatino Linotype" w:hAnsi="Palatino Linotype" w:cs="Palatino Linotype"/>
          <w:b/>
        </w:rPr>
      </w:pPr>
      <w:r w:rsidRPr="00942231">
        <w:rPr>
          <w:rFonts w:ascii="Palatino Linotype" w:eastAsia="Palatino Linotype" w:hAnsi="Palatino Linotype" w:cs="Palatino Linotype"/>
          <w:b/>
        </w:rPr>
        <w:t xml:space="preserve">− Recaudar el importe de las contribuciones, aprovechamientos y productos estatales, a través de las oficinas autorizadas o mediante terceras o terceros </w:t>
      </w:r>
      <w:r w:rsidRPr="00942231">
        <w:rPr>
          <w:rFonts w:ascii="Palatino Linotype" w:eastAsia="Palatino Linotype" w:hAnsi="Palatino Linotype" w:cs="Palatino Linotype"/>
          <w:b/>
        </w:rPr>
        <w:lastRenderedPageBreak/>
        <w:t>autorizados, así como las contribuciones federales y municipales en los términos de los convenios suscritos</w:t>
      </w:r>
    </w:p>
    <w:p w14:paraId="3C30EA9B" w14:textId="77777777" w:rsidR="00131CFC" w:rsidRPr="00942231" w:rsidRDefault="00212DEF">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Con base en lo anterior se advierte que la solicitud de mérito fue turnada a las áreas competentes para generar, administrar o poseer la información en ejercicio de sus atribuciones, no obstante, la respuesta emitida no satisfizo el derecho de acceso a la información de la persona solicitante, por los motivos que a continuación se exponen.</w:t>
      </w:r>
    </w:p>
    <w:p w14:paraId="3BA5006B" w14:textId="77777777" w:rsidR="00131CFC" w:rsidRPr="00942231" w:rsidRDefault="00212DEF">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En primer lugar, es oportuno mencionar que de conformidad con los artículos 7.16 del Código Administrativo del Estado de México y 2 del Reglamento del Transporte Público y Servicios Conexos del Estado de México, el servicio de arrastre, salvamento, guarda, custodia y depósito de vehículos, constituye un servicio público cuya prestación corresponde al Gobierno del Estado, el cual podrá prestarlo directamente o a través de concesiones y permisos que otorgue a personas físicas o jurídico colectivas mexicanas, en términos de dichos ordenamientos, a saber:</w:t>
      </w:r>
    </w:p>
    <w:p w14:paraId="440DE6FB"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Artículo 7.16</w:t>
      </w:r>
      <w:r w:rsidRPr="00942231">
        <w:rPr>
          <w:rFonts w:ascii="Palatino Linotype" w:eastAsia="Palatino Linotype" w:hAnsi="Palatino Linotype" w:cs="Palatino Linotype"/>
          <w:i/>
          <w:sz w:val="22"/>
          <w:szCs w:val="22"/>
        </w:rPr>
        <w:t xml:space="preserve">.- El transporte de pasajeros colectivo, de alta capacidad o masivo, individual, mixto; </w:t>
      </w:r>
      <w:r w:rsidRPr="00942231">
        <w:rPr>
          <w:rFonts w:ascii="Palatino Linotype" w:eastAsia="Palatino Linotype" w:hAnsi="Palatino Linotype" w:cs="Palatino Linotype"/>
          <w:b/>
          <w:i/>
          <w:sz w:val="22"/>
          <w:szCs w:val="22"/>
        </w:rPr>
        <w:t>el servicio de arrastre, salvamento, guarda, custodia y depósito de vehículos</w:t>
      </w:r>
      <w:r w:rsidRPr="00942231">
        <w:rPr>
          <w:rFonts w:ascii="Palatino Linotype" w:eastAsia="Palatino Linotype" w:hAnsi="Palatino Linotype" w:cs="Palatino Linotype"/>
          <w:i/>
          <w:sz w:val="22"/>
          <w:szCs w:val="22"/>
        </w:rPr>
        <w:t xml:space="preserve">; el servicio de pago tarifario anticipado y los Centros de Gestión y Control Común, </w:t>
      </w:r>
      <w:r w:rsidRPr="00942231">
        <w:rPr>
          <w:rFonts w:ascii="Palatino Linotype" w:eastAsia="Palatino Linotype" w:hAnsi="Palatino Linotype" w:cs="Palatino Linotype"/>
          <w:b/>
          <w:i/>
          <w:sz w:val="22"/>
          <w:szCs w:val="22"/>
        </w:rPr>
        <w:t>constituyen un servicio público cuya prestación corresponde al Gobierno del Estado, quien puede prestarlo directamente o a través de concesiones</w:t>
      </w:r>
      <w:r w:rsidRPr="00942231">
        <w:rPr>
          <w:rFonts w:ascii="Palatino Linotype" w:eastAsia="Palatino Linotype" w:hAnsi="Palatino Linotype" w:cs="Palatino Linotype"/>
          <w:i/>
          <w:sz w:val="22"/>
          <w:szCs w:val="22"/>
        </w:rPr>
        <w:t>, que se otorguen en términos del presente Libro y del Reglamento de la materia.”</w:t>
      </w:r>
    </w:p>
    <w:p w14:paraId="64630A6A"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ARTICULO 2</w:t>
      </w:r>
      <w:r w:rsidRPr="00942231">
        <w:rPr>
          <w:rFonts w:ascii="Palatino Linotype" w:eastAsia="Palatino Linotype" w:hAnsi="Palatino Linotype" w:cs="Palatino Linotype"/>
          <w:i/>
          <w:sz w:val="22"/>
          <w:szCs w:val="22"/>
        </w:rPr>
        <w:t xml:space="preserve">.- El transporte de personas, así como </w:t>
      </w:r>
      <w:r w:rsidRPr="00942231">
        <w:rPr>
          <w:rFonts w:ascii="Palatino Linotype" w:eastAsia="Palatino Linotype" w:hAnsi="Palatino Linotype" w:cs="Palatino Linotype"/>
          <w:b/>
          <w:i/>
          <w:sz w:val="22"/>
          <w:szCs w:val="22"/>
        </w:rPr>
        <w:t>el arrastre, salvamento y depósito de vehículos, constituyen un servicio público cuya prestación corresponde al Gobierno del Estado, el cual podrá prestarlo por sí o a través de concesiones y permisos que otorgue a personas físicas o morales mexicanas</w:t>
      </w:r>
      <w:r w:rsidRPr="00942231">
        <w:rPr>
          <w:rFonts w:ascii="Palatino Linotype" w:eastAsia="Palatino Linotype" w:hAnsi="Palatino Linotype" w:cs="Palatino Linotype"/>
          <w:i/>
          <w:sz w:val="22"/>
          <w:szCs w:val="22"/>
        </w:rPr>
        <w:t>, en términos del Código Administrativo y del presente Reglamento.”</w:t>
      </w:r>
    </w:p>
    <w:p w14:paraId="46937F8A"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lastRenderedPageBreak/>
        <w:t xml:space="preserve">Además es imprescindible señalar que de conformidad con el artículo 7.37, fracciones II y IV del Código Administrativo del Estado de México, se entiende por </w:t>
      </w:r>
      <w:r w:rsidRPr="00942231">
        <w:rPr>
          <w:rFonts w:ascii="Palatino Linotype" w:eastAsia="Palatino Linotype" w:hAnsi="Palatino Linotype" w:cs="Palatino Linotype"/>
          <w:i/>
        </w:rPr>
        <w:t>almacenamiento, concesionario</w:t>
      </w:r>
      <w:r w:rsidRPr="00942231">
        <w:rPr>
          <w:rFonts w:ascii="Palatino Linotype" w:eastAsia="Palatino Linotype" w:hAnsi="Palatino Linotype" w:cs="Palatino Linotype"/>
        </w:rPr>
        <w:t xml:space="preserve"> y </w:t>
      </w:r>
      <w:r w:rsidRPr="00942231">
        <w:rPr>
          <w:rFonts w:ascii="Palatino Linotype" w:eastAsia="Palatino Linotype" w:hAnsi="Palatino Linotype" w:cs="Palatino Linotype"/>
          <w:i/>
        </w:rPr>
        <w:t>permisionario</w:t>
      </w:r>
      <w:r w:rsidRPr="00942231">
        <w:rPr>
          <w:rFonts w:ascii="Palatino Linotype" w:eastAsia="Palatino Linotype" w:hAnsi="Palatino Linotype" w:cs="Palatino Linotype"/>
        </w:rPr>
        <w:t>, lo siguiente:</w:t>
      </w:r>
    </w:p>
    <w:p w14:paraId="2390B4B7" w14:textId="77777777" w:rsidR="00131CFC" w:rsidRPr="00942231" w:rsidRDefault="00212DEF">
      <w:pPr>
        <w:numPr>
          <w:ilvl w:val="0"/>
          <w:numId w:val="2"/>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b/>
        </w:rPr>
        <w:t>Almacenamiento</w:t>
      </w:r>
      <w:r w:rsidRPr="00942231">
        <w:rPr>
          <w:rFonts w:ascii="Palatino Linotype" w:eastAsia="Palatino Linotype" w:hAnsi="Palatino Linotype" w:cs="Palatino Linotype"/>
        </w:rPr>
        <w:t xml:space="preserve">: Acto mediante el cual, </w:t>
      </w:r>
      <w:r w:rsidRPr="00942231">
        <w:rPr>
          <w:rFonts w:ascii="Palatino Linotype" w:eastAsia="Palatino Linotype" w:hAnsi="Palatino Linotype" w:cs="Palatino Linotype"/>
          <w:b/>
        </w:rPr>
        <w:t>se confía en depósito, un vehículo para su guarda y custodia, dentro de los espacios autorizados para tal efecto</w:t>
      </w:r>
      <w:r w:rsidRPr="00942231">
        <w:rPr>
          <w:rFonts w:ascii="Palatino Linotype" w:eastAsia="Palatino Linotype" w:hAnsi="Palatino Linotype" w:cs="Palatino Linotype"/>
        </w:rPr>
        <w:t>, para que éste, quede en garantía a disposición de la autoridad competente;</w:t>
      </w:r>
    </w:p>
    <w:p w14:paraId="01719352" w14:textId="77777777" w:rsidR="00131CFC" w:rsidRPr="00942231" w:rsidRDefault="00212DEF">
      <w:pPr>
        <w:numPr>
          <w:ilvl w:val="0"/>
          <w:numId w:val="2"/>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b/>
        </w:rPr>
        <w:t>Concesionario</w:t>
      </w:r>
      <w:r w:rsidRPr="00942231">
        <w:rPr>
          <w:rFonts w:ascii="Palatino Linotype" w:eastAsia="Palatino Linotype" w:hAnsi="Palatino Linotype" w:cs="Palatino Linotype"/>
        </w:rPr>
        <w:t xml:space="preserve">: </w:t>
      </w:r>
      <w:r w:rsidRPr="00942231">
        <w:rPr>
          <w:rFonts w:ascii="Palatino Linotype" w:eastAsia="Palatino Linotype" w:hAnsi="Palatino Linotype" w:cs="Palatino Linotype"/>
          <w:b/>
        </w:rPr>
        <w:t>Persona física jurídico colectiva que proporciona legalmente la prestación del servicio de</w:t>
      </w:r>
      <w:r w:rsidRPr="00942231">
        <w:rPr>
          <w:rFonts w:ascii="Palatino Linotype" w:eastAsia="Palatino Linotype" w:hAnsi="Palatino Linotype" w:cs="Palatino Linotype"/>
        </w:rPr>
        <w:t xml:space="preserve"> transporte público de arrastre y de </w:t>
      </w:r>
      <w:r w:rsidRPr="00942231">
        <w:rPr>
          <w:rFonts w:ascii="Palatino Linotype" w:eastAsia="Palatino Linotype" w:hAnsi="Palatino Linotype" w:cs="Palatino Linotype"/>
          <w:b/>
        </w:rPr>
        <w:t>almacenamiento de un vehículo mediante concesión</w:t>
      </w:r>
      <w:r w:rsidRPr="00942231">
        <w:rPr>
          <w:rFonts w:ascii="Palatino Linotype" w:eastAsia="Palatino Linotype" w:hAnsi="Palatino Linotype" w:cs="Palatino Linotype"/>
        </w:rPr>
        <w:t>;</w:t>
      </w:r>
    </w:p>
    <w:p w14:paraId="7D2D6529"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Como se advierte el servicio público auxiliar de depósito y guarda vehicular es objeto de una concesión, afirmación que se robustece con lo establecido en el artículo 7.39, párrafo primero del Código Administrativo del Estado de México, a saber:</w:t>
      </w:r>
    </w:p>
    <w:p w14:paraId="518ED4D3"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Artículo 7.39</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rPr>
        <w:t>Se otorgarán las concesiones para la prestación del servicio público auxiliar del depósito y guarda vehicular</w:t>
      </w:r>
      <w:r w:rsidRPr="00942231">
        <w:rPr>
          <w:rFonts w:ascii="Palatino Linotype" w:eastAsia="Palatino Linotype" w:hAnsi="Palatino Linotype" w:cs="Palatino Linotype"/>
          <w:i/>
          <w:sz w:val="22"/>
          <w:szCs w:val="22"/>
        </w:rPr>
        <w:t xml:space="preserve"> y permisos para salvamento y arrastre, únicamente a quienes cumplan los siguientes requisitos..</w:t>
      </w:r>
      <w:proofErr w:type="gramStart"/>
      <w:r w:rsidRPr="00942231">
        <w:rPr>
          <w:rFonts w:ascii="Palatino Linotype" w:eastAsia="Palatino Linotype" w:hAnsi="Palatino Linotype" w:cs="Palatino Linotype"/>
          <w:i/>
          <w:sz w:val="22"/>
          <w:szCs w:val="22"/>
        </w:rPr>
        <w:t>,</w:t>
      </w:r>
      <w:proofErr w:type="gramEnd"/>
      <w:r w:rsidRPr="00942231">
        <w:rPr>
          <w:rFonts w:ascii="Palatino Linotype" w:eastAsia="Palatino Linotype" w:hAnsi="Palatino Linotype" w:cs="Palatino Linotype"/>
          <w:i/>
          <w:sz w:val="22"/>
          <w:szCs w:val="22"/>
        </w:rPr>
        <w:t>”</w:t>
      </w:r>
    </w:p>
    <w:p w14:paraId="6F877C7D"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Cabe mencionar que una concesión es el acto mediante el cual el Estado concede a un particular la prestación de un servicio público o la explotación de un bien del dominio público, durante un tiempo determinado, mismo que es fijado por la administración pública.</w:t>
      </w:r>
    </w:p>
    <w:p w14:paraId="3BBFBF72"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Siguiendo con el análisis es oportuno traer a colación lo establecido en el artículo 9 del Código Financiero del Estado de México y Municipios, a saber:</w:t>
      </w:r>
    </w:p>
    <w:p w14:paraId="462051F4"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lastRenderedPageBreak/>
        <w:t>“</w:t>
      </w:r>
      <w:r w:rsidRPr="00942231">
        <w:rPr>
          <w:rFonts w:ascii="Palatino Linotype" w:eastAsia="Palatino Linotype" w:hAnsi="Palatino Linotype" w:cs="Palatino Linotype"/>
          <w:b/>
          <w:i/>
          <w:sz w:val="22"/>
          <w:szCs w:val="22"/>
        </w:rPr>
        <w:t>Artículo 9.-</w:t>
      </w:r>
      <w:r w:rsidRPr="00942231">
        <w:rPr>
          <w:rFonts w:ascii="Palatino Linotype" w:eastAsia="Palatino Linotype" w:hAnsi="Palatino Linotype" w:cs="Palatino Linotype"/>
          <w:i/>
          <w:sz w:val="22"/>
          <w:szCs w:val="22"/>
        </w:rPr>
        <w:t xml:space="preserve"> Las contribuciones se clasifican en impuestos, derechos, contribuciones o aportaciones de mejoras, y aportaciones y cuotas de seguridad social, las que se definen de la manera siguiente: </w:t>
      </w:r>
    </w:p>
    <w:p w14:paraId="60F4D9CD"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 Impuestos.</w:t>
      </w:r>
      <w:r w:rsidRPr="00942231">
        <w:rPr>
          <w:rFonts w:ascii="Palatino Linotype" w:eastAsia="Palatino Linotype" w:hAnsi="Palatino Linotype" w:cs="Palatino Linotype"/>
          <w:i/>
          <w:sz w:val="22"/>
          <w:szCs w:val="22"/>
        </w:rPr>
        <w:t xml:space="preserve"> Son los establecidos en este Código que deben pagar las personas físicas y jurídicas colectivas, que se encuentren en la situación jurídica o de hecho prevista por el mismo, y que sean distintas a las señaladas en las fracciones II, III y IV de este artículo. </w:t>
      </w:r>
    </w:p>
    <w:p w14:paraId="2C547759"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II. Derechos</w:t>
      </w:r>
      <w:r w:rsidRPr="00942231">
        <w:rPr>
          <w:rFonts w:ascii="Palatino Linotype" w:eastAsia="Palatino Linotype" w:hAnsi="Palatino Linotype" w:cs="Palatino Linotype"/>
          <w:i/>
          <w:sz w:val="22"/>
          <w:szCs w:val="22"/>
        </w:rPr>
        <w:t xml:space="preserve">. Son las </w:t>
      </w:r>
      <w:r w:rsidRPr="00942231">
        <w:rPr>
          <w:rFonts w:ascii="Palatino Linotype" w:eastAsia="Palatino Linotype" w:hAnsi="Palatino Linotype" w:cs="Palatino Linotype"/>
          <w:b/>
          <w:i/>
          <w:sz w:val="22"/>
          <w:szCs w:val="22"/>
          <w:u w:val="single"/>
        </w:rPr>
        <w:t>contraprestaciones establecidas en este Código, que deben pagar las personas físicas y jurídicas colectivas</w:t>
      </w:r>
      <w:r w:rsidRPr="00942231">
        <w:rPr>
          <w:rFonts w:ascii="Palatino Linotype" w:eastAsia="Palatino Linotype" w:hAnsi="Palatino Linotype" w:cs="Palatino Linotype"/>
          <w:b/>
          <w:i/>
          <w:sz w:val="22"/>
          <w:szCs w:val="22"/>
        </w:rPr>
        <w:t>, por el uso o aprovechamiento de los bienes del dominio público de la Entidad,</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rPr>
        <w:t xml:space="preserve">así como </w:t>
      </w:r>
      <w:r w:rsidRPr="00942231">
        <w:rPr>
          <w:rFonts w:ascii="Palatino Linotype" w:eastAsia="Palatino Linotype" w:hAnsi="Palatino Linotype" w:cs="Palatino Linotype"/>
          <w:b/>
          <w:i/>
          <w:sz w:val="22"/>
          <w:szCs w:val="22"/>
          <w:u w:val="single"/>
        </w:rPr>
        <w:t>por recibir servicios que presten el Estado</w:t>
      </w:r>
      <w:r w:rsidRPr="00942231">
        <w:rPr>
          <w:rFonts w:ascii="Palatino Linotype" w:eastAsia="Palatino Linotype" w:hAnsi="Palatino Linotype" w:cs="Palatino Linotype"/>
          <w:b/>
          <w:i/>
          <w:sz w:val="22"/>
          <w:szCs w:val="22"/>
        </w:rPr>
        <w:t>, sus organismos y Municipios en funciones de derecho público,</w:t>
      </w:r>
      <w:r w:rsidRPr="00942231">
        <w:rPr>
          <w:rFonts w:ascii="Palatino Linotype" w:eastAsia="Palatino Linotype" w:hAnsi="Palatino Linotype" w:cs="Palatino Linotype"/>
          <w:i/>
          <w:sz w:val="22"/>
          <w:szCs w:val="22"/>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3F735E0F"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III. Contribuciones o Aportaciones de Mejoras</w:t>
      </w:r>
      <w:r w:rsidRPr="00942231">
        <w:rPr>
          <w:rFonts w:ascii="Palatino Linotype" w:eastAsia="Palatino Linotype" w:hAnsi="Palatino Linotype" w:cs="Palatino Linotype"/>
          <w:i/>
          <w:sz w:val="22"/>
          <w:szCs w:val="22"/>
        </w:rPr>
        <w:t xml:space="preserve">. Son las establecidas en este Código, a cargo de las personas físicas y jurídicas colectivas, que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 o de Movilidad Sustentable. </w:t>
      </w:r>
    </w:p>
    <w:p w14:paraId="47EC3F4A"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IV. Aportaciones y cuotas de Seguridad Social</w:t>
      </w:r>
      <w:r w:rsidRPr="00942231">
        <w:rPr>
          <w:rFonts w:ascii="Palatino Linotype" w:eastAsia="Palatino Linotype" w:hAnsi="Palatino Linotype" w:cs="Palatino Linotype"/>
          <w:i/>
          <w:sz w:val="22"/>
          <w:szCs w:val="22"/>
        </w:rPr>
        <w:t>. Son las contribuciones que los Entes Públicos y sus servidores públicos, están obligados a cubrir en los términos de la ley en materia de seguridad social en el Estado.</w:t>
      </w:r>
    </w:p>
    <w:p w14:paraId="4D44CB8E" w14:textId="77777777" w:rsidR="00131CFC" w:rsidRPr="00942231" w:rsidRDefault="00212DEF">
      <w:pPr>
        <w:spacing w:before="240" w:after="240" w:line="360" w:lineRule="auto"/>
        <w:ind w:right="49"/>
        <w:jc w:val="both"/>
        <w:rPr>
          <w:rFonts w:ascii="Palatino Linotype" w:eastAsia="Palatino Linotype" w:hAnsi="Palatino Linotype" w:cs="Palatino Linotype"/>
          <w:b/>
        </w:rPr>
      </w:pPr>
      <w:r w:rsidRPr="00942231">
        <w:rPr>
          <w:rFonts w:ascii="Palatino Linotype" w:eastAsia="Palatino Linotype" w:hAnsi="Palatino Linotype" w:cs="Palatino Linotype"/>
        </w:rPr>
        <w:t>Como se advierte, dentro de la clasificación de las contribuciones el Código Financiero contempla los derechos, entendidos estos como la contraprestación establecida en el Código, que deben pagar las personas físicas y jurídicas colectivas, por el uso o aprovechamiento de los bienes del dominio público de la Entidad</w:t>
      </w:r>
      <w:r w:rsidRPr="00942231">
        <w:rPr>
          <w:rFonts w:ascii="Palatino Linotype" w:eastAsia="Palatino Linotype" w:hAnsi="Palatino Linotype" w:cs="Palatino Linotype"/>
          <w:b/>
          <w:i/>
          <w:sz w:val="22"/>
          <w:szCs w:val="22"/>
        </w:rPr>
        <w:t xml:space="preserve"> </w:t>
      </w:r>
      <w:r w:rsidRPr="00942231">
        <w:rPr>
          <w:rFonts w:ascii="Palatino Linotype" w:eastAsia="Palatino Linotype" w:hAnsi="Palatino Linotype" w:cs="Palatino Linotype"/>
        </w:rPr>
        <w:t xml:space="preserve">o </w:t>
      </w:r>
      <w:r w:rsidRPr="00942231">
        <w:rPr>
          <w:rFonts w:ascii="Palatino Linotype" w:eastAsia="Palatino Linotype" w:hAnsi="Palatino Linotype" w:cs="Palatino Linotype"/>
          <w:b/>
        </w:rPr>
        <w:t>recibir servicios que preste el Estado.</w:t>
      </w:r>
    </w:p>
    <w:p w14:paraId="6341DFF9"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lastRenderedPageBreak/>
        <w:t>En este tenor, en el artículo 87 de la Subsección Tercera, de la Sección Octava. de los Derechos por Servicios Prestados por la Secretaría de Movilidad, del Capitulo Segundo. De los Derechos, del Título Tercero. De los Ingresos del Estado, se localizan los siguientes conceptos relativos al tema que nos ocupa:</w:t>
      </w:r>
    </w:p>
    <w:p w14:paraId="713A480B" w14:textId="77777777" w:rsidR="00131CFC" w:rsidRPr="00942231" w:rsidRDefault="00212DEF">
      <w:pPr>
        <w:ind w:right="51"/>
        <w:jc w:val="both"/>
        <w:rPr>
          <w:b/>
        </w:rPr>
      </w:pPr>
      <w:r w:rsidRPr="00942231">
        <w:rPr>
          <w:b/>
          <w:noProof/>
        </w:rPr>
        <w:drawing>
          <wp:inline distT="0" distB="0" distL="0" distR="0" wp14:anchorId="396F6777" wp14:editId="01E10817">
            <wp:extent cx="5605780" cy="1868805"/>
            <wp:effectExtent l="0" t="0" r="0" b="0"/>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05780" cy="1868805"/>
                    </a:xfrm>
                    <a:prstGeom prst="rect">
                      <a:avLst/>
                    </a:prstGeom>
                    <a:ln/>
                  </pic:spPr>
                </pic:pic>
              </a:graphicData>
            </a:graphic>
          </wp:inline>
        </w:drawing>
      </w:r>
      <w:r w:rsidRPr="00942231">
        <w:rPr>
          <w:b/>
        </w:rPr>
        <w:t>....</w:t>
      </w:r>
    </w:p>
    <w:p w14:paraId="63EAC01C" w14:textId="77777777" w:rsidR="00131CFC" w:rsidRPr="00942231" w:rsidRDefault="00212DEF">
      <w:pPr>
        <w:ind w:right="49"/>
        <w:jc w:val="both"/>
        <w:rPr>
          <w:b/>
        </w:rPr>
      </w:pPr>
      <w:r w:rsidRPr="00942231">
        <w:rPr>
          <w:b/>
          <w:noProof/>
        </w:rPr>
        <w:drawing>
          <wp:inline distT="0" distB="0" distL="0" distR="0" wp14:anchorId="31001540" wp14:editId="6B3C093F">
            <wp:extent cx="5613400" cy="970335"/>
            <wp:effectExtent l="0" t="0" r="0" b="0"/>
            <wp:docPr id="6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t="1538" b="51530"/>
                    <a:stretch>
                      <a:fillRect/>
                    </a:stretch>
                  </pic:blipFill>
                  <pic:spPr>
                    <a:xfrm>
                      <a:off x="0" y="0"/>
                      <a:ext cx="5613400" cy="970335"/>
                    </a:xfrm>
                    <a:prstGeom prst="rect">
                      <a:avLst/>
                    </a:prstGeom>
                    <a:ln/>
                  </pic:spPr>
                </pic:pic>
              </a:graphicData>
            </a:graphic>
          </wp:inline>
        </w:drawing>
      </w:r>
    </w:p>
    <w:p w14:paraId="3FD8E496" w14:textId="77777777" w:rsidR="00131CFC" w:rsidRPr="00942231" w:rsidRDefault="00212DEF">
      <w:pPr>
        <w:ind w:right="51"/>
        <w:jc w:val="both"/>
        <w:rPr>
          <w:b/>
        </w:rPr>
      </w:pPr>
      <w:r w:rsidRPr="00942231">
        <w:rPr>
          <w:b/>
        </w:rPr>
        <w:t>...</w:t>
      </w:r>
    </w:p>
    <w:p w14:paraId="7EC63657" w14:textId="77777777" w:rsidR="00131CFC" w:rsidRPr="00942231" w:rsidRDefault="00212DEF">
      <w:pPr>
        <w:ind w:right="49"/>
        <w:jc w:val="both"/>
        <w:rPr>
          <w:b/>
        </w:rPr>
      </w:pPr>
      <w:r w:rsidRPr="00942231">
        <w:rPr>
          <w:b/>
          <w:noProof/>
        </w:rPr>
        <w:drawing>
          <wp:inline distT="0" distB="0" distL="0" distR="0" wp14:anchorId="793BB44A" wp14:editId="02806536">
            <wp:extent cx="5612130" cy="309134"/>
            <wp:effectExtent l="0" t="0" r="0" b="0"/>
            <wp:docPr id="6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t="85041"/>
                    <a:stretch>
                      <a:fillRect/>
                    </a:stretch>
                  </pic:blipFill>
                  <pic:spPr>
                    <a:xfrm>
                      <a:off x="0" y="0"/>
                      <a:ext cx="5612130" cy="309134"/>
                    </a:xfrm>
                    <a:prstGeom prst="rect">
                      <a:avLst/>
                    </a:prstGeom>
                    <a:ln/>
                  </pic:spPr>
                </pic:pic>
              </a:graphicData>
            </a:graphic>
          </wp:inline>
        </w:drawing>
      </w:r>
    </w:p>
    <w:p w14:paraId="151F9E5F" w14:textId="77777777" w:rsidR="00131CFC" w:rsidRPr="00942231" w:rsidRDefault="00212DEF">
      <w:pPr>
        <w:ind w:right="49"/>
        <w:jc w:val="both"/>
        <w:rPr>
          <w:b/>
        </w:rPr>
      </w:pPr>
      <w:r w:rsidRPr="00942231">
        <w:rPr>
          <w:b/>
        </w:rPr>
        <w:t>...</w:t>
      </w:r>
    </w:p>
    <w:p w14:paraId="790B523D" w14:textId="77777777" w:rsidR="00131CFC" w:rsidRPr="00942231" w:rsidRDefault="00212DEF">
      <w:pPr>
        <w:ind w:right="49"/>
        <w:jc w:val="both"/>
        <w:rPr>
          <w:rFonts w:ascii="Palatino Linotype" w:eastAsia="Palatino Linotype" w:hAnsi="Palatino Linotype" w:cs="Palatino Linotype"/>
        </w:rPr>
      </w:pPr>
      <w:r w:rsidRPr="00942231">
        <w:rPr>
          <w:rFonts w:ascii="Palatino Linotype" w:eastAsia="Palatino Linotype" w:hAnsi="Palatino Linotype" w:cs="Palatino Linotype"/>
          <w:noProof/>
        </w:rPr>
        <w:drawing>
          <wp:inline distT="0" distB="0" distL="0" distR="0" wp14:anchorId="12B77281" wp14:editId="22B086F3">
            <wp:extent cx="5605780" cy="1208668"/>
            <wp:effectExtent l="0" t="0" r="0" b="0"/>
            <wp:docPr id="7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1" b="1275"/>
                    <a:stretch>
                      <a:fillRect/>
                    </a:stretch>
                  </pic:blipFill>
                  <pic:spPr>
                    <a:xfrm>
                      <a:off x="0" y="0"/>
                      <a:ext cx="5605780" cy="1208668"/>
                    </a:xfrm>
                    <a:prstGeom prst="rect">
                      <a:avLst/>
                    </a:prstGeom>
                    <a:ln/>
                  </pic:spPr>
                </pic:pic>
              </a:graphicData>
            </a:graphic>
          </wp:inline>
        </w:drawing>
      </w:r>
    </w:p>
    <w:p w14:paraId="425EE30C" w14:textId="77777777" w:rsidR="00131CFC" w:rsidRPr="00942231" w:rsidRDefault="00212DEF">
      <w:pPr>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w:t>
      </w:r>
    </w:p>
    <w:p w14:paraId="4D392AFC"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noProof/>
        </w:rPr>
        <w:lastRenderedPageBreak/>
        <w:drawing>
          <wp:inline distT="0" distB="0" distL="0" distR="0" wp14:anchorId="6935D8B7" wp14:editId="51C7C669">
            <wp:extent cx="5605780" cy="993775"/>
            <wp:effectExtent l="0" t="0" r="0" b="0"/>
            <wp:docPr id="7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605780" cy="993775"/>
                    </a:xfrm>
                    <a:prstGeom prst="rect">
                      <a:avLst/>
                    </a:prstGeom>
                    <a:ln/>
                  </pic:spPr>
                </pic:pic>
              </a:graphicData>
            </a:graphic>
          </wp:inline>
        </w:drawing>
      </w:r>
    </w:p>
    <w:p w14:paraId="2532E768"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De lo anterior se advierte que el otorgamiento de concesiones del servicio auxiliar de depósito y guarda vehicular, su cesión de derechos o cambio de titular, y su prórroga o cambio de temporalidad de vigencia de la concesión, como servicios que presta la Secretaría de Movilidad, genera el pago derechos atendiendo a las tarifas que para tal efecto establece el Código Financiero, cuya recaudación corresponde a la Secretaría de Finanzas.</w:t>
      </w:r>
    </w:p>
    <w:p w14:paraId="2CE43CCD"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A efecto de sustentar lo anterior se menciona que de conformidad con los artículos 23 y 24, fracción II de la Ley de la Administración Pública del Estado de México, la Secretaría de Finanzas, es la dependencia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Ejecutivo del Estado, teniendo a su cargo, entre otras atribuciones, la de </w:t>
      </w:r>
      <w:r w:rsidRPr="00942231">
        <w:rPr>
          <w:rFonts w:ascii="Palatino Linotype" w:eastAsia="Palatino Linotype" w:hAnsi="Palatino Linotype" w:cs="Palatino Linotype"/>
          <w:b/>
        </w:rPr>
        <w:t>recaudar los</w:t>
      </w:r>
      <w:r w:rsidRPr="00942231">
        <w:rPr>
          <w:rFonts w:ascii="Palatino Linotype" w:eastAsia="Palatino Linotype" w:hAnsi="Palatino Linotype" w:cs="Palatino Linotype"/>
        </w:rPr>
        <w:t xml:space="preserve"> impuestos, </w:t>
      </w:r>
      <w:r w:rsidRPr="00942231">
        <w:rPr>
          <w:rFonts w:ascii="Palatino Linotype" w:eastAsia="Palatino Linotype" w:hAnsi="Palatino Linotype" w:cs="Palatino Linotype"/>
          <w:b/>
        </w:rPr>
        <w:t>derechos,</w:t>
      </w:r>
      <w:r w:rsidRPr="00942231">
        <w:rPr>
          <w:rFonts w:ascii="Palatino Linotype" w:eastAsia="Palatino Linotype" w:hAnsi="Palatino Linotype" w:cs="Palatino Linotype"/>
        </w:rPr>
        <w:t xml:space="preserve"> aportaciones de mejoras, productos y aprovechamientos, </w:t>
      </w:r>
      <w:r w:rsidRPr="00942231">
        <w:rPr>
          <w:rFonts w:ascii="Palatino Linotype" w:eastAsia="Palatino Linotype" w:hAnsi="Palatino Linotype" w:cs="Palatino Linotype"/>
          <w:b/>
        </w:rPr>
        <w:t>que correspondan al Estado</w:t>
      </w:r>
      <w:r w:rsidRPr="00942231">
        <w:rPr>
          <w:rFonts w:ascii="Palatino Linotype" w:eastAsia="Palatino Linotype" w:hAnsi="Palatino Linotype" w:cs="Palatino Linotype"/>
        </w:rPr>
        <w:t>.</w:t>
      </w:r>
    </w:p>
    <w:p w14:paraId="4AFD4AE8"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En el mismo sentido la Ley de Ingresos del Estado de México, para los ejercicios 2019, 2020, 2021 y 2022, en su artículo 3, párrafo primero señala lo siguiente:</w:t>
      </w:r>
    </w:p>
    <w:p w14:paraId="722F763A" w14:textId="77777777" w:rsidR="00131CFC" w:rsidRPr="00942231" w:rsidRDefault="00212DEF">
      <w:pPr>
        <w:spacing w:before="240" w:after="240"/>
        <w:ind w:left="851" w:right="900"/>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Artículo 3</w:t>
      </w:r>
      <w:r w:rsidRPr="00942231">
        <w:rPr>
          <w:rFonts w:ascii="Palatino Linotype" w:eastAsia="Palatino Linotype" w:hAnsi="Palatino Linotype" w:cs="Palatino Linotype"/>
          <w:i/>
          <w:sz w:val="22"/>
          <w:szCs w:val="22"/>
        </w:rPr>
        <w:t xml:space="preserve">.- Los </w:t>
      </w:r>
      <w:r w:rsidRPr="00942231">
        <w:rPr>
          <w:rFonts w:ascii="Palatino Linotype" w:eastAsia="Palatino Linotype" w:hAnsi="Palatino Linotype" w:cs="Palatino Linotype"/>
          <w:b/>
          <w:i/>
          <w:sz w:val="22"/>
          <w:szCs w:val="22"/>
        </w:rPr>
        <w:t xml:space="preserve">ingresos provenientes de los conceptos enumerados en el artículo 1 </w:t>
      </w:r>
      <w:r w:rsidRPr="00942231">
        <w:rPr>
          <w:rFonts w:ascii="Palatino Linotype" w:eastAsia="Palatino Linotype" w:hAnsi="Palatino Linotype" w:cs="Palatino Linotype"/>
          <w:i/>
          <w:sz w:val="22"/>
          <w:szCs w:val="22"/>
        </w:rPr>
        <w:t xml:space="preserve">de esta Ley </w:t>
      </w:r>
      <w:r w:rsidRPr="00942231">
        <w:rPr>
          <w:rFonts w:ascii="Palatino Linotype" w:eastAsia="Palatino Linotype" w:hAnsi="Palatino Linotype" w:cs="Palatino Linotype"/>
          <w:b/>
          <w:i/>
          <w:sz w:val="22"/>
          <w:szCs w:val="22"/>
        </w:rPr>
        <w:t>se recaudarán por la Secretaría de Finanzas</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rPr>
        <w:t>en la Caja General de Gobierno de la Subsecretaría de Tesorería</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rPr>
        <w:t xml:space="preserve">en </w:t>
      </w:r>
      <w:r w:rsidRPr="00942231">
        <w:rPr>
          <w:rFonts w:ascii="Palatino Linotype" w:eastAsia="Palatino Linotype" w:hAnsi="Palatino Linotype" w:cs="Palatino Linotype"/>
          <w:b/>
          <w:i/>
          <w:sz w:val="22"/>
          <w:szCs w:val="22"/>
        </w:rPr>
        <w:lastRenderedPageBreak/>
        <w:t xml:space="preserve">instituciones del sistema financiero mexicano o en los establecimientos autorizados para realizar las gestiones inherentes a la recaudación, así como por los ayuntamientos con los que se convenga que realicen por cuenta de la Dependencia, la captación de los ingresos públicos </w:t>
      </w:r>
      <w:r w:rsidRPr="00942231">
        <w:rPr>
          <w:rFonts w:ascii="Palatino Linotype" w:eastAsia="Palatino Linotype" w:hAnsi="Palatino Linotype" w:cs="Palatino Linotype"/>
          <w:b/>
          <w:i/>
          <w:sz w:val="22"/>
          <w:szCs w:val="22"/>
          <w:u w:val="single"/>
        </w:rPr>
        <w:t>para su concentración correspondiente al erario estatal</w:t>
      </w:r>
      <w:r w:rsidRPr="00942231">
        <w:rPr>
          <w:rFonts w:ascii="Palatino Linotype" w:eastAsia="Palatino Linotype" w:hAnsi="Palatino Linotype" w:cs="Palatino Linotype"/>
          <w:i/>
          <w:sz w:val="22"/>
          <w:szCs w:val="22"/>
        </w:rPr>
        <w:t>, salvo los ingresos propios de Organismos Autónomos y de los poderes Legislativo y Judicial, así como los afectos en fideicomisos de garantía, fuente de pago o administración e inversión, los cuales serán percibidos de manera directa. Para tal efecto, la Secretaría de Finanzas publicará en el Periódico Oficial “Gaceta del Gobierno”, las Reglas de Carácter General que fijen los requisitos, obligaciones y procedimientos relativos a la captación o recepción y los comprobantes de pago de los ingresos.”</w:t>
      </w:r>
    </w:p>
    <w:p w14:paraId="21D78802"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Del precepto citado se desprende que los ingresos que provengan de los conceptos establecidos en el artículo 1 de la Ley de Ingresos, se recaudarán por la Secretaría de Finanzas en la Caja General de Gobierno de la Subsecretaría de Tesorería, entre los que se encuentran los derechos por la prestación de servicios de la Secretaría de Movilidad, como se muestra a continuación respecto del ejercicio 2022:</w:t>
      </w:r>
    </w:p>
    <w:p w14:paraId="64896ECB" w14:textId="77777777" w:rsidR="00131CFC" w:rsidRPr="00942231" w:rsidRDefault="00212DEF">
      <w:pPr>
        <w:ind w:right="51"/>
        <w:jc w:val="both"/>
        <w:rPr>
          <w:rFonts w:ascii="Palatino Linotype" w:eastAsia="Palatino Linotype" w:hAnsi="Palatino Linotype" w:cs="Palatino Linotype"/>
        </w:rPr>
      </w:pPr>
      <w:r w:rsidRPr="00942231">
        <w:rPr>
          <w:rFonts w:ascii="Palatino Linotype" w:eastAsia="Palatino Linotype" w:hAnsi="Palatino Linotype" w:cs="Palatino Linotype"/>
          <w:noProof/>
        </w:rPr>
        <w:drawing>
          <wp:inline distT="0" distB="0" distL="0" distR="0" wp14:anchorId="7813937E" wp14:editId="220E3173">
            <wp:extent cx="5605780" cy="334010"/>
            <wp:effectExtent l="0" t="0" r="0" b="0"/>
            <wp:docPr id="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05780" cy="334010"/>
                    </a:xfrm>
                    <a:prstGeom prst="rect">
                      <a:avLst/>
                    </a:prstGeom>
                    <a:ln/>
                  </pic:spPr>
                </pic:pic>
              </a:graphicData>
            </a:graphic>
          </wp:inline>
        </w:drawing>
      </w:r>
    </w:p>
    <w:p w14:paraId="076C5930" w14:textId="77777777" w:rsidR="00131CFC" w:rsidRPr="00942231" w:rsidRDefault="00212DEF">
      <w:pPr>
        <w:ind w:right="51"/>
        <w:jc w:val="both"/>
        <w:rPr>
          <w:rFonts w:ascii="Palatino Linotype" w:eastAsia="Palatino Linotype" w:hAnsi="Palatino Linotype" w:cs="Palatino Linotype"/>
        </w:rPr>
      </w:pPr>
      <w:r w:rsidRPr="00942231">
        <w:rPr>
          <w:rFonts w:ascii="Palatino Linotype" w:eastAsia="Palatino Linotype" w:hAnsi="Palatino Linotype" w:cs="Palatino Linotype"/>
        </w:rPr>
        <w:t>...</w:t>
      </w:r>
    </w:p>
    <w:p w14:paraId="62A62814" w14:textId="77777777" w:rsidR="00131CFC" w:rsidRPr="00942231" w:rsidRDefault="00212DEF">
      <w:pPr>
        <w:ind w:right="51"/>
        <w:jc w:val="both"/>
        <w:rPr>
          <w:rFonts w:ascii="Palatino Linotype" w:eastAsia="Palatino Linotype" w:hAnsi="Palatino Linotype" w:cs="Palatino Linotype"/>
        </w:rPr>
      </w:pPr>
      <w:r w:rsidRPr="00942231">
        <w:rPr>
          <w:rFonts w:ascii="Palatino Linotype" w:eastAsia="Palatino Linotype" w:hAnsi="Palatino Linotype" w:cs="Palatino Linotype"/>
          <w:noProof/>
        </w:rPr>
        <w:drawing>
          <wp:inline distT="0" distB="0" distL="0" distR="0" wp14:anchorId="158BD92E" wp14:editId="3117695E">
            <wp:extent cx="5605780" cy="198755"/>
            <wp:effectExtent l="0" t="0" r="0" b="0"/>
            <wp:docPr id="7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605780" cy="198755"/>
                    </a:xfrm>
                    <a:prstGeom prst="rect">
                      <a:avLst/>
                    </a:prstGeom>
                    <a:ln/>
                  </pic:spPr>
                </pic:pic>
              </a:graphicData>
            </a:graphic>
          </wp:inline>
        </w:drawing>
      </w:r>
    </w:p>
    <w:p w14:paraId="1B5C7676" w14:textId="77777777" w:rsidR="00131CFC" w:rsidRPr="00942231" w:rsidRDefault="00212DEF">
      <w:pPr>
        <w:ind w:right="51"/>
        <w:jc w:val="both"/>
        <w:rPr>
          <w:rFonts w:ascii="Palatino Linotype" w:eastAsia="Palatino Linotype" w:hAnsi="Palatino Linotype" w:cs="Palatino Linotype"/>
        </w:rPr>
      </w:pPr>
      <w:r w:rsidRPr="00942231">
        <w:rPr>
          <w:rFonts w:ascii="Palatino Linotype" w:eastAsia="Palatino Linotype" w:hAnsi="Palatino Linotype" w:cs="Palatino Linotype"/>
        </w:rPr>
        <w:t>...</w:t>
      </w:r>
    </w:p>
    <w:p w14:paraId="4539559F" w14:textId="77777777" w:rsidR="00131CFC" w:rsidRPr="00942231" w:rsidRDefault="00212DEF">
      <w:pPr>
        <w:ind w:right="51"/>
        <w:jc w:val="both"/>
        <w:rPr>
          <w:rFonts w:ascii="Palatino Linotype" w:eastAsia="Palatino Linotype" w:hAnsi="Palatino Linotype" w:cs="Palatino Linotype"/>
        </w:rPr>
      </w:pPr>
      <w:r w:rsidRPr="00942231">
        <w:rPr>
          <w:rFonts w:ascii="Palatino Linotype" w:eastAsia="Palatino Linotype" w:hAnsi="Palatino Linotype" w:cs="Palatino Linotype"/>
          <w:noProof/>
        </w:rPr>
        <w:drawing>
          <wp:inline distT="0" distB="0" distL="0" distR="0" wp14:anchorId="6A3202B4" wp14:editId="1B9E9F24">
            <wp:extent cx="5605780" cy="1121410"/>
            <wp:effectExtent l="0" t="0" r="0" b="0"/>
            <wp:docPr id="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05780" cy="1121410"/>
                    </a:xfrm>
                    <a:prstGeom prst="rect">
                      <a:avLst/>
                    </a:prstGeom>
                    <a:ln/>
                  </pic:spPr>
                </pic:pic>
              </a:graphicData>
            </a:graphic>
          </wp:inline>
        </w:drawing>
      </w:r>
    </w:p>
    <w:p w14:paraId="43969CEA"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Como puede observarse, la Secretaría de Finanzas se encuentra facultada para recaudar, entre otros ingresos, los provenientes de los derechos por el otorgamiento de concesiones del servicio auxiliar de depósito y guarda vehicular, su cesión de derechos o cambio de titular, y su prórroga o cambio de temporalidad de vigencia de la concesión, como servicios que presta la Secretaría de Movilidad.</w:t>
      </w:r>
    </w:p>
    <w:p w14:paraId="040E82EB" w14:textId="551FCC97" w:rsidR="00131CFC" w:rsidRPr="00942231" w:rsidRDefault="001A52C3">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lastRenderedPageBreak/>
        <w:t>Asimismo,</w:t>
      </w:r>
      <w:r w:rsidR="00212DEF" w:rsidRPr="00942231">
        <w:rPr>
          <w:rFonts w:ascii="Palatino Linotype" w:eastAsia="Palatino Linotype" w:hAnsi="Palatino Linotype" w:cs="Palatino Linotype"/>
        </w:rPr>
        <w:t xml:space="preserve"> resulta aplicable el contenido de los artículos 7.20, 7.39, fracción VII y 7.43 del Código Administrativo del Estado de México, que son del tenor literal siguiente:</w:t>
      </w:r>
    </w:p>
    <w:p w14:paraId="3BC136E8"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Artículo 7.20</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rPr>
        <w:t>La vigencia de las concesiones</w:t>
      </w:r>
      <w:r w:rsidRPr="00942231">
        <w:rPr>
          <w:rFonts w:ascii="Palatino Linotype" w:eastAsia="Palatino Linotype" w:hAnsi="Palatino Linotype" w:cs="Palatino Linotype"/>
          <w:i/>
          <w:sz w:val="22"/>
          <w:szCs w:val="22"/>
        </w:rPr>
        <w:t xml:space="preserve"> y permisos </w:t>
      </w:r>
      <w:r w:rsidRPr="00942231">
        <w:rPr>
          <w:rFonts w:ascii="Palatino Linotype" w:eastAsia="Palatino Linotype" w:hAnsi="Palatino Linotype" w:cs="Palatino Linotype"/>
          <w:b/>
          <w:i/>
          <w:sz w:val="22"/>
          <w:szCs w:val="22"/>
        </w:rPr>
        <w:t>será temporal, no pudiendo exceder de diez años la primera</w:t>
      </w:r>
      <w:r w:rsidRPr="00942231">
        <w:rPr>
          <w:rFonts w:ascii="Palatino Linotype" w:eastAsia="Palatino Linotype" w:hAnsi="Palatino Linotype" w:cs="Palatino Linotype"/>
          <w:i/>
          <w:sz w:val="22"/>
          <w:szCs w:val="22"/>
        </w:rPr>
        <w:t xml:space="preserve">, salvo lo previsto en el artículo siguiente, y de cinco los segundos; </w:t>
      </w:r>
      <w:r w:rsidRPr="00942231">
        <w:rPr>
          <w:rFonts w:ascii="Palatino Linotype" w:eastAsia="Palatino Linotype" w:hAnsi="Palatino Linotype" w:cs="Palatino Linotype"/>
          <w:b/>
          <w:i/>
          <w:sz w:val="22"/>
          <w:szCs w:val="22"/>
        </w:rPr>
        <w:t>podrán ser objeto de prórroga</w:t>
      </w:r>
      <w:r w:rsidRPr="00942231">
        <w:rPr>
          <w:rFonts w:ascii="Palatino Linotype" w:eastAsia="Palatino Linotype" w:hAnsi="Palatino Linotype" w:cs="Palatino Linotype"/>
          <w:i/>
          <w:sz w:val="22"/>
          <w:szCs w:val="22"/>
        </w:rPr>
        <w:t xml:space="preserve"> en los términos previstos en este Libro y el Reglamento de la materia. </w:t>
      </w:r>
    </w:p>
    <w:p w14:paraId="7E642B55"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Ninguna autorización que se otorgue tendrá una vigencia mayor a la de las concesiones o permisos que complementen.</w:t>
      </w:r>
    </w:p>
    <w:p w14:paraId="63DF5FE7"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0B6EFCDC"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Artículo 7.39</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rPr>
        <w:t>Se otorgarán las concesiones para la prestación del servicio público auxiliar del depósito y guarda vehicular</w:t>
      </w:r>
      <w:r w:rsidRPr="00942231">
        <w:rPr>
          <w:rFonts w:ascii="Palatino Linotype" w:eastAsia="Palatino Linotype" w:hAnsi="Palatino Linotype" w:cs="Palatino Linotype"/>
          <w:i/>
          <w:sz w:val="22"/>
          <w:szCs w:val="22"/>
        </w:rPr>
        <w:t xml:space="preserve"> y permisos para salvamento y arrastre, únicamente a quienes cumplan los siguientes requisitos..</w:t>
      </w:r>
      <w:proofErr w:type="gramStart"/>
      <w:r w:rsidRPr="00942231">
        <w:rPr>
          <w:rFonts w:ascii="Palatino Linotype" w:eastAsia="Palatino Linotype" w:hAnsi="Palatino Linotype" w:cs="Palatino Linotype"/>
          <w:i/>
          <w:sz w:val="22"/>
          <w:szCs w:val="22"/>
        </w:rPr>
        <w:t>,</w:t>
      </w:r>
      <w:proofErr w:type="gramEnd"/>
      <w:r w:rsidRPr="00942231">
        <w:rPr>
          <w:rFonts w:ascii="Palatino Linotype" w:eastAsia="Palatino Linotype" w:hAnsi="Palatino Linotype" w:cs="Palatino Linotype"/>
          <w:i/>
          <w:sz w:val="22"/>
          <w:szCs w:val="22"/>
        </w:rPr>
        <w:t>”</w:t>
      </w:r>
    </w:p>
    <w:p w14:paraId="3BE73287"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2F8A3E22"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VII</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u w:val="single"/>
        </w:rPr>
        <w:t>Cubrir las contribuciones</w:t>
      </w:r>
      <w:r w:rsidRPr="00942231">
        <w:rPr>
          <w:rFonts w:ascii="Palatino Linotype" w:eastAsia="Palatino Linotype" w:hAnsi="Palatino Linotype" w:cs="Palatino Linotype"/>
          <w:i/>
          <w:sz w:val="22"/>
          <w:szCs w:val="22"/>
        </w:rPr>
        <w:t xml:space="preserve"> que, en su caso, </w:t>
      </w:r>
      <w:r w:rsidRPr="00942231">
        <w:rPr>
          <w:rFonts w:ascii="Palatino Linotype" w:eastAsia="Palatino Linotype" w:hAnsi="Palatino Linotype" w:cs="Palatino Linotype"/>
          <w:b/>
          <w:i/>
          <w:sz w:val="22"/>
          <w:szCs w:val="22"/>
        </w:rPr>
        <w:t>establezcan las disposiciones fiscales</w:t>
      </w:r>
      <w:r w:rsidRPr="00942231">
        <w:rPr>
          <w:rFonts w:ascii="Palatino Linotype" w:eastAsia="Palatino Linotype" w:hAnsi="Palatino Linotype" w:cs="Palatino Linotype"/>
          <w:i/>
          <w:sz w:val="22"/>
          <w:szCs w:val="22"/>
        </w:rPr>
        <w:t xml:space="preserve"> aplicables</w:t>
      </w:r>
    </w:p>
    <w:p w14:paraId="657E7711"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3FAAA36A"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Artículo 7.43</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rPr>
        <w:t>Las concesiones</w:t>
      </w:r>
      <w:r w:rsidRPr="00942231">
        <w:rPr>
          <w:rFonts w:ascii="Palatino Linotype" w:eastAsia="Palatino Linotype" w:hAnsi="Palatino Linotype" w:cs="Palatino Linotype"/>
          <w:i/>
          <w:sz w:val="22"/>
          <w:szCs w:val="22"/>
        </w:rPr>
        <w:t xml:space="preserve"> y permisos </w:t>
      </w:r>
      <w:r w:rsidRPr="00942231">
        <w:rPr>
          <w:rFonts w:ascii="Palatino Linotype" w:eastAsia="Palatino Linotype" w:hAnsi="Palatino Linotype" w:cs="Palatino Linotype"/>
          <w:b/>
          <w:i/>
          <w:sz w:val="22"/>
          <w:szCs w:val="22"/>
        </w:rPr>
        <w:t>para los servicios públicos auxiliares de depósito y guarda,</w:t>
      </w:r>
      <w:r w:rsidRPr="00942231">
        <w:rPr>
          <w:rFonts w:ascii="Palatino Linotype" w:eastAsia="Palatino Linotype" w:hAnsi="Palatino Linotype" w:cs="Palatino Linotype"/>
          <w:i/>
          <w:sz w:val="22"/>
          <w:szCs w:val="22"/>
        </w:rPr>
        <w:t xml:space="preserve"> así como de salvamento y arrastre, </w:t>
      </w:r>
      <w:r w:rsidRPr="00942231">
        <w:rPr>
          <w:rFonts w:ascii="Palatino Linotype" w:eastAsia="Palatino Linotype" w:hAnsi="Palatino Linotype" w:cs="Palatino Linotype"/>
          <w:b/>
          <w:i/>
          <w:sz w:val="22"/>
          <w:szCs w:val="22"/>
        </w:rPr>
        <w:t>tendrán la vigencia establecida por el artículo 7.20</w:t>
      </w:r>
      <w:r w:rsidRPr="00942231">
        <w:rPr>
          <w:rFonts w:ascii="Palatino Linotype" w:eastAsia="Palatino Linotype" w:hAnsi="Palatino Linotype" w:cs="Palatino Linotype"/>
          <w:i/>
          <w:sz w:val="22"/>
          <w:szCs w:val="22"/>
        </w:rPr>
        <w:t xml:space="preserve"> de este Libro, pero </w:t>
      </w:r>
      <w:r w:rsidRPr="00942231">
        <w:rPr>
          <w:rFonts w:ascii="Palatino Linotype" w:eastAsia="Palatino Linotype" w:hAnsi="Palatino Linotype" w:cs="Palatino Linotype"/>
          <w:b/>
          <w:i/>
          <w:sz w:val="22"/>
          <w:szCs w:val="22"/>
          <w:u w:val="single"/>
        </w:rPr>
        <w:t>deberán prorrogarse anualmente</w:t>
      </w:r>
      <w:r w:rsidRPr="00942231">
        <w:rPr>
          <w:rFonts w:ascii="Palatino Linotype" w:eastAsia="Palatino Linotype" w:hAnsi="Palatino Linotype" w:cs="Palatino Linotype"/>
          <w:i/>
          <w:sz w:val="22"/>
          <w:szCs w:val="22"/>
        </w:rPr>
        <w:t xml:space="preserve"> en los plazos que para tal efecto determine la Secretaría de Movilidad, los que deberán publicarse en el Periódico Oficial "Gaceta del Gobierno", en el mes de abril del año que corresponda.</w:t>
      </w:r>
    </w:p>
    <w:p w14:paraId="104BE3FD"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4A762984"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Artículo 7.45</w:t>
      </w:r>
      <w:r w:rsidRPr="00942231">
        <w:rPr>
          <w:rFonts w:ascii="Palatino Linotype" w:eastAsia="Palatino Linotype" w:hAnsi="Palatino Linotype" w:cs="Palatino Linotype"/>
          <w:i/>
          <w:sz w:val="22"/>
          <w:szCs w:val="22"/>
        </w:rPr>
        <w:t>.- Además de lo previsto en el artículo anterior, para el otorgamiento de la prórroga, es necesario cumplir con los requisitos siguientes:</w:t>
      </w:r>
    </w:p>
    <w:p w14:paraId="3223872B"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18054AC6"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V</w:t>
      </w:r>
      <w:r w:rsidRPr="00942231">
        <w:rPr>
          <w:rFonts w:ascii="Palatino Linotype" w:eastAsia="Palatino Linotype" w:hAnsi="Palatino Linotype" w:cs="Palatino Linotype"/>
          <w:i/>
          <w:sz w:val="22"/>
          <w:szCs w:val="22"/>
        </w:rPr>
        <w:t xml:space="preserve">. </w:t>
      </w:r>
      <w:r w:rsidRPr="00942231">
        <w:rPr>
          <w:rFonts w:ascii="Palatino Linotype" w:eastAsia="Palatino Linotype" w:hAnsi="Palatino Linotype" w:cs="Palatino Linotype"/>
          <w:b/>
          <w:i/>
          <w:sz w:val="22"/>
          <w:szCs w:val="22"/>
          <w:u w:val="single"/>
        </w:rPr>
        <w:t>Realizar el pago</w:t>
      </w:r>
      <w:r w:rsidRPr="00942231">
        <w:rPr>
          <w:rFonts w:ascii="Palatino Linotype" w:eastAsia="Palatino Linotype" w:hAnsi="Palatino Linotype" w:cs="Palatino Linotype"/>
          <w:i/>
          <w:sz w:val="22"/>
          <w:szCs w:val="22"/>
        </w:rPr>
        <w:t xml:space="preserve"> de la prórroga;</w:t>
      </w:r>
    </w:p>
    <w:p w14:paraId="1E1252B7" w14:textId="73088B6A"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De los preceptos citados se desprende que la concesión del servicio público auxiliar de depósito y guarda vehicular tiene una vigencia de diez años, misma que debe prorrogarse anualmente, asimismo que entre los requisitos que se deben cumplir, </w:t>
      </w:r>
      <w:r w:rsidRPr="00942231">
        <w:rPr>
          <w:rFonts w:ascii="Palatino Linotype" w:eastAsia="Palatino Linotype" w:hAnsi="Palatino Linotype" w:cs="Palatino Linotype"/>
        </w:rPr>
        <w:lastRenderedPageBreak/>
        <w:t xml:space="preserve">se encuentra el de cubrir las contribuciones que establezcan las leyes fiscales para el otorgamiento de la concesión, así como realizar el pago de la prórroga,  cuyo monto se encuentra establecido en las tarifas establecidas en el Código Financiero, referidas en </w:t>
      </w:r>
      <w:r w:rsidR="001A52C3" w:rsidRPr="00942231">
        <w:rPr>
          <w:rFonts w:ascii="Palatino Linotype" w:eastAsia="Palatino Linotype" w:hAnsi="Palatino Linotype" w:cs="Palatino Linotype"/>
        </w:rPr>
        <w:t>líneas anteriores.</w:t>
      </w:r>
    </w:p>
    <w:p w14:paraId="3FFC0694" w14:textId="6B2B3D44" w:rsidR="00131CFC" w:rsidRPr="00942231" w:rsidRDefault="001A52C3">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N</w:t>
      </w:r>
      <w:r w:rsidR="00212DEF" w:rsidRPr="00942231">
        <w:rPr>
          <w:rFonts w:ascii="Palatino Linotype" w:eastAsia="Palatino Linotype" w:hAnsi="Palatino Linotype" w:cs="Palatino Linotype"/>
        </w:rPr>
        <w:t>o obsta mencionar que la prórroga es la revalidación que otorga la Secretaría de Movilidad, para que se continúe prestando el servicio concesionado o permisionario, de conformidad con el artículo 7.44 del Código Administrativo.</w:t>
      </w:r>
    </w:p>
    <w:p w14:paraId="42953C46" w14:textId="1B1D22B8"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Derivado de lo expuesto se arriba a la conclusión de que 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xml:space="preserve"> si cuenta con atribuciones para recaudar contribuciones provenientes de los  concesionarios autorizados para prestar el servicio público auxiliar de depósito y guarda vehicular, mismas que en materia fiscal se catalogan como </w:t>
      </w:r>
      <w:r w:rsidRPr="00942231">
        <w:rPr>
          <w:rFonts w:ascii="Palatino Linotype" w:eastAsia="Palatino Linotype" w:hAnsi="Palatino Linotype" w:cs="Palatino Linotype"/>
          <w:i/>
        </w:rPr>
        <w:t xml:space="preserve">derechos, </w:t>
      </w:r>
      <w:r w:rsidRPr="00942231">
        <w:rPr>
          <w:rFonts w:ascii="Palatino Linotype" w:eastAsia="Palatino Linotype" w:hAnsi="Palatino Linotype" w:cs="Palatino Linotype"/>
        </w:rPr>
        <w:t xml:space="preserve"> no obstante, al haber dado a la solicitud de información una interpretación literal el </w:t>
      </w:r>
      <w:r w:rsidRPr="00942231">
        <w:rPr>
          <w:rFonts w:ascii="Palatino Linotype" w:eastAsia="Palatino Linotype" w:hAnsi="Palatino Linotype" w:cs="Palatino Linotype"/>
          <w:b/>
        </w:rPr>
        <w:t xml:space="preserve">Sujeto Obligado </w:t>
      </w:r>
      <w:r w:rsidRPr="00942231">
        <w:rPr>
          <w:rFonts w:ascii="Palatino Linotype" w:eastAsia="Palatino Linotype" w:hAnsi="Palatino Linotype" w:cs="Palatino Linotype"/>
        </w:rPr>
        <w:t>limito el derecho de acceso a la información de la persona solicitante, toda vez que esta, al no tener la obligación de ser experta en la materia para ejercer su derecho de acceso, se limitó a requerir información relacionada con “</w:t>
      </w:r>
      <w:r w:rsidRPr="00942231">
        <w:rPr>
          <w:rFonts w:ascii="Palatino Linotype" w:eastAsia="Palatino Linotype" w:hAnsi="Palatino Linotype" w:cs="Palatino Linotype"/>
          <w:i/>
        </w:rPr>
        <w:t>contribuciones o aprovechamientos</w:t>
      </w:r>
      <w:r w:rsidRPr="00942231">
        <w:rPr>
          <w:rFonts w:ascii="Palatino Linotype" w:eastAsia="Palatino Linotype" w:hAnsi="Palatino Linotype" w:cs="Palatino Linotype"/>
        </w:rPr>
        <w:t>” sin embargo, derivado del estudio realizado, así como de la interpretación del requerimiento en su conjunto, este Organismo Garante, en uso de la facultad de suplencia prevista en artículos 13</w:t>
      </w:r>
      <w:r w:rsidRPr="00942231">
        <w:rPr>
          <w:rFonts w:ascii="Palatino Linotype" w:eastAsia="Palatino Linotype" w:hAnsi="Palatino Linotype" w:cs="Palatino Linotype"/>
          <w:vertAlign w:val="superscript"/>
        </w:rPr>
        <w:footnoteReference w:id="4"/>
      </w:r>
      <w:r w:rsidRPr="00942231">
        <w:rPr>
          <w:rFonts w:ascii="Palatino Linotype" w:eastAsia="Palatino Linotype" w:hAnsi="Palatino Linotype" w:cs="Palatino Linotype"/>
        </w:rPr>
        <w:t xml:space="preserve"> y 181</w:t>
      </w:r>
      <w:r w:rsidRPr="00942231">
        <w:rPr>
          <w:rFonts w:ascii="Palatino Linotype" w:eastAsia="Palatino Linotype" w:hAnsi="Palatino Linotype" w:cs="Palatino Linotype"/>
          <w:vertAlign w:val="superscript"/>
        </w:rPr>
        <w:footnoteReference w:id="5"/>
      </w:r>
      <w:r w:rsidRPr="00942231">
        <w:rPr>
          <w:rFonts w:ascii="Palatino Linotype" w:eastAsia="Palatino Linotype" w:hAnsi="Palatino Linotype" w:cs="Palatino Linotype"/>
        </w:rPr>
        <w:t xml:space="preserve"> párrafo cuarto de la Ley de Transparencia y Acceso a la Información Pública del Estado de México y Municipios, advierte que </w:t>
      </w:r>
      <w:r w:rsidR="001A52C3" w:rsidRPr="00942231">
        <w:rPr>
          <w:rFonts w:ascii="Palatino Linotype" w:eastAsia="Palatino Linotype" w:hAnsi="Palatino Linotype" w:cs="Palatino Linotype"/>
        </w:rPr>
        <w:t xml:space="preserve">el </w:t>
      </w:r>
      <w:r w:rsidRPr="00942231">
        <w:rPr>
          <w:rFonts w:ascii="Palatino Linotype" w:eastAsia="Palatino Linotype" w:hAnsi="Palatino Linotype" w:cs="Palatino Linotype"/>
        </w:rPr>
        <w:t xml:space="preserve">interés consiste en conocer el total de los </w:t>
      </w:r>
      <w:r w:rsidRPr="00942231">
        <w:rPr>
          <w:rFonts w:ascii="Palatino Linotype" w:eastAsia="Palatino Linotype" w:hAnsi="Palatino Linotype" w:cs="Palatino Linotype"/>
        </w:rPr>
        <w:lastRenderedPageBreak/>
        <w:t>ingresos recaudados por la autoridad fiscal por concepto de derechos, que hubieran sido cubiertos por los concesionarios del servicio público auxiliar de depósito y guarda vehicular, durante los ejercicios 2019, 2020, 2021, y 2022 al trece de junio, siendo procedente en consecuencia ordenar la entrega del soporte documental del que se desprenda lo solicitado, en versión pública de ser necesario, conforme al considerando siguiente.</w:t>
      </w:r>
    </w:p>
    <w:p w14:paraId="72362178"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Finalmente, se menciona que no pasa desapercibido para este Organismo Garante que la persona solicitante omitió señalar de manera concreta el o los documentos a los que pretende acceder,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14:paraId="21AEE2D8" w14:textId="77777777" w:rsidR="00131CFC" w:rsidRPr="00942231" w:rsidRDefault="00212DE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14:paraId="4D4141D3" w14:textId="77777777" w:rsidR="00131CFC" w:rsidRPr="00942231" w:rsidRDefault="00212DEF">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942231">
        <w:rPr>
          <w:sz w:val="22"/>
          <w:szCs w:val="22"/>
        </w:rPr>
        <w:t xml:space="preserve"> “</w:t>
      </w:r>
      <w:r w:rsidRPr="00942231">
        <w:rPr>
          <w:rFonts w:ascii="Palatino Linotype" w:eastAsia="Palatino Linotype" w:hAnsi="Palatino Linotype" w:cs="Palatino Linotype"/>
          <w:b/>
          <w:i/>
          <w:sz w:val="22"/>
          <w:szCs w:val="22"/>
        </w:rPr>
        <w:t xml:space="preserve">Expresión documental. </w:t>
      </w:r>
      <w:r w:rsidRPr="00942231">
        <w:rPr>
          <w:rFonts w:ascii="Palatino Linotype" w:eastAsia="Palatino Linotype" w:hAnsi="Palatino Linotype" w:cs="Palatino Linotype"/>
          <w:i/>
          <w:sz w:val="22"/>
          <w:szCs w:val="22"/>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w:t>
      </w:r>
      <w:r w:rsidRPr="00942231">
        <w:rPr>
          <w:rFonts w:ascii="Palatino Linotype" w:eastAsia="Palatino Linotype" w:hAnsi="Palatino Linotype" w:cs="Palatino Linotype"/>
          <w:i/>
          <w:sz w:val="22"/>
          <w:szCs w:val="22"/>
        </w:rPr>
        <w:lastRenderedPageBreak/>
        <w:t>sujetos obligados, éstos deben dar a dichas solicitudes una interpretación que les otorgue una expresión documental.”</w:t>
      </w:r>
    </w:p>
    <w:p w14:paraId="5B870ED2" w14:textId="77777777" w:rsidR="00131CFC" w:rsidRPr="00942231" w:rsidRDefault="00212DEF">
      <w:pPr>
        <w:spacing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Lo anterior en virtud de que el Sujeto Obligado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14:paraId="67507FF4" w14:textId="77777777" w:rsidR="00131CFC" w:rsidRPr="00942231" w:rsidRDefault="00212DE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“Artículo 18</w:t>
      </w:r>
      <w:r w:rsidRPr="00942231">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1649A28A" w14:textId="77777777" w:rsidR="00131CFC" w:rsidRPr="00942231" w:rsidRDefault="00212DE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21ED3504" w14:textId="77777777" w:rsidR="00131CFC" w:rsidRPr="00942231" w:rsidRDefault="00212DE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Artículo 24.</w:t>
      </w:r>
      <w:r w:rsidRPr="00942231">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2417ACBA" w14:textId="77777777" w:rsidR="00131CFC" w:rsidRPr="00942231" w:rsidRDefault="00212DE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XXII.</w:t>
      </w:r>
      <w:r w:rsidRPr="00942231">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3B4A1FFB" w14:textId="77777777" w:rsidR="00131CFC" w:rsidRPr="00942231" w:rsidRDefault="00212DEF">
      <w:pPr>
        <w:spacing w:before="120" w:after="120"/>
        <w:ind w:left="851" w:right="902"/>
        <w:jc w:val="both"/>
        <w:rPr>
          <w:rFonts w:ascii="Palatino Linotype" w:eastAsia="Palatino Linotype" w:hAnsi="Palatino Linotype" w:cs="Palatino Linotype"/>
          <w:b/>
          <w:i/>
          <w:sz w:val="22"/>
          <w:szCs w:val="22"/>
        </w:rPr>
      </w:pPr>
      <w:r w:rsidRPr="00942231">
        <w:rPr>
          <w:rFonts w:ascii="Palatino Linotype" w:eastAsia="Palatino Linotype" w:hAnsi="Palatino Linotype" w:cs="Palatino Linotype"/>
          <w:b/>
          <w:i/>
          <w:sz w:val="22"/>
          <w:szCs w:val="22"/>
        </w:rPr>
        <w:t>…</w:t>
      </w:r>
    </w:p>
    <w:p w14:paraId="25B9B3CE" w14:textId="77777777" w:rsidR="00131CFC" w:rsidRPr="00942231" w:rsidRDefault="00212DEF">
      <w:pPr>
        <w:spacing w:before="120" w:after="120"/>
        <w:ind w:left="851" w:right="902"/>
        <w:jc w:val="both"/>
        <w:rPr>
          <w:rFonts w:ascii="Palatino Linotype" w:eastAsia="Palatino Linotype" w:hAnsi="Palatino Linotype" w:cs="Palatino Linotype"/>
          <w:i/>
          <w:sz w:val="36"/>
          <w:szCs w:val="36"/>
        </w:rPr>
      </w:pPr>
      <w:r w:rsidRPr="00942231">
        <w:rPr>
          <w:rFonts w:ascii="Palatino Linotype" w:eastAsia="Palatino Linotype" w:hAnsi="Palatino Linotype" w:cs="Palatino Linotype"/>
          <w:b/>
          <w:i/>
          <w:sz w:val="22"/>
          <w:szCs w:val="22"/>
        </w:rPr>
        <w:t>Artículo 160</w:t>
      </w:r>
      <w:r w:rsidRPr="00942231">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A3B4A9" w14:textId="77777777" w:rsidR="00131CFC" w:rsidRPr="00942231" w:rsidRDefault="00212DEF">
      <w:pPr>
        <w:spacing w:before="240" w:after="240" w:line="360" w:lineRule="auto"/>
        <w:ind w:right="49"/>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De lo hasta aquí expuesto, se concluye que los motivos de inconformidad de la parte </w:t>
      </w:r>
      <w:r w:rsidRPr="00942231">
        <w:rPr>
          <w:rFonts w:ascii="Palatino Linotype" w:eastAsia="Palatino Linotype" w:hAnsi="Palatino Linotype" w:cs="Palatino Linotype"/>
          <w:b/>
        </w:rPr>
        <w:t xml:space="preserve">Recurrente </w:t>
      </w:r>
      <w:r w:rsidRPr="00942231">
        <w:rPr>
          <w:rFonts w:ascii="Palatino Linotype" w:eastAsia="Palatino Linotype" w:hAnsi="Palatino Linotype" w:cs="Palatino Linotype"/>
        </w:rPr>
        <w:t xml:space="preserve">devienen fundados, siendo procedente </w:t>
      </w:r>
      <w:r w:rsidRPr="00942231">
        <w:rPr>
          <w:rFonts w:ascii="Palatino Linotype" w:eastAsia="Palatino Linotype" w:hAnsi="Palatino Linotype" w:cs="Palatino Linotype"/>
          <w:i/>
        </w:rPr>
        <w:t>Revocar</w:t>
      </w:r>
      <w:r w:rsidRPr="00942231">
        <w:rPr>
          <w:rFonts w:ascii="Palatino Linotype" w:eastAsia="Palatino Linotype" w:hAnsi="Palatino Linotype" w:cs="Palatino Linotype"/>
        </w:rPr>
        <w:t xml:space="preserve"> la respuesta proporcionada por el </w:t>
      </w:r>
      <w:r w:rsidRPr="00942231">
        <w:rPr>
          <w:rFonts w:ascii="Palatino Linotype" w:eastAsia="Palatino Linotype" w:hAnsi="Palatino Linotype" w:cs="Palatino Linotype"/>
          <w:b/>
        </w:rPr>
        <w:t xml:space="preserve">Sujeto Obligado </w:t>
      </w:r>
      <w:r w:rsidRPr="0094223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5568CE4"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b/>
        </w:rPr>
        <w:lastRenderedPageBreak/>
        <w:t>Quinto. Versión Pública.</w:t>
      </w:r>
      <w:r w:rsidRPr="00942231">
        <w:rPr>
          <w:rFonts w:ascii="Palatino Linotype" w:eastAsia="Palatino Linotype" w:hAnsi="Palatino Linotype" w:cs="Palatino Linotype"/>
          <w:sz w:val="28"/>
          <w:szCs w:val="28"/>
        </w:rPr>
        <w:t xml:space="preserve"> </w:t>
      </w:r>
      <w:r w:rsidRPr="00942231">
        <w:rPr>
          <w:rFonts w:ascii="Palatino Linotype" w:eastAsia="Palatino Linotype" w:hAnsi="Palatino Linotype" w:cs="Palatino Linotype"/>
        </w:rPr>
        <w:t>Finalmente, debe señalarse que de ser el caso en que los documentos que vayan a ser entregados por el</w:t>
      </w:r>
      <w:r w:rsidRPr="00942231">
        <w:rPr>
          <w:rFonts w:ascii="Palatino Linotype" w:eastAsia="Palatino Linotype" w:hAnsi="Palatino Linotype" w:cs="Palatino Linotype"/>
          <w:b/>
        </w:rPr>
        <w:t xml:space="preserve"> </w:t>
      </w:r>
      <w:r w:rsidRPr="00942231">
        <w:rPr>
          <w:rFonts w:ascii="Palatino Linotype" w:eastAsia="Palatino Linotype" w:hAnsi="Palatino Linotype" w:cs="Palatino Linotype"/>
        </w:rPr>
        <w:t xml:space="preserve">sujeto obligado, para dar cumplimiento a la presente resolución, contengan datos que deban ser clasificados, 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5467C3F8"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BD5E354"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r w:rsidRPr="00942231">
        <w:rPr>
          <w:rFonts w:ascii="Palatino Linotype" w:eastAsia="Palatino Linotype" w:hAnsi="Palatino Linotype" w:cs="Palatino Linotype"/>
          <w:b/>
          <w:i/>
          <w:sz w:val="22"/>
          <w:szCs w:val="22"/>
        </w:rPr>
        <w:t>Artículo 3</w:t>
      </w:r>
      <w:r w:rsidRPr="00942231">
        <w:rPr>
          <w:rFonts w:ascii="Palatino Linotype" w:eastAsia="Palatino Linotype" w:hAnsi="Palatino Linotype" w:cs="Palatino Linotype"/>
          <w:i/>
          <w:sz w:val="22"/>
          <w:szCs w:val="22"/>
        </w:rPr>
        <w:t>. Para los efectos de la presente Ley se entenderá por:</w:t>
      </w:r>
    </w:p>
    <w:p w14:paraId="477EC603"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657F3947"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IX. Datos personales</w:t>
      </w:r>
      <w:r w:rsidRPr="00942231">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CC550FA"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XX. Información clasificada</w:t>
      </w:r>
      <w:r w:rsidRPr="00942231">
        <w:rPr>
          <w:rFonts w:ascii="Palatino Linotype" w:eastAsia="Palatino Linotype" w:hAnsi="Palatino Linotype" w:cs="Palatino Linotype"/>
          <w:i/>
          <w:sz w:val="22"/>
          <w:szCs w:val="22"/>
        </w:rPr>
        <w:t>: Aquella considerada por la presente Ley como reservada o confidencial;</w:t>
      </w:r>
    </w:p>
    <w:p w14:paraId="18C06E26"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 xml:space="preserve">XXI. Información confidencial: </w:t>
      </w:r>
      <w:r w:rsidRPr="00942231">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94E6DCA"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XLV. Versión pública:</w:t>
      </w:r>
      <w:r w:rsidRPr="0094223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0D6AAE3"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06668B67"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Artículo 91.</w:t>
      </w:r>
      <w:r w:rsidRPr="0094223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6FEA617"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lastRenderedPageBreak/>
        <w:t>Artículo 132.</w:t>
      </w:r>
      <w:r w:rsidRPr="00942231">
        <w:rPr>
          <w:rFonts w:ascii="Palatino Linotype" w:eastAsia="Palatino Linotype" w:hAnsi="Palatino Linotype" w:cs="Palatino Linotype"/>
          <w:i/>
          <w:sz w:val="22"/>
          <w:szCs w:val="22"/>
        </w:rPr>
        <w:t xml:space="preserve"> La clasificación de la información se llevará a cabo en el momento en que:</w:t>
      </w:r>
    </w:p>
    <w:p w14:paraId="123698A0"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w:t>
      </w:r>
      <w:r w:rsidRPr="00942231">
        <w:rPr>
          <w:rFonts w:ascii="Palatino Linotype" w:eastAsia="Palatino Linotype" w:hAnsi="Palatino Linotype" w:cs="Palatino Linotype"/>
          <w:i/>
          <w:sz w:val="22"/>
          <w:szCs w:val="22"/>
        </w:rPr>
        <w:t>. Se reciba una solicitud de acceso a la información;</w:t>
      </w:r>
    </w:p>
    <w:p w14:paraId="5389E48D"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II.</w:t>
      </w:r>
      <w:r w:rsidRPr="00942231">
        <w:rPr>
          <w:rFonts w:ascii="Palatino Linotype" w:eastAsia="Palatino Linotype" w:hAnsi="Palatino Linotype" w:cs="Palatino Linotype"/>
          <w:i/>
          <w:sz w:val="22"/>
          <w:szCs w:val="22"/>
        </w:rPr>
        <w:t xml:space="preserve"> Se determine mediante resolución de autoridad competente; o</w:t>
      </w:r>
    </w:p>
    <w:p w14:paraId="6C11D86D"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III.</w:t>
      </w:r>
      <w:r w:rsidRPr="0094223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3A8BA53"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w:t>
      </w:r>
    </w:p>
    <w:p w14:paraId="7B00A4D7"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Artículo 143</w:t>
      </w:r>
      <w:r w:rsidRPr="0094223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2C0D021"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w:t>
      </w:r>
      <w:r w:rsidRPr="0094223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9FD5DEE"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II.</w:t>
      </w:r>
      <w:r w:rsidRPr="00942231">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8092211"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III.</w:t>
      </w:r>
      <w:r w:rsidRPr="00942231">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016CBF45"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3F26C6B"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636211C"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942231">
        <w:rPr>
          <w:rFonts w:ascii="Palatino Linotype" w:eastAsia="Palatino Linotype" w:hAnsi="Palatino Linotype" w:cs="Palatino Linotype"/>
        </w:rPr>
        <w:lastRenderedPageBreak/>
        <w:t>generarán, en su caso, versiones públicas de expedientes o documentos que contengan partes o secciones clasificadas.</w:t>
      </w:r>
    </w:p>
    <w:p w14:paraId="25A1051E"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D4E107D"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“Quincuagésimo sexto</w:t>
      </w:r>
      <w:r w:rsidRPr="00942231">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6DB54EB"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Quincuagésimo séptimo</w:t>
      </w:r>
      <w:r w:rsidRPr="0094223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755761D"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w:t>
      </w:r>
      <w:r w:rsidRPr="0094223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4A11FF6"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II.</w:t>
      </w:r>
      <w:r w:rsidRPr="00942231">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453E9A6" w14:textId="77777777" w:rsidR="00131CFC" w:rsidRPr="00942231" w:rsidRDefault="00212DEF">
      <w:pPr>
        <w:spacing w:before="120" w:after="120"/>
        <w:ind w:left="1134"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III.</w:t>
      </w:r>
      <w:r w:rsidRPr="0094223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2375182"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5F3EB7A6" w14:textId="77777777" w:rsidR="00131CFC" w:rsidRPr="00942231" w:rsidRDefault="00212DEF">
      <w:pPr>
        <w:spacing w:before="120" w:after="120"/>
        <w:ind w:left="851" w:right="902"/>
        <w:jc w:val="both"/>
        <w:rPr>
          <w:rFonts w:ascii="Palatino Linotype" w:eastAsia="Palatino Linotype" w:hAnsi="Palatino Linotype" w:cs="Palatino Linotype"/>
          <w:i/>
          <w:sz w:val="22"/>
          <w:szCs w:val="22"/>
        </w:rPr>
      </w:pPr>
      <w:r w:rsidRPr="00942231">
        <w:rPr>
          <w:rFonts w:ascii="Palatino Linotype" w:eastAsia="Palatino Linotype" w:hAnsi="Palatino Linotype" w:cs="Palatino Linotype"/>
          <w:b/>
          <w:i/>
          <w:sz w:val="22"/>
          <w:szCs w:val="22"/>
        </w:rPr>
        <w:t>Quincuagésimo octavo</w:t>
      </w:r>
      <w:r w:rsidRPr="00942231">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041849D4"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xml:space="preserve"> a testar, suprimir o eliminar datos de dicho soporte documental, ya que no hacerlo, se reitera que lo </w:t>
      </w:r>
      <w:r w:rsidRPr="00942231">
        <w:rPr>
          <w:rFonts w:ascii="Palatino Linotype" w:eastAsia="Palatino Linotype" w:hAnsi="Palatino Linotype" w:cs="Palatino Linotype"/>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D4FA6C"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
        <w:tblW w:w="8828" w:type="dxa"/>
        <w:tblInd w:w="0" w:type="dxa"/>
        <w:tblLayout w:type="fixed"/>
        <w:tblLook w:val="04A0" w:firstRow="1" w:lastRow="0" w:firstColumn="1" w:lastColumn="0" w:noHBand="0" w:noVBand="1"/>
      </w:tblPr>
      <w:tblGrid>
        <w:gridCol w:w="993"/>
        <w:gridCol w:w="3421"/>
        <w:gridCol w:w="968"/>
        <w:gridCol w:w="3446"/>
      </w:tblGrid>
      <w:tr w:rsidR="00577D9A" w:rsidRPr="00942231" w14:paraId="0A01C6C0" w14:textId="77777777" w:rsidTr="001A5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2F97C1C0" w14:textId="77777777" w:rsidR="00131CFC" w:rsidRPr="00942231" w:rsidRDefault="00212DEF">
            <w:pPr>
              <w:jc w:val="center"/>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Parcial</w:t>
            </w:r>
          </w:p>
        </w:tc>
        <w:tc>
          <w:tcPr>
            <w:tcW w:w="4414" w:type="dxa"/>
            <w:gridSpan w:val="2"/>
          </w:tcPr>
          <w:p w14:paraId="6BF0A549" w14:textId="77777777" w:rsidR="00131CFC" w:rsidRPr="00942231" w:rsidRDefault="00212DEF">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Total</w:t>
            </w:r>
          </w:p>
        </w:tc>
      </w:tr>
      <w:tr w:rsidR="00577D9A" w:rsidRPr="00942231" w14:paraId="2027C67A" w14:textId="77777777" w:rsidTr="001A5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1327684" w14:textId="77777777" w:rsidR="00131CFC" w:rsidRPr="00942231" w:rsidRDefault="00212DEF">
            <w:pPr>
              <w:jc w:val="center"/>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Concepto</w:t>
            </w:r>
          </w:p>
        </w:tc>
        <w:tc>
          <w:tcPr>
            <w:tcW w:w="3421" w:type="dxa"/>
          </w:tcPr>
          <w:p w14:paraId="07F9535D" w14:textId="77777777" w:rsidR="00131CFC" w:rsidRPr="00942231" w:rsidRDefault="00212DEF">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Dónde</w:t>
            </w:r>
          </w:p>
        </w:tc>
        <w:tc>
          <w:tcPr>
            <w:tcW w:w="968" w:type="dxa"/>
          </w:tcPr>
          <w:p w14:paraId="02FFCD1D" w14:textId="77777777" w:rsidR="00131CFC" w:rsidRPr="00942231" w:rsidRDefault="00212DEF">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Concepto</w:t>
            </w:r>
          </w:p>
        </w:tc>
        <w:tc>
          <w:tcPr>
            <w:tcW w:w="3446" w:type="dxa"/>
          </w:tcPr>
          <w:p w14:paraId="2A6C849A" w14:textId="77777777" w:rsidR="00131CFC" w:rsidRPr="00942231" w:rsidRDefault="00212DEF">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Dónde</w:t>
            </w:r>
          </w:p>
        </w:tc>
      </w:tr>
      <w:tr w:rsidR="00577D9A" w:rsidRPr="00942231" w14:paraId="68FDEBD7" w14:textId="77777777" w:rsidTr="001A52C3">
        <w:tc>
          <w:tcPr>
            <w:cnfStyle w:val="001000000000" w:firstRow="0" w:lastRow="0" w:firstColumn="1" w:lastColumn="0" w:oddVBand="0" w:evenVBand="0" w:oddHBand="0" w:evenHBand="0" w:firstRowFirstColumn="0" w:firstRowLastColumn="0" w:lastRowFirstColumn="0" w:lastRowLastColumn="0"/>
            <w:tcW w:w="8828" w:type="dxa"/>
            <w:gridSpan w:val="4"/>
          </w:tcPr>
          <w:p w14:paraId="30F603D6" w14:textId="77777777" w:rsidR="00131CFC" w:rsidRPr="00942231" w:rsidRDefault="00212DEF">
            <w:pPr>
              <w:jc w:val="center"/>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Sello oficial o logotipo del sujeto obligado</w:t>
            </w:r>
          </w:p>
        </w:tc>
      </w:tr>
      <w:tr w:rsidR="00577D9A" w:rsidRPr="00942231" w14:paraId="79A66EB9" w14:textId="77777777" w:rsidTr="001A5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04D770C"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Fecha de clasificación</w:t>
            </w:r>
          </w:p>
        </w:tc>
        <w:tc>
          <w:tcPr>
            <w:tcW w:w="3421" w:type="dxa"/>
          </w:tcPr>
          <w:p w14:paraId="66DD0B15"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8FF0B0E"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Fecha de clasificación</w:t>
            </w:r>
          </w:p>
        </w:tc>
        <w:tc>
          <w:tcPr>
            <w:tcW w:w="3446" w:type="dxa"/>
          </w:tcPr>
          <w:p w14:paraId="7B57FD89"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577D9A" w:rsidRPr="00942231" w14:paraId="495363FC" w14:textId="77777777" w:rsidTr="001A52C3">
        <w:tc>
          <w:tcPr>
            <w:cnfStyle w:val="001000000000" w:firstRow="0" w:lastRow="0" w:firstColumn="1" w:lastColumn="0" w:oddVBand="0" w:evenVBand="0" w:oddHBand="0" w:evenHBand="0" w:firstRowFirstColumn="0" w:firstRowLastColumn="0" w:lastRowFirstColumn="0" w:lastRowLastColumn="0"/>
            <w:tcW w:w="993" w:type="dxa"/>
          </w:tcPr>
          <w:p w14:paraId="00F29616"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Área</w:t>
            </w:r>
          </w:p>
        </w:tc>
        <w:tc>
          <w:tcPr>
            <w:tcW w:w="3421" w:type="dxa"/>
          </w:tcPr>
          <w:p w14:paraId="75748C9A"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señalará el nombre del área del cual es titular quien clasifica.</w:t>
            </w:r>
          </w:p>
        </w:tc>
        <w:tc>
          <w:tcPr>
            <w:tcW w:w="968" w:type="dxa"/>
          </w:tcPr>
          <w:p w14:paraId="1342DC25"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Área</w:t>
            </w:r>
          </w:p>
        </w:tc>
        <w:tc>
          <w:tcPr>
            <w:tcW w:w="3446" w:type="dxa"/>
          </w:tcPr>
          <w:p w14:paraId="0704418D"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señalará el nombre del área de la cual es el titular quien clasifica.</w:t>
            </w:r>
          </w:p>
        </w:tc>
      </w:tr>
      <w:tr w:rsidR="00577D9A" w:rsidRPr="00942231" w14:paraId="00ABEED9" w14:textId="77777777" w:rsidTr="001A5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2FA95E"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Información reservada</w:t>
            </w:r>
          </w:p>
        </w:tc>
        <w:tc>
          <w:tcPr>
            <w:tcW w:w="3421" w:type="dxa"/>
          </w:tcPr>
          <w:p w14:paraId="0281476E"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49DF6FE"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Reservado</w:t>
            </w:r>
          </w:p>
        </w:tc>
        <w:tc>
          <w:tcPr>
            <w:tcW w:w="3446" w:type="dxa"/>
          </w:tcPr>
          <w:p w14:paraId="2B193250"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Leyenda de información RESERVADA.</w:t>
            </w:r>
          </w:p>
        </w:tc>
      </w:tr>
      <w:tr w:rsidR="00577D9A" w:rsidRPr="00942231" w14:paraId="5114BBAE" w14:textId="77777777" w:rsidTr="001A52C3">
        <w:tc>
          <w:tcPr>
            <w:cnfStyle w:val="001000000000" w:firstRow="0" w:lastRow="0" w:firstColumn="1" w:lastColumn="0" w:oddVBand="0" w:evenVBand="0" w:oddHBand="0" w:evenHBand="0" w:firstRowFirstColumn="0" w:firstRowLastColumn="0" w:lastRowFirstColumn="0" w:lastRowLastColumn="0"/>
            <w:tcW w:w="993" w:type="dxa"/>
          </w:tcPr>
          <w:p w14:paraId="5EF6AEC1"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Fundamento legal</w:t>
            </w:r>
          </w:p>
        </w:tc>
        <w:tc>
          <w:tcPr>
            <w:tcW w:w="3421" w:type="dxa"/>
          </w:tcPr>
          <w:p w14:paraId="389B1D99"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31CB42B6"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Periodo de reserva</w:t>
            </w:r>
          </w:p>
        </w:tc>
        <w:tc>
          <w:tcPr>
            <w:tcW w:w="3446" w:type="dxa"/>
          </w:tcPr>
          <w:p w14:paraId="5DCB0892"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577D9A" w:rsidRPr="00942231" w14:paraId="073A7D57" w14:textId="77777777" w:rsidTr="001A5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370D89B"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Ampliación del periodo de reserva</w:t>
            </w:r>
          </w:p>
        </w:tc>
        <w:tc>
          <w:tcPr>
            <w:tcW w:w="3421" w:type="dxa"/>
          </w:tcPr>
          <w:p w14:paraId="3B327658"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9F2E51D"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Fundamento legal</w:t>
            </w:r>
          </w:p>
        </w:tc>
        <w:tc>
          <w:tcPr>
            <w:tcW w:w="3446" w:type="dxa"/>
          </w:tcPr>
          <w:p w14:paraId="164C4688"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577D9A" w:rsidRPr="00942231" w14:paraId="70B1C127" w14:textId="77777777" w:rsidTr="001A52C3">
        <w:tc>
          <w:tcPr>
            <w:cnfStyle w:val="001000000000" w:firstRow="0" w:lastRow="0" w:firstColumn="1" w:lastColumn="0" w:oddVBand="0" w:evenVBand="0" w:oddHBand="0" w:evenHBand="0" w:firstRowFirstColumn="0" w:firstRowLastColumn="0" w:lastRowFirstColumn="0" w:lastRowLastColumn="0"/>
            <w:tcW w:w="993" w:type="dxa"/>
          </w:tcPr>
          <w:p w14:paraId="69E73357"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Confidencial</w:t>
            </w:r>
          </w:p>
        </w:tc>
        <w:tc>
          <w:tcPr>
            <w:tcW w:w="3421" w:type="dxa"/>
          </w:tcPr>
          <w:p w14:paraId="65A98E68"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4C92B03"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Ampliación del periodo de reserva</w:t>
            </w:r>
          </w:p>
        </w:tc>
        <w:tc>
          <w:tcPr>
            <w:tcW w:w="3446" w:type="dxa"/>
          </w:tcPr>
          <w:p w14:paraId="2483D5E7"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577D9A" w:rsidRPr="00942231" w14:paraId="3ECD5F0B" w14:textId="77777777" w:rsidTr="001A5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E4BE4E2"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Fundamento legal</w:t>
            </w:r>
          </w:p>
        </w:tc>
        <w:tc>
          <w:tcPr>
            <w:tcW w:w="3421" w:type="dxa"/>
          </w:tcPr>
          <w:p w14:paraId="7098ABB5"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2C003777"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Confidencial</w:t>
            </w:r>
          </w:p>
        </w:tc>
        <w:tc>
          <w:tcPr>
            <w:tcW w:w="3446" w:type="dxa"/>
          </w:tcPr>
          <w:p w14:paraId="1F5C9BB0"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Leyenda de información CONFIDENCIAL.</w:t>
            </w:r>
          </w:p>
        </w:tc>
      </w:tr>
      <w:tr w:rsidR="00577D9A" w:rsidRPr="00942231" w14:paraId="69D82658" w14:textId="77777777" w:rsidTr="001A52C3">
        <w:tc>
          <w:tcPr>
            <w:cnfStyle w:val="001000000000" w:firstRow="0" w:lastRow="0" w:firstColumn="1" w:lastColumn="0" w:oddVBand="0" w:evenVBand="0" w:oddHBand="0" w:evenHBand="0" w:firstRowFirstColumn="0" w:firstRowLastColumn="0" w:lastRowFirstColumn="0" w:lastRowLastColumn="0"/>
            <w:tcW w:w="993" w:type="dxa"/>
          </w:tcPr>
          <w:p w14:paraId="67C3F3FF"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Rúbrica del titular del área</w:t>
            </w:r>
          </w:p>
        </w:tc>
        <w:tc>
          <w:tcPr>
            <w:tcW w:w="3421" w:type="dxa"/>
          </w:tcPr>
          <w:p w14:paraId="63747705"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Rúbrica autógrafa de quien clasifica.</w:t>
            </w:r>
          </w:p>
        </w:tc>
        <w:tc>
          <w:tcPr>
            <w:tcW w:w="968" w:type="dxa"/>
          </w:tcPr>
          <w:p w14:paraId="0606DE8D"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Fundamento legal</w:t>
            </w:r>
          </w:p>
        </w:tc>
        <w:tc>
          <w:tcPr>
            <w:tcW w:w="3446" w:type="dxa"/>
          </w:tcPr>
          <w:p w14:paraId="509471A2"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577D9A" w:rsidRPr="00942231" w14:paraId="6434A11C" w14:textId="77777777" w:rsidTr="001A5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443FDA6"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Fecha de desclasificación</w:t>
            </w:r>
          </w:p>
        </w:tc>
        <w:tc>
          <w:tcPr>
            <w:tcW w:w="3421" w:type="dxa"/>
          </w:tcPr>
          <w:p w14:paraId="5F66908F"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anotará la fecha en que se desclasifica el documento.</w:t>
            </w:r>
          </w:p>
        </w:tc>
        <w:tc>
          <w:tcPr>
            <w:tcW w:w="968" w:type="dxa"/>
          </w:tcPr>
          <w:p w14:paraId="7CC4B42F"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Rúbrica del titular del área</w:t>
            </w:r>
          </w:p>
        </w:tc>
        <w:tc>
          <w:tcPr>
            <w:tcW w:w="3446" w:type="dxa"/>
          </w:tcPr>
          <w:p w14:paraId="2141610B"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Rúbrica autógrafa de quien clasifica.</w:t>
            </w:r>
          </w:p>
        </w:tc>
      </w:tr>
      <w:tr w:rsidR="00577D9A" w:rsidRPr="00942231" w14:paraId="68833BBD" w14:textId="77777777" w:rsidTr="001A52C3">
        <w:tc>
          <w:tcPr>
            <w:cnfStyle w:val="001000000000" w:firstRow="0" w:lastRow="0" w:firstColumn="1" w:lastColumn="0" w:oddVBand="0" w:evenVBand="0" w:oddHBand="0" w:evenHBand="0" w:firstRowFirstColumn="0" w:firstRowLastColumn="0" w:lastRowFirstColumn="0" w:lastRowLastColumn="0"/>
            <w:tcW w:w="993" w:type="dxa"/>
          </w:tcPr>
          <w:p w14:paraId="52159F44" w14:textId="77777777" w:rsidR="00131CFC" w:rsidRPr="00942231" w:rsidRDefault="00212DEF">
            <w:pPr>
              <w:jc w:val="both"/>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Rúbrica y cargo del servidor público</w:t>
            </w:r>
          </w:p>
        </w:tc>
        <w:tc>
          <w:tcPr>
            <w:tcW w:w="3421" w:type="dxa"/>
          </w:tcPr>
          <w:p w14:paraId="228BC35B"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Rúbrica autógrafa de quien desclasifica.</w:t>
            </w:r>
          </w:p>
        </w:tc>
        <w:tc>
          <w:tcPr>
            <w:tcW w:w="968" w:type="dxa"/>
          </w:tcPr>
          <w:p w14:paraId="66D230C1"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Fecha de desclasificación</w:t>
            </w:r>
          </w:p>
        </w:tc>
        <w:tc>
          <w:tcPr>
            <w:tcW w:w="3446" w:type="dxa"/>
          </w:tcPr>
          <w:p w14:paraId="28A54CE2"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Se anotará la fecha en que se desclasifica.</w:t>
            </w:r>
          </w:p>
        </w:tc>
      </w:tr>
      <w:tr w:rsidR="00577D9A" w:rsidRPr="00942231" w14:paraId="765D3C56" w14:textId="77777777" w:rsidTr="001A5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D97A000" w14:textId="77777777" w:rsidR="00131CFC" w:rsidRPr="00942231" w:rsidRDefault="00131CFC">
            <w:pPr>
              <w:jc w:val="both"/>
              <w:rPr>
                <w:rFonts w:ascii="Palatino Linotype" w:eastAsia="Palatino Linotype" w:hAnsi="Palatino Linotype" w:cs="Palatino Linotype"/>
                <w:sz w:val="12"/>
                <w:szCs w:val="12"/>
              </w:rPr>
            </w:pPr>
          </w:p>
        </w:tc>
        <w:tc>
          <w:tcPr>
            <w:tcW w:w="3421" w:type="dxa"/>
          </w:tcPr>
          <w:p w14:paraId="0CE1C76A" w14:textId="77777777" w:rsidR="00131CFC" w:rsidRPr="00942231" w:rsidRDefault="00131CF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4CABF5D0"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Partes o secciones reservadas o confidenciales</w:t>
            </w:r>
          </w:p>
        </w:tc>
        <w:tc>
          <w:tcPr>
            <w:tcW w:w="3446" w:type="dxa"/>
          </w:tcPr>
          <w:p w14:paraId="7C021143" w14:textId="77777777" w:rsidR="00131CFC" w:rsidRPr="00942231" w:rsidRDefault="00212DE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 xml:space="preserve">En caso que una vez desclasificado el expediente, </w:t>
            </w:r>
            <w:proofErr w:type="spellStart"/>
            <w:r w:rsidRPr="00942231">
              <w:rPr>
                <w:rFonts w:ascii="Palatino Linotype" w:eastAsia="Palatino Linotype" w:hAnsi="Palatino Linotype" w:cs="Palatino Linotype"/>
                <w:sz w:val="12"/>
                <w:szCs w:val="12"/>
              </w:rPr>
              <w:t>subsistanpartes</w:t>
            </w:r>
            <w:proofErr w:type="spellEnd"/>
            <w:r w:rsidRPr="00942231">
              <w:rPr>
                <w:rFonts w:ascii="Palatino Linotype" w:eastAsia="Palatino Linotype" w:hAnsi="Palatino Linotype" w:cs="Palatino Linotype"/>
                <w:sz w:val="12"/>
                <w:szCs w:val="12"/>
              </w:rPr>
              <w:t xml:space="preserve"> o secciones del mismo reservadas o confidenciales, se señalará este hecho.</w:t>
            </w:r>
          </w:p>
        </w:tc>
      </w:tr>
      <w:tr w:rsidR="00577D9A" w:rsidRPr="00942231" w14:paraId="03B0C02B" w14:textId="77777777" w:rsidTr="001A52C3">
        <w:tc>
          <w:tcPr>
            <w:cnfStyle w:val="001000000000" w:firstRow="0" w:lastRow="0" w:firstColumn="1" w:lastColumn="0" w:oddVBand="0" w:evenVBand="0" w:oddHBand="0" w:evenHBand="0" w:firstRowFirstColumn="0" w:firstRowLastColumn="0" w:lastRowFirstColumn="0" w:lastRowLastColumn="0"/>
            <w:tcW w:w="993" w:type="dxa"/>
          </w:tcPr>
          <w:p w14:paraId="71E098F7" w14:textId="77777777" w:rsidR="00131CFC" w:rsidRPr="00942231" w:rsidRDefault="00131CFC">
            <w:pPr>
              <w:jc w:val="both"/>
              <w:rPr>
                <w:rFonts w:ascii="Palatino Linotype" w:eastAsia="Palatino Linotype" w:hAnsi="Palatino Linotype" w:cs="Palatino Linotype"/>
                <w:sz w:val="12"/>
                <w:szCs w:val="12"/>
              </w:rPr>
            </w:pPr>
          </w:p>
        </w:tc>
        <w:tc>
          <w:tcPr>
            <w:tcW w:w="3421" w:type="dxa"/>
          </w:tcPr>
          <w:p w14:paraId="505920F5" w14:textId="77777777" w:rsidR="00131CFC" w:rsidRPr="00942231" w:rsidRDefault="00131CF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06524022"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42231">
              <w:rPr>
                <w:rFonts w:ascii="Palatino Linotype" w:eastAsia="Palatino Linotype" w:hAnsi="Palatino Linotype" w:cs="Palatino Linotype"/>
                <w:b/>
                <w:sz w:val="12"/>
                <w:szCs w:val="12"/>
              </w:rPr>
              <w:t>Rúbrica y cargo del servidor público</w:t>
            </w:r>
          </w:p>
        </w:tc>
        <w:tc>
          <w:tcPr>
            <w:tcW w:w="3446" w:type="dxa"/>
          </w:tcPr>
          <w:p w14:paraId="1C7305C3" w14:textId="77777777" w:rsidR="00131CFC" w:rsidRPr="00942231" w:rsidRDefault="00212DE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42231">
              <w:rPr>
                <w:rFonts w:ascii="Palatino Linotype" w:eastAsia="Palatino Linotype" w:hAnsi="Palatino Linotype" w:cs="Palatino Linotype"/>
                <w:sz w:val="12"/>
                <w:szCs w:val="12"/>
              </w:rPr>
              <w:t>Rúbrica autógrafa de quien desclasifica.</w:t>
            </w:r>
          </w:p>
        </w:tc>
      </w:tr>
    </w:tbl>
    <w:p w14:paraId="2EC8D92F" w14:textId="77777777" w:rsidR="00131CFC" w:rsidRPr="00942231" w:rsidRDefault="00131CFC"/>
    <w:p w14:paraId="6A40B650" w14:textId="77777777" w:rsidR="00131CFC" w:rsidRPr="00942231" w:rsidRDefault="00212DE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F9F1DE3" w14:textId="77777777" w:rsidR="00131CFC" w:rsidRPr="00942231" w:rsidRDefault="00212DE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42231">
        <w:rPr>
          <w:rFonts w:ascii="Palatino Linotype" w:eastAsia="Palatino Linotype" w:hAnsi="Palatino Linotype" w:cs="Palatino Linotype"/>
          <w:b/>
        </w:rPr>
        <w:t>III. R E S U E L V E</w:t>
      </w:r>
    </w:p>
    <w:p w14:paraId="264A6CDA" w14:textId="77777777" w:rsidR="00131CFC" w:rsidRPr="00942231" w:rsidRDefault="00212DEF">
      <w:pPr>
        <w:spacing w:before="240" w:after="240" w:line="360" w:lineRule="auto"/>
        <w:jc w:val="both"/>
        <w:rPr>
          <w:rFonts w:ascii="Palatino Linotype" w:eastAsia="Palatino Linotype" w:hAnsi="Palatino Linotype" w:cs="Palatino Linotype"/>
          <w:b/>
        </w:rPr>
      </w:pPr>
      <w:bookmarkStart w:id="6" w:name="_heading=h.1fob9te" w:colFirst="0" w:colLast="0"/>
      <w:bookmarkEnd w:id="6"/>
      <w:r w:rsidRPr="00942231">
        <w:rPr>
          <w:rFonts w:ascii="Palatino Linotype" w:eastAsia="Palatino Linotype" w:hAnsi="Palatino Linotype" w:cs="Palatino Linotype"/>
          <w:b/>
        </w:rPr>
        <w:t xml:space="preserve">Primero. </w:t>
      </w:r>
      <w:r w:rsidRPr="00942231">
        <w:rPr>
          <w:rFonts w:ascii="Palatino Linotype" w:eastAsia="Palatino Linotype" w:hAnsi="Palatino Linotype" w:cs="Palatino Linotype"/>
        </w:rPr>
        <w:t>Resultan</w:t>
      </w:r>
      <w:r w:rsidRPr="00942231">
        <w:rPr>
          <w:rFonts w:ascii="Palatino Linotype" w:eastAsia="Palatino Linotype" w:hAnsi="Palatino Linotype" w:cs="Palatino Linotype"/>
          <w:b/>
        </w:rPr>
        <w:t xml:space="preserve"> fundados</w:t>
      </w:r>
      <w:r w:rsidRPr="00942231">
        <w:rPr>
          <w:rFonts w:ascii="Palatino Linotype" w:eastAsia="Palatino Linotype" w:hAnsi="Palatino Linotype" w:cs="Palatino Linotype"/>
        </w:rPr>
        <w:t xml:space="preserve"> los motivos de inconformidad hechos valer por la parte </w:t>
      </w:r>
      <w:r w:rsidRPr="00942231">
        <w:rPr>
          <w:rFonts w:ascii="Palatino Linotype" w:eastAsia="Palatino Linotype" w:hAnsi="Palatino Linotype" w:cs="Palatino Linotype"/>
          <w:b/>
        </w:rPr>
        <w:t xml:space="preserve">Recurrente </w:t>
      </w:r>
      <w:r w:rsidRPr="00942231">
        <w:rPr>
          <w:rFonts w:ascii="Palatino Linotype" w:eastAsia="Palatino Linotype" w:hAnsi="Palatino Linotype" w:cs="Palatino Linotype"/>
        </w:rPr>
        <w:t xml:space="preserve">en el recurso de revisión </w:t>
      </w:r>
      <w:r w:rsidRPr="00942231">
        <w:rPr>
          <w:rFonts w:ascii="Palatino Linotype" w:eastAsia="Palatino Linotype" w:hAnsi="Palatino Linotype" w:cs="Palatino Linotype"/>
          <w:b/>
        </w:rPr>
        <w:t xml:space="preserve">12369/INFOEM/IP/RR/2022, </w:t>
      </w:r>
      <w:r w:rsidRPr="00942231">
        <w:rPr>
          <w:rFonts w:ascii="Palatino Linotype" w:eastAsia="Palatino Linotype" w:hAnsi="Palatino Linotype" w:cs="Palatino Linotype"/>
        </w:rPr>
        <w:t xml:space="preserve">por lo que, en términos del Considerando </w:t>
      </w:r>
      <w:r w:rsidRPr="00942231">
        <w:rPr>
          <w:rFonts w:ascii="Palatino Linotype" w:eastAsia="Palatino Linotype" w:hAnsi="Palatino Linotype" w:cs="Palatino Linotype"/>
          <w:b/>
        </w:rPr>
        <w:t>Cuarto</w:t>
      </w:r>
      <w:r w:rsidRPr="00942231">
        <w:rPr>
          <w:rFonts w:ascii="Palatino Linotype" w:eastAsia="Palatino Linotype" w:hAnsi="Palatino Linotype" w:cs="Palatino Linotype"/>
        </w:rPr>
        <w:t xml:space="preserve"> de la presente resolución, se</w:t>
      </w:r>
      <w:r w:rsidRPr="00942231">
        <w:rPr>
          <w:rFonts w:ascii="Palatino Linotype" w:eastAsia="Palatino Linotype" w:hAnsi="Palatino Linotype" w:cs="Palatino Linotype"/>
          <w:b/>
        </w:rPr>
        <w:t xml:space="preserve"> Revoca </w:t>
      </w:r>
      <w:r w:rsidRPr="00942231">
        <w:rPr>
          <w:rFonts w:ascii="Palatino Linotype" w:eastAsia="Palatino Linotype" w:hAnsi="Palatino Linotype" w:cs="Palatino Linotype"/>
        </w:rPr>
        <w:t>la respuesta</w:t>
      </w:r>
      <w:r w:rsidRPr="00942231">
        <w:rPr>
          <w:rFonts w:ascii="Palatino Linotype" w:eastAsia="Palatino Linotype" w:hAnsi="Palatino Linotype" w:cs="Palatino Linotype"/>
          <w:b/>
        </w:rPr>
        <w:t xml:space="preserve"> </w:t>
      </w:r>
      <w:r w:rsidRPr="00942231">
        <w:rPr>
          <w:rFonts w:ascii="Palatino Linotype" w:eastAsia="Palatino Linotype" w:hAnsi="Palatino Linotype" w:cs="Palatino Linotype"/>
        </w:rPr>
        <w:t xml:space="preserve">del </w:t>
      </w:r>
      <w:r w:rsidRPr="00942231">
        <w:rPr>
          <w:rFonts w:ascii="Palatino Linotype" w:eastAsia="Palatino Linotype" w:hAnsi="Palatino Linotype" w:cs="Palatino Linotype"/>
          <w:b/>
        </w:rPr>
        <w:t>Sujeto Obligado.</w:t>
      </w:r>
    </w:p>
    <w:p w14:paraId="103EA371" w14:textId="77777777" w:rsidR="00131CFC" w:rsidRPr="00942231" w:rsidRDefault="00212DEF">
      <w:pPr>
        <w:spacing w:before="240" w:after="240" w:line="360" w:lineRule="auto"/>
        <w:jc w:val="both"/>
        <w:rPr>
          <w:rFonts w:ascii="Palatino Linotype" w:eastAsia="Palatino Linotype" w:hAnsi="Palatino Linotype" w:cs="Palatino Linotype"/>
        </w:rPr>
      </w:pPr>
      <w:bookmarkStart w:id="7" w:name="_heading=h.kelgs2428oa6" w:colFirst="0" w:colLast="0"/>
      <w:bookmarkEnd w:id="7"/>
      <w:r w:rsidRPr="00942231">
        <w:rPr>
          <w:rFonts w:ascii="Palatino Linotype" w:eastAsia="Palatino Linotype" w:hAnsi="Palatino Linotype" w:cs="Palatino Linotype"/>
          <w:b/>
        </w:rPr>
        <w:t xml:space="preserve">Segundo. </w:t>
      </w:r>
      <w:r w:rsidRPr="00942231">
        <w:rPr>
          <w:rFonts w:ascii="Palatino Linotype" w:eastAsia="Palatino Linotype" w:hAnsi="Palatino Linotype" w:cs="Palatino Linotype"/>
        </w:rPr>
        <w:t xml:space="preserve">Se </w:t>
      </w:r>
      <w:r w:rsidRPr="00942231">
        <w:rPr>
          <w:rFonts w:ascii="Palatino Linotype" w:eastAsia="Palatino Linotype" w:hAnsi="Palatino Linotype" w:cs="Palatino Linotype"/>
          <w:b/>
        </w:rPr>
        <w:t>Ordena</w:t>
      </w:r>
      <w:r w:rsidRPr="00942231">
        <w:rPr>
          <w:rFonts w:ascii="Palatino Linotype" w:eastAsia="Palatino Linotype" w:hAnsi="Palatino Linotype" w:cs="Palatino Linotype"/>
        </w:rPr>
        <w:t xml:space="preserve"> al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xml:space="preserve">, en términos de los Considerandos </w:t>
      </w:r>
      <w:r w:rsidRPr="00942231">
        <w:rPr>
          <w:rFonts w:ascii="Palatino Linotype" w:eastAsia="Palatino Linotype" w:hAnsi="Palatino Linotype" w:cs="Palatino Linotype"/>
          <w:b/>
        </w:rPr>
        <w:t xml:space="preserve">Cuarto </w:t>
      </w:r>
      <w:r w:rsidRPr="00942231">
        <w:rPr>
          <w:rFonts w:ascii="Palatino Linotype" w:eastAsia="Palatino Linotype" w:hAnsi="Palatino Linotype" w:cs="Palatino Linotype"/>
        </w:rPr>
        <w:t xml:space="preserve">y </w:t>
      </w:r>
      <w:r w:rsidRPr="00942231">
        <w:rPr>
          <w:rFonts w:ascii="Palatino Linotype" w:eastAsia="Palatino Linotype" w:hAnsi="Palatino Linotype" w:cs="Palatino Linotype"/>
          <w:b/>
        </w:rPr>
        <w:t xml:space="preserve">Quinto </w:t>
      </w:r>
      <w:r w:rsidRPr="00942231">
        <w:rPr>
          <w:rFonts w:ascii="Palatino Linotype" w:eastAsia="Palatino Linotype" w:hAnsi="Palatino Linotype" w:cs="Palatino Linotype"/>
        </w:rPr>
        <w:t xml:space="preserve">de esta resolución, previa búsqueda exhaustiva y razonable, haga entrega, vía </w:t>
      </w:r>
      <w:r w:rsidRPr="00942231">
        <w:rPr>
          <w:rFonts w:ascii="Palatino Linotype" w:eastAsia="Palatino Linotype" w:hAnsi="Palatino Linotype" w:cs="Palatino Linotype"/>
          <w:b/>
        </w:rPr>
        <w:t xml:space="preserve">SAIMEX, </w:t>
      </w:r>
      <w:r w:rsidRPr="00942231">
        <w:rPr>
          <w:rFonts w:ascii="Palatino Linotype" w:eastAsia="Palatino Linotype" w:hAnsi="Palatino Linotype" w:cs="Palatino Linotype"/>
        </w:rPr>
        <w:t>en versión pública de ser necesario, del soporte documental en el que conste lo siguiente:</w:t>
      </w:r>
    </w:p>
    <w:p w14:paraId="4E10DB06" w14:textId="2057A5EA" w:rsidR="00131CFC" w:rsidRPr="00942231" w:rsidRDefault="00212DEF" w:rsidP="00577D9A">
      <w:pPr>
        <w:spacing w:before="240" w:after="240" w:line="276" w:lineRule="auto"/>
        <w:ind w:left="284"/>
        <w:jc w:val="both"/>
        <w:rPr>
          <w:rFonts w:ascii="Palatino Linotype" w:eastAsia="Palatino Linotype" w:hAnsi="Palatino Linotype" w:cs="Palatino Linotype"/>
        </w:rPr>
      </w:pPr>
      <w:r w:rsidRPr="00942231">
        <w:rPr>
          <w:rFonts w:ascii="Palatino Linotype" w:eastAsia="Palatino Linotype" w:hAnsi="Palatino Linotype" w:cs="Palatino Linotype"/>
        </w:rPr>
        <w:t>1. Total de ingresos recaudados por concepto de derechos, que hubieran sido cubiertos por los concesionarios del servicio público auxiliar de depósito y guarda vehicular, durante los ejercicios 2019, 2020, 2021, y del uno de enero al trece de junio de 2022.</w:t>
      </w:r>
    </w:p>
    <w:p w14:paraId="77AF5F20" w14:textId="77777777" w:rsidR="00131CFC" w:rsidRPr="00942231" w:rsidRDefault="00212DEF" w:rsidP="00577D9A">
      <w:pPr>
        <w:ind w:left="284"/>
        <w:jc w:val="both"/>
        <w:rPr>
          <w:rFonts w:ascii="Palatino Linotype" w:eastAsia="Palatino Linotype" w:hAnsi="Palatino Linotype" w:cs="Palatino Linotype"/>
          <w:b/>
          <w:i/>
          <w:sz w:val="20"/>
          <w:szCs w:val="20"/>
        </w:rPr>
      </w:pPr>
      <w:r w:rsidRPr="00942231">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942231">
        <w:rPr>
          <w:rFonts w:ascii="Palatino Linotype" w:eastAsia="Palatino Linotype" w:hAnsi="Palatino Linotype" w:cs="Palatino Linotype"/>
          <w:b/>
          <w:i/>
          <w:sz w:val="20"/>
          <w:szCs w:val="20"/>
        </w:rPr>
        <w:t>Recurrente.</w:t>
      </w:r>
    </w:p>
    <w:p w14:paraId="1DE148B0" w14:textId="77777777" w:rsidR="00131CFC" w:rsidRPr="00942231" w:rsidRDefault="00212DEF">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942231">
        <w:rPr>
          <w:rFonts w:ascii="Palatino Linotype" w:eastAsia="Palatino Linotype" w:hAnsi="Palatino Linotype" w:cs="Palatino Linotype"/>
          <w:b/>
        </w:rPr>
        <w:t xml:space="preserve">Tercero. Notifíquese, </w:t>
      </w:r>
      <w:r w:rsidRPr="00942231">
        <w:rPr>
          <w:rFonts w:ascii="Palatino Linotype" w:eastAsia="Palatino Linotype" w:hAnsi="Palatino Linotype" w:cs="Palatino Linotype"/>
        </w:rPr>
        <w:t>vía</w:t>
      </w:r>
      <w:r w:rsidRPr="00942231">
        <w:rPr>
          <w:rFonts w:ascii="Palatino Linotype" w:eastAsia="Palatino Linotype" w:hAnsi="Palatino Linotype" w:cs="Palatino Linotype"/>
          <w:b/>
        </w:rPr>
        <w:t xml:space="preserve"> SAIMEX, </w:t>
      </w:r>
      <w:r w:rsidRPr="00942231">
        <w:rPr>
          <w:rFonts w:ascii="Palatino Linotype" w:eastAsia="Palatino Linotype" w:hAnsi="Palatino Linotype" w:cs="Palatino Linotype"/>
        </w:rPr>
        <w:t xml:space="preserve">al Responsable de la Unidad de Transparencia del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xml:space="preserve"> la presente resolución, para que conforme a los artículos 186, </w:t>
      </w:r>
      <w:r w:rsidRPr="00942231">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942231">
        <w:rPr>
          <w:rFonts w:ascii="Palatino Linotype" w:eastAsia="Palatino Linotype" w:hAnsi="Palatino Linotype" w:cs="Palatino Linotype"/>
          <w:b/>
        </w:rPr>
        <w:t>.</w:t>
      </w:r>
    </w:p>
    <w:p w14:paraId="66AE375D" w14:textId="77777777" w:rsidR="00131CFC" w:rsidRPr="00942231" w:rsidRDefault="00212DEF">
      <w:pPr>
        <w:spacing w:before="240" w:after="240"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42231">
        <w:rPr>
          <w:rFonts w:ascii="Palatino Linotype" w:eastAsia="Palatino Linotype" w:hAnsi="Palatino Linotype" w:cs="Palatino Linotype"/>
          <w:b/>
        </w:rPr>
        <w:t>Sujeto Obligado</w:t>
      </w:r>
      <w:r w:rsidRPr="00942231">
        <w:rPr>
          <w:rFonts w:ascii="Palatino Linotype" w:eastAsia="Palatino Linotype" w:hAnsi="Palatino Linotype" w:cs="Palatino Linotype"/>
        </w:rPr>
        <w:t xml:space="preserve"> de manera fundada y motivada, podrá solicitar una ampliación de plazo para el cumplimiento de la presente resolución.</w:t>
      </w:r>
    </w:p>
    <w:p w14:paraId="448EEA2A" w14:textId="77777777" w:rsidR="00131CFC" w:rsidRPr="00942231" w:rsidRDefault="00212DEF">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942231">
        <w:rPr>
          <w:rFonts w:ascii="Palatino Linotype" w:eastAsia="Palatino Linotype" w:hAnsi="Palatino Linotype" w:cs="Palatino Linotype"/>
          <w:b/>
        </w:rPr>
        <w:t xml:space="preserve">Cuarto.  Notifíquese, </w:t>
      </w:r>
      <w:r w:rsidRPr="00942231">
        <w:rPr>
          <w:rFonts w:ascii="Palatino Linotype" w:eastAsia="Palatino Linotype" w:hAnsi="Palatino Linotype" w:cs="Palatino Linotype"/>
        </w:rPr>
        <w:t xml:space="preserve">vía </w:t>
      </w:r>
      <w:r w:rsidRPr="00942231">
        <w:rPr>
          <w:rFonts w:ascii="Palatino Linotype" w:eastAsia="Palatino Linotype" w:hAnsi="Palatino Linotype" w:cs="Palatino Linotype"/>
          <w:b/>
        </w:rPr>
        <w:t>SAIMEX</w:t>
      </w:r>
      <w:r w:rsidRPr="00942231">
        <w:rPr>
          <w:rFonts w:ascii="Palatino Linotype" w:eastAsia="Palatino Linotype" w:hAnsi="Palatino Linotype" w:cs="Palatino Linotype"/>
        </w:rPr>
        <w:t xml:space="preserve">, a la parte </w:t>
      </w:r>
      <w:r w:rsidRPr="00942231">
        <w:rPr>
          <w:rFonts w:ascii="Palatino Linotype" w:eastAsia="Palatino Linotype" w:hAnsi="Palatino Linotype" w:cs="Palatino Linotype"/>
          <w:b/>
        </w:rPr>
        <w:t>Recurrente</w:t>
      </w:r>
      <w:r w:rsidRPr="0094223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9BA1F01" w14:textId="438C450F" w:rsidR="00131CFC" w:rsidRPr="00942231" w:rsidRDefault="00212DEF">
      <w:pPr>
        <w:spacing w:line="360" w:lineRule="auto"/>
        <w:jc w:val="both"/>
        <w:rPr>
          <w:rFonts w:ascii="Palatino Linotype" w:eastAsia="Palatino Linotype" w:hAnsi="Palatino Linotype" w:cs="Palatino Linotype"/>
        </w:rPr>
      </w:pPr>
      <w:r w:rsidRPr="0094223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77D9A" w:rsidRPr="00942231">
        <w:rPr>
          <w:rFonts w:ascii="Palatino Linotype" w:eastAsia="Palatino Linotype" w:hAnsi="Palatino Linotype" w:cs="Palatino Linotype"/>
        </w:rPr>
        <w:t xml:space="preserve"> </w:t>
      </w:r>
      <w:r w:rsidRPr="00942231">
        <w:rPr>
          <w:rFonts w:ascii="Palatino Linotype" w:eastAsia="Palatino Linotype" w:hAnsi="Palatino Linotype" w:cs="Palatino Linotype"/>
        </w:rPr>
        <w:t>LUIS GUSTAVO PARRA NORIEGA</w:t>
      </w:r>
      <w:r w:rsidR="00B916A0" w:rsidRPr="00942231">
        <w:rPr>
          <w:rFonts w:ascii="Palatino Linotype" w:eastAsia="Palatino Linotype" w:hAnsi="Palatino Linotype" w:cs="Palatino Linotype"/>
        </w:rPr>
        <w:t xml:space="preserve"> Y GUADALUPE RAMIREZ PEÑA</w:t>
      </w:r>
      <w:r w:rsidRPr="00942231">
        <w:rPr>
          <w:rFonts w:ascii="Palatino Linotype" w:eastAsia="Palatino Linotype" w:hAnsi="Palatino Linotype" w:cs="Palatino Linotype"/>
        </w:rPr>
        <w:t xml:space="preserve">, EN LA </w:t>
      </w:r>
      <w:r w:rsidR="005C0569" w:rsidRPr="00942231">
        <w:rPr>
          <w:rFonts w:ascii="Palatino Linotype" w:eastAsia="Palatino Linotype" w:hAnsi="Palatino Linotype" w:cs="Palatino Linotype"/>
        </w:rPr>
        <w:t>SEGUNDA</w:t>
      </w:r>
      <w:r w:rsidRPr="00942231">
        <w:rPr>
          <w:rFonts w:ascii="Palatino Linotype" w:eastAsia="Palatino Linotype" w:hAnsi="Palatino Linotype" w:cs="Palatino Linotype"/>
        </w:rPr>
        <w:t xml:space="preserve"> SESIÓN ORDINARIA CELEBRADA EL </w:t>
      </w:r>
      <w:r w:rsidR="005C0569" w:rsidRPr="00942231">
        <w:rPr>
          <w:rFonts w:ascii="Palatino Linotype" w:eastAsia="Palatino Linotype" w:hAnsi="Palatino Linotype" w:cs="Palatino Linotype"/>
        </w:rPr>
        <w:t>DIECIOCHO</w:t>
      </w:r>
      <w:r w:rsidRPr="00942231">
        <w:rPr>
          <w:rFonts w:ascii="Palatino Linotype" w:eastAsia="Palatino Linotype" w:hAnsi="Palatino Linotype" w:cs="Palatino Linotype"/>
        </w:rPr>
        <w:t xml:space="preserve"> DE ENERO DE DOS MIL VEINTI</w:t>
      </w:r>
      <w:r w:rsidR="001A52C3" w:rsidRPr="00942231">
        <w:rPr>
          <w:rFonts w:ascii="Palatino Linotype" w:eastAsia="Palatino Linotype" w:hAnsi="Palatino Linotype" w:cs="Palatino Linotype"/>
        </w:rPr>
        <w:t>TRÉS</w:t>
      </w:r>
      <w:r w:rsidRPr="00942231">
        <w:rPr>
          <w:rFonts w:ascii="Palatino Linotype" w:eastAsia="Palatino Linotype" w:hAnsi="Palatino Linotype" w:cs="Palatino Linotype"/>
        </w:rPr>
        <w:t>, ANTE EL SECRETARIO TÉCNICO DEL PLENO ALEXIS TAPIA RAMÍREZ.</w:t>
      </w:r>
    </w:p>
    <w:p w14:paraId="344449B9" w14:textId="77777777" w:rsidR="00131CFC" w:rsidRPr="00942231" w:rsidRDefault="00131CFC">
      <w:pPr>
        <w:spacing w:line="360" w:lineRule="auto"/>
        <w:jc w:val="both"/>
        <w:rPr>
          <w:rFonts w:ascii="Palatino Linotype" w:eastAsia="Palatino Linotype" w:hAnsi="Palatino Linotype" w:cs="Palatino Linotype"/>
        </w:rPr>
      </w:pPr>
      <w:bookmarkStart w:id="10" w:name="_heading=h.3rdcrjn" w:colFirst="0" w:colLast="0"/>
      <w:bookmarkEnd w:id="10"/>
    </w:p>
    <w:p w14:paraId="3ACD0850" w14:textId="77777777" w:rsidR="00131CFC" w:rsidRPr="00942231" w:rsidRDefault="00131CFC">
      <w:pPr>
        <w:spacing w:line="360" w:lineRule="auto"/>
        <w:jc w:val="both"/>
        <w:rPr>
          <w:rFonts w:ascii="Palatino Linotype" w:eastAsia="Palatino Linotype" w:hAnsi="Palatino Linotype" w:cs="Palatino Linotype"/>
        </w:rPr>
      </w:pPr>
    </w:p>
    <w:p w14:paraId="66C4B130" w14:textId="77777777" w:rsidR="00131CFC" w:rsidRPr="00942231" w:rsidRDefault="00131CFC">
      <w:pPr>
        <w:spacing w:line="360" w:lineRule="auto"/>
        <w:jc w:val="both"/>
        <w:rPr>
          <w:rFonts w:ascii="Palatino Linotype" w:eastAsia="Palatino Linotype" w:hAnsi="Palatino Linotype" w:cs="Palatino Linotype"/>
        </w:rPr>
      </w:pPr>
    </w:p>
    <w:p w14:paraId="22CE6D42" w14:textId="77777777" w:rsidR="00131CFC" w:rsidRPr="00942231" w:rsidRDefault="00131CFC">
      <w:pPr>
        <w:spacing w:line="360" w:lineRule="auto"/>
        <w:jc w:val="both"/>
        <w:rPr>
          <w:rFonts w:ascii="Palatino Linotype" w:eastAsia="Palatino Linotype" w:hAnsi="Palatino Linotype" w:cs="Palatino Linotype"/>
        </w:rPr>
      </w:pPr>
    </w:p>
    <w:p w14:paraId="64424940" w14:textId="77777777" w:rsidR="00131CFC" w:rsidRPr="00942231" w:rsidRDefault="00131CFC">
      <w:pPr>
        <w:spacing w:line="360" w:lineRule="auto"/>
        <w:jc w:val="both"/>
        <w:rPr>
          <w:rFonts w:ascii="Palatino Linotype" w:eastAsia="Palatino Linotype" w:hAnsi="Palatino Linotype" w:cs="Palatino Linotype"/>
        </w:rPr>
      </w:pPr>
    </w:p>
    <w:p w14:paraId="5E011901" w14:textId="77777777" w:rsidR="00131CFC" w:rsidRPr="00942231" w:rsidRDefault="00131CFC">
      <w:pPr>
        <w:spacing w:line="360" w:lineRule="auto"/>
        <w:jc w:val="both"/>
        <w:rPr>
          <w:rFonts w:ascii="Palatino Linotype" w:eastAsia="Palatino Linotype" w:hAnsi="Palatino Linotype" w:cs="Palatino Linotype"/>
        </w:rPr>
      </w:pPr>
    </w:p>
    <w:p w14:paraId="6B2925C2" w14:textId="77777777" w:rsidR="00131CFC" w:rsidRPr="00942231" w:rsidRDefault="00131CFC">
      <w:pPr>
        <w:spacing w:line="360" w:lineRule="auto"/>
        <w:jc w:val="both"/>
        <w:rPr>
          <w:rFonts w:ascii="Palatino Linotype" w:eastAsia="Palatino Linotype" w:hAnsi="Palatino Linotype" w:cs="Palatino Linotype"/>
        </w:rPr>
      </w:pPr>
    </w:p>
    <w:p w14:paraId="249A80FC" w14:textId="77777777" w:rsidR="00131CFC" w:rsidRPr="00942231" w:rsidRDefault="00131CFC">
      <w:pPr>
        <w:spacing w:line="360" w:lineRule="auto"/>
        <w:jc w:val="both"/>
        <w:rPr>
          <w:rFonts w:ascii="Palatino Linotype" w:eastAsia="Palatino Linotype" w:hAnsi="Palatino Linotype" w:cs="Palatino Linotype"/>
        </w:rPr>
      </w:pPr>
    </w:p>
    <w:p w14:paraId="5653009D" w14:textId="77777777" w:rsidR="00131CFC" w:rsidRPr="00942231" w:rsidRDefault="00131CFC">
      <w:pPr>
        <w:spacing w:line="360" w:lineRule="auto"/>
        <w:jc w:val="both"/>
        <w:rPr>
          <w:rFonts w:ascii="Palatino Linotype" w:eastAsia="Palatino Linotype" w:hAnsi="Palatino Linotype" w:cs="Palatino Linotype"/>
        </w:rPr>
      </w:pPr>
    </w:p>
    <w:p w14:paraId="494B624C" w14:textId="77777777" w:rsidR="00131CFC" w:rsidRPr="00942231" w:rsidRDefault="00131CFC">
      <w:pPr>
        <w:spacing w:line="360" w:lineRule="auto"/>
        <w:jc w:val="both"/>
        <w:rPr>
          <w:rFonts w:ascii="Palatino Linotype" w:eastAsia="Palatino Linotype" w:hAnsi="Palatino Linotype" w:cs="Palatino Linotype"/>
        </w:rPr>
      </w:pPr>
    </w:p>
    <w:p w14:paraId="6C06E096" w14:textId="77777777" w:rsidR="00131CFC" w:rsidRPr="00942231" w:rsidRDefault="00131CFC">
      <w:pPr>
        <w:spacing w:line="360" w:lineRule="auto"/>
        <w:jc w:val="both"/>
        <w:rPr>
          <w:rFonts w:ascii="Palatino Linotype" w:eastAsia="Palatino Linotype" w:hAnsi="Palatino Linotype" w:cs="Palatino Linotype"/>
        </w:rPr>
      </w:pPr>
    </w:p>
    <w:p w14:paraId="5EE2D8AB" w14:textId="77777777" w:rsidR="00131CFC" w:rsidRPr="00942231" w:rsidRDefault="00131CFC">
      <w:pPr>
        <w:spacing w:line="360" w:lineRule="auto"/>
        <w:jc w:val="both"/>
        <w:rPr>
          <w:rFonts w:ascii="Palatino Linotype" w:eastAsia="Palatino Linotype" w:hAnsi="Palatino Linotype" w:cs="Palatino Linotype"/>
        </w:rPr>
      </w:pPr>
    </w:p>
    <w:p w14:paraId="3F9F13D4" w14:textId="77777777" w:rsidR="00131CFC" w:rsidRPr="00942231" w:rsidRDefault="00131CFC">
      <w:pPr>
        <w:spacing w:line="360" w:lineRule="auto"/>
        <w:jc w:val="both"/>
        <w:rPr>
          <w:rFonts w:ascii="Palatino Linotype" w:eastAsia="Palatino Linotype" w:hAnsi="Palatino Linotype" w:cs="Palatino Linotype"/>
        </w:rPr>
      </w:pPr>
    </w:p>
    <w:p w14:paraId="54C88195" w14:textId="77777777" w:rsidR="00131CFC" w:rsidRPr="00942231" w:rsidRDefault="00131CFC">
      <w:pPr>
        <w:spacing w:line="360" w:lineRule="auto"/>
        <w:jc w:val="both"/>
        <w:rPr>
          <w:rFonts w:ascii="Palatino Linotype" w:eastAsia="Palatino Linotype" w:hAnsi="Palatino Linotype" w:cs="Palatino Linotype"/>
        </w:rPr>
      </w:pPr>
    </w:p>
    <w:p w14:paraId="2B201B9B" w14:textId="77777777" w:rsidR="00131CFC" w:rsidRPr="00942231" w:rsidRDefault="00131CFC">
      <w:pPr>
        <w:spacing w:line="360" w:lineRule="auto"/>
        <w:jc w:val="both"/>
        <w:rPr>
          <w:rFonts w:ascii="Palatino Linotype" w:eastAsia="Palatino Linotype" w:hAnsi="Palatino Linotype" w:cs="Palatino Linotype"/>
        </w:rPr>
      </w:pPr>
    </w:p>
    <w:p w14:paraId="09CFC10F" w14:textId="77777777" w:rsidR="00131CFC" w:rsidRPr="00942231" w:rsidRDefault="00131CFC">
      <w:pPr>
        <w:spacing w:line="360" w:lineRule="auto"/>
        <w:jc w:val="both"/>
        <w:rPr>
          <w:rFonts w:ascii="Palatino Linotype" w:eastAsia="Palatino Linotype" w:hAnsi="Palatino Linotype" w:cs="Palatino Linotype"/>
        </w:rPr>
      </w:pPr>
    </w:p>
    <w:p w14:paraId="022E1553" w14:textId="77777777" w:rsidR="00131CFC" w:rsidRPr="00942231" w:rsidRDefault="00131CFC">
      <w:pPr>
        <w:spacing w:line="360" w:lineRule="auto"/>
        <w:jc w:val="both"/>
        <w:rPr>
          <w:rFonts w:ascii="Palatino Linotype" w:eastAsia="Palatino Linotype" w:hAnsi="Palatino Linotype" w:cs="Palatino Linotype"/>
        </w:rPr>
      </w:pPr>
    </w:p>
    <w:p w14:paraId="3CF4BF75" w14:textId="77777777" w:rsidR="00131CFC" w:rsidRPr="00942231" w:rsidRDefault="00131CFC">
      <w:pPr>
        <w:spacing w:line="360" w:lineRule="auto"/>
        <w:jc w:val="both"/>
        <w:rPr>
          <w:rFonts w:ascii="Palatino Linotype" w:eastAsia="Palatino Linotype" w:hAnsi="Palatino Linotype" w:cs="Palatino Linotype"/>
        </w:rPr>
      </w:pPr>
    </w:p>
    <w:p w14:paraId="1461CF17" w14:textId="77777777" w:rsidR="00131CFC" w:rsidRPr="00942231" w:rsidRDefault="00131CFC">
      <w:pPr>
        <w:spacing w:line="360" w:lineRule="auto"/>
        <w:jc w:val="both"/>
        <w:rPr>
          <w:rFonts w:ascii="Palatino Linotype" w:eastAsia="Palatino Linotype" w:hAnsi="Palatino Linotype" w:cs="Palatino Linotype"/>
        </w:rPr>
      </w:pPr>
    </w:p>
    <w:p w14:paraId="075258D6" w14:textId="77777777" w:rsidR="00131CFC" w:rsidRPr="00942231" w:rsidRDefault="00131CFC">
      <w:pPr>
        <w:spacing w:line="360" w:lineRule="auto"/>
        <w:jc w:val="both"/>
        <w:rPr>
          <w:rFonts w:ascii="Palatino Linotype" w:eastAsia="Palatino Linotype" w:hAnsi="Palatino Linotype" w:cs="Palatino Linotype"/>
        </w:rPr>
      </w:pPr>
    </w:p>
    <w:p w14:paraId="7D26B50C" w14:textId="77777777" w:rsidR="00131CFC" w:rsidRPr="00942231" w:rsidRDefault="00131CFC">
      <w:pPr>
        <w:spacing w:line="360" w:lineRule="auto"/>
        <w:jc w:val="both"/>
        <w:rPr>
          <w:rFonts w:ascii="Palatino Linotype" w:eastAsia="Palatino Linotype" w:hAnsi="Palatino Linotype" w:cs="Palatino Linotype"/>
        </w:rPr>
      </w:pPr>
    </w:p>
    <w:p w14:paraId="50FC8D1D" w14:textId="77777777" w:rsidR="00131CFC" w:rsidRPr="00942231" w:rsidRDefault="00131CFC">
      <w:pPr>
        <w:spacing w:line="360" w:lineRule="auto"/>
        <w:jc w:val="both"/>
        <w:rPr>
          <w:rFonts w:ascii="Palatino Linotype" w:eastAsia="Palatino Linotype" w:hAnsi="Palatino Linotype" w:cs="Palatino Linotype"/>
        </w:rPr>
      </w:pPr>
    </w:p>
    <w:p w14:paraId="03BE5FD7" w14:textId="77777777" w:rsidR="00131CFC" w:rsidRPr="00942231" w:rsidRDefault="00131CFC">
      <w:pPr>
        <w:spacing w:line="360" w:lineRule="auto"/>
        <w:jc w:val="both"/>
        <w:rPr>
          <w:rFonts w:ascii="Palatino Linotype" w:eastAsia="Palatino Linotype" w:hAnsi="Palatino Linotype" w:cs="Palatino Linotype"/>
        </w:rPr>
      </w:pPr>
    </w:p>
    <w:sectPr w:rsidR="00131CFC" w:rsidRPr="00942231">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C730F" w14:textId="77777777" w:rsidR="00CC4F12" w:rsidRDefault="00CC4F12">
      <w:r>
        <w:separator/>
      </w:r>
    </w:p>
  </w:endnote>
  <w:endnote w:type="continuationSeparator" w:id="0">
    <w:p w14:paraId="00692985" w14:textId="77777777" w:rsidR="00CC4F12" w:rsidRDefault="00CC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57557" w14:textId="77777777" w:rsidR="00131CFC" w:rsidRDefault="00212D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E510F">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E510F">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2E938B72" w14:textId="77777777" w:rsidR="00131CFC" w:rsidRDefault="00131CF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03FB7" w14:textId="77777777" w:rsidR="00131CFC" w:rsidRDefault="00212D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10F2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10F21">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7E2900C8" w14:textId="77777777" w:rsidR="00131CFC" w:rsidRDefault="00131CF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B5281" w14:textId="77777777" w:rsidR="00CC4F12" w:rsidRDefault="00CC4F12">
      <w:r>
        <w:separator/>
      </w:r>
    </w:p>
  </w:footnote>
  <w:footnote w:type="continuationSeparator" w:id="0">
    <w:p w14:paraId="34C065A6" w14:textId="77777777" w:rsidR="00CC4F12" w:rsidRDefault="00CC4F12">
      <w:r>
        <w:continuationSeparator/>
      </w:r>
    </w:p>
  </w:footnote>
  <w:footnote w:id="1">
    <w:p w14:paraId="5A56B2A3" w14:textId="77777777" w:rsidR="00131CFC" w:rsidRDefault="00212DEF">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B101086" w14:textId="77777777" w:rsidR="00131CFC" w:rsidRDefault="00212D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6FD66B5" w14:textId="77777777" w:rsidR="001A52C3" w:rsidRPr="0009718E" w:rsidRDefault="001A52C3" w:rsidP="001A52C3">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53. Las Unidades de Transparencia tendrán las siguientes funciones:</w:t>
      </w:r>
    </w:p>
    <w:p w14:paraId="4259F0F7" w14:textId="77777777" w:rsidR="001A52C3" w:rsidRPr="0009718E" w:rsidRDefault="001A52C3" w:rsidP="001A52C3">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p w14:paraId="0F7E0AF3" w14:textId="77777777" w:rsidR="001A52C3" w:rsidRPr="0009718E" w:rsidRDefault="001A52C3" w:rsidP="001A52C3">
      <w:pPr>
        <w:pStyle w:val="Textonotapie"/>
        <w:jc w:val="both"/>
        <w:rPr>
          <w:rFonts w:ascii="Palatino Linotype" w:hAnsi="Palatino Linotype"/>
          <w:sz w:val="16"/>
          <w:szCs w:val="16"/>
        </w:rPr>
      </w:pPr>
      <w:r w:rsidRPr="0009718E">
        <w:rPr>
          <w:rFonts w:ascii="Palatino Linotype" w:hAnsi="Palatino Linotype"/>
          <w:sz w:val="16"/>
          <w:szCs w:val="16"/>
        </w:rPr>
        <w:t>IV. Realizar, con efectividad, los trámites internos necesarios para la atención de las solicitudes de acceso a la información;</w:t>
      </w:r>
    </w:p>
  </w:footnote>
  <w:footnote w:id="3">
    <w:p w14:paraId="7176D03C" w14:textId="77777777" w:rsidR="001A52C3" w:rsidRPr="0009718E" w:rsidRDefault="001A52C3" w:rsidP="001A52C3">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4256C171" w14:textId="77777777" w:rsidR="00131CFC" w:rsidRDefault="00212DEF">
      <w:pPr>
        <w:jc w:val="both"/>
        <w:rPr>
          <w:sz w:val="16"/>
          <w:szCs w:val="16"/>
        </w:rPr>
      </w:pPr>
      <w:r>
        <w:rPr>
          <w:vertAlign w:val="superscript"/>
        </w:rPr>
        <w:footnoteRef/>
      </w:r>
      <w:r>
        <w:rPr>
          <w:sz w:val="16"/>
          <w:szCs w:val="16"/>
        </w:rPr>
        <w:t xml:space="preserve"> </w:t>
      </w:r>
      <w:r>
        <w:rPr>
          <w:b/>
          <w:sz w:val="16"/>
          <w:szCs w:val="16"/>
        </w:rPr>
        <w:t xml:space="preserve">Artículo 13. </w:t>
      </w:r>
      <w:r>
        <w:rPr>
          <w:sz w:val="16"/>
          <w:szCs w:val="16"/>
        </w:rPr>
        <w:t>El Instituto, en el ámbito de sus atribuciones, deberá suplir cualquier deficiencia para garantizar el ejercicio del derecho de acceso a la información.</w:t>
      </w:r>
    </w:p>
  </w:footnote>
  <w:footnote w:id="5">
    <w:p w14:paraId="1547E0F3" w14:textId="77777777" w:rsidR="00131CFC" w:rsidRDefault="00212DEF">
      <w:pPr>
        <w:jc w:val="both"/>
        <w:rPr>
          <w:b/>
          <w:sz w:val="16"/>
          <w:szCs w:val="16"/>
        </w:rPr>
      </w:pPr>
      <w:r>
        <w:rPr>
          <w:vertAlign w:val="superscript"/>
        </w:rPr>
        <w:footnoteRef/>
      </w:r>
      <w:r>
        <w:rPr>
          <w:sz w:val="16"/>
          <w:szCs w:val="16"/>
        </w:rPr>
        <w:t xml:space="preserve"> </w:t>
      </w:r>
      <w:r>
        <w:rPr>
          <w:b/>
          <w:sz w:val="16"/>
          <w:szCs w:val="16"/>
        </w:rPr>
        <w:t xml:space="preserve">Artículo 181. </w:t>
      </w:r>
      <w:r>
        <w:rPr>
          <w:sz w:val="16"/>
          <w:szCs w:val="16"/>
        </w:rPr>
        <w:t>(…)</w:t>
      </w:r>
    </w:p>
    <w:p w14:paraId="018D760A" w14:textId="77777777" w:rsidR="00131CFC" w:rsidRDefault="00212DEF">
      <w:pPr>
        <w:jc w:val="both"/>
        <w:rPr>
          <w:sz w:val="16"/>
          <w:szCs w:val="16"/>
        </w:rPr>
      </w:pPr>
      <w:r>
        <w:rPr>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880CF" w14:textId="77777777" w:rsidR="00131CFC" w:rsidRDefault="00212DEF">
    <w:pPr>
      <w:rPr>
        <w:rFonts w:ascii="Cambria" w:eastAsia="Cambria" w:hAnsi="Cambria" w:cs="Cambria"/>
        <w:color w:val="000000"/>
      </w:rPr>
    </w:pPr>
    <w:r>
      <w:rPr>
        <w:noProof/>
      </w:rPr>
      <w:drawing>
        <wp:anchor distT="0" distB="0" distL="0" distR="0" simplePos="0" relativeHeight="251658240" behindDoc="1" locked="0" layoutInCell="1" hidden="0" allowOverlap="1" wp14:anchorId="63967C60" wp14:editId="1F2E4FE9">
          <wp:simplePos x="0" y="0"/>
          <wp:positionH relativeFrom="column">
            <wp:posOffset>-1080126</wp:posOffset>
          </wp:positionH>
          <wp:positionV relativeFrom="paragraph">
            <wp:posOffset>-488306</wp:posOffset>
          </wp:positionV>
          <wp:extent cx="7809865" cy="10165715"/>
          <wp:effectExtent l="0" t="0" r="0" b="0"/>
          <wp:wrapNone/>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119" w:type="dxa"/>
      <w:tblLayout w:type="fixed"/>
      <w:tblLook w:val="0400" w:firstRow="0" w:lastRow="0" w:firstColumn="0" w:lastColumn="0" w:noHBand="0" w:noVBand="1"/>
    </w:tblPr>
    <w:tblGrid>
      <w:gridCol w:w="2410"/>
      <w:gridCol w:w="3685"/>
    </w:tblGrid>
    <w:tr w:rsidR="00131CFC" w14:paraId="56435383" w14:textId="77777777">
      <w:tc>
        <w:tcPr>
          <w:tcW w:w="2410" w:type="dxa"/>
          <w:shd w:val="clear" w:color="auto" w:fill="auto"/>
        </w:tcPr>
        <w:p w14:paraId="5AB268C7"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096A837F" w14:textId="77777777" w:rsidR="00131CFC" w:rsidRDefault="00212D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12369/INFOEM/IP/RR/2022</w:t>
          </w:r>
        </w:p>
      </w:tc>
    </w:tr>
    <w:tr w:rsidR="00131CFC" w14:paraId="3903432D" w14:textId="77777777">
      <w:trPr>
        <w:trHeight w:val="228"/>
      </w:trPr>
      <w:tc>
        <w:tcPr>
          <w:tcW w:w="2410" w:type="dxa"/>
          <w:shd w:val="clear" w:color="auto" w:fill="auto"/>
          <w:vAlign w:val="center"/>
        </w:tcPr>
        <w:p w14:paraId="6FE7A127"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41E49D5" w14:textId="77777777" w:rsidR="00131CFC" w:rsidRDefault="00212DE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131CFC" w14:paraId="1B5BFBA3" w14:textId="77777777">
      <w:tc>
        <w:tcPr>
          <w:tcW w:w="2410" w:type="dxa"/>
          <w:shd w:val="clear" w:color="auto" w:fill="auto"/>
          <w:vAlign w:val="center"/>
        </w:tcPr>
        <w:p w14:paraId="4D34E42C" w14:textId="77777777" w:rsidR="00131CFC" w:rsidRDefault="00212D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01224920" w14:textId="77777777" w:rsidR="00131CFC" w:rsidRDefault="00212D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D159BC" w14:textId="77777777" w:rsidR="00131CFC" w:rsidRDefault="00212DE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D708A" w14:textId="77777777" w:rsidR="00131CFC" w:rsidRDefault="00212D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EBC59BD" wp14:editId="2ACB7510">
          <wp:simplePos x="0" y="0"/>
          <wp:positionH relativeFrom="column">
            <wp:posOffset>-1080134</wp:posOffset>
          </wp:positionH>
          <wp:positionV relativeFrom="paragraph">
            <wp:posOffset>-309962</wp:posOffset>
          </wp:positionV>
          <wp:extent cx="7809865" cy="10165715"/>
          <wp:effectExtent l="0" t="0" r="0" b="0"/>
          <wp:wrapNone/>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095" w:type="dxa"/>
      <w:tblInd w:w="2972" w:type="dxa"/>
      <w:tblLayout w:type="fixed"/>
      <w:tblLook w:val="0400" w:firstRow="0" w:lastRow="0" w:firstColumn="0" w:lastColumn="0" w:noHBand="0" w:noVBand="1"/>
    </w:tblPr>
    <w:tblGrid>
      <w:gridCol w:w="2552"/>
      <w:gridCol w:w="3543"/>
    </w:tblGrid>
    <w:tr w:rsidR="00131CFC" w14:paraId="0FF0B18E" w14:textId="77777777">
      <w:tc>
        <w:tcPr>
          <w:tcW w:w="2552" w:type="dxa"/>
          <w:shd w:val="clear" w:color="auto" w:fill="auto"/>
          <w:vAlign w:val="center"/>
        </w:tcPr>
        <w:p w14:paraId="45031E7F"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23B5C91A" w14:textId="77777777" w:rsidR="00131CFC" w:rsidRDefault="00212DE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12369/INFOEM/IP/RR/2022</w:t>
          </w:r>
        </w:p>
      </w:tc>
    </w:tr>
    <w:tr w:rsidR="00131CFC" w14:paraId="3ADEC656" w14:textId="77777777">
      <w:trPr>
        <w:trHeight w:val="130"/>
      </w:trPr>
      <w:tc>
        <w:tcPr>
          <w:tcW w:w="2552" w:type="dxa"/>
          <w:shd w:val="clear" w:color="auto" w:fill="auto"/>
          <w:vAlign w:val="center"/>
        </w:tcPr>
        <w:p w14:paraId="1FD85686"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97C2686" w14:textId="5AE8E208" w:rsidR="00131CFC" w:rsidRDefault="00110F21" w:rsidP="00110F2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131CFC" w14:paraId="4D7ADCC2" w14:textId="77777777">
      <w:trPr>
        <w:trHeight w:val="228"/>
      </w:trPr>
      <w:tc>
        <w:tcPr>
          <w:tcW w:w="2552" w:type="dxa"/>
          <w:shd w:val="clear" w:color="auto" w:fill="auto"/>
          <w:vAlign w:val="center"/>
        </w:tcPr>
        <w:p w14:paraId="0F6B9B0D"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2E27F1FA" w14:textId="77777777" w:rsidR="00131CFC" w:rsidRDefault="00212DE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131CFC" w14:paraId="4D76D58B" w14:textId="77777777">
      <w:tc>
        <w:tcPr>
          <w:tcW w:w="2552" w:type="dxa"/>
          <w:shd w:val="clear" w:color="auto" w:fill="auto"/>
          <w:vAlign w:val="center"/>
        </w:tcPr>
        <w:p w14:paraId="7D73EF9D"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shd w:val="clear" w:color="auto" w:fill="auto"/>
          <w:vAlign w:val="center"/>
        </w:tcPr>
        <w:p w14:paraId="63BC64E0" w14:textId="77777777" w:rsidR="00131CFC" w:rsidRDefault="00212D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EB0C1D" w14:textId="77777777" w:rsidR="00131CFC" w:rsidRDefault="00131CFC">
    <w:pPr>
      <w:pBdr>
        <w:top w:val="nil"/>
        <w:left w:val="nil"/>
        <w:bottom w:val="nil"/>
        <w:right w:val="nil"/>
        <w:between w:val="nil"/>
      </w:pBdr>
      <w:tabs>
        <w:tab w:val="center" w:pos="4252"/>
        <w:tab w:val="right" w:pos="8504"/>
      </w:tabs>
      <w:rPr>
        <w:rFonts w:ascii="Cambria" w:eastAsia="Cambria" w:hAnsi="Cambria" w:cs="Cambria"/>
        <w:color w:val="000000"/>
      </w:rPr>
    </w:pPr>
  </w:p>
  <w:p w14:paraId="6E3C8D79" w14:textId="77777777" w:rsidR="00131CFC" w:rsidRDefault="00131C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40D37"/>
    <w:multiLevelType w:val="multilevel"/>
    <w:tmpl w:val="4BB842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979410C"/>
    <w:multiLevelType w:val="multilevel"/>
    <w:tmpl w:val="4FF24A18"/>
    <w:lvl w:ilvl="0">
      <w:start w:val="8"/>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FC"/>
    <w:rsid w:val="000B4187"/>
    <w:rsid w:val="00110F21"/>
    <w:rsid w:val="00131CFC"/>
    <w:rsid w:val="001A52C3"/>
    <w:rsid w:val="0020529D"/>
    <w:rsid w:val="00212DEF"/>
    <w:rsid w:val="00577D9A"/>
    <w:rsid w:val="005C0569"/>
    <w:rsid w:val="007947ED"/>
    <w:rsid w:val="008A27D0"/>
    <w:rsid w:val="00906BA9"/>
    <w:rsid w:val="00942231"/>
    <w:rsid w:val="00B916A0"/>
    <w:rsid w:val="00C26916"/>
    <w:rsid w:val="00CC4F12"/>
    <w:rsid w:val="00D06181"/>
    <w:rsid w:val="00D86A58"/>
    <w:rsid w:val="00E76BE1"/>
    <w:rsid w:val="00EC4AFE"/>
    <w:rsid w:val="00F26989"/>
    <w:rsid w:val="00FE51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3EFC"/>
  <w15:docId w15:val="{EB7A96D5-6295-4DFE-BECF-6CBF51A5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top w:w="0" w:type="dxa"/>
        <w:left w:w="115" w:type="dxa"/>
        <w:bottom w:w="0" w:type="dxa"/>
        <w:right w:w="115" w:type="dxa"/>
      </w:tblCellMar>
    </w:tbl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2"/>
    <w:tblPr>
      <w:tblStyleRowBandSize w:val="1"/>
      <w:tblStyleColBandSize w:val="1"/>
      <w:tblCellMar>
        <w:top w:w="0" w:type="dxa"/>
        <w:left w:w="115" w:type="dxa"/>
        <w:bottom w:w="0" w:type="dxa"/>
        <w:right w:w="115" w:type="dxa"/>
      </w:tblCellMar>
    </w:tblPr>
  </w:style>
  <w:style w:type="table" w:customStyle="1" w:styleId="8">
    <w:name w:val="8"/>
    <w:basedOn w:val="TableNormal2"/>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17">
    <w:name w:val="17"/>
    <w:basedOn w:val="TableNormal4"/>
    <w:tblPr>
      <w:tblStyleRowBandSize w:val="1"/>
      <w:tblStyleColBandSize w:val="1"/>
      <w:tblCellMar>
        <w:top w:w="0" w:type="dxa"/>
        <w:left w:w="115" w:type="dxa"/>
        <w:bottom w:w="0" w:type="dxa"/>
        <w:right w:w="115" w:type="dxa"/>
      </w:tblCellMar>
    </w:tblPr>
  </w:style>
  <w:style w:type="table" w:customStyle="1" w:styleId="16">
    <w:name w:val="16"/>
    <w:basedOn w:val="TableNormal4"/>
    <w:tblPr>
      <w:tblStyleRowBandSize w:val="1"/>
      <w:tblStyleColBandSize w:val="1"/>
      <w:tblCellMar>
        <w:top w:w="0" w:type="dxa"/>
        <w:left w:w="115" w:type="dxa"/>
        <w:bottom w:w="0" w:type="dxa"/>
        <w:right w:w="115" w:type="dxa"/>
      </w:tblCellMar>
    </w:tblPr>
  </w:style>
  <w:style w:type="table" w:customStyle="1" w:styleId="15">
    <w:name w:val="15"/>
    <w:basedOn w:val="TableNormal5"/>
    <w:tblPr>
      <w:tblStyleRowBandSize w:val="1"/>
      <w:tblStyleColBandSize w:val="1"/>
      <w:tblCellMar>
        <w:top w:w="0" w:type="dxa"/>
        <w:left w:w="115" w:type="dxa"/>
        <w:bottom w:w="0" w:type="dxa"/>
        <w:right w:w="115" w:type="dxa"/>
      </w:tblCellMar>
    </w:tblPr>
  </w:style>
  <w:style w:type="table" w:customStyle="1" w:styleId="14">
    <w:name w:val="14"/>
    <w:basedOn w:val="TableNormal5"/>
    <w:tblPr>
      <w:tblStyleRowBandSize w:val="1"/>
      <w:tblStyleColBandSize w:val="1"/>
      <w:tblCellMar>
        <w:top w:w="0" w:type="dxa"/>
        <w:left w:w="115" w:type="dxa"/>
        <w:bottom w:w="0" w:type="dxa"/>
        <w:right w:w="115" w:type="dxa"/>
      </w:tblCellMar>
    </w:tblPr>
  </w:style>
  <w:style w:type="table" w:customStyle="1" w:styleId="13">
    <w:name w:val="13"/>
    <w:basedOn w:val="TableNormal6"/>
    <w:tblPr>
      <w:tblStyleRowBandSize w:val="1"/>
      <w:tblStyleColBandSize w:val="1"/>
      <w:tblCellMar>
        <w:top w:w="0" w:type="dxa"/>
        <w:left w:w="115" w:type="dxa"/>
        <w:bottom w:w="0" w:type="dxa"/>
        <w:right w:w="115" w:type="dxa"/>
      </w:tblCellMar>
    </w:tblPr>
  </w:style>
  <w:style w:type="table" w:customStyle="1" w:styleId="12">
    <w:name w:val="12"/>
    <w:basedOn w:val="TableNormal6"/>
    <w:tblPr>
      <w:tblStyleRowBandSize w:val="1"/>
      <w:tblStyleColBandSize w:val="1"/>
      <w:tblCellMar>
        <w:top w:w="0" w:type="dxa"/>
        <w:left w:w="115" w:type="dxa"/>
        <w:bottom w:w="0" w:type="dxa"/>
        <w:right w:w="115" w:type="dxa"/>
      </w:tblCellMar>
    </w:tblPr>
  </w:style>
  <w:style w:type="table" w:customStyle="1" w:styleId="11">
    <w:name w:val="11"/>
    <w:basedOn w:val="TableNormal7"/>
    <w:tblPr>
      <w:tblStyleRowBandSize w:val="1"/>
      <w:tblStyleColBandSize w:val="1"/>
      <w:tblCellMar>
        <w:top w:w="0" w:type="dxa"/>
        <w:left w:w="115" w:type="dxa"/>
        <w:bottom w:w="0" w:type="dxa"/>
        <w:right w:w="115" w:type="dxa"/>
      </w:tblCellMar>
    </w:tblPr>
  </w:style>
  <w:style w:type="table" w:customStyle="1" w:styleId="10">
    <w:name w:val="10"/>
    <w:basedOn w:val="TableNormal7"/>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OVAdRc9Y7jf/B72PTHInEojmyA==">AMUW2mVV+TEJVPOiXqEovGavTQpCJMzpyOZePH7BcS+vxEFBThCnC/wi4AynljJhtf85GU4aH4fpGXEbgjQPulqgSBFzzE4skJjAiYw6boPjmla1YBQsuc6j3r1KeeWelZv1svEyHztJTClDgg9Ba3LrpdlVAP06EoZGQa6GyGo9548FqYMIS3on+Bk4HrKl0j2+tiivjyDqgjJtfxsfJkHEi90ztn2fzAkOJkFyAINFi7kiCQbrFlbT7T2rAYLtIrk9GvLWyoZ3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9086</Words>
  <Characters>49979</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2023-01-20T16:40:00Z</cp:lastPrinted>
  <dcterms:created xsi:type="dcterms:W3CDTF">2023-01-26T00:08:00Z</dcterms:created>
  <dcterms:modified xsi:type="dcterms:W3CDTF">2023-01-26T00:08:00Z</dcterms:modified>
</cp:coreProperties>
</file>