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21C94" w14:textId="3729F24F" w:rsidR="003F0671" w:rsidRPr="00A93EEB" w:rsidRDefault="003C59FF"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A364FD" w:rsidRPr="00A93EEB">
        <w:rPr>
          <w:rFonts w:ascii="Palatino Linotype" w:eastAsia="Palatino Linotype" w:hAnsi="Palatino Linotype" w:cs="Palatino Linotype"/>
          <w:sz w:val="24"/>
          <w:szCs w:val="24"/>
        </w:rPr>
        <w:t xml:space="preserve">veintidós de febrero de dos mil veintitrés. </w:t>
      </w:r>
    </w:p>
    <w:p w14:paraId="412803E3" w14:textId="77777777" w:rsidR="00A364FD" w:rsidRPr="00A93EEB" w:rsidRDefault="00A364FD" w:rsidP="00251A66">
      <w:pPr>
        <w:spacing w:after="0" w:line="360" w:lineRule="auto"/>
        <w:ind w:right="49"/>
        <w:jc w:val="both"/>
        <w:rPr>
          <w:rFonts w:ascii="Palatino Linotype" w:eastAsia="Palatino Linotype" w:hAnsi="Palatino Linotype" w:cs="Palatino Linotype"/>
          <w:sz w:val="24"/>
          <w:szCs w:val="24"/>
        </w:rPr>
      </w:pPr>
    </w:p>
    <w:p w14:paraId="29BF5A1F" w14:textId="10A82A8C" w:rsidR="003F0671" w:rsidRPr="00A93EEB" w:rsidRDefault="003C59FF"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 xml:space="preserve">Visto el expediente relativo al recurso de revisión </w:t>
      </w:r>
      <w:r w:rsidR="00A364FD" w:rsidRPr="00A93EEB">
        <w:rPr>
          <w:rFonts w:ascii="Palatino Linotype" w:eastAsia="Palatino Linotype" w:hAnsi="Palatino Linotype" w:cs="Palatino Linotype"/>
          <w:b/>
          <w:sz w:val="24"/>
          <w:szCs w:val="24"/>
        </w:rPr>
        <w:t>16849</w:t>
      </w:r>
      <w:r w:rsidRPr="00A93EEB">
        <w:rPr>
          <w:rFonts w:ascii="Palatino Linotype" w:eastAsia="Palatino Linotype" w:hAnsi="Palatino Linotype" w:cs="Palatino Linotype"/>
          <w:b/>
          <w:sz w:val="24"/>
          <w:szCs w:val="24"/>
        </w:rPr>
        <w:t>/INFOEM/IP/RR/2022</w:t>
      </w:r>
      <w:r w:rsidRPr="00A93EEB">
        <w:rPr>
          <w:rFonts w:ascii="Palatino Linotype" w:eastAsia="Palatino Linotype" w:hAnsi="Palatino Linotype" w:cs="Palatino Linotype"/>
          <w:sz w:val="24"/>
          <w:szCs w:val="24"/>
        </w:rPr>
        <w:t xml:space="preserve">, interpuesto por </w:t>
      </w:r>
      <w:r w:rsidR="00154EEC">
        <w:rPr>
          <w:rFonts w:ascii="Palatino Linotype" w:eastAsia="Palatino Linotype" w:hAnsi="Palatino Linotype" w:cs="Palatino Linotype"/>
          <w:b/>
          <w:sz w:val="24"/>
          <w:szCs w:val="24"/>
        </w:rPr>
        <w:t>XXXXX XXXXXXX XXXXXX</w:t>
      </w:r>
      <w:bookmarkStart w:id="0" w:name="_GoBack"/>
      <w:bookmarkEnd w:id="0"/>
      <w:r w:rsidRPr="00A93EEB">
        <w:rPr>
          <w:rFonts w:ascii="Palatino Linotype" w:eastAsia="Palatino Linotype" w:hAnsi="Palatino Linotype" w:cs="Palatino Linotype"/>
          <w:sz w:val="24"/>
          <w:szCs w:val="24"/>
        </w:rPr>
        <w:t>, al cual en lo sucesivo se le denominar</w:t>
      </w:r>
      <w:r w:rsidR="002E66DC" w:rsidRPr="00A93EEB">
        <w:rPr>
          <w:rFonts w:ascii="Palatino Linotype" w:eastAsia="Palatino Linotype" w:hAnsi="Palatino Linotype" w:cs="Palatino Linotype"/>
          <w:sz w:val="24"/>
          <w:szCs w:val="24"/>
        </w:rPr>
        <w:t>á</w:t>
      </w:r>
      <w:r w:rsidRPr="00A93EEB">
        <w:rPr>
          <w:rFonts w:ascii="Palatino Linotype" w:eastAsia="Palatino Linotype" w:hAnsi="Palatino Linotype" w:cs="Palatino Linotype"/>
          <w:sz w:val="24"/>
          <w:szCs w:val="24"/>
        </w:rPr>
        <w:t xml:space="preserve"> el </w:t>
      </w:r>
      <w:r w:rsidRPr="00A93EEB">
        <w:rPr>
          <w:rFonts w:ascii="Palatino Linotype" w:eastAsia="Palatino Linotype" w:hAnsi="Palatino Linotype" w:cs="Palatino Linotype"/>
          <w:b/>
          <w:sz w:val="24"/>
          <w:szCs w:val="24"/>
        </w:rPr>
        <w:t>RECURRENTE</w:t>
      </w:r>
      <w:r w:rsidR="001759F5" w:rsidRPr="00A93EEB">
        <w:rPr>
          <w:rFonts w:ascii="Palatino Linotype" w:eastAsia="Palatino Linotype" w:hAnsi="Palatino Linotype" w:cs="Palatino Linotype"/>
          <w:sz w:val="24"/>
          <w:szCs w:val="24"/>
        </w:rPr>
        <w:t xml:space="preserve">, en contra </w:t>
      </w:r>
      <w:r w:rsidRPr="00A93EEB">
        <w:rPr>
          <w:rFonts w:ascii="Palatino Linotype" w:eastAsia="Palatino Linotype" w:hAnsi="Palatino Linotype" w:cs="Palatino Linotype"/>
          <w:sz w:val="24"/>
          <w:szCs w:val="24"/>
        </w:rPr>
        <w:t>la</w:t>
      </w:r>
      <w:r w:rsidR="001759F5" w:rsidRPr="00A93EEB">
        <w:rPr>
          <w:rFonts w:ascii="Palatino Linotype" w:eastAsia="Palatino Linotype" w:hAnsi="Palatino Linotype" w:cs="Palatino Linotype"/>
          <w:sz w:val="24"/>
          <w:szCs w:val="24"/>
        </w:rPr>
        <w:t xml:space="preserve"> </w:t>
      </w:r>
      <w:r w:rsidR="00A364FD" w:rsidRPr="00A93EEB">
        <w:rPr>
          <w:rFonts w:ascii="Palatino Linotype" w:eastAsia="Palatino Linotype" w:hAnsi="Palatino Linotype" w:cs="Palatino Linotype"/>
          <w:sz w:val="24"/>
          <w:szCs w:val="24"/>
        </w:rPr>
        <w:t>respuesta</w:t>
      </w:r>
      <w:r w:rsidRPr="00A93EEB">
        <w:rPr>
          <w:rFonts w:ascii="Palatino Linotype" w:eastAsia="Palatino Linotype" w:hAnsi="Palatino Linotype" w:cs="Palatino Linotype"/>
          <w:sz w:val="24"/>
          <w:szCs w:val="24"/>
        </w:rPr>
        <w:t xml:space="preserve"> a su solicitud de información identificada con número de folio </w:t>
      </w:r>
      <w:r w:rsidR="002E66DC" w:rsidRPr="00A93EEB">
        <w:rPr>
          <w:rFonts w:ascii="Palatino Linotype" w:eastAsia="Palatino Linotype" w:hAnsi="Palatino Linotype" w:cs="Palatino Linotype"/>
          <w:b/>
          <w:sz w:val="24"/>
          <w:szCs w:val="24"/>
        </w:rPr>
        <w:t>00</w:t>
      </w:r>
      <w:r w:rsidR="00A364FD" w:rsidRPr="00A93EEB">
        <w:rPr>
          <w:rFonts w:ascii="Palatino Linotype" w:eastAsia="Palatino Linotype" w:hAnsi="Palatino Linotype" w:cs="Palatino Linotype"/>
          <w:b/>
          <w:sz w:val="24"/>
          <w:szCs w:val="24"/>
        </w:rPr>
        <w:t>928</w:t>
      </w:r>
      <w:r w:rsidRPr="00A93EEB">
        <w:rPr>
          <w:rFonts w:ascii="Palatino Linotype" w:eastAsia="Palatino Linotype" w:hAnsi="Palatino Linotype" w:cs="Palatino Linotype"/>
          <w:b/>
          <w:sz w:val="24"/>
          <w:szCs w:val="24"/>
        </w:rPr>
        <w:t>/</w:t>
      </w:r>
      <w:r w:rsidR="00A364FD" w:rsidRPr="00A93EEB">
        <w:rPr>
          <w:rFonts w:ascii="Palatino Linotype" w:eastAsia="Palatino Linotype" w:hAnsi="Palatino Linotype" w:cs="Palatino Linotype"/>
          <w:b/>
          <w:sz w:val="24"/>
          <w:szCs w:val="24"/>
        </w:rPr>
        <w:t>ECATEPEC</w:t>
      </w:r>
      <w:r w:rsidRPr="00A93EEB">
        <w:rPr>
          <w:rFonts w:ascii="Palatino Linotype" w:eastAsia="Palatino Linotype" w:hAnsi="Palatino Linotype" w:cs="Palatino Linotype"/>
          <w:b/>
          <w:sz w:val="24"/>
          <w:szCs w:val="24"/>
        </w:rPr>
        <w:t>/IP/2022</w:t>
      </w:r>
      <w:r w:rsidRPr="00A93EEB">
        <w:rPr>
          <w:rFonts w:ascii="Palatino Linotype" w:eastAsia="Palatino Linotype" w:hAnsi="Palatino Linotype" w:cs="Palatino Linotype"/>
          <w:sz w:val="24"/>
          <w:szCs w:val="24"/>
        </w:rPr>
        <w:t xml:space="preserve"> proporcionada por parte del Ayuntamiento</w:t>
      </w:r>
      <w:r w:rsidR="002E66DC" w:rsidRPr="00A93EEB">
        <w:rPr>
          <w:rFonts w:ascii="Palatino Linotype" w:eastAsia="Palatino Linotype" w:hAnsi="Palatino Linotype" w:cs="Palatino Linotype"/>
          <w:sz w:val="24"/>
          <w:szCs w:val="24"/>
        </w:rPr>
        <w:t xml:space="preserve"> </w:t>
      </w:r>
      <w:r w:rsidR="00A364FD" w:rsidRPr="00A93EEB">
        <w:rPr>
          <w:rFonts w:ascii="Palatino Linotype" w:eastAsia="Palatino Linotype" w:hAnsi="Palatino Linotype" w:cs="Palatino Linotype"/>
          <w:sz w:val="24"/>
          <w:szCs w:val="24"/>
        </w:rPr>
        <w:t>de Ecatepec</w:t>
      </w:r>
      <w:r w:rsidR="00FF394E" w:rsidRPr="00A93EEB">
        <w:rPr>
          <w:rFonts w:ascii="Palatino Linotype" w:eastAsia="Palatino Linotype" w:hAnsi="Palatino Linotype" w:cs="Palatino Linotype"/>
          <w:sz w:val="24"/>
          <w:szCs w:val="24"/>
        </w:rPr>
        <w:t xml:space="preserve"> de Morelos</w:t>
      </w:r>
      <w:r w:rsidRPr="00A93EEB">
        <w:rPr>
          <w:rFonts w:ascii="Palatino Linotype" w:eastAsia="Palatino Linotype" w:hAnsi="Palatino Linotype" w:cs="Palatino Linotype"/>
          <w:sz w:val="24"/>
          <w:szCs w:val="24"/>
        </w:rPr>
        <w:t xml:space="preserve">, en lo sucesivo el </w:t>
      </w:r>
      <w:r w:rsidRPr="00A93EEB">
        <w:rPr>
          <w:rFonts w:ascii="Palatino Linotype" w:eastAsia="Palatino Linotype" w:hAnsi="Palatino Linotype" w:cs="Palatino Linotype"/>
          <w:b/>
          <w:sz w:val="24"/>
          <w:szCs w:val="24"/>
        </w:rPr>
        <w:t>SUJETO OBLIGADO</w:t>
      </w:r>
      <w:r w:rsidRPr="00A93EEB">
        <w:rPr>
          <w:rFonts w:ascii="Palatino Linotype" w:eastAsia="Palatino Linotype" w:hAnsi="Palatino Linotype" w:cs="Palatino Linotype"/>
          <w:sz w:val="24"/>
          <w:szCs w:val="24"/>
        </w:rPr>
        <w:t>; se procede a dictar la presente resolución, con base en los siguientes:</w:t>
      </w:r>
    </w:p>
    <w:p w14:paraId="2CF11095" w14:textId="77777777" w:rsidR="003F0671" w:rsidRPr="00A93EEB" w:rsidRDefault="003F0671" w:rsidP="00251A66">
      <w:pPr>
        <w:spacing w:after="0" w:line="360" w:lineRule="auto"/>
        <w:ind w:right="49"/>
        <w:jc w:val="both"/>
        <w:rPr>
          <w:rFonts w:ascii="Palatino Linotype" w:eastAsia="Palatino Linotype" w:hAnsi="Palatino Linotype" w:cs="Palatino Linotype"/>
          <w:sz w:val="24"/>
          <w:szCs w:val="24"/>
        </w:rPr>
      </w:pPr>
    </w:p>
    <w:p w14:paraId="3715FC3F" w14:textId="77777777" w:rsidR="003F0671" w:rsidRPr="00A93EEB" w:rsidRDefault="003C59FF" w:rsidP="00251A66">
      <w:pPr>
        <w:spacing w:after="0" w:line="360" w:lineRule="auto"/>
        <w:ind w:right="49"/>
        <w:jc w:val="center"/>
        <w:rPr>
          <w:rFonts w:ascii="Palatino Linotype" w:eastAsia="Palatino Linotype" w:hAnsi="Palatino Linotype" w:cs="Palatino Linotype"/>
          <w:b/>
          <w:sz w:val="24"/>
          <w:szCs w:val="24"/>
        </w:rPr>
      </w:pPr>
      <w:r w:rsidRPr="00A93EEB">
        <w:rPr>
          <w:rFonts w:ascii="Palatino Linotype" w:eastAsia="Palatino Linotype" w:hAnsi="Palatino Linotype" w:cs="Palatino Linotype"/>
          <w:b/>
          <w:sz w:val="24"/>
          <w:szCs w:val="24"/>
        </w:rPr>
        <w:t>I.</w:t>
      </w:r>
      <w:r w:rsidRPr="00A93EEB">
        <w:rPr>
          <w:rFonts w:ascii="Palatino Linotype" w:eastAsia="Palatino Linotype" w:hAnsi="Palatino Linotype" w:cs="Palatino Linotype"/>
          <w:b/>
          <w:sz w:val="24"/>
          <w:szCs w:val="24"/>
        </w:rPr>
        <w:tab/>
        <w:t>A N T E C E D E N T E S</w:t>
      </w:r>
    </w:p>
    <w:p w14:paraId="617AC7BD" w14:textId="77777777" w:rsidR="003F0671" w:rsidRPr="00A93EEB" w:rsidRDefault="003F0671" w:rsidP="00251A66">
      <w:pPr>
        <w:spacing w:after="0" w:line="360" w:lineRule="auto"/>
        <w:ind w:right="49"/>
        <w:jc w:val="both"/>
        <w:rPr>
          <w:rFonts w:ascii="Palatino Linotype" w:eastAsia="Palatino Linotype" w:hAnsi="Palatino Linotype" w:cs="Palatino Linotype"/>
          <w:sz w:val="24"/>
          <w:szCs w:val="24"/>
        </w:rPr>
      </w:pPr>
    </w:p>
    <w:p w14:paraId="3E4D891C" w14:textId="5ED7EBAB" w:rsidR="003F0671" w:rsidRPr="00A93EEB"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b/>
          <w:sz w:val="24"/>
          <w:szCs w:val="24"/>
        </w:rPr>
        <w:t>Solicitud de acceso a la información.</w:t>
      </w:r>
      <w:r w:rsidRPr="00A93EEB">
        <w:rPr>
          <w:rFonts w:ascii="Palatino Linotype" w:eastAsia="Palatino Linotype" w:hAnsi="Palatino Linotype" w:cs="Palatino Linotype"/>
          <w:sz w:val="24"/>
          <w:szCs w:val="24"/>
        </w:rPr>
        <w:t xml:space="preserve"> Con fecha </w:t>
      </w:r>
      <w:r w:rsidR="00A364FD" w:rsidRPr="00A93EEB">
        <w:rPr>
          <w:rFonts w:ascii="Palatino Linotype" w:eastAsia="Palatino Linotype" w:hAnsi="Palatino Linotype" w:cs="Palatino Linotype"/>
          <w:b/>
          <w:sz w:val="24"/>
          <w:szCs w:val="24"/>
        </w:rPr>
        <w:t>quince de noviembre</w:t>
      </w:r>
      <w:r w:rsidR="002E66DC" w:rsidRPr="00A93EEB">
        <w:rPr>
          <w:rFonts w:ascii="Palatino Linotype" w:eastAsia="Palatino Linotype" w:hAnsi="Palatino Linotype" w:cs="Palatino Linotype"/>
          <w:b/>
          <w:sz w:val="24"/>
          <w:szCs w:val="24"/>
        </w:rPr>
        <w:t xml:space="preserve"> </w:t>
      </w:r>
      <w:r w:rsidR="00932D1F" w:rsidRPr="00A93EEB">
        <w:rPr>
          <w:rFonts w:ascii="Palatino Linotype" w:eastAsia="Palatino Linotype" w:hAnsi="Palatino Linotype" w:cs="Palatino Linotype"/>
          <w:b/>
          <w:sz w:val="24"/>
          <w:szCs w:val="24"/>
        </w:rPr>
        <w:t>de</w:t>
      </w:r>
      <w:r w:rsidRPr="00A93EEB">
        <w:rPr>
          <w:rFonts w:ascii="Palatino Linotype" w:eastAsia="Palatino Linotype" w:hAnsi="Palatino Linotype" w:cs="Palatino Linotype"/>
          <w:b/>
          <w:sz w:val="24"/>
          <w:szCs w:val="24"/>
        </w:rPr>
        <w:t xml:space="preserve"> dos mil veintidós</w:t>
      </w:r>
      <w:r w:rsidRPr="00A93EEB">
        <w:rPr>
          <w:rFonts w:ascii="Palatino Linotype" w:eastAsia="Palatino Linotype" w:hAnsi="Palatino Linotype" w:cs="Palatino Linotype"/>
          <w:sz w:val="24"/>
          <w:szCs w:val="24"/>
        </w:rPr>
        <w:t xml:space="preserve">, la parte </w:t>
      </w:r>
      <w:r w:rsidRPr="00A93EEB">
        <w:rPr>
          <w:rFonts w:ascii="Palatino Linotype" w:eastAsia="Palatino Linotype" w:hAnsi="Palatino Linotype" w:cs="Palatino Linotype"/>
          <w:b/>
          <w:sz w:val="24"/>
          <w:szCs w:val="24"/>
        </w:rPr>
        <w:t>RECURRENTE</w:t>
      </w:r>
      <w:r w:rsidRPr="00A93EEB">
        <w:rPr>
          <w:rFonts w:ascii="Palatino Linotype" w:eastAsia="Palatino Linotype" w:hAnsi="Palatino Linotype" w:cs="Palatino Linotype"/>
          <w:sz w:val="24"/>
          <w:szCs w:val="24"/>
        </w:rPr>
        <w:t xml:space="preserve"> formuló solicitud de acceso a información pública al</w:t>
      </w:r>
      <w:r w:rsidRPr="00A93EEB">
        <w:rPr>
          <w:rFonts w:ascii="Palatino Linotype" w:eastAsia="Palatino Linotype" w:hAnsi="Palatino Linotype" w:cs="Palatino Linotype"/>
          <w:b/>
          <w:sz w:val="24"/>
          <w:szCs w:val="24"/>
        </w:rPr>
        <w:t xml:space="preserve"> SUJETO OBLIGADO</w:t>
      </w:r>
      <w:r w:rsidRPr="00A93EEB">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3F91BCC8" w14:textId="77777777" w:rsidR="003F0671" w:rsidRPr="00A93EEB" w:rsidRDefault="003F0671" w:rsidP="00251A66">
      <w:pPr>
        <w:spacing w:after="0" w:line="360" w:lineRule="auto"/>
        <w:ind w:right="49"/>
        <w:jc w:val="both"/>
        <w:rPr>
          <w:rFonts w:ascii="Palatino Linotype" w:eastAsia="Palatino Linotype" w:hAnsi="Palatino Linotype" w:cs="Palatino Linotype"/>
          <w:sz w:val="24"/>
          <w:szCs w:val="24"/>
        </w:rPr>
      </w:pPr>
    </w:p>
    <w:p w14:paraId="550414AE" w14:textId="709E0F81" w:rsidR="003F0671" w:rsidRPr="00A93EEB" w:rsidRDefault="003C59FF" w:rsidP="00251A66">
      <w:pPr>
        <w:spacing w:after="0" w:line="276" w:lineRule="auto"/>
        <w:ind w:left="567" w:right="560"/>
        <w:jc w:val="both"/>
        <w:rPr>
          <w:rFonts w:ascii="Palatino Linotype" w:eastAsia="Palatino Linotype" w:hAnsi="Palatino Linotype" w:cs="Palatino Linotype"/>
          <w:i/>
        </w:rPr>
      </w:pPr>
      <w:bookmarkStart w:id="1" w:name="_Hlk122728518"/>
      <w:r w:rsidRPr="00A93EEB">
        <w:rPr>
          <w:rFonts w:ascii="Palatino Linotype" w:eastAsia="Palatino Linotype" w:hAnsi="Palatino Linotype" w:cs="Palatino Linotype"/>
          <w:i/>
        </w:rPr>
        <w:t>“</w:t>
      </w:r>
      <w:r w:rsidR="00A364FD" w:rsidRPr="00A93EEB">
        <w:rPr>
          <w:rFonts w:ascii="Palatino Linotype" w:eastAsia="Palatino Linotype" w:hAnsi="Palatino Linotype" w:cs="Palatino Linotype"/>
          <w:i/>
        </w:rPr>
        <w:t>SOLICITO DE LA MANERA MÁS ATENTA PLANOS HIDRÁULICOS DE LA UNIDAD HABITACIONAL ASA CUYO DOMICILIO SE UBICA EN LA AVENIDA TOLUCA SIN NÚMERO Y JOSEFA ORTIZ DE DOMÍNGUEZ, COLONIA SAGITARIO 4, UNIDAD HABITACIONAL ASA, MUNICIPIO DE ECATEPEC, ESTADO DE MÉXICO, C.P. 55297, ESTA UNIDAD HABITACIONAL FUE COORDINADA POR BANOBRAS, FOVISSSTE Y AEROPUERTOS Y SERVICIOS AUXILIARES (ASA)</w:t>
      </w:r>
      <w:proofErr w:type="gramStart"/>
      <w:r w:rsidR="00A364FD" w:rsidRPr="00A93EEB">
        <w:rPr>
          <w:rFonts w:ascii="Palatino Linotype" w:eastAsia="Palatino Linotype" w:hAnsi="Palatino Linotype" w:cs="Palatino Linotype"/>
          <w:i/>
        </w:rPr>
        <w:t>,DE</w:t>
      </w:r>
      <w:proofErr w:type="gramEnd"/>
      <w:r w:rsidR="00A364FD" w:rsidRPr="00A93EEB">
        <w:rPr>
          <w:rFonts w:ascii="Palatino Linotype" w:eastAsia="Palatino Linotype" w:hAnsi="Palatino Linotype" w:cs="Palatino Linotype"/>
          <w:i/>
        </w:rPr>
        <w:t xml:space="preserve"> IGUAL FORMA LOS PLANOS TUVIERON QUE SER </w:t>
      </w:r>
      <w:r w:rsidR="00A364FD" w:rsidRPr="00A93EEB">
        <w:rPr>
          <w:rFonts w:ascii="Palatino Linotype" w:eastAsia="Palatino Linotype" w:hAnsi="Palatino Linotype" w:cs="Palatino Linotype"/>
          <w:i/>
        </w:rPr>
        <w:lastRenderedPageBreak/>
        <w:t>ENTREGADOS AL MUNICIPIO DE ECATEPEC COMO PARTE DE LOS TRÁMITES DE CONSTRUCCIÓN. ASIMISMO, SOLICITO SE PROPORCIONE EL NOMBRE DE LA EMPRESA O INMOBILIARIA QUE CONSTRUYO LA UNIDAD HABITACIONAL ASA. AGRADEZCO SUS ATENCIONES. NOTA: ESTA UNIDAD HABITACIONAL FUE ENTREGADA A LOS TRABAJADORES DE AEROPUERTOS Y SERVICIOS AUXILIARES EN EL AÑO DE 1994.</w:t>
      </w:r>
      <w:r w:rsidR="00955B38" w:rsidRPr="00A93EEB">
        <w:rPr>
          <w:rFonts w:ascii="Palatino Linotype" w:eastAsia="Palatino Linotype" w:hAnsi="Palatino Linotype" w:cs="Palatino Linotype"/>
          <w:i/>
        </w:rPr>
        <w:t>”.</w:t>
      </w:r>
    </w:p>
    <w:p w14:paraId="189A30C1" w14:textId="77777777" w:rsidR="003F0671" w:rsidRPr="00A93EEB" w:rsidRDefault="003F0671" w:rsidP="00251A66">
      <w:pPr>
        <w:spacing w:after="0" w:line="360" w:lineRule="auto"/>
        <w:ind w:left="567" w:right="560"/>
        <w:jc w:val="both"/>
        <w:rPr>
          <w:rFonts w:ascii="Palatino Linotype" w:eastAsia="Palatino Linotype" w:hAnsi="Palatino Linotype" w:cs="Palatino Linotype"/>
          <w:i/>
        </w:rPr>
      </w:pPr>
    </w:p>
    <w:p w14:paraId="6E4D11E9" w14:textId="77777777" w:rsidR="003F0671" w:rsidRPr="00A93EEB" w:rsidRDefault="003C59FF"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b/>
          <w:sz w:val="24"/>
          <w:szCs w:val="24"/>
        </w:rPr>
        <w:t>Modalidad elegida para la entrega de la información:</w:t>
      </w:r>
      <w:r w:rsidRPr="00A93EEB">
        <w:rPr>
          <w:rFonts w:ascii="Palatino Linotype" w:eastAsia="Palatino Linotype" w:hAnsi="Palatino Linotype" w:cs="Palatino Linotype"/>
          <w:sz w:val="24"/>
          <w:szCs w:val="24"/>
        </w:rPr>
        <w:t xml:space="preserve"> a través del Sistema de Acceso a la Información Mexiquense (SAIMEX). </w:t>
      </w:r>
    </w:p>
    <w:p w14:paraId="059217B6" w14:textId="77777777" w:rsidR="00454069" w:rsidRPr="00A93EEB" w:rsidRDefault="00454069"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0A4484E" w14:textId="174408BA" w:rsidR="003F0671" w:rsidRPr="00A93EEB"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b/>
          <w:sz w:val="24"/>
          <w:szCs w:val="24"/>
        </w:rPr>
        <w:t>Respuesta.</w:t>
      </w:r>
      <w:r w:rsidRPr="00A93EEB">
        <w:rPr>
          <w:rFonts w:ascii="Palatino Linotype" w:eastAsia="Palatino Linotype" w:hAnsi="Palatino Linotype" w:cs="Palatino Linotype"/>
          <w:sz w:val="24"/>
          <w:szCs w:val="24"/>
        </w:rPr>
        <w:t xml:space="preserve"> </w:t>
      </w:r>
      <w:r w:rsidR="00A364FD" w:rsidRPr="00A93EEB">
        <w:rPr>
          <w:rFonts w:ascii="Palatino Linotype" w:eastAsia="Palatino Linotype" w:hAnsi="Palatino Linotype" w:cs="Palatino Linotype"/>
          <w:sz w:val="24"/>
          <w:szCs w:val="24"/>
        </w:rPr>
        <w:t xml:space="preserve">En fecha </w:t>
      </w:r>
      <w:r w:rsidR="00A364FD" w:rsidRPr="00A93EEB">
        <w:rPr>
          <w:rFonts w:ascii="Palatino Linotype" w:eastAsia="Palatino Linotype" w:hAnsi="Palatino Linotype" w:cs="Palatino Linotype"/>
          <w:b/>
          <w:sz w:val="24"/>
          <w:szCs w:val="24"/>
        </w:rPr>
        <w:t>veintitrés de noviembre de dos mil veintidós</w:t>
      </w:r>
      <w:r w:rsidR="00A364FD" w:rsidRPr="00A93EEB">
        <w:rPr>
          <w:rFonts w:ascii="Palatino Linotype" w:eastAsia="Palatino Linotype" w:hAnsi="Palatino Linotype" w:cs="Palatino Linotype"/>
          <w:sz w:val="24"/>
          <w:szCs w:val="24"/>
        </w:rPr>
        <w:t xml:space="preserve">, el Sujeto Obligado remitió respuesta a la solicitud de información, al tenor de lo siguiente: </w:t>
      </w:r>
    </w:p>
    <w:p w14:paraId="43FB3599" w14:textId="77777777" w:rsidR="00A364FD" w:rsidRPr="00A93EEB" w:rsidRDefault="00A364FD"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284B827" w14:textId="77777777" w:rsidR="00A364FD" w:rsidRPr="00A93EEB" w:rsidRDefault="00A364FD" w:rsidP="00251A66">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szCs w:val="24"/>
        </w:rPr>
      </w:pPr>
      <w:r w:rsidRPr="00A93EEB">
        <w:rPr>
          <w:rFonts w:ascii="Palatino Linotype" w:eastAsia="Palatino Linotype" w:hAnsi="Palatino Linotype" w:cs="Palatino Linotype"/>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0F7F65" w14:textId="78997F84" w:rsidR="00A364FD" w:rsidRPr="00A93EEB" w:rsidRDefault="00A364FD" w:rsidP="00251A66">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i/>
          <w:szCs w:val="24"/>
        </w:rPr>
        <w:t>El H. Ayuntamiento Constitucional de Ecatepec de Morelos hace de su conocimiento la respuesta emitida por: DIRECCIÓN DE DESARROLLO URBANO Y OBRAS PÚBLICAS, la cual se anexa al presente en formato PDF</w:t>
      </w:r>
      <w:r w:rsidRPr="00A93EEB">
        <w:rPr>
          <w:rFonts w:ascii="Palatino Linotype" w:eastAsia="Palatino Linotype" w:hAnsi="Palatino Linotype" w:cs="Palatino Linotype"/>
          <w:sz w:val="24"/>
          <w:szCs w:val="24"/>
        </w:rPr>
        <w:t>.</w:t>
      </w:r>
    </w:p>
    <w:p w14:paraId="08C4431B" w14:textId="3B82DD00" w:rsidR="00454069" w:rsidRPr="00A93EEB" w:rsidRDefault="00454069" w:rsidP="00251A66">
      <w:pPr>
        <w:spacing w:after="0" w:line="360" w:lineRule="auto"/>
        <w:ind w:right="560"/>
        <w:jc w:val="both"/>
        <w:rPr>
          <w:rFonts w:ascii="Palatino Linotype" w:eastAsia="Palatino Linotype" w:hAnsi="Palatino Linotype" w:cs="Palatino Linotype"/>
          <w:szCs w:val="24"/>
        </w:rPr>
      </w:pPr>
      <w:r w:rsidRPr="00A93EEB">
        <w:rPr>
          <w:rFonts w:ascii="Palatino Linotype" w:eastAsia="Palatino Linotype" w:hAnsi="Palatino Linotype" w:cs="Palatino Linotype"/>
          <w:szCs w:val="24"/>
        </w:rPr>
        <w:t xml:space="preserve"> </w:t>
      </w:r>
    </w:p>
    <w:p w14:paraId="33BDD281" w14:textId="2F1A2B4D" w:rsidR="00A364FD" w:rsidRPr="00A93EEB" w:rsidRDefault="00A364FD" w:rsidP="00251A66">
      <w:pPr>
        <w:spacing w:after="0" w:line="360" w:lineRule="auto"/>
        <w:ind w:right="560"/>
        <w:jc w:val="both"/>
        <w:rPr>
          <w:rFonts w:ascii="Palatino Linotype" w:eastAsia="Palatino Linotype" w:hAnsi="Palatino Linotype" w:cs="Palatino Linotype"/>
          <w:szCs w:val="24"/>
        </w:rPr>
      </w:pPr>
      <w:r w:rsidRPr="00A93EEB">
        <w:rPr>
          <w:rFonts w:ascii="Palatino Linotype" w:eastAsia="Palatino Linotype" w:hAnsi="Palatino Linotype" w:cs="Palatino Linotype"/>
          <w:szCs w:val="24"/>
        </w:rPr>
        <w:t xml:space="preserve">Asimismo, anexó a su respuesta el archivo que se describe a continuación: </w:t>
      </w:r>
    </w:p>
    <w:p w14:paraId="77591226" w14:textId="77777777" w:rsidR="00A364FD" w:rsidRPr="00A93EEB" w:rsidRDefault="00A364FD" w:rsidP="00251A66">
      <w:pPr>
        <w:spacing w:after="0" w:line="360" w:lineRule="auto"/>
        <w:ind w:right="560"/>
        <w:jc w:val="both"/>
        <w:rPr>
          <w:rFonts w:ascii="Palatino Linotype" w:eastAsia="Palatino Linotype" w:hAnsi="Palatino Linotype" w:cs="Palatino Linotype"/>
          <w:szCs w:val="24"/>
        </w:rPr>
      </w:pPr>
    </w:p>
    <w:p w14:paraId="1E5F99CF" w14:textId="4D6EA55A" w:rsidR="00A364FD" w:rsidRPr="00A93EEB" w:rsidRDefault="00A364FD" w:rsidP="00251A66">
      <w:pPr>
        <w:pStyle w:val="Prrafodelista"/>
        <w:numPr>
          <w:ilvl w:val="0"/>
          <w:numId w:val="27"/>
        </w:numPr>
        <w:spacing w:after="0" w:line="360" w:lineRule="auto"/>
        <w:ind w:right="560"/>
        <w:jc w:val="both"/>
        <w:rPr>
          <w:rFonts w:ascii="Palatino Linotype" w:eastAsia="Palatino Linotype" w:hAnsi="Palatino Linotype" w:cs="Palatino Linotype"/>
          <w:szCs w:val="24"/>
        </w:rPr>
      </w:pPr>
      <w:r w:rsidRPr="00A93EEB">
        <w:rPr>
          <w:rFonts w:ascii="Palatino Linotype" w:eastAsia="Palatino Linotype" w:hAnsi="Palatino Linotype" w:cs="Palatino Linotype"/>
          <w:szCs w:val="24"/>
        </w:rPr>
        <w:t xml:space="preserve">Oficio de fecha veintitrés de noviembre de dos mil veintidós, signado por el Titular de la Unidad de Transparencia, mediante el cual informa que se hace del conocimiento la respuesta emitida por la Dirección de Desarrollo Urbano y Obras Públicas, la cual se anexa. </w:t>
      </w:r>
    </w:p>
    <w:p w14:paraId="56B734BA" w14:textId="7AFFA75E" w:rsidR="00A364FD" w:rsidRPr="00A93EEB" w:rsidRDefault="00A364FD" w:rsidP="00251A66">
      <w:pPr>
        <w:pStyle w:val="Prrafodelista"/>
        <w:numPr>
          <w:ilvl w:val="0"/>
          <w:numId w:val="27"/>
        </w:numPr>
        <w:spacing w:after="0" w:line="360" w:lineRule="auto"/>
        <w:ind w:right="560"/>
        <w:jc w:val="both"/>
        <w:rPr>
          <w:rFonts w:ascii="Palatino Linotype" w:eastAsia="Palatino Linotype" w:hAnsi="Palatino Linotype" w:cs="Palatino Linotype"/>
          <w:szCs w:val="24"/>
        </w:rPr>
      </w:pPr>
      <w:r w:rsidRPr="00A93EEB">
        <w:rPr>
          <w:rFonts w:ascii="Palatino Linotype" w:eastAsia="Palatino Linotype" w:hAnsi="Palatino Linotype" w:cs="Palatino Linotype"/>
          <w:szCs w:val="24"/>
        </w:rPr>
        <w:t xml:space="preserve">Oficio número </w:t>
      </w:r>
      <w:proofErr w:type="spellStart"/>
      <w:r w:rsidRPr="00A93EEB">
        <w:rPr>
          <w:rFonts w:ascii="Palatino Linotype" w:eastAsia="Palatino Linotype" w:hAnsi="Palatino Linotype" w:cs="Palatino Linotype"/>
          <w:szCs w:val="24"/>
        </w:rPr>
        <w:t>DDUyOP</w:t>
      </w:r>
      <w:proofErr w:type="spellEnd"/>
      <w:r w:rsidRPr="00A93EEB">
        <w:rPr>
          <w:rFonts w:ascii="Palatino Linotype" w:eastAsia="Palatino Linotype" w:hAnsi="Palatino Linotype" w:cs="Palatino Linotype"/>
          <w:szCs w:val="24"/>
        </w:rPr>
        <w:t xml:space="preserve">/ECA/08995/2022 de fecha dieciocho de noviembre de dos mil veintidós, signado por el Director de Desarrollo Urbano, mediante el cual </w:t>
      </w:r>
      <w:r w:rsidRPr="00A93EEB">
        <w:rPr>
          <w:rFonts w:ascii="Palatino Linotype" w:eastAsia="Palatino Linotype" w:hAnsi="Palatino Linotype" w:cs="Palatino Linotype"/>
          <w:szCs w:val="24"/>
        </w:rPr>
        <w:lastRenderedPageBreak/>
        <w:t>informa que, de conformidad con el escrito enviado por la Subdirección de Desarrollo Urbano; para atender lo solicitado, se informa que después de haber realizado una búsqueda exhaustiva y razonable en los archivos de la Subdirección de Desarrollo Urbano, no se encontró registro alguno que haga referencia a la entrega-recepción de la Unidad Habitacional ASA, ubicada en Av. Toluca, sin número de la Colonia Sagitario IV, Municipio de Ecatepec de Morelos, Estado de México.</w:t>
      </w:r>
      <w:r w:rsidRPr="00A93EEB">
        <w:rPr>
          <w:rFonts w:ascii="Palatino Linotype" w:eastAsia="Palatino Linotype" w:hAnsi="Palatino Linotype" w:cs="Palatino Linotype"/>
          <w:b/>
          <w:szCs w:val="24"/>
        </w:rPr>
        <w:t xml:space="preserve"> </w:t>
      </w:r>
    </w:p>
    <w:p w14:paraId="19FBE73E" w14:textId="77777777" w:rsidR="00A364FD" w:rsidRPr="00A93EEB" w:rsidRDefault="00A364FD" w:rsidP="00251A66">
      <w:pPr>
        <w:spacing w:after="0" w:line="360" w:lineRule="auto"/>
        <w:ind w:right="560"/>
        <w:jc w:val="both"/>
        <w:rPr>
          <w:rFonts w:ascii="Palatino Linotype" w:eastAsia="Palatino Linotype" w:hAnsi="Palatino Linotype" w:cs="Palatino Linotype"/>
          <w:szCs w:val="24"/>
        </w:rPr>
      </w:pPr>
    </w:p>
    <w:p w14:paraId="6C4F09D8" w14:textId="2E3ED552" w:rsidR="003F0671" w:rsidRPr="00A93EEB" w:rsidRDefault="00EE3C01"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b/>
          <w:sz w:val="24"/>
          <w:szCs w:val="24"/>
        </w:rPr>
        <w:t>Recurso de revisión.</w:t>
      </w:r>
      <w:r w:rsidRPr="00A93EEB">
        <w:rPr>
          <w:rFonts w:ascii="Palatino Linotype" w:eastAsia="Palatino Linotype" w:hAnsi="Palatino Linotype" w:cs="Palatino Linotype"/>
          <w:sz w:val="24"/>
          <w:szCs w:val="24"/>
        </w:rPr>
        <w:t xml:space="preserve"> </w:t>
      </w:r>
      <w:r w:rsidR="003C59FF" w:rsidRPr="00A93EEB">
        <w:rPr>
          <w:rFonts w:ascii="Palatino Linotype" w:eastAsia="Palatino Linotype" w:hAnsi="Palatino Linotype" w:cs="Palatino Linotype"/>
          <w:sz w:val="24"/>
          <w:szCs w:val="24"/>
        </w:rPr>
        <w:t>El Particular, derivado de la</w:t>
      </w:r>
      <w:r w:rsidR="00955B38" w:rsidRPr="00A93EEB">
        <w:rPr>
          <w:rFonts w:ascii="Palatino Linotype" w:eastAsia="Palatino Linotype" w:hAnsi="Palatino Linotype" w:cs="Palatino Linotype"/>
          <w:sz w:val="24"/>
          <w:szCs w:val="24"/>
        </w:rPr>
        <w:t xml:space="preserve"> falta de</w:t>
      </w:r>
      <w:r w:rsidR="003C59FF" w:rsidRPr="00A93EEB">
        <w:rPr>
          <w:rFonts w:ascii="Palatino Linotype" w:eastAsia="Palatino Linotype" w:hAnsi="Palatino Linotype" w:cs="Palatino Linotype"/>
          <w:sz w:val="24"/>
          <w:szCs w:val="24"/>
        </w:rPr>
        <w:t xml:space="preserve"> respuesta del </w:t>
      </w:r>
      <w:r w:rsidR="003C59FF" w:rsidRPr="00A93EEB">
        <w:rPr>
          <w:rFonts w:ascii="Palatino Linotype" w:eastAsia="Palatino Linotype" w:hAnsi="Palatino Linotype" w:cs="Palatino Linotype"/>
          <w:b/>
          <w:sz w:val="24"/>
          <w:szCs w:val="24"/>
        </w:rPr>
        <w:t>SUJETO OBLIGADO</w:t>
      </w:r>
      <w:r w:rsidR="003C59FF" w:rsidRPr="00A93EEB">
        <w:rPr>
          <w:rFonts w:ascii="Palatino Linotype" w:eastAsia="Palatino Linotype" w:hAnsi="Palatino Linotype" w:cs="Palatino Linotype"/>
          <w:sz w:val="24"/>
          <w:szCs w:val="24"/>
        </w:rPr>
        <w:t xml:space="preserve"> interpuso Recurso de Revisión a través del </w:t>
      </w:r>
      <w:r w:rsidR="003C59FF" w:rsidRPr="00A93EEB">
        <w:rPr>
          <w:rFonts w:ascii="Palatino Linotype" w:eastAsia="Palatino Linotype" w:hAnsi="Palatino Linotype" w:cs="Palatino Linotype"/>
          <w:b/>
          <w:sz w:val="24"/>
          <w:szCs w:val="24"/>
        </w:rPr>
        <w:t>SAIMEX</w:t>
      </w:r>
      <w:r w:rsidR="003C59FF" w:rsidRPr="00A93EEB">
        <w:rPr>
          <w:rFonts w:ascii="Palatino Linotype" w:eastAsia="Palatino Linotype" w:hAnsi="Palatino Linotype" w:cs="Palatino Linotype"/>
          <w:sz w:val="24"/>
          <w:szCs w:val="24"/>
        </w:rPr>
        <w:t xml:space="preserve"> en fecha </w:t>
      </w:r>
      <w:r w:rsidR="00A364FD" w:rsidRPr="00A93EEB">
        <w:rPr>
          <w:rFonts w:ascii="Palatino Linotype" w:eastAsia="Palatino Linotype" w:hAnsi="Palatino Linotype" w:cs="Palatino Linotype"/>
          <w:b/>
          <w:sz w:val="24"/>
          <w:szCs w:val="24"/>
        </w:rPr>
        <w:t>veintitrés de noviembre</w:t>
      </w:r>
      <w:r w:rsidR="003C59FF" w:rsidRPr="00A93EEB">
        <w:rPr>
          <w:rFonts w:ascii="Palatino Linotype" w:eastAsia="Palatino Linotype" w:hAnsi="Palatino Linotype" w:cs="Palatino Linotype"/>
          <w:b/>
          <w:sz w:val="24"/>
          <w:szCs w:val="24"/>
        </w:rPr>
        <w:t xml:space="preserve"> de dos mil veintidós</w:t>
      </w:r>
      <w:r w:rsidR="003C59FF" w:rsidRPr="00A93EEB">
        <w:rPr>
          <w:rFonts w:ascii="Palatino Linotype" w:eastAsia="Palatino Linotype" w:hAnsi="Palatino Linotype" w:cs="Palatino Linotype"/>
          <w:sz w:val="24"/>
          <w:szCs w:val="24"/>
        </w:rPr>
        <w:t>, a través del cual expresó lo siguiente:</w:t>
      </w:r>
    </w:p>
    <w:p w14:paraId="2F3995A9" w14:textId="77777777" w:rsidR="003F0671" w:rsidRPr="00A93EEB" w:rsidRDefault="003F067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F2F4757" w14:textId="22D8726A" w:rsidR="003F0671" w:rsidRPr="00A93EEB" w:rsidRDefault="003C59FF" w:rsidP="00251A66">
      <w:pPr>
        <w:numPr>
          <w:ilvl w:val="0"/>
          <w:numId w:val="5"/>
        </w:numPr>
        <w:pBdr>
          <w:top w:val="nil"/>
          <w:left w:val="nil"/>
          <w:bottom w:val="nil"/>
          <w:right w:val="nil"/>
          <w:between w:val="nil"/>
        </w:pBdr>
        <w:tabs>
          <w:tab w:val="left" w:pos="851"/>
        </w:tabs>
        <w:spacing w:after="0" w:line="360" w:lineRule="auto"/>
        <w:ind w:left="567" w:right="701" w:firstLine="0"/>
        <w:jc w:val="both"/>
        <w:rPr>
          <w:rFonts w:ascii="Palatino Linotype" w:eastAsia="Palatino Linotype" w:hAnsi="Palatino Linotype" w:cs="Palatino Linotype"/>
          <w:b/>
          <w:sz w:val="24"/>
          <w:szCs w:val="24"/>
        </w:rPr>
      </w:pPr>
      <w:r w:rsidRPr="00A93EEB">
        <w:rPr>
          <w:rFonts w:ascii="Palatino Linotype" w:eastAsia="Palatino Linotype" w:hAnsi="Palatino Linotype" w:cs="Palatino Linotype"/>
          <w:b/>
          <w:sz w:val="24"/>
          <w:szCs w:val="24"/>
        </w:rPr>
        <w:t xml:space="preserve">Acto impugnado. </w:t>
      </w:r>
      <w:r w:rsidRPr="00A93EEB">
        <w:rPr>
          <w:rFonts w:ascii="Palatino Linotype" w:eastAsia="Palatino Linotype" w:hAnsi="Palatino Linotype" w:cs="Palatino Linotype"/>
          <w:i/>
          <w:iCs/>
        </w:rPr>
        <w:t>“</w:t>
      </w:r>
      <w:r w:rsidR="00A364FD" w:rsidRPr="00A93EEB">
        <w:rPr>
          <w:rFonts w:ascii="Palatino Linotype" w:eastAsia="Palatino Linotype" w:hAnsi="Palatino Linotype" w:cs="Palatino Linotype"/>
          <w:i/>
          <w:iCs/>
        </w:rPr>
        <w:t xml:space="preserve">RESULTA POCO CREÍBLE QUE UNA </w:t>
      </w:r>
      <w:r w:rsidR="00A364FD" w:rsidRPr="00A93EEB">
        <w:rPr>
          <w:rFonts w:ascii="Palatino Linotype" w:eastAsia="Palatino Linotype" w:hAnsi="Palatino Linotype" w:cs="Palatino Linotype"/>
          <w:b/>
          <w:i/>
          <w:iCs/>
          <w:u w:val="single"/>
        </w:rPr>
        <w:t>OBRA DE TAL MAGNITUD NO HAYA CUMPLIDO CON LOS TRÁMITES DE RIGOR</w:t>
      </w:r>
      <w:r w:rsidR="00A364FD" w:rsidRPr="00A93EEB">
        <w:rPr>
          <w:rFonts w:ascii="Palatino Linotype" w:eastAsia="Palatino Linotype" w:hAnsi="Palatino Linotype" w:cs="Palatino Linotype"/>
          <w:i/>
          <w:iCs/>
        </w:rPr>
        <w:t xml:space="preserve">, PERO AUN ESTA ENTREGA-RECEPCIÓN SE </w:t>
      </w:r>
      <w:r w:rsidR="00A364FD" w:rsidRPr="00A93EEB">
        <w:rPr>
          <w:rFonts w:ascii="Palatino Linotype" w:eastAsia="Palatino Linotype" w:hAnsi="Palatino Linotype" w:cs="Palatino Linotype"/>
          <w:b/>
          <w:i/>
          <w:iCs/>
          <w:u w:val="single"/>
        </w:rPr>
        <w:t xml:space="preserve">DEBE TENER LOS PLANOS AL INICIO DE LA OBRA </w:t>
      </w:r>
      <w:r w:rsidR="00A364FD" w:rsidRPr="00A93EEB">
        <w:rPr>
          <w:rFonts w:ascii="Palatino Linotype" w:eastAsia="Palatino Linotype" w:hAnsi="Palatino Linotype" w:cs="Palatino Linotype"/>
          <w:i/>
          <w:iCs/>
        </w:rPr>
        <w:t xml:space="preserve">PARA OTORGAR LOS PERMISOS CORRESPONDIENTES, POR LO CUAL NO FUE UNA BÚSQUEDA EXHAUSTIVA. AUNADO A QUE LA INEXISTENCIA NO FUE CONFIRMADA POR SU COMITÉ DE TRANSPARENCIA Y NO SE DETALLARON LAS CIRCUNSTANCIAS DE TIEMPO MODO Y LUGAR DE DICHA INEXISTENCIA QUE BRINDE LOS ELEMENTOS DE CONVICCIÓN DE QUE SE HIZO UNA BÚSQUEDA EXHAUSTIVA EN TODAS LAS ÁREAS DEL MUNICIPIO QUE PUEDA CONTAR CON DICHOS PLANOS. NO SE DEBE OLVIDAR EL VALOR HISTÓRICO DE DICHOS PLANOS POR LO QUE DEBEN SER RESGUARDADOS COMO LO MARCA SU NORMATIVIDAD EN MATERIA DE ARCHIVOS. AGRADECERÉ QUE SE PROPORCIONEN DICHOS PLANOS </w:t>
      </w:r>
      <w:r w:rsidR="00A364FD" w:rsidRPr="00A93EEB">
        <w:rPr>
          <w:rFonts w:ascii="Palatino Linotype" w:eastAsia="Palatino Linotype" w:hAnsi="Palatino Linotype" w:cs="Palatino Linotype"/>
          <w:i/>
          <w:iCs/>
        </w:rPr>
        <w:lastRenderedPageBreak/>
        <w:t>TODA VEZ QUE CIENTOS DE FAMILIAS NOS ENCONTRAMOS CON PROBLEMAS DE AGUA QUE NO PUEDEN SER ATENDIDOS POR LA FALTA DE ESTOS PLANOS, SIENDO ESTA UNA NECESIDAD BÁSICA Y UN DERECHO HUMANOS.</w:t>
      </w:r>
      <w:r w:rsidRPr="00A93EEB">
        <w:rPr>
          <w:rFonts w:ascii="Palatino Linotype" w:eastAsia="Palatino Linotype" w:hAnsi="Palatino Linotype" w:cs="Palatino Linotype"/>
          <w:i/>
          <w:iCs/>
        </w:rPr>
        <w:t>”.</w:t>
      </w:r>
    </w:p>
    <w:p w14:paraId="63D0B15D" w14:textId="77777777" w:rsidR="003F0671" w:rsidRPr="00A93EEB" w:rsidRDefault="003F0671" w:rsidP="00251A66">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sz w:val="24"/>
          <w:szCs w:val="24"/>
        </w:rPr>
      </w:pPr>
    </w:p>
    <w:p w14:paraId="5831380B" w14:textId="2F4B5F09" w:rsidR="003F0671" w:rsidRPr="00A93EEB" w:rsidRDefault="003C59FF" w:rsidP="00251A66">
      <w:pPr>
        <w:numPr>
          <w:ilvl w:val="0"/>
          <w:numId w:val="5"/>
        </w:numPr>
        <w:pBdr>
          <w:top w:val="nil"/>
          <w:left w:val="nil"/>
          <w:bottom w:val="nil"/>
          <w:right w:val="nil"/>
          <w:between w:val="nil"/>
        </w:pBdr>
        <w:tabs>
          <w:tab w:val="left" w:pos="709"/>
          <w:tab w:val="left" w:pos="851"/>
        </w:tabs>
        <w:spacing w:after="0" w:line="360" w:lineRule="auto"/>
        <w:ind w:left="567" w:right="701" w:firstLine="0"/>
        <w:jc w:val="both"/>
        <w:rPr>
          <w:rFonts w:ascii="Palatino Linotype" w:eastAsia="Palatino Linotype" w:hAnsi="Palatino Linotype" w:cs="Palatino Linotype"/>
          <w:b/>
          <w:i/>
          <w:iCs/>
          <w:sz w:val="24"/>
          <w:szCs w:val="24"/>
        </w:rPr>
      </w:pPr>
      <w:r w:rsidRPr="00A93EEB">
        <w:rPr>
          <w:rFonts w:ascii="Palatino Linotype" w:eastAsia="Palatino Linotype" w:hAnsi="Palatino Linotype" w:cs="Palatino Linotype"/>
          <w:b/>
          <w:sz w:val="24"/>
          <w:szCs w:val="24"/>
        </w:rPr>
        <w:t xml:space="preserve">Razones o motivos de la inconformidad: </w:t>
      </w:r>
      <w:r w:rsidRPr="00A93EEB">
        <w:rPr>
          <w:rFonts w:ascii="Palatino Linotype" w:eastAsia="Palatino Linotype" w:hAnsi="Palatino Linotype" w:cs="Palatino Linotype"/>
          <w:i/>
          <w:iCs/>
        </w:rPr>
        <w:t>“</w:t>
      </w:r>
      <w:r w:rsidR="00AD2CEE" w:rsidRPr="00A93EEB">
        <w:rPr>
          <w:rFonts w:ascii="Palatino Linotype" w:eastAsia="Palatino Linotype" w:hAnsi="Palatino Linotype" w:cs="Palatino Linotype"/>
          <w:i/>
          <w:iCs/>
        </w:rPr>
        <w:t>RESULTA POCO CREÍBLE QUE UNA OBRA DE TAL MAGNITUD NO HAYA CUMPLIDO CON LOS TRÁMITES DE RIGOR, PERO AUN ESTA ENTREGA-RECEPCIÓN SE DEBE TENER LOS PLANOS AL INICIO DE LA OBRA PARA OTORGAR LOS PERMISOS CORRESPONDIENTES, POR LO CUAL NO FUE UNA BÚSQUEDA EXHAUSTIVA. AUNADO A QUE LA INEXISTENCIA NO FUE CONFIRMADA POR SU COMITÉ DE TRANSPARENCIA Y NO SE DETALLARON LAS CIRCUNSTANCIAS DE TIEMPO MODO Y LUGAR DE DICHA INEXISTENCIA QUE BRINDE LOS ELEMENTOS DE CONVICCIÓN DE QUE SE HIZO UNA BÚSQUEDA EXHAUSTIVA EN TODAS LAS ÁREAS DEL MUNICIPIO QUE PUEDA CONTAR CON DICHOS PLANOS. NO SE DEBE OLVIDAR EL VALOR HISTÓRICO DE DICHOS PLANOS POR LO QUE DEBEN SER RESGUARDADOS COMO LO MARCA SU NORMATIVIDAD EN MATERIA DE ARCHIVOS. AGRADECERÉ QUE SE PROPORCIONEN DICHOS PLANOS TODA VEZ QUE CIENTOS DE FAMILIAS NOS ENCONTRAMOS CON PROBLEMAS DE AGUA QUE NO PUEDEN SER ATENDIDOS POR LA FALTA DE ESTOS PLANOS, SIENDO ESTA UNA NECESIDAD BÁSICA Y UN DERECHO HUMANOS.</w:t>
      </w:r>
      <w:r w:rsidRPr="00A93EEB">
        <w:rPr>
          <w:rFonts w:ascii="Palatino Linotype" w:eastAsia="Palatino Linotype" w:hAnsi="Palatino Linotype" w:cs="Palatino Linotype"/>
          <w:i/>
          <w:iCs/>
        </w:rPr>
        <w:t>”.</w:t>
      </w:r>
    </w:p>
    <w:bookmarkEnd w:id="1"/>
    <w:p w14:paraId="733FD01D" w14:textId="77777777" w:rsidR="003F0671" w:rsidRPr="00A93EEB" w:rsidRDefault="003F0671" w:rsidP="00251A66">
      <w:pPr>
        <w:spacing w:after="0" w:line="360" w:lineRule="auto"/>
        <w:ind w:right="49"/>
        <w:jc w:val="both"/>
        <w:rPr>
          <w:rFonts w:ascii="Palatino Linotype" w:eastAsia="Palatino Linotype" w:hAnsi="Palatino Linotype" w:cs="Palatino Linotype"/>
          <w:sz w:val="24"/>
          <w:szCs w:val="24"/>
        </w:rPr>
      </w:pPr>
    </w:p>
    <w:p w14:paraId="721FEBBB" w14:textId="489C8613" w:rsidR="003F0671" w:rsidRPr="00A93EEB"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b/>
          <w:sz w:val="24"/>
          <w:szCs w:val="24"/>
        </w:rPr>
        <w:t>Turno.</w:t>
      </w:r>
      <w:r w:rsidRPr="00A93EEB">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w:t>
      </w:r>
      <w:r w:rsidRPr="00A93EEB">
        <w:rPr>
          <w:rFonts w:ascii="Palatino Linotype" w:eastAsia="Palatino Linotype" w:hAnsi="Palatino Linotype" w:cs="Palatino Linotype"/>
          <w:sz w:val="24"/>
          <w:szCs w:val="24"/>
        </w:rPr>
        <w:lastRenderedPageBreak/>
        <w:t xml:space="preserve">el recurso de revisión número </w:t>
      </w:r>
      <w:r w:rsidR="00AD2CEE" w:rsidRPr="00A93EEB">
        <w:rPr>
          <w:rFonts w:ascii="Palatino Linotype" w:eastAsia="Palatino Linotype" w:hAnsi="Palatino Linotype" w:cs="Palatino Linotype"/>
          <w:b/>
          <w:sz w:val="24"/>
          <w:szCs w:val="24"/>
        </w:rPr>
        <w:t>16849</w:t>
      </w:r>
      <w:r w:rsidRPr="00A93EEB">
        <w:rPr>
          <w:rFonts w:ascii="Palatino Linotype" w:eastAsia="Palatino Linotype" w:hAnsi="Palatino Linotype" w:cs="Palatino Linotype"/>
          <w:b/>
          <w:sz w:val="24"/>
          <w:szCs w:val="24"/>
        </w:rPr>
        <w:t>/INFOEM/IP/RR/2022</w:t>
      </w:r>
      <w:r w:rsidRPr="00A93EEB">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DA3673C" w14:textId="77777777" w:rsidR="003F0671" w:rsidRPr="00A93EEB" w:rsidRDefault="003F067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0BC3DD8" w14:textId="751A23F2" w:rsidR="003F0671" w:rsidRPr="00A93EEB"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b/>
          <w:sz w:val="24"/>
          <w:szCs w:val="24"/>
        </w:rPr>
        <w:t>Admisión del recurso de revisión</w:t>
      </w:r>
      <w:r w:rsidRPr="00A93EEB">
        <w:rPr>
          <w:rFonts w:ascii="Palatino Linotype" w:eastAsia="Palatino Linotype" w:hAnsi="Palatino Linotype" w:cs="Palatino Linotype"/>
          <w:sz w:val="24"/>
          <w:szCs w:val="24"/>
        </w:rPr>
        <w:t xml:space="preserve">: En fecha </w:t>
      </w:r>
      <w:r w:rsidR="00AD2CEE" w:rsidRPr="00A93EEB">
        <w:rPr>
          <w:rFonts w:ascii="Palatino Linotype" w:eastAsia="Palatino Linotype" w:hAnsi="Palatino Linotype" w:cs="Palatino Linotype"/>
          <w:b/>
          <w:sz w:val="24"/>
          <w:szCs w:val="24"/>
        </w:rPr>
        <w:t>veintiocho de noviembre</w:t>
      </w:r>
      <w:r w:rsidRPr="00A93EEB">
        <w:rPr>
          <w:rFonts w:ascii="Palatino Linotype" w:eastAsia="Palatino Linotype" w:hAnsi="Palatino Linotype" w:cs="Palatino Linotype"/>
          <w:b/>
          <w:sz w:val="24"/>
          <w:szCs w:val="24"/>
        </w:rPr>
        <w:t xml:space="preserve"> de dos mil veintidós</w:t>
      </w:r>
      <w:r w:rsidR="006A069A" w:rsidRPr="00A93EEB">
        <w:rPr>
          <w:rFonts w:ascii="Palatino Linotype" w:eastAsia="Palatino Linotype" w:hAnsi="Palatino Linotype" w:cs="Palatino Linotype"/>
          <w:sz w:val="24"/>
          <w:szCs w:val="24"/>
        </w:rPr>
        <w:t>, la Comisionada Ponente</w:t>
      </w:r>
      <w:r w:rsidRPr="00A93EEB">
        <w:rPr>
          <w:rFonts w:ascii="Palatino Linotype" w:eastAsia="Palatino Linotype" w:hAnsi="Palatino Linotype" w:cs="Palatino Linotype"/>
          <w:sz w:val="24"/>
          <w:szCs w:val="24"/>
        </w:rPr>
        <w:t xml:space="preserv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37D06A68" w14:textId="77777777" w:rsidR="00AD2CEE" w:rsidRPr="00A93EEB" w:rsidRDefault="00AD2CEE"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4CF3CAE" w14:textId="6B85BFF9" w:rsidR="00AD2CEE" w:rsidRPr="00A93EEB" w:rsidRDefault="006A069A"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b/>
          <w:sz w:val="24"/>
          <w:szCs w:val="24"/>
        </w:rPr>
        <w:t xml:space="preserve">Informe Justificado. </w:t>
      </w:r>
      <w:r w:rsidR="00AD2CEE" w:rsidRPr="00A93EEB">
        <w:rPr>
          <w:rFonts w:ascii="Palatino Linotype" w:eastAsia="Palatino Linotype" w:hAnsi="Palatino Linotype" w:cs="Palatino Linotype"/>
          <w:sz w:val="24"/>
          <w:szCs w:val="24"/>
        </w:rPr>
        <w:t xml:space="preserve">En fecha </w:t>
      </w:r>
      <w:r w:rsidR="00AD2CEE" w:rsidRPr="00A93EEB">
        <w:rPr>
          <w:rFonts w:ascii="Palatino Linotype" w:eastAsia="Palatino Linotype" w:hAnsi="Palatino Linotype" w:cs="Palatino Linotype"/>
          <w:b/>
          <w:sz w:val="24"/>
          <w:szCs w:val="24"/>
        </w:rPr>
        <w:t>dieciocho de enero de dos mil veintitrés</w:t>
      </w:r>
      <w:r w:rsidR="00AD2CEE" w:rsidRPr="00A93EEB">
        <w:rPr>
          <w:rFonts w:ascii="Palatino Linotype" w:eastAsia="Palatino Linotype" w:hAnsi="Palatino Linotype" w:cs="Palatino Linotype"/>
          <w:sz w:val="24"/>
          <w:szCs w:val="24"/>
        </w:rPr>
        <w:t>,</w:t>
      </w:r>
      <w:r w:rsidR="00AD2CEE" w:rsidRPr="00A93EEB">
        <w:rPr>
          <w:rFonts w:ascii="Palatino Linotype" w:eastAsia="Palatino Linotype" w:hAnsi="Palatino Linotype" w:cs="Palatino Linotype"/>
          <w:b/>
          <w:sz w:val="24"/>
          <w:szCs w:val="24"/>
        </w:rPr>
        <w:t xml:space="preserve"> </w:t>
      </w:r>
      <w:r w:rsidR="00955B38" w:rsidRPr="00A93EEB">
        <w:rPr>
          <w:rFonts w:ascii="Palatino Linotype" w:eastAsia="Palatino Linotype" w:hAnsi="Palatino Linotype" w:cs="Palatino Linotype"/>
          <w:sz w:val="24"/>
          <w:szCs w:val="24"/>
        </w:rPr>
        <w:t xml:space="preserve">el Sujeto Obligado rindió su informe justificado mediante </w:t>
      </w:r>
      <w:r w:rsidR="00AD2CEE" w:rsidRPr="00A93EEB">
        <w:rPr>
          <w:rFonts w:ascii="Palatino Linotype" w:eastAsia="Palatino Linotype" w:hAnsi="Palatino Linotype" w:cs="Palatino Linotype"/>
          <w:sz w:val="24"/>
          <w:szCs w:val="24"/>
        </w:rPr>
        <w:t xml:space="preserve">los documentos que se describen a continuación: </w:t>
      </w:r>
    </w:p>
    <w:p w14:paraId="3E67DFBC" w14:textId="77777777" w:rsidR="00AD2CEE" w:rsidRPr="00A93EEB" w:rsidRDefault="00AD2CEE"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p>
    <w:p w14:paraId="209D412A" w14:textId="61424B00" w:rsidR="006A069A" w:rsidRPr="00A93EEB" w:rsidRDefault="00AD2CEE" w:rsidP="00251A66">
      <w:pPr>
        <w:pStyle w:val="Prrafodelista"/>
        <w:numPr>
          <w:ilvl w:val="0"/>
          <w:numId w:val="28"/>
        </w:num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A93EEB">
        <w:rPr>
          <w:rFonts w:ascii="Palatino Linotype" w:eastAsia="Palatino Linotype" w:hAnsi="Palatino Linotype" w:cs="Palatino Linotype"/>
          <w:szCs w:val="24"/>
        </w:rPr>
        <w:t>Oficio de fecha dieciocho de enero de dos mil veintitrés, signado por el titular de la Unidad de Transparencia, mediante el cual informa que se anexa la respuesta emitida por e</w:t>
      </w:r>
      <w:r w:rsidR="00475629" w:rsidRPr="00A93EEB">
        <w:rPr>
          <w:rFonts w:ascii="Palatino Linotype" w:eastAsia="Palatino Linotype" w:hAnsi="Palatino Linotype" w:cs="Palatino Linotype"/>
          <w:szCs w:val="24"/>
        </w:rPr>
        <w:t xml:space="preserve">l Director de Desarrollo Urbano y Obras Públicas. </w:t>
      </w:r>
    </w:p>
    <w:p w14:paraId="5E90A6C4" w14:textId="604B5E9A" w:rsidR="00475629" w:rsidRPr="00A93EEB" w:rsidRDefault="00475629" w:rsidP="00251A66">
      <w:pPr>
        <w:pStyle w:val="Prrafodelista"/>
        <w:numPr>
          <w:ilvl w:val="0"/>
          <w:numId w:val="28"/>
        </w:num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A93EEB">
        <w:rPr>
          <w:rFonts w:ascii="Palatino Linotype" w:eastAsia="Palatino Linotype" w:hAnsi="Palatino Linotype" w:cs="Palatino Linotype"/>
          <w:szCs w:val="24"/>
        </w:rPr>
        <w:t xml:space="preserve">Oficio de fecha dieciséis de enero de dos mil veintitrés, signado por el Director de Desarrollo Urbano y Obras Públicas, mediante el cual informa que derivado de una búsqueda exhaustiva y razonable en los archivos de la Subdirección de Desarrollo Urbano, no se encontró ningún documento en donde el Gobierno del Estado de México haya realizado la entrega física y documental de la Unidad Habitacional ASA, ubicada en Av. Toluca sin número de la Colonia Sagitario IV, Municipio de </w:t>
      </w:r>
      <w:r w:rsidRPr="00A93EEB">
        <w:rPr>
          <w:rFonts w:ascii="Palatino Linotype" w:eastAsia="Palatino Linotype" w:hAnsi="Palatino Linotype" w:cs="Palatino Linotype"/>
          <w:szCs w:val="24"/>
        </w:rPr>
        <w:lastRenderedPageBreak/>
        <w:t xml:space="preserve">Ecatepec de Morelos, Estado de México. Sin embargo, como es mencionado por el Ing. Alfredo J. Alarcón Ornelas, sólo es una factibilidad de </w:t>
      </w:r>
      <w:r w:rsidR="00251A66" w:rsidRPr="00A93EEB">
        <w:rPr>
          <w:rFonts w:ascii="Palatino Linotype" w:eastAsia="Palatino Linotype" w:hAnsi="Palatino Linotype" w:cs="Palatino Linotype"/>
          <w:szCs w:val="24"/>
        </w:rPr>
        <w:t xml:space="preserve">servicios de agua potable y alcantarillado, siendo que </w:t>
      </w:r>
      <w:r w:rsidR="00251A66" w:rsidRPr="00A93EEB">
        <w:rPr>
          <w:rFonts w:ascii="Palatino Linotype" w:eastAsia="Palatino Linotype" w:hAnsi="Palatino Linotype" w:cs="Palatino Linotype"/>
          <w:b/>
          <w:szCs w:val="24"/>
          <w:u w:val="single"/>
        </w:rPr>
        <w:t>para la obtención de los planos hidráulicos se deberá solicitar al Organismo Público Descentralizado para la prestación de los Servicios de Agua Potable, Alcantarillado y Saneamiento.</w:t>
      </w:r>
      <w:r w:rsidR="00251A66" w:rsidRPr="00A93EEB">
        <w:rPr>
          <w:rFonts w:ascii="Palatino Linotype" w:eastAsia="Palatino Linotype" w:hAnsi="Palatino Linotype" w:cs="Palatino Linotype"/>
          <w:szCs w:val="24"/>
        </w:rPr>
        <w:t xml:space="preserve"> </w:t>
      </w:r>
    </w:p>
    <w:p w14:paraId="53138C70" w14:textId="3274CF4E" w:rsidR="001759F5" w:rsidRPr="00A93EEB" w:rsidRDefault="00251A66" w:rsidP="00251A66">
      <w:pPr>
        <w:pStyle w:val="Prrafodelista"/>
        <w:numPr>
          <w:ilvl w:val="0"/>
          <w:numId w:val="28"/>
        </w:num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A93EEB">
        <w:rPr>
          <w:rFonts w:ascii="Palatino Linotype" w:eastAsia="Palatino Linotype" w:hAnsi="Palatino Linotype" w:cs="Palatino Linotype"/>
          <w:szCs w:val="24"/>
        </w:rPr>
        <w:t xml:space="preserve">Oficio número DDUYOP-0063-X-91 fe fecha diez de octubre de mil novecientos noventa y uno, signado por el Director de Desarrollo Urbano y Obras Públicas, mediante el cual se extiende la Factibilidad de Servicios destinado para vivienda tipo interés social. </w:t>
      </w:r>
    </w:p>
    <w:p w14:paraId="3546F1BF" w14:textId="4FB5DDB1" w:rsidR="0055362A" w:rsidRPr="00A93EEB" w:rsidRDefault="0055362A" w:rsidP="00251A66">
      <w:pPr>
        <w:spacing w:after="0" w:line="360" w:lineRule="auto"/>
        <w:ind w:right="49"/>
        <w:jc w:val="both"/>
        <w:rPr>
          <w:rFonts w:ascii="Palatino Linotype" w:eastAsia="Palatino Linotype" w:hAnsi="Palatino Linotype" w:cs="Palatino Linotype"/>
          <w:sz w:val="24"/>
          <w:szCs w:val="24"/>
        </w:rPr>
      </w:pPr>
    </w:p>
    <w:p w14:paraId="77A09EBA" w14:textId="6681CDC4" w:rsidR="00C87609" w:rsidRPr="00A93EEB" w:rsidRDefault="00C87609"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Documentos que no se hicieron del conocimiento del Particular porque se advirtieron datos que actualizan la hipótesis normativa prevista en la fracción I del artículo 143 de la Ley de Transparencia y Acceso a la Información Pública del</w:t>
      </w:r>
      <w:r w:rsidR="00FF394E" w:rsidRPr="00A93EEB">
        <w:rPr>
          <w:rFonts w:ascii="Palatino Linotype" w:eastAsia="Palatino Linotype" w:hAnsi="Palatino Linotype" w:cs="Palatino Linotype"/>
          <w:sz w:val="24"/>
          <w:szCs w:val="24"/>
        </w:rPr>
        <w:t xml:space="preserve"> Estado de México y Municipios. </w:t>
      </w:r>
    </w:p>
    <w:p w14:paraId="496EB440" w14:textId="77777777" w:rsidR="00C87609" w:rsidRPr="00A93EEB" w:rsidRDefault="00C87609" w:rsidP="00251A66">
      <w:pPr>
        <w:spacing w:after="0" w:line="360" w:lineRule="auto"/>
        <w:ind w:right="49"/>
        <w:jc w:val="both"/>
        <w:rPr>
          <w:rFonts w:ascii="Palatino Linotype" w:eastAsia="Palatino Linotype" w:hAnsi="Palatino Linotype" w:cs="Palatino Linotype"/>
          <w:sz w:val="24"/>
          <w:szCs w:val="24"/>
        </w:rPr>
      </w:pPr>
    </w:p>
    <w:p w14:paraId="5F82615E" w14:textId="3B372DD4" w:rsidR="00251A66" w:rsidRPr="00A93EEB" w:rsidRDefault="00251A66"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 xml:space="preserve">Por su parte, el Particular realizó manifestaciones que a su derecho convinieron, al tenor de lo siguiente: </w:t>
      </w:r>
    </w:p>
    <w:p w14:paraId="66068DE0" w14:textId="77777777" w:rsidR="00251A66" w:rsidRPr="00A93EEB" w:rsidRDefault="00251A66" w:rsidP="00251A66">
      <w:pPr>
        <w:spacing w:after="0" w:line="360" w:lineRule="auto"/>
        <w:ind w:right="49"/>
        <w:jc w:val="both"/>
        <w:rPr>
          <w:rFonts w:ascii="Palatino Linotype" w:eastAsia="Palatino Linotype" w:hAnsi="Palatino Linotype" w:cs="Palatino Linotype"/>
          <w:sz w:val="24"/>
          <w:szCs w:val="24"/>
        </w:rPr>
      </w:pPr>
    </w:p>
    <w:p w14:paraId="4EE5EECA" w14:textId="7145DE97" w:rsidR="00251A66" w:rsidRPr="00A93EEB" w:rsidRDefault="00251A66" w:rsidP="00251A66">
      <w:pPr>
        <w:pStyle w:val="Prrafodelista"/>
        <w:numPr>
          <w:ilvl w:val="0"/>
          <w:numId w:val="29"/>
        </w:num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A93EEB">
        <w:rPr>
          <w:rFonts w:ascii="Palatino Linotype" w:eastAsia="Palatino Linotype" w:hAnsi="Palatino Linotype" w:cs="Palatino Linotype"/>
          <w:szCs w:val="24"/>
        </w:rPr>
        <w:t xml:space="preserve">Oficio número DDUYOP-0063-X-91 fe fecha diez de octubre de mil novecientos noventa y uno, signado por el Director de Desarrollo Urbano y Obras Públicas, mediante el cual se extiende la Factibilidad de Servicios destinado para vivienda tipo interés social. </w:t>
      </w:r>
    </w:p>
    <w:p w14:paraId="207938AC" w14:textId="77777777" w:rsidR="00251A66" w:rsidRPr="00A93EEB" w:rsidRDefault="00251A66" w:rsidP="00251A66">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p>
    <w:p w14:paraId="67BA9A63" w14:textId="04064357" w:rsidR="00FF2481" w:rsidRPr="00A93EEB" w:rsidRDefault="00FF2481" w:rsidP="00251A66">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b/>
          <w:sz w:val="24"/>
          <w:szCs w:val="24"/>
        </w:rPr>
        <w:t>Ampliación de plazo:</w:t>
      </w:r>
      <w:r w:rsidRPr="00A93EEB">
        <w:rPr>
          <w:rFonts w:ascii="Palatino Linotype" w:eastAsia="Palatino Linotype" w:hAnsi="Palatino Linotype" w:cs="Palatino Linotype"/>
          <w:sz w:val="24"/>
          <w:szCs w:val="24"/>
        </w:rPr>
        <w:t xml:space="preserve"> El</w:t>
      </w:r>
      <w:r w:rsidR="0013122B" w:rsidRPr="00A93EEB">
        <w:rPr>
          <w:rFonts w:ascii="Palatino Linotype" w:eastAsia="Palatino Linotype" w:hAnsi="Palatino Linotype" w:cs="Palatino Linotype"/>
          <w:b/>
          <w:sz w:val="24"/>
          <w:szCs w:val="24"/>
        </w:rPr>
        <w:t xml:space="preserve"> dieciséis d</w:t>
      </w:r>
      <w:r w:rsidR="00251A66" w:rsidRPr="00A93EEB">
        <w:rPr>
          <w:rFonts w:ascii="Palatino Linotype" w:eastAsia="Palatino Linotype" w:hAnsi="Palatino Linotype" w:cs="Palatino Linotype"/>
          <w:b/>
          <w:sz w:val="24"/>
          <w:szCs w:val="24"/>
        </w:rPr>
        <w:t>e dos mil veintitrés</w:t>
      </w:r>
      <w:r w:rsidRPr="00A93EEB">
        <w:rPr>
          <w:rFonts w:ascii="Palatino Linotype" w:eastAsia="Palatino Linotype" w:hAnsi="Palatino Linotype" w:cs="Palatino Linotype"/>
          <w:sz w:val="24"/>
          <w:szCs w:val="24"/>
        </w:rPr>
        <w:t xml:space="preserve">, se notificó a las partes el Acuerdo de Ampliación de Plazo para resolver el medio de impugnación que nos </w:t>
      </w:r>
      <w:r w:rsidRPr="00A93EEB">
        <w:rPr>
          <w:rFonts w:ascii="Palatino Linotype" w:eastAsia="Palatino Linotype" w:hAnsi="Palatino Linotype" w:cs="Palatino Linotype"/>
          <w:sz w:val="24"/>
          <w:szCs w:val="24"/>
        </w:rPr>
        <w:lastRenderedPageBreak/>
        <w:t>ocupa, en términos de lo dispuesto por el artículo 181, párrafo tercero de la Ley de Transparencia y Acceso a la Información Pública del Estado de México y Municipios.</w:t>
      </w:r>
    </w:p>
    <w:p w14:paraId="7CC1B296"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p>
    <w:p w14:paraId="2DED108A" w14:textId="30C2F61C"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w:t>
      </w:r>
      <w:r w:rsidR="009B504C" w:rsidRPr="00A93EEB">
        <w:rPr>
          <w:rFonts w:ascii="Palatino Linotype" w:eastAsia="Palatino Linotype" w:hAnsi="Palatino Linotype" w:cs="Palatino Linotype"/>
          <w:sz w:val="24"/>
          <w:szCs w:val="24"/>
        </w:rPr>
        <w:t>año dos mil veintiuno</w:t>
      </w:r>
      <w:r w:rsidRPr="00A93EEB">
        <w:rPr>
          <w:rFonts w:ascii="Palatino Linotype" w:eastAsia="Palatino Linotype" w:hAnsi="Palatino Linotype" w:cs="Palatino Linotype"/>
          <w:sz w:val="24"/>
          <w:szCs w:val="24"/>
        </w:rPr>
        <w:t>, se ha incrementado aproximadamente un 400%, circunstancia atípica que ha rebasado las capacidades técnicas y humanas del personal encargado de la proyección de las resoluciones a dichos medios de impugnación.</w:t>
      </w:r>
    </w:p>
    <w:p w14:paraId="7AA05545"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 xml:space="preserve"> </w:t>
      </w:r>
    </w:p>
    <w:p w14:paraId="73F441C8"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8C9076"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 xml:space="preserve"> </w:t>
      </w:r>
    </w:p>
    <w:p w14:paraId="378EF3FB"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32BA6E"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p>
    <w:p w14:paraId="3D3C52D6" w14:textId="4AF92460"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BFBFD5" w14:textId="77777777" w:rsidR="00FF394E" w:rsidRPr="00A93EEB" w:rsidRDefault="00FF394E" w:rsidP="00251A66">
      <w:pPr>
        <w:spacing w:after="0" w:line="360" w:lineRule="auto"/>
        <w:ind w:right="49"/>
        <w:jc w:val="both"/>
        <w:rPr>
          <w:rFonts w:ascii="Palatino Linotype" w:eastAsia="Palatino Linotype" w:hAnsi="Palatino Linotype" w:cs="Palatino Linotype"/>
          <w:sz w:val="24"/>
          <w:szCs w:val="24"/>
        </w:rPr>
      </w:pPr>
    </w:p>
    <w:p w14:paraId="4E42AEFD"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F3FF22E"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p>
    <w:p w14:paraId="033AB97D" w14:textId="77777777" w:rsidR="00FF2481" w:rsidRPr="00A93EEB" w:rsidRDefault="00FF2481" w:rsidP="00251A66">
      <w:pPr>
        <w:tabs>
          <w:tab w:val="left" w:pos="709"/>
        </w:tabs>
        <w:spacing w:after="0" w:line="360" w:lineRule="auto"/>
        <w:ind w:left="567" w:right="560"/>
        <w:jc w:val="both"/>
        <w:rPr>
          <w:rFonts w:ascii="Palatino Linotype" w:eastAsia="Palatino Linotype" w:hAnsi="Palatino Linotype" w:cs="Palatino Linotype"/>
        </w:rPr>
      </w:pPr>
      <w:r w:rsidRPr="00A93EEB">
        <w:rPr>
          <w:rFonts w:ascii="Palatino Linotype" w:eastAsia="Palatino Linotype" w:hAnsi="Palatino Linotype" w:cs="Palatino Linotype"/>
          <w:b/>
          <w:sz w:val="24"/>
          <w:szCs w:val="24"/>
        </w:rPr>
        <w:t>a</w:t>
      </w:r>
      <w:r w:rsidRPr="00A93EEB">
        <w:rPr>
          <w:rFonts w:ascii="Palatino Linotype" w:eastAsia="Palatino Linotype" w:hAnsi="Palatino Linotype" w:cs="Palatino Linotype"/>
          <w:b/>
        </w:rPr>
        <w:t>)    Complejidad del asunto:</w:t>
      </w:r>
      <w:r w:rsidRPr="00A93EEB">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EEA9DBD" w14:textId="77777777" w:rsidR="00FF2481" w:rsidRPr="00A93EEB" w:rsidRDefault="00FF2481" w:rsidP="00251A66">
      <w:pPr>
        <w:tabs>
          <w:tab w:val="left" w:pos="709"/>
        </w:tabs>
        <w:spacing w:after="0" w:line="360" w:lineRule="auto"/>
        <w:ind w:left="567" w:right="560"/>
        <w:jc w:val="both"/>
        <w:rPr>
          <w:rFonts w:ascii="Palatino Linotype" w:eastAsia="Palatino Linotype" w:hAnsi="Palatino Linotype" w:cs="Palatino Linotype"/>
        </w:rPr>
      </w:pPr>
      <w:r w:rsidRPr="00A93EEB">
        <w:rPr>
          <w:rFonts w:ascii="Palatino Linotype" w:eastAsia="Palatino Linotype" w:hAnsi="Palatino Linotype" w:cs="Palatino Linotype"/>
          <w:b/>
        </w:rPr>
        <w:t>b)   Actividad Procesal del interesado</w:t>
      </w:r>
      <w:r w:rsidRPr="00A93EEB">
        <w:rPr>
          <w:rFonts w:ascii="Palatino Linotype" w:eastAsia="Palatino Linotype" w:hAnsi="Palatino Linotype" w:cs="Palatino Linotype"/>
        </w:rPr>
        <w:t>: Acciones u omisiones del interesado.</w:t>
      </w:r>
    </w:p>
    <w:p w14:paraId="09B257BF" w14:textId="77777777" w:rsidR="00FF2481" w:rsidRPr="00A93EEB" w:rsidRDefault="00FF2481" w:rsidP="00251A66">
      <w:pPr>
        <w:tabs>
          <w:tab w:val="left" w:pos="851"/>
        </w:tabs>
        <w:spacing w:after="0" w:line="360" w:lineRule="auto"/>
        <w:ind w:left="567" w:right="560"/>
        <w:jc w:val="both"/>
        <w:rPr>
          <w:rFonts w:ascii="Palatino Linotype" w:eastAsia="Palatino Linotype" w:hAnsi="Palatino Linotype" w:cs="Palatino Linotype"/>
        </w:rPr>
      </w:pPr>
      <w:r w:rsidRPr="00A93EEB">
        <w:rPr>
          <w:rFonts w:ascii="Palatino Linotype" w:eastAsia="Palatino Linotype" w:hAnsi="Palatino Linotype" w:cs="Palatino Linotype"/>
          <w:b/>
        </w:rPr>
        <w:t>c)  Conducta de la Autoridad:</w:t>
      </w:r>
      <w:r w:rsidRPr="00A93EEB">
        <w:rPr>
          <w:rFonts w:ascii="Palatino Linotype" w:eastAsia="Palatino Linotype" w:hAnsi="Palatino Linotype" w:cs="Palatino Linotype"/>
        </w:rPr>
        <w:t xml:space="preserve"> Las Acciones u omisiones realizadas en el procedimiento. Así como si la autoridad actuó con la debida diligencia.</w:t>
      </w:r>
    </w:p>
    <w:p w14:paraId="19DCFD27" w14:textId="77777777" w:rsidR="00FF2481" w:rsidRPr="00A93EEB" w:rsidRDefault="00FF2481" w:rsidP="00251A66">
      <w:pPr>
        <w:tabs>
          <w:tab w:val="left" w:pos="851"/>
        </w:tabs>
        <w:spacing w:after="0" w:line="360" w:lineRule="auto"/>
        <w:ind w:left="567" w:right="560"/>
        <w:jc w:val="both"/>
        <w:rPr>
          <w:rFonts w:ascii="Palatino Linotype" w:eastAsia="Palatino Linotype" w:hAnsi="Palatino Linotype" w:cs="Palatino Linotype"/>
        </w:rPr>
      </w:pPr>
      <w:r w:rsidRPr="00A93EEB">
        <w:rPr>
          <w:rFonts w:ascii="Palatino Linotype" w:eastAsia="Palatino Linotype" w:hAnsi="Palatino Linotype" w:cs="Palatino Linotype"/>
          <w:b/>
        </w:rPr>
        <w:t>d) La afectación generada en la situación jurídica de la persona involucrada en el proceso:</w:t>
      </w:r>
      <w:r w:rsidRPr="00A93EEB">
        <w:rPr>
          <w:rFonts w:ascii="Palatino Linotype" w:eastAsia="Palatino Linotype" w:hAnsi="Palatino Linotype" w:cs="Palatino Linotype"/>
        </w:rPr>
        <w:t xml:space="preserve"> Violación a sus derechos humanos.</w:t>
      </w:r>
    </w:p>
    <w:p w14:paraId="4DE86E93"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p>
    <w:p w14:paraId="68E6DA16"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497247"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 xml:space="preserve"> </w:t>
      </w:r>
    </w:p>
    <w:p w14:paraId="4BB20A66"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lastRenderedPageBreak/>
        <w:t>Argumento que encuentra sustento en la jurisprudencia P</w:t>
      </w:r>
      <w:proofErr w:type="gramStart"/>
      <w:r w:rsidRPr="00A93EEB">
        <w:rPr>
          <w:rFonts w:ascii="Palatino Linotype" w:eastAsia="Palatino Linotype" w:hAnsi="Palatino Linotype" w:cs="Palatino Linotype"/>
          <w:sz w:val="24"/>
          <w:szCs w:val="24"/>
        </w:rPr>
        <w:t>./</w:t>
      </w:r>
      <w:proofErr w:type="gramEnd"/>
      <w:r w:rsidRPr="00A93EEB">
        <w:rPr>
          <w:rFonts w:ascii="Palatino Linotype" w:eastAsia="Palatino Linotype" w:hAnsi="Palatino Linotype" w:cs="Palatino Linotype"/>
          <w:sz w:val="24"/>
          <w:szCs w:val="24"/>
        </w:rPr>
        <w:t>J. 32/92 emitida por el Pleno de la Suprema Corte de Justicia de la Nación de rubro “</w:t>
      </w:r>
      <w:r w:rsidRPr="00A93EEB">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A93EEB">
        <w:rPr>
          <w:rFonts w:ascii="Palatino Linotype" w:eastAsia="Palatino Linotype" w:hAnsi="Palatino Linotype" w:cs="Palatino Linotype"/>
          <w:sz w:val="24"/>
          <w:szCs w:val="24"/>
        </w:rPr>
        <w:t>, visible en la Gaceta del Seminario Judicial de la Federación con el registro digital 205635.</w:t>
      </w:r>
    </w:p>
    <w:p w14:paraId="0845C798"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 xml:space="preserve"> </w:t>
      </w:r>
    </w:p>
    <w:p w14:paraId="7806D234"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BB19BD"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p>
    <w:p w14:paraId="7CD74372"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94359CF" w14:textId="77777777" w:rsidR="00FF2481" w:rsidRPr="00A93EEB" w:rsidRDefault="00FF2481"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 xml:space="preserve"> </w:t>
      </w:r>
    </w:p>
    <w:p w14:paraId="57D93B88" w14:textId="77777777" w:rsidR="00FF2481" w:rsidRPr="00A93EEB" w:rsidRDefault="00FF2481" w:rsidP="00251A66">
      <w:pPr>
        <w:spacing w:after="0" w:line="360" w:lineRule="auto"/>
        <w:ind w:left="567" w:right="560"/>
        <w:jc w:val="both"/>
        <w:rPr>
          <w:rFonts w:ascii="Palatino Linotype" w:eastAsia="Palatino Linotype" w:hAnsi="Palatino Linotype" w:cs="Palatino Linotype"/>
          <w:szCs w:val="24"/>
        </w:rPr>
      </w:pPr>
      <w:r w:rsidRPr="00A93EEB">
        <w:rPr>
          <w:rFonts w:ascii="Palatino Linotype" w:eastAsia="Palatino Linotype" w:hAnsi="Palatino Linotype" w:cs="Palatino Linotype"/>
          <w:b/>
          <w:szCs w:val="24"/>
        </w:rPr>
        <w:lastRenderedPageBreak/>
        <w:t xml:space="preserve"> “PLAZO RAZONABLE PARA RESOLVER. DIMENSIÓN Y EFECTOS DE ESTE CONCEPTO CUANDO SE ADUCE EXCESIVA CARGA DE TRABAJO.”</w:t>
      </w:r>
      <w:r w:rsidRPr="00A93EEB">
        <w:rPr>
          <w:rFonts w:ascii="Palatino Linotype" w:eastAsia="Palatino Linotype" w:hAnsi="Palatino Linotype" w:cs="Palatino Linotype"/>
          <w:szCs w:val="24"/>
        </w:rPr>
        <w:t xml:space="preserve"> consultable en el Seminario Judicial de la Federación y su gaceta, con el registro digital 2002351.</w:t>
      </w:r>
    </w:p>
    <w:p w14:paraId="43CDA85F" w14:textId="77777777" w:rsidR="00FF2481" w:rsidRPr="00A93EEB" w:rsidRDefault="00FF2481" w:rsidP="00251A66">
      <w:pPr>
        <w:spacing w:after="0" w:line="360" w:lineRule="auto"/>
        <w:ind w:left="567" w:right="560"/>
        <w:jc w:val="both"/>
        <w:rPr>
          <w:rFonts w:ascii="Palatino Linotype" w:eastAsia="Palatino Linotype" w:hAnsi="Palatino Linotype" w:cs="Palatino Linotype"/>
          <w:szCs w:val="24"/>
        </w:rPr>
      </w:pPr>
      <w:r w:rsidRPr="00A93EEB">
        <w:rPr>
          <w:rFonts w:ascii="Palatino Linotype" w:eastAsia="Palatino Linotype" w:hAnsi="Palatino Linotype" w:cs="Palatino Linotype"/>
          <w:szCs w:val="24"/>
        </w:rPr>
        <w:t xml:space="preserve"> </w:t>
      </w:r>
    </w:p>
    <w:p w14:paraId="43C127CB" w14:textId="6CB6FC49" w:rsidR="00FF2481" w:rsidRPr="00A93EEB" w:rsidRDefault="00FF2481" w:rsidP="00251A66">
      <w:pPr>
        <w:spacing w:after="0" w:line="360" w:lineRule="auto"/>
        <w:ind w:left="567" w:right="560"/>
        <w:jc w:val="both"/>
        <w:rPr>
          <w:rFonts w:ascii="Palatino Linotype" w:eastAsia="Palatino Linotype" w:hAnsi="Palatino Linotype" w:cs="Palatino Linotype"/>
          <w:szCs w:val="24"/>
        </w:rPr>
      </w:pPr>
      <w:r w:rsidRPr="00A93EEB">
        <w:rPr>
          <w:rFonts w:ascii="Palatino Linotype" w:eastAsia="Palatino Linotype" w:hAnsi="Palatino Linotype" w:cs="Palatino Linotype"/>
          <w:b/>
          <w:szCs w:val="24"/>
        </w:rPr>
        <w:t>“PLAZO RAZONABLE PARA RESOLVER. CONCEPTO Y ELEMENTOS QUE LO INTEGRAN A LA LUZ DEL DERECHO INTERNACIONAL DE LOS DERECHOS HUMANOS.”,</w:t>
      </w:r>
      <w:r w:rsidRPr="00A93EEB">
        <w:rPr>
          <w:rFonts w:ascii="Palatino Linotype" w:eastAsia="Palatino Linotype" w:hAnsi="Palatino Linotype" w:cs="Palatino Linotype"/>
          <w:szCs w:val="24"/>
        </w:rPr>
        <w:t xml:space="preserve"> visible en el Seminario Judicial de la Federación y su gaceta, con el registro digital 2002350.</w:t>
      </w:r>
    </w:p>
    <w:p w14:paraId="42F9748E" w14:textId="77777777" w:rsidR="00FF2481" w:rsidRPr="00A93EEB" w:rsidRDefault="00FF2481" w:rsidP="00251A66">
      <w:pPr>
        <w:spacing w:after="0" w:line="360" w:lineRule="auto"/>
        <w:ind w:left="567" w:right="560"/>
        <w:jc w:val="both"/>
        <w:rPr>
          <w:rFonts w:ascii="Palatino Linotype" w:eastAsia="Palatino Linotype" w:hAnsi="Palatino Linotype" w:cs="Palatino Linotype"/>
          <w:sz w:val="24"/>
          <w:szCs w:val="24"/>
        </w:rPr>
      </w:pPr>
    </w:p>
    <w:p w14:paraId="64206412" w14:textId="77777777" w:rsidR="00FF2481" w:rsidRPr="00A93EEB" w:rsidRDefault="00FF248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FA6A952" w14:textId="77777777" w:rsidR="00FF2481" w:rsidRPr="00A93EEB" w:rsidRDefault="00FF248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B616E1C" w14:textId="7F997B43" w:rsidR="00DA661D" w:rsidRPr="00A93EEB" w:rsidRDefault="0055362A"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b/>
          <w:sz w:val="24"/>
          <w:szCs w:val="24"/>
        </w:rPr>
        <w:t>Cierre de instrucción</w:t>
      </w:r>
      <w:r w:rsidRPr="00A93EEB">
        <w:rPr>
          <w:rFonts w:ascii="Palatino Linotype" w:eastAsia="Palatino Linotype" w:hAnsi="Palatino Linotype" w:cs="Palatino Linotype"/>
          <w:sz w:val="24"/>
          <w:szCs w:val="24"/>
        </w:rPr>
        <w:t>. En fecha</w:t>
      </w:r>
      <w:r w:rsidR="0013122B" w:rsidRPr="00A93EEB">
        <w:rPr>
          <w:rFonts w:ascii="Palatino Linotype" w:eastAsia="Palatino Linotype" w:hAnsi="Palatino Linotype" w:cs="Palatino Linotype"/>
          <w:sz w:val="24"/>
          <w:szCs w:val="24"/>
        </w:rPr>
        <w:t xml:space="preserve"> </w:t>
      </w:r>
      <w:r w:rsidR="0013122B" w:rsidRPr="00A93EEB">
        <w:rPr>
          <w:rFonts w:ascii="Palatino Linotype" w:eastAsia="Palatino Linotype" w:hAnsi="Palatino Linotype" w:cs="Palatino Linotype"/>
          <w:b/>
          <w:bCs/>
          <w:sz w:val="24"/>
          <w:szCs w:val="24"/>
        </w:rPr>
        <w:t xml:space="preserve">dieciséis de febrero </w:t>
      </w:r>
      <w:r w:rsidRPr="00A93EEB">
        <w:rPr>
          <w:rFonts w:ascii="Palatino Linotype" w:eastAsia="Palatino Linotype" w:hAnsi="Palatino Linotype" w:cs="Palatino Linotype"/>
          <w:b/>
          <w:sz w:val="24"/>
          <w:szCs w:val="24"/>
        </w:rPr>
        <w:t>de dos mil veinti</w:t>
      </w:r>
      <w:r w:rsidR="00FF2481" w:rsidRPr="00A93EEB">
        <w:rPr>
          <w:rFonts w:ascii="Palatino Linotype" w:eastAsia="Palatino Linotype" w:hAnsi="Palatino Linotype" w:cs="Palatino Linotype"/>
          <w:b/>
          <w:sz w:val="24"/>
          <w:szCs w:val="24"/>
        </w:rPr>
        <w:t>trés</w:t>
      </w:r>
      <w:r w:rsidRPr="00A93EEB">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721100B6" w14:textId="77777777" w:rsidR="00932761" w:rsidRPr="00A93EEB" w:rsidRDefault="0093276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3C69B01" w14:textId="52F54B2B" w:rsidR="001759F5" w:rsidRPr="00A93EEB" w:rsidRDefault="003C59FF"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Debido a que fue debidame</w:t>
      </w:r>
      <w:r w:rsidR="00FF2481" w:rsidRPr="00A93EEB">
        <w:rPr>
          <w:rFonts w:ascii="Palatino Linotype" w:eastAsia="Palatino Linotype" w:hAnsi="Palatino Linotype" w:cs="Palatino Linotype"/>
          <w:sz w:val="24"/>
          <w:szCs w:val="24"/>
        </w:rPr>
        <w:t>nt</w:t>
      </w:r>
      <w:r w:rsidRPr="00A93EEB">
        <w:rPr>
          <w:rFonts w:ascii="Palatino Linotype" w:eastAsia="Palatino Linotype" w:hAnsi="Palatino Linotype" w:cs="Palatino Linotype"/>
          <w:sz w:val="24"/>
          <w:szCs w:val="24"/>
        </w:rPr>
        <w:t xml:space="preserve">e sustanciado el expediente electrónico y no existe diligencia pendiente de desahogo, se emite la Resolución que conforme a Derecho proceda, de acuerdo con los siguientes: </w:t>
      </w:r>
    </w:p>
    <w:p w14:paraId="65354D7A" w14:textId="77777777" w:rsidR="001759F5" w:rsidRPr="00A93EEB" w:rsidRDefault="001759F5" w:rsidP="00251A66">
      <w:pPr>
        <w:spacing w:after="0" w:line="360" w:lineRule="auto"/>
        <w:ind w:right="49"/>
        <w:jc w:val="both"/>
        <w:rPr>
          <w:rFonts w:ascii="Palatino Linotype" w:eastAsia="Palatino Linotype" w:hAnsi="Palatino Linotype" w:cs="Palatino Linotype"/>
          <w:sz w:val="24"/>
          <w:szCs w:val="24"/>
        </w:rPr>
      </w:pPr>
    </w:p>
    <w:p w14:paraId="032F09E0" w14:textId="77777777" w:rsidR="00FF394E" w:rsidRPr="00A93EEB" w:rsidRDefault="00FF394E" w:rsidP="00251A66">
      <w:pPr>
        <w:spacing w:after="0" w:line="360" w:lineRule="auto"/>
        <w:ind w:right="49"/>
        <w:jc w:val="both"/>
        <w:rPr>
          <w:rFonts w:ascii="Palatino Linotype" w:eastAsia="Palatino Linotype" w:hAnsi="Palatino Linotype" w:cs="Palatino Linotype"/>
          <w:sz w:val="24"/>
          <w:szCs w:val="24"/>
        </w:rPr>
      </w:pPr>
    </w:p>
    <w:p w14:paraId="3E9A9265" w14:textId="77777777" w:rsidR="00FF394E" w:rsidRPr="00A93EEB" w:rsidRDefault="00FF394E" w:rsidP="00251A66">
      <w:pPr>
        <w:spacing w:after="0" w:line="360" w:lineRule="auto"/>
        <w:ind w:right="49"/>
        <w:jc w:val="both"/>
        <w:rPr>
          <w:rFonts w:ascii="Palatino Linotype" w:eastAsia="Palatino Linotype" w:hAnsi="Palatino Linotype" w:cs="Palatino Linotype"/>
          <w:sz w:val="24"/>
          <w:szCs w:val="24"/>
        </w:rPr>
      </w:pPr>
    </w:p>
    <w:p w14:paraId="4E7E0C44" w14:textId="77777777" w:rsidR="003F0671" w:rsidRPr="00A93EEB" w:rsidRDefault="003C59FF" w:rsidP="00251A66">
      <w:pPr>
        <w:spacing w:after="0" w:line="360" w:lineRule="auto"/>
        <w:ind w:right="49"/>
        <w:jc w:val="center"/>
        <w:rPr>
          <w:rFonts w:ascii="Palatino Linotype" w:eastAsia="Palatino Linotype" w:hAnsi="Palatino Linotype" w:cs="Palatino Linotype"/>
          <w:b/>
          <w:sz w:val="24"/>
          <w:szCs w:val="24"/>
        </w:rPr>
      </w:pPr>
      <w:r w:rsidRPr="00A93EEB">
        <w:rPr>
          <w:rFonts w:ascii="Palatino Linotype" w:eastAsia="Palatino Linotype" w:hAnsi="Palatino Linotype" w:cs="Palatino Linotype"/>
          <w:b/>
          <w:sz w:val="24"/>
          <w:szCs w:val="24"/>
        </w:rPr>
        <w:lastRenderedPageBreak/>
        <w:t>II.</w:t>
      </w:r>
      <w:r w:rsidRPr="00A93EEB">
        <w:rPr>
          <w:rFonts w:ascii="Palatino Linotype" w:eastAsia="Palatino Linotype" w:hAnsi="Palatino Linotype" w:cs="Palatino Linotype"/>
          <w:b/>
          <w:sz w:val="24"/>
          <w:szCs w:val="24"/>
        </w:rPr>
        <w:tab/>
        <w:t>C O N S I D E R A N D O:</w:t>
      </w:r>
    </w:p>
    <w:p w14:paraId="54A96AE3" w14:textId="77777777" w:rsidR="003F0671" w:rsidRPr="00A93EEB" w:rsidRDefault="003F0671" w:rsidP="00251A66">
      <w:pPr>
        <w:spacing w:after="0" w:line="360" w:lineRule="auto"/>
        <w:ind w:right="49"/>
        <w:jc w:val="both"/>
        <w:rPr>
          <w:rFonts w:ascii="Palatino Linotype" w:eastAsia="Palatino Linotype" w:hAnsi="Palatino Linotype" w:cs="Palatino Linotype"/>
          <w:sz w:val="24"/>
          <w:szCs w:val="24"/>
        </w:rPr>
      </w:pPr>
    </w:p>
    <w:p w14:paraId="02766CAC" w14:textId="77777777" w:rsidR="003F0671" w:rsidRPr="00A93EEB" w:rsidRDefault="003C59FF" w:rsidP="00251A66">
      <w:pPr>
        <w:spacing w:after="0" w:line="360" w:lineRule="auto"/>
        <w:ind w:right="49"/>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b/>
          <w:sz w:val="24"/>
          <w:szCs w:val="24"/>
        </w:rPr>
        <w:t>Primero. Competencia.</w:t>
      </w:r>
      <w:r w:rsidRPr="00A93EEB">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433ACAC" w14:textId="77777777" w:rsidR="003F0671" w:rsidRPr="00A93EEB" w:rsidRDefault="003F0671" w:rsidP="00251A66">
      <w:pPr>
        <w:spacing w:after="0" w:line="360" w:lineRule="auto"/>
        <w:ind w:right="49"/>
        <w:jc w:val="both"/>
        <w:rPr>
          <w:rFonts w:ascii="Palatino Linotype" w:eastAsia="Palatino Linotype" w:hAnsi="Palatino Linotype" w:cs="Palatino Linotype"/>
          <w:sz w:val="24"/>
          <w:szCs w:val="24"/>
        </w:rPr>
      </w:pPr>
    </w:p>
    <w:p w14:paraId="634D187C" w14:textId="77777777" w:rsidR="00251A66" w:rsidRPr="00A93EEB" w:rsidRDefault="00251A66"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b/>
          <w:sz w:val="24"/>
        </w:rPr>
        <w:t xml:space="preserve">Segundo. Oportunidad y </w:t>
      </w:r>
      <w:proofErr w:type="spellStart"/>
      <w:r w:rsidRPr="00A93EEB">
        <w:rPr>
          <w:rFonts w:ascii="Palatino Linotype" w:eastAsia="Palatino Linotype" w:hAnsi="Palatino Linotype" w:cs="Palatino Linotype"/>
          <w:b/>
          <w:sz w:val="24"/>
        </w:rPr>
        <w:t>Procedibilidad</w:t>
      </w:r>
      <w:proofErr w:type="spellEnd"/>
      <w:r w:rsidRPr="00A93EEB">
        <w:rPr>
          <w:rFonts w:ascii="Palatino Linotype" w:eastAsia="Palatino Linotype" w:hAnsi="Palatino Linotype" w:cs="Palatino Linotype"/>
          <w:b/>
          <w:sz w:val="24"/>
        </w:rPr>
        <w:t xml:space="preserve"> del Recurso de Revisión</w:t>
      </w:r>
      <w:r w:rsidRPr="00A93EEB">
        <w:rPr>
          <w:rFonts w:ascii="Palatino Linotype" w:eastAsia="Palatino Linotype" w:hAnsi="Palatino Linotype" w:cs="Palatino Linotype"/>
          <w:sz w:val="24"/>
        </w:rPr>
        <w:t xml:space="preserve">. Previo al estudio del fondo del asunto, se procede a analizar los requisitos de oportunidad y </w:t>
      </w:r>
      <w:proofErr w:type="spellStart"/>
      <w:r w:rsidRPr="00A93EEB">
        <w:rPr>
          <w:rFonts w:ascii="Palatino Linotype" w:eastAsia="Palatino Linotype" w:hAnsi="Palatino Linotype" w:cs="Palatino Linotype"/>
          <w:sz w:val="24"/>
        </w:rPr>
        <w:t>procedibilidad</w:t>
      </w:r>
      <w:proofErr w:type="spellEnd"/>
      <w:r w:rsidRPr="00A93EEB">
        <w:rPr>
          <w:rFonts w:ascii="Palatino Linotype" w:eastAsia="Palatino Linotype" w:hAnsi="Palatino Linotype" w:cs="Palatino Linotype"/>
          <w:sz w:val="24"/>
        </w:rPr>
        <w:t xml:space="preserve"> que debe reunir el recurso de revisión interpuesto, previstos en los artículos 178 y 180 de la Ley de Transparencia y Acceso a la Información Pública del Estado de México y Municipios.</w:t>
      </w:r>
    </w:p>
    <w:p w14:paraId="1FB136D9" w14:textId="77777777" w:rsidR="00251A66" w:rsidRPr="00A93EEB" w:rsidRDefault="00251A66" w:rsidP="00251A66">
      <w:pPr>
        <w:spacing w:after="0" w:line="360" w:lineRule="auto"/>
        <w:jc w:val="both"/>
        <w:rPr>
          <w:rFonts w:ascii="Palatino Linotype" w:eastAsia="Palatino Linotype" w:hAnsi="Palatino Linotype" w:cs="Palatino Linotype"/>
        </w:rPr>
      </w:pPr>
    </w:p>
    <w:p w14:paraId="6C91E896" w14:textId="73AD10B6" w:rsidR="00251A66" w:rsidRPr="00A93EEB" w:rsidRDefault="00251A66"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 xml:space="preserve">El recurso de revisión fue interpuesto dentro del plazo de quince días hábiles, previsto en el artículo 178 de la Ley de Transparencia y Acceso a la Información Pública del Estado de México y Municipios, toda vez que el </w:t>
      </w:r>
      <w:r w:rsidRPr="00A93EEB">
        <w:rPr>
          <w:rFonts w:ascii="Palatino Linotype" w:eastAsia="Palatino Linotype" w:hAnsi="Palatino Linotype" w:cs="Palatino Linotype"/>
          <w:b/>
          <w:sz w:val="24"/>
        </w:rPr>
        <w:t>SUJETO OBLIGADO</w:t>
      </w:r>
      <w:r w:rsidRPr="00A93EEB">
        <w:rPr>
          <w:rFonts w:ascii="Palatino Linotype" w:eastAsia="Palatino Linotype" w:hAnsi="Palatino Linotype" w:cs="Palatino Linotype"/>
          <w:sz w:val="24"/>
        </w:rPr>
        <w:t xml:space="preserve"> remitió la respuesta a la solicitud de información el día </w:t>
      </w:r>
      <w:r w:rsidRPr="00A93EEB">
        <w:rPr>
          <w:rFonts w:ascii="Palatino Linotype" w:eastAsia="Palatino Linotype" w:hAnsi="Palatino Linotype" w:cs="Palatino Linotype"/>
          <w:b/>
          <w:sz w:val="24"/>
        </w:rPr>
        <w:t xml:space="preserve">veintitrés de noviembre de dos mil </w:t>
      </w:r>
      <w:r w:rsidRPr="00A93EEB">
        <w:rPr>
          <w:rFonts w:ascii="Palatino Linotype" w:eastAsia="Palatino Linotype" w:hAnsi="Palatino Linotype" w:cs="Palatino Linotype"/>
          <w:b/>
          <w:sz w:val="24"/>
        </w:rPr>
        <w:lastRenderedPageBreak/>
        <w:t>veintidós</w:t>
      </w:r>
      <w:r w:rsidRPr="00A93EEB">
        <w:rPr>
          <w:rFonts w:ascii="Palatino Linotype" w:eastAsia="Palatino Linotype" w:hAnsi="Palatino Linotype" w:cs="Palatino Linotype"/>
          <w:sz w:val="24"/>
        </w:rPr>
        <w:t>,</w:t>
      </w:r>
      <w:r w:rsidRPr="00A93EEB">
        <w:rPr>
          <w:rFonts w:ascii="Palatino Linotype" w:eastAsia="Palatino Linotype" w:hAnsi="Palatino Linotype" w:cs="Palatino Linotype"/>
          <w:b/>
          <w:sz w:val="24"/>
        </w:rPr>
        <w:t xml:space="preserve"> </w:t>
      </w:r>
      <w:r w:rsidRPr="00A93EEB">
        <w:rPr>
          <w:rFonts w:ascii="Palatino Linotype" w:eastAsia="Palatino Linotype" w:hAnsi="Palatino Linotype" w:cs="Palatino Linotype"/>
          <w:sz w:val="24"/>
        </w:rPr>
        <w:t xml:space="preserve">mientras que el recurso de revisión interpuesto por </w:t>
      </w:r>
      <w:r w:rsidRPr="00A93EEB">
        <w:rPr>
          <w:rFonts w:ascii="Palatino Linotype" w:eastAsia="Palatino Linotype" w:hAnsi="Palatino Linotype" w:cs="Palatino Linotype"/>
          <w:b/>
          <w:sz w:val="24"/>
        </w:rPr>
        <w:t>la parte</w:t>
      </w:r>
      <w:r w:rsidRPr="00A93EEB">
        <w:rPr>
          <w:rFonts w:ascii="Palatino Linotype" w:eastAsia="Palatino Linotype" w:hAnsi="Palatino Linotype" w:cs="Palatino Linotype"/>
          <w:sz w:val="24"/>
        </w:rPr>
        <w:t xml:space="preserve"> </w:t>
      </w:r>
      <w:r w:rsidRPr="00A93EEB">
        <w:rPr>
          <w:rFonts w:ascii="Palatino Linotype" w:eastAsia="Palatino Linotype" w:hAnsi="Palatino Linotype" w:cs="Palatino Linotype"/>
          <w:b/>
          <w:sz w:val="24"/>
        </w:rPr>
        <w:t>RECURRENTE</w:t>
      </w:r>
      <w:r w:rsidRPr="00A93EEB">
        <w:rPr>
          <w:rFonts w:ascii="Palatino Linotype" w:eastAsia="Palatino Linotype" w:hAnsi="Palatino Linotype" w:cs="Palatino Linotype"/>
          <w:sz w:val="24"/>
        </w:rPr>
        <w:t xml:space="preserve"> se tuvo por presentado el</w:t>
      </w:r>
      <w:bookmarkStart w:id="2" w:name="_heading=h.3znysh7" w:colFirst="0" w:colLast="0"/>
      <w:bookmarkEnd w:id="2"/>
      <w:r w:rsidRPr="00A93EEB">
        <w:rPr>
          <w:rFonts w:ascii="Palatino Linotype" w:eastAsia="Palatino Linotype" w:hAnsi="Palatino Linotype" w:cs="Palatino Linotype"/>
          <w:sz w:val="24"/>
        </w:rPr>
        <w:t xml:space="preserve"> mismo día en que se tuvo conocimiento de la respuesta. </w:t>
      </w:r>
    </w:p>
    <w:p w14:paraId="0E4CF2DA" w14:textId="77777777" w:rsidR="00251A66" w:rsidRPr="00A93EEB" w:rsidRDefault="00251A66" w:rsidP="00251A66">
      <w:pPr>
        <w:spacing w:after="0" w:line="360" w:lineRule="auto"/>
        <w:jc w:val="both"/>
        <w:rPr>
          <w:rFonts w:ascii="Palatino Linotype" w:eastAsia="Palatino Linotype" w:hAnsi="Palatino Linotype" w:cs="Palatino Linotype"/>
          <w:sz w:val="24"/>
        </w:rPr>
      </w:pPr>
    </w:p>
    <w:p w14:paraId="3C227AA9" w14:textId="77777777" w:rsidR="00251A66" w:rsidRPr="00A93EEB" w:rsidRDefault="00251A66" w:rsidP="00251A66">
      <w:pPr>
        <w:pStyle w:val="NormalWeb"/>
        <w:spacing w:before="0" w:beforeAutospacing="0" w:after="0" w:afterAutospacing="0" w:line="360" w:lineRule="auto"/>
        <w:jc w:val="both"/>
        <w:rPr>
          <w:rFonts w:ascii="Palatino Linotype" w:hAnsi="Palatino Linotype"/>
        </w:rPr>
      </w:pPr>
      <w:r w:rsidRPr="00A93EEB">
        <w:rPr>
          <w:rFonts w:ascii="Palatino Linotype" w:hAnsi="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w:t>
      </w:r>
      <w:proofErr w:type="gramStart"/>
      <w:r w:rsidRPr="00A93EEB">
        <w:rPr>
          <w:rFonts w:ascii="Palatino Linotype" w:hAnsi="Palatino Linotype"/>
        </w:rPr>
        <w:t>Junio</w:t>
      </w:r>
      <w:proofErr w:type="gramEnd"/>
      <w:r w:rsidRPr="00A93EEB">
        <w:rPr>
          <w:rFonts w:ascii="Palatino Linotype" w:hAnsi="Palatino Linotype"/>
        </w:rPr>
        <w:t xml:space="preserve"> de 2015, Tomo I, página 569 de la Décima época que lleva por rubro y texto los siguientes:</w:t>
      </w:r>
    </w:p>
    <w:p w14:paraId="390D4D2B" w14:textId="77777777" w:rsidR="00251A66" w:rsidRPr="00A93EEB" w:rsidRDefault="00251A66" w:rsidP="00251A66">
      <w:pPr>
        <w:pStyle w:val="NormalWeb"/>
        <w:spacing w:before="0" w:beforeAutospacing="0" w:after="0" w:afterAutospacing="0" w:line="360" w:lineRule="auto"/>
        <w:jc w:val="both"/>
      </w:pPr>
    </w:p>
    <w:p w14:paraId="55B74A7B" w14:textId="28767FCE" w:rsidR="00251A66" w:rsidRPr="00A93EEB" w:rsidRDefault="00251A66" w:rsidP="00C87609">
      <w:pPr>
        <w:pStyle w:val="NormalWeb"/>
        <w:spacing w:before="0" w:beforeAutospacing="0" w:after="0" w:afterAutospacing="0" w:line="276" w:lineRule="auto"/>
        <w:ind w:left="851" w:right="902"/>
        <w:jc w:val="both"/>
        <w:rPr>
          <w:sz w:val="22"/>
        </w:rPr>
      </w:pPr>
      <w:r w:rsidRPr="00A93EEB">
        <w:rPr>
          <w:rFonts w:ascii="Palatino Linotype" w:hAnsi="Palatino Linotype"/>
          <w:bCs/>
          <w:i/>
          <w:iCs/>
          <w:sz w:val="22"/>
        </w:rPr>
        <w:t>“</w:t>
      </w:r>
      <w:r w:rsidRPr="00A93EEB">
        <w:rPr>
          <w:rFonts w:ascii="Palatino Linotype" w:hAnsi="Palatino Linotype"/>
          <w:b/>
          <w:bCs/>
          <w:i/>
          <w:iCs/>
          <w:sz w:val="22"/>
        </w:rPr>
        <w:t>RECURSO DE RECLAMACIÓN. SU INTERPOSICIÓN NO ES EXTEMPORÁNEA SI SE REALIZA ANTES DE QUE INICIE EL PLAZO PARA HACERLO</w:t>
      </w:r>
      <w:r w:rsidRPr="00A93EEB">
        <w:rPr>
          <w:rFonts w:ascii="Palatino Linotype" w:hAnsi="Palatino Linotype"/>
          <w:i/>
          <w:iCs/>
          <w:sz w:val="22"/>
        </w:rPr>
        <w:t>.</w:t>
      </w:r>
      <w:r w:rsidRPr="00A93EEB">
        <w:rPr>
          <w:sz w:val="22"/>
        </w:rPr>
        <w:t xml:space="preserve"> </w:t>
      </w:r>
      <w:r w:rsidRPr="00A93EEB">
        <w:rPr>
          <w:rFonts w:ascii="Palatino Linotype" w:hAnsi="Palatino Linotype"/>
          <w:i/>
          <w:iCs/>
          <w:sz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A93EEB">
        <w:rPr>
          <w:rFonts w:ascii="Palatino Linotype" w:hAnsi="Palatino Linotype"/>
          <w:i/>
          <w:iCs/>
        </w:rPr>
        <w:t>.”</w:t>
      </w:r>
    </w:p>
    <w:p w14:paraId="3494C6D1" w14:textId="77777777" w:rsidR="00251A66" w:rsidRPr="00A93EEB" w:rsidRDefault="00251A66" w:rsidP="00251A66">
      <w:pPr>
        <w:spacing w:after="0" w:line="360" w:lineRule="auto"/>
        <w:jc w:val="both"/>
        <w:rPr>
          <w:rFonts w:ascii="Palatino Linotype" w:eastAsia="Palatino Linotype" w:hAnsi="Palatino Linotype" w:cs="Palatino Linotype"/>
          <w:sz w:val="24"/>
          <w:szCs w:val="24"/>
        </w:rPr>
      </w:pPr>
    </w:p>
    <w:p w14:paraId="6C44FA62" w14:textId="77777777" w:rsidR="00251A66" w:rsidRPr="00A93EEB" w:rsidRDefault="00251A66" w:rsidP="00251A66">
      <w:pPr>
        <w:spacing w:after="0" w:line="360" w:lineRule="auto"/>
        <w:jc w:val="both"/>
        <w:rPr>
          <w:rFonts w:ascii="Palatino Linotype" w:eastAsia="Palatino Linotype" w:hAnsi="Palatino Linotype" w:cs="Palatino Linotype"/>
          <w:b/>
          <w:sz w:val="24"/>
        </w:rPr>
      </w:pPr>
      <w:r w:rsidRPr="00A93EEB">
        <w:rPr>
          <w:rFonts w:ascii="Palatino Linotype" w:eastAsia="Palatino Linotype" w:hAnsi="Palatino Linotype" w:cs="Palatino Linotype"/>
          <w:sz w:val="24"/>
        </w:rPr>
        <w:t xml:space="preserve">Así también, por cuanto hace a la </w:t>
      </w:r>
      <w:proofErr w:type="spellStart"/>
      <w:r w:rsidRPr="00A93EEB">
        <w:rPr>
          <w:rFonts w:ascii="Palatino Linotype" w:eastAsia="Palatino Linotype" w:hAnsi="Palatino Linotype" w:cs="Palatino Linotype"/>
          <w:sz w:val="24"/>
        </w:rPr>
        <w:t>procedibilidad</w:t>
      </w:r>
      <w:proofErr w:type="spellEnd"/>
      <w:r w:rsidRPr="00A93EEB">
        <w:rPr>
          <w:rFonts w:ascii="Palatino Linotype" w:eastAsia="Palatino Linotype" w:hAnsi="Palatino Linotype" w:cs="Palatino Linotype"/>
          <w:sz w:val="24"/>
        </w:rPr>
        <w:t xml:space="preserve"> del recurso de revisión, una vez realizado el análisis de los formatos de interposición del recurso, se concluye la acreditación plena de los elementos formales precisados por el artículo 180 de la Ley </w:t>
      </w:r>
      <w:r w:rsidRPr="00A93EEB">
        <w:rPr>
          <w:rFonts w:ascii="Palatino Linotype" w:eastAsia="Palatino Linotype" w:hAnsi="Palatino Linotype" w:cs="Palatino Linotype"/>
          <w:sz w:val="24"/>
        </w:rPr>
        <w:lastRenderedPageBreak/>
        <w:t xml:space="preserve">de Transparencia y Acceso a la Información Pública del Estado de México y Municipios, en atención a que fue presentado mediante el formato visible en el </w:t>
      </w:r>
      <w:r w:rsidRPr="00A93EEB">
        <w:rPr>
          <w:rFonts w:ascii="Palatino Linotype" w:eastAsia="Palatino Linotype" w:hAnsi="Palatino Linotype" w:cs="Palatino Linotype"/>
          <w:b/>
          <w:sz w:val="24"/>
        </w:rPr>
        <w:t>SAIMEX.</w:t>
      </w:r>
    </w:p>
    <w:p w14:paraId="2D4679F0" w14:textId="77777777" w:rsidR="00251A66" w:rsidRPr="00A93EEB" w:rsidRDefault="00251A66" w:rsidP="00251A66">
      <w:pPr>
        <w:spacing w:after="0" w:line="360" w:lineRule="auto"/>
        <w:jc w:val="both"/>
        <w:rPr>
          <w:rFonts w:ascii="Palatino Linotype" w:eastAsia="Palatino Linotype" w:hAnsi="Palatino Linotype" w:cs="Palatino Linotype"/>
        </w:rPr>
      </w:pPr>
    </w:p>
    <w:p w14:paraId="03C0BB3E" w14:textId="348F2BCF" w:rsidR="00251A66" w:rsidRPr="00A93EEB" w:rsidRDefault="00251A66"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 xml:space="preserve">Finalmente, se advierte que resulta procedente la interposición del recurso, según lo manifestado por el recurrente en sus motivos de inconformidad, de acuerdo con el artículo 179, </w:t>
      </w:r>
      <w:r w:rsidR="00FF394E" w:rsidRPr="00A93EEB">
        <w:rPr>
          <w:rFonts w:ascii="Palatino Linotype" w:eastAsia="Palatino Linotype" w:hAnsi="Palatino Linotype" w:cs="Palatino Linotype"/>
          <w:sz w:val="24"/>
        </w:rPr>
        <w:t>fracción IV</w:t>
      </w:r>
      <w:r w:rsidRPr="00A93EEB">
        <w:rPr>
          <w:rFonts w:ascii="Palatino Linotype" w:eastAsia="Palatino Linotype" w:hAnsi="Palatino Linotype" w:cs="Palatino Linotype"/>
          <w:sz w:val="24"/>
        </w:rPr>
        <w:t xml:space="preserve"> del ordenamiento legal citado, que a la letra dice: </w:t>
      </w:r>
    </w:p>
    <w:p w14:paraId="13DBDED7" w14:textId="77777777" w:rsidR="00251A66" w:rsidRPr="00A93EEB" w:rsidRDefault="00251A66" w:rsidP="00251A66">
      <w:pPr>
        <w:spacing w:after="0" w:line="360" w:lineRule="auto"/>
        <w:jc w:val="both"/>
        <w:rPr>
          <w:rFonts w:ascii="Palatino Linotype" w:eastAsia="Palatino Linotype" w:hAnsi="Palatino Linotype" w:cs="Palatino Linotype"/>
        </w:rPr>
      </w:pPr>
    </w:p>
    <w:p w14:paraId="7500A31D" w14:textId="77777777" w:rsidR="00251A66" w:rsidRPr="00A93EEB" w:rsidRDefault="00251A66" w:rsidP="00251A66">
      <w:pPr>
        <w:spacing w:after="0" w:line="276" w:lineRule="auto"/>
        <w:ind w:left="567" w:right="902"/>
        <w:jc w:val="both"/>
        <w:rPr>
          <w:rFonts w:ascii="Palatino Linotype" w:eastAsia="Palatino Linotype" w:hAnsi="Palatino Linotype" w:cs="Palatino Linotype"/>
          <w:i/>
        </w:rPr>
      </w:pPr>
      <w:r w:rsidRPr="00A93EEB">
        <w:rPr>
          <w:rFonts w:ascii="Palatino Linotype" w:eastAsia="Palatino Linotype" w:hAnsi="Palatino Linotype" w:cs="Palatino Linotype"/>
          <w:i/>
        </w:rPr>
        <w:t>“</w:t>
      </w:r>
      <w:r w:rsidRPr="00A93EEB">
        <w:rPr>
          <w:rFonts w:ascii="Palatino Linotype" w:eastAsia="Palatino Linotype" w:hAnsi="Palatino Linotype" w:cs="Palatino Linotype"/>
          <w:b/>
          <w:i/>
        </w:rPr>
        <w:t>Artículo 179.</w:t>
      </w:r>
      <w:r w:rsidRPr="00A93EEB">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47E748A" w14:textId="77777777" w:rsidR="00251A66" w:rsidRPr="00A93EEB" w:rsidRDefault="00251A66" w:rsidP="00251A66">
      <w:pPr>
        <w:pStyle w:val="Prrafodelista"/>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A93EEB">
        <w:rPr>
          <w:rFonts w:ascii="Palatino Linotype" w:eastAsia="Palatino Linotype" w:hAnsi="Palatino Linotype" w:cs="Palatino Linotype"/>
          <w:i/>
        </w:rPr>
        <w:t>…</w:t>
      </w:r>
    </w:p>
    <w:p w14:paraId="4B17C7B8" w14:textId="1A2952A8" w:rsidR="00251A66" w:rsidRPr="00A93EEB" w:rsidRDefault="00FF394E" w:rsidP="00251A66">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A93EEB">
        <w:rPr>
          <w:rFonts w:ascii="Palatino Linotype" w:eastAsia="Palatino Linotype" w:hAnsi="Palatino Linotype" w:cs="Palatino Linotype"/>
          <w:i/>
        </w:rPr>
        <w:t>IV. La declaración de incompetencia por el sujeto obligado;</w:t>
      </w:r>
      <w:r w:rsidR="00251A66" w:rsidRPr="00A93EEB">
        <w:rPr>
          <w:rFonts w:ascii="Palatino Linotype" w:eastAsia="Palatino Linotype" w:hAnsi="Palatino Linotype" w:cs="Palatino Linotype"/>
          <w:i/>
        </w:rPr>
        <w:cr/>
        <w:t>…</w:t>
      </w:r>
    </w:p>
    <w:p w14:paraId="64929FC8" w14:textId="77777777" w:rsidR="00A25BF2" w:rsidRPr="00A93EEB" w:rsidRDefault="00A25BF2" w:rsidP="00251A66">
      <w:pPr>
        <w:spacing w:after="0" w:line="360" w:lineRule="auto"/>
        <w:jc w:val="both"/>
        <w:rPr>
          <w:rFonts w:ascii="Palatino Linotype" w:eastAsia="Palatino Linotype" w:hAnsi="Palatino Linotype" w:cs="Palatino Linotype"/>
          <w:sz w:val="24"/>
          <w:szCs w:val="24"/>
        </w:rPr>
      </w:pPr>
    </w:p>
    <w:p w14:paraId="01122012" w14:textId="77777777" w:rsidR="00251A66" w:rsidRPr="00A93EEB" w:rsidRDefault="00251A66"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b/>
          <w:sz w:val="24"/>
        </w:rPr>
        <w:t xml:space="preserve">Cuarto. Estudio del asunto. </w:t>
      </w:r>
      <w:r w:rsidRPr="00A93EEB">
        <w:rPr>
          <w:rFonts w:ascii="Palatino Linotype" w:eastAsia="Palatino Linotype" w:hAnsi="Palatino Linotype" w:cs="Palatino Linotype"/>
          <w:sz w:val="24"/>
        </w:rPr>
        <w:t xml:space="preserve">En principio, es conveniente analizar si la respuesta del </w:t>
      </w:r>
      <w:r w:rsidRPr="00A93EEB">
        <w:rPr>
          <w:rFonts w:ascii="Palatino Linotype" w:eastAsia="Palatino Linotype" w:hAnsi="Palatino Linotype" w:cs="Palatino Linotype"/>
          <w:b/>
          <w:sz w:val="24"/>
        </w:rPr>
        <w:t>SUJETO OBLIGADO</w:t>
      </w:r>
      <w:r w:rsidRPr="00A93EEB">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F65087D" w14:textId="77777777" w:rsidR="00251A66" w:rsidRPr="00A93EEB" w:rsidRDefault="00251A66" w:rsidP="00251A66">
      <w:pPr>
        <w:spacing w:after="0" w:line="360" w:lineRule="auto"/>
        <w:jc w:val="both"/>
        <w:rPr>
          <w:rFonts w:ascii="Palatino Linotype" w:eastAsia="Palatino Linotype" w:hAnsi="Palatino Linotype" w:cs="Palatino Linotype"/>
        </w:rPr>
      </w:pPr>
    </w:p>
    <w:p w14:paraId="520374DC"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i/>
        </w:rPr>
      </w:pPr>
      <w:r w:rsidRPr="00A93EEB">
        <w:rPr>
          <w:rFonts w:ascii="Palatino Linotype" w:eastAsia="Palatino Linotype" w:hAnsi="Palatino Linotype" w:cs="Palatino Linotype"/>
          <w:i/>
        </w:rPr>
        <w:lastRenderedPageBreak/>
        <w:t>“</w:t>
      </w:r>
      <w:r w:rsidRPr="00A93EEB">
        <w:rPr>
          <w:rFonts w:ascii="Palatino Linotype" w:eastAsia="Palatino Linotype" w:hAnsi="Palatino Linotype" w:cs="Palatino Linotype"/>
          <w:b/>
          <w:i/>
        </w:rPr>
        <w:t>Artículo 4</w:t>
      </w:r>
      <w:r w:rsidRPr="00A93EEB">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9A6EBE8"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i/>
        </w:rPr>
      </w:pPr>
      <w:r w:rsidRPr="00A93EEB">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A93EEB">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3B50C7B"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i/>
        </w:rPr>
      </w:pPr>
      <w:r w:rsidRPr="00A93EEB">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A93EEB">
        <w:rPr>
          <w:rFonts w:ascii="Palatino Linotype" w:eastAsia="Palatino Linotype" w:hAnsi="Palatino Linotype" w:cs="Palatino Linotype"/>
          <w:i/>
        </w:rPr>
        <w:t>.”(Sic)</w:t>
      </w:r>
    </w:p>
    <w:p w14:paraId="13ACA56D" w14:textId="77777777" w:rsidR="00251A66" w:rsidRPr="00A93EEB" w:rsidRDefault="00251A66" w:rsidP="00251A66">
      <w:pPr>
        <w:spacing w:after="0" w:line="360" w:lineRule="auto"/>
        <w:jc w:val="both"/>
        <w:rPr>
          <w:rFonts w:ascii="Palatino Linotype" w:eastAsia="Palatino Linotype" w:hAnsi="Palatino Linotype" w:cs="Palatino Linotype"/>
        </w:rPr>
      </w:pPr>
    </w:p>
    <w:p w14:paraId="6152F8CC" w14:textId="77777777" w:rsidR="00251A66" w:rsidRPr="00A93EEB" w:rsidRDefault="00251A66"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71F9EC6" w14:textId="77777777" w:rsidR="00251A66" w:rsidRPr="00A93EEB" w:rsidRDefault="00251A66" w:rsidP="00251A66">
      <w:pPr>
        <w:spacing w:after="0" w:line="360" w:lineRule="auto"/>
        <w:jc w:val="both"/>
        <w:rPr>
          <w:rFonts w:ascii="Palatino Linotype" w:eastAsia="Palatino Linotype" w:hAnsi="Palatino Linotype" w:cs="Palatino Linotype"/>
        </w:rPr>
      </w:pPr>
    </w:p>
    <w:p w14:paraId="231AE4A7"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i/>
        </w:rPr>
      </w:pPr>
      <w:r w:rsidRPr="00A93EEB">
        <w:rPr>
          <w:rFonts w:ascii="Palatino Linotype" w:eastAsia="Palatino Linotype" w:hAnsi="Palatino Linotype" w:cs="Palatino Linotype"/>
          <w:b/>
          <w:i/>
        </w:rPr>
        <w:t>“Artículo 12.-</w:t>
      </w:r>
      <w:r w:rsidRPr="00A93EE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9C2A286"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i/>
        </w:rPr>
      </w:pPr>
    </w:p>
    <w:p w14:paraId="1AE1CFF0"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i/>
        </w:rPr>
      </w:pPr>
      <w:r w:rsidRPr="00A93EEB">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A93EEB">
        <w:rPr>
          <w:rFonts w:ascii="Palatino Linotype" w:eastAsia="Palatino Linotype" w:hAnsi="Palatino Linotype" w:cs="Palatino Linotype"/>
          <w:i/>
        </w:rPr>
        <w:t xml:space="preserve">. </w:t>
      </w:r>
      <w:r w:rsidRPr="00A93EEB">
        <w:rPr>
          <w:rFonts w:ascii="Palatino Linotype" w:eastAsia="Palatino Linotype" w:hAnsi="Palatino Linotype" w:cs="Palatino Linotype"/>
          <w:b/>
          <w:i/>
        </w:rPr>
        <w:t xml:space="preserve">La obligación de proporcionar información no comprende el procesamiento de la </w:t>
      </w:r>
      <w:r w:rsidRPr="00A93EEB">
        <w:rPr>
          <w:rFonts w:ascii="Palatino Linotype" w:eastAsia="Palatino Linotype" w:hAnsi="Palatino Linotype" w:cs="Palatino Linotype"/>
          <w:b/>
          <w:i/>
        </w:rPr>
        <w:lastRenderedPageBreak/>
        <w:t>misma, ni el presentarla conforme al interés del solicitante; no estarán obligados a generarla, resumirla, efectuar cálculos o practicar investigaciones.” (Sic)</w:t>
      </w:r>
    </w:p>
    <w:p w14:paraId="63F2FB2F" w14:textId="77777777" w:rsidR="00251A66" w:rsidRPr="00A93EEB" w:rsidRDefault="00251A66" w:rsidP="00251A66">
      <w:pPr>
        <w:spacing w:after="0" w:line="360" w:lineRule="auto"/>
        <w:ind w:right="-93"/>
        <w:jc w:val="both"/>
        <w:rPr>
          <w:rFonts w:ascii="Palatino Linotype" w:eastAsia="Palatino Linotype" w:hAnsi="Palatino Linotype" w:cs="Palatino Linotype"/>
        </w:rPr>
      </w:pPr>
    </w:p>
    <w:p w14:paraId="7B9B2179" w14:textId="5166FA98" w:rsidR="00251A66" w:rsidRPr="00A93EEB" w:rsidRDefault="00251A66" w:rsidP="00251A66">
      <w:pPr>
        <w:spacing w:after="0" w:line="360" w:lineRule="auto"/>
        <w:ind w:right="-93"/>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76A88962" w14:textId="77777777" w:rsidR="0013122B" w:rsidRPr="00A93EEB" w:rsidRDefault="0013122B" w:rsidP="00251A66">
      <w:pPr>
        <w:spacing w:after="0" w:line="360" w:lineRule="auto"/>
        <w:ind w:right="-93"/>
        <w:jc w:val="both"/>
        <w:rPr>
          <w:rFonts w:ascii="Palatino Linotype" w:eastAsia="Palatino Linotype" w:hAnsi="Palatino Linotype" w:cs="Palatino Linotype"/>
          <w:sz w:val="24"/>
        </w:rPr>
      </w:pPr>
    </w:p>
    <w:p w14:paraId="45A9CFE3" w14:textId="77777777" w:rsidR="00251A66" w:rsidRPr="00A93EEB" w:rsidRDefault="00251A66" w:rsidP="00251A66">
      <w:pPr>
        <w:spacing w:after="0" w:line="360" w:lineRule="auto"/>
        <w:jc w:val="both"/>
        <w:rPr>
          <w:rFonts w:ascii="Palatino Linotype" w:eastAsia="Palatino Linotype" w:hAnsi="Palatino Linotype" w:cs="Palatino Linotype"/>
          <w:b/>
          <w:sz w:val="24"/>
        </w:rPr>
      </w:pPr>
      <w:r w:rsidRPr="00A93EEB">
        <w:rPr>
          <w:rFonts w:ascii="Palatino Linotype" w:eastAsia="Palatino Linotype" w:hAnsi="Palatino Linotype" w:cs="Palatino Linotype"/>
          <w:sz w:val="24"/>
        </w:rPr>
        <w:t>Sirve de apoyo a lo anterior, el criterio 03-17, expuesto por el Instituto Nacional de Transparencia, Acceso a la Información y Protección de Datos Personales, que dice:</w:t>
      </w:r>
      <w:r w:rsidRPr="00A93EEB">
        <w:rPr>
          <w:rFonts w:ascii="Palatino Linotype" w:eastAsia="Palatino Linotype" w:hAnsi="Palatino Linotype" w:cs="Palatino Linotype"/>
          <w:b/>
          <w:sz w:val="24"/>
        </w:rPr>
        <w:t xml:space="preserve"> </w:t>
      </w:r>
    </w:p>
    <w:p w14:paraId="1E9903BF" w14:textId="77777777" w:rsidR="00251A66" w:rsidRPr="00A93EEB" w:rsidRDefault="00251A66" w:rsidP="00251A66">
      <w:pPr>
        <w:spacing w:after="0"/>
        <w:ind w:left="567" w:right="616"/>
        <w:jc w:val="both"/>
        <w:rPr>
          <w:rFonts w:ascii="Palatino Linotype" w:eastAsia="Palatino Linotype" w:hAnsi="Palatino Linotype" w:cs="Palatino Linotype"/>
        </w:rPr>
      </w:pPr>
    </w:p>
    <w:p w14:paraId="6F31666A" w14:textId="461FFFE2" w:rsidR="00251A66" w:rsidRPr="00A93EEB" w:rsidRDefault="00251A66" w:rsidP="00251A66">
      <w:pPr>
        <w:spacing w:after="0" w:line="276" w:lineRule="auto"/>
        <w:ind w:left="567" w:right="616"/>
        <w:jc w:val="both"/>
        <w:rPr>
          <w:rFonts w:ascii="Palatino Linotype" w:eastAsia="Palatino Linotype" w:hAnsi="Palatino Linotype" w:cs="Palatino Linotype"/>
          <w:i/>
        </w:rPr>
      </w:pPr>
      <w:r w:rsidRPr="00A93EEB">
        <w:rPr>
          <w:rFonts w:ascii="Palatino Linotype" w:eastAsia="Palatino Linotype" w:hAnsi="Palatino Linotype" w:cs="Palatino Linotype"/>
          <w:i/>
        </w:rPr>
        <w:t>“</w:t>
      </w:r>
      <w:r w:rsidRPr="00A93EEB">
        <w:rPr>
          <w:rFonts w:ascii="Palatino Linotype" w:eastAsia="Palatino Linotype" w:hAnsi="Palatino Linotype" w:cs="Palatino Linotype"/>
          <w:b/>
          <w:i/>
        </w:rPr>
        <w:t>No existe obligación de elaborar documentos ad hoc para atender las solicitudes de acceso a la información.</w:t>
      </w:r>
      <w:r w:rsidRPr="00A93EEB">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6AF3CE8" w14:textId="77777777" w:rsidR="00251A66" w:rsidRPr="00A93EEB" w:rsidRDefault="00251A66" w:rsidP="00251A66">
      <w:pPr>
        <w:spacing w:after="0" w:line="360" w:lineRule="auto"/>
        <w:ind w:right="-93"/>
        <w:jc w:val="both"/>
        <w:rPr>
          <w:rFonts w:ascii="Palatino Linotype" w:eastAsia="Palatino Linotype" w:hAnsi="Palatino Linotype" w:cs="Palatino Linotype"/>
        </w:rPr>
      </w:pPr>
    </w:p>
    <w:p w14:paraId="2BC067B9" w14:textId="77777777" w:rsidR="00251A66" w:rsidRPr="00A93EEB" w:rsidRDefault="00251A66"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 xml:space="preserve">En esa tesitura, el artículo 24 en su último párrafo de la Ley de la Materia, dispone que los Sujetos Obligados sólo proporcionarán la información pública que generen, </w:t>
      </w:r>
      <w:r w:rsidRPr="00A93EEB">
        <w:rPr>
          <w:rFonts w:ascii="Palatino Linotype" w:eastAsia="Palatino Linotype" w:hAnsi="Palatino Linotype" w:cs="Palatino Linotype"/>
          <w:sz w:val="24"/>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F57FD13" w14:textId="77777777" w:rsidR="00251A66" w:rsidRPr="00A93EEB" w:rsidRDefault="00251A66" w:rsidP="00251A66">
      <w:pPr>
        <w:spacing w:after="0" w:line="360" w:lineRule="auto"/>
        <w:jc w:val="both"/>
        <w:rPr>
          <w:rFonts w:ascii="Palatino Linotype" w:eastAsia="Palatino Linotype" w:hAnsi="Palatino Linotype" w:cs="Palatino Linotype"/>
        </w:rPr>
      </w:pPr>
    </w:p>
    <w:p w14:paraId="05DA7FB9" w14:textId="54A86DF9" w:rsidR="00251A66" w:rsidRPr="00A93EEB" w:rsidRDefault="00251A66" w:rsidP="00251A66">
      <w:pPr>
        <w:spacing w:after="0" w:line="360" w:lineRule="auto"/>
        <w:ind w:right="49"/>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3907592" w14:textId="77777777" w:rsidR="00FF394E" w:rsidRPr="00A93EEB" w:rsidRDefault="00FF394E" w:rsidP="00251A66">
      <w:pPr>
        <w:spacing w:after="0" w:line="360" w:lineRule="auto"/>
        <w:ind w:right="49"/>
        <w:jc w:val="both"/>
        <w:rPr>
          <w:rFonts w:ascii="Palatino Linotype" w:eastAsia="Palatino Linotype" w:hAnsi="Palatino Linotype" w:cs="Palatino Linotype"/>
          <w:sz w:val="24"/>
        </w:rPr>
      </w:pPr>
    </w:p>
    <w:p w14:paraId="2A627F33" w14:textId="77777777" w:rsidR="00251A66" w:rsidRPr="00A93EEB" w:rsidRDefault="00251A66"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FB69AB3" w14:textId="77777777" w:rsidR="00251A66" w:rsidRPr="00A93EEB" w:rsidRDefault="00251A66" w:rsidP="00251A66">
      <w:pPr>
        <w:spacing w:after="0" w:line="360" w:lineRule="auto"/>
        <w:ind w:left="851" w:right="899"/>
        <w:jc w:val="both"/>
        <w:rPr>
          <w:rFonts w:ascii="Palatino Linotype" w:eastAsia="Palatino Linotype" w:hAnsi="Palatino Linotype" w:cs="Palatino Linotype"/>
          <w:i/>
        </w:rPr>
      </w:pPr>
    </w:p>
    <w:p w14:paraId="3B599055"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i/>
        </w:rPr>
      </w:pPr>
      <w:r w:rsidRPr="00A93EEB">
        <w:rPr>
          <w:rFonts w:ascii="Palatino Linotype" w:eastAsia="Palatino Linotype" w:hAnsi="Palatino Linotype" w:cs="Palatino Linotype"/>
          <w:i/>
        </w:rPr>
        <w:t>“</w:t>
      </w:r>
      <w:r w:rsidRPr="00A93EEB">
        <w:rPr>
          <w:rFonts w:ascii="Palatino Linotype" w:eastAsia="Palatino Linotype" w:hAnsi="Palatino Linotype" w:cs="Palatino Linotype"/>
          <w:b/>
          <w:i/>
        </w:rPr>
        <w:t xml:space="preserve">Artículo 3. </w:t>
      </w:r>
      <w:r w:rsidRPr="00A93EEB">
        <w:rPr>
          <w:rFonts w:ascii="Palatino Linotype" w:eastAsia="Palatino Linotype" w:hAnsi="Palatino Linotype" w:cs="Palatino Linotype"/>
          <w:i/>
        </w:rPr>
        <w:t>Para los efectos de la presente Ley se entenderá por:</w:t>
      </w:r>
    </w:p>
    <w:p w14:paraId="7602D568"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i/>
        </w:rPr>
      </w:pPr>
      <w:r w:rsidRPr="00A93EEB">
        <w:rPr>
          <w:rFonts w:ascii="Palatino Linotype" w:eastAsia="Palatino Linotype" w:hAnsi="Palatino Linotype" w:cs="Palatino Linotype"/>
          <w:i/>
        </w:rPr>
        <w:t>…</w:t>
      </w:r>
    </w:p>
    <w:p w14:paraId="65C1F063"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i/>
        </w:rPr>
      </w:pPr>
      <w:r w:rsidRPr="00A93EEB">
        <w:rPr>
          <w:rFonts w:ascii="Palatino Linotype" w:eastAsia="Palatino Linotype" w:hAnsi="Palatino Linotype" w:cs="Palatino Linotype"/>
          <w:b/>
          <w:i/>
        </w:rPr>
        <w:lastRenderedPageBreak/>
        <w:t>XI. Documento:</w:t>
      </w:r>
      <w:r w:rsidRPr="00A93EEB">
        <w:rPr>
          <w:rFonts w:ascii="Palatino Linotype" w:eastAsia="Palatino Linotype" w:hAnsi="Palatino Linotype" w:cs="Palatino Linotype"/>
          <w:i/>
        </w:rPr>
        <w:t xml:space="preserve"> Los expedientes, reportes, estudios, actas</w:t>
      </w:r>
      <w:r w:rsidRPr="00A93EEB">
        <w:rPr>
          <w:rFonts w:ascii="Palatino Linotype" w:eastAsia="Palatino Linotype" w:hAnsi="Palatino Linotype" w:cs="Palatino Linotype"/>
          <w:b/>
          <w:i/>
        </w:rPr>
        <w:t>,</w:t>
      </w:r>
      <w:r w:rsidRPr="00A93EEB">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C2FFEAC" w14:textId="77777777" w:rsidR="00251A66" w:rsidRPr="00A93EEB" w:rsidRDefault="00251A66" w:rsidP="00251A66">
      <w:pPr>
        <w:spacing w:after="0" w:line="360" w:lineRule="auto"/>
        <w:ind w:left="851" w:right="899"/>
        <w:jc w:val="both"/>
        <w:rPr>
          <w:rFonts w:ascii="Palatino Linotype" w:eastAsia="Palatino Linotype" w:hAnsi="Palatino Linotype" w:cs="Palatino Linotype"/>
        </w:rPr>
      </w:pPr>
    </w:p>
    <w:p w14:paraId="3849FE3A" w14:textId="77777777" w:rsidR="00251A66" w:rsidRPr="00A93EEB" w:rsidRDefault="00251A66"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1D3F154" w14:textId="77777777" w:rsidR="00251A66" w:rsidRPr="00A93EEB" w:rsidRDefault="00251A66" w:rsidP="00251A66">
      <w:pPr>
        <w:spacing w:after="0" w:line="360" w:lineRule="auto"/>
        <w:ind w:left="851" w:right="899"/>
        <w:jc w:val="both"/>
        <w:rPr>
          <w:rFonts w:ascii="Palatino Linotype" w:eastAsia="Palatino Linotype" w:hAnsi="Palatino Linotype" w:cs="Palatino Linotype"/>
        </w:rPr>
      </w:pPr>
    </w:p>
    <w:p w14:paraId="77909E29"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b/>
          <w:i/>
        </w:rPr>
      </w:pPr>
      <w:r w:rsidRPr="00A93EEB">
        <w:rPr>
          <w:rFonts w:ascii="Palatino Linotype" w:eastAsia="Palatino Linotype" w:hAnsi="Palatino Linotype" w:cs="Palatino Linotype"/>
          <w:b/>
        </w:rPr>
        <w:t>“</w:t>
      </w:r>
      <w:r w:rsidRPr="00A93EEB">
        <w:rPr>
          <w:rFonts w:ascii="Palatino Linotype" w:eastAsia="Palatino Linotype" w:hAnsi="Palatino Linotype" w:cs="Palatino Linotype"/>
          <w:b/>
          <w:i/>
        </w:rPr>
        <w:t>CRITERIO 0002-11</w:t>
      </w:r>
    </w:p>
    <w:p w14:paraId="021083E8"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i/>
        </w:rPr>
      </w:pPr>
      <w:r w:rsidRPr="00A93EEB">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93EE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A11C3E"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i/>
        </w:rPr>
      </w:pPr>
      <w:r w:rsidRPr="00A93EEB">
        <w:rPr>
          <w:rFonts w:ascii="Palatino Linotype" w:eastAsia="Palatino Linotype" w:hAnsi="Palatino Linotype" w:cs="Palatino Linotype"/>
          <w:i/>
        </w:rPr>
        <w:t>En consecuencia el acceso a la información se refiere a que se cumplan cualquiera de los siguientes tres supuestos:</w:t>
      </w:r>
    </w:p>
    <w:p w14:paraId="15C562E0"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i/>
        </w:rPr>
      </w:pPr>
      <w:r w:rsidRPr="00A93EEB">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06EE884"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b/>
          <w:i/>
        </w:rPr>
      </w:pPr>
      <w:r w:rsidRPr="00A93EEB">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9DAF22F" w14:textId="77777777" w:rsidR="00251A66" w:rsidRPr="00A93EEB" w:rsidRDefault="00251A66" w:rsidP="00251A66">
      <w:pPr>
        <w:spacing w:after="0" w:line="276" w:lineRule="auto"/>
        <w:ind w:left="567" w:right="616"/>
        <w:jc w:val="both"/>
        <w:rPr>
          <w:rFonts w:ascii="Palatino Linotype" w:eastAsia="Palatino Linotype" w:hAnsi="Palatino Linotype" w:cs="Palatino Linotype"/>
          <w:b/>
          <w:i/>
        </w:rPr>
      </w:pPr>
      <w:r w:rsidRPr="00A93EEB">
        <w:rPr>
          <w:rFonts w:ascii="Palatino Linotype" w:eastAsia="Palatino Linotype" w:hAnsi="Palatino Linotype" w:cs="Palatino Linotype"/>
          <w:b/>
          <w:i/>
        </w:rPr>
        <w:lastRenderedPageBreak/>
        <w:t>3) Que se trate de información registrada en cualquier soporte documental, que en ejercicio de las atribuciones conferidas, se encuentre en posesión de los Sujetos Obligados.” (Sic)</w:t>
      </w:r>
    </w:p>
    <w:p w14:paraId="6F89D3EE" w14:textId="77777777" w:rsidR="00251A66" w:rsidRPr="00A93EEB" w:rsidRDefault="00251A66" w:rsidP="00251A66">
      <w:pPr>
        <w:spacing w:after="0" w:line="360" w:lineRule="auto"/>
        <w:ind w:right="-93"/>
        <w:jc w:val="both"/>
        <w:rPr>
          <w:rFonts w:ascii="Palatino Linotype" w:eastAsia="Palatino Linotype" w:hAnsi="Palatino Linotype" w:cs="Palatino Linotype"/>
        </w:rPr>
      </w:pPr>
    </w:p>
    <w:p w14:paraId="15945005" w14:textId="0E6EF7B1" w:rsidR="00251A66" w:rsidRPr="00A93EEB" w:rsidRDefault="00251A66"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Dicho lo anterior, se procede al análisis de</w:t>
      </w:r>
      <w:r w:rsidR="00F74CBA" w:rsidRPr="00A93EEB">
        <w:rPr>
          <w:rFonts w:ascii="Palatino Linotype" w:eastAsia="Palatino Linotype" w:hAnsi="Palatino Linotype" w:cs="Palatino Linotype"/>
          <w:sz w:val="24"/>
        </w:rPr>
        <w:t xml:space="preserve"> los agravios hechos valer por la</w:t>
      </w:r>
      <w:r w:rsidR="00FF394E" w:rsidRPr="00A93EEB">
        <w:rPr>
          <w:rFonts w:ascii="Palatino Linotype" w:eastAsia="Palatino Linotype" w:hAnsi="Palatino Linotype" w:cs="Palatino Linotype"/>
          <w:sz w:val="24"/>
        </w:rPr>
        <w:t xml:space="preserve"> Recurrente que actualizan la causal de procedencia prevista en la fracción</w:t>
      </w:r>
      <w:r w:rsidRPr="00A93EEB">
        <w:rPr>
          <w:rFonts w:ascii="Palatino Linotype" w:eastAsia="Palatino Linotype" w:hAnsi="Palatino Linotype" w:cs="Palatino Linotype"/>
          <w:sz w:val="24"/>
        </w:rPr>
        <w:t xml:space="preserve"> I</w:t>
      </w:r>
      <w:r w:rsidR="00FF394E" w:rsidRPr="00A93EEB">
        <w:rPr>
          <w:rFonts w:ascii="Palatino Linotype" w:eastAsia="Palatino Linotype" w:hAnsi="Palatino Linotype" w:cs="Palatino Linotype"/>
          <w:sz w:val="24"/>
        </w:rPr>
        <w:t xml:space="preserve">V </w:t>
      </w:r>
      <w:r w:rsidRPr="00A93EEB">
        <w:rPr>
          <w:rFonts w:ascii="Palatino Linotype" w:eastAsia="Palatino Linotype" w:hAnsi="Palatino Linotype" w:cs="Palatino Linotype"/>
          <w:sz w:val="24"/>
        </w:rPr>
        <w:t xml:space="preserve">del artículo 179 de la Ley de Transparencia y Acceso a la Información del Estado de México y Municipios, relativas a la </w:t>
      </w:r>
      <w:r w:rsidR="00FF394E" w:rsidRPr="00A93EEB">
        <w:rPr>
          <w:rFonts w:ascii="Palatino Linotype" w:eastAsia="Palatino Linotype" w:hAnsi="Palatino Linotype" w:cs="Palatino Linotype"/>
          <w:sz w:val="24"/>
        </w:rPr>
        <w:t xml:space="preserve">declaración de incompetencia por el sujeto obligado. </w:t>
      </w:r>
      <w:r w:rsidRPr="00A93EEB">
        <w:rPr>
          <w:rFonts w:ascii="Palatino Linotype" w:eastAsia="Palatino Linotype" w:hAnsi="Palatino Linotype" w:cs="Palatino Linotype"/>
          <w:sz w:val="24"/>
        </w:rPr>
        <w:t xml:space="preserve"> </w:t>
      </w:r>
    </w:p>
    <w:p w14:paraId="75CE7B59" w14:textId="77777777" w:rsidR="00251A66" w:rsidRPr="00A93EEB" w:rsidRDefault="00251A66"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40E532BD" w14:textId="43F31EA3" w:rsidR="008A0F15" w:rsidRPr="00A93EEB" w:rsidRDefault="00251A66"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En ese sentido</w:t>
      </w:r>
      <w:r w:rsidR="00F74CBA" w:rsidRPr="00A93EEB">
        <w:rPr>
          <w:rFonts w:ascii="Palatino Linotype" w:eastAsia="Palatino Linotype" w:hAnsi="Palatino Linotype" w:cs="Palatino Linotype"/>
          <w:sz w:val="24"/>
        </w:rPr>
        <w:t>, se tiene que la pretensión de la</w:t>
      </w:r>
      <w:r w:rsidRPr="00A93EEB">
        <w:rPr>
          <w:rFonts w:ascii="Palatino Linotype" w:eastAsia="Palatino Linotype" w:hAnsi="Palatino Linotype" w:cs="Palatino Linotype"/>
          <w:sz w:val="24"/>
        </w:rPr>
        <w:t xml:space="preserve"> ahora Recurrente es obtener </w:t>
      </w:r>
      <w:r w:rsidR="008A0F15" w:rsidRPr="00A93EEB">
        <w:rPr>
          <w:rFonts w:ascii="Palatino Linotype" w:eastAsia="Palatino Linotype" w:hAnsi="Palatino Linotype" w:cs="Palatino Linotype"/>
          <w:sz w:val="24"/>
        </w:rPr>
        <w:t xml:space="preserve">la siguiente información: </w:t>
      </w:r>
    </w:p>
    <w:p w14:paraId="550A57ED" w14:textId="77777777" w:rsidR="008A0F15" w:rsidRPr="00A93EEB" w:rsidRDefault="008A0F15"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77C2D850" w14:textId="42AFC536" w:rsidR="00251A66" w:rsidRPr="00A93EEB" w:rsidRDefault="008A0F15" w:rsidP="00451369">
      <w:pPr>
        <w:pStyle w:val="Prrafodelista"/>
        <w:numPr>
          <w:ilvl w:val="0"/>
          <w:numId w:val="29"/>
        </w:num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A93EEB">
        <w:rPr>
          <w:rFonts w:ascii="Palatino Linotype" w:eastAsia="Palatino Linotype" w:hAnsi="Palatino Linotype" w:cs="Palatino Linotype"/>
          <w:b/>
          <w:u w:val="single"/>
        </w:rPr>
        <w:t>P</w:t>
      </w:r>
      <w:r w:rsidR="00251A66" w:rsidRPr="00A93EEB">
        <w:rPr>
          <w:rFonts w:ascii="Palatino Linotype" w:eastAsia="Palatino Linotype" w:hAnsi="Palatino Linotype" w:cs="Palatino Linotype"/>
          <w:b/>
          <w:u w:val="single"/>
        </w:rPr>
        <w:t>lanos hidráulicos</w:t>
      </w:r>
      <w:r w:rsidR="00251A66" w:rsidRPr="00A93EEB">
        <w:rPr>
          <w:rFonts w:ascii="Palatino Linotype" w:eastAsia="Palatino Linotype" w:hAnsi="Palatino Linotype" w:cs="Palatino Linotype"/>
          <w:b/>
        </w:rPr>
        <w:t xml:space="preserve"> de la unidad habitacional ASA, cuyo domicilio se ubica en la Avenida Toluca S/N y Josefa Ortiz de </w:t>
      </w:r>
      <w:r w:rsidRPr="00A93EEB">
        <w:rPr>
          <w:rFonts w:ascii="Palatino Linotype" w:eastAsia="Palatino Linotype" w:hAnsi="Palatino Linotype" w:cs="Palatino Linotype"/>
          <w:b/>
        </w:rPr>
        <w:t xml:space="preserve">Domínguez, Colonia Sagitario 4, unidad habitacional ASA, Municipio de Ecatepec, Estado de México, C.P 55297, siendo que esta Unidad Habitacional fue coordinada por </w:t>
      </w:r>
      <w:proofErr w:type="spellStart"/>
      <w:r w:rsidRPr="00A93EEB">
        <w:rPr>
          <w:rFonts w:ascii="Palatino Linotype" w:eastAsia="Palatino Linotype" w:hAnsi="Palatino Linotype" w:cs="Palatino Linotype"/>
          <w:b/>
        </w:rPr>
        <w:t>Banobras</w:t>
      </w:r>
      <w:proofErr w:type="spellEnd"/>
      <w:r w:rsidRPr="00A93EEB">
        <w:rPr>
          <w:rFonts w:ascii="Palatino Linotype" w:eastAsia="Palatino Linotype" w:hAnsi="Palatino Linotype" w:cs="Palatino Linotype"/>
          <w:b/>
        </w:rPr>
        <w:t xml:space="preserve">, </w:t>
      </w:r>
      <w:proofErr w:type="spellStart"/>
      <w:r w:rsidRPr="00A93EEB">
        <w:rPr>
          <w:rFonts w:ascii="Palatino Linotype" w:eastAsia="Palatino Linotype" w:hAnsi="Palatino Linotype" w:cs="Palatino Linotype"/>
          <w:b/>
        </w:rPr>
        <w:t>Fovissste</w:t>
      </w:r>
      <w:proofErr w:type="spellEnd"/>
      <w:r w:rsidRPr="00A93EEB">
        <w:rPr>
          <w:rFonts w:ascii="Palatino Linotype" w:eastAsia="Palatino Linotype" w:hAnsi="Palatino Linotype" w:cs="Palatino Linotype"/>
          <w:b/>
        </w:rPr>
        <w:t xml:space="preserve"> y </w:t>
      </w:r>
      <w:proofErr w:type="spellStart"/>
      <w:r w:rsidRPr="00A93EEB">
        <w:rPr>
          <w:rFonts w:ascii="Palatino Linotype" w:eastAsia="Palatino Linotype" w:hAnsi="Palatino Linotype" w:cs="Palatino Linotype"/>
          <w:b/>
        </w:rPr>
        <w:t>Aeropuestos</w:t>
      </w:r>
      <w:proofErr w:type="spellEnd"/>
      <w:r w:rsidRPr="00A93EEB">
        <w:rPr>
          <w:rFonts w:ascii="Palatino Linotype" w:eastAsia="Palatino Linotype" w:hAnsi="Palatino Linotype" w:cs="Palatino Linotype"/>
          <w:b/>
        </w:rPr>
        <w:t xml:space="preserve"> y Servicios Auxiliares (ASA) y;</w:t>
      </w:r>
    </w:p>
    <w:p w14:paraId="75CD21B8" w14:textId="17C3D195" w:rsidR="008A0F15" w:rsidRPr="00A93EEB" w:rsidRDefault="008A0F15" w:rsidP="008A0F15">
      <w:pPr>
        <w:pStyle w:val="Prrafodelista"/>
        <w:numPr>
          <w:ilvl w:val="0"/>
          <w:numId w:val="29"/>
        </w:num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A93EEB">
        <w:rPr>
          <w:rFonts w:ascii="Palatino Linotype" w:eastAsia="Palatino Linotype" w:hAnsi="Palatino Linotype" w:cs="Palatino Linotype"/>
          <w:b/>
        </w:rPr>
        <w:t xml:space="preserve">Nombre de la empresa o inmobiliaria que construyó la unidad habitacional ASA. </w:t>
      </w:r>
    </w:p>
    <w:p w14:paraId="319C4EA4" w14:textId="77777777" w:rsidR="00251A66" w:rsidRPr="00A93EEB" w:rsidRDefault="00251A66"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rPr>
      </w:pPr>
    </w:p>
    <w:p w14:paraId="0EB5295B" w14:textId="75D8DAD2" w:rsidR="00251A66" w:rsidRPr="00A93EEB" w:rsidRDefault="008A0F15"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 xml:space="preserve">En respuesta, el Sujeto Obligado, a través del Director de Desarrollo Urbano y Obras Públicas informó que después de haber realizado una búsqueda exhaustiva y razonable en los archivos de la Subdirección de Desarrollo Urbano, no se encontró registro alguno que haga referencia a la entrega-recepción de la Unidad Habitacional Asa, ubicada en Av. Toluca sin número de la Colonia Sagitario IV, </w:t>
      </w:r>
      <w:r w:rsidR="003036DD" w:rsidRPr="00A93EEB">
        <w:rPr>
          <w:rFonts w:ascii="Palatino Linotype" w:eastAsia="Palatino Linotype" w:hAnsi="Palatino Linotype" w:cs="Palatino Linotype"/>
          <w:sz w:val="24"/>
        </w:rPr>
        <w:t xml:space="preserve">Municipio de Ecatepec de Morelos, Estado de México. </w:t>
      </w:r>
    </w:p>
    <w:p w14:paraId="29E5F446" w14:textId="77777777" w:rsidR="003036DD" w:rsidRPr="00A93EEB" w:rsidRDefault="003036DD"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74AB8980" w14:textId="468E4792" w:rsidR="003036DD" w:rsidRPr="00A93EEB" w:rsidRDefault="003036DD"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 xml:space="preserve">Derivado de ello, el Particular se inconformó arguyendo que a) no se había realizado una búsqueda exhaustiva en los archivos del Sujeto Obligado y; b) la inexistencia no fue confirmada por el Comité de Transparencia. </w:t>
      </w:r>
    </w:p>
    <w:p w14:paraId="5B5C8F65" w14:textId="77777777" w:rsidR="003036DD" w:rsidRPr="00A93EEB" w:rsidRDefault="003036DD"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5D1E4FA6" w14:textId="25DF5746" w:rsidR="003036DD" w:rsidRPr="00A93EEB" w:rsidRDefault="003036DD"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u w:val="single"/>
        </w:rPr>
      </w:pPr>
      <w:r w:rsidRPr="00A93EEB">
        <w:rPr>
          <w:rFonts w:ascii="Palatino Linotype" w:eastAsia="Palatino Linotype" w:hAnsi="Palatino Linotype" w:cs="Palatino Linotype"/>
          <w:sz w:val="24"/>
        </w:rPr>
        <w:t>Es así que, mediante informe justificado, el Sujeto Obligado en términos generales mencionó que no se había encontrado algún documento en donde el Gobierno del Estado de México haya realizado la entrega física y documental de la Unidad Habitacional ASA, siendo que únicamente se contaba con una factibilidad de servicios de agua potable y alcantarillado</w:t>
      </w:r>
      <w:r w:rsidR="008B3F46" w:rsidRPr="00A93EEB">
        <w:rPr>
          <w:rFonts w:ascii="Palatino Linotype" w:eastAsia="Palatino Linotype" w:hAnsi="Palatino Linotype" w:cs="Palatino Linotype"/>
          <w:sz w:val="24"/>
        </w:rPr>
        <w:t xml:space="preserve"> de fecha diez de octubre de mil novecientos noventa y uno</w:t>
      </w:r>
      <w:r w:rsidRPr="00A93EEB">
        <w:rPr>
          <w:rFonts w:ascii="Palatino Linotype" w:eastAsia="Palatino Linotype" w:hAnsi="Palatino Linotype" w:cs="Palatino Linotype"/>
          <w:sz w:val="24"/>
        </w:rPr>
        <w:t xml:space="preserve">, no obstante, </w:t>
      </w:r>
      <w:r w:rsidRPr="00A93EEB">
        <w:rPr>
          <w:rFonts w:ascii="Palatino Linotype" w:eastAsia="Palatino Linotype" w:hAnsi="Palatino Linotype" w:cs="Palatino Linotype"/>
          <w:b/>
          <w:sz w:val="24"/>
          <w:u w:val="single"/>
        </w:rPr>
        <w:t xml:space="preserve">para la obtención de los planos hidráulicos, estos deberían ser solicitados al Organismo Público Descentralizado para la prestación de los Servicios de Agua Potable, Alcantarillado y Saneamiento (SAPASE). </w:t>
      </w:r>
    </w:p>
    <w:p w14:paraId="0423E5FC" w14:textId="77777777" w:rsidR="008B3F46" w:rsidRPr="00A93EEB" w:rsidRDefault="008B3F46"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3A991D27" w14:textId="2389B4C0" w:rsidR="003036DD" w:rsidRPr="00A93EEB" w:rsidRDefault="003036DD"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 xml:space="preserve">Hasta aquí, se tiene que la controversia a resolver en el presente asunto deviene de la incompetencia declarada por el Sujeto Obligado respecto de los planos hidráulicos de la unidad habitacional referida en la solicitud de información, por lo que, resulta procedente realizar el análisis siguiente: </w:t>
      </w:r>
    </w:p>
    <w:p w14:paraId="31C311AC" w14:textId="77777777" w:rsidR="003036DD" w:rsidRPr="00A93EEB" w:rsidRDefault="003036DD"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74E7E53D" w14:textId="2E3B0397" w:rsidR="003036DD" w:rsidRPr="00A93EEB" w:rsidRDefault="003036DD" w:rsidP="008B3F46">
      <w:pPr>
        <w:pStyle w:val="Prrafodelista"/>
        <w:numPr>
          <w:ilvl w:val="0"/>
          <w:numId w:val="34"/>
        </w:numPr>
        <w:pBdr>
          <w:top w:val="nil"/>
          <w:left w:val="nil"/>
          <w:bottom w:val="nil"/>
          <w:right w:val="nil"/>
          <w:between w:val="nil"/>
        </w:pBdr>
        <w:spacing w:after="0" w:line="360" w:lineRule="auto"/>
        <w:ind w:left="284" w:right="560"/>
        <w:jc w:val="both"/>
        <w:rPr>
          <w:rFonts w:ascii="Palatino Linotype" w:eastAsia="Palatino Linotype" w:hAnsi="Palatino Linotype" w:cs="Palatino Linotype"/>
          <w:b/>
        </w:rPr>
      </w:pPr>
      <w:r w:rsidRPr="00A93EEB">
        <w:rPr>
          <w:rFonts w:ascii="Palatino Linotype" w:eastAsia="Palatino Linotype" w:hAnsi="Palatino Linotype" w:cs="Palatino Linotype"/>
          <w:b/>
        </w:rPr>
        <w:t xml:space="preserve">De la competencia del Ayuntamiento de Ecatepec para poseer y administrar planos hidráulicos. </w:t>
      </w:r>
    </w:p>
    <w:p w14:paraId="703AA7F2" w14:textId="77777777" w:rsidR="008B3F46" w:rsidRPr="00A93EEB" w:rsidRDefault="008B3F46" w:rsidP="008B3F46">
      <w:pPr>
        <w:pStyle w:val="Prrafodelista"/>
        <w:pBdr>
          <w:top w:val="nil"/>
          <w:left w:val="nil"/>
          <w:bottom w:val="nil"/>
          <w:right w:val="nil"/>
          <w:between w:val="nil"/>
        </w:pBdr>
        <w:spacing w:after="0" w:line="360" w:lineRule="auto"/>
        <w:ind w:right="560"/>
        <w:jc w:val="both"/>
        <w:rPr>
          <w:rFonts w:ascii="Palatino Linotype" w:eastAsia="Palatino Linotype" w:hAnsi="Palatino Linotype" w:cs="Palatino Linotype"/>
          <w:b/>
        </w:rPr>
      </w:pPr>
    </w:p>
    <w:p w14:paraId="1549DFFC" w14:textId="41E1B579" w:rsidR="008B3F46" w:rsidRPr="00A93EEB" w:rsidRDefault="008B3F46" w:rsidP="008B3F46">
      <w:pPr>
        <w:pStyle w:val="Prrafodelista"/>
        <w:numPr>
          <w:ilvl w:val="0"/>
          <w:numId w:val="34"/>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A93EEB">
        <w:rPr>
          <w:rFonts w:ascii="Palatino Linotype" w:eastAsia="Palatino Linotype" w:hAnsi="Palatino Linotype" w:cs="Palatino Linotype"/>
          <w:b/>
        </w:rPr>
        <w:t xml:space="preserve">Del análisis de las disposiciones normativas: Bando Municipal de Ecatepec de Morelos del 15 de mayo de 1991. </w:t>
      </w:r>
    </w:p>
    <w:p w14:paraId="671E0ACF" w14:textId="77777777" w:rsidR="003036DD" w:rsidRPr="00A93EEB" w:rsidRDefault="003036DD"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0DECFE43" w14:textId="439D5D77" w:rsidR="0013122B" w:rsidRPr="00A93EEB" w:rsidRDefault="008B3F46"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 xml:space="preserve">En relación con esto, es </w:t>
      </w:r>
      <w:r w:rsidR="00914E31" w:rsidRPr="00A93EEB">
        <w:rPr>
          <w:rFonts w:ascii="Palatino Linotype" w:eastAsia="Palatino Linotype" w:hAnsi="Palatino Linotype" w:cs="Palatino Linotype"/>
          <w:sz w:val="24"/>
        </w:rPr>
        <w:t xml:space="preserve">recordar la existencia de un oficio signado por el entonces Director de Desarrollo Urbano y Obras Públicas mediante el cual se extiende la factibilidad de servicios de agua potable y drenaje de una fracción de predio, a favor de Aeropuerto y Servicios Auxiliares y/o Librado Vázquez Bobadilla, de fecha diez de octubre de mil novecientos noventa y uno. </w:t>
      </w:r>
    </w:p>
    <w:p w14:paraId="3E40D621" w14:textId="77777777" w:rsidR="0013122B" w:rsidRPr="00A93EEB" w:rsidRDefault="0013122B"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126A8F34" w14:textId="61A6833A" w:rsidR="00914E31" w:rsidRPr="00A93EEB" w:rsidRDefault="0013122B"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Por ello,</w:t>
      </w:r>
      <w:r w:rsidR="00914E31" w:rsidRPr="00A93EEB">
        <w:rPr>
          <w:rFonts w:ascii="Palatino Linotype" w:eastAsia="Palatino Linotype" w:hAnsi="Palatino Linotype" w:cs="Palatino Linotype"/>
          <w:sz w:val="24"/>
        </w:rPr>
        <w:t xml:space="preserve"> resulta relevante traer a colación lo que establece el Bando Municipal de 1991</w:t>
      </w:r>
      <w:r w:rsidR="00E736E6" w:rsidRPr="00A93EEB">
        <w:rPr>
          <w:rFonts w:ascii="Palatino Linotype" w:eastAsia="Palatino Linotype" w:hAnsi="Palatino Linotype" w:cs="Palatino Linotype"/>
          <w:sz w:val="24"/>
        </w:rPr>
        <w:t>,</w:t>
      </w:r>
      <w:r w:rsidR="00914E31" w:rsidRPr="00A93EEB">
        <w:rPr>
          <w:rFonts w:ascii="Palatino Linotype" w:eastAsia="Palatino Linotype" w:hAnsi="Palatino Linotype" w:cs="Palatino Linotype"/>
          <w:sz w:val="24"/>
        </w:rPr>
        <w:t xml:space="preserve"> </w:t>
      </w:r>
      <w:r w:rsidR="00E736E6" w:rsidRPr="00A93EEB">
        <w:rPr>
          <w:rFonts w:ascii="Palatino Linotype" w:eastAsia="Palatino Linotype" w:hAnsi="Palatino Linotype" w:cs="Palatino Linotype"/>
          <w:sz w:val="24"/>
        </w:rPr>
        <w:t xml:space="preserve">publicado el quince de mayo del mismo año </w:t>
      </w:r>
      <w:r w:rsidR="00914E31" w:rsidRPr="00A93EEB">
        <w:rPr>
          <w:rFonts w:ascii="Palatino Linotype" w:eastAsia="Palatino Linotype" w:hAnsi="Palatino Linotype" w:cs="Palatino Linotype"/>
        </w:rPr>
        <w:t xml:space="preserve">(consultable en </w:t>
      </w:r>
      <w:hyperlink r:id="rId9" w:history="1">
        <w:r w:rsidR="00914E31" w:rsidRPr="00A93EEB">
          <w:rPr>
            <w:rStyle w:val="Hipervnculo"/>
            <w:rFonts w:ascii="Palatino Linotype" w:eastAsia="Palatino Linotype" w:hAnsi="Palatino Linotype" w:cs="Palatino Linotype"/>
            <w:color w:val="auto"/>
          </w:rPr>
          <w:t>https://legislacion.edomex.gob.mx/sites/legislacion.edomex.gob.mx/files/files/pdf/gct/1991/may153.pdf</w:t>
        </w:r>
      </w:hyperlink>
      <w:r w:rsidR="00914E31" w:rsidRPr="00A93EEB">
        <w:rPr>
          <w:rFonts w:ascii="Palatino Linotype" w:eastAsia="Palatino Linotype" w:hAnsi="Palatino Linotype" w:cs="Palatino Linotype"/>
        </w:rPr>
        <w:t>)</w:t>
      </w:r>
      <w:r w:rsidR="00914E31" w:rsidRPr="00A93EEB">
        <w:rPr>
          <w:rFonts w:ascii="Palatino Linotype" w:eastAsia="Palatino Linotype" w:hAnsi="Palatino Linotype" w:cs="Palatino Linotype"/>
          <w:sz w:val="24"/>
        </w:rPr>
        <w:t xml:space="preserve">, </w:t>
      </w:r>
      <w:r w:rsidR="007D1969" w:rsidRPr="00A93EEB">
        <w:rPr>
          <w:rFonts w:ascii="Palatino Linotype" w:eastAsia="Palatino Linotype" w:hAnsi="Palatino Linotype" w:cs="Palatino Linotype"/>
          <w:sz w:val="24"/>
        </w:rPr>
        <w:t xml:space="preserve">que a la literalidad precisa que: </w:t>
      </w:r>
    </w:p>
    <w:p w14:paraId="45E44705" w14:textId="77777777" w:rsidR="00E736E6" w:rsidRPr="00A93EEB" w:rsidRDefault="00E736E6"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5C058D1D" w14:textId="2A22CFD7" w:rsidR="007D1969" w:rsidRPr="00A93EEB" w:rsidRDefault="007D1969" w:rsidP="007D1969">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A93EEB">
        <w:rPr>
          <w:rFonts w:ascii="Palatino Linotype" w:eastAsia="Palatino Linotype" w:hAnsi="Palatino Linotype" w:cs="Palatino Linotype"/>
          <w:b/>
          <w:i/>
        </w:rPr>
        <w:t>Artículo 26.-</w:t>
      </w:r>
      <w:r w:rsidRPr="00A93EEB">
        <w:rPr>
          <w:rFonts w:ascii="Palatino Linotype" w:eastAsia="Palatino Linotype" w:hAnsi="Palatino Linotype" w:cs="Palatino Linotype"/>
          <w:i/>
        </w:rPr>
        <w:t xml:space="preserve"> Para la atención de los problemas Municipales y vigilancia de las disposiciones y acuerdos del Ayuntamiento, el Presidente Municipal, en cualquier tiempo, auxiliarse de los demás integrantes del Ayuntamiento, formando comisiones integradas por los mismos, sin facultades ejecutivas que tendrán a su cargo, la proposición de proyectos de solución a los problemas que someten a su consideración en los términos del Artículo 53, de la Ley Orgánica Municipal. </w:t>
      </w:r>
    </w:p>
    <w:p w14:paraId="53B38C86" w14:textId="5C600990" w:rsidR="007D1969" w:rsidRPr="00A93EEB" w:rsidRDefault="007D1969" w:rsidP="007D1969">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A93EEB">
        <w:rPr>
          <w:rFonts w:ascii="Palatino Linotype" w:eastAsia="Palatino Linotype" w:hAnsi="Palatino Linotype" w:cs="Palatino Linotype"/>
          <w:i/>
        </w:rPr>
        <w:t xml:space="preserve">Las comisiones que funcionarán serán, entre otros, las siguientes: </w:t>
      </w:r>
    </w:p>
    <w:p w14:paraId="0FC6E586" w14:textId="2CF4F5CA" w:rsidR="007D1969" w:rsidRPr="00A93EEB" w:rsidRDefault="007D1969" w:rsidP="007D1969">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A93EEB">
        <w:rPr>
          <w:rFonts w:ascii="Palatino Linotype" w:eastAsia="Palatino Linotype" w:hAnsi="Palatino Linotype" w:cs="Palatino Linotype"/>
          <w:i/>
        </w:rPr>
        <w:t>…</w:t>
      </w:r>
    </w:p>
    <w:p w14:paraId="22152F15" w14:textId="39DC867A" w:rsidR="007D1969" w:rsidRPr="00A93EEB" w:rsidRDefault="007D1969" w:rsidP="007D1969">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A93EEB">
        <w:rPr>
          <w:rFonts w:ascii="Palatino Linotype" w:eastAsia="Palatino Linotype" w:hAnsi="Palatino Linotype" w:cs="Palatino Linotype"/>
          <w:i/>
        </w:rPr>
        <w:t>III. De agua, drenaje y alcantarillado</w:t>
      </w:r>
    </w:p>
    <w:p w14:paraId="17267829" w14:textId="0E831146" w:rsidR="007D1969" w:rsidRPr="00A93EEB" w:rsidRDefault="007D1969" w:rsidP="007D1969">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A93EEB">
        <w:rPr>
          <w:rFonts w:ascii="Palatino Linotype" w:eastAsia="Palatino Linotype" w:hAnsi="Palatino Linotype" w:cs="Palatino Linotype"/>
          <w:i/>
        </w:rPr>
        <w:t>…</w:t>
      </w:r>
    </w:p>
    <w:p w14:paraId="553A731C" w14:textId="77777777" w:rsidR="007D1969" w:rsidRPr="00A93EEB" w:rsidRDefault="007D1969" w:rsidP="007D1969">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p>
    <w:p w14:paraId="3E5EDA5B" w14:textId="14F10D3D" w:rsidR="007D1969" w:rsidRPr="00A93EEB" w:rsidRDefault="007D1969" w:rsidP="007D1969">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A93EEB">
        <w:rPr>
          <w:rFonts w:ascii="Palatino Linotype" w:eastAsia="Palatino Linotype" w:hAnsi="Palatino Linotype" w:cs="Palatino Linotype"/>
          <w:b/>
          <w:i/>
        </w:rPr>
        <w:t xml:space="preserve">Artículo 28.- </w:t>
      </w:r>
      <w:r w:rsidRPr="00A93EEB">
        <w:rPr>
          <w:rFonts w:ascii="Palatino Linotype" w:eastAsia="Palatino Linotype" w:hAnsi="Palatino Linotype" w:cs="Palatino Linotype"/>
          <w:i/>
        </w:rPr>
        <w:t xml:space="preserve">En el ejercicio de sus atribuciones y para el despacho de los negocios del orden administrativo, el Ayuntamiento contará con las siguientes dependencias: </w:t>
      </w:r>
    </w:p>
    <w:p w14:paraId="1AF06F78" w14:textId="07CF571E" w:rsidR="007D1969" w:rsidRPr="00A93EEB" w:rsidRDefault="007D1969" w:rsidP="007D1969">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A93EEB">
        <w:rPr>
          <w:rFonts w:ascii="Palatino Linotype" w:eastAsia="Palatino Linotype" w:hAnsi="Palatino Linotype" w:cs="Palatino Linotype"/>
          <w:b/>
          <w:i/>
        </w:rPr>
        <w:t>…</w:t>
      </w:r>
    </w:p>
    <w:p w14:paraId="384DDC83" w14:textId="14EF19B5" w:rsidR="007D1969" w:rsidRPr="00A93EEB" w:rsidRDefault="007D1969" w:rsidP="007D1969">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A93EEB">
        <w:rPr>
          <w:rFonts w:ascii="Palatino Linotype" w:eastAsia="Palatino Linotype" w:hAnsi="Palatino Linotype" w:cs="Palatino Linotype"/>
          <w:i/>
        </w:rPr>
        <w:t xml:space="preserve">5.- Dirección de Agua Potable y Alcantarillado. </w:t>
      </w:r>
    </w:p>
    <w:p w14:paraId="3AA63294" w14:textId="28435AF2" w:rsidR="007D1969" w:rsidRPr="00A93EEB" w:rsidRDefault="007D1969" w:rsidP="007D1969">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A93EEB">
        <w:rPr>
          <w:rFonts w:ascii="Palatino Linotype" w:eastAsia="Palatino Linotype" w:hAnsi="Palatino Linotype" w:cs="Palatino Linotype"/>
          <w:i/>
        </w:rPr>
        <w:t>…</w:t>
      </w:r>
    </w:p>
    <w:p w14:paraId="3B04CC9B" w14:textId="77777777" w:rsidR="007D1969" w:rsidRPr="00A93EEB" w:rsidRDefault="007D1969" w:rsidP="007D1969">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p>
    <w:p w14:paraId="19153CC5" w14:textId="3883E17F" w:rsidR="007D1969" w:rsidRPr="00A93EEB" w:rsidRDefault="007D1969" w:rsidP="007D1969">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b/>
          <w:i/>
        </w:rPr>
      </w:pPr>
      <w:r w:rsidRPr="00A93EEB">
        <w:rPr>
          <w:rFonts w:ascii="Palatino Linotype" w:eastAsia="Palatino Linotype" w:hAnsi="Palatino Linotype" w:cs="Palatino Linotype"/>
          <w:b/>
          <w:i/>
        </w:rPr>
        <w:lastRenderedPageBreak/>
        <w:t>AGUA POTABLE</w:t>
      </w:r>
    </w:p>
    <w:p w14:paraId="14A5D25C" w14:textId="77777777" w:rsidR="007D1969" w:rsidRPr="00A93EEB" w:rsidRDefault="007D1969" w:rsidP="007D1969">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b/>
          <w:i/>
        </w:rPr>
      </w:pPr>
    </w:p>
    <w:p w14:paraId="366EA951" w14:textId="7546F3B2" w:rsidR="007D1969" w:rsidRPr="00A93EEB" w:rsidRDefault="007D1969" w:rsidP="007D1969">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A93EEB">
        <w:rPr>
          <w:rFonts w:ascii="Palatino Linotype" w:eastAsia="Palatino Linotype" w:hAnsi="Palatino Linotype" w:cs="Palatino Linotype"/>
          <w:b/>
          <w:i/>
        </w:rPr>
        <w:t xml:space="preserve">Artículo 54.- </w:t>
      </w:r>
      <w:r w:rsidRPr="00A93EEB">
        <w:rPr>
          <w:rFonts w:ascii="Palatino Linotype" w:eastAsia="Palatino Linotype" w:hAnsi="Palatino Linotype" w:cs="Palatino Linotype"/>
          <w:i/>
        </w:rPr>
        <w:t xml:space="preserve">El Ayuntamiento determinará independencia administrativa que se encargue de prestar el servicio público de agua potable, la cual tendrá a su cargo la captación, conducción, distribución y conservación de las instalaciones, conexión de medidores, de tomas domiciliarias de agua potable y autorizaciones para el funcionamiento de cisternas de más de 5 </w:t>
      </w:r>
      <w:proofErr w:type="spellStart"/>
      <w:r w:rsidRPr="00A93EEB">
        <w:rPr>
          <w:rFonts w:ascii="Palatino Linotype" w:eastAsia="Palatino Linotype" w:hAnsi="Palatino Linotype" w:cs="Palatino Linotype"/>
          <w:i/>
        </w:rPr>
        <w:t>mts</w:t>
      </w:r>
      <w:proofErr w:type="spellEnd"/>
      <w:r w:rsidRPr="00A93EEB">
        <w:rPr>
          <w:rFonts w:ascii="Palatino Linotype" w:eastAsia="Palatino Linotype" w:hAnsi="Palatino Linotype" w:cs="Palatino Linotype"/>
          <w:i/>
        </w:rPr>
        <w:t xml:space="preserve"> cúbicos de capacidad. </w:t>
      </w:r>
    </w:p>
    <w:p w14:paraId="3C16DA0C" w14:textId="77777777" w:rsidR="00914E31" w:rsidRPr="00A93EEB" w:rsidRDefault="00914E31"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7C93342C" w14:textId="4B5918A1" w:rsidR="00251A66" w:rsidRPr="00A93EEB" w:rsidRDefault="007D1969"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 xml:space="preserve">De lo anterior, se colige que </w:t>
      </w:r>
      <w:r w:rsidR="00E736E6" w:rsidRPr="00A93EEB">
        <w:rPr>
          <w:rFonts w:ascii="Palatino Linotype" w:eastAsia="Palatino Linotype" w:hAnsi="Palatino Linotype" w:cs="Palatino Linotype"/>
          <w:sz w:val="24"/>
        </w:rPr>
        <w:t>par</w:t>
      </w:r>
      <w:r w:rsidR="00AA06C9" w:rsidRPr="00A93EEB">
        <w:rPr>
          <w:rFonts w:ascii="Palatino Linotype" w:eastAsia="Palatino Linotype" w:hAnsi="Palatino Linotype" w:cs="Palatino Linotype"/>
          <w:sz w:val="24"/>
        </w:rPr>
        <w:t xml:space="preserve">a mayo de </w:t>
      </w:r>
      <w:r w:rsidR="00E736E6" w:rsidRPr="00A93EEB">
        <w:rPr>
          <w:rFonts w:ascii="Palatino Linotype" w:eastAsia="Palatino Linotype" w:hAnsi="Palatino Linotype" w:cs="Palatino Linotype"/>
          <w:sz w:val="24"/>
        </w:rPr>
        <w:t>mil novecientos noventa y uno</w:t>
      </w:r>
      <w:r w:rsidR="00AA06C9" w:rsidRPr="00A93EEB">
        <w:rPr>
          <w:rFonts w:ascii="Palatino Linotype" w:eastAsia="Palatino Linotype" w:hAnsi="Palatino Linotype" w:cs="Palatino Linotype"/>
          <w:sz w:val="24"/>
        </w:rPr>
        <w:t>,</w:t>
      </w:r>
      <w:r w:rsidR="00E736E6" w:rsidRPr="00A93EEB">
        <w:rPr>
          <w:rFonts w:ascii="Palatino Linotype" w:eastAsia="Palatino Linotype" w:hAnsi="Palatino Linotype" w:cs="Palatino Linotype"/>
          <w:sz w:val="24"/>
        </w:rPr>
        <w:t xml:space="preserve"> </w:t>
      </w:r>
      <w:r w:rsidRPr="00A93EEB">
        <w:rPr>
          <w:rFonts w:ascii="Palatino Linotype" w:eastAsia="Palatino Linotype" w:hAnsi="Palatino Linotype" w:cs="Palatino Linotype"/>
          <w:sz w:val="24"/>
        </w:rPr>
        <w:t xml:space="preserve">lo relativo </w:t>
      </w:r>
      <w:r w:rsidR="00E736E6" w:rsidRPr="00A93EEB">
        <w:rPr>
          <w:rFonts w:ascii="Palatino Linotype" w:eastAsia="Palatino Linotype" w:hAnsi="Palatino Linotype" w:cs="Palatino Linotype"/>
          <w:sz w:val="24"/>
        </w:rPr>
        <w:t>a</w:t>
      </w:r>
      <w:r w:rsidR="00AA06C9" w:rsidRPr="00A93EEB">
        <w:rPr>
          <w:rFonts w:ascii="Palatino Linotype" w:eastAsia="Palatino Linotype" w:hAnsi="Palatino Linotype" w:cs="Palatino Linotype"/>
          <w:sz w:val="24"/>
        </w:rPr>
        <w:t xml:space="preserve"> los servicios de agua potable, se encontraban a cargo del Ayuntamiento de Ecatepec, a través de las dependencias que para tal efecto designaran, sin embargo, en fecha dieciocho de octubre de mil novecientos</w:t>
      </w:r>
      <w:r w:rsidR="0030273D" w:rsidRPr="00A93EEB">
        <w:rPr>
          <w:rFonts w:ascii="Palatino Linotype" w:eastAsia="Palatino Linotype" w:hAnsi="Palatino Linotype" w:cs="Palatino Linotype"/>
          <w:sz w:val="24"/>
        </w:rPr>
        <w:t xml:space="preserve"> noventa y uno, fue publicado en la Gaceta de Gobierno número 78, </w:t>
      </w:r>
      <w:r w:rsidR="00AA06C9" w:rsidRPr="00A93EEB">
        <w:rPr>
          <w:rFonts w:ascii="Palatino Linotype" w:eastAsia="Palatino Linotype" w:hAnsi="Palatino Linotype" w:cs="Palatino Linotype"/>
          <w:sz w:val="24"/>
        </w:rPr>
        <w:t xml:space="preserve">el decreto </w:t>
      </w:r>
      <w:r w:rsidR="0064602D" w:rsidRPr="00A93EEB">
        <w:rPr>
          <w:rFonts w:ascii="Palatino Linotype" w:eastAsia="Palatino Linotype" w:hAnsi="Palatino Linotype" w:cs="Palatino Linotype"/>
          <w:sz w:val="24"/>
        </w:rPr>
        <w:t>37,</w:t>
      </w:r>
      <w:r w:rsidR="00AA06C9" w:rsidRPr="00A93EEB">
        <w:rPr>
          <w:rFonts w:ascii="Palatino Linotype" w:eastAsia="Palatino Linotype" w:hAnsi="Palatino Linotype" w:cs="Palatino Linotype"/>
          <w:sz w:val="24"/>
        </w:rPr>
        <w:t xml:space="preserve"> </w:t>
      </w:r>
      <w:r w:rsidR="0030273D" w:rsidRPr="00A93EEB">
        <w:rPr>
          <w:rFonts w:ascii="Palatino Linotype" w:eastAsia="Palatino Linotype" w:hAnsi="Palatino Linotype" w:cs="Palatino Linotype"/>
          <w:sz w:val="24"/>
        </w:rPr>
        <w:t>relativo a la creación del</w:t>
      </w:r>
      <w:r w:rsidR="00AA06C9" w:rsidRPr="00A93EEB">
        <w:rPr>
          <w:rFonts w:ascii="Palatino Linotype" w:eastAsia="Palatino Linotype" w:hAnsi="Palatino Linotype" w:cs="Palatino Linotype"/>
          <w:sz w:val="24"/>
        </w:rPr>
        <w:t xml:space="preserve"> Organismo Público para la Prestación de los Servicios de Agua Potable, Alcantarillado y Saneamiento del Municipio de Ecat</w:t>
      </w:r>
      <w:r w:rsidR="0030273D" w:rsidRPr="00A93EEB">
        <w:rPr>
          <w:rFonts w:ascii="Palatino Linotype" w:eastAsia="Palatino Linotype" w:hAnsi="Palatino Linotype" w:cs="Palatino Linotype"/>
          <w:sz w:val="24"/>
        </w:rPr>
        <w:t xml:space="preserve">epec, el cual establece en su transitorio tercer que: </w:t>
      </w:r>
    </w:p>
    <w:p w14:paraId="1EDDF81F" w14:textId="77777777" w:rsidR="0030273D" w:rsidRPr="00A93EEB" w:rsidRDefault="0030273D" w:rsidP="00251A66">
      <w:pPr>
        <w:spacing w:after="0" w:line="360" w:lineRule="auto"/>
        <w:jc w:val="both"/>
        <w:rPr>
          <w:rFonts w:ascii="Palatino Linotype" w:eastAsia="Palatino Linotype" w:hAnsi="Palatino Linotype" w:cs="Palatino Linotype"/>
          <w:sz w:val="24"/>
        </w:rPr>
      </w:pPr>
    </w:p>
    <w:p w14:paraId="5FF961E9" w14:textId="5BCB85C8" w:rsidR="0030273D" w:rsidRPr="00A93EEB" w:rsidRDefault="0030273D" w:rsidP="00E31E3A">
      <w:pPr>
        <w:spacing w:after="0" w:line="276" w:lineRule="auto"/>
        <w:ind w:left="567" w:right="560"/>
        <w:jc w:val="center"/>
        <w:rPr>
          <w:rFonts w:ascii="Palatino Linotype" w:hAnsi="Palatino Linotype"/>
          <w:b/>
          <w:i/>
        </w:rPr>
      </w:pPr>
      <w:r w:rsidRPr="00A93EEB">
        <w:rPr>
          <w:rFonts w:ascii="Palatino Linotype" w:hAnsi="Palatino Linotype"/>
          <w:b/>
          <w:i/>
        </w:rPr>
        <w:t>DECRETO NUMERO 37</w:t>
      </w:r>
    </w:p>
    <w:p w14:paraId="2BCEF0EC" w14:textId="77777777" w:rsidR="0030273D" w:rsidRPr="00A93EEB" w:rsidRDefault="0030273D" w:rsidP="0030273D">
      <w:pPr>
        <w:spacing w:after="0" w:line="276" w:lineRule="auto"/>
        <w:ind w:left="567" w:right="560"/>
        <w:jc w:val="both"/>
        <w:rPr>
          <w:rFonts w:ascii="Palatino Linotype" w:hAnsi="Palatino Linotype"/>
          <w:i/>
        </w:rPr>
      </w:pPr>
      <w:r w:rsidRPr="00A93EEB">
        <w:rPr>
          <w:rFonts w:ascii="Palatino Linotype" w:hAnsi="Palatino Linotype"/>
          <w:i/>
        </w:rPr>
        <w:t xml:space="preserve">La H. "LI" Legislatura del Estado de México </w:t>
      </w:r>
    </w:p>
    <w:p w14:paraId="23F36104" w14:textId="5C8772B6" w:rsidR="00251A66" w:rsidRPr="00A93EEB" w:rsidRDefault="0030273D" w:rsidP="0030273D">
      <w:pPr>
        <w:spacing w:after="0" w:line="276" w:lineRule="auto"/>
        <w:ind w:left="567" w:right="560"/>
        <w:jc w:val="both"/>
        <w:rPr>
          <w:rFonts w:ascii="Palatino Linotype" w:hAnsi="Palatino Linotype"/>
          <w:i/>
        </w:rPr>
      </w:pPr>
      <w:r w:rsidRPr="00A93EEB">
        <w:rPr>
          <w:rFonts w:ascii="Palatino Linotype" w:hAnsi="Palatino Linotype"/>
          <w:i/>
        </w:rPr>
        <w:t xml:space="preserve">DECRETA: </w:t>
      </w:r>
    </w:p>
    <w:p w14:paraId="53488862" w14:textId="0E0BC121" w:rsidR="0030273D" w:rsidRPr="00A93EEB" w:rsidRDefault="0030273D" w:rsidP="0030273D">
      <w:pPr>
        <w:spacing w:after="0" w:line="276" w:lineRule="auto"/>
        <w:ind w:left="567" w:right="560"/>
        <w:jc w:val="both"/>
        <w:rPr>
          <w:rFonts w:ascii="Palatino Linotype" w:hAnsi="Palatino Linotype"/>
          <w:i/>
        </w:rPr>
      </w:pPr>
      <w:r w:rsidRPr="00A93EEB">
        <w:rPr>
          <w:rFonts w:ascii="Palatino Linotype" w:hAnsi="Palatino Linotype"/>
          <w:i/>
        </w:rPr>
        <w:t>…</w:t>
      </w:r>
    </w:p>
    <w:p w14:paraId="158ED95D" w14:textId="790694E2" w:rsidR="0030273D" w:rsidRPr="00A93EEB" w:rsidRDefault="0030273D" w:rsidP="0030273D">
      <w:pPr>
        <w:spacing w:after="0" w:line="276" w:lineRule="auto"/>
        <w:ind w:left="567" w:right="560"/>
        <w:jc w:val="both"/>
        <w:rPr>
          <w:rFonts w:ascii="Palatino Linotype" w:hAnsi="Palatino Linotype"/>
          <w:i/>
        </w:rPr>
      </w:pPr>
      <w:r w:rsidRPr="00A93EEB">
        <w:rPr>
          <w:rFonts w:ascii="Palatino Linotype" w:hAnsi="Palatino Linotype"/>
          <w:i/>
        </w:rPr>
        <w:t xml:space="preserve">TRANSITORIOS PRIMERO.- El presente Decreto entrará en vigor al día siguiente de su publicación en la "Gaceta del Gobierno". </w:t>
      </w:r>
    </w:p>
    <w:p w14:paraId="3122C1B9" w14:textId="77777777" w:rsidR="0030273D" w:rsidRPr="00A93EEB" w:rsidRDefault="0030273D" w:rsidP="0030273D">
      <w:pPr>
        <w:spacing w:after="0" w:line="276" w:lineRule="auto"/>
        <w:ind w:left="567" w:right="560"/>
        <w:jc w:val="both"/>
        <w:rPr>
          <w:rFonts w:ascii="Palatino Linotype" w:hAnsi="Palatino Linotype"/>
          <w:i/>
        </w:rPr>
      </w:pPr>
      <w:r w:rsidRPr="00A93EEB">
        <w:rPr>
          <w:rFonts w:ascii="Palatino Linotype" w:hAnsi="Palatino Linotype"/>
          <w:i/>
        </w:rPr>
        <w:t xml:space="preserve">SECUNDO.- El Presidente del Consejo Directivo designado por el Ayuntamiento, convocará a la primera sesión ordinaria del Consejo, la que se efectuará dentro de los diez días siguientes a la entrada en vigor del presente Decreto. En el mismo acto, se procederá a nombrar al director del organismo, a fin de que inicie sus funciones. </w:t>
      </w:r>
    </w:p>
    <w:p w14:paraId="45F8FBA8" w14:textId="1D6E9812" w:rsidR="0030273D" w:rsidRPr="00A93EEB" w:rsidRDefault="0030273D" w:rsidP="0030273D">
      <w:pPr>
        <w:spacing w:after="0" w:line="276" w:lineRule="auto"/>
        <w:ind w:left="567" w:right="560"/>
        <w:jc w:val="both"/>
        <w:rPr>
          <w:rFonts w:ascii="Palatino Linotype" w:hAnsi="Palatino Linotype"/>
          <w:b/>
          <w:i/>
        </w:rPr>
      </w:pPr>
      <w:r w:rsidRPr="00A93EEB">
        <w:rPr>
          <w:rFonts w:ascii="Palatino Linotype" w:hAnsi="Palatino Linotype"/>
          <w:b/>
          <w:i/>
        </w:rPr>
        <w:t>TERCERO.- El Ayuntamiento de Ecatepec, proveerá lo conducente para trasladar al Organismo los recursos humanos, materiales y financieros, cuidando que no se interrumpa o afecte la prestación y administración del servicio público.</w:t>
      </w:r>
    </w:p>
    <w:p w14:paraId="36CCB76B" w14:textId="0EF9A66B" w:rsidR="0030273D" w:rsidRPr="00A93EEB" w:rsidRDefault="0030273D" w:rsidP="0030273D">
      <w:pPr>
        <w:spacing w:after="0" w:line="276" w:lineRule="auto"/>
        <w:ind w:left="567" w:right="560"/>
        <w:jc w:val="both"/>
        <w:rPr>
          <w:rFonts w:ascii="Palatino Linotype" w:hAnsi="Palatino Linotype"/>
          <w:i/>
        </w:rPr>
      </w:pPr>
      <w:r w:rsidRPr="00A93EEB">
        <w:rPr>
          <w:rFonts w:ascii="Palatino Linotype" w:hAnsi="Palatino Linotype"/>
          <w:i/>
        </w:rPr>
        <w:t>…</w:t>
      </w:r>
    </w:p>
    <w:p w14:paraId="1A721E21" w14:textId="77777777" w:rsidR="0030273D" w:rsidRPr="00A93EEB" w:rsidRDefault="0030273D" w:rsidP="0030273D">
      <w:pPr>
        <w:spacing w:after="0" w:line="276" w:lineRule="auto"/>
        <w:ind w:left="567" w:right="560"/>
        <w:jc w:val="both"/>
        <w:rPr>
          <w:rFonts w:ascii="Palatino Linotype" w:hAnsi="Palatino Linotype"/>
          <w:i/>
        </w:rPr>
      </w:pPr>
    </w:p>
    <w:p w14:paraId="0C8AACDF" w14:textId="3959E7E3" w:rsidR="0030273D" w:rsidRPr="00A93EEB" w:rsidRDefault="0030273D"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Es decir, derivado de lo establecido en el decreto de creación del Organismo de Agua y Saneamiento de Ecatepec, el Ayuntamiento</w:t>
      </w:r>
      <w:r w:rsidR="0064602D" w:rsidRPr="00A93EEB">
        <w:rPr>
          <w:rFonts w:ascii="Palatino Linotype" w:eastAsia="Palatino Linotype" w:hAnsi="Palatino Linotype" w:cs="Palatino Linotype"/>
          <w:sz w:val="24"/>
        </w:rPr>
        <w:t xml:space="preserve"> tuvo que trasladar a este Ente los recursos humanos, materiales y financieros que en su momento poseía, con la finalidad de que el Organismo cumpliera con las atribuciones y la finalidad para la cual fue creado. </w:t>
      </w:r>
    </w:p>
    <w:p w14:paraId="757C3714" w14:textId="77777777" w:rsidR="0064602D" w:rsidRPr="00A93EEB" w:rsidRDefault="0064602D" w:rsidP="00251A66">
      <w:pPr>
        <w:spacing w:after="0" w:line="360" w:lineRule="auto"/>
        <w:jc w:val="both"/>
        <w:rPr>
          <w:rFonts w:ascii="Palatino Linotype" w:eastAsia="Palatino Linotype" w:hAnsi="Palatino Linotype" w:cs="Palatino Linotype"/>
          <w:sz w:val="24"/>
        </w:rPr>
      </w:pPr>
    </w:p>
    <w:p w14:paraId="4921BF6A" w14:textId="5FF02EAD" w:rsidR="0064602D" w:rsidRPr="00A93EEB" w:rsidRDefault="0064602D"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 xml:space="preserve">En ese orden de ideas, es importante traer a colación que de conformidad con la Ley de Organismos Públicos Descentralizados de Carácter Municipal para la Prestación de Servicios de Agua Potable, Alcantarillado y Saneamiento, se precisa que: </w:t>
      </w:r>
    </w:p>
    <w:p w14:paraId="147ECFA2" w14:textId="77777777" w:rsidR="0064602D" w:rsidRPr="00A93EEB" w:rsidRDefault="0064602D" w:rsidP="00251A66">
      <w:pPr>
        <w:spacing w:after="0" w:line="360" w:lineRule="auto"/>
        <w:jc w:val="both"/>
        <w:rPr>
          <w:rFonts w:ascii="Palatino Linotype" w:eastAsia="Palatino Linotype" w:hAnsi="Palatino Linotype" w:cs="Palatino Linotype"/>
          <w:sz w:val="24"/>
        </w:rPr>
      </w:pPr>
    </w:p>
    <w:p w14:paraId="317E99DC" w14:textId="4C5EB740" w:rsidR="0064602D" w:rsidRPr="00A93EEB" w:rsidRDefault="0064602D" w:rsidP="00C40256">
      <w:pPr>
        <w:spacing w:after="0" w:line="276" w:lineRule="auto"/>
        <w:ind w:left="567" w:right="560"/>
        <w:jc w:val="both"/>
        <w:rPr>
          <w:rFonts w:ascii="Palatino Linotype" w:hAnsi="Palatino Linotype"/>
          <w:i/>
        </w:rPr>
      </w:pPr>
      <w:r w:rsidRPr="00A93EEB">
        <w:rPr>
          <w:rFonts w:ascii="Palatino Linotype" w:hAnsi="Palatino Linotype"/>
          <w:b/>
          <w:i/>
        </w:rPr>
        <w:t>Artículo 4.-</w:t>
      </w:r>
      <w:r w:rsidRPr="00A93EEB">
        <w:rPr>
          <w:rFonts w:ascii="Palatino Linotype" w:hAnsi="Palatino Linotype"/>
          <w:i/>
        </w:rPr>
        <w:t xml:space="preserve"> Los organismos tendrán personalidad jurídica, patrimonio propio, autonomía en el manejo de sus recursos y el carácter de Autoridad en los casos a que se refiere el Artículo precedente. Constituirán su domicilio en la cabecera municipal, independientemente de que para el desarrollo de sus actividades establezcan delegaciones en donde se requiera.</w:t>
      </w:r>
    </w:p>
    <w:p w14:paraId="68A8E066" w14:textId="77777777" w:rsidR="0064602D" w:rsidRPr="00A93EEB" w:rsidRDefault="0064602D" w:rsidP="00C40256">
      <w:pPr>
        <w:spacing w:after="0" w:line="360" w:lineRule="auto"/>
        <w:ind w:right="560"/>
        <w:jc w:val="both"/>
      </w:pPr>
    </w:p>
    <w:p w14:paraId="31B59434" w14:textId="0A4E9ADD" w:rsidR="0064602D" w:rsidRPr="00A93EEB" w:rsidRDefault="0064602D" w:rsidP="00C40256">
      <w:pPr>
        <w:spacing w:after="0" w:line="276" w:lineRule="auto"/>
        <w:ind w:left="567" w:right="560"/>
        <w:jc w:val="both"/>
        <w:rPr>
          <w:rFonts w:ascii="Palatino Linotype" w:hAnsi="Palatino Linotype"/>
          <w:i/>
        </w:rPr>
      </w:pPr>
      <w:r w:rsidRPr="00A93EEB">
        <w:rPr>
          <w:rFonts w:ascii="Palatino Linotype" w:hAnsi="Palatino Linotype"/>
          <w:b/>
          <w:i/>
        </w:rPr>
        <w:t>Artículo 8.-</w:t>
      </w:r>
      <w:r w:rsidRPr="00A93EEB">
        <w:rPr>
          <w:rFonts w:ascii="Palatino Linotype" w:hAnsi="Palatino Linotype"/>
          <w:i/>
        </w:rPr>
        <w:t xml:space="preserve"> Los organismos podrán contratar o convenir con terceros la realización de obras, la prestación de servicios, la obtención de financiamiento y en su caso, la recepción de contribuciones por parte del Sistema Bancario.</w:t>
      </w:r>
    </w:p>
    <w:p w14:paraId="0497D7FF" w14:textId="77777777" w:rsidR="0064602D" w:rsidRPr="00A93EEB" w:rsidRDefault="0064602D" w:rsidP="00C40256">
      <w:pPr>
        <w:spacing w:after="0" w:line="276" w:lineRule="auto"/>
        <w:ind w:left="567" w:right="560"/>
        <w:jc w:val="both"/>
        <w:rPr>
          <w:rFonts w:ascii="Palatino Linotype" w:hAnsi="Palatino Linotype"/>
          <w:i/>
        </w:rPr>
      </w:pPr>
    </w:p>
    <w:p w14:paraId="5045FE98" w14:textId="3FBB17AE" w:rsidR="0064602D" w:rsidRPr="00A93EEB" w:rsidRDefault="0064602D" w:rsidP="00C40256">
      <w:pPr>
        <w:spacing w:after="0" w:line="276" w:lineRule="auto"/>
        <w:ind w:left="567" w:right="560"/>
        <w:jc w:val="both"/>
        <w:rPr>
          <w:rFonts w:ascii="Palatino Linotype" w:hAnsi="Palatino Linotype"/>
          <w:i/>
        </w:rPr>
      </w:pPr>
      <w:r w:rsidRPr="00A93EEB">
        <w:rPr>
          <w:rFonts w:ascii="Palatino Linotype" w:hAnsi="Palatino Linotype"/>
          <w:b/>
          <w:i/>
        </w:rPr>
        <w:t>Artículo 10.-</w:t>
      </w:r>
      <w:r w:rsidRPr="00A93EEB">
        <w:rPr>
          <w:rFonts w:ascii="Palatino Linotype" w:hAnsi="Palatino Linotype"/>
          <w:i/>
        </w:rPr>
        <w:t xml:space="preserve"> Los Organismos a que se refiere esta Ley, tendrán las siguientes atribuciones:</w:t>
      </w:r>
    </w:p>
    <w:p w14:paraId="078832A0" w14:textId="4656E977" w:rsidR="0064602D" w:rsidRPr="00A93EEB" w:rsidRDefault="0064602D" w:rsidP="00C40256">
      <w:pPr>
        <w:spacing w:after="0" w:line="276" w:lineRule="auto"/>
        <w:ind w:left="567" w:right="560"/>
        <w:jc w:val="both"/>
        <w:rPr>
          <w:rFonts w:ascii="Palatino Linotype" w:hAnsi="Palatino Linotype"/>
          <w:i/>
        </w:rPr>
      </w:pPr>
      <w:r w:rsidRPr="00A93EEB">
        <w:rPr>
          <w:rFonts w:ascii="Palatino Linotype" w:hAnsi="Palatino Linotype"/>
          <w:i/>
        </w:rPr>
        <w:t>I. Planear, construir, operar y mantener sistemas de agua potable, alcantarillado y saneamiento.</w:t>
      </w:r>
    </w:p>
    <w:p w14:paraId="0F475293" w14:textId="3D1FABE6" w:rsidR="0064602D" w:rsidRPr="00A93EEB" w:rsidRDefault="0064602D" w:rsidP="0064602D">
      <w:pPr>
        <w:spacing w:after="0" w:line="276" w:lineRule="auto"/>
        <w:ind w:left="567"/>
        <w:jc w:val="both"/>
        <w:rPr>
          <w:rFonts w:ascii="Palatino Linotype" w:hAnsi="Palatino Linotype"/>
          <w:i/>
        </w:rPr>
      </w:pPr>
      <w:r w:rsidRPr="00A93EEB">
        <w:rPr>
          <w:rFonts w:ascii="Palatino Linotype" w:hAnsi="Palatino Linotype"/>
          <w:i/>
        </w:rPr>
        <w:t>…</w:t>
      </w:r>
    </w:p>
    <w:p w14:paraId="03125C04" w14:textId="5CDD1BE3" w:rsidR="0064602D" w:rsidRPr="00A93EEB" w:rsidRDefault="0064602D" w:rsidP="0064602D">
      <w:pPr>
        <w:spacing w:after="0" w:line="276" w:lineRule="auto"/>
        <w:ind w:left="567"/>
        <w:jc w:val="both"/>
        <w:rPr>
          <w:rFonts w:ascii="Palatino Linotype" w:hAnsi="Palatino Linotype"/>
          <w:i/>
        </w:rPr>
      </w:pPr>
      <w:r w:rsidRPr="00A93EEB">
        <w:rPr>
          <w:rFonts w:ascii="Palatino Linotype" w:hAnsi="Palatino Linotype"/>
          <w:i/>
        </w:rPr>
        <w:t>V. Realizar, supervisar y aprobar estudios, proyectos y obras que construyan o amplíen las redes de distribución de agua potable, alcantarillado y saneamiento.</w:t>
      </w:r>
    </w:p>
    <w:p w14:paraId="2983BF37" w14:textId="571E6B04" w:rsidR="0064602D" w:rsidRPr="00A93EEB" w:rsidRDefault="0064602D" w:rsidP="0064602D">
      <w:pPr>
        <w:spacing w:after="0" w:line="276" w:lineRule="auto"/>
        <w:ind w:left="567"/>
        <w:jc w:val="both"/>
        <w:rPr>
          <w:rFonts w:ascii="Palatino Linotype" w:hAnsi="Palatino Linotype"/>
          <w:i/>
        </w:rPr>
      </w:pPr>
      <w:r w:rsidRPr="00A93EEB">
        <w:rPr>
          <w:rFonts w:ascii="Palatino Linotype" w:hAnsi="Palatino Linotype"/>
          <w:i/>
        </w:rPr>
        <w:t>…</w:t>
      </w:r>
    </w:p>
    <w:p w14:paraId="03713F6E" w14:textId="77777777" w:rsidR="0064602D" w:rsidRPr="00A93EEB" w:rsidRDefault="0064602D" w:rsidP="0064602D">
      <w:pPr>
        <w:spacing w:after="0" w:line="276" w:lineRule="auto"/>
        <w:ind w:left="567"/>
        <w:jc w:val="both"/>
        <w:rPr>
          <w:rFonts w:ascii="Palatino Linotype" w:hAnsi="Palatino Linotype"/>
          <w:i/>
        </w:rPr>
      </w:pPr>
      <w:r w:rsidRPr="00A93EEB">
        <w:rPr>
          <w:rFonts w:ascii="Palatino Linotype" w:hAnsi="Palatino Linotype"/>
          <w:i/>
        </w:rPr>
        <w:lastRenderedPageBreak/>
        <w:t>VI. Opinar en su caso sobre la factibilidad del suministro de agua potable, construcción del alcantarillado y acciones de saneamiento, en forma previa a la autorización de fraccionamientos y unidades habitacionales.</w:t>
      </w:r>
    </w:p>
    <w:p w14:paraId="486C5D9E" w14:textId="2A9B1223" w:rsidR="0064602D" w:rsidRPr="00A93EEB" w:rsidRDefault="0064602D" w:rsidP="0064602D">
      <w:pPr>
        <w:spacing w:after="0" w:line="276" w:lineRule="auto"/>
        <w:ind w:left="567"/>
        <w:jc w:val="both"/>
        <w:rPr>
          <w:rFonts w:ascii="Palatino Linotype" w:hAnsi="Palatino Linotype"/>
          <w:i/>
        </w:rPr>
      </w:pPr>
      <w:r w:rsidRPr="00A93EEB">
        <w:rPr>
          <w:i/>
        </w:rPr>
        <w:t>…</w:t>
      </w:r>
    </w:p>
    <w:p w14:paraId="127E6A21" w14:textId="77777777" w:rsidR="0064602D" w:rsidRPr="00A93EEB" w:rsidRDefault="0064602D" w:rsidP="00251A66">
      <w:pPr>
        <w:spacing w:after="0" w:line="360" w:lineRule="auto"/>
        <w:jc w:val="both"/>
        <w:rPr>
          <w:rFonts w:ascii="Palatino Linotype" w:eastAsia="Palatino Linotype" w:hAnsi="Palatino Linotype" w:cs="Palatino Linotype"/>
          <w:sz w:val="24"/>
        </w:rPr>
      </w:pPr>
    </w:p>
    <w:p w14:paraId="0F7C8A6F" w14:textId="77777777" w:rsidR="00E31E3A" w:rsidRPr="00A93EEB" w:rsidRDefault="0064602D"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 xml:space="preserve">De lo anterior, se coligue que los organismos de agua tendrán personalidad jurídica, patrimonio propio, autonomía y el carácter de autoridad, siendo que para el caso que nos ocupa, dentro de sus atribuciones se encuentra el planear, construir y operar </w:t>
      </w:r>
      <w:r w:rsidR="00E31E3A" w:rsidRPr="00A93EEB">
        <w:rPr>
          <w:rFonts w:ascii="Palatino Linotype" w:eastAsia="Palatino Linotype" w:hAnsi="Palatino Linotype" w:cs="Palatino Linotype"/>
          <w:sz w:val="24"/>
        </w:rPr>
        <w:t xml:space="preserve">la realización de obras que construyan o amplíen las redes de distribución de agua potable, alcantarillado y saneamiento, es decir, el organismo de agua conoce de la información relacionada con las redes de agua potable que obran en el municipio. </w:t>
      </w:r>
    </w:p>
    <w:p w14:paraId="60B6FE29" w14:textId="77777777" w:rsidR="00E31E3A" w:rsidRPr="00A93EEB" w:rsidRDefault="00E31E3A" w:rsidP="00251A66">
      <w:pPr>
        <w:spacing w:after="0" w:line="360" w:lineRule="auto"/>
        <w:jc w:val="both"/>
        <w:rPr>
          <w:rFonts w:ascii="Palatino Linotype" w:eastAsia="Palatino Linotype" w:hAnsi="Palatino Linotype" w:cs="Palatino Linotype"/>
          <w:sz w:val="24"/>
        </w:rPr>
      </w:pPr>
    </w:p>
    <w:p w14:paraId="67414BED" w14:textId="2AF94C7B" w:rsidR="00E31E3A" w:rsidRPr="00A93EEB" w:rsidRDefault="00E31E3A"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Por otro lado, es de mencionar que el Bando Municipal de Ecatepec</w:t>
      </w:r>
      <w:r w:rsidR="0013122B" w:rsidRPr="00A93EEB">
        <w:rPr>
          <w:rFonts w:ascii="Palatino Linotype" w:eastAsia="Palatino Linotype" w:hAnsi="Palatino Linotype" w:cs="Palatino Linotype"/>
          <w:sz w:val="24"/>
        </w:rPr>
        <w:t xml:space="preserve"> 2022</w:t>
      </w:r>
      <w:r w:rsidRPr="00A93EEB">
        <w:rPr>
          <w:rFonts w:ascii="Palatino Linotype" w:eastAsia="Palatino Linotype" w:hAnsi="Palatino Linotype" w:cs="Palatino Linotype"/>
          <w:sz w:val="24"/>
        </w:rPr>
        <w:t xml:space="preserve">, establece en su artículo 98 que el Organismo Público Descentralizado para la Prestación de los Servicios de Agua Potable, Alcantarillado y Saneamiento, tiene autonomía en el manejo de sus recursos y el carácter fiscal en relación con la recaudación, administración de las contribuciones derivadas de los servicios que presta, así como, que tendrá las siguientes atribuciones: </w:t>
      </w:r>
    </w:p>
    <w:p w14:paraId="667D4BC2" w14:textId="77777777" w:rsidR="00E31E3A" w:rsidRPr="00A93EEB" w:rsidRDefault="00E31E3A" w:rsidP="00251A66">
      <w:pPr>
        <w:spacing w:after="0" w:line="360" w:lineRule="auto"/>
        <w:jc w:val="both"/>
        <w:rPr>
          <w:rFonts w:ascii="Palatino Linotype" w:eastAsia="Palatino Linotype" w:hAnsi="Palatino Linotype" w:cs="Palatino Linotype"/>
          <w:sz w:val="24"/>
        </w:rPr>
      </w:pPr>
    </w:p>
    <w:p w14:paraId="25AF33D3" w14:textId="0A1A3C0B" w:rsidR="00E31E3A" w:rsidRPr="00A93EEB" w:rsidRDefault="00E31E3A" w:rsidP="00E31E3A">
      <w:pPr>
        <w:spacing w:after="0" w:line="276" w:lineRule="auto"/>
        <w:ind w:left="567" w:right="701"/>
        <w:jc w:val="both"/>
        <w:rPr>
          <w:rFonts w:ascii="Palatino Linotype" w:hAnsi="Palatino Linotype"/>
          <w:i/>
        </w:rPr>
      </w:pPr>
      <w:r w:rsidRPr="00A93EEB">
        <w:rPr>
          <w:rFonts w:ascii="Palatino Linotype" w:hAnsi="Palatino Linotype"/>
          <w:b/>
          <w:i/>
        </w:rPr>
        <w:t>Artículo 99.</w:t>
      </w:r>
      <w:r w:rsidRPr="00A93EEB">
        <w:rPr>
          <w:rFonts w:ascii="Palatino Linotype" w:hAnsi="Palatino Linotype"/>
          <w:i/>
        </w:rPr>
        <w:t xml:space="preserve"> La prestación del servicio público de agua potable, alcantarillado y saneamiento se realizará a través de este Organismo Público Descentralizado, el cual tendrá las siguientes funciones:</w:t>
      </w:r>
    </w:p>
    <w:p w14:paraId="2B7E386E" w14:textId="0E10C244" w:rsidR="00E31E3A" w:rsidRPr="00A93EEB" w:rsidRDefault="00E31E3A" w:rsidP="00E31E3A">
      <w:pPr>
        <w:spacing w:after="0" w:line="276" w:lineRule="auto"/>
        <w:ind w:left="567" w:right="701"/>
        <w:jc w:val="both"/>
        <w:rPr>
          <w:rFonts w:ascii="Palatino Linotype" w:hAnsi="Palatino Linotype"/>
          <w:i/>
        </w:rPr>
      </w:pPr>
      <w:r w:rsidRPr="00A93EEB">
        <w:rPr>
          <w:rFonts w:ascii="Palatino Linotype" w:hAnsi="Palatino Linotype"/>
          <w:i/>
        </w:rPr>
        <w:t>…</w:t>
      </w:r>
    </w:p>
    <w:p w14:paraId="33F96DEA" w14:textId="0DD52CC9" w:rsidR="00E31E3A" w:rsidRPr="00A93EEB" w:rsidRDefault="00E31E3A" w:rsidP="00E31E3A">
      <w:pPr>
        <w:spacing w:after="0" w:line="276" w:lineRule="auto"/>
        <w:ind w:left="567" w:right="701"/>
        <w:jc w:val="both"/>
        <w:rPr>
          <w:rFonts w:ascii="Palatino Linotype" w:hAnsi="Palatino Linotype"/>
          <w:i/>
        </w:rPr>
      </w:pPr>
      <w:r w:rsidRPr="00A93EEB">
        <w:rPr>
          <w:rFonts w:ascii="Palatino Linotype" w:hAnsi="Palatino Linotype"/>
          <w:i/>
        </w:rPr>
        <w:t>IV. Construir, operar y mantener la infraestructura hidráulica, así como las fuentes de abastecimiento de agua potable y su saneamiento; además de las relacionadas a las descargas de aguas residuales; y</w:t>
      </w:r>
    </w:p>
    <w:p w14:paraId="6889E6B4" w14:textId="38F7E3A0" w:rsidR="00FF394E" w:rsidRPr="00A93EEB" w:rsidRDefault="00E31E3A" w:rsidP="0013122B">
      <w:pPr>
        <w:spacing w:after="0" w:line="276" w:lineRule="auto"/>
        <w:ind w:left="567" w:right="701"/>
        <w:jc w:val="both"/>
        <w:rPr>
          <w:rFonts w:ascii="Palatino Linotype" w:hAnsi="Palatino Linotype"/>
          <w:i/>
        </w:rPr>
      </w:pPr>
      <w:r w:rsidRPr="00A93EEB">
        <w:rPr>
          <w:rFonts w:ascii="Palatino Linotype" w:hAnsi="Palatino Linotype"/>
          <w:i/>
        </w:rPr>
        <w:t>..</w:t>
      </w:r>
    </w:p>
    <w:p w14:paraId="2FD9BBD6" w14:textId="5CC66691" w:rsidR="00955B07" w:rsidRPr="00A93EEB" w:rsidRDefault="00E31E3A"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lastRenderedPageBreak/>
        <w:t xml:space="preserve">En ese sentido, no pasa desapercibido mencionar que, del análisis realizado a la normatividad que regula al Ayuntamiento de Ecatepec, no se encontró algún precepto normativo que establezca las atribuciones, facultades y competencias para generar, poseer y/o administrar la información relacionada con las redes hidráulicas de la unidad habitacional referida en la solicitud de información, toda vez que, como </w:t>
      </w:r>
      <w:r w:rsidR="00955B07" w:rsidRPr="00A93EEB">
        <w:rPr>
          <w:rFonts w:ascii="Palatino Linotype" w:eastAsia="Palatino Linotype" w:hAnsi="Palatino Linotype" w:cs="Palatino Linotype"/>
          <w:sz w:val="24"/>
        </w:rPr>
        <w:t>anteriormente</w:t>
      </w:r>
      <w:r w:rsidRPr="00A93EEB">
        <w:rPr>
          <w:rFonts w:ascii="Palatino Linotype" w:eastAsia="Palatino Linotype" w:hAnsi="Palatino Linotype" w:cs="Palatino Linotype"/>
          <w:sz w:val="24"/>
        </w:rPr>
        <w:t xml:space="preserve"> se mencionó, la información que poseía en el año mil </w:t>
      </w:r>
      <w:r w:rsidR="00955B07" w:rsidRPr="00A93EEB">
        <w:rPr>
          <w:rFonts w:ascii="Palatino Linotype" w:eastAsia="Palatino Linotype" w:hAnsi="Palatino Linotype" w:cs="Palatino Linotype"/>
          <w:sz w:val="24"/>
        </w:rPr>
        <w:t>novecientos</w:t>
      </w:r>
      <w:r w:rsidRPr="00A93EEB">
        <w:rPr>
          <w:rFonts w:ascii="Palatino Linotype" w:eastAsia="Palatino Linotype" w:hAnsi="Palatino Linotype" w:cs="Palatino Linotype"/>
          <w:sz w:val="24"/>
        </w:rPr>
        <w:t xml:space="preserve"> noventa y uno, fue trasladada al organismos descentralizado de agua en esa misma fecha, derivado de lo estipulado en su decreto de creación. </w:t>
      </w:r>
    </w:p>
    <w:p w14:paraId="4259BB52" w14:textId="77777777" w:rsidR="00FF394E" w:rsidRPr="00A93EEB" w:rsidRDefault="00FF394E" w:rsidP="00251A66">
      <w:pPr>
        <w:spacing w:after="0" w:line="360" w:lineRule="auto"/>
        <w:jc w:val="both"/>
        <w:rPr>
          <w:rFonts w:ascii="Palatino Linotype" w:eastAsia="Palatino Linotype" w:hAnsi="Palatino Linotype" w:cs="Palatino Linotype"/>
          <w:sz w:val="24"/>
        </w:rPr>
      </w:pPr>
    </w:p>
    <w:p w14:paraId="6E865E6B" w14:textId="6A550E0A" w:rsidR="00FF394E" w:rsidRPr="00A93EEB" w:rsidRDefault="00FF394E"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 xml:space="preserve">Ahora bien, en cuanto hace a nuestra materia, el Acuerdo mediante el cual se aprueba el Padrón de Sujetos Obligados en Materia de Transparencia y Acceso a la Información Pública del Estado de México y Municipios (consultable en </w:t>
      </w:r>
      <w:hyperlink r:id="rId10" w:history="1">
        <w:r w:rsidRPr="00A93EEB">
          <w:rPr>
            <w:rStyle w:val="Hipervnculo"/>
            <w:rFonts w:ascii="Palatino Linotype" w:eastAsia="Palatino Linotype" w:hAnsi="Palatino Linotype" w:cs="Palatino Linotype"/>
            <w:color w:val="auto"/>
            <w:sz w:val="24"/>
          </w:rPr>
          <w:t>https://www.infoem.org.mx/doc/acuerdos/Acuerdo_Padron_SO.pdf</w:t>
        </w:r>
      </w:hyperlink>
      <w:r w:rsidRPr="00A93EEB">
        <w:rPr>
          <w:rFonts w:ascii="Palatino Linotype" w:eastAsia="Palatino Linotype" w:hAnsi="Palatino Linotype" w:cs="Palatino Linotype"/>
          <w:sz w:val="24"/>
        </w:rPr>
        <w:t xml:space="preserve">) prevé como Sujeto Obligado al Sistema de Agua Potable, Alcantarillado y Saneamiento de Ecatepec de Morelos, tal como se observa a continuación: </w:t>
      </w:r>
    </w:p>
    <w:p w14:paraId="366D50E7" w14:textId="568E30D9" w:rsidR="00FF394E" w:rsidRPr="00A93EEB" w:rsidRDefault="00FF394E" w:rsidP="00FF394E">
      <w:pPr>
        <w:spacing w:after="0" w:line="360" w:lineRule="auto"/>
        <w:jc w:val="center"/>
        <w:rPr>
          <w:rFonts w:ascii="Palatino Linotype" w:eastAsia="Palatino Linotype" w:hAnsi="Palatino Linotype" w:cs="Palatino Linotype"/>
          <w:sz w:val="24"/>
        </w:rPr>
      </w:pPr>
      <w:r w:rsidRPr="00A93EEB">
        <w:rPr>
          <w:rFonts w:ascii="Palatino Linotype" w:eastAsia="Palatino Linotype" w:hAnsi="Palatino Linotype" w:cs="Palatino Linotype"/>
          <w:noProof/>
          <w:sz w:val="24"/>
        </w:rPr>
        <w:drawing>
          <wp:inline distT="0" distB="0" distL="0" distR="0" wp14:anchorId="753EC079" wp14:editId="036AE203">
            <wp:extent cx="5277587" cy="1314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7587" cy="1314633"/>
                    </a:xfrm>
                    <a:prstGeom prst="rect">
                      <a:avLst/>
                    </a:prstGeom>
                  </pic:spPr>
                </pic:pic>
              </a:graphicData>
            </a:graphic>
          </wp:inline>
        </w:drawing>
      </w:r>
    </w:p>
    <w:p w14:paraId="5DF4FEF6" w14:textId="080F0424" w:rsidR="00FF394E" w:rsidRPr="00A93EEB" w:rsidRDefault="00FF394E" w:rsidP="00FF394E">
      <w:pPr>
        <w:spacing w:after="0" w:line="360" w:lineRule="auto"/>
        <w:jc w:val="center"/>
        <w:rPr>
          <w:rFonts w:ascii="Palatino Linotype" w:eastAsia="Palatino Linotype" w:hAnsi="Palatino Linotype" w:cs="Palatino Linotype"/>
          <w:sz w:val="24"/>
        </w:rPr>
      </w:pPr>
      <w:r w:rsidRPr="00A93EEB">
        <w:rPr>
          <w:rFonts w:ascii="Palatino Linotype" w:eastAsia="Palatino Linotype" w:hAnsi="Palatino Linotype" w:cs="Palatino Linotype"/>
          <w:sz w:val="24"/>
        </w:rPr>
        <w:t>…</w:t>
      </w:r>
    </w:p>
    <w:p w14:paraId="3CF664D8" w14:textId="53B4F226" w:rsidR="00FF394E" w:rsidRPr="00A93EEB" w:rsidRDefault="00FF394E"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noProof/>
          <w:sz w:val="24"/>
        </w:rPr>
        <w:drawing>
          <wp:inline distT="0" distB="0" distL="0" distR="0" wp14:anchorId="5FBA8168" wp14:editId="582B169A">
            <wp:extent cx="5280660" cy="4095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9634" b="17226"/>
                    <a:stretch/>
                  </pic:blipFill>
                  <pic:spPr bwMode="auto">
                    <a:xfrm>
                      <a:off x="0" y="0"/>
                      <a:ext cx="5287113" cy="410051"/>
                    </a:xfrm>
                    <a:prstGeom prst="rect">
                      <a:avLst/>
                    </a:prstGeom>
                    <a:ln>
                      <a:noFill/>
                    </a:ln>
                    <a:extLst>
                      <a:ext uri="{53640926-AAD7-44D8-BBD7-CCE9431645EC}">
                        <a14:shadowObscured xmlns:a14="http://schemas.microsoft.com/office/drawing/2010/main"/>
                      </a:ext>
                    </a:extLst>
                  </pic:spPr>
                </pic:pic>
              </a:graphicData>
            </a:graphic>
          </wp:inline>
        </w:drawing>
      </w:r>
      <w:r w:rsidRPr="00A93EEB">
        <w:rPr>
          <w:rFonts w:ascii="Palatino Linotype" w:eastAsia="Palatino Linotype" w:hAnsi="Palatino Linotype" w:cs="Palatino Linotype"/>
          <w:sz w:val="24"/>
        </w:rPr>
        <w:t xml:space="preserve"> </w:t>
      </w:r>
    </w:p>
    <w:p w14:paraId="632315DD" w14:textId="77777777" w:rsidR="00FF394E" w:rsidRPr="00A93EEB" w:rsidRDefault="00FF394E" w:rsidP="00251A66">
      <w:pPr>
        <w:spacing w:after="0" w:line="360" w:lineRule="auto"/>
        <w:jc w:val="both"/>
        <w:rPr>
          <w:rFonts w:ascii="Palatino Linotype" w:eastAsia="Palatino Linotype" w:hAnsi="Palatino Linotype" w:cs="Palatino Linotype"/>
          <w:sz w:val="24"/>
        </w:rPr>
      </w:pPr>
    </w:p>
    <w:p w14:paraId="431E85A9" w14:textId="505685E4" w:rsidR="00FF394E" w:rsidRPr="00A93EEB" w:rsidRDefault="00FF394E"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lastRenderedPageBreak/>
        <w:t>Por lo que, se confirma que este organismo descentralizado del Ayuntamiento; en materia de transparencia, es un sujeto obligado</w:t>
      </w:r>
      <w:r w:rsidR="009D3137" w:rsidRPr="00A93EEB">
        <w:rPr>
          <w:rFonts w:ascii="Palatino Linotype" w:eastAsia="Palatino Linotype" w:hAnsi="Palatino Linotype" w:cs="Palatino Linotype"/>
          <w:sz w:val="24"/>
        </w:rPr>
        <w:t xml:space="preserve"> distinto</w:t>
      </w:r>
      <w:r w:rsidRPr="00A93EEB">
        <w:rPr>
          <w:rFonts w:ascii="Palatino Linotype" w:eastAsia="Palatino Linotype" w:hAnsi="Palatino Linotype" w:cs="Palatino Linotype"/>
          <w:sz w:val="24"/>
        </w:rPr>
        <w:t xml:space="preserve">, situación que conduce a referir que se dejan a salvo los derechos de la Particular para presentar una nueva solicitud de información ante este Ente, con la finalidad de allegarse de la información de su interés. </w:t>
      </w:r>
    </w:p>
    <w:p w14:paraId="1D89F7D9" w14:textId="77777777" w:rsidR="00FF394E" w:rsidRPr="00A93EEB" w:rsidRDefault="00FF394E" w:rsidP="00251A66">
      <w:pPr>
        <w:spacing w:after="0" w:line="360" w:lineRule="auto"/>
        <w:jc w:val="both"/>
        <w:rPr>
          <w:rFonts w:ascii="Palatino Linotype" w:eastAsia="Palatino Linotype" w:hAnsi="Palatino Linotype" w:cs="Palatino Linotype"/>
          <w:sz w:val="24"/>
        </w:rPr>
      </w:pPr>
    </w:p>
    <w:p w14:paraId="14CA6669" w14:textId="7F99F499" w:rsidR="00955B07" w:rsidRPr="00A93EEB" w:rsidRDefault="00955B07" w:rsidP="00955B07">
      <w:pPr>
        <w:pStyle w:val="Prrafodelista"/>
        <w:numPr>
          <w:ilvl w:val="0"/>
          <w:numId w:val="35"/>
        </w:numPr>
        <w:spacing w:after="0" w:line="360" w:lineRule="auto"/>
        <w:jc w:val="both"/>
        <w:rPr>
          <w:rFonts w:ascii="Palatino Linotype" w:eastAsia="Palatino Linotype" w:hAnsi="Palatino Linotype" w:cs="Palatino Linotype"/>
          <w:b/>
          <w:sz w:val="24"/>
        </w:rPr>
      </w:pPr>
      <w:r w:rsidRPr="00A93EEB">
        <w:rPr>
          <w:rFonts w:ascii="Palatino Linotype" w:eastAsia="Palatino Linotype" w:hAnsi="Palatino Linotype" w:cs="Palatino Linotype"/>
          <w:b/>
          <w:sz w:val="24"/>
        </w:rPr>
        <w:t xml:space="preserve">De la declaratoria de incompetencia del Sujeto Obligado. </w:t>
      </w:r>
    </w:p>
    <w:p w14:paraId="5049820C" w14:textId="77777777" w:rsidR="00955B07" w:rsidRPr="00A93EEB" w:rsidRDefault="00955B07" w:rsidP="00955B07">
      <w:pPr>
        <w:pStyle w:val="Prrafodelista"/>
        <w:spacing w:after="0" w:line="360" w:lineRule="auto"/>
        <w:jc w:val="both"/>
        <w:rPr>
          <w:rFonts w:ascii="Palatino Linotype" w:eastAsia="Palatino Linotype" w:hAnsi="Palatino Linotype" w:cs="Palatino Linotype"/>
          <w:b/>
          <w:sz w:val="24"/>
        </w:rPr>
      </w:pPr>
    </w:p>
    <w:p w14:paraId="1FBBCD33" w14:textId="77777777" w:rsidR="00955B07" w:rsidRPr="00A93EEB" w:rsidRDefault="00955B07" w:rsidP="00955B07">
      <w:pPr>
        <w:tabs>
          <w:tab w:val="left" w:pos="142"/>
          <w:tab w:val="left" w:pos="284"/>
        </w:tabs>
        <w:spacing w:after="0" w:line="360" w:lineRule="auto"/>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 xml:space="preserve">Respecto a la Declaración de Incompetencia la Ley de Transparencia y Acceso a la Información Pública del Estado de México, establece, en los artículos 49, fracción II y 167, lo siguiente: </w:t>
      </w:r>
    </w:p>
    <w:p w14:paraId="02BBE3AA" w14:textId="77777777" w:rsidR="00955B07" w:rsidRPr="00A93EEB" w:rsidRDefault="00955B07" w:rsidP="00955B07">
      <w:pPr>
        <w:tabs>
          <w:tab w:val="left" w:pos="142"/>
          <w:tab w:val="left" w:pos="284"/>
        </w:tabs>
        <w:spacing w:after="0" w:line="360" w:lineRule="auto"/>
        <w:ind w:left="851" w:right="902"/>
        <w:jc w:val="both"/>
        <w:rPr>
          <w:rFonts w:ascii="Palatino Linotype" w:eastAsia="Palatino Linotype" w:hAnsi="Palatino Linotype" w:cs="Palatino Linotype"/>
          <w:i/>
        </w:rPr>
      </w:pPr>
    </w:p>
    <w:p w14:paraId="7D19A4D4" w14:textId="77777777" w:rsidR="00955B07" w:rsidRPr="00A93EEB" w:rsidRDefault="00955B07" w:rsidP="00955B07">
      <w:pPr>
        <w:tabs>
          <w:tab w:val="left" w:pos="142"/>
          <w:tab w:val="left" w:pos="284"/>
        </w:tabs>
        <w:spacing w:after="0" w:line="276" w:lineRule="auto"/>
        <w:ind w:left="567" w:right="990"/>
        <w:jc w:val="both"/>
        <w:rPr>
          <w:rFonts w:ascii="Palatino Linotype" w:eastAsia="Palatino Linotype" w:hAnsi="Palatino Linotype" w:cs="Palatino Linotype"/>
          <w:i/>
        </w:rPr>
      </w:pPr>
      <w:r w:rsidRPr="00A93EEB">
        <w:rPr>
          <w:rFonts w:ascii="Palatino Linotype" w:eastAsia="Palatino Linotype" w:hAnsi="Palatino Linotype" w:cs="Palatino Linotype"/>
          <w:i/>
        </w:rPr>
        <w:t>“</w:t>
      </w:r>
      <w:r w:rsidRPr="00A93EEB">
        <w:rPr>
          <w:rFonts w:ascii="Palatino Linotype" w:eastAsia="Palatino Linotype" w:hAnsi="Palatino Linotype" w:cs="Palatino Linotype"/>
          <w:b/>
          <w:i/>
        </w:rPr>
        <w:t>Artículo 49.</w:t>
      </w:r>
      <w:r w:rsidRPr="00A93EEB">
        <w:rPr>
          <w:rFonts w:ascii="Palatino Linotype" w:eastAsia="Palatino Linotype" w:hAnsi="Palatino Linotype" w:cs="Palatino Linotype"/>
          <w:i/>
        </w:rPr>
        <w:t xml:space="preserve"> </w:t>
      </w:r>
      <w:r w:rsidRPr="00A93EEB">
        <w:rPr>
          <w:rFonts w:ascii="Palatino Linotype" w:eastAsia="Palatino Linotype" w:hAnsi="Palatino Linotype" w:cs="Palatino Linotype"/>
          <w:b/>
          <w:i/>
        </w:rPr>
        <w:t>Los Comités de Transparencia</w:t>
      </w:r>
      <w:r w:rsidRPr="00A93EEB">
        <w:rPr>
          <w:rFonts w:ascii="Palatino Linotype" w:eastAsia="Palatino Linotype" w:hAnsi="Palatino Linotype" w:cs="Palatino Linotype"/>
          <w:i/>
        </w:rPr>
        <w:t xml:space="preserve"> tendrán las siguientes atribuciones:</w:t>
      </w:r>
    </w:p>
    <w:p w14:paraId="5BD5626F" w14:textId="77777777" w:rsidR="00955B07" w:rsidRPr="00A93EEB" w:rsidRDefault="00955B07" w:rsidP="00955B07">
      <w:pPr>
        <w:tabs>
          <w:tab w:val="left" w:pos="142"/>
          <w:tab w:val="left" w:pos="284"/>
        </w:tabs>
        <w:spacing w:after="0" w:line="276" w:lineRule="auto"/>
        <w:ind w:left="567" w:right="990"/>
        <w:jc w:val="both"/>
        <w:rPr>
          <w:rFonts w:ascii="Palatino Linotype" w:eastAsia="Palatino Linotype" w:hAnsi="Palatino Linotype" w:cs="Palatino Linotype"/>
          <w:b/>
          <w:i/>
        </w:rPr>
      </w:pPr>
      <w:r w:rsidRPr="00A93EEB">
        <w:rPr>
          <w:rFonts w:ascii="Palatino Linotype" w:eastAsia="Palatino Linotype" w:hAnsi="Palatino Linotype" w:cs="Palatino Linotype"/>
          <w:b/>
          <w:i/>
        </w:rPr>
        <w:t>...</w:t>
      </w:r>
    </w:p>
    <w:p w14:paraId="242E3230" w14:textId="77777777" w:rsidR="00955B07" w:rsidRPr="00A93EEB" w:rsidRDefault="00955B07" w:rsidP="00955B07">
      <w:pPr>
        <w:tabs>
          <w:tab w:val="left" w:pos="142"/>
          <w:tab w:val="left" w:pos="284"/>
        </w:tabs>
        <w:spacing w:after="0" w:line="276" w:lineRule="auto"/>
        <w:ind w:left="567" w:right="990"/>
        <w:jc w:val="both"/>
        <w:rPr>
          <w:rFonts w:ascii="Palatino Linotype" w:eastAsia="Palatino Linotype" w:hAnsi="Palatino Linotype" w:cs="Palatino Linotype"/>
          <w:b/>
          <w:i/>
          <w:u w:val="single"/>
        </w:rPr>
      </w:pPr>
      <w:r w:rsidRPr="00A93EEB">
        <w:rPr>
          <w:rFonts w:ascii="Palatino Linotype" w:eastAsia="Palatino Linotype" w:hAnsi="Palatino Linotype" w:cs="Palatino Linotype"/>
          <w:b/>
          <w:i/>
        </w:rPr>
        <w:t>II.</w:t>
      </w:r>
      <w:r w:rsidRPr="00A93EEB">
        <w:t xml:space="preserve"> </w:t>
      </w:r>
      <w:r w:rsidRPr="00A93EEB">
        <w:rPr>
          <w:rFonts w:ascii="Palatino Linotype" w:eastAsia="Palatino Linotype" w:hAnsi="Palatino Linotype" w:cs="Palatino Linotype"/>
          <w:b/>
          <w:i/>
        </w:rPr>
        <w:t>Confirmar, modificar o revocar</w:t>
      </w:r>
      <w:r w:rsidRPr="00A93EEB">
        <w:rPr>
          <w:rFonts w:ascii="Palatino Linotype" w:eastAsia="Palatino Linotype" w:hAnsi="Palatino Linotype" w:cs="Palatino Linotype"/>
          <w:i/>
        </w:rPr>
        <w:t xml:space="preserve"> las determinaciones que en materia de ampliación del plazo de respuesta, clasificación de la información </w:t>
      </w:r>
      <w:r w:rsidRPr="00A93EEB">
        <w:rPr>
          <w:rFonts w:ascii="Palatino Linotype" w:eastAsia="Palatino Linotype" w:hAnsi="Palatino Linotype" w:cs="Palatino Linotype"/>
          <w:b/>
          <w:i/>
        </w:rPr>
        <w:t>y declaración</w:t>
      </w:r>
      <w:r w:rsidRPr="00A93EEB">
        <w:rPr>
          <w:rFonts w:ascii="Palatino Linotype" w:eastAsia="Palatino Linotype" w:hAnsi="Palatino Linotype" w:cs="Palatino Linotype"/>
          <w:i/>
        </w:rPr>
        <w:t xml:space="preserve"> de inexistencia o </w:t>
      </w:r>
      <w:r w:rsidRPr="00A93EEB">
        <w:rPr>
          <w:rFonts w:ascii="Palatino Linotype" w:eastAsia="Palatino Linotype" w:hAnsi="Palatino Linotype" w:cs="Palatino Linotype"/>
          <w:b/>
          <w:i/>
        </w:rPr>
        <w:t>de incompetencia realicen los titulares de las áreas de los sujetos obligados;</w:t>
      </w:r>
    </w:p>
    <w:p w14:paraId="1B482A90" w14:textId="77777777" w:rsidR="00955B07" w:rsidRPr="00A93EEB" w:rsidRDefault="00955B07" w:rsidP="00955B07">
      <w:pPr>
        <w:tabs>
          <w:tab w:val="left" w:pos="142"/>
          <w:tab w:val="left" w:pos="284"/>
        </w:tabs>
        <w:spacing w:after="0" w:line="276" w:lineRule="auto"/>
        <w:ind w:left="567" w:right="990"/>
        <w:jc w:val="both"/>
        <w:rPr>
          <w:rFonts w:ascii="Palatino Linotype" w:eastAsia="Palatino Linotype" w:hAnsi="Palatino Linotype" w:cs="Palatino Linotype"/>
          <w:b/>
          <w:i/>
        </w:rPr>
      </w:pPr>
      <w:r w:rsidRPr="00A93EEB">
        <w:rPr>
          <w:rFonts w:ascii="Palatino Linotype" w:eastAsia="Palatino Linotype" w:hAnsi="Palatino Linotype" w:cs="Palatino Linotype"/>
          <w:b/>
          <w:i/>
        </w:rPr>
        <w:t>...</w:t>
      </w:r>
    </w:p>
    <w:p w14:paraId="3A95A8F6" w14:textId="77777777" w:rsidR="00955B07" w:rsidRPr="00A93EEB" w:rsidRDefault="00955B07" w:rsidP="00955B07">
      <w:pPr>
        <w:tabs>
          <w:tab w:val="left" w:pos="142"/>
          <w:tab w:val="left" w:pos="284"/>
        </w:tabs>
        <w:spacing w:after="0" w:line="276" w:lineRule="auto"/>
        <w:ind w:left="567" w:right="990"/>
        <w:jc w:val="both"/>
        <w:rPr>
          <w:rFonts w:ascii="Palatino Linotype" w:eastAsia="Palatino Linotype" w:hAnsi="Palatino Linotype" w:cs="Palatino Linotype"/>
          <w:b/>
          <w:i/>
        </w:rPr>
      </w:pPr>
      <w:r w:rsidRPr="00A93EEB">
        <w:rPr>
          <w:rFonts w:ascii="Palatino Linotype" w:eastAsia="Palatino Linotype" w:hAnsi="Palatino Linotype" w:cs="Palatino Linotype"/>
          <w:b/>
          <w:i/>
        </w:rPr>
        <w:t>Artículo 167</w:t>
      </w:r>
      <w:r w:rsidRPr="00A93EEB">
        <w:rPr>
          <w:rFonts w:ascii="Palatino Linotype" w:eastAsia="Palatino Linotype" w:hAnsi="Palatino Linotype" w:cs="Palatino Linotype"/>
          <w:i/>
        </w:rPr>
        <w:t xml:space="preserve">. </w:t>
      </w:r>
      <w:r w:rsidRPr="00A93EEB">
        <w:rPr>
          <w:rFonts w:ascii="Palatino Linotype" w:eastAsia="Palatino Linotype" w:hAnsi="Palatino Linotype" w:cs="Palatino Linotype"/>
          <w:b/>
          <w:i/>
        </w:rPr>
        <w:t>Cuando las unidades de transparencia determinen la notoria incompetencia</w:t>
      </w:r>
      <w:r w:rsidRPr="00A93EEB">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A93EEB">
        <w:rPr>
          <w:rFonts w:ascii="Palatino Linotype" w:eastAsia="Palatino Linotype" w:hAnsi="Palatino Linotype" w:cs="Palatino Linotype"/>
          <w:b/>
          <w:i/>
        </w:rPr>
        <w:t>deberán comunicarlo al solicitante, dentro de los tres días hábiles posteriores a la recepción de la solicitud</w:t>
      </w:r>
      <w:r w:rsidRPr="00A93EEB">
        <w:rPr>
          <w:rFonts w:ascii="Palatino Linotype" w:eastAsia="Palatino Linotype" w:hAnsi="Palatino Linotype" w:cs="Palatino Linotype"/>
          <w:i/>
        </w:rPr>
        <w:t xml:space="preserve"> y, </w:t>
      </w:r>
      <w:r w:rsidRPr="00A93EEB">
        <w:rPr>
          <w:rFonts w:ascii="Palatino Linotype" w:eastAsia="Palatino Linotype" w:hAnsi="Palatino Linotype" w:cs="Palatino Linotype"/>
          <w:b/>
          <w:i/>
        </w:rPr>
        <w:t>en su caso orientar al solicitante, el o los sujetos obligados competentes.</w:t>
      </w:r>
    </w:p>
    <w:p w14:paraId="1A7FA642" w14:textId="77777777" w:rsidR="00955B07" w:rsidRPr="00A93EEB" w:rsidRDefault="00955B07" w:rsidP="00955B07">
      <w:pPr>
        <w:spacing w:after="0" w:line="360" w:lineRule="auto"/>
        <w:ind w:left="851" w:right="902"/>
        <w:jc w:val="both"/>
        <w:rPr>
          <w:rFonts w:ascii="Palatino Linotype" w:eastAsia="Palatino Linotype" w:hAnsi="Palatino Linotype" w:cs="Palatino Linotype"/>
        </w:rPr>
      </w:pPr>
    </w:p>
    <w:p w14:paraId="2E19F0FE" w14:textId="2CEDE5C8" w:rsidR="00955B07" w:rsidRPr="00A93EEB" w:rsidRDefault="00955B07" w:rsidP="00955B07">
      <w:pPr>
        <w:tabs>
          <w:tab w:val="left" w:pos="142"/>
          <w:tab w:val="left" w:pos="284"/>
        </w:tabs>
        <w:spacing w:after="0" w:line="360" w:lineRule="auto"/>
        <w:jc w:val="both"/>
        <w:rPr>
          <w:rFonts w:ascii="Palatino Linotype" w:eastAsia="Palatino Linotype" w:hAnsi="Palatino Linotype" w:cs="Palatino Linotype"/>
          <w:b/>
          <w:sz w:val="24"/>
          <w:szCs w:val="24"/>
        </w:rPr>
      </w:pPr>
      <w:r w:rsidRPr="00A93EEB">
        <w:rPr>
          <w:rFonts w:ascii="Palatino Linotype" w:eastAsia="Palatino Linotype" w:hAnsi="Palatino Linotype" w:cs="Palatino Linotype"/>
          <w:sz w:val="24"/>
          <w:szCs w:val="24"/>
        </w:rPr>
        <w:t xml:space="preserve">De los preceptos citados se desprende que es atribución del Comité de Transparencia confirmar, modificar o revocar, en su caso, la declaración de incompetencia, en </w:t>
      </w:r>
      <w:r w:rsidRPr="00A93EEB">
        <w:rPr>
          <w:rFonts w:ascii="Palatino Linotype" w:eastAsia="Palatino Linotype" w:hAnsi="Palatino Linotype" w:cs="Palatino Linotype"/>
          <w:sz w:val="24"/>
          <w:szCs w:val="24"/>
        </w:rPr>
        <w:lastRenderedPageBreak/>
        <w:t xml:space="preserve">aquellos casos en los que no se trate de una notoria incompetencia, para lo cual deberán comunicarlo dentro de los tres días hábiles posteriores a la recepción de la solicitud y, en su caso, orientar al solicitante respecto de los sujetos obligados competentes. </w:t>
      </w:r>
    </w:p>
    <w:p w14:paraId="343F10E6" w14:textId="77777777" w:rsidR="00955B07" w:rsidRPr="00A93EEB" w:rsidRDefault="00955B07" w:rsidP="00955B07">
      <w:pPr>
        <w:tabs>
          <w:tab w:val="left" w:pos="142"/>
          <w:tab w:val="left" w:pos="284"/>
        </w:tabs>
        <w:spacing w:after="0" w:line="360" w:lineRule="auto"/>
        <w:jc w:val="both"/>
        <w:rPr>
          <w:rFonts w:ascii="Palatino Linotype" w:eastAsia="Palatino Linotype" w:hAnsi="Palatino Linotype" w:cs="Palatino Linotype"/>
          <w:sz w:val="24"/>
          <w:szCs w:val="24"/>
        </w:rPr>
      </w:pPr>
    </w:p>
    <w:p w14:paraId="02759619" w14:textId="427B338F" w:rsidR="00955B07" w:rsidRPr="00A93EEB" w:rsidRDefault="00955B07" w:rsidP="00955B07">
      <w:pPr>
        <w:tabs>
          <w:tab w:val="left" w:pos="142"/>
          <w:tab w:val="left" w:pos="284"/>
        </w:tabs>
        <w:spacing w:after="0" w:line="360" w:lineRule="auto"/>
        <w:jc w:val="both"/>
        <w:rPr>
          <w:rFonts w:ascii="Palatino Linotype" w:eastAsia="Palatino Linotype" w:hAnsi="Palatino Linotype" w:cs="Palatino Linotype"/>
          <w:b/>
          <w:sz w:val="24"/>
          <w:szCs w:val="24"/>
          <w:u w:val="single"/>
        </w:rPr>
      </w:pPr>
      <w:r w:rsidRPr="00A93EEB">
        <w:rPr>
          <w:rFonts w:ascii="Palatino Linotype" w:eastAsia="Palatino Linotype" w:hAnsi="Palatino Linotype" w:cs="Palatino Linotype"/>
          <w:sz w:val="24"/>
          <w:szCs w:val="24"/>
        </w:rPr>
        <w:t xml:space="preserve">En ese tenor, se tiene que en el asunto que ahora nos ocupa, </w:t>
      </w:r>
      <w:r w:rsidRPr="00A93EEB">
        <w:rPr>
          <w:rFonts w:ascii="Palatino Linotype" w:eastAsia="Palatino Linotype" w:hAnsi="Palatino Linotype" w:cs="Palatino Linotype"/>
          <w:b/>
          <w:sz w:val="24"/>
          <w:szCs w:val="24"/>
          <w:u w:val="single"/>
        </w:rPr>
        <w:t>la solicitud de información fue registrada en fecha quince de noviembre de dos mil veintidós y la respuesta fue otorgada por el Sujeto Obligado en fecha veintitr</w:t>
      </w:r>
      <w:r w:rsidR="00314CE1" w:rsidRPr="00A93EEB">
        <w:rPr>
          <w:rFonts w:ascii="Palatino Linotype" w:eastAsia="Palatino Linotype" w:hAnsi="Palatino Linotype" w:cs="Palatino Linotype"/>
          <w:b/>
          <w:sz w:val="24"/>
          <w:szCs w:val="24"/>
          <w:u w:val="single"/>
        </w:rPr>
        <w:t>és de noviembr</w:t>
      </w:r>
      <w:r w:rsidR="0013122B" w:rsidRPr="00A93EEB">
        <w:rPr>
          <w:rFonts w:ascii="Palatino Linotype" w:eastAsia="Palatino Linotype" w:hAnsi="Palatino Linotype" w:cs="Palatino Linotype"/>
          <w:b/>
          <w:sz w:val="24"/>
          <w:szCs w:val="24"/>
          <w:u w:val="single"/>
        </w:rPr>
        <w:t>e del mismo año</w:t>
      </w:r>
      <w:r w:rsidR="0013122B" w:rsidRPr="00A93EEB">
        <w:rPr>
          <w:rFonts w:ascii="Palatino Linotype" w:eastAsia="Palatino Linotype" w:hAnsi="Palatino Linotype" w:cs="Palatino Linotype"/>
          <w:bCs/>
          <w:sz w:val="24"/>
          <w:szCs w:val="24"/>
        </w:rPr>
        <w:t>,</w:t>
      </w:r>
      <w:r w:rsidR="00314CE1" w:rsidRPr="00A93EEB">
        <w:rPr>
          <w:rFonts w:ascii="Palatino Linotype" w:eastAsia="Palatino Linotype" w:hAnsi="Palatino Linotype" w:cs="Palatino Linotype"/>
          <w:sz w:val="24"/>
          <w:szCs w:val="24"/>
        </w:rPr>
        <w:t xml:space="preserve"> esto es, al quinto día hábil siguiente en que se tuvo conocimiento de la solicitud, lo que indica que la </w:t>
      </w:r>
      <w:r w:rsidR="00314CE1" w:rsidRPr="00A93EEB">
        <w:rPr>
          <w:rFonts w:ascii="Palatino Linotype" w:eastAsia="Palatino Linotype" w:hAnsi="Palatino Linotype" w:cs="Palatino Linotype"/>
          <w:b/>
          <w:sz w:val="24"/>
          <w:szCs w:val="24"/>
          <w:u w:val="single"/>
        </w:rPr>
        <w:t>respuesta se presentó fuera del plazo de los tres días establecidos en la Ley</w:t>
      </w:r>
      <w:r w:rsidR="00314CE1" w:rsidRPr="00A93EEB">
        <w:rPr>
          <w:rFonts w:ascii="Palatino Linotype" w:eastAsia="Palatino Linotype" w:hAnsi="Palatino Linotype" w:cs="Palatino Linotype"/>
          <w:sz w:val="24"/>
          <w:szCs w:val="24"/>
        </w:rPr>
        <w:t xml:space="preserve">, situación que nos conduce a que el Sujeto Obligado deba </w:t>
      </w:r>
      <w:r w:rsidR="00314CE1" w:rsidRPr="00A93EEB">
        <w:rPr>
          <w:rFonts w:ascii="Palatino Linotype" w:eastAsia="Palatino Linotype" w:hAnsi="Palatino Linotype" w:cs="Palatino Linotype"/>
          <w:b/>
          <w:sz w:val="24"/>
          <w:szCs w:val="24"/>
          <w:u w:val="single"/>
        </w:rPr>
        <w:t xml:space="preserve">emitir la declaratoria formal de incompetencia. </w:t>
      </w:r>
    </w:p>
    <w:p w14:paraId="063890BC" w14:textId="77777777" w:rsidR="00955B07" w:rsidRPr="00A93EEB" w:rsidRDefault="00955B07" w:rsidP="00955B07">
      <w:pPr>
        <w:spacing w:after="0" w:line="360" w:lineRule="auto"/>
        <w:ind w:right="18"/>
        <w:jc w:val="both"/>
        <w:rPr>
          <w:rFonts w:ascii="Palatino Linotype" w:eastAsia="Palatino Linotype" w:hAnsi="Palatino Linotype" w:cs="Palatino Linotype"/>
          <w:sz w:val="24"/>
          <w:szCs w:val="24"/>
        </w:rPr>
      </w:pPr>
    </w:p>
    <w:p w14:paraId="43153338" w14:textId="77777777" w:rsidR="00955B07" w:rsidRPr="00A93EEB" w:rsidRDefault="00955B07" w:rsidP="00955B07">
      <w:pPr>
        <w:spacing w:after="0" w:line="360" w:lineRule="auto"/>
        <w:ind w:right="18"/>
        <w:jc w:val="both"/>
        <w:rPr>
          <w:rFonts w:ascii="Palatino Linotype" w:eastAsia="Palatino Linotype" w:hAnsi="Palatino Linotype" w:cs="Palatino Linotype"/>
        </w:rPr>
      </w:pPr>
      <w:r w:rsidRPr="00A93EEB">
        <w:rPr>
          <w:rFonts w:ascii="Palatino Linotype" w:eastAsia="Palatino Linotype" w:hAnsi="Palatino Linotype" w:cs="Palatino Linotype"/>
          <w:sz w:val="24"/>
          <w:szCs w:val="24"/>
        </w:rPr>
        <w:t xml:space="preserve">Como sustento de lo anterior, resulta aplicable el Criterio 20/20, emitido por el </w:t>
      </w:r>
      <w:r w:rsidRPr="00A93EEB">
        <w:rPr>
          <w:rFonts w:ascii="Palatino Linotype" w:eastAsia="Palatino Linotype" w:hAnsi="Palatino Linotype" w:cs="Palatino Linotype"/>
        </w:rPr>
        <w:t xml:space="preserve">Instituto Nacional de Transparencia, Acceso a la Información, y Protección de Datos Personales, INAI, que lleva por rubro y texto los siguientes: </w:t>
      </w:r>
      <w:r w:rsidRPr="00A93EEB">
        <w:rPr>
          <w:rFonts w:ascii="Palatino Linotype" w:eastAsia="Palatino Linotype" w:hAnsi="Palatino Linotype" w:cs="Palatino Linotype"/>
          <w:sz w:val="24"/>
          <w:szCs w:val="24"/>
        </w:rPr>
        <w:t xml:space="preserve"> </w:t>
      </w:r>
    </w:p>
    <w:p w14:paraId="1F5ACAA8" w14:textId="77777777" w:rsidR="00955B07" w:rsidRPr="00A93EEB" w:rsidRDefault="00955B07" w:rsidP="00955B07">
      <w:pPr>
        <w:spacing w:after="0" w:line="360" w:lineRule="auto"/>
        <w:ind w:left="851" w:right="900"/>
        <w:jc w:val="both"/>
        <w:rPr>
          <w:rFonts w:ascii="Palatino Linotype" w:eastAsia="Palatino Linotype" w:hAnsi="Palatino Linotype" w:cs="Palatino Linotype"/>
          <w:b/>
          <w:i/>
        </w:rPr>
      </w:pPr>
    </w:p>
    <w:p w14:paraId="791D444D" w14:textId="77777777" w:rsidR="00955B07" w:rsidRPr="00A93EEB" w:rsidRDefault="00955B07" w:rsidP="00314CE1">
      <w:pPr>
        <w:spacing w:after="0" w:line="276" w:lineRule="auto"/>
        <w:ind w:left="567" w:right="900"/>
        <w:jc w:val="both"/>
        <w:rPr>
          <w:rFonts w:ascii="Palatino Linotype" w:eastAsia="Palatino Linotype" w:hAnsi="Palatino Linotype" w:cs="Palatino Linotype"/>
          <w:i/>
        </w:rPr>
      </w:pPr>
      <w:r w:rsidRPr="00A93EEB">
        <w:rPr>
          <w:rFonts w:ascii="Palatino Linotype" w:eastAsia="Palatino Linotype" w:hAnsi="Palatino Linotype" w:cs="Palatino Linotype"/>
          <w:b/>
          <w:i/>
        </w:rPr>
        <w:t>“Declaración de incompetencia por parte del Comité, cuando no sea notoria o manifiesta.</w:t>
      </w:r>
      <w:r w:rsidRPr="00A93EEB">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72D243CB" w14:textId="77777777" w:rsidR="00955B07" w:rsidRPr="00A93EEB" w:rsidRDefault="00955B07" w:rsidP="00955B07">
      <w:pPr>
        <w:spacing w:after="0" w:line="360" w:lineRule="auto"/>
        <w:ind w:left="567" w:right="900"/>
        <w:jc w:val="both"/>
        <w:rPr>
          <w:rFonts w:ascii="Palatino Linotype" w:eastAsia="Palatino Linotype" w:hAnsi="Palatino Linotype" w:cs="Palatino Linotype"/>
          <w:i/>
        </w:rPr>
      </w:pPr>
    </w:p>
    <w:p w14:paraId="077FAC79" w14:textId="77777777" w:rsidR="00955B07" w:rsidRPr="00A93EEB" w:rsidRDefault="00955B07" w:rsidP="00955B07">
      <w:pPr>
        <w:tabs>
          <w:tab w:val="left" w:pos="142"/>
          <w:tab w:val="left" w:pos="284"/>
        </w:tabs>
        <w:spacing w:after="0" w:line="360" w:lineRule="auto"/>
        <w:jc w:val="both"/>
        <w:rPr>
          <w:rFonts w:ascii="Palatino Linotype" w:eastAsia="Palatino Linotype" w:hAnsi="Palatino Linotype" w:cs="Palatino Linotype"/>
          <w:sz w:val="24"/>
          <w:szCs w:val="24"/>
        </w:rPr>
      </w:pPr>
      <w:r w:rsidRPr="00A93EEB">
        <w:rPr>
          <w:rFonts w:ascii="Palatino Linotype" w:eastAsia="Palatino Linotype" w:hAnsi="Palatino Linotype" w:cs="Palatino Linotype"/>
          <w:sz w:val="24"/>
          <w:szCs w:val="24"/>
        </w:rPr>
        <w:t xml:space="preserve">De igual manera, el Pleno de este Instituto, a través del Criterio 02/04 emitido en la Segunda Época, precisa los alcances del artículo 167 de la Ley de Transparencia, al señalar que corresponde al Comité de Transparencia confirmar la declaratoria de </w:t>
      </w:r>
      <w:r w:rsidRPr="00A93EEB">
        <w:rPr>
          <w:rFonts w:ascii="Palatino Linotype" w:eastAsia="Palatino Linotype" w:hAnsi="Palatino Linotype" w:cs="Palatino Linotype"/>
          <w:sz w:val="24"/>
          <w:szCs w:val="24"/>
        </w:rPr>
        <w:lastRenderedPageBreak/>
        <w:t>incompetencia y notificarle dicha determinación al particular, refiriéndose a aquellos casos en los que exista</w:t>
      </w:r>
      <w:r w:rsidRPr="00A93EEB">
        <w:rPr>
          <w:rFonts w:ascii="Palatino Linotype" w:eastAsia="Palatino Linotype" w:hAnsi="Palatino Linotype" w:cs="Palatino Linotype"/>
          <w:b/>
          <w:sz w:val="24"/>
          <w:szCs w:val="24"/>
        </w:rPr>
        <w:t xml:space="preserve"> </w:t>
      </w:r>
      <w:r w:rsidRPr="00A93EEB">
        <w:rPr>
          <w:rFonts w:ascii="Palatino Linotype" w:eastAsia="Palatino Linotype" w:hAnsi="Palatino Linotype" w:cs="Palatino Linotype"/>
          <w:sz w:val="24"/>
          <w:szCs w:val="24"/>
        </w:rPr>
        <w:t>duda razonable sobre la administración del documento materia de la solicitud de información, como se lee enseguida:</w:t>
      </w:r>
    </w:p>
    <w:p w14:paraId="48085CD2" w14:textId="77777777" w:rsidR="00955B07" w:rsidRPr="00A93EEB" w:rsidRDefault="00955B07" w:rsidP="00955B07">
      <w:pPr>
        <w:spacing w:after="0" w:line="360" w:lineRule="auto"/>
        <w:ind w:left="851" w:right="900"/>
        <w:jc w:val="both"/>
        <w:rPr>
          <w:rFonts w:ascii="Palatino Linotype" w:eastAsia="Palatino Linotype" w:hAnsi="Palatino Linotype" w:cs="Palatino Linotype"/>
          <w:b/>
          <w:i/>
        </w:rPr>
      </w:pPr>
    </w:p>
    <w:p w14:paraId="03DDCD58" w14:textId="77777777" w:rsidR="00955B07" w:rsidRPr="00A93EEB" w:rsidRDefault="00955B07" w:rsidP="00314CE1">
      <w:pPr>
        <w:spacing w:after="0" w:line="276" w:lineRule="auto"/>
        <w:ind w:left="567" w:right="706"/>
        <w:jc w:val="both"/>
        <w:rPr>
          <w:rFonts w:ascii="Palatino Linotype" w:eastAsia="Palatino Linotype" w:hAnsi="Palatino Linotype" w:cs="Palatino Linotype"/>
          <w:i/>
        </w:rPr>
      </w:pPr>
      <w:r w:rsidRPr="00A93EEB">
        <w:rPr>
          <w:rFonts w:ascii="Palatino Linotype" w:eastAsia="Palatino Linotype" w:hAnsi="Palatino Linotype" w:cs="Palatino Linotype"/>
          <w:b/>
          <w:i/>
        </w:rPr>
        <w:t xml:space="preserve">“DECLARATORIA DE INCOMPETENCIA DEL SUJETO OBLIGADO. SUPUESTO PARA CONFIRMARLA POR ACUERDO DEL COMITÉ DE TRANSPARENCIA. </w:t>
      </w:r>
      <w:r w:rsidRPr="00A93EEB">
        <w:rPr>
          <w:rFonts w:ascii="Palatino Linotype" w:eastAsia="Palatino Linotype" w:hAnsi="Palatino Linotype" w:cs="Palatino Linotype"/>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A93EEB">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sidRPr="00A93EEB">
        <w:rPr>
          <w:rFonts w:ascii="Palatino Linotype" w:eastAsia="Palatino Linotype" w:hAnsi="Palatino Linotype" w:cs="Palatino Linotype"/>
          <w:b/>
          <w:i/>
          <w:u w:val="single"/>
        </w:rPr>
        <w:t>impiden determinar dentro del término legal de tres días hábiles</w:t>
      </w:r>
      <w:r w:rsidRPr="00A93EEB">
        <w:rPr>
          <w:rFonts w:ascii="Palatino Linotype" w:eastAsia="Palatino Linotype" w:hAnsi="Palatino Linotype" w:cs="Palatino Linotype"/>
          <w:b/>
          <w:i/>
        </w:rPr>
        <w:t>, si se posee o no la información por el Sujeto Obligado requerid</w:t>
      </w:r>
      <w:r w:rsidRPr="00A93EEB">
        <w:rPr>
          <w:rFonts w:ascii="Palatino Linotype" w:eastAsia="Palatino Linotype" w:hAnsi="Palatino Linotype" w:cs="Palatino Linotype"/>
          <w:i/>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4F0AA58E" w14:textId="77777777" w:rsidR="00E31E3A" w:rsidRPr="00A93EEB" w:rsidRDefault="00E31E3A" w:rsidP="00251A66">
      <w:pPr>
        <w:spacing w:after="0" w:line="360" w:lineRule="auto"/>
        <w:jc w:val="both"/>
        <w:rPr>
          <w:rFonts w:ascii="Palatino Linotype" w:eastAsia="Palatino Linotype" w:hAnsi="Palatino Linotype" w:cs="Palatino Linotype"/>
          <w:sz w:val="24"/>
        </w:rPr>
      </w:pPr>
    </w:p>
    <w:p w14:paraId="14464677" w14:textId="09E1F9AE" w:rsidR="00251A66" w:rsidRPr="00A93EEB" w:rsidRDefault="00251A66" w:rsidP="00251A66">
      <w:pPr>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lastRenderedPageBreak/>
        <w:t xml:space="preserve">Derivado de todo lo anterior, se concluye que los agravios hechos valer por el Particular son </w:t>
      </w:r>
      <w:r w:rsidR="00314CE1" w:rsidRPr="00A93EEB">
        <w:rPr>
          <w:rFonts w:ascii="Palatino Linotype" w:eastAsia="Palatino Linotype" w:hAnsi="Palatino Linotype" w:cs="Palatino Linotype"/>
          <w:b/>
          <w:sz w:val="24"/>
        </w:rPr>
        <w:t>PARCIALMENTE FUNDADOS</w:t>
      </w:r>
      <w:r w:rsidRPr="00A93EEB">
        <w:rPr>
          <w:rFonts w:ascii="Palatino Linotype" w:eastAsia="Palatino Linotype" w:hAnsi="Palatino Linotype" w:cs="Palatino Linotype"/>
          <w:b/>
          <w:sz w:val="24"/>
        </w:rPr>
        <w:t xml:space="preserve"> </w:t>
      </w:r>
      <w:r w:rsidRPr="00A93EEB">
        <w:rPr>
          <w:rFonts w:ascii="Palatino Linotype" w:eastAsia="Palatino Linotype" w:hAnsi="Palatino Linotype" w:cs="Palatino Linotype"/>
          <w:sz w:val="24"/>
        </w:rPr>
        <w:t xml:space="preserve">y, por ende, este Organismo Garante determina </w:t>
      </w:r>
      <w:r w:rsidRPr="00A93EEB">
        <w:rPr>
          <w:rFonts w:ascii="Palatino Linotype" w:eastAsia="Palatino Linotype" w:hAnsi="Palatino Linotype" w:cs="Palatino Linotype"/>
          <w:b/>
          <w:sz w:val="24"/>
        </w:rPr>
        <w:t xml:space="preserve">MODIFICAR </w:t>
      </w:r>
      <w:r w:rsidRPr="00A93EEB">
        <w:rPr>
          <w:rFonts w:ascii="Palatino Linotype" w:eastAsia="Palatino Linotype" w:hAnsi="Palatino Linotype" w:cs="Palatino Linotype"/>
          <w:sz w:val="24"/>
        </w:rPr>
        <w:t xml:space="preserve">la respuesta del Sujeto Obligado y </w:t>
      </w:r>
      <w:r w:rsidRPr="00A93EEB">
        <w:rPr>
          <w:rFonts w:ascii="Palatino Linotype" w:eastAsia="Palatino Linotype" w:hAnsi="Palatino Linotype" w:cs="Palatino Linotype"/>
          <w:b/>
          <w:sz w:val="24"/>
        </w:rPr>
        <w:t xml:space="preserve">ORDENAR </w:t>
      </w:r>
      <w:r w:rsidRPr="00A93EEB">
        <w:rPr>
          <w:rFonts w:ascii="Palatino Linotype" w:eastAsia="Palatino Linotype" w:hAnsi="Palatino Linotype" w:cs="Palatino Linotype"/>
          <w:sz w:val="24"/>
        </w:rPr>
        <w:t>vía Sistema de Acce</w:t>
      </w:r>
      <w:r w:rsidR="00314CE1" w:rsidRPr="00A93EEB">
        <w:rPr>
          <w:rFonts w:ascii="Palatino Linotype" w:eastAsia="Palatino Linotype" w:hAnsi="Palatino Linotype" w:cs="Palatino Linotype"/>
          <w:sz w:val="24"/>
        </w:rPr>
        <w:t>so a la Información Mexiquense</w:t>
      </w:r>
      <w:r w:rsidRPr="00A93EEB">
        <w:rPr>
          <w:rFonts w:ascii="Palatino Linotype" w:eastAsia="Palatino Linotype" w:hAnsi="Palatino Linotype" w:cs="Palatino Linotype"/>
          <w:sz w:val="24"/>
        </w:rPr>
        <w:t>, la siguiente información:</w:t>
      </w:r>
    </w:p>
    <w:p w14:paraId="670A0CCF" w14:textId="77777777" w:rsidR="00251A66" w:rsidRPr="00A93EEB" w:rsidRDefault="00251A66" w:rsidP="00251A66">
      <w:pPr>
        <w:spacing w:after="0" w:line="360" w:lineRule="auto"/>
        <w:jc w:val="both"/>
        <w:rPr>
          <w:rFonts w:ascii="Palatino Linotype" w:eastAsia="Palatino Linotype" w:hAnsi="Palatino Linotype" w:cs="Palatino Linotype"/>
        </w:rPr>
      </w:pPr>
    </w:p>
    <w:p w14:paraId="2C02EE28" w14:textId="7B9ADAFA" w:rsidR="00314CE1" w:rsidRPr="00A93EEB" w:rsidRDefault="00314CE1" w:rsidP="00314CE1">
      <w:pPr>
        <w:pStyle w:val="Prrafodelista"/>
        <w:numPr>
          <w:ilvl w:val="0"/>
          <w:numId w:val="35"/>
        </w:numPr>
        <w:spacing w:after="0" w:line="360" w:lineRule="auto"/>
        <w:jc w:val="both"/>
        <w:rPr>
          <w:rFonts w:ascii="Palatino Linotype" w:hAnsi="Palatino Linotype" w:cs="Tahoma"/>
          <w:b/>
          <w:bCs/>
          <w:iCs/>
        </w:rPr>
      </w:pPr>
      <w:r w:rsidRPr="00A93EEB">
        <w:rPr>
          <w:rFonts w:ascii="Palatino Linotype" w:hAnsi="Palatino Linotype" w:cs="Tahoma"/>
          <w:b/>
          <w:bCs/>
          <w:iCs/>
        </w:rPr>
        <w:t xml:space="preserve">El Acuerdo emitido por el Comité de Transparencia del Ayuntamiento de Ecatepec, a efecto de confirmar la incompetencia para conocer de los planos hidráulicos de la unidad habitacional referida en la solicitud de información.  </w:t>
      </w:r>
    </w:p>
    <w:p w14:paraId="7E005DA5" w14:textId="77777777" w:rsidR="00FF394E" w:rsidRPr="00A93EEB" w:rsidRDefault="00FF394E" w:rsidP="00FF394E">
      <w:pPr>
        <w:pStyle w:val="Prrafodelista"/>
        <w:spacing w:after="0" w:line="360" w:lineRule="auto"/>
        <w:jc w:val="both"/>
        <w:rPr>
          <w:rFonts w:ascii="Palatino Linotype" w:hAnsi="Palatino Linotype" w:cs="Tahoma"/>
          <w:b/>
          <w:bCs/>
          <w:iCs/>
        </w:rPr>
      </w:pPr>
    </w:p>
    <w:p w14:paraId="72394E97" w14:textId="2602E58B" w:rsidR="00251A66" w:rsidRPr="00A93EEB" w:rsidRDefault="00251A66" w:rsidP="00251A66">
      <w:pPr>
        <w:spacing w:after="0" w:line="360" w:lineRule="auto"/>
        <w:ind w:right="49"/>
        <w:jc w:val="both"/>
        <w:rPr>
          <w:rFonts w:ascii="Palatino Linotype" w:eastAsia="Palatino Linotype" w:hAnsi="Palatino Linotype" w:cs="Palatino Linotype"/>
          <w:b/>
          <w:sz w:val="24"/>
        </w:rPr>
      </w:pPr>
      <w:r w:rsidRPr="00A93EEB">
        <w:rPr>
          <w:rFonts w:ascii="Palatino Linotype" w:eastAsia="Palatino Linotype" w:hAnsi="Palatino Linotype" w:cs="Palatino Linotype"/>
          <w:sz w:val="24"/>
        </w:rPr>
        <w:t xml:space="preserve">Es así como, en mérito de lo expuesto en líneas anteriores, resultan parcialmente fundadas las razones o motivos de inconformidad hechos valer por el </w:t>
      </w:r>
      <w:r w:rsidRPr="00A93EEB">
        <w:rPr>
          <w:rFonts w:ascii="Palatino Linotype" w:eastAsia="Palatino Linotype" w:hAnsi="Palatino Linotype" w:cs="Palatino Linotype"/>
          <w:b/>
          <w:bCs/>
          <w:sz w:val="24"/>
        </w:rPr>
        <w:t>RECURRENTE</w:t>
      </w:r>
      <w:r w:rsidRPr="00A93EEB">
        <w:rPr>
          <w:rFonts w:ascii="Palatino Linotype" w:eastAsia="Palatino Linotype" w:hAnsi="Palatino Linotype" w:cs="Palatino Linotype"/>
          <w:sz w:val="24"/>
        </w:rPr>
        <w:t xml:space="preserve"> dentro del recurso de revisión </w:t>
      </w:r>
      <w:r w:rsidR="00314CE1" w:rsidRPr="00A93EEB">
        <w:rPr>
          <w:rFonts w:ascii="Palatino Linotype" w:eastAsia="Palatino Linotype" w:hAnsi="Palatino Linotype" w:cs="Palatino Linotype"/>
          <w:b/>
          <w:sz w:val="24"/>
        </w:rPr>
        <w:t>16849</w:t>
      </w:r>
      <w:r w:rsidRPr="00A93EEB">
        <w:rPr>
          <w:rFonts w:ascii="Palatino Linotype" w:eastAsia="Palatino Linotype" w:hAnsi="Palatino Linotype" w:cs="Palatino Linotype"/>
          <w:b/>
          <w:sz w:val="24"/>
        </w:rPr>
        <w:t>/INFOEM/IP/RR/2022</w:t>
      </w:r>
      <w:r w:rsidRPr="00A93EEB">
        <w:rPr>
          <w:rFonts w:ascii="Palatino Linotype" w:eastAsia="Palatino Linotype" w:hAnsi="Palatino Linotype" w:cs="Palatino Linotype"/>
          <w:sz w:val="24"/>
        </w:rPr>
        <w:t xml:space="preserve">; por ello, y con fundamento en la fracción III del numeral 186 de la Ley de Transparencia y Acceso a la Información Pública del Estado de México y Municipios, se </w:t>
      </w:r>
      <w:r w:rsidRPr="00A93EEB">
        <w:rPr>
          <w:rFonts w:ascii="Palatino Linotype" w:eastAsia="Palatino Linotype" w:hAnsi="Palatino Linotype" w:cs="Palatino Linotype"/>
          <w:b/>
          <w:sz w:val="24"/>
        </w:rPr>
        <w:t xml:space="preserve">MODIFICA </w:t>
      </w:r>
      <w:r w:rsidRPr="00A93EEB">
        <w:rPr>
          <w:rFonts w:ascii="Palatino Linotype" w:eastAsia="Palatino Linotype" w:hAnsi="Palatino Linotype" w:cs="Palatino Linotype"/>
          <w:sz w:val="24"/>
        </w:rPr>
        <w:t xml:space="preserve">la respuesta a la solicitud de información número </w:t>
      </w:r>
      <w:r w:rsidR="00314CE1" w:rsidRPr="00A93EEB">
        <w:rPr>
          <w:rFonts w:ascii="Palatino Linotype" w:eastAsia="Palatino Linotype" w:hAnsi="Palatino Linotype" w:cs="Palatino Linotype"/>
          <w:b/>
          <w:sz w:val="24"/>
        </w:rPr>
        <w:t>00928</w:t>
      </w:r>
      <w:r w:rsidRPr="00A93EEB">
        <w:rPr>
          <w:rFonts w:ascii="Palatino Linotype" w:eastAsia="Palatino Linotype" w:hAnsi="Palatino Linotype" w:cs="Palatino Linotype"/>
          <w:b/>
          <w:sz w:val="24"/>
        </w:rPr>
        <w:t>/</w:t>
      </w:r>
      <w:r w:rsidR="00314CE1" w:rsidRPr="00A93EEB">
        <w:rPr>
          <w:rFonts w:ascii="Palatino Linotype" w:eastAsia="Palatino Linotype" w:hAnsi="Palatino Linotype" w:cs="Palatino Linotype"/>
          <w:b/>
          <w:sz w:val="24"/>
        </w:rPr>
        <w:t>ECATEPEC</w:t>
      </w:r>
      <w:r w:rsidRPr="00A93EEB">
        <w:rPr>
          <w:rFonts w:ascii="Palatino Linotype" w:eastAsia="Palatino Linotype" w:hAnsi="Palatino Linotype" w:cs="Palatino Linotype"/>
          <w:b/>
          <w:sz w:val="24"/>
        </w:rPr>
        <w:t>/IP/2022.</w:t>
      </w:r>
    </w:p>
    <w:p w14:paraId="1B88E155" w14:textId="77777777" w:rsidR="00251A66" w:rsidRPr="00A93EEB" w:rsidRDefault="00251A66" w:rsidP="00251A66">
      <w:pPr>
        <w:spacing w:after="0" w:line="360" w:lineRule="auto"/>
        <w:ind w:right="49"/>
        <w:jc w:val="both"/>
        <w:rPr>
          <w:rFonts w:ascii="Palatino Linotype" w:eastAsia="Palatino Linotype" w:hAnsi="Palatino Linotype" w:cs="Palatino Linotype"/>
        </w:rPr>
      </w:pPr>
    </w:p>
    <w:p w14:paraId="6D3931B3" w14:textId="77777777" w:rsidR="00251A66" w:rsidRPr="00A93EEB" w:rsidRDefault="00251A66" w:rsidP="00251A66">
      <w:pPr>
        <w:tabs>
          <w:tab w:val="left" w:pos="709"/>
        </w:tabs>
        <w:spacing w:after="0" w:line="360" w:lineRule="auto"/>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634863B" w14:textId="0B75D53C" w:rsidR="00251A66" w:rsidRPr="00A93EEB" w:rsidRDefault="00251A66" w:rsidP="00251A66">
      <w:pPr>
        <w:tabs>
          <w:tab w:val="left" w:pos="709"/>
        </w:tabs>
        <w:spacing w:after="0" w:line="360" w:lineRule="auto"/>
        <w:jc w:val="both"/>
        <w:rPr>
          <w:rFonts w:ascii="Palatino Linotype" w:eastAsia="Palatino Linotype" w:hAnsi="Palatino Linotype" w:cs="Palatino Linotype"/>
        </w:rPr>
      </w:pPr>
    </w:p>
    <w:p w14:paraId="428221EF" w14:textId="155C9E13" w:rsidR="0013122B" w:rsidRPr="00A93EEB" w:rsidRDefault="0013122B" w:rsidP="00251A66">
      <w:pPr>
        <w:tabs>
          <w:tab w:val="left" w:pos="709"/>
        </w:tabs>
        <w:spacing w:after="0" w:line="360" w:lineRule="auto"/>
        <w:jc w:val="both"/>
        <w:rPr>
          <w:rFonts w:ascii="Palatino Linotype" w:eastAsia="Palatino Linotype" w:hAnsi="Palatino Linotype" w:cs="Palatino Linotype"/>
        </w:rPr>
      </w:pPr>
    </w:p>
    <w:p w14:paraId="1D2906FC" w14:textId="49FDC158" w:rsidR="0013122B" w:rsidRPr="00A93EEB" w:rsidRDefault="0013122B" w:rsidP="00251A66">
      <w:pPr>
        <w:tabs>
          <w:tab w:val="left" w:pos="709"/>
        </w:tabs>
        <w:spacing w:after="0" w:line="360" w:lineRule="auto"/>
        <w:jc w:val="both"/>
        <w:rPr>
          <w:rFonts w:ascii="Palatino Linotype" w:eastAsia="Palatino Linotype" w:hAnsi="Palatino Linotype" w:cs="Palatino Linotype"/>
        </w:rPr>
      </w:pPr>
    </w:p>
    <w:p w14:paraId="26EF37F8" w14:textId="4242E741" w:rsidR="0013122B" w:rsidRPr="00A93EEB" w:rsidRDefault="0013122B" w:rsidP="00251A66">
      <w:pPr>
        <w:tabs>
          <w:tab w:val="left" w:pos="709"/>
        </w:tabs>
        <w:spacing w:after="0" w:line="360" w:lineRule="auto"/>
        <w:jc w:val="both"/>
        <w:rPr>
          <w:rFonts w:ascii="Palatino Linotype" w:eastAsia="Palatino Linotype" w:hAnsi="Palatino Linotype" w:cs="Palatino Linotype"/>
        </w:rPr>
      </w:pPr>
    </w:p>
    <w:p w14:paraId="1BAE915E" w14:textId="77777777" w:rsidR="0013122B" w:rsidRPr="00A93EEB" w:rsidRDefault="0013122B" w:rsidP="00251A66">
      <w:pPr>
        <w:tabs>
          <w:tab w:val="left" w:pos="709"/>
        </w:tabs>
        <w:spacing w:after="0" w:line="360" w:lineRule="auto"/>
        <w:jc w:val="both"/>
        <w:rPr>
          <w:rFonts w:ascii="Palatino Linotype" w:eastAsia="Palatino Linotype" w:hAnsi="Palatino Linotype" w:cs="Palatino Linotype"/>
        </w:rPr>
      </w:pPr>
    </w:p>
    <w:p w14:paraId="680E55FB" w14:textId="77777777" w:rsidR="00251A66" w:rsidRPr="00A93EEB" w:rsidRDefault="00251A66" w:rsidP="00314CE1">
      <w:pPr>
        <w:numPr>
          <w:ilvl w:val="0"/>
          <w:numId w:val="30"/>
        </w:numPr>
        <w:spacing w:after="0" w:line="360" w:lineRule="auto"/>
        <w:ind w:left="567"/>
        <w:jc w:val="center"/>
        <w:rPr>
          <w:rFonts w:ascii="Palatino Linotype" w:eastAsia="Palatino Linotype" w:hAnsi="Palatino Linotype" w:cs="Palatino Linotype"/>
          <w:b/>
        </w:rPr>
      </w:pPr>
      <w:r w:rsidRPr="00A93EEB">
        <w:rPr>
          <w:rFonts w:ascii="Palatino Linotype" w:eastAsia="Palatino Linotype" w:hAnsi="Palatino Linotype" w:cs="Palatino Linotype"/>
          <w:b/>
        </w:rPr>
        <w:t>R E S U E L V E</w:t>
      </w:r>
    </w:p>
    <w:p w14:paraId="09056224" w14:textId="77777777" w:rsidR="00251A66" w:rsidRPr="00A93EEB" w:rsidRDefault="00251A66" w:rsidP="00251A66">
      <w:pPr>
        <w:spacing w:after="0" w:line="360" w:lineRule="auto"/>
        <w:ind w:left="1080"/>
        <w:rPr>
          <w:rFonts w:ascii="Palatino Linotype" w:eastAsia="Palatino Linotype" w:hAnsi="Palatino Linotype" w:cs="Palatino Linotype"/>
          <w:b/>
        </w:rPr>
      </w:pPr>
    </w:p>
    <w:p w14:paraId="2E92BE65" w14:textId="07FD70D3" w:rsidR="00251A66" w:rsidRPr="00A93EEB" w:rsidRDefault="00251A66" w:rsidP="00251A66">
      <w:pPr>
        <w:spacing w:after="0" w:line="360" w:lineRule="auto"/>
        <w:ind w:right="49"/>
        <w:jc w:val="both"/>
        <w:rPr>
          <w:rFonts w:ascii="Palatino Linotype" w:eastAsia="Palatino Linotype" w:hAnsi="Palatino Linotype" w:cs="Palatino Linotype"/>
          <w:sz w:val="24"/>
        </w:rPr>
      </w:pPr>
      <w:r w:rsidRPr="00A93EEB">
        <w:rPr>
          <w:rFonts w:ascii="Palatino Linotype" w:eastAsia="Palatino Linotype" w:hAnsi="Palatino Linotype" w:cs="Palatino Linotype"/>
          <w:b/>
          <w:sz w:val="24"/>
        </w:rPr>
        <w:t>Primero.</w:t>
      </w:r>
      <w:r w:rsidRPr="00A93EEB">
        <w:rPr>
          <w:rFonts w:ascii="Palatino Linotype" w:eastAsia="Palatino Linotype" w:hAnsi="Palatino Linotype" w:cs="Palatino Linotype"/>
          <w:sz w:val="24"/>
        </w:rPr>
        <w:t xml:space="preserve"> Resultan </w:t>
      </w:r>
      <w:r w:rsidR="00314CE1" w:rsidRPr="00A93EEB">
        <w:rPr>
          <w:rFonts w:ascii="Palatino Linotype" w:eastAsia="Palatino Linotype" w:hAnsi="Palatino Linotype" w:cs="Palatino Linotype"/>
          <w:b/>
          <w:sz w:val="24"/>
        </w:rPr>
        <w:t xml:space="preserve">PARCIALMENTE </w:t>
      </w:r>
      <w:r w:rsidRPr="00A93EEB">
        <w:rPr>
          <w:rFonts w:ascii="Palatino Linotype" w:eastAsia="Palatino Linotype" w:hAnsi="Palatino Linotype" w:cs="Palatino Linotype"/>
          <w:b/>
          <w:sz w:val="24"/>
        </w:rPr>
        <w:t>FUNDADOS</w:t>
      </w:r>
      <w:r w:rsidRPr="00A93EEB">
        <w:rPr>
          <w:rFonts w:ascii="Palatino Linotype" w:eastAsia="Palatino Linotype" w:hAnsi="Palatino Linotype" w:cs="Palatino Linotype"/>
          <w:sz w:val="24"/>
        </w:rPr>
        <w:t xml:space="preserve"> los motivos de inconformidad hechos valer por el </w:t>
      </w:r>
      <w:r w:rsidRPr="00A93EEB">
        <w:rPr>
          <w:rFonts w:ascii="Palatino Linotype" w:eastAsia="Palatino Linotype" w:hAnsi="Palatino Linotype" w:cs="Palatino Linotype"/>
          <w:b/>
          <w:sz w:val="24"/>
        </w:rPr>
        <w:t>RECURRENTE</w:t>
      </w:r>
      <w:r w:rsidRPr="00A93EEB">
        <w:rPr>
          <w:rFonts w:ascii="Palatino Linotype" w:eastAsia="Palatino Linotype" w:hAnsi="Palatino Linotype" w:cs="Palatino Linotype"/>
          <w:sz w:val="24"/>
        </w:rPr>
        <w:t xml:space="preserve"> en el Recurso de Revisión </w:t>
      </w:r>
      <w:r w:rsidR="00314CE1" w:rsidRPr="00A93EEB">
        <w:rPr>
          <w:rFonts w:ascii="Palatino Linotype" w:eastAsia="Palatino Linotype" w:hAnsi="Palatino Linotype" w:cs="Palatino Linotype"/>
          <w:b/>
          <w:sz w:val="24"/>
        </w:rPr>
        <w:t>16849</w:t>
      </w:r>
      <w:r w:rsidRPr="00A93EEB">
        <w:rPr>
          <w:rFonts w:ascii="Palatino Linotype" w:eastAsia="Palatino Linotype" w:hAnsi="Palatino Linotype" w:cs="Palatino Linotype"/>
          <w:b/>
          <w:sz w:val="24"/>
        </w:rPr>
        <w:t>/INFOEM/IP/RR/2022</w:t>
      </w:r>
      <w:r w:rsidRPr="00A93EEB">
        <w:rPr>
          <w:rFonts w:ascii="Palatino Linotype" w:eastAsia="Palatino Linotype" w:hAnsi="Palatino Linotype" w:cs="Palatino Linotype"/>
          <w:sz w:val="24"/>
        </w:rPr>
        <w:t xml:space="preserve">, por lo que, en términos del </w:t>
      </w:r>
      <w:r w:rsidRPr="00A93EEB">
        <w:rPr>
          <w:rFonts w:ascii="Palatino Linotype" w:eastAsia="Palatino Linotype" w:hAnsi="Palatino Linotype" w:cs="Palatino Linotype"/>
          <w:b/>
          <w:sz w:val="24"/>
        </w:rPr>
        <w:t>Considerando Cuarto</w:t>
      </w:r>
      <w:r w:rsidRPr="00A93EEB">
        <w:rPr>
          <w:rFonts w:ascii="Palatino Linotype" w:eastAsia="Palatino Linotype" w:hAnsi="Palatino Linotype" w:cs="Palatino Linotype"/>
          <w:sz w:val="24"/>
        </w:rPr>
        <w:t xml:space="preserve"> de esta resolución, se </w:t>
      </w:r>
      <w:r w:rsidRPr="00A93EEB">
        <w:rPr>
          <w:rFonts w:ascii="Palatino Linotype" w:eastAsia="Palatino Linotype" w:hAnsi="Palatino Linotype" w:cs="Palatino Linotype"/>
          <w:b/>
          <w:sz w:val="24"/>
        </w:rPr>
        <w:t>MODIFICA</w:t>
      </w:r>
      <w:r w:rsidRPr="00A93EEB">
        <w:rPr>
          <w:rFonts w:ascii="Palatino Linotype" w:eastAsia="Palatino Linotype" w:hAnsi="Palatino Linotype" w:cs="Palatino Linotype"/>
          <w:sz w:val="24"/>
        </w:rPr>
        <w:t xml:space="preserve"> la respuesta emitida por el </w:t>
      </w:r>
      <w:r w:rsidRPr="00A93EEB">
        <w:rPr>
          <w:rFonts w:ascii="Palatino Linotype" w:eastAsia="Palatino Linotype" w:hAnsi="Palatino Linotype" w:cs="Palatino Linotype"/>
          <w:b/>
          <w:sz w:val="24"/>
        </w:rPr>
        <w:t>SUJETO OBLIGADO</w:t>
      </w:r>
      <w:r w:rsidRPr="00A93EEB">
        <w:rPr>
          <w:rFonts w:ascii="Palatino Linotype" w:eastAsia="Palatino Linotype" w:hAnsi="Palatino Linotype" w:cs="Palatino Linotype"/>
          <w:sz w:val="24"/>
        </w:rPr>
        <w:t>.</w:t>
      </w:r>
    </w:p>
    <w:p w14:paraId="07E003F1" w14:textId="77777777" w:rsidR="00314CE1" w:rsidRPr="00A93EEB" w:rsidRDefault="00314CE1" w:rsidP="00251A66">
      <w:pPr>
        <w:spacing w:after="0" w:line="360" w:lineRule="auto"/>
        <w:ind w:right="49"/>
        <w:jc w:val="both"/>
        <w:rPr>
          <w:rFonts w:ascii="Palatino Linotype" w:eastAsia="Palatino Linotype" w:hAnsi="Palatino Linotype" w:cs="Palatino Linotype"/>
          <w:sz w:val="24"/>
        </w:rPr>
      </w:pPr>
    </w:p>
    <w:p w14:paraId="423CEF17" w14:textId="4723E87B" w:rsidR="00251A66" w:rsidRPr="00A93EEB" w:rsidRDefault="00251A66" w:rsidP="00314CE1">
      <w:pPr>
        <w:spacing w:after="0" w:line="360" w:lineRule="auto"/>
        <w:ind w:right="49"/>
        <w:jc w:val="both"/>
        <w:rPr>
          <w:rFonts w:ascii="Palatino Linotype" w:eastAsia="Palatino Linotype" w:hAnsi="Palatino Linotype" w:cs="Palatino Linotype"/>
          <w:sz w:val="24"/>
        </w:rPr>
      </w:pPr>
      <w:r w:rsidRPr="00A93EEB">
        <w:rPr>
          <w:rFonts w:ascii="Palatino Linotype" w:eastAsia="Palatino Linotype" w:hAnsi="Palatino Linotype" w:cs="Palatino Linotype"/>
          <w:b/>
          <w:sz w:val="24"/>
        </w:rPr>
        <w:t>Segundo</w:t>
      </w:r>
      <w:r w:rsidRPr="00A93EEB">
        <w:rPr>
          <w:rFonts w:ascii="Palatino Linotype" w:eastAsia="Palatino Linotype" w:hAnsi="Palatino Linotype" w:cs="Palatino Linotype"/>
          <w:sz w:val="24"/>
        </w:rPr>
        <w:t xml:space="preserve">. Se </w:t>
      </w:r>
      <w:r w:rsidRPr="00A93EEB">
        <w:rPr>
          <w:rFonts w:ascii="Palatino Linotype" w:eastAsia="Palatino Linotype" w:hAnsi="Palatino Linotype" w:cs="Palatino Linotype"/>
          <w:b/>
          <w:sz w:val="24"/>
        </w:rPr>
        <w:t>ORDENA</w:t>
      </w:r>
      <w:r w:rsidRPr="00A93EEB">
        <w:rPr>
          <w:rFonts w:ascii="Palatino Linotype" w:eastAsia="Palatino Linotype" w:hAnsi="Palatino Linotype" w:cs="Palatino Linotype"/>
          <w:sz w:val="24"/>
        </w:rPr>
        <w:t xml:space="preserve"> al </w:t>
      </w:r>
      <w:r w:rsidRPr="00A93EEB">
        <w:rPr>
          <w:rFonts w:ascii="Palatino Linotype" w:eastAsia="Palatino Linotype" w:hAnsi="Palatino Linotype" w:cs="Palatino Linotype"/>
          <w:b/>
          <w:sz w:val="24"/>
        </w:rPr>
        <w:t>SUJETO OBLIGADO</w:t>
      </w:r>
      <w:r w:rsidRPr="00A93EEB">
        <w:rPr>
          <w:rFonts w:ascii="Palatino Linotype" w:eastAsia="Palatino Linotype" w:hAnsi="Palatino Linotype" w:cs="Palatino Linotype"/>
          <w:sz w:val="24"/>
        </w:rPr>
        <w:t xml:space="preserve"> a que, en términos del </w:t>
      </w:r>
      <w:r w:rsidRPr="00A93EEB">
        <w:rPr>
          <w:rFonts w:ascii="Palatino Linotype" w:eastAsia="Palatino Linotype" w:hAnsi="Palatino Linotype" w:cs="Palatino Linotype"/>
          <w:b/>
          <w:sz w:val="24"/>
        </w:rPr>
        <w:t>Considerando Cuarto</w:t>
      </w:r>
      <w:r w:rsidRPr="00A93EEB">
        <w:rPr>
          <w:rFonts w:ascii="Palatino Linotype" w:eastAsia="Palatino Linotype" w:hAnsi="Palatino Linotype" w:cs="Palatino Linotype"/>
          <w:sz w:val="24"/>
        </w:rPr>
        <w:t xml:space="preserve">, haga entrega, vía Sistema de Acceso a la Información Mexiquense, de </w:t>
      </w:r>
      <w:r w:rsidR="00314CE1" w:rsidRPr="00A93EEB">
        <w:rPr>
          <w:rFonts w:ascii="Palatino Linotype" w:eastAsia="Palatino Linotype" w:hAnsi="Palatino Linotype" w:cs="Palatino Linotype"/>
          <w:sz w:val="24"/>
        </w:rPr>
        <w:t xml:space="preserve">lo siguiente: </w:t>
      </w:r>
    </w:p>
    <w:p w14:paraId="479AA1AE" w14:textId="77777777" w:rsidR="00314CE1" w:rsidRPr="00A93EEB" w:rsidRDefault="00314CE1" w:rsidP="00314CE1">
      <w:pPr>
        <w:spacing w:after="0" w:line="360" w:lineRule="auto"/>
        <w:ind w:right="49"/>
        <w:jc w:val="both"/>
        <w:rPr>
          <w:rFonts w:ascii="Palatino Linotype" w:eastAsia="Palatino Linotype" w:hAnsi="Palatino Linotype" w:cs="Palatino Linotype"/>
          <w:sz w:val="24"/>
        </w:rPr>
      </w:pPr>
    </w:p>
    <w:p w14:paraId="1138B27C" w14:textId="245576A5" w:rsidR="00314CE1" w:rsidRPr="00A93EEB" w:rsidRDefault="00314CE1" w:rsidP="00314CE1">
      <w:pPr>
        <w:pStyle w:val="Prrafodelista"/>
        <w:numPr>
          <w:ilvl w:val="0"/>
          <w:numId w:val="35"/>
        </w:numPr>
        <w:spacing w:after="0" w:line="360" w:lineRule="auto"/>
        <w:jc w:val="both"/>
        <w:rPr>
          <w:rFonts w:ascii="Palatino Linotype" w:hAnsi="Palatino Linotype" w:cs="Tahoma"/>
          <w:b/>
          <w:bCs/>
          <w:iCs/>
        </w:rPr>
      </w:pPr>
      <w:r w:rsidRPr="00A93EEB">
        <w:rPr>
          <w:rFonts w:ascii="Palatino Linotype" w:hAnsi="Palatino Linotype" w:cs="Tahoma"/>
          <w:b/>
          <w:bCs/>
          <w:iCs/>
        </w:rPr>
        <w:t xml:space="preserve">El Acuerdo emitido por el Comité de Transparencia del Ayuntamiento de Ecatepec, </w:t>
      </w:r>
      <w:r w:rsidR="00FF394E" w:rsidRPr="00A93EEB">
        <w:rPr>
          <w:rFonts w:ascii="Palatino Linotype" w:hAnsi="Palatino Linotype" w:cs="Tahoma"/>
          <w:b/>
          <w:bCs/>
          <w:iCs/>
        </w:rPr>
        <w:t>que confirme</w:t>
      </w:r>
      <w:r w:rsidRPr="00A93EEB">
        <w:rPr>
          <w:rFonts w:ascii="Palatino Linotype" w:hAnsi="Palatino Linotype" w:cs="Tahoma"/>
          <w:b/>
          <w:bCs/>
          <w:iCs/>
        </w:rPr>
        <w:t xml:space="preserve"> la incompetencia para conocer de los planos hidráulicos de la unidad habitacional referida en la solicitud de información.  </w:t>
      </w:r>
    </w:p>
    <w:p w14:paraId="49BF5EE8" w14:textId="77777777" w:rsidR="00251A66" w:rsidRPr="00A93EEB" w:rsidRDefault="00251A66" w:rsidP="00251A66">
      <w:pPr>
        <w:tabs>
          <w:tab w:val="left" w:pos="8400"/>
        </w:tabs>
        <w:spacing w:after="0" w:line="360" w:lineRule="auto"/>
        <w:ind w:right="-28"/>
        <w:jc w:val="both"/>
        <w:rPr>
          <w:rFonts w:ascii="Palatino Linotype" w:eastAsia="Palatino Linotype" w:hAnsi="Palatino Linotype" w:cs="Palatino Linotype"/>
        </w:rPr>
      </w:pPr>
    </w:p>
    <w:p w14:paraId="4DA8B3C9" w14:textId="77777777" w:rsidR="00251A66" w:rsidRPr="00A93EEB" w:rsidRDefault="00251A66" w:rsidP="00251A66">
      <w:pPr>
        <w:spacing w:after="0" w:line="360" w:lineRule="auto"/>
        <w:ind w:right="49"/>
        <w:jc w:val="both"/>
        <w:rPr>
          <w:rFonts w:ascii="Palatino Linotype" w:eastAsia="Palatino Linotype" w:hAnsi="Palatino Linotype" w:cs="Palatino Linotype"/>
          <w:sz w:val="24"/>
        </w:rPr>
      </w:pPr>
      <w:r w:rsidRPr="00A93EEB">
        <w:rPr>
          <w:rFonts w:ascii="Palatino Linotype" w:eastAsia="Palatino Linotype" w:hAnsi="Palatino Linotype" w:cs="Palatino Linotype"/>
          <w:b/>
          <w:sz w:val="24"/>
        </w:rPr>
        <w:t>Tercero.</w:t>
      </w:r>
      <w:r w:rsidRPr="00A93EEB">
        <w:rPr>
          <w:rFonts w:ascii="Palatino Linotype" w:eastAsia="Palatino Linotype" w:hAnsi="Palatino Linotype" w:cs="Palatino Linotype"/>
          <w:sz w:val="24"/>
        </w:rPr>
        <w:t xml:space="preserve"> </w:t>
      </w:r>
      <w:r w:rsidRPr="00A93EEB">
        <w:rPr>
          <w:rFonts w:ascii="Palatino Linotype" w:eastAsia="Palatino Linotype" w:hAnsi="Palatino Linotype" w:cs="Palatino Linotype"/>
          <w:b/>
          <w:sz w:val="24"/>
        </w:rPr>
        <w:t>Notifíquese vía SAIMEX</w:t>
      </w:r>
      <w:r w:rsidRPr="00A93EEB">
        <w:rPr>
          <w:rFonts w:ascii="Palatino Linotype" w:eastAsia="Palatino Linotype" w:hAnsi="Palatino Linotype" w:cs="Palatino Linotype"/>
          <w:sz w:val="24"/>
        </w:rPr>
        <w:t xml:space="preserve">, al </w:t>
      </w:r>
      <w:r w:rsidRPr="00A93EEB">
        <w:rPr>
          <w:rFonts w:ascii="Palatino Linotype" w:eastAsia="Palatino Linotype" w:hAnsi="Palatino Linotype" w:cs="Palatino Linotype"/>
          <w:b/>
          <w:sz w:val="24"/>
        </w:rPr>
        <w:t>Responsable de la Unidad de Transparencia</w:t>
      </w:r>
      <w:r w:rsidRPr="00A93EEB">
        <w:rPr>
          <w:rFonts w:ascii="Palatino Linotype" w:eastAsia="Palatino Linotype" w:hAnsi="Palatino Linotype" w:cs="Palatino Linotype"/>
          <w:sz w:val="24"/>
        </w:rPr>
        <w:t xml:space="preserve"> </w:t>
      </w:r>
      <w:r w:rsidRPr="00A93EEB">
        <w:rPr>
          <w:rFonts w:ascii="Palatino Linotype" w:eastAsia="Palatino Linotype" w:hAnsi="Palatino Linotype" w:cs="Palatino Linotype"/>
          <w:b/>
          <w:sz w:val="24"/>
        </w:rPr>
        <w:t>del Sujeto Obligado</w:t>
      </w:r>
      <w:r w:rsidRPr="00A93EEB">
        <w:rPr>
          <w:rFonts w:ascii="Palatino Linotype" w:eastAsia="Palatino Linotype" w:hAnsi="Palatino Linotype" w:cs="Palatino Linotype"/>
          <w:sz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5C060720" w14:textId="77777777" w:rsidR="00251A66" w:rsidRPr="00A93EEB" w:rsidRDefault="00251A66" w:rsidP="00251A66">
      <w:pPr>
        <w:spacing w:after="0" w:line="360" w:lineRule="auto"/>
        <w:ind w:right="49"/>
        <w:jc w:val="both"/>
        <w:rPr>
          <w:rFonts w:ascii="Palatino Linotype" w:eastAsia="Palatino Linotype" w:hAnsi="Palatino Linotype" w:cs="Palatino Linotype"/>
        </w:rPr>
      </w:pPr>
    </w:p>
    <w:p w14:paraId="6E4C400C" w14:textId="174D3602" w:rsidR="00251A66" w:rsidRPr="00A93EEB" w:rsidRDefault="00251A66" w:rsidP="00251A66">
      <w:pPr>
        <w:spacing w:after="0" w:line="360" w:lineRule="auto"/>
        <w:ind w:right="49"/>
        <w:jc w:val="both"/>
        <w:rPr>
          <w:rFonts w:ascii="Palatino Linotype" w:eastAsia="Palatino Linotype" w:hAnsi="Palatino Linotype" w:cs="Palatino Linotype"/>
          <w:sz w:val="24"/>
        </w:rPr>
      </w:pPr>
      <w:r w:rsidRPr="00A93EEB">
        <w:rPr>
          <w:rFonts w:ascii="Palatino Linotype" w:eastAsia="Palatino Linotype" w:hAnsi="Palatino Linotype" w:cs="Palatino Linotype"/>
          <w:b/>
          <w:sz w:val="24"/>
        </w:rPr>
        <w:t>Cuarto.</w:t>
      </w:r>
      <w:r w:rsidRPr="00A93EEB">
        <w:rPr>
          <w:rFonts w:ascii="Palatino Linotype" w:eastAsia="Palatino Linotype" w:hAnsi="Palatino Linotype" w:cs="Palatino Linotype"/>
          <w:sz w:val="24"/>
        </w:rPr>
        <w:t xml:space="preserve"> </w:t>
      </w:r>
      <w:r w:rsidRPr="00A93EEB">
        <w:rPr>
          <w:rFonts w:ascii="Palatino Linotype" w:eastAsia="Palatino Linotype" w:hAnsi="Palatino Linotype" w:cs="Palatino Linotype"/>
          <w:b/>
          <w:sz w:val="24"/>
        </w:rPr>
        <w:t>Notifíquese vía SAIMEX</w:t>
      </w:r>
      <w:r w:rsidRPr="00A93EEB">
        <w:rPr>
          <w:rFonts w:ascii="Palatino Linotype" w:eastAsia="Palatino Linotype" w:hAnsi="Palatino Linotype" w:cs="Palatino Linotype"/>
          <w:sz w:val="24"/>
        </w:rPr>
        <w:t xml:space="preserve"> a la parte </w:t>
      </w:r>
      <w:r w:rsidRPr="00A93EEB">
        <w:rPr>
          <w:rFonts w:ascii="Palatino Linotype" w:eastAsia="Palatino Linotype" w:hAnsi="Palatino Linotype" w:cs="Palatino Linotype"/>
          <w:b/>
          <w:sz w:val="24"/>
        </w:rPr>
        <w:t xml:space="preserve">RECURRENTE </w:t>
      </w:r>
      <w:r w:rsidRPr="00A93EEB">
        <w:rPr>
          <w:rFonts w:ascii="Palatino Linotype" w:eastAsia="Palatino Linotype" w:hAnsi="Palatino Linotype" w:cs="Palatino Linotype"/>
          <w:sz w:val="24"/>
        </w:rPr>
        <w:t xml:space="preserve">la presente resolución, así como, que de conformidad con lo establecido en el artículo 196 de la Ley de </w:t>
      </w:r>
      <w:r w:rsidRPr="00A93EEB">
        <w:rPr>
          <w:rFonts w:ascii="Palatino Linotype" w:eastAsia="Palatino Linotype" w:hAnsi="Palatino Linotype" w:cs="Palatino Linotype"/>
          <w:sz w:val="24"/>
        </w:rPr>
        <w:lastRenderedPageBreak/>
        <w:t>Transparencia y Acceso a la Información Pública del Estado de México y Municipios, podrá impugnar la presente resolución vía Juicio de Amparo en los té</w:t>
      </w:r>
      <w:r w:rsidR="00FC4C21" w:rsidRPr="00A93EEB">
        <w:rPr>
          <w:rFonts w:ascii="Palatino Linotype" w:eastAsia="Palatino Linotype" w:hAnsi="Palatino Linotype" w:cs="Palatino Linotype"/>
          <w:sz w:val="24"/>
        </w:rPr>
        <w:t xml:space="preserve">rminos de las leyes aplicables. </w:t>
      </w:r>
    </w:p>
    <w:p w14:paraId="7E41FC00" w14:textId="77777777" w:rsidR="00251A66" w:rsidRPr="00A93EEB" w:rsidRDefault="00251A66" w:rsidP="00251A66">
      <w:pPr>
        <w:spacing w:after="0" w:line="360" w:lineRule="auto"/>
        <w:ind w:right="49"/>
        <w:jc w:val="both"/>
        <w:rPr>
          <w:rFonts w:ascii="Palatino Linotype" w:eastAsia="Palatino Linotype" w:hAnsi="Palatino Linotype" w:cs="Palatino Linotype"/>
        </w:rPr>
      </w:pPr>
    </w:p>
    <w:p w14:paraId="446D7EB7" w14:textId="77777777" w:rsidR="00251A66" w:rsidRPr="00A93EEB" w:rsidRDefault="00251A66" w:rsidP="00251A66">
      <w:pPr>
        <w:spacing w:after="0" w:line="360" w:lineRule="auto"/>
        <w:ind w:right="49"/>
        <w:jc w:val="both"/>
        <w:rPr>
          <w:rFonts w:ascii="Palatino Linotype" w:eastAsia="Palatino Linotype" w:hAnsi="Palatino Linotype" w:cs="Palatino Linotype"/>
          <w:sz w:val="24"/>
        </w:rPr>
      </w:pPr>
      <w:r w:rsidRPr="00A93EEB">
        <w:rPr>
          <w:rFonts w:ascii="Palatino Linotype" w:eastAsia="Palatino Linotype" w:hAnsi="Palatino Linotype" w:cs="Palatino Linotype"/>
          <w:b/>
          <w:sz w:val="24"/>
        </w:rPr>
        <w:t>Quinto.</w:t>
      </w:r>
      <w:r w:rsidRPr="00A93EEB">
        <w:rPr>
          <w:rFonts w:ascii="Palatino Linotype" w:eastAsia="Palatino Linotype" w:hAnsi="Palatino Linotype" w:cs="Palatino Linotype"/>
          <w:sz w:val="24"/>
        </w:rPr>
        <w:t xml:space="preserve"> De conformidad con el artículo 198 de la Ley de Transparencia y Acceso a la Información Pública del Estado de México y Municipios, de considerarlo procedente, el </w:t>
      </w:r>
      <w:r w:rsidRPr="00A93EEB">
        <w:rPr>
          <w:rFonts w:ascii="Palatino Linotype" w:eastAsia="Palatino Linotype" w:hAnsi="Palatino Linotype" w:cs="Palatino Linotype"/>
          <w:b/>
          <w:sz w:val="24"/>
        </w:rPr>
        <w:t>SUJETO OBLIGADO</w:t>
      </w:r>
      <w:r w:rsidRPr="00A93EEB">
        <w:rPr>
          <w:rFonts w:ascii="Palatino Linotype" w:eastAsia="Palatino Linotype" w:hAnsi="Palatino Linotype" w:cs="Palatino Linotype"/>
          <w:sz w:val="24"/>
        </w:rPr>
        <w:t xml:space="preserve"> de manera fundada y motivada, podrá solicitar una ampliación de plazo para el cumplimiento de la presente resolución.</w:t>
      </w:r>
    </w:p>
    <w:p w14:paraId="37A30FEB" w14:textId="77777777" w:rsidR="00251A66" w:rsidRPr="00A93EEB" w:rsidRDefault="00251A66" w:rsidP="00251A66">
      <w:pPr>
        <w:spacing w:after="0" w:line="360" w:lineRule="auto"/>
        <w:ind w:right="49"/>
        <w:jc w:val="both"/>
        <w:rPr>
          <w:rFonts w:ascii="Palatino Linotype" w:eastAsia="Palatino Linotype" w:hAnsi="Palatino Linotype" w:cs="Palatino Linotype"/>
        </w:rPr>
      </w:pPr>
    </w:p>
    <w:p w14:paraId="05A67142" w14:textId="79BD83DE" w:rsidR="00251A66" w:rsidRPr="00A93EEB" w:rsidRDefault="00251A66" w:rsidP="00251A66">
      <w:pPr>
        <w:spacing w:after="0" w:line="360" w:lineRule="auto"/>
        <w:ind w:right="-93"/>
        <w:jc w:val="both"/>
        <w:rPr>
          <w:rFonts w:ascii="Palatino Linotype" w:eastAsia="Palatino Linotype" w:hAnsi="Palatino Linotype" w:cs="Palatino Linotype"/>
          <w:sz w:val="24"/>
        </w:rPr>
      </w:pPr>
      <w:r w:rsidRPr="00A93EEB">
        <w:rPr>
          <w:rFonts w:ascii="Palatino Linotype" w:eastAsia="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F394E" w:rsidRPr="00A93EEB">
        <w:rPr>
          <w:rFonts w:ascii="Palatino Linotype" w:eastAsia="Palatino Linotype" w:hAnsi="Palatino Linotype" w:cs="Palatino Linotype"/>
          <w:sz w:val="24"/>
        </w:rPr>
        <w:t xml:space="preserve">SÉPTIMA </w:t>
      </w:r>
      <w:r w:rsidRPr="00A93EEB">
        <w:rPr>
          <w:rFonts w:ascii="Palatino Linotype" w:eastAsia="Palatino Linotype" w:hAnsi="Palatino Linotype" w:cs="Palatino Linotype"/>
          <w:sz w:val="24"/>
        </w:rPr>
        <w:t xml:space="preserve">SESIÓN ORDINARIA CELEBRADA EL </w:t>
      </w:r>
      <w:r w:rsidR="00FF394E" w:rsidRPr="00A93EEB">
        <w:rPr>
          <w:rFonts w:ascii="Palatino Linotype" w:eastAsia="Palatino Linotype" w:hAnsi="Palatino Linotype" w:cs="Palatino Linotype"/>
          <w:sz w:val="24"/>
        </w:rPr>
        <w:t>VEINTIDÓS DE FEBRERO</w:t>
      </w:r>
      <w:r w:rsidRPr="00A93EEB">
        <w:rPr>
          <w:rFonts w:ascii="Palatino Linotype" w:eastAsia="Palatino Linotype" w:hAnsi="Palatino Linotype" w:cs="Palatino Linotype"/>
          <w:sz w:val="24"/>
        </w:rPr>
        <w:t xml:space="preserve"> DE DOS MIL VEINTINTRÉS, ANTE EL SECRETARIO TÉCNICO DEL PLENO ALEXIS TAPIA RAMÍREZ.</w:t>
      </w:r>
    </w:p>
    <w:p w14:paraId="1D360E2C" w14:textId="77777777" w:rsidR="003F0671" w:rsidRPr="00A93EEB" w:rsidRDefault="003F0671" w:rsidP="00251A66">
      <w:pPr>
        <w:spacing w:after="0" w:line="360" w:lineRule="auto"/>
        <w:ind w:right="49"/>
        <w:jc w:val="both"/>
        <w:rPr>
          <w:rFonts w:ascii="Palatino Linotype" w:eastAsia="Palatino Linotype" w:hAnsi="Palatino Linotype" w:cs="Palatino Linotype"/>
          <w:sz w:val="24"/>
          <w:szCs w:val="24"/>
        </w:rPr>
      </w:pPr>
    </w:p>
    <w:p w14:paraId="3DCA6150" w14:textId="77777777" w:rsidR="0052419D" w:rsidRPr="00A93EEB" w:rsidRDefault="0052419D" w:rsidP="00251A66">
      <w:pPr>
        <w:spacing w:after="0" w:line="360" w:lineRule="auto"/>
        <w:ind w:right="49"/>
        <w:jc w:val="both"/>
        <w:rPr>
          <w:rFonts w:ascii="Palatino Linotype" w:eastAsia="Palatino Linotype" w:hAnsi="Palatino Linotype" w:cs="Palatino Linotype"/>
          <w:sz w:val="24"/>
          <w:szCs w:val="24"/>
        </w:rPr>
      </w:pPr>
    </w:p>
    <w:p w14:paraId="1803FDCD" w14:textId="77777777" w:rsidR="0052419D" w:rsidRPr="00A93EEB" w:rsidRDefault="0052419D" w:rsidP="00251A66">
      <w:pPr>
        <w:spacing w:after="0" w:line="360" w:lineRule="auto"/>
        <w:ind w:right="49"/>
        <w:jc w:val="both"/>
        <w:rPr>
          <w:rFonts w:ascii="Palatino Linotype" w:eastAsia="Palatino Linotype" w:hAnsi="Palatino Linotype" w:cs="Palatino Linotype"/>
          <w:sz w:val="24"/>
          <w:szCs w:val="24"/>
        </w:rPr>
      </w:pPr>
    </w:p>
    <w:p w14:paraId="6C2C5CBD" w14:textId="77777777" w:rsidR="0052419D" w:rsidRPr="00A93EEB" w:rsidRDefault="0052419D" w:rsidP="00251A66">
      <w:pPr>
        <w:spacing w:after="0" w:line="360" w:lineRule="auto"/>
        <w:ind w:right="49"/>
        <w:jc w:val="both"/>
        <w:rPr>
          <w:rFonts w:ascii="Palatino Linotype" w:eastAsia="Palatino Linotype" w:hAnsi="Palatino Linotype" w:cs="Palatino Linotype"/>
          <w:sz w:val="24"/>
          <w:szCs w:val="24"/>
        </w:rPr>
      </w:pPr>
    </w:p>
    <w:p w14:paraId="7CEEB27F" w14:textId="77777777" w:rsidR="0052419D" w:rsidRPr="00A93EEB" w:rsidRDefault="0052419D" w:rsidP="00251A66">
      <w:pPr>
        <w:spacing w:after="0" w:line="360" w:lineRule="auto"/>
        <w:ind w:right="49"/>
        <w:jc w:val="both"/>
        <w:rPr>
          <w:rFonts w:ascii="Palatino Linotype" w:eastAsia="Palatino Linotype" w:hAnsi="Palatino Linotype" w:cs="Palatino Linotype"/>
          <w:sz w:val="24"/>
          <w:szCs w:val="24"/>
        </w:rPr>
      </w:pPr>
    </w:p>
    <w:p w14:paraId="6C42AB71" w14:textId="77777777" w:rsidR="0052419D" w:rsidRPr="00A93EEB" w:rsidRDefault="0052419D" w:rsidP="00251A66">
      <w:pPr>
        <w:spacing w:after="0" w:line="360" w:lineRule="auto"/>
        <w:ind w:right="49"/>
        <w:jc w:val="both"/>
        <w:rPr>
          <w:rFonts w:ascii="Palatino Linotype" w:eastAsia="Palatino Linotype" w:hAnsi="Palatino Linotype" w:cs="Palatino Linotype"/>
          <w:sz w:val="24"/>
          <w:szCs w:val="24"/>
        </w:rPr>
      </w:pPr>
    </w:p>
    <w:p w14:paraId="54B81140" w14:textId="77777777" w:rsidR="0052419D" w:rsidRPr="00A93EEB" w:rsidRDefault="0052419D" w:rsidP="00251A66">
      <w:pPr>
        <w:spacing w:after="0" w:line="360" w:lineRule="auto"/>
        <w:ind w:right="49"/>
        <w:jc w:val="both"/>
        <w:rPr>
          <w:rFonts w:ascii="Palatino Linotype" w:eastAsia="Palatino Linotype" w:hAnsi="Palatino Linotype" w:cs="Palatino Linotype"/>
          <w:sz w:val="24"/>
          <w:szCs w:val="24"/>
        </w:rPr>
      </w:pPr>
    </w:p>
    <w:p w14:paraId="347AA030" w14:textId="77777777" w:rsidR="0052419D" w:rsidRPr="00A93EEB" w:rsidRDefault="0052419D" w:rsidP="00251A66">
      <w:pPr>
        <w:spacing w:after="0" w:line="360" w:lineRule="auto"/>
        <w:ind w:right="49"/>
        <w:jc w:val="both"/>
        <w:rPr>
          <w:rFonts w:ascii="Palatino Linotype" w:eastAsia="Palatino Linotype" w:hAnsi="Palatino Linotype" w:cs="Palatino Linotype"/>
          <w:sz w:val="24"/>
          <w:szCs w:val="24"/>
        </w:rPr>
      </w:pPr>
    </w:p>
    <w:p w14:paraId="5F602668" w14:textId="77777777" w:rsidR="0052419D" w:rsidRPr="00A93EEB" w:rsidRDefault="0052419D" w:rsidP="00251A66">
      <w:pPr>
        <w:spacing w:after="0" w:line="360" w:lineRule="auto"/>
        <w:ind w:right="49"/>
        <w:jc w:val="both"/>
        <w:rPr>
          <w:rFonts w:ascii="Palatino Linotype" w:eastAsia="Palatino Linotype" w:hAnsi="Palatino Linotype" w:cs="Palatino Linotype"/>
          <w:sz w:val="24"/>
          <w:szCs w:val="24"/>
        </w:rPr>
      </w:pPr>
    </w:p>
    <w:p w14:paraId="06AE3CE0" w14:textId="77777777" w:rsidR="0052419D" w:rsidRPr="00A93EEB" w:rsidRDefault="0052419D" w:rsidP="00251A66">
      <w:pPr>
        <w:spacing w:after="0" w:line="360" w:lineRule="auto"/>
        <w:ind w:right="49"/>
        <w:jc w:val="both"/>
        <w:rPr>
          <w:rFonts w:ascii="Palatino Linotype" w:eastAsia="Palatino Linotype" w:hAnsi="Palatino Linotype" w:cs="Palatino Linotype"/>
          <w:sz w:val="24"/>
          <w:szCs w:val="24"/>
        </w:rPr>
      </w:pPr>
    </w:p>
    <w:sectPr w:rsidR="0052419D" w:rsidRPr="00A93EEB">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DB220" w14:textId="77777777" w:rsidR="00560B8C" w:rsidRDefault="00560B8C">
      <w:pPr>
        <w:spacing w:after="0" w:line="240" w:lineRule="auto"/>
      </w:pPr>
      <w:r>
        <w:separator/>
      </w:r>
    </w:p>
  </w:endnote>
  <w:endnote w:type="continuationSeparator" w:id="0">
    <w:p w14:paraId="2ECE115E" w14:textId="77777777" w:rsidR="00560B8C" w:rsidRDefault="0056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7BF47" w14:textId="4761D76E" w:rsidR="0064602D" w:rsidRDefault="0064602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54EEC">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54EEC">
      <w:rPr>
        <w:b/>
        <w:noProof/>
        <w:color w:val="000000"/>
        <w:sz w:val="24"/>
        <w:szCs w:val="24"/>
      </w:rPr>
      <w:t>31</w:t>
    </w:r>
    <w:r>
      <w:rPr>
        <w:b/>
        <w:color w:val="000000"/>
        <w:sz w:val="24"/>
        <w:szCs w:val="24"/>
      </w:rPr>
      <w:fldChar w:fldCharType="end"/>
    </w:r>
  </w:p>
  <w:p w14:paraId="5DA1C50F" w14:textId="77777777" w:rsidR="0064602D" w:rsidRDefault="0064602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0B302" w14:textId="1D16A28F" w:rsidR="0064602D" w:rsidRDefault="0064602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54EE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54EEC">
      <w:rPr>
        <w:b/>
        <w:noProof/>
        <w:color w:val="000000"/>
        <w:sz w:val="24"/>
        <w:szCs w:val="24"/>
      </w:rPr>
      <w:t>31</w:t>
    </w:r>
    <w:r>
      <w:rPr>
        <w:b/>
        <w:color w:val="000000"/>
        <w:sz w:val="24"/>
        <w:szCs w:val="24"/>
      </w:rPr>
      <w:fldChar w:fldCharType="end"/>
    </w:r>
  </w:p>
  <w:p w14:paraId="4FB03E59" w14:textId="77777777" w:rsidR="0064602D" w:rsidRDefault="0064602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7A52B" w14:textId="77777777" w:rsidR="00560B8C" w:rsidRDefault="00560B8C">
      <w:pPr>
        <w:spacing w:after="0" w:line="240" w:lineRule="auto"/>
      </w:pPr>
      <w:r>
        <w:separator/>
      </w:r>
    </w:p>
  </w:footnote>
  <w:footnote w:type="continuationSeparator" w:id="0">
    <w:p w14:paraId="1DAABA53" w14:textId="77777777" w:rsidR="00560B8C" w:rsidRDefault="00560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77FB8" w14:textId="77777777" w:rsidR="0064602D" w:rsidRDefault="0064602D">
    <w:pPr>
      <w:widowControl w:val="0"/>
      <w:pBdr>
        <w:top w:val="nil"/>
        <w:left w:val="nil"/>
        <w:bottom w:val="nil"/>
        <w:right w:val="nil"/>
        <w:between w:val="nil"/>
      </w:pBdr>
      <w:spacing w:after="0" w:line="276" w:lineRule="auto"/>
      <w:rPr>
        <w:color w:val="000000"/>
      </w:rPr>
    </w:pPr>
  </w:p>
  <w:tbl>
    <w:tblPr>
      <w:tblStyle w:val="a1"/>
      <w:tblW w:w="5603" w:type="dxa"/>
      <w:tblInd w:w="3611" w:type="dxa"/>
      <w:tblLayout w:type="fixed"/>
      <w:tblLook w:val="0400" w:firstRow="0" w:lastRow="0" w:firstColumn="0" w:lastColumn="0" w:noHBand="0" w:noVBand="1"/>
    </w:tblPr>
    <w:tblGrid>
      <w:gridCol w:w="2551"/>
      <w:gridCol w:w="3052"/>
    </w:tblGrid>
    <w:tr w:rsidR="0064602D" w14:paraId="59C268BE" w14:textId="77777777">
      <w:tc>
        <w:tcPr>
          <w:tcW w:w="2551" w:type="dxa"/>
          <w:vAlign w:val="center"/>
        </w:tcPr>
        <w:p w14:paraId="021B8725"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51C4CFC" w14:textId="35C9E561"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16849/INFOEM/IP/RR/2022</w:t>
          </w:r>
        </w:p>
      </w:tc>
    </w:tr>
    <w:tr w:rsidR="0064602D" w14:paraId="0473DCFB" w14:textId="77777777">
      <w:trPr>
        <w:trHeight w:val="228"/>
      </w:trPr>
      <w:tc>
        <w:tcPr>
          <w:tcW w:w="2551" w:type="dxa"/>
          <w:vAlign w:val="center"/>
        </w:tcPr>
        <w:p w14:paraId="0652FCA0"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4D695CD" w14:textId="74A4CCF7" w:rsidR="00FF394E" w:rsidRDefault="00FF39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73DAF1E" w14:textId="47579745" w:rsidR="0064602D" w:rsidRDefault="0064602D" w:rsidP="00A364F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Ecatepec</w:t>
          </w:r>
          <w:r w:rsidR="00FF394E">
            <w:rPr>
              <w:rFonts w:ascii="Palatino Linotype" w:eastAsia="Palatino Linotype" w:hAnsi="Palatino Linotype" w:cs="Palatino Linotype"/>
              <w:b/>
              <w:color w:val="000000"/>
            </w:rPr>
            <w:t xml:space="preserve"> de Morelos</w:t>
          </w:r>
        </w:p>
      </w:tc>
    </w:tr>
    <w:tr w:rsidR="0064602D" w14:paraId="1BA9C659" w14:textId="77777777">
      <w:tc>
        <w:tcPr>
          <w:tcW w:w="2551" w:type="dxa"/>
          <w:vAlign w:val="center"/>
        </w:tcPr>
        <w:p w14:paraId="6BF13CCF"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B6B0CF"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2B134E" w14:textId="77777777" w:rsidR="0064602D" w:rsidRDefault="0064602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58094DA" wp14:editId="70DB4BBB">
          <wp:simplePos x="0" y="0"/>
          <wp:positionH relativeFrom="column">
            <wp:posOffset>-403859</wp:posOffset>
          </wp:positionH>
          <wp:positionV relativeFrom="paragraph">
            <wp:posOffset>-1257934</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B4E4F" w14:textId="77777777" w:rsidR="0064602D" w:rsidRDefault="0064602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0"/>
      <w:tblW w:w="5603" w:type="dxa"/>
      <w:tblInd w:w="3611" w:type="dxa"/>
      <w:tblLayout w:type="fixed"/>
      <w:tblLook w:val="0400" w:firstRow="0" w:lastRow="0" w:firstColumn="0" w:lastColumn="0" w:noHBand="0" w:noVBand="1"/>
    </w:tblPr>
    <w:tblGrid>
      <w:gridCol w:w="2551"/>
      <w:gridCol w:w="3052"/>
    </w:tblGrid>
    <w:tr w:rsidR="0064602D" w14:paraId="2A4BB56A" w14:textId="77777777">
      <w:tc>
        <w:tcPr>
          <w:tcW w:w="2551" w:type="dxa"/>
          <w:vAlign w:val="center"/>
        </w:tcPr>
        <w:p w14:paraId="21A7E426"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0E8492A" w14:textId="5B77F851"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16849/INFOEM/IP/RR/2022</w:t>
          </w:r>
        </w:p>
      </w:tc>
    </w:tr>
    <w:tr w:rsidR="0064602D" w14:paraId="172964B5" w14:textId="77777777">
      <w:tc>
        <w:tcPr>
          <w:tcW w:w="2551" w:type="dxa"/>
          <w:vAlign w:val="center"/>
        </w:tcPr>
        <w:p w14:paraId="357B5F3A"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90104FE" w14:textId="35E40278" w:rsidR="0064602D" w:rsidRDefault="00154EEC" w:rsidP="00154EE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 XXXXXXX XXXXXX</w:t>
          </w:r>
          <w:r w:rsidR="0064602D">
            <w:rPr>
              <w:rFonts w:ascii="Palatino Linotype" w:eastAsia="Palatino Linotype" w:hAnsi="Palatino Linotype" w:cs="Palatino Linotype"/>
              <w:b/>
              <w:color w:val="000000"/>
            </w:rPr>
            <w:t xml:space="preserve"> </w:t>
          </w:r>
        </w:p>
      </w:tc>
    </w:tr>
    <w:tr w:rsidR="0064602D" w14:paraId="7F61D7D7" w14:textId="77777777">
      <w:trPr>
        <w:trHeight w:val="228"/>
      </w:trPr>
      <w:tc>
        <w:tcPr>
          <w:tcW w:w="2551" w:type="dxa"/>
          <w:vAlign w:val="center"/>
        </w:tcPr>
        <w:p w14:paraId="2A0944D4"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0A24106"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BA54C03" w14:textId="16D20D32" w:rsidR="0064602D" w:rsidRDefault="0064602D" w:rsidP="00A364F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Ecatepec</w:t>
          </w:r>
          <w:r w:rsidR="00FF394E">
            <w:rPr>
              <w:rFonts w:ascii="Palatino Linotype" w:eastAsia="Palatino Linotype" w:hAnsi="Palatino Linotype" w:cs="Palatino Linotype"/>
              <w:b/>
              <w:color w:val="000000"/>
            </w:rPr>
            <w:t xml:space="preserve"> de Morelos</w:t>
          </w:r>
        </w:p>
      </w:tc>
    </w:tr>
    <w:tr w:rsidR="0064602D" w14:paraId="054909C3" w14:textId="77777777">
      <w:tc>
        <w:tcPr>
          <w:tcW w:w="2551" w:type="dxa"/>
          <w:vAlign w:val="center"/>
        </w:tcPr>
        <w:p w14:paraId="67A2619E"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87D6D1"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E083EA7" w14:textId="77777777" w:rsidR="0064602D" w:rsidRDefault="0064602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r>
      <w:rPr>
        <w:noProof/>
      </w:rPr>
      <w:drawing>
        <wp:anchor distT="0" distB="0" distL="0" distR="0" simplePos="0" relativeHeight="251659264" behindDoc="1" locked="0" layoutInCell="1" hidden="0" allowOverlap="1" wp14:anchorId="27F52B4A" wp14:editId="038A6E28">
          <wp:simplePos x="0" y="0"/>
          <wp:positionH relativeFrom="column">
            <wp:posOffset>-761999</wp:posOffset>
          </wp:positionH>
          <wp:positionV relativeFrom="paragraph">
            <wp:posOffset>-1200784</wp:posOffset>
          </wp:positionV>
          <wp:extent cx="7809876" cy="10165823"/>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6FA5"/>
    <w:multiLevelType w:val="hybridMultilevel"/>
    <w:tmpl w:val="21AA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nsid w:val="0E005014"/>
    <w:multiLevelType w:val="multilevel"/>
    <w:tmpl w:val="AD7846D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E520458"/>
    <w:multiLevelType w:val="multilevel"/>
    <w:tmpl w:val="BA54AE0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ED70AD1"/>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91594D"/>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9752F2"/>
    <w:multiLevelType w:val="hybridMultilevel"/>
    <w:tmpl w:val="8DC44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0934C38"/>
    <w:multiLevelType w:val="hybridMultilevel"/>
    <w:tmpl w:val="0A68B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291E17"/>
    <w:multiLevelType w:val="hybridMultilevel"/>
    <w:tmpl w:val="A7B8DE16"/>
    <w:lvl w:ilvl="0" w:tplc="3A3ED82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CB55A1"/>
    <w:multiLevelType w:val="hybridMultilevel"/>
    <w:tmpl w:val="B64E8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CE5AC3"/>
    <w:multiLevelType w:val="hybridMultilevel"/>
    <w:tmpl w:val="8E001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0733B7"/>
    <w:multiLevelType w:val="hybridMultilevel"/>
    <w:tmpl w:val="4392A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320EFE"/>
    <w:multiLevelType w:val="multilevel"/>
    <w:tmpl w:val="93F475E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D50311"/>
    <w:multiLevelType w:val="hybridMultilevel"/>
    <w:tmpl w:val="A9E41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DA3A04"/>
    <w:multiLevelType w:val="hybridMultilevel"/>
    <w:tmpl w:val="BDE6A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FE21F9"/>
    <w:multiLevelType w:val="hybridMultilevel"/>
    <w:tmpl w:val="13EEDE3A"/>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7">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D4F4872"/>
    <w:multiLevelType w:val="hybridMultilevel"/>
    <w:tmpl w:val="85940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020CFD"/>
    <w:multiLevelType w:val="hybridMultilevel"/>
    <w:tmpl w:val="1DE42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2A7408D"/>
    <w:multiLevelType w:val="hybridMultilevel"/>
    <w:tmpl w:val="1CF40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68F1F92"/>
    <w:multiLevelType w:val="multilevel"/>
    <w:tmpl w:val="AE824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AA559AF"/>
    <w:multiLevelType w:val="hybridMultilevel"/>
    <w:tmpl w:val="B054F2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B03AEE"/>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51CD7615"/>
    <w:multiLevelType w:val="hybridMultilevel"/>
    <w:tmpl w:val="BE54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34F5758"/>
    <w:multiLevelType w:val="hybridMultilevel"/>
    <w:tmpl w:val="06D8E4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549B0FB7"/>
    <w:multiLevelType w:val="hybridMultilevel"/>
    <w:tmpl w:val="43627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1BD6C1E"/>
    <w:multiLevelType w:val="hybridMultilevel"/>
    <w:tmpl w:val="0E563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5855CF6"/>
    <w:multiLevelType w:val="hybridMultilevel"/>
    <w:tmpl w:val="4344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6B04175"/>
    <w:multiLevelType w:val="hybridMultilevel"/>
    <w:tmpl w:val="AE94E4CA"/>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69150578"/>
    <w:multiLevelType w:val="hybridMultilevel"/>
    <w:tmpl w:val="0F3A677E"/>
    <w:lvl w:ilvl="0" w:tplc="262A9D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7B1C2F"/>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FEB4787"/>
    <w:multiLevelType w:val="hybridMultilevel"/>
    <w:tmpl w:val="69125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4FA5BBF"/>
    <w:multiLevelType w:val="multilevel"/>
    <w:tmpl w:val="E4264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CE6479D"/>
    <w:multiLevelType w:val="hybridMultilevel"/>
    <w:tmpl w:val="2E9C839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5">
    <w:nsid w:val="7F5115E9"/>
    <w:multiLevelType w:val="hybridMultilevel"/>
    <w:tmpl w:val="9C42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3"/>
  </w:num>
  <w:num w:numId="3">
    <w:abstractNumId w:val="3"/>
  </w:num>
  <w:num w:numId="4">
    <w:abstractNumId w:val="6"/>
  </w:num>
  <w:num w:numId="5">
    <w:abstractNumId w:val="13"/>
  </w:num>
  <w:num w:numId="6">
    <w:abstractNumId w:val="7"/>
  </w:num>
  <w:num w:numId="7">
    <w:abstractNumId w:val="28"/>
  </w:num>
  <w:num w:numId="8">
    <w:abstractNumId w:val="5"/>
  </w:num>
  <w:num w:numId="9">
    <w:abstractNumId w:val="30"/>
  </w:num>
  <w:num w:numId="10">
    <w:abstractNumId w:val="34"/>
  </w:num>
  <w:num w:numId="11">
    <w:abstractNumId w:val="12"/>
  </w:num>
  <w:num w:numId="12">
    <w:abstractNumId w:val="14"/>
  </w:num>
  <w:num w:numId="13">
    <w:abstractNumId w:val="18"/>
  </w:num>
  <w:num w:numId="14">
    <w:abstractNumId w:val="23"/>
  </w:num>
  <w:num w:numId="15">
    <w:abstractNumId w:val="17"/>
  </w:num>
  <w:num w:numId="16">
    <w:abstractNumId w:val="1"/>
  </w:num>
  <w:num w:numId="17">
    <w:abstractNumId w:val="31"/>
  </w:num>
  <w:num w:numId="18">
    <w:abstractNumId w:val="4"/>
  </w:num>
  <w:num w:numId="19">
    <w:abstractNumId w:val="27"/>
  </w:num>
  <w:num w:numId="20">
    <w:abstractNumId w:val="0"/>
  </w:num>
  <w:num w:numId="21">
    <w:abstractNumId w:val="24"/>
  </w:num>
  <w:num w:numId="22">
    <w:abstractNumId w:val="32"/>
  </w:num>
  <w:num w:numId="23">
    <w:abstractNumId w:val="22"/>
  </w:num>
  <w:num w:numId="24">
    <w:abstractNumId w:val="11"/>
  </w:num>
  <w:num w:numId="25">
    <w:abstractNumId w:val="20"/>
  </w:num>
  <w:num w:numId="26">
    <w:abstractNumId w:val="15"/>
  </w:num>
  <w:num w:numId="27">
    <w:abstractNumId w:val="26"/>
  </w:num>
  <w:num w:numId="28">
    <w:abstractNumId w:val="16"/>
  </w:num>
  <w:num w:numId="29">
    <w:abstractNumId w:val="10"/>
  </w:num>
  <w:num w:numId="30">
    <w:abstractNumId w:val="21"/>
  </w:num>
  <w:num w:numId="31">
    <w:abstractNumId w:val="8"/>
  </w:num>
  <w:num w:numId="32">
    <w:abstractNumId w:val="29"/>
  </w:num>
  <w:num w:numId="33">
    <w:abstractNumId w:val="9"/>
  </w:num>
  <w:num w:numId="34">
    <w:abstractNumId w:val="35"/>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71"/>
    <w:rsid w:val="00025DA0"/>
    <w:rsid w:val="00033874"/>
    <w:rsid w:val="0007284A"/>
    <w:rsid w:val="000E329E"/>
    <w:rsid w:val="000E567A"/>
    <w:rsid w:val="000F034E"/>
    <w:rsid w:val="0013122B"/>
    <w:rsid w:val="00154EEC"/>
    <w:rsid w:val="00162857"/>
    <w:rsid w:val="001759F5"/>
    <w:rsid w:val="00186656"/>
    <w:rsid w:val="001929AB"/>
    <w:rsid w:val="001E703E"/>
    <w:rsid w:val="001F7AA9"/>
    <w:rsid w:val="002229E8"/>
    <w:rsid w:val="00234F99"/>
    <w:rsid w:val="00251A66"/>
    <w:rsid w:val="002864B0"/>
    <w:rsid w:val="002D13F3"/>
    <w:rsid w:val="002D482F"/>
    <w:rsid w:val="002E6376"/>
    <w:rsid w:val="002E66DC"/>
    <w:rsid w:val="002F1474"/>
    <w:rsid w:val="0030273D"/>
    <w:rsid w:val="003036DD"/>
    <w:rsid w:val="00314CE1"/>
    <w:rsid w:val="00344EAF"/>
    <w:rsid w:val="00384528"/>
    <w:rsid w:val="003C0B5E"/>
    <w:rsid w:val="003C59FF"/>
    <w:rsid w:val="003F0671"/>
    <w:rsid w:val="003F64A9"/>
    <w:rsid w:val="00451369"/>
    <w:rsid w:val="00454069"/>
    <w:rsid w:val="004655FD"/>
    <w:rsid w:val="00475629"/>
    <w:rsid w:val="00494BAE"/>
    <w:rsid w:val="00494E65"/>
    <w:rsid w:val="004976E6"/>
    <w:rsid w:val="004A1A01"/>
    <w:rsid w:val="004C236E"/>
    <w:rsid w:val="004D1462"/>
    <w:rsid w:val="004D2094"/>
    <w:rsid w:val="004D7D93"/>
    <w:rsid w:val="004E5AB8"/>
    <w:rsid w:val="00500697"/>
    <w:rsid w:val="00505ACA"/>
    <w:rsid w:val="005078A1"/>
    <w:rsid w:val="00511981"/>
    <w:rsid w:val="0052419D"/>
    <w:rsid w:val="00531ACA"/>
    <w:rsid w:val="0055362A"/>
    <w:rsid w:val="00560B8C"/>
    <w:rsid w:val="00562DA8"/>
    <w:rsid w:val="005844D2"/>
    <w:rsid w:val="00586AAE"/>
    <w:rsid w:val="005A22D1"/>
    <w:rsid w:val="005B4186"/>
    <w:rsid w:val="00620F9B"/>
    <w:rsid w:val="0064602D"/>
    <w:rsid w:val="0067152E"/>
    <w:rsid w:val="0067689E"/>
    <w:rsid w:val="006A05DA"/>
    <w:rsid w:val="006A069A"/>
    <w:rsid w:val="006A417F"/>
    <w:rsid w:val="006C5D68"/>
    <w:rsid w:val="006E7FCF"/>
    <w:rsid w:val="006F218D"/>
    <w:rsid w:val="006F6DFF"/>
    <w:rsid w:val="00706AD4"/>
    <w:rsid w:val="00713D37"/>
    <w:rsid w:val="0073060E"/>
    <w:rsid w:val="00744ACC"/>
    <w:rsid w:val="007579B5"/>
    <w:rsid w:val="007A398D"/>
    <w:rsid w:val="007A6FE2"/>
    <w:rsid w:val="007C42EE"/>
    <w:rsid w:val="007D1969"/>
    <w:rsid w:val="007E6ADA"/>
    <w:rsid w:val="007F12FA"/>
    <w:rsid w:val="00834311"/>
    <w:rsid w:val="00842980"/>
    <w:rsid w:val="00882B5C"/>
    <w:rsid w:val="008A0F15"/>
    <w:rsid w:val="008B3F46"/>
    <w:rsid w:val="008C3B47"/>
    <w:rsid w:val="0090511F"/>
    <w:rsid w:val="00914E31"/>
    <w:rsid w:val="009216CE"/>
    <w:rsid w:val="00932761"/>
    <w:rsid w:val="00932D1F"/>
    <w:rsid w:val="00955B07"/>
    <w:rsid w:val="00955B38"/>
    <w:rsid w:val="009703F7"/>
    <w:rsid w:val="009710DE"/>
    <w:rsid w:val="009B504C"/>
    <w:rsid w:val="009C7B48"/>
    <w:rsid w:val="009D3137"/>
    <w:rsid w:val="009D6DB6"/>
    <w:rsid w:val="009E6875"/>
    <w:rsid w:val="00A0515E"/>
    <w:rsid w:val="00A25BF2"/>
    <w:rsid w:val="00A364FD"/>
    <w:rsid w:val="00A441B7"/>
    <w:rsid w:val="00A47A6D"/>
    <w:rsid w:val="00A54771"/>
    <w:rsid w:val="00A80919"/>
    <w:rsid w:val="00A93EEB"/>
    <w:rsid w:val="00AA06C9"/>
    <w:rsid w:val="00AD2CEE"/>
    <w:rsid w:val="00AF088F"/>
    <w:rsid w:val="00B211E7"/>
    <w:rsid w:val="00B914DC"/>
    <w:rsid w:val="00B91FBD"/>
    <w:rsid w:val="00BB597D"/>
    <w:rsid w:val="00BD2030"/>
    <w:rsid w:val="00BF4FF5"/>
    <w:rsid w:val="00C019DE"/>
    <w:rsid w:val="00C02222"/>
    <w:rsid w:val="00C40256"/>
    <w:rsid w:val="00C53FA1"/>
    <w:rsid w:val="00C80E04"/>
    <w:rsid w:val="00C86B73"/>
    <w:rsid w:val="00C87609"/>
    <w:rsid w:val="00C93F1B"/>
    <w:rsid w:val="00CB3434"/>
    <w:rsid w:val="00CD2668"/>
    <w:rsid w:val="00D12DDE"/>
    <w:rsid w:val="00D17E49"/>
    <w:rsid w:val="00D3104F"/>
    <w:rsid w:val="00D5343B"/>
    <w:rsid w:val="00D76F7A"/>
    <w:rsid w:val="00DA661D"/>
    <w:rsid w:val="00DB630E"/>
    <w:rsid w:val="00DB6F8E"/>
    <w:rsid w:val="00E015FB"/>
    <w:rsid w:val="00E04E66"/>
    <w:rsid w:val="00E16FE4"/>
    <w:rsid w:val="00E22CCE"/>
    <w:rsid w:val="00E31E3A"/>
    <w:rsid w:val="00E4530B"/>
    <w:rsid w:val="00E55338"/>
    <w:rsid w:val="00E736E6"/>
    <w:rsid w:val="00EA5CD3"/>
    <w:rsid w:val="00EC7611"/>
    <w:rsid w:val="00ED13FD"/>
    <w:rsid w:val="00ED5B6C"/>
    <w:rsid w:val="00EE0571"/>
    <w:rsid w:val="00EE3C01"/>
    <w:rsid w:val="00EF79D2"/>
    <w:rsid w:val="00F20E94"/>
    <w:rsid w:val="00F24788"/>
    <w:rsid w:val="00F315E3"/>
    <w:rsid w:val="00F74CBA"/>
    <w:rsid w:val="00F80976"/>
    <w:rsid w:val="00FC4C21"/>
    <w:rsid w:val="00FD1176"/>
    <w:rsid w:val="00FF2481"/>
    <w:rsid w:val="00FF3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88AB1C"/>
  <w15:docId w15:val="{8FDA0263-8044-4781-B87E-EE031E2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54">
      <w:bodyDiv w:val="1"/>
      <w:marLeft w:val="0"/>
      <w:marRight w:val="0"/>
      <w:marTop w:val="0"/>
      <w:marBottom w:val="0"/>
      <w:divBdr>
        <w:top w:val="none" w:sz="0" w:space="0" w:color="auto"/>
        <w:left w:val="none" w:sz="0" w:space="0" w:color="auto"/>
        <w:bottom w:val="none" w:sz="0" w:space="0" w:color="auto"/>
        <w:right w:val="none" w:sz="0" w:space="0" w:color="auto"/>
      </w:divBdr>
    </w:div>
    <w:div w:id="34814230">
      <w:bodyDiv w:val="1"/>
      <w:marLeft w:val="0"/>
      <w:marRight w:val="0"/>
      <w:marTop w:val="0"/>
      <w:marBottom w:val="0"/>
      <w:divBdr>
        <w:top w:val="none" w:sz="0" w:space="0" w:color="auto"/>
        <w:left w:val="none" w:sz="0" w:space="0" w:color="auto"/>
        <w:bottom w:val="none" w:sz="0" w:space="0" w:color="auto"/>
        <w:right w:val="none" w:sz="0" w:space="0" w:color="auto"/>
      </w:divBdr>
    </w:div>
    <w:div w:id="210845929">
      <w:bodyDiv w:val="1"/>
      <w:marLeft w:val="0"/>
      <w:marRight w:val="0"/>
      <w:marTop w:val="0"/>
      <w:marBottom w:val="0"/>
      <w:divBdr>
        <w:top w:val="none" w:sz="0" w:space="0" w:color="auto"/>
        <w:left w:val="none" w:sz="0" w:space="0" w:color="auto"/>
        <w:bottom w:val="none" w:sz="0" w:space="0" w:color="auto"/>
        <w:right w:val="none" w:sz="0" w:space="0" w:color="auto"/>
      </w:divBdr>
    </w:div>
    <w:div w:id="213128645">
      <w:bodyDiv w:val="1"/>
      <w:marLeft w:val="0"/>
      <w:marRight w:val="0"/>
      <w:marTop w:val="0"/>
      <w:marBottom w:val="0"/>
      <w:divBdr>
        <w:top w:val="none" w:sz="0" w:space="0" w:color="auto"/>
        <w:left w:val="none" w:sz="0" w:space="0" w:color="auto"/>
        <w:bottom w:val="none" w:sz="0" w:space="0" w:color="auto"/>
        <w:right w:val="none" w:sz="0" w:space="0" w:color="auto"/>
      </w:divBdr>
    </w:div>
    <w:div w:id="307364645">
      <w:bodyDiv w:val="1"/>
      <w:marLeft w:val="0"/>
      <w:marRight w:val="0"/>
      <w:marTop w:val="0"/>
      <w:marBottom w:val="0"/>
      <w:divBdr>
        <w:top w:val="none" w:sz="0" w:space="0" w:color="auto"/>
        <w:left w:val="none" w:sz="0" w:space="0" w:color="auto"/>
        <w:bottom w:val="none" w:sz="0" w:space="0" w:color="auto"/>
        <w:right w:val="none" w:sz="0" w:space="0" w:color="auto"/>
      </w:divBdr>
    </w:div>
    <w:div w:id="383143008">
      <w:bodyDiv w:val="1"/>
      <w:marLeft w:val="0"/>
      <w:marRight w:val="0"/>
      <w:marTop w:val="0"/>
      <w:marBottom w:val="0"/>
      <w:divBdr>
        <w:top w:val="none" w:sz="0" w:space="0" w:color="auto"/>
        <w:left w:val="none" w:sz="0" w:space="0" w:color="auto"/>
        <w:bottom w:val="none" w:sz="0" w:space="0" w:color="auto"/>
        <w:right w:val="none" w:sz="0" w:space="0" w:color="auto"/>
      </w:divBdr>
    </w:div>
    <w:div w:id="590352095">
      <w:bodyDiv w:val="1"/>
      <w:marLeft w:val="0"/>
      <w:marRight w:val="0"/>
      <w:marTop w:val="0"/>
      <w:marBottom w:val="0"/>
      <w:divBdr>
        <w:top w:val="none" w:sz="0" w:space="0" w:color="auto"/>
        <w:left w:val="none" w:sz="0" w:space="0" w:color="auto"/>
        <w:bottom w:val="none" w:sz="0" w:space="0" w:color="auto"/>
        <w:right w:val="none" w:sz="0" w:space="0" w:color="auto"/>
      </w:divBdr>
    </w:div>
    <w:div w:id="708410786">
      <w:bodyDiv w:val="1"/>
      <w:marLeft w:val="0"/>
      <w:marRight w:val="0"/>
      <w:marTop w:val="0"/>
      <w:marBottom w:val="0"/>
      <w:divBdr>
        <w:top w:val="none" w:sz="0" w:space="0" w:color="auto"/>
        <w:left w:val="none" w:sz="0" w:space="0" w:color="auto"/>
        <w:bottom w:val="none" w:sz="0" w:space="0" w:color="auto"/>
        <w:right w:val="none" w:sz="0" w:space="0" w:color="auto"/>
      </w:divBdr>
    </w:div>
    <w:div w:id="710299415">
      <w:bodyDiv w:val="1"/>
      <w:marLeft w:val="0"/>
      <w:marRight w:val="0"/>
      <w:marTop w:val="0"/>
      <w:marBottom w:val="0"/>
      <w:divBdr>
        <w:top w:val="none" w:sz="0" w:space="0" w:color="auto"/>
        <w:left w:val="none" w:sz="0" w:space="0" w:color="auto"/>
        <w:bottom w:val="none" w:sz="0" w:space="0" w:color="auto"/>
        <w:right w:val="none" w:sz="0" w:space="0" w:color="auto"/>
      </w:divBdr>
    </w:div>
    <w:div w:id="736707098">
      <w:bodyDiv w:val="1"/>
      <w:marLeft w:val="0"/>
      <w:marRight w:val="0"/>
      <w:marTop w:val="0"/>
      <w:marBottom w:val="0"/>
      <w:divBdr>
        <w:top w:val="none" w:sz="0" w:space="0" w:color="auto"/>
        <w:left w:val="none" w:sz="0" w:space="0" w:color="auto"/>
        <w:bottom w:val="none" w:sz="0" w:space="0" w:color="auto"/>
        <w:right w:val="none" w:sz="0" w:space="0" w:color="auto"/>
      </w:divBdr>
    </w:div>
    <w:div w:id="779109265">
      <w:bodyDiv w:val="1"/>
      <w:marLeft w:val="0"/>
      <w:marRight w:val="0"/>
      <w:marTop w:val="0"/>
      <w:marBottom w:val="0"/>
      <w:divBdr>
        <w:top w:val="none" w:sz="0" w:space="0" w:color="auto"/>
        <w:left w:val="none" w:sz="0" w:space="0" w:color="auto"/>
        <w:bottom w:val="none" w:sz="0" w:space="0" w:color="auto"/>
        <w:right w:val="none" w:sz="0" w:space="0" w:color="auto"/>
      </w:divBdr>
    </w:div>
    <w:div w:id="782304796">
      <w:bodyDiv w:val="1"/>
      <w:marLeft w:val="0"/>
      <w:marRight w:val="0"/>
      <w:marTop w:val="0"/>
      <w:marBottom w:val="0"/>
      <w:divBdr>
        <w:top w:val="none" w:sz="0" w:space="0" w:color="auto"/>
        <w:left w:val="none" w:sz="0" w:space="0" w:color="auto"/>
        <w:bottom w:val="none" w:sz="0" w:space="0" w:color="auto"/>
        <w:right w:val="none" w:sz="0" w:space="0" w:color="auto"/>
      </w:divBdr>
    </w:div>
    <w:div w:id="852065538">
      <w:bodyDiv w:val="1"/>
      <w:marLeft w:val="0"/>
      <w:marRight w:val="0"/>
      <w:marTop w:val="0"/>
      <w:marBottom w:val="0"/>
      <w:divBdr>
        <w:top w:val="none" w:sz="0" w:space="0" w:color="auto"/>
        <w:left w:val="none" w:sz="0" w:space="0" w:color="auto"/>
        <w:bottom w:val="none" w:sz="0" w:space="0" w:color="auto"/>
        <w:right w:val="none" w:sz="0" w:space="0" w:color="auto"/>
      </w:divBdr>
    </w:div>
    <w:div w:id="914511446">
      <w:bodyDiv w:val="1"/>
      <w:marLeft w:val="0"/>
      <w:marRight w:val="0"/>
      <w:marTop w:val="0"/>
      <w:marBottom w:val="0"/>
      <w:divBdr>
        <w:top w:val="none" w:sz="0" w:space="0" w:color="auto"/>
        <w:left w:val="none" w:sz="0" w:space="0" w:color="auto"/>
        <w:bottom w:val="none" w:sz="0" w:space="0" w:color="auto"/>
        <w:right w:val="none" w:sz="0" w:space="0" w:color="auto"/>
      </w:divBdr>
    </w:div>
    <w:div w:id="1053843949">
      <w:bodyDiv w:val="1"/>
      <w:marLeft w:val="0"/>
      <w:marRight w:val="0"/>
      <w:marTop w:val="0"/>
      <w:marBottom w:val="0"/>
      <w:divBdr>
        <w:top w:val="none" w:sz="0" w:space="0" w:color="auto"/>
        <w:left w:val="none" w:sz="0" w:space="0" w:color="auto"/>
        <w:bottom w:val="none" w:sz="0" w:space="0" w:color="auto"/>
        <w:right w:val="none" w:sz="0" w:space="0" w:color="auto"/>
      </w:divBdr>
    </w:div>
    <w:div w:id="1115633712">
      <w:bodyDiv w:val="1"/>
      <w:marLeft w:val="0"/>
      <w:marRight w:val="0"/>
      <w:marTop w:val="0"/>
      <w:marBottom w:val="0"/>
      <w:divBdr>
        <w:top w:val="none" w:sz="0" w:space="0" w:color="auto"/>
        <w:left w:val="none" w:sz="0" w:space="0" w:color="auto"/>
        <w:bottom w:val="none" w:sz="0" w:space="0" w:color="auto"/>
        <w:right w:val="none" w:sz="0" w:space="0" w:color="auto"/>
      </w:divBdr>
    </w:div>
    <w:div w:id="1365322673">
      <w:bodyDiv w:val="1"/>
      <w:marLeft w:val="0"/>
      <w:marRight w:val="0"/>
      <w:marTop w:val="0"/>
      <w:marBottom w:val="0"/>
      <w:divBdr>
        <w:top w:val="none" w:sz="0" w:space="0" w:color="auto"/>
        <w:left w:val="none" w:sz="0" w:space="0" w:color="auto"/>
        <w:bottom w:val="none" w:sz="0" w:space="0" w:color="auto"/>
        <w:right w:val="none" w:sz="0" w:space="0" w:color="auto"/>
      </w:divBdr>
    </w:div>
    <w:div w:id="1388187042">
      <w:bodyDiv w:val="1"/>
      <w:marLeft w:val="0"/>
      <w:marRight w:val="0"/>
      <w:marTop w:val="0"/>
      <w:marBottom w:val="0"/>
      <w:divBdr>
        <w:top w:val="none" w:sz="0" w:space="0" w:color="auto"/>
        <w:left w:val="none" w:sz="0" w:space="0" w:color="auto"/>
        <w:bottom w:val="none" w:sz="0" w:space="0" w:color="auto"/>
        <w:right w:val="none" w:sz="0" w:space="0" w:color="auto"/>
      </w:divBdr>
    </w:div>
    <w:div w:id="1390689884">
      <w:bodyDiv w:val="1"/>
      <w:marLeft w:val="0"/>
      <w:marRight w:val="0"/>
      <w:marTop w:val="0"/>
      <w:marBottom w:val="0"/>
      <w:divBdr>
        <w:top w:val="none" w:sz="0" w:space="0" w:color="auto"/>
        <w:left w:val="none" w:sz="0" w:space="0" w:color="auto"/>
        <w:bottom w:val="none" w:sz="0" w:space="0" w:color="auto"/>
        <w:right w:val="none" w:sz="0" w:space="0" w:color="auto"/>
      </w:divBdr>
    </w:div>
    <w:div w:id="1406756677">
      <w:bodyDiv w:val="1"/>
      <w:marLeft w:val="0"/>
      <w:marRight w:val="0"/>
      <w:marTop w:val="0"/>
      <w:marBottom w:val="0"/>
      <w:divBdr>
        <w:top w:val="none" w:sz="0" w:space="0" w:color="auto"/>
        <w:left w:val="none" w:sz="0" w:space="0" w:color="auto"/>
        <w:bottom w:val="none" w:sz="0" w:space="0" w:color="auto"/>
        <w:right w:val="none" w:sz="0" w:space="0" w:color="auto"/>
      </w:divBdr>
    </w:div>
    <w:div w:id="1714387186">
      <w:bodyDiv w:val="1"/>
      <w:marLeft w:val="0"/>
      <w:marRight w:val="0"/>
      <w:marTop w:val="0"/>
      <w:marBottom w:val="0"/>
      <w:divBdr>
        <w:top w:val="none" w:sz="0" w:space="0" w:color="auto"/>
        <w:left w:val="none" w:sz="0" w:space="0" w:color="auto"/>
        <w:bottom w:val="none" w:sz="0" w:space="0" w:color="auto"/>
        <w:right w:val="none" w:sz="0" w:space="0" w:color="auto"/>
      </w:divBdr>
    </w:div>
    <w:div w:id="1880048992">
      <w:bodyDiv w:val="1"/>
      <w:marLeft w:val="0"/>
      <w:marRight w:val="0"/>
      <w:marTop w:val="0"/>
      <w:marBottom w:val="0"/>
      <w:divBdr>
        <w:top w:val="none" w:sz="0" w:space="0" w:color="auto"/>
        <w:left w:val="none" w:sz="0" w:space="0" w:color="auto"/>
        <w:bottom w:val="none" w:sz="0" w:space="0" w:color="auto"/>
        <w:right w:val="none" w:sz="0" w:space="0" w:color="auto"/>
      </w:divBdr>
    </w:div>
    <w:div w:id="1953855458">
      <w:bodyDiv w:val="1"/>
      <w:marLeft w:val="0"/>
      <w:marRight w:val="0"/>
      <w:marTop w:val="0"/>
      <w:marBottom w:val="0"/>
      <w:divBdr>
        <w:top w:val="none" w:sz="0" w:space="0" w:color="auto"/>
        <w:left w:val="none" w:sz="0" w:space="0" w:color="auto"/>
        <w:bottom w:val="none" w:sz="0" w:space="0" w:color="auto"/>
        <w:right w:val="none" w:sz="0" w:space="0" w:color="auto"/>
      </w:divBdr>
    </w:div>
    <w:div w:id="1977684540">
      <w:bodyDiv w:val="1"/>
      <w:marLeft w:val="0"/>
      <w:marRight w:val="0"/>
      <w:marTop w:val="0"/>
      <w:marBottom w:val="0"/>
      <w:divBdr>
        <w:top w:val="none" w:sz="0" w:space="0" w:color="auto"/>
        <w:left w:val="none" w:sz="0" w:space="0" w:color="auto"/>
        <w:bottom w:val="none" w:sz="0" w:space="0" w:color="auto"/>
        <w:right w:val="none" w:sz="0" w:space="0" w:color="auto"/>
      </w:divBdr>
    </w:div>
    <w:div w:id="207292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infoem.org.mx/doc/acuerdos/Acuerdo_Padron_SO.pdf" TargetMode="External"/><Relationship Id="rId4" Type="http://schemas.openxmlformats.org/officeDocument/2006/relationships/styles" Target="styles.xml"/><Relationship Id="rId9" Type="http://schemas.openxmlformats.org/officeDocument/2006/relationships/hyperlink" Target="https://legislacion.edomex.gob.mx/sites/legislacion.edomex.gob.mx/files/files/pdf/gct/1991/may153.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q8waMYJixN7y7s8M0scC8t2Hjw==">AMUW2mW99dYh2fhzS25bIag+8lGAyxDRgvPozSBSPjfeZXz2Av4AdDbANXTz5O6TN7wjqEYwqnE5W80JXENYzzWqRbYipGGdXsgJh619IBlcWlgBPfet3Vmh1fpfeIw/8Q5GmcmfSQOi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912C10-667B-4564-A840-44EF4948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7128</Words>
  <Characters>39207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2023-02-23T19:25:00Z</cp:lastPrinted>
  <dcterms:created xsi:type="dcterms:W3CDTF">2023-02-28T19:52:00Z</dcterms:created>
  <dcterms:modified xsi:type="dcterms:W3CDTF">2023-02-28T19:52:00Z</dcterms:modified>
</cp:coreProperties>
</file>