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296AF1" w:rsidR="00BF6B4B" w:rsidP="001F62B7" w:rsidRDefault="00BF6B4B" w14:paraId="245D015B" w14:textId="032BF9F9">
      <w:pPr>
        <w:spacing w:after="0" w:line="360" w:lineRule="auto"/>
        <w:contextualSpacing/>
        <w:rPr>
          <w:rFonts w:eastAsia="Times New Roman" w:cs="Tahoma"/>
          <w:bCs/>
          <w:color w:val="auto"/>
          <w:lang w:eastAsia="es-ES"/>
        </w:rPr>
      </w:pPr>
      <w:r w:rsidRPr="00296AF1">
        <w:rPr>
          <w:rFonts w:eastAsia="Calibri" w:cs="Tahoma"/>
          <w:bCs/>
          <w:color w:val="000000"/>
        </w:rPr>
        <w:t xml:space="preserve">Resolución del Pleno del Instituto de Transparencia, Acceso a la Información Pública y </w:t>
      </w:r>
      <w:r w:rsidRPr="00296AF1">
        <w:rPr>
          <w:rFonts w:eastAsia="Times New Roman" w:cs="Tahoma"/>
          <w:bCs/>
          <w:color w:val="auto"/>
          <w:lang w:eastAsia="es-ES"/>
        </w:rPr>
        <w:t xml:space="preserve">Protección de Datos Personales del Estado de México y Municipios, con domicilio en Metepec, Estado de México, de fecha </w:t>
      </w:r>
      <w:r w:rsidRPr="00296AF1" w:rsidR="00504C37">
        <w:rPr>
          <w:rFonts w:eastAsia="Times New Roman" w:cs="Tahoma"/>
          <w:bCs/>
          <w:color w:val="auto"/>
          <w:lang w:eastAsia="es-ES"/>
        </w:rPr>
        <w:t>treinta y uno de</w:t>
      </w:r>
      <w:r w:rsidRPr="00296AF1">
        <w:rPr>
          <w:rFonts w:eastAsia="Times New Roman" w:cs="Tahoma"/>
          <w:bCs/>
          <w:color w:val="auto"/>
          <w:lang w:eastAsia="es-ES"/>
        </w:rPr>
        <w:t xml:space="preserve"> mayo de dos mil veintitrés.</w:t>
      </w:r>
    </w:p>
    <w:p w:rsidRPr="00296AF1" w:rsidR="00BF6B4B" w:rsidP="001F62B7" w:rsidRDefault="00BF6B4B" w14:paraId="1F09D0E9" w14:textId="77777777">
      <w:pPr>
        <w:spacing w:after="0" w:line="360" w:lineRule="auto"/>
        <w:contextualSpacing/>
        <w:rPr>
          <w:rFonts w:eastAsia="Times New Roman" w:cs="Tahoma"/>
          <w:b/>
          <w:bCs/>
          <w:color w:val="auto"/>
          <w:lang w:eastAsia="es-ES"/>
        </w:rPr>
      </w:pPr>
    </w:p>
    <w:p w:rsidRPr="00296AF1" w:rsidR="00BF6B4B" w:rsidP="001F62B7" w:rsidRDefault="00BF6B4B" w14:paraId="56A02DBF" w14:textId="28D5E6F5">
      <w:pPr>
        <w:spacing w:after="0" w:line="360" w:lineRule="auto"/>
        <w:contextualSpacing/>
        <w:rPr>
          <w:rFonts w:eastAsia="Calibri" w:cs="Tahoma"/>
          <w:color w:val="0D0D0D"/>
        </w:rPr>
      </w:pPr>
      <w:r w:rsidRPr="524F3FA2" w:rsidR="524F3FA2">
        <w:rPr>
          <w:rFonts w:eastAsia="Times New Roman" w:cs="Tahoma"/>
          <w:b w:val="1"/>
          <w:bCs w:val="1"/>
          <w:color w:val="auto"/>
          <w:lang w:eastAsia="es-ES"/>
        </w:rPr>
        <w:t>VISTO</w:t>
      </w:r>
      <w:r w:rsidRPr="524F3FA2" w:rsidR="524F3FA2">
        <w:rPr>
          <w:rFonts w:eastAsia="Calibri" w:cs="Tahoma"/>
          <w:color w:val="0D0D0D" w:themeColor="text1" w:themeTint="F2" w:themeShade="FF"/>
        </w:rPr>
        <w:t xml:space="preserve"> el expediente conformado con motivo del Recurso de Revisión </w:t>
      </w:r>
      <w:r w:rsidRPr="524F3FA2" w:rsidR="524F3FA2">
        <w:rPr>
          <w:rFonts w:eastAsia="Calibri" w:cs="Tahoma"/>
          <w:color w:val="000000" w:themeColor="text1" w:themeTint="FF" w:themeShade="FF"/>
        </w:rPr>
        <w:t>02536/INFOEM/IP/RR/2023, interpuesto por</w:t>
      </w:r>
      <w:r w:rsidR="524F3FA2">
        <w:rPr/>
        <w:t xml:space="preserve"> </w:t>
      </w:r>
      <w:r w:rsidRPr="524F3FA2" w:rsidR="524F3FA2">
        <w:rPr>
          <w:rFonts w:eastAsia="Calibri" w:cs="Tahoma"/>
          <w:color w:val="000000" w:themeColor="text1" w:themeTint="FF" w:themeShade="FF"/>
          <w:highlight w:val="black"/>
        </w:rPr>
        <w:t>XXXXXXXXXXXXXXXXXX</w:t>
      </w:r>
      <w:r w:rsidRPr="524F3FA2" w:rsidR="524F3FA2">
        <w:rPr>
          <w:rFonts w:eastAsia="Calibri" w:cs="Tahoma"/>
          <w:color w:val="000000" w:themeColor="text1" w:themeTint="FF" w:themeShade="FF"/>
        </w:rPr>
        <w:t xml:space="preserve">, en lo sucesivo, </w:t>
      </w:r>
      <w:r w:rsidRPr="524F3FA2" w:rsidR="524F3FA2">
        <w:rPr>
          <w:rFonts w:eastAsia="Calibri" w:cs="Tahoma"/>
          <w:color w:val="0D0D0D" w:themeColor="text1" w:themeTint="F2" w:themeShade="FF"/>
        </w:rPr>
        <w:t>Recurrente o Particular, en contra de la respuesta del Sujeto Obligado,</w:t>
      </w:r>
      <w:r w:rsidRPr="524F3FA2" w:rsidR="524F3FA2">
        <w:rPr>
          <w:rFonts w:eastAsia="Calibri" w:cs="Tahoma"/>
          <w:color w:val="000000" w:themeColor="text1" w:themeTint="FF" w:themeShade="FF"/>
        </w:rPr>
        <w:t xml:space="preserve"> Ayuntamiento de Tecámac, a la solicitud de acceso a la información </w:t>
      </w:r>
      <w:r w:rsidR="524F3FA2">
        <w:rPr/>
        <w:t>00115/TECAMAC/IP/2023</w:t>
      </w:r>
      <w:r w:rsidRPr="524F3FA2" w:rsidR="524F3FA2">
        <w:rPr>
          <w:rFonts w:eastAsia="Calibri" w:cs="Tahoma"/>
          <w:color w:val="000000" w:themeColor="text1" w:themeTint="FF" w:themeShade="FF"/>
        </w:rPr>
        <w:t>, se emite la presente Resolución, con base en los Antecedentes y Considerandos que se exponen a continuación:</w:t>
      </w:r>
    </w:p>
    <w:p w:rsidRPr="00296AF1" w:rsidR="00BF6B4B" w:rsidP="001F62B7" w:rsidRDefault="00BF6B4B" w14:paraId="5A07CD94" w14:textId="77777777">
      <w:pPr>
        <w:tabs>
          <w:tab w:val="center" w:pos="4522"/>
          <w:tab w:val="left" w:pos="7245"/>
        </w:tabs>
        <w:spacing w:after="0" w:line="360" w:lineRule="auto"/>
        <w:contextualSpacing/>
        <w:jc w:val="center"/>
        <w:rPr>
          <w:rFonts w:eastAsia="Calibri" w:cs="Tahoma"/>
          <w:b/>
          <w:color w:val="000000"/>
        </w:rPr>
      </w:pPr>
    </w:p>
    <w:p w:rsidRPr="00296AF1" w:rsidR="00BF6B4B" w:rsidP="001F62B7" w:rsidRDefault="00BF6B4B" w14:paraId="786694C2" w14:textId="77777777">
      <w:pPr>
        <w:tabs>
          <w:tab w:val="center" w:pos="4522"/>
          <w:tab w:val="left" w:pos="7245"/>
        </w:tabs>
        <w:spacing w:after="0" w:line="360" w:lineRule="auto"/>
        <w:contextualSpacing/>
        <w:jc w:val="center"/>
        <w:rPr>
          <w:rFonts w:eastAsia="Calibri" w:cs="Tahoma"/>
          <w:b/>
          <w:color w:val="000000"/>
        </w:rPr>
      </w:pPr>
      <w:r w:rsidRPr="00296AF1">
        <w:rPr>
          <w:rFonts w:eastAsia="Calibri" w:cs="Tahoma"/>
          <w:b/>
          <w:color w:val="000000"/>
        </w:rPr>
        <w:t>A N T E C E D E N T E S:</w:t>
      </w:r>
    </w:p>
    <w:p w:rsidRPr="00296AF1" w:rsidR="00BF6B4B" w:rsidP="001F62B7" w:rsidRDefault="00BF6B4B" w14:paraId="1265C932" w14:textId="77777777">
      <w:pPr>
        <w:spacing w:after="0" w:line="360" w:lineRule="auto"/>
        <w:contextualSpacing/>
      </w:pPr>
    </w:p>
    <w:p w:rsidRPr="00296AF1" w:rsidR="00BF6B4B" w:rsidP="001F62B7" w:rsidRDefault="00BF6B4B" w14:paraId="65E43A3C" w14:textId="77777777">
      <w:pPr>
        <w:tabs>
          <w:tab w:val="left" w:pos="567"/>
        </w:tabs>
        <w:spacing w:after="0" w:line="360" w:lineRule="auto"/>
        <w:contextualSpacing/>
        <w:rPr>
          <w:rFonts w:eastAsia="Times New Roman" w:cs="Tahoma"/>
          <w:b/>
          <w:color w:val="auto"/>
          <w:lang w:eastAsia="es-ES"/>
        </w:rPr>
      </w:pPr>
      <w:r w:rsidRPr="00296AF1">
        <w:rPr>
          <w:rFonts w:eastAsia="Times New Roman" w:cs="Tahoma"/>
          <w:b/>
          <w:color w:val="auto"/>
          <w:lang w:eastAsia="es-ES"/>
        </w:rPr>
        <w:t>I. Presentación de la solicitud de información:</w:t>
      </w:r>
    </w:p>
    <w:p w:rsidRPr="00296AF1" w:rsidR="00BF6B4B" w:rsidP="001F62B7" w:rsidRDefault="00BF6B4B" w14:paraId="7F9AFD0A" w14:textId="77777777">
      <w:pPr>
        <w:tabs>
          <w:tab w:val="left" w:pos="567"/>
        </w:tabs>
        <w:spacing w:after="0" w:line="360" w:lineRule="auto"/>
        <w:contextualSpacing/>
        <w:rPr>
          <w:rFonts w:eastAsia="Times New Roman" w:cs="Tahoma"/>
          <w:color w:val="auto"/>
          <w:lang w:eastAsia="es-ES"/>
        </w:rPr>
      </w:pPr>
    </w:p>
    <w:p w:rsidRPr="00296AF1" w:rsidR="00BF6B4B" w:rsidP="001F62B7" w:rsidRDefault="00BF6B4B" w14:paraId="77EA6263" w14:textId="1D57732C">
      <w:pPr>
        <w:tabs>
          <w:tab w:val="left" w:pos="1050"/>
        </w:tabs>
        <w:spacing w:after="0" w:line="360" w:lineRule="auto"/>
        <w:ind w:right="-28"/>
        <w:contextualSpacing/>
        <w:rPr>
          <w:rFonts w:eastAsia="Times New Roman" w:cs="Tahoma"/>
          <w:b/>
          <w:bCs/>
          <w:lang w:eastAsia="es-ES"/>
        </w:rPr>
      </w:pPr>
      <w:r w:rsidRPr="00296AF1">
        <w:rPr>
          <w:rFonts w:eastAsia="Times New Roman" w:cs="Tahoma"/>
          <w:lang w:eastAsia="es-ES"/>
        </w:rPr>
        <w:t xml:space="preserve">Con catorce de </w:t>
      </w:r>
      <w:r w:rsidRPr="00296AF1" w:rsidR="009F1C6E">
        <w:rPr>
          <w:rFonts w:eastAsia="Times New Roman" w:cs="Tahoma"/>
          <w:lang w:eastAsia="es-ES"/>
        </w:rPr>
        <w:t>abril</w:t>
      </w:r>
      <w:r w:rsidRPr="00296AF1">
        <w:rPr>
          <w:rFonts w:eastAsia="Times New Roman" w:cs="Tahoma"/>
          <w:lang w:eastAsia="es-ES"/>
        </w:rPr>
        <w:t xml:space="preserve"> de dos mil veintitrés, el Particular presentó una solicitud de acceso a la información pública, a través del Sistema de Acceso a la Información Mexiquense (SAIMEX), ante el </w:t>
      </w:r>
      <w:r w:rsidRPr="00296AF1" w:rsidR="009F1C6E">
        <w:rPr>
          <w:rFonts w:eastAsia="Calibri" w:cs="Tahoma"/>
        </w:rPr>
        <w:t>Ayuntamiento de Tecámac</w:t>
      </w:r>
      <w:r w:rsidRPr="00296AF1">
        <w:rPr>
          <w:rFonts w:eastAsia="Times New Roman" w:cs="Tahoma"/>
          <w:lang w:eastAsia="es-ES"/>
        </w:rPr>
        <w:t>, en los siguientes términos:</w:t>
      </w:r>
    </w:p>
    <w:p w:rsidRPr="00296AF1" w:rsidR="00BF6B4B" w:rsidP="001F62B7" w:rsidRDefault="00BF6B4B" w14:paraId="75CD769C" w14:textId="77777777">
      <w:pPr>
        <w:spacing w:after="0" w:line="360" w:lineRule="auto"/>
        <w:contextualSpacing/>
        <w:rPr>
          <w:rFonts w:eastAsia="Calibri" w:cs="Tahoma"/>
        </w:rPr>
      </w:pPr>
    </w:p>
    <w:p w:rsidRPr="00296AF1" w:rsidR="00BF6B4B" w:rsidP="001F62B7" w:rsidRDefault="00BF6B4B" w14:paraId="664C283E" w14:textId="77777777">
      <w:pPr>
        <w:tabs>
          <w:tab w:val="left" w:pos="4667"/>
        </w:tabs>
        <w:spacing w:after="0" w:line="360" w:lineRule="auto"/>
        <w:ind w:left="567" w:right="567"/>
        <w:contextualSpacing/>
        <w:rPr>
          <w:rFonts w:eastAsia="Times New Roman" w:cs="Tahoma"/>
          <w:b/>
          <w:i/>
          <w:iCs/>
          <w:color w:val="auto"/>
          <w:sz w:val="20"/>
          <w:szCs w:val="20"/>
          <w:lang w:eastAsia="es-ES"/>
        </w:rPr>
      </w:pPr>
      <w:r w:rsidRPr="00296AF1">
        <w:rPr>
          <w:rFonts w:eastAsia="Times New Roman" w:cs="Tahoma"/>
          <w:b/>
          <w:i/>
          <w:iCs/>
          <w:color w:val="auto"/>
          <w:sz w:val="20"/>
          <w:szCs w:val="20"/>
          <w:lang w:eastAsia="es-ES"/>
        </w:rPr>
        <w:t>“DESCRIPCIÓN CLARA Y PRECISA DE LA INFORMACIÓN SOLICITADA.</w:t>
      </w:r>
    </w:p>
    <w:p w:rsidRPr="00296AF1" w:rsidR="00BF6B4B" w:rsidP="001F62B7" w:rsidRDefault="009F1C6E" w14:paraId="12B0D02E" w14:textId="4672A5C5">
      <w:pPr>
        <w:spacing w:after="0" w:line="360" w:lineRule="auto"/>
        <w:ind w:left="567" w:right="567"/>
        <w:contextualSpacing/>
        <w:rPr>
          <w:rFonts w:eastAsia="Times New Roman" w:cs="Times New Roman"/>
          <w:i/>
          <w:iCs/>
          <w:color w:val="auto"/>
          <w:sz w:val="20"/>
          <w:szCs w:val="20"/>
          <w:lang w:eastAsia="es-MX"/>
        </w:rPr>
      </w:pPr>
      <w:r w:rsidRPr="00296AF1">
        <w:rPr>
          <w:rFonts w:eastAsia="Times New Roman" w:cs="Times New Roman"/>
          <w:i/>
          <w:iCs/>
          <w:color w:val="auto"/>
          <w:sz w:val="20"/>
          <w:szCs w:val="20"/>
          <w:lang w:eastAsia="es-MX"/>
        </w:rPr>
        <w:t>LISTA DE LAS OBRAS QUE SE VAN EJECUTAR DURANTE EL EJERCICIO FISCAL 2023, CON RECURSOS ESTATALES, FEDERALES Y RECURSO PROPIO</w:t>
      </w:r>
      <w:r w:rsidRPr="00296AF1" w:rsidR="00BF6B4B">
        <w:rPr>
          <w:rFonts w:eastAsia="Times New Roman" w:cs="Tahoma"/>
          <w:bCs/>
          <w:i/>
          <w:iCs/>
          <w:color w:val="auto"/>
          <w:sz w:val="20"/>
          <w:szCs w:val="20"/>
          <w:lang w:eastAsia="es-ES"/>
        </w:rPr>
        <w:t xml:space="preserve">” (Sic) </w:t>
      </w:r>
    </w:p>
    <w:p w:rsidRPr="00296AF1" w:rsidR="00BF6B4B" w:rsidP="001F62B7" w:rsidRDefault="00BF6B4B" w14:paraId="242F3FA4" w14:textId="77777777">
      <w:pPr>
        <w:tabs>
          <w:tab w:val="left" w:pos="4667"/>
        </w:tabs>
        <w:spacing w:after="0" w:line="360" w:lineRule="auto"/>
        <w:ind w:left="567" w:right="567"/>
        <w:contextualSpacing/>
        <w:rPr>
          <w:rFonts w:eastAsia="Times New Roman" w:cs="Tahoma"/>
          <w:b/>
          <w:bCs/>
          <w:i/>
          <w:iCs/>
          <w:color w:val="auto"/>
          <w:sz w:val="20"/>
          <w:szCs w:val="20"/>
          <w:lang w:eastAsia="es-ES"/>
        </w:rPr>
      </w:pPr>
    </w:p>
    <w:p w:rsidRPr="00296AF1" w:rsidR="00BF6B4B" w:rsidP="001F62B7" w:rsidRDefault="00BF6B4B" w14:paraId="43A942A1" w14:textId="77777777">
      <w:pPr>
        <w:tabs>
          <w:tab w:val="left" w:pos="4667"/>
        </w:tabs>
        <w:spacing w:after="0" w:line="360" w:lineRule="auto"/>
        <w:ind w:left="567" w:right="567"/>
        <w:contextualSpacing/>
        <w:rPr>
          <w:rFonts w:eastAsia="Times New Roman" w:cs="Tahoma"/>
          <w:b/>
          <w:bCs/>
          <w:i/>
          <w:iCs/>
          <w:color w:val="auto"/>
          <w:sz w:val="20"/>
          <w:lang w:eastAsia="es-ES"/>
        </w:rPr>
      </w:pPr>
      <w:r w:rsidRPr="00296AF1">
        <w:rPr>
          <w:rFonts w:eastAsia="Times New Roman" w:cs="Tahoma"/>
          <w:b/>
          <w:bCs/>
          <w:i/>
          <w:iCs/>
          <w:color w:val="auto"/>
          <w:sz w:val="20"/>
          <w:lang w:eastAsia="es-ES"/>
        </w:rPr>
        <w:t>“MODALIDAD DE ENTREGA</w:t>
      </w:r>
    </w:p>
    <w:p w:rsidRPr="00296AF1" w:rsidR="00BF6B4B" w:rsidP="001F62B7" w:rsidRDefault="00BF6B4B" w14:paraId="4F6E0257" w14:textId="77777777">
      <w:pPr>
        <w:spacing w:after="0" w:line="360" w:lineRule="auto"/>
        <w:ind w:left="567" w:right="567"/>
        <w:contextualSpacing/>
        <w:rPr>
          <w:rFonts w:eastAsia="Times New Roman" w:cs="Arial"/>
          <w:bCs/>
          <w:i/>
          <w:iCs/>
          <w:color w:val="auto"/>
          <w:sz w:val="20"/>
          <w:lang w:eastAsia="es-ES"/>
        </w:rPr>
      </w:pPr>
      <w:r w:rsidRPr="00296AF1">
        <w:rPr>
          <w:rFonts w:eastAsia="Times New Roman" w:cs="Arial"/>
          <w:bCs/>
          <w:i/>
          <w:iCs/>
          <w:color w:val="auto"/>
          <w:sz w:val="20"/>
          <w:lang w:eastAsia="es-ES"/>
        </w:rPr>
        <w:t>A través del SAIMEX”</w:t>
      </w:r>
    </w:p>
    <w:p w:rsidRPr="00296AF1" w:rsidR="00BF6B4B" w:rsidP="001F62B7" w:rsidRDefault="00BF6B4B" w14:paraId="4A5C9401" w14:textId="77777777">
      <w:pPr>
        <w:spacing w:after="0" w:line="360" w:lineRule="auto"/>
        <w:ind w:left="567" w:right="567"/>
        <w:contextualSpacing/>
        <w:rPr>
          <w:rFonts w:eastAsia="Times New Roman" w:cs="Arial"/>
          <w:bCs/>
          <w:i/>
          <w:iCs/>
          <w:color w:val="auto"/>
          <w:lang w:eastAsia="es-ES"/>
        </w:rPr>
      </w:pPr>
    </w:p>
    <w:p w:rsidRPr="00296AF1" w:rsidR="00BF6B4B" w:rsidP="001F62B7" w:rsidRDefault="00BF6B4B" w14:paraId="5CA6C061" w14:textId="77777777">
      <w:pPr>
        <w:autoSpaceDE w:val="0"/>
        <w:autoSpaceDN w:val="0"/>
        <w:adjustRightInd w:val="0"/>
        <w:spacing w:after="0" w:line="360" w:lineRule="auto"/>
        <w:contextualSpacing/>
        <w:rPr>
          <w:b/>
          <w:bCs/>
        </w:rPr>
      </w:pPr>
      <w:r w:rsidRPr="00296AF1">
        <w:rPr>
          <w:rFonts w:cs="Tahoma"/>
          <w:b/>
        </w:rPr>
        <w:t>II.</w:t>
      </w:r>
      <w:r w:rsidRPr="00296AF1">
        <w:rPr>
          <w:b/>
          <w:bCs/>
        </w:rPr>
        <w:t xml:space="preserve"> Respuesta del Sujeto Obligado. </w:t>
      </w:r>
    </w:p>
    <w:p w:rsidRPr="00296AF1" w:rsidR="009F1C6E" w:rsidP="001F62B7" w:rsidRDefault="00BF6B4B" w14:paraId="62710A5A" w14:textId="0CFD4609">
      <w:pPr>
        <w:spacing w:after="0" w:line="360" w:lineRule="auto"/>
        <w:contextualSpacing/>
      </w:pPr>
      <w:r w:rsidRPr="00296AF1">
        <w:lastRenderedPageBreak/>
        <w:t xml:space="preserve">Con fecha </w:t>
      </w:r>
      <w:r w:rsidRPr="00296AF1" w:rsidR="009F1C6E">
        <w:t>nueve de mayo</w:t>
      </w:r>
      <w:r w:rsidRPr="00296AF1">
        <w:t xml:space="preserve"> de dos mil veintitrés, el Sujeto Obligado notificó, a través del Sistema de Acceso a la Información Mexiquense (SAIMEX), la respuesta a la solicitud de acceso a la información </w:t>
      </w:r>
      <w:r w:rsidRPr="00296AF1" w:rsidR="009F1C6E">
        <w:t>pública, a través del oficio número TEC/DGOP/OF/230/2023, del seis de mayo de dos mil veintitrés, emitido por el Director General de Obras Públicas y dirigido al Titular de la Unidad de Transparencia Municipal, cuyo contenido es el siguiente:</w:t>
      </w:r>
    </w:p>
    <w:p w:rsidRPr="00296AF1" w:rsidR="009F1C6E" w:rsidP="001F62B7" w:rsidRDefault="009F1C6E" w14:paraId="6B747D11" w14:textId="77777777">
      <w:pPr>
        <w:spacing w:after="0" w:line="360" w:lineRule="auto"/>
        <w:contextualSpacing/>
      </w:pPr>
    </w:p>
    <w:p w:rsidRPr="00296AF1" w:rsidR="009F1C6E" w:rsidP="009F1C6E" w:rsidRDefault="009F1C6E" w14:paraId="3899A142" w14:textId="77777777">
      <w:pPr>
        <w:spacing w:after="0" w:line="360" w:lineRule="auto"/>
        <w:ind w:left="567" w:right="567"/>
        <w:contextualSpacing/>
        <w:rPr>
          <w:i/>
          <w:iCs/>
          <w:sz w:val="20"/>
          <w:szCs w:val="20"/>
        </w:rPr>
      </w:pPr>
      <w:r w:rsidRPr="00296AF1">
        <w:rPr>
          <w:i/>
          <w:iCs/>
          <w:sz w:val="20"/>
          <w:szCs w:val="20"/>
        </w:rPr>
        <w:t>“…</w:t>
      </w:r>
    </w:p>
    <w:p w:rsidRPr="00296AF1" w:rsidR="009F1C6E" w:rsidP="009F1C6E" w:rsidRDefault="009F1C6E" w14:paraId="0C675469" w14:textId="77777777">
      <w:pPr>
        <w:spacing w:after="0" w:line="360" w:lineRule="auto"/>
        <w:ind w:left="567" w:right="567"/>
        <w:contextualSpacing/>
        <w:rPr>
          <w:i/>
          <w:iCs/>
          <w:sz w:val="20"/>
          <w:szCs w:val="20"/>
        </w:rPr>
      </w:pPr>
      <w:r w:rsidRPr="00296AF1">
        <w:rPr>
          <w:i/>
          <w:iCs/>
          <w:sz w:val="20"/>
          <w:szCs w:val="20"/>
        </w:rPr>
        <w:t xml:space="preserve">Al respecto de la solicitud informo: </w:t>
      </w:r>
    </w:p>
    <w:p w:rsidRPr="00296AF1" w:rsidR="009F1C6E" w:rsidP="009F1C6E" w:rsidRDefault="009F1C6E" w14:paraId="5DB09C99" w14:textId="77777777">
      <w:pPr>
        <w:spacing w:after="0" w:line="360" w:lineRule="auto"/>
        <w:ind w:left="567" w:right="567"/>
        <w:contextualSpacing/>
        <w:rPr>
          <w:i/>
          <w:iCs/>
          <w:sz w:val="20"/>
          <w:szCs w:val="20"/>
        </w:rPr>
      </w:pPr>
    </w:p>
    <w:p w:rsidRPr="00296AF1" w:rsidR="009F1C6E" w:rsidP="009F1C6E" w:rsidRDefault="009F1C6E" w14:paraId="4DFEF557" w14:textId="731DEA40">
      <w:pPr>
        <w:spacing w:after="0" w:line="360" w:lineRule="auto"/>
        <w:ind w:left="567" w:right="567"/>
        <w:contextualSpacing/>
        <w:rPr>
          <w:i/>
          <w:iCs/>
          <w:sz w:val="20"/>
          <w:szCs w:val="20"/>
        </w:rPr>
      </w:pPr>
      <w:r w:rsidRPr="00296AF1">
        <w:rPr>
          <w:i/>
          <w:iCs/>
          <w:sz w:val="20"/>
          <w:szCs w:val="20"/>
        </w:rPr>
        <w:t>El programa anual de obra pública municipal de Tecámac para el ejercicio 2023 fue autorizado en sesión de cabildo celebrada en este ayuntamiento, y publicado en la gaceta municipal con fecha 7 de febrero de 2023, disponible para su consulta en línea.</w:t>
      </w:r>
    </w:p>
    <w:p w:rsidRPr="00296AF1" w:rsidR="009F1C6E" w:rsidP="009F1C6E" w:rsidRDefault="009F1C6E" w14:paraId="12F2BBD6" w14:textId="78CC3AF6">
      <w:pPr>
        <w:spacing w:after="0" w:line="360" w:lineRule="auto"/>
        <w:ind w:left="567" w:right="567"/>
        <w:contextualSpacing/>
        <w:rPr>
          <w:i/>
          <w:iCs/>
          <w:sz w:val="20"/>
          <w:szCs w:val="20"/>
        </w:rPr>
      </w:pPr>
      <w:r w:rsidRPr="00296AF1">
        <w:rPr>
          <w:i/>
          <w:iCs/>
          <w:sz w:val="20"/>
          <w:szCs w:val="20"/>
        </w:rPr>
        <w:t>…”</w:t>
      </w:r>
    </w:p>
    <w:p w:rsidRPr="00296AF1" w:rsidR="009F1C6E" w:rsidP="001F62B7" w:rsidRDefault="009F1C6E" w14:paraId="6EEEDF0C" w14:textId="77777777">
      <w:pPr>
        <w:spacing w:after="0" w:line="360" w:lineRule="auto"/>
        <w:contextualSpacing/>
      </w:pPr>
    </w:p>
    <w:p w:rsidRPr="00296AF1" w:rsidR="00BF6B4B" w:rsidP="001F62B7" w:rsidRDefault="009F1C6E" w14:paraId="042F3729" w14:textId="0B65564D">
      <w:pPr>
        <w:spacing w:after="0" w:line="360" w:lineRule="auto"/>
        <w:contextualSpacing/>
      </w:pPr>
      <w:r w:rsidRPr="00296AF1">
        <w:t>El Sujeto Obligado adjuntó la</w:t>
      </w:r>
      <w:r w:rsidRPr="00296AF1" w:rsidR="00BF6B4B">
        <w:t xml:space="preserve"> digitalización </w:t>
      </w:r>
      <w:r w:rsidRPr="00296AF1">
        <w:t>de la “Gaceta Municipal”, Periódico Oficial del Gobierno Municipal de Tecámac, Estado de México, número 6, del veinticuatro de febrero de dos mil veintitrés.</w:t>
      </w:r>
    </w:p>
    <w:p w:rsidRPr="00296AF1" w:rsidR="00BF6B4B" w:rsidP="001F62B7" w:rsidRDefault="00BF6B4B" w14:paraId="2263E548" w14:textId="77777777">
      <w:pPr>
        <w:spacing w:after="0" w:line="360" w:lineRule="auto"/>
        <w:contextualSpacing/>
      </w:pPr>
    </w:p>
    <w:p w:rsidRPr="00296AF1" w:rsidR="00BF6B4B" w:rsidP="001F62B7" w:rsidRDefault="00BF6B4B" w14:paraId="6CE53D45" w14:textId="77777777">
      <w:pPr>
        <w:spacing w:after="0" w:line="360" w:lineRule="auto"/>
        <w:contextualSpacing/>
        <w:rPr>
          <w:b/>
        </w:rPr>
      </w:pPr>
      <w:r w:rsidRPr="00296AF1">
        <w:rPr>
          <w:b/>
        </w:rPr>
        <w:t xml:space="preserve">III. Interposición del Recurso de Revisión. </w:t>
      </w:r>
    </w:p>
    <w:p w:rsidRPr="00296AF1" w:rsidR="00BF6B4B" w:rsidP="001F62B7" w:rsidRDefault="00BF6B4B" w14:paraId="316C7BED" w14:textId="77777777">
      <w:pPr>
        <w:spacing w:after="0" w:line="360" w:lineRule="auto"/>
        <w:contextualSpacing/>
        <w:rPr>
          <w:bCs/>
        </w:rPr>
      </w:pPr>
    </w:p>
    <w:p w:rsidRPr="00296AF1" w:rsidR="00BF6B4B" w:rsidP="001F62B7" w:rsidRDefault="00BF6B4B" w14:paraId="29DAF051" w14:textId="51A435A7">
      <w:pPr>
        <w:spacing w:after="0" w:line="360" w:lineRule="auto"/>
        <w:contextualSpacing/>
        <w:rPr>
          <w:bCs/>
        </w:rPr>
      </w:pPr>
      <w:r w:rsidRPr="00296AF1">
        <w:rPr>
          <w:bCs/>
        </w:rPr>
        <w:t xml:space="preserve">Con fecha </w:t>
      </w:r>
      <w:r w:rsidRPr="00296AF1" w:rsidR="009F1C6E">
        <w:rPr>
          <w:bCs/>
        </w:rPr>
        <w:t>diez de mayo</w:t>
      </w:r>
      <w:r w:rsidRPr="00296AF1">
        <w:rPr>
          <w:bCs/>
        </w:rPr>
        <w:t xml:space="preserve"> de dos mil veintitrés, se recibió en este Instituto, a través del </w:t>
      </w:r>
      <w:r w:rsidRPr="00296AF1">
        <w:rPr>
          <w:bCs/>
          <w:lang w:val="es-ES"/>
        </w:rPr>
        <w:t>Sistema de Acceso a la Información Mexiquense (SAIMEX)</w:t>
      </w:r>
      <w:r w:rsidRPr="00296AF1">
        <w:rPr>
          <w:bCs/>
        </w:rPr>
        <w:t>, Recurso de Revisión interpuesto por la parte Recurrente, en contra de la respuesta por el Sujeto Obligado,</w:t>
      </w:r>
      <w:r w:rsidRPr="00296AF1" w:rsidR="003434C6">
        <w:rPr>
          <w:bCs/>
        </w:rPr>
        <w:t xml:space="preserve"> a la solicitud de información,</w:t>
      </w:r>
      <w:r w:rsidRPr="00296AF1" w:rsidR="00E3287F">
        <w:rPr>
          <w:b/>
        </w:rPr>
        <w:t xml:space="preserve"> </w:t>
      </w:r>
      <w:r w:rsidRPr="00296AF1">
        <w:rPr>
          <w:bCs/>
        </w:rPr>
        <w:t>en los siguientes términos:</w:t>
      </w:r>
    </w:p>
    <w:p w:rsidRPr="00296AF1" w:rsidR="00BF6B4B" w:rsidP="001F62B7" w:rsidRDefault="00BF6B4B" w14:paraId="4F421643" w14:textId="77777777">
      <w:pPr>
        <w:spacing w:after="0" w:line="360" w:lineRule="auto"/>
        <w:contextualSpacing/>
        <w:rPr>
          <w:bCs/>
        </w:rPr>
      </w:pPr>
    </w:p>
    <w:p w:rsidRPr="00296AF1" w:rsidR="00BF6B4B" w:rsidP="001F62B7" w:rsidRDefault="00BF6B4B" w14:paraId="355CE314" w14:textId="77777777">
      <w:pPr>
        <w:spacing w:after="0" w:line="360" w:lineRule="auto"/>
        <w:ind w:left="567" w:right="567"/>
        <w:contextualSpacing/>
        <w:jc w:val="left"/>
        <w:rPr>
          <w:bCs/>
          <w:i/>
          <w:sz w:val="20"/>
          <w:szCs w:val="20"/>
        </w:rPr>
      </w:pPr>
      <w:r w:rsidRPr="00296AF1">
        <w:rPr>
          <w:b/>
          <w:bCs/>
          <w:i/>
          <w:sz w:val="20"/>
          <w:szCs w:val="20"/>
        </w:rPr>
        <w:t>“ACTO IMPUGNADO</w:t>
      </w:r>
    </w:p>
    <w:p w:rsidRPr="00296AF1" w:rsidR="00BF6B4B" w:rsidP="001F62B7" w:rsidRDefault="003434C6" w14:paraId="47804ED5" w14:textId="674EFD27">
      <w:pPr>
        <w:spacing w:after="0" w:line="360" w:lineRule="auto"/>
        <w:ind w:left="567" w:right="567"/>
        <w:contextualSpacing/>
        <w:jc w:val="left"/>
        <w:rPr>
          <w:rFonts w:eastAsia="Times New Roman" w:cs="Times New Roman"/>
          <w:i/>
          <w:color w:val="auto"/>
          <w:sz w:val="20"/>
          <w:szCs w:val="20"/>
          <w:lang w:eastAsia="es-MX"/>
        </w:rPr>
      </w:pPr>
      <w:r w:rsidRPr="00296AF1">
        <w:rPr>
          <w:rFonts w:eastAsia="Times New Roman" w:cs="Times New Roman"/>
          <w:i/>
          <w:color w:val="auto"/>
          <w:sz w:val="20"/>
          <w:szCs w:val="20"/>
          <w:lang w:eastAsia="es-MX"/>
        </w:rPr>
        <w:t xml:space="preserve">LA CONTESTACON PRESENTADA POR PARTE DEL ÁREA ENCARGADA DE PROPORCIONAR LA INFORMACION, YA QUE EN LUGAR DE PROPPORCINARME LA </w:t>
      </w:r>
      <w:r w:rsidRPr="00296AF1">
        <w:rPr>
          <w:rFonts w:eastAsia="Times New Roman" w:cs="Times New Roman"/>
          <w:i/>
          <w:color w:val="auto"/>
          <w:sz w:val="20"/>
          <w:szCs w:val="20"/>
          <w:lang w:eastAsia="es-MX"/>
        </w:rPr>
        <w:lastRenderedPageBreak/>
        <w:t>RELACION DE LA OBRA A EJECUTAR SOLO MENCIONA EL NUMERO DE ACTA EN LA QUE FUE APROBADO,</w:t>
      </w:r>
      <w:r w:rsidRPr="00296AF1" w:rsidR="00BF6B4B">
        <w:rPr>
          <w:i/>
          <w:sz w:val="20"/>
          <w:szCs w:val="20"/>
        </w:rPr>
        <w:t>” (Sic.)</w:t>
      </w:r>
    </w:p>
    <w:p w:rsidRPr="00296AF1" w:rsidR="00BF6B4B" w:rsidP="001F62B7" w:rsidRDefault="00BF6B4B" w14:paraId="205D0FAE" w14:textId="77777777">
      <w:pPr>
        <w:spacing w:after="0" w:line="360" w:lineRule="auto"/>
        <w:ind w:left="567" w:right="567"/>
        <w:contextualSpacing/>
        <w:rPr>
          <w:i/>
          <w:sz w:val="20"/>
          <w:szCs w:val="20"/>
        </w:rPr>
      </w:pPr>
    </w:p>
    <w:p w:rsidRPr="00296AF1" w:rsidR="00BF6B4B" w:rsidP="001F62B7" w:rsidRDefault="00BF6B4B" w14:paraId="2D2F58EF" w14:textId="77777777">
      <w:pPr>
        <w:spacing w:after="0" w:line="360" w:lineRule="auto"/>
        <w:ind w:left="567" w:right="567"/>
        <w:contextualSpacing/>
        <w:rPr>
          <w:b/>
          <w:i/>
          <w:sz w:val="20"/>
          <w:szCs w:val="20"/>
        </w:rPr>
      </w:pPr>
      <w:r w:rsidRPr="00296AF1">
        <w:rPr>
          <w:b/>
          <w:i/>
          <w:sz w:val="20"/>
          <w:szCs w:val="20"/>
        </w:rPr>
        <w:t>“RAZONES O MOTIVOS DE LA INCONFORMIDAD</w:t>
      </w:r>
    </w:p>
    <w:p w:rsidRPr="00296AF1" w:rsidR="00BF6B4B" w:rsidP="001F62B7" w:rsidRDefault="003434C6" w14:paraId="0C7390AF" w14:textId="1ADE0246">
      <w:pPr>
        <w:spacing w:after="0" w:line="360" w:lineRule="auto"/>
        <w:ind w:left="567" w:right="567"/>
        <w:contextualSpacing/>
        <w:rPr>
          <w:rFonts w:eastAsia="Times New Roman" w:cs="Times New Roman"/>
          <w:i/>
          <w:iCs/>
          <w:color w:val="auto"/>
          <w:sz w:val="20"/>
          <w:szCs w:val="20"/>
          <w:lang w:eastAsia="es-MX"/>
        </w:rPr>
      </w:pPr>
      <w:r w:rsidRPr="00296AF1">
        <w:rPr>
          <w:rFonts w:eastAsia="Times New Roman" w:cs="Times New Roman"/>
          <w:i/>
          <w:iCs/>
          <w:color w:val="auto"/>
          <w:sz w:val="20"/>
          <w:szCs w:val="20"/>
          <w:lang w:eastAsia="es-MX"/>
        </w:rPr>
        <w:t>QUE YO EN LA SOLICITUD PEDI</w:t>
      </w:r>
      <w:r w:rsidRPr="00296AF1" w:rsidR="00BF6B4B">
        <w:rPr>
          <w:i/>
          <w:iCs/>
          <w:sz w:val="20"/>
          <w:szCs w:val="20"/>
        </w:rPr>
        <w:t>” (Sic.)</w:t>
      </w:r>
    </w:p>
    <w:p w:rsidRPr="00296AF1" w:rsidR="00BF6B4B" w:rsidP="001F62B7" w:rsidRDefault="00BF6B4B" w14:paraId="48824478" w14:textId="77777777">
      <w:pPr>
        <w:spacing w:after="0" w:line="360" w:lineRule="auto"/>
        <w:contextualSpacing/>
      </w:pPr>
    </w:p>
    <w:p w:rsidRPr="00296AF1" w:rsidR="00BF6B4B" w:rsidP="001F62B7" w:rsidRDefault="00BF6B4B" w14:paraId="48898097" w14:textId="77777777">
      <w:pPr>
        <w:spacing w:after="0" w:line="360" w:lineRule="auto"/>
        <w:contextualSpacing/>
        <w:rPr>
          <w:b/>
          <w:bCs/>
        </w:rPr>
      </w:pPr>
      <w:r w:rsidRPr="00296AF1">
        <w:rPr>
          <w:b/>
        </w:rPr>
        <w:t xml:space="preserve">IV. </w:t>
      </w:r>
      <w:r w:rsidRPr="00296AF1">
        <w:rPr>
          <w:b/>
          <w:bCs/>
        </w:rPr>
        <w:t xml:space="preserve">Trámite del </w:t>
      </w:r>
      <w:r w:rsidRPr="00296AF1">
        <w:rPr>
          <w:b/>
        </w:rPr>
        <w:t xml:space="preserve">Recurso de Revisión </w:t>
      </w:r>
      <w:r w:rsidRPr="00296AF1">
        <w:rPr>
          <w:b/>
          <w:bCs/>
        </w:rPr>
        <w:t>ante este Instituto.</w:t>
      </w:r>
    </w:p>
    <w:p w:rsidRPr="00296AF1" w:rsidR="00BF6B4B" w:rsidP="001F62B7" w:rsidRDefault="00BF6B4B" w14:paraId="5E170841" w14:textId="77777777">
      <w:pPr>
        <w:spacing w:after="0" w:line="360" w:lineRule="auto"/>
        <w:contextualSpacing/>
        <w:rPr>
          <w:b/>
          <w:bCs/>
        </w:rPr>
      </w:pPr>
    </w:p>
    <w:p w:rsidRPr="00296AF1" w:rsidR="00BF6B4B" w:rsidP="001F62B7" w:rsidRDefault="00BF6B4B" w14:paraId="34A498EE" w14:textId="62DE886F">
      <w:pPr>
        <w:spacing w:after="0" w:line="360" w:lineRule="auto"/>
        <w:contextualSpacing/>
        <w:rPr>
          <w:b/>
          <w:bCs/>
        </w:rPr>
      </w:pPr>
      <w:r w:rsidRPr="00296AF1">
        <w:rPr>
          <w:b/>
          <w:bCs/>
        </w:rPr>
        <w:t xml:space="preserve">a) Turno del Medio de Impugnación. </w:t>
      </w:r>
      <w:r w:rsidRPr="00296AF1">
        <w:rPr>
          <w:bCs/>
        </w:rPr>
        <w:t xml:space="preserve">El </w:t>
      </w:r>
      <w:r w:rsidRPr="00296AF1" w:rsidR="003434C6">
        <w:rPr>
          <w:bCs/>
        </w:rPr>
        <w:t>diez de mayo</w:t>
      </w:r>
      <w:r w:rsidRPr="00296AF1">
        <w:rPr>
          <w:bCs/>
        </w:rPr>
        <w:t xml:space="preserve"> de dos mil veintitrés, el </w:t>
      </w:r>
      <w:r w:rsidRPr="00296AF1">
        <w:rPr>
          <w:lang w:val="es-ES"/>
        </w:rPr>
        <w:t>Sistema de Acceso a la Información Mexiquense (SAIMEX),</w:t>
      </w:r>
      <w:r w:rsidRPr="00296AF1">
        <w:rPr>
          <w:bCs/>
        </w:rPr>
        <w:t xml:space="preserve"> asignó el número de expediente </w:t>
      </w:r>
      <w:r w:rsidRPr="00296AF1">
        <w:rPr>
          <w:b/>
          <w:bCs/>
        </w:rPr>
        <w:t>0</w:t>
      </w:r>
      <w:r w:rsidRPr="00296AF1" w:rsidR="009F1C6E">
        <w:rPr>
          <w:b/>
          <w:bCs/>
        </w:rPr>
        <w:t>2536</w:t>
      </w:r>
      <w:r w:rsidRPr="00296AF1">
        <w:rPr>
          <w:b/>
          <w:bCs/>
        </w:rPr>
        <w:t>/INFOEM/IP/RR/2023</w:t>
      </w:r>
      <w:r w:rsidRPr="00296AF1">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96AF1" w:rsidR="00D560A4" w:rsidP="001F62B7" w:rsidRDefault="00D560A4" w14:paraId="46E87B8D" w14:textId="77777777">
      <w:pPr>
        <w:spacing w:after="0" w:line="360" w:lineRule="auto"/>
        <w:contextualSpacing/>
        <w:rPr>
          <w:bCs/>
        </w:rPr>
      </w:pPr>
    </w:p>
    <w:p w:rsidRPr="00296AF1" w:rsidR="00BF6B4B" w:rsidP="001F62B7" w:rsidRDefault="00BF6B4B" w14:paraId="6E25E5C6" w14:textId="1AAC2A90">
      <w:pPr>
        <w:spacing w:after="0" w:line="360" w:lineRule="auto"/>
        <w:contextualSpacing/>
      </w:pPr>
      <w:r w:rsidRPr="00296AF1">
        <w:rPr>
          <w:b/>
          <w:bCs/>
        </w:rPr>
        <w:t>b) Admisión del Recurso de Revisión</w:t>
      </w:r>
      <w:r w:rsidRPr="00296AF1">
        <w:rPr>
          <w:b/>
          <w:bCs/>
          <w:lang w:val="es-ES_tradnl"/>
        </w:rPr>
        <w:t xml:space="preserve">. </w:t>
      </w:r>
      <w:r w:rsidRPr="00296AF1">
        <w:rPr>
          <w:bCs/>
          <w:lang w:val="es-ES_tradnl"/>
        </w:rPr>
        <w:t xml:space="preserve">El </w:t>
      </w:r>
      <w:r w:rsidRPr="00296AF1" w:rsidR="003434C6">
        <w:rPr>
          <w:bCs/>
          <w:lang w:val="es-ES_tradnl"/>
        </w:rPr>
        <w:t>quince de mayo</w:t>
      </w:r>
      <w:r w:rsidRPr="00296AF1" w:rsidR="00E3287F">
        <w:rPr>
          <w:bCs/>
          <w:lang w:val="es-ES_tradnl"/>
        </w:rPr>
        <w:t xml:space="preserve"> </w:t>
      </w:r>
      <w:r w:rsidRPr="00296AF1">
        <w:rPr>
          <w:bCs/>
          <w:lang w:val="es-ES_tradnl"/>
        </w:rPr>
        <w:t>de dos mil veintitrés,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rsidRPr="00296AF1" w:rsidR="00BF6B4B" w:rsidP="001F62B7" w:rsidRDefault="00BF6B4B" w14:paraId="3EECDDCF" w14:textId="77777777">
      <w:pPr>
        <w:spacing w:after="0" w:line="360" w:lineRule="auto"/>
        <w:contextualSpacing/>
      </w:pPr>
    </w:p>
    <w:p w:rsidRPr="00296AF1" w:rsidR="00BF6B4B" w:rsidP="001F62B7" w:rsidRDefault="00BF6B4B" w14:paraId="200611DD" w14:textId="7CC6FEB7">
      <w:pPr>
        <w:spacing w:after="0" w:line="360" w:lineRule="auto"/>
        <w:contextualSpacing/>
        <w:rPr>
          <w:bCs/>
        </w:rPr>
      </w:pPr>
      <w:r w:rsidRPr="00296AF1">
        <w:rPr>
          <w:b/>
        </w:rPr>
        <w:t xml:space="preserve">c) </w:t>
      </w:r>
      <w:r w:rsidRPr="00296AF1" w:rsidR="00E3287F">
        <w:rPr>
          <w:rFonts w:cs="Tahoma"/>
          <w:b/>
          <w:lang w:val="es-ES_tradnl"/>
        </w:rPr>
        <w:t xml:space="preserve">Informe Justificado o Manifestaciones. </w:t>
      </w:r>
      <w:r w:rsidRPr="00296AF1" w:rsidR="00E3287F">
        <w:rPr>
          <w:rFonts w:cs="Tahoma"/>
          <w:lang w:val="es-ES_tradnl"/>
        </w:rPr>
        <w:t>Las partes fueron omisas en emitir manifestaciones o alegatos.</w:t>
      </w:r>
    </w:p>
    <w:p w:rsidRPr="00296AF1" w:rsidR="00BF6B4B" w:rsidP="001F62B7" w:rsidRDefault="00BF6B4B" w14:paraId="03503C36" w14:textId="77777777">
      <w:pPr>
        <w:spacing w:after="0" w:line="360" w:lineRule="auto"/>
        <w:contextualSpacing/>
        <w:rPr>
          <w:rFonts w:eastAsia="Times New Roman" w:cs="Tahoma"/>
          <w:b/>
          <w:color w:val="auto"/>
          <w:szCs w:val="24"/>
          <w:lang w:eastAsia="es-ES"/>
        </w:rPr>
      </w:pPr>
    </w:p>
    <w:p w:rsidRPr="00296AF1" w:rsidR="00BF6B4B" w:rsidP="001F62B7" w:rsidRDefault="00BF6B4B" w14:paraId="38228E07" w14:textId="6F971935">
      <w:pPr>
        <w:spacing w:after="0" w:line="360" w:lineRule="auto"/>
        <w:contextualSpacing/>
        <w:rPr>
          <w:rFonts w:eastAsia="Palatino Linotype" w:cs="Palatino Linotype"/>
          <w:b/>
          <w:bCs/>
        </w:rPr>
      </w:pPr>
      <w:r w:rsidRPr="00296AF1">
        <w:rPr>
          <w:rFonts w:eastAsia="Times New Roman" w:cs="Tahoma"/>
          <w:b/>
          <w:color w:val="auto"/>
          <w:szCs w:val="24"/>
          <w:lang w:eastAsia="es-ES"/>
        </w:rPr>
        <w:t>d) Cierre de instrucción.</w:t>
      </w:r>
      <w:r w:rsidRPr="00296AF1">
        <w:rPr>
          <w:rFonts w:eastAsia="Times New Roman" w:cs="Tahoma"/>
          <w:color w:val="auto"/>
          <w:szCs w:val="24"/>
          <w:lang w:eastAsia="es-ES"/>
        </w:rPr>
        <w:t xml:space="preserve"> El </w:t>
      </w:r>
      <w:r w:rsidRPr="00296AF1" w:rsidR="003434C6">
        <w:rPr>
          <w:rFonts w:eastAsia="Times New Roman" w:cs="Tahoma"/>
          <w:color w:val="auto"/>
          <w:szCs w:val="24"/>
          <w:lang w:eastAsia="es-ES"/>
        </w:rPr>
        <w:t>veinticinco</w:t>
      </w:r>
      <w:r w:rsidRPr="00296AF1" w:rsidR="00E3287F">
        <w:rPr>
          <w:rFonts w:eastAsia="Times New Roman" w:cs="Tahoma"/>
          <w:color w:val="auto"/>
          <w:szCs w:val="24"/>
          <w:lang w:eastAsia="es-ES"/>
        </w:rPr>
        <w:t xml:space="preserve"> </w:t>
      </w:r>
      <w:r w:rsidRPr="00296AF1">
        <w:rPr>
          <w:rFonts w:eastAsia="Times New Roman" w:cs="Tahoma"/>
          <w:color w:val="auto"/>
          <w:szCs w:val="24"/>
          <w:lang w:eastAsia="es-ES"/>
        </w:rPr>
        <w:t xml:space="preserve">de mayo de dos mil veintitrés, al no existir diligencias pendientes por desahogar, se emitió el acuerdo por medio del cual se declaró cerrada la </w:t>
      </w:r>
      <w:r w:rsidRPr="00296AF1">
        <w:rPr>
          <w:rFonts w:eastAsia="Times New Roman" w:cs="Tahoma"/>
          <w:color w:val="auto"/>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Pr="00296AF1">
        <w:rPr>
          <w:rFonts w:eastAsia="Palatino Linotype" w:cs="Palatino Linotype"/>
          <w:lang w:val="es-ES"/>
        </w:rPr>
        <w:t>acto que fue notificado a las p</w:t>
      </w:r>
      <w:r w:rsidRPr="00296AF1" w:rsidR="001F62B7">
        <w:rPr>
          <w:rFonts w:eastAsia="Palatino Linotype" w:cs="Palatino Linotype"/>
          <w:lang w:val="es-ES"/>
        </w:rPr>
        <w:t>artes</w:t>
      </w:r>
      <w:r w:rsidRPr="00296AF1">
        <w:rPr>
          <w:rFonts w:eastAsia="Palatino Linotype" w:cs="Palatino Linotype"/>
          <w:lang w:val="es-ES"/>
        </w:rPr>
        <w:t>, mediante el Sistema de Acceso a la Información Mexiquense (SAIMEX), el mismo día.</w:t>
      </w:r>
    </w:p>
    <w:p w:rsidRPr="00296AF1" w:rsidR="00BF6B4B" w:rsidP="001F62B7" w:rsidRDefault="00BF6B4B" w14:paraId="20AF750B" w14:textId="77777777">
      <w:pPr>
        <w:spacing w:after="0" w:line="360" w:lineRule="auto"/>
        <w:contextualSpacing/>
        <w:rPr>
          <w:rFonts w:eastAsia="Times New Roman" w:cs="Tahoma"/>
          <w:color w:val="auto"/>
          <w:szCs w:val="24"/>
          <w:lang w:eastAsia="es-ES"/>
        </w:rPr>
      </w:pPr>
    </w:p>
    <w:p w:rsidRPr="00296AF1" w:rsidR="00BF6B4B" w:rsidP="001F62B7" w:rsidRDefault="00BF6B4B" w14:paraId="0629F0F4" w14:textId="77777777">
      <w:pPr>
        <w:spacing w:after="0" w:line="360" w:lineRule="auto"/>
        <w:contextualSpacing/>
        <w:rPr>
          <w:rFonts w:eastAsia="Times New Roman" w:cs="Tahoma"/>
          <w:color w:val="auto"/>
          <w:szCs w:val="24"/>
          <w:lang w:eastAsia="es-ES"/>
        </w:rPr>
      </w:pPr>
      <w:r w:rsidRPr="00296AF1">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296AF1" w:rsidR="00BF6B4B" w:rsidP="001F62B7" w:rsidRDefault="00BF6B4B" w14:paraId="120D7ED6" w14:textId="77777777">
      <w:pPr>
        <w:spacing w:after="0" w:line="360" w:lineRule="auto"/>
        <w:contextualSpacing/>
        <w:rPr>
          <w:rFonts w:eastAsia="Times New Roman" w:cs="Tahoma"/>
          <w:bCs/>
          <w:iCs/>
          <w:color w:val="auto"/>
          <w:lang w:val="es-ES" w:eastAsia="es-ES"/>
        </w:rPr>
      </w:pPr>
    </w:p>
    <w:p w:rsidRPr="00296AF1" w:rsidR="00BF6B4B" w:rsidP="001F62B7" w:rsidRDefault="00BF6B4B" w14:paraId="2AC78214" w14:textId="77777777">
      <w:pPr>
        <w:spacing w:after="0" w:line="360" w:lineRule="auto"/>
        <w:contextualSpacing/>
        <w:jc w:val="center"/>
        <w:rPr>
          <w:rFonts w:eastAsia="Times New Roman" w:cs="Tahoma"/>
          <w:b/>
          <w:color w:val="auto"/>
          <w:lang w:val="es-ES" w:eastAsia="es-ES"/>
        </w:rPr>
      </w:pPr>
      <w:r w:rsidRPr="00296AF1">
        <w:rPr>
          <w:rFonts w:eastAsia="Times New Roman" w:cs="Tahoma"/>
          <w:b/>
          <w:color w:val="auto"/>
          <w:lang w:val="es-ES" w:eastAsia="es-ES"/>
        </w:rPr>
        <w:t>C O N S I D E R A N D O S:</w:t>
      </w:r>
    </w:p>
    <w:p w:rsidRPr="00296AF1" w:rsidR="00BF6B4B" w:rsidP="001F62B7" w:rsidRDefault="00BF6B4B" w14:paraId="42D604CB" w14:textId="77777777">
      <w:pPr>
        <w:spacing w:after="0" w:line="360" w:lineRule="auto"/>
        <w:contextualSpacing/>
        <w:rPr>
          <w:b/>
        </w:rPr>
      </w:pPr>
    </w:p>
    <w:p w:rsidRPr="00296AF1" w:rsidR="00BF6B4B" w:rsidP="001F62B7" w:rsidRDefault="00BF6B4B" w14:paraId="2782BD2F" w14:textId="77777777">
      <w:pPr>
        <w:autoSpaceDE w:val="0"/>
        <w:autoSpaceDN w:val="0"/>
        <w:adjustRightInd w:val="0"/>
        <w:spacing w:after="0" w:line="360" w:lineRule="auto"/>
        <w:contextualSpacing/>
        <w:rPr>
          <w:rFonts w:eastAsia="Times New Roman" w:cs="Tahoma"/>
          <w:b/>
          <w:color w:val="auto"/>
          <w:szCs w:val="24"/>
          <w:lang w:val="es-ES" w:eastAsia="es-ES"/>
        </w:rPr>
      </w:pPr>
      <w:r w:rsidRPr="00296AF1">
        <w:rPr>
          <w:rFonts w:eastAsia="Calibri" w:cs="Tahoma"/>
          <w:b/>
          <w:color w:val="000000"/>
          <w:szCs w:val="24"/>
          <w:lang w:val="es-ES" w:eastAsia="es-MX"/>
        </w:rPr>
        <w:t>PRIMERO</w:t>
      </w:r>
      <w:r w:rsidRPr="00296AF1">
        <w:rPr>
          <w:rFonts w:eastAsia="Calibri" w:cs="Tahoma"/>
          <w:color w:val="000000"/>
          <w:szCs w:val="24"/>
          <w:lang w:val="es-ES" w:eastAsia="es-MX"/>
        </w:rPr>
        <w:t xml:space="preserve">. </w:t>
      </w:r>
      <w:r w:rsidRPr="00296AF1">
        <w:rPr>
          <w:rFonts w:eastAsia="Times New Roman" w:cs="Tahoma"/>
          <w:b/>
          <w:color w:val="auto"/>
          <w:szCs w:val="24"/>
          <w:lang w:val="es-ES" w:eastAsia="es-ES"/>
        </w:rPr>
        <w:t>Competencia.</w:t>
      </w:r>
    </w:p>
    <w:p w:rsidRPr="00296AF1" w:rsidR="00BF6B4B" w:rsidP="001F62B7" w:rsidRDefault="00BF6B4B" w14:paraId="5DA07AF4" w14:textId="77777777">
      <w:pPr>
        <w:autoSpaceDE w:val="0"/>
        <w:autoSpaceDN w:val="0"/>
        <w:adjustRightInd w:val="0"/>
        <w:spacing w:after="0" w:line="360" w:lineRule="auto"/>
        <w:contextualSpacing/>
        <w:rPr>
          <w:rFonts w:eastAsia="Times New Roman" w:cs="Tahoma"/>
          <w:b/>
          <w:color w:val="auto"/>
          <w:szCs w:val="24"/>
          <w:lang w:val="es-ES" w:eastAsia="es-ES"/>
        </w:rPr>
      </w:pPr>
    </w:p>
    <w:p w:rsidRPr="00296AF1" w:rsidR="00BF6B4B" w:rsidP="001F62B7" w:rsidRDefault="00BF6B4B" w14:paraId="7099DC65" w14:textId="77777777">
      <w:pPr>
        <w:spacing w:after="0" w:line="360" w:lineRule="auto"/>
        <w:contextualSpacing/>
        <w:rPr>
          <w:rFonts w:eastAsia="Times New Roman" w:cs="Tahoma"/>
          <w:bCs/>
          <w:color w:val="auto"/>
          <w:lang w:eastAsia="es-ES"/>
        </w:rPr>
      </w:pPr>
      <w:r w:rsidRPr="00296AF1">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296AF1">
        <w:rPr>
          <w:rFonts w:eastAsia="Times New Roman" w:cs="Tahoma"/>
          <w:bCs/>
          <w:color w:val="auto"/>
          <w:lang w:eastAsia="es-ES"/>
        </w:rPr>
        <w:t>trig</w:t>
      </w:r>
      <w:r w:rsidRPr="00296AF1">
        <w:rPr>
          <w:rFonts w:eastAsia="Times New Roman" w:cs="Tahoma"/>
          <w:bCs/>
          <w:color w:val="auto"/>
          <w:lang w:val="x-none" w:eastAsia="es-ES"/>
        </w:rPr>
        <w:t>ésimo</w:t>
      </w:r>
      <w:proofErr w:type="spellEnd"/>
      <w:r w:rsidRPr="00296AF1">
        <w:rPr>
          <w:rFonts w:eastAsia="Times New Roman" w:cs="Tahoma"/>
          <w:bCs/>
          <w:color w:val="auto"/>
          <w:lang w:val="x-none" w:eastAsia="es-ES"/>
        </w:rPr>
        <w:t>, trigésimo primero</w:t>
      </w:r>
      <w:r w:rsidRPr="00296AF1">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96AF1">
        <w:rPr>
          <w:rFonts w:eastAsia="Times New Roman" w:cs="Times New Roman"/>
          <w:bCs/>
          <w:color w:val="auto"/>
          <w:lang w:eastAsia="es-ES"/>
        </w:rPr>
        <w:t xml:space="preserve"> 7°, </w:t>
      </w:r>
      <w:r w:rsidRPr="00296AF1">
        <w:rPr>
          <w:rFonts w:eastAsia="Times New Roman" w:cs="Tahoma"/>
          <w:bCs/>
          <w:color w:val="auto"/>
          <w:lang w:eastAsia="es-ES"/>
        </w:rPr>
        <w:t>9°, fracciones I y XXIII y 11 del Reglamento Interior del Instituto de Transparencia, Acceso a la Información Pública y Protección de Datos Personales del Estado de México y Municipios.</w:t>
      </w:r>
    </w:p>
    <w:p w:rsidRPr="00296AF1" w:rsidR="00BF6B4B" w:rsidP="001F62B7" w:rsidRDefault="00BF6B4B" w14:paraId="59A91543" w14:textId="77777777">
      <w:pPr>
        <w:spacing w:after="0" w:line="360" w:lineRule="auto"/>
        <w:contextualSpacing/>
        <w:rPr>
          <w:rFonts w:eastAsia="Times New Roman" w:cs="Tahoma"/>
          <w:bCs/>
          <w:color w:val="auto"/>
          <w:lang w:eastAsia="es-ES"/>
        </w:rPr>
      </w:pPr>
    </w:p>
    <w:p w:rsidRPr="00296AF1" w:rsidR="00BF6B4B" w:rsidP="001F62B7" w:rsidRDefault="00BF6B4B" w14:paraId="46A18DDF" w14:textId="77777777">
      <w:pPr>
        <w:autoSpaceDE w:val="0"/>
        <w:autoSpaceDN w:val="0"/>
        <w:adjustRightInd w:val="0"/>
        <w:spacing w:after="0" w:line="360" w:lineRule="auto"/>
        <w:contextualSpacing/>
        <w:rPr>
          <w:rFonts w:eastAsia="Times New Roman" w:cs="Tahoma"/>
          <w:color w:val="auto"/>
          <w:szCs w:val="24"/>
          <w:lang w:val="es-ES" w:eastAsia="es-ES"/>
        </w:rPr>
      </w:pPr>
      <w:r w:rsidRPr="00296AF1">
        <w:rPr>
          <w:rFonts w:eastAsia="Calibri" w:cs="Tahoma"/>
          <w:b/>
          <w:color w:val="000000"/>
          <w:szCs w:val="24"/>
          <w:lang w:val="es-ES" w:eastAsia="es-MX"/>
        </w:rPr>
        <w:t>SEGUNDO</w:t>
      </w:r>
      <w:r w:rsidRPr="00296AF1">
        <w:rPr>
          <w:rFonts w:eastAsia="Calibri" w:cs="Tahoma"/>
          <w:color w:val="000000"/>
          <w:szCs w:val="24"/>
          <w:lang w:val="es-ES" w:eastAsia="es-MX"/>
        </w:rPr>
        <w:t xml:space="preserve">. </w:t>
      </w:r>
      <w:r w:rsidRPr="00296AF1">
        <w:rPr>
          <w:rFonts w:eastAsia="Times New Roman" w:cs="Tahoma"/>
          <w:b/>
          <w:color w:val="auto"/>
          <w:szCs w:val="24"/>
          <w:lang w:val="es-ES" w:eastAsia="es-ES"/>
        </w:rPr>
        <w:t>Causales de improcedencia y sobreseimiento.</w:t>
      </w:r>
      <w:r w:rsidRPr="00296AF1">
        <w:rPr>
          <w:rFonts w:eastAsia="Times New Roman" w:cs="Tahoma"/>
          <w:color w:val="auto"/>
          <w:szCs w:val="24"/>
          <w:lang w:val="es-ES" w:eastAsia="es-ES"/>
        </w:rPr>
        <w:t xml:space="preserve"> </w:t>
      </w:r>
    </w:p>
    <w:p w:rsidRPr="00296AF1" w:rsidR="00BF6B4B" w:rsidP="001F62B7" w:rsidRDefault="00BF6B4B" w14:paraId="3ECC7862" w14:textId="77777777">
      <w:pPr>
        <w:autoSpaceDE w:val="0"/>
        <w:autoSpaceDN w:val="0"/>
        <w:adjustRightInd w:val="0"/>
        <w:spacing w:after="0" w:line="360" w:lineRule="auto"/>
        <w:contextualSpacing/>
        <w:rPr>
          <w:rFonts w:eastAsia="Times New Roman" w:cs="Tahoma"/>
          <w:color w:val="auto"/>
          <w:szCs w:val="24"/>
          <w:lang w:val="es-ES" w:eastAsia="es-ES"/>
        </w:rPr>
      </w:pPr>
    </w:p>
    <w:p w:rsidRPr="00296AF1" w:rsidR="00BF6B4B" w:rsidP="001F62B7" w:rsidRDefault="00BF6B4B" w14:paraId="45330F4F" w14:textId="77777777">
      <w:pPr>
        <w:autoSpaceDE w:val="0"/>
        <w:autoSpaceDN w:val="0"/>
        <w:adjustRightInd w:val="0"/>
        <w:spacing w:after="0" w:line="360" w:lineRule="auto"/>
        <w:contextualSpacing/>
        <w:rPr>
          <w:rFonts w:eastAsia="Times New Roman" w:cs="Tahoma"/>
          <w:color w:val="auto"/>
          <w:szCs w:val="24"/>
          <w:lang w:val="es-ES" w:eastAsia="es-ES"/>
        </w:rPr>
      </w:pPr>
      <w:r w:rsidRPr="00296AF1">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296AF1">
        <w:rPr>
          <w:rFonts w:eastAsia="Times New Roman" w:cs="Tahoma"/>
          <w:i/>
          <w:color w:val="auto"/>
          <w:szCs w:val="24"/>
          <w:lang w:val="es-ES" w:eastAsia="es-ES"/>
        </w:rPr>
        <w:t>litis</w:t>
      </w:r>
      <w:r w:rsidRPr="00296AF1">
        <w:rPr>
          <w:rFonts w:eastAsia="Times New Roman" w:cs="Tahoma"/>
          <w:color w:val="auto"/>
          <w:szCs w:val="24"/>
          <w:lang w:val="es-ES" w:eastAsia="es-ES"/>
        </w:rPr>
        <w:t>, es necesario estudiar las causales de improcedencia y sobreseimiento que se adviertan, para determinar lo que en Derecho proceda.</w:t>
      </w:r>
    </w:p>
    <w:p w:rsidRPr="00296AF1" w:rsidR="00BF6B4B" w:rsidP="001F62B7" w:rsidRDefault="00BF6B4B" w14:paraId="52DF1D05" w14:textId="77777777">
      <w:pPr>
        <w:autoSpaceDE w:val="0"/>
        <w:autoSpaceDN w:val="0"/>
        <w:adjustRightInd w:val="0"/>
        <w:spacing w:after="0" w:line="360" w:lineRule="auto"/>
        <w:contextualSpacing/>
        <w:rPr>
          <w:rFonts w:eastAsia="Times New Roman" w:cs="Tahoma"/>
          <w:color w:val="auto"/>
          <w:szCs w:val="24"/>
          <w:lang w:val="es-ES" w:eastAsia="es-ES"/>
        </w:rPr>
      </w:pPr>
    </w:p>
    <w:p w:rsidRPr="00296AF1" w:rsidR="00BF6B4B" w:rsidP="001F62B7" w:rsidRDefault="00BF6B4B" w14:paraId="5469220E" w14:textId="77777777">
      <w:pPr>
        <w:autoSpaceDE w:val="0"/>
        <w:autoSpaceDN w:val="0"/>
        <w:adjustRightInd w:val="0"/>
        <w:spacing w:after="0" w:line="360" w:lineRule="auto"/>
        <w:contextualSpacing/>
        <w:rPr>
          <w:rFonts w:eastAsia="Calibri" w:cs="Tahoma"/>
          <w:color w:val="000000"/>
          <w:szCs w:val="24"/>
          <w:lang w:val="es-ES" w:eastAsia="es-MX"/>
        </w:rPr>
      </w:pPr>
      <w:r w:rsidRPr="00296AF1">
        <w:rPr>
          <w:rFonts w:eastAsia="Calibri" w:cs="Tahoma"/>
          <w:b/>
          <w:color w:val="000000"/>
          <w:szCs w:val="24"/>
          <w:lang w:val="es-ES" w:eastAsia="es-MX"/>
        </w:rPr>
        <w:t>Causales de improcedencia.</w:t>
      </w:r>
      <w:r w:rsidRPr="00296AF1">
        <w:rPr>
          <w:rFonts w:eastAsia="Calibri" w:cs="Tahoma"/>
          <w:color w:val="000000"/>
          <w:szCs w:val="24"/>
          <w:lang w:val="es-ES" w:eastAsia="es-MX"/>
        </w:rPr>
        <w:t xml:space="preserve"> </w:t>
      </w:r>
    </w:p>
    <w:p w:rsidRPr="00296AF1" w:rsidR="00BF6B4B" w:rsidP="001F62B7" w:rsidRDefault="00BF6B4B" w14:paraId="604C59BC" w14:textId="77777777">
      <w:pPr>
        <w:autoSpaceDE w:val="0"/>
        <w:autoSpaceDN w:val="0"/>
        <w:adjustRightInd w:val="0"/>
        <w:spacing w:after="0" w:line="360" w:lineRule="auto"/>
        <w:contextualSpacing/>
        <w:rPr>
          <w:rFonts w:eastAsia="Calibri" w:cs="Tahoma"/>
          <w:color w:val="000000"/>
          <w:szCs w:val="24"/>
          <w:lang w:val="es-ES" w:eastAsia="es-MX"/>
        </w:rPr>
      </w:pPr>
    </w:p>
    <w:p w:rsidRPr="00296AF1" w:rsidR="00BF6B4B" w:rsidP="001F62B7" w:rsidRDefault="00BF6B4B" w14:paraId="6C1B7BA7" w14:textId="77777777">
      <w:pPr>
        <w:autoSpaceDE w:val="0"/>
        <w:autoSpaceDN w:val="0"/>
        <w:adjustRightInd w:val="0"/>
        <w:spacing w:after="0" w:line="360" w:lineRule="auto"/>
        <w:contextualSpacing/>
        <w:rPr>
          <w:rFonts w:eastAsia="Calibri" w:cs="Tahoma"/>
          <w:color w:val="000000"/>
          <w:lang w:val="es-ES" w:eastAsia="es-MX"/>
        </w:rPr>
      </w:pPr>
      <w:r w:rsidRPr="00296AF1">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96AF1">
        <w:rPr>
          <w:rFonts w:eastAsia="Calibri" w:cs="Tahoma"/>
          <w:b/>
          <w:bCs/>
          <w:color w:val="000000"/>
          <w:lang w:eastAsia="es-MX"/>
        </w:rPr>
        <w:t xml:space="preserve"> </w:t>
      </w:r>
      <w:r w:rsidRPr="00296AF1">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296AF1" w:rsidR="00BF6B4B" w:rsidP="001F62B7" w:rsidRDefault="00BF6B4B" w14:paraId="7563A742" w14:textId="77777777">
      <w:pPr>
        <w:autoSpaceDE w:val="0"/>
        <w:autoSpaceDN w:val="0"/>
        <w:adjustRightInd w:val="0"/>
        <w:spacing w:after="0" w:line="360" w:lineRule="auto"/>
        <w:contextualSpacing/>
        <w:rPr>
          <w:rFonts w:eastAsia="Calibri" w:cs="Tahoma"/>
          <w:color w:val="000000"/>
          <w:lang w:eastAsia="es-MX"/>
        </w:rPr>
      </w:pPr>
    </w:p>
    <w:p w:rsidRPr="00296AF1" w:rsidR="00BF6B4B" w:rsidP="001F62B7" w:rsidRDefault="00BF6B4B" w14:paraId="0B1476E8" w14:textId="77777777">
      <w:pPr>
        <w:autoSpaceDE w:val="0"/>
        <w:autoSpaceDN w:val="0"/>
        <w:adjustRightInd w:val="0"/>
        <w:spacing w:after="0" w:line="360" w:lineRule="auto"/>
        <w:contextualSpacing/>
        <w:rPr>
          <w:rFonts w:eastAsia="Calibri" w:cs="Tahoma"/>
          <w:color w:val="000000"/>
          <w:lang w:eastAsia="es-MX"/>
        </w:rPr>
      </w:pPr>
      <w:r w:rsidRPr="00296AF1">
        <w:rPr>
          <w:rFonts w:eastAsia="Calibri" w:cs="Tahoma"/>
          <w:color w:val="000000"/>
          <w:lang w:eastAsia="es-MX"/>
        </w:rPr>
        <w:t xml:space="preserve">En el presente caso, </w:t>
      </w:r>
      <w:r w:rsidRPr="00296AF1">
        <w:rPr>
          <w:rFonts w:eastAsia="Calibri" w:cs="Tahoma"/>
          <w:b/>
          <w:color w:val="000000"/>
          <w:lang w:eastAsia="es-MX"/>
        </w:rPr>
        <w:t>no se actualiza ninguna de las causales de improcedencia</w:t>
      </w:r>
      <w:r w:rsidRPr="00296AF1">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296AF1" w:rsidR="00BF6B4B" w:rsidP="001F62B7" w:rsidRDefault="00BF6B4B" w14:paraId="2B22535C" w14:textId="77777777">
      <w:pPr>
        <w:spacing w:after="0" w:line="360" w:lineRule="auto"/>
        <w:contextualSpacing/>
        <w:rPr>
          <w:rFonts w:eastAsia="Times New Roman" w:cs="Tahoma"/>
          <w:b/>
          <w:bCs/>
          <w:color w:val="auto"/>
          <w:lang w:eastAsia="es-ES"/>
        </w:rPr>
      </w:pPr>
    </w:p>
    <w:p w:rsidRPr="00296AF1" w:rsidR="00BF6B4B" w:rsidP="001F62B7" w:rsidRDefault="00BF6B4B" w14:paraId="5EE4C949" w14:textId="1E83749A">
      <w:pPr>
        <w:spacing w:after="0" w:line="360" w:lineRule="auto"/>
        <w:contextualSpacing/>
        <w:rPr>
          <w:rFonts w:eastAsia="Calibri" w:cs="Tahoma"/>
          <w:color w:val="000000"/>
        </w:rPr>
      </w:pPr>
      <w:r w:rsidRPr="00296AF1">
        <w:rPr>
          <w:rFonts w:eastAsia="Times New Roman" w:cs="Tahoma"/>
          <w:color w:val="auto"/>
          <w:lang w:eastAsia="es-ES"/>
        </w:rPr>
        <w:t>Asimismo, se actualiza la causal de procedencia del Recurso de Revisión señalada en el artículo 179, fracciones V</w:t>
      </w:r>
      <w:r w:rsidRPr="00296AF1" w:rsidR="003434C6">
        <w:rPr>
          <w:rFonts w:eastAsia="Times New Roman" w:cs="Tahoma"/>
          <w:color w:val="auto"/>
          <w:lang w:eastAsia="es-ES"/>
        </w:rPr>
        <w:t>I</w:t>
      </w:r>
      <w:r w:rsidRPr="00296AF1">
        <w:rPr>
          <w:rFonts w:eastAsia="Times New Roman" w:cs="Tahoma"/>
          <w:color w:val="auto"/>
          <w:lang w:eastAsia="es-ES"/>
        </w:rPr>
        <w:t xml:space="preserve">, de la Ley en cita, </w:t>
      </w:r>
      <w:r w:rsidRPr="00296AF1">
        <w:rPr>
          <w:rFonts w:eastAsia="Calibri" w:cs="Tahoma"/>
          <w:color w:val="000000"/>
          <w:lang w:eastAsia="es-MX"/>
        </w:rPr>
        <w:t xml:space="preserve">pues el Particular se inconformó de la entrega de información </w:t>
      </w:r>
      <w:r w:rsidRPr="00296AF1" w:rsidR="003434C6">
        <w:rPr>
          <w:rFonts w:eastAsia="Calibri" w:cs="Tahoma"/>
          <w:color w:val="000000"/>
          <w:lang w:eastAsia="es-MX"/>
        </w:rPr>
        <w:t>que no corresponde con lo solicitado</w:t>
      </w:r>
      <w:r w:rsidRPr="00296AF1">
        <w:rPr>
          <w:rFonts w:eastAsia="Calibri" w:cs="Tahoma"/>
          <w:color w:val="000000"/>
          <w:lang w:eastAsia="es-MX"/>
        </w:rPr>
        <w:t>.</w:t>
      </w:r>
    </w:p>
    <w:p w:rsidRPr="00296AF1" w:rsidR="00BF6B4B" w:rsidP="001F62B7" w:rsidRDefault="00BF6B4B" w14:paraId="0A0ADFB2" w14:textId="77777777">
      <w:pPr>
        <w:spacing w:after="0" w:line="360" w:lineRule="auto"/>
        <w:contextualSpacing/>
        <w:rPr>
          <w:rFonts w:eastAsia="Times New Roman" w:cs="Tahoma"/>
          <w:b/>
          <w:bCs/>
          <w:color w:val="auto"/>
          <w:lang w:eastAsia="es-ES"/>
        </w:rPr>
      </w:pPr>
    </w:p>
    <w:p w:rsidRPr="00296AF1" w:rsidR="00BF6B4B" w:rsidP="001F62B7" w:rsidRDefault="00BF6B4B" w14:paraId="5E3471E6" w14:textId="77777777">
      <w:pPr>
        <w:spacing w:after="0" w:line="360" w:lineRule="auto"/>
        <w:contextualSpacing/>
        <w:rPr>
          <w:rFonts w:eastAsia="Times New Roman" w:cs="Tahoma"/>
          <w:b/>
          <w:bCs/>
          <w:color w:val="auto"/>
          <w:lang w:eastAsia="es-ES"/>
        </w:rPr>
      </w:pPr>
      <w:r w:rsidRPr="00296AF1">
        <w:rPr>
          <w:rFonts w:eastAsia="Times New Roman" w:cs="Tahoma"/>
          <w:b/>
          <w:bCs/>
          <w:color w:val="auto"/>
          <w:lang w:eastAsia="es-ES"/>
        </w:rPr>
        <w:t>Causales de sobreseimiento.</w:t>
      </w:r>
    </w:p>
    <w:p w:rsidRPr="00296AF1" w:rsidR="00BF6B4B" w:rsidP="001F62B7" w:rsidRDefault="00BF6B4B" w14:paraId="1D027446" w14:textId="77777777">
      <w:pPr>
        <w:spacing w:after="0" w:line="360" w:lineRule="auto"/>
        <w:contextualSpacing/>
        <w:rPr>
          <w:rFonts w:eastAsia="Times New Roman" w:cs="Tahoma"/>
          <w:b/>
          <w:bCs/>
          <w:color w:val="auto"/>
          <w:lang w:eastAsia="es-ES"/>
        </w:rPr>
      </w:pPr>
    </w:p>
    <w:p w:rsidRPr="00296AF1" w:rsidR="00BF6B4B" w:rsidP="001F62B7" w:rsidRDefault="00BF6B4B" w14:paraId="0233749B" w14:textId="77777777">
      <w:pPr>
        <w:spacing w:after="0" w:line="360" w:lineRule="auto"/>
        <w:contextualSpacing/>
        <w:rPr>
          <w:rFonts w:eastAsia="Times New Roman" w:cs="Tahoma"/>
          <w:color w:val="auto"/>
          <w:szCs w:val="24"/>
          <w:lang w:eastAsia="es-ES"/>
        </w:rPr>
      </w:pPr>
      <w:r w:rsidRPr="00296AF1">
        <w:rPr>
          <w:rFonts w:eastAsia="Times New Roman" w:cs="Tahoma"/>
          <w:color w:val="auto"/>
          <w:szCs w:val="24"/>
          <w:lang w:eastAsia="es-ES"/>
        </w:rPr>
        <w:t>Por ser de previo y especial pronunciamiento, este Instituto analiza si se actualiza alguna causal de sobreseimiento.</w:t>
      </w:r>
    </w:p>
    <w:p w:rsidRPr="00296AF1" w:rsidR="00BF6B4B" w:rsidP="001F62B7" w:rsidRDefault="00BF6B4B" w14:paraId="0B0D0340" w14:textId="77777777">
      <w:pPr>
        <w:spacing w:after="0" w:line="360" w:lineRule="auto"/>
        <w:contextualSpacing/>
        <w:rPr>
          <w:rFonts w:eastAsia="Times New Roman" w:cs="Tahoma"/>
          <w:color w:val="auto"/>
          <w:szCs w:val="24"/>
          <w:lang w:eastAsia="es-ES"/>
        </w:rPr>
      </w:pPr>
    </w:p>
    <w:p w:rsidRPr="00296AF1" w:rsidR="00BF6B4B" w:rsidP="001F62B7" w:rsidRDefault="00BF6B4B" w14:paraId="0D4276C9" w14:textId="77777777">
      <w:pPr>
        <w:spacing w:after="0" w:line="360" w:lineRule="auto"/>
        <w:contextualSpacing/>
        <w:rPr>
          <w:rFonts w:eastAsia="Times New Roman" w:cs="Tahoma"/>
          <w:color w:val="auto"/>
          <w:szCs w:val="24"/>
          <w:lang w:eastAsia="es-ES"/>
        </w:rPr>
      </w:pPr>
      <w:r w:rsidRPr="00296AF1">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296AF1" w:rsidR="00BF6B4B" w:rsidP="001F62B7" w:rsidRDefault="00BF6B4B" w14:paraId="49D3C0E5" w14:textId="77777777">
      <w:pPr>
        <w:spacing w:after="0" w:line="360" w:lineRule="auto"/>
        <w:contextualSpacing/>
        <w:rPr>
          <w:rFonts w:eastAsia="Times New Roman" w:cs="Tahoma"/>
          <w:color w:val="auto"/>
          <w:szCs w:val="24"/>
          <w:lang w:eastAsia="es-ES"/>
        </w:rPr>
      </w:pPr>
    </w:p>
    <w:p w:rsidRPr="00296AF1" w:rsidR="00BF6B4B" w:rsidP="001F62B7" w:rsidRDefault="00BF6B4B" w14:paraId="5B9BF180" w14:textId="77777777">
      <w:pPr>
        <w:spacing w:after="0" w:line="360" w:lineRule="auto"/>
        <w:contextualSpacing/>
        <w:rPr>
          <w:rFonts w:eastAsia="Times New Roman" w:cs="Tahoma"/>
          <w:color w:val="auto"/>
          <w:szCs w:val="24"/>
          <w:lang w:val="es-ES" w:eastAsia="es-ES"/>
        </w:rPr>
      </w:pPr>
      <w:r w:rsidRPr="00296AF1">
        <w:rPr>
          <w:rFonts w:eastAsia="Times New Roman" w:cs="Tahoma"/>
          <w:bCs/>
          <w:color w:val="auto"/>
          <w:szCs w:val="24"/>
          <w:lang w:val="es-ES" w:eastAsia="es-ES"/>
        </w:rPr>
        <w:t xml:space="preserve">Por tales motivos, </w:t>
      </w:r>
      <w:r w:rsidRPr="00296AF1">
        <w:rPr>
          <w:rFonts w:eastAsia="Times New Roman" w:cs="Tahoma"/>
          <w:color w:val="auto"/>
          <w:szCs w:val="24"/>
          <w:lang w:val="es-ES" w:eastAsia="es-ES"/>
        </w:rPr>
        <w:t>se considera procedente entrar al fondo del presente asunto.</w:t>
      </w:r>
    </w:p>
    <w:p w:rsidRPr="00296AF1" w:rsidR="00BF6B4B" w:rsidP="001F62B7" w:rsidRDefault="00BF6B4B" w14:paraId="088CAC6C" w14:textId="77777777">
      <w:pPr>
        <w:spacing w:after="0" w:line="360" w:lineRule="auto"/>
        <w:contextualSpacing/>
      </w:pPr>
    </w:p>
    <w:p w:rsidRPr="00296AF1" w:rsidR="00BF6B4B" w:rsidP="001F62B7" w:rsidRDefault="00BF6B4B" w14:paraId="17BF5473" w14:textId="195B3343">
      <w:pPr>
        <w:spacing w:after="0" w:line="360" w:lineRule="auto"/>
        <w:contextualSpacing/>
        <w:rPr>
          <w:rFonts w:eastAsia="Times New Roman" w:cs="Tahoma"/>
          <w:b/>
          <w:bCs/>
          <w:iCs/>
          <w:color w:val="auto"/>
          <w:lang w:val="es-ES" w:eastAsia="es-ES"/>
        </w:rPr>
      </w:pPr>
      <w:r w:rsidRPr="00296AF1">
        <w:rPr>
          <w:rFonts w:eastAsia="Times New Roman" w:cs="Tahoma"/>
          <w:b/>
          <w:bCs/>
          <w:iCs/>
          <w:color w:val="auto"/>
          <w:lang w:val="es-ES" w:eastAsia="es-ES"/>
        </w:rPr>
        <w:t xml:space="preserve">TERCERO. Determinación de la Controversia. </w:t>
      </w:r>
    </w:p>
    <w:p w:rsidRPr="00296AF1" w:rsidR="00BF6B4B" w:rsidP="001F62B7" w:rsidRDefault="00BF6B4B" w14:paraId="22176F82" w14:textId="77777777">
      <w:pPr>
        <w:autoSpaceDE w:val="0"/>
        <w:autoSpaceDN w:val="0"/>
        <w:adjustRightInd w:val="0"/>
        <w:spacing w:after="0" w:line="360" w:lineRule="auto"/>
        <w:contextualSpacing/>
        <w:rPr>
          <w:rFonts w:eastAsia="Calibri" w:cs="Tahoma"/>
          <w:color w:val="000000"/>
          <w:szCs w:val="24"/>
          <w:lang w:val="es-ES" w:eastAsia="es-MX"/>
        </w:rPr>
      </w:pPr>
    </w:p>
    <w:p w:rsidRPr="00296AF1" w:rsidR="00BF6B4B" w:rsidP="003434C6" w:rsidRDefault="00BF6B4B" w14:paraId="33C5E213" w14:textId="4A577BB3">
      <w:pPr>
        <w:autoSpaceDE w:val="0"/>
        <w:autoSpaceDN w:val="0"/>
        <w:adjustRightInd w:val="0"/>
        <w:spacing w:after="0" w:line="360" w:lineRule="auto"/>
        <w:contextualSpacing/>
        <w:rPr>
          <w:rFonts w:eastAsia="Calibri" w:cs="Tahoma"/>
          <w:color w:val="000000"/>
          <w:lang w:val="es-ES" w:eastAsia="es-MX"/>
        </w:rPr>
      </w:pPr>
      <w:r w:rsidRPr="00296AF1">
        <w:rPr>
          <w:rFonts w:eastAsia="Calibri" w:cs="Tahoma"/>
          <w:color w:val="000000"/>
          <w:szCs w:val="24"/>
          <w:lang w:val="es-ES" w:eastAsia="es-MX"/>
        </w:rPr>
        <w:t>Una vez realizado el estudio de las constancias que obran en el expediente electr</w:t>
      </w:r>
      <w:r w:rsidRPr="00296AF1" w:rsidR="003434C6">
        <w:rPr>
          <w:rFonts w:eastAsia="Calibri" w:cs="Tahoma"/>
          <w:color w:val="000000"/>
          <w:szCs w:val="24"/>
          <w:lang w:val="es-ES" w:eastAsia="es-MX"/>
        </w:rPr>
        <w:t>ónico, se logra vislumbrar que el</w:t>
      </w:r>
      <w:r w:rsidRPr="00296AF1">
        <w:rPr>
          <w:rFonts w:eastAsia="Calibri" w:cs="Tahoma"/>
          <w:color w:val="000000"/>
          <w:szCs w:val="24"/>
          <w:lang w:val="es-ES" w:eastAsia="es-MX"/>
        </w:rPr>
        <w:t xml:space="preserve"> Particular requirió</w:t>
      </w:r>
      <w:r w:rsidRPr="00296AF1" w:rsidR="00D83A81">
        <w:rPr>
          <w:rFonts w:eastAsia="Calibri" w:cs="Tahoma"/>
          <w:color w:val="000000"/>
          <w:szCs w:val="24"/>
          <w:lang w:val="es-ES" w:eastAsia="es-MX"/>
        </w:rPr>
        <w:t xml:space="preserve"> </w:t>
      </w:r>
      <w:r w:rsidRPr="00296AF1" w:rsidR="003434C6">
        <w:rPr>
          <w:rFonts w:eastAsia="Calibri" w:cs="Tahoma"/>
          <w:color w:val="000000"/>
          <w:szCs w:val="24"/>
          <w:lang w:val="es-ES" w:eastAsia="es-MX"/>
        </w:rPr>
        <w:t>el listado de las obras públicas que se ejecutarán durante el ejercicio fiscal dos mil veintitrés, con cualquier tipo de recursos (Federales, Estatales y Propios).</w:t>
      </w:r>
    </w:p>
    <w:p w:rsidRPr="00296AF1" w:rsidR="00BF6B4B" w:rsidP="001F62B7" w:rsidRDefault="00BF6B4B" w14:paraId="497EC1F4" w14:textId="77777777">
      <w:pPr>
        <w:autoSpaceDE w:val="0"/>
        <w:autoSpaceDN w:val="0"/>
        <w:adjustRightInd w:val="0"/>
        <w:spacing w:after="0" w:line="360" w:lineRule="auto"/>
        <w:contextualSpacing/>
        <w:rPr>
          <w:rFonts w:eastAsia="Calibri" w:cs="Tahoma"/>
          <w:color w:val="000000"/>
          <w:szCs w:val="24"/>
          <w:lang w:val="es-ES" w:eastAsia="es-MX"/>
        </w:rPr>
      </w:pPr>
    </w:p>
    <w:p w:rsidRPr="00296AF1" w:rsidR="00BF6B4B" w:rsidP="00F73AE7" w:rsidRDefault="00BF6B4B" w14:paraId="1EE37952" w14:textId="2F58858C">
      <w:pPr>
        <w:autoSpaceDE w:val="0"/>
        <w:autoSpaceDN w:val="0"/>
        <w:adjustRightInd w:val="0"/>
        <w:spacing w:after="0" w:line="360" w:lineRule="auto"/>
        <w:contextualSpacing/>
        <w:rPr>
          <w:rFonts w:cs="Tahoma"/>
          <w:bCs/>
          <w:lang w:val="es-ES"/>
        </w:rPr>
      </w:pPr>
      <w:r w:rsidRPr="00296AF1">
        <w:rPr>
          <w:rFonts w:eastAsia="Calibri" w:cs="Tahoma"/>
          <w:color w:val="000000"/>
          <w:szCs w:val="24"/>
          <w:lang w:val="es-ES" w:eastAsia="es-MX"/>
        </w:rPr>
        <w:t xml:space="preserve">En respuesta, el Sujeto Obligado, a través de </w:t>
      </w:r>
      <w:r w:rsidRPr="00296AF1">
        <w:rPr>
          <w:rFonts w:eastAsia="Calibri" w:cs="Tahoma"/>
          <w:color w:val="000000"/>
          <w:lang w:eastAsia="es-MX"/>
        </w:rPr>
        <w:t xml:space="preserve">la Dirección </w:t>
      </w:r>
      <w:r w:rsidRPr="00296AF1" w:rsidR="003434C6">
        <w:rPr>
          <w:rFonts w:eastAsia="Calibri" w:cs="Tahoma"/>
          <w:color w:val="000000"/>
          <w:lang w:eastAsia="es-MX"/>
        </w:rPr>
        <w:t>de Obras Públicas</w:t>
      </w:r>
      <w:r w:rsidRPr="00296AF1" w:rsidR="00F73AE7">
        <w:t xml:space="preserve"> precisó que el Programa Anual de Obra Municipal, para el ejercicio fiscal dos mil veintitrés, había sido autorizado en la Sesión de Cabildo celebrada el siete de febrero de dos mil veintitrés; por lo que, proporcionó la Gaceta Municipal que contenía el Acta respectiva;</w:t>
      </w:r>
      <w:r w:rsidRPr="00296AF1" w:rsidR="00D560A4">
        <w:t xml:space="preserve"> </w:t>
      </w:r>
      <w:proofErr w:type="spellStart"/>
      <w:r w:rsidRPr="00296AF1" w:rsidR="00D560A4">
        <w:t>a</w:t>
      </w:r>
      <w:r w:rsidRPr="00296AF1">
        <w:t>n</w:t>
      </w:r>
      <w:proofErr w:type="spellEnd"/>
      <w:r w:rsidRPr="00296AF1">
        <w:rPr>
          <w:rFonts w:eastAsia="Calibri" w:cs="Tahoma"/>
          <w:color w:val="000000"/>
          <w:szCs w:val="24"/>
          <w:lang w:val="es-ES" w:eastAsia="es-MX"/>
        </w:rPr>
        <w:t xml:space="preserve">te dicha circunstancia, el Particular se agravió </w:t>
      </w:r>
      <w:r w:rsidRPr="00296AF1" w:rsidR="00F73AE7">
        <w:rPr>
          <w:rFonts w:eastAsia="Calibri" w:cs="Tahoma"/>
          <w:color w:val="000000"/>
          <w:szCs w:val="24"/>
          <w:lang w:val="es-ES" w:eastAsia="es-MX"/>
        </w:rPr>
        <w:t>de la entrega de información que no corresponde con lo solicitado, al precisar que únicamente le indicaron la fecha de aprobación</w:t>
      </w:r>
      <w:r w:rsidRPr="00296AF1">
        <w:rPr>
          <w:rFonts w:eastAsia="Calibri" w:cs="Tahoma"/>
          <w:color w:val="000000"/>
          <w:szCs w:val="24"/>
          <w:lang w:val="es-ES" w:eastAsia="es-MX"/>
        </w:rPr>
        <w:t xml:space="preserve">, lo cual actualiza la causal de </w:t>
      </w:r>
      <w:r w:rsidRPr="00296AF1">
        <w:rPr>
          <w:rFonts w:eastAsia="Calibri" w:cs="Tahoma"/>
          <w:color w:val="000000"/>
          <w:szCs w:val="24"/>
          <w:lang w:val="es-ES" w:eastAsia="es-MX"/>
        </w:rPr>
        <w:lastRenderedPageBreak/>
        <w:t xml:space="preserve">procedencia establecida en el artículo 179, fracción </w:t>
      </w:r>
      <w:r w:rsidRPr="00296AF1" w:rsidR="00F73AE7">
        <w:rPr>
          <w:rFonts w:eastAsia="Calibri" w:cs="Tahoma"/>
          <w:color w:val="000000"/>
          <w:szCs w:val="24"/>
          <w:lang w:val="es-ES" w:eastAsia="es-MX"/>
        </w:rPr>
        <w:t>V</w:t>
      </w:r>
      <w:r w:rsidRPr="00296AF1" w:rsidR="00D560A4">
        <w:rPr>
          <w:rFonts w:eastAsia="Calibri" w:cs="Tahoma"/>
          <w:color w:val="000000"/>
          <w:szCs w:val="24"/>
          <w:lang w:val="es-ES" w:eastAsia="es-MX"/>
        </w:rPr>
        <w:t>I</w:t>
      </w:r>
      <w:r w:rsidRPr="00296AF1">
        <w:rPr>
          <w:rFonts w:eastAsia="Calibri" w:cs="Tahoma"/>
          <w:color w:val="000000"/>
          <w:szCs w:val="24"/>
          <w:lang w:val="es-ES" w:eastAsia="es-MX"/>
        </w:rPr>
        <w:t>, de la Ley de Transparencia y Acceso a la Información Pública del Estado de México y Municipios.</w:t>
      </w:r>
      <w:r w:rsidRPr="00296AF1">
        <w:rPr>
          <w:rFonts w:cs="Tahoma"/>
          <w:bCs/>
          <w:iCs/>
          <w:lang w:val="es-ES"/>
        </w:rPr>
        <w:t xml:space="preserve"> Así las cosas, una vez admitido y notificado el Recurso de Revisión a las partes, estas fueron omisas en realizar manifestaciones o alegatos.</w:t>
      </w:r>
      <w:r w:rsidRPr="00296AF1">
        <w:rPr>
          <w:rFonts w:eastAsia="Calibri" w:cs="Tahoma"/>
        </w:rPr>
        <w:t xml:space="preserve"> </w:t>
      </w:r>
    </w:p>
    <w:p w:rsidRPr="00296AF1" w:rsidR="00BF6B4B" w:rsidP="001F62B7" w:rsidRDefault="00BF6B4B" w14:paraId="17B203CD" w14:textId="77777777">
      <w:pPr>
        <w:autoSpaceDE w:val="0"/>
        <w:autoSpaceDN w:val="0"/>
        <w:adjustRightInd w:val="0"/>
        <w:spacing w:after="0" w:line="360" w:lineRule="auto"/>
        <w:contextualSpacing/>
        <w:rPr>
          <w:rFonts w:eastAsia="Calibri" w:cs="Tahoma"/>
          <w:iCs/>
          <w:color w:val="auto"/>
          <w:lang w:val="es-ES" w:eastAsia="es-ES_tradnl"/>
        </w:rPr>
      </w:pPr>
    </w:p>
    <w:p w:rsidRPr="00296AF1" w:rsidR="00BF6B4B" w:rsidP="001F62B7" w:rsidRDefault="00BF6B4B" w14:paraId="23488E1D" w14:textId="581882C4">
      <w:pPr>
        <w:spacing w:after="0" w:line="360" w:lineRule="auto"/>
        <w:contextualSpacing/>
      </w:pPr>
      <w:r w:rsidRPr="00296AF1">
        <w:t>Lo anterior, se desprende de las documentales que obran en el expediente de referencia, materia de la presente Resolución, consistentes en: la solicitud de acceso a la información</w:t>
      </w:r>
      <w:r w:rsidRPr="00296AF1" w:rsidR="009F6C19">
        <w:t>,</w:t>
      </w:r>
      <w:r w:rsidRPr="00296AF1">
        <w:t xml:space="preserve"> la respuesta del Sujeto Obligado</w:t>
      </w:r>
      <w:r w:rsidRPr="00296AF1" w:rsidR="009F6C19">
        <w:t xml:space="preserve"> y </w:t>
      </w:r>
      <w:r w:rsidRPr="00296AF1">
        <w:rPr>
          <w:bCs/>
        </w:rPr>
        <w:t xml:space="preserve">el </w:t>
      </w:r>
      <w:r w:rsidRPr="00296AF1">
        <w:t xml:space="preserve">escrito </w:t>
      </w:r>
      <w:proofErr w:type="spellStart"/>
      <w:r w:rsidRPr="00296AF1">
        <w:t>recursal</w:t>
      </w:r>
      <w:proofErr w:type="spellEnd"/>
      <w:r w:rsidRPr="00296AF1">
        <w:t>, instrumentales que se toman en cuenta a efecto de resolver el presente medio de impugnación, conforme a lo dispuesto por el artículo 185, fracción IV, de la Ley de Transparencia y Acceso a la Información Pública del Estado de México y Municipios.</w:t>
      </w:r>
    </w:p>
    <w:p w:rsidRPr="00296AF1" w:rsidR="00BF6B4B" w:rsidP="001F62B7" w:rsidRDefault="00BF6B4B" w14:paraId="3180C2AE" w14:textId="77777777">
      <w:pPr>
        <w:spacing w:after="0" w:line="360" w:lineRule="auto"/>
        <w:contextualSpacing/>
      </w:pPr>
    </w:p>
    <w:p w:rsidRPr="00296AF1" w:rsidR="00BF6B4B" w:rsidP="001F62B7" w:rsidRDefault="00BF6B4B" w14:paraId="33B96660" w14:textId="77777777">
      <w:pPr>
        <w:spacing w:after="0" w:line="360" w:lineRule="auto"/>
        <w:contextualSpacing/>
        <w:rPr>
          <w:rFonts w:eastAsia="Times New Roman" w:cs="Tahoma"/>
          <w:b/>
          <w:bCs/>
          <w:iCs/>
          <w:color w:val="auto"/>
          <w:lang w:eastAsia="es-ES"/>
        </w:rPr>
      </w:pPr>
      <w:r w:rsidRPr="00296AF1">
        <w:rPr>
          <w:rFonts w:eastAsia="Times New Roman" w:cs="Tahoma"/>
          <w:b/>
          <w:bCs/>
          <w:iCs/>
          <w:color w:val="auto"/>
          <w:lang w:val="es-ES" w:eastAsia="es-ES"/>
        </w:rPr>
        <w:t xml:space="preserve">CUARTO. </w:t>
      </w:r>
      <w:r w:rsidRPr="00296AF1">
        <w:rPr>
          <w:rFonts w:eastAsia="Times New Roman" w:cs="Tahoma"/>
          <w:b/>
          <w:bCs/>
          <w:iCs/>
          <w:color w:val="auto"/>
          <w:lang w:eastAsia="es-ES"/>
        </w:rPr>
        <w:t>Marco normativo aplicable en materia de transparencia y acceso a la información pública.</w:t>
      </w:r>
    </w:p>
    <w:p w:rsidRPr="00296AF1" w:rsidR="00BF6B4B" w:rsidP="001F62B7" w:rsidRDefault="00BF6B4B" w14:paraId="6A99508E" w14:textId="77777777">
      <w:pPr>
        <w:spacing w:after="0" w:line="360" w:lineRule="auto"/>
        <w:contextualSpacing/>
        <w:rPr>
          <w:rFonts w:eastAsia="Times New Roman" w:cs="Tahoma"/>
          <w:b/>
          <w:bCs/>
          <w:iCs/>
          <w:color w:val="auto"/>
          <w:lang w:eastAsia="es-ES"/>
        </w:rPr>
      </w:pPr>
    </w:p>
    <w:p w:rsidRPr="00296AF1" w:rsidR="00BF6B4B" w:rsidP="001F62B7" w:rsidRDefault="00BF6B4B" w14:paraId="16B45611" w14:textId="77777777">
      <w:pPr>
        <w:spacing w:after="0" w:line="360" w:lineRule="auto"/>
        <w:contextualSpacing/>
        <w:rPr>
          <w:rFonts w:eastAsia="Times New Roman" w:cs="Tahoma"/>
          <w:bCs/>
          <w:iCs/>
          <w:color w:val="auto"/>
          <w:lang w:eastAsia="es-ES"/>
        </w:rPr>
      </w:pPr>
      <w:r w:rsidRPr="00296AF1">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296AF1" w:rsidR="00BF6B4B" w:rsidP="001F62B7" w:rsidRDefault="00BF6B4B" w14:paraId="1F569508" w14:textId="77777777">
      <w:pPr>
        <w:spacing w:after="0" w:line="360" w:lineRule="auto"/>
        <w:contextualSpacing/>
        <w:rPr>
          <w:rFonts w:eastAsia="Times New Roman" w:cs="Tahoma"/>
          <w:bCs/>
          <w:iCs/>
          <w:color w:val="auto"/>
          <w:lang w:eastAsia="es-ES"/>
        </w:rPr>
      </w:pPr>
    </w:p>
    <w:p w:rsidRPr="00296AF1" w:rsidR="00BF6B4B" w:rsidP="001F62B7" w:rsidRDefault="00BF6B4B" w14:paraId="57A018FD" w14:textId="77777777">
      <w:pPr>
        <w:spacing w:after="0" w:line="360" w:lineRule="auto"/>
        <w:contextualSpacing/>
        <w:rPr>
          <w:rFonts w:eastAsia="Times New Roman" w:cs="Tahoma"/>
          <w:bCs/>
          <w:iCs/>
          <w:color w:val="auto"/>
          <w:lang w:eastAsia="es-ES"/>
        </w:rPr>
      </w:pPr>
      <w:r w:rsidRPr="00296AF1">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96AF1" w:rsidR="00BF6B4B" w:rsidP="001F62B7" w:rsidRDefault="00BF6B4B" w14:paraId="33EB8DE2" w14:textId="77777777">
      <w:pPr>
        <w:spacing w:after="0" w:line="360" w:lineRule="auto"/>
        <w:contextualSpacing/>
        <w:rPr>
          <w:rFonts w:eastAsia="Times New Roman" w:cs="Tahoma"/>
          <w:bCs/>
          <w:iCs/>
          <w:color w:val="auto"/>
          <w:lang w:eastAsia="es-ES"/>
        </w:rPr>
      </w:pPr>
    </w:p>
    <w:p w:rsidRPr="00296AF1" w:rsidR="00BF6B4B" w:rsidP="001F62B7" w:rsidRDefault="00BF6B4B" w14:paraId="6EAEE71F" w14:textId="77777777">
      <w:pPr>
        <w:spacing w:after="0" w:line="360" w:lineRule="auto"/>
        <w:contextualSpacing/>
        <w:rPr>
          <w:rFonts w:eastAsia="Times New Roman" w:cs="Tahoma"/>
          <w:bCs/>
          <w:iCs/>
          <w:color w:val="auto"/>
          <w:lang w:eastAsia="es-ES"/>
        </w:rPr>
      </w:pPr>
      <w:r w:rsidRPr="00296AF1">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w:t>
      </w:r>
      <w:r w:rsidRPr="00296AF1">
        <w:rPr>
          <w:rFonts w:eastAsia="Times New Roman" w:cs="Tahoma"/>
          <w:bCs/>
          <w:iCs/>
          <w:color w:val="auto"/>
          <w:lang w:eastAsia="es-ES"/>
        </w:rPr>
        <w:lastRenderedPageBreak/>
        <w:t>referente a la intimidad de la vida privada y la imagen de las personas, con las excepciones que establezca la ley reglamentaria.</w:t>
      </w:r>
    </w:p>
    <w:p w:rsidRPr="00296AF1" w:rsidR="00BF6B4B" w:rsidP="001F62B7" w:rsidRDefault="00BF6B4B" w14:paraId="46E5902A" w14:textId="77777777">
      <w:pPr>
        <w:spacing w:after="0" w:line="360" w:lineRule="auto"/>
        <w:contextualSpacing/>
        <w:rPr>
          <w:rFonts w:eastAsia="Times New Roman" w:cs="Tahoma"/>
          <w:bCs/>
          <w:iCs/>
          <w:color w:val="auto"/>
          <w:lang w:eastAsia="es-ES"/>
        </w:rPr>
      </w:pPr>
    </w:p>
    <w:p w:rsidRPr="00296AF1" w:rsidR="00BF6B4B" w:rsidP="001F62B7" w:rsidRDefault="00BF6B4B" w14:paraId="6FD8777E" w14:textId="77777777">
      <w:pPr>
        <w:spacing w:after="0" w:line="360" w:lineRule="auto"/>
        <w:contextualSpacing/>
        <w:rPr>
          <w:rFonts w:eastAsia="Times New Roman" w:cs="Tahoma"/>
          <w:bCs/>
          <w:iCs/>
          <w:color w:val="auto"/>
          <w:lang w:eastAsia="es-ES"/>
        </w:rPr>
      </w:pPr>
      <w:r w:rsidRPr="00296AF1">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96AF1" w:rsidR="00BF6B4B" w:rsidP="001F62B7" w:rsidRDefault="00BF6B4B" w14:paraId="5E6D0D9D" w14:textId="77777777">
      <w:pPr>
        <w:spacing w:after="0" w:line="360" w:lineRule="auto"/>
        <w:contextualSpacing/>
        <w:rPr>
          <w:rFonts w:eastAsia="Times New Roman" w:cs="Tahoma"/>
          <w:bCs/>
          <w:iCs/>
          <w:color w:val="auto"/>
          <w:lang w:eastAsia="es-ES"/>
        </w:rPr>
      </w:pPr>
    </w:p>
    <w:p w:rsidRPr="00296AF1" w:rsidR="00BF6B4B" w:rsidP="001F62B7" w:rsidRDefault="00BF6B4B" w14:paraId="18B02F28" w14:textId="77777777">
      <w:pPr>
        <w:spacing w:after="0" w:line="360" w:lineRule="auto"/>
        <w:contextualSpacing/>
        <w:rPr>
          <w:rFonts w:eastAsia="Times New Roman" w:cs="Tahoma"/>
          <w:bCs/>
          <w:iCs/>
          <w:color w:val="auto"/>
          <w:lang w:eastAsia="es-ES"/>
        </w:rPr>
      </w:pPr>
      <w:r w:rsidRPr="00296AF1">
        <w:rPr>
          <w:rFonts w:eastAsia="Times New Roman" w:cs="Tahoma"/>
          <w:bCs/>
          <w:iCs/>
          <w:color w:val="auto"/>
          <w:lang w:eastAsia="es-ES"/>
        </w:rPr>
        <w:t>El artículo 12, que, quienes generen, recopilen, administren, manejen, procesen, archiven o conserven información pública serán responsables de la misma.</w:t>
      </w:r>
    </w:p>
    <w:p w:rsidRPr="00296AF1" w:rsidR="00BF6B4B" w:rsidP="001F62B7" w:rsidRDefault="00BF6B4B" w14:paraId="3A0DD352" w14:textId="77777777">
      <w:pPr>
        <w:spacing w:after="0" w:line="360" w:lineRule="auto"/>
        <w:contextualSpacing/>
        <w:rPr>
          <w:rFonts w:eastAsia="Times New Roman" w:cs="Tahoma"/>
          <w:bCs/>
          <w:iCs/>
          <w:color w:val="auto"/>
          <w:lang w:eastAsia="es-ES"/>
        </w:rPr>
      </w:pPr>
    </w:p>
    <w:p w:rsidRPr="00296AF1" w:rsidR="00BF6B4B" w:rsidP="001F62B7" w:rsidRDefault="00BF6B4B" w14:paraId="3F70B6B3" w14:textId="77777777">
      <w:pPr>
        <w:spacing w:after="0" w:line="360" w:lineRule="auto"/>
        <w:contextualSpacing/>
        <w:rPr>
          <w:rFonts w:eastAsia="Times New Roman" w:cs="Tahoma"/>
          <w:bCs/>
          <w:iCs/>
          <w:color w:val="auto"/>
          <w:lang w:eastAsia="es-ES"/>
        </w:rPr>
      </w:pPr>
      <w:r w:rsidRPr="00296AF1">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296AF1" w:rsidR="00BF6B4B" w:rsidP="001F62B7" w:rsidRDefault="00BF6B4B" w14:paraId="621DB68F" w14:textId="77777777">
      <w:pPr>
        <w:spacing w:after="0" w:line="360" w:lineRule="auto"/>
        <w:contextualSpacing/>
        <w:rPr>
          <w:rFonts w:eastAsia="Times New Roman" w:cs="Tahoma"/>
          <w:bCs/>
          <w:iCs/>
          <w:color w:val="auto"/>
          <w:lang w:eastAsia="es-ES"/>
        </w:rPr>
      </w:pPr>
    </w:p>
    <w:p w:rsidRPr="00296AF1" w:rsidR="00BF6B4B" w:rsidP="001F62B7" w:rsidRDefault="00BF6B4B" w14:paraId="28F17B5F" w14:textId="77777777">
      <w:pPr>
        <w:spacing w:after="0" w:line="360" w:lineRule="auto"/>
        <w:contextualSpacing/>
        <w:rPr>
          <w:rFonts w:eastAsia="Times New Roman" w:cs="Tahoma"/>
          <w:bCs/>
          <w:iCs/>
          <w:color w:val="auto"/>
          <w:lang w:eastAsia="es-ES"/>
        </w:rPr>
      </w:pPr>
      <w:r w:rsidRPr="00296AF1">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96AF1" w:rsidR="00BF6B4B" w:rsidP="001F62B7" w:rsidRDefault="00BF6B4B" w14:paraId="5316A2CF" w14:textId="77777777">
      <w:pPr>
        <w:spacing w:after="0" w:line="360" w:lineRule="auto"/>
        <w:contextualSpacing/>
        <w:rPr>
          <w:rFonts w:eastAsia="Times New Roman" w:cs="Tahoma"/>
          <w:b/>
          <w:bCs/>
          <w:iCs/>
          <w:color w:val="auto"/>
          <w:lang w:val="es-ES" w:eastAsia="es-ES"/>
        </w:rPr>
      </w:pPr>
    </w:p>
    <w:p w:rsidRPr="00296AF1" w:rsidR="00BF6B4B" w:rsidP="001F62B7" w:rsidRDefault="00BF6B4B" w14:paraId="2670BAFD" w14:textId="77777777">
      <w:pPr>
        <w:spacing w:after="0" w:line="360" w:lineRule="auto"/>
        <w:contextualSpacing/>
        <w:rPr>
          <w:rFonts w:eastAsia="Times New Roman" w:cs="Tahoma"/>
          <w:b/>
          <w:bCs/>
          <w:iCs/>
          <w:color w:val="auto"/>
          <w:lang w:val="es-ES" w:eastAsia="es-ES"/>
        </w:rPr>
      </w:pPr>
      <w:r w:rsidRPr="00296AF1">
        <w:rPr>
          <w:rFonts w:eastAsia="Times New Roman" w:cs="Tahoma"/>
          <w:b/>
          <w:bCs/>
          <w:iCs/>
          <w:color w:val="auto"/>
          <w:lang w:val="es-ES" w:eastAsia="es-ES"/>
        </w:rPr>
        <w:t>QUINTO. Estudio de Fondo.</w:t>
      </w:r>
    </w:p>
    <w:p w:rsidRPr="00296AF1" w:rsidR="00F73AE7" w:rsidP="001F62B7" w:rsidRDefault="00F73AE7" w14:paraId="7208270B" w14:textId="77777777">
      <w:pPr>
        <w:spacing w:after="0" w:line="360" w:lineRule="auto"/>
        <w:contextualSpacing/>
        <w:rPr>
          <w:rFonts w:eastAsia="Times New Roman" w:cs="Tahoma"/>
          <w:b/>
          <w:bCs/>
          <w:iCs/>
          <w:color w:val="auto"/>
          <w:lang w:val="es-ES" w:eastAsia="es-ES"/>
        </w:rPr>
      </w:pPr>
    </w:p>
    <w:p w:rsidRPr="00296AF1" w:rsidR="0073083C" w:rsidP="00F73AE7" w:rsidRDefault="00F73AE7" w14:paraId="59FB25AC" w14:textId="04E37D25">
      <w:pPr>
        <w:spacing w:after="0" w:line="360" w:lineRule="auto"/>
        <w:rPr>
          <w:rFonts w:eastAsia="Times New Roman" w:cs="Tahoma"/>
          <w:color w:val="auto"/>
          <w:lang w:val="es-ES" w:eastAsia="es-ES"/>
        </w:rPr>
      </w:pPr>
      <w:r w:rsidRPr="00296AF1">
        <w:rPr>
          <w:rFonts w:eastAsia="Calibri" w:cs="Tahoma"/>
          <w:color w:val="000000"/>
          <w:szCs w:val="24"/>
          <w:lang w:val="es-ES" w:eastAsia="es-MX"/>
        </w:rPr>
        <w:t>Una vez realizado el estudio de las constancias que obran en el expediente electrónico, se procede analizar el agravio del Recurrente, referente a la entrega de información que no corresponde con lo solicitado, para lo cual</w:t>
      </w:r>
      <w:r w:rsidRPr="00296AF1">
        <w:rPr>
          <w:rFonts w:eastAsia="Times New Roman" w:cs="Tahoma"/>
          <w:color w:val="auto"/>
          <w:lang w:val="es-ES" w:eastAsia="es-ES"/>
        </w:rPr>
        <w:t xml:space="preserve">, en principio resulta necesario contextualizar la solicitud de información, referente </w:t>
      </w:r>
      <w:r w:rsidRPr="00296AF1" w:rsidR="0073083C">
        <w:rPr>
          <w:rFonts w:eastAsia="Times New Roman" w:cs="Tahoma"/>
          <w:color w:val="auto"/>
          <w:lang w:val="es-ES" w:eastAsia="es-ES"/>
        </w:rPr>
        <w:t>a las obras</w:t>
      </w:r>
      <w:r w:rsidRPr="00296AF1" w:rsidR="0045054B">
        <w:rPr>
          <w:rFonts w:eastAsia="Times New Roman" w:cs="Tahoma"/>
          <w:color w:val="auto"/>
          <w:lang w:val="es-ES" w:eastAsia="es-ES"/>
        </w:rPr>
        <w:t xml:space="preserve"> públicas</w:t>
      </w:r>
      <w:r w:rsidRPr="00296AF1" w:rsidR="0073083C">
        <w:rPr>
          <w:rFonts w:eastAsia="Times New Roman" w:cs="Tahoma"/>
          <w:color w:val="auto"/>
          <w:lang w:val="es-ES" w:eastAsia="es-ES"/>
        </w:rPr>
        <w:t xml:space="preserve"> aprobadas.</w:t>
      </w:r>
    </w:p>
    <w:p w:rsidRPr="00296AF1" w:rsidR="0073083C" w:rsidP="00F73AE7" w:rsidRDefault="0073083C" w14:paraId="6236CE3B" w14:textId="77777777">
      <w:pPr>
        <w:spacing w:after="0" w:line="360" w:lineRule="auto"/>
        <w:rPr>
          <w:rFonts w:eastAsia="Times New Roman" w:cs="Tahoma"/>
          <w:color w:val="auto"/>
          <w:lang w:val="es-ES" w:eastAsia="es-ES"/>
        </w:rPr>
      </w:pPr>
    </w:p>
    <w:p w:rsidRPr="00296AF1" w:rsidR="0045054B" w:rsidP="0045054B" w:rsidRDefault="0045054B" w14:paraId="264495F0" w14:textId="420709FF">
      <w:pPr>
        <w:spacing w:after="0" w:line="360" w:lineRule="auto"/>
        <w:rPr>
          <w:rFonts w:eastAsia="Calibri" w:cs="Times New Roman"/>
        </w:rPr>
      </w:pPr>
      <w:r w:rsidRPr="00296AF1">
        <w:t xml:space="preserve">Al respecto, </w:t>
      </w:r>
      <w:r w:rsidRPr="00296AF1">
        <w:rPr>
          <w:rFonts w:eastAsia="Calibri" w:cs="Times New Roman"/>
        </w:rPr>
        <w:t xml:space="preserve">el artículo 12.4 del Código Administrativo del Estado de México, establece que las obras públicas son aquellas cuyo objeto principal sea construir, instalar, ampliar, adecuar, </w:t>
      </w:r>
      <w:r w:rsidRPr="00296AF1">
        <w:rPr>
          <w:rFonts w:eastAsia="Calibri" w:cs="Times New Roman"/>
        </w:rPr>
        <w:lastRenderedPageBreak/>
        <w:t xml:space="preserve">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w:t>
      </w:r>
      <w:proofErr w:type="spellStart"/>
      <w:r w:rsidRPr="00296AF1">
        <w:rPr>
          <w:rFonts w:eastAsia="Calibri" w:cs="Times New Roman"/>
        </w:rPr>
        <w:t>hidroagrícola</w:t>
      </w:r>
      <w:proofErr w:type="spellEnd"/>
      <w:r w:rsidRPr="00296AF1">
        <w:rPr>
          <w:rFonts w:eastAsia="Calibri" w:cs="Times New Roman"/>
        </w:rPr>
        <w:t>, entre otros. Además, conforme al artículo 12.6 de dicho ordenamiento jurídico, uno de los entes que pueden llevar a cabo contratos de obra pública o servicios relacionados con la misma, son los Municipios, a través de los Ayuntamientos.</w:t>
      </w:r>
    </w:p>
    <w:p w:rsidRPr="00296AF1" w:rsidR="00F73AE7" w:rsidP="00F73AE7" w:rsidRDefault="00F73AE7" w14:paraId="46DD26B5" w14:textId="77777777">
      <w:pPr>
        <w:spacing w:after="0" w:line="360" w:lineRule="auto"/>
        <w:rPr>
          <w:rFonts w:eastAsia="Times New Roman" w:cs="Tahoma"/>
          <w:color w:val="auto"/>
          <w:lang w:val="es-ES" w:eastAsia="es-ES"/>
        </w:rPr>
      </w:pPr>
    </w:p>
    <w:p w:rsidRPr="00296AF1" w:rsidR="00F73AE7" w:rsidP="00F73AE7" w:rsidRDefault="00DA4BA0" w14:paraId="2D22C247" w14:textId="22D56F8E">
      <w:pPr>
        <w:spacing w:after="0" w:line="360" w:lineRule="auto"/>
        <w:ind w:right="-93"/>
        <w:rPr>
          <w:rFonts w:eastAsia="Times New Roman" w:cs="Tahoma"/>
          <w:iCs/>
          <w:color w:val="auto"/>
          <w:lang w:eastAsia="es-ES"/>
        </w:rPr>
      </w:pPr>
      <w:r w:rsidRPr="00296AF1">
        <w:rPr>
          <w:rFonts w:eastAsia="Times New Roman" w:cs="Tahoma"/>
          <w:iCs/>
          <w:color w:val="auto"/>
          <w:lang w:eastAsia="es-ES"/>
        </w:rPr>
        <w:t>Ahora bien, respecto al listado de autorización</w:t>
      </w:r>
      <w:r w:rsidRPr="00296AF1" w:rsidR="00F73AE7">
        <w:rPr>
          <w:rFonts w:eastAsia="Times New Roman" w:cs="Tahoma"/>
          <w:iCs/>
          <w:color w:val="auto"/>
          <w:lang w:eastAsia="es-ES"/>
        </w:rPr>
        <w:t xml:space="preserve">, es necesario traer a colación el </w:t>
      </w:r>
      <w:r w:rsidRPr="00296AF1" w:rsidR="00F73AE7">
        <w:rPr>
          <w:rFonts w:eastAsia="Times New Roman" w:cs="Times New Roman"/>
          <w:color w:val="auto"/>
          <w:lang w:val="es-ES" w:eastAsia="es-ES"/>
        </w:rPr>
        <w:t xml:space="preserve">el </w:t>
      </w:r>
      <w:r w:rsidRPr="00296AF1" w:rsidR="00F73AE7">
        <w:rPr>
          <w:rFonts w:eastAsia="Calibri" w:cs="Tahoma"/>
          <w:bCs/>
          <w:color w:val="auto"/>
        </w:rPr>
        <w:t xml:space="preserve">párrafo tercero del artículo 285, del Código Financiero del Estado de México y Municipios, que precisa que el Ayuntamiento es el encargado de aprobar el Presupuesto de Egresos del Municipio. </w:t>
      </w:r>
    </w:p>
    <w:p w:rsidRPr="00296AF1" w:rsidR="00F73AE7" w:rsidP="00F73AE7" w:rsidRDefault="00F73AE7" w14:paraId="2EF4F6B2" w14:textId="77777777">
      <w:pPr>
        <w:spacing w:after="0" w:line="360" w:lineRule="auto"/>
        <w:ind w:right="-93"/>
        <w:rPr>
          <w:rFonts w:eastAsia="Calibri" w:cs="Tahoma"/>
          <w:bCs/>
          <w:color w:val="auto"/>
        </w:rPr>
      </w:pPr>
    </w:p>
    <w:p w:rsidRPr="00296AF1" w:rsidR="00F73AE7" w:rsidP="00F73AE7" w:rsidRDefault="00F73AE7" w14:paraId="2983E414" w14:textId="77777777">
      <w:pPr>
        <w:spacing w:after="0" w:line="360" w:lineRule="auto"/>
        <w:ind w:right="-93"/>
        <w:rPr>
          <w:rFonts w:eastAsia="Calibri" w:cs="Tahoma"/>
          <w:bCs/>
          <w:color w:val="auto"/>
        </w:rPr>
      </w:pPr>
      <w:r w:rsidRPr="00296AF1">
        <w:rPr>
          <w:rFonts w:eastAsia="Calibri" w:cs="Tahoma"/>
          <w:bCs/>
          <w:color w:val="auto"/>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rsidRPr="00296AF1" w:rsidR="00F73AE7" w:rsidP="00F73AE7" w:rsidRDefault="00F73AE7" w14:paraId="43D19547" w14:textId="77777777">
      <w:pPr>
        <w:spacing w:after="0" w:line="360" w:lineRule="auto"/>
        <w:ind w:right="-93"/>
        <w:rPr>
          <w:rFonts w:eastAsia="Times New Roman" w:cs="Times New Roman"/>
          <w:color w:val="auto"/>
          <w:lang w:val="es-ES" w:eastAsia="es-ES"/>
        </w:rPr>
      </w:pPr>
    </w:p>
    <w:p w:rsidRPr="00296AF1" w:rsidR="00F73AE7" w:rsidP="00F73AE7" w:rsidRDefault="00F73AE7" w14:paraId="5A589F9B" w14:textId="77777777">
      <w:pPr>
        <w:spacing w:after="0" w:line="360" w:lineRule="auto"/>
        <w:ind w:right="-93"/>
        <w:rPr>
          <w:rFonts w:eastAsia="Calibri" w:cs="Tahoma"/>
          <w:b/>
          <w:bCs/>
          <w:color w:val="auto"/>
        </w:rPr>
      </w:pPr>
      <w:r w:rsidRPr="00296AF1">
        <w:rPr>
          <w:rFonts w:eastAsia="Times New Roman" w:cs="Times New Roman"/>
          <w:color w:val="auto"/>
          <w:lang w:val="es-ES" w:eastAsia="es-ES"/>
        </w:rPr>
        <w:t xml:space="preserve">Además, </w:t>
      </w:r>
      <w:r w:rsidRPr="00296AF1">
        <w:rPr>
          <w:rFonts w:eastAsia="Calibri" w:cs="Tahoma"/>
          <w:bCs/>
          <w:color w:val="auto"/>
        </w:rPr>
        <w:t>los diversos 100 y 101, fracción II, de dicho ordenamiento jurídico, prevén que el Presupuesto de Egresos, deberá contener las previsiones de gasto público y se conformará, entre otras cosas, por los programas en que se señalen objeticos, metas y unidades responsables para su ejecución, así como la valuación estimada del programa.</w:t>
      </w:r>
    </w:p>
    <w:p w:rsidRPr="00296AF1" w:rsidR="00F73AE7" w:rsidP="00F73AE7" w:rsidRDefault="00F73AE7" w14:paraId="14EFDCD8" w14:textId="77777777">
      <w:pPr>
        <w:spacing w:after="0" w:line="360" w:lineRule="auto"/>
        <w:rPr>
          <w:rFonts w:eastAsia="Times New Roman" w:cs="Times New Roman"/>
          <w:color w:val="auto"/>
          <w:lang w:val="es-ES" w:eastAsia="es-ES"/>
        </w:rPr>
      </w:pPr>
    </w:p>
    <w:p w:rsidRPr="00296AF1" w:rsidR="00F73AE7" w:rsidP="00F73AE7" w:rsidRDefault="00F73AE7" w14:paraId="50F814A6" w14:textId="20F3D8BB">
      <w:pPr>
        <w:spacing w:after="0" w:line="360" w:lineRule="auto"/>
        <w:rPr>
          <w:rFonts w:eastAsia="Times New Roman" w:cs="Times New Roman"/>
          <w:color w:val="auto"/>
          <w:lang w:val="es-ES" w:eastAsia="es-ES"/>
        </w:rPr>
      </w:pPr>
      <w:r w:rsidRPr="00296AF1">
        <w:rPr>
          <w:rFonts w:eastAsia="Times New Roman" w:cs="Times New Roman"/>
          <w:bCs/>
          <w:color w:val="auto"/>
          <w:lang w:eastAsia="es-ES"/>
        </w:rPr>
        <w:t xml:space="preserve">Así, el punto 1.2 Marco Conceptual, en el apartado “Definición del Presupuesto”, del </w:t>
      </w:r>
      <w:r w:rsidRPr="00296AF1">
        <w:rPr>
          <w:rFonts w:eastAsia="Times New Roman" w:cs="Times New Roman"/>
          <w:bCs/>
          <w:iCs/>
          <w:color w:val="auto"/>
          <w:lang w:val="es-ES" w:eastAsia="es-ES"/>
        </w:rPr>
        <w:t xml:space="preserve">Manual para la Planeación, Programación y Presupuesto de Egresos Municipal para los ejercicios fiscales </w:t>
      </w:r>
      <w:r w:rsidRPr="00296AF1" w:rsidR="0073083C">
        <w:rPr>
          <w:rFonts w:eastAsia="Times New Roman" w:cs="Times New Roman"/>
          <w:bCs/>
          <w:iCs/>
          <w:color w:val="auto"/>
          <w:lang w:val="es-ES" w:eastAsia="es-ES"/>
        </w:rPr>
        <w:t>de dos mil veintitrés</w:t>
      </w:r>
      <w:r w:rsidRPr="00296AF1">
        <w:rPr>
          <w:rFonts w:eastAsia="Times New Roman" w:cs="Times New Roman"/>
          <w:bCs/>
          <w:color w:val="auto"/>
          <w:lang w:eastAsia="es-ES"/>
        </w:rPr>
        <w:t xml:space="preserve">, establece que el Presupuesto es la estimación financiera anticipada de los ingresos y egresos del gobierno, necesarios para cumplir con los objetivos </w:t>
      </w:r>
      <w:r w:rsidRPr="00296AF1">
        <w:rPr>
          <w:rFonts w:eastAsia="Times New Roman" w:cs="Times New Roman"/>
          <w:bCs/>
          <w:color w:val="auto"/>
          <w:lang w:eastAsia="es-ES"/>
        </w:rPr>
        <w:lastRenderedPageBreak/>
        <w:t>establecidos; además, que el mismo involucra planes, políticas, programas, proyectos, estrategias y objetivos del municipio.</w:t>
      </w:r>
    </w:p>
    <w:p w:rsidRPr="00296AF1" w:rsidR="00F73AE7" w:rsidP="00F73AE7" w:rsidRDefault="00F73AE7" w14:paraId="583CF766" w14:textId="77777777">
      <w:pPr>
        <w:spacing w:after="0" w:line="360" w:lineRule="auto"/>
        <w:rPr>
          <w:rFonts w:eastAsia="Times New Roman" w:cs="Tahoma"/>
          <w:iCs/>
          <w:color w:val="auto"/>
          <w:lang w:eastAsia="es-ES"/>
        </w:rPr>
      </w:pPr>
    </w:p>
    <w:p w:rsidRPr="00296AF1" w:rsidR="00F73AE7" w:rsidP="00F73AE7" w:rsidRDefault="00F73AE7" w14:paraId="35EBEEC1" w14:textId="7592598D">
      <w:pPr>
        <w:spacing w:after="0" w:line="360" w:lineRule="auto"/>
        <w:rPr>
          <w:rFonts w:eastAsia="Times New Roman" w:cs="Times New Roman"/>
          <w:color w:val="auto"/>
          <w:lang w:val="es-ES" w:eastAsia="es-ES"/>
        </w:rPr>
      </w:pPr>
      <w:r w:rsidRPr="00296AF1">
        <w:rPr>
          <w:rFonts w:eastAsia="Times New Roman" w:cs="Times New Roman"/>
          <w:color w:val="auto"/>
          <w:lang w:val="es-ES" w:eastAsia="es-ES"/>
        </w:rPr>
        <w:t>Por otra parte, el punto 3.4.1 de los Lineamientos generales, del apartado del Presupuesto de Egresos Municipal (Tercera etapa), de dichos ordenamientos jurídicos, establecen los Formatos que integran el Proyecto de Presupuesto de Egresos, se conforma de diversos formatos, entre los cuales, se encuentra el Prog</w:t>
      </w:r>
      <w:r w:rsidRPr="00296AF1" w:rsidR="0073083C">
        <w:rPr>
          <w:rFonts w:eastAsia="Times New Roman" w:cs="Times New Roman"/>
          <w:color w:val="auto"/>
          <w:lang w:val="es-ES" w:eastAsia="es-ES"/>
        </w:rPr>
        <w:t>rama Anual de Obra (</w:t>
      </w:r>
      <w:proofErr w:type="spellStart"/>
      <w:r w:rsidRPr="00296AF1" w:rsidR="0073083C">
        <w:rPr>
          <w:rFonts w:eastAsia="Times New Roman" w:cs="Times New Roman"/>
          <w:color w:val="auto"/>
          <w:lang w:val="es-ES" w:eastAsia="es-ES"/>
        </w:rPr>
        <w:t>PbRM</w:t>
      </w:r>
      <w:proofErr w:type="spellEnd"/>
      <w:r w:rsidRPr="00296AF1" w:rsidR="0073083C">
        <w:rPr>
          <w:rFonts w:eastAsia="Times New Roman" w:cs="Times New Roman"/>
          <w:color w:val="auto"/>
          <w:lang w:val="es-ES" w:eastAsia="es-ES"/>
        </w:rPr>
        <w:t xml:space="preserve"> E-07a), que específica de manera específica de manera precisa el periodo </w:t>
      </w:r>
      <w:r w:rsidRPr="00296AF1" w:rsidR="0045054B">
        <w:rPr>
          <w:rFonts w:eastAsia="Times New Roman" w:cs="Times New Roman"/>
          <w:color w:val="auto"/>
          <w:lang w:val="es-ES" w:eastAsia="es-ES"/>
        </w:rPr>
        <w:t>y el presupuesto que destina el Ayuntamiento para obra pública, así como, la fuente de financiamiento con la que se llevará a cabo.</w:t>
      </w:r>
    </w:p>
    <w:p w:rsidRPr="00296AF1" w:rsidR="00F73AE7" w:rsidP="00F73AE7" w:rsidRDefault="00F73AE7" w14:paraId="37332EC4" w14:textId="77777777">
      <w:pPr>
        <w:spacing w:after="0" w:line="360" w:lineRule="auto"/>
        <w:rPr>
          <w:rFonts w:eastAsia="Times New Roman" w:cs="Tahoma"/>
          <w:color w:val="auto"/>
          <w:lang w:val="es-ES" w:eastAsia="es-ES"/>
        </w:rPr>
      </w:pPr>
    </w:p>
    <w:p w:rsidRPr="00296AF1" w:rsidR="0073083C" w:rsidP="00F73AE7" w:rsidRDefault="001D195F" w14:paraId="45CE36E1" w14:textId="010C8B2B">
      <w:pPr>
        <w:spacing w:after="0" w:line="360" w:lineRule="auto"/>
        <w:rPr>
          <w:rFonts w:eastAsia="Times New Roman" w:cs="Tahoma"/>
          <w:color w:val="auto"/>
          <w:lang w:val="es-ES" w:eastAsia="es-ES"/>
        </w:rPr>
      </w:pPr>
      <w:r w:rsidRPr="00296AF1">
        <w:rPr>
          <w:rFonts w:eastAsia="Times New Roman" w:cs="Tahoma"/>
          <w:color w:val="auto"/>
          <w:lang w:val="es-ES" w:eastAsia="es-ES"/>
        </w:rPr>
        <w:t xml:space="preserve">Conforme a lo anterior, se logra vislumbrar que el formato </w:t>
      </w:r>
      <w:r w:rsidRPr="00296AF1">
        <w:rPr>
          <w:rFonts w:eastAsia="Times New Roman" w:cs="Times New Roman"/>
          <w:color w:val="auto"/>
          <w:lang w:val="es-ES" w:eastAsia="es-ES"/>
        </w:rPr>
        <w:t>“</w:t>
      </w:r>
      <w:proofErr w:type="spellStart"/>
      <w:r w:rsidRPr="00296AF1">
        <w:rPr>
          <w:rFonts w:eastAsia="Times New Roman" w:cs="Times New Roman"/>
          <w:color w:val="auto"/>
          <w:lang w:val="es-ES" w:eastAsia="es-ES"/>
        </w:rPr>
        <w:t>PbRM</w:t>
      </w:r>
      <w:proofErr w:type="spellEnd"/>
      <w:r w:rsidRPr="00296AF1">
        <w:rPr>
          <w:rFonts w:eastAsia="Times New Roman" w:cs="Times New Roman"/>
          <w:color w:val="auto"/>
          <w:lang w:val="es-ES" w:eastAsia="es-ES"/>
        </w:rPr>
        <w:t xml:space="preserve"> E-07a",</w:t>
      </w:r>
      <w:r w:rsidRPr="00296AF1" w:rsidR="00626191">
        <w:rPr>
          <w:rFonts w:eastAsia="Times New Roman" w:cs="Times New Roman"/>
          <w:color w:val="auto"/>
          <w:lang w:val="es-ES" w:eastAsia="es-ES"/>
        </w:rPr>
        <w:t xml:space="preserve"> contiene todas las obras públicas programadas para ejecutar durante el ejercicio fiscal dos mil veintitrés; por lo que, si bien el Particular no es perito en la materia para conocer del nombre del documento al cual requiere tener acceso, se considera que su pretensión es obtener el Programa Anual de Obra, del ejercicio fiscal dos mil veintitrés.</w:t>
      </w:r>
    </w:p>
    <w:p w:rsidRPr="00296AF1" w:rsidR="0073083C" w:rsidP="00F73AE7" w:rsidRDefault="0073083C" w14:paraId="131C3161" w14:textId="77777777">
      <w:pPr>
        <w:spacing w:after="0" w:line="360" w:lineRule="auto"/>
        <w:rPr>
          <w:rFonts w:eastAsia="Times New Roman" w:cs="Tahoma"/>
          <w:color w:val="auto"/>
          <w:lang w:val="es-ES" w:eastAsia="es-ES"/>
        </w:rPr>
      </w:pPr>
    </w:p>
    <w:p w:rsidRPr="00296AF1" w:rsidR="00626191" w:rsidP="00626191" w:rsidRDefault="00626191" w14:paraId="65D7E7D1" w14:textId="77777777">
      <w:pPr>
        <w:spacing w:after="0" w:line="360" w:lineRule="auto"/>
        <w:ind w:right="-28"/>
        <w:rPr>
          <w:rFonts w:eastAsia="Times New Roman" w:cs="Tahoma"/>
          <w:iCs/>
          <w:color w:val="auto"/>
          <w:lang w:eastAsia="es-ES"/>
        </w:rPr>
      </w:pPr>
      <w:r w:rsidRPr="00296AF1">
        <w:rPr>
          <w:rFonts w:eastAsia="Calibri" w:cs="Tahoma"/>
          <w:bCs/>
        </w:rPr>
        <w:t xml:space="preserve">Establecido lo anterior, se analiza la respuesta a la solicitud, por lo que, en principio es de señalar que de las constancias </w:t>
      </w:r>
      <w:r w:rsidRPr="00296AF1">
        <w:rPr>
          <w:rFonts w:eastAsia="Times New Roman" w:cs="Tahoma"/>
          <w:iCs/>
          <w:color w:val="auto"/>
          <w:lang w:eastAsia="es-ES"/>
        </w:rPr>
        <w:t>que obran el expediente electrónico, se advierte que el Sujeto Obligado turno el requerimiento de información a la Dirección de Administración</w:t>
      </w:r>
      <w:r w:rsidRPr="00296AF1">
        <w:rPr>
          <w:rFonts w:eastAsia="Calibri" w:cs="Tahoma"/>
          <w:bCs/>
        </w:rPr>
        <w:t>; sobre lo anterior,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296AF1" w:rsidR="00626191" w:rsidP="00626191" w:rsidRDefault="00626191" w14:paraId="26E51D6F" w14:textId="77777777">
      <w:pPr>
        <w:spacing w:after="0" w:line="360" w:lineRule="auto"/>
        <w:ind w:right="-28"/>
        <w:rPr>
          <w:rFonts w:eastAsia="Times New Roman" w:cs="Tahoma"/>
          <w:iCs/>
          <w:color w:val="auto"/>
          <w:lang w:val="es-ES" w:eastAsia="es-ES"/>
        </w:rPr>
      </w:pPr>
    </w:p>
    <w:p w:rsidRPr="00296AF1" w:rsidR="00626191" w:rsidP="00626191" w:rsidRDefault="00626191" w14:paraId="3EA7035E" w14:textId="77777777">
      <w:pPr>
        <w:numPr>
          <w:ilvl w:val="0"/>
          <w:numId w:val="1"/>
        </w:numPr>
        <w:spacing w:after="0" w:line="360" w:lineRule="auto"/>
        <w:ind w:right="-28"/>
        <w:rPr>
          <w:rFonts w:eastAsia="Times New Roman" w:cs="Tahoma"/>
          <w:bCs/>
          <w:iCs/>
          <w:color w:val="auto"/>
          <w:lang w:val="es-ES" w:eastAsia="es-ES"/>
        </w:rPr>
      </w:pPr>
      <w:r w:rsidRPr="00296AF1">
        <w:rPr>
          <w:rFonts w:eastAsia="Times New Roman" w:cs="Tahoma"/>
          <w:bCs/>
          <w:iCs/>
          <w:color w:val="auto"/>
          <w:lang w:val="es-ES" w:eastAsia="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296AF1">
        <w:rPr>
          <w:rFonts w:eastAsia="Times New Roman" w:cs="Tahoma"/>
          <w:bCs/>
          <w:iCs/>
          <w:color w:val="auto"/>
          <w:lang w:val="es-ES" w:eastAsia="es-ES"/>
        </w:rPr>
        <w:lastRenderedPageBreak/>
        <w:t>que dichas áreas realicen una búsqueda exhaustiva y razonable de la información requerida, y</w:t>
      </w:r>
    </w:p>
    <w:p w:rsidRPr="00296AF1" w:rsidR="00626191" w:rsidP="00626191" w:rsidRDefault="00626191" w14:paraId="2838F109" w14:textId="77777777">
      <w:pPr>
        <w:spacing w:after="0" w:line="360" w:lineRule="auto"/>
        <w:ind w:right="-28"/>
        <w:rPr>
          <w:rFonts w:eastAsia="Times New Roman" w:cs="Tahoma"/>
          <w:bCs/>
          <w:iCs/>
          <w:color w:val="auto"/>
          <w:lang w:val="es-ES" w:eastAsia="es-ES"/>
        </w:rPr>
      </w:pPr>
    </w:p>
    <w:p w:rsidRPr="00296AF1" w:rsidR="00626191" w:rsidP="00626191" w:rsidRDefault="00626191" w14:paraId="2B83AF7A" w14:textId="77777777">
      <w:pPr>
        <w:numPr>
          <w:ilvl w:val="0"/>
          <w:numId w:val="1"/>
        </w:numPr>
        <w:spacing w:after="0" w:line="360" w:lineRule="auto"/>
        <w:ind w:right="-28"/>
        <w:rPr>
          <w:rFonts w:eastAsia="Times New Roman" w:cs="Tahoma"/>
          <w:bCs/>
          <w:iCs/>
          <w:color w:val="auto"/>
          <w:lang w:val="es-ES" w:eastAsia="es-ES"/>
        </w:rPr>
      </w:pPr>
      <w:r w:rsidRPr="00296AF1">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296AF1" w:rsidR="00626191" w:rsidP="00626191" w:rsidRDefault="00626191" w14:paraId="75EFA08D" w14:textId="77777777">
      <w:pPr>
        <w:spacing w:after="0" w:line="360" w:lineRule="auto"/>
        <w:ind w:right="-28"/>
        <w:contextualSpacing/>
        <w:rPr>
          <w:rFonts w:eastAsia="Calibri" w:cs="Tahoma"/>
          <w:bCs/>
          <w:color w:val="auto"/>
        </w:rPr>
      </w:pPr>
    </w:p>
    <w:p w:rsidRPr="00296AF1" w:rsidR="00D60D55" w:rsidP="00626191" w:rsidRDefault="00626191" w14:paraId="296530CD" w14:textId="7C017B39">
      <w:pPr>
        <w:spacing w:after="0" w:line="360" w:lineRule="auto"/>
        <w:ind w:right="-28"/>
        <w:contextualSpacing/>
        <w:rPr>
          <w:rFonts w:eastAsia="Calibri" w:cs="Tahoma"/>
          <w:bCs/>
          <w:color w:val="000000"/>
          <w:lang w:eastAsia="es-ES"/>
        </w:rPr>
      </w:pPr>
      <w:r w:rsidRPr="00296AF1">
        <w:rPr>
          <w:rFonts w:eastAsia="Calibri" w:cs="Tahoma"/>
          <w:bCs/>
          <w:color w:val="000000"/>
          <w:lang w:eastAsia="es-ES"/>
        </w:rPr>
        <w:t xml:space="preserve">Así, a efecto de determinar si el Sujeto Obligado cumplió con el procedimiento de búsqueda, resulta necesario citar </w:t>
      </w:r>
      <w:r w:rsidRPr="00296AF1" w:rsidR="00D60D55">
        <w:rPr>
          <w:rFonts w:eastAsia="Calibri" w:cs="Tahoma"/>
          <w:bCs/>
          <w:color w:val="000000"/>
          <w:lang w:eastAsia="es-ES"/>
        </w:rPr>
        <w:t>los artículos 39, fracción V,</w:t>
      </w:r>
      <w:r w:rsidRPr="00296AF1" w:rsidR="00E47457">
        <w:rPr>
          <w:rFonts w:eastAsia="Calibri" w:cs="Tahoma"/>
          <w:bCs/>
          <w:color w:val="000000"/>
          <w:lang w:eastAsia="es-ES"/>
        </w:rPr>
        <w:t xml:space="preserve"> y</w:t>
      </w:r>
      <w:r w:rsidRPr="00296AF1" w:rsidR="00D60D55">
        <w:rPr>
          <w:rFonts w:eastAsia="Calibri" w:cs="Tahoma"/>
          <w:bCs/>
          <w:color w:val="000000"/>
          <w:lang w:eastAsia="es-ES"/>
        </w:rPr>
        <w:t xml:space="preserve"> 44</w:t>
      </w:r>
      <w:r w:rsidRPr="00296AF1" w:rsidR="00E47457">
        <w:rPr>
          <w:rFonts w:eastAsia="Calibri" w:cs="Tahoma"/>
          <w:bCs/>
          <w:color w:val="000000"/>
          <w:lang w:eastAsia="es-ES"/>
        </w:rPr>
        <w:t xml:space="preserve"> del Bando Municipal dos mil veintitrés, de Tecámac, con relación al 96 Bis de la Ley Orgánica Municipal del Estado de México, que precisa que el Sujeto Obligado cuenta con diversas unidades administrativas para el ejercicio de sus funcione, entre las cuales se encuentra la Dirección General de Obras Públicas encargada del desarrollo </w:t>
      </w:r>
      <w:r w:rsidRPr="00296AF1" w:rsidR="00E47457">
        <w:t>conservación y mantenimiento de la infraestructura urbana del municipio; de la programación y ejecución de las obras públicas; planear y coordinar los proyectos respectivos, así como, proyectar, formular y proponer el Programa General de Obras Públicas, para la construcción y mejoramiento de las mismas.</w:t>
      </w:r>
    </w:p>
    <w:p w:rsidRPr="00296AF1" w:rsidR="00D60D55" w:rsidP="00626191" w:rsidRDefault="00D60D55" w14:paraId="715FA393" w14:textId="77777777">
      <w:pPr>
        <w:spacing w:after="0" w:line="360" w:lineRule="auto"/>
        <w:ind w:right="-28"/>
        <w:contextualSpacing/>
        <w:rPr>
          <w:rFonts w:eastAsia="Calibri" w:cs="Tahoma"/>
          <w:bCs/>
          <w:color w:val="000000"/>
          <w:lang w:eastAsia="es-ES"/>
        </w:rPr>
      </w:pPr>
    </w:p>
    <w:p w:rsidRPr="00296AF1" w:rsidR="00F73AE7" w:rsidP="00626191" w:rsidRDefault="00626191" w14:paraId="4195E813" w14:textId="01148FBF">
      <w:pPr>
        <w:spacing w:after="0" w:line="360" w:lineRule="auto"/>
        <w:rPr>
          <w:rFonts w:eastAsia="Times New Roman" w:cs="Times New Roman"/>
          <w:color w:val="auto"/>
          <w:lang w:val="es-ES" w:eastAsia="es-ES"/>
        </w:rPr>
      </w:pPr>
      <w:r w:rsidRPr="00296AF1">
        <w:rPr>
          <w:rFonts w:eastAsia="Times New Roman" w:cs="Tahoma"/>
          <w:bCs/>
          <w:iCs/>
          <w:color w:val="auto"/>
          <w:lang w:eastAsia="es-ES"/>
        </w:rPr>
        <w:t xml:space="preserve">Conforme a lo anterior se logra observar que el Ayuntamiento de  Teoloyucan, gestionó la solicitud de información a la unidad administrativa competente para conocer de lo requerido, </w:t>
      </w:r>
      <w:r w:rsidRPr="00296AF1" w:rsidR="00E47457">
        <w:rPr>
          <w:rFonts w:eastAsia="Times New Roman" w:cs="Tahoma"/>
          <w:bCs/>
          <w:iCs/>
          <w:color w:val="auto"/>
          <w:lang w:eastAsia="es-ES"/>
        </w:rPr>
        <w:t>toda vez,</w:t>
      </w:r>
      <w:r w:rsidRPr="00296AF1">
        <w:rPr>
          <w:rFonts w:eastAsia="Times New Roman" w:cs="Tahoma"/>
          <w:bCs/>
          <w:iCs/>
          <w:color w:val="auto"/>
          <w:lang w:val="x-none" w:eastAsia="es-ES"/>
        </w:rPr>
        <w:t xml:space="preserve"> que la Dirección </w:t>
      </w:r>
      <w:r w:rsidRPr="00296AF1" w:rsidR="00E47457">
        <w:rPr>
          <w:rFonts w:eastAsia="Times New Roman" w:cs="Tahoma"/>
          <w:bCs/>
          <w:iCs/>
          <w:color w:val="auto"/>
          <w:lang w:eastAsia="es-ES"/>
        </w:rPr>
        <w:t>General de Obras Públicas</w:t>
      </w:r>
      <w:r w:rsidRPr="00296AF1">
        <w:rPr>
          <w:rFonts w:eastAsia="Times New Roman" w:cs="Tahoma"/>
          <w:bCs/>
          <w:iCs/>
          <w:color w:val="auto"/>
          <w:lang w:val="x-none" w:eastAsia="es-ES"/>
        </w:rPr>
        <w:t xml:space="preserve">, ve todas las cuestiones relacionadas </w:t>
      </w:r>
      <w:r w:rsidRPr="00296AF1" w:rsidR="00E47457">
        <w:rPr>
          <w:rFonts w:eastAsia="Times New Roman" w:cs="Tahoma"/>
          <w:bCs/>
          <w:iCs/>
          <w:color w:val="auto"/>
          <w:lang w:eastAsia="es-ES"/>
        </w:rPr>
        <w:t>con la programación y ejecución de las obras públicas; lo anterior, se robustece con el Acta de la Quinta Sesión Ordinaria de Cabildo de dos mil veintitrés</w:t>
      </w:r>
      <w:r w:rsidRPr="00296AF1" w:rsidR="00900F55">
        <w:rPr>
          <w:rFonts w:eastAsia="Times New Roman" w:cs="Tahoma"/>
          <w:bCs/>
          <w:iCs/>
          <w:color w:val="auto"/>
          <w:lang w:eastAsia="es-ES"/>
        </w:rPr>
        <w:t>, por medio del cual se instruye a la Dirección General de Obras Públicas a que elabore el Programa Anual de Obra Pública.</w:t>
      </w:r>
    </w:p>
    <w:p w:rsidRPr="00296AF1" w:rsidR="00F73AE7" w:rsidP="001F62B7" w:rsidRDefault="00F73AE7" w14:paraId="3DCED35F" w14:textId="77777777">
      <w:pPr>
        <w:spacing w:after="0" w:line="360" w:lineRule="auto"/>
        <w:contextualSpacing/>
        <w:rPr>
          <w:rFonts w:eastAsia="Times New Roman" w:cs="Tahoma"/>
          <w:b/>
          <w:bCs/>
          <w:iCs/>
          <w:color w:val="auto"/>
          <w:lang w:val="es-ES" w:eastAsia="es-ES"/>
        </w:rPr>
      </w:pPr>
    </w:p>
    <w:p w:rsidRPr="00296AF1" w:rsidR="008904D3" w:rsidP="001F62B7" w:rsidRDefault="008904D3" w14:paraId="7014EE2A" w14:textId="77777777">
      <w:pPr>
        <w:spacing w:after="0" w:line="360" w:lineRule="auto"/>
        <w:contextualSpacing/>
        <w:rPr>
          <w:rFonts w:eastAsia="Times New Roman" w:cs="Tahoma"/>
          <w:b/>
          <w:bCs/>
          <w:iCs/>
          <w:color w:val="auto"/>
          <w:lang w:val="es-ES" w:eastAsia="es-ES"/>
        </w:rPr>
      </w:pPr>
    </w:p>
    <w:p w:rsidRPr="00296AF1" w:rsidR="008904D3" w:rsidP="008904D3" w:rsidRDefault="00900F55" w14:paraId="5095DDD8" w14:textId="77777777">
      <w:pPr>
        <w:spacing w:after="0" w:line="360" w:lineRule="auto"/>
        <w:contextualSpacing/>
      </w:pPr>
      <w:r w:rsidRPr="00296AF1">
        <w:rPr>
          <w:rFonts w:eastAsia="Times New Roman" w:cs="Tahoma"/>
          <w:bCs/>
          <w:iCs/>
          <w:color w:val="auto"/>
          <w:lang w:val="es-ES" w:eastAsia="es-ES"/>
        </w:rPr>
        <w:lastRenderedPageBreak/>
        <w:t>Ahora bien, dicha área precisó, por una parte, que el Programa Anual de Obra Pública, para el ejercicio fiscal dos mil veintitrés, había sido autorizado en Sesión de Cabildo se encontraba publicado en la gaceta del siete de febrero de dos mil veintitrés</w:t>
      </w:r>
      <w:r w:rsidRPr="00296AF1" w:rsidR="008904D3">
        <w:rPr>
          <w:rFonts w:eastAsia="Times New Roman" w:cs="Tahoma"/>
          <w:bCs/>
          <w:iCs/>
          <w:color w:val="auto"/>
          <w:lang w:val="es-ES" w:eastAsia="es-ES"/>
        </w:rPr>
        <w:t xml:space="preserve"> y, por otra parte, proporcionó </w:t>
      </w:r>
      <w:r w:rsidRPr="00296AF1" w:rsidR="008904D3">
        <w:t>la “Gaceta Municipal”, Periódico Oficial del Gobierno Municipal de Tecámac, Estado de México, número 6, del veinticuatro de febrero de dos mil veintitrés.</w:t>
      </w:r>
    </w:p>
    <w:p w:rsidRPr="00296AF1" w:rsidR="00900F55" w:rsidP="001F62B7" w:rsidRDefault="00900F55" w14:paraId="0F52401B" w14:textId="4B8EA1F3">
      <w:pPr>
        <w:spacing w:after="0" w:line="360" w:lineRule="auto"/>
        <w:contextualSpacing/>
        <w:rPr>
          <w:rFonts w:eastAsia="Times New Roman" w:cs="Tahoma"/>
          <w:bCs/>
          <w:iCs/>
          <w:color w:val="auto"/>
          <w:lang w:val="es-ES" w:eastAsia="es-ES"/>
        </w:rPr>
      </w:pPr>
    </w:p>
    <w:p w:rsidRPr="00296AF1" w:rsidR="008904D3" w:rsidP="001F62B7" w:rsidRDefault="008904D3" w14:paraId="206C940B" w14:textId="5907A63A">
      <w:pPr>
        <w:spacing w:after="0" w:line="360" w:lineRule="auto"/>
        <w:contextualSpacing/>
        <w:rPr>
          <w:rFonts w:eastAsia="Times New Roman" w:cs="Tahoma"/>
          <w:bCs/>
          <w:iCs/>
          <w:color w:val="auto"/>
          <w:lang w:val="es-ES" w:eastAsia="es-ES"/>
        </w:rPr>
      </w:pPr>
      <w:r w:rsidRPr="00296AF1">
        <w:rPr>
          <w:rFonts w:eastAsia="Times New Roman" w:cs="Tahoma"/>
          <w:bCs/>
          <w:iCs/>
          <w:color w:val="auto"/>
          <w:lang w:val="es-ES" w:eastAsia="es-ES"/>
        </w:rPr>
        <w:t>En ese contexto, este Instituto revisó la documental mencionada y no contiene el Programa Anual de Obras, del ejercicio fiscal dos mil veintitrés, pues únicamente contiene la información de la Tercera, Cuarta y Quinta Sesión Ordinaria de Cabildo, dos mil veintitrés, sin que en ninguna se haya aprobado la documental mencionada, se muestra un extracto a continuación:</w:t>
      </w:r>
    </w:p>
    <w:p w:rsidRPr="00296AF1" w:rsidR="008904D3" w:rsidP="001F62B7" w:rsidRDefault="008904D3" w14:paraId="1580E068" w14:textId="77777777">
      <w:pPr>
        <w:spacing w:after="0" w:line="360" w:lineRule="auto"/>
        <w:contextualSpacing/>
        <w:rPr>
          <w:rFonts w:eastAsia="Times New Roman" w:cs="Tahoma"/>
          <w:bCs/>
          <w:iCs/>
          <w:color w:val="auto"/>
          <w:lang w:val="es-ES" w:eastAsia="es-ES"/>
        </w:rPr>
      </w:pPr>
    </w:p>
    <w:p w:rsidRPr="00296AF1" w:rsidR="008904D3" w:rsidP="008904D3" w:rsidRDefault="008904D3" w14:paraId="0C2DA763" w14:textId="12717610">
      <w:pPr>
        <w:spacing w:after="0" w:line="360" w:lineRule="auto"/>
        <w:contextualSpacing/>
        <w:jc w:val="center"/>
        <w:rPr>
          <w:rFonts w:eastAsia="Times New Roman" w:cs="Tahoma"/>
          <w:bCs/>
          <w:iCs/>
          <w:color w:val="auto"/>
          <w:lang w:val="es-ES" w:eastAsia="es-ES"/>
        </w:rPr>
      </w:pPr>
      <w:r w:rsidRPr="00296AF1">
        <w:rPr>
          <w:rFonts w:eastAsia="Times New Roman" w:cs="Tahoma"/>
          <w:bCs/>
          <w:iCs/>
          <w:noProof/>
          <w:color w:val="auto"/>
          <w:lang w:eastAsia="es-MX"/>
        </w:rPr>
        <w:drawing>
          <wp:inline distT="0" distB="0" distL="0" distR="0" wp14:anchorId="25CB11E4" wp14:editId="4486B844">
            <wp:extent cx="5948789" cy="2695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5841" cy="2703302"/>
                    </a:xfrm>
                    <a:prstGeom prst="rect">
                      <a:avLst/>
                    </a:prstGeom>
                  </pic:spPr>
                </pic:pic>
              </a:graphicData>
            </a:graphic>
          </wp:inline>
        </w:drawing>
      </w:r>
    </w:p>
    <w:p w:rsidRPr="00296AF1" w:rsidR="00900F55" w:rsidP="001F62B7" w:rsidRDefault="00900F55" w14:paraId="61721503" w14:textId="77777777">
      <w:pPr>
        <w:spacing w:after="0" w:line="360" w:lineRule="auto"/>
        <w:contextualSpacing/>
        <w:rPr>
          <w:rFonts w:eastAsia="Times New Roman" w:cs="Tahoma"/>
          <w:b/>
          <w:bCs/>
          <w:iCs/>
          <w:color w:val="auto"/>
          <w:lang w:val="es-ES" w:eastAsia="es-ES"/>
        </w:rPr>
      </w:pPr>
    </w:p>
    <w:p w:rsidRPr="00296AF1" w:rsidR="008904D3" w:rsidP="001F62B7" w:rsidRDefault="008904D3" w14:paraId="52BAC303" w14:textId="00C6CE6D">
      <w:pPr>
        <w:spacing w:after="0" w:line="360" w:lineRule="auto"/>
        <w:contextualSpacing/>
        <w:rPr>
          <w:rFonts w:eastAsia="Times New Roman" w:cs="Tahoma"/>
          <w:bCs/>
          <w:iCs/>
          <w:color w:val="auto"/>
          <w:lang w:val="es-ES" w:eastAsia="es-ES"/>
        </w:rPr>
      </w:pPr>
      <w:r w:rsidRPr="00296AF1">
        <w:rPr>
          <w:rFonts w:eastAsia="Times New Roman" w:cs="Tahoma"/>
          <w:bCs/>
          <w:iCs/>
          <w:color w:val="auto"/>
          <w:lang w:val="es-ES" w:eastAsia="es-ES"/>
        </w:rPr>
        <w:t>Conforme a lo anterior, se logra vislumbrar que el documento solicitado no contiene la información requerida por el Particular; ahora bien, este Instituto localizó la Gaceta Municipal número 4, del siete de febrero de dos mil veintidós, de cuya revisi</w:t>
      </w:r>
      <w:r w:rsidRPr="00296AF1" w:rsidR="00C07EFB">
        <w:rPr>
          <w:rFonts w:eastAsia="Times New Roman" w:cs="Tahoma"/>
          <w:bCs/>
          <w:iCs/>
          <w:color w:val="auto"/>
          <w:lang w:val="es-ES" w:eastAsia="es-ES"/>
        </w:rPr>
        <w:t xml:space="preserve">ón, se logra vislumbrar que contiene la Primera y Segunda Sesión Ordinaria, no obstante en ninguna se aprobó el Programa </w:t>
      </w:r>
      <w:r w:rsidRPr="00296AF1" w:rsidR="00C07EFB">
        <w:rPr>
          <w:rFonts w:eastAsia="Times New Roman" w:cs="Tahoma"/>
          <w:bCs/>
          <w:iCs/>
          <w:color w:val="auto"/>
          <w:lang w:val="es-ES" w:eastAsia="es-ES"/>
        </w:rPr>
        <w:lastRenderedPageBreak/>
        <w:t>solicitado, pue únicamente se aprobó el cierre del Programa Anual de Obra Pública, del ejercicio fiscal dos mil veintidós, tal como se muestra:</w:t>
      </w:r>
    </w:p>
    <w:p w:rsidRPr="00296AF1" w:rsidR="00C07EFB" w:rsidP="001F62B7" w:rsidRDefault="00C07EFB" w14:paraId="65E9CEAA" w14:textId="77777777">
      <w:pPr>
        <w:spacing w:after="0" w:line="360" w:lineRule="auto"/>
        <w:contextualSpacing/>
        <w:rPr>
          <w:rFonts w:eastAsia="Times New Roman" w:cs="Tahoma"/>
          <w:bCs/>
          <w:iCs/>
          <w:color w:val="auto"/>
          <w:lang w:val="es-ES" w:eastAsia="es-ES"/>
        </w:rPr>
      </w:pPr>
    </w:p>
    <w:p w:rsidRPr="00296AF1" w:rsidR="00C07EFB" w:rsidP="001F62B7" w:rsidRDefault="00C07EFB" w14:paraId="55AA29E6" w14:textId="10252730">
      <w:pPr>
        <w:spacing w:after="0" w:line="360" w:lineRule="auto"/>
        <w:contextualSpacing/>
        <w:rPr>
          <w:rFonts w:eastAsia="Times New Roman" w:cs="Tahoma"/>
          <w:bCs/>
          <w:iCs/>
          <w:color w:val="auto"/>
          <w:lang w:val="es-ES" w:eastAsia="es-ES"/>
        </w:rPr>
      </w:pPr>
      <w:r w:rsidRPr="00296AF1">
        <w:rPr>
          <w:rFonts w:eastAsia="Times New Roman" w:cs="Tahoma"/>
          <w:bCs/>
          <w:iCs/>
          <w:noProof/>
          <w:color w:val="auto"/>
          <w:lang w:eastAsia="es-MX"/>
        </w:rPr>
        <w:drawing>
          <wp:inline distT="0" distB="0" distL="0" distR="0" wp14:anchorId="7C5D28C9" wp14:editId="71199506">
            <wp:extent cx="5791835" cy="20783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78355"/>
                    </a:xfrm>
                    <a:prstGeom prst="rect">
                      <a:avLst/>
                    </a:prstGeom>
                  </pic:spPr>
                </pic:pic>
              </a:graphicData>
            </a:graphic>
          </wp:inline>
        </w:drawing>
      </w:r>
    </w:p>
    <w:p w:rsidRPr="00296AF1" w:rsidR="008904D3" w:rsidP="001F62B7" w:rsidRDefault="008904D3" w14:paraId="61D8353C" w14:textId="77777777">
      <w:pPr>
        <w:spacing w:after="0" w:line="360" w:lineRule="auto"/>
        <w:contextualSpacing/>
        <w:rPr>
          <w:rFonts w:eastAsia="Times New Roman" w:cs="Tahoma"/>
          <w:b/>
          <w:bCs/>
          <w:iCs/>
          <w:color w:val="auto"/>
          <w:lang w:val="es-ES" w:eastAsia="es-ES"/>
        </w:rPr>
      </w:pPr>
    </w:p>
    <w:p w:rsidRPr="00296AF1" w:rsidR="00900F55" w:rsidP="00C07EFB" w:rsidRDefault="00900F55" w14:paraId="5F9F0073" w14:textId="212DDD4B">
      <w:pPr>
        <w:spacing w:after="0" w:line="360" w:lineRule="auto"/>
        <w:rPr>
          <w:iCs/>
          <w:lang w:val="es-ES"/>
        </w:rPr>
      </w:pPr>
      <w:r w:rsidRPr="00296AF1">
        <w:rPr>
          <w:rFonts w:eastAsia="Times New Roman" w:cs="Tahoma"/>
          <w:bCs/>
          <w:color w:val="0D0D0D" w:themeColor="text1" w:themeTint="F2"/>
          <w:szCs w:val="24"/>
          <w:lang w:val="es-ES" w:eastAsia="es-ES"/>
        </w:rPr>
        <w:t xml:space="preserve">Conforme a lo anterior, se logra vislumbrar que la respuesta resulta incongruente, toda vez </w:t>
      </w:r>
      <w:r w:rsidRPr="00296AF1" w:rsidR="00C07EFB">
        <w:rPr>
          <w:rFonts w:eastAsia="Times New Roman" w:cs="Tahoma"/>
          <w:bCs/>
          <w:color w:val="0D0D0D" w:themeColor="text1" w:themeTint="F2"/>
          <w:szCs w:val="24"/>
          <w:lang w:val="es-ES" w:eastAsia="es-ES"/>
        </w:rPr>
        <w:t>que proporcionó un documento que no guarda relación con lo señalado por el Director de Obras Públicas y el documento señalado por este, tampoco contiene el Programa Anual de Obra Pública</w:t>
      </w:r>
      <w:r w:rsidRPr="00296AF1">
        <w:rPr>
          <w:rFonts w:eastAsia="Times New Roman" w:cs="Tahoma"/>
          <w:bCs/>
          <w:color w:val="0D0D0D" w:themeColor="text1" w:themeTint="F2"/>
          <w:szCs w:val="24"/>
          <w:lang w:val="es-ES" w:eastAsia="es-ES"/>
        </w:rPr>
        <w:t xml:space="preserve">; sobre dicha circunstancia, </w:t>
      </w:r>
      <w:r w:rsidRPr="00296AF1">
        <w:rPr>
          <w:iCs/>
          <w:lang w:val="es-ES"/>
        </w:rPr>
        <w:t xml:space="preserve">de </w:t>
      </w:r>
      <w:r w:rsidRPr="00296AF1">
        <w:t xml:space="preserve">conformidad con el </w:t>
      </w:r>
      <w:r w:rsidRPr="00296AF1">
        <w:rPr>
          <w:iCs/>
          <w:lang w:val="es-ES"/>
        </w:rPr>
        <w:t xml:space="preserve">artículo 1.8, </w:t>
      </w:r>
      <w:r w:rsidRPr="00296AF1">
        <w:rPr>
          <w:rFonts w:eastAsia="Times New Roman" w:cs="Tahoma"/>
          <w:color w:val="auto"/>
          <w:lang w:val="es-ES" w:eastAsia="es-ES"/>
        </w:rPr>
        <w:t>fracción IX</w:t>
      </w:r>
      <w:r w:rsidRPr="00296AF1">
        <w:rPr>
          <w:iCs/>
          <w:lang w:val="es-ES"/>
        </w:rPr>
        <w:t xml:space="preserve">, del Código Administrativo del Estado de México, se establece que </w:t>
      </w:r>
      <w:r w:rsidRPr="00296AF1">
        <w:rPr>
          <w:iCs/>
        </w:rPr>
        <w:t>todo acto administrativo deberá resolver todos los puntos propuestos por los interesados.</w:t>
      </w:r>
      <w:r w:rsidRPr="00296AF1">
        <w:rPr>
          <w:iCs/>
          <w:lang w:val="es-ES"/>
        </w:rPr>
        <w:t xml:space="preserve"> </w:t>
      </w:r>
    </w:p>
    <w:p w:rsidRPr="00296AF1" w:rsidR="00900F55" w:rsidP="00900F55" w:rsidRDefault="00900F55" w14:paraId="71E1189C" w14:textId="77777777">
      <w:pPr>
        <w:spacing w:after="0" w:line="360" w:lineRule="auto"/>
        <w:rPr>
          <w:iCs/>
          <w:lang w:val="es-ES"/>
        </w:rPr>
      </w:pPr>
    </w:p>
    <w:p w:rsidRPr="00296AF1" w:rsidR="00900F55" w:rsidP="00900F55" w:rsidRDefault="00900F55" w14:paraId="637A1AE5" w14:textId="69BAB0C7">
      <w:pPr>
        <w:spacing w:after="0" w:line="360" w:lineRule="auto"/>
        <w:rPr>
          <w:bCs/>
          <w:iCs/>
          <w:lang w:val="es-ES"/>
        </w:rPr>
      </w:pPr>
      <w:r w:rsidRPr="00296AF1">
        <w:rPr>
          <w:iCs/>
          <w:lang w:val="es-ES"/>
        </w:rPr>
        <w:t xml:space="preserve">Además, el </w:t>
      </w:r>
      <w:r w:rsidRPr="00296AF1">
        <w:rPr>
          <w:bCs/>
          <w:iCs/>
          <w:lang w:val="es-ES"/>
        </w:rPr>
        <w:t xml:space="preserve">Criterio de Interpretación, de la Segunda Época, con clave de control </w:t>
      </w:r>
      <w:r w:rsidRPr="00296AF1">
        <w:rPr>
          <w:bCs/>
          <w:iCs/>
        </w:rPr>
        <w:t xml:space="preserve">SO/002/2017, </w:t>
      </w:r>
      <w:r w:rsidRPr="00296AF1">
        <w:rPr>
          <w:bCs/>
          <w:iCs/>
          <w:lang w:val="es-ES"/>
        </w:rPr>
        <w:t>emitido por el Instituto Nacional de Transparencia, Acceso a la Información y Protección de Datos Personales, que señala lo siguiente:</w:t>
      </w:r>
    </w:p>
    <w:p w:rsidRPr="00296AF1" w:rsidR="00900F55" w:rsidP="00900F55" w:rsidRDefault="00900F55" w14:paraId="5E66B7B4" w14:textId="77777777">
      <w:pPr>
        <w:spacing w:after="0" w:line="360" w:lineRule="auto"/>
        <w:rPr>
          <w:iCs/>
          <w:lang w:val="es-ES"/>
        </w:rPr>
      </w:pPr>
    </w:p>
    <w:p w:rsidRPr="00296AF1" w:rsidR="00900F55" w:rsidP="00900F55" w:rsidRDefault="00900F55" w14:paraId="25A25F8A" w14:textId="77777777">
      <w:pPr>
        <w:spacing w:after="0" w:line="360" w:lineRule="auto"/>
        <w:ind w:left="567" w:right="567"/>
        <w:rPr>
          <w:rFonts w:eastAsia="Calibri" w:cs="Tahoma"/>
          <w:i/>
          <w:color w:val="auto"/>
          <w:sz w:val="20"/>
          <w:szCs w:val="20"/>
        </w:rPr>
      </w:pPr>
      <w:r w:rsidRPr="00296AF1">
        <w:rPr>
          <w:rFonts w:eastAsia="Calibri" w:cs="Tahoma"/>
          <w:b/>
          <w:bCs/>
          <w:i/>
          <w:color w:val="auto"/>
          <w:sz w:val="20"/>
          <w:szCs w:val="20"/>
        </w:rPr>
        <w:t xml:space="preserve">“Congruencia y exhaustividad. Sus alcances para garantizar el derecho de acceso a la información. </w:t>
      </w:r>
      <w:r w:rsidRPr="00296AF1">
        <w:rPr>
          <w:rFonts w:eastAsia="Calibri" w:cs="Tahoma"/>
          <w:bCs/>
          <w:i/>
          <w:color w:val="auto"/>
          <w:sz w:val="20"/>
          <w:szCs w:val="20"/>
        </w:rPr>
        <w:t xml:space="preserve">De conformidad con el artículo </w:t>
      </w:r>
      <w:r w:rsidRPr="00296AF1">
        <w:rPr>
          <w:rFonts w:eastAsia="Calibri" w:cs="Tahoma"/>
          <w:bCs/>
          <w:i/>
          <w:color w:val="auto"/>
          <w:sz w:val="20"/>
          <w:szCs w:val="20"/>
          <w:lang w:val="es-ES_tradnl"/>
        </w:rPr>
        <w:t>3 de la Ley Federal de Procedimiento Administrativo</w:t>
      </w:r>
      <w:r w:rsidRPr="00296AF1">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96AF1">
        <w:rPr>
          <w:rFonts w:eastAsia="Calibri" w:cs="Tahoma"/>
          <w:b/>
          <w:i/>
          <w:color w:val="auto"/>
          <w:sz w:val="20"/>
          <w:szCs w:val="20"/>
        </w:rPr>
        <w:t xml:space="preserve">la congruencia </w:t>
      </w:r>
      <w:r w:rsidRPr="00296AF1">
        <w:rPr>
          <w:rFonts w:eastAsia="Calibri" w:cs="Tahoma"/>
          <w:b/>
          <w:i/>
          <w:color w:val="auto"/>
          <w:sz w:val="20"/>
          <w:szCs w:val="20"/>
        </w:rPr>
        <w:lastRenderedPageBreak/>
        <w:t>implica que exista concordancia entre el requerimiento formulado por el particular y la respuesta proporcionada por el sujeto obligado</w:t>
      </w:r>
      <w:r w:rsidRPr="00296AF1">
        <w:rPr>
          <w:rFonts w:eastAsia="Calibri" w:cs="Tahoma"/>
          <w:bCs/>
          <w:i/>
          <w:color w:val="auto"/>
          <w:sz w:val="20"/>
          <w:szCs w:val="20"/>
        </w:rPr>
        <w:t xml:space="preserve">; mientras que </w:t>
      </w:r>
      <w:r w:rsidRPr="00296AF1">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296AF1" w:rsidR="00900F55" w:rsidP="00900F55" w:rsidRDefault="00900F55" w14:paraId="6138013B" w14:textId="77777777">
      <w:pPr>
        <w:spacing w:after="0" w:line="360" w:lineRule="auto"/>
        <w:rPr>
          <w:i/>
          <w:iCs/>
        </w:rPr>
      </w:pPr>
    </w:p>
    <w:p w:rsidRPr="00296AF1" w:rsidR="00900F55" w:rsidP="00900F55" w:rsidRDefault="00900F55" w14:paraId="3C9414F1" w14:textId="03773EB1">
      <w:pPr>
        <w:spacing w:after="0" w:line="360" w:lineRule="auto"/>
        <w:rPr>
          <w:lang w:val="es-ES"/>
        </w:rPr>
      </w:pPr>
      <w:r w:rsidRPr="00296AF1">
        <w:t xml:space="preserve">De lo citado, se desprende que todo acto administrativo debe apegarse al </w:t>
      </w:r>
      <w:r w:rsidRPr="00296AF1">
        <w:rPr>
          <w:b/>
          <w:bCs/>
        </w:rPr>
        <w:t>principio de congruencia</w:t>
      </w:r>
      <w:r w:rsidRPr="00296AF1">
        <w:t xml:space="preserve">, lo cual en materia de transparencia y acceso a la información pública se traduce en que, las respuestas que emitan los sujetos obligados, debe existir </w:t>
      </w:r>
      <w:r w:rsidRPr="00296AF1">
        <w:rPr>
          <w:lang w:val="es-ES"/>
        </w:rPr>
        <w:t xml:space="preserve">concordancia entre el requerimiento formulado y la respuesta entregada; por lo que, en el presente caso, se considera que el Ente Recurrido incumplió con dicho principio, lo cual da como resultado que el agravio sea </w:t>
      </w:r>
      <w:r w:rsidRPr="00296AF1">
        <w:rPr>
          <w:b/>
          <w:lang w:val="es-ES"/>
        </w:rPr>
        <w:t>FUNDADO</w:t>
      </w:r>
      <w:r w:rsidRPr="00296AF1" w:rsidR="00C07EFB">
        <w:rPr>
          <w:lang w:val="es-ES"/>
        </w:rPr>
        <w:t>.</w:t>
      </w:r>
    </w:p>
    <w:p w:rsidRPr="00296AF1" w:rsidR="00C07EFB" w:rsidP="00900F55" w:rsidRDefault="00C07EFB" w14:paraId="632EB3CB" w14:textId="77777777">
      <w:pPr>
        <w:spacing w:after="0" w:line="360" w:lineRule="auto"/>
        <w:rPr>
          <w:lang w:val="es-ES"/>
        </w:rPr>
      </w:pPr>
    </w:p>
    <w:p w:rsidRPr="00296AF1" w:rsidR="00C07EFB" w:rsidP="00F71F73" w:rsidRDefault="00C07EFB" w14:paraId="1C18C2B3" w14:textId="74F846BA">
      <w:pPr>
        <w:spacing w:line="360" w:lineRule="auto"/>
        <w:contextualSpacing/>
      </w:pPr>
      <w:r w:rsidRPr="00296AF1">
        <w:rPr>
          <w:rFonts w:cs="Tahoma"/>
          <w:bCs/>
          <w:color w:val="0D0D0D" w:themeColor="text1" w:themeTint="F2"/>
          <w:szCs w:val="24"/>
          <w:lang w:val="es-ES"/>
        </w:rPr>
        <w:t xml:space="preserve">Bajo dichas circunstancias, este Instituto considera que para atender el requerimiento de información, el Sujeto Obligado deberá realizar una búsqueda exhaustiva y razonable, en los archivos de las unidades administrativas competentes, entre las cuales no podrá omitir a la Dirección General </w:t>
      </w:r>
      <w:r w:rsidRPr="00296AF1" w:rsidR="00F71F73">
        <w:rPr>
          <w:rFonts w:cs="Tahoma"/>
          <w:bCs/>
          <w:color w:val="0D0D0D" w:themeColor="text1" w:themeTint="F2"/>
          <w:szCs w:val="24"/>
          <w:lang w:val="es-ES"/>
        </w:rPr>
        <w:t>de Obras Públicas</w:t>
      </w:r>
      <w:r w:rsidRPr="00296AF1">
        <w:rPr>
          <w:rFonts w:cs="Tahoma"/>
          <w:bCs/>
          <w:color w:val="0D0D0D" w:themeColor="text1" w:themeTint="F2"/>
          <w:szCs w:val="24"/>
          <w:lang w:val="es-ES"/>
        </w:rPr>
        <w:t xml:space="preserve">, a efecto de que proporcione el </w:t>
      </w:r>
      <w:r w:rsidRPr="00296AF1" w:rsidR="00F71F73">
        <w:t>Programa Anual de Obra Pública Municipal, para el ejercicio dos mil veintitrés; d</w:t>
      </w:r>
      <w:r w:rsidRPr="00296AF1">
        <w:t>icha</w:t>
      </w:r>
      <w:r w:rsidRPr="00296AF1">
        <w:rPr>
          <w:rFonts w:eastAsia="Calibri" w:cs="Tahoma"/>
          <w:bCs/>
          <w:iCs/>
        </w:rPr>
        <w:t xml:space="preserve"> situación, toma sustento en</w:t>
      </w:r>
      <w:r w:rsidRPr="00296AF1">
        <w:rPr>
          <w:rFonts w:eastAsia="Calibri" w:cs="Tahoma"/>
          <w:bCs/>
        </w:rPr>
        <w:t xml:space="preserve"> el</w:t>
      </w:r>
      <w:r w:rsidRPr="00296AF1">
        <w:rPr>
          <w:rFonts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296AF1" w:rsidR="00C07EFB" w:rsidP="00C07EFB" w:rsidRDefault="00C07EFB" w14:paraId="7CF209A4" w14:textId="77777777">
      <w:pPr>
        <w:tabs>
          <w:tab w:val="left" w:pos="4962"/>
        </w:tabs>
        <w:spacing w:line="360" w:lineRule="auto"/>
        <w:rPr>
          <w:rFonts w:cs="Tahoma"/>
        </w:rPr>
      </w:pPr>
    </w:p>
    <w:p w:rsidRPr="00296AF1" w:rsidR="00C07EFB" w:rsidP="00F71F73" w:rsidRDefault="00C07EFB" w14:paraId="6C68D6C1" w14:textId="77777777">
      <w:pPr>
        <w:tabs>
          <w:tab w:val="left" w:pos="4962"/>
        </w:tabs>
        <w:spacing w:after="0" w:line="360" w:lineRule="auto"/>
        <w:rPr>
          <w:rFonts w:cs="Tahoma"/>
        </w:rPr>
      </w:pPr>
      <w:r w:rsidRPr="00296AF1">
        <w:rPr>
          <w:rFonts w:cs="Tahoma"/>
        </w:rPr>
        <w:t xml:space="preserve">De esta manera, </w:t>
      </w:r>
      <w:r w:rsidRPr="00296AF1">
        <w:rPr>
          <w:rFonts w:cs="Tahoma"/>
          <w:szCs w:val="24"/>
          <w:lang w:val="es-ES"/>
        </w:rPr>
        <w:t xml:space="preserve">el derecho de acceso a la información pública se satisface en aquellos casos en que se entregue el soporte documental en el que conste la información solicitada, sin necesidad </w:t>
      </w:r>
      <w:r w:rsidRPr="00296AF1">
        <w:rPr>
          <w:rFonts w:cs="Tahoma"/>
          <w:szCs w:val="24"/>
          <w:lang w:val="es-ES"/>
        </w:rPr>
        <w:lastRenderedPageBreak/>
        <w:t xml:space="preserve">de elaborar documentos </w:t>
      </w:r>
      <w:r w:rsidRPr="00296AF1">
        <w:rPr>
          <w:rFonts w:cs="Tahoma"/>
          <w:i/>
        </w:rPr>
        <w:t>ad hoc</w:t>
      </w:r>
      <w:r w:rsidRPr="00296AF1">
        <w:rPr>
          <w:rFonts w:cs="Tahoma"/>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296AF1" w:rsidR="00F71F73" w:rsidP="00F71F73" w:rsidRDefault="00F71F73" w14:paraId="4028335E" w14:textId="77777777">
      <w:pPr>
        <w:tabs>
          <w:tab w:val="left" w:pos="4962"/>
        </w:tabs>
        <w:spacing w:after="0" w:line="360" w:lineRule="auto"/>
        <w:rPr>
          <w:rFonts w:eastAsia="Arial" w:cs="Arial"/>
          <w:i/>
        </w:rPr>
      </w:pPr>
    </w:p>
    <w:p w:rsidRPr="00296AF1" w:rsidR="00C07EFB" w:rsidP="00C07EFB" w:rsidRDefault="00C07EFB" w14:paraId="5FFD3EEE" w14:textId="6155E31A">
      <w:pPr>
        <w:spacing w:line="360" w:lineRule="auto"/>
        <w:contextualSpacing/>
        <w:rPr>
          <w:rFonts w:cs="Tahoma"/>
          <w:lang w:val="es-ES"/>
        </w:rPr>
      </w:pPr>
      <w:r w:rsidRPr="00296AF1">
        <w:rPr>
          <w:rFonts w:cs="Tahoma"/>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el Sujeto Obligado deberá entregar </w:t>
      </w:r>
      <w:r w:rsidRPr="00296AF1" w:rsidR="00F71F73">
        <w:rPr>
          <w:rFonts w:cs="Tahoma"/>
          <w:lang w:val="es-ES"/>
        </w:rPr>
        <w:t>el formato PbRM-07ª.</w:t>
      </w:r>
    </w:p>
    <w:p w:rsidRPr="00296AF1" w:rsidR="00F71F73" w:rsidP="00C07EFB" w:rsidRDefault="00F71F73" w14:paraId="36F64738" w14:textId="77777777">
      <w:pPr>
        <w:spacing w:line="360" w:lineRule="auto"/>
        <w:contextualSpacing/>
        <w:rPr>
          <w:rFonts w:cs="Tahoma"/>
          <w:lang w:val="es-ES"/>
        </w:rPr>
      </w:pPr>
    </w:p>
    <w:p w:rsidRPr="00296AF1" w:rsidR="00F71F73" w:rsidP="00C07EFB" w:rsidRDefault="00F71F73" w14:paraId="211702F7" w14:textId="28EE53A2">
      <w:pPr>
        <w:spacing w:line="360" w:lineRule="auto"/>
        <w:contextualSpacing/>
      </w:pPr>
      <w:r w:rsidRPr="00296AF1">
        <w:rPr>
          <w:rFonts w:cs="Tahoma"/>
          <w:lang w:val="es-ES"/>
        </w:rPr>
        <w:t>Ahora bien, este Instituto revisó el Programa Anual de Obras de Tecámac, del primero de enero al treinta y uno de diciembre de dos mil veintidós, y no localizó que este contenga datos clasificables, por lo que, en el presente caso, deberá proporcionarlo el Ente Recurrido de manera íntegra.</w:t>
      </w:r>
    </w:p>
    <w:p w:rsidRPr="00296AF1" w:rsidR="00C07EFB" w:rsidP="00900F55" w:rsidRDefault="00C07EFB" w14:paraId="10ACAEFF" w14:textId="77777777">
      <w:pPr>
        <w:spacing w:after="0" w:line="360" w:lineRule="auto"/>
        <w:rPr>
          <w:lang w:val="es-ES"/>
        </w:rPr>
      </w:pPr>
    </w:p>
    <w:p w:rsidRPr="00296AF1" w:rsidR="00BF6B4B" w:rsidP="001F62B7" w:rsidRDefault="00BF6B4B" w14:paraId="0BADF4EA" w14:textId="585C44D1">
      <w:pPr>
        <w:spacing w:after="0" w:line="360" w:lineRule="auto"/>
        <w:contextualSpacing/>
        <w:rPr>
          <w:rFonts w:cs="Tahoma"/>
          <w:b/>
        </w:rPr>
      </w:pPr>
      <w:r w:rsidRPr="00296AF1">
        <w:rPr>
          <w:rFonts w:cs="Tahoma"/>
          <w:b/>
        </w:rPr>
        <w:t xml:space="preserve">SEXTO. Decisión. </w:t>
      </w:r>
    </w:p>
    <w:p w:rsidRPr="00296AF1" w:rsidR="00BF6B4B" w:rsidP="001F62B7" w:rsidRDefault="00BF6B4B" w14:paraId="2B997C0B" w14:textId="77777777">
      <w:pPr>
        <w:spacing w:after="0" w:line="360" w:lineRule="auto"/>
        <w:contextualSpacing/>
        <w:rPr>
          <w:rFonts w:cs="Tahoma"/>
          <w:b/>
        </w:rPr>
      </w:pPr>
    </w:p>
    <w:p w:rsidRPr="00296AF1" w:rsidR="00B3599D" w:rsidP="001F62B7" w:rsidRDefault="00BF6B4B" w14:paraId="7F4631D6" w14:textId="4E884882">
      <w:pPr>
        <w:spacing w:after="0" w:line="360" w:lineRule="auto"/>
        <w:contextualSpacing/>
        <w:rPr>
          <w:rFonts w:eastAsia="Times New Roman" w:cs="Tahoma"/>
          <w:bCs/>
          <w:color w:val="auto"/>
          <w:szCs w:val="24"/>
          <w:lang w:eastAsia="es-ES"/>
        </w:rPr>
      </w:pPr>
      <w:r w:rsidRPr="00296AF1">
        <w:rPr>
          <w:rFonts w:cs="Tahoma"/>
        </w:rPr>
        <w:t xml:space="preserve">Con fundamento en el artículo 186, fracción III, de la Ley de Transparencia y Acceso a la Información Pública del Estado de México y Municipios, este Instituto considera procedente </w:t>
      </w:r>
      <w:r w:rsidRPr="00296AF1" w:rsidR="00F71F73">
        <w:rPr>
          <w:rFonts w:cs="Tahoma"/>
          <w:b/>
        </w:rPr>
        <w:t>REVO</w:t>
      </w:r>
      <w:r w:rsidRPr="00296AF1">
        <w:rPr>
          <w:rFonts w:cs="Tahoma"/>
          <w:b/>
        </w:rPr>
        <w:t xml:space="preserve">CAR </w:t>
      </w:r>
      <w:r w:rsidRPr="00296AF1">
        <w:rPr>
          <w:rFonts w:cs="Tahoma"/>
          <w:bCs/>
        </w:rPr>
        <w:t>la</w:t>
      </w:r>
      <w:r w:rsidRPr="00296AF1">
        <w:rPr>
          <w:rFonts w:cs="Tahoma"/>
        </w:rPr>
        <w:t xml:space="preserve"> respuesta otorgada por el </w:t>
      </w:r>
      <w:r w:rsidRPr="00296AF1" w:rsidR="009F1C6E">
        <w:rPr>
          <w:rFonts w:eastAsia="Calibri" w:cs="Tahoma"/>
        </w:rPr>
        <w:t>Ayuntamiento de Tecámac</w:t>
      </w:r>
      <w:r w:rsidRPr="00296AF1">
        <w:rPr>
          <w:rFonts w:eastAsia="Calibri" w:cs="Tahoma"/>
        </w:rPr>
        <w:t xml:space="preserve">, </w:t>
      </w:r>
      <w:r w:rsidRPr="00296AF1">
        <w:rPr>
          <w:rFonts w:cs="Tahoma"/>
        </w:rPr>
        <w:t xml:space="preserve">a efecto de que, </w:t>
      </w:r>
      <w:r w:rsidRPr="00296AF1" w:rsidR="00F71F73">
        <w:rPr>
          <w:rFonts w:cs="Tahoma"/>
        </w:rPr>
        <w:t>previa búsqueda exhaustiva y razonable en los archivos de las unidades administrativas competentes, entre las cuales se encuentra la Dirección General de Obras Públicas, proporcione el documento donde conste el Programa Anual de Obra Pública, del ejercicio fiscal dos mil veintitrés.</w:t>
      </w:r>
    </w:p>
    <w:p w:rsidRPr="00296AF1" w:rsidR="00BF6B4B" w:rsidP="001F62B7" w:rsidRDefault="00BF6B4B" w14:paraId="2746E4AC" w14:textId="77777777">
      <w:pPr>
        <w:spacing w:after="0" w:line="360" w:lineRule="auto"/>
        <w:contextualSpacing/>
      </w:pPr>
    </w:p>
    <w:p w:rsidRPr="00296AF1" w:rsidR="00BF6B4B" w:rsidP="001F62B7" w:rsidRDefault="00BF6B4B" w14:paraId="65BF5081" w14:textId="77777777">
      <w:pPr>
        <w:spacing w:after="0" w:line="360" w:lineRule="auto"/>
        <w:contextualSpacing/>
        <w:rPr>
          <w:b/>
          <w:bCs/>
        </w:rPr>
      </w:pPr>
      <w:r w:rsidRPr="00296AF1">
        <w:rPr>
          <w:b/>
          <w:bCs/>
        </w:rPr>
        <w:t>Términos de la Resolución.</w:t>
      </w:r>
    </w:p>
    <w:p w:rsidRPr="00296AF1" w:rsidR="00BF6B4B" w:rsidP="001F62B7" w:rsidRDefault="00BF6B4B" w14:paraId="778063A4" w14:textId="77777777">
      <w:pPr>
        <w:spacing w:after="0" w:line="360" w:lineRule="auto"/>
        <w:contextualSpacing/>
        <w:rPr>
          <w:rFonts w:eastAsia="Calibri" w:cs="Tahoma"/>
          <w:bCs/>
        </w:rPr>
      </w:pPr>
    </w:p>
    <w:p w:rsidRPr="00296AF1" w:rsidR="00F71F73" w:rsidP="00F71F73" w:rsidRDefault="00F71F73" w14:paraId="672167EE" w14:textId="7DB1C5FF">
      <w:pPr>
        <w:spacing w:after="0" w:line="360" w:lineRule="auto"/>
        <w:rPr>
          <w:rFonts w:eastAsia="Calibri" w:cs="Tahoma"/>
          <w:bCs/>
          <w:iCs/>
          <w:color w:val="000000"/>
          <w:lang w:eastAsia="es-ES"/>
        </w:rPr>
      </w:pPr>
      <w:r w:rsidRPr="00296AF1">
        <w:rPr>
          <w:rFonts w:eastAsia="Calibri" w:cs="Tahoma"/>
          <w:bCs/>
          <w:iCs/>
          <w:color w:val="000000"/>
          <w:lang w:eastAsia="es-ES"/>
        </w:rPr>
        <w:t xml:space="preserve">Se le hace del conocimiento al Particular, que, en el presente caso, se le concede la razón, toda vez que el Sujeto Obligado le proporcionó información que no corresponde con lo solicitado, </w:t>
      </w:r>
      <w:r w:rsidRPr="00296AF1">
        <w:rPr>
          <w:rFonts w:eastAsia="Calibri" w:cs="Tahoma"/>
          <w:bCs/>
          <w:iCs/>
          <w:color w:val="000000"/>
          <w:lang w:eastAsia="es-ES"/>
        </w:rPr>
        <w:lastRenderedPageBreak/>
        <w:t>al no contener la información requerida; por lo que, en el presente caso, le deberán entregar el Programa Anual  de Obra, del presente ejercicio fiscal.</w:t>
      </w:r>
    </w:p>
    <w:p w:rsidRPr="00296AF1" w:rsidR="00F71F73" w:rsidP="00F71F73" w:rsidRDefault="00F71F73" w14:paraId="079CF11A" w14:textId="77777777">
      <w:pPr>
        <w:widowControl w:val="0"/>
        <w:spacing w:after="0" w:line="360" w:lineRule="auto"/>
        <w:contextualSpacing/>
        <w:rPr>
          <w:rFonts w:eastAsia="Calibri" w:cs="Tahoma"/>
          <w:bCs/>
          <w:iCs/>
          <w:color w:val="000000"/>
          <w:lang w:eastAsia="es-ES"/>
        </w:rPr>
      </w:pPr>
    </w:p>
    <w:p w:rsidRPr="00296AF1" w:rsidR="00F71F73" w:rsidP="00F71F73" w:rsidRDefault="00F71F73" w14:paraId="2ADA2B8B" w14:textId="77777777">
      <w:pPr>
        <w:widowControl w:val="0"/>
        <w:spacing w:after="0" w:line="360" w:lineRule="auto"/>
        <w:contextualSpacing/>
        <w:rPr>
          <w:rFonts w:eastAsia="Calibri" w:cs="Tahoma"/>
          <w:bCs/>
          <w:iCs/>
          <w:color w:val="auto"/>
          <w:lang w:eastAsia="es-ES"/>
        </w:rPr>
      </w:pPr>
      <w:r w:rsidRPr="00296AF1">
        <w:rPr>
          <w:rFonts w:eastAsia="Calibri" w:cs="Tahoma"/>
          <w:bCs/>
          <w:iCs/>
          <w:color w:val="auto"/>
          <w:lang w:eastAsia="es-ES"/>
        </w:rPr>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rsidRPr="00296AF1" w:rsidR="0078093D" w:rsidP="001F62B7" w:rsidRDefault="0078093D" w14:paraId="404BB3A3" w14:textId="77777777">
      <w:pPr>
        <w:spacing w:after="0" w:line="360" w:lineRule="auto"/>
        <w:contextualSpacing/>
        <w:rPr>
          <w:rFonts w:cs="Tahoma"/>
        </w:rPr>
      </w:pPr>
    </w:p>
    <w:p w:rsidRPr="00296AF1" w:rsidR="00BF6B4B" w:rsidP="001F62B7" w:rsidRDefault="00BF6B4B" w14:paraId="550068F3" w14:textId="77777777">
      <w:pPr>
        <w:spacing w:after="0" w:line="360" w:lineRule="auto"/>
        <w:contextualSpacing/>
        <w:rPr>
          <w:rFonts w:eastAsia="Calibri" w:cs="Tahoma"/>
          <w:bCs/>
          <w:color w:val="auto"/>
        </w:rPr>
      </w:pPr>
      <w:r w:rsidRPr="00296AF1">
        <w:t>Por</w:t>
      </w:r>
      <w:r w:rsidRPr="00296AF1">
        <w:rPr>
          <w:rFonts w:eastAsia="Calibri" w:cs="Tahoma"/>
          <w:bCs/>
          <w:color w:val="auto"/>
        </w:rPr>
        <w:t xml:space="preserve"> lo expuesto y fundado, este Pleno:</w:t>
      </w:r>
    </w:p>
    <w:p w:rsidRPr="00296AF1" w:rsidR="00BE0D64" w:rsidP="001F62B7" w:rsidRDefault="00BE0D64" w14:paraId="7FB0ECB8" w14:textId="77777777">
      <w:pPr>
        <w:spacing w:after="0" w:line="360" w:lineRule="auto"/>
        <w:contextualSpacing/>
        <w:rPr>
          <w:rFonts w:eastAsia="Calibri" w:cs="Tahoma"/>
          <w:bCs/>
          <w:color w:val="auto"/>
        </w:rPr>
      </w:pPr>
    </w:p>
    <w:p w:rsidRPr="00296AF1" w:rsidR="00BF6B4B" w:rsidP="001F62B7" w:rsidRDefault="00BF6B4B" w14:paraId="0BC71676" w14:textId="77777777">
      <w:pPr>
        <w:spacing w:after="0" w:line="360" w:lineRule="auto"/>
        <w:ind w:right="-28"/>
        <w:contextualSpacing/>
        <w:jc w:val="center"/>
        <w:rPr>
          <w:rFonts w:eastAsia="Calibri" w:cs="Tahoma"/>
          <w:b/>
          <w:bCs/>
          <w:color w:val="auto"/>
        </w:rPr>
      </w:pPr>
      <w:r w:rsidRPr="00296AF1">
        <w:rPr>
          <w:rFonts w:eastAsia="Calibri" w:cs="Tahoma"/>
          <w:b/>
          <w:bCs/>
          <w:color w:val="auto"/>
        </w:rPr>
        <w:t>R E S U E L V E:</w:t>
      </w:r>
    </w:p>
    <w:p w:rsidRPr="00296AF1" w:rsidR="00BF6B4B" w:rsidP="001F62B7" w:rsidRDefault="00BF6B4B" w14:paraId="6FB571B9" w14:textId="77777777">
      <w:pPr>
        <w:spacing w:after="0" w:line="360" w:lineRule="auto"/>
        <w:contextualSpacing/>
        <w:rPr>
          <w:lang w:val="es-ES" w:eastAsia="es-ES_tradnl"/>
        </w:rPr>
      </w:pPr>
    </w:p>
    <w:p w:rsidRPr="00296AF1" w:rsidR="00BF6B4B" w:rsidP="001F62B7" w:rsidRDefault="00BF6B4B" w14:paraId="1ED8C3A4" w14:textId="5D30FB52">
      <w:pPr>
        <w:spacing w:after="0" w:line="360" w:lineRule="auto"/>
        <w:contextualSpacing/>
        <w:rPr>
          <w:rFonts w:eastAsia="Calibri" w:cs="Tahoma"/>
          <w:bCs/>
        </w:rPr>
      </w:pPr>
      <w:r w:rsidRPr="00296AF1">
        <w:rPr>
          <w:rFonts w:cs="Tahoma"/>
          <w:b/>
          <w:bCs/>
        </w:rPr>
        <w:t xml:space="preserve">PRIMERO. </w:t>
      </w:r>
      <w:r w:rsidRPr="00296AF1">
        <w:rPr>
          <w:rFonts w:cs="Tahoma"/>
          <w:bCs/>
        </w:rPr>
        <w:t xml:space="preserve">Se </w:t>
      </w:r>
      <w:r w:rsidRPr="00296AF1" w:rsidR="00F71F73">
        <w:rPr>
          <w:rFonts w:cs="Tahoma"/>
          <w:b/>
          <w:bCs/>
        </w:rPr>
        <w:t>REVOCA</w:t>
      </w:r>
      <w:r w:rsidRPr="00296AF1">
        <w:rPr>
          <w:rFonts w:cs="Tahoma"/>
          <w:bCs/>
        </w:rPr>
        <w:t xml:space="preserve"> la respuesta entregada por el </w:t>
      </w:r>
      <w:r w:rsidRPr="00296AF1" w:rsidR="009F1C6E">
        <w:rPr>
          <w:rFonts w:eastAsia="Calibri" w:cs="Tahoma"/>
        </w:rPr>
        <w:t>Ayuntamiento de Tecámac</w:t>
      </w:r>
      <w:r w:rsidRPr="00296AF1">
        <w:rPr>
          <w:rFonts w:cs="Tahoma"/>
          <w:bCs/>
        </w:rPr>
        <w:t xml:space="preserve"> a la solicitud de </w:t>
      </w:r>
      <w:r w:rsidRPr="00296AF1">
        <w:rPr>
          <w:rFonts w:eastAsia="Calibri" w:cs="Tahoma"/>
        </w:rPr>
        <w:t xml:space="preserve">información </w:t>
      </w:r>
      <w:r w:rsidRPr="00296AF1" w:rsidR="009F1C6E">
        <w:t>00115/TECAMAC/IP/2023</w:t>
      </w:r>
      <w:r w:rsidRPr="00296AF1">
        <w:t>, por resultar</w:t>
      </w:r>
      <w:r w:rsidRPr="00296AF1" w:rsidR="001F62B7">
        <w:t xml:space="preserve"> </w:t>
      </w:r>
      <w:r w:rsidRPr="00296AF1">
        <w:rPr>
          <w:b/>
        </w:rPr>
        <w:t>FUNDADAS</w:t>
      </w:r>
      <w:r w:rsidRPr="00296AF1">
        <w:rPr>
          <w:rFonts w:cs="Tahoma"/>
        </w:rPr>
        <w:t xml:space="preserve"> </w:t>
      </w:r>
      <w:r w:rsidRPr="00296AF1">
        <w:rPr>
          <w:rFonts w:eastAsia="Calibri" w:cs="Tahoma"/>
        </w:rPr>
        <w:t>las razones o motivos de inconformidad hechos valer por el Particular, en</w:t>
      </w:r>
      <w:r w:rsidRPr="00296AF1">
        <w:rPr>
          <w:rFonts w:eastAsia="Calibri" w:cs="Tahoma"/>
          <w:bCs/>
        </w:rPr>
        <w:t xml:space="preserve"> términos de los considerandos QUINTO </w:t>
      </w:r>
      <w:r w:rsidRPr="00296AF1">
        <w:rPr>
          <w:rFonts w:eastAsia="Calibri" w:cs="Tahoma"/>
        </w:rPr>
        <w:t xml:space="preserve">y </w:t>
      </w:r>
      <w:r w:rsidRPr="00296AF1">
        <w:rPr>
          <w:rFonts w:eastAsia="Calibri" w:cs="Tahoma"/>
          <w:bCs/>
        </w:rPr>
        <w:t>SEXTO de la presente Resolución.</w:t>
      </w:r>
    </w:p>
    <w:p w:rsidRPr="00296AF1" w:rsidR="00BF6B4B" w:rsidP="001F62B7" w:rsidRDefault="00BF6B4B" w14:paraId="7CD620BF" w14:textId="77777777">
      <w:pPr>
        <w:spacing w:after="0" w:line="360" w:lineRule="auto"/>
        <w:contextualSpacing/>
        <w:rPr>
          <w:rFonts w:eastAsia="Calibri" w:cs="Tahoma"/>
          <w:bCs/>
        </w:rPr>
      </w:pPr>
    </w:p>
    <w:p w:rsidRPr="00296AF1" w:rsidR="00BF6B4B" w:rsidP="001F62B7" w:rsidRDefault="00BF6B4B" w14:paraId="227B6015" w14:textId="29529236">
      <w:pPr>
        <w:spacing w:after="0" w:line="360" w:lineRule="auto"/>
        <w:contextualSpacing/>
        <w:rPr>
          <w:rFonts w:cs="Tahoma"/>
        </w:rPr>
      </w:pPr>
      <w:r w:rsidRPr="00296AF1">
        <w:rPr>
          <w:rFonts w:cs="Tahoma"/>
          <w:b/>
          <w:bCs/>
        </w:rPr>
        <w:t xml:space="preserve">SEGUNDO. </w:t>
      </w:r>
      <w:r w:rsidRPr="00296AF1">
        <w:rPr>
          <w:rFonts w:cs="Tahoma"/>
        </w:rPr>
        <w:t xml:space="preserve">Se </w:t>
      </w:r>
      <w:r w:rsidRPr="00296AF1">
        <w:rPr>
          <w:rFonts w:cs="Tahoma"/>
          <w:b/>
        </w:rPr>
        <w:t xml:space="preserve">ORDENA </w:t>
      </w:r>
      <w:r w:rsidRPr="00296AF1">
        <w:rPr>
          <w:rFonts w:cs="Tahoma"/>
          <w:bCs/>
        </w:rPr>
        <w:t xml:space="preserve">al </w:t>
      </w:r>
      <w:r w:rsidRPr="00296AF1">
        <w:rPr>
          <w:rFonts w:cs="Tahoma"/>
        </w:rPr>
        <w:t>Ente Recurrido, a efecto de</w:t>
      </w:r>
      <w:r w:rsidRPr="00296AF1">
        <w:rPr>
          <w:rFonts w:eastAsia="Calibri" w:cs="Tahoma"/>
          <w:lang w:eastAsia="es-MX"/>
        </w:rPr>
        <w:t xml:space="preserve"> que</w:t>
      </w:r>
      <w:r w:rsidRPr="00296AF1" w:rsidR="00F71F73">
        <w:rPr>
          <w:rFonts w:eastAsia="Calibri" w:cs="Tahoma"/>
          <w:lang w:eastAsia="es-MX"/>
        </w:rPr>
        <w:t xml:space="preserve"> previa búsqueda exhaustiva y razonable en los archivos de las unidades administrativas competentes,</w:t>
      </w:r>
      <w:r w:rsidRPr="00296AF1">
        <w:rPr>
          <w:rFonts w:eastAsia="Calibri" w:cs="Tahoma"/>
          <w:lang w:eastAsia="es-MX"/>
        </w:rPr>
        <w:t xml:space="preserve"> entregue</w:t>
      </w:r>
      <w:r w:rsidRPr="00296AF1">
        <w:rPr>
          <w:rFonts w:cs="Tahoma"/>
        </w:rPr>
        <w:t xml:space="preserve">, a través del Sistema de Acceso a la Información Mexiquense (SAIMEX), </w:t>
      </w:r>
      <w:r w:rsidRPr="00296AF1" w:rsidR="00F71F73">
        <w:rPr>
          <w:rFonts w:cs="Tahoma"/>
        </w:rPr>
        <w:t>el documento donde conste lo siguiente</w:t>
      </w:r>
      <w:r w:rsidRPr="00296AF1" w:rsidR="0078093D">
        <w:rPr>
          <w:rFonts w:cs="Tahoma"/>
        </w:rPr>
        <w:t>:</w:t>
      </w:r>
    </w:p>
    <w:p w:rsidRPr="00296AF1" w:rsidR="0078093D" w:rsidP="001F62B7" w:rsidRDefault="0078093D" w14:paraId="18915ACD" w14:textId="77777777">
      <w:pPr>
        <w:spacing w:after="0" w:line="360" w:lineRule="auto"/>
        <w:contextualSpacing/>
        <w:rPr>
          <w:rFonts w:cs="Tahoma"/>
        </w:rPr>
      </w:pPr>
    </w:p>
    <w:p w:rsidRPr="00296AF1" w:rsidR="00BE0D64" w:rsidP="00BE0D64" w:rsidRDefault="00F71F73" w14:paraId="41764634" w14:textId="2B99C901">
      <w:pPr>
        <w:pStyle w:val="Prrafodelista"/>
        <w:numPr>
          <w:ilvl w:val="0"/>
          <w:numId w:val="21"/>
        </w:numPr>
        <w:spacing w:line="360" w:lineRule="auto"/>
        <w:rPr>
          <w:rFonts w:eastAsia="Calibri" w:cs="Tahoma"/>
          <w:bCs/>
          <w:iCs/>
          <w:color w:val="auto"/>
          <w:lang w:val="es-ES"/>
        </w:rPr>
      </w:pPr>
      <w:r w:rsidRPr="00296AF1">
        <w:rPr>
          <w:rFonts w:eastAsia="Calibri" w:cs="Tahoma"/>
          <w:color w:val="auto"/>
        </w:rPr>
        <w:t xml:space="preserve">El </w:t>
      </w:r>
      <w:r w:rsidRPr="00296AF1">
        <w:rPr>
          <w:rFonts w:cs="Tahoma"/>
        </w:rPr>
        <w:t>Programa Anual de Obra Pública, del ejercicio fiscal dos mil veintitrés</w:t>
      </w:r>
    </w:p>
    <w:p w:rsidRPr="00296AF1" w:rsidR="001F62B7" w:rsidP="001F62B7" w:rsidRDefault="001F62B7" w14:paraId="0957866C" w14:textId="77777777">
      <w:pPr>
        <w:pStyle w:val="Prrafodelista"/>
        <w:tabs>
          <w:tab w:val="left" w:pos="4962"/>
        </w:tabs>
        <w:spacing w:line="360" w:lineRule="auto"/>
        <w:rPr>
          <w:rFonts w:eastAsia="Calibri" w:cs="Tahoma"/>
          <w:bCs/>
          <w:iCs/>
          <w:color w:val="auto"/>
          <w:lang w:val="es-ES"/>
        </w:rPr>
      </w:pPr>
    </w:p>
    <w:p w:rsidRPr="00296AF1" w:rsidR="00BF6B4B" w:rsidP="001F62B7" w:rsidRDefault="00BF6B4B" w14:paraId="25739C8A" w14:textId="4CE1D8FC">
      <w:pPr>
        <w:spacing w:after="0" w:line="360" w:lineRule="auto"/>
        <w:contextualSpacing/>
        <w:rPr>
          <w:rFonts w:cs="Tahoma"/>
        </w:rPr>
      </w:pPr>
      <w:r w:rsidRPr="00296AF1">
        <w:rPr>
          <w:rFonts w:cs="Arial"/>
          <w:b/>
          <w:lang w:val="es-ES_tradnl"/>
        </w:rPr>
        <w:t>TERCERO.</w:t>
      </w:r>
      <w:r w:rsidRPr="00296AF1">
        <w:rPr>
          <w:rFonts w:cs="Tahoma"/>
          <w:b/>
        </w:rPr>
        <w:t xml:space="preserve"> </w:t>
      </w:r>
      <w:r w:rsidRPr="00296AF1">
        <w:rPr>
          <w:rFonts w:eastAsia="Calibri" w:cs="Tahoma"/>
          <w:b/>
          <w:bCs/>
          <w:iCs/>
        </w:rPr>
        <w:t xml:space="preserve">NOTIFÍQUESE </w:t>
      </w:r>
      <w:r w:rsidRPr="00296AF1">
        <w:rPr>
          <w:rFonts w:eastAsia="Calibri"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296AF1">
        <w:rPr>
          <w:rFonts w:eastAsia="Calibri" w:cs="Tahoma"/>
          <w:bCs/>
          <w:iCs/>
        </w:rPr>
        <w:lastRenderedPageBreak/>
        <w:t>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296AF1" w:rsidR="00BF6B4B" w:rsidP="001F62B7" w:rsidRDefault="00BF6B4B" w14:paraId="5F4923C9" w14:textId="77777777">
      <w:pPr>
        <w:spacing w:after="0" w:line="360" w:lineRule="auto"/>
        <w:contextualSpacing/>
        <w:rPr>
          <w:rFonts w:cs="Tahoma"/>
        </w:rPr>
      </w:pPr>
    </w:p>
    <w:p w:rsidRPr="00296AF1" w:rsidR="00BF6B4B" w:rsidP="001F62B7" w:rsidRDefault="00BF6B4B" w14:paraId="13EEC511" w14:textId="77777777">
      <w:pPr>
        <w:spacing w:after="0" w:line="360" w:lineRule="auto"/>
        <w:contextualSpacing/>
        <w:rPr>
          <w:rFonts w:eastAsia="Calibri" w:cs="Tahoma"/>
          <w:iCs/>
        </w:rPr>
      </w:pPr>
      <w:bookmarkStart w:name="_Hlk61509110" w:id="0"/>
      <w:r w:rsidRPr="00296AF1">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296AF1" w:rsidR="00BF6B4B" w:rsidP="001F62B7" w:rsidRDefault="00BF6B4B" w14:paraId="4A0AD7FF" w14:textId="77777777">
      <w:pPr>
        <w:spacing w:after="0" w:line="360" w:lineRule="auto"/>
        <w:contextualSpacing/>
        <w:rPr>
          <w:rFonts w:cs="Tahoma"/>
        </w:rPr>
      </w:pPr>
    </w:p>
    <w:p w:rsidRPr="00296AF1" w:rsidR="00BF6B4B" w:rsidP="001F62B7" w:rsidRDefault="00BF6B4B" w14:paraId="1D0D1BAB" w14:textId="77777777">
      <w:pPr>
        <w:spacing w:after="0" w:line="360" w:lineRule="auto"/>
        <w:contextualSpacing/>
        <w:rPr>
          <w:rFonts w:cs="Tahoma"/>
        </w:rPr>
      </w:pPr>
      <w:r w:rsidRPr="00296AF1">
        <w:rPr>
          <w:rFonts w:cs="Tahoma"/>
          <w:b/>
        </w:rPr>
        <w:t>CUARTO. NOTIFÍQUESE</w:t>
      </w:r>
      <w:r w:rsidRPr="00296AF1">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96AF1" w:rsidR="00BF6B4B" w:rsidP="001F62B7" w:rsidRDefault="00BF6B4B" w14:paraId="1AEB3448" w14:textId="77777777">
      <w:pPr>
        <w:spacing w:after="0" w:line="360" w:lineRule="auto"/>
        <w:contextualSpacing/>
        <w:rPr>
          <w:rFonts w:eastAsia="Calibri" w:cs="Tahoma"/>
          <w:bCs/>
          <w:lang w:val="es-ES"/>
        </w:rPr>
      </w:pPr>
    </w:p>
    <w:p w:rsidRPr="001F62B7" w:rsidR="00BF6B4B" w:rsidP="001F62B7" w:rsidRDefault="00BF6B4B" w14:paraId="4C417ABC" w14:textId="0E627ECF">
      <w:pPr>
        <w:spacing w:after="0" w:line="360" w:lineRule="auto"/>
        <w:contextualSpacing/>
        <w:rPr>
          <w:rFonts w:eastAsia="Calibri" w:cs="Tahoma"/>
          <w:bCs/>
        </w:rPr>
      </w:pPr>
      <w:r w:rsidRPr="00296AF1">
        <w:rPr>
          <w:rFonts w:eastAsia="Calibri" w:cs="Tahoma"/>
          <w:bCs/>
        </w:rPr>
        <w:t xml:space="preserve">ASÍ LO RESUELVE, POR </w:t>
      </w:r>
      <w:r w:rsidRPr="00296AF1">
        <w:rPr>
          <w:rFonts w:eastAsia="Calibri" w:cs="Tahoma"/>
          <w:b/>
        </w:rPr>
        <w:t>UNANIMIDAD</w:t>
      </w:r>
      <w:r w:rsidRPr="00296AF1">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296AF1" w:rsidR="00F71F73">
        <w:rPr>
          <w:rFonts w:eastAsia="Calibri" w:cs="Tahoma"/>
          <w:bCs/>
        </w:rPr>
        <w:t>VIGÉSIMA</w:t>
      </w:r>
      <w:r w:rsidRPr="00296AF1">
        <w:rPr>
          <w:rFonts w:eastAsia="Calibri" w:cs="Tahoma"/>
          <w:bCs/>
        </w:rPr>
        <w:t xml:space="preserve"> SESIÓN ORDINARIA, CELEBRADA EL </w:t>
      </w:r>
      <w:r w:rsidRPr="00296AF1" w:rsidR="00F71F73">
        <w:rPr>
          <w:rFonts w:eastAsia="Times New Roman" w:cs="Tahoma"/>
          <w:bCs/>
          <w:color w:val="auto"/>
          <w:lang w:eastAsia="es-ES"/>
        </w:rPr>
        <w:t>TREINTA Y UNO</w:t>
      </w:r>
      <w:r w:rsidRPr="00296AF1" w:rsidR="001F62B7">
        <w:rPr>
          <w:rFonts w:eastAsia="Times New Roman" w:cs="Tahoma"/>
          <w:bCs/>
          <w:color w:val="auto"/>
          <w:lang w:eastAsia="es-ES"/>
        </w:rPr>
        <w:t xml:space="preserve"> </w:t>
      </w:r>
      <w:r w:rsidRPr="00296AF1">
        <w:rPr>
          <w:rFonts w:eastAsia="Times New Roman" w:cs="Tahoma"/>
          <w:bCs/>
          <w:color w:val="auto"/>
          <w:lang w:eastAsia="es-ES"/>
        </w:rPr>
        <w:t>DE MAYO DE DOS MIL VEINTITRÉS</w:t>
      </w:r>
      <w:r w:rsidRPr="00296AF1">
        <w:rPr>
          <w:rFonts w:eastAsia="Calibri" w:cs="Tahoma"/>
          <w:bCs/>
        </w:rPr>
        <w:t>, ANTE EL SECRETARIO TÉCNICO DEL PLENO, ALEXIS TAPIA RAMÍREZ.</w:t>
      </w:r>
      <w:bookmarkStart w:name="_GoBack" w:id="1"/>
      <w:bookmarkEnd w:id="1"/>
    </w:p>
    <w:p w:rsidRPr="001F62B7" w:rsidR="00BF6B4B" w:rsidP="001F62B7" w:rsidRDefault="00BF6B4B" w14:paraId="070E4A34" w14:textId="77777777">
      <w:pPr>
        <w:spacing w:after="0" w:line="360" w:lineRule="auto"/>
        <w:contextualSpacing/>
        <w:jc w:val="left"/>
      </w:pPr>
      <w:r w:rsidRPr="001F62B7">
        <w:rPr>
          <w:rFonts w:eastAsia="Calibri" w:cs="Tahoma"/>
          <w:b/>
          <w:bCs/>
        </w:rPr>
        <w:br w:type="page"/>
      </w:r>
    </w:p>
    <w:p w:rsidRPr="001F62B7" w:rsidR="00CE7148" w:rsidP="001F62B7" w:rsidRDefault="00CE7148" w14:paraId="5BE9394B" w14:textId="77777777">
      <w:pPr>
        <w:spacing w:line="360" w:lineRule="auto"/>
        <w:contextualSpacing/>
      </w:pPr>
    </w:p>
    <w:sectPr w:rsidRPr="001F62B7" w:rsidR="00CE7148" w:rsidSect="002A5DF5">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AF" w:rsidP="00BF6B4B" w:rsidRDefault="000539AF" w14:paraId="045E5F93" w14:textId="77777777">
      <w:pPr>
        <w:spacing w:after="0" w:line="240" w:lineRule="auto"/>
      </w:pPr>
      <w:r>
        <w:separator/>
      </w:r>
    </w:p>
  </w:endnote>
  <w:endnote w:type="continuationSeparator" w:id="0">
    <w:p w:rsidR="000539AF" w:rsidP="00BF6B4B" w:rsidRDefault="000539AF" w14:paraId="17F485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457" w:rsidRDefault="00E47457" w14:paraId="59F3801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E47457" w:rsidRDefault="00E47457" w14:paraId="6D86EDA4"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E47457" w:rsidRDefault="00E47457" w14:paraId="7778A9D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6AF1">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6AF1">
              <w:rPr>
                <w:b/>
                <w:bCs/>
                <w:noProof/>
              </w:rPr>
              <w:t>18</w:t>
            </w:r>
            <w:r>
              <w:rPr>
                <w:b/>
                <w:bCs/>
                <w:sz w:val="24"/>
                <w:szCs w:val="24"/>
              </w:rPr>
              <w:fldChar w:fldCharType="end"/>
            </w:r>
          </w:p>
        </w:sdtContent>
      </w:sdt>
    </w:sdtContent>
  </w:sdt>
  <w:p w:rsidR="00E47457" w:rsidRDefault="00E47457" w14:paraId="6B1867CF"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457" w:rsidRDefault="00E47457" w14:paraId="6F01DCD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6AF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6AF1">
      <w:rPr>
        <w:b/>
        <w:bCs/>
        <w:noProof/>
      </w:rPr>
      <w:t>18</w:t>
    </w:r>
    <w:r>
      <w:rPr>
        <w:b/>
        <w:bCs/>
        <w:sz w:val="24"/>
        <w:szCs w:val="24"/>
      </w:rPr>
      <w:fldChar w:fldCharType="end"/>
    </w:r>
  </w:p>
  <w:p w:rsidR="00E47457" w:rsidRDefault="00E47457" w14:paraId="35810868"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AF" w:rsidP="00BF6B4B" w:rsidRDefault="000539AF" w14:paraId="240EF646" w14:textId="77777777">
      <w:pPr>
        <w:spacing w:after="0" w:line="240" w:lineRule="auto"/>
      </w:pPr>
      <w:r>
        <w:separator/>
      </w:r>
    </w:p>
  </w:footnote>
  <w:footnote w:type="continuationSeparator" w:id="0">
    <w:p w:rsidR="000539AF" w:rsidP="00BF6B4B" w:rsidRDefault="000539AF" w14:paraId="4B667171"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E47457" w:rsidTr="002A5DF5" w14:paraId="63FB3EED" w14:textId="77777777">
      <w:trPr>
        <w:trHeight w:val="141"/>
      </w:trPr>
      <w:tc>
        <w:tcPr>
          <w:tcW w:w="2404" w:type="dxa"/>
        </w:tcPr>
        <w:p w:rsidRPr="001B5FB6" w:rsidR="00E47457" w:rsidP="002A5DF5" w:rsidRDefault="00E47457" w14:paraId="4C22C8EF"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E47457" w:rsidP="002A5DF5" w:rsidRDefault="00E47457" w14:paraId="6D835FB3" w14:textId="77777777">
          <w:pPr>
            <w:tabs>
              <w:tab w:val="right" w:pos="8838"/>
            </w:tabs>
            <w:ind w:left="-28" w:right="683"/>
            <w:rPr>
              <w:rFonts w:eastAsia="Calibri" w:cs="Tahoma"/>
            </w:rPr>
          </w:pPr>
          <w:r w:rsidRPr="00A8173F">
            <w:rPr>
              <w:rFonts w:eastAsia="Calibri" w:cs="Tahoma"/>
              <w:lang w:val="es-MX"/>
            </w:rPr>
            <w:t>04196/INFOEM/IP/RR/2020</w:t>
          </w:r>
        </w:p>
      </w:tc>
    </w:tr>
    <w:tr w:rsidR="00E47457" w:rsidTr="002A5DF5" w14:paraId="7A5F93B0" w14:textId="77777777">
      <w:trPr>
        <w:trHeight w:val="276"/>
      </w:trPr>
      <w:tc>
        <w:tcPr>
          <w:tcW w:w="2404" w:type="dxa"/>
        </w:tcPr>
        <w:p w:rsidRPr="001B5FB6" w:rsidR="00E47457" w:rsidP="002A5DF5" w:rsidRDefault="00E47457" w14:paraId="38A9EF54"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E47457" w:rsidP="002A5DF5" w:rsidRDefault="00E47457" w14:paraId="6A4F2C33" w14:textId="77777777">
          <w:pPr>
            <w:tabs>
              <w:tab w:val="right" w:pos="8838"/>
            </w:tabs>
            <w:ind w:right="116"/>
            <w:rPr>
              <w:rFonts w:eastAsia="Calibri" w:cs="Tahoma"/>
              <w:lang w:val="es-MX"/>
            </w:rPr>
          </w:pPr>
          <w:r w:rsidRPr="00A8173F">
            <w:rPr>
              <w:rFonts w:eastAsia="Calibri" w:cs="Tahoma"/>
              <w:lang w:val="es-MX"/>
            </w:rPr>
            <w:t>Ayuntamiento de Chapultepec</w:t>
          </w:r>
        </w:p>
      </w:tc>
    </w:tr>
    <w:tr w:rsidR="00E47457" w:rsidTr="002A5DF5" w14:paraId="6FDFF3F8" w14:textId="77777777">
      <w:trPr>
        <w:trHeight w:val="276"/>
      </w:trPr>
      <w:tc>
        <w:tcPr>
          <w:tcW w:w="2404" w:type="dxa"/>
        </w:tcPr>
        <w:p w:rsidRPr="001B5FB6" w:rsidR="00E47457" w:rsidP="002A5DF5" w:rsidRDefault="00E47457" w14:paraId="3FB1CE1C"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E47457" w:rsidP="002A5DF5" w:rsidRDefault="00E47457" w14:paraId="233CD5BA"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E47457" w:rsidRDefault="000539AF" w14:paraId="7D9F6228" w14:textId="77777777">
    <w:pPr>
      <w:pStyle w:val="Encabezado"/>
    </w:pPr>
    <w:r>
      <w:rPr>
        <w:noProof/>
      </w:rPr>
      <w:pict w14:anchorId="7726C13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E47457" w:rsidRDefault="00E47457" w14:paraId="2ED0EF94" w14:textId="77777777">
    <w:pPr>
      <w:rPr>
        <w:sz w:val="18"/>
        <w:szCs w:val="18"/>
      </w:rPr>
    </w:pPr>
  </w:p>
  <w:tbl>
    <w:tblPr>
      <w:tblStyle w:val="Tablaconcuadrcula"/>
      <w:tblW w:w="6804"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394"/>
    </w:tblGrid>
    <w:tr w:rsidR="00E47457" w:rsidTr="00BF6B4B" w14:paraId="781004D5" w14:textId="77777777">
      <w:trPr>
        <w:trHeight w:val="141"/>
      </w:trPr>
      <w:tc>
        <w:tcPr>
          <w:tcW w:w="2410" w:type="dxa"/>
        </w:tcPr>
        <w:p w:rsidRPr="001B5FB6" w:rsidR="00E47457" w:rsidP="002A5DF5" w:rsidRDefault="00E47457" w14:paraId="2083D2E4"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394" w:type="dxa"/>
        </w:tcPr>
        <w:p w:rsidRPr="00C853D1" w:rsidR="00E47457" w:rsidP="002A5DF5" w:rsidRDefault="00E47457" w14:paraId="7C3E2B4C" w14:textId="7E4BFE66">
          <w:pPr>
            <w:tabs>
              <w:tab w:val="right" w:pos="8838"/>
            </w:tabs>
            <w:ind w:left="-28" w:right="454"/>
            <w:rPr>
              <w:rFonts w:eastAsia="Calibri" w:cs="Tahoma"/>
            </w:rPr>
          </w:pPr>
          <w:r>
            <w:rPr>
              <w:rFonts w:eastAsia="Calibri" w:cs="Tahoma"/>
              <w:lang w:val="es-MX"/>
            </w:rPr>
            <w:t>02536</w:t>
          </w:r>
          <w:r w:rsidRPr="00712E51">
            <w:rPr>
              <w:rFonts w:eastAsia="Calibri" w:cs="Tahoma"/>
              <w:lang w:val="es-MX"/>
            </w:rPr>
            <w:t>/INFOEM/IP/RR/202</w:t>
          </w:r>
          <w:r>
            <w:rPr>
              <w:rFonts w:eastAsia="Calibri" w:cs="Tahoma"/>
              <w:lang w:val="es-MX"/>
            </w:rPr>
            <w:t>3</w:t>
          </w:r>
        </w:p>
      </w:tc>
    </w:tr>
    <w:tr w:rsidR="00E47457" w:rsidTr="00BF6B4B" w14:paraId="77BBF2C9" w14:textId="77777777">
      <w:trPr>
        <w:trHeight w:val="276"/>
      </w:trPr>
      <w:tc>
        <w:tcPr>
          <w:tcW w:w="2410" w:type="dxa"/>
        </w:tcPr>
        <w:p w:rsidRPr="001B5FB6" w:rsidR="00E47457" w:rsidP="002A5DF5" w:rsidRDefault="00E47457" w14:paraId="199653E5" w14:textId="77777777">
          <w:pPr>
            <w:tabs>
              <w:tab w:val="right" w:pos="8838"/>
            </w:tabs>
            <w:ind w:right="-105"/>
            <w:rPr>
              <w:rFonts w:eastAsia="Calibri" w:cs="Tahoma"/>
              <w:b/>
              <w:lang w:val="es-MX"/>
            </w:rPr>
          </w:pPr>
          <w:r w:rsidRPr="001B5FB6">
            <w:rPr>
              <w:rFonts w:eastAsia="Calibri" w:cs="Tahoma"/>
              <w:b/>
              <w:lang w:val="es-MX"/>
            </w:rPr>
            <w:t>Sujeto Obligado:</w:t>
          </w:r>
        </w:p>
      </w:tc>
      <w:tc>
        <w:tcPr>
          <w:tcW w:w="4394" w:type="dxa"/>
        </w:tcPr>
        <w:p w:rsidRPr="00A8173F" w:rsidR="00E47457" w:rsidP="002A5DF5" w:rsidRDefault="00E47457" w14:paraId="371D3D0D" w14:textId="2C82BD9F">
          <w:pPr>
            <w:tabs>
              <w:tab w:val="right" w:pos="8838"/>
            </w:tabs>
            <w:ind w:right="454"/>
            <w:rPr>
              <w:rFonts w:eastAsia="Calibri" w:cs="Tahoma"/>
              <w:lang w:val="es-MX"/>
            </w:rPr>
          </w:pPr>
          <w:r>
            <w:rPr>
              <w:rFonts w:eastAsia="Calibri" w:cs="Tahoma"/>
              <w:lang w:val="es-MX"/>
            </w:rPr>
            <w:t>Ayuntamiento de Tecámac</w:t>
          </w:r>
        </w:p>
      </w:tc>
    </w:tr>
    <w:tr w:rsidR="00E47457" w:rsidTr="00BF6B4B" w14:paraId="305CCFC9" w14:textId="77777777">
      <w:trPr>
        <w:trHeight w:val="276"/>
      </w:trPr>
      <w:tc>
        <w:tcPr>
          <w:tcW w:w="2410" w:type="dxa"/>
        </w:tcPr>
        <w:p w:rsidRPr="001B5FB6" w:rsidR="00E47457" w:rsidP="002A5DF5" w:rsidRDefault="00E47457" w14:paraId="005E0BC6" w14:textId="77777777">
          <w:pPr>
            <w:tabs>
              <w:tab w:val="right" w:pos="8838"/>
            </w:tabs>
            <w:ind w:right="-105"/>
            <w:rPr>
              <w:rFonts w:eastAsia="Calibri" w:cs="Tahoma"/>
              <w:b/>
              <w:lang w:val="es-MX"/>
            </w:rPr>
          </w:pPr>
          <w:r w:rsidRPr="001B5FB6">
            <w:rPr>
              <w:rFonts w:eastAsia="Calibri" w:cs="Tahoma"/>
              <w:b/>
              <w:lang w:val="es-MX"/>
            </w:rPr>
            <w:t>Comisionado Ponente:</w:t>
          </w:r>
        </w:p>
      </w:tc>
      <w:tc>
        <w:tcPr>
          <w:tcW w:w="4394" w:type="dxa"/>
        </w:tcPr>
        <w:p w:rsidRPr="00A8173F" w:rsidR="00E47457" w:rsidP="002A5DF5" w:rsidRDefault="00E47457" w14:paraId="32F65D0F"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E47457" w:rsidRDefault="000539AF" w14:paraId="739C10E2" w14:textId="77777777">
    <w:pPr>
      <w:pStyle w:val="Encabezado"/>
    </w:pPr>
    <w:r>
      <w:rPr>
        <w:noProof/>
      </w:rPr>
      <w:pict w14:anchorId="24CF04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127"/>
      <w:gridCol w:w="7654"/>
    </w:tblGrid>
    <w:tr w:rsidRPr="005C106F" w:rsidR="00E47457" w:rsidTr="002A5DF5" w14:paraId="03DA0603" w14:textId="77777777">
      <w:trPr>
        <w:trHeight w:val="1546"/>
      </w:trPr>
      <w:tc>
        <w:tcPr>
          <w:tcW w:w="2127" w:type="dxa"/>
          <w:shd w:val="clear" w:color="auto" w:fill="auto"/>
        </w:tcPr>
        <w:p w:rsidRPr="005C106F" w:rsidR="00E47457" w:rsidP="002A5DF5" w:rsidRDefault="00E47457" w14:paraId="70DBECE9" w14:textId="77777777">
          <w:pPr>
            <w:tabs>
              <w:tab w:val="right" w:pos="4273"/>
            </w:tabs>
            <w:rPr>
              <w:rFonts w:ascii="Garamond" w:hAnsi="Garamond" w:eastAsia="Calibri"/>
              <w:sz w:val="16"/>
              <w:szCs w:val="16"/>
            </w:rPr>
          </w:pPr>
        </w:p>
      </w:tc>
      <w:tc>
        <w:tcPr>
          <w:tcW w:w="7654" w:type="dxa"/>
          <w:shd w:val="clear" w:color="auto" w:fill="auto"/>
        </w:tcPr>
        <w:tbl>
          <w:tblPr>
            <w:tblStyle w:val="Tablaconcuadrcula"/>
            <w:tblW w:w="5670"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260"/>
          </w:tblGrid>
          <w:tr w:rsidR="00E47457" w:rsidTr="00BF6B4B" w14:paraId="563CC0F4" w14:textId="77777777">
            <w:trPr>
              <w:trHeight w:val="151"/>
            </w:trPr>
            <w:tc>
              <w:tcPr>
                <w:tcW w:w="2410" w:type="dxa"/>
                <w:vAlign w:val="bottom"/>
              </w:tcPr>
              <w:p w:rsidRPr="001B5FB6" w:rsidR="00E47457" w:rsidP="002A5DF5" w:rsidRDefault="00E47457" w14:paraId="401C9F21" w14:textId="77777777">
                <w:pPr>
                  <w:tabs>
                    <w:tab w:val="right" w:pos="8838"/>
                  </w:tabs>
                  <w:ind w:right="-105"/>
                  <w:rPr>
                    <w:rFonts w:eastAsia="Calibri" w:cs="Tahoma"/>
                    <w:b/>
                    <w:lang w:val="es-MX"/>
                  </w:rPr>
                </w:pPr>
                <w:r w:rsidRPr="001B5FB6">
                  <w:rPr>
                    <w:rFonts w:eastAsia="Calibri" w:cs="Tahoma"/>
                    <w:b/>
                    <w:lang w:val="es-MX"/>
                  </w:rPr>
                  <w:t>Recurso de Revisión:</w:t>
                </w:r>
              </w:p>
            </w:tc>
            <w:tc>
              <w:tcPr>
                <w:tcW w:w="3260" w:type="dxa"/>
              </w:tcPr>
              <w:p w:rsidR="00E47457" w:rsidP="002A5DF5" w:rsidRDefault="00E47457" w14:paraId="251191D4" w14:textId="77777777">
                <w:pPr>
                  <w:tabs>
                    <w:tab w:val="right" w:pos="8838"/>
                  </w:tabs>
                  <w:ind w:left="-28" w:right="-107"/>
                  <w:rPr>
                    <w:rFonts w:eastAsia="Calibri" w:cs="Tahoma"/>
                    <w:lang w:val="es-MX"/>
                  </w:rPr>
                </w:pPr>
              </w:p>
              <w:p w:rsidRPr="00C853D1" w:rsidR="00E47457" w:rsidP="00BF6B4B" w:rsidRDefault="00E47457" w14:paraId="2E142784" w14:textId="6A2AADC3">
                <w:pPr>
                  <w:tabs>
                    <w:tab w:val="right" w:pos="8838"/>
                  </w:tabs>
                  <w:ind w:right="-107"/>
                  <w:rPr>
                    <w:rFonts w:eastAsia="Calibri" w:cs="Tahoma"/>
                  </w:rPr>
                </w:pPr>
                <w:r>
                  <w:rPr>
                    <w:rFonts w:eastAsia="Calibri" w:cs="Tahoma"/>
                    <w:lang w:val="es-MX"/>
                  </w:rPr>
                  <w:t>02536</w:t>
                </w:r>
                <w:r w:rsidRPr="006E4BCB">
                  <w:rPr>
                    <w:rFonts w:eastAsia="Calibri" w:cs="Tahoma"/>
                    <w:lang w:val="es-MX"/>
                  </w:rPr>
                  <w:t>/INFOEM/IP/RR/202</w:t>
                </w:r>
                <w:r>
                  <w:rPr>
                    <w:rFonts w:eastAsia="Calibri" w:cs="Tahoma"/>
                    <w:lang w:val="es-MX"/>
                  </w:rPr>
                  <w:t>3</w:t>
                </w:r>
              </w:p>
            </w:tc>
          </w:tr>
          <w:tr w:rsidR="00E47457" w:rsidTr="00BF6B4B" w14:paraId="4B93539A" w14:textId="77777777">
            <w:trPr>
              <w:trHeight w:val="151"/>
            </w:trPr>
            <w:tc>
              <w:tcPr>
                <w:tcW w:w="2410" w:type="dxa"/>
              </w:tcPr>
              <w:p w:rsidRPr="001B5FB6" w:rsidR="00E47457" w:rsidP="002A5DF5" w:rsidRDefault="00E47457" w14:paraId="73C32DD9" w14:textId="77777777">
                <w:pPr>
                  <w:tabs>
                    <w:tab w:val="right" w:pos="8838"/>
                  </w:tabs>
                  <w:ind w:right="-105"/>
                  <w:rPr>
                    <w:rFonts w:eastAsia="Calibri" w:cs="Tahoma"/>
                    <w:b/>
                    <w:lang w:val="es-MX"/>
                  </w:rPr>
                </w:pPr>
                <w:r w:rsidRPr="001B5FB6">
                  <w:rPr>
                    <w:rFonts w:eastAsia="Calibri" w:cs="Tahoma"/>
                    <w:b/>
                    <w:lang w:val="es-MX"/>
                  </w:rPr>
                  <w:t>Recurrente:</w:t>
                </w:r>
              </w:p>
            </w:tc>
            <w:tc>
              <w:tcPr>
                <w:tcW w:w="3260" w:type="dxa"/>
              </w:tcPr>
              <w:p w:rsidRPr="003405AF" w:rsidR="00E47457" w:rsidP="002A5DF5" w:rsidRDefault="00E47457" w14:paraId="21C2DC8A" w14:textId="0AAFCBB2">
                <w:pPr>
                  <w:tabs>
                    <w:tab w:val="right" w:pos="8838"/>
                  </w:tabs>
                  <w:ind w:right="-107"/>
                  <w:rPr>
                    <w:rFonts w:eastAsia="Calibri" w:cs="Tahoma"/>
                    <w:lang w:val="es-MX"/>
                  </w:rPr>
                </w:pPr>
              </w:p>
            </w:tc>
          </w:tr>
          <w:tr w:rsidR="00E47457" w:rsidTr="00BF6B4B" w14:paraId="341CAFF2" w14:textId="77777777">
            <w:trPr>
              <w:trHeight w:val="299"/>
            </w:trPr>
            <w:tc>
              <w:tcPr>
                <w:tcW w:w="2410" w:type="dxa"/>
              </w:tcPr>
              <w:p w:rsidRPr="001B5FB6" w:rsidR="00E47457" w:rsidP="002A5DF5" w:rsidRDefault="00E47457" w14:paraId="6DFB20FF" w14:textId="77777777">
                <w:pPr>
                  <w:tabs>
                    <w:tab w:val="right" w:pos="8838"/>
                  </w:tabs>
                  <w:ind w:right="-105"/>
                  <w:rPr>
                    <w:rFonts w:eastAsia="Calibri" w:cs="Tahoma"/>
                    <w:b/>
                    <w:lang w:val="es-MX"/>
                  </w:rPr>
                </w:pPr>
                <w:r w:rsidRPr="001B5FB6">
                  <w:rPr>
                    <w:rFonts w:eastAsia="Calibri" w:cs="Tahoma"/>
                    <w:b/>
                    <w:lang w:val="es-MX"/>
                  </w:rPr>
                  <w:t>Sujeto Obligado:</w:t>
                </w:r>
              </w:p>
            </w:tc>
            <w:tc>
              <w:tcPr>
                <w:tcW w:w="3260" w:type="dxa"/>
              </w:tcPr>
              <w:p w:rsidRPr="00C853D1" w:rsidR="00E47457" w:rsidP="002A5DF5" w:rsidRDefault="00E47457" w14:paraId="562DBF9C" w14:textId="648AC128">
                <w:pPr>
                  <w:tabs>
                    <w:tab w:val="right" w:pos="8838"/>
                  </w:tabs>
                  <w:ind w:right="-107"/>
                  <w:rPr>
                    <w:rFonts w:eastAsia="Calibri" w:cs="Tahoma"/>
                    <w:lang w:val="es-MX"/>
                  </w:rPr>
                </w:pPr>
                <w:r>
                  <w:rPr>
                    <w:rFonts w:eastAsia="Calibri" w:cs="Tahoma"/>
                    <w:lang w:val="es-MX"/>
                  </w:rPr>
                  <w:t>Ayuntamiento de Tecámac</w:t>
                </w:r>
              </w:p>
            </w:tc>
          </w:tr>
          <w:tr w:rsidR="00E47457" w:rsidTr="00BF6B4B" w14:paraId="5818B90A" w14:textId="77777777">
            <w:trPr>
              <w:trHeight w:val="299"/>
            </w:trPr>
            <w:tc>
              <w:tcPr>
                <w:tcW w:w="2410" w:type="dxa"/>
              </w:tcPr>
              <w:p w:rsidRPr="001B5FB6" w:rsidR="00E47457" w:rsidP="002A5DF5" w:rsidRDefault="00E47457" w14:paraId="4B969C72" w14:textId="77777777">
                <w:pPr>
                  <w:tabs>
                    <w:tab w:val="right" w:pos="8838"/>
                  </w:tabs>
                  <w:ind w:right="-105"/>
                  <w:rPr>
                    <w:rFonts w:eastAsia="Calibri" w:cs="Tahoma"/>
                    <w:b/>
                    <w:lang w:val="es-MX"/>
                  </w:rPr>
                </w:pPr>
                <w:r w:rsidRPr="001B5FB6">
                  <w:rPr>
                    <w:rFonts w:eastAsia="Calibri" w:cs="Tahoma"/>
                    <w:b/>
                    <w:lang w:val="es-MX"/>
                  </w:rPr>
                  <w:t>Comisionado Ponente:</w:t>
                </w:r>
              </w:p>
            </w:tc>
            <w:tc>
              <w:tcPr>
                <w:tcW w:w="3260" w:type="dxa"/>
              </w:tcPr>
              <w:p w:rsidRPr="00A8173F" w:rsidR="00E47457" w:rsidP="002A5DF5" w:rsidRDefault="00E47457" w14:paraId="6BFCB0D4"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E47457" w:rsidP="002A5DF5" w:rsidRDefault="00E47457" w14:paraId="477F9092" w14:textId="77777777">
          <w:pPr>
            <w:tabs>
              <w:tab w:val="right" w:pos="8838"/>
            </w:tabs>
            <w:ind w:left="-28"/>
            <w:rPr>
              <w:rFonts w:ascii="Arial" w:hAnsi="Arial" w:eastAsia="Calibri" w:cs="Arial"/>
              <w:b/>
            </w:rPr>
          </w:pPr>
        </w:p>
      </w:tc>
    </w:tr>
  </w:tbl>
  <w:p w:rsidR="00E47457" w:rsidRDefault="000539AF" w14:paraId="5E2553D1" w14:textId="77777777">
    <w:pPr>
      <w:pStyle w:val="Encabezado"/>
    </w:pPr>
    <w:r>
      <w:rPr>
        <w:noProof/>
      </w:rPr>
      <w:pict w14:anchorId="34DAE22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95F313F"/>
    <w:multiLevelType w:val="hybridMultilevel"/>
    <w:tmpl w:val="02943CB8"/>
    <w:lvl w:ilvl="0" w:tplc="080A0001">
      <w:start w:val="1"/>
      <w:numFmt w:val="bullet"/>
      <w:lvlText w:val=""/>
      <w:lvlJc w:val="left"/>
      <w:pPr>
        <w:ind w:left="771" w:hanging="360"/>
      </w:pPr>
      <w:rPr>
        <w:rFonts w:hint="default" w:ascii="Symbol" w:hAnsi="Symbol"/>
      </w:rPr>
    </w:lvl>
    <w:lvl w:ilvl="1" w:tplc="080A0003" w:tentative="1">
      <w:start w:val="1"/>
      <w:numFmt w:val="bullet"/>
      <w:lvlText w:val="o"/>
      <w:lvlJc w:val="left"/>
      <w:pPr>
        <w:ind w:left="1491" w:hanging="360"/>
      </w:pPr>
      <w:rPr>
        <w:rFonts w:hint="default" w:ascii="Courier New" w:hAnsi="Courier New" w:cs="Courier New"/>
      </w:rPr>
    </w:lvl>
    <w:lvl w:ilvl="2" w:tplc="080A0005" w:tentative="1">
      <w:start w:val="1"/>
      <w:numFmt w:val="bullet"/>
      <w:lvlText w:val=""/>
      <w:lvlJc w:val="left"/>
      <w:pPr>
        <w:ind w:left="2211" w:hanging="360"/>
      </w:pPr>
      <w:rPr>
        <w:rFonts w:hint="default" w:ascii="Wingdings" w:hAnsi="Wingdings"/>
      </w:rPr>
    </w:lvl>
    <w:lvl w:ilvl="3" w:tplc="080A0001" w:tentative="1">
      <w:start w:val="1"/>
      <w:numFmt w:val="bullet"/>
      <w:lvlText w:val=""/>
      <w:lvlJc w:val="left"/>
      <w:pPr>
        <w:ind w:left="2931" w:hanging="360"/>
      </w:pPr>
      <w:rPr>
        <w:rFonts w:hint="default" w:ascii="Symbol" w:hAnsi="Symbol"/>
      </w:rPr>
    </w:lvl>
    <w:lvl w:ilvl="4" w:tplc="080A0003" w:tentative="1">
      <w:start w:val="1"/>
      <w:numFmt w:val="bullet"/>
      <w:lvlText w:val="o"/>
      <w:lvlJc w:val="left"/>
      <w:pPr>
        <w:ind w:left="3651" w:hanging="360"/>
      </w:pPr>
      <w:rPr>
        <w:rFonts w:hint="default" w:ascii="Courier New" w:hAnsi="Courier New" w:cs="Courier New"/>
      </w:rPr>
    </w:lvl>
    <w:lvl w:ilvl="5" w:tplc="080A0005" w:tentative="1">
      <w:start w:val="1"/>
      <w:numFmt w:val="bullet"/>
      <w:lvlText w:val=""/>
      <w:lvlJc w:val="left"/>
      <w:pPr>
        <w:ind w:left="4371" w:hanging="360"/>
      </w:pPr>
      <w:rPr>
        <w:rFonts w:hint="default" w:ascii="Wingdings" w:hAnsi="Wingdings"/>
      </w:rPr>
    </w:lvl>
    <w:lvl w:ilvl="6" w:tplc="080A0001" w:tentative="1">
      <w:start w:val="1"/>
      <w:numFmt w:val="bullet"/>
      <w:lvlText w:val=""/>
      <w:lvlJc w:val="left"/>
      <w:pPr>
        <w:ind w:left="5091" w:hanging="360"/>
      </w:pPr>
      <w:rPr>
        <w:rFonts w:hint="default" w:ascii="Symbol" w:hAnsi="Symbol"/>
      </w:rPr>
    </w:lvl>
    <w:lvl w:ilvl="7" w:tplc="080A0003" w:tentative="1">
      <w:start w:val="1"/>
      <w:numFmt w:val="bullet"/>
      <w:lvlText w:val="o"/>
      <w:lvlJc w:val="left"/>
      <w:pPr>
        <w:ind w:left="5811" w:hanging="360"/>
      </w:pPr>
      <w:rPr>
        <w:rFonts w:hint="default" w:ascii="Courier New" w:hAnsi="Courier New" w:cs="Courier New"/>
      </w:rPr>
    </w:lvl>
    <w:lvl w:ilvl="8" w:tplc="080A0005" w:tentative="1">
      <w:start w:val="1"/>
      <w:numFmt w:val="bullet"/>
      <w:lvlText w:val=""/>
      <w:lvlJc w:val="left"/>
      <w:pPr>
        <w:ind w:left="6531" w:hanging="360"/>
      </w:pPr>
      <w:rPr>
        <w:rFonts w:hint="default" w:ascii="Wingdings" w:hAnsi="Wingdings"/>
      </w:rPr>
    </w:lvl>
  </w:abstractNum>
  <w:abstractNum w:abstractNumId="2" w15:restartNumberingAfterBreak="0">
    <w:nsid w:val="0B2F2AE0"/>
    <w:multiLevelType w:val="hybridMultilevel"/>
    <w:tmpl w:val="1C822B4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F0C7552"/>
    <w:multiLevelType w:val="hybridMultilevel"/>
    <w:tmpl w:val="158E53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1633181"/>
    <w:multiLevelType w:val="hybridMultilevel"/>
    <w:tmpl w:val="C532A9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2E982DAC"/>
    <w:multiLevelType w:val="hybridMultilevel"/>
    <w:tmpl w:val="A976A9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0D57D7F"/>
    <w:multiLevelType w:val="hybridMultilevel"/>
    <w:tmpl w:val="661A8A1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475F46A4"/>
    <w:multiLevelType w:val="hybridMultilevel"/>
    <w:tmpl w:val="69FA2F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BAC5A28"/>
    <w:multiLevelType w:val="hybridMultilevel"/>
    <w:tmpl w:val="92FA0B7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2"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EA64B92"/>
    <w:multiLevelType w:val="hybridMultilevel"/>
    <w:tmpl w:val="B2EE00B0"/>
    <w:lvl w:ilvl="0" w:tplc="9CAC05E8">
      <w:start w:val="4"/>
      <w:numFmt w:val="bullet"/>
      <w:lvlText w:val="-"/>
      <w:lvlJc w:val="left"/>
      <w:pPr>
        <w:ind w:left="720" w:hanging="360"/>
      </w:pPr>
      <w:rPr>
        <w:rFonts w:hint="default" w:ascii="Palatino Linotype" w:hAnsi="Palatino Linotype" w:eastAsia="Calibri" w:cs="Times New Roman"/>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621D3361"/>
    <w:multiLevelType w:val="hybridMultilevel"/>
    <w:tmpl w:val="80304B0C"/>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5" w15:restartNumberingAfterBreak="0">
    <w:nsid w:val="660D5575"/>
    <w:multiLevelType w:val="hybridMultilevel"/>
    <w:tmpl w:val="69DA69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75D39D1"/>
    <w:multiLevelType w:val="hybridMultilevel"/>
    <w:tmpl w:val="7832BA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78110E2"/>
    <w:multiLevelType w:val="hybridMultilevel"/>
    <w:tmpl w:val="B8D0AE4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689F7917"/>
    <w:multiLevelType w:val="hybridMultilevel"/>
    <w:tmpl w:val="5526FF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8F966D3"/>
    <w:multiLevelType w:val="hybridMultilevel"/>
    <w:tmpl w:val="E8CC62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6"/>
  </w:num>
  <w:num w:numId="5">
    <w:abstractNumId w:val="2"/>
  </w:num>
  <w:num w:numId="6">
    <w:abstractNumId w:val="18"/>
  </w:num>
  <w:num w:numId="7">
    <w:abstractNumId w:val="11"/>
  </w:num>
  <w:num w:numId="8">
    <w:abstractNumId w:val="3"/>
  </w:num>
  <w:num w:numId="9">
    <w:abstractNumId w:val="15"/>
  </w:num>
  <w:num w:numId="10">
    <w:abstractNumId w:val="20"/>
  </w:num>
  <w:num w:numId="11">
    <w:abstractNumId w:val="1"/>
  </w:num>
  <w:num w:numId="12">
    <w:abstractNumId w:val="7"/>
  </w:num>
  <w:num w:numId="13">
    <w:abstractNumId w:val="1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9"/>
  </w:num>
  <w:num w:numId="18">
    <w:abstractNumId w:val="10"/>
  </w:num>
  <w:num w:numId="19">
    <w:abstractNumId w:val="12"/>
  </w:num>
  <w:num w:numId="20">
    <w:abstractNumId w:val="14"/>
  </w:num>
  <w:num w:numId="21">
    <w:abstractNumId w:val="4"/>
  </w:num>
  <w:num w:numId="22">
    <w:abstractNumId w:val="16"/>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4B"/>
    <w:rsid w:val="000539AF"/>
    <w:rsid w:val="000604E5"/>
    <w:rsid w:val="00144FB3"/>
    <w:rsid w:val="0015402A"/>
    <w:rsid w:val="001D195F"/>
    <w:rsid w:val="001F62B7"/>
    <w:rsid w:val="00213053"/>
    <w:rsid w:val="00243225"/>
    <w:rsid w:val="00264675"/>
    <w:rsid w:val="00296AF1"/>
    <w:rsid w:val="002A5DF5"/>
    <w:rsid w:val="002F0448"/>
    <w:rsid w:val="00317306"/>
    <w:rsid w:val="003434C6"/>
    <w:rsid w:val="003A22CB"/>
    <w:rsid w:val="003C7C3B"/>
    <w:rsid w:val="0045054B"/>
    <w:rsid w:val="00504C37"/>
    <w:rsid w:val="00626191"/>
    <w:rsid w:val="00644822"/>
    <w:rsid w:val="0073083C"/>
    <w:rsid w:val="00766BEF"/>
    <w:rsid w:val="0078093D"/>
    <w:rsid w:val="0088494B"/>
    <w:rsid w:val="008904D3"/>
    <w:rsid w:val="008C6C1A"/>
    <w:rsid w:val="00900F55"/>
    <w:rsid w:val="009D0B83"/>
    <w:rsid w:val="009F1C6E"/>
    <w:rsid w:val="009F6C19"/>
    <w:rsid w:val="00B3599D"/>
    <w:rsid w:val="00B4260D"/>
    <w:rsid w:val="00BB127B"/>
    <w:rsid w:val="00BB60E9"/>
    <w:rsid w:val="00BE0D64"/>
    <w:rsid w:val="00BF6B4B"/>
    <w:rsid w:val="00C07EFB"/>
    <w:rsid w:val="00CE7148"/>
    <w:rsid w:val="00D560A4"/>
    <w:rsid w:val="00D60D55"/>
    <w:rsid w:val="00D83A81"/>
    <w:rsid w:val="00DA4BA0"/>
    <w:rsid w:val="00E3287F"/>
    <w:rsid w:val="00E47457"/>
    <w:rsid w:val="00EB03D9"/>
    <w:rsid w:val="00F66AFF"/>
    <w:rsid w:val="00F71F73"/>
    <w:rsid w:val="00F73AE7"/>
    <w:rsid w:val="00FC29A6"/>
    <w:rsid w:val="524F3F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BA36B"/>
  <w15:chartTrackingRefBased/>
  <w15:docId w15:val="{43E3D902-1A6A-4294-9DD9-60F405D0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F6B4B"/>
    <w:pPr>
      <w:jc w:val="both"/>
    </w:pPr>
    <w:rPr>
      <w:rFonts w:ascii="Palatino Linotype" w:hAnsi="Palatino Linotype"/>
      <w:color w:val="000000" w:themeColor="text1"/>
      <w:kern w:val="0"/>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F6B4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F6B4B"/>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BF6B4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F6B4B"/>
    <w:rPr>
      <w:rFonts w:ascii="Palatino Linotype" w:hAnsi="Palatino Linotype"/>
      <w:color w:val="000000" w:themeColor="text1"/>
      <w:kern w:val="0"/>
      <w14:ligatures w14:val="none"/>
    </w:rPr>
  </w:style>
  <w:style w:type="table" w:styleId="Tablaconcuadrcula">
    <w:name w:val="Table Grid"/>
    <w:basedOn w:val="Tablanormal"/>
    <w:uiPriority w:val="39"/>
    <w:rsid w:val="00BF6B4B"/>
    <w:pPr>
      <w:spacing w:after="0" w:line="240" w:lineRule="auto"/>
    </w:pPr>
    <w:rPr>
      <w:kern w:val="0"/>
      <w:lang w:val="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F6B4B"/>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6B4B"/>
    <w:pPr>
      <w:spacing w:after="0" w:line="240" w:lineRule="auto"/>
      <w:ind w:left="720"/>
      <w:contextualSpacing/>
    </w:pPr>
    <w:rPr>
      <w:rFonts w:eastAsia="Times New Roman" w:cs="Times New Roman"/>
      <w:kern w:val="2"/>
      <w:szCs w:val="24"/>
      <w:lang w:eastAsia="es-ES"/>
      <w14:ligatures w14:val="standardContextual"/>
    </w:rPr>
  </w:style>
  <w:style w:type="character" w:styleId="Hipervnculo">
    <w:name w:val="Hyperlink"/>
    <w:basedOn w:val="Fuentedeprrafopredeter"/>
    <w:uiPriority w:val="99"/>
    <w:unhideWhenUsed/>
    <w:rsid w:val="00BF6B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6918">
      <w:bodyDiv w:val="1"/>
      <w:marLeft w:val="0"/>
      <w:marRight w:val="0"/>
      <w:marTop w:val="0"/>
      <w:marBottom w:val="0"/>
      <w:divBdr>
        <w:top w:val="none" w:sz="0" w:space="0" w:color="auto"/>
        <w:left w:val="none" w:sz="0" w:space="0" w:color="auto"/>
        <w:bottom w:val="none" w:sz="0" w:space="0" w:color="auto"/>
        <w:right w:val="none" w:sz="0" w:space="0" w:color="auto"/>
      </w:divBdr>
    </w:div>
    <w:div w:id="187137041">
      <w:bodyDiv w:val="1"/>
      <w:marLeft w:val="0"/>
      <w:marRight w:val="0"/>
      <w:marTop w:val="0"/>
      <w:marBottom w:val="0"/>
      <w:divBdr>
        <w:top w:val="none" w:sz="0" w:space="0" w:color="auto"/>
        <w:left w:val="none" w:sz="0" w:space="0" w:color="auto"/>
        <w:bottom w:val="none" w:sz="0" w:space="0" w:color="auto"/>
        <w:right w:val="none" w:sz="0" w:space="0" w:color="auto"/>
      </w:divBdr>
    </w:div>
    <w:div w:id="1110591006">
      <w:bodyDiv w:val="1"/>
      <w:marLeft w:val="0"/>
      <w:marRight w:val="0"/>
      <w:marTop w:val="0"/>
      <w:marBottom w:val="0"/>
      <w:divBdr>
        <w:top w:val="none" w:sz="0" w:space="0" w:color="auto"/>
        <w:left w:val="none" w:sz="0" w:space="0" w:color="auto"/>
        <w:bottom w:val="none" w:sz="0" w:space="0" w:color="auto"/>
        <w:right w:val="none" w:sz="0" w:space="0" w:color="auto"/>
      </w:divBdr>
    </w:div>
    <w:div w:id="1278685731">
      <w:bodyDiv w:val="1"/>
      <w:marLeft w:val="0"/>
      <w:marRight w:val="0"/>
      <w:marTop w:val="0"/>
      <w:marBottom w:val="0"/>
      <w:divBdr>
        <w:top w:val="none" w:sz="0" w:space="0" w:color="auto"/>
        <w:left w:val="none" w:sz="0" w:space="0" w:color="auto"/>
        <w:bottom w:val="none" w:sz="0" w:space="0" w:color="auto"/>
        <w:right w:val="none" w:sz="0" w:space="0" w:color="auto"/>
      </w:divBdr>
    </w:div>
    <w:div w:id="1288076868">
      <w:bodyDiv w:val="1"/>
      <w:marLeft w:val="0"/>
      <w:marRight w:val="0"/>
      <w:marTop w:val="0"/>
      <w:marBottom w:val="0"/>
      <w:divBdr>
        <w:top w:val="none" w:sz="0" w:space="0" w:color="auto"/>
        <w:left w:val="none" w:sz="0" w:space="0" w:color="auto"/>
        <w:bottom w:val="none" w:sz="0" w:space="0" w:color="auto"/>
        <w:right w:val="none" w:sz="0" w:space="0" w:color="auto"/>
      </w:divBdr>
    </w:div>
    <w:div w:id="1604730033">
      <w:bodyDiv w:val="1"/>
      <w:marLeft w:val="0"/>
      <w:marRight w:val="0"/>
      <w:marTop w:val="0"/>
      <w:marBottom w:val="0"/>
      <w:divBdr>
        <w:top w:val="none" w:sz="0" w:space="0" w:color="auto"/>
        <w:left w:val="none" w:sz="0" w:space="0" w:color="auto"/>
        <w:bottom w:val="none" w:sz="0" w:space="0" w:color="auto"/>
        <w:right w:val="none" w:sz="0" w:space="0" w:color="auto"/>
      </w:divBdr>
    </w:div>
    <w:div w:id="1689870819">
      <w:bodyDiv w:val="1"/>
      <w:marLeft w:val="0"/>
      <w:marRight w:val="0"/>
      <w:marTop w:val="0"/>
      <w:marBottom w:val="0"/>
      <w:divBdr>
        <w:top w:val="none" w:sz="0" w:space="0" w:color="auto"/>
        <w:left w:val="none" w:sz="0" w:space="0" w:color="auto"/>
        <w:bottom w:val="none" w:sz="0" w:space="0" w:color="auto"/>
        <w:right w:val="none" w:sz="0" w:space="0" w:color="auto"/>
      </w:divBdr>
    </w:div>
    <w:div w:id="1727681127">
      <w:bodyDiv w:val="1"/>
      <w:marLeft w:val="0"/>
      <w:marRight w:val="0"/>
      <w:marTop w:val="0"/>
      <w:marBottom w:val="0"/>
      <w:divBdr>
        <w:top w:val="none" w:sz="0" w:space="0" w:color="auto"/>
        <w:left w:val="none" w:sz="0" w:space="0" w:color="auto"/>
        <w:bottom w:val="none" w:sz="0" w:space="0" w:color="auto"/>
        <w:right w:val="none" w:sz="0" w:space="0" w:color="auto"/>
      </w:divBdr>
    </w:div>
    <w:div w:id="20486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9a40065fbb9f4c7e"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625f471-ad23-4e4d-9919-f2824885a0bd}"/>
      </w:docPartPr>
      <w:docPartBody>
        <w:p w14:paraId="2461ECE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9E8E-3A38-43CF-9A0E-DEE0F6F4EF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2023-05-24T23:39:00.0000000Z</dcterms:created>
  <dcterms:modified xsi:type="dcterms:W3CDTF">2023-06-12T17:22:17.9779648Z</dcterms:modified>
</coreProperties>
</file>