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DF34B" w14:textId="77777777" w:rsidR="00806A1B" w:rsidRPr="00AD4DE0" w:rsidRDefault="00806A1B" w:rsidP="00806A1B">
      <w:pPr>
        <w:spacing w:before="240" w:line="360" w:lineRule="auto"/>
        <w:jc w:val="both"/>
        <w:rPr>
          <w:rFonts w:ascii="Palatino Linotype" w:eastAsia="Times New Roman" w:hAnsi="Palatino Linotype" w:cs="Arial"/>
          <w:color w:val="000000"/>
          <w:sz w:val="24"/>
          <w:szCs w:val="24"/>
          <w:lang w:eastAsia="es-MX"/>
        </w:rPr>
      </w:pPr>
      <w:r w:rsidRPr="00AD4DE0">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veintinueve de noviembre de dos mil veintitrés.</w:t>
      </w:r>
    </w:p>
    <w:p w14:paraId="53CB66ED" w14:textId="03208874" w:rsidR="00806A1B" w:rsidRPr="00AD4DE0" w:rsidRDefault="00806A1B" w:rsidP="00806A1B">
      <w:pPr>
        <w:tabs>
          <w:tab w:val="left" w:pos="1701"/>
        </w:tabs>
        <w:spacing w:before="240" w:line="360" w:lineRule="auto"/>
        <w:jc w:val="both"/>
        <w:rPr>
          <w:rFonts w:ascii="Palatino Linotype" w:hAnsi="Palatino Linotype" w:cs="Arial"/>
          <w:sz w:val="28"/>
        </w:rPr>
      </w:pPr>
      <w:r w:rsidRPr="00AD4DE0">
        <w:rPr>
          <w:rFonts w:ascii="Palatino Linotype" w:hAnsi="Palatino Linotype" w:cs="Arial"/>
          <w:b/>
          <w:sz w:val="24"/>
        </w:rPr>
        <w:t>VISTO</w:t>
      </w:r>
      <w:r w:rsidRPr="00AD4DE0">
        <w:rPr>
          <w:rFonts w:ascii="Palatino Linotype" w:hAnsi="Palatino Linotype" w:cs="Arial"/>
          <w:sz w:val="24"/>
        </w:rPr>
        <w:t xml:space="preserve"> el expediente electrónico formado con motivo del recurso de revisión número</w:t>
      </w:r>
      <w:r w:rsidRPr="00AD4DE0">
        <w:rPr>
          <w:rFonts w:ascii="Palatino Linotype" w:hAnsi="Palatino Linotype" w:cs="Arial"/>
          <w:b/>
          <w:sz w:val="24"/>
        </w:rPr>
        <w:t xml:space="preserve"> </w:t>
      </w:r>
      <w:r w:rsidRPr="00AD4DE0">
        <w:rPr>
          <w:rFonts w:ascii="Palatino Linotype" w:hAnsi="Palatino Linotype" w:cs="Arial"/>
          <w:b/>
          <w:bCs/>
          <w:sz w:val="24"/>
          <w:lang w:eastAsia="es-MX"/>
        </w:rPr>
        <w:t xml:space="preserve">06520/INFOEM/IP/RR/2023, </w:t>
      </w:r>
      <w:r w:rsidRPr="00AD4DE0">
        <w:rPr>
          <w:rFonts w:ascii="Palatino Linotype" w:hAnsi="Palatino Linotype"/>
          <w:sz w:val="24"/>
        </w:rPr>
        <w:t xml:space="preserve">interpuesto por </w:t>
      </w:r>
      <w:proofErr w:type="spellStart"/>
      <w:r w:rsidR="00975571">
        <w:rPr>
          <w:rFonts w:ascii="Palatino Linotype" w:hAnsi="Palatino Linotype"/>
          <w:b/>
          <w:bCs/>
          <w:sz w:val="24"/>
        </w:rPr>
        <w:t>xxxxxxxxxxxxxxxxxxxxxxxxxxx</w:t>
      </w:r>
      <w:proofErr w:type="spellEnd"/>
      <w:r w:rsidRPr="00AD4DE0">
        <w:rPr>
          <w:rFonts w:ascii="Palatino Linotype" w:hAnsi="Palatino Linotype"/>
          <w:sz w:val="24"/>
        </w:rPr>
        <w:t xml:space="preserve">, en lo sucesivo el </w:t>
      </w:r>
      <w:r w:rsidRPr="00AD4DE0">
        <w:rPr>
          <w:rFonts w:ascii="Palatino Linotype" w:hAnsi="Palatino Linotype"/>
          <w:b/>
          <w:sz w:val="24"/>
        </w:rPr>
        <w:t>Recurrente</w:t>
      </w:r>
      <w:r w:rsidRPr="00AD4DE0">
        <w:rPr>
          <w:rFonts w:ascii="Palatino Linotype" w:hAnsi="Palatino Linotype"/>
          <w:sz w:val="24"/>
        </w:rPr>
        <w:t xml:space="preserve">, en contra de la respuesta del </w:t>
      </w:r>
      <w:r w:rsidRPr="00AD4DE0">
        <w:rPr>
          <w:rFonts w:ascii="Palatino Linotype" w:hAnsi="Palatino Linotype"/>
          <w:b/>
          <w:sz w:val="24"/>
        </w:rPr>
        <w:t>Ayuntamiento de Valle de Chalco Solidaridad</w:t>
      </w:r>
      <w:r w:rsidRPr="00AD4DE0">
        <w:rPr>
          <w:rFonts w:ascii="Palatino Linotype" w:hAnsi="Palatino Linotype"/>
          <w:sz w:val="24"/>
        </w:rPr>
        <w:t xml:space="preserve">, en lo subsecuente el </w:t>
      </w:r>
      <w:r w:rsidRPr="00AD4DE0">
        <w:rPr>
          <w:rFonts w:ascii="Palatino Linotype" w:hAnsi="Palatino Linotype"/>
          <w:b/>
          <w:sz w:val="24"/>
        </w:rPr>
        <w:t>Sujeto Obligado</w:t>
      </w:r>
      <w:r w:rsidRPr="00AD4DE0">
        <w:rPr>
          <w:rFonts w:ascii="Palatino Linotype" w:hAnsi="Palatino Linotype"/>
          <w:sz w:val="24"/>
        </w:rPr>
        <w:t>, se procede a dictar la presente resolución.</w:t>
      </w:r>
    </w:p>
    <w:p w14:paraId="3D38747B" w14:textId="77777777" w:rsidR="00806A1B" w:rsidRPr="00AD4DE0" w:rsidRDefault="00806A1B" w:rsidP="00806A1B">
      <w:pPr>
        <w:tabs>
          <w:tab w:val="left" w:pos="1701"/>
        </w:tabs>
        <w:spacing w:before="240" w:line="360" w:lineRule="auto"/>
        <w:jc w:val="both"/>
        <w:rPr>
          <w:rFonts w:ascii="Palatino Linotype" w:hAnsi="Palatino Linotype" w:cs="Arial"/>
          <w:b/>
          <w:sz w:val="24"/>
        </w:rPr>
      </w:pPr>
    </w:p>
    <w:p w14:paraId="39D9591E" w14:textId="77777777" w:rsidR="00806A1B" w:rsidRPr="00AD4DE0" w:rsidRDefault="00806A1B" w:rsidP="00806A1B">
      <w:pPr>
        <w:pStyle w:val="infoemcitas"/>
        <w:jc w:val="center"/>
        <w:rPr>
          <w:b/>
          <w:bCs/>
          <w:i w:val="0"/>
          <w:iCs/>
          <w:sz w:val="28"/>
          <w:szCs w:val="28"/>
        </w:rPr>
      </w:pPr>
      <w:r w:rsidRPr="00AD4DE0">
        <w:rPr>
          <w:b/>
          <w:bCs/>
          <w:i w:val="0"/>
          <w:iCs/>
          <w:sz w:val="28"/>
          <w:szCs w:val="28"/>
        </w:rPr>
        <w:t>A N T E C E D E N T E S   D E L   A S U N T O</w:t>
      </w:r>
    </w:p>
    <w:p w14:paraId="623CA3D8" w14:textId="77777777" w:rsidR="00806A1B" w:rsidRPr="00AD4DE0" w:rsidRDefault="00806A1B" w:rsidP="00806A1B">
      <w:pPr>
        <w:spacing w:before="240" w:after="240" w:line="360" w:lineRule="auto"/>
        <w:jc w:val="both"/>
        <w:rPr>
          <w:rFonts w:ascii="Palatino Linotype" w:hAnsi="Palatino Linotype"/>
        </w:rPr>
      </w:pPr>
      <w:r w:rsidRPr="00AD4DE0">
        <w:rPr>
          <w:rFonts w:ascii="Palatino Linotype" w:hAnsi="Palatino Linotype" w:cs="Arial"/>
          <w:b/>
          <w:sz w:val="28"/>
        </w:rPr>
        <w:t>PRIMERO.</w:t>
      </w:r>
      <w:r w:rsidRPr="00AD4DE0">
        <w:rPr>
          <w:rFonts w:ascii="Palatino Linotype" w:hAnsi="Palatino Linotype" w:cs="Arial"/>
        </w:rPr>
        <w:t xml:space="preserve"> </w:t>
      </w:r>
      <w:r w:rsidRPr="00AD4DE0">
        <w:rPr>
          <w:rFonts w:ascii="Palatino Linotype" w:hAnsi="Palatino Linotype"/>
          <w:b/>
          <w:sz w:val="28"/>
          <w:szCs w:val="28"/>
        </w:rPr>
        <w:t>De la Solicitud de Información.</w:t>
      </w:r>
    </w:p>
    <w:p w14:paraId="4B668E67" w14:textId="77777777" w:rsidR="00806A1B" w:rsidRPr="00AD4DE0" w:rsidRDefault="00806A1B" w:rsidP="00806A1B">
      <w:pPr>
        <w:spacing w:before="240" w:line="360" w:lineRule="auto"/>
        <w:jc w:val="both"/>
        <w:rPr>
          <w:rFonts w:ascii="Palatino Linotype" w:hAnsi="Palatino Linotype" w:cs="Arial"/>
          <w:sz w:val="24"/>
        </w:rPr>
      </w:pPr>
      <w:r w:rsidRPr="00AD4DE0">
        <w:rPr>
          <w:rFonts w:ascii="Palatino Linotype" w:hAnsi="Palatino Linotype" w:cs="Arial"/>
          <w:sz w:val="24"/>
        </w:rPr>
        <w:t>Con fecha primero de septiembre de dos mil veintitrés, el</w:t>
      </w:r>
      <w:r w:rsidRPr="00AD4DE0">
        <w:rPr>
          <w:rFonts w:ascii="Palatino Linotype" w:hAnsi="Palatino Linotype" w:cs="Arial"/>
          <w:b/>
          <w:sz w:val="24"/>
        </w:rPr>
        <w:t xml:space="preserve"> Recurrente </w:t>
      </w:r>
      <w:r w:rsidRPr="00AD4DE0">
        <w:rPr>
          <w:rFonts w:ascii="Palatino Linotype" w:hAnsi="Palatino Linotype" w:cs="Arial"/>
          <w:sz w:val="24"/>
        </w:rPr>
        <w:t>presentó a través del Sistema de Acceso a la Información Mexiquense (</w:t>
      </w:r>
      <w:r w:rsidRPr="00AD4DE0">
        <w:rPr>
          <w:rFonts w:ascii="Palatino Linotype" w:hAnsi="Palatino Linotype" w:cs="Arial"/>
          <w:b/>
          <w:sz w:val="24"/>
        </w:rPr>
        <w:t>SAIMEX)</w:t>
      </w:r>
      <w:r w:rsidRPr="00AD4DE0">
        <w:rPr>
          <w:rFonts w:ascii="Palatino Linotype" w:hAnsi="Palatino Linotype" w:cs="Arial"/>
          <w:sz w:val="24"/>
        </w:rPr>
        <w:t xml:space="preserve"> ante </w:t>
      </w:r>
      <w:r w:rsidRPr="00AD4DE0">
        <w:rPr>
          <w:rFonts w:ascii="Palatino Linotype" w:hAnsi="Palatino Linotype" w:cs="Arial"/>
          <w:b/>
          <w:sz w:val="24"/>
        </w:rPr>
        <w:t>El Sujeto Obligado</w:t>
      </w:r>
      <w:r w:rsidRPr="00AD4DE0">
        <w:rPr>
          <w:rFonts w:ascii="Palatino Linotype" w:hAnsi="Palatino Linotype" w:cs="Arial"/>
          <w:sz w:val="24"/>
        </w:rPr>
        <w:t xml:space="preserve">, solicitud de acceso a la información pública, registrada bajo el número de </w:t>
      </w:r>
      <w:bookmarkStart w:id="0" w:name="_GoBack"/>
      <w:bookmarkEnd w:id="0"/>
      <w:r w:rsidRPr="00AD4DE0">
        <w:rPr>
          <w:rFonts w:ascii="Palatino Linotype" w:hAnsi="Palatino Linotype" w:cs="Arial"/>
          <w:sz w:val="24"/>
        </w:rPr>
        <w:t xml:space="preserve">expediente </w:t>
      </w:r>
      <w:r w:rsidRPr="00AD4DE0">
        <w:rPr>
          <w:rFonts w:ascii="Palatino Linotype" w:hAnsi="Palatino Linotype" w:cs="Arial"/>
          <w:b/>
          <w:sz w:val="24"/>
        </w:rPr>
        <w:t xml:space="preserve">00398/VACHASO/IP/2023, </w:t>
      </w:r>
      <w:r w:rsidRPr="00AD4DE0">
        <w:rPr>
          <w:rFonts w:ascii="Palatino Linotype" w:hAnsi="Palatino Linotype" w:cs="Arial"/>
          <w:sz w:val="24"/>
        </w:rPr>
        <w:t xml:space="preserve">mediante la cual solicitó información en el </w:t>
      </w:r>
      <w:proofErr w:type="gramStart"/>
      <w:r w:rsidRPr="00AD4DE0">
        <w:rPr>
          <w:rFonts w:ascii="Palatino Linotype" w:hAnsi="Palatino Linotype" w:cs="Arial"/>
          <w:sz w:val="24"/>
        </w:rPr>
        <w:t>tenor</w:t>
      </w:r>
      <w:proofErr w:type="gramEnd"/>
      <w:r w:rsidRPr="00AD4DE0">
        <w:rPr>
          <w:rFonts w:ascii="Palatino Linotype" w:hAnsi="Palatino Linotype" w:cs="Arial"/>
          <w:sz w:val="24"/>
        </w:rPr>
        <w:t xml:space="preserve"> siguiente:</w:t>
      </w:r>
    </w:p>
    <w:p w14:paraId="3871E5B4" w14:textId="77777777" w:rsidR="00806A1B" w:rsidRPr="00AD4DE0" w:rsidRDefault="00806A1B" w:rsidP="00806A1B">
      <w:pPr>
        <w:pStyle w:val="INFOEM0"/>
        <w:rPr>
          <w:lang w:val="es-ES_tradnl" w:eastAsia="es-ES"/>
        </w:rPr>
      </w:pPr>
      <w:r w:rsidRPr="00AD4DE0">
        <w:rPr>
          <w:lang w:val="es-ES_tradnl" w:eastAsia="es-ES"/>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w:t>
      </w:r>
      <w:r w:rsidRPr="00AD4DE0">
        <w:rPr>
          <w:lang w:val="es-ES_tradnl" w:eastAsia="es-ES"/>
        </w:rPr>
        <w:lastRenderedPageBreak/>
        <w:t>Información Pública del Estado de México y Municipios, tenemos a bien solicitar: a). El censo del panteón municipal, tomando como fecha de corte, la fecha de la presente solicitud: 01 de septiembre de 2023. Agradecemos su pronta respuesta.” (</w:t>
      </w:r>
      <w:proofErr w:type="gramStart"/>
      <w:r w:rsidRPr="00AD4DE0">
        <w:rPr>
          <w:lang w:val="es-ES_tradnl" w:eastAsia="es-ES"/>
        </w:rPr>
        <w:t>sic</w:t>
      </w:r>
      <w:proofErr w:type="gramEnd"/>
      <w:r w:rsidRPr="00AD4DE0">
        <w:rPr>
          <w:lang w:val="es-ES_tradnl" w:eastAsia="es-ES"/>
        </w:rPr>
        <w:t>)</w:t>
      </w:r>
    </w:p>
    <w:p w14:paraId="0485ED88" w14:textId="77777777" w:rsidR="00806A1B" w:rsidRPr="00AD4DE0" w:rsidRDefault="00806A1B" w:rsidP="00806A1B">
      <w:pPr>
        <w:spacing w:before="240" w:line="360" w:lineRule="auto"/>
        <w:jc w:val="both"/>
        <w:rPr>
          <w:rFonts w:ascii="Palatino Linotype" w:eastAsia="Times New Roman" w:hAnsi="Palatino Linotype" w:cs="Times New Roman"/>
          <w:sz w:val="24"/>
          <w:szCs w:val="24"/>
          <w:lang w:val="es-ES_tradnl" w:eastAsia="es-ES"/>
        </w:rPr>
      </w:pPr>
      <w:r w:rsidRPr="00AD4DE0">
        <w:rPr>
          <w:rFonts w:ascii="Palatino Linotype" w:eastAsia="Times New Roman" w:hAnsi="Palatino Linotype" w:cs="Times New Roman"/>
          <w:b/>
          <w:sz w:val="24"/>
          <w:szCs w:val="24"/>
          <w:lang w:val="es-ES_tradnl" w:eastAsia="es-ES"/>
        </w:rPr>
        <w:t>Modalidad de entrega:</w:t>
      </w:r>
      <w:r w:rsidRPr="00AD4DE0">
        <w:rPr>
          <w:rFonts w:ascii="Palatino Linotype" w:eastAsia="Times New Roman" w:hAnsi="Palatino Linotype" w:cs="Times New Roman"/>
          <w:sz w:val="24"/>
          <w:szCs w:val="24"/>
          <w:lang w:val="es-ES_tradnl" w:eastAsia="es-ES"/>
        </w:rPr>
        <w:t xml:space="preserve"> A través del SAIMEX.</w:t>
      </w:r>
    </w:p>
    <w:p w14:paraId="20F6244B" w14:textId="77777777" w:rsidR="00806A1B" w:rsidRPr="00AD4DE0" w:rsidRDefault="00806A1B" w:rsidP="00806A1B">
      <w:pPr>
        <w:spacing w:before="240" w:line="360" w:lineRule="auto"/>
        <w:jc w:val="both"/>
        <w:rPr>
          <w:rFonts w:ascii="Palatino Linotype" w:hAnsi="Palatino Linotype" w:cs="Arial"/>
          <w:b/>
          <w:sz w:val="28"/>
        </w:rPr>
      </w:pPr>
    </w:p>
    <w:p w14:paraId="1DDB1954" w14:textId="77777777" w:rsidR="00806A1B" w:rsidRPr="00AD4DE0" w:rsidRDefault="00806A1B" w:rsidP="00806A1B">
      <w:pPr>
        <w:spacing w:before="240" w:line="360" w:lineRule="auto"/>
        <w:jc w:val="both"/>
        <w:rPr>
          <w:rFonts w:ascii="Palatino Linotype" w:hAnsi="Palatino Linotype" w:cs="Arial"/>
          <w:b/>
          <w:sz w:val="28"/>
        </w:rPr>
      </w:pPr>
      <w:r w:rsidRPr="00AD4DE0">
        <w:rPr>
          <w:rFonts w:ascii="Palatino Linotype" w:hAnsi="Palatino Linotype" w:cs="Arial"/>
          <w:b/>
          <w:sz w:val="28"/>
        </w:rPr>
        <w:t xml:space="preserve">SEGUNDO. </w:t>
      </w:r>
      <w:r w:rsidRPr="00AD4DE0">
        <w:rPr>
          <w:rFonts w:ascii="Palatino Linotype" w:hAnsi="Palatino Linotype" w:cs="Arial"/>
          <w:b/>
          <w:sz w:val="28"/>
          <w:szCs w:val="20"/>
        </w:rPr>
        <w:t>De la respuesta.</w:t>
      </w:r>
    </w:p>
    <w:p w14:paraId="79677B50" w14:textId="77777777" w:rsidR="00806A1B" w:rsidRPr="00AD4DE0" w:rsidRDefault="00806A1B" w:rsidP="00806A1B">
      <w:pPr>
        <w:pStyle w:val="Sinespaciado"/>
        <w:spacing w:line="360" w:lineRule="auto"/>
        <w:jc w:val="both"/>
        <w:rPr>
          <w:rFonts w:ascii="Palatino Linotype" w:hAnsi="Palatino Linotype" w:cs="Arial"/>
        </w:rPr>
      </w:pPr>
      <w:r w:rsidRPr="00AD4DE0">
        <w:rPr>
          <w:rFonts w:ascii="Palatino Linotype" w:hAnsi="Palatino Linotype"/>
        </w:rPr>
        <w:t xml:space="preserve">De las constancias que obran en el expediente electrónico, se advierte que el </w:t>
      </w:r>
      <w:r w:rsidRPr="00AD4DE0">
        <w:rPr>
          <w:rFonts w:ascii="Palatino Linotype" w:hAnsi="Palatino Linotype" w:cs="Arial"/>
        </w:rPr>
        <w:t xml:space="preserve">día </w:t>
      </w:r>
      <w:r w:rsidRPr="00AD4DE0">
        <w:rPr>
          <w:rFonts w:ascii="Palatino Linotype" w:hAnsi="Palatino Linotype" w:cs="Arial"/>
          <w:b/>
        </w:rPr>
        <w:t>veintidós de septiembre de dos mil veintitrés</w:t>
      </w:r>
      <w:r w:rsidRPr="00AD4DE0">
        <w:rPr>
          <w:rFonts w:ascii="Palatino Linotype" w:hAnsi="Palatino Linotype" w:cs="Arial"/>
        </w:rPr>
        <w:t xml:space="preserve">, el </w:t>
      </w:r>
      <w:r w:rsidRPr="00AD4DE0">
        <w:rPr>
          <w:rFonts w:ascii="Palatino Linotype" w:hAnsi="Palatino Linotype" w:cs="Arial"/>
          <w:b/>
        </w:rPr>
        <w:t>Sujeto Obligado</w:t>
      </w:r>
      <w:r w:rsidRPr="00AD4DE0">
        <w:rPr>
          <w:rFonts w:ascii="Palatino Linotype" w:hAnsi="Palatino Linotype" w:cs="Arial"/>
        </w:rPr>
        <w:t xml:space="preserve"> dio respuesta a la solicitud de información en los siguientes términos:</w:t>
      </w:r>
    </w:p>
    <w:p w14:paraId="11F29710" w14:textId="77777777" w:rsidR="00806A1B" w:rsidRPr="00AD4DE0" w:rsidRDefault="00806A1B" w:rsidP="00806A1B">
      <w:pPr>
        <w:pStyle w:val="INFOEM0"/>
        <w:jc w:val="right"/>
      </w:pPr>
      <w:proofErr w:type="gramStart"/>
      <w:r w:rsidRPr="00AD4DE0">
        <w:t>“ Valle</w:t>
      </w:r>
      <w:proofErr w:type="gramEnd"/>
      <w:r w:rsidRPr="00AD4DE0">
        <w:t xml:space="preserve"> de Chalco Solidaridad, México a 22 de Septiembre de 2023</w:t>
      </w:r>
    </w:p>
    <w:p w14:paraId="229A02FA" w14:textId="77777777" w:rsidR="00806A1B" w:rsidRPr="00AD4DE0" w:rsidRDefault="00806A1B" w:rsidP="00806A1B">
      <w:pPr>
        <w:pStyle w:val="INFOEM0"/>
        <w:jc w:val="right"/>
      </w:pPr>
      <w:r w:rsidRPr="00AD4DE0">
        <w:t>Nombre del solicitante: C. Solicitante</w:t>
      </w:r>
    </w:p>
    <w:p w14:paraId="0970F336" w14:textId="77777777" w:rsidR="00806A1B" w:rsidRPr="00AD4DE0" w:rsidRDefault="00806A1B" w:rsidP="00806A1B">
      <w:pPr>
        <w:pStyle w:val="INFOEM0"/>
        <w:jc w:val="right"/>
      </w:pPr>
      <w:r w:rsidRPr="00AD4DE0">
        <w:t>Folio de la solicitud: 00398/VACHASO/IP/2023</w:t>
      </w:r>
    </w:p>
    <w:p w14:paraId="4D2F0F8B" w14:textId="77777777" w:rsidR="00806A1B" w:rsidRPr="00AD4DE0" w:rsidRDefault="00806A1B" w:rsidP="00806A1B">
      <w:pPr>
        <w:pStyle w:val="INFOEM0"/>
      </w:pPr>
      <w:r w:rsidRPr="00AD4DE0">
        <w:t>En respuesta a la solicitud recibida, nos permitimos hacer de su conocimiento que con fundamento en el artículo 53, Fracciones: II, V y VI de la Ley de Transparencia y Acceso a la Información Pública del Estado de México y Municipios, le contestamos que:</w:t>
      </w:r>
    </w:p>
    <w:p w14:paraId="217438CA" w14:textId="77777777" w:rsidR="00806A1B" w:rsidRPr="00AD4DE0" w:rsidRDefault="00806A1B" w:rsidP="00806A1B">
      <w:pPr>
        <w:pStyle w:val="INFOEM0"/>
        <w:rPr>
          <w:b/>
        </w:rPr>
      </w:pPr>
      <w:r w:rsidRPr="00AD4DE0">
        <w:t xml:space="preserve">SE INFORMA QUE AL RESPECTO SE TIENE REGISTRADO, EN LA SUPERFICIE TOTAL QUE OCUPA EL PANTEON MUNICIPAL DE VALLE DE CHALCO SOLIDARIDAD, </w:t>
      </w:r>
      <w:r w:rsidRPr="00AD4DE0">
        <w:rPr>
          <w:b/>
        </w:rPr>
        <w:t xml:space="preserve">SEIS SECCIONES DE LAS CUALES LA </w:t>
      </w:r>
      <w:r w:rsidRPr="00AD4DE0">
        <w:rPr>
          <w:b/>
        </w:rPr>
        <w:lastRenderedPageBreak/>
        <w:t>PRIMERA CONSTA DE 11,422 FOSAS, LA SEGUNDA 1,376, LA TERCERA 3,007, LA CUARTA 1,113, LA QUINTA CON 11,094 Y LA SEXTA CON 2000, DANDO UN TOTAL DE 20,012 FOSAS DE LAS CUALES TODAS SE ENCUENTRAN OCUPADAS, ASI MISMO LE INFORMO QUE EXISTE UN TOTAL DE 1,344 NICHOS DE ELLOS 800 SIGUEN DISPONIBLES.</w:t>
      </w:r>
    </w:p>
    <w:p w14:paraId="02B36970" w14:textId="77777777" w:rsidR="00806A1B" w:rsidRPr="00AD4DE0" w:rsidRDefault="00806A1B" w:rsidP="00806A1B">
      <w:pPr>
        <w:pStyle w:val="INFOEM0"/>
      </w:pPr>
      <w:r w:rsidRPr="00AD4DE0">
        <w:t>ATENTAMENTE</w:t>
      </w:r>
    </w:p>
    <w:p w14:paraId="37E0AF2D" w14:textId="77777777" w:rsidR="00806A1B" w:rsidRPr="00AD4DE0" w:rsidRDefault="00806A1B" w:rsidP="00806A1B">
      <w:pPr>
        <w:pStyle w:val="INFOEM0"/>
        <w:rPr>
          <w:rFonts w:cs="Arial"/>
          <w:sz w:val="24"/>
        </w:rPr>
      </w:pPr>
      <w:r w:rsidRPr="00AD4DE0">
        <w:t>M. EN D. VALENTÍN GARCÍA RAMIRÉZ” (Sic)</w:t>
      </w:r>
    </w:p>
    <w:p w14:paraId="41AD21C0" w14:textId="77777777" w:rsidR="00806A1B" w:rsidRPr="00AD4DE0" w:rsidRDefault="00806A1B" w:rsidP="00806A1B">
      <w:pPr>
        <w:spacing w:after="0" w:line="360" w:lineRule="auto"/>
        <w:ind w:right="567"/>
        <w:jc w:val="both"/>
        <w:rPr>
          <w:rFonts w:ascii="Palatino Linotype" w:hAnsi="Palatino Linotype" w:cs="Arial"/>
          <w:sz w:val="24"/>
        </w:rPr>
      </w:pPr>
    </w:p>
    <w:p w14:paraId="29F48969" w14:textId="77777777" w:rsidR="00806A1B" w:rsidRPr="00AD4DE0" w:rsidRDefault="00806A1B" w:rsidP="00806A1B">
      <w:pPr>
        <w:spacing w:before="240" w:line="360" w:lineRule="auto"/>
        <w:jc w:val="both"/>
        <w:rPr>
          <w:rFonts w:ascii="Palatino Linotype" w:hAnsi="Palatino Linotype" w:cs="Arial"/>
          <w:b/>
          <w:sz w:val="28"/>
        </w:rPr>
      </w:pPr>
      <w:r w:rsidRPr="00AD4DE0">
        <w:rPr>
          <w:rFonts w:ascii="Palatino Linotype" w:hAnsi="Palatino Linotype" w:cs="Arial"/>
          <w:b/>
          <w:sz w:val="28"/>
        </w:rPr>
        <w:t xml:space="preserve">TERCERO. </w:t>
      </w:r>
      <w:r w:rsidRPr="00AD4DE0">
        <w:rPr>
          <w:rFonts w:ascii="Palatino Linotype" w:hAnsi="Palatino Linotype"/>
          <w:b/>
          <w:sz w:val="28"/>
        </w:rPr>
        <w:t>Del recurso de revisión.</w:t>
      </w:r>
    </w:p>
    <w:p w14:paraId="25483FA3" w14:textId="77777777" w:rsidR="00806A1B" w:rsidRPr="00AD4DE0" w:rsidRDefault="00806A1B" w:rsidP="00806A1B">
      <w:pPr>
        <w:spacing w:before="240" w:line="360" w:lineRule="auto"/>
        <w:jc w:val="both"/>
        <w:rPr>
          <w:rFonts w:ascii="Palatino Linotype" w:hAnsi="Palatino Linotype" w:cs="Arial"/>
          <w:sz w:val="24"/>
          <w:szCs w:val="24"/>
        </w:rPr>
      </w:pPr>
      <w:r w:rsidRPr="00AD4DE0">
        <w:rPr>
          <w:rFonts w:ascii="Palatino Linotype" w:hAnsi="Palatino Linotype" w:cs="Arial"/>
          <w:sz w:val="24"/>
          <w:szCs w:val="24"/>
        </w:rPr>
        <w:t xml:space="preserve">Inconforme con la respuesta notificada por </w:t>
      </w:r>
      <w:r w:rsidRPr="00AD4DE0">
        <w:rPr>
          <w:rFonts w:ascii="Palatino Linotype" w:hAnsi="Palatino Linotype" w:cs="Arial"/>
          <w:b/>
          <w:sz w:val="24"/>
          <w:szCs w:val="24"/>
        </w:rPr>
        <w:t xml:space="preserve">El Sujeto Obligado, </w:t>
      </w:r>
      <w:r w:rsidRPr="00AD4DE0">
        <w:rPr>
          <w:rFonts w:ascii="Palatino Linotype" w:hAnsi="Palatino Linotype" w:cs="Arial"/>
          <w:sz w:val="24"/>
          <w:szCs w:val="24"/>
        </w:rPr>
        <w:t>el</w:t>
      </w:r>
      <w:r w:rsidRPr="00AD4DE0">
        <w:rPr>
          <w:rFonts w:ascii="Palatino Linotype" w:hAnsi="Palatino Linotype" w:cs="Arial"/>
          <w:b/>
          <w:sz w:val="24"/>
          <w:szCs w:val="24"/>
        </w:rPr>
        <w:t xml:space="preserve"> Recurrente </w:t>
      </w:r>
      <w:r w:rsidRPr="00AD4DE0">
        <w:rPr>
          <w:rFonts w:ascii="Palatino Linotype" w:hAnsi="Palatino Linotype" w:cs="Arial"/>
          <w:sz w:val="24"/>
          <w:szCs w:val="24"/>
        </w:rPr>
        <w:t xml:space="preserve">interpuso recurso de revisión, en fecha </w:t>
      </w:r>
      <w:r w:rsidRPr="00AD4DE0">
        <w:rPr>
          <w:rFonts w:ascii="Palatino Linotype" w:hAnsi="Palatino Linotype" w:cs="Arial"/>
          <w:b/>
          <w:sz w:val="24"/>
          <w:szCs w:val="24"/>
        </w:rPr>
        <w:t>veintiséis de septiembre de dos mil veintitrés</w:t>
      </w:r>
      <w:r w:rsidRPr="00AD4DE0">
        <w:rPr>
          <w:rFonts w:ascii="Palatino Linotype" w:hAnsi="Palatino Linotype" w:cs="Arial"/>
          <w:sz w:val="24"/>
          <w:szCs w:val="24"/>
        </w:rPr>
        <w:t xml:space="preserve">, el cual fue registrado en el sistema electrónico con el expediente número </w:t>
      </w:r>
      <w:r w:rsidRPr="00AD4DE0">
        <w:rPr>
          <w:rFonts w:ascii="Palatino Linotype" w:hAnsi="Palatino Linotype" w:cs="Arial"/>
          <w:b/>
          <w:sz w:val="24"/>
          <w:szCs w:val="24"/>
        </w:rPr>
        <w:t xml:space="preserve">06520/INFOEM/IP/RR/2023; </w:t>
      </w:r>
      <w:r w:rsidRPr="00AD4DE0">
        <w:rPr>
          <w:rFonts w:ascii="Palatino Linotype" w:hAnsi="Palatino Linotype" w:cs="Arial"/>
          <w:sz w:val="24"/>
          <w:szCs w:val="24"/>
        </w:rPr>
        <w:t>en los cuales arguye las siguientes manifestaciones:</w:t>
      </w:r>
    </w:p>
    <w:p w14:paraId="5FBE166C" w14:textId="77777777" w:rsidR="00806A1B" w:rsidRPr="00AD4DE0" w:rsidRDefault="00806A1B" w:rsidP="00806A1B">
      <w:pPr>
        <w:pStyle w:val="Prrafodelista"/>
        <w:numPr>
          <w:ilvl w:val="0"/>
          <w:numId w:val="1"/>
        </w:numPr>
        <w:spacing w:before="240" w:line="360" w:lineRule="auto"/>
        <w:ind w:left="142" w:firstLine="0"/>
        <w:jc w:val="both"/>
        <w:rPr>
          <w:rFonts w:ascii="Palatino Linotype" w:hAnsi="Palatino Linotype" w:cs="Arial"/>
          <w:b/>
          <w:i/>
        </w:rPr>
      </w:pPr>
      <w:r w:rsidRPr="00AD4DE0">
        <w:rPr>
          <w:rFonts w:ascii="Palatino Linotype" w:hAnsi="Palatino Linotype" w:cs="Arial"/>
          <w:b/>
          <w:i/>
        </w:rPr>
        <w:t xml:space="preserve">Acto impugnado </w:t>
      </w:r>
    </w:p>
    <w:p w14:paraId="1A6F0EA5" w14:textId="77777777" w:rsidR="00806A1B" w:rsidRPr="00AD4DE0" w:rsidRDefault="00806A1B" w:rsidP="00773CC8">
      <w:pPr>
        <w:pStyle w:val="Prrafodelista"/>
        <w:spacing w:before="240" w:line="360" w:lineRule="auto"/>
        <w:ind w:left="426"/>
        <w:jc w:val="both"/>
        <w:rPr>
          <w:rFonts w:ascii="Palatino Linotype" w:hAnsi="Palatino Linotype" w:cs="Arial"/>
          <w:i/>
        </w:rPr>
      </w:pPr>
      <w:r w:rsidRPr="00AD4DE0">
        <w:rPr>
          <w:rFonts w:ascii="Palatino Linotype" w:hAnsi="Palatino Linotype" w:cs="Arial"/>
          <w:i/>
        </w:rPr>
        <w:t>“</w:t>
      </w:r>
      <w:r w:rsidR="00773CC8" w:rsidRPr="00AD4DE0">
        <w:rPr>
          <w:rFonts w:ascii="Palatino Linotype" w:hAnsi="Palatino Linotype" w:cs="Arial"/>
          <w:i/>
        </w:rPr>
        <w:t>El sujeto obligado entregó información que no corresponde con la solicitada.</w:t>
      </w:r>
      <w:r w:rsidRPr="00AD4DE0">
        <w:rPr>
          <w:rFonts w:ascii="Palatino Linotype" w:hAnsi="Palatino Linotype" w:cs="Arial"/>
          <w:i/>
        </w:rPr>
        <w:t>” (</w:t>
      </w:r>
      <w:proofErr w:type="gramStart"/>
      <w:r w:rsidRPr="00AD4DE0">
        <w:rPr>
          <w:rFonts w:ascii="Palatino Linotype" w:hAnsi="Palatino Linotype" w:cs="Arial"/>
          <w:i/>
        </w:rPr>
        <w:t>sic</w:t>
      </w:r>
      <w:proofErr w:type="gramEnd"/>
      <w:r w:rsidRPr="00AD4DE0">
        <w:rPr>
          <w:rFonts w:ascii="Palatino Linotype" w:hAnsi="Palatino Linotype" w:cs="Arial"/>
          <w:i/>
        </w:rPr>
        <w:t>)</w:t>
      </w:r>
    </w:p>
    <w:p w14:paraId="31918883" w14:textId="77777777" w:rsidR="00806A1B" w:rsidRPr="00AD4DE0" w:rsidRDefault="00806A1B" w:rsidP="00806A1B">
      <w:pPr>
        <w:pStyle w:val="Prrafodelista"/>
        <w:numPr>
          <w:ilvl w:val="0"/>
          <w:numId w:val="1"/>
        </w:numPr>
        <w:spacing w:before="240" w:line="360" w:lineRule="auto"/>
        <w:ind w:left="142" w:firstLine="0"/>
        <w:jc w:val="both"/>
        <w:rPr>
          <w:rFonts w:ascii="Palatino Linotype" w:hAnsi="Palatino Linotype" w:cs="Arial"/>
          <w:b/>
          <w:i/>
        </w:rPr>
      </w:pPr>
      <w:r w:rsidRPr="00AD4DE0">
        <w:rPr>
          <w:rFonts w:ascii="Palatino Linotype" w:hAnsi="Palatino Linotype" w:cs="Arial"/>
          <w:b/>
          <w:i/>
        </w:rPr>
        <w:t>Razones o motivos de inconformidad</w:t>
      </w:r>
    </w:p>
    <w:p w14:paraId="372EE8C0" w14:textId="77777777" w:rsidR="00806A1B" w:rsidRPr="00AD4DE0" w:rsidRDefault="00806A1B" w:rsidP="00806A1B">
      <w:pPr>
        <w:spacing w:before="240" w:line="360" w:lineRule="auto"/>
        <w:ind w:left="284"/>
        <w:jc w:val="both"/>
        <w:rPr>
          <w:rFonts w:ascii="Palatino Linotype" w:hAnsi="Palatino Linotype" w:cs="Arial"/>
          <w:i/>
          <w:sz w:val="24"/>
          <w:szCs w:val="24"/>
        </w:rPr>
      </w:pPr>
      <w:r w:rsidRPr="00AD4DE0">
        <w:rPr>
          <w:rFonts w:ascii="Palatino Linotype" w:hAnsi="Palatino Linotype" w:cs="Arial"/>
          <w:i/>
          <w:sz w:val="24"/>
          <w:szCs w:val="24"/>
        </w:rPr>
        <w:t>“</w:t>
      </w:r>
      <w:r w:rsidR="00773CC8" w:rsidRPr="00AD4DE0">
        <w:rPr>
          <w:rFonts w:ascii="Palatino Linotype" w:hAnsi="Palatino Linotype" w:cs="Arial"/>
          <w:i/>
          <w:sz w:val="24"/>
          <w:szCs w:val="24"/>
        </w:rPr>
        <w:t xml:space="preserve">Con base en el artículo 179, fracción VI de la Ley de Transparencia Local que estipula: "El recurso de revisión es un medio de protección que la Ley otorga a los particulares, para hacer valer su derecho de acceso a la información pública, y procederá en contra de las </w:t>
      </w:r>
      <w:r w:rsidR="00773CC8" w:rsidRPr="00AD4DE0">
        <w:rPr>
          <w:rFonts w:ascii="Palatino Linotype" w:hAnsi="Palatino Linotype" w:cs="Arial"/>
          <w:i/>
          <w:sz w:val="24"/>
          <w:szCs w:val="24"/>
        </w:rPr>
        <w:lastRenderedPageBreak/>
        <w:t>siguientes causas: VI. La entrega de información que no corresponda con lo solicitado" en este sentido solicitamos que el Sujeto Obligado entregue el censo del panteón municipal al 01 de septiembre de 2023, porque nunca se solicitó el número de secciones, ni de fosas, se requirió el censo.</w:t>
      </w:r>
      <w:r w:rsidRPr="00AD4DE0">
        <w:rPr>
          <w:rFonts w:ascii="Palatino Linotype" w:hAnsi="Palatino Linotype" w:cs="Arial"/>
          <w:i/>
          <w:sz w:val="24"/>
          <w:szCs w:val="24"/>
        </w:rPr>
        <w:t>” (</w:t>
      </w:r>
      <w:proofErr w:type="gramStart"/>
      <w:r w:rsidRPr="00AD4DE0">
        <w:rPr>
          <w:rFonts w:ascii="Palatino Linotype" w:hAnsi="Palatino Linotype" w:cs="Arial"/>
          <w:i/>
          <w:sz w:val="24"/>
          <w:szCs w:val="24"/>
        </w:rPr>
        <w:t>sic</w:t>
      </w:r>
      <w:proofErr w:type="gramEnd"/>
      <w:r w:rsidRPr="00AD4DE0">
        <w:rPr>
          <w:rFonts w:ascii="Palatino Linotype" w:hAnsi="Palatino Linotype" w:cs="Arial"/>
          <w:i/>
          <w:sz w:val="24"/>
          <w:szCs w:val="24"/>
        </w:rPr>
        <w:t>)</w:t>
      </w:r>
    </w:p>
    <w:p w14:paraId="1DA3DB74" w14:textId="77777777" w:rsidR="00806A1B" w:rsidRPr="00AD4DE0" w:rsidRDefault="00806A1B" w:rsidP="00806A1B">
      <w:pPr>
        <w:spacing w:after="0" w:line="360" w:lineRule="auto"/>
        <w:jc w:val="both"/>
        <w:rPr>
          <w:rFonts w:ascii="Palatino Linotype" w:hAnsi="Palatino Linotype" w:cs="Arial"/>
          <w:sz w:val="24"/>
          <w:szCs w:val="24"/>
        </w:rPr>
      </w:pPr>
    </w:p>
    <w:p w14:paraId="3226B27B" w14:textId="77777777" w:rsidR="00806A1B" w:rsidRPr="00AD4DE0" w:rsidRDefault="00806A1B" w:rsidP="00806A1B">
      <w:pPr>
        <w:spacing w:before="240" w:line="360" w:lineRule="auto"/>
        <w:jc w:val="both"/>
        <w:rPr>
          <w:rFonts w:ascii="Palatino Linotype" w:hAnsi="Palatino Linotype" w:cs="Arial"/>
          <w:b/>
          <w:sz w:val="24"/>
          <w:szCs w:val="24"/>
        </w:rPr>
      </w:pPr>
      <w:r w:rsidRPr="00AD4DE0">
        <w:rPr>
          <w:rFonts w:ascii="Palatino Linotype" w:hAnsi="Palatino Linotype" w:cs="Arial"/>
          <w:b/>
          <w:sz w:val="28"/>
        </w:rPr>
        <w:t xml:space="preserve">CUARTO. </w:t>
      </w:r>
      <w:r w:rsidRPr="00AD4DE0">
        <w:rPr>
          <w:rFonts w:ascii="Palatino Linotype" w:hAnsi="Palatino Linotype" w:cs="Arial"/>
          <w:b/>
          <w:sz w:val="28"/>
          <w:szCs w:val="28"/>
        </w:rPr>
        <w:t>Del turno y admisión del recurso de revisión.</w:t>
      </w:r>
    </w:p>
    <w:p w14:paraId="1199DB26" w14:textId="77777777" w:rsidR="00806A1B" w:rsidRPr="00AD4DE0" w:rsidRDefault="00806A1B" w:rsidP="00806A1B">
      <w:pPr>
        <w:spacing w:before="240" w:line="360" w:lineRule="auto"/>
        <w:jc w:val="both"/>
        <w:rPr>
          <w:rFonts w:ascii="Palatino Linotype" w:hAnsi="Palatino Linotype" w:cs="Arial"/>
          <w:sz w:val="28"/>
          <w:szCs w:val="24"/>
        </w:rPr>
      </w:pPr>
      <w:r w:rsidRPr="00AD4DE0">
        <w:rPr>
          <w:rFonts w:ascii="Palatino Linotype" w:hAnsi="Palatino Linotype"/>
          <w:sz w:val="24"/>
        </w:rPr>
        <w:t xml:space="preserve">El medio de impugnación fue turnado al Comisionado Presidente </w:t>
      </w:r>
      <w:r w:rsidRPr="00AD4DE0">
        <w:rPr>
          <w:rFonts w:ascii="Palatino Linotype" w:hAnsi="Palatino Linotype"/>
          <w:b/>
          <w:sz w:val="24"/>
        </w:rPr>
        <w:t>José Martínez Vilchis,</w:t>
      </w:r>
      <w:r w:rsidRPr="00AD4DE0">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AD4DE0">
        <w:rPr>
          <w:rFonts w:ascii="Palatino Linotype" w:hAnsi="Palatino Linotype"/>
          <w:b/>
          <w:sz w:val="24"/>
        </w:rPr>
        <w:t>admisión</w:t>
      </w:r>
      <w:r w:rsidRPr="00AD4DE0">
        <w:rPr>
          <w:rFonts w:ascii="Palatino Linotype" w:hAnsi="Palatino Linotype"/>
          <w:sz w:val="24"/>
        </w:rPr>
        <w:t xml:space="preserve"> en fecha </w:t>
      </w:r>
      <w:r w:rsidR="00773CC8" w:rsidRPr="00AD4DE0">
        <w:rPr>
          <w:rFonts w:ascii="Palatino Linotype" w:hAnsi="Palatino Linotype"/>
          <w:b/>
          <w:sz w:val="24"/>
        </w:rPr>
        <w:t>dos</w:t>
      </w:r>
      <w:r w:rsidRPr="00AD4DE0">
        <w:rPr>
          <w:rFonts w:ascii="Palatino Linotype" w:hAnsi="Palatino Linotype"/>
          <w:b/>
          <w:sz w:val="24"/>
        </w:rPr>
        <w:t xml:space="preserve"> de octubre de dos mil veintitrés</w:t>
      </w:r>
      <w:r w:rsidRPr="00AD4DE0">
        <w:rPr>
          <w:rFonts w:ascii="Palatino Linotype" w:hAnsi="Palatino Linotype"/>
          <w:sz w:val="24"/>
        </w:rPr>
        <w:t>, determinándose en ellos, un plazo de siete días para que las partes manifestaran lo que a su derecho corresponda en términos del numeral ya citado.</w:t>
      </w:r>
    </w:p>
    <w:p w14:paraId="5678F8B3" w14:textId="77777777" w:rsidR="00806A1B" w:rsidRPr="00AD4DE0" w:rsidRDefault="00806A1B" w:rsidP="00806A1B">
      <w:pPr>
        <w:spacing w:before="240" w:line="360" w:lineRule="auto"/>
        <w:jc w:val="both"/>
        <w:rPr>
          <w:rFonts w:ascii="Palatino Linotype" w:hAnsi="Palatino Linotype" w:cs="Arial"/>
          <w:sz w:val="24"/>
          <w:szCs w:val="24"/>
        </w:rPr>
      </w:pPr>
    </w:p>
    <w:p w14:paraId="79E9D832" w14:textId="77777777" w:rsidR="00806A1B" w:rsidRPr="00AD4DE0" w:rsidRDefault="00806A1B" w:rsidP="00806A1B">
      <w:pPr>
        <w:pStyle w:val="Prrafodelista"/>
        <w:spacing w:line="360" w:lineRule="auto"/>
        <w:ind w:left="0"/>
        <w:jc w:val="both"/>
        <w:rPr>
          <w:rFonts w:ascii="Palatino Linotype" w:hAnsi="Palatino Linotype" w:cs="Arial"/>
          <w:b/>
          <w:sz w:val="28"/>
          <w:szCs w:val="28"/>
        </w:rPr>
      </w:pPr>
      <w:r w:rsidRPr="00AD4DE0">
        <w:rPr>
          <w:rFonts w:ascii="Palatino Linotype" w:hAnsi="Palatino Linotype" w:cs="Arial"/>
          <w:b/>
          <w:sz w:val="28"/>
        </w:rPr>
        <w:t>QUINTO</w:t>
      </w:r>
      <w:r w:rsidRPr="00AD4DE0">
        <w:rPr>
          <w:rFonts w:ascii="Palatino Linotype" w:hAnsi="Palatino Linotype" w:cs="Arial"/>
          <w:b/>
        </w:rPr>
        <w:t>.</w:t>
      </w:r>
      <w:r w:rsidRPr="00AD4DE0">
        <w:rPr>
          <w:rFonts w:ascii="Palatino Linotype" w:hAnsi="Palatino Linotype" w:cs="Arial"/>
          <w:b/>
          <w:sz w:val="28"/>
          <w:szCs w:val="28"/>
        </w:rPr>
        <w:t xml:space="preserve"> De la etapa de instrucción.</w:t>
      </w:r>
    </w:p>
    <w:p w14:paraId="1B17E8F5" w14:textId="77777777" w:rsidR="00806A1B" w:rsidRPr="00AD4DE0" w:rsidRDefault="00806A1B" w:rsidP="00806A1B">
      <w:pPr>
        <w:spacing w:after="0" w:line="360" w:lineRule="auto"/>
        <w:jc w:val="both"/>
        <w:rPr>
          <w:rFonts w:ascii="Palatino Linotype" w:hAnsi="Palatino Linotype"/>
          <w:sz w:val="24"/>
          <w:szCs w:val="24"/>
        </w:rPr>
      </w:pPr>
      <w:r w:rsidRPr="00AD4DE0">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AD4DE0">
        <w:rPr>
          <w:rFonts w:ascii="Palatino Linotype" w:hAnsi="Palatino Linotype" w:cs="Arial"/>
          <w:b/>
          <w:sz w:val="24"/>
          <w:szCs w:val="24"/>
        </w:rPr>
        <w:t>,</w:t>
      </w:r>
      <w:r w:rsidRPr="00AD4DE0">
        <w:rPr>
          <w:rFonts w:ascii="Palatino Linotype" w:hAnsi="Palatino Linotype" w:cs="Arial"/>
          <w:sz w:val="24"/>
          <w:szCs w:val="24"/>
        </w:rPr>
        <w:t xml:space="preserve"> omitió rendir dentro del término de Ley, las manifestaciones que a sus intereses conviniera.</w:t>
      </w:r>
    </w:p>
    <w:p w14:paraId="7F50BCF7" w14:textId="77777777" w:rsidR="00806A1B" w:rsidRPr="00AD4DE0" w:rsidRDefault="00806A1B" w:rsidP="00806A1B">
      <w:pPr>
        <w:spacing w:after="0" w:line="360" w:lineRule="auto"/>
        <w:jc w:val="both"/>
        <w:rPr>
          <w:rFonts w:ascii="Palatino Linotype" w:hAnsi="Palatino Linotype" w:cs="Arial"/>
          <w:sz w:val="24"/>
          <w:szCs w:val="24"/>
        </w:rPr>
      </w:pPr>
    </w:p>
    <w:p w14:paraId="576E5840" w14:textId="77777777" w:rsidR="00806A1B" w:rsidRPr="00AD4DE0" w:rsidRDefault="00806A1B" w:rsidP="00806A1B">
      <w:pPr>
        <w:spacing w:after="0" w:line="360" w:lineRule="auto"/>
        <w:jc w:val="both"/>
        <w:rPr>
          <w:rFonts w:ascii="Palatino Linotype" w:hAnsi="Palatino Linotype" w:cs="Arial"/>
          <w:sz w:val="24"/>
          <w:szCs w:val="24"/>
        </w:rPr>
      </w:pPr>
      <w:r w:rsidRPr="00AD4DE0">
        <w:rPr>
          <w:rFonts w:ascii="Palatino Linotype" w:hAnsi="Palatino Linotype" w:cs="Arial"/>
          <w:sz w:val="24"/>
          <w:szCs w:val="24"/>
        </w:rPr>
        <w:lastRenderedPageBreak/>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3F3C674B" w14:textId="77777777" w:rsidR="00806A1B" w:rsidRPr="00AD4DE0" w:rsidRDefault="00806A1B" w:rsidP="00806A1B">
      <w:pPr>
        <w:spacing w:after="0" w:line="360" w:lineRule="auto"/>
        <w:jc w:val="both"/>
        <w:rPr>
          <w:rFonts w:ascii="Palatino Linotype" w:hAnsi="Palatino Linotype" w:cs="Arial"/>
          <w:b/>
          <w:sz w:val="28"/>
          <w:szCs w:val="28"/>
        </w:rPr>
      </w:pPr>
    </w:p>
    <w:p w14:paraId="0B536C22" w14:textId="77777777" w:rsidR="00806A1B" w:rsidRPr="00AD4DE0" w:rsidRDefault="00806A1B" w:rsidP="00806A1B">
      <w:pPr>
        <w:spacing w:after="0" w:line="360" w:lineRule="auto"/>
        <w:jc w:val="both"/>
        <w:rPr>
          <w:rFonts w:ascii="Palatino Linotype" w:hAnsi="Palatino Linotype" w:cs="Arial"/>
          <w:b/>
          <w:sz w:val="28"/>
          <w:szCs w:val="28"/>
        </w:rPr>
      </w:pPr>
      <w:r w:rsidRPr="00AD4DE0">
        <w:rPr>
          <w:rFonts w:ascii="Palatino Linotype" w:hAnsi="Palatino Linotype" w:cs="Arial"/>
          <w:b/>
          <w:sz w:val="28"/>
          <w:szCs w:val="28"/>
        </w:rPr>
        <w:t>SEXTO. Del Cierre de Instrucción.</w:t>
      </w:r>
    </w:p>
    <w:p w14:paraId="1A681D8F" w14:textId="77777777" w:rsidR="00806A1B" w:rsidRPr="00AD4DE0" w:rsidRDefault="00806A1B" w:rsidP="00806A1B">
      <w:pPr>
        <w:spacing w:after="0" w:line="360" w:lineRule="auto"/>
        <w:jc w:val="both"/>
        <w:rPr>
          <w:rFonts w:ascii="Palatino Linotype" w:hAnsi="Palatino Linotype" w:cs="Arial"/>
          <w:sz w:val="24"/>
          <w:szCs w:val="24"/>
        </w:rPr>
      </w:pPr>
      <w:r w:rsidRPr="00AD4DE0">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773CC8" w:rsidRPr="00AD4DE0">
        <w:rPr>
          <w:rFonts w:ascii="Palatino Linotype" w:hAnsi="Palatino Linotype" w:cs="Arial"/>
          <w:b/>
          <w:sz w:val="24"/>
          <w:szCs w:val="24"/>
        </w:rPr>
        <w:t>doce de octubre</w:t>
      </w:r>
      <w:r w:rsidRPr="00AD4DE0">
        <w:rPr>
          <w:rFonts w:ascii="Palatino Linotype" w:hAnsi="Palatino Linotype" w:cs="Arial"/>
          <w:b/>
          <w:sz w:val="24"/>
          <w:szCs w:val="24"/>
        </w:rPr>
        <w:t xml:space="preserve"> de dos mil veintitrés</w:t>
      </w:r>
      <w:r w:rsidRPr="00AD4DE0">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2742BC2F" w14:textId="77777777" w:rsidR="00773CC8" w:rsidRPr="00AD4DE0" w:rsidRDefault="00773CC8" w:rsidP="00806A1B">
      <w:pPr>
        <w:spacing w:after="0" w:line="360" w:lineRule="auto"/>
        <w:jc w:val="both"/>
        <w:rPr>
          <w:rFonts w:ascii="Palatino Linotype" w:hAnsi="Palatino Linotype" w:cs="Arial"/>
          <w:sz w:val="24"/>
          <w:szCs w:val="24"/>
        </w:rPr>
      </w:pPr>
    </w:p>
    <w:p w14:paraId="463A2A9F" w14:textId="77777777" w:rsidR="00806A1B" w:rsidRPr="00AD4DE0" w:rsidRDefault="00806A1B" w:rsidP="00806A1B">
      <w:pPr>
        <w:spacing w:line="360" w:lineRule="auto"/>
        <w:jc w:val="both"/>
        <w:rPr>
          <w:rFonts w:ascii="Palatino Linotype" w:eastAsia="Calibri" w:hAnsi="Palatino Linotype" w:cs="Arial"/>
          <w:b/>
          <w:sz w:val="28"/>
          <w:lang w:val="es-ES_tradnl"/>
        </w:rPr>
      </w:pPr>
      <w:r w:rsidRPr="00AD4DE0">
        <w:rPr>
          <w:rFonts w:ascii="Palatino Linotype" w:eastAsia="Calibri" w:hAnsi="Palatino Linotype" w:cs="Arial"/>
          <w:b/>
          <w:sz w:val="28"/>
          <w:lang w:val="es-ES_tradnl"/>
        </w:rPr>
        <w:t>SÉPTIMO. De la ampliación del término para resolver.</w:t>
      </w:r>
    </w:p>
    <w:p w14:paraId="4081DD8B" w14:textId="77777777" w:rsidR="00806A1B" w:rsidRPr="00AD4DE0" w:rsidRDefault="00806A1B" w:rsidP="00806A1B">
      <w:pPr>
        <w:spacing w:line="360" w:lineRule="auto"/>
        <w:jc w:val="both"/>
        <w:rPr>
          <w:rFonts w:ascii="Palatino Linotype" w:eastAsia="Calibri" w:hAnsi="Palatino Linotype" w:cs="Arial"/>
          <w:sz w:val="24"/>
          <w:lang w:val="es-ES_tradnl"/>
        </w:rPr>
      </w:pPr>
      <w:r w:rsidRPr="00AD4DE0">
        <w:rPr>
          <w:rFonts w:ascii="Palatino Linotype" w:eastAsia="Calibri" w:hAnsi="Palatino Linotype" w:cs="Arial"/>
          <w:sz w:val="24"/>
          <w:lang w:val="es-ES_tradnl"/>
        </w:rPr>
        <w:t xml:space="preserve">En fecha </w:t>
      </w:r>
      <w:r w:rsidR="00773CC8" w:rsidRPr="00AD4DE0">
        <w:rPr>
          <w:rFonts w:ascii="Palatino Linotype" w:eastAsia="Calibri" w:hAnsi="Palatino Linotype" w:cs="Arial"/>
          <w:b/>
          <w:sz w:val="24"/>
          <w:lang w:val="es-ES_tradnl"/>
        </w:rPr>
        <w:t>diez</w:t>
      </w:r>
      <w:r w:rsidRPr="00AD4DE0">
        <w:rPr>
          <w:rFonts w:ascii="Palatino Linotype" w:eastAsia="Calibri" w:hAnsi="Palatino Linotype" w:cs="Arial"/>
          <w:b/>
          <w:sz w:val="24"/>
          <w:lang w:val="es-ES_tradnl"/>
        </w:rPr>
        <w:t xml:space="preserve"> de noviembre de dos mil veintitrés</w:t>
      </w:r>
      <w:r w:rsidRPr="00AD4DE0">
        <w:rPr>
          <w:rFonts w:ascii="Palatino Linotype" w:eastAsia="Calibri" w:hAnsi="Palatino Linotype" w:cs="Arial"/>
          <w:sz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511CF7C9" w14:textId="77777777" w:rsidR="00806A1B" w:rsidRPr="00AD4DE0" w:rsidRDefault="00806A1B" w:rsidP="00806A1B">
      <w:pPr>
        <w:spacing w:after="0" w:line="360" w:lineRule="auto"/>
        <w:jc w:val="both"/>
        <w:rPr>
          <w:rFonts w:ascii="Palatino Linotype" w:hAnsi="Palatino Linotype" w:cs="Arial"/>
          <w:sz w:val="24"/>
          <w:szCs w:val="24"/>
        </w:rPr>
      </w:pPr>
    </w:p>
    <w:p w14:paraId="5F5AAF23" w14:textId="77777777" w:rsidR="00806A1B" w:rsidRPr="00AD4DE0" w:rsidRDefault="00806A1B" w:rsidP="00806A1B">
      <w:pPr>
        <w:spacing w:before="240" w:line="360" w:lineRule="auto"/>
        <w:rPr>
          <w:rFonts w:ascii="Palatino Linotype" w:hAnsi="Palatino Linotype" w:cs="Arial"/>
          <w:b/>
          <w:sz w:val="28"/>
          <w:szCs w:val="28"/>
        </w:rPr>
      </w:pPr>
    </w:p>
    <w:p w14:paraId="34FDB8BE" w14:textId="77777777" w:rsidR="00806A1B" w:rsidRPr="00AD4DE0" w:rsidRDefault="00806A1B" w:rsidP="00806A1B">
      <w:pPr>
        <w:spacing w:before="240" w:line="360" w:lineRule="auto"/>
        <w:jc w:val="center"/>
        <w:rPr>
          <w:rFonts w:ascii="Palatino Linotype" w:hAnsi="Palatino Linotype" w:cs="Arial"/>
          <w:b/>
          <w:sz w:val="28"/>
        </w:rPr>
      </w:pPr>
      <w:r w:rsidRPr="00AD4DE0">
        <w:rPr>
          <w:rFonts w:ascii="Palatino Linotype" w:hAnsi="Palatino Linotype" w:cs="Arial"/>
          <w:b/>
          <w:sz w:val="28"/>
        </w:rPr>
        <w:lastRenderedPageBreak/>
        <w:t xml:space="preserve">C O N S I D E R A N D O </w:t>
      </w:r>
    </w:p>
    <w:p w14:paraId="04A52180" w14:textId="77777777" w:rsidR="00806A1B" w:rsidRPr="00AD4DE0" w:rsidRDefault="00806A1B" w:rsidP="00806A1B">
      <w:pPr>
        <w:spacing w:before="240" w:line="360" w:lineRule="auto"/>
        <w:jc w:val="both"/>
        <w:rPr>
          <w:rFonts w:ascii="Palatino Linotype" w:hAnsi="Palatino Linotype" w:cs="Arial"/>
          <w:sz w:val="28"/>
          <w:szCs w:val="28"/>
        </w:rPr>
      </w:pPr>
      <w:r w:rsidRPr="00AD4DE0">
        <w:rPr>
          <w:rFonts w:ascii="Palatino Linotype" w:hAnsi="Palatino Linotype" w:cs="Arial"/>
          <w:b/>
          <w:sz w:val="28"/>
        </w:rPr>
        <w:t>PRIMERO.</w:t>
      </w:r>
      <w:r w:rsidRPr="00AD4DE0">
        <w:rPr>
          <w:rFonts w:ascii="Palatino Linotype" w:hAnsi="Palatino Linotype" w:cs="Arial"/>
          <w:b/>
        </w:rPr>
        <w:t xml:space="preserve"> </w:t>
      </w:r>
      <w:r w:rsidRPr="00AD4DE0">
        <w:rPr>
          <w:rFonts w:ascii="Palatino Linotype" w:hAnsi="Palatino Linotype" w:cs="Arial"/>
          <w:b/>
          <w:sz w:val="28"/>
          <w:szCs w:val="28"/>
        </w:rPr>
        <w:t>De la competencia</w:t>
      </w:r>
      <w:r w:rsidRPr="00AD4DE0">
        <w:rPr>
          <w:rFonts w:ascii="Palatino Linotype" w:hAnsi="Palatino Linotype" w:cs="Arial"/>
          <w:sz w:val="28"/>
          <w:szCs w:val="28"/>
        </w:rPr>
        <w:t>.</w:t>
      </w:r>
    </w:p>
    <w:p w14:paraId="4E02E21F" w14:textId="77777777" w:rsidR="00806A1B" w:rsidRPr="00AD4DE0" w:rsidRDefault="00806A1B" w:rsidP="00806A1B">
      <w:pPr>
        <w:spacing w:before="240" w:line="360" w:lineRule="auto"/>
        <w:jc w:val="both"/>
        <w:rPr>
          <w:rFonts w:ascii="Palatino Linotype" w:eastAsia="Calibri" w:hAnsi="Palatino Linotype" w:cs="Arial"/>
          <w:color w:val="000000" w:themeColor="text1"/>
          <w:sz w:val="24"/>
          <w:szCs w:val="24"/>
        </w:rPr>
      </w:pPr>
      <w:r w:rsidRPr="00AD4DE0">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AD4DE0">
        <w:rPr>
          <w:rFonts w:ascii="Palatino Linotype" w:hAnsi="Palatino Linotype" w:cs="Arial"/>
          <w:b/>
          <w:sz w:val="24"/>
          <w:szCs w:val="24"/>
          <w:lang w:val="es-ES"/>
        </w:rPr>
        <w:t xml:space="preserve">la parte recurrente </w:t>
      </w:r>
      <w:r w:rsidRPr="00AD4DE0">
        <w:rPr>
          <w:rFonts w:ascii="Palatino Linotype" w:hAnsi="Palatino Linotype" w:cs="Arial"/>
          <w:sz w:val="24"/>
          <w:szCs w:val="24"/>
          <w:lang w:val="es-ES"/>
        </w:rPr>
        <w:t xml:space="preserve">conforme a lo dispuesto en los artículos 1, párrafos segundo y tercero, </w:t>
      </w:r>
      <w:r w:rsidRPr="00AD4DE0">
        <w:rPr>
          <w:rFonts w:ascii="Palatino Linotype" w:eastAsia="Calibri" w:hAnsi="Palatino Linotype"/>
          <w:color w:val="000000" w:themeColor="text1"/>
          <w:sz w:val="24"/>
          <w:szCs w:val="24"/>
        </w:rPr>
        <w:t xml:space="preserve">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w:t>
      </w:r>
      <w:r w:rsidRPr="00AD4DE0">
        <w:rPr>
          <w:rFonts w:ascii="Palatino Linotype" w:eastAsia="Calibri" w:hAnsi="Palatino Linotype" w:cs="Arial"/>
          <w:color w:val="000000" w:themeColor="text1"/>
          <w:sz w:val="24"/>
          <w:szCs w:val="24"/>
        </w:rPr>
        <w:t xml:space="preserve">de la Ley de Transparencia y Acceso a la Información Pública del Estado de México y Municipios; y </w:t>
      </w:r>
      <w:r w:rsidRPr="00AD4DE0">
        <w:rPr>
          <w:rFonts w:ascii="Palatino Linotype" w:hAnsi="Palatino Linotype"/>
          <w:sz w:val="24"/>
        </w:rPr>
        <w:t>6, 9 fracciones I y XXIII</w:t>
      </w:r>
      <w:r w:rsidRPr="00AD4DE0">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14:paraId="5FA9A90F" w14:textId="77777777" w:rsidR="00806A1B" w:rsidRPr="00AD4DE0" w:rsidRDefault="00806A1B" w:rsidP="00806A1B">
      <w:pPr>
        <w:spacing w:before="240" w:line="360" w:lineRule="auto"/>
        <w:jc w:val="both"/>
        <w:rPr>
          <w:rFonts w:ascii="Palatino Linotype" w:eastAsia="Calibri" w:hAnsi="Palatino Linotype"/>
          <w:b/>
          <w:color w:val="000000" w:themeColor="text1"/>
          <w:sz w:val="24"/>
          <w:szCs w:val="24"/>
        </w:rPr>
      </w:pPr>
    </w:p>
    <w:p w14:paraId="0AC79093" w14:textId="77777777" w:rsidR="00806A1B" w:rsidRPr="00AD4DE0" w:rsidRDefault="00806A1B" w:rsidP="00806A1B">
      <w:pPr>
        <w:pStyle w:val="Prrafodelista"/>
        <w:autoSpaceDE w:val="0"/>
        <w:autoSpaceDN w:val="0"/>
        <w:adjustRightInd w:val="0"/>
        <w:spacing w:before="240" w:after="160" w:line="360" w:lineRule="auto"/>
        <w:ind w:left="0"/>
        <w:jc w:val="both"/>
        <w:rPr>
          <w:rFonts w:ascii="Palatino Linotype" w:hAnsi="Palatino Linotype" w:cs="Arial"/>
          <w:b/>
        </w:rPr>
      </w:pPr>
      <w:r w:rsidRPr="00AD4DE0">
        <w:rPr>
          <w:rFonts w:ascii="Palatino Linotype" w:hAnsi="Palatino Linotype" w:cs="Arial"/>
          <w:b/>
          <w:sz w:val="28"/>
        </w:rPr>
        <w:t>SEGUNDO</w:t>
      </w:r>
      <w:r w:rsidRPr="00AD4DE0">
        <w:rPr>
          <w:rFonts w:ascii="Palatino Linotype" w:hAnsi="Palatino Linotype" w:cs="Arial"/>
          <w:b/>
        </w:rPr>
        <w:t xml:space="preserve">. </w:t>
      </w:r>
      <w:r w:rsidRPr="00AD4DE0">
        <w:rPr>
          <w:rFonts w:ascii="Palatino Linotype" w:hAnsi="Palatino Linotype" w:cs="Arial"/>
          <w:b/>
          <w:sz w:val="28"/>
          <w:szCs w:val="28"/>
        </w:rPr>
        <w:t>Sobre los alcances del recurso de revisión.</w:t>
      </w:r>
      <w:r w:rsidRPr="00AD4DE0">
        <w:rPr>
          <w:rFonts w:ascii="Palatino Linotype" w:hAnsi="Palatino Linotype" w:cs="Arial"/>
          <w:b/>
        </w:rPr>
        <w:t xml:space="preserve"> </w:t>
      </w:r>
    </w:p>
    <w:p w14:paraId="25020F00" w14:textId="77777777" w:rsidR="00806A1B" w:rsidRPr="00AD4DE0" w:rsidRDefault="00806A1B" w:rsidP="00806A1B">
      <w:pPr>
        <w:pStyle w:val="Prrafodelista"/>
        <w:autoSpaceDE w:val="0"/>
        <w:autoSpaceDN w:val="0"/>
        <w:adjustRightInd w:val="0"/>
        <w:spacing w:before="240" w:after="160" w:line="360" w:lineRule="auto"/>
        <w:ind w:left="0"/>
        <w:jc w:val="both"/>
        <w:rPr>
          <w:rFonts w:ascii="Palatino Linotype" w:hAnsi="Palatino Linotype" w:cs="Arial"/>
        </w:rPr>
      </w:pPr>
      <w:r w:rsidRPr="00AD4DE0">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AD4DE0">
        <w:rPr>
          <w:rFonts w:ascii="Palatino Linotype" w:hAnsi="Palatino Linotype" w:cs="Arial"/>
        </w:rPr>
        <w:lastRenderedPageBreak/>
        <w:t>afectación al derecho de acceso a la información pública y garantizando el principio rector de máxima publicidad.</w:t>
      </w:r>
    </w:p>
    <w:p w14:paraId="5B06444C" w14:textId="77777777" w:rsidR="00806A1B" w:rsidRPr="00AD4DE0" w:rsidRDefault="00806A1B" w:rsidP="00806A1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A76F486" w14:textId="77777777" w:rsidR="00806A1B" w:rsidRPr="00AD4DE0" w:rsidRDefault="00806A1B" w:rsidP="00806A1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AD4DE0">
        <w:rPr>
          <w:rFonts w:ascii="Palatino Linotype" w:hAnsi="Palatino Linotype" w:cs="Arial"/>
          <w:b/>
          <w:sz w:val="28"/>
        </w:rPr>
        <w:t>TERCERO</w:t>
      </w:r>
      <w:r w:rsidRPr="00AD4DE0">
        <w:rPr>
          <w:rFonts w:ascii="Palatino Linotype" w:hAnsi="Palatino Linotype" w:cs="Arial"/>
          <w:b/>
        </w:rPr>
        <w:t xml:space="preserve">. </w:t>
      </w:r>
      <w:r w:rsidRPr="00AD4DE0">
        <w:rPr>
          <w:rFonts w:ascii="Palatino Linotype" w:hAnsi="Palatino Linotype" w:cs="Arial"/>
          <w:b/>
          <w:sz w:val="28"/>
          <w:szCs w:val="28"/>
        </w:rPr>
        <w:t>De las causas de improcedencia.</w:t>
      </w:r>
    </w:p>
    <w:p w14:paraId="608F7525" w14:textId="77777777" w:rsidR="00806A1B" w:rsidRPr="00AD4DE0" w:rsidRDefault="00806A1B" w:rsidP="00806A1B">
      <w:pPr>
        <w:pStyle w:val="Prrafodelista"/>
        <w:autoSpaceDE w:val="0"/>
        <w:autoSpaceDN w:val="0"/>
        <w:adjustRightInd w:val="0"/>
        <w:spacing w:before="240" w:after="160" w:line="360" w:lineRule="auto"/>
        <w:ind w:left="0"/>
        <w:jc w:val="both"/>
        <w:rPr>
          <w:rFonts w:ascii="Palatino Linotype" w:hAnsi="Palatino Linotype" w:cs="Arial"/>
        </w:rPr>
      </w:pPr>
      <w:r w:rsidRPr="00AD4DE0">
        <w:rPr>
          <w:rFonts w:ascii="Palatino Linotype" w:hAnsi="Palatino Linotype" w:cs="Arial"/>
        </w:rPr>
        <w:t xml:space="preserve">En el procedimiento de acceso a la información y de los medios de impugnación de la materia, se advierten diversos supuestos de </w:t>
      </w:r>
      <w:proofErr w:type="spellStart"/>
      <w:r w:rsidRPr="00AD4DE0">
        <w:rPr>
          <w:rFonts w:ascii="Palatino Linotype" w:hAnsi="Palatino Linotype" w:cs="Arial"/>
        </w:rPr>
        <w:t>procedibilidad</w:t>
      </w:r>
      <w:proofErr w:type="spellEnd"/>
      <w:r w:rsidRPr="00AD4DE0">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A8DFCAE" w14:textId="77777777" w:rsidR="00806A1B" w:rsidRPr="00AD4DE0" w:rsidRDefault="00806A1B" w:rsidP="00806A1B">
      <w:pPr>
        <w:pStyle w:val="Prrafodelista"/>
        <w:autoSpaceDE w:val="0"/>
        <w:autoSpaceDN w:val="0"/>
        <w:adjustRightInd w:val="0"/>
        <w:spacing w:line="360" w:lineRule="auto"/>
        <w:ind w:left="0"/>
        <w:jc w:val="both"/>
        <w:rPr>
          <w:rFonts w:ascii="Palatino Linotype" w:hAnsi="Palatino Linotype" w:cs="Arial"/>
        </w:rPr>
      </w:pPr>
      <w:r w:rsidRPr="00AD4DE0">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AD4DE0">
        <w:rPr>
          <w:rFonts w:ascii="Palatino Linotype" w:hAnsi="Palatino Linotype" w:cs="Arial"/>
        </w:rPr>
        <w:t>Resolutor</w:t>
      </w:r>
      <w:proofErr w:type="spellEnd"/>
      <w:r w:rsidRPr="00AD4DE0">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w:t>
      </w:r>
      <w:r w:rsidRPr="00AD4DE0">
        <w:rPr>
          <w:rFonts w:ascii="Palatino Linotype" w:hAnsi="Palatino Linotype" w:cs="Arial"/>
        </w:rPr>
        <w:lastRenderedPageBreak/>
        <w:t>regular causas de improcedencia y sobreseimiento con tales fines</w:t>
      </w:r>
      <w:r w:rsidRPr="00AD4DE0">
        <w:rPr>
          <w:rStyle w:val="Refdenotaalpie"/>
          <w:rFonts w:ascii="Palatino Linotype" w:hAnsi="Palatino Linotype" w:cs="Arial"/>
        </w:rPr>
        <w:footnoteReference w:id="1"/>
      </w:r>
      <w:r w:rsidRPr="00AD4DE0">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3423A329" w14:textId="77777777" w:rsidR="00806A1B" w:rsidRPr="00AD4DE0" w:rsidRDefault="00806A1B" w:rsidP="00806A1B">
      <w:pPr>
        <w:tabs>
          <w:tab w:val="left" w:pos="709"/>
        </w:tabs>
        <w:spacing w:before="240" w:line="360" w:lineRule="auto"/>
        <w:ind w:right="51"/>
        <w:jc w:val="both"/>
        <w:rPr>
          <w:rFonts w:ascii="Palatino Linotype" w:hAnsi="Palatino Linotype"/>
          <w:b/>
          <w:sz w:val="28"/>
          <w:szCs w:val="28"/>
        </w:rPr>
      </w:pPr>
    </w:p>
    <w:p w14:paraId="563730CA" w14:textId="77777777" w:rsidR="00806A1B" w:rsidRPr="00AD4DE0" w:rsidRDefault="00806A1B" w:rsidP="00806A1B">
      <w:pPr>
        <w:tabs>
          <w:tab w:val="left" w:pos="709"/>
        </w:tabs>
        <w:spacing w:before="240" w:line="360" w:lineRule="auto"/>
        <w:ind w:right="51"/>
        <w:jc w:val="both"/>
        <w:rPr>
          <w:rFonts w:ascii="Palatino Linotype" w:hAnsi="Palatino Linotype"/>
          <w:b/>
          <w:sz w:val="28"/>
          <w:szCs w:val="28"/>
        </w:rPr>
      </w:pPr>
      <w:r w:rsidRPr="00AD4DE0">
        <w:rPr>
          <w:rFonts w:ascii="Palatino Linotype" w:hAnsi="Palatino Linotype"/>
          <w:b/>
          <w:sz w:val="28"/>
          <w:szCs w:val="28"/>
        </w:rPr>
        <w:t xml:space="preserve">CUARTO. Estudio y resolución del asunto </w:t>
      </w:r>
      <w:r w:rsidRPr="00AD4DE0">
        <w:rPr>
          <w:rFonts w:ascii="Palatino Linotype" w:hAnsi="Palatino Linotype"/>
          <w:b/>
          <w:sz w:val="28"/>
          <w:szCs w:val="28"/>
        </w:rPr>
        <w:tab/>
      </w:r>
    </w:p>
    <w:p w14:paraId="1E578782" w14:textId="77777777" w:rsidR="00806A1B" w:rsidRPr="00AD4DE0" w:rsidRDefault="00806A1B" w:rsidP="00806A1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AD4DE0">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EF63CB4" w14:textId="77777777" w:rsidR="00806A1B" w:rsidRPr="00AD4DE0" w:rsidRDefault="00806A1B" w:rsidP="00806A1B">
      <w:pPr>
        <w:autoSpaceDE w:val="0"/>
        <w:autoSpaceDN w:val="0"/>
        <w:adjustRightInd w:val="0"/>
        <w:ind w:right="567"/>
        <w:rPr>
          <w:rFonts w:ascii="Palatino Linotype" w:eastAsia="Calibri" w:hAnsi="Palatino Linotype" w:cs="Arial"/>
        </w:rPr>
      </w:pPr>
    </w:p>
    <w:p w14:paraId="67837AE3" w14:textId="77777777" w:rsidR="00806A1B" w:rsidRPr="00AD4DE0" w:rsidRDefault="00806A1B" w:rsidP="00806A1B">
      <w:pPr>
        <w:spacing w:line="360" w:lineRule="auto"/>
        <w:jc w:val="both"/>
        <w:rPr>
          <w:rFonts w:ascii="Palatino Linotype" w:hAnsi="Palatino Linotype" w:cs="Arial"/>
          <w:sz w:val="24"/>
        </w:rPr>
      </w:pPr>
      <w:r w:rsidRPr="00AD4DE0">
        <w:rPr>
          <w:rFonts w:ascii="Palatino Linotype" w:hAnsi="Palatino Linotype" w:cs="Tahoma"/>
          <w:bCs/>
          <w:sz w:val="24"/>
        </w:rPr>
        <w:t xml:space="preserve">Bajo estas líneas argumentativas, al retomar y delimitar los requerimientos del ahora </w:t>
      </w:r>
      <w:r w:rsidRPr="00AD4DE0">
        <w:rPr>
          <w:rFonts w:ascii="Palatino Linotype" w:hAnsi="Palatino Linotype" w:cs="Tahoma"/>
          <w:b/>
          <w:bCs/>
          <w:sz w:val="24"/>
        </w:rPr>
        <w:t>Recurrente</w:t>
      </w:r>
      <w:r w:rsidRPr="00AD4DE0">
        <w:rPr>
          <w:rFonts w:ascii="Palatino Linotype" w:hAnsi="Palatino Linotype" w:cs="Tahoma"/>
          <w:bCs/>
          <w:sz w:val="24"/>
        </w:rPr>
        <w:t>, de manera objetiva se precisa que requiere la siguiente información:</w:t>
      </w:r>
    </w:p>
    <w:p w14:paraId="3A0E4AD4" w14:textId="77777777" w:rsidR="00806A1B" w:rsidRPr="00AD4DE0" w:rsidRDefault="00773CC8" w:rsidP="00773CC8">
      <w:pPr>
        <w:pStyle w:val="Prrafodelista"/>
        <w:numPr>
          <w:ilvl w:val="0"/>
          <w:numId w:val="6"/>
        </w:numPr>
        <w:tabs>
          <w:tab w:val="left" w:pos="1828"/>
        </w:tabs>
        <w:spacing w:before="240" w:line="360" w:lineRule="auto"/>
        <w:jc w:val="both"/>
        <w:rPr>
          <w:rFonts w:ascii="Palatino Linotype" w:hAnsi="Palatino Linotype" w:cs="Tahoma"/>
          <w:bCs/>
        </w:rPr>
      </w:pPr>
      <w:r w:rsidRPr="00AD4DE0">
        <w:rPr>
          <w:rFonts w:ascii="Palatino Linotype" w:hAnsi="Palatino Linotype" w:cs="Tahoma"/>
          <w:bCs/>
        </w:rPr>
        <w:t>El censo del panteón municipal, al 01 de septiembre de 2023.</w:t>
      </w:r>
    </w:p>
    <w:p w14:paraId="5159843A" w14:textId="77777777" w:rsidR="00806A1B" w:rsidRPr="00AD4DE0" w:rsidRDefault="00806A1B" w:rsidP="00806A1B">
      <w:pPr>
        <w:tabs>
          <w:tab w:val="left" w:pos="1828"/>
        </w:tabs>
        <w:spacing w:before="240" w:line="360" w:lineRule="auto"/>
        <w:jc w:val="both"/>
        <w:rPr>
          <w:rFonts w:ascii="Palatino Linotype" w:eastAsia="Palatino Linotype" w:hAnsi="Palatino Linotype" w:cs="Palatino Linotype"/>
          <w:color w:val="000000"/>
          <w:sz w:val="24"/>
        </w:rPr>
      </w:pPr>
      <w:r w:rsidRPr="00AD4DE0">
        <w:rPr>
          <w:rFonts w:ascii="Palatino Linotype" w:hAnsi="Palatino Linotype" w:cs="Arial"/>
          <w:sz w:val="24"/>
        </w:rPr>
        <w:t xml:space="preserve">De conformidad con las constancias que obran en el expediente electrónico, se observa que el </w:t>
      </w:r>
      <w:r w:rsidRPr="00AD4DE0">
        <w:rPr>
          <w:rFonts w:ascii="Palatino Linotype" w:hAnsi="Palatino Linotype" w:cs="Arial"/>
          <w:b/>
          <w:sz w:val="24"/>
        </w:rPr>
        <w:t>Sujeto Obligado</w:t>
      </w:r>
      <w:r w:rsidRPr="00AD4DE0">
        <w:rPr>
          <w:rFonts w:ascii="Palatino Linotype" w:hAnsi="Palatino Linotype" w:cs="Arial"/>
          <w:sz w:val="24"/>
        </w:rPr>
        <w:t xml:space="preserve"> dio respuesta por medio del sistema SAIMEX, a la solicitud de información</w:t>
      </w:r>
      <w:r w:rsidRPr="00AD4DE0">
        <w:rPr>
          <w:rFonts w:ascii="Palatino Linotype" w:eastAsia="Palatino Linotype" w:hAnsi="Palatino Linotype" w:cs="Palatino Linotype"/>
          <w:b/>
          <w:color w:val="000000"/>
          <w:sz w:val="24"/>
        </w:rPr>
        <w:t xml:space="preserve"> </w:t>
      </w:r>
      <w:r w:rsidRPr="00AD4DE0">
        <w:rPr>
          <w:rFonts w:ascii="Palatino Linotype" w:hAnsi="Palatino Linotype" w:cs="Arial"/>
          <w:b/>
          <w:sz w:val="24"/>
        </w:rPr>
        <w:t xml:space="preserve">00398/VACHASO/IP/2023; </w:t>
      </w:r>
      <w:r w:rsidR="00773CC8" w:rsidRPr="00AD4DE0">
        <w:rPr>
          <w:rFonts w:ascii="Palatino Linotype" w:hAnsi="Palatino Linotype" w:cs="Arial"/>
          <w:sz w:val="24"/>
        </w:rPr>
        <w:t>manifestando el Servidor Público Habilitado lo siguiente</w:t>
      </w:r>
      <w:r w:rsidRPr="00AD4DE0">
        <w:rPr>
          <w:rFonts w:ascii="Palatino Linotype" w:eastAsia="Palatino Linotype" w:hAnsi="Palatino Linotype" w:cs="Palatino Linotype"/>
          <w:color w:val="000000"/>
          <w:sz w:val="24"/>
        </w:rPr>
        <w:t>:</w:t>
      </w:r>
    </w:p>
    <w:p w14:paraId="72327D68" w14:textId="77777777" w:rsidR="00806A1B" w:rsidRPr="00AD4DE0" w:rsidRDefault="00773CC8" w:rsidP="00806A1B">
      <w:pPr>
        <w:pStyle w:val="INFOEM0"/>
      </w:pPr>
      <w:r w:rsidRPr="00AD4DE0">
        <w:t xml:space="preserve"> </w:t>
      </w:r>
      <w:r w:rsidR="00806A1B" w:rsidRPr="00AD4DE0">
        <w:t>“(…)</w:t>
      </w:r>
    </w:p>
    <w:p w14:paraId="160204E8" w14:textId="77777777" w:rsidR="00806A1B" w:rsidRPr="00AD4DE0" w:rsidRDefault="00773CC8" w:rsidP="00806A1B">
      <w:pPr>
        <w:pStyle w:val="INFOEM0"/>
      </w:pPr>
      <w:r w:rsidRPr="00AD4DE0">
        <w:t xml:space="preserve">SE INFORMA QUE AL RESPECTO SE TIENE REGISTRADO, EN LA SUPERFICIE TOTAL QUE OCUPA EL PANTEON MUNICIPAL DE VALLE DE CHALCO SOLIDARIDAD, SEIS SECCIONES DE LAS CUALES LA PRIMERA CONSTA DE 11,422 FOSAS, LA SEGUNDA 1,376, LA TERCERA 3,007, LA CUARTA 1,113, LA QUINTA CON 11,094 Y LA SEXTA CON 2000, DANDO UN TOTAL DE 20,012 FOSAS DE LAS CUALES TODAS SE ENCUENTRAN OCUPADAS, ASI MISMO LE INFORMO QUE EXISTE UN TOTAL DE 1,344 NICHOS DE ELLOS 800 SIGUEN DISPONIBLES. </w:t>
      </w:r>
      <w:r w:rsidR="00806A1B" w:rsidRPr="00AD4DE0">
        <w:t>(…)</w:t>
      </w:r>
    </w:p>
    <w:p w14:paraId="6682F126" w14:textId="77777777" w:rsidR="00773CC8" w:rsidRPr="00AD4DE0" w:rsidRDefault="00773CC8" w:rsidP="00806A1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486A39D6" w14:textId="77777777" w:rsidR="00806A1B" w:rsidRPr="00AD4DE0" w:rsidRDefault="00806A1B" w:rsidP="00806A1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AD4DE0">
        <w:rPr>
          <w:rFonts w:ascii="Palatino Linotype" w:eastAsia="Palatino Linotype" w:hAnsi="Palatino Linotype" w:cs="Palatino Linotype"/>
          <w:color w:val="000000"/>
          <w:sz w:val="24"/>
        </w:rPr>
        <w:t xml:space="preserve">Ante la respuesta emitida por el </w:t>
      </w:r>
      <w:r w:rsidRPr="00AD4DE0">
        <w:rPr>
          <w:rFonts w:ascii="Palatino Linotype" w:eastAsia="Palatino Linotype" w:hAnsi="Palatino Linotype" w:cs="Palatino Linotype"/>
          <w:b/>
          <w:color w:val="000000"/>
          <w:sz w:val="24"/>
        </w:rPr>
        <w:t>Sujeto Obligado</w:t>
      </w:r>
      <w:r w:rsidRPr="00AD4DE0">
        <w:rPr>
          <w:rFonts w:ascii="Palatino Linotype" w:eastAsia="Palatino Linotype" w:hAnsi="Palatino Linotype" w:cs="Palatino Linotype"/>
          <w:color w:val="000000"/>
          <w:sz w:val="24"/>
        </w:rPr>
        <w:t xml:space="preserve">, el </w:t>
      </w:r>
      <w:r w:rsidRPr="00AD4DE0">
        <w:rPr>
          <w:rFonts w:ascii="Palatino Linotype" w:eastAsia="Palatino Linotype" w:hAnsi="Palatino Linotype" w:cs="Palatino Linotype"/>
          <w:b/>
          <w:color w:val="000000"/>
          <w:sz w:val="24"/>
        </w:rPr>
        <w:t>Recurrente</w:t>
      </w:r>
      <w:r w:rsidRPr="00AD4DE0">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AD4DE0">
        <w:rPr>
          <w:rFonts w:ascii="Palatino Linotype" w:hAnsi="Palatino Linotype"/>
          <w:i/>
          <w:sz w:val="24"/>
        </w:rPr>
        <w:t>“</w:t>
      </w:r>
      <w:r w:rsidR="00773CC8" w:rsidRPr="00AD4DE0">
        <w:rPr>
          <w:rFonts w:ascii="Palatino Linotype" w:hAnsi="Palatino Linotype"/>
          <w:i/>
          <w:sz w:val="24"/>
        </w:rPr>
        <w:t xml:space="preserve">en este sentido solicitamos que el Sujeto Obligado entregue el censo del panteón municipal al 01 </w:t>
      </w:r>
      <w:r w:rsidR="00773CC8" w:rsidRPr="00AD4DE0">
        <w:rPr>
          <w:rFonts w:ascii="Palatino Linotype" w:hAnsi="Palatino Linotype"/>
          <w:i/>
          <w:sz w:val="24"/>
        </w:rPr>
        <w:lastRenderedPageBreak/>
        <w:t>de septiembre de 2023, porque nunca se solicitó el número de secciones, ni de fosas, se requirió el censo.</w:t>
      </w:r>
      <w:r w:rsidRPr="00AD4DE0">
        <w:rPr>
          <w:rFonts w:ascii="Palatino Linotype" w:hAnsi="Palatino Linotype"/>
          <w:i/>
          <w:sz w:val="24"/>
        </w:rPr>
        <w:t>” (Sic)</w:t>
      </w:r>
      <w:r w:rsidRPr="00AD4DE0">
        <w:rPr>
          <w:rFonts w:ascii="Palatino Linotype" w:hAnsi="Palatino Linotype" w:cs="Arial"/>
          <w:bCs/>
          <w:sz w:val="24"/>
        </w:rPr>
        <w:t xml:space="preserve">. </w:t>
      </w:r>
    </w:p>
    <w:p w14:paraId="2E39AA53" w14:textId="77777777" w:rsidR="00806A1B" w:rsidRPr="00AD4DE0" w:rsidRDefault="00806A1B" w:rsidP="00806A1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7547F4FC" w14:textId="77777777" w:rsidR="00806A1B" w:rsidRPr="00AD4DE0" w:rsidRDefault="00806A1B" w:rsidP="00806A1B">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sidRPr="00AD4DE0">
        <w:rPr>
          <w:rFonts w:ascii="Palatino Linotype" w:eastAsia="Calibri" w:hAnsi="Palatino Linotype" w:cs="Calibri"/>
          <w:sz w:val="24"/>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648E68A5" w14:textId="77777777" w:rsidR="00806A1B" w:rsidRPr="00AD4DE0" w:rsidRDefault="00806A1B" w:rsidP="00806A1B">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465180F2" w14:textId="77777777" w:rsidR="00806A1B" w:rsidRPr="00AD4DE0" w:rsidRDefault="003D1C51" w:rsidP="00806A1B">
      <w:pPr>
        <w:spacing w:after="0" w:line="360" w:lineRule="auto"/>
        <w:jc w:val="both"/>
        <w:rPr>
          <w:rFonts w:ascii="Palatino Linotype" w:hAnsi="Palatino Linotype" w:cs="Arial"/>
          <w:sz w:val="24"/>
          <w:szCs w:val="24"/>
        </w:rPr>
      </w:pPr>
      <w:r w:rsidRPr="00AD4DE0">
        <w:rPr>
          <w:rFonts w:ascii="Palatino Linotype" w:hAnsi="Palatino Linotype" w:cs="Arial"/>
          <w:sz w:val="24"/>
          <w:szCs w:val="24"/>
        </w:rPr>
        <w:t>Ahora bien, del Bando Municipal del Ayuntamiento del Valle de Chalco Solidaridad establece que la Dirección de Servicios Públicos es la encargada de coordinar y administrar todas las actividades relacionadas con los panteones municipales, tal como lo establece en sus artículos:</w:t>
      </w:r>
    </w:p>
    <w:p w14:paraId="3FCC992F" w14:textId="77777777" w:rsidR="003D1C51" w:rsidRPr="00AD4DE0" w:rsidRDefault="003D1C51" w:rsidP="003D1C51">
      <w:pPr>
        <w:pStyle w:val="INFOEM0"/>
        <w:rPr>
          <w:b/>
        </w:rPr>
      </w:pPr>
      <w:r w:rsidRPr="00AD4DE0">
        <w:rPr>
          <w:b/>
        </w:rPr>
        <w:t xml:space="preserve">ARTÍCULO 188.- La Dirección de Servicios Públicos es la encargada de la administración, planeación, organización, ejecución, control, seguimiento y conservación de los servicios públicos, a través de las siguientes jefaturas de unidad departamental: </w:t>
      </w:r>
    </w:p>
    <w:p w14:paraId="271D6EAD" w14:textId="77777777" w:rsidR="003D1C51" w:rsidRPr="00AD4DE0" w:rsidRDefault="003D1C51" w:rsidP="003D1C51">
      <w:pPr>
        <w:pStyle w:val="INFOEM0"/>
      </w:pPr>
      <w:r w:rsidRPr="00AD4DE0">
        <w:t xml:space="preserve">I.- Alumbrado Público; </w:t>
      </w:r>
    </w:p>
    <w:p w14:paraId="2F2BAB14" w14:textId="77777777" w:rsidR="003D1C51" w:rsidRPr="00AD4DE0" w:rsidRDefault="003D1C51" w:rsidP="003D1C51">
      <w:pPr>
        <w:pStyle w:val="INFOEM0"/>
      </w:pPr>
      <w:r w:rsidRPr="00AD4DE0">
        <w:t xml:space="preserve">II.- Limpia; </w:t>
      </w:r>
    </w:p>
    <w:p w14:paraId="394EFC00" w14:textId="77777777" w:rsidR="003D1C51" w:rsidRPr="00AD4DE0" w:rsidRDefault="003D1C51" w:rsidP="003D1C51">
      <w:pPr>
        <w:pStyle w:val="INFOEM0"/>
      </w:pPr>
      <w:r w:rsidRPr="00AD4DE0">
        <w:lastRenderedPageBreak/>
        <w:t xml:space="preserve">III.- Fincas; </w:t>
      </w:r>
    </w:p>
    <w:p w14:paraId="26266EC2" w14:textId="77777777" w:rsidR="003D1C51" w:rsidRPr="00AD4DE0" w:rsidRDefault="003D1C51" w:rsidP="003D1C51">
      <w:pPr>
        <w:pStyle w:val="INFOEM0"/>
      </w:pPr>
      <w:r w:rsidRPr="00AD4DE0">
        <w:rPr>
          <w:b/>
        </w:rPr>
        <w:t>IV.- Panteones</w:t>
      </w:r>
      <w:r w:rsidRPr="00AD4DE0">
        <w:t xml:space="preserve"> y </w:t>
      </w:r>
    </w:p>
    <w:p w14:paraId="2B73CB64" w14:textId="77777777" w:rsidR="003D1C51" w:rsidRPr="00AD4DE0" w:rsidRDefault="003D1C51" w:rsidP="003D1C51">
      <w:pPr>
        <w:pStyle w:val="INFOEM0"/>
      </w:pPr>
      <w:r w:rsidRPr="00AD4DE0">
        <w:t>V.- Recuperación de Espacios Públicos.</w:t>
      </w:r>
    </w:p>
    <w:p w14:paraId="144E76AD" w14:textId="77777777" w:rsidR="003D1C51" w:rsidRPr="00AD4DE0" w:rsidRDefault="003D1C51" w:rsidP="003D1C51">
      <w:pPr>
        <w:pStyle w:val="INFOEM0"/>
      </w:pPr>
      <w:r w:rsidRPr="00AD4DE0">
        <w:rPr>
          <w:b/>
        </w:rPr>
        <w:t>ARTÍCULO 192.- La prestación del servicio público de panteones</w:t>
      </w:r>
      <w:r w:rsidRPr="00AD4DE0">
        <w:t xml:space="preserve"> consiste en tramitar las inhumaciones, exhumaciones, permisos de lapida, </w:t>
      </w:r>
      <w:r w:rsidRPr="00AD4DE0">
        <w:rPr>
          <w:b/>
        </w:rPr>
        <w:t>asignación de fosas,</w:t>
      </w:r>
      <w:r w:rsidRPr="00AD4DE0">
        <w:t xml:space="preserve"> re inhumaciones, </w:t>
      </w:r>
      <w:r w:rsidRPr="00AD4DE0">
        <w:rPr>
          <w:b/>
        </w:rPr>
        <w:t>otorgar permisos para el uso de nichos</w:t>
      </w:r>
      <w:r w:rsidRPr="00AD4DE0">
        <w:t xml:space="preserve">, </w:t>
      </w:r>
      <w:r w:rsidRPr="00AD4DE0">
        <w:rPr>
          <w:b/>
        </w:rPr>
        <w:t>coordinar y administrar todas las actividades relacionadas con los panteones municipales</w:t>
      </w:r>
      <w:r w:rsidRPr="00AD4DE0">
        <w:t xml:space="preserve"> y todas aquellas que soliciten otras autoridades que estén ajustadas a derecho </w:t>
      </w:r>
      <w:r w:rsidRPr="00AD4DE0">
        <w:rPr>
          <w:b/>
        </w:rPr>
        <w:t>previo pago de derechos y cumplimiento de los requisitos que al efecto se señale el reglamento correspondiente, s</w:t>
      </w:r>
      <w:r w:rsidRPr="00AD4DE0">
        <w:t>e establece que los permisos para la permanencia de cadáveres inhumados son no mayores a siete años, transcurrido dicho tiempo se procederá a la exhumación correspondiente en términos de ley.</w:t>
      </w:r>
    </w:p>
    <w:p w14:paraId="212B78EE" w14:textId="77777777" w:rsidR="00CD1DC7" w:rsidRPr="00AD4DE0" w:rsidRDefault="00CD1DC7" w:rsidP="00806A1B">
      <w:pPr>
        <w:autoSpaceDE w:val="0"/>
        <w:autoSpaceDN w:val="0"/>
        <w:adjustRightInd w:val="0"/>
        <w:spacing w:line="360" w:lineRule="auto"/>
        <w:ind w:left="360"/>
        <w:contextualSpacing/>
        <w:jc w:val="both"/>
        <w:rPr>
          <w:rFonts w:ascii="Palatino Linotype" w:hAnsi="Palatino Linotype" w:cs="Arial"/>
          <w:sz w:val="24"/>
          <w:szCs w:val="24"/>
        </w:rPr>
      </w:pPr>
    </w:p>
    <w:p w14:paraId="1BCB1123" w14:textId="77777777" w:rsidR="00773CC8" w:rsidRPr="00AD4DE0" w:rsidRDefault="006C6A67" w:rsidP="00806A1B">
      <w:pPr>
        <w:autoSpaceDE w:val="0"/>
        <w:autoSpaceDN w:val="0"/>
        <w:adjustRightInd w:val="0"/>
        <w:spacing w:line="360" w:lineRule="auto"/>
        <w:ind w:left="360"/>
        <w:contextualSpacing/>
        <w:jc w:val="both"/>
        <w:rPr>
          <w:rFonts w:ascii="Palatino Linotype" w:hAnsi="Palatino Linotype" w:cs="Arial"/>
          <w:sz w:val="24"/>
          <w:szCs w:val="24"/>
        </w:rPr>
      </w:pPr>
      <w:r w:rsidRPr="00AD4DE0">
        <w:rPr>
          <w:rFonts w:ascii="Palatino Linotype" w:hAnsi="Palatino Linotype" w:cs="Arial"/>
          <w:sz w:val="24"/>
          <w:szCs w:val="24"/>
        </w:rPr>
        <w:t xml:space="preserve">En ese orden de ideas, el Instituto Nacional </w:t>
      </w:r>
      <w:r w:rsidR="00235F49" w:rsidRPr="00AD4DE0">
        <w:rPr>
          <w:rFonts w:ascii="Palatino Linotype" w:hAnsi="Palatino Linotype" w:cs="Arial"/>
          <w:sz w:val="24"/>
          <w:szCs w:val="24"/>
        </w:rPr>
        <w:t xml:space="preserve">de </w:t>
      </w:r>
      <w:r w:rsidRPr="00AD4DE0">
        <w:rPr>
          <w:rFonts w:ascii="Palatino Linotype" w:hAnsi="Palatino Linotype" w:cs="Arial"/>
          <w:sz w:val="24"/>
          <w:szCs w:val="24"/>
        </w:rPr>
        <w:t>Geografía y Estadística define al censo en el sentido siguiente:</w:t>
      </w:r>
    </w:p>
    <w:p w14:paraId="585D3AEA" w14:textId="77777777" w:rsidR="006C6A67" w:rsidRPr="00AD4DE0" w:rsidRDefault="006C6A67" w:rsidP="00C43176">
      <w:pPr>
        <w:pStyle w:val="Citas"/>
        <w:numPr>
          <w:ilvl w:val="0"/>
          <w:numId w:val="7"/>
        </w:numPr>
      </w:pPr>
      <w:r w:rsidRPr="00AD4DE0">
        <w:rPr>
          <w:b/>
          <w:bCs/>
        </w:rPr>
        <w:t>Censos.</w:t>
      </w:r>
      <w:r w:rsidR="000E6758" w:rsidRPr="00AD4DE0">
        <w:rPr>
          <w:b/>
          <w:bCs/>
        </w:rPr>
        <w:t xml:space="preserve"> </w:t>
      </w:r>
      <w:r w:rsidRPr="00AD4DE0">
        <w:t>Son operaciones de recolección de datos de todo el universo de estudio en un momento determinado; el Instituto levanta cuatro censos:</w:t>
      </w:r>
    </w:p>
    <w:p w14:paraId="0BA9FCA0" w14:textId="77777777" w:rsidR="00C43176" w:rsidRPr="00AD4DE0" w:rsidRDefault="00C43176" w:rsidP="00C43176">
      <w:pPr>
        <w:pStyle w:val="Citas"/>
        <w:numPr>
          <w:ilvl w:val="0"/>
          <w:numId w:val="8"/>
        </w:numPr>
      </w:pPr>
      <w:r w:rsidRPr="00AD4DE0">
        <w:t xml:space="preserve">Población y Vivienda. El primero que se levantó en la época moderna fue en 1895; se realizan cada década, en los años terminados en cero, excepto el de 1921. Constituyen la fuente de información básica más completa para conocer la realidad demográfica y social del país. En 1995 y 2005 se </w:t>
      </w:r>
      <w:r w:rsidRPr="00AD4DE0">
        <w:lastRenderedPageBreak/>
        <w:t>llevaron a cabo conteos de población y vivienda para producir información a la mitad de los periodos censales con el propósito de mejorar la oferta de información demográfica y social.</w:t>
      </w:r>
    </w:p>
    <w:p w14:paraId="134D42E5" w14:textId="77777777" w:rsidR="00C43176" w:rsidRPr="00AD4DE0" w:rsidRDefault="00C43176" w:rsidP="00C43176">
      <w:pPr>
        <w:pStyle w:val="Citas"/>
        <w:numPr>
          <w:ilvl w:val="0"/>
          <w:numId w:val="8"/>
        </w:numPr>
      </w:pPr>
      <w:r w:rsidRPr="00AD4DE0">
        <w:rPr>
          <w:b/>
        </w:rPr>
        <w:t>Económicos.</w:t>
      </w:r>
      <w:r w:rsidRPr="00AD4DE0">
        <w:t xml:space="preserve"> Se levantan cada cinco años desde 1930. Ofrecen información sobre diversos aspectos de las unidades económicas dedicadas a la pesca; minería; electricidad, agua y gas; construcción; manufacturas; comercio, </w:t>
      </w:r>
      <w:r w:rsidRPr="00AD4DE0">
        <w:rPr>
          <w:b/>
        </w:rPr>
        <w:t>servicios</w:t>
      </w:r>
      <w:r w:rsidRPr="00AD4DE0">
        <w:t xml:space="preserve"> y transportes; además, constituyen por su cobertura sectorial, temática y geográfica la fuente de información económica básica más amplia y completa del país.</w:t>
      </w:r>
    </w:p>
    <w:p w14:paraId="160C0A95" w14:textId="77777777" w:rsidR="00C43176" w:rsidRPr="00AD4DE0" w:rsidRDefault="00C43176" w:rsidP="00C43176">
      <w:pPr>
        <w:pStyle w:val="Citas"/>
        <w:numPr>
          <w:ilvl w:val="0"/>
          <w:numId w:val="8"/>
        </w:numPr>
      </w:pPr>
      <w:r w:rsidRPr="00AD4DE0">
        <w:t>Agrícola, Ganadero y Forestal. Se llevaban a cabo cada 10 años desde 1930 hasta 1991. El último que se realizó fue en el 2007. Es la fuente de información básica para saber qué, cuándo, dónde y quiénes realizan actividades agrícolas, ganaderas y de aprovechamiento forestal, así como las características de las unidades de propiedad social.</w:t>
      </w:r>
    </w:p>
    <w:p w14:paraId="66FEC33A" w14:textId="77777777" w:rsidR="00C43176" w:rsidRPr="00AD4DE0" w:rsidRDefault="00C43176" w:rsidP="00C43176">
      <w:pPr>
        <w:pStyle w:val="Citas"/>
        <w:numPr>
          <w:ilvl w:val="0"/>
          <w:numId w:val="8"/>
        </w:numPr>
      </w:pPr>
      <w:r w:rsidRPr="00AD4DE0">
        <w:t>Gobierno. Permiten conocer la situación que guardan la gestión y desempeño de las instituciones públicas que conforman al Estado y sus respectivos poderes en las funciones de gobierno, seguridad pública e impartición de justicia. El primer levantamiento se realizó en 2009 en el ámbito municipal y delegacional. Actualmente existen programas que abarcan los tres niveles de gobierno en el ámbito del Poder Ejecutivo, Legislativo y Judicial, así como para los organismos autónomos.</w:t>
      </w:r>
    </w:p>
    <w:p w14:paraId="569484C0" w14:textId="77777777" w:rsidR="00CD1DC7" w:rsidRPr="00AD4DE0" w:rsidRDefault="00CD1DC7" w:rsidP="00806A1B">
      <w:pPr>
        <w:autoSpaceDE w:val="0"/>
        <w:autoSpaceDN w:val="0"/>
        <w:adjustRightInd w:val="0"/>
        <w:spacing w:line="360" w:lineRule="auto"/>
        <w:ind w:left="360"/>
        <w:contextualSpacing/>
        <w:jc w:val="both"/>
        <w:rPr>
          <w:rFonts w:ascii="Palatino Linotype" w:hAnsi="Palatino Linotype" w:cs="Arial"/>
          <w:sz w:val="24"/>
          <w:szCs w:val="24"/>
        </w:rPr>
      </w:pPr>
    </w:p>
    <w:p w14:paraId="1AB59D2F" w14:textId="77777777" w:rsidR="00CD1DC7" w:rsidRPr="00AD4DE0" w:rsidRDefault="00CD1DC7" w:rsidP="00CD1DC7">
      <w:pPr>
        <w:spacing w:after="0" w:line="360" w:lineRule="auto"/>
        <w:jc w:val="both"/>
        <w:rPr>
          <w:rFonts w:ascii="Palatino Linotype" w:hAnsi="Palatino Linotype"/>
          <w:sz w:val="24"/>
          <w:szCs w:val="24"/>
        </w:rPr>
      </w:pPr>
      <w:r w:rsidRPr="00AD4DE0">
        <w:rPr>
          <w:rFonts w:ascii="Palatino Linotype" w:hAnsi="Palatino Linotype"/>
          <w:sz w:val="24"/>
          <w:szCs w:val="24"/>
        </w:rPr>
        <w:lastRenderedPageBreak/>
        <w:t>Derivado de lo anterior, el Reglamento Municipal de Panteones de Valle de Chalco Solidaridad establece que es atribución de la Dirección de Servicios Públicos contar con el censo de las tumbas que se encuentran en el panteón municipal, precepto normativo que se transcribe para pronta referencia:</w:t>
      </w:r>
    </w:p>
    <w:p w14:paraId="445BC8F9" w14:textId="77777777" w:rsidR="00CD1DC7" w:rsidRPr="00AD4DE0" w:rsidRDefault="00CD1DC7" w:rsidP="00CD1DC7">
      <w:pPr>
        <w:spacing w:after="0" w:line="360" w:lineRule="auto"/>
        <w:jc w:val="both"/>
        <w:rPr>
          <w:rFonts w:ascii="Palatino Linotype" w:hAnsi="Palatino Linotype"/>
          <w:sz w:val="24"/>
          <w:szCs w:val="24"/>
        </w:rPr>
      </w:pPr>
    </w:p>
    <w:p w14:paraId="1039DB71" w14:textId="77777777" w:rsidR="00CD1DC7" w:rsidRPr="00AD4DE0" w:rsidRDefault="00CD1DC7" w:rsidP="00CD1DC7">
      <w:pPr>
        <w:pStyle w:val="INFOEM0"/>
      </w:pPr>
      <w:r w:rsidRPr="00AD4DE0">
        <w:t>“Artículo 3.- Para efectos del presente reglamento se entenderá por:</w:t>
      </w:r>
    </w:p>
    <w:p w14:paraId="16A42F82" w14:textId="77777777" w:rsidR="00CD1DC7" w:rsidRPr="00AD4DE0" w:rsidRDefault="00CD1DC7" w:rsidP="00CD1DC7">
      <w:pPr>
        <w:pStyle w:val="INFOEM0"/>
      </w:pPr>
      <w:r w:rsidRPr="00AD4DE0">
        <w:t>(…)</w:t>
      </w:r>
    </w:p>
    <w:p w14:paraId="33BF3D35" w14:textId="77777777" w:rsidR="00CD1DC7" w:rsidRPr="00AD4DE0" w:rsidRDefault="00CD1DC7" w:rsidP="00CD1DC7">
      <w:pPr>
        <w:pStyle w:val="INFOEM0"/>
      </w:pPr>
      <w:r w:rsidRPr="00AD4DE0">
        <w:rPr>
          <w:b/>
        </w:rPr>
        <w:t xml:space="preserve">VII. Columbario: </w:t>
      </w:r>
      <w:r w:rsidRPr="00AD4DE0">
        <w:t>La estructura constituida por un conjunto de nichos destinados al depósito de restos humanos cremados;</w:t>
      </w:r>
    </w:p>
    <w:p w14:paraId="4A9BEFD2" w14:textId="77777777" w:rsidR="00CD1DC7" w:rsidRPr="00AD4DE0" w:rsidRDefault="00CD1DC7" w:rsidP="00CD1DC7">
      <w:pPr>
        <w:pStyle w:val="INFOEM0"/>
      </w:pPr>
      <w:r w:rsidRPr="00AD4DE0">
        <w:t>(…)</w:t>
      </w:r>
    </w:p>
    <w:p w14:paraId="5B4C35C3" w14:textId="77777777" w:rsidR="00A50E90" w:rsidRPr="00AD4DE0" w:rsidRDefault="00A50E90" w:rsidP="00CD1DC7">
      <w:pPr>
        <w:pStyle w:val="INFOEM0"/>
      </w:pPr>
      <w:r w:rsidRPr="00AD4DE0">
        <w:rPr>
          <w:b/>
        </w:rPr>
        <w:t>XVII. Fosa o Tumba:</w:t>
      </w:r>
      <w:r w:rsidRPr="00AD4DE0">
        <w:t xml:space="preserve"> A la excavación, en el terreno de un panteón o cementerio horizontal destinado a la inhumación de cadáveres, restos humanos o restos humanos áridos.</w:t>
      </w:r>
    </w:p>
    <w:p w14:paraId="15B757F4" w14:textId="77777777" w:rsidR="00CD1DC7" w:rsidRPr="00AD4DE0" w:rsidRDefault="00CD1DC7" w:rsidP="00CD1DC7">
      <w:pPr>
        <w:pStyle w:val="INFOEM0"/>
      </w:pPr>
      <w:r w:rsidRPr="00AD4DE0">
        <w:rPr>
          <w:b/>
        </w:rPr>
        <w:t>XVIII. Fosa común:</w:t>
      </w:r>
      <w:r w:rsidRPr="00AD4DE0">
        <w:t xml:space="preserve"> El lugar destinado para la inhumación de cadáveres y restos humanos no identificados o no reclamados</w:t>
      </w:r>
    </w:p>
    <w:p w14:paraId="35B5E483" w14:textId="77777777" w:rsidR="00CD1DC7" w:rsidRPr="00AD4DE0" w:rsidRDefault="00CD1DC7" w:rsidP="00CD1DC7">
      <w:pPr>
        <w:pStyle w:val="INFOEM0"/>
      </w:pPr>
      <w:r w:rsidRPr="00AD4DE0">
        <w:t>(…)</w:t>
      </w:r>
    </w:p>
    <w:p w14:paraId="1E0C4A43" w14:textId="77777777" w:rsidR="00CD1DC7" w:rsidRPr="00AD4DE0" w:rsidRDefault="00CD1DC7" w:rsidP="00CD1DC7">
      <w:pPr>
        <w:pStyle w:val="INFOEM0"/>
      </w:pPr>
      <w:r w:rsidRPr="00AD4DE0">
        <w:t>Artículo 5.- El H. Ayuntamiento a través de la Dirección de Servicios Públicos, tendrá las siguientes facultades:</w:t>
      </w:r>
    </w:p>
    <w:p w14:paraId="5889A98E" w14:textId="77777777" w:rsidR="00CD1DC7" w:rsidRPr="00AD4DE0" w:rsidRDefault="00CD1DC7" w:rsidP="00CD1DC7">
      <w:pPr>
        <w:pStyle w:val="INFOEM0"/>
      </w:pPr>
      <w:r w:rsidRPr="00AD4DE0">
        <w:t>(…)</w:t>
      </w:r>
    </w:p>
    <w:p w14:paraId="343A95C9" w14:textId="77777777" w:rsidR="00CD1DC7" w:rsidRPr="00AD4DE0" w:rsidRDefault="00CD1DC7" w:rsidP="00CD1DC7">
      <w:pPr>
        <w:pStyle w:val="INFOEM0"/>
        <w:rPr>
          <w:b/>
          <w:u w:val="single"/>
        </w:rPr>
      </w:pPr>
      <w:r w:rsidRPr="00AD4DE0">
        <w:rPr>
          <w:b/>
        </w:rPr>
        <w:lastRenderedPageBreak/>
        <w:t xml:space="preserve">IX. </w:t>
      </w:r>
      <w:r w:rsidRPr="00AD4DE0">
        <w:rPr>
          <w:b/>
          <w:u w:val="single"/>
        </w:rPr>
        <w:t>Contar con el censo de las tumbas</w:t>
      </w:r>
      <w:r w:rsidRPr="00AD4DE0">
        <w:rPr>
          <w:b/>
        </w:rPr>
        <w:t xml:space="preserve"> que se encuentran en el panteón municipal </w:t>
      </w:r>
      <w:r w:rsidRPr="00AD4DE0">
        <w:rPr>
          <w:b/>
          <w:u w:val="single"/>
        </w:rPr>
        <w:t>y los datos de cada una</w:t>
      </w:r>
      <w:r w:rsidRPr="00AD4DE0">
        <w:rPr>
          <w:b/>
        </w:rPr>
        <w:t xml:space="preserve">, el cual deberá estar ser actualizado, </w:t>
      </w:r>
      <w:r w:rsidRPr="00AD4DE0">
        <w:rPr>
          <w:b/>
          <w:u w:val="single"/>
        </w:rPr>
        <w:t>así como del columbario municipal y la fosa común;</w:t>
      </w:r>
    </w:p>
    <w:p w14:paraId="46911AC2" w14:textId="77777777" w:rsidR="00CD1DC7" w:rsidRPr="00AD4DE0" w:rsidRDefault="00CD1DC7" w:rsidP="00CD1DC7">
      <w:pPr>
        <w:pStyle w:val="INFOEM0"/>
      </w:pPr>
      <w:r w:rsidRPr="00AD4DE0">
        <w:t>(…)</w:t>
      </w:r>
    </w:p>
    <w:p w14:paraId="47BC5D0B" w14:textId="77777777" w:rsidR="00CD1DC7" w:rsidRPr="00AD4DE0" w:rsidRDefault="00CD1DC7" w:rsidP="00CD1DC7">
      <w:pPr>
        <w:pStyle w:val="INFOEM0"/>
      </w:pPr>
      <w:r w:rsidRPr="00AD4DE0">
        <w:rPr>
          <w:b/>
        </w:rPr>
        <w:t>Artículo 8.-</w:t>
      </w:r>
      <w:r w:rsidRPr="00AD4DE0">
        <w:t xml:space="preserve"> </w:t>
      </w:r>
      <w:r w:rsidRPr="00AD4DE0">
        <w:rPr>
          <w:b/>
        </w:rPr>
        <w:t>La Dirección de Servicios Públicos, a través del departamento de Panteones, llevara un libro de registro, así como un registro electrónico, para el control de los censos,</w:t>
      </w:r>
      <w:r w:rsidRPr="00AD4DE0">
        <w:t xml:space="preserve"> servicios y revalidación de los derechos de uso de fosas del panteón municipal.</w:t>
      </w:r>
    </w:p>
    <w:p w14:paraId="204A3D4C" w14:textId="77777777" w:rsidR="00285756" w:rsidRPr="00AD4DE0" w:rsidRDefault="00285756" w:rsidP="00CD1DC7">
      <w:pPr>
        <w:pStyle w:val="INFOEM0"/>
      </w:pPr>
      <w:r w:rsidRPr="00AD4DE0">
        <w:t>Artículo 11.- La jefatura de la Unidad Departamental de Panteones tendrá las siguientes facultades y obligaciones.</w:t>
      </w:r>
    </w:p>
    <w:p w14:paraId="5B1E5F54" w14:textId="77777777" w:rsidR="00285756" w:rsidRPr="00AD4DE0" w:rsidRDefault="00285756" w:rsidP="00CD1DC7">
      <w:pPr>
        <w:pStyle w:val="INFOEM0"/>
      </w:pPr>
      <w:r w:rsidRPr="00AD4DE0">
        <w:t>(…)</w:t>
      </w:r>
    </w:p>
    <w:p w14:paraId="373C07BC" w14:textId="77777777" w:rsidR="00E57E81" w:rsidRPr="00AD4DE0" w:rsidRDefault="00E57E81" w:rsidP="00CD1DC7">
      <w:pPr>
        <w:pStyle w:val="INFOEM0"/>
      </w:pPr>
      <w:r w:rsidRPr="00AD4DE0">
        <w:t xml:space="preserve">III. Actualizar de manera permanente los libros de registro siguientes: </w:t>
      </w:r>
    </w:p>
    <w:p w14:paraId="1501988F" w14:textId="77777777" w:rsidR="00E57E81" w:rsidRPr="00AD4DE0" w:rsidRDefault="00E57E81" w:rsidP="00CD1DC7">
      <w:pPr>
        <w:pStyle w:val="INFOEM0"/>
        <w:rPr>
          <w:b/>
        </w:rPr>
      </w:pPr>
      <w:r w:rsidRPr="00AD4DE0">
        <w:rPr>
          <w:b/>
        </w:rPr>
        <w:t xml:space="preserve">A. De inhumaciones, en el que conste el nombre completo, sexo, número de partida de acta de defunción, causa de la muerte y datos que identifiquen el lugar donde fue sepultado el cadáver; </w:t>
      </w:r>
    </w:p>
    <w:p w14:paraId="79465095" w14:textId="77777777" w:rsidR="00E57E81" w:rsidRPr="00AD4DE0" w:rsidRDefault="00E57E81" w:rsidP="00CD1DC7">
      <w:pPr>
        <w:pStyle w:val="INFOEM0"/>
        <w:rPr>
          <w:b/>
        </w:rPr>
      </w:pPr>
      <w:r w:rsidRPr="00AD4DE0">
        <w:rPr>
          <w:b/>
        </w:rPr>
        <w:t xml:space="preserve">B. De exhumaciones, en donde conste el nombre completo del cadáver exhumado, fecha y hora de la exhumación, causa de la misma, datos que identifiquen la fosa y destino de los restos, así como la autoridad que determine la exhumación; </w:t>
      </w:r>
    </w:p>
    <w:p w14:paraId="198E4B88" w14:textId="77777777" w:rsidR="00E57E81" w:rsidRPr="00AD4DE0" w:rsidRDefault="00E57E81" w:rsidP="00CD1DC7">
      <w:pPr>
        <w:pStyle w:val="INFOEM0"/>
      </w:pPr>
      <w:r w:rsidRPr="00AD4DE0">
        <w:lastRenderedPageBreak/>
        <w:t>C. De cremaciones, en donde conste el nombre completo, y se cuente con los datos requeridos por las autoridades competentes. (</w:t>
      </w:r>
      <w:proofErr w:type="gramStart"/>
      <w:r w:rsidRPr="00AD4DE0">
        <w:t>solo</w:t>
      </w:r>
      <w:proofErr w:type="gramEnd"/>
      <w:r w:rsidRPr="00AD4DE0">
        <w:t xml:space="preserve"> en caso de que se preste el servicio) </w:t>
      </w:r>
    </w:p>
    <w:p w14:paraId="02F46D5D" w14:textId="77777777" w:rsidR="00E57E81" w:rsidRPr="00AD4DE0" w:rsidRDefault="00E57E81" w:rsidP="00CD1DC7">
      <w:pPr>
        <w:pStyle w:val="INFOEM0"/>
        <w:rPr>
          <w:b/>
        </w:rPr>
      </w:pPr>
      <w:r w:rsidRPr="00AD4DE0">
        <w:t xml:space="preserve">D. </w:t>
      </w:r>
      <w:r w:rsidRPr="00AD4DE0">
        <w:rPr>
          <w:b/>
        </w:rPr>
        <w:t>Del columbario Municipal, en que se anotarán el nombre de las personas a la que pertenecen los restos, la fecha de exhumación, inicio y vencimiento del plazo de depósito en su caso y el número de la gaveta que ocupe.</w:t>
      </w:r>
    </w:p>
    <w:p w14:paraId="76142ACD" w14:textId="77777777" w:rsidR="00285756" w:rsidRPr="00AD4DE0" w:rsidRDefault="00285756" w:rsidP="00CD1DC7">
      <w:pPr>
        <w:pStyle w:val="INFOEM0"/>
      </w:pPr>
      <w:r w:rsidRPr="00AD4DE0">
        <w:t xml:space="preserve">Artículo 34.- </w:t>
      </w:r>
      <w:r w:rsidRPr="00AD4DE0">
        <w:rPr>
          <w:b/>
        </w:rPr>
        <w:t>El columbario Municipal tendrá en su interior nichos individuales en los que se depositarán los restos humanos</w:t>
      </w:r>
      <w:r w:rsidRPr="00AD4DE0">
        <w:t xml:space="preserve"> áridos cremados en recipientes cerrados </w:t>
      </w:r>
      <w:r w:rsidRPr="00AD4DE0">
        <w:rPr>
          <w:b/>
        </w:rPr>
        <w:t>con anotaciones del nombre de la persona a la que pertenecieron, fechas de inhumación y exhumación, datos de identificación de la tumba de origen y cualquier otro que sirva para individualizarlo,</w:t>
      </w:r>
      <w:r w:rsidRPr="00AD4DE0">
        <w:t xml:space="preserve"> la estadía será permanente, sin necesidad de refrendar por el servicio.</w:t>
      </w:r>
    </w:p>
    <w:p w14:paraId="7EBAE625" w14:textId="77777777" w:rsidR="00E57E81" w:rsidRPr="00AD4DE0" w:rsidRDefault="00E57E81" w:rsidP="00CD1DC7">
      <w:pPr>
        <w:pStyle w:val="INFOEM0"/>
      </w:pPr>
      <w:r w:rsidRPr="00AD4DE0">
        <w:t>Artículo 40. Los restos humanos depositados en la fosa común, deberán quedar debidamente identificados, respecto de su identidad en caso de contar con ella, procedencia, ubicación anterior y ubicación final, hecho que servirá para el caso de que de manera ulterior llegasen a ser reclamados o solicitados por las autoridades competentes, llegasen a ser identificados y en su caso a ser solicitados por alguna persona que acredite de manera fehaciente su parentesco.</w:t>
      </w:r>
    </w:p>
    <w:p w14:paraId="631C0AF5" w14:textId="77777777" w:rsidR="00614ACF" w:rsidRPr="00AD4DE0" w:rsidRDefault="00614ACF" w:rsidP="00806A1B">
      <w:pPr>
        <w:autoSpaceDE w:val="0"/>
        <w:autoSpaceDN w:val="0"/>
        <w:adjustRightInd w:val="0"/>
        <w:spacing w:line="360" w:lineRule="auto"/>
        <w:ind w:left="360"/>
        <w:contextualSpacing/>
        <w:jc w:val="both"/>
        <w:rPr>
          <w:rFonts w:ascii="Palatino Linotype" w:hAnsi="Palatino Linotype" w:cs="Arial"/>
          <w:sz w:val="24"/>
          <w:szCs w:val="24"/>
        </w:rPr>
      </w:pPr>
    </w:p>
    <w:p w14:paraId="45DD3A09" w14:textId="77777777" w:rsidR="00CD1DC7" w:rsidRPr="00AD4DE0" w:rsidRDefault="00614ACF" w:rsidP="00806A1B">
      <w:pPr>
        <w:autoSpaceDE w:val="0"/>
        <w:autoSpaceDN w:val="0"/>
        <w:adjustRightInd w:val="0"/>
        <w:spacing w:line="360" w:lineRule="auto"/>
        <w:ind w:left="360"/>
        <w:contextualSpacing/>
        <w:jc w:val="both"/>
        <w:rPr>
          <w:rFonts w:ascii="Palatino Linotype" w:hAnsi="Palatino Linotype" w:cs="Arial"/>
          <w:sz w:val="24"/>
          <w:szCs w:val="24"/>
        </w:rPr>
      </w:pPr>
      <w:r w:rsidRPr="00AD4DE0">
        <w:rPr>
          <w:rFonts w:ascii="Palatino Linotype" w:hAnsi="Palatino Linotype" w:cs="Arial"/>
          <w:sz w:val="24"/>
          <w:szCs w:val="24"/>
        </w:rPr>
        <w:t xml:space="preserve">Del Reglamento citado con anterioridad, se observa que </w:t>
      </w:r>
      <w:r w:rsidRPr="00AD4DE0">
        <w:rPr>
          <w:rFonts w:ascii="Palatino Linotype" w:hAnsi="Palatino Linotype" w:cs="Arial"/>
          <w:b/>
          <w:sz w:val="24"/>
          <w:szCs w:val="24"/>
          <w:u w:val="single"/>
        </w:rPr>
        <w:t xml:space="preserve">el censo se integra por </w:t>
      </w:r>
      <w:r w:rsidR="00C46D4E" w:rsidRPr="00AD4DE0">
        <w:rPr>
          <w:rFonts w:ascii="Palatino Linotype" w:hAnsi="Palatino Linotype" w:cs="Arial"/>
          <w:b/>
          <w:sz w:val="24"/>
          <w:szCs w:val="24"/>
          <w:u w:val="single"/>
        </w:rPr>
        <w:t>el número de tumbas, los datos de cada una, así como del columnario y la fosa común.</w:t>
      </w:r>
      <w:r w:rsidR="00C46D4E" w:rsidRPr="00AD4DE0">
        <w:rPr>
          <w:rFonts w:ascii="Palatino Linotype" w:hAnsi="Palatino Linotype" w:cs="Arial"/>
          <w:sz w:val="24"/>
          <w:szCs w:val="24"/>
        </w:rPr>
        <w:t xml:space="preserve"> Derivado de lo anterior, resulta oportuno analizar si la respuesta proporcionada por el Sujeto Obligado colmó la pretensión del Recurrente:</w:t>
      </w:r>
    </w:p>
    <w:tbl>
      <w:tblPr>
        <w:tblStyle w:val="Tablaconcuadrcula"/>
        <w:tblW w:w="0" w:type="auto"/>
        <w:tblInd w:w="360" w:type="dxa"/>
        <w:tblLook w:val="04A0" w:firstRow="1" w:lastRow="0" w:firstColumn="1" w:lastColumn="0" w:noHBand="0" w:noVBand="1"/>
      </w:tblPr>
      <w:tblGrid>
        <w:gridCol w:w="2602"/>
        <w:gridCol w:w="3202"/>
        <w:gridCol w:w="2878"/>
      </w:tblGrid>
      <w:tr w:rsidR="005737A7" w:rsidRPr="00AD4DE0" w14:paraId="2CB07C78" w14:textId="77777777" w:rsidTr="003B0586">
        <w:tc>
          <w:tcPr>
            <w:tcW w:w="2602" w:type="dxa"/>
            <w:tcBorders>
              <w:top w:val="double" w:sz="4" w:space="0" w:color="auto"/>
              <w:left w:val="double" w:sz="4" w:space="0" w:color="auto"/>
              <w:bottom w:val="double" w:sz="4" w:space="0" w:color="auto"/>
              <w:right w:val="double" w:sz="4" w:space="0" w:color="auto"/>
            </w:tcBorders>
            <w:shd w:val="clear" w:color="auto" w:fill="E7E6E6" w:themeFill="background2"/>
          </w:tcPr>
          <w:p w14:paraId="53084DB9" w14:textId="77777777" w:rsidR="00C46D4E" w:rsidRPr="00AD4DE0" w:rsidRDefault="005737A7" w:rsidP="005737A7">
            <w:pPr>
              <w:autoSpaceDE w:val="0"/>
              <w:autoSpaceDN w:val="0"/>
              <w:adjustRightInd w:val="0"/>
              <w:spacing w:line="360" w:lineRule="auto"/>
              <w:contextualSpacing/>
              <w:jc w:val="center"/>
              <w:rPr>
                <w:rFonts w:ascii="Palatino Linotype" w:hAnsi="Palatino Linotype" w:cs="Arial"/>
                <w:b/>
                <w:i/>
                <w:sz w:val="24"/>
                <w:szCs w:val="24"/>
              </w:rPr>
            </w:pPr>
            <w:r w:rsidRPr="00AD4DE0">
              <w:rPr>
                <w:rFonts w:ascii="Palatino Linotype" w:hAnsi="Palatino Linotype" w:cs="Arial"/>
                <w:b/>
                <w:i/>
                <w:sz w:val="24"/>
                <w:szCs w:val="24"/>
              </w:rPr>
              <w:lastRenderedPageBreak/>
              <w:t>Requerimiento</w:t>
            </w:r>
          </w:p>
        </w:tc>
        <w:tc>
          <w:tcPr>
            <w:tcW w:w="3202" w:type="dxa"/>
            <w:tcBorders>
              <w:top w:val="double" w:sz="4" w:space="0" w:color="auto"/>
              <w:left w:val="double" w:sz="4" w:space="0" w:color="auto"/>
              <w:bottom w:val="double" w:sz="4" w:space="0" w:color="auto"/>
              <w:right w:val="double" w:sz="4" w:space="0" w:color="auto"/>
            </w:tcBorders>
            <w:shd w:val="clear" w:color="auto" w:fill="E7E6E6" w:themeFill="background2"/>
          </w:tcPr>
          <w:p w14:paraId="009AA5FA" w14:textId="77777777" w:rsidR="00C46D4E" w:rsidRPr="00AD4DE0" w:rsidRDefault="005737A7" w:rsidP="005737A7">
            <w:pPr>
              <w:autoSpaceDE w:val="0"/>
              <w:autoSpaceDN w:val="0"/>
              <w:adjustRightInd w:val="0"/>
              <w:spacing w:line="360" w:lineRule="auto"/>
              <w:contextualSpacing/>
              <w:jc w:val="center"/>
              <w:rPr>
                <w:rFonts w:ascii="Palatino Linotype" w:hAnsi="Palatino Linotype" w:cs="Arial"/>
                <w:b/>
                <w:i/>
                <w:sz w:val="24"/>
                <w:szCs w:val="24"/>
              </w:rPr>
            </w:pPr>
            <w:r w:rsidRPr="00AD4DE0">
              <w:rPr>
                <w:rFonts w:ascii="Palatino Linotype" w:hAnsi="Palatino Linotype" w:cs="Arial"/>
                <w:b/>
                <w:i/>
                <w:sz w:val="24"/>
                <w:szCs w:val="24"/>
              </w:rPr>
              <w:t>Respuesta</w:t>
            </w:r>
          </w:p>
        </w:tc>
        <w:tc>
          <w:tcPr>
            <w:tcW w:w="2878" w:type="dxa"/>
            <w:tcBorders>
              <w:top w:val="double" w:sz="4" w:space="0" w:color="auto"/>
              <w:left w:val="double" w:sz="4" w:space="0" w:color="auto"/>
              <w:bottom w:val="double" w:sz="4" w:space="0" w:color="auto"/>
              <w:right w:val="double" w:sz="4" w:space="0" w:color="auto"/>
            </w:tcBorders>
            <w:shd w:val="clear" w:color="auto" w:fill="E7E6E6" w:themeFill="background2"/>
          </w:tcPr>
          <w:p w14:paraId="47DE0D49" w14:textId="77777777" w:rsidR="00C46D4E" w:rsidRPr="00AD4DE0" w:rsidRDefault="005737A7" w:rsidP="005737A7">
            <w:pPr>
              <w:autoSpaceDE w:val="0"/>
              <w:autoSpaceDN w:val="0"/>
              <w:adjustRightInd w:val="0"/>
              <w:spacing w:line="360" w:lineRule="auto"/>
              <w:contextualSpacing/>
              <w:jc w:val="center"/>
              <w:rPr>
                <w:rFonts w:ascii="Palatino Linotype" w:hAnsi="Palatino Linotype" w:cs="Arial"/>
                <w:b/>
                <w:i/>
                <w:sz w:val="24"/>
                <w:szCs w:val="24"/>
              </w:rPr>
            </w:pPr>
            <w:r w:rsidRPr="00AD4DE0">
              <w:rPr>
                <w:rFonts w:ascii="Palatino Linotype" w:hAnsi="Palatino Linotype" w:cs="Arial"/>
                <w:b/>
                <w:i/>
                <w:sz w:val="24"/>
                <w:szCs w:val="24"/>
              </w:rPr>
              <w:t>Colma</w:t>
            </w:r>
          </w:p>
        </w:tc>
      </w:tr>
      <w:tr w:rsidR="005737A7" w:rsidRPr="00AD4DE0" w14:paraId="00055AF1" w14:textId="77777777" w:rsidTr="003B0586">
        <w:tc>
          <w:tcPr>
            <w:tcW w:w="2602" w:type="dxa"/>
            <w:vMerge w:val="restart"/>
            <w:tcBorders>
              <w:top w:val="double" w:sz="4" w:space="0" w:color="auto"/>
              <w:left w:val="double" w:sz="4" w:space="0" w:color="auto"/>
              <w:right w:val="double" w:sz="4" w:space="0" w:color="auto"/>
            </w:tcBorders>
          </w:tcPr>
          <w:p w14:paraId="09A3C976" w14:textId="77777777" w:rsidR="005737A7" w:rsidRPr="00AD4DE0" w:rsidRDefault="005737A7" w:rsidP="005737A7">
            <w:pPr>
              <w:autoSpaceDE w:val="0"/>
              <w:autoSpaceDN w:val="0"/>
              <w:adjustRightInd w:val="0"/>
              <w:contextualSpacing/>
              <w:jc w:val="both"/>
              <w:rPr>
                <w:rFonts w:ascii="Palatino Linotype" w:hAnsi="Palatino Linotype" w:cs="Arial"/>
                <w:szCs w:val="24"/>
              </w:rPr>
            </w:pPr>
            <w:r w:rsidRPr="00AD4DE0">
              <w:rPr>
                <w:rFonts w:ascii="Palatino Linotype" w:hAnsi="Palatino Linotype" w:cs="Arial"/>
                <w:szCs w:val="24"/>
              </w:rPr>
              <w:t>Censo del panteón municipal, vigente al 01 de septiembre de 2023.</w:t>
            </w:r>
          </w:p>
          <w:p w14:paraId="6B745A61" w14:textId="77777777" w:rsidR="003B0586" w:rsidRPr="00AD4DE0" w:rsidRDefault="003B0586" w:rsidP="005737A7">
            <w:pPr>
              <w:autoSpaceDE w:val="0"/>
              <w:autoSpaceDN w:val="0"/>
              <w:adjustRightInd w:val="0"/>
              <w:contextualSpacing/>
              <w:jc w:val="both"/>
              <w:rPr>
                <w:rFonts w:ascii="Palatino Linotype" w:hAnsi="Palatino Linotype" w:cs="Arial"/>
                <w:szCs w:val="24"/>
              </w:rPr>
            </w:pPr>
          </w:p>
          <w:p w14:paraId="69BC2303" w14:textId="77777777" w:rsidR="003B0586" w:rsidRPr="00AD4DE0" w:rsidRDefault="003B0586" w:rsidP="005737A7">
            <w:pPr>
              <w:autoSpaceDE w:val="0"/>
              <w:autoSpaceDN w:val="0"/>
              <w:adjustRightInd w:val="0"/>
              <w:contextualSpacing/>
              <w:jc w:val="both"/>
              <w:rPr>
                <w:rFonts w:ascii="Palatino Linotype" w:hAnsi="Palatino Linotype" w:cs="Arial"/>
                <w:sz w:val="24"/>
                <w:szCs w:val="24"/>
              </w:rPr>
            </w:pPr>
            <w:r w:rsidRPr="00AD4DE0">
              <w:rPr>
                <w:rFonts w:ascii="Palatino Linotype" w:hAnsi="Palatino Linotype" w:cs="Arial"/>
                <w:szCs w:val="24"/>
              </w:rPr>
              <w:t xml:space="preserve"> </w:t>
            </w:r>
          </w:p>
        </w:tc>
        <w:tc>
          <w:tcPr>
            <w:tcW w:w="3202" w:type="dxa"/>
            <w:tcBorders>
              <w:top w:val="double" w:sz="4" w:space="0" w:color="auto"/>
              <w:left w:val="double" w:sz="4" w:space="0" w:color="auto"/>
              <w:bottom w:val="double" w:sz="4" w:space="0" w:color="auto"/>
              <w:right w:val="double" w:sz="4" w:space="0" w:color="auto"/>
            </w:tcBorders>
          </w:tcPr>
          <w:p w14:paraId="719819F5" w14:textId="77777777" w:rsidR="005737A7" w:rsidRPr="00AD4DE0" w:rsidRDefault="003B0586" w:rsidP="003B0586">
            <w:pPr>
              <w:autoSpaceDE w:val="0"/>
              <w:autoSpaceDN w:val="0"/>
              <w:adjustRightInd w:val="0"/>
              <w:contextualSpacing/>
              <w:jc w:val="both"/>
              <w:rPr>
                <w:rFonts w:ascii="Palatino Linotype" w:hAnsi="Palatino Linotype" w:cs="Arial"/>
                <w:i/>
                <w:sz w:val="24"/>
                <w:szCs w:val="24"/>
              </w:rPr>
            </w:pPr>
            <w:r w:rsidRPr="00AD4DE0">
              <w:rPr>
                <w:rFonts w:ascii="Palatino Linotype" w:hAnsi="Palatino Linotype" w:cs="Arial"/>
                <w:i/>
                <w:szCs w:val="24"/>
              </w:rPr>
              <w:t>Seis secciones de las cuales la primera consta de 11,422 fosas, la segunda 1,376, la tercera 3,007, la cuarta 1,113, la quinta con 11,094 y la sexta con 2000, dando un total de 20,012 fosas de las cuales todas se encuentran ocupadas</w:t>
            </w:r>
          </w:p>
        </w:tc>
        <w:tc>
          <w:tcPr>
            <w:tcW w:w="2878" w:type="dxa"/>
            <w:tcBorders>
              <w:top w:val="double" w:sz="4" w:space="0" w:color="auto"/>
              <w:left w:val="double" w:sz="4" w:space="0" w:color="auto"/>
              <w:bottom w:val="double" w:sz="4" w:space="0" w:color="auto"/>
              <w:right w:val="double" w:sz="4" w:space="0" w:color="auto"/>
            </w:tcBorders>
          </w:tcPr>
          <w:p w14:paraId="7328AD1C" w14:textId="77777777" w:rsidR="005737A7" w:rsidRPr="00AD4DE0" w:rsidRDefault="003B0586" w:rsidP="003B0586">
            <w:pPr>
              <w:autoSpaceDE w:val="0"/>
              <w:autoSpaceDN w:val="0"/>
              <w:adjustRightInd w:val="0"/>
              <w:spacing w:line="360" w:lineRule="auto"/>
              <w:contextualSpacing/>
              <w:jc w:val="center"/>
              <w:rPr>
                <w:rFonts w:ascii="Palatino Linotype" w:hAnsi="Palatino Linotype" w:cs="Arial"/>
                <w:i/>
                <w:sz w:val="24"/>
                <w:szCs w:val="24"/>
              </w:rPr>
            </w:pPr>
            <w:r w:rsidRPr="00AD4DE0">
              <w:rPr>
                <w:rFonts w:ascii="Palatino Linotype" w:hAnsi="Palatino Linotype" w:cs="Arial"/>
                <w:i/>
                <w:sz w:val="24"/>
                <w:szCs w:val="24"/>
              </w:rPr>
              <w:t>Parcialmente</w:t>
            </w:r>
          </w:p>
          <w:p w14:paraId="7A85F498" w14:textId="77777777" w:rsidR="003B0586" w:rsidRPr="00AD4DE0" w:rsidRDefault="003B0586" w:rsidP="003B0586">
            <w:pPr>
              <w:autoSpaceDE w:val="0"/>
              <w:autoSpaceDN w:val="0"/>
              <w:adjustRightInd w:val="0"/>
              <w:spacing w:line="360" w:lineRule="auto"/>
              <w:contextualSpacing/>
              <w:jc w:val="center"/>
              <w:rPr>
                <w:rFonts w:ascii="Palatino Linotype" w:hAnsi="Palatino Linotype" w:cs="Arial"/>
                <w:i/>
                <w:sz w:val="24"/>
                <w:szCs w:val="24"/>
              </w:rPr>
            </w:pPr>
            <w:r w:rsidRPr="00AD4DE0">
              <w:rPr>
                <w:rFonts w:ascii="Palatino Linotype" w:hAnsi="Palatino Linotype" w:cs="Arial"/>
                <w:i/>
                <w:sz w:val="24"/>
                <w:szCs w:val="24"/>
              </w:rPr>
              <w:t>Faltó el acuerdo de clasificación</w:t>
            </w:r>
          </w:p>
        </w:tc>
      </w:tr>
      <w:tr w:rsidR="00BF34F0" w:rsidRPr="00AD4DE0" w14:paraId="4C4D95B7" w14:textId="77777777" w:rsidTr="00BF34F0">
        <w:trPr>
          <w:trHeight w:val="1488"/>
        </w:trPr>
        <w:tc>
          <w:tcPr>
            <w:tcW w:w="2602" w:type="dxa"/>
            <w:vMerge/>
            <w:tcBorders>
              <w:left w:val="double" w:sz="4" w:space="0" w:color="auto"/>
              <w:right w:val="double" w:sz="4" w:space="0" w:color="auto"/>
            </w:tcBorders>
          </w:tcPr>
          <w:p w14:paraId="687E7C6E" w14:textId="77777777" w:rsidR="00BF34F0" w:rsidRPr="00AD4DE0" w:rsidRDefault="00BF34F0" w:rsidP="00806A1B">
            <w:pPr>
              <w:autoSpaceDE w:val="0"/>
              <w:autoSpaceDN w:val="0"/>
              <w:adjustRightInd w:val="0"/>
              <w:spacing w:line="360" w:lineRule="auto"/>
              <w:contextualSpacing/>
              <w:jc w:val="both"/>
              <w:rPr>
                <w:rFonts w:ascii="Palatino Linotype" w:hAnsi="Palatino Linotype" w:cs="Arial"/>
                <w:sz w:val="24"/>
                <w:szCs w:val="24"/>
              </w:rPr>
            </w:pPr>
          </w:p>
        </w:tc>
        <w:tc>
          <w:tcPr>
            <w:tcW w:w="3202" w:type="dxa"/>
            <w:tcBorders>
              <w:top w:val="double" w:sz="4" w:space="0" w:color="auto"/>
              <w:left w:val="double" w:sz="4" w:space="0" w:color="auto"/>
              <w:right w:val="double" w:sz="4" w:space="0" w:color="auto"/>
            </w:tcBorders>
          </w:tcPr>
          <w:p w14:paraId="57788099" w14:textId="77777777" w:rsidR="00BF34F0" w:rsidRPr="00AD4DE0" w:rsidRDefault="00BF34F0" w:rsidP="003B0586">
            <w:pPr>
              <w:autoSpaceDE w:val="0"/>
              <w:autoSpaceDN w:val="0"/>
              <w:adjustRightInd w:val="0"/>
              <w:contextualSpacing/>
              <w:jc w:val="both"/>
              <w:rPr>
                <w:rFonts w:ascii="Palatino Linotype" w:hAnsi="Palatino Linotype" w:cs="Arial"/>
                <w:i/>
                <w:sz w:val="24"/>
                <w:szCs w:val="24"/>
              </w:rPr>
            </w:pPr>
            <w:r w:rsidRPr="00AD4DE0">
              <w:rPr>
                <w:rFonts w:ascii="Palatino Linotype" w:hAnsi="Palatino Linotype" w:cs="Arial"/>
                <w:i/>
                <w:szCs w:val="24"/>
              </w:rPr>
              <w:t>NICHOS</w:t>
            </w:r>
            <w:r w:rsidRPr="00AD4DE0">
              <w:rPr>
                <w:rFonts w:ascii="Verdana" w:hAnsi="Verdana"/>
                <w:i/>
                <w:color w:val="000000"/>
                <w:sz w:val="16"/>
                <w:szCs w:val="18"/>
              </w:rPr>
              <w:t xml:space="preserve"> </w:t>
            </w:r>
            <w:r w:rsidRPr="00AD4DE0">
              <w:rPr>
                <w:rFonts w:ascii="Palatino Linotype" w:hAnsi="Palatino Linotype" w:cs="Arial"/>
                <w:i/>
                <w:szCs w:val="24"/>
              </w:rPr>
              <w:t>1,344, DE ELLOS 800 SIGUEN DISPONIBLES.</w:t>
            </w:r>
          </w:p>
        </w:tc>
        <w:tc>
          <w:tcPr>
            <w:tcW w:w="2878" w:type="dxa"/>
            <w:tcBorders>
              <w:top w:val="double" w:sz="4" w:space="0" w:color="auto"/>
              <w:left w:val="double" w:sz="4" w:space="0" w:color="auto"/>
              <w:right w:val="double" w:sz="4" w:space="0" w:color="auto"/>
            </w:tcBorders>
          </w:tcPr>
          <w:p w14:paraId="44EA3FDA" w14:textId="77777777" w:rsidR="00BF34F0" w:rsidRPr="00AD4DE0" w:rsidRDefault="00BF34F0" w:rsidP="003B0586">
            <w:pPr>
              <w:autoSpaceDE w:val="0"/>
              <w:autoSpaceDN w:val="0"/>
              <w:adjustRightInd w:val="0"/>
              <w:spacing w:line="360" w:lineRule="auto"/>
              <w:contextualSpacing/>
              <w:jc w:val="center"/>
              <w:rPr>
                <w:rFonts w:ascii="Palatino Linotype" w:hAnsi="Palatino Linotype" w:cs="Arial"/>
                <w:i/>
                <w:sz w:val="24"/>
                <w:szCs w:val="24"/>
              </w:rPr>
            </w:pPr>
            <w:r w:rsidRPr="00AD4DE0">
              <w:rPr>
                <w:rFonts w:ascii="Palatino Linotype" w:hAnsi="Palatino Linotype" w:cs="Arial"/>
                <w:i/>
                <w:sz w:val="24"/>
                <w:szCs w:val="24"/>
              </w:rPr>
              <w:t>Parcialmente</w:t>
            </w:r>
          </w:p>
          <w:p w14:paraId="69A078F7" w14:textId="77777777" w:rsidR="00BF34F0" w:rsidRPr="00AD4DE0" w:rsidRDefault="00BF34F0" w:rsidP="003B0586">
            <w:pPr>
              <w:autoSpaceDE w:val="0"/>
              <w:autoSpaceDN w:val="0"/>
              <w:adjustRightInd w:val="0"/>
              <w:spacing w:line="360" w:lineRule="auto"/>
              <w:contextualSpacing/>
              <w:jc w:val="center"/>
              <w:rPr>
                <w:rFonts w:ascii="Palatino Linotype" w:hAnsi="Palatino Linotype" w:cs="Arial"/>
                <w:i/>
                <w:sz w:val="24"/>
                <w:szCs w:val="24"/>
              </w:rPr>
            </w:pPr>
            <w:r w:rsidRPr="00AD4DE0">
              <w:rPr>
                <w:rFonts w:ascii="Palatino Linotype" w:hAnsi="Palatino Linotype" w:cs="Arial"/>
                <w:i/>
                <w:sz w:val="24"/>
                <w:szCs w:val="24"/>
              </w:rPr>
              <w:t>Faltó el acuerdo de clasificación</w:t>
            </w:r>
          </w:p>
        </w:tc>
      </w:tr>
    </w:tbl>
    <w:p w14:paraId="57755C3B" w14:textId="77777777" w:rsidR="00C46D4E" w:rsidRPr="00AD4DE0" w:rsidRDefault="00C46D4E" w:rsidP="00806A1B">
      <w:pPr>
        <w:autoSpaceDE w:val="0"/>
        <w:autoSpaceDN w:val="0"/>
        <w:adjustRightInd w:val="0"/>
        <w:spacing w:line="360" w:lineRule="auto"/>
        <w:ind w:left="360"/>
        <w:contextualSpacing/>
        <w:jc w:val="both"/>
        <w:rPr>
          <w:rFonts w:ascii="Palatino Linotype" w:hAnsi="Palatino Linotype" w:cs="Arial"/>
          <w:sz w:val="24"/>
          <w:szCs w:val="24"/>
        </w:rPr>
      </w:pPr>
    </w:p>
    <w:p w14:paraId="4C60199A" w14:textId="77777777" w:rsidR="00773CC8" w:rsidRPr="00AD4DE0" w:rsidRDefault="003B0586" w:rsidP="00806A1B">
      <w:pPr>
        <w:autoSpaceDE w:val="0"/>
        <w:autoSpaceDN w:val="0"/>
        <w:adjustRightInd w:val="0"/>
        <w:spacing w:line="360" w:lineRule="auto"/>
        <w:ind w:left="360"/>
        <w:contextualSpacing/>
        <w:jc w:val="both"/>
        <w:rPr>
          <w:rFonts w:ascii="Palatino Linotype" w:hAnsi="Palatino Linotype" w:cs="Arial"/>
          <w:sz w:val="24"/>
          <w:szCs w:val="24"/>
        </w:rPr>
      </w:pPr>
      <w:r w:rsidRPr="00AD4DE0">
        <w:rPr>
          <w:rFonts w:ascii="Palatino Linotype" w:hAnsi="Palatino Linotype" w:cs="Arial"/>
          <w:sz w:val="24"/>
          <w:szCs w:val="24"/>
        </w:rPr>
        <w:t>Conforme a los preceptos citados, se tiene que la aplicación del Reglamento corresponde al Presidente Municipal, por medio de la Dirección de Servicios Públicos; que el Ayuntamiento, mediante la Unidad Departamental de Panteones, otorgará a los usuarios los derechos de uso de fosas individuales y que para disponer de los servicios de panteones, los particulares deberán cubrir el pago de derechos establecidos en el Código Financiero del Estado de México y Municipios; finalmente, los títulos que amparen el derecho correspondiente no podrá ser objeto de venta o sesión.</w:t>
      </w:r>
    </w:p>
    <w:p w14:paraId="1DC2FE71" w14:textId="77777777" w:rsidR="003B0586" w:rsidRPr="00AD4DE0" w:rsidRDefault="003B0586" w:rsidP="00806A1B">
      <w:pPr>
        <w:autoSpaceDE w:val="0"/>
        <w:autoSpaceDN w:val="0"/>
        <w:adjustRightInd w:val="0"/>
        <w:spacing w:line="360" w:lineRule="auto"/>
        <w:ind w:left="360"/>
        <w:contextualSpacing/>
        <w:jc w:val="both"/>
        <w:rPr>
          <w:rFonts w:ascii="Palatino Linotype" w:hAnsi="Palatino Linotype" w:cs="Arial"/>
          <w:sz w:val="24"/>
          <w:szCs w:val="24"/>
        </w:rPr>
      </w:pPr>
    </w:p>
    <w:p w14:paraId="5CA7F231" w14:textId="77777777" w:rsidR="003B0586" w:rsidRPr="00AD4DE0" w:rsidRDefault="003B0586" w:rsidP="00806A1B">
      <w:pPr>
        <w:autoSpaceDE w:val="0"/>
        <w:autoSpaceDN w:val="0"/>
        <w:adjustRightInd w:val="0"/>
        <w:spacing w:line="360" w:lineRule="auto"/>
        <w:ind w:left="360"/>
        <w:contextualSpacing/>
        <w:jc w:val="both"/>
        <w:rPr>
          <w:rFonts w:ascii="Palatino Linotype" w:hAnsi="Palatino Linotype" w:cs="Arial"/>
          <w:sz w:val="24"/>
          <w:szCs w:val="24"/>
        </w:rPr>
      </w:pPr>
      <w:r w:rsidRPr="00AD4DE0">
        <w:rPr>
          <w:rFonts w:ascii="Palatino Linotype" w:hAnsi="Palatino Linotype" w:cs="Arial"/>
          <w:sz w:val="24"/>
          <w:szCs w:val="24"/>
        </w:rPr>
        <w:t xml:space="preserve">En ese tenor, se debe entender que los documentos solicitados por el Recurrente son generados, poseídos o administrados en el ejercicio de sus funciones, atribuciones o competencias, por lo que deben ser considerados como información pública, tal como se encuentra establecido en los artículos 4, 12 y 24 </w:t>
      </w:r>
      <w:r w:rsidRPr="00AD4DE0">
        <w:rPr>
          <w:rFonts w:ascii="Palatino Linotype" w:hAnsi="Palatino Linotype" w:cs="Arial"/>
          <w:sz w:val="24"/>
          <w:szCs w:val="24"/>
        </w:rPr>
        <w:lastRenderedPageBreak/>
        <w:t>último párrafo de la Ley de Transparencia local, que a la letra disponen lo siguiente:</w:t>
      </w:r>
    </w:p>
    <w:p w14:paraId="32032408" w14:textId="77777777" w:rsidR="003B0586" w:rsidRPr="00AD4DE0" w:rsidRDefault="003B0586" w:rsidP="00806A1B">
      <w:pPr>
        <w:autoSpaceDE w:val="0"/>
        <w:autoSpaceDN w:val="0"/>
        <w:adjustRightInd w:val="0"/>
        <w:spacing w:line="360" w:lineRule="auto"/>
        <w:ind w:left="360"/>
        <w:contextualSpacing/>
        <w:jc w:val="both"/>
        <w:rPr>
          <w:rFonts w:ascii="Palatino Linotype" w:hAnsi="Palatino Linotype" w:cs="Arial"/>
          <w:sz w:val="24"/>
          <w:szCs w:val="24"/>
        </w:rPr>
      </w:pPr>
    </w:p>
    <w:p w14:paraId="3D8A25C4" w14:textId="77777777" w:rsidR="003B0586" w:rsidRPr="00AD4DE0" w:rsidRDefault="003B0586" w:rsidP="003B0586">
      <w:pPr>
        <w:pStyle w:val="INFOEM0"/>
      </w:pPr>
      <w:r w:rsidRPr="00AD4DE0">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77D7A864" w14:textId="77777777" w:rsidR="003B0586" w:rsidRPr="00AD4DE0" w:rsidRDefault="003B0586" w:rsidP="003B0586">
      <w:pPr>
        <w:pStyle w:val="INFOEM0"/>
      </w:pPr>
      <w:r w:rsidRPr="00AD4DE0">
        <w:rPr>
          <w:b/>
          <w:u w:val="single"/>
        </w:rPr>
        <w:t>Toda la información generada, obtenida, adquirida, transformada, administrada o en posesión de los sujetos obligados es pública y accesible de manera permanente a cualquier persona,</w:t>
      </w:r>
      <w:r w:rsidRPr="00AD4DE0">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763FC84" w14:textId="77777777" w:rsidR="00285756" w:rsidRPr="00AD4DE0" w:rsidRDefault="003B0586" w:rsidP="003B0586">
      <w:pPr>
        <w:pStyle w:val="INFOEM0"/>
      </w:pPr>
      <w:r w:rsidRPr="00AD4DE0">
        <w:t xml:space="preserve">Artículo 12. Quienes generen, recopilen, administren, manejen, procesen, archiven o conserven información pública serán responsables de la misma en los términos de las disposiciones jurídicas aplicables. </w:t>
      </w:r>
    </w:p>
    <w:p w14:paraId="41DB14EB" w14:textId="77777777" w:rsidR="00285756" w:rsidRPr="00AD4DE0" w:rsidRDefault="003B0586" w:rsidP="003B0586">
      <w:pPr>
        <w:pStyle w:val="INFOEM0"/>
      </w:pPr>
      <w:r w:rsidRPr="00AD4DE0">
        <w:rPr>
          <w:b/>
          <w:u w:val="single"/>
        </w:rPr>
        <w:t>Los sujetos obligados sólo proporcionarán la información pública que se les requiera y que obre en sus archivos y en el estado en que ésta se encuentre.</w:t>
      </w:r>
      <w:r w:rsidRPr="00AD4DE0">
        <w:t xml:space="preserve"> La obligación de proporcionar información no comprende el procesamiento de la misma, ni el presentarla</w:t>
      </w:r>
      <w:r w:rsidR="00285756" w:rsidRPr="00AD4DE0">
        <w:t xml:space="preserve"> conforme al interés del solicitante; no </w:t>
      </w:r>
      <w:r w:rsidR="00285756" w:rsidRPr="00AD4DE0">
        <w:lastRenderedPageBreak/>
        <w:t xml:space="preserve">estarán obligados a generarla, resumirla, efectuar cálculos o practicar investigaciones. </w:t>
      </w:r>
    </w:p>
    <w:p w14:paraId="0CBE415C" w14:textId="77777777" w:rsidR="00285756" w:rsidRPr="00AD4DE0" w:rsidRDefault="00285756" w:rsidP="003B0586">
      <w:pPr>
        <w:pStyle w:val="INFOEM0"/>
      </w:pPr>
      <w:r w:rsidRPr="00AD4DE0">
        <w:t xml:space="preserve">Artículo 24. (…) </w:t>
      </w:r>
    </w:p>
    <w:p w14:paraId="79DE0C8F" w14:textId="77777777" w:rsidR="003B0586" w:rsidRPr="00AD4DE0" w:rsidRDefault="00285756" w:rsidP="003B0586">
      <w:pPr>
        <w:pStyle w:val="INFOEM0"/>
        <w:rPr>
          <w:b/>
          <w:u w:val="single"/>
        </w:rPr>
      </w:pPr>
      <w:r w:rsidRPr="00AD4DE0">
        <w:rPr>
          <w:b/>
          <w:u w:val="single"/>
        </w:rPr>
        <w:t xml:space="preserve">Los sujetos obligados solo proporcionarán la información pública que generen, administren o posean en el ejercicio de sus atribuciones. </w:t>
      </w:r>
    </w:p>
    <w:p w14:paraId="5694B53F" w14:textId="77777777" w:rsidR="00285756" w:rsidRPr="00AD4DE0" w:rsidRDefault="00285756" w:rsidP="00806A1B">
      <w:pPr>
        <w:autoSpaceDE w:val="0"/>
        <w:autoSpaceDN w:val="0"/>
        <w:adjustRightInd w:val="0"/>
        <w:spacing w:line="360" w:lineRule="auto"/>
        <w:ind w:left="360"/>
        <w:contextualSpacing/>
        <w:jc w:val="both"/>
        <w:rPr>
          <w:rFonts w:ascii="Palatino Linotype" w:hAnsi="Palatino Linotype" w:cs="Arial"/>
          <w:sz w:val="24"/>
          <w:szCs w:val="24"/>
        </w:rPr>
      </w:pPr>
    </w:p>
    <w:p w14:paraId="21FA0FED" w14:textId="77777777" w:rsidR="003B0586" w:rsidRPr="00AD4DE0" w:rsidRDefault="00285756" w:rsidP="00806A1B">
      <w:pPr>
        <w:autoSpaceDE w:val="0"/>
        <w:autoSpaceDN w:val="0"/>
        <w:adjustRightInd w:val="0"/>
        <w:spacing w:line="360" w:lineRule="auto"/>
        <w:ind w:left="360"/>
        <w:contextualSpacing/>
        <w:jc w:val="both"/>
        <w:rPr>
          <w:rFonts w:ascii="Palatino Linotype" w:hAnsi="Palatino Linotype" w:cs="Arial"/>
          <w:sz w:val="24"/>
          <w:szCs w:val="24"/>
        </w:rPr>
      </w:pPr>
      <w:r w:rsidRPr="00AD4DE0">
        <w:rPr>
          <w:rFonts w:ascii="Palatino Linotype" w:hAnsi="Palatino Linotype" w:cs="Arial"/>
          <w:sz w:val="24"/>
          <w:szCs w:val="24"/>
        </w:rPr>
        <w:t>Empero, si bien es cierto que los documentos requeridos son públicos, también lo es que la asignación de fosas individuales, nichos y fosas comunes son tramites a solicitud de particulares para realizar una inhumación de un cuerpo, por lo que se considera que la documentación solicitada es de interés personal de los peticionarios y que en ella se contienen datos personales susceptibles de ser clasificados. Por tal motivo, atendiendo a la naturaleza jurídica de dichos documentos los mismos son susceptibles de clasificarse como totalmente confidenciales, de acuerdo al artículo 116, párrafo primero de la Ley General de Trasparencia, a la par de lo señalado en el artículo 143, fracción I, de la Ley de Transparencia y acceso a la Información Pública del Estado de México y Municipios, que señalan lo siguiente:</w:t>
      </w:r>
    </w:p>
    <w:p w14:paraId="1141A901" w14:textId="77777777" w:rsidR="00285756" w:rsidRPr="00AD4DE0" w:rsidRDefault="00285756" w:rsidP="00285756">
      <w:pPr>
        <w:pStyle w:val="INFOEM0"/>
      </w:pPr>
      <w:r w:rsidRPr="00AD4DE0">
        <w:t>Artículo 116. Se considera información confidencial la que contiene datos personales concernientes a una persona identificada o identificable (…)</w:t>
      </w:r>
    </w:p>
    <w:p w14:paraId="1EFD3DCB" w14:textId="77777777" w:rsidR="00285756" w:rsidRPr="00AD4DE0" w:rsidRDefault="00285756" w:rsidP="00285756">
      <w:pPr>
        <w:pStyle w:val="INFOEM0"/>
      </w:pPr>
      <w:r w:rsidRPr="00AD4DE0">
        <w:t>Artículo 143.- Para los efectos de esta ley se considera información confidencial la clasificada como tal, de manera permanente por su naturaleza cuando:</w:t>
      </w:r>
    </w:p>
    <w:p w14:paraId="74385196" w14:textId="77777777" w:rsidR="00285756" w:rsidRPr="00AD4DE0" w:rsidRDefault="00285756" w:rsidP="00285756">
      <w:pPr>
        <w:pStyle w:val="INFOEM0"/>
      </w:pPr>
      <w:r w:rsidRPr="00AD4DE0">
        <w:lastRenderedPageBreak/>
        <w:t xml:space="preserve">I. Se refiera a la información privada y los datos personales concernientes a una persona física o </w:t>
      </w:r>
      <w:proofErr w:type="gramStart"/>
      <w:r w:rsidRPr="00AD4DE0">
        <w:t>jurídico</w:t>
      </w:r>
      <w:proofErr w:type="gramEnd"/>
      <w:r w:rsidRPr="00AD4DE0">
        <w:t xml:space="preserve"> colectiva identificada o identificable</w:t>
      </w:r>
    </w:p>
    <w:p w14:paraId="2F9ED437" w14:textId="77777777" w:rsidR="00285756" w:rsidRPr="00AD4DE0" w:rsidRDefault="00285756" w:rsidP="00285756">
      <w:pPr>
        <w:pStyle w:val="INFOEM0"/>
      </w:pPr>
      <w:r w:rsidRPr="00AD4DE0">
        <w:t>(…)</w:t>
      </w:r>
      <w:r w:rsidRPr="00AD4DE0">
        <w:cr/>
      </w:r>
    </w:p>
    <w:p w14:paraId="7B400B08" w14:textId="77777777" w:rsidR="00285756" w:rsidRPr="00AD4DE0" w:rsidRDefault="00285756" w:rsidP="00806A1B">
      <w:pPr>
        <w:autoSpaceDE w:val="0"/>
        <w:autoSpaceDN w:val="0"/>
        <w:adjustRightInd w:val="0"/>
        <w:spacing w:line="360" w:lineRule="auto"/>
        <w:ind w:left="360"/>
        <w:contextualSpacing/>
        <w:jc w:val="both"/>
        <w:rPr>
          <w:rFonts w:ascii="Palatino Linotype" w:hAnsi="Palatino Linotype" w:cs="Arial"/>
          <w:sz w:val="24"/>
          <w:szCs w:val="24"/>
        </w:rPr>
      </w:pPr>
      <w:r w:rsidRPr="00AD4DE0">
        <w:rPr>
          <w:rFonts w:ascii="Palatino Linotype" w:hAnsi="Palatino Linotype" w:cs="Arial"/>
          <w:sz w:val="24"/>
          <w:szCs w:val="24"/>
        </w:rPr>
        <w:t xml:space="preserve">Ahora bien, la información requerida por el Recurrente, constituye documentos que de ser entregados, aún en versión pública, el contenido estaría testado en su mayoría, dejándose observar únicamente lo correspondiente al formato principal o básico de dichas constancias, lo cual alude a un documento que contiene información irrelevante, esto en razón de que la información que fuese testada constituye información referente a la esfera privada de su titular, ya que se trata de información personal que permite la identificación de un individuo que, en su caso, podría otorgar acceso a terceros y posteriormente pudiese derivar en un mal uso de información, máxime a que de ella no se desprende el ejercicio de las atribuciones que tenga el titular como servidor público o bien, la aplicación de recursos públicos, por esta situación debe considerarse información confidencial en términos de los artículos 143, fracción I, de la Ley de Transparencia del Estado de México y Municipios y 4, fracciones XI y XII, de la Ley de Protección de Datos Personales en Posesión de Sujetos Obligados del Estado de México y Municipios; razón por la cual con la finalidad de garantizar el pleno ejercicio del derecho de acceso a la información pública, lo dable es ordenar al Sujeto Obligado que emita el Acuerdo del Comité de Transparencia por medio del cual clasifique en su totalidad </w:t>
      </w:r>
      <w:r w:rsidRPr="00AD4DE0">
        <w:rPr>
          <w:rFonts w:ascii="Palatino Linotype" w:hAnsi="Palatino Linotype" w:cs="Arial"/>
          <w:b/>
          <w:sz w:val="24"/>
          <w:szCs w:val="24"/>
        </w:rPr>
        <w:t xml:space="preserve">como confidencial </w:t>
      </w:r>
      <w:r w:rsidR="00E57E81" w:rsidRPr="00AD4DE0">
        <w:rPr>
          <w:rFonts w:ascii="Palatino Linotype" w:hAnsi="Palatino Linotype" w:cs="Arial"/>
          <w:b/>
          <w:sz w:val="24"/>
          <w:szCs w:val="24"/>
        </w:rPr>
        <w:t>los registros</w:t>
      </w:r>
      <w:r w:rsidR="00E57E81" w:rsidRPr="00AD4DE0">
        <w:rPr>
          <w:rFonts w:ascii="Palatino Linotype" w:hAnsi="Palatino Linotype" w:cs="Arial"/>
          <w:sz w:val="24"/>
          <w:szCs w:val="24"/>
        </w:rPr>
        <w:t xml:space="preserve"> de las fosas individuales, columnario municipal y fosas comunes. </w:t>
      </w:r>
    </w:p>
    <w:p w14:paraId="62F435EE" w14:textId="77777777" w:rsidR="00806A1B" w:rsidRPr="00AD4DE0" w:rsidRDefault="00806A1B" w:rsidP="00806A1B">
      <w:pPr>
        <w:tabs>
          <w:tab w:val="left" w:pos="7938"/>
        </w:tabs>
        <w:spacing w:line="360" w:lineRule="auto"/>
        <w:jc w:val="both"/>
        <w:rPr>
          <w:rFonts w:ascii="Palatino Linotype" w:eastAsia="Arial Unicode MS" w:hAnsi="Palatino Linotype" w:cs="Arial"/>
          <w:sz w:val="24"/>
        </w:rPr>
      </w:pPr>
      <w:r w:rsidRPr="00AD4DE0">
        <w:rPr>
          <w:rFonts w:ascii="Palatino Linotype" w:eastAsia="Arial Unicode MS" w:hAnsi="Palatino Linotype" w:cs="Arial"/>
          <w:sz w:val="24"/>
        </w:rPr>
        <w:lastRenderedPageBreak/>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4DC5C766" w14:textId="77777777" w:rsidR="00806A1B" w:rsidRPr="00AD4DE0" w:rsidRDefault="00806A1B" w:rsidP="00806A1B">
      <w:pPr>
        <w:tabs>
          <w:tab w:val="left" w:pos="7938"/>
        </w:tabs>
        <w:spacing w:line="360" w:lineRule="auto"/>
        <w:ind w:left="360"/>
        <w:jc w:val="both"/>
        <w:rPr>
          <w:rFonts w:ascii="Palatino Linotype" w:eastAsia="Arial Unicode MS" w:hAnsi="Palatino Linotype" w:cs="Arial"/>
          <w:sz w:val="24"/>
        </w:rPr>
      </w:pPr>
      <w:r w:rsidRPr="00AD4DE0">
        <w:rPr>
          <w:rFonts w:ascii="Palatino Linotype" w:eastAsia="Arial Unicode MS" w:hAnsi="Palatino Linotype" w:cs="Arial"/>
          <w:sz w:val="24"/>
        </w:rPr>
        <w:t> </w:t>
      </w:r>
    </w:p>
    <w:p w14:paraId="377F6906" w14:textId="77777777" w:rsidR="00806A1B" w:rsidRPr="00AD4DE0" w:rsidRDefault="00806A1B" w:rsidP="00806A1B">
      <w:pPr>
        <w:shd w:val="clear" w:color="auto" w:fill="FFFFFF"/>
        <w:ind w:left="360" w:right="567"/>
        <w:jc w:val="both"/>
        <w:rPr>
          <w:rFonts w:ascii="Palatino Linotype" w:hAnsi="Palatino Linotype"/>
          <w:color w:val="222222"/>
          <w:sz w:val="24"/>
          <w:lang w:eastAsia="es-MX"/>
        </w:rPr>
      </w:pPr>
      <w:r w:rsidRPr="00AD4DE0">
        <w:rPr>
          <w:rFonts w:ascii="Palatino Linotype" w:hAnsi="Palatino Linotype"/>
          <w:b/>
          <w:bCs/>
          <w:i/>
          <w:iCs/>
          <w:color w:val="222222"/>
          <w:sz w:val="24"/>
          <w:lang w:eastAsia="es-MX"/>
        </w:rPr>
        <w:t>Artículo 3. Para los efectos de la presente Ley se entenderá por:</w:t>
      </w:r>
    </w:p>
    <w:p w14:paraId="2DECE445" w14:textId="77777777" w:rsidR="00806A1B" w:rsidRPr="00AD4DE0" w:rsidRDefault="00806A1B" w:rsidP="00806A1B">
      <w:pPr>
        <w:shd w:val="clear" w:color="auto" w:fill="FFFFFF"/>
        <w:ind w:left="360" w:right="567"/>
        <w:jc w:val="both"/>
        <w:rPr>
          <w:rFonts w:ascii="Palatino Linotype" w:hAnsi="Palatino Linotype"/>
          <w:color w:val="222222"/>
          <w:sz w:val="24"/>
          <w:lang w:eastAsia="es-MX"/>
        </w:rPr>
      </w:pPr>
      <w:r w:rsidRPr="00AD4DE0">
        <w:rPr>
          <w:rFonts w:ascii="Palatino Linotype" w:hAnsi="Palatino Linotype"/>
          <w:b/>
          <w:bCs/>
          <w:i/>
          <w:iCs/>
          <w:color w:val="222222"/>
          <w:sz w:val="24"/>
          <w:lang w:eastAsia="es-MX"/>
        </w:rPr>
        <w:t>[…]</w:t>
      </w:r>
    </w:p>
    <w:p w14:paraId="73FE03C7" w14:textId="77777777" w:rsidR="00806A1B" w:rsidRPr="00AD4DE0" w:rsidRDefault="00806A1B" w:rsidP="00806A1B">
      <w:pPr>
        <w:shd w:val="clear" w:color="auto" w:fill="FFFFFF"/>
        <w:ind w:left="360" w:right="567"/>
        <w:jc w:val="both"/>
        <w:rPr>
          <w:rFonts w:ascii="Palatino Linotype" w:hAnsi="Palatino Linotype"/>
          <w:color w:val="222222"/>
          <w:sz w:val="24"/>
          <w:lang w:eastAsia="es-MX"/>
        </w:rPr>
      </w:pPr>
      <w:r w:rsidRPr="00AD4DE0">
        <w:rPr>
          <w:rFonts w:ascii="Palatino Linotype" w:hAnsi="Palatino Linotype"/>
          <w:b/>
          <w:bCs/>
          <w:i/>
          <w:iCs/>
          <w:color w:val="222222"/>
          <w:sz w:val="24"/>
          <w:lang w:eastAsia="es-MX"/>
        </w:rPr>
        <w:t>IX. Datos personales: La información concerniente a una persona, identificada o identificable según lo dispuesto por la Ley de Protección de Datos Personales del Estado de México;</w:t>
      </w:r>
    </w:p>
    <w:p w14:paraId="72E3EBE4" w14:textId="77777777" w:rsidR="00806A1B" w:rsidRPr="00AD4DE0" w:rsidRDefault="00806A1B" w:rsidP="00806A1B">
      <w:pPr>
        <w:shd w:val="clear" w:color="auto" w:fill="FFFFFF"/>
        <w:ind w:left="360" w:right="567"/>
        <w:jc w:val="both"/>
        <w:rPr>
          <w:rFonts w:ascii="Palatino Linotype" w:hAnsi="Palatino Linotype"/>
          <w:color w:val="222222"/>
          <w:sz w:val="24"/>
          <w:lang w:eastAsia="es-MX"/>
        </w:rPr>
      </w:pPr>
      <w:r w:rsidRPr="00AD4DE0">
        <w:rPr>
          <w:rFonts w:ascii="Palatino Linotype" w:hAnsi="Palatino Linotype"/>
          <w:b/>
          <w:bCs/>
          <w:i/>
          <w:iCs/>
          <w:color w:val="222222"/>
          <w:sz w:val="24"/>
          <w:lang w:eastAsia="es-MX"/>
        </w:rPr>
        <w:t>[…]</w:t>
      </w:r>
    </w:p>
    <w:p w14:paraId="2CDD7ABF" w14:textId="77777777" w:rsidR="00806A1B" w:rsidRPr="00AD4DE0" w:rsidRDefault="00806A1B" w:rsidP="00806A1B">
      <w:pPr>
        <w:shd w:val="clear" w:color="auto" w:fill="FFFFFF"/>
        <w:ind w:left="360" w:right="567"/>
        <w:jc w:val="both"/>
        <w:rPr>
          <w:rFonts w:ascii="Palatino Linotype" w:hAnsi="Palatino Linotype"/>
          <w:color w:val="222222"/>
          <w:sz w:val="24"/>
          <w:lang w:eastAsia="es-MX"/>
        </w:rPr>
      </w:pPr>
      <w:r w:rsidRPr="00AD4DE0">
        <w:rPr>
          <w:rFonts w:ascii="Palatino Linotype" w:hAnsi="Palatino Linotype"/>
          <w:b/>
          <w:bCs/>
          <w:i/>
          <w:iCs/>
          <w:color w:val="222222"/>
          <w:sz w:val="24"/>
          <w:lang w:eastAsia="es-MX"/>
        </w:rPr>
        <w:t>XLV. Versión pública: Documento en el que se elimine, suprime o borra la información clasificada como reservada o confidencial para permitir su acceso.</w:t>
      </w:r>
    </w:p>
    <w:p w14:paraId="47BAC109" w14:textId="77777777" w:rsidR="00806A1B" w:rsidRPr="00AD4DE0" w:rsidRDefault="00806A1B" w:rsidP="00806A1B">
      <w:pPr>
        <w:shd w:val="clear" w:color="auto" w:fill="FFFFFF"/>
        <w:ind w:left="360" w:right="567"/>
        <w:jc w:val="both"/>
        <w:rPr>
          <w:rFonts w:ascii="Palatino Linotype" w:hAnsi="Palatino Linotype"/>
          <w:color w:val="222222"/>
          <w:sz w:val="24"/>
          <w:lang w:eastAsia="es-MX"/>
        </w:rPr>
      </w:pPr>
      <w:r w:rsidRPr="00AD4DE0">
        <w:rPr>
          <w:rFonts w:ascii="Palatino Linotype" w:hAnsi="Palatino Linotype"/>
          <w:b/>
          <w:bCs/>
          <w:i/>
          <w:iCs/>
          <w:color w:val="222222"/>
          <w:sz w:val="24"/>
          <w:lang w:eastAsia="es-MX"/>
        </w:rPr>
        <w:t> </w:t>
      </w:r>
    </w:p>
    <w:p w14:paraId="628C5354" w14:textId="77777777" w:rsidR="00806A1B" w:rsidRPr="00AD4DE0" w:rsidRDefault="00806A1B" w:rsidP="00806A1B">
      <w:pPr>
        <w:shd w:val="clear" w:color="auto" w:fill="FFFFFF"/>
        <w:ind w:left="360" w:right="567"/>
        <w:jc w:val="both"/>
        <w:rPr>
          <w:rFonts w:ascii="Palatino Linotype" w:hAnsi="Palatino Linotype"/>
          <w:color w:val="222222"/>
          <w:sz w:val="24"/>
          <w:lang w:eastAsia="es-MX"/>
        </w:rPr>
      </w:pPr>
      <w:r w:rsidRPr="00AD4DE0">
        <w:rPr>
          <w:rFonts w:ascii="Palatino Linotype" w:hAnsi="Palatino Linotype"/>
          <w:b/>
          <w:bCs/>
          <w:i/>
          <w:iCs/>
          <w:color w:val="222222"/>
          <w:sz w:val="24"/>
          <w:lang w:eastAsia="es-MX"/>
        </w:rPr>
        <w:t>Artículo 122.</w:t>
      </w:r>
      <w:r w:rsidRPr="00AD4DE0">
        <w:rPr>
          <w:rFonts w:ascii="Palatino Linotype" w:hAnsi="Palatino Linotype"/>
          <w:i/>
          <w:iCs/>
          <w:color w:val="222222"/>
          <w:sz w:val="24"/>
          <w:lang w:eastAsia="es-MX"/>
        </w:rPr>
        <w:t xml:space="preserve"> La clasificación es el proceso mediante el cual el sujeto obligado determina que la información en su poder </w:t>
      </w:r>
      <w:proofErr w:type="spellStart"/>
      <w:r w:rsidRPr="00AD4DE0">
        <w:rPr>
          <w:rFonts w:ascii="Palatino Linotype" w:hAnsi="Palatino Linotype"/>
          <w:i/>
          <w:iCs/>
          <w:color w:val="222222"/>
          <w:sz w:val="24"/>
          <w:lang w:eastAsia="es-MX"/>
        </w:rPr>
        <w:t>actualiza</w:t>
      </w:r>
      <w:proofErr w:type="spellEnd"/>
      <w:r w:rsidRPr="00AD4DE0">
        <w:rPr>
          <w:rFonts w:ascii="Palatino Linotype" w:hAnsi="Palatino Linotype"/>
          <w:i/>
          <w:iCs/>
          <w:color w:val="222222"/>
          <w:sz w:val="24"/>
          <w:lang w:eastAsia="es-MX"/>
        </w:rPr>
        <w:t xml:space="preserve"> alguno de los supuestos de reserva o confidencialidad, de conformidad con lo dispuesto en el presente título.</w:t>
      </w:r>
    </w:p>
    <w:p w14:paraId="3C65AE49" w14:textId="77777777" w:rsidR="00806A1B" w:rsidRPr="00AD4DE0" w:rsidRDefault="00806A1B" w:rsidP="00806A1B">
      <w:pPr>
        <w:shd w:val="clear" w:color="auto" w:fill="FFFFFF"/>
        <w:ind w:left="360" w:right="567"/>
        <w:jc w:val="both"/>
        <w:rPr>
          <w:rFonts w:ascii="Palatino Linotype" w:hAnsi="Palatino Linotype"/>
          <w:color w:val="222222"/>
          <w:sz w:val="24"/>
          <w:lang w:eastAsia="es-MX"/>
        </w:rPr>
      </w:pPr>
      <w:r w:rsidRPr="00AD4DE0">
        <w:rPr>
          <w:rFonts w:ascii="Palatino Linotype" w:hAnsi="Palatino Linotype"/>
          <w:i/>
          <w:iCs/>
          <w:color w:val="222222"/>
          <w:sz w:val="24"/>
          <w:lang w:eastAsia="es-MX"/>
        </w:rPr>
        <w:t>[…]</w:t>
      </w:r>
    </w:p>
    <w:p w14:paraId="23DBE829" w14:textId="77777777" w:rsidR="00806A1B" w:rsidRPr="00AD4DE0" w:rsidRDefault="00806A1B" w:rsidP="00806A1B">
      <w:pPr>
        <w:shd w:val="clear" w:color="auto" w:fill="FFFFFF"/>
        <w:ind w:left="360" w:right="567"/>
        <w:jc w:val="both"/>
        <w:rPr>
          <w:rFonts w:ascii="Palatino Linotype" w:hAnsi="Palatino Linotype"/>
          <w:color w:val="222222"/>
          <w:sz w:val="24"/>
          <w:lang w:eastAsia="es-MX"/>
        </w:rPr>
      </w:pPr>
      <w:r w:rsidRPr="00AD4DE0">
        <w:rPr>
          <w:rFonts w:ascii="Palatino Linotype" w:hAnsi="Palatino Linotype"/>
          <w:b/>
          <w:bCs/>
          <w:i/>
          <w:iCs/>
          <w:color w:val="222222"/>
          <w:sz w:val="24"/>
          <w:lang w:eastAsia="es-MX"/>
        </w:rPr>
        <w:lastRenderedPageBreak/>
        <w:t>Artículo 132.</w:t>
      </w:r>
      <w:r w:rsidRPr="00AD4DE0">
        <w:rPr>
          <w:rFonts w:ascii="Palatino Linotype" w:hAnsi="Palatino Linotype"/>
          <w:i/>
          <w:iCs/>
          <w:color w:val="222222"/>
          <w:sz w:val="24"/>
          <w:lang w:eastAsia="es-MX"/>
        </w:rPr>
        <w:t> La clasificación de la información se llevará a cabo en el momento en que:</w:t>
      </w:r>
    </w:p>
    <w:p w14:paraId="466624DE" w14:textId="77777777" w:rsidR="00806A1B" w:rsidRPr="00AD4DE0" w:rsidRDefault="00806A1B" w:rsidP="00806A1B">
      <w:pPr>
        <w:shd w:val="clear" w:color="auto" w:fill="FFFFFF"/>
        <w:ind w:left="360" w:right="567"/>
        <w:jc w:val="both"/>
        <w:rPr>
          <w:rFonts w:ascii="Palatino Linotype" w:hAnsi="Palatino Linotype"/>
          <w:color w:val="222222"/>
          <w:sz w:val="24"/>
          <w:lang w:eastAsia="es-MX"/>
        </w:rPr>
      </w:pPr>
      <w:r w:rsidRPr="00AD4DE0">
        <w:rPr>
          <w:rFonts w:ascii="Palatino Linotype" w:hAnsi="Palatino Linotype"/>
          <w:i/>
          <w:iCs/>
          <w:color w:val="222222"/>
          <w:sz w:val="24"/>
          <w:lang w:eastAsia="es-MX"/>
        </w:rPr>
        <w:t>[…]</w:t>
      </w:r>
    </w:p>
    <w:p w14:paraId="57A1266C" w14:textId="77777777" w:rsidR="00806A1B" w:rsidRPr="00AD4DE0" w:rsidRDefault="00806A1B" w:rsidP="00806A1B">
      <w:pPr>
        <w:shd w:val="clear" w:color="auto" w:fill="FFFFFF"/>
        <w:ind w:left="360" w:right="567"/>
        <w:jc w:val="both"/>
        <w:rPr>
          <w:rFonts w:ascii="Palatino Linotype" w:hAnsi="Palatino Linotype"/>
          <w:color w:val="222222"/>
          <w:sz w:val="24"/>
          <w:lang w:eastAsia="es-MX"/>
        </w:rPr>
      </w:pPr>
      <w:r w:rsidRPr="00AD4DE0">
        <w:rPr>
          <w:rFonts w:ascii="Palatino Linotype" w:hAnsi="Palatino Linotype"/>
          <w:b/>
          <w:bCs/>
          <w:i/>
          <w:iCs/>
          <w:color w:val="222222"/>
          <w:sz w:val="24"/>
          <w:lang w:eastAsia="es-MX"/>
        </w:rPr>
        <w:t>II. Se determine mediante resolución de autoridad competente; o</w:t>
      </w:r>
    </w:p>
    <w:p w14:paraId="5C4BEBE7" w14:textId="77777777" w:rsidR="00806A1B" w:rsidRPr="00AD4DE0" w:rsidRDefault="00806A1B" w:rsidP="00806A1B">
      <w:pPr>
        <w:shd w:val="clear" w:color="auto" w:fill="FFFFFF"/>
        <w:ind w:left="360" w:right="567"/>
        <w:jc w:val="both"/>
        <w:rPr>
          <w:rFonts w:ascii="Palatino Linotype" w:hAnsi="Palatino Linotype"/>
          <w:color w:val="222222"/>
          <w:sz w:val="24"/>
          <w:lang w:eastAsia="es-MX"/>
        </w:rPr>
      </w:pPr>
      <w:r w:rsidRPr="00AD4DE0">
        <w:rPr>
          <w:rFonts w:ascii="Palatino Linotype" w:hAnsi="Palatino Linotype"/>
          <w:b/>
          <w:bCs/>
          <w:i/>
          <w:iCs/>
          <w:color w:val="222222"/>
          <w:sz w:val="24"/>
          <w:lang w:eastAsia="es-MX"/>
        </w:rPr>
        <w:t> </w:t>
      </w:r>
    </w:p>
    <w:p w14:paraId="67A5E19F" w14:textId="77777777" w:rsidR="00806A1B" w:rsidRPr="00AD4DE0" w:rsidRDefault="00806A1B" w:rsidP="00806A1B">
      <w:pPr>
        <w:shd w:val="clear" w:color="auto" w:fill="FFFFFF"/>
        <w:ind w:left="360" w:right="567"/>
        <w:jc w:val="both"/>
        <w:rPr>
          <w:rFonts w:ascii="Palatino Linotype" w:hAnsi="Palatino Linotype"/>
          <w:b/>
          <w:bCs/>
          <w:i/>
          <w:iCs/>
          <w:color w:val="222222"/>
          <w:sz w:val="24"/>
          <w:u w:val="single"/>
          <w:lang w:eastAsia="es-MX"/>
        </w:rPr>
      </w:pPr>
      <w:r w:rsidRPr="00AD4DE0">
        <w:rPr>
          <w:rFonts w:ascii="Palatino Linotype" w:hAnsi="Palatino Linotype"/>
          <w:b/>
          <w:bCs/>
          <w:i/>
          <w:iCs/>
          <w:color w:val="222222"/>
          <w:sz w:val="24"/>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AD4DE0">
        <w:rPr>
          <w:rFonts w:ascii="Palatino Linotype" w:hAnsi="Palatino Linotype"/>
          <w:b/>
          <w:bCs/>
          <w:i/>
          <w:iCs/>
          <w:color w:val="222222"/>
          <w:sz w:val="24"/>
          <w:u w:val="single"/>
          <w:lang w:eastAsia="es-MX"/>
        </w:rPr>
        <w:t>de manera genérica y fundando y motivando su clasificación.”</w:t>
      </w:r>
    </w:p>
    <w:p w14:paraId="61CD6F65" w14:textId="77777777" w:rsidR="002E05E3" w:rsidRPr="00AD4DE0" w:rsidRDefault="002E05E3" w:rsidP="002E05E3">
      <w:pPr>
        <w:pStyle w:val="INFOEM0"/>
        <w:ind w:left="426" w:right="567"/>
        <w:rPr>
          <w:lang w:eastAsia="es-MX"/>
        </w:rPr>
      </w:pPr>
      <w:r w:rsidRPr="00AD4DE0">
        <w:rPr>
          <w:lang w:eastAsia="es-MX"/>
        </w:rPr>
        <w:t xml:space="preserve">Artículo 143. Para los efectos de esta Ley se considera información confidencial, la clasificada como tal, de manera permanente, por su naturaleza, cuando: I. Se refiera a la información privada y los datos personales concernientes a una persona física o </w:t>
      </w:r>
      <w:proofErr w:type="gramStart"/>
      <w:r w:rsidRPr="00AD4DE0">
        <w:rPr>
          <w:lang w:eastAsia="es-MX"/>
        </w:rPr>
        <w:t>jurídico</w:t>
      </w:r>
      <w:proofErr w:type="gramEnd"/>
      <w:r w:rsidRPr="00AD4DE0">
        <w:rPr>
          <w:lang w:eastAsia="es-MX"/>
        </w:rPr>
        <w:t xml:space="preserve"> colectiva identificada o identificable... (Sic)</w:t>
      </w:r>
    </w:p>
    <w:p w14:paraId="21375F58" w14:textId="77777777" w:rsidR="002E05E3" w:rsidRPr="00AD4DE0" w:rsidRDefault="002E05E3" w:rsidP="002E05E3">
      <w:pPr>
        <w:tabs>
          <w:tab w:val="left" w:pos="7938"/>
        </w:tabs>
        <w:spacing w:line="360" w:lineRule="auto"/>
        <w:jc w:val="both"/>
        <w:rPr>
          <w:rFonts w:ascii="Palatino Linotype" w:eastAsia="Arial Unicode MS" w:hAnsi="Palatino Linotype" w:cs="Arial"/>
          <w:sz w:val="24"/>
        </w:rPr>
      </w:pPr>
    </w:p>
    <w:p w14:paraId="64516ACA" w14:textId="77777777" w:rsidR="002E05E3" w:rsidRPr="00AD4DE0" w:rsidRDefault="002E05E3" w:rsidP="002E05E3">
      <w:pPr>
        <w:tabs>
          <w:tab w:val="left" w:pos="7938"/>
        </w:tabs>
        <w:spacing w:line="360" w:lineRule="auto"/>
        <w:jc w:val="both"/>
        <w:rPr>
          <w:rFonts w:ascii="Palatino Linotype" w:eastAsia="Arial Unicode MS" w:hAnsi="Palatino Linotype" w:cs="Arial"/>
          <w:sz w:val="24"/>
        </w:rPr>
      </w:pPr>
      <w:r w:rsidRPr="00AD4DE0">
        <w:rPr>
          <w:rFonts w:ascii="Palatino Linotype" w:eastAsia="Arial Unicode MS" w:hAnsi="Palatino Linotype" w:cs="Arial"/>
          <w:sz w:val="24"/>
        </w:rPr>
        <w:t xml:space="preserve">De los preceptos anteriores se desprende que cuando un documento que contenga tanto información de interés público como información privada debe ser clasificada, y se hará la entrega del mismo, testando las secciones o datos que deban ser clasificados; por ende el Sujeto Obligado deberá proceder a testar los datos personales que se encuentre contenidos en los documentos por parte del Sujeto Obligado para satisfacer el derecho de acceso a la información pública del Recurrente, esto es, los datos concernientes a una persona identificada o identificable, o aquellos datos que tengan el carácter de sensibles, es decir los que afectan la esfera </w:t>
      </w:r>
      <w:r w:rsidRPr="00AD4DE0">
        <w:rPr>
          <w:rFonts w:ascii="Palatino Linotype" w:eastAsia="Arial Unicode MS" w:hAnsi="Palatino Linotype" w:cs="Arial"/>
          <w:sz w:val="24"/>
        </w:rPr>
        <w:lastRenderedPageBreak/>
        <w:t xml:space="preserve">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 </w:t>
      </w:r>
    </w:p>
    <w:p w14:paraId="227AAD96" w14:textId="77777777" w:rsidR="002E05E3" w:rsidRPr="00AD4DE0" w:rsidRDefault="002E05E3" w:rsidP="002E05E3">
      <w:pPr>
        <w:tabs>
          <w:tab w:val="left" w:pos="7938"/>
        </w:tabs>
        <w:spacing w:line="360" w:lineRule="auto"/>
        <w:jc w:val="both"/>
        <w:rPr>
          <w:rFonts w:ascii="Palatino Linotype" w:eastAsia="Arial Unicode MS" w:hAnsi="Palatino Linotype" w:cs="Arial"/>
          <w:sz w:val="24"/>
        </w:rPr>
      </w:pPr>
      <w:r w:rsidRPr="00AD4DE0">
        <w:rPr>
          <w:rFonts w:ascii="Palatino Linotype" w:eastAsia="Arial Unicode MS" w:hAnsi="Palatino Linotype" w:cs="Arial"/>
          <w:sz w:val="24"/>
        </w:rPr>
        <w:t xml:space="preserve">Datos que deberá clasificar como confidenciales por tratarse precisamente de información privada, puesto que los datos personales son irrenunciables, intransferibles e indelegables y los sujetos obligados no deberán hacer entrega de los mismos a personas ajenas a su titular. </w:t>
      </w:r>
    </w:p>
    <w:p w14:paraId="5762240A" w14:textId="77777777" w:rsidR="00806A1B" w:rsidRPr="00AD4DE0" w:rsidRDefault="002E05E3" w:rsidP="002E05E3">
      <w:pPr>
        <w:tabs>
          <w:tab w:val="left" w:pos="7938"/>
        </w:tabs>
        <w:spacing w:line="360" w:lineRule="auto"/>
        <w:jc w:val="both"/>
        <w:rPr>
          <w:rFonts w:ascii="Palatino Linotype" w:eastAsia="Arial Unicode MS" w:hAnsi="Palatino Linotype" w:cs="Arial"/>
          <w:sz w:val="24"/>
        </w:rPr>
      </w:pPr>
      <w:r w:rsidRPr="00AD4DE0">
        <w:rPr>
          <w:rFonts w:ascii="Palatino Linotype" w:eastAsia="Arial Unicode MS" w:hAnsi="Palatino Linotype" w:cs="Arial"/>
          <w:sz w:val="24"/>
        </w:rPr>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B0D7796" w14:textId="77777777" w:rsidR="002E05E3" w:rsidRPr="00AD4DE0" w:rsidRDefault="002E05E3" w:rsidP="002E05E3">
      <w:pPr>
        <w:pStyle w:val="INFOEM0"/>
      </w:pPr>
      <w:r w:rsidRPr="00AD4DE0">
        <w:t xml:space="preserve">Artículo 49. Los Comités de Transparencia tendrán las siguientes atribuciones: </w:t>
      </w:r>
    </w:p>
    <w:p w14:paraId="7EB19B2B" w14:textId="77777777" w:rsidR="002E05E3" w:rsidRPr="00AD4DE0" w:rsidRDefault="002E05E3" w:rsidP="002E05E3">
      <w:pPr>
        <w:pStyle w:val="INFOEM0"/>
      </w:pPr>
      <w:r w:rsidRPr="00AD4DE0">
        <w:t xml:space="preserve">(…) </w:t>
      </w:r>
    </w:p>
    <w:p w14:paraId="7E9AAD30" w14:textId="77777777" w:rsidR="002E05E3" w:rsidRPr="00AD4DE0" w:rsidRDefault="002E05E3" w:rsidP="002E05E3">
      <w:pPr>
        <w:pStyle w:val="INFOEM0"/>
      </w:pPr>
      <w:r w:rsidRPr="00AD4DE0">
        <w:t xml:space="preserve">VIII. Aprobar, modificar o revocar la clasificación de la información…” </w:t>
      </w:r>
    </w:p>
    <w:p w14:paraId="0EF31249" w14:textId="77777777" w:rsidR="002E05E3" w:rsidRPr="00AD4DE0" w:rsidRDefault="002E05E3" w:rsidP="002E05E3">
      <w:pPr>
        <w:pStyle w:val="INFOEM0"/>
      </w:pPr>
      <w:r w:rsidRPr="00AD4DE0">
        <w:t>(…)</w:t>
      </w:r>
    </w:p>
    <w:p w14:paraId="1E113A23" w14:textId="77777777" w:rsidR="002E05E3" w:rsidRPr="00AD4DE0" w:rsidRDefault="002E05E3" w:rsidP="002E05E3">
      <w:pPr>
        <w:pStyle w:val="INFOEM0"/>
      </w:pPr>
      <w:r w:rsidRPr="00AD4DE0">
        <w:t xml:space="preserve">Artículo 53. Las Unidades de Transparencia tendrán las siguientes funciones: </w:t>
      </w:r>
    </w:p>
    <w:p w14:paraId="15F00C5C" w14:textId="77777777" w:rsidR="002E05E3" w:rsidRPr="00AD4DE0" w:rsidRDefault="002E05E3" w:rsidP="002E05E3">
      <w:pPr>
        <w:pStyle w:val="INFOEM0"/>
      </w:pPr>
      <w:r w:rsidRPr="00AD4DE0">
        <w:t xml:space="preserve">(…) </w:t>
      </w:r>
    </w:p>
    <w:p w14:paraId="3516EF61" w14:textId="77777777" w:rsidR="002E05E3" w:rsidRPr="00AD4DE0" w:rsidRDefault="002E05E3" w:rsidP="002E05E3">
      <w:pPr>
        <w:pStyle w:val="INFOEM0"/>
      </w:pPr>
      <w:r w:rsidRPr="00AD4DE0">
        <w:lastRenderedPageBreak/>
        <w:t xml:space="preserve">X. Presentar ante el Comité, el proyecto de clasificación de información; </w:t>
      </w:r>
    </w:p>
    <w:p w14:paraId="4BEA1A6E" w14:textId="77777777" w:rsidR="002E05E3" w:rsidRPr="00AD4DE0" w:rsidRDefault="002E05E3" w:rsidP="002E05E3">
      <w:pPr>
        <w:pStyle w:val="INFOEM0"/>
      </w:pPr>
      <w:r w:rsidRPr="00AD4DE0">
        <w:t xml:space="preserve">(…) </w:t>
      </w:r>
    </w:p>
    <w:p w14:paraId="6F04BEA8" w14:textId="77777777" w:rsidR="002E05E3" w:rsidRPr="00AD4DE0" w:rsidRDefault="002E05E3" w:rsidP="002E05E3">
      <w:pPr>
        <w:pStyle w:val="INFOEM0"/>
      </w:pPr>
      <w:r w:rsidRPr="00AD4DE0">
        <w:t xml:space="preserve">Artículo 59. Los servidores públicos habilitados tendrán las funciones siguientes: (…) </w:t>
      </w:r>
    </w:p>
    <w:p w14:paraId="241324ED" w14:textId="77777777" w:rsidR="002E05E3" w:rsidRPr="00AD4DE0" w:rsidRDefault="002E05E3" w:rsidP="002E05E3">
      <w:pPr>
        <w:pStyle w:val="INFOEM0"/>
      </w:pPr>
      <w:r w:rsidRPr="00AD4DE0">
        <w:t xml:space="preserve">V. Integrar y presentar al responsable de la Unidad de Transparencia la propuesta de clasificación de información, la cual tendrá los fundamentos y argumentos en que se basa dicha propuesta; </w:t>
      </w:r>
    </w:p>
    <w:p w14:paraId="0D7C4F2C" w14:textId="77777777" w:rsidR="002E05E3" w:rsidRPr="00AD4DE0" w:rsidRDefault="002E05E3" w:rsidP="002E05E3">
      <w:pPr>
        <w:pStyle w:val="INFOEM0"/>
      </w:pPr>
      <w:r w:rsidRPr="00AD4DE0">
        <w:t>(…)</w:t>
      </w:r>
    </w:p>
    <w:p w14:paraId="74F611DD" w14:textId="77777777" w:rsidR="002E05E3" w:rsidRPr="00AD4DE0" w:rsidRDefault="002E05E3" w:rsidP="00806A1B">
      <w:pPr>
        <w:tabs>
          <w:tab w:val="left" w:pos="7938"/>
        </w:tabs>
        <w:spacing w:line="360" w:lineRule="auto"/>
        <w:jc w:val="both"/>
        <w:rPr>
          <w:rFonts w:ascii="Palatino Linotype" w:eastAsia="Arial Unicode MS" w:hAnsi="Palatino Linotype" w:cs="Arial"/>
          <w:sz w:val="24"/>
        </w:rPr>
      </w:pPr>
      <w:r w:rsidRPr="00AD4DE0">
        <w:rPr>
          <w:rFonts w:ascii="Palatino Linotype" w:eastAsia="Arial Unicode MS" w:hAnsi="Palatino Linotype" w:cs="Arial"/>
          <w:sz w:val="24"/>
        </w:rPr>
        <w:t xml:space="preserve">Denotándose de dichos ordenamientos jurídicos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 </w:t>
      </w:r>
    </w:p>
    <w:p w14:paraId="1F18450C" w14:textId="77777777" w:rsidR="002E05E3" w:rsidRPr="00AD4DE0" w:rsidRDefault="002E05E3" w:rsidP="00806A1B">
      <w:pPr>
        <w:tabs>
          <w:tab w:val="left" w:pos="7938"/>
        </w:tabs>
        <w:spacing w:line="360" w:lineRule="auto"/>
        <w:jc w:val="both"/>
        <w:rPr>
          <w:rFonts w:ascii="Palatino Linotype" w:eastAsia="Arial Unicode MS" w:hAnsi="Palatino Linotype" w:cs="Arial"/>
          <w:sz w:val="24"/>
        </w:rPr>
      </w:pPr>
      <w:r w:rsidRPr="00AD4DE0">
        <w:rPr>
          <w:rFonts w:ascii="Palatino Linotype" w:eastAsia="Arial Unicode MS" w:hAnsi="Palatino Linotype" w:cs="Arial"/>
          <w:sz w:val="24"/>
        </w:rPr>
        <w:t>Para lo cual a su vez en el caso de información de carácter confidencial se debe atender a lo que señala el artículo 149, de la Ley de Transparencia Local vigente, cuyo contenido es de la literalidad siguiente:</w:t>
      </w:r>
    </w:p>
    <w:p w14:paraId="011D9748" w14:textId="77777777" w:rsidR="002E05E3" w:rsidRPr="00AD4DE0" w:rsidRDefault="002E05E3" w:rsidP="002E05E3">
      <w:pPr>
        <w:pStyle w:val="INFOEM0"/>
      </w:pPr>
      <w:r w:rsidRPr="00AD4DE0">
        <w:lastRenderedPageBreak/>
        <w:t>Artículo 149. El acuerdo que clasifique la información como confidencial deberá contener un razonamiento lógico en el que demuestre que la información se encuentra en alguna o algunas de las hipótesis previstas en la presente Ley.</w:t>
      </w:r>
    </w:p>
    <w:p w14:paraId="6741684A" w14:textId="77777777" w:rsidR="002E05E3" w:rsidRPr="00AD4DE0" w:rsidRDefault="002E05E3" w:rsidP="00806A1B">
      <w:pPr>
        <w:tabs>
          <w:tab w:val="left" w:pos="7938"/>
        </w:tabs>
        <w:spacing w:line="360" w:lineRule="auto"/>
        <w:jc w:val="both"/>
        <w:rPr>
          <w:rFonts w:ascii="Palatino Linotype" w:eastAsia="Arial Unicode MS" w:hAnsi="Palatino Linotype" w:cs="Arial"/>
          <w:sz w:val="24"/>
        </w:rPr>
      </w:pPr>
      <w:r w:rsidRPr="00AD4DE0">
        <w:rPr>
          <w:rFonts w:ascii="Palatino Linotype" w:eastAsia="Arial Unicode MS" w:hAnsi="Palatino Linotype" w:cs="Arial"/>
          <w:sz w:val="24"/>
        </w:rPr>
        <w:t xml:space="preserve">Es decir, el Sujeto Obligado 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 </w:t>
      </w:r>
    </w:p>
    <w:p w14:paraId="534AD57F" w14:textId="77777777" w:rsidR="002E05E3" w:rsidRPr="00AD4DE0" w:rsidRDefault="002E05E3" w:rsidP="00806A1B">
      <w:pPr>
        <w:tabs>
          <w:tab w:val="left" w:pos="7938"/>
        </w:tabs>
        <w:spacing w:line="360" w:lineRule="auto"/>
        <w:jc w:val="both"/>
        <w:rPr>
          <w:rFonts w:ascii="Palatino Linotype" w:eastAsia="Arial Unicode MS" w:hAnsi="Palatino Linotype" w:cs="Arial"/>
          <w:sz w:val="24"/>
        </w:rPr>
      </w:pPr>
    </w:p>
    <w:p w14:paraId="78ED3CAE" w14:textId="77777777" w:rsidR="002E05E3" w:rsidRPr="00AD4DE0" w:rsidRDefault="002E05E3" w:rsidP="00806A1B">
      <w:pPr>
        <w:tabs>
          <w:tab w:val="left" w:pos="7938"/>
        </w:tabs>
        <w:spacing w:line="360" w:lineRule="auto"/>
        <w:jc w:val="both"/>
        <w:rPr>
          <w:rFonts w:ascii="Palatino Linotype" w:eastAsia="Arial Unicode MS" w:hAnsi="Palatino Linotype" w:cs="Arial"/>
          <w:sz w:val="24"/>
        </w:rPr>
      </w:pPr>
      <w:r w:rsidRPr="00AD4DE0">
        <w:rPr>
          <w:rFonts w:ascii="Palatino Linotype" w:eastAsia="Arial Unicode MS" w:hAnsi="Palatino Linotype" w:cs="Arial"/>
          <w:sz w:val="24"/>
        </w:rPr>
        <w:t>Asimismo, se destaca que el acuerdo de clasificación que elabore el Sujeto Obligado debe cumplir con las formalidades exigidas en la Ley; es decir, resulta necesario que el Comité de Transparencia del Sujeto Obligado emita el Acuerdo de Clasificación correspondiente debidamente fundado y motivado, el cual deberá cumplir cabalmente con las formalidades previstas en el artículo 137, de la Ley de Transparencia y Acceso a la Información Pública del Estado de México y Municipios, ya expuesto;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403DCD5B" w14:textId="77777777" w:rsidR="002E05E3" w:rsidRPr="00AD4DE0" w:rsidRDefault="002E05E3" w:rsidP="002E05E3">
      <w:pPr>
        <w:pStyle w:val="INFOEM0"/>
      </w:pPr>
      <w:r w:rsidRPr="00AD4DE0">
        <w:lastRenderedPageBreak/>
        <w:t>Segundo.- Para efectos de los presentes Lineamientos Generales, se entenderá por: 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DFBF680" w14:textId="77777777" w:rsidR="002E05E3" w:rsidRPr="00AD4DE0" w:rsidRDefault="002E05E3" w:rsidP="002E05E3">
      <w:pPr>
        <w:pStyle w:val="INFOEM0"/>
        <w:rPr>
          <w:b/>
        </w:rPr>
      </w:pPr>
      <w:r w:rsidRPr="00AD4DE0">
        <w:rPr>
          <w:b/>
        </w:rPr>
        <w:t>Cuarto.</w:t>
      </w:r>
      <w:r w:rsidRPr="00AD4DE0">
        <w:t xml:space="preserve"> </w:t>
      </w:r>
      <w:r w:rsidRPr="00AD4DE0">
        <w:rPr>
          <w:b/>
        </w:rPr>
        <w:t xml:space="preserve">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w:t>
      </w:r>
    </w:p>
    <w:p w14:paraId="662C4931" w14:textId="77777777" w:rsidR="002E05E3" w:rsidRPr="00AD4DE0" w:rsidRDefault="002E05E3" w:rsidP="002E05E3">
      <w:pPr>
        <w:pStyle w:val="INFOEM0"/>
      </w:pPr>
      <w:r w:rsidRPr="00AD4DE0">
        <w:t xml:space="preserve">Los sujetos obligados deberán aplicar, de manera estricta, las excepciones al derecho de acceso a la información y sólo podrán invocarlas cuando acrediten su procedencia. </w:t>
      </w:r>
    </w:p>
    <w:p w14:paraId="4C00BB96" w14:textId="77777777" w:rsidR="002E05E3" w:rsidRPr="00AD4DE0" w:rsidRDefault="002E05E3" w:rsidP="002E05E3">
      <w:pPr>
        <w:pStyle w:val="INFOEM0"/>
      </w:pPr>
      <w:r w:rsidRPr="00AD4DE0">
        <w:rPr>
          <w:b/>
        </w:rPr>
        <w:t>Quinto.</w:t>
      </w:r>
      <w:r w:rsidRPr="00AD4DE0">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 </w:t>
      </w:r>
    </w:p>
    <w:p w14:paraId="53293AB7" w14:textId="77777777" w:rsidR="002E05E3" w:rsidRPr="00AD4DE0" w:rsidRDefault="002E05E3" w:rsidP="002E05E3">
      <w:pPr>
        <w:pStyle w:val="INFOEM0"/>
      </w:pPr>
      <w:r w:rsidRPr="00AD4DE0">
        <w:lastRenderedPageBreak/>
        <w:t xml:space="preserve">Séptimo. La clasificación de la información se llevará a cabo en el momento en que: </w:t>
      </w:r>
    </w:p>
    <w:p w14:paraId="6FBE546C" w14:textId="77777777" w:rsidR="002E05E3" w:rsidRPr="00AD4DE0" w:rsidRDefault="002E05E3" w:rsidP="002E05E3">
      <w:pPr>
        <w:pStyle w:val="INFOEM0"/>
        <w:numPr>
          <w:ilvl w:val="0"/>
          <w:numId w:val="9"/>
        </w:numPr>
      </w:pPr>
      <w:r w:rsidRPr="00AD4DE0">
        <w:t xml:space="preserve">Se reciba una solicitud de acceso a la información; </w:t>
      </w:r>
    </w:p>
    <w:p w14:paraId="73B99A2F" w14:textId="77777777" w:rsidR="002E05E3" w:rsidRPr="00AD4DE0" w:rsidRDefault="002E05E3" w:rsidP="002E05E3">
      <w:pPr>
        <w:pStyle w:val="INFOEM0"/>
        <w:numPr>
          <w:ilvl w:val="0"/>
          <w:numId w:val="9"/>
        </w:numPr>
      </w:pPr>
      <w:r w:rsidRPr="00AD4DE0">
        <w:t xml:space="preserve">Se determine mediante resolución del Comité de Transparencia, el órgano garante competente, o en cumplimiento a una sentencia del Poder Judicial; o </w:t>
      </w:r>
    </w:p>
    <w:p w14:paraId="325CED18" w14:textId="77777777" w:rsidR="002E05E3" w:rsidRPr="00AD4DE0" w:rsidRDefault="002E05E3" w:rsidP="002E05E3">
      <w:pPr>
        <w:pStyle w:val="INFOEM0"/>
        <w:numPr>
          <w:ilvl w:val="0"/>
          <w:numId w:val="9"/>
        </w:numPr>
      </w:pPr>
      <w:r w:rsidRPr="00AD4DE0">
        <w:t xml:space="preserve">Se generen versiones públicas para dar cumplimiento a las obligaciones de transparencia previstas en la Ley General, la Ley Federal y las correspondientes de las entidades federativas. Los titulares de las áreas deberán revisar la información requerida al momento de la recepción de una solicitud de acceso a la información, para verificar, conforme a su naturaleza, si encuadra en una causal de reserva o de confidencialidad. </w:t>
      </w:r>
    </w:p>
    <w:p w14:paraId="32007A7A" w14:textId="77777777" w:rsidR="002E05E3" w:rsidRPr="00AD4DE0" w:rsidRDefault="002E05E3" w:rsidP="002E05E3">
      <w:pPr>
        <w:pStyle w:val="INFOEM0"/>
      </w:pPr>
      <w:r w:rsidRPr="00AD4DE0">
        <w:t xml:space="preserve">Octavo. Para fundar la clasificación de la información se debe señalar el artículo, fracción, inciso, párrafo o numeral de la ley o tratado internacional suscrito por el Estado mexicano que expresamente le otorga el carácter de reservada o confidencial. </w:t>
      </w:r>
    </w:p>
    <w:p w14:paraId="57675C1B" w14:textId="77777777" w:rsidR="002E05E3" w:rsidRPr="00AD4DE0" w:rsidRDefault="002E05E3" w:rsidP="002E05E3">
      <w:pPr>
        <w:pStyle w:val="INFOEM0"/>
      </w:pPr>
      <w:r w:rsidRPr="00AD4DE0">
        <w:t>Para motivar la clasificación se deberán señalar las razones o circunstancias especiales que lo llevaron a concluir que el caso particular se ajusta al supuesto previsto por la norma legal invocada como fundamento.</w:t>
      </w:r>
    </w:p>
    <w:p w14:paraId="33456415" w14:textId="77777777" w:rsidR="002E05E3" w:rsidRPr="00AD4DE0" w:rsidRDefault="002E05E3" w:rsidP="002E05E3">
      <w:pPr>
        <w:pStyle w:val="INFOEM0"/>
      </w:pPr>
      <w:r w:rsidRPr="00AD4DE0">
        <w:t xml:space="preserve"> En caso de referirse a información reservada, la motivación de la clasificación también deberá comprender el análisis de la prueba de daño a que hace referencia el artículo 104 de la Ley General, en relación con el </w:t>
      </w:r>
      <w:proofErr w:type="spellStart"/>
      <w:r w:rsidRPr="00AD4DE0">
        <w:t>artíuclo</w:t>
      </w:r>
      <w:proofErr w:type="spellEnd"/>
      <w:r w:rsidRPr="00AD4DE0">
        <w:t xml:space="preserve"> trigésimo tercero de los presentes lineamientos, así como las circunstancias que justifican el establecimiento de determinado plazo de reserva. </w:t>
      </w:r>
    </w:p>
    <w:p w14:paraId="081D3F2B" w14:textId="77777777" w:rsidR="002E05E3" w:rsidRPr="00AD4DE0" w:rsidRDefault="002E05E3" w:rsidP="002E05E3">
      <w:pPr>
        <w:pStyle w:val="INFOEM0"/>
      </w:pPr>
      <w:r w:rsidRPr="00AD4DE0">
        <w:lastRenderedPageBreak/>
        <w:t xml:space="preserve">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650CF750" w14:textId="77777777" w:rsidR="002E05E3" w:rsidRPr="00AD4DE0" w:rsidRDefault="002E05E3" w:rsidP="002E05E3">
      <w:pPr>
        <w:pStyle w:val="INFOEM0"/>
      </w:pPr>
      <w:r w:rsidRPr="00AD4DE0">
        <w:t xml:space="preserve">Décimo.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 </w:t>
      </w:r>
    </w:p>
    <w:p w14:paraId="3D7895B9" w14:textId="77777777" w:rsidR="002E05E3" w:rsidRPr="00AD4DE0" w:rsidRDefault="002E05E3" w:rsidP="002E05E3">
      <w:pPr>
        <w:pStyle w:val="INFOEM0"/>
      </w:pPr>
      <w:r w:rsidRPr="00AD4DE0">
        <w:t xml:space="preserve">En ausencia de los titulares de las áreas, la información será clasificada o desclasificada por la persona que lo supla, en términos de la normativa que rija la actuación del sujeto obligado. </w:t>
      </w:r>
    </w:p>
    <w:p w14:paraId="5614B5FE" w14:textId="77777777" w:rsidR="002E05E3" w:rsidRPr="00AD4DE0" w:rsidRDefault="002E05E3" w:rsidP="002E05E3">
      <w:pPr>
        <w:pStyle w:val="INFOEM0"/>
      </w:pPr>
      <w:r w:rsidRPr="00AD4DE0">
        <w:rPr>
          <w:b/>
        </w:rPr>
        <w:t>Décimo primero.</w:t>
      </w:r>
      <w:r w:rsidRPr="00AD4DE0">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396BEAA" w14:textId="77777777" w:rsidR="002E05E3" w:rsidRPr="00AD4DE0" w:rsidRDefault="002E05E3" w:rsidP="002E05E3">
      <w:pPr>
        <w:pStyle w:val="INFOEM0"/>
        <w:rPr>
          <w:b/>
        </w:rPr>
      </w:pPr>
      <w:r w:rsidRPr="00AD4DE0">
        <w:rPr>
          <w:b/>
        </w:rPr>
        <w:t xml:space="preserve">CAPÍTULO VIII </w:t>
      </w:r>
    </w:p>
    <w:p w14:paraId="791D8773" w14:textId="77777777" w:rsidR="002E05E3" w:rsidRPr="00AD4DE0" w:rsidRDefault="002E05E3" w:rsidP="002E05E3">
      <w:pPr>
        <w:pStyle w:val="INFOEM0"/>
        <w:rPr>
          <w:b/>
        </w:rPr>
      </w:pPr>
      <w:r w:rsidRPr="00AD4DE0">
        <w:rPr>
          <w:b/>
        </w:rPr>
        <w:t xml:space="preserve">DE LOS ELEMENTOS PARA LA CLASIFICACIÓN </w:t>
      </w:r>
    </w:p>
    <w:p w14:paraId="7CE2452E" w14:textId="77777777" w:rsidR="002E05E3" w:rsidRPr="00AD4DE0" w:rsidRDefault="002E05E3" w:rsidP="002E05E3">
      <w:pPr>
        <w:pStyle w:val="INFOEM0"/>
      </w:pPr>
      <w:r w:rsidRPr="00AD4DE0">
        <w:rPr>
          <w:b/>
        </w:rPr>
        <w:lastRenderedPageBreak/>
        <w:t>Quincuagésimo.</w:t>
      </w:r>
      <w:r w:rsidRPr="00AD4DE0">
        <w:t xml:space="preserve"> Los titulares de las áreas de los sujetos obligados podrán establecer sus propios modelos o formatos para la elaboración de versiones públicas de documentos o expedientes, siempre y cuando cumplan con lo establecido en los presentes Lineamientos, así como en las correspondientes Leyes Generales.</w:t>
      </w:r>
    </w:p>
    <w:p w14:paraId="0F84E00A" w14:textId="77777777" w:rsidR="002E05E3" w:rsidRPr="00AD4DE0" w:rsidRDefault="002E05E3" w:rsidP="002E05E3">
      <w:pPr>
        <w:pStyle w:val="INFOEM0"/>
      </w:pPr>
    </w:p>
    <w:p w14:paraId="77938984" w14:textId="77777777" w:rsidR="002E05E3" w:rsidRPr="00AD4DE0" w:rsidRDefault="002E05E3" w:rsidP="00806A1B">
      <w:pPr>
        <w:tabs>
          <w:tab w:val="left" w:pos="7938"/>
        </w:tabs>
        <w:spacing w:line="360" w:lineRule="auto"/>
        <w:jc w:val="both"/>
        <w:rPr>
          <w:rFonts w:ascii="Palatino Linotype" w:eastAsia="Arial Unicode MS" w:hAnsi="Palatino Linotype" w:cs="Arial"/>
          <w:sz w:val="24"/>
        </w:rPr>
      </w:pPr>
      <w:r w:rsidRPr="00AD4DE0">
        <w:rPr>
          <w:rFonts w:ascii="Palatino Linotype" w:eastAsia="Arial Unicode MS" w:hAnsi="Palatino Linotype" w:cs="Arial"/>
          <w:sz w:val="24"/>
        </w:rPr>
        <w:t>En esa tesitura, cuando se clasifica información como confidencial es obligatorio someterlo al Comité de Transparencia, quien debe confirmar, modificar o revocar la clasificación, por lo que el acuerdo respectivo, deberá hacerse del conocimiento del Recurrente.</w:t>
      </w:r>
    </w:p>
    <w:p w14:paraId="720F7B65" w14:textId="77777777" w:rsidR="002E05E3" w:rsidRPr="00AD4DE0" w:rsidRDefault="002E05E3" w:rsidP="00806A1B">
      <w:pPr>
        <w:tabs>
          <w:tab w:val="left" w:pos="7938"/>
        </w:tabs>
        <w:spacing w:line="360" w:lineRule="auto"/>
        <w:jc w:val="both"/>
        <w:rPr>
          <w:rFonts w:ascii="Palatino Linotype" w:eastAsia="Arial Unicode MS" w:hAnsi="Palatino Linotype" w:cs="Arial"/>
          <w:sz w:val="24"/>
        </w:rPr>
      </w:pPr>
      <w:r w:rsidRPr="00AD4DE0">
        <w:rPr>
          <w:rFonts w:ascii="Palatino Linotype" w:eastAsia="Arial Unicode MS" w:hAnsi="Palatino Linotype" w:cs="Arial"/>
          <w:sz w:val="24"/>
        </w:rPr>
        <w:t xml:space="preserve">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se ponga en riesgo la vida o integridad de una persona. </w:t>
      </w:r>
    </w:p>
    <w:p w14:paraId="56FDC801" w14:textId="77777777" w:rsidR="002E05E3" w:rsidRPr="00AD4DE0" w:rsidRDefault="002E05E3" w:rsidP="00806A1B">
      <w:pPr>
        <w:tabs>
          <w:tab w:val="left" w:pos="7938"/>
        </w:tabs>
        <w:spacing w:line="360" w:lineRule="auto"/>
        <w:jc w:val="both"/>
        <w:rPr>
          <w:rFonts w:ascii="Palatino Linotype" w:eastAsia="Arial Unicode MS" w:hAnsi="Palatino Linotype" w:cs="Arial"/>
          <w:sz w:val="24"/>
        </w:rPr>
      </w:pPr>
    </w:p>
    <w:p w14:paraId="60EEA102" w14:textId="77777777" w:rsidR="002E05E3" w:rsidRPr="00AD4DE0" w:rsidRDefault="002E05E3" w:rsidP="00806A1B">
      <w:pPr>
        <w:tabs>
          <w:tab w:val="left" w:pos="7938"/>
        </w:tabs>
        <w:spacing w:line="360" w:lineRule="auto"/>
        <w:jc w:val="both"/>
        <w:rPr>
          <w:rFonts w:ascii="Palatino Linotype" w:eastAsia="Arial Unicode MS" w:hAnsi="Palatino Linotype" w:cs="Arial"/>
          <w:sz w:val="24"/>
        </w:rPr>
      </w:pPr>
      <w:r w:rsidRPr="00AD4DE0">
        <w:rPr>
          <w:rFonts w:ascii="Palatino Linotype" w:eastAsia="Arial Unicode MS" w:hAnsi="Palatino Linotype" w:cs="Arial"/>
          <w:sz w:val="24"/>
        </w:rPr>
        <w:t>Sirven de sustento a lo anterior, las tesis jurisprudenciales P. LX/2000 y 2a. XLIII/2008 emitidas por el Peno y la Segunda Sala de la Suprema Corte de Justicia de la Nación, respectivamente, que son del tenor literal siguiente:</w:t>
      </w:r>
    </w:p>
    <w:p w14:paraId="3DA3B0FA" w14:textId="77777777" w:rsidR="002E05E3" w:rsidRPr="00AD4DE0" w:rsidRDefault="002E05E3" w:rsidP="002E05E3">
      <w:pPr>
        <w:pStyle w:val="Citas"/>
      </w:pPr>
      <w:r w:rsidRPr="00AD4DE0">
        <w:rPr>
          <w:b/>
        </w:rPr>
        <w:t>DERECHO A LA INFORMACIÓN. SU EJERCICIO SE ENCUENTRA LIMITADO TANTO POR LOS INTERESES NACIONALES Y DE LA SOCIEDAD, COMO POR LOS DERECHOS DE TERCEROS</w:t>
      </w:r>
      <w:r w:rsidRPr="00AD4DE0">
        <w:t xml:space="preserve">. El derecho a la información consagrado en la última parte del artículo 6o. de la Constitución </w:t>
      </w:r>
      <w:r w:rsidRPr="00AD4DE0">
        <w:lastRenderedPageBreak/>
        <w:t>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4BC94C33" w14:textId="77777777" w:rsidR="002E05E3" w:rsidRPr="00AD4DE0" w:rsidRDefault="002E05E3" w:rsidP="002E05E3">
      <w:pPr>
        <w:pStyle w:val="Citas"/>
      </w:pPr>
      <w:r w:rsidRPr="00AD4DE0">
        <w:rPr>
          <w:b/>
        </w:rPr>
        <w:t xml:space="preserve">TRANSPARENCIA Y ACCESO A LA INFORMACIÓN PÚBLICA GUBERNAMENTAL. EL ARTÍCULO 14, FRACCIÓN I, DE LA LEY FEDERAL RELATIVA, NO VIOLA LA GARANTÍA DE ACCESO A LA INFORMACIÓN. </w:t>
      </w:r>
      <w:r w:rsidRPr="00AD4DE0">
        <w:t xml:space="preserve">El Tribunal en Pleno de la Suprema Corte de Justicia de la Nación en la tesis P. LX/2000 de rubro: "DERECHO A LA INFORMACIÓN. SU EJERCICIO SE ENCUENTRA LIMITADO TANTO POR LOS INTERESES NACIONALES Y DE LA SOCIEDAD, COMO POR LOS DERECHOS DE </w:t>
      </w:r>
      <w:r w:rsidRPr="00AD4DE0">
        <w:lastRenderedPageBreak/>
        <w:t>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047D1127" w14:textId="77777777" w:rsidR="002E05E3" w:rsidRPr="00AD4DE0" w:rsidRDefault="002E05E3" w:rsidP="00806A1B">
      <w:pPr>
        <w:tabs>
          <w:tab w:val="left" w:pos="7938"/>
        </w:tabs>
        <w:spacing w:line="360" w:lineRule="auto"/>
        <w:jc w:val="both"/>
        <w:rPr>
          <w:rFonts w:ascii="Palatino Linotype" w:eastAsia="Arial Unicode MS" w:hAnsi="Palatino Linotype" w:cs="Arial"/>
          <w:sz w:val="24"/>
        </w:rPr>
      </w:pPr>
    </w:p>
    <w:p w14:paraId="4D07C9BA" w14:textId="77777777" w:rsidR="002E05E3" w:rsidRPr="00AD4DE0" w:rsidRDefault="002E05E3" w:rsidP="00806A1B">
      <w:pPr>
        <w:tabs>
          <w:tab w:val="left" w:pos="7938"/>
        </w:tabs>
        <w:spacing w:line="360" w:lineRule="auto"/>
        <w:jc w:val="both"/>
        <w:rPr>
          <w:rFonts w:ascii="Palatino Linotype" w:eastAsia="Arial Unicode MS" w:hAnsi="Palatino Linotype" w:cs="Arial"/>
          <w:sz w:val="24"/>
        </w:rPr>
      </w:pPr>
      <w:r w:rsidRPr="00AD4DE0">
        <w:rPr>
          <w:rFonts w:ascii="Palatino Linotype" w:eastAsia="Arial Unicode MS" w:hAnsi="Palatino Linotype" w:cs="Arial"/>
          <w:sz w:val="24"/>
        </w:rPr>
        <w:t xml:space="preserve">De tal forma que se considera que no es procedente la entrega de los registros del censo del panteón, es decir, de las fosas individuales, columnario y fosas comunes que hayan sido emitidos en el periodo referido, sino que se deberá hacer entrega del acuerdo emitido por el Comité de Transparencia mediante el cual se apruebe la clasificación total de dicha información. </w:t>
      </w:r>
    </w:p>
    <w:p w14:paraId="3ED2C621" w14:textId="77777777" w:rsidR="002E05E3" w:rsidRPr="00AD4DE0" w:rsidRDefault="002E05E3" w:rsidP="00806A1B">
      <w:pPr>
        <w:tabs>
          <w:tab w:val="left" w:pos="7938"/>
        </w:tabs>
        <w:spacing w:line="360" w:lineRule="auto"/>
        <w:jc w:val="both"/>
        <w:rPr>
          <w:rFonts w:ascii="Palatino Linotype" w:eastAsia="Arial Unicode MS" w:hAnsi="Palatino Linotype" w:cs="Arial"/>
          <w:sz w:val="24"/>
        </w:rPr>
      </w:pPr>
    </w:p>
    <w:p w14:paraId="3707A67F" w14:textId="77777777" w:rsidR="002E05E3" w:rsidRPr="00AD4DE0" w:rsidRDefault="002E05E3" w:rsidP="00806A1B">
      <w:pPr>
        <w:tabs>
          <w:tab w:val="left" w:pos="7938"/>
        </w:tabs>
        <w:spacing w:line="360" w:lineRule="auto"/>
        <w:jc w:val="both"/>
        <w:rPr>
          <w:rFonts w:ascii="Palatino Linotype" w:eastAsia="Arial Unicode MS" w:hAnsi="Palatino Linotype" w:cs="Arial"/>
          <w:sz w:val="24"/>
        </w:rPr>
      </w:pPr>
      <w:r w:rsidRPr="00AD4DE0">
        <w:rPr>
          <w:rFonts w:ascii="Palatino Linotype" w:eastAsia="Arial Unicode MS" w:hAnsi="Palatino Linotype" w:cs="Arial"/>
          <w:sz w:val="24"/>
        </w:rPr>
        <w:t xml:space="preserve">En conclusión, este Instituto estima que los motivos de inconformidad planteados por el Recurrente devienen fundados, por lo que es procedente modificar la respuesta del Sujeto Obligado y ordenar la entrega del acuerdo emitido por el Comité de Transparencia mediante el cual se apruebe la clasificación total </w:t>
      </w:r>
      <w:r w:rsidR="00BF34F0" w:rsidRPr="00AD4DE0">
        <w:rPr>
          <w:rFonts w:ascii="Palatino Linotype" w:eastAsia="Arial Unicode MS" w:hAnsi="Palatino Linotype" w:cs="Arial"/>
          <w:sz w:val="24"/>
        </w:rPr>
        <w:t xml:space="preserve">como confidencial </w:t>
      </w:r>
      <w:r w:rsidRPr="00AD4DE0">
        <w:rPr>
          <w:rFonts w:ascii="Palatino Linotype" w:eastAsia="Arial Unicode MS" w:hAnsi="Palatino Linotype" w:cs="Arial"/>
          <w:sz w:val="24"/>
        </w:rPr>
        <w:t xml:space="preserve">de los </w:t>
      </w:r>
      <w:r w:rsidR="00255E27" w:rsidRPr="00AD4DE0">
        <w:rPr>
          <w:rFonts w:ascii="Palatino Linotype" w:eastAsia="Arial Unicode MS" w:hAnsi="Palatino Linotype" w:cs="Arial"/>
          <w:sz w:val="24"/>
        </w:rPr>
        <w:t>registros de las fosas individuales, columnario y fosas comunes, vigentes a la fecha de la solicitud.</w:t>
      </w:r>
    </w:p>
    <w:p w14:paraId="3B8B2D0E" w14:textId="77777777" w:rsidR="00255E27" w:rsidRPr="00AD4DE0" w:rsidRDefault="00255E27" w:rsidP="00806A1B">
      <w:pPr>
        <w:pBdr>
          <w:top w:val="nil"/>
          <w:left w:val="nil"/>
          <w:bottom w:val="nil"/>
          <w:right w:val="nil"/>
          <w:between w:val="nil"/>
        </w:pBdr>
        <w:spacing w:after="0" w:line="360" w:lineRule="auto"/>
        <w:jc w:val="both"/>
        <w:rPr>
          <w:rFonts w:ascii="Palatino Linotype" w:eastAsia="Arial Unicode MS" w:hAnsi="Palatino Linotype" w:cs="Arial"/>
          <w:sz w:val="24"/>
        </w:rPr>
      </w:pPr>
    </w:p>
    <w:p w14:paraId="654C4089" w14:textId="77777777" w:rsidR="00806A1B" w:rsidRPr="00AD4DE0" w:rsidRDefault="00806A1B" w:rsidP="00806A1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AD4DE0">
        <w:rPr>
          <w:rFonts w:ascii="Palatino Linotype" w:eastAsia="Palatino Linotype" w:hAnsi="Palatino Linotype" w:cs="Palatino Linotype"/>
          <w:color w:val="000000"/>
          <w:sz w:val="24"/>
          <w:szCs w:val="24"/>
          <w:lang w:val="es-ES_tradnl" w:eastAsia="es-MX"/>
        </w:rPr>
        <w:t xml:space="preserve">En mérito de lo expuesto en líneas anteriores, este Instituto considera que los motivos de inconformidad planteados por la Recurrente resultan fundados en el recurso de revisión que es materia de esta resolución; por ello </w:t>
      </w:r>
      <w:r w:rsidRPr="00AD4DE0">
        <w:rPr>
          <w:rFonts w:ascii="Palatino Linotype" w:eastAsia="Palatino Linotype" w:hAnsi="Palatino Linotype" w:cs="Palatino Linotype"/>
          <w:b/>
          <w:color w:val="000000"/>
          <w:sz w:val="24"/>
          <w:szCs w:val="24"/>
          <w:lang w:val="es-ES_tradnl" w:eastAsia="es-MX"/>
        </w:rPr>
        <w:t xml:space="preserve">con fundamento en la segunda hipótesis de la fracción III del artículo 186 </w:t>
      </w:r>
      <w:r w:rsidRPr="00AD4DE0">
        <w:rPr>
          <w:rFonts w:ascii="Palatino Linotype" w:eastAsia="Palatino Linotype" w:hAnsi="Palatino Linotype" w:cs="Palatino Linotype"/>
          <w:color w:val="000000"/>
          <w:sz w:val="24"/>
          <w:szCs w:val="24"/>
          <w:lang w:val="es-ES_tradnl" w:eastAsia="es-MX"/>
        </w:rPr>
        <w:t xml:space="preserve">de la Ley de Transparencia y Acceso a la Información Pública del Estado de México y Municipios, se </w:t>
      </w:r>
      <w:r w:rsidRPr="00AD4DE0">
        <w:rPr>
          <w:rFonts w:ascii="Palatino Linotype" w:eastAsia="Palatino Linotype" w:hAnsi="Palatino Linotype" w:cs="Palatino Linotype"/>
          <w:b/>
          <w:color w:val="000000"/>
          <w:sz w:val="24"/>
          <w:szCs w:val="24"/>
          <w:lang w:val="es-ES_tradnl" w:eastAsia="es-MX"/>
        </w:rPr>
        <w:t xml:space="preserve">MODIFICA </w:t>
      </w:r>
      <w:r w:rsidRPr="00AD4DE0">
        <w:rPr>
          <w:rFonts w:ascii="Palatino Linotype" w:eastAsia="Palatino Linotype" w:hAnsi="Palatino Linotype" w:cs="Palatino Linotype"/>
          <w:color w:val="000000"/>
          <w:sz w:val="24"/>
          <w:szCs w:val="24"/>
          <w:lang w:val="es-ES_tradnl" w:eastAsia="es-MX"/>
        </w:rPr>
        <w:t>la respuesta a la solicitud de información número</w:t>
      </w:r>
      <w:r w:rsidRPr="00AD4DE0">
        <w:rPr>
          <w:rFonts w:ascii="Palatino Linotype" w:eastAsia="Palatino Linotype" w:hAnsi="Palatino Linotype" w:cs="Palatino Linotype"/>
          <w:b/>
          <w:color w:val="000000"/>
          <w:sz w:val="24"/>
          <w:szCs w:val="24"/>
          <w:lang w:val="es-ES_tradnl" w:eastAsia="es-MX"/>
        </w:rPr>
        <w:t xml:space="preserve"> </w:t>
      </w:r>
      <w:r w:rsidRPr="00AD4DE0">
        <w:rPr>
          <w:rFonts w:ascii="Palatino Linotype" w:eastAsia="Palatino Linotype" w:hAnsi="Palatino Linotype" w:cs="Palatino Linotype"/>
          <w:b/>
          <w:bCs/>
          <w:color w:val="000000"/>
          <w:sz w:val="24"/>
          <w:szCs w:val="24"/>
          <w:lang w:val="es-ES_tradnl" w:eastAsia="es-MX"/>
        </w:rPr>
        <w:t>00398/VACHASO/IP/2023</w:t>
      </w:r>
      <w:r w:rsidRPr="00AD4DE0">
        <w:rPr>
          <w:rFonts w:ascii="Palatino Linotype" w:eastAsia="Palatino Linotype" w:hAnsi="Palatino Linotype" w:cs="Palatino Linotype"/>
          <w:color w:val="000000"/>
          <w:sz w:val="24"/>
          <w:szCs w:val="24"/>
          <w:lang w:val="es-ES_tradnl" w:eastAsia="es-MX"/>
        </w:rPr>
        <w:t>, que ha sido materia del presente estudio.</w:t>
      </w:r>
    </w:p>
    <w:p w14:paraId="3954A86E" w14:textId="77777777" w:rsidR="00806A1B" w:rsidRPr="00AD4DE0" w:rsidRDefault="00806A1B" w:rsidP="00806A1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7FCE4392" w14:textId="77777777" w:rsidR="00806A1B" w:rsidRPr="00AD4DE0" w:rsidRDefault="00806A1B" w:rsidP="00806A1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AD4DE0">
        <w:rPr>
          <w:rFonts w:ascii="Palatino Linotype" w:eastAsia="Palatino Linotype" w:hAnsi="Palatino Linotype" w:cs="Palatino Linotype"/>
          <w:color w:val="000000"/>
          <w:sz w:val="24"/>
          <w:szCs w:val="24"/>
          <w:lang w:val="es-ES_tradnl" w:eastAsia="es-MX"/>
        </w:rPr>
        <w:t>Por lo antes expuesto y fundado es de resolverse y,</w:t>
      </w:r>
    </w:p>
    <w:p w14:paraId="27034069" w14:textId="77777777" w:rsidR="00806A1B" w:rsidRPr="00AD4DE0" w:rsidRDefault="00806A1B" w:rsidP="00806A1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42CAC619" w14:textId="77777777" w:rsidR="00806A1B" w:rsidRPr="00AD4DE0" w:rsidRDefault="00806A1B" w:rsidP="00806A1B">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eastAsia="es-MX"/>
        </w:rPr>
      </w:pPr>
      <w:r w:rsidRPr="00AD4DE0">
        <w:rPr>
          <w:rFonts w:ascii="Palatino Linotype" w:eastAsia="Palatino Linotype" w:hAnsi="Palatino Linotype" w:cs="Palatino Linotype"/>
          <w:b/>
          <w:color w:val="000000"/>
          <w:sz w:val="28"/>
          <w:szCs w:val="28"/>
          <w:lang w:val="es-ES_tradnl" w:eastAsia="es-MX"/>
        </w:rPr>
        <w:t>S E    R E S U E L V E</w:t>
      </w:r>
    </w:p>
    <w:p w14:paraId="781E91A2" w14:textId="77777777" w:rsidR="00806A1B" w:rsidRPr="00AD4DE0" w:rsidRDefault="00806A1B" w:rsidP="00806A1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47C5EAEA" w14:textId="77777777" w:rsidR="00806A1B" w:rsidRPr="00AD4DE0" w:rsidRDefault="00806A1B" w:rsidP="00806A1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AD4DE0">
        <w:rPr>
          <w:rFonts w:ascii="Palatino Linotype" w:eastAsia="Palatino Linotype" w:hAnsi="Palatino Linotype" w:cs="Palatino Linotype"/>
          <w:b/>
          <w:color w:val="000000"/>
          <w:sz w:val="28"/>
          <w:szCs w:val="24"/>
          <w:lang w:val="es-ES_tradnl" w:eastAsia="es-MX"/>
        </w:rPr>
        <w:t>PRIMERO.</w:t>
      </w:r>
      <w:r w:rsidRPr="00AD4DE0">
        <w:rPr>
          <w:rFonts w:ascii="Palatino Linotype" w:eastAsia="Palatino Linotype" w:hAnsi="Palatino Linotype" w:cs="Palatino Linotype"/>
          <w:color w:val="000000"/>
          <w:sz w:val="24"/>
          <w:szCs w:val="24"/>
          <w:lang w:val="es-ES_tradnl" w:eastAsia="es-MX"/>
        </w:rPr>
        <w:t xml:space="preserve"> Se </w:t>
      </w:r>
      <w:r w:rsidRPr="00AD4DE0">
        <w:rPr>
          <w:rFonts w:ascii="Palatino Linotype" w:eastAsia="Palatino Linotype" w:hAnsi="Palatino Linotype" w:cs="Palatino Linotype"/>
          <w:b/>
          <w:color w:val="000000"/>
          <w:sz w:val="26"/>
          <w:szCs w:val="26"/>
          <w:lang w:val="es-ES_tradnl" w:eastAsia="es-MX"/>
        </w:rPr>
        <w:t>MODIFICA</w:t>
      </w:r>
      <w:r w:rsidRPr="00AD4DE0">
        <w:rPr>
          <w:rFonts w:ascii="Palatino Linotype" w:eastAsia="Palatino Linotype" w:hAnsi="Palatino Linotype" w:cs="Palatino Linotype"/>
          <w:color w:val="000000"/>
          <w:sz w:val="24"/>
          <w:szCs w:val="24"/>
          <w:lang w:val="es-ES_tradnl" w:eastAsia="es-MX"/>
        </w:rPr>
        <w:t xml:space="preserve"> la respuesta entregada por el Sujeto Obligado</w:t>
      </w:r>
      <w:r w:rsidRPr="00AD4DE0">
        <w:rPr>
          <w:rFonts w:ascii="Palatino Linotype" w:eastAsia="Palatino Linotype" w:hAnsi="Palatino Linotype" w:cs="Palatino Linotype"/>
          <w:b/>
          <w:color w:val="000000"/>
          <w:sz w:val="24"/>
          <w:szCs w:val="24"/>
          <w:lang w:val="es-ES_tradnl" w:eastAsia="es-MX"/>
        </w:rPr>
        <w:t xml:space="preserve"> </w:t>
      </w:r>
      <w:r w:rsidRPr="00AD4DE0">
        <w:rPr>
          <w:rFonts w:ascii="Palatino Linotype" w:eastAsia="Palatino Linotype" w:hAnsi="Palatino Linotype" w:cs="Palatino Linotype"/>
          <w:color w:val="000000"/>
          <w:sz w:val="24"/>
          <w:szCs w:val="24"/>
          <w:lang w:val="es-ES_tradnl" w:eastAsia="es-MX"/>
        </w:rPr>
        <w:t xml:space="preserve">a la solicitud de información número </w:t>
      </w:r>
      <w:r w:rsidRPr="00AD4DE0">
        <w:rPr>
          <w:rFonts w:ascii="Palatino Linotype" w:eastAsia="Palatino Linotype" w:hAnsi="Palatino Linotype" w:cs="Palatino Linotype"/>
          <w:b/>
          <w:bCs/>
          <w:color w:val="000000"/>
          <w:sz w:val="24"/>
          <w:szCs w:val="24"/>
          <w:lang w:val="es-ES_tradnl" w:eastAsia="es-MX"/>
        </w:rPr>
        <w:t>00398/VACHASO/IP/2023</w:t>
      </w:r>
      <w:r w:rsidRPr="00AD4DE0">
        <w:rPr>
          <w:rFonts w:ascii="Palatino Linotype" w:eastAsia="Palatino Linotype" w:hAnsi="Palatino Linotype" w:cs="Palatino Linotype"/>
          <w:color w:val="000000"/>
          <w:sz w:val="24"/>
          <w:szCs w:val="24"/>
          <w:lang w:val="es-ES_tradnl" w:eastAsia="es-MX"/>
        </w:rPr>
        <w:t xml:space="preserve">, por resultar fundados </w:t>
      </w:r>
      <w:r w:rsidRPr="00AD4DE0">
        <w:rPr>
          <w:rFonts w:ascii="Palatino Linotype" w:eastAsia="Palatino Linotype" w:hAnsi="Palatino Linotype" w:cs="Palatino Linotype"/>
          <w:color w:val="000000"/>
          <w:sz w:val="24"/>
          <w:szCs w:val="24"/>
          <w:lang w:val="es-ES_tradnl" w:eastAsia="es-MX"/>
        </w:rPr>
        <w:lastRenderedPageBreak/>
        <w:t>los motivos de inconformidad argüidos por el Recurrente, en términos del</w:t>
      </w:r>
      <w:r w:rsidRPr="00AD4DE0">
        <w:rPr>
          <w:rFonts w:ascii="Palatino Linotype" w:eastAsia="Palatino Linotype" w:hAnsi="Palatino Linotype" w:cs="Palatino Linotype"/>
          <w:b/>
          <w:color w:val="000000"/>
          <w:sz w:val="24"/>
          <w:szCs w:val="24"/>
          <w:lang w:val="es-ES_tradnl" w:eastAsia="es-MX"/>
        </w:rPr>
        <w:t xml:space="preserve"> Considerando CUARTO </w:t>
      </w:r>
      <w:r w:rsidRPr="00AD4DE0">
        <w:rPr>
          <w:rFonts w:ascii="Palatino Linotype" w:eastAsia="Palatino Linotype" w:hAnsi="Palatino Linotype" w:cs="Palatino Linotype"/>
          <w:color w:val="000000"/>
          <w:sz w:val="24"/>
          <w:szCs w:val="24"/>
          <w:lang w:val="es-ES_tradnl" w:eastAsia="es-MX"/>
        </w:rPr>
        <w:t xml:space="preserve">de la presente resolución. </w:t>
      </w:r>
    </w:p>
    <w:p w14:paraId="0ED1DE9D" w14:textId="77777777" w:rsidR="00806A1B" w:rsidRPr="00AD4DE0" w:rsidRDefault="00806A1B" w:rsidP="00806A1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2455EB14" w14:textId="77777777" w:rsidR="00806A1B" w:rsidRPr="00AD4DE0" w:rsidRDefault="00806A1B" w:rsidP="00806A1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AD4DE0">
        <w:rPr>
          <w:rFonts w:ascii="Palatino Linotype" w:eastAsia="Palatino Linotype" w:hAnsi="Palatino Linotype" w:cs="Palatino Linotype"/>
          <w:b/>
          <w:color w:val="000000"/>
          <w:sz w:val="28"/>
          <w:szCs w:val="24"/>
          <w:lang w:val="es-ES_tradnl" w:eastAsia="es-MX"/>
        </w:rPr>
        <w:t>SEGUNDO.</w:t>
      </w:r>
      <w:r w:rsidRPr="00AD4DE0">
        <w:rPr>
          <w:rFonts w:ascii="Palatino Linotype" w:eastAsia="Palatino Linotype" w:hAnsi="Palatino Linotype" w:cs="Palatino Linotype"/>
          <w:color w:val="000000"/>
          <w:sz w:val="24"/>
          <w:szCs w:val="24"/>
          <w:lang w:val="es-ES_tradnl" w:eastAsia="es-MX"/>
        </w:rPr>
        <w:t xml:space="preserve"> Se </w:t>
      </w:r>
      <w:r w:rsidRPr="00AD4DE0">
        <w:rPr>
          <w:rFonts w:ascii="Palatino Linotype" w:eastAsia="Palatino Linotype" w:hAnsi="Palatino Linotype" w:cs="Palatino Linotype"/>
          <w:b/>
          <w:color w:val="000000"/>
          <w:sz w:val="24"/>
          <w:szCs w:val="24"/>
          <w:lang w:val="es-ES_tradnl" w:eastAsia="es-MX"/>
        </w:rPr>
        <w:t>ORDENA</w:t>
      </w:r>
      <w:r w:rsidRPr="00AD4DE0">
        <w:rPr>
          <w:rFonts w:ascii="Palatino Linotype" w:eastAsia="Palatino Linotype" w:hAnsi="Palatino Linotype" w:cs="Palatino Linotype"/>
          <w:color w:val="000000"/>
          <w:sz w:val="24"/>
          <w:szCs w:val="24"/>
          <w:lang w:val="es-ES_tradnl" w:eastAsia="es-MX"/>
        </w:rPr>
        <w:t xml:space="preserve"> al Sujeto Obligado al Recurrente mediante el Sistema de Acceso a la Información Mexiquense (SAIMEX), y en términos del </w:t>
      </w:r>
      <w:r w:rsidRPr="00AD4DE0">
        <w:rPr>
          <w:rFonts w:ascii="Palatino Linotype" w:eastAsia="Palatino Linotype" w:hAnsi="Palatino Linotype" w:cs="Palatino Linotype"/>
          <w:b/>
          <w:color w:val="000000"/>
          <w:sz w:val="24"/>
          <w:szCs w:val="24"/>
          <w:lang w:val="es-ES_tradnl" w:eastAsia="es-MX"/>
        </w:rPr>
        <w:t>Considerando CUARTO</w:t>
      </w:r>
      <w:r w:rsidRPr="00AD4DE0">
        <w:rPr>
          <w:rFonts w:ascii="Palatino Linotype" w:eastAsia="Palatino Linotype" w:hAnsi="Palatino Linotype" w:cs="Palatino Linotype"/>
          <w:color w:val="000000"/>
          <w:sz w:val="24"/>
          <w:szCs w:val="24"/>
          <w:lang w:val="es-ES_tradnl" w:eastAsia="es-MX"/>
        </w:rPr>
        <w:t xml:space="preserve">, de lo siguiente: </w:t>
      </w:r>
    </w:p>
    <w:p w14:paraId="0F282108" w14:textId="77777777" w:rsidR="00806A1B" w:rsidRPr="00AD4DE0" w:rsidRDefault="00806A1B" w:rsidP="00806A1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1187DD51" w14:textId="77777777" w:rsidR="00E57E81" w:rsidRPr="00AD4DE0" w:rsidRDefault="0083104E" w:rsidP="00806A1B">
      <w:pPr>
        <w:pStyle w:val="Citas"/>
        <w:numPr>
          <w:ilvl w:val="0"/>
          <w:numId w:val="5"/>
        </w:numPr>
        <w:tabs>
          <w:tab w:val="left" w:pos="7470"/>
        </w:tabs>
        <w:ind w:right="72"/>
        <w:rPr>
          <w:bCs/>
          <w:i w:val="0"/>
          <w:sz w:val="24"/>
          <w:szCs w:val="24"/>
        </w:rPr>
      </w:pPr>
      <w:r w:rsidRPr="00AD4DE0">
        <w:rPr>
          <w:i w:val="0"/>
          <w:sz w:val="24"/>
          <w:szCs w:val="24"/>
        </w:rPr>
        <w:t>Del Censo, e</w:t>
      </w:r>
      <w:r w:rsidR="00E57E81" w:rsidRPr="00AD4DE0">
        <w:rPr>
          <w:i w:val="0"/>
          <w:sz w:val="24"/>
          <w:szCs w:val="24"/>
        </w:rPr>
        <w:t>l Acuerdo emitido por el Comité de Transparencia mediante el cual se apruebe la clasificación total de los registros de las fosas individuales, columnario municipal y fosas comunes, vigentes a la fecha de la solicitud.</w:t>
      </w:r>
    </w:p>
    <w:p w14:paraId="244222C0" w14:textId="77777777" w:rsidR="00806A1B" w:rsidRPr="00AD4DE0" w:rsidRDefault="00806A1B" w:rsidP="00806A1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183BEDAE" w14:textId="77777777" w:rsidR="00806A1B" w:rsidRPr="00AD4DE0" w:rsidRDefault="00806A1B" w:rsidP="00806A1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AD4DE0">
        <w:rPr>
          <w:rFonts w:ascii="Palatino Linotype" w:eastAsia="Palatino Linotype" w:hAnsi="Palatino Linotype" w:cs="Palatino Linotype"/>
          <w:b/>
          <w:color w:val="000000"/>
          <w:sz w:val="28"/>
          <w:szCs w:val="24"/>
          <w:lang w:val="es-ES_tradnl" w:eastAsia="es-MX"/>
        </w:rPr>
        <w:t>TERCERO.</w:t>
      </w:r>
      <w:r w:rsidRPr="00AD4DE0">
        <w:rPr>
          <w:rFonts w:ascii="Palatino Linotype" w:eastAsia="Palatino Linotype" w:hAnsi="Palatino Linotype" w:cs="Palatino Linotype"/>
          <w:b/>
          <w:color w:val="000000"/>
          <w:sz w:val="24"/>
          <w:szCs w:val="24"/>
          <w:lang w:val="es-ES_tradnl" w:eastAsia="es-MX"/>
        </w:rPr>
        <w:t xml:space="preserve"> NOTIFÍQUESE </w:t>
      </w:r>
      <w:r w:rsidRPr="00AD4DE0">
        <w:rPr>
          <w:rFonts w:ascii="Palatino Linotype" w:eastAsia="Palatino Linotype" w:hAnsi="Palatino Linotype" w:cs="Palatino Linotype"/>
          <w:color w:val="000000"/>
          <w:sz w:val="24"/>
          <w:szCs w:val="24"/>
          <w:lang w:val="es-ES_tradnl"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AD4DE0">
        <w:rPr>
          <w:rFonts w:ascii="Palatino Linotype" w:eastAsia="Palatino Linotype" w:hAnsi="Palatino Linotype" w:cs="Palatino Linotype"/>
          <w:b/>
          <w:color w:val="000000"/>
          <w:sz w:val="24"/>
          <w:szCs w:val="24"/>
          <w:lang w:val="es-ES_tradnl" w:eastAsia="es-MX"/>
        </w:rPr>
        <w:t>diez días hábiles</w:t>
      </w:r>
      <w:r w:rsidRPr="00AD4DE0">
        <w:rPr>
          <w:rFonts w:ascii="Palatino Linotype" w:eastAsia="Palatino Linotype" w:hAnsi="Palatino Linotype" w:cs="Palatino Linotype"/>
          <w:color w:val="000000"/>
          <w:sz w:val="24"/>
          <w:szCs w:val="24"/>
          <w:lang w:val="es-ES_tradnl" w:eastAsia="es-MX"/>
        </w:rPr>
        <w:t>, e informe a este Instituto en un plazo de tres días hábiles siguientes sobre el cumplimiento dado a la presente y</w:t>
      </w:r>
      <w:r w:rsidRPr="00AD4DE0">
        <w:rPr>
          <w:rFonts w:ascii="Palatino Linotype" w:eastAsia="Palatino Linotype" w:hAnsi="Palatino Linotype" w:cs="Palatino Linotype"/>
          <w:b/>
          <w:color w:val="000000"/>
          <w:sz w:val="24"/>
          <w:szCs w:val="24"/>
          <w:lang w:val="es-ES_tradnl" w:eastAsia="es-MX"/>
        </w:rPr>
        <w:t>,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E19DC17" w14:textId="77777777" w:rsidR="00806A1B" w:rsidRPr="00AD4DE0" w:rsidRDefault="00806A1B" w:rsidP="00806A1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511D3AD1" w14:textId="77777777" w:rsidR="00806A1B" w:rsidRPr="00AD4DE0" w:rsidRDefault="00806A1B" w:rsidP="00806A1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AD4DE0">
        <w:rPr>
          <w:rFonts w:ascii="Palatino Linotype" w:eastAsia="Palatino Linotype" w:hAnsi="Palatino Linotype" w:cs="Palatino Linotype"/>
          <w:b/>
          <w:color w:val="000000"/>
          <w:sz w:val="28"/>
          <w:szCs w:val="24"/>
          <w:lang w:val="es-ES_tradnl" w:eastAsia="es-MX"/>
        </w:rPr>
        <w:lastRenderedPageBreak/>
        <w:t xml:space="preserve">CUARTO. </w:t>
      </w:r>
      <w:r w:rsidRPr="00AD4DE0">
        <w:rPr>
          <w:rFonts w:ascii="Palatino Linotype" w:eastAsia="Palatino Linotype" w:hAnsi="Palatino Linotype" w:cs="Palatino Linotype"/>
          <w:color w:val="000000"/>
          <w:sz w:val="24"/>
          <w:szCs w:val="24"/>
          <w:lang w:val="es-ES_tradnl"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966434F" w14:textId="77777777" w:rsidR="00806A1B" w:rsidRPr="00AD4DE0" w:rsidRDefault="00806A1B" w:rsidP="00806A1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eastAsia="es-MX"/>
        </w:rPr>
      </w:pPr>
    </w:p>
    <w:p w14:paraId="1331104F" w14:textId="77777777" w:rsidR="00BF34F0" w:rsidRPr="00AD4DE0" w:rsidRDefault="00806A1B" w:rsidP="00806A1B">
      <w:pPr>
        <w:pBdr>
          <w:top w:val="nil"/>
          <w:left w:val="nil"/>
          <w:bottom w:val="nil"/>
          <w:right w:val="nil"/>
          <w:between w:val="nil"/>
        </w:pBdr>
        <w:spacing w:after="0" w:line="360" w:lineRule="auto"/>
        <w:jc w:val="both"/>
        <w:rPr>
          <w:rFonts w:ascii="Palatino Linotype" w:hAnsi="Palatino Linotype" w:cs="Arial"/>
        </w:rPr>
      </w:pPr>
      <w:r w:rsidRPr="00AD4DE0">
        <w:rPr>
          <w:rFonts w:ascii="Palatino Linotype" w:eastAsia="Palatino Linotype" w:hAnsi="Palatino Linotype" w:cs="Palatino Linotype"/>
          <w:b/>
          <w:color w:val="000000"/>
          <w:sz w:val="28"/>
          <w:szCs w:val="24"/>
          <w:lang w:val="es-ES_tradnl" w:eastAsia="es-MX"/>
        </w:rPr>
        <w:t>QUINTO.</w:t>
      </w:r>
      <w:r w:rsidRPr="00AD4DE0">
        <w:rPr>
          <w:rFonts w:ascii="Palatino Linotype" w:eastAsia="Palatino Linotype" w:hAnsi="Palatino Linotype" w:cs="Palatino Linotype"/>
          <w:b/>
          <w:color w:val="000000"/>
          <w:sz w:val="24"/>
          <w:szCs w:val="24"/>
          <w:lang w:val="es-ES_tradnl" w:eastAsia="es-MX"/>
        </w:rPr>
        <w:t xml:space="preserve"> </w:t>
      </w:r>
      <w:r w:rsidR="00BF34F0" w:rsidRPr="00AD4DE0">
        <w:rPr>
          <w:rFonts w:ascii="Palatino Linotype" w:hAnsi="Palatino Linotype" w:cs="Arial"/>
          <w:b/>
          <w:sz w:val="24"/>
        </w:rPr>
        <w:t>Notifíquese</w:t>
      </w:r>
      <w:r w:rsidR="00BF34F0" w:rsidRPr="00AD4DE0">
        <w:rPr>
          <w:rFonts w:ascii="Palatino Linotype" w:hAnsi="Palatino Linotype" w:cs="Arial"/>
          <w:sz w:val="24"/>
        </w:rPr>
        <w:t xml:space="preserve"> a través del Sistema de Acceso a la Información Mexiquense </w:t>
      </w:r>
      <w:r w:rsidR="00BF34F0" w:rsidRPr="00AD4DE0">
        <w:rPr>
          <w:rFonts w:ascii="Palatino Linotype" w:hAnsi="Palatino Linotype" w:cs="Arial"/>
          <w:b/>
          <w:sz w:val="24"/>
        </w:rPr>
        <w:t>(SAIMEX),</w:t>
      </w:r>
      <w:r w:rsidR="00BF34F0" w:rsidRPr="00AD4DE0">
        <w:rPr>
          <w:rFonts w:ascii="Palatino Linotype" w:hAnsi="Palatino Linotype" w:cs="Arial"/>
          <w:sz w:val="24"/>
        </w:rPr>
        <w:t xml:space="preserve"> al</w:t>
      </w:r>
      <w:r w:rsidR="00BF34F0" w:rsidRPr="00AD4DE0">
        <w:rPr>
          <w:rFonts w:ascii="Palatino Linotype" w:hAnsi="Palatino Linotype" w:cs="Arial"/>
          <w:b/>
          <w:bCs/>
          <w:sz w:val="24"/>
        </w:rPr>
        <w:t xml:space="preserve"> RECURRENTE</w:t>
      </w:r>
      <w:r w:rsidR="00BF34F0" w:rsidRPr="00AD4DE0">
        <w:rPr>
          <w:rFonts w:ascii="Palatino Linotype" w:hAnsi="Palatino Linotype" w:cs="Arial"/>
          <w:sz w:val="24"/>
        </w:rPr>
        <w:t xml:space="preserv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5C4B5BAC" w14:textId="77777777" w:rsidR="00BF34F0" w:rsidRPr="00AD4DE0" w:rsidRDefault="00BF34F0" w:rsidP="00806A1B">
      <w:pPr>
        <w:pBdr>
          <w:top w:val="nil"/>
          <w:left w:val="nil"/>
          <w:bottom w:val="nil"/>
          <w:right w:val="nil"/>
          <w:between w:val="nil"/>
        </w:pBdr>
        <w:spacing w:after="0" w:line="360" w:lineRule="auto"/>
        <w:jc w:val="both"/>
        <w:rPr>
          <w:rFonts w:ascii="Palatino Linotype" w:hAnsi="Palatino Linotype" w:cs="Arial"/>
        </w:rPr>
      </w:pPr>
    </w:p>
    <w:p w14:paraId="04EAB6CC" w14:textId="019D1C75" w:rsidR="00806A1B" w:rsidRPr="00AD4DE0" w:rsidRDefault="00806A1B" w:rsidP="002A1EE7">
      <w:pPr>
        <w:pBdr>
          <w:top w:val="nil"/>
          <w:left w:val="nil"/>
          <w:bottom w:val="nil"/>
          <w:right w:val="nil"/>
          <w:between w:val="nil"/>
        </w:pBdr>
        <w:spacing w:after="0" w:line="360" w:lineRule="auto"/>
        <w:jc w:val="both"/>
        <w:rPr>
          <w:rFonts w:ascii="Palatino Linotype" w:hAnsi="Palatino Linotype" w:cs="Arial"/>
          <w:sz w:val="20"/>
          <w:szCs w:val="20"/>
        </w:rPr>
      </w:pPr>
      <w:r w:rsidRPr="00AD4DE0">
        <w:rPr>
          <w:rFonts w:ascii="Palatino Linotype" w:hAnsi="Palatino Linotype" w:cs="Arial"/>
          <w:szCs w:val="20"/>
        </w:rPr>
        <w:t>ASÍ LO ACORDÓ, POR UNANIMIDAD DE VOTOS, EL PLENO DEL</w:t>
      </w:r>
      <w:r w:rsidRPr="00AD4DE0">
        <w:rPr>
          <w:rFonts w:ascii="Palatino Linotype" w:eastAsia="Arial Unicode MS" w:hAnsi="Palatino Linotype" w:cs="Arial"/>
          <w:szCs w:val="20"/>
        </w:rPr>
        <w:t xml:space="preserve"> INSTITUTO DE TRANSPARENCIA, ACCESO A LA INFORMACIÓN PÚBLICA Y PROTECCIÓN DE DATOS PERSONALES DEL ESTADO DE MÉXICO Y MUNICIPIOS</w:t>
      </w:r>
      <w:r w:rsidRPr="00AD4DE0">
        <w:rPr>
          <w:rFonts w:ascii="Palatino Linotype" w:hAnsi="Palatino Linotype" w:cs="Arial"/>
          <w:szCs w:val="20"/>
        </w:rPr>
        <w:t xml:space="preserve">, CONFORMADO POR LOS COMISIONADOS JOSÉ MARTÍNEZ VILCHIS, MARÍA DEL ROSARIO MEJÍA AYALA, SHARON CRISTINA MORALES MARTÍNEZ, LUIS GUSTAVO PARRA NORIEGA Y GUADALUPE RAMÍREZ PEÑA; EN LA CUADRAGÉSIMA </w:t>
      </w:r>
      <w:r w:rsidR="00E57E81" w:rsidRPr="00AD4DE0">
        <w:rPr>
          <w:rFonts w:ascii="Palatino Linotype" w:hAnsi="Palatino Linotype" w:cs="Arial"/>
          <w:szCs w:val="20"/>
        </w:rPr>
        <w:t xml:space="preserve">TERCERA </w:t>
      </w:r>
      <w:r w:rsidRPr="00AD4DE0">
        <w:rPr>
          <w:rFonts w:ascii="Palatino Linotype" w:hAnsi="Palatino Linotype" w:cs="Arial"/>
          <w:szCs w:val="20"/>
        </w:rPr>
        <w:t xml:space="preserve">SESIÓN ORDINARIA CELEBRADA EL </w:t>
      </w:r>
      <w:r w:rsidR="00E57E81" w:rsidRPr="00AD4DE0">
        <w:rPr>
          <w:rFonts w:ascii="Palatino Linotype" w:hAnsi="Palatino Linotype" w:cs="Arial"/>
          <w:szCs w:val="20"/>
        </w:rPr>
        <w:t>VEINTINUEVE</w:t>
      </w:r>
      <w:r w:rsidRPr="00AD4DE0">
        <w:rPr>
          <w:rFonts w:ascii="Palatino Linotype" w:hAnsi="Palatino Linotype" w:cs="Arial"/>
          <w:szCs w:val="20"/>
        </w:rPr>
        <w:t xml:space="preserve"> DE NOVIEM</w:t>
      </w:r>
      <w:r w:rsidR="00AD4DE0">
        <w:rPr>
          <w:rFonts w:ascii="Palatino Linotype" w:hAnsi="Palatino Linotype" w:cs="Arial"/>
          <w:szCs w:val="20"/>
        </w:rPr>
        <w:t>B</w:t>
      </w:r>
      <w:r w:rsidRPr="00AD4DE0">
        <w:rPr>
          <w:rFonts w:ascii="Palatino Linotype" w:hAnsi="Palatino Linotype" w:cs="Arial"/>
          <w:szCs w:val="20"/>
        </w:rPr>
        <w:t xml:space="preserve">RE DE DOS MIL VEINTITRÉS, ANTE EL SECRETARIO TÉCNICO DEL PLENO, ALEXIS TAPIA RAMÍREZ. </w:t>
      </w:r>
      <w:r w:rsidR="002A1EE7" w:rsidRPr="00AD4DE0">
        <w:rPr>
          <w:rFonts w:ascii="Palatino Linotype" w:hAnsi="Palatino Linotype" w:cs="Arial"/>
          <w:sz w:val="20"/>
          <w:szCs w:val="20"/>
        </w:rPr>
        <w:t>------------------------------------------------------------------------------------------------------------</w:t>
      </w:r>
      <w:r w:rsidR="00AD4DE0">
        <w:rPr>
          <w:rFonts w:ascii="Palatino Linotype" w:hAnsi="Palatino Linotype" w:cs="Arial"/>
          <w:sz w:val="20"/>
          <w:szCs w:val="20"/>
        </w:rPr>
        <w:t>-----------------------------</w:t>
      </w:r>
    </w:p>
    <w:p w14:paraId="3B7369BB" w14:textId="77777777" w:rsidR="00806A1B" w:rsidRPr="00AB0A3C" w:rsidRDefault="00806A1B" w:rsidP="00806A1B">
      <w:pPr>
        <w:spacing w:line="360" w:lineRule="auto"/>
        <w:jc w:val="both"/>
        <w:rPr>
          <w:sz w:val="20"/>
        </w:rPr>
      </w:pPr>
      <w:r w:rsidRPr="00AD4DE0">
        <w:rPr>
          <w:rFonts w:ascii="Palatino Linotype" w:hAnsi="Palatino Linotype"/>
          <w:bCs/>
          <w:sz w:val="16"/>
          <w:szCs w:val="18"/>
        </w:rPr>
        <w:t>CCR/LMST</w:t>
      </w:r>
    </w:p>
    <w:p w14:paraId="55ABF88F" w14:textId="77777777" w:rsidR="00806A1B" w:rsidRDefault="00806A1B" w:rsidP="00806A1B"/>
    <w:p w14:paraId="416B66AF" w14:textId="77777777" w:rsidR="00806A1B" w:rsidRDefault="00806A1B" w:rsidP="00806A1B"/>
    <w:p w14:paraId="504F0E28" w14:textId="77777777" w:rsidR="00806A1B" w:rsidRDefault="00806A1B" w:rsidP="00806A1B"/>
    <w:p w14:paraId="03DEF26C" w14:textId="77777777" w:rsidR="00806A1B" w:rsidRDefault="00806A1B" w:rsidP="00806A1B"/>
    <w:p w14:paraId="1B06BD34" w14:textId="77777777" w:rsidR="00806A1B" w:rsidRDefault="00806A1B" w:rsidP="00806A1B"/>
    <w:p w14:paraId="6C952E8F" w14:textId="77777777" w:rsidR="00806A1B" w:rsidRDefault="00806A1B" w:rsidP="00806A1B"/>
    <w:p w14:paraId="32280668" w14:textId="77777777" w:rsidR="00806A1B" w:rsidRDefault="00806A1B" w:rsidP="00806A1B"/>
    <w:p w14:paraId="448A9155" w14:textId="77777777" w:rsidR="00806A1B" w:rsidRDefault="00806A1B" w:rsidP="00806A1B"/>
    <w:p w14:paraId="12F643A5" w14:textId="77777777" w:rsidR="00806A1B" w:rsidRDefault="00806A1B" w:rsidP="00806A1B"/>
    <w:p w14:paraId="0C8DDBA6" w14:textId="77777777" w:rsidR="00806A1B" w:rsidRDefault="00806A1B" w:rsidP="00806A1B"/>
    <w:p w14:paraId="39302674" w14:textId="77777777" w:rsidR="00806A1B" w:rsidRDefault="00806A1B" w:rsidP="00806A1B"/>
    <w:p w14:paraId="073FFDFF" w14:textId="77777777" w:rsidR="00DC325A" w:rsidRDefault="00DC325A"/>
    <w:sectPr w:rsidR="00DC325A" w:rsidSect="00BE4167">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1B8FE" w14:textId="77777777" w:rsidR="0072741D" w:rsidRDefault="0072741D" w:rsidP="00806A1B">
      <w:pPr>
        <w:spacing w:after="0" w:line="240" w:lineRule="auto"/>
      </w:pPr>
      <w:r>
        <w:separator/>
      </w:r>
    </w:p>
  </w:endnote>
  <w:endnote w:type="continuationSeparator" w:id="0">
    <w:p w14:paraId="1A82EDB9" w14:textId="77777777" w:rsidR="0072741D" w:rsidRDefault="0072741D" w:rsidP="00806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97EF8" w14:textId="77777777" w:rsidR="002A1EE7" w:rsidRPr="000B69FA" w:rsidRDefault="00235F49" w:rsidP="00BE4167">
    <w:pPr>
      <w:pStyle w:val="Piedepgina"/>
      <w:jc w:val="right"/>
      <w:rPr>
        <w:rFonts w:ascii="Palatino Linotype" w:hAnsi="Palatino Linotype"/>
        <w:sz w:val="20"/>
      </w:rPr>
    </w:pPr>
    <w:r w:rsidRPr="000B69FA">
      <w:rPr>
        <w:rFonts w:ascii="Palatino Linotype" w:hAnsi="Palatino Linotype"/>
        <w:sz w:val="20"/>
      </w:rPr>
      <w:t xml:space="preserve">Página </w:t>
    </w:r>
    <w:r w:rsidR="00C6220C"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C6220C" w:rsidRPr="000B69FA">
      <w:rPr>
        <w:rFonts w:ascii="Palatino Linotype" w:hAnsi="Palatino Linotype"/>
        <w:bCs/>
        <w:sz w:val="20"/>
      </w:rPr>
      <w:fldChar w:fldCharType="separate"/>
    </w:r>
    <w:r w:rsidR="00975571">
      <w:rPr>
        <w:rFonts w:ascii="Palatino Linotype" w:hAnsi="Palatino Linotype"/>
        <w:bCs/>
        <w:noProof/>
        <w:sz w:val="20"/>
      </w:rPr>
      <w:t>26</w:t>
    </w:r>
    <w:r w:rsidR="00C6220C" w:rsidRPr="000B69FA">
      <w:rPr>
        <w:rFonts w:ascii="Palatino Linotype" w:hAnsi="Palatino Linotype"/>
        <w:bCs/>
        <w:sz w:val="20"/>
      </w:rPr>
      <w:fldChar w:fldCharType="end"/>
    </w:r>
    <w:r w:rsidRPr="000B69FA">
      <w:rPr>
        <w:rFonts w:ascii="Palatino Linotype" w:hAnsi="Palatino Linotype"/>
        <w:sz w:val="20"/>
      </w:rPr>
      <w:t xml:space="preserve"> de </w:t>
    </w:r>
    <w:r w:rsidR="00975571">
      <w:fldChar w:fldCharType="begin"/>
    </w:r>
    <w:r w:rsidR="00975571">
      <w:instrText>NUMPAGES  \* Arabic  \* MERGEFORMAT</w:instrText>
    </w:r>
    <w:r w:rsidR="00975571">
      <w:fldChar w:fldCharType="separate"/>
    </w:r>
    <w:r w:rsidR="00975571" w:rsidRPr="00975571">
      <w:rPr>
        <w:rFonts w:ascii="Palatino Linotype" w:hAnsi="Palatino Linotype"/>
        <w:bCs/>
        <w:noProof/>
        <w:sz w:val="20"/>
      </w:rPr>
      <w:t>34</w:t>
    </w:r>
    <w:r w:rsidR="00975571">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7E486" w14:textId="77777777" w:rsidR="002A1EE7" w:rsidRPr="000B69FA" w:rsidRDefault="00235F49" w:rsidP="00BE4167">
    <w:pPr>
      <w:pStyle w:val="Piedepgina"/>
      <w:jc w:val="right"/>
      <w:rPr>
        <w:rFonts w:ascii="Palatino Linotype" w:hAnsi="Palatino Linotype"/>
        <w:sz w:val="20"/>
      </w:rPr>
    </w:pPr>
    <w:r w:rsidRPr="000B69FA">
      <w:rPr>
        <w:rFonts w:ascii="Palatino Linotype" w:hAnsi="Palatino Linotype"/>
        <w:sz w:val="20"/>
      </w:rPr>
      <w:t xml:space="preserve">Página </w:t>
    </w:r>
    <w:r w:rsidR="00C6220C"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C6220C" w:rsidRPr="000B69FA">
      <w:rPr>
        <w:rFonts w:ascii="Palatino Linotype" w:hAnsi="Palatino Linotype"/>
        <w:bCs/>
        <w:sz w:val="20"/>
      </w:rPr>
      <w:fldChar w:fldCharType="separate"/>
    </w:r>
    <w:r w:rsidR="00975571">
      <w:rPr>
        <w:rFonts w:ascii="Palatino Linotype" w:hAnsi="Palatino Linotype"/>
        <w:bCs/>
        <w:noProof/>
        <w:sz w:val="20"/>
      </w:rPr>
      <w:t>1</w:t>
    </w:r>
    <w:r w:rsidR="00C6220C" w:rsidRPr="000B69FA">
      <w:rPr>
        <w:rFonts w:ascii="Palatino Linotype" w:hAnsi="Palatino Linotype"/>
        <w:bCs/>
        <w:sz w:val="20"/>
      </w:rPr>
      <w:fldChar w:fldCharType="end"/>
    </w:r>
    <w:r w:rsidRPr="000B69FA">
      <w:rPr>
        <w:rFonts w:ascii="Palatino Linotype" w:hAnsi="Palatino Linotype"/>
        <w:sz w:val="20"/>
      </w:rPr>
      <w:t xml:space="preserve"> de </w:t>
    </w:r>
    <w:r w:rsidR="00975571">
      <w:fldChar w:fldCharType="begin"/>
    </w:r>
    <w:r w:rsidR="00975571">
      <w:instrText>NUMPAGES  \* Arabic  \* MERGEFORMAT</w:instrText>
    </w:r>
    <w:r w:rsidR="00975571">
      <w:fldChar w:fldCharType="separate"/>
    </w:r>
    <w:r w:rsidR="00975571" w:rsidRPr="00975571">
      <w:rPr>
        <w:rFonts w:ascii="Palatino Linotype" w:hAnsi="Palatino Linotype"/>
        <w:bCs/>
        <w:noProof/>
        <w:sz w:val="20"/>
      </w:rPr>
      <w:t>34</w:t>
    </w:r>
    <w:r w:rsidR="00975571">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D8371" w14:textId="77777777" w:rsidR="0072741D" w:rsidRDefault="0072741D" w:rsidP="00806A1B">
      <w:pPr>
        <w:spacing w:after="0" w:line="240" w:lineRule="auto"/>
      </w:pPr>
      <w:r>
        <w:separator/>
      </w:r>
    </w:p>
  </w:footnote>
  <w:footnote w:type="continuationSeparator" w:id="0">
    <w:p w14:paraId="6FF9D693" w14:textId="77777777" w:rsidR="0072741D" w:rsidRDefault="0072741D" w:rsidP="00806A1B">
      <w:pPr>
        <w:spacing w:after="0" w:line="240" w:lineRule="auto"/>
      </w:pPr>
      <w:r>
        <w:continuationSeparator/>
      </w:r>
    </w:p>
  </w:footnote>
  <w:footnote w:id="1">
    <w:p w14:paraId="49084EA4" w14:textId="77777777" w:rsidR="00806A1B" w:rsidRPr="005552A8" w:rsidRDefault="00806A1B" w:rsidP="00806A1B">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EBDB388" w14:textId="77777777" w:rsidR="00806A1B" w:rsidRPr="005552A8" w:rsidRDefault="00806A1B" w:rsidP="00806A1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81D14" w14:textId="77777777" w:rsidR="002A1EE7" w:rsidRDefault="00235F49">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1340FB0" wp14:editId="554AB0E6">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BE4167" w14:paraId="6A1B9B92" w14:textId="77777777" w:rsidTr="00BE4167">
      <w:trPr>
        <w:trHeight w:val="227"/>
      </w:trPr>
      <w:tc>
        <w:tcPr>
          <w:tcW w:w="5529" w:type="dxa"/>
          <w:hideMark/>
        </w:tcPr>
        <w:p w14:paraId="776065EC" w14:textId="77777777" w:rsidR="002A1EE7" w:rsidRDefault="00235F49"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83310E2" w14:textId="77777777" w:rsidR="002A1EE7" w:rsidRPr="00B4142F" w:rsidRDefault="00806A1B" w:rsidP="006A72B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06520</w:t>
          </w:r>
          <w:r w:rsidR="00235F49">
            <w:rPr>
              <w:rFonts w:ascii="Palatino Linotype" w:hAnsi="Palatino Linotype" w:cs="Arial"/>
              <w:bCs/>
              <w:sz w:val="24"/>
              <w:lang w:eastAsia="es-MX"/>
            </w:rPr>
            <w:t>/INFOEM/IP/RR/2023</w:t>
          </w:r>
        </w:p>
      </w:tc>
    </w:tr>
    <w:tr w:rsidR="00BE4167" w14:paraId="22A8406F" w14:textId="77777777" w:rsidTr="00BE4167">
      <w:trPr>
        <w:trHeight w:val="242"/>
      </w:trPr>
      <w:tc>
        <w:tcPr>
          <w:tcW w:w="5529" w:type="dxa"/>
          <w:hideMark/>
        </w:tcPr>
        <w:p w14:paraId="402C1857" w14:textId="77777777" w:rsidR="002A1EE7" w:rsidRDefault="00235F49"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6AE9572" w14:textId="77777777" w:rsidR="002A1EE7" w:rsidRPr="00F06FED" w:rsidRDefault="00806A1B" w:rsidP="001973E8">
          <w:pPr>
            <w:spacing w:after="120" w:line="256" w:lineRule="auto"/>
            <w:ind w:left="639" w:right="214"/>
            <w:jc w:val="both"/>
            <w:rPr>
              <w:rFonts w:ascii="Palatino Linotype" w:hAnsi="Palatino Linotype" w:cs="Arial"/>
            </w:rPr>
          </w:pPr>
          <w:r w:rsidRPr="00806A1B">
            <w:rPr>
              <w:rFonts w:ascii="Palatino Linotype" w:hAnsi="Palatino Linotype" w:cs="Arial"/>
              <w:szCs w:val="20"/>
            </w:rPr>
            <w:t>Ayuntamiento de Valle de Chalco Solidaridad</w:t>
          </w:r>
        </w:p>
      </w:tc>
    </w:tr>
    <w:tr w:rsidR="00BE4167" w14:paraId="66F59B07" w14:textId="77777777" w:rsidTr="00BE4167">
      <w:trPr>
        <w:trHeight w:val="342"/>
      </w:trPr>
      <w:tc>
        <w:tcPr>
          <w:tcW w:w="5529" w:type="dxa"/>
          <w:hideMark/>
        </w:tcPr>
        <w:p w14:paraId="2BBCAC48" w14:textId="77777777" w:rsidR="002A1EE7" w:rsidRDefault="00235F49"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02A045A" w14:textId="77777777" w:rsidR="002A1EE7" w:rsidRDefault="00235F49" w:rsidP="00BE4167">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77494D6F" w14:textId="77777777" w:rsidR="002A1EE7" w:rsidRDefault="002A1E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E4167" w14:paraId="499AD5CD" w14:textId="77777777" w:rsidTr="00BE4167">
      <w:trPr>
        <w:trHeight w:val="227"/>
      </w:trPr>
      <w:tc>
        <w:tcPr>
          <w:tcW w:w="5529" w:type="dxa"/>
          <w:hideMark/>
        </w:tcPr>
        <w:p w14:paraId="3C03EFFA" w14:textId="77777777" w:rsidR="002A1EE7" w:rsidRDefault="00235F49"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E1A14BF" w14:textId="77777777" w:rsidR="002A1EE7" w:rsidRPr="00B4142F" w:rsidRDefault="00A50E90" w:rsidP="00EE465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06520</w:t>
          </w:r>
          <w:r w:rsidR="00235F49">
            <w:rPr>
              <w:rFonts w:ascii="Palatino Linotype" w:hAnsi="Palatino Linotype" w:cs="Arial"/>
              <w:bCs/>
              <w:sz w:val="24"/>
              <w:lang w:eastAsia="es-MX"/>
            </w:rPr>
            <w:t>/INFOEM/IP/RR/2023</w:t>
          </w:r>
        </w:p>
      </w:tc>
    </w:tr>
    <w:tr w:rsidR="00BE4167" w14:paraId="00E36A23" w14:textId="77777777" w:rsidTr="00BE4167">
      <w:trPr>
        <w:trHeight w:val="196"/>
      </w:trPr>
      <w:tc>
        <w:tcPr>
          <w:tcW w:w="5529" w:type="dxa"/>
          <w:hideMark/>
        </w:tcPr>
        <w:p w14:paraId="54090166" w14:textId="77777777" w:rsidR="002A1EE7" w:rsidRDefault="00235F49"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78877D6B" w14:textId="3AFC287F" w:rsidR="002A1EE7" w:rsidRPr="00F06FED" w:rsidRDefault="00975571" w:rsidP="00BE4167">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xxxxxxxxxxxxxxxxxxxxxxxxxxx</w:t>
          </w:r>
          <w:proofErr w:type="spellEnd"/>
        </w:p>
      </w:tc>
    </w:tr>
    <w:tr w:rsidR="00BE4167" w14:paraId="06138DE0" w14:textId="77777777" w:rsidTr="00BE4167">
      <w:trPr>
        <w:trHeight w:val="242"/>
      </w:trPr>
      <w:tc>
        <w:tcPr>
          <w:tcW w:w="5529" w:type="dxa"/>
          <w:hideMark/>
        </w:tcPr>
        <w:p w14:paraId="2F6B625C" w14:textId="77777777" w:rsidR="002A1EE7" w:rsidRDefault="00235F49"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5A92C41" w14:textId="77777777" w:rsidR="002A1EE7" w:rsidRDefault="00806A1B" w:rsidP="001973E8">
          <w:pPr>
            <w:spacing w:after="120" w:line="256" w:lineRule="auto"/>
            <w:ind w:left="639" w:right="214"/>
            <w:jc w:val="both"/>
            <w:rPr>
              <w:rFonts w:ascii="Palatino Linotype" w:hAnsi="Palatino Linotype" w:cs="Arial"/>
              <w:szCs w:val="20"/>
            </w:rPr>
          </w:pPr>
          <w:r w:rsidRPr="00806A1B">
            <w:rPr>
              <w:rFonts w:ascii="Palatino Linotype" w:hAnsi="Palatino Linotype" w:cs="Arial"/>
              <w:szCs w:val="20"/>
            </w:rPr>
            <w:t>Ayuntamiento de Valle de Chalco Solidaridad</w:t>
          </w:r>
        </w:p>
      </w:tc>
    </w:tr>
    <w:tr w:rsidR="00BE4167" w14:paraId="39CB9AB5" w14:textId="77777777" w:rsidTr="00BE4167">
      <w:trPr>
        <w:trHeight w:val="342"/>
      </w:trPr>
      <w:tc>
        <w:tcPr>
          <w:tcW w:w="5529" w:type="dxa"/>
          <w:hideMark/>
        </w:tcPr>
        <w:p w14:paraId="3736747C" w14:textId="77777777" w:rsidR="002A1EE7" w:rsidRDefault="00235F49"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F1F9609" w14:textId="77777777" w:rsidR="002A1EE7" w:rsidRDefault="00235F49" w:rsidP="00BE416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52FAD783" w14:textId="77777777" w:rsidR="002A1EE7" w:rsidRDefault="00235F4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D7138DA" wp14:editId="6B9EE01B">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4D57703"/>
    <w:multiLevelType w:val="hybridMultilevel"/>
    <w:tmpl w:val="30209C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D721819"/>
    <w:multiLevelType w:val="hybridMultilevel"/>
    <w:tmpl w:val="E944792A"/>
    <w:lvl w:ilvl="0" w:tplc="D618ECFA">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2E3F67EB"/>
    <w:multiLevelType w:val="hybridMultilevel"/>
    <w:tmpl w:val="41FE0938"/>
    <w:lvl w:ilvl="0" w:tplc="607A93A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376264FA"/>
    <w:multiLevelType w:val="hybridMultilevel"/>
    <w:tmpl w:val="53E841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67C14D2"/>
    <w:multiLevelType w:val="hybridMultilevel"/>
    <w:tmpl w:val="E8A472E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nsid w:val="593D396A"/>
    <w:multiLevelType w:val="hybridMultilevel"/>
    <w:tmpl w:val="724AE24A"/>
    <w:lvl w:ilvl="0" w:tplc="7D104A46">
      <w:start w:val="1"/>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C9C78AD"/>
    <w:multiLevelType w:val="hybridMultilevel"/>
    <w:tmpl w:val="EA36AE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6"/>
  </w:num>
  <w:num w:numId="5">
    <w:abstractNumId w:val="7"/>
  </w:num>
  <w:num w:numId="6">
    <w:abstractNumId w:val="4"/>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06A1B"/>
    <w:rsid w:val="00021EB5"/>
    <w:rsid w:val="000432E1"/>
    <w:rsid w:val="000E6758"/>
    <w:rsid w:val="00101F7D"/>
    <w:rsid w:val="00192763"/>
    <w:rsid w:val="00235F49"/>
    <w:rsid w:val="00255E27"/>
    <w:rsid w:val="00285756"/>
    <w:rsid w:val="002A1EE7"/>
    <w:rsid w:val="002E05E3"/>
    <w:rsid w:val="003B0586"/>
    <w:rsid w:val="003D1C51"/>
    <w:rsid w:val="004D7EC1"/>
    <w:rsid w:val="005737A7"/>
    <w:rsid w:val="00614ACF"/>
    <w:rsid w:val="006C6A67"/>
    <w:rsid w:val="0072741D"/>
    <w:rsid w:val="00773CC8"/>
    <w:rsid w:val="007F419B"/>
    <w:rsid w:val="00806A1B"/>
    <w:rsid w:val="00821AB6"/>
    <w:rsid w:val="0083104E"/>
    <w:rsid w:val="008A3D57"/>
    <w:rsid w:val="00975571"/>
    <w:rsid w:val="009B735A"/>
    <w:rsid w:val="00A50E90"/>
    <w:rsid w:val="00A95148"/>
    <w:rsid w:val="00AD4DE0"/>
    <w:rsid w:val="00BB34B2"/>
    <w:rsid w:val="00BD5CE3"/>
    <w:rsid w:val="00BF34F0"/>
    <w:rsid w:val="00C43176"/>
    <w:rsid w:val="00C46D4E"/>
    <w:rsid w:val="00C6220C"/>
    <w:rsid w:val="00CD1DC7"/>
    <w:rsid w:val="00CF762B"/>
    <w:rsid w:val="00DC2619"/>
    <w:rsid w:val="00DC325A"/>
    <w:rsid w:val="00E02E4B"/>
    <w:rsid w:val="00E57E81"/>
    <w:rsid w:val="00F70007"/>
    <w:rsid w:val="00F776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39B4"/>
  <w15:docId w15:val="{BA88D086-D1B7-42A5-84BF-CEAC4770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A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link w:val="InfoemCar"/>
    <w:qFormat/>
    <w:rsid w:val="00A95148"/>
    <w:pPr>
      <w:spacing w:before="120" w:after="120"/>
    </w:pPr>
    <w:rPr>
      <w:rFonts w:ascii="Palatino Linotype" w:hAnsi="Palatino Linotype"/>
      <w:i/>
    </w:rPr>
  </w:style>
  <w:style w:type="character" w:customStyle="1" w:styleId="InfoemCar">
    <w:name w:val="Infoem Car"/>
    <w:basedOn w:val="Fuentedeprrafopredeter"/>
    <w:link w:val="Infoem"/>
    <w:rsid w:val="00A95148"/>
    <w:rPr>
      <w:rFonts w:ascii="Palatino Linotype" w:hAnsi="Palatino Linotype"/>
      <w:i/>
    </w:rPr>
  </w:style>
  <w:style w:type="paragraph" w:styleId="Encabezado">
    <w:name w:val="header"/>
    <w:basedOn w:val="Normal"/>
    <w:link w:val="EncabezadoCar"/>
    <w:uiPriority w:val="99"/>
    <w:unhideWhenUsed/>
    <w:rsid w:val="00806A1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06A1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06A1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06A1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806A1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806A1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06A1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06A1B"/>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806A1B"/>
    <w:rPr>
      <w:color w:val="0563C1" w:themeColor="hyperlink"/>
      <w:u w:val="single"/>
    </w:rPr>
  </w:style>
  <w:style w:type="paragraph" w:styleId="Sinespaciado">
    <w:name w:val="No Spacing"/>
    <w:aliases w:val="Francesa,INAI"/>
    <w:link w:val="SinespaciadoCar"/>
    <w:uiPriority w:val="1"/>
    <w:qFormat/>
    <w:rsid w:val="00806A1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06A1B"/>
    <w:rPr>
      <w:rFonts w:ascii="Times New Roman" w:eastAsia="Times New Roman" w:hAnsi="Times New Roman" w:cs="Times New Roman"/>
      <w:sz w:val="24"/>
      <w:szCs w:val="24"/>
      <w:lang w:eastAsia="es-ES"/>
    </w:rPr>
  </w:style>
  <w:style w:type="paragraph" w:customStyle="1" w:styleId="infoemcitas">
    <w:name w:val="infoem citas"/>
    <w:basedOn w:val="Normal"/>
    <w:qFormat/>
    <w:rsid w:val="00806A1B"/>
    <w:pPr>
      <w:spacing w:before="240" w:line="360" w:lineRule="auto"/>
      <w:ind w:left="851" w:right="851"/>
      <w:jc w:val="both"/>
    </w:pPr>
    <w:rPr>
      <w:rFonts w:ascii="Palatino Linotype" w:hAnsi="Palatino Linotype"/>
      <w:i/>
    </w:rPr>
  </w:style>
  <w:style w:type="paragraph" w:customStyle="1" w:styleId="INFOEM0">
    <w:name w:val="INFOEM"/>
    <w:basedOn w:val="Normal"/>
    <w:qFormat/>
    <w:rsid w:val="00806A1B"/>
    <w:pPr>
      <w:spacing w:before="240" w:line="360" w:lineRule="auto"/>
      <w:ind w:left="851" w:right="851"/>
      <w:jc w:val="both"/>
    </w:pPr>
    <w:rPr>
      <w:rFonts w:ascii="Palatino Linotype" w:hAnsi="Palatino Linotype"/>
      <w:i/>
      <w:szCs w:val="14"/>
    </w:rPr>
  </w:style>
  <w:style w:type="table" w:customStyle="1" w:styleId="Tablaconcuadrcula1">
    <w:name w:val="Tabla con cuadrícula1"/>
    <w:basedOn w:val="Tablanormal"/>
    <w:next w:val="Tablaconcuadrcula"/>
    <w:uiPriority w:val="39"/>
    <w:rsid w:val="00806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806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806A1B"/>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F77632"/>
    <w:rPr>
      <w:sz w:val="16"/>
      <w:szCs w:val="16"/>
    </w:rPr>
  </w:style>
  <w:style w:type="paragraph" w:styleId="Textocomentario">
    <w:name w:val="annotation text"/>
    <w:basedOn w:val="Normal"/>
    <w:link w:val="TextocomentarioCar"/>
    <w:uiPriority w:val="99"/>
    <w:semiHidden/>
    <w:unhideWhenUsed/>
    <w:rsid w:val="00F7763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7632"/>
    <w:rPr>
      <w:sz w:val="20"/>
      <w:szCs w:val="20"/>
    </w:rPr>
  </w:style>
  <w:style w:type="paragraph" w:styleId="Asuntodelcomentario">
    <w:name w:val="annotation subject"/>
    <w:basedOn w:val="Textocomentario"/>
    <w:next w:val="Textocomentario"/>
    <w:link w:val="AsuntodelcomentarioCar"/>
    <w:uiPriority w:val="99"/>
    <w:semiHidden/>
    <w:unhideWhenUsed/>
    <w:rsid w:val="00F77632"/>
    <w:rPr>
      <w:b/>
      <w:bCs/>
    </w:rPr>
  </w:style>
  <w:style w:type="character" w:customStyle="1" w:styleId="AsuntodelcomentarioCar">
    <w:name w:val="Asunto del comentario Car"/>
    <w:basedOn w:val="TextocomentarioCar"/>
    <w:link w:val="Asuntodelcomentario"/>
    <w:uiPriority w:val="99"/>
    <w:semiHidden/>
    <w:rsid w:val="00F77632"/>
    <w:rPr>
      <w:b/>
      <w:bCs/>
      <w:sz w:val="20"/>
      <w:szCs w:val="20"/>
    </w:rPr>
  </w:style>
  <w:style w:type="paragraph" w:styleId="Textodeglobo">
    <w:name w:val="Balloon Text"/>
    <w:basedOn w:val="Normal"/>
    <w:link w:val="TextodegloboCar"/>
    <w:uiPriority w:val="99"/>
    <w:semiHidden/>
    <w:unhideWhenUsed/>
    <w:rsid w:val="00F776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6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9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34</Pages>
  <Words>6972</Words>
  <Characters>38347</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18</cp:revision>
  <dcterms:created xsi:type="dcterms:W3CDTF">2023-11-14T14:24:00Z</dcterms:created>
  <dcterms:modified xsi:type="dcterms:W3CDTF">2023-12-07T21:14:00Z</dcterms:modified>
</cp:coreProperties>
</file>