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B01980" w:rsidR="00C853D1" w:rsidP="00492822" w:rsidRDefault="00C853D1" w14:paraId="1DF6BBF6" w14:textId="401133D3">
      <w:pPr>
        <w:spacing w:after="0" w:line="360" w:lineRule="auto"/>
        <w:rPr>
          <w:rFonts w:eastAsia="Times New Roman" w:cs="Tahoma"/>
          <w:bCs/>
          <w:color w:val="auto"/>
          <w:lang w:eastAsia="es-ES"/>
        </w:rPr>
      </w:pPr>
      <w:r w:rsidRPr="00B01980">
        <w:rPr>
          <w:rFonts w:eastAsia="Calibri" w:cs="Tahoma"/>
          <w:bCs/>
          <w:color w:val="000000"/>
        </w:rPr>
        <w:t xml:space="preserve">Resolución del Pleno del Instituto de Transparencia, Acceso a la Información Pública y </w:t>
      </w:r>
      <w:r w:rsidRPr="00B01980">
        <w:rPr>
          <w:rFonts w:eastAsia="Times New Roman" w:cs="Tahoma"/>
          <w:bCs/>
          <w:color w:val="auto"/>
          <w:lang w:eastAsia="es-ES"/>
        </w:rPr>
        <w:t xml:space="preserve">Protección de Datos Personales del Estado de México y Municipios, con domicilio en Metepec, Estado de México, de fecha </w:t>
      </w:r>
      <w:r w:rsidRPr="00B01980" w:rsidR="00806DC3">
        <w:rPr>
          <w:rFonts w:eastAsia="Times New Roman" w:cs="Tahoma"/>
          <w:bCs/>
          <w:color w:val="auto"/>
          <w:lang w:eastAsia="es-ES"/>
        </w:rPr>
        <w:t xml:space="preserve">quince de febrero de dos mil veintitrés. </w:t>
      </w:r>
    </w:p>
    <w:p w:rsidRPr="00B01980" w:rsidR="00876FD9" w:rsidP="00492822" w:rsidRDefault="00876FD9" w14:paraId="0BC2B6D3" w14:textId="77777777">
      <w:pPr>
        <w:spacing w:after="0" w:line="360" w:lineRule="auto"/>
        <w:rPr>
          <w:rFonts w:eastAsia="Times New Roman" w:cs="Tahoma"/>
          <w:b/>
          <w:bCs/>
          <w:color w:val="auto"/>
          <w:lang w:eastAsia="es-ES"/>
        </w:rPr>
      </w:pPr>
    </w:p>
    <w:p w:rsidRPr="00B01980" w:rsidR="00C853D1" w:rsidP="00492822" w:rsidRDefault="00C853D1" w14:paraId="1066B8D1" w14:textId="5849C4A7">
      <w:pPr>
        <w:spacing w:after="0" w:line="360" w:lineRule="auto"/>
        <w:rPr>
          <w:rFonts w:eastAsia="Calibri" w:cs="Tahoma"/>
          <w:color w:val="0D0D0D"/>
        </w:rPr>
      </w:pPr>
      <w:r w:rsidRPr="59C27B04" w:rsidR="59C27B04">
        <w:rPr>
          <w:rFonts w:eastAsia="Times New Roman" w:cs="Tahoma"/>
          <w:b w:val="1"/>
          <w:bCs w:val="1"/>
          <w:color w:val="auto"/>
          <w:lang w:eastAsia="es-ES"/>
        </w:rPr>
        <w:t>VISTO</w:t>
      </w:r>
      <w:r w:rsidRPr="59C27B04" w:rsidR="59C27B04">
        <w:rPr>
          <w:rFonts w:eastAsia="Calibri" w:cs="Tahoma"/>
          <w:color w:val="0D0D0D" w:themeColor="text1" w:themeTint="F2" w:themeShade="FF"/>
        </w:rPr>
        <w:t xml:space="preserve"> el expediente conformado con motivo del Recurso de Revisión </w:t>
      </w:r>
      <w:r w:rsidRPr="59C27B04" w:rsidR="59C27B04">
        <w:rPr>
          <w:rFonts w:eastAsia="Calibri" w:cs="Tahoma"/>
          <w:color w:val="000000" w:themeColor="text1" w:themeTint="FF" w:themeShade="FF"/>
        </w:rPr>
        <w:t xml:space="preserve">12396/INFOEM/IP/RR/2022, interpuesto por </w:t>
      </w:r>
      <w:r w:rsidRPr="59C27B04" w:rsidR="59C27B04">
        <w:rPr>
          <w:rFonts w:eastAsia="Calibri" w:cs="Tahoma"/>
          <w:color w:val="000000" w:themeColor="text1" w:themeTint="FF" w:themeShade="FF"/>
          <w:highlight w:val="black"/>
        </w:rPr>
        <w:t>XXXXXXXXXXXXXXXX</w:t>
      </w:r>
      <w:r w:rsidRPr="59C27B04" w:rsidR="59C27B04">
        <w:rPr>
          <w:rFonts w:eastAsia="Calibri" w:cs="Tahoma"/>
          <w:color w:val="000000" w:themeColor="text1" w:themeTint="FF" w:themeShade="FF"/>
        </w:rPr>
        <w:t xml:space="preserve">, en lo sucesivo, el </w:t>
      </w:r>
      <w:r w:rsidRPr="59C27B04" w:rsidR="59C27B04">
        <w:rPr>
          <w:rFonts w:eastAsia="Calibri" w:cs="Tahoma"/>
          <w:color w:val="0D0D0D" w:themeColor="text1" w:themeTint="F2" w:themeShade="FF"/>
        </w:rPr>
        <w:t>Recurrente o Particular, en contra de la respuesta del Sujeto Obligado,</w:t>
      </w:r>
      <w:r w:rsidRPr="59C27B04" w:rsidR="59C27B04">
        <w:rPr>
          <w:rFonts w:eastAsia="Calibri" w:cs="Tahoma"/>
          <w:color w:val="000000" w:themeColor="text1" w:themeTint="FF" w:themeShade="FF"/>
        </w:rPr>
        <w:t xml:space="preserve"> Ayuntamiento de Tlalnepantla de Baz, a la solicitud de acceso a la información 00548/TLALNEPA/IP/2022, se emite la presente Resolución, con base en los Antecedentes y Considerandos que se exponen a continuación:</w:t>
      </w:r>
    </w:p>
    <w:p w:rsidRPr="00B01980" w:rsidR="00C853D1" w:rsidP="00492822" w:rsidRDefault="00C853D1" w14:paraId="4FCCF228" w14:textId="77777777">
      <w:pPr>
        <w:spacing w:after="0" w:line="360" w:lineRule="auto"/>
        <w:rPr>
          <w:rFonts w:eastAsia="Calibri" w:cs="Tahoma"/>
          <w:color w:val="000000"/>
        </w:rPr>
      </w:pPr>
    </w:p>
    <w:p w:rsidRPr="00B01980" w:rsidR="00C853D1" w:rsidP="00492822" w:rsidRDefault="00C853D1" w14:paraId="0472C645" w14:textId="77777777">
      <w:pPr>
        <w:tabs>
          <w:tab w:val="center" w:pos="4522"/>
          <w:tab w:val="left" w:pos="7245"/>
        </w:tabs>
        <w:spacing w:after="0" w:line="360" w:lineRule="auto"/>
        <w:jc w:val="center"/>
        <w:rPr>
          <w:rFonts w:eastAsia="Calibri" w:cs="Tahoma"/>
          <w:b/>
          <w:color w:val="000000"/>
        </w:rPr>
      </w:pPr>
      <w:r w:rsidRPr="00B01980">
        <w:rPr>
          <w:rFonts w:eastAsia="Calibri" w:cs="Tahoma"/>
          <w:b/>
          <w:color w:val="000000"/>
        </w:rPr>
        <w:t>A N T E C E D E N T E S:</w:t>
      </w:r>
    </w:p>
    <w:p w:rsidRPr="00B01980" w:rsidR="00C853D1" w:rsidP="00492822" w:rsidRDefault="00C853D1" w14:paraId="422D0175" w14:textId="77777777">
      <w:pPr>
        <w:spacing w:after="0" w:line="360" w:lineRule="auto"/>
      </w:pPr>
    </w:p>
    <w:p w:rsidRPr="00B01980" w:rsidR="00C853D1" w:rsidP="00492822" w:rsidRDefault="00C853D1" w14:paraId="539DCEC7" w14:textId="77777777">
      <w:pPr>
        <w:tabs>
          <w:tab w:val="left" w:pos="567"/>
        </w:tabs>
        <w:spacing w:after="0" w:line="360" w:lineRule="auto"/>
        <w:rPr>
          <w:rFonts w:eastAsia="Times New Roman" w:cs="Tahoma"/>
          <w:b/>
          <w:color w:val="auto"/>
          <w:lang w:eastAsia="es-ES"/>
        </w:rPr>
      </w:pPr>
      <w:r w:rsidRPr="00B01980">
        <w:rPr>
          <w:rFonts w:eastAsia="Times New Roman" w:cs="Tahoma"/>
          <w:b/>
          <w:color w:val="auto"/>
          <w:lang w:eastAsia="es-ES"/>
        </w:rPr>
        <w:t>I. Presentación de la solicitud de información:</w:t>
      </w:r>
    </w:p>
    <w:p w:rsidRPr="00B01980" w:rsidR="00C853D1" w:rsidP="00492822" w:rsidRDefault="00C853D1" w14:paraId="681289FF" w14:textId="77777777">
      <w:pPr>
        <w:tabs>
          <w:tab w:val="left" w:pos="567"/>
        </w:tabs>
        <w:spacing w:after="0" w:line="360" w:lineRule="auto"/>
        <w:rPr>
          <w:rFonts w:eastAsia="Times New Roman" w:cs="Tahoma"/>
          <w:color w:val="auto"/>
          <w:lang w:eastAsia="es-ES"/>
        </w:rPr>
      </w:pPr>
    </w:p>
    <w:p w:rsidRPr="00B01980" w:rsidR="00C853D1" w:rsidP="00492822" w:rsidRDefault="00C853D1" w14:paraId="2A44F672" w14:textId="02A6616B">
      <w:pPr>
        <w:spacing w:after="0" w:line="360" w:lineRule="auto"/>
        <w:rPr>
          <w:rFonts w:eastAsia="Times New Roman" w:cs="Tahoma"/>
          <w:color w:val="auto"/>
          <w:lang w:eastAsia="es-ES"/>
        </w:rPr>
      </w:pPr>
      <w:r w:rsidRPr="00B01980">
        <w:rPr>
          <w:rFonts w:eastAsia="Times New Roman" w:cs="Tahoma"/>
          <w:color w:val="auto"/>
          <w:lang w:eastAsia="es-ES"/>
        </w:rPr>
        <w:t>Con fecha</w:t>
      </w:r>
      <w:r w:rsidRPr="00B01980" w:rsidR="008A258D">
        <w:rPr>
          <w:rFonts w:eastAsia="Times New Roman" w:cs="Tahoma"/>
          <w:color w:val="auto"/>
          <w:lang w:eastAsia="es-ES"/>
        </w:rPr>
        <w:t xml:space="preserve"> ocho de junio de dos mil veintidós, </w:t>
      </w:r>
      <w:r w:rsidRPr="00B01980">
        <w:rPr>
          <w:rFonts w:eastAsia="Times New Roman" w:cs="Tahoma"/>
          <w:color w:val="auto"/>
          <w:lang w:eastAsia="es-ES"/>
        </w:rPr>
        <w:t xml:space="preserve">el Particular presentó una solicitud de acceso a la información pública, a través del Sistema de Acceso a la Información Mexiquense (SAIMEX), ante el </w:t>
      </w:r>
      <w:r w:rsidRPr="00B01980" w:rsidR="00E85B41">
        <w:rPr>
          <w:rFonts w:eastAsia="Calibri" w:cs="Tahoma"/>
        </w:rPr>
        <w:t>Ayuntamiento de Tlalnepantla de Baz</w:t>
      </w:r>
      <w:r w:rsidRPr="00B01980">
        <w:rPr>
          <w:rFonts w:eastAsia="Calibri" w:cs="Tahoma"/>
        </w:rPr>
        <w:t xml:space="preserve">, en los siguientes términos: </w:t>
      </w:r>
    </w:p>
    <w:p w:rsidRPr="00B01980" w:rsidR="00C853D1" w:rsidP="00492822" w:rsidRDefault="00C853D1" w14:paraId="32AF4217" w14:textId="77777777">
      <w:pPr>
        <w:spacing w:after="0" w:line="360" w:lineRule="auto"/>
        <w:rPr>
          <w:rFonts w:eastAsia="Calibri" w:cs="Tahoma"/>
        </w:rPr>
      </w:pPr>
    </w:p>
    <w:p w:rsidRPr="00B01980" w:rsidR="00A108E9" w:rsidP="00492822" w:rsidRDefault="00C853D1" w14:paraId="77683D6B" w14:textId="59504E98">
      <w:pPr>
        <w:tabs>
          <w:tab w:val="left" w:pos="4667"/>
        </w:tabs>
        <w:spacing w:after="0" w:line="360" w:lineRule="auto"/>
        <w:ind w:left="567" w:right="567"/>
        <w:rPr>
          <w:rFonts w:eastAsia="Times New Roman" w:cs="Tahoma"/>
          <w:b/>
          <w:i/>
          <w:iCs/>
          <w:color w:val="auto"/>
          <w:sz w:val="20"/>
          <w:szCs w:val="20"/>
          <w:lang w:eastAsia="es-ES"/>
        </w:rPr>
      </w:pPr>
      <w:r w:rsidRPr="00B01980">
        <w:rPr>
          <w:rFonts w:eastAsia="Times New Roman" w:cs="Tahoma"/>
          <w:b/>
          <w:i/>
          <w:iCs/>
          <w:color w:val="auto"/>
          <w:sz w:val="20"/>
          <w:szCs w:val="20"/>
          <w:lang w:eastAsia="es-ES"/>
        </w:rPr>
        <w:t>“DESCRIPCIÓN CLARA Y PRECISA DE LA INFORMACIÓN SOLICITADA.</w:t>
      </w:r>
    </w:p>
    <w:p w:rsidRPr="00B01980" w:rsidR="00C853D1" w:rsidP="00492822" w:rsidRDefault="00272D03" w14:paraId="47049033" w14:textId="104718AA">
      <w:pPr>
        <w:tabs>
          <w:tab w:val="left" w:pos="4667"/>
        </w:tabs>
        <w:spacing w:after="0" w:line="360" w:lineRule="auto"/>
        <w:ind w:left="567" w:right="567"/>
        <w:rPr>
          <w:rFonts w:eastAsia="Times New Roman" w:cs="Tahoma"/>
          <w:bCs/>
          <w:i/>
          <w:iCs/>
          <w:color w:val="auto"/>
          <w:sz w:val="20"/>
          <w:szCs w:val="20"/>
          <w:lang w:eastAsia="es-ES"/>
        </w:rPr>
      </w:pPr>
      <w:r w:rsidRPr="00B01980">
        <w:rPr>
          <w:rFonts w:eastAsia="Times New Roman" w:cs="Tahoma"/>
          <w:bCs/>
          <w:i/>
          <w:iCs/>
          <w:color w:val="auto"/>
          <w:sz w:val="20"/>
          <w:szCs w:val="20"/>
          <w:lang w:eastAsia="es-ES"/>
        </w:rPr>
        <w:t xml:space="preserve">DE CONFORMIDAD CON el artículo 6 segundo párrafo, apartado A de la Constitución Política de Los Estados Unidos Mexicanos, a los artículos; 11, 12, 13, 60, 61, 62, 70 y 71 de la Ley General de Transparencia y Acceso a la Información Pública, 4, 5, 11, 12, 53, 75, 76, 77, 88 y 92 de la Ley de Transparencia y Acceso a la Información Pública del Estado de México y Municipios, al Capítulos IX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 los </w:t>
      </w:r>
      <w:r w:rsidRPr="00B01980">
        <w:rPr>
          <w:rFonts w:eastAsia="Times New Roman" w:cs="Tahoma"/>
          <w:bCs/>
          <w:i/>
          <w:iCs/>
          <w:color w:val="auto"/>
          <w:sz w:val="20"/>
          <w:szCs w:val="20"/>
          <w:lang w:eastAsia="es-ES"/>
        </w:rPr>
        <w:lastRenderedPageBreak/>
        <w:t>LINEAMIENTOS GENERALES EN MATERIA DE CLASIFICACIÓN Y DESCLASIFICACIÓN DE LA INFORMACIÓN, PARA LA ELABORACIÓN DE VERSIONES PÚBLICAS; Capítulos IX del ANEXO DEL ACUERDO CONAIP/SNT/ACUERDO/EXT18/03/2016-03 y al Estado Comparativo Presupuestal de Egresos, Cuenta 325 denominada Arrendamiento de Equipo de Transporte, cantidad ejercida al 31 de marzo de 2022; $100, 378, 481.84, solicito se me envié vía SAIMEX la siguiente información pública; 1.- Los contratos o convenios etc. Que amparen la suma erogada por el arrendamiento de Equipo de Transporte realizada por el Ayuntamiento de Tlalnepantla de Baz, Estado de México. 2.- Los procedimientos para la adjudicación de lo señalado en el punto 1, realizados por el Ayuntamiento de Tlalnepantla de Baz, México</w:t>
      </w:r>
      <w:r w:rsidRPr="00B01980" w:rsidR="00BC2DAE">
        <w:rPr>
          <w:rFonts w:eastAsia="Times New Roman" w:cs="Tahoma"/>
          <w:bCs/>
          <w:i/>
          <w:iCs/>
          <w:color w:val="auto"/>
          <w:sz w:val="20"/>
          <w:szCs w:val="20"/>
          <w:lang w:eastAsia="es-ES"/>
        </w:rPr>
        <w:t>.</w:t>
      </w:r>
      <w:r w:rsidRPr="00B01980" w:rsidR="00C853D1">
        <w:rPr>
          <w:rFonts w:eastAsia="Times New Roman" w:cs="Tahoma"/>
          <w:bCs/>
          <w:i/>
          <w:iCs/>
          <w:color w:val="auto"/>
          <w:sz w:val="20"/>
          <w:szCs w:val="20"/>
          <w:lang w:eastAsia="es-ES"/>
        </w:rPr>
        <w:t xml:space="preserve">” (Sic) </w:t>
      </w:r>
    </w:p>
    <w:p w:rsidRPr="00B01980" w:rsidR="00C853D1" w:rsidP="00492822"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B01980" w:rsidR="00C853D1" w:rsidP="00492822"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B01980">
        <w:rPr>
          <w:rFonts w:eastAsia="Times New Roman" w:cs="Tahoma"/>
          <w:b/>
          <w:bCs/>
          <w:i/>
          <w:iCs/>
          <w:color w:val="auto"/>
          <w:sz w:val="20"/>
          <w:lang w:eastAsia="es-ES"/>
        </w:rPr>
        <w:t>“MODALIDAD DE ENTREGA</w:t>
      </w:r>
    </w:p>
    <w:p w:rsidRPr="00B01980" w:rsidR="00C853D1" w:rsidP="00492822" w:rsidRDefault="00C853D1" w14:paraId="59678C94" w14:textId="1E32CB35">
      <w:pPr>
        <w:spacing w:after="0" w:line="360" w:lineRule="auto"/>
        <w:ind w:left="567" w:right="567"/>
        <w:rPr>
          <w:rFonts w:eastAsia="Times New Roman" w:cs="Arial"/>
          <w:bCs/>
          <w:i/>
          <w:iCs/>
          <w:color w:val="auto"/>
          <w:sz w:val="20"/>
          <w:lang w:eastAsia="es-ES"/>
        </w:rPr>
      </w:pPr>
      <w:r w:rsidRPr="00B01980">
        <w:rPr>
          <w:rFonts w:eastAsia="Times New Roman" w:cs="Arial"/>
          <w:bCs/>
          <w:i/>
          <w:iCs/>
          <w:color w:val="auto"/>
          <w:sz w:val="20"/>
          <w:lang w:eastAsia="es-ES"/>
        </w:rPr>
        <w:t>A través del SAIMEX”</w:t>
      </w:r>
    </w:p>
    <w:p w:rsidRPr="00B01980" w:rsidR="00682222" w:rsidP="00492822" w:rsidRDefault="00682222" w14:paraId="1DAA8380" w14:textId="77777777">
      <w:pPr>
        <w:spacing w:after="0" w:line="360" w:lineRule="auto"/>
        <w:ind w:left="567" w:right="567"/>
        <w:rPr>
          <w:rFonts w:eastAsia="Times New Roman" w:cs="Arial"/>
          <w:bCs/>
          <w:i/>
          <w:iCs/>
          <w:color w:val="auto"/>
          <w:sz w:val="20"/>
          <w:lang w:eastAsia="es-ES"/>
        </w:rPr>
      </w:pPr>
    </w:p>
    <w:p w:rsidRPr="00B01980" w:rsidR="00C853D1" w:rsidP="00492822" w:rsidRDefault="00C853D1" w14:paraId="7488ED31" w14:textId="77777777">
      <w:pPr>
        <w:autoSpaceDE w:val="0"/>
        <w:autoSpaceDN w:val="0"/>
        <w:adjustRightInd w:val="0"/>
        <w:spacing w:after="0" w:line="360" w:lineRule="auto"/>
        <w:rPr>
          <w:b/>
          <w:bCs/>
        </w:rPr>
      </w:pPr>
      <w:r w:rsidRPr="00B01980">
        <w:rPr>
          <w:rFonts w:cs="Tahoma"/>
          <w:b/>
        </w:rPr>
        <w:t>II.</w:t>
      </w:r>
      <w:r w:rsidRPr="00B01980">
        <w:rPr>
          <w:b/>
          <w:bCs/>
        </w:rPr>
        <w:t xml:space="preserve"> Respuesta del Sujeto Obligado. </w:t>
      </w:r>
    </w:p>
    <w:p w:rsidRPr="00B01980" w:rsidR="00C853D1" w:rsidP="00492822" w:rsidRDefault="00C853D1" w14:paraId="4400726D" w14:textId="77777777">
      <w:pPr>
        <w:spacing w:after="0" w:line="360" w:lineRule="auto"/>
      </w:pPr>
    </w:p>
    <w:p w:rsidRPr="00B01980" w:rsidR="00557BEF" w:rsidP="00492822" w:rsidRDefault="00167E18" w14:paraId="161F5C97" w14:textId="441870FC">
      <w:pPr>
        <w:spacing w:after="0" w:line="360" w:lineRule="auto"/>
      </w:pPr>
      <w:r w:rsidRPr="00B01980">
        <w:t xml:space="preserve">El veinticuatro de junio de dos mil veintidós, </w:t>
      </w:r>
      <w:r w:rsidRPr="00B01980" w:rsidR="00252EF3">
        <w:t>el Sujeto Obligado notificó, a través del Sistema de Acceso a la Información Mexiquense (SAIMEX), la respuesta a la solicitud</w:t>
      </w:r>
      <w:r w:rsidRPr="00B01980" w:rsidR="006441E1">
        <w:t xml:space="preserve"> de acceso a la información pública</w:t>
      </w:r>
      <w:r w:rsidRPr="00B01980" w:rsidR="00252EF3">
        <w:t xml:space="preserve">, </w:t>
      </w:r>
      <w:r w:rsidRPr="00B01980" w:rsidR="00557BEF">
        <w:t xml:space="preserve">a través de los siguientes documentos: </w:t>
      </w:r>
    </w:p>
    <w:p w:rsidRPr="00B01980" w:rsidR="00557BEF" w:rsidP="00492822" w:rsidRDefault="00557BEF" w14:paraId="5EA4B20A" w14:textId="77777777">
      <w:pPr>
        <w:spacing w:after="0" w:line="360" w:lineRule="auto"/>
      </w:pPr>
    </w:p>
    <w:p w:rsidRPr="00B01980" w:rsidR="00357DB0" w:rsidP="00492822" w:rsidRDefault="007454CF" w14:paraId="168C710F" w14:textId="622426D8">
      <w:pPr>
        <w:spacing w:after="0" w:line="360" w:lineRule="auto"/>
      </w:pPr>
      <w:r w:rsidRPr="00B01980">
        <w:t>i) Oficio número</w:t>
      </w:r>
      <w:r w:rsidRPr="00B01980" w:rsidR="00D41ABA">
        <w:t xml:space="preserve"> TM/2263/2022, </w:t>
      </w:r>
      <w:r w:rsidRPr="00B01980" w:rsidR="00B2285D">
        <w:t>del</w:t>
      </w:r>
      <w:r w:rsidRPr="00B01980" w:rsidR="00D41ABA">
        <w:t xml:space="preserve"> catorce de junio de dos mil veintidós, suscrito y emit</w:t>
      </w:r>
      <w:r w:rsidRPr="00B01980" w:rsidR="00FB6BF8">
        <w:t>ido por el Tesorero Municipal y es dirigido a</w:t>
      </w:r>
      <w:r w:rsidRPr="00B01980" w:rsidR="000744E4">
        <w:t xml:space="preserve"> la</w:t>
      </w:r>
      <w:r w:rsidRPr="00B01980" w:rsidR="00FB6BF8">
        <w:t xml:space="preserve"> Titular de la Unidad de Transparencia, </w:t>
      </w:r>
      <w:r w:rsidRPr="00B01980" w:rsidR="00357DB0">
        <w:t xml:space="preserve">de cuyo contenido se desprende lo siguiente: </w:t>
      </w:r>
    </w:p>
    <w:p w:rsidRPr="00B01980" w:rsidR="00357DB0" w:rsidP="00492822" w:rsidRDefault="00357DB0" w14:paraId="6FA8E27C" w14:textId="77777777">
      <w:pPr>
        <w:spacing w:after="0" w:line="360" w:lineRule="auto"/>
      </w:pPr>
    </w:p>
    <w:p w:rsidRPr="00B01980" w:rsidR="00357DB0" w:rsidP="00492822" w:rsidRDefault="00712803" w14:paraId="1D5AA4FF" w14:textId="1F6ECE95">
      <w:pPr>
        <w:spacing w:after="0" w:line="360" w:lineRule="auto"/>
        <w:ind w:left="567" w:right="567"/>
        <w:rPr>
          <w:i/>
          <w:iCs/>
          <w:sz w:val="20"/>
          <w:szCs w:val="20"/>
        </w:rPr>
      </w:pPr>
      <w:r w:rsidRPr="00B01980">
        <w:rPr>
          <w:i/>
          <w:iCs/>
          <w:sz w:val="20"/>
          <w:szCs w:val="20"/>
        </w:rPr>
        <w:t>“…</w:t>
      </w:r>
    </w:p>
    <w:p w:rsidRPr="00B01980" w:rsidR="00712803" w:rsidP="00492822" w:rsidRDefault="00712803" w14:paraId="5D1C1A02" w14:textId="4E545E61">
      <w:pPr>
        <w:spacing w:after="0" w:line="360" w:lineRule="auto"/>
        <w:ind w:left="567" w:right="567"/>
        <w:rPr>
          <w:i/>
          <w:iCs/>
          <w:sz w:val="20"/>
          <w:szCs w:val="20"/>
        </w:rPr>
      </w:pPr>
      <w:r w:rsidRPr="00B01980">
        <w:rPr>
          <w:i/>
          <w:iCs/>
          <w:sz w:val="20"/>
          <w:szCs w:val="20"/>
        </w:rPr>
        <w:t xml:space="preserve">De conformidad con el artículo 120 del Reglamento Interno de la Administración </w:t>
      </w:r>
      <w:r w:rsidRPr="00B01980" w:rsidR="00C45C4F">
        <w:rPr>
          <w:i/>
          <w:iCs/>
          <w:sz w:val="20"/>
          <w:szCs w:val="20"/>
        </w:rPr>
        <w:t xml:space="preserve">Pública Municipal de Tlanepantla de Baz, Estado de México, de acuerdo a las atribuciones y competencias de esta Dependencia, y en relación a su requerimiento en el </w:t>
      </w:r>
      <w:r w:rsidRPr="00B01980" w:rsidR="00E73287">
        <w:rPr>
          <w:i/>
          <w:iCs/>
          <w:sz w:val="20"/>
          <w:szCs w:val="20"/>
        </w:rPr>
        <w:t>siguiente punto:</w:t>
      </w:r>
    </w:p>
    <w:p w:rsidRPr="00B01980" w:rsidR="00E73287" w:rsidP="00492822" w:rsidRDefault="00B2285D" w14:paraId="70F0EF15" w14:textId="4B0E2DF7">
      <w:pPr>
        <w:spacing w:after="0" w:line="360" w:lineRule="auto"/>
        <w:ind w:left="567" w:right="567"/>
        <w:rPr>
          <w:i/>
          <w:iCs/>
          <w:sz w:val="20"/>
          <w:szCs w:val="20"/>
        </w:rPr>
      </w:pPr>
      <w:r w:rsidRPr="00B01980">
        <w:rPr>
          <w:i/>
          <w:iCs/>
          <w:sz w:val="20"/>
          <w:szCs w:val="20"/>
        </w:rPr>
        <w:t>…</w:t>
      </w:r>
    </w:p>
    <w:p w:rsidRPr="00B01980" w:rsidR="00A23F63" w:rsidP="00492822" w:rsidRDefault="00A23F63" w14:paraId="3D2732E0" w14:textId="3D63584F">
      <w:pPr>
        <w:spacing w:after="0" w:line="360" w:lineRule="auto"/>
        <w:ind w:left="567" w:right="567"/>
        <w:rPr>
          <w:rFonts w:eastAsia="Calibri" w:cs="Tahoma"/>
          <w:i/>
          <w:iCs/>
          <w:sz w:val="20"/>
          <w:szCs w:val="20"/>
        </w:rPr>
      </w:pPr>
      <w:r w:rsidRPr="00B01980">
        <w:rPr>
          <w:i/>
          <w:iCs/>
          <w:sz w:val="20"/>
          <w:szCs w:val="20"/>
        </w:rPr>
        <w:lastRenderedPageBreak/>
        <w:t>Al respecto, le informo que, después de una búsqueda exhaustiva en los archivos de esta Tesorería Municipal</w:t>
      </w:r>
      <w:r w:rsidRPr="00B01980" w:rsidR="00173714">
        <w:rPr>
          <w:i/>
          <w:iCs/>
          <w:sz w:val="20"/>
          <w:szCs w:val="20"/>
        </w:rPr>
        <w:t xml:space="preserve">, correspondiente al 1er trimestre del año en curso, informe que ya fue cerrado contablemente y enviado al OSFEM, </w:t>
      </w:r>
      <w:r w:rsidRPr="00B01980" w:rsidR="00173714">
        <w:rPr>
          <w:i/>
          <w:sz w:val="20"/>
          <w:szCs w:val="20"/>
        </w:rPr>
        <w:t xml:space="preserve">no se localizo documento alguno que ampare </w:t>
      </w:r>
      <w:r w:rsidRPr="00B01980" w:rsidR="00596A74">
        <w:rPr>
          <w:i/>
          <w:sz w:val="20"/>
          <w:szCs w:val="20"/>
        </w:rPr>
        <w:t>la erogación por el concepto de arrendamiento de equipo de transporte realizada por el Municipio</w:t>
      </w:r>
      <w:r w:rsidRPr="00B01980" w:rsidR="00596A74">
        <w:rPr>
          <w:rFonts w:eastAsia="Calibri" w:cs="Tahoma"/>
          <w:i/>
          <w:sz w:val="20"/>
          <w:szCs w:val="20"/>
        </w:rPr>
        <w:t xml:space="preserve"> de Tlalnepantla de Baz.</w:t>
      </w:r>
    </w:p>
    <w:p w:rsidRPr="00B01980" w:rsidR="00596A74" w:rsidP="00492822" w:rsidRDefault="00596A74" w14:paraId="4DE44251" w14:textId="77777777">
      <w:pPr>
        <w:spacing w:after="0" w:line="360" w:lineRule="auto"/>
        <w:ind w:left="567" w:right="567"/>
        <w:rPr>
          <w:rFonts w:eastAsia="Calibri" w:cs="Tahoma"/>
          <w:i/>
          <w:iCs/>
          <w:sz w:val="20"/>
          <w:szCs w:val="20"/>
        </w:rPr>
      </w:pPr>
    </w:p>
    <w:p w:rsidRPr="00B01980" w:rsidR="00596A74" w:rsidP="00492822" w:rsidRDefault="002A5CB7" w14:paraId="13B91CBB" w14:textId="38D75D67">
      <w:pPr>
        <w:spacing w:after="0" w:line="360" w:lineRule="auto"/>
        <w:ind w:left="567" w:right="567"/>
        <w:rPr>
          <w:rFonts w:eastAsia="Calibri" w:cs="Tahoma"/>
          <w:i/>
          <w:iCs/>
          <w:sz w:val="20"/>
          <w:szCs w:val="20"/>
        </w:rPr>
      </w:pPr>
      <w:r w:rsidRPr="00B01980">
        <w:rPr>
          <w:rFonts w:eastAsia="Calibri" w:cs="Tahoma"/>
          <w:i/>
          <w:iCs/>
          <w:sz w:val="20"/>
          <w:szCs w:val="20"/>
        </w:rPr>
        <w:t xml:space="preserve">Finalmente, es importante hacer de su conocimiento que, por lo que corresponde al mes de abril, mayo y lo que va de junio, dicha información </w:t>
      </w:r>
      <w:r w:rsidRPr="00B01980" w:rsidR="00AA2F82">
        <w:rPr>
          <w:rFonts w:eastAsia="Calibri" w:cs="Tahoma"/>
          <w:i/>
          <w:iCs/>
          <w:sz w:val="20"/>
          <w:szCs w:val="20"/>
        </w:rPr>
        <w:t xml:space="preserve">corresponde al 2do trimestre de la actual anualidad, por lo que, se encuentra en proceso de integración para su entrega al OSFEM, la cual se realizara del 4 al 12 de agosto </w:t>
      </w:r>
      <w:r w:rsidRPr="00B01980" w:rsidR="000F728E">
        <w:rPr>
          <w:rFonts w:eastAsia="Calibri" w:cs="Tahoma"/>
          <w:i/>
          <w:iCs/>
          <w:sz w:val="20"/>
          <w:szCs w:val="20"/>
        </w:rPr>
        <w:t xml:space="preserve">2022, de acuerdo al Calendario de Obligaciones de Entidades Fiscalizables 2022, en ese mismo orden de ideas, a la fecha se encuentra pendiente </w:t>
      </w:r>
      <w:r w:rsidRPr="00B01980" w:rsidR="00E84336">
        <w:rPr>
          <w:rFonts w:eastAsia="Calibri" w:cs="Tahoma"/>
          <w:i/>
          <w:iCs/>
          <w:sz w:val="20"/>
          <w:szCs w:val="20"/>
        </w:rPr>
        <w:t>de que dicha Autoridad especifique el día en que este Municipio debe entregar la información correspondiente al segundo trimestre 2022</w:t>
      </w:r>
    </w:p>
    <w:p w:rsidRPr="00B01980" w:rsidR="00E84336" w:rsidP="00492822" w:rsidRDefault="00E84336" w14:paraId="2C9ACCA4" w14:textId="7FDFE97B">
      <w:pPr>
        <w:spacing w:after="0" w:line="360" w:lineRule="auto"/>
        <w:ind w:left="567" w:right="567"/>
        <w:rPr>
          <w:i/>
          <w:iCs/>
          <w:sz w:val="20"/>
          <w:szCs w:val="20"/>
        </w:rPr>
      </w:pPr>
      <w:r w:rsidRPr="00B01980">
        <w:rPr>
          <w:rFonts w:eastAsia="Calibri" w:cs="Tahoma"/>
          <w:i/>
          <w:iCs/>
          <w:sz w:val="20"/>
          <w:szCs w:val="20"/>
        </w:rPr>
        <w:t xml:space="preserve">…” (Sic) </w:t>
      </w:r>
    </w:p>
    <w:p w:rsidRPr="00B01980" w:rsidR="00501E21" w:rsidP="00492822" w:rsidRDefault="00501E21" w14:paraId="77F6F9D8" w14:textId="77777777">
      <w:pPr>
        <w:spacing w:after="0" w:line="360" w:lineRule="auto"/>
      </w:pPr>
    </w:p>
    <w:p w:rsidRPr="00B01980" w:rsidR="00501E21" w:rsidP="00492822" w:rsidRDefault="0022779E" w14:paraId="037F88CE" w14:textId="428ACA97">
      <w:pPr>
        <w:spacing w:after="0" w:line="360" w:lineRule="auto"/>
      </w:pPr>
      <w:r w:rsidRPr="00B01980">
        <w:t xml:space="preserve">ii) </w:t>
      </w:r>
      <w:r w:rsidRPr="00B01980" w:rsidR="00BC475B">
        <w:t xml:space="preserve">Oficio número DA/2968/2022, </w:t>
      </w:r>
      <w:r w:rsidRPr="00B01980" w:rsidR="00B2285D">
        <w:t>d</w:t>
      </w:r>
      <w:r w:rsidRPr="00B01980" w:rsidR="00BC475B">
        <w:t xml:space="preserve">el veintiuno de junio de dos mil veintidós, </w:t>
      </w:r>
      <w:r w:rsidRPr="00B01980" w:rsidR="000744E4">
        <w:t>rubricado por el Director de Administración y es dirigido a la Titular de la Unidad de Transparencia</w:t>
      </w:r>
      <w:r w:rsidRPr="00B01980" w:rsidR="005722EB">
        <w:t xml:space="preserve">, a través del cual </w:t>
      </w:r>
      <w:r w:rsidRPr="00B01980" w:rsidR="00C6382C">
        <w:t xml:space="preserve">se desprende lo siguiente: </w:t>
      </w:r>
    </w:p>
    <w:p w:rsidRPr="00B01980" w:rsidR="00501E21" w:rsidP="00492822" w:rsidRDefault="00501E21" w14:paraId="50D1F8D8" w14:textId="77777777">
      <w:pPr>
        <w:spacing w:after="0" w:line="360" w:lineRule="auto"/>
      </w:pPr>
    </w:p>
    <w:p w:rsidRPr="00B01980" w:rsidR="00501E21" w:rsidP="00492822" w:rsidRDefault="003C6CAD" w14:paraId="344ABB88" w14:textId="7BD27D9B">
      <w:pPr>
        <w:spacing w:after="0" w:line="360" w:lineRule="auto"/>
        <w:ind w:left="567" w:right="567"/>
        <w:rPr>
          <w:i/>
          <w:iCs/>
          <w:sz w:val="20"/>
          <w:szCs w:val="20"/>
        </w:rPr>
      </w:pPr>
      <w:r w:rsidRPr="00B01980">
        <w:rPr>
          <w:i/>
          <w:iCs/>
          <w:sz w:val="20"/>
          <w:szCs w:val="20"/>
        </w:rPr>
        <w:t>“…</w:t>
      </w:r>
    </w:p>
    <w:p w:rsidRPr="00B01980" w:rsidR="003C6CAD" w:rsidP="00492822" w:rsidRDefault="00943FF8" w14:paraId="381F7999" w14:textId="582DF688">
      <w:pPr>
        <w:spacing w:after="0" w:line="360" w:lineRule="auto"/>
        <w:ind w:left="567" w:right="567"/>
        <w:rPr>
          <w:i/>
          <w:iCs/>
          <w:sz w:val="20"/>
          <w:szCs w:val="20"/>
        </w:rPr>
      </w:pPr>
      <w:r w:rsidRPr="00B01980">
        <w:rPr>
          <w:i/>
          <w:iCs/>
          <w:sz w:val="20"/>
          <w:szCs w:val="20"/>
        </w:rPr>
        <w:t xml:space="preserve">Una vez que se analizó la solicitud de información, se turno a la </w:t>
      </w:r>
      <w:r w:rsidRPr="00B01980">
        <w:rPr>
          <w:i/>
          <w:sz w:val="20"/>
          <w:szCs w:val="20"/>
        </w:rPr>
        <w:t>Subdirección de Recursos Materiales</w:t>
      </w:r>
      <w:r w:rsidRPr="00B01980">
        <w:rPr>
          <w:i/>
          <w:iCs/>
          <w:sz w:val="20"/>
          <w:szCs w:val="20"/>
        </w:rPr>
        <w:t xml:space="preserve">, quien en el ámbito de sus atribuciones, determino que, de conformidad </w:t>
      </w:r>
      <w:r w:rsidRPr="00B01980" w:rsidR="007A6164">
        <w:rPr>
          <w:i/>
          <w:iCs/>
          <w:sz w:val="20"/>
          <w:szCs w:val="20"/>
        </w:rPr>
        <w:t>con el artículo 222 fracción II del Reglamento Interno de la Administración Pública de Tlalnepantla de Baz</w:t>
      </w:r>
      <w:r w:rsidRPr="00B01980" w:rsidR="00E66F83">
        <w:rPr>
          <w:i/>
          <w:iCs/>
          <w:sz w:val="20"/>
          <w:szCs w:val="20"/>
        </w:rPr>
        <w:t xml:space="preserve">, estado de México, esta Unidad Administrativa </w:t>
      </w:r>
      <w:r w:rsidRPr="00B01980" w:rsidR="00E66F83">
        <w:rPr>
          <w:i/>
          <w:sz w:val="20"/>
          <w:szCs w:val="20"/>
        </w:rPr>
        <w:t xml:space="preserve">no cuenta con atribuciones para genera, recopilar, administrar </w:t>
      </w:r>
      <w:r w:rsidRPr="00B01980" w:rsidR="006E06E3">
        <w:rPr>
          <w:i/>
          <w:sz w:val="20"/>
          <w:szCs w:val="20"/>
        </w:rPr>
        <w:t xml:space="preserve">o archivar contratos de arrendamiento de equipo </w:t>
      </w:r>
      <w:r w:rsidRPr="00B01980" w:rsidR="006006F4">
        <w:rPr>
          <w:i/>
          <w:sz w:val="20"/>
          <w:szCs w:val="20"/>
        </w:rPr>
        <w:t>de transporte ni procedimientos para la adjudicación de los mismos, toda vez que no contamos con un comité de arrendamiento</w:t>
      </w:r>
      <w:r w:rsidRPr="00B01980" w:rsidR="006006F4">
        <w:rPr>
          <w:i/>
          <w:iCs/>
          <w:sz w:val="20"/>
          <w:szCs w:val="20"/>
        </w:rPr>
        <w:t xml:space="preserve">, sin embargo </w:t>
      </w:r>
      <w:r w:rsidRPr="00B01980" w:rsidR="008B3A4E">
        <w:rPr>
          <w:i/>
          <w:iCs/>
          <w:sz w:val="20"/>
          <w:szCs w:val="20"/>
        </w:rPr>
        <w:t xml:space="preserve">en función de salvaguardar el derecho de acceso a la información del peticionario, se realizó una búsqueda </w:t>
      </w:r>
      <w:r w:rsidRPr="00B01980" w:rsidR="00B00BFD">
        <w:rPr>
          <w:i/>
          <w:iCs/>
          <w:sz w:val="20"/>
          <w:szCs w:val="20"/>
        </w:rPr>
        <w:t xml:space="preserve">exhaustiva y razonable en los archivos de la </w:t>
      </w:r>
      <w:r w:rsidRPr="00B01980" w:rsidR="00B00BFD">
        <w:rPr>
          <w:i/>
          <w:sz w:val="20"/>
          <w:szCs w:val="20"/>
        </w:rPr>
        <w:t xml:space="preserve">Subdirección de Recursos Materiales </w:t>
      </w:r>
      <w:r w:rsidRPr="00B01980" w:rsidR="00C10481">
        <w:rPr>
          <w:i/>
          <w:sz w:val="20"/>
          <w:szCs w:val="20"/>
        </w:rPr>
        <w:t>y no se realizó información referente a los numerales 1 y 2 contenidos en la solicitud que nos ocupa</w:t>
      </w:r>
    </w:p>
    <w:p w:rsidRPr="00B01980" w:rsidR="00C10481" w:rsidP="00492822" w:rsidRDefault="00C10481" w14:paraId="1E8F655C" w14:textId="34D5380F">
      <w:pPr>
        <w:spacing w:after="0" w:line="360" w:lineRule="auto"/>
        <w:ind w:left="567" w:right="567"/>
        <w:rPr>
          <w:i/>
          <w:iCs/>
          <w:sz w:val="20"/>
          <w:szCs w:val="20"/>
        </w:rPr>
      </w:pPr>
      <w:r w:rsidRPr="00B01980">
        <w:rPr>
          <w:i/>
          <w:iCs/>
          <w:sz w:val="20"/>
          <w:szCs w:val="20"/>
        </w:rPr>
        <w:t xml:space="preserve">…” (Sic) </w:t>
      </w:r>
    </w:p>
    <w:p w:rsidRPr="00B01980" w:rsidR="003C6CAD" w:rsidP="00492822" w:rsidRDefault="003C6CAD" w14:paraId="38DB0F5D" w14:textId="77777777">
      <w:pPr>
        <w:spacing w:after="0" w:line="360" w:lineRule="auto"/>
      </w:pPr>
    </w:p>
    <w:p w:rsidRPr="00B01980" w:rsidR="003C6CAD" w:rsidP="00492822" w:rsidRDefault="00A85EFB" w14:paraId="7BAB0499" w14:textId="3C033A34">
      <w:pPr>
        <w:spacing w:after="0" w:line="360" w:lineRule="auto"/>
      </w:pPr>
      <w:r w:rsidRPr="00B01980">
        <w:t xml:space="preserve">iii) </w:t>
      </w:r>
      <w:r w:rsidRPr="00B01980" w:rsidR="00C36221">
        <w:t xml:space="preserve">Oficio número </w:t>
      </w:r>
      <w:r w:rsidRPr="00B01980" w:rsidR="00560367">
        <w:t>SM.</w:t>
      </w:r>
      <w:r w:rsidRPr="00B01980" w:rsidR="000F2F3D">
        <w:t>03</w:t>
      </w:r>
      <w:r w:rsidRPr="00B01980" w:rsidR="00560367">
        <w:t xml:space="preserve">962/2022, </w:t>
      </w:r>
      <w:r w:rsidRPr="00B01980" w:rsidR="00B2285D">
        <w:t>del</w:t>
      </w:r>
      <w:r w:rsidRPr="00B01980" w:rsidR="00560367">
        <w:t xml:space="preserve"> diecisiete </w:t>
      </w:r>
      <w:r w:rsidRPr="00B01980" w:rsidR="00EA1426">
        <w:t xml:space="preserve">de </w:t>
      </w:r>
      <w:r w:rsidRPr="00B01980" w:rsidR="009036AC">
        <w:t xml:space="preserve">junio de dos mil veintidós, </w:t>
      </w:r>
      <w:r w:rsidRPr="00B01980" w:rsidR="000F7975">
        <w:t>suscrito por el Secretario del Ayuntamiento y es dirigido a la Titular de la Unidad de Transparencia</w:t>
      </w:r>
      <w:r w:rsidRPr="00B01980" w:rsidR="00817A95">
        <w:t xml:space="preserve">, del cual se advierte lo siguiente: </w:t>
      </w:r>
    </w:p>
    <w:p w:rsidRPr="00B01980" w:rsidR="00817A95" w:rsidP="00492822" w:rsidRDefault="00817A95" w14:paraId="622FF70A" w14:textId="77777777">
      <w:pPr>
        <w:spacing w:after="0" w:line="360" w:lineRule="auto"/>
      </w:pPr>
    </w:p>
    <w:p w:rsidRPr="00B01980" w:rsidR="00817A95" w:rsidP="00492822" w:rsidRDefault="00817A95" w14:paraId="5B894C60" w14:textId="2BFFBE2F">
      <w:pPr>
        <w:spacing w:after="0" w:line="360" w:lineRule="auto"/>
        <w:ind w:left="567" w:right="567"/>
        <w:rPr>
          <w:i/>
          <w:iCs/>
          <w:sz w:val="20"/>
          <w:szCs w:val="20"/>
        </w:rPr>
      </w:pPr>
      <w:r w:rsidRPr="00B01980">
        <w:rPr>
          <w:i/>
          <w:iCs/>
          <w:sz w:val="20"/>
          <w:szCs w:val="20"/>
        </w:rPr>
        <w:t>“…</w:t>
      </w:r>
    </w:p>
    <w:p w:rsidRPr="00B01980" w:rsidR="00817A95" w:rsidP="00492822" w:rsidRDefault="00817A95" w14:paraId="7E2F3466" w14:textId="663E1456">
      <w:pPr>
        <w:spacing w:after="0" w:line="360" w:lineRule="auto"/>
        <w:ind w:left="567" w:right="567"/>
        <w:rPr>
          <w:rFonts w:eastAsia="Calibri" w:cs="Tahoma"/>
          <w:i/>
          <w:iCs/>
          <w:color w:val="000000"/>
          <w:sz w:val="20"/>
          <w:szCs w:val="20"/>
        </w:rPr>
      </w:pPr>
      <w:r w:rsidRPr="00B01980">
        <w:rPr>
          <w:i/>
          <w:iCs/>
          <w:sz w:val="20"/>
          <w:szCs w:val="20"/>
        </w:rPr>
        <w:t>Con fundamento en lo dispuesto por el artículo 23</w:t>
      </w:r>
      <w:r w:rsidRPr="00B01980" w:rsidR="00016179">
        <w:rPr>
          <w:i/>
          <w:iCs/>
          <w:sz w:val="20"/>
          <w:szCs w:val="20"/>
        </w:rPr>
        <w:t xml:space="preserve"> fracción IV y 24 fracción VIII de la Ley de Transparencia y Acceso a la Información Pública del Estado de México y Municipios y en atención a su oficio UTAIM/01703/2022, relacionado con la solicitud de acceso a la información pública con número </w:t>
      </w:r>
      <w:r w:rsidRPr="00B01980" w:rsidR="00BE36AA">
        <w:rPr>
          <w:i/>
          <w:iCs/>
          <w:sz w:val="20"/>
          <w:szCs w:val="20"/>
        </w:rPr>
        <w:t xml:space="preserve">de SAIMEX </w:t>
      </w:r>
      <w:r w:rsidRPr="00B01980" w:rsidR="00BE36AA">
        <w:rPr>
          <w:rFonts w:eastAsia="Calibri" w:cs="Tahoma"/>
          <w:i/>
          <w:iCs/>
          <w:color w:val="000000"/>
          <w:sz w:val="20"/>
          <w:szCs w:val="20"/>
        </w:rPr>
        <w:t>00548/TLALNEPA/IP/2022</w:t>
      </w:r>
      <w:r w:rsidRPr="00B01980" w:rsidR="001D6590">
        <w:rPr>
          <w:rFonts w:eastAsia="Calibri" w:cs="Tahoma"/>
          <w:i/>
          <w:iCs/>
          <w:color w:val="000000"/>
          <w:sz w:val="20"/>
          <w:szCs w:val="20"/>
        </w:rPr>
        <w:t xml:space="preserve">, me permito remitir </w:t>
      </w:r>
      <w:r w:rsidRPr="00B01980" w:rsidR="00351AE7">
        <w:rPr>
          <w:rFonts w:eastAsia="Calibri" w:cs="Tahoma"/>
          <w:i/>
          <w:iCs/>
          <w:color w:val="000000"/>
          <w:sz w:val="20"/>
          <w:szCs w:val="20"/>
        </w:rPr>
        <w:t xml:space="preserve">copia simple del oficio DPM/0445/2022, signado por la Lic. </w:t>
      </w:r>
      <w:proofErr w:type="spellStart"/>
      <w:r w:rsidRPr="00B01980" w:rsidR="00351AE7">
        <w:rPr>
          <w:rFonts w:eastAsia="Calibri" w:cs="Tahoma"/>
          <w:i/>
          <w:iCs/>
          <w:color w:val="000000"/>
          <w:sz w:val="20"/>
          <w:szCs w:val="20"/>
        </w:rPr>
        <w:t>Estephany</w:t>
      </w:r>
      <w:proofErr w:type="spellEnd"/>
      <w:r w:rsidRPr="00B01980" w:rsidR="00351AE7">
        <w:rPr>
          <w:rFonts w:eastAsia="Calibri" w:cs="Tahoma"/>
          <w:i/>
          <w:iCs/>
          <w:color w:val="000000"/>
          <w:sz w:val="20"/>
          <w:szCs w:val="20"/>
        </w:rPr>
        <w:t xml:space="preserve"> </w:t>
      </w:r>
      <w:proofErr w:type="spellStart"/>
      <w:r w:rsidRPr="00B01980" w:rsidR="00351AE7">
        <w:rPr>
          <w:rFonts w:eastAsia="Calibri" w:cs="Tahoma"/>
          <w:i/>
          <w:iCs/>
          <w:color w:val="000000"/>
          <w:sz w:val="20"/>
          <w:szCs w:val="20"/>
        </w:rPr>
        <w:t>Jazmin</w:t>
      </w:r>
      <w:proofErr w:type="spellEnd"/>
      <w:r w:rsidRPr="00B01980" w:rsidR="00351AE7">
        <w:rPr>
          <w:rFonts w:eastAsia="Calibri" w:cs="Tahoma"/>
          <w:i/>
          <w:iCs/>
          <w:color w:val="000000"/>
          <w:sz w:val="20"/>
          <w:szCs w:val="20"/>
        </w:rPr>
        <w:t xml:space="preserve"> Sánchez Echaniz, Jefa del Departamento de Patrimonio Municipal, a través del cual se remite lo ahí escrito</w:t>
      </w:r>
    </w:p>
    <w:p w:rsidRPr="00B01980" w:rsidR="00351AE7" w:rsidP="00492822" w:rsidRDefault="00351AE7" w14:paraId="50940AC9" w14:textId="43F4B5EF">
      <w:pPr>
        <w:spacing w:after="0" w:line="360" w:lineRule="auto"/>
        <w:ind w:left="567" w:right="567"/>
        <w:rPr>
          <w:i/>
          <w:iCs/>
          <w:sz w:val="20"/>
          <w:szCs w:val="20"/>
        </w:rPr>
      </w:pPr>
      <w:r w:rsidRPr="00B01980">
        <w:rPr>
          <w:rFonts w:eastAsia="Calibri" w:cs="Tahoma"/>
          <w:i/>
          <w:iCs/>
          <w:color w:val="000000"/>
          <w:sz w:val="20"/>
          <w:szCs w:val="20"/>
        </w:rPr>
        <w:t xml:space="preserve">…” (Sic) </w:t>
      </w:r>
    </w:p>
    <w:p w:rsidRPr="00B01980" w:rsidR="003C6CAD" w:rsidP="00492822" w:rsidRDefault="003C6CAD" w14:paraId="217566CE" w14:textId="77777777">
      <w:pPr>
        <w:spacing w:after="0" w:line="360" w:lineRule="auto"/>
      </w:pPr>
    </w:p>
    <w:p w:rsidRPr="00B01980" w:rsidR="003C6CAD" w:rsidP="00492822" w:rsidRDefault="00464811" w14:paraId="7D92690A" w14:textId="10383D25">
      <w:pPr>
        <w:spacing w:after="0" w:line="360" w:lineRule="auto"/>
      </w:pPr>
      <w:r w:rsidRPr="00B01980">
        <w:t xml:space="preserve">iv) </w:t>
      </w:r>
      <w:r w:rsidRPr="00B01980" w:rsidR="00034816">
        <w:t xml:space="preserve">Oficio número: DPM/0445/2022, de fecha quince de junio de dos mil veintidós, </w:t>
      </w:r>
      <w:r w:rsidRPr="00B01980" w:rsidR="00D34FF7">
        <w:t>rubricado por la Jefa de Departamento de Patrimonio Municipal y, es dirigido al Sec</w:t>
      </w:r>
      <w:r w:rsidRPr="00B01980" w:rsidR="00BD6D29">
        <w:t xml:space="preserve">retario del Ayuntamiento, por medio del cual manifiesta y expone: </w:t>
      </w:r>
    </w:p>
    <w:p w:rsidRPr="00B01980" w:rsidR="00BD6D29" w:rsidP="00492822" w:rsidRDefault="00BD6D29" w14:paraId="69ED9746" w14:textId="77777777">
      <w:pPr>
        <w:spacing w:after="0" w:line="360" w:lineRule="auto"/>
      </w:pPr>
    </w:p>
    <w:p w:rsidRPr="00B01980" w:rsidR="00BD6D29" w:rsidP="00492822" w:rsidRDefault="00BD6D29" w14:paraId="2A62061F" w14:textId="490D4841">
      <w:pPr>
        <w:spacing w:after="0" w:line="360" w:lineRule="auto"/>
        <w:ind w:left="567" w:right="567"/>
        <w:rPr>
          <w:i/>
          <w:iCs/>
          <w:sz w:val="20"/>
          <w:szCs w:val="20"/>
        </w:rPr>
      </w:pPr>
      <w:r w:rsidRPr="00B01980">
        <w:rPr>
          <w:i/>
          <w:iCs/>
          <w:sz w:val="20"/>
          <w:szCs w:val="20"/>
        </w:rPr>
        <w:t>“…</w:t>
      </w:r>
    </w:p>
    <w:p w:rsidRPr="00B01980" w:rsidR="00BD6D29" w:rsidP="00492822" w:rsidRDefault="00BD6D29" w14:paraId="2F2D0CFC" w14:textId="6DE9D552">
      <w:pPr>
        <w:spacing w:after="0" w:line="360" w:lineRule="auto"/>
        <w:ind w:left="567" w:right="567"/>
        <w:rPr>
          <w:i/>
          <w:iCs/>
          <w:sz w:val="20"/>
          <w:szCs w:val="20"/>
        </w:rPr>
      </w:pPr>
      <w:r w:rsidRPr="00B01980">
        <w:rPr>
          <w:i/>
          <w:iCs/>
          <w:sz w:val="20"/>
          <w:szCs w:val="20"/>
        </w:rPr>
        <w:t>Al respecto me permito precisar que después de una búsqueda minuciosa exhaustiva y pormenorizada en los archivos físicos y digitales, correspondientes a</w:t>
      </w:r>
      <w:r w:rsidRPr="00B01980" w:rsidR="0079584A">
        <w:rPr>
          <w:i/>
          <w:iCs/>
          <w:sz w:val="20"/>
          <w:szCs w:val="20"/>
        </w:rPr>
        <w:t xml:space="preserve">l año 2022, que integran este Departamento, se </w:t>
      </w:r>
      <w:r w:rsidRPr="00B01980" w:rsidR="0079584A">
        <w:rPr>
          <w:i/>
          <w:sz w:val="20"/>
          <w:szCs w:val="20"/>
        </w:rPr>
        <w:t>concluye no obran contratos o convenios, respecto de arrendamiento de transporte</w:t>
      </w:r>
    </w:p>
    <w:p w:rsidRPr="00B01980" w:rsidR="0079584A" w:rsidP="00492822" w:rsidRDefault="0079584A" w14:paraId="0D8A8A07" w14:textId="0FCB07CB">
      <w:pPr>
        <w:spacing w:after="0" w:line="360" w:lineRule="auto"/>
        <w:ind w:left="567" w:right="567"/>
        <w:rPr>
          <w:i/>
          <w:iCs/>
          <w:sz w:val="20"/>
          <w:szCs w:val="20"/>
        </w:rPr>
      </w:pPr>
      <w:r w:rsidRPr="00B01980">
        <w:rPr>
          <w:i/>
          <w:iCs/>
          <w:sz w:val="20"/>
          <w:szCs w:val="20"/>
        </w:rPr>
        <w:t xml:space="preserve">…” (Sic) </w:t>
      </w:r>
    </w:p>
    <w:p w:rsidRPr="00B01980" w:rsidR="003C6CAD" w:rsidP="00492822" w:rsidRDefault="003C6CAD" w14:paraId="1E45A629" w14:textId="77777777">
      <w:pPr>
        <w:spacing w:after="0" w:line="360" w:lineRule="auto"/>
      </w:pPr>
    </w:p>
    <w:p w:rsidRPr="00B01980" w:rsidR="00C853D1" w:rsidP="00492822" w:rsidRDefault="00C853D1" w14:paraId="2B803E22" w14:textId="77777777">
      <w:pPr>
        <w:spacing w:after="0" w:line="360" w:lineRule="auto"/>
        <w:rPr>
          <w:b/>
        </w:rPr>
      </w:pPr>
      <w:r w:rsidRPr="00B01980">
        <w:rPr>
          <w:b/>
        </w:rPr>
        <w:t xml:space="preserve">III. Interposición del Recurso de Revisión. </w:t>
      </w:r>
    </w:p>
    <w:p w:rsidRPr="00B01980" w:rsidR="00C853D1" w:rsidP="00492822" w:rsidRDefault="00C853D1" w14:paraId="71DC67DA" w14:textId="77777777">
      <w:pPr>
        <w:spacing w:after="0" w:line="360" w:lineRule="auto"/>
        <w:rPr>
          <w:bCs/>
        </w:rPr>
      </w:pPr>
    </w:p>
    <w:p w:rsidRPr="00B01980" w:rsidR="00C853D1" w:rsidP="00492822" w:rsidRDefault="00D74CF0" w14:paraId="2F891DAB" w14:textId="203AB600">
      <w:pPr>
        <w:spacing w:after="0" w:line="360" w:lineRule="auto"/>
        <w:rPr>
          <w:bCs/>
        </w:rPr>
      </w:pPr>
      <w:r w:rsidRPr="00B01980">
        <w:rPr>
          <w:bCs/>
        </w:rPr>
        <w:t>El cuatro de julio de</w:t>
      </w:r>
      <w:r w:rsidRPr="00B01980" w:rsidR="000268BB">
        <w:rPr>
          <w:bCs/>
        </w:rPr>
        <w:t xml:space="preserve"> dos mil veintidós</w:t>
      </w:r>
      <w:r w:rsidRPr="00B01980" w:rsidR="00C853D1">
        <w:rPr>
          <w:bCs/>
        </w:rPr>
        <w:t xml:space="preserve">, se recibió en este Instituto, a través del </w:t>
      </w:r>
      <w:r w:rsidRPr="00B01980" w:rsidR="00C853D1">
        <w:rPr>
          <w:bCs/>
          <w:lang w:val="es-ES"/>
        </w:rPr>
        <w:t>Sistema de Acceso a la Información Mexiquense (SAIMEX)</w:t>
      </w:r>
      <w:r w:rsidRPr="00B01980" w:rsidR="00C853D1">
        <w:rPr>
          <w:bCs/>
        </w:rPr>
        <w:t xml:space="preserve">, Recurso de Revisión interpuesto por la parte </w:t>
      </w:r>
      <w:r w:rsidRPr="00B01980" w:rsidR="00C853D1">
        <w:rPr>
          <w:bCs/>
        </w:rPr>
        <w:lastRenderedPageBreak/>
        <w:t>Recurrente, en contra de la respuesta por el Sujeto Obligado, a la solicitud de información, en los siguientes términos:</w:t>
      </w:r>
    </w:p>
    <w:p w:rsidRPr="00B01980" w:rsidR="00C853D1" w:rsidP="00492822" w:rsidRDefault="00C853D1" w14:paraId="3A43EC2F" w14:textId="77777777">
      <w:pPr>
        <w:spacing w:after="0" w:line="360" w:lineRule="auto"/>
        <w:rPr>
          <w:bCs/>
        </w:rPr>
      </w:pPr>
    </w:p>
    <w:p w:rsidRPr="00B01980" w:rsidR="00C853D1" w:rsidP="00492822" w:rsidRDefault="00C853D1" w14:paraId="5AC8905A" w14:textId="77777777">
      <w:pPr>
        <w:spacing w:after="0" w:line="360" w:lineRule="auto"/>
        <w:ind w:left="567" w:right="567"/>
        <w:rPr>
          <w:bCs/>
          <w:i/>
          <w:sz w:val="20"/>
          <w:szCs w:val="20"/>
        </w:rPr>
      </w:pPr>
      <w:r w:rsidRPr="00B01980">
        <w:rPr>
          <w:b/>
          <w:bCs/>
          <w:i/>
          <w:sz w:val="20"/>
          <w:szCs w:val="20"/>
        </w:rPr>
        <w:t>“ACTO IMPUGNADO</w:t>
      </w:r>
    </w:p>
    <w:p w:rsidRPr="00B01980" w:rsidR="00C853D1" w:rsidP="00492822" w:rsidRDefault="00945698" w14:paraId="5B56BF42" w14:textId="3AA843D0">
      <w:pPr>
        <w:spacing w:after="0" w:line="360" w:lineRule="auto"/>
        <w:ind w:left="567" w:right="567"/>
        <w:rPr>
          <w:i/>
          <w:sz w:val="20"/>
          <w:szCs w:val="20"/>
        </w:rPr>
      </w:pPr>
      <w:r w:rsidRPr="00B01980">
        <w:rPr>
          <w:i/>
          <w:sz w:val="20"/>
          <w:szCs w:val="20"/>
        </w:rPr>
        <w:t>I La falta, deficiencia e insuficiencia de la fundamentación y motivación en la respuesta dada por el sujeto obligado</w:t>
      </w:r>
      <w:r w:rsidRPr="00B01980" w:rsidR="00655CB7">
        <w:rPr>
          <w:i/>
          <w:sz w:val="20"/>
          <w:szCs w:val="20"/>
        </w:rPr>
        <w:t>.</w:t>
      </w:r>
      <w:r w:rsidRPr="00B01980" w:rsidR="00C853D1">
        <w:rPr>
          <w:i/>
          <w:sz w:val="20"/>
          <w:szCs w:val="20"/>
        </w:rPr>
        <w:t>” (Sic.)</w:t>
      </w:r>
    </w:p>
    <w:p w:rsidRPr="00B01980" w:rsidR="00C853D1" w:rsidP="00492822" w:rsidRDefault="00C853D1" w14:paraId="29F43CC4" w14:textId="77777777">
      <w:pPr>
        <w:spacing w:after="0" w:line="360" w:lineRule="auto"/>
        <w:ind w:left="567" w:right="567"/>
        <w:rPr>
          <w:i/>
          <w:sz w:val="20"/>
          <w:szCs w:val="20"/>
        </w:rPr>
      </w:pPr>
    </w:p>
    <w:p w:rsidRPr="00B01980" w:rsidR="00C853D1" w:rsidP="00492822" w:rsidRDefault="00C853D1" w14:paraId="19CBF35D" w14:textId="77777777">
      <w:pPr>
        <w:spacing w:after="0" w:line="360" w:lineRule="auto"/>
        <w:ind w:left="567" w:right="567"/>
        <w:rPr>
          <w:b/>
          <w:i/>
          <w:sz w:val="20"/>
          <w:szCs w:val="20"/>
        </w:rPr>
      </w:pPr>
      <w:r w:rsidRPr="00B01980">
        <w:rPr>
          <w:b/>
          <w:i/>
          <w:sz w:val="20"/>
          <w:szCs w:val="20"/>
        </w:rPr>
        <w:t>“RAZONES O MOTIVOS DE LA INCONFORMIDAD</w:t>
      </w:r>
    </w:p>
    <w:p w:rsidRPr="00B01980" w:rsidR="00C853D1" w:rsidP="00492822" w:rsidRDefault="001C6757" w14:paraId="4043E730" w14:textId="017F040E">
      <w:pPr>
        <w:spacing w:after="0" w:line="360" w:lineRule="auto"/>
        <w:ind w:left="567" w:right="567"/>
        <w:rPr>
          <w:i/>
          <w:sz w:val="20"/>
          <w:szCs w:val="20"/>
        </w:rPr>
      </w:pPr>
      <w:r w:rsidRPr="00B01980">
        <w:rPr>
          <w:i/>
          <w:sz w:val="20"/>
          <w:szCs w:val="20"/>
        </w:rPr>
        <w:t xml:space="preserve">El sujeto obligado o los que responden a mi solicitud de información pública no niegan la erogación por la cantidad ejercida al 31 de marzo de 2022, de $100, 378, 481.84. Reforzando que si existió tal erogación en el primer trimestre de 2022, lo cual se demuestra con las NOTAS A LOS ESTADOS FINANCIEROS al 31 de marzo de 2022, que se adjuntan, donde en las B) Notas de Memoria (Cuentas de Orden), En la página 2/4 de las Notas a los Estados Financieros se describe lo siguiente; “Se llevó a cabo el arrendamiento de vehículo 172 para Comisaria de Seguridad Publica, 30 Servicios Públicos y Protección Civil.” El 30 de marzo de 2022 diversos medios de comunicación como el del periódico UNO MAS UNO véase link siguiente </w:t>
      </w:r>
      <w:hyperlink w:history="1" r:id="rId8">
        <w:r w:rsidRPr="00B01980" w:rsidR="0053366C">
          <w:rPr>
            <w:rStyle w:val="Hipervnculo"/>
            <w:i/>
            <w:sz w:val="20"/>
            <w:szCs w:val="20"/>
          </w:rPr>
          <w:t>https://unomasuno.com.mx/gobierno-de-tlalnepantla-fortalece-la-seguridad-del-municipio-con-la-entrega-de-patrullas/</w:t>
        </w:r>
      </w:hyperlink>
      <w:r w:rsidRPr="00B01980" w:rsidR="0053366C">
        <w:rPr>
          <w:i/>
          <w:sz w:val="20"/>
          <w:szCs w:val="20"/>
        </w:rPr>
        <w:t xml:space="preserve"> </w:t>
      </w:r>
      <w:r w:rsidRPr="00B01980">
        <w:rPr>
          <w:i/>
          <w:sz w:val="20"/>
          <w:szCs w:val="20"/>
        </w:rPr>
        <w:t xml:space="preserve"> Publicaron “TLALNEPANTLA, Méx.- Para reforzar la seguridad en el municipio y brindar mejores condiciones de vida, el Presidente de Tlalnepantla hace la entrega de 175 patrullas en total;…” El articulo Artículo 320 Bis del Código Financiero del Estado de México y Municipios establece que; “Para el ejercicio del gasto, los entes públicos, deberán observar las disposiciones siguientes: IV. Solo procederá hacer pagos con base en el Presupuesto de Egresos autorizado, y por los conceptos efectivamente devengados, siempre que se hubieren registrado y contabilizado debida y oportunamente las operaciones consideradas en éste.”. Por su lado en el MANUAL ÚNICO DE CONTABILIDAD GUBERNAMENTAL PARA LAS DEPENDENCIAS Y ENTIDADES PÚBLICAS DEL GOBIERNO Y MUNICIPIOS DEL ESTADO DE MÉXICO 2022 se establece que; “Los objetivos de la contabilidad gubernamental son los siguientes: b) Facilitar el registro y la fiscalización de los activos, pasivos, ingresos y gastos y, en general, contribuir a medir la eficacia economía y eficiencia del gasto e ingresos públicos…” c) Los entes públicos deberán seguir las mejores prácticas contables nacionales e internacionales en apoyo a las tareas de planeación financiera, </w:t>
      </w:r>
      <w:r w:rsidRPr="00B01980">
        <w:rPr>
          <w:i/>
          <w:sz w:val="20"/>
          <w:szCs w:val="20"/>
        </w:rPr>
        <w:lastRenderedPageBreak/>
        <w:t>control de recursos, análisis y fiscalización. Así mismo se menciona en el Manual en comento; 8) Devengo Contable “El gasto devengado, es el momento contable que refleja el reconocimiento de una obligación de pago a favor de terceros por la recepción de conformidad de bienes, servicios y obra pública contratados;…” y debiendo contemplar también lo señalado en los artículos¸ 9 y 120 del REGLAMENTO DE LA LEY DE CONTRATACIÓN PÚBLICA DEL ESTADO DE MÉXICO Y MUNICIPIOS Tampoco se observa por parte del sujeto obligado el cumplimiento del artículo 92 fracción XXIX de la LEY DE TRANSPARENCIA Y ACCESO A LA INFORMACIÓN PÚBLICA DEL ESTADO DE MÉXICO Y MUNICIPIOS Es sintomático y recurrente el comportamiento en el respeto al derecho humano a la información pública que se ha venido observando por el Ayuntamiento de Tlalnepantla de Baz, Estado de México, 2021- 2022 por lo que respetuosamente le hago una sugerencia al Pleno del Instituto de Transparencia, Acceso a la Información Pública y Protección de Datos Personales del Estado de México y Municipios para que de conformidad con el artículo 181 de la LEY GENERAL DE TRANSPARENCIA Y ACCESO A LA INFORMACIÓN PÚBLICA solicite al Instituto Nacional de Transparencia, Acceso a la Información y Protección de Datos Personales ejerza su facultad de atracción del presente Recurso de Revisión porque hay un interés legítimo de preservar en el Estado de México el Derecho Humano a la Información Publica.</w:t>
      </w:r>
      <w:r w:rsidRPr="00B01980" w:rsidR="00827B0C">
        <w:rPr>
          <w:i/>
          <w:sz w:val="20"/>
          <w:szCs w:val="20"/>
        </w:rPr>
        <w:t>.</w:t>
      </w:r>
      <w:r w:rsidRPr="00B01980" w:rsidR="00C853D1">
        <w:rPr>
          <w:i/>
          <w:sz w:val="20"/>
          <w:szCs w:val="20"/>
        </w:rPr>
        <w:t>” (Sic.)</w:t>
      </w:r>
    </w:p>
    <w:p w:rsidRPr="00B01980" w:rsidR="00682222" w:rsidP="00492822" w:rsidRDefault="00682222" w14:paraId="08852F84" w14:textId="77777777">
      <w:pPr>
        <w:spacing w:after="0" w:line="360" w:lineRule="auto"/>
      </w:pPr>
    </w:p>
    <w:p w:rsidRPr="00B01980" w:rsidR="006D02D2" w:rsidP="00492822" w:rsidRDefault="009F641E" w14:paraId="5C5B0959" w14:textId="415564C1">
      <w:pPr>
        <w:spacing w:after="0" w:line="360" w:lineRule="auto"/>
      </w:pPr>
      <w:r w:rsidRPr="00B01980">
        <w:t xml:space="preserve">Al interponer </w:t>
      </w:r>
      <w:r w:rsidRPr="00B01980" w:rsidR="00E74831">
        <w:t>el presente Medio de Impugnación, el Recurrente adjunto un documento denominado: “</w:t>
      </w:r>
      <w:r w:rsidRPr="00B01980" w:rsidR="0045050B">
        <w:rPr>
          <w:i/>
          <w:iCs/>
        </w:rPr>
        <w:t>NOTAEDOSFINAN.pdf</w:t>
      </w:r>
      <w:r w:rsidRPr="00B01980" w:rsidR="0045050B">
        <w:t xml:space="preserve">” </w:t>
      </w:r>
    </w:p>
    <w:p w:rsidRPr="00B01980" w:rsidR="006D02D2" w:rsidP="00492822" w:rsidRDefault="006D02D2" w14:paraId="4BC0F203" w14:textId="77777777">
      <w:pPr>
        <w:spacing w:after="0" w:line="360" w:lineRule="auto"/>
      </w:pPr>
    </w:p>
    <w:p w:rsidRPr="00B01980" w:rsidR="00C853D1" w:rsidP="00492822" w:rsidRDefault="00C853D1" w14:paraId="5CD0FCF6" w14:textId="77777777">
      <w:pPr>
        <w:spacing w:after="0" w:line="360" w:lineRule="auto"/>
        <w:rPr>
          <w:b/>
          <w:bCs/>
        </w:rPr>
      </w:pPr>
      <w:r w:rsidRPr="00B01980">
        <w:rPr>
          <w:b/>
        </w:rPr>
        <w:t xml:space="preserve">IV. </w:t>
      </w:r>
      <w:r w:rsidRPr="00B01980">
        <w:rPr>
          <w:b/>
          <w:bCs/>
        </w:rPr>
        <w:t xml:space="preserve">Trámite del </w:t>
      </w:r>
      <w:r w:rsidRPr="00B01980">
        <w:rPr>
          <w:b/>
        </w:rPr>
        <w:t xml:space="preserve">Recurso de Revisión </w:t>
      </w:r>
      <w:r w:rsidRPr="00B01980">
        <w:rPr>
          <w:b/>
          <w:bCs/>
        </w:rPr>
        <w:t>ante este Instituto.</w:t>
      </w:r>
    </w:p>
    <w:p w:rsidRPr="00B01980" w:rsidR="00C853D1" w:rsidP="00492822" w:rsidRDefault="00C853D1" w14:paraId="58854E98" w14:textId="77777777">
      <w:pPr>
        <w:spacing w:after="0" w:line="360" w:lineRule="auto"/>
        <w:rPr>
          <w:b/>
          <w:bCs/>
        </w:rPr>
      </w:pPr>
    </w:p>
    <w:p w:rsidRPr="00B01980" w:rsidR="00C853D1" w:rsidP="00492822" w:rsidRDefault="00C853D1" w14:paraId="0D250646" w14:textId="16C24A5B">
      <w:pPr>
        <w:spacing w:after="0" w:line="360" w:lineRule="auto"/>
        <w:rPr>
          <w:b/>
          <w:bCs/>
        </w:rPr>
      </w:pPr>
      <w:r w:rsidRPr="00B01980">
        <w:rPr>
          <w:b/>
          <w:bCs/>
        </w:rPr>
        <w:t xml:space="preserve">a) Turno del Medio de Impugnación. </w:t>
      </w:r>
      <w:r w:rsidRPr="00B01980">
        <w:rPr>
          <w:bCs/>
        </w:rPr>
        <w:t xml:space="preserve">El </w:t>
      </w:r>
      <w:r w:rsidRPr="00B01980" w:rsidR="00EB01F9">
        <w:rPr>
          <w:bCs/>
        </w:rPr>
        <w:t>cuatro de julio de dos mil veintidós</w:t>
      </w:r>
      <w:r w:rsidRPr="00B01980">
        <w:rPr>
          <w:bCs/>
        </w:rPr>
        <w:t xml:space="preserve">, el </w:t>
      </w:r>
      <w:r w:rsidRPr="00B01980">
        <w:rPr>
          <w:lang w:val="es-ES"/>
        </w:rPr>
        <w:t>Sistema de Acceso a la Información Mexiquense (SAIMEX),</w:t>
      </w:r>
      <w:r w:rsidRPr="00B01980">
        <w:rPr>
          <w:bCs/>
        </w:rPr>
        <w:t xml:space="preserve"> asignó el número de expediente </w:t>
      </w:r>
      <w:r w:rsidRPr="00B01980" w:rsidR="00E85B41">
        <w:rPr>
          <w:b/>
          <w:bCs/>
        </w:rPr>
        <w:t>12396/INFOEM/IP/RR/2022</w:t>
      </w:r>
      <w:r w:rsidRPr="00B01980">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01980" w:rsidR="00C853D1" w:rsidP="00492822" w:rsidRDefault="00C853D1" w14:paraId="606E51DE" w14:textId="77777777">
      <w:pPr>
        <w:spacing w:after="0" w:line="360" w:lineRule="auto"/>
        <w:rPr>
          <w:bCs/>
        </w:rPr>
      </w:pPr>
    </w:p>
    <w:p w:rsidRPr="00B01980" w:rsidR="00C853D1" w:rsidP="00492822" w:rsidRDefault="00C853D1" w14:paraId="03479276" w14:textId="429FBE1A">
      <w:pPr>
        <w:spacing w:after="0" w:line="360" w:lineRule="auto"/>
      </w:pPr>
      <w:r w:rsidRPr="00B01980">
        <w:rPr>
          <w:b/>
          <w:bCs/>
        </w:rPr>
        <w:t>b) Admisión del Recurso de Revisión</w:t>
      </w:r>
      <w:r w:rsidRPr="00B01980">
        <w:rPr>
          <w:b/>
          <w:bCs/>
          <w:lang w:val="es-ES_tradnl"/>
        </w:rPr>
        <w:t xml:space="preserve">. </w:t>
      </w:r>
      <w:r w:rsidRPr="00B01980">
        <w:rPr>
          <w:bCs/>
          <w:lang w:val="es-ES_tradnl"/>
        </w:rPr>
        <w:t xml:space="preserve">El </w:t>
      </w:r>
      <w:r w:rsidRPr="00B01980" w:rsidR="00A0428B">
        <w:rPr>
          <w:bCs/>
          <w:lang w:val="es-ES_tradnl"/>
        </w:rPr>
        <w:t>siete de julio de dos mil veintidós</w:t>
      </w:r>
      <w:r w:rsidRPr="00B01980">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01980" w:rsidR="00C853D1" w:rsidP="00492822" w:rsidRDefault="00C853D1" w14:paraId="6BCA600D" w14:textId="77777777">
      <w:pPr>
        <w:spacing w:after="0" w:line="360" w:lineRule="auto"/>
      </w:pPr>
    </w:p>
    <w:p w:rsidRPr="00B01980" w:rsidR="00E022C6" w:rsidP="00492822" w:rsidRDefault="00C853D1" w14:paraId="5E8F50FF" w14:textId="3C641F54">
      <w:pPr>
        <w:spacing w:after="0" w:line="360" w:lineRule="auto"/>
        <w:rPr>
          <w:bCs/>
          <w:lang w:val="es-ES_tradnl"/>
        </w:rPr>
      </w:pPr>
      <w:r w:rsidRPr="00B01980">
        <w:rPr>
          <w:b/>
        </w:rPr>
        <w:t xml:space="preserve">c) Informe Justificado. </w:t>
      </w:r>
      <w:r w:rsidRPr="00B01980" w:rsidR="00F916E0">
        <w:rPr>
          <w:bCs/>
        </w:rPr>
        <w:t xml:space="preserve">El veintinueve de julio de dos mil veintidós, </w:t>
      </w:r>
      <w:r w:rsidRPr="00B01980" w:rsidR="001356BB">
        <w:rPr>
          <w:bCs/>
        </w:rPr>
        <w:t>el Sujeto Obligado rindió su Informe Justificado</w:t>
      </w:r>
      <w:r w:rsidRPr="00B01980" w:rsidR="00F916E0">
        <w:rPr>
          <w:bCs/>
        </w:rPr>
        <w:t xml:space="preserve"> mediante el </w:t>
      </w:r>
      <w:r w:rsidRPr="00B01980" w:rsidR="00F916E0">
        <w:rPr>
          <w:bCs/>
          <w:lang w:val="es-ES_tradnl"/>
        </w:rPr>
        <w:t xml:space="preserve">Sistema de Acceso a la Información Mexiquense (SAIMEX), a través </w:t>
      </w:r>
      <w:r w:rsidRPr="00B01980" w:rsidR="00054618">
        <w:rPr>
          <w:bCs/>
          <w:lang w:val="es-ES_tradnl"/>
        </w:rPr>
        <w:t xml:space="preserve">del oficio número </w:t>
      </w:r>
      <w:r w:rsidRPr="00B01980" w:rsidR="00F56916">
        <w:rPr>
          <w:bCs/>
          <w:lang w:val="es-ES_tradnl"/>
        </w:rPr>
        <w:t xml:space="preserve">UTAIM/02874/2022, </w:t>
      </w:r>
      <w:r w:rsidRPr="00B01980" w:rsidR="00B2285D">
        <w:rPr>
          <w:bCs/>
          <w:lang w:val="es-ES_tradnl"/>
        </w:rPr>
        <w:t>del</w:t>
      </w:r>
      <w:r w:rsidRPr="00B01980" w:rsidR="00F56916">
        <w:rPr>
          <w:bCs/>
          <w:lang w:val="es-ES_tradnl"/>
        </w:rPr>
        <w:t xml:space="preserve"> veintinueve de julio de dos mil veintidós, el cual es rubricado por la Titular de la Unidad de Transparencia</w:t>
      </w:r>
      <w:r w:rsidRPr="00B01980" w:rsidR="00033CF4">
        <w:rPr>
          <w:bCs/>
          <w:lang w:val="es-ES_tradnl"/>
        </w:rPr>
        <w:t xml:space="preserve"> y, es dirigido al Comisionado Ponente en los siguientes términos: </w:t>
      </w:r>
    </w:p>
    <w:p w:rsidRPr="00B01980" w:rsidR="00033CF4" w:rsidP="00492822" w:rsidRDefault="00033CF4" w14:paraId="102BC719" w14:textId="77777777">
      <w:pPr>
        <w:spacing w:after="0" w:line="360" w:lineRule="auto"/>
        <w:rPr>
          <w:bCs/>
          <w:lang w:val="es-ES_tradnl"/>
        </w:rPr>
      </w:pPr>
    </w:p>
    <w:p w:rsidRPr="00B01980" w:rsidR="00033CF4" w:rsidP="00492822" w:rsidRDefault="00033CF4" w14:paraId="6031F306" w14:textId="53BAE61D">
      <w:pPr>
        <w:spacing w:after="0" w:line="360" w:lineRule="auto"/>
        <w:ind w:left="567" w:right="567"/>
        <w:rPr>
          <w:bCs/>
          <w:i/>
          <w:sz w:val="20"/>
          <w:szCs w:val="20"/>
          <w:lang w:val="es-ES_tradnl"/>
        </w:rPr>
      </w:pPr>
      <w:r w:rsidRPr="00B01980">
        <w:rPr>
          <w:bCs/>
          <w:i/>
          <w:sz w:val="20"/>
          <w:szCs w:val="20"/>
          <w:lang w:val="es-ES_tradnl"/>
        </w:rPr>
        <w:t>“…</w:t>
      </w:r>
    </w:p>
    <w:p w:rsidRPr="00B01980" w:rsidR="00E022C6" w:rsidP="00492822" w:rsidRDefault="00033CF4" w14:paraId="4F2B8846" w14:textId="780C6E1B">
      <w:pPr>
        <w:spacing w:after="0" w:line="360" w:lineRule="auto"/>
        <w:ind w:left="567" w:right="567"/>
        <w:jc w:val="center"/>
        <w:rPr>
          <w:b/>
          <w:i/>
          <w:sz w:val="20"/>
          <w:szCs w:val="20"/>
          <w:lang w:val="es-ES_tradnl"/>
        </w:rPr>
      </w:pPr>
      <w:r w:rsidRPr="00B01980">
        <w:rPr>
          <w:b/>
          <w:i/>
          <w:sz w:val="20"/>
          <w:szCs w:val="20"/>
          <w:lang w:val="es-ES_tradnl"/>
        </w:rPr>
        <w:t>MANIFESTACIONES</w:t>
      </w:r>
    </w:p>
    <w:p w:rsidRPr="00B01980" w:rsidR="00033CF4" w:rsidP="00492822" w:rsidRDefault="00033CF4" w14:paraId="76C8B863" w14:textId="77777777">
      <w:pPr>
        <w:spacing w:after="0" w:line="360" w:lineRule="auto"/>
        <w:ind w:left="567" w:right="567"/>
        <w:rPr>
          <w:bCs/>
          <w:i/>
          <w:sz w:val="20"/>
          <w:szCs w:val="20"/>
          <w:lang w:val="es-ES_tradnl"/>
        </w:rPr>
      </w:pPr>
    </w:p>
    <w:p w:rsidRPr="00B01980" w:rsidR="00033CF4" w:rsidP="00492822" w:rsidRDefault="00033CF4" w14:paraId="4E98B9A5" w14:textId="1487F97D">
      <w:pPr>
        <w:spacing w:after="0" w:line="360" w:lineRule="auto"/>
        <w:ind w:left="567" w:right="567"/>
        <w:rPr>
          <w:bCs/>
          <w:i/>
          <w:sz w:val="20"/>
          <w:szCs w:val="20"/>
          <w:lang w:val="es-ES_tradnl"/>
        </w:rPr>
      </w:pPr>
      <w:r w:rsidRPr="00B01980">
        <w:rPr>
          <w:bCs/>
          <w:i/>
          <w:sz w:val="20"/>
          <w:szCs w:val="20"/>
          <w:lang w:val="es-ES_tradnl"/>
        </w:rPr>
        <w:t xml:space="preserve">Primero. </w:t>
      </w:r>
      <w:r w:rsidRPr="00B01980" w:rsidR="00EE27F8">
        <w:rPr>
          <w:bCs/>
          <w:i/>
          <w:sz w:val="20"/>
          <w:szCs w:val="20"/>
          <w:lang w:val="es-ES_tradnl"/>
        </w:rPr>
        <w:t>–</w:t>
      </w:r>
      <w:r w:rsidRPr="00B01980">
        <w:rPr>
          <w:bCs/>
          <w:i/>
          <w:sz w:val="20"/>
          <w:szCs w:val="20"/>
          <w:lang w:val="es-ES_tradnl"/>
        </w:rPr>
        <w:t xml:space="preserve"> </w:t>
      </w:r>
      <w:r w:rsidRPr="00B01980" w:rsidR="00EE27F8">
        <w:rPr>
          <w:bCs/>
          <w:i/>
          <w:sz w:val="20"/>
          <w:szCs w:val="20"/>
          <w:lang w:val="es-ES_tradnl"/>
        </w:rPr>
        <w:t xml:space="preserve">Por medio </w:t>
      </w:r>
      <w:r w:rsidRPr="00B01980" w:rsidR="00E02900">
        <w:rPr>
          <w:bCs/>
          <w:i/>
          <w:sz w:val="20"/>
          <w:szCs w:val="20"/>
          <w:lang w:val="es-ES_tradnl"/>
        </w:rPr>
        <w:t xml:space="preserve">de oficio DA/3319/2022, suscrito por el M.A.D. Luis Antonio Gutiérrez Herrera </w:t>
      </w:r>
      <w:r w:rsidRPr="00B01980" w:rsidR="00286B20">
        <w:rPr>
          <w:bCs/>
          <w:i/>
          <w:sz w:val="20"/>
          <w:szCs w:val="20"/>
          <w:lang w:val="es-ES_tradnl"/>
        </w:rPr>
        <w:t xml:space="preserve">Director de Administración y en donde ratifica la respuesta remitida mediante el oficio DA/2968/2022, toda vez que de conformidad con el artículo 222, fracción II del Reglamento Interno de la Administración </w:t>
      </w:r>
      <w:r w:rsidRPr="00B01980" w:rsidR="00102662">
        <w:rPr>
          <w:bCs/>
          <w:i/>
          <w:sz w:val="20"/>
          <w:szCs w:val="20"/>
          <w:lang w:val="es-ES_tradnl"/>
        </w:rPr>
        <w:t xml:space="preserve">Pública Municipal de Tlalnepantla de Baz, la Dirección de </w:t>
      </w:r>
      <w:r w:rsidRPr="00B01980" w:rsidR="00C06584">
        <w:rPr>
          <w:bCs/>
          <w:i/>
          <w:sz w:val="20"/>
          <w:szCs w:val="20"/>
          <w:lang w:val="es-ES_tradnl"/>
        </w:rPr>
        <w:t>Administración</w:t>
      </w:r>
      <w:r w:rsidRPr="00B01980" w:rsidR="005B48F3">
        <w:rPr>
          <w:bCs/>
          <w:i/>
          <w:sz w:val="20"/>
          <w:szCs w:val="20"/>
          <w:lang w:val="es-ES_tradnl"/>
        </w:rPr>
        <w:t xml:space="preserve"> no cuenta con un Comité de Arrendamientos que pueda contar con la información solicitada.</w:t>
      </w:r>
    </w:p>
    <w:p w:rsidRPr="00B01980" w:rsidR="005B48F3" w:rsidP="00492822" w:rsidRDefault="005B48F3" w14:paraId="6AD5727E" w14:textId="77777777">
      <w:pPr>
        <w:spacing w:after="0" w:line="360" w:lineRule="auto"/>
        <w:ind w:left="567" w:right="567"/>
        <w:rPr>
          <w:bCs/>
          <w:i/>
          <w:sz w:val="20"/>
          <w:szCs w:val="20"/>
          <w:lang w:val="es-ES_tradnl"/>
        </w:rPr>
      </w:pPr>
    </w:p>
    <w:p w:rsidRPr="00B01980" w:rsidR="005B48F3" w:rsidP="00492822" w:rsidRDefault="005B48F3" w14:paraId="351E90E1" w14:textId="31E343BE">
      <w:pPr>
        <w:spacing w:after="0" w:line="360" w:lineRule="auto"/>
        <w:ind w:left="567" w:right="567"/>
        <w:rPr>
          <w:bCs/>
          <w:i/>
          <w:sz w:val="20"/>
          <w:szCs w:val="20"/>
          <w:lang w:val="es-ES_tradnl"/>
        </w:rPr>
      </w:pPr>
      <w:r w:rsidRPr="00B01980">
        <w:rPr>
          <w:bCs/>
          <w:i/>
          <w:sz w:val="20"/>
          <w:szCs w:val="20"/>
          <w:lang w:val="es-ES_tradnl"/>
        </w:rPr>
        <w:t>Segundo. – Mediante el oficio TM/2639/2022, suscrito por el C.P. Ricardo Contreras Velázquez, Tesorero Municipal</w:t>
      </w:r>
      <w:r w:rsidRPr="00B01980" w:rsidR="008671D2">
        <w:rPr>
          <w:bCs/>
          <w:i/>
          <w:sz w:val="20"/>
          <w:szCs w:val="20"/>
          <w:lang w:val="es-ES_tradnl"/>
        </w:rPr>
        <w:t xml:space="preserve">, en donde ratifica la respuesta remitida mediane el oficio TM/2263/2022, dado </w:t>
      </w:r>
      <w:r w:rsidRPr="00B01980" w:rsidR="00D0258F">
        <w:rPr>
          <w:bCs/>
          <w:i/>
          <w:sz w:val="20"/>
          <w:szCs w:val="20"/>
          <w:lang w:val="es-ES_tradnl"/>
        </w:rPr>
        <w:t xml:space="preserve">que no se ha erogado presupuesto alguno con motivo de arrendamiento de equipo de transporte. </w:t>
      </w:r>
    </w:p>
    <w:p w:rsidRPr="00B01980" w:rsidR="00D0258F" w:rsidP="00492822" w:rsidRDefault="00D0258F" w14:paraId="0C8851DB" w14:textId="77777777">
      <w:pPr>
        <w:spacing w:after="0" w:line="360" w:lineRule="auto"/>
        <w:ind w:left="567" w:right="567"/>
        <w:rPr>
          <w:bCs/>
          <w:i/>
          <w:sz w:val="20"/>
          <w:szCs w:val="20"/>
          <w:lang w:val="es-ES_tradnl"/>
        </w:rPr>
      </w:pPr>
    </w:p>
    <w:p w:rsidRPr="00B01980" w:rsidR="00D0258F" w:rsidP="00492822" w:rsidRDefault="005B6FB1" w14:paraId="288B7987" w14:textId="486194D2">
      <w:pPr>
        <w:spacing w:after="0" w:line="360" w:lineRule="auto"/>
        <w:ind w:left="567" w:right="567"/>
        <w:rPr>
          <w:bCs/>
          <w:i/>
          <w:sz w:val="20"/>
          <w:szCs w:val="20"/>
          <w:lang w:val="es-ES_tradnl"/>
        </w:rPr>
      </w:pPr>
      <w:r w:rsidRPr="00B01980">
        <w:rPr>
          <w:bCs/>
          <w:i/>
          <w:sz w:val="20"/>
          <w:szCs w:val="20"/>
          <w:lang w:val="es-ES_tradnl"/>
        </w:rPr>
        <w:lastRenderedPageBreak/>
        <w:t>Tercero. - Por medio del oficio SM.04423/2022, suscrito por el Mtro. Edmundo Rafael R</w:t>
      </w:r>
      <w:r w:rsidRPr="00B01980" w:rsidR="00A755E3">
        <w:rPr>
          <w:bCs/>
          <w:i/>
          <w:sz w:val="20"/>
          <w:szCs w:val="20"/>
          <w:lang w:val="es-ES_tradnl"/>
        </w:rPr>
        <w:t>anero</w:t>
      </w:r>
      <w:r w:rsidRPr="00B01980">
        <w:rPr>
          <w:bCs/>
          <w:i/>
          <w:sz w:val="20"/>
          <w:szCs w:val="20"/>
          <w:lang w:val="es-ES_tradnl"/>
        </w:rPr>
        <w:t xml:space="preserve"> Barrera,</w:t>
      </w:r>
      <w:r w:rsidRPr="00B01980" w:rsidR="00A755E3">
        <w:rPr>
          <w:bCs/>
          <w:i/>
          <w:sz w:val="20"/>
          <w:szCs w:val="20"/>
          <w:lang w:val="es-ES_tradnl"/>
        </w:rPr>
        <w:t xml:space="preserve"> Secretario de Ayuntamiento, y en donde informa puntualmente lo siguiente: </w:t>
      </w:r>
    </w:p>
    <w:p w:rsidRPr="00B01980" w:rsidR="00A47669" w:rsidP="00492822" w:rsidRDefault="00A47669" w14:paraId="5E4562EE" w14:textId="77777777">
      <w:pPr>
        <w:spacing w:after="0" w:line="360" w:lineRule="auto"/>
        <w:ind w:left="567" w:right="567"/>
        <w:rPr>
          <w:bCs/>
          <w:i/>
          <w:sz w:val="20"/>
          <w:szCs w:val="20"/>
          <w:lang w:val="es-ES_tradnl"/>
        </w:rPr>
      </w:pPr>
    </w:p>
    <w:p w:rsidRPr="00B01980" w:rsidR="00A47669" w:rsidP="00492822" w:rsidRDefault="00A47669" w14:paraId="26F12DE3" w14:textId="04C80E83">
      <w:pPr>
        <w:pStyle w:val="Prrafodelista"/>
        <w:numPr>
          <w:ilvl w:val="0"/>
          <w:numId w:val="16"/>
        </w:numPr>
        <w:spacing w:line="360" w:lineRule="auto"/>
        <w:ind w:right="567"/>
        <w:rPr>
          <w:rFonts w:eastAsia="Calibri" w:cs="Tahoma"/>
          <w:i/>
          <w:color w:val="000000"/>
          <w:sz w:val="20"/>
          <w:szCs w:val="20"/>
        </w:rPr>
      </w:pPr>
      <w:r w:rsidRPr="00B01980">
        <w:rPr>
          <w:bCs/>
          <w:i/>
          <w:sz w:val="20"/>
          <w:szCs w:val="20"/>
          <w:lang w:val="es-ES_tradnl"/>
        </w:rPr>
        <w:t xml:space="preserve">En la solicitud </w:t>
      </w:r>
      <w:r w:rsidRPr="00B01980">
        <w:rPr>
          <w:rFonts w:eastAsia="Calibri" w:cs="Tahoma"/>
          <w:i/>
          <w:color w:val="000000"/>
          <w:sz w:val="20"/>
          <w:szCs w:val="20"/>
        </w:rPr>
        <w:t xml:space="preserve">00548/TLALNEPA/IP/2022 el ahora recurrente solicita: “1.- Los contratos o convenios etc. Que amparen la suma erogada por el arrendamiento de Equipo de Transporte realizada por el Ayuntamiento de Tlalnepantla de Baz, Estado de México. 2.- Los procedimientos para la adjudicación de lo señalado en el punto 1, realizados por el Ayuntamiento de Tlalnepantla de Baz, México” Sic. </w:t>
      </w:r>
    </w:p>
    <w:p w:rsidRPr="00B01980" w:rsidR="00A47669" w:rsidP="00492822" w:rsidRDefault="00A47669" w14:paraId="0D9E163E" w14:textId="77777777">
      <w:pPr>
        <w:spacing w:after="0" w:line="360" w:lineRule="auto"/>
        <w:ind w:left="567" w:right="567"/>
        <w:rPr>
          <w:rFonts w:eastAsia="Calibri" w:cs="Tahoma"/>
          <w:i/>
          <w:color w:val="000000"/>
          <w:sz w:val="20"/>
          <w:szCs w:val="20"/>
        </w:rPr>
      </w:pPr>
    </w:p>
    <w:p w:rsidRPr="00B01980" w:rsidR="00A47669" w:rsidP="00492822" w:rsidRDefault="00A47669" w14:paraId="09E15DBB" w14:textId="01EA9013">
      <w:pPr>
        <w:pStyle w:val="Prrafodelista"/>
        <w:numPr>
          <w:ilvl w:val="0"/>
          <w:numId w:val="16"/>
        </w:numPr>
        <w:spacing w:line="360" w:lineRule="auto"/>
        <w:ind w:right="567"/>
        <w:rPr>
          <w:rFonts w:eastAsia="Calibri" w:cs="Tahoma"/>
          <w:i/>
          <w:color w:val="000000"/>
          <w:sz w:val="20"/>
          <w:szCs w:val="20"/>
        </w:rPr>
      </w:pPr>
      <w:r w:rsidRPr="00B01980">
        <w:rPr>
          <w:rFonts w:eastAsia="Calibri" w:cs="Tahoma"/>
          <w:i/>
          <w:color w:val="000000"/>
          <w:sz w:val="20"/>
          <w:szCs w:val="20"/>
        </w:rPr>
        <w:t xml:space="preserve">En la respuesta remitida mediante el oficio SM.03962 suscrito por </w:t>
      </w:r>
      <w:proofErr w:type="spellStart"/>
      <w:r w:rsidRPr="00B01980">
        <w:rPr>
          <w:rFonts w:eastAsia="Calibri" w:cs="Tahoma"/>
          <w:i/>
          <w:color w:val="000000"/>
          <w:sz w:val="20"/>
          <w:szCs w:val="20"/>
        </w:rPr>
        <w:t>Mto</w:t>
      </w:r>
      <w:proofErr w:type="spellEnd"/>
      <w:r w:rsidRPr="00B01980">
        <w:rPr>
          <w:rFonts w:eastAsia="Calibri" w:cs="Tahoma"/>
          <w:i/>
          <w:color w:val="000000"/>
          <w:sz w:val="20"/>
          <w:szCs w:val="20"/>
        </w:rPr>
        <w:t xml:space="preserve">. Edmundo Rafael Renero Barrera, Secretario del Ayuntamiento, se informa que, a la fecha de la solicitud, no se ha celebrada contratos o convenios respecto al arrendamiento de equipo de </w:t>
      </w:r>
      <w:r w:rsidRPr="00B01980" w:rsidR="00DF4A13">
        <w:rPr>
          <w:rFonts w:eastAsia="Calibri" w:cs="Tahoma"/>
          <w:i/>
          <w:color w:val="000000"/>
          <w:sz w:val="20"/>
          <w:szCs w:val="20"/>
        </w:rPr>
        <w:t>transporte.</w:t>
      </w:r>
      <w:r w:rsidRPr="00B01980">
        <w:rPr>
          <w:rFonts w:eastAsia="Calibri" w:cs="Tahoma"/>
          <w:i/>
          <w:color w:val="000000"/>
          <w:sz w:val="20"/>
          <w:szCs w:val="20"/>
        </w:rPr>
        <w:t xml:space="preserve"> </w:t>
      </w:r>
    </w:p>
    <w:p w:rsidRPr="00B01980" w:rsidR="00A47669" w:rsidP="00492822" w:rsidRDefault="00A47669" w14:paraId="581A8C33" w14:textId="77777777">
      <w:pPr>
        <w:spacing w:after="0" w:line="360" w:lineRule="auto"/>
        <w:ind w:left="567" w:right="567"/>
        <w:rPr>
          <w:rFonts w:eastAsia="Calibri" w:cs="Tahoma"/>
          <w:i/>
          <w:color w:val="000000"/>
          <w:sz w:val="20"/>
          <w:szCs w:val="20"/>
        </w:rPr>
      </w:pPr>
    </w:p>
    <w:p w:rsidRPr="00B01980" w:rsidR="00A47669" w:rsidP="00492822" w:rsidRDefault="00A47669" w14:paraId="37F5C87E" w14:textId="433CF526">
      <w:pPr>
        <w:pStyle w:val="Prrafodelista"/>
        <w:numPr>
          <w:ilvl w:val="0"/>
          <w:numId w:val="16"/>
        </w:numPr>
        <w:spacing w:line="360" w:lineRule="auto"/>
        <w:ind w:right="567"/>
        <w:rPr>
          <w:rFonts w:eastAsia="Calibri" w:cs="Tahoma"/>
          <w:i/>
          <w:color w:val="000000"/>
          <w:sz w:val="20"/>
          <w:szCs w:val="20"/>
        </w:rPr>
      </w:pPr>
      <w:r w:rsidRPr="00B01980">
        <w:rPr>
          <w:rFonts w:eastAsia="Calibri" w:cs="Tahoma"/>
          <w:i/>
          <w:color w:val="000000"/>
          <w:sz w:val="20"/>
          <w:szCs w:val="20"/>
        </w:rPr>
        <w:t xml:space="preserve">Como acto </w:t>
      </w:r>
      <w:r w:rsidRPr="00B01980" w:rsidR="00206E41">
        <w:rPr>
          <w:rFonts w:eastAsia="Calibri" w:cs="Tahoma"/>
          <w:i/>
          <w:color w:val="000000"/>
          <w:sz w:val="20"/>
          <w:szCs w:val="20"/>
        </w:rPr>
        <w:t>impugnado el recurrente menciona “La falta, deficiencia e insuficiencia de la fundamentación y motivación en la respuesta dada por el sujeto obligado” sic, sin embargo, la respuesta proporcionada cuenta con la fundamentación y motivación para su atención, concluyendo que no se cuenta con el documento solicitado, señalando la tesis con número de registro 267287 de la Séptima Época, de la Segunda Sala, publicada en el Seminario Judicial de la Federación, Volumen LII, Tercera Parte, Materia Común, respecto de los hechos negativos.</w:t>
      </w:r>
    </w:p>
    <w:p w:rsidRPr="00B01980" w:rsidR="00206E41" w:rsidP="00492822" w:rsidRDefault="00206E41" w14:paraId="1131EC25" w14:textId="77777777">
      <w:pPr>
        <w:spacing w:after="0" w:line="360" w:lineRule="auto"/>
        <w:ind w:left="567" w:right="567"/>
        <w:rPr>
          <w:rFonts w:eastAsia="Calibri" w:cs="Tahoma"/>
          <w:i/>
          <w:color w:val="000000"/>
          <w:sz w:val="20"/>
          <w:szCs w:val="20"/>
        </w:rPr>
      </w:pPr>
    </w:p>
    <w:p w:rsidRPr="00B01980" w:rsidR="00206E41" w:rsidP="00492822" w:rsidRDefault="00206E41" w14:paraId="14958501" w14:textId="5B92214C">
      <w:pPr>
        <w:pStyle w:val="Prrafodelista"/>
        <w:numPr>
          <w:ilvl w:val="0"/>
          <w:numId w:val="16"/>
        </w:numPr>
        <w:spacing w:line="360" w:lineRule="auto"/>
        <w:ind w:right="567"/>
        <w:rPr>
          <w:rFonts w:eastAsia="Calibri" w:cs="Tahoma"/>
          <w:i/>
          <w:color w:val="000000"/>
          <w:sz w:val="20"/>
          <w:szCs w:val="20"/>
        </w:rPr>
      </w:pPr>
      <w:r w:rsidRPr="00B01980">
        <w:rPr>
          <w:rFonts w:eastAsia="Calibri" w:cs="Tahoma"/>
          <w:i/>
          <w:color w:val="000000"/>
          <w:sz w:val="20"/>
          <w:szCs w:val="20"/>
        </w:rPr>
        <w:t xml:space="preserve">En razón o motivo de inconformidad el recurrente enfatiza “arrendamiento de vehículo 172 para Comisaria de Seguridad Pública, 30 Servicios Públicos y Protección Civil” Sic ampliando la solicitud primigenia, por lo que la información adicional deberá ser considerado plus Petitio y no deberían ser considerados, por el Órgano Garante, siendo aplicable el criterio 27/10 del Instituto Nacional de Transparencia, Acceso a la Información y Protección de Datos Personales que menciona la improcedencia para ampliar las solicitudes de acceso a la información pública o datos personales, a través de la interpretación del recurso de revisión. </w:t>
      </w:r>
    </w:p>
    <w:p w:rsidRPr="00B01980" w:rsidR="00206E41" w:rsidP="00492822" w:rsidRDefault="00206E41" w14:paraId="4FC53514" w14:textId="77777777">
      <w:pPr>
        <w:spacing w:after="0" w:line="360" w:lineRule="auto"/>
        <w:ind w:left="567" w:right="567"/>
        <w:rPr>
          <w:rFonts w:eastAsia="Calibri" w:cs="Tahoma"/>
          <w:i/>
          <w:color w:val="000000"/>
          <w:sz w:val="20"/>
          <w:szCs w:val="20"/>
        </w:rPr>
      </w:pPr>
    </w:p>
    <w:p w:rsidRPr="00B01980" w:rsidR="00206E41" w:rsidP="00492822" w:rsidRDefault="00206E41" w14:paraId="10144312" w14:textId="62748B29">
      <w:pPr>
        <w:spacing w:after="0" w:line="360" w:lineRule="auto"/>
        <w:ind w:left="567" w:right="567"/>
        <w:rPr>
          <w:bCs/>
          <w:i/>
          <w:sz w:val="20"/>
          <w:szCs w:val="20"/>
          <w:lang w:val="es-ES_tradnl"/>
        </w:rPr>
      </w:pPr>
      <w:r w:rsidRPr="00B01980">
        <w:rPr>
          <w:rFonts w:eastAsia="Calibri" w:cs="Tahoma"/>
          <w:i/>
          <w:color w:val="000000"/>
          <w:sz w:val="20"/>
          <w:szCs w:val="20"/>
        </w:rPr>
        <w:lastRenderedPageBreak/>
        <w:t xml:space="preserve">Cuarto.- Finalmente, con base en lo anterior y de conformidad </w:t>
      </w:r>
      <w:r w:rsidRPr="00B01980" w:rsidR="00635A2F">
        <w:rPr>
          <w:rFonts w:eastAsia="Calibri" w:cs="Tahoma"/>
          <w:i/>
          <w:color w:val="000000"/>
          <w:sz w:val="20"/>
          <w:szCs w:val="20"/>
        </w:rPr>
        <w:t xml:space="preserve">con el artículo 191, fracción VII de la Ley de Transparencia y Acceso a la Información Pública del Estado de México y Municipios, se solicita que este Órgano Garante deseche por improcedencia del recurso de revisión con el número de expediente 12396/INFOEM/IP/RR/2022, toda vez que el recurrente solicita información referente al arrendamiento de equipo de transporte, sin embargo, en el recurso de revisión amplia su solicitud requiriendo información correspondiente al arrendamiento de 172 patrullas. </w:t>
      </w:r>
    </w:p>
    <w:p w:rsidRPr="00B01980" w:rsidR="00A47669" w:rsidP="00492822" w:rsidRDefault="00A47669" w14:paraId="7D7074FF" w14:textId="77777777">
      <w:pPr>
        <w:spacing w:after="0" w:line="360" w:lineRule="auto"/>
        <w:ind w:left="567" w:right="567"/>
        <w:rPr>
          <w:bCs/>
          <w:i/>
          <w:sz w:val="20"/>
          <w:szCs w:val="20"/>
          <w:lang w:val="es-ES_tradnl"/>
        </w:rPr>
      </w:pPr>
    </w:p>
    <w:p w:rsidRPr="00B01980" w:rsidR="00A755E3" w:rsidP="00492822" w:rsidRDefault="0087090A" w14:paraId="581C2E76" w14:textId="5E5D187B">
      <w:pPr>
        <w:spacing w:after="0" w:line="360" w:lineRule="auto"/>
        <w:ind w:left="567" w:right="567"/>
        <w:rPr>
          <w:bCs/>
          <w:i/>
          <w:sz w:val="20"/>
          <w:szCs w:val="20"/>
          <w:lang w:val="es-ES_tradnl"/>
        </w:rPr>
      </w:pPr>
      <w:r w:rsidRPr="00B01980">
        <w:rPr>
          <w:bCs/>
          <w:i/>
          <w:sz w:val="20"/>
          <w:szCs w:val="20"/>
          <w:lang w:val="es-ES_tradnl"/>
        </w:rPr>
        <w:t>Por lo antes expuesto, le solicito atentamente que, con fundamento en el artículo 186, fracción II de la Ley de Transparencia y Acceso a la Información Pública del Estado de México y Municipios, tenga a bien dar como presentada la manifestación de este sujeto obligado</w:t>
      </w:r>
    </w:p>
    <w:p w:rsidRPr="00B01980" w:rsidR="0087090A" w:rsidP="00492822" w:rsidRDefault="0087090A" w14:paraId="635566FE" w14:textId="764485C5">
      <w:pPr>
        <w:spacing w:after="0" w:line="360" w:lineRule="auto"/>
        <w:ind w:left="567" w:right="567"/>
        <w:rPr>
          <w:bCs/>
          <w:i/>
          <w:sz w:val="20"/>
          <w:szCs w:val="20"/>
          <w:lang w:val="es-ES_tradnl"/>
        </w:rPr>
      </w:pPr>
      <w:r w:rsidRPr="00B01980">
        <w:rPr>
          <w:bCs/>
          <w:i/>
          <w:sz w:val="20"/>
          <w:szCs w:val="20"/>
          <w:lang w:val="es-ES_tradnl"/>
        </w:rPr>
        <w:t xml:space="preserve">…” (Sic) </w:t>
      </w:r>
    </w:p>
    <w:p w:rsidRPr="00B01980" w:rsidR="00A755E3" w:rsidP="00492822" w:rsidRDefault="00A755E3" w14:paraId="4F1A6E2C" w14:textId="77777777">
      <w:pPr>
        <w:spacing w:after="0" w:line="360" w:lineRule="auto"/>
        <w:rPr>
          <w:bCs/>
          <w:lang w:val="es-ES_tradnl"/>
        </w:rPr>
      </w:pPr>
    </w:p>
    <w:p w:rsidRPr="00B01980" w:rsidR="00A755E3" w:rsidP="00492822" w:rsidRDefault="0053366C" w14:paraId="035DCDD2" w14:textId="39C00520">
      <w:pPr>
        <w:spacing w:after="0" w:line="360" w:lineRule="auto"/>
        <w:rPr>
          <w:bCs/>
          <w:lang w:val="es-ES_tradnl"/>
        </w:rPr>
      </w:pPr>
      <w:r w:rsidRPr="00B01980">
        <w:rPr>
          <w:bCs/>
          <w:lang w:val="es-ES_tradnl"/>
        </w:rPr>
        <w:t xml:space="preserve">Del mismo modo, el Sujeto Obligado al presentar su Informe Justificado, adjuntó los documentos que a continuación de enlistan: </w:t>
      </w:r>
    </w:p>
    <w:p w:rsidRPr="00B01980" w:rsidR="0053366C" w:rsidP="00492822" w:rsidRDefault="0053366C" w14:paraId="61489D1B" w14:textId="77777777">
      <w:pPr>
        <w:spacing w:after="0" w:line="360" w:lineRule="auto"/>
        <w:rPr>
          <w:bCs/>
          <w:lang w:val="es-ES_tradnl"/>
        </w:rPr>
      </w:pPr>
    </w:p>
    <w:p w:rsidRPr="00B01980" w:rsidR="0053366C" w:rsidP="00492822" w:rsidRDefault="0053366C" w14:paraId="1691812E" w14:textId="53570481">
      <w:pPr>
        <w:spacing w:after="0" w:line="360" w:lineRule="auto"/>
        <w:rPr>
          <w:bCs/>
          <w:lang w:val="es-ES_tradnl"/>
        </w:rPr>
      </w:pPr>
      <w:r w:rsidRPr="00B01980">
        <w:rPr>
          <w:bCs/>
          <w:lang w:val="es-ES_tradnl"/>
        </w:rPr>
        <w:t>i) Oficio número</w:t>
      </w:r>
      <w:r w:rsidRPr="00B01980" w:rsidR="00B2285D">
        <w:rPr>
          <w:bCs/>
          <w:lang w:val="es-ES_tradnl"/>
        </w:rPr>
        <w:t xml:space="preserve"> </w:t>
      </w:r>
      <w:r w:rsidRPr="00B01980">
        <w:rPr>
          <w:bCs/>
          <w:lang w:val="es-ES_tradnl"/>
        </w:rPr>
        <w:t xml:space="preserve">DA/3319/2022, </w:t>
      </w:r>
      <w:r w:rsidRPr="00B01980" w:rsidR="00B2285D">
        <w:rPr>
          <w:bCs/>
          <w:lang w:val="es-ES_tradnl"/>
        </w:rPr>
        <w:t>del</w:t>
      </w:r>
      <w:r w:rsidRPr="00B01980">
        <w:rPr>
          <w:bCs/>
          <w:lang w:val="es-ES_tradnl"/>
        </w:rPr>
        <w:t xml:space="preserve"> catorce de julio de dos mil veintidós, suscrito por el Director de Administración y es di</w:t>
      </w:r>
      <w:r w:rsidRPr="00B01980" w:rsidR="00992D28">
        <w:rPr>
          <w:bCs/>
          <w:lang w:val="es-ES_tradnl"/>
        </w:rPr>
        <w:t xml:space="preserve">rigido a la Titular de la Unidad de Transparencia, de cuyo análisis se desprende lo siguiente: </w:t>
      </w:r>
    </w:p>
    <w:p w:rsidRPr="00B01980" w:rsidR="00992D28" w:rsidP="00492822" w:rsidRDefault="00992D28" w14:paraId="26C10416" w14:textId="5F878CE8">
      <w:pPr>
        <w:spacing w:after="0" w:line="360" w:lineRule="auto"/>
        <w:rPr>
          <w:bCs/>
          <w:lang w:val="es-ES_tradnl"/>
        </w:rPr>
      </w:pPr>
    </w:p>
    <w:p w:rsidRPr="00B01980" w:rsidR="00992D28" w:rsidP="00492822" w:rsidRDefault="00992D28" w14:paraId="6E358DF9" w14:textId="777BE592">
      <w:pPr>
        <w:spacing w:after="0" w:line="360" w:lineRule="auto"/>
        <w:ind w:left="567" w:right="567"/>
        <w:rPr>
          <w:bCs/>
          <w:i/>
          <w:iCs/>
          <w:lang w:val="es-ES_tradnl"/>
        </w:rPr>
      </w:pPr>
      <w:r w:rsidRPr="00B01980">
        <w:rPr>
          <w:bCs/>
          <w:i/>
          <w:iCs/>
          <w:lang w:val="es-ES_tradnl"/>
        </w:rPr>
        <w:t>“…</w:t>
      </w:r>
    </w:p>
    <w:p w:rsidRPr="00B01980" w:rsidR="00992D28" w:rsidP="00492822" w:rsidRDefault="00992D28" w14:paraId="6723068D" w14:textId="364B47C9">
      <w:pPr>
        <w:spacing w:after="0" w:line="360" w:lineRule="auto"/>
        <w:ind w:left="567" w:right="567"/>
        <w:rPr>
          <w:rFonts w:eastAsia="Calibri" w:cs="Tahoma"/>
          <w:i/>
          <w:sz w:val="20"/>
          <w:szCs w:val="20"/>
        </w:rPr>
      </w:pPr>
      <w:r w:rsidRPr="00B01980">
        <w:rPr>
          <w:bCs/>
          <w:i/>
          <w:sz w:val="20"/>
          <w:szCs w:val="20"/>
          <w:lang w:val="es-ES_tradnl"/>
        </w:rPr>
        <w:t xml:space="preserve">Por lo anterior y con fundamento en lo dispuesto en los artículos 56, 59 y 185, fracciones II y III de la Ley de Transparencia y Acceso a la Información Pública del Estado de México y Municipios; 86 y 89 de la Ley Orgánica Municipal del Estado de México y 210 del Reglamento Interno de la Administración Pública Municipal de </w:t>
      </w:r>
      <w:r w:rsidRPr="00B01980">
        <w:rPr>
          <w:rFonts w:eastAsia="Calibri" w:cs="Tahoma"/>
          <w:i/>
          <w:sz w:val="20"/>
          <w:szCs w:val="20"/>
        </w:rPr>
        <w:t xml:space="preserve">Tlalnepantla de Baz, Estado de México. </w:t>
      </w:r>
    </w:p>
    <w:p w:rsidRPr="00B01980" w:rsidR="00992D28" w:rsidP="00492822" w:rsidRDefault="00992D28" w14:paraId="1AD69CD5" w14:textId="77777777">
      <w:pPr>
        <w:spacing w:after="0" w:line="360" w:lineRule="auto"/>
        <w:ind w:left="567" w:right="567"/>
        <w:rPr>
          <w:rFonts w:eastAsia="Calibri" w:cs="Tahoma"/>
          <w:i/>
          <w:sz w:val="20"/>
          <w:szCs w:val="20"/>
        </w:rPr>
      </w:pPr>
    </w:p>
    <w:p w:rsidRPr="00B01980" w:rsidR="00992D28" w:rsidP="00492822" w:rsidRDefault="00992D28" w14:paraId="010DAA89" w14:textId="7DBA275D">
      <w:pPr>
        <w:spacing w:after="0" w:line="360" w:lineRule="auto"/>
        <w:ind w:left="567" w:right="567"/>
        <w:rPr>
          <w:bCs/>
          <w:i/>
          <w:sz w:val="20"/>
          <w:szCs w:val="20"/>
          <w:lang w:val="es-ES_tradnl"/>
        </w:rPr>
      </w:pPr>
      <w:r w:rsidRPr="00B01980">
        <w:rPr>
          <w:rFonts w:eastAsia="Calibri" w:cs="Tahoma"/>
          <w:i/>
          <w:sz w:val="20"/>
          <w:szCs w:val="20"/>
        </w:rPr>
        <w:t>En relación a lo anterior y en atendiendo el acto impugnado y motivo de inconformidad vertido por el recurrente y en desahogo de vista, hago propio el contenido del oficio DA/2968/2022, con fecha 21 de jun</w:t>
      </w:r>
      <w:r w:rsidRPr="00B01980" w:rsidR="00951C76">
        <w:rPr>
          <w:rFonts w:eastAsia="Calibri" w:cs="Tahoma"/>
          <w:i/>
          <w:sz w:val="20"/>
          <w:szCs w:val="20"/>
        </w:rPr>
        <w:t xml:space="preserve">io de 2022, el cual se </w:t>
      </w:r>
      <w:r w:rsidRPr="00B01980" w:rsidR="00951C76">
        <w:rPr>
          <w:rFonts w:eastAsia="Calibri" w:cs="Tahoma"/>
          <w:b/>
          <w:i/>
          <w:sz w:val="20"/>
          <w:szCs w:val="20"/>
        </w:rPr>
        <w:t>RATIFICA</w:t>
      </w:r>
      <w:r w:rsidRPr="00B01980">
        <w:rPr>
          <w:rFonts w:eastAsia="Calibri" w:cs="Tahoma"/>
          <w:i/>
          <w:sz w:val="20"/>
          <w:szCs w:val="20"/>
        </w:rPr>
        <w:t xml:space="preserve"> en cada una de sus partes, lo anterior es así ya que la Subdirección de Recursos Materiales no cuenta con un Comité de Arrendamiento y no se localizó </w:t>
      </w:r>
      <w:r w:rsidRPr="00B01980">
        <w:rPr>
          <w:rFonts w:eastAsia="Calibri" w:cs="Tahoma"/>
          <w:i/>
          <w:sz w:val="20"/>
          <w:szCs w:val="20"/>
        </w:rPr>
        <w:lastRenderedPageBreak/>
        <w:t>que colme la petición de “contratos … arrendamiento de Equipo de T</w:t>
      </w:r>
      <w:r w:rsidRPr="00B01980" w:rsidR="00C11983">
        <w:rPr>
          <w:rFonts w:eastAsia="Calibri" w:cs="Tahoma"/>
          <w:i/>
          <w:sz w:val="20"/>
          <w:szCs w:val="20"/>
        </w:rPr>
        <w:t xml:space="preserve">ransporte” agregando que, dicha respuesta emitida se encuentra fundada y motivada con los artículos 222, fracción II del Reglamento Interno de la Administración Pública Municipal de Tlalnepantla de Baz y 12 de la </w:t>
      </w:r>
      <w:r w:rsidRPr="00B01980" w:rsidR="00C11983">
        <w:rPr>
          <w:bCs/>
          <w:i/>
          <w:sz w:val="20"/>
          <w:szCs w:val="20"/>
          <w:lang w:val="es-ES_tradnl"/>
        </w:rPr>
        <w:t>Ley de Transparencia y Acceso a la Información Pública del Estado de México y Municipios</w:t>
      </w:r>
    </w:p>
    <w:p w:rsidRPr="00B01980" w:rsidR="00C11983" w:rsidP="00492822" w:rsidRDefault="00C11983" w14:paraId="6EE974DA" w14:textId="7C67F36D">
      <w:pPr>
        <w:spacing w:after="0" w:line="360" w:lineRule="auto"/>
        <w:ind w:left="567" w:right="567"/>
        <w:rPr>
          <w:bCs/>
          <w:i/>
          <w:sz w:val="20"/>
          <w:szCs w:val="20"/>
          <w:lang w:val="es-ES_tradnl"/>
        </w:rPr>
      </w:pPr>
      <w:r w:rsidRPr="00B01980">
        <w:rPr>
          <w:bCs/>
          <w:i/>
          <w:sz w:val="20"/>
          <w:szCs w:val="20"/>
          <w:lang w:val="es-ES_tradnl"/>
        </w:rPr>
        <w:t xml:space="preserve">…” </w:t>
      </w:r>
    </w:p>
    <w:p w:rsidRPr="00B01980" w:rsidR="00A755E3" w:rsidP="00492822" w:rsidRDefault="00A755E3" w14:paraId="62994DB9" w14:textId="77777777">
      <w:pPr>
        <w:spacing w:after="0" w:line="360" w:lineRule="auto"/>
        <w:rPr>
          <w:bCs/>
          <w:lang w:val="es-ES_tradnl"/>
        </w:rPr>
      </w:pPr>
    </w:p>
    <w:p w:rsidRPr="00B01980" w:rsidR="004642DE" w:rsidP="00492822" w:rsidRDefault="004642DE" w14:paraId="0B806958" w14:textId="3287B2B0">
      <w:pPr>
        <w:spacing w:after="0" w:line="360" w:lineRule="auto"/>
        <w:rPr>
          <w:bCs/>
          <w:lang w:val="es-ES_tradnl"/>
        </w:rPr>
      </w:pPr>
      <w:r w:rsidRPr="00B01980">
        <w:rPr>
          <w:bCs/>
          <w:lang w:val="es-ES_tradnl"/>
        </w:rPr>
        <w:t xml:space="preserve">ii) Oficio número SM.04423/2022, </w:t>
      </w:r>
      <w:r w:rsidRPr="00B01980" w:rsidR="00B2285D">
        <w:rPr>
          <w:bCs/>
          <w:lang w:val="es-ES_tradnl"/>
        </w:rPr>
        <w:t>d</w:t>
      </w:r>
      <w:r w:rsidRPr="00B01980">
        <w:rPr>
          <w:bCs/>
          <w:lang w:val="es-ES_tradnl"/>
        </w:rPr>
        <w:t xml:space="preserve">el once de julio de dos mil veintidós el cual es emitido y rubricado por el Secretario del Ayuntamiento y es dirigido a la Titular de la Unidad de Transparencia en los siguientes términos: </w:t>
      </w:r>
    </w:p>
    <w:p w:rsidRPr="00B01980" w:rsidR="004642DE" w:rsidP="00492822" w:rsidRDefault="004642DE" w14:paraId="36ECE7EF" w14:textId="77777777">
      <w:pPr>
        <w:spacing w:after="0" w:line="360" w:lineRule="auto"/>
        <w:rPr>
          <w:bCs/>
          <w:lang w:val="es-ES_tradnl"/>
        </w:rPr>
      </w:pPr>
    </w:p>
    <w:p w:rsidRPr="00B01980" w:rsidR="004642DE" w:rsidP="00492822" w:rsidRDefault="004642DE" w14:paraId="1465CEE4" w14:textId="535414F6">
      <w:pPr>
        <w:spacing w:after="0" w:line="360" w:lineRule="auto"/>
        <w:ind w:left="567" w:right="567"/>
        <w:rPr>
          <w:bCs/>
          <w:i/>
          <w:sz w:val="20"/>
          <w:szCs w:val="20"/>
          <w:lang w:val="es-ES_tradnl"/>
        </w:rPr>
      </w:pPr>
      <w:r w:rsidRPr="00B01980">
        <w:rPr>
          <w:bCs/>
          <w:i/>
          <w:sz w:val="20"/>
          <w:szCs w:val="20"/>
          <w:lang w:val="es-ES_tradnl"/>
        </w:rPr>
        <w:t>“…</w:t>
      </w:r>
    </w:p>
    <w:p w:rsidRPr="00B01980" w:rsidR="00A755E3" w:rsidP="00492822" w:rsidRDefault="004642DE" w14:paraId="0E32A7BA" w14:textId="093E7CB6">
      <w:pPr>
        <w:spacing w:after="0" w:line="360" w:lineRule="auto"/>
        <w:ind w:left="567" w:right="567"/>
        <w:rPr>
          <w:bCs/>
          <w:i/>
          <w:sz w:val="20"/>
          <w:szCs w:val="20"/>
          <w:lang w:val="es-ES_tradnl"/>
        </w:rPr>
      </w:pPr>
      <w:r w:rsidRPr="00B01980">
        <w:rPr>
          <w:bCs/>
          <w:i/>
          <w:sz w:val="20"/>
          <w:szCs w:val="20"/>
          <w:lang w:val="es-ES_tradnl"/>
        </w:rPr>
        <w:t xml:space="preserve">Me permito precisar que después de una búsqueda minuciosa, exhaustiva y pormenorizada en los archivos físicos y digitales, correspondientes al año 2022, que integran este Departamento, se concluye no obran contratos o convenios, respecto de arrendamiento de transporte. </w:t>
      </w:r>
    </w:p>
    <w:p w:rsidRPr="00B01980" w:rsidR="004642DE" w:rsidP="00492822" w:rsidRDefault="004642DE" w14:paraId="40D6BDDC" w14:textId="77777777">
      <w:pPr>
        <w:spacing w:after="0" w:line="360" w:lineRule="auto"/>
        <w:ind w:left="567" w:right="567"/>
        <w:rPr>
          <w:bCs/>
          <w:i/>
          <w:sz w:val="20"/>
          <w:szCs w:val="20"/>
          <w:lang w:val="es-ES_tradnl"/>
        </w:rPr>
      </w:pPr>
    </w:p>
    <w:p w:rsidRPr="00B01980" w:rsidR="004642DE" w:rsidP="00492822" w:rsidRDefault="004642DE" w14:paraId="3D431926" w14:textId="55027B2F">
      <w:pPr>
        <w:spacing w:after="0" w:line="360" w:lineRule="auto"/>
        <w:ind w:left="567" w:right="567"/>
        <w:rPr>
          <w:bCs/>
          <w:i/>
          <w:sz w:val="20"/>
          <w:szCs w:val="20"/>
          <w:lang w:val="es-ES_tradnl"/>
        </w:rPr>
      </w:pPr>
      <w:r w:rsidRPr="00B01980">
        <w:rPr>
          <w:bCs/>
          <w:i/>
          <w:sz w:val="20"/>
          <w:szCs w:val="20"/>
          <w:lang w:val="es-ES_tradnl"/>
        </w:rPr>
        <w:t>No omito mencionar, que como se señaló la información solicitada</w:t>
      </w:r>
      <w:r w:rsidRPr="00B01980" w:rsidR="00A3595B">
        <w:rPr>
          <w:bCs/>
          <w:i/>
          <w:sz w:val="20"/>
          <w:szCs w:val="20"/>
          <w:lang w:val="es-ES_tradnl"/>
        </w:rPr>
        <w:t xml:space="preserve"> no existe, a lo cual resulta aplicable la tesis con número de registro 267287 de la Sexta Época, se la Segunda Sala, Publicada en el Semanario Judicial de la federación, Volumen LIII, Tercera Parte, Materia Común, que es del tenor literal siguiente:</w:t>
      </w:r>
    </w:p>
    <w:p w:rsidRPr="00B01980" w:rsidR="00A3595B" w:rsidP="00492822" w:rsidRDefault="00A3595B" w14:paraId="5B3C8BE5" w14:textId="77777777">
      <w:pPr>
        <w:spacing w:after="0" w:line="360" w:lineRule="auto"/>
        <w:ind w:left="567" w:right="567"/>
        <w:rPr>
          <w:bCs/>
          <w:i/>
          <w:sz w:val="20"/>
          <w:szCs w:val="20"/>
          <w:lang w:val="es-ES_tradnl"/>
        </w:rPr>
      </w:pPr>
    </w:p>
    <w:p w:rsidRPr="00B01980" w:rsidR="00A3595B" w:rsidP="00492822" w:rsidRDefault="00A3595B" w14:paraId="3CCFB785" w14:textId="3B4A4205">
      <w:pPr>
        <w:spacing w:after="0" w:line="360" w:lineRule="auto"/>
        <w:ind w:left="567" w:right="567"/>
        <w:rPr>
          <w:bCs/>
          <w:i/>
          <w:sz w:val="20"/>
          <w:szCs w:val="20"/>
          <w:lang w:val="es-ES_tradnl"/>
        </w:rPr>
      </w:pPr>
      <w:r w:rsidRPr="00B01980">
        <w:rPr>
          <w:bCs/>
          <w:i/>
          <w:sz w:val="20"/>
          <w:szCs w:val="20"/>
          <w:lang w:val="es-ES_tradnl"/>
        </w:rPr>
        <w:t xml:space="preserve">“HECHOS NEHATIVOS, NO SON SUSCEPTIBLES DE DEMOSTRACIÓN. Tratándose de un hecho negativo, el Juez no tiene por qué invocar prueba alguna de la que se desprenda, ya que es bien sabido que esta clase de hechos no son susceptibles de demostración.” </w:t>
      </w:r>
    </w:p>
    <w:p w:rsidRPr="00B01980" w:rsidR="00A3595B" w:rsidP="00492822" w:rsidRDefault="00A3595B" w14:paraId="3AD93EC8" w14:textId="77777777">
      <w:pPr>
        <w:spacing w:after="0" w:line="360" w:lineRule="auto"/>
        <w:ind w:left="567" w:right="567"/>
        <w:rPr>
          <w:bCs/>
          <w:i/>
          <w:sz w:val="20"/>
          <w:szCs w:val="20"/>
          <w:lang w:val="es-ES_tradnl"/>
        </w:rPr>
      </w:pPr>
    </w:p>
    <w:p w:rsidRPr="00B01980" w:rsidR="00A3595B" w:rsidP="00492822" w:rsidRDefault="00A3595B" w14:paraId="2AD386FF" w14:textId="5079AEE8">
      <w:pPr>
        <w:spacing w:after="0" w:line="360" w:lineRule="auto"/>
        <w:ind w:left="567" w:right="567"/>
        <w:rPr>
          <w:bCs/>
          <w:i/>
          <w:sz w:val="20"/>
          <w:szCs w:val="20"/>
          <w:lang w:val="es-ES_tradnl"/>
        </w:rPr>
      </w:pPr>
      <w:r w:rsidRPr="00B01980">
        <w:rPr>
          <w:bCs/>
          <w:i/>
          <w:sz w:val="20"/>
          <w:szCs w:val="20"/>
          <w:lang w:val="es-ES_tradnl"/>
        </w:rPr>
        <w:t>Es decir el peticionario solicito “… contratos o convenios etc. Que amparen la suma erogada por el arrendamiento de quipo de transporte…” (Sic) a lo cual se le informo no obran contratos respecto de arrendamiento de equipo de transporte.</w:t>
      </w:r>
    </w:p>
    <w:p w:rsidRPr="00B01980" w:rsidR="00A3595B" w:rsidP="00492822" w:rsidRDefault="00A3595B" w14:paraId="35F9F005" w14:textId="77777777">
      <w:pPr>
        <w:spacing w:after="0" w:line="360" w:lineRule="auto"/>
        <w:ind w:left="567" w:right="567"/>
        <w:rPr>
          <w:bCs/>
          <w:i/>
          <w:sz w:val="20"/>
          <w:szCs w:val="20"/>
          <w:lang w:val="es-ES_tradnl"/>
        </w:rPr>
      </w:pPr>
    </w:p>
    <w:p w:rsidRPr="00B01980" w:rsidR="00A3595B" w:rsidP="00492822" w:rsidRDefault="00A3595B" w14:paraId="6737D1DF" w14:textId="5E3CBD0D">
      <w:pPr>
        <w:spacing w:after="0" w:line="360" w:lineRule="auto"/>
        <w:ind w:left="567" w:right="567"/>
        <w:rPr>
          <w:bCs/>
          <w:i/>
          <w:sz w:val="20"/>
          <w:szCs w:val="20"/>
          <w:lang w:val="es-ES_tradnl"/>
        </w:rPr>
      </w:pPr>
      <w:r w:rsidRPr="00B01980">
        <w:rPr>
          <w:bCs/>
          <w:i/>
          <w:sz w:val="20"/>
          <w:szCs w:val="20"/>
          <w:lang w:val="es-ES_tradnl"/>
        </w:rPr>
        <w:lastRenderedPageBreak/>
        <w:t xml:space="preserve">Por lo que en términos de lo dispuesto por el artículo 192, fracción IV de la Ley de Transparencia y Acceso a la Información Pública del Estado de México y Municipios, solicito sea sobreseído el Recurso de Revisión </w:t>
      </w:r>
      <w:r w:rsidRPr="00B01980">
        <w:rPr>
          <w:rFonts w:eastAsia="Calibri" w:cs="Tahoma"/>
          <w:i/>
          <w:sz w:val="20"/>
          <w:szCs w:val="20"/>
        </w:rPr>
        <w:t xml:space="preserve">12396/INFOEM/IP/RR/2022, derivado de la solicitud de acceso a la información con número 00548/TLALNEPA/IP/2022, toda vez que se configura la causal de improcedencia señalada en el artículo 191, fracción VII de la </w:t>
      </w:r>
      <w:r w:rsidRPr="00B01980">
        <w:rPr>
          <w:bCs/>
          <w:i/>
          <w:sz w:val="20"/>
          <w:szCs w:val="20"/>
          <w:lang w:val="es-ES_tradnl"/>
        </w:rPr>
        <w:t>Ley de Transparencia y Acceso a la Información Pública del Estado de México y Municipios</w:t>
      </w:r>
    </w:p>
    <w:p w:rsidRPr="00B01980" w:rsidR="00A3595B" w:rsidP="00492822" w:rsidRDefault="00A3595B" w14:paraId="5B2D7795" w14:textId="5BBF51CE">
      <w:pPr>
        <w:spacing w:after="0" w:line="360" w:lineRule="auto"/>
        <w:ind w:left="567" w:right="567"/>
        <w:rPr>
          <w:bCs/>
          <w:i/>
          <w:sz w:val="20"/>
          <w:szCs w:val="20"/>
          <w:lang w:val="es-ES_tradnl"/>
        </w:rPr>
      </w:pPr>
      <w:r w:rsidRPr="00B01980">
        <w:rPr>
          <w:bCs/>
          <w:i/>
          <w:sz w:val="20"/>
          <w:szCs w:val="20"/>
          <w:lang w:val="es-ES_tradnl"/>
        </w:rPr>
        <w:t xml:space="preserve">…” (Sic) </w:t>
      </w:r>
    </w:p>
    <w:p w:rsidRPr="00B01980" w:rsidR="00A755E3" w:rsidP="00492822" w:rsidRDefault="00A755E3" w14:paraId="23D636B6" w14:textId="77777777">
      <w:pPr>
        <w:spacing w:after="0" w:line="360" w:lineRule="auto"/>
        <w:rPr>
          <w:bCs/>
          <w:lang w:val="es-ES_tradnl"/>
        </w:rPr>
      </w:pPr>
    </w:p>
    <w:p w:rsidRPr="00B01980" w:rsidR="00A755E3" w:rsidP="00492822" w:rsidRDefault="00CF3C8E" w14:paraId="7FFD16B7" w14:textId="15ACDE13">
      <w:pPr>
        <w:spacing w:after="0" w:line="360" w:lineRule="auto"/>
        <w:rPr>
          <w:bCs/>
          <w:lang w:val="es-ES_tradnl"/>
        </w:rPr>
      </w:pPr>
      <w:r w:rsidRPr="00B01980">
        <w:rPr>
          <w:bCs/>
          <w:lang w:val="es-ES_tradnl"/>
        </w:rPr>
        <w:t xml:space="preserve">iii) Oficio número </w:t>
      </w:r>
      <w:r w:rsidRPr="00B01980" w:rsidR="00F86EA7">
        <w:rPr>
          <w:bCs/>
          <w:lang w:val="es-ES_tradnl"/>
        </w:rPr>
        <w:t xml:space="preserve">TM/2639/2022, </w:t>
      </w:r>
      <w:r w:rsidRPr="00B01980" w:rsidR="0062490F">
        <w:rPr>
          <w:bCs/>
          <w:lang w:val="es-ES_tradnl"/>
        </w:rPr>
        <w:t>del</w:t>
      </w:r>
      <w:r w:rsidRPr="00B01980" w:rsidR="00F86EA7">
        <w:rPr>
          <w:bCs/>
          <w:lang w:val="es-ES_tradnl"/>
        </w:rPr>
        <w:t xml:space="preserve"> trece de julio de dos mil veintidós, emitido por el Tesorero Municipal y es el dirigido a la Titular de la Unidad de Transparencia, a través del cual se desprende lo siguiente: </w:t>
      </w:r>
    </w:p>
    <w:p w:rsidRPr="00B01980" w:rsidR="00F86EA7" w:rsidP="00492822" w:rsidRDefault="00F86EA7" w14:paraId="0955DBE2" w14:textId="77777777">
      <w:pPr>
        <w:spacing w:after="0" w:line="360" w:lineRule="auto"/>
        <w:rPr>
          <w:bCs/>
          <w:lang w:val="es-ES_tradnl"/>
        </w:rPr>
      </w:pPr>
    </w:p>
    <w:p w:rsidRPr="00B01980" w:rsidR="00F86EA7" w:rsidP="00492822" w:rsidRDefault="00F86EA7" w14:paraId="7FEDE7F8" w14:textId="110BC7FE">
      <w:pPr>
        <w:spacing w:after="0" w:line="360" w:lineRule="auto"/>
        <w:ind w:left="567" w:right="567"/>
        <w:rPr>
          <w:bCs/>
          <w:i/>
          <w:sz w:val="20"/>
          <w:szCs w:val="20"/>
          <w:lang w:val="es-ES_tradnl"/>
        </w:rPr>
      </w:pPr>
      <w:r w:rsidRPr="00B01980">
        <w:rPr>
          <w:bCs/>
          <w:i/>
          <w:sz w:val="20"/>
          <w:szCs w:val="20"/>
          <w:lang w:val="es-ES_tradnl"/>
        </w:rPr>
        <w:t>“…</w:t>
      </w:r>
    </w:p>
    <w:p w:rsidRPr="00B01980" w:rsidR="00E022C6" w:rsidP="00492822" w:rsidRDefault="00F86EA7" w14:paraId="2FA119C3" w14:textId="7E556019">
      <w:pPr>
        <w:spacing w:after="0" w:line="360" w:lineRule="auto"/>
        <w:ind w:left="567" w:right="567"/>
        <w:rPr>
          <w:rFonts w:eastAsia="Calibri" w:cs="Tahoma"/>
          <w:i/>
          <w:color w:val="000000"/>
          <w:sz w:val="20"/>
          <w:szCs w:val="20"/>
        </w:rPr>
      </w:pPr>
      <w:r w:rsidRPr="00B01980">
        <w:rPr>
          <w:bCs/>
          <w:i/>
          <w:sz w:val="20"/>
          <w:szCs w:val="20"/>
          <w:lang w:val="es-ES_tradnl"/>
        </w:rPr>
        <w:t>Que, de la información en donde el recurrente manifiesta “…</w:t>
      </w:r>
      <w:r w:rsidRPr="00B01980">
        <w:rPr>
          <w:bCs/>
          <w:i/>
          <w:sz w:val="20"/>
          <w:szCs w:val="20"/>
        </w:rPr>
        <w:t xml:space="preserve">El sujeto obligado o los que responden a mi solicitud de información pública no niegan la erogación por la cantidad ejercida al 31 de marzo de 2022, de $100, 378, 481.84. Reforzando que si existió tal erogación en el primer trimestre de 2022, lo cual se demuestra con las NOTAS A LOS ESTADOS FINANCIEROS al 31 de marzo de 2022…” (Sic), es preciso hacer la aclaración que, de la información plasmada en las “B) Notas de Memoria (NOTAS A LOS ESTADOS PRESUPUESTALES AL MES DE MARZO 2022) el presupuesto se encontraba “comprometido” para el arrendamiento de vehículos, es decir que NO había sido erogado en ese momento, por lo que, esta autoridad NO NEGO la información, y de acuerdo a las facultades y atribuciones de esta Dependencia, en mi similar oficio con número de folio TM/2263/2022 de fecha 14 de junio de 2022, se le hizo del conocimiento que, a la fecha el oficio en mención, NO se localizó documento alguno que obrara en los archivos de esta Tesorería Municipal, referente al punto 1 “Los contratos o convenios etc. Que amparen la suma erogada por el arrendamiento de Equipo de Transporte realizada por el </w:t>
      </w:r>
      <w:r w:rsidRPr="00B01980">
        <w:rPr>
          <w:rFonts w:eastAsia="Calibri" w:cs="Tahoma"/>
          <w:i/>
          <w:sz w:val="20"/>
          <w:szCs w:val="20"/>
        </w:rPr>
        <w:t>Ayuntamiento de Tlalnepantla de Baz” por lo que, en ese mismo orden de ideas, y sin prejuicio de lo anterior, se realizó una nueva búsqueda exhaustiva y en contestación a su oficio UTAIM</w:t>
      </w:r>
      <w:r w:rsidRPr="00B01980" w:rsidR="005A7146">
        <w:rPr>
          <w:rFonts w:eastAsia="Calibri" w:cs="Tahoma"/>
          <w:i/>
          <w:sz w:val="20"/>
          <w:szCs w:val="20"/>
        </w:rPr>
        <w:t xml:space="preserve">/01952/2022, correspondiente al Recurso de Revisión </w:t>
      </w:r>
      <w:r w:rsidRPr="00B01980" w:rsidR="005A7146">
        <w:rPr>
          <w:rFonts w:eastAsia="Calibri" w:cs="Tahoma"/>
          <w:i/>
          <w:sz w:val="20"/>
          <w:szCs w:val="20"/>
        </w:rPr>
        <w:lastRenderedPageBreak/>
        <w:t xml:space="preserve">12396/INFOEM/IP/RR/2022 derivado del SAIMEX </w:t>
      </w:r>
      <w:r w:rsidRPr="00B01980" w:rsidR="005A7146">
        <w:rPr>
          <w:rFonts w:eastAsia="Calibri" w:cs="Tahoma"/>
          <w:i/>
          <w:color w:val="000000"/>
          <w:sz w:val="20"/>
          <w:szCs w:val="20"/>
        </w:rPr>
        <w:t>00548/TLALNEPA/IP/2022, le reitero la información antes enviada a la Unidad de Transparencia y Acceso a la Información Pública</w:t>
      </w:r>
    </w:p>
    <w:p w:rsidRPr="00B01980" w:rsidR="005A7146" w:rsidP="00492822" w:rsidRDefault="005A7146" w14:paraId="75061CAE" w14:textId="111D5376">
      <w:pPr>
        <w:spacing w:after="0" w:line="360" w:lineRule="auto"/>
        <w:ind w:left="567" w:right="567"/>
        <w:rPr>
          <w:bCs/>
          <w:i/>
          <w:sz w:val="20"/>
          <w:szCs w:val="20"/>
          <w:lang w:val="es-ES_tradnl"/>
        </w:rPr>
      </w:pPr>
      <w:r w:rsidRPr="00B01980">
        <w:rPr>
          <w:rFonts w:eastAsia="Calibri" w:cs="Tahoma"/>
          <w:i/>
          <w:color w:val="000000"/>
          <w:sz w:val="20"/>
          <w:szCs w:val="20"/>
        </w:rPr>
        <w:t xml:space="preserve">…” (Sic) </w:t>
      </w:r>
    </w:p>
    <w:p w:rsidRPr="00B01980" w:rsidR="00E022C6" w:rsidP="00492822" w:rsidRDefault="00E022C6" w14:paraId="34606C22" w14:textId="77777777">
      <w:pPr>
        <w:spacing w:after="0" w:line="360" w:lineRule="auto"/>
        <w:rPr>
          <w:bCs/>
          <w:lang w:val="es-ES_tradnl"/>
        </w:rPr>
      </w:pPr>
    </w:p>
    <w:p w:rsidRPr="00B01980" w:rsidR="003F1992" w:rsidP="00492822" w:rsidRDefault="008824B1" w14:paraId="665EBDE7" w14:textId="3F593126">
      <w:pPr>
        <w:spacing w:after="0" w:line="360" w:lineRule="auto"/>
        <w:rPr>
          <w:rFonts w:eastAsia="Palatino Linotype" w:cs="Palatino Linotype"/>
          <w:lang w:val="es-ES"/>
        </w:rPr>
      </w:pPr>
      <w:r w:rsidRPr="00B01980">
        <w:rPr>
          <w:rFonts w:eastAsia="Palatino Linotype" w:cs="Palatino Linotype"/>
          <w:b/>
          <w:bCs/>
          <w:lang w:val="es-ES"/>
        </w:rPr>
        <w:t>d</w:t>
      </w:r>
      <w:r w:rsidRPr="00B01980" w:rsidR="004548CD">
        <w:rPr>
          <w:rFonts w:eastAsia="Palatino Linotype" w:cs="Palatino Linotype"/>
          <w:b/>
          <w:bCs/>
          <w:lang w:val="es-ES"/>
        </w:rPr>
        <w:t xml:space="preserve">) Ampliación de plazo para resolver. </w:t>
      </w:r>
      <w:r w:rsidRPr="00B01980" w:rsidR="00F23CB2">
        <w:rPr>
          <w:rFonts w:eastAsia="Palatino Linotype" w:cs="Palatino Linotype"/>
          <w:lang w:val="es-ES"/>
        </w:rPr>
        <w:t xml:space="preserve">El primero de septiembre de dos mil veintidós, </w:t>
      </w:r>
      <w:r w:rsidRPr="00B01980" w:rsidR="003F1992">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B01980" w:rsidR="003F1992" w:rsidP="00492822" w:rsidRDefault="003F1992" w14:paraId="5BA83104" w14:textId="77777777">
      <w:pPr>
        <w:spacing w:after="0" w:line="360" w:lineRule="auto"/>
        <w:rPr>
          <w:rFonts w:eastAsia="Palatino Linotype" w:cs="Palatino Linotype"/>
          <w:b/>
          <w:bCs/>
          <w:color w:val="auto"/>
          <w:lang w:eastAsia="es-MX"/>
        </w:rPr>
      </w:pPr>
    </w:p>
    <w:p w:rsidRPr="00B01980" w:rsidR="003F1992" w:rsidP="00492822" w:rsidRDefault="003F1992" w14:paraId="5E6D4815"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B01980" w:rsidR="003F1992" w:rsidP="00492822" w:rsidRDefault="003F1992" w14:paraId="21734178" w14:textId="77777777">
      <w:pPr>
        <w:spacing w:after="0" w:line="360" w:lineRule="auto"/>
        <w:rPr>
          <w:rFonts w:eastAsia="Palatino Linotype" w:cs="Palatino Linotype"/>
          <w:color w:val="auto"/>
          <w:lang w:eastAsia="es-MX"/>
        </w:rPr>
      </w:pPr>
    </w:p>
    <w:p w:rsidRPr="00B01980" w:rsidR="003F1992" w:rsidP="00492822" w:rsidRDefault="003F1992" w14:paraId="5DA36B63" w14:textId="2E95459F">
      <w:pPr>
        <w:spacing w:after="0" w:line="360" w:lineRule="auto"/>
        <w:rPr>
          <w:rFonts w:eastAsia="Palatino Linotype" w:cs="Palatino Linotype"/>
          <w:color w:val="auto"/>
          <w:lang w:eastAsia="es-MX"/>
        </w:rPr>
      </w:pPr>
      <w:r w:rsidRPr="00B01980">
        <w:rPr>
          <w:rFonts w:eastAsia="Palatino Linotype" w:cs="Palatino Linotype"/>
          <w:color w:val="auto"/>
          <w:lang w:eastAsia="es-MX"/>
        </w:rPr>
        <w:t xml:space="preserve">Por ello, es menester precisar </w:t>
      </w:r>
      <w:r w:rsidRPr="00B01980" w:rsidR="006357A9">
        <w:rPr>
          <w:rFonts w:eastAsia="Palatino Linotype" w:cs="Palatino Linotype"/>
          <w:color w:val="auto"/>
          <w:lang w:eastAsia="es-MX"/>
        </w:rPr>
        <w:t>que,</w:t>
      </w:r>
      <w:r w:rsidRPr="00B01980">
        <w:rPr>
          <w:rFonts w:eastAsia="Palatino Linotype" w:cs="Palatino Linotype"/>
          <w:color w:val="auto"/>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B01980" w:rsidR="003F1992" w:rsidP="00492822" w:rsidRDefault="003F1992" w14:paraId="615BAA27" w14:textId="77777777">
      <w:pPr>
        <w:spacing w:after="0" w:line="360" w:lineRule="auto"/>
        <w:rPr>
          <w:rFonts w:eastAsia="Palatino Linotype" w:cs="Palatino Linotype"/>
          <w:color w:val="auto"/>
          <w:lang w:eastAsia="es-MX"/>
        </w:rPr>
      </w:pPr>
    </w:p>
    <w:p w:rsidRPr="00B01980" w:rsidR="003F1992" w:rsidP="00492822" w:rsidRDefault="003F1992" w14:paraId="149B774F"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B01980" w:rsidR="003F1992" w:rsidP="00492822" w:rsidRDefault="003F1992" w14:paraId="2B3CBCB6" w14:textId="77777777">
      <w:pPr>
        <w:spacing w:after="0" w:line="360" w:lineRule="auto"/>
        <w:rPr>
          <w:rFonts w:eastAsia="Palatino Linotype" w:cs="Palatino Linotype"/>
          <w:color w:val="auto"/>
          <w:lang w:eastAsia="es-MX"/>
        </w:rPr>
      </w:pPr>
    </w:p>
    <w:p w:rsidRPr="00B01980" w:rsidR="003F1992" w:rsidP="00492822" w:rsidRDefault="003F1992" w14:paraId="54204FA2"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B01980" w:rsidR="003F1992" w:rsidP="00492822" w:rsidRDefault="003F1992" w14:paraId="769BD88F" w14:textId="77777777">
      <w:pPr>
        <w:spacing w:after="0" w:line="360" w:lineRule="auto"/>
        <w:rPr>
          <w:rFonts w:eastAsia="Palatino Linotype" w:cs="Palatino Linotype"/>
          <w:color w:val="auto"/>
          <w:lang w:eastAsia="es-MX"/>
        </w:rPr>
      </w:pPr>
    </w:p>
    <w:p w:rsidRPr="00B01980" w:rsidR="003F1992" w:rsidP="00492822" w:rsidRDefault="003F1992" w14:paraId="53CFD691"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B01980" w:rsidR="003F1992" w:rsidP="00492822" w:rsidRDefault="003F1992" w14:paraId="676752D0" w14:textId="77777777">
      <w:pPr>
        <w:spacing w:after="0" w:line="360" w:lineRule="auto"/>
        <w:rPr>
          <w:rFonts w:eastAsia="Palatino Linotype" w:cs="Palatino Linotype"/>
          <w:color w:val="auto"/>
          <w:lang w:eastAsia="es-MX"/>
        </w:rPr>
      </w:pPr>
    </w:p>
    <w:p w:rsidRPr="00B01980" w:rsidR="003F1992" w:rsidP="00492822" w:rsidRDefault="003F1992" w14:paraId="01E0E31D" w14:textId="77777777">
      <w:pPr>
        <w:numPr>
          <w:ilvl w:val="0"/>
          <w:numId w:val="2"/>
        </w:numPr>
        <w:spacing w:after="0" w:line="360" w:lineRule="auto"/>
        <w:jc w:val="left"/>
        <w:rPr>
          <w:rFonts w:eastAsia="Palatino Linotype" w:cs="Palatino Linotype"/>
          <w:color w:val="auto"/>
          <w:lang w:eastAsia="es-MX"/>
        </w:rPr>
      </w:pPr>
      <w:r w:rsidRPr="00B01980">
        <w:rPr>
          <w:rFonts w:eastAsia="Palatino Linotype" w:cs="Palatino Linotype"/>
          <w:b/>
          <w:bCs/>
          <w:color w:val="auto"/>
          <w:lang w:eastAsia="es-MX"/>
        </w:rPr>
        <w:t>Complejidad del asunto:</w:t>
      </w:r>
      <w:r w:rsidRPr="00B01980">
        <w:rPr>
          <w:rFonts w:eastAsia="Palatino Linotype" w:cs="Palatino Linotype"/>
          <w:color w:val="auto"/>
          <w:lang w:eastAsia="es-MX"/>
        </w:rPr>
        <w:t xml:space="preserve"> La complejidad de la prueba, la pluralidad de sujetos procesales, el tiempo transcurrido, las características y contexto del recurso.</w:t>
      </w:r>
    </w:p>
    <w:p w:rsidRPr="00B01980" w:rsidR="003F1992" w:rsidP="00492822" w:rsidRDefault="003F1992" w14:paraId="2B757214" w14:textId="77777777">
      <w:pPr>
        <w:spacing w:after="0" w:line="360" w:lineRule="auto"/>
        <w:rPr>
          <w:rFonts w:eastAsia="Palatino Linotype" w:cs="Palatino Linotype"/>
          <w:color w:val="auto"/>
          <w:lang w:eastAsia="es-MX"/>
        </w:rPr>
      </w:pPr>
    </w:p>
    <w:p w:rsidRPr="00B01980" w:rsidR="003F1992" w:rsidP="00492822" w:rsidRDefault="003F1992" w14:paraId="53A638FE" w14:textId="77777777">
      <w:pPr>
        <w:numPr>
          <w:ilvl w:val="0"/>
          <w:numId w:val="2"/>
        </w:numPr>
        <w:spacing w:after="0" w:line="360" w:lineRule="auto"/>
        <w:jc w:val="left"/>
        <w:rPr>
          <w:rFonts w:eastAsia="Palatino Linotype" w:cs="Palatino Linotype"/>
          <w:color w:val="auto"/>
          <w:lang w:eastAsia="es-MX"/>
        </w:rPr>
      </w:pPr>
      <w:r w:rsidRPr="00B01980">
        <w:rPr>
          <w:rFonts w:eastAsia="Palatino Linotype" w:cs="Palatino Linotype"/>
          <w:b/>
          <w:bCs/>
          <w:color w:val="auto"/>
          <w:lang w:eastAsia="es-MX"/>
        </w:rPr>
        <w:t>Actividad Procesal del interesado:</w:t>
      </w:r>
      <w:r w:rsidRPr="00B01980">
        <w:rPr>
          <w:rFonts w:eastAsia="Palatino Linotype" w:cs="Palatino Linotype"/>
          <w:color w:val="auto"/>
          <w:lang w:eastAsia="es-MX"/>
        </w:rPr>
        <w:t xml:space="preserve"> Acciones u omisiones del interesado.</w:t>
      </w:r>
    </w:p>
    <w:p w:rsidRPr="00B01980" w:rsidR="003F1992" w:rsidP="00492822" w:rsidRDefault="003F1992" w14:paraId="2AE53CF2" w14:textId="77777777">
      <w:pPr>
        <w:spacing w:after="0" w:line="360" w:lineRule="auto"/>
        <w:rPr>
          <w:rFonts w:eastAsia="Palatino Linotype" w:cs="Palatino Linotype"/>
          <w:color w:val="auto"/>
          <w:lang w:eastAsia="es-MX"/>
        </w:rPr>
      </w:pPr>
    </w:p>
    <w:p w:rsidRPr="00B01980" w:rsidR="003F1992" w:rsidP="00492822" w:rsidRDefault="003F1992" w14:paraId="375FCD22" w14:textId="77777777">
      <w:pPr>
        <w:numPr>
          <w:ilvl w:val="0"/>
          <w:numId w:val="2"/>
        </w:numPr>
        <w:spacing w:after="0" w:line="360" w:lineRule="auto"/>
        <w:jc w:val="left"/>
        <w:rPr>
          <w:rFonts w:eastAsia="Palatino Linotype" w:cs="Palatino Linotype"/>
          <w:color w:val="auto"/>
          <w:lang w:eastAsia="es-MX"/>
        </w:rPr>
      </w:pPr>
      <w:r w:rsidRPr="00B01980">
        <w:rPr>
          <w:rFonts w:eastAsia="Palatino Linotype" w:cs="Palatino Linotype"/>
          <w:b/>
          <w:bCs/>
          <w:color w:val="auto"/>
          <w:lang w:eastAsia="es-MX"/>
        </w:rPr>
        <w:t>Conducta de la Autoridad:</w:t>
      </w:r>
      <w:r w:rsidRPr="00B01980">
        <w:rPr>
          <w:rFonts w:eastAsia="Palatino Linotype" w:cs="Palatino Linotype"/>
          <w:color w:val="auto"/>
          <w:lang w:eastAsia="es-MX"/>
        </w:rPr>
        <w:t xml:space="preserve"> Las Acciones u omisiones realizadas en el procedimiento. Así como si la autoridad actuó con la debida diligencia.</w:t>
      </w:r>
    </w:p>
    <w:p w:rsidRPr="00B01980" w:rsidR="003F1992" w:rsidP="00492822" w:rsidRDefault="003F1992" w14:paraId="714D542F" w14:textId="77777777">
      <w:pPr>
        <w:spacing w:after="0" w:line="360" w:lineRule="auto"/>
        <w:rPr>
          <w:rFonts w:eastAsia="Palatino Linotype" w:cs="Palatino Linotype"/>
          <w:color w:val="auto"/>
          <w:lang w:eastAsia="es-MX"/>
        </w:rPr>
      </w:pPr>
    </w:p>
    <w:p w:rsidRPr="00B01980" w:rsidR="003F1992" w:rsidP="00492822" w:rsidRDefault="003F1992" w14:paraId="3EA3902D" w14:textId="77777777">
      <w:pPr>
        <w:numPr>
          <w:ilvl w:val="0"/>
          <w:numId w:val="2"/>
        </w:numPr>
        <w:spacing w:after="0" w:line="360" w:lineRule="auto"/>
        <w:jc w:val="left"/>
        <w:rPr>
          <w:rFonts w:eastAsia="Palatino Linotype" w:cs="Palatino Linotype"/>
          <w:color w:val="auto"/>
          <w:lang w:eastAsia="es-MX"/>
        </w:rPr>
      </w:pPr>
      <w:r w:rsidRPr="00B01980">
        <w:rPr>
          <w:rFonts w:eastAsia="Palatino Linotype" w:cs="Palatino Linotype"/>
          <w:b/>
          <w:bCs/>
          <w:color w:val="auto"/>
          <w:lang w:eastAsia="es-MX"/>
        </w:rPr>
        <w:t>La afectación generada en la situación jurídica de la persona involucrada en el proceso:</w:t>
      </w:r>
      <w:r w:rsidRPr="00B01980">
        <w:rPr>
          <w:rFonts w:eastAsia="Palatino Linotype" w:cs="Palatino Linotype"/>
          <w:color w:val="auto"/>
          <w:lang w:eastAsia="es-MX"/>
        </w:rPr>
        <w:t xml:space="preserve"> Violación a sus derechos humanos.</w:t>
      </w:r>
    </w:p>
    <w:p w:rsidRPr="00B01980" w:rsidR="003F1992" w:rsidP="00492822" w:rsidRDefault="003F1992" w14:paraId="23DEE6FD" w14:textId="77777777">
      <w:pPr>
        <w:spacing w:after="0" w:line="360" w:lineRule="auto"/>
        <w:rPr>
          <w:rFonts w:eastAsia="Palatino Linotype" w:cs="Palatino Linotype"/>
          <w:color w:val="auto"/>
          <w:lang w:eastAsia="es-MX"/>
        </w:rPr>
      </w:pPr>
    </w:p>
    <w:p w:rsidRPr="00B01980" w:rsidR="003F1992" w:rsidP="00492822" w:rsidRDefault="003F1992" w14:paraId="39504D2E"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B01980" w:rsidR="003F1992" w:rsidP="00492822" w:rsidRDefault="003F1992" w14:paraId="58ADAC4F" w14:textId="77777777">
      <w:pPr>
        <w:spacing w:after="0" w:line="360" w:lineRule="auto"/>
        <w:rPr>
          <w:rFonts w:eastAsia="Palatino Linotype" w:cs="Palatino Linotype"/>
          <w:color w:val="auto"/>
          <w:lang w:eastAsia="es-MX"/>
        </w:rPr>
      </w:pPr>
    </w:p>
    <w:p w:rsidRPr="00B01980" w:rsidR="003F1992" w:rsidP="00492822" w:rsidRDefault="003F1992" w14:paraId="19B8414C"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lastRenderedPageBreak/>
        <w:t>Argumento que encuentra sustento en la jurisprudencia P./J. 32/92 emitida por el Pleno de la Suprema Corte de Justicia de la Nación de rubro “</w:t>
      </w:r>
      <w:r w:rsidRPr="00B01980">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B01980">
        <w:rPr>
          <w:rFonts w:eastAsia="Palatino Linotype" w:cs="Palatino Linotype"/>
          <w:color w:val="auto"/>
          <w:lang w:eastAsia="es-MX"/>
        </w:rPr>
        <w:t>.”, visible en la Gaceta del Seminario Judicial de la Federación con el registro digital 205635.</w:t>
      </w:r>
    </w:p>
    <w:p w:rsidRPr="00B01980" w:rsidR="003F1992" w:rsidP="00492822" w:rsidRDefault="003F1992" w14:paraId="4CADB7FB" w14:textId="77777777">
      <w:pPr>
        <w:spacing w:after="0" w:line="360" w:lineRule="auto"/>
        <w:rPr>
          <w:rFonts w:eastAsia="Palatino Linotype" w:cs="Palatino Linotype"/>
          <w:color w:val="auto"/>
          <w:lang w:eastAsia="es-MX"/>
        </w:rPr>
      </w:pPr>
    </w:p>
    <w:p w:rsidRPr="00B01980" w:rsidR="003F1992" w:rsidP="00492822" w:rsidRDefault="003F1992" w14:paraId="3F77FAF0"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B01980" w:rsidR="003F1992" w:rsidP="00492822" w:rsidRDefault="003F1992" w14:paraId="78E2B275" w14:textId="77777777">
      <w:pPr>
        <w:spacing w:after="0" w:line="360" w:lineRule="auto"/>
        <w:rPr>
          <w:rFonts w:eastAsia="Palatino Linotype" w:cs="Palatino Linotype"/>
          <w:color w:val="auto"/>
          <w:lang w:eastAsia="es-MX"/>
        </w:rPr>
      </w:pPr>
    </w:p>
    <w:p w:rsidRPr="00B01980" w:rsidR="003F1992" w:rsidP="00492822" w:rsidRDefault="003F1992" w14:paraId="2BE53A93"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B01980" w:rsidR="003F1992" w:rsidP="00492822" w:rsidRDefault="003F1992" w14:paraId="1404EDD9" w14:textId="77777777">
      <w:pPr>
        <w:spacing w:after="0" w:line="360" w:lineRule="auto"/>
        <w:rPr>
          <w:rFonts w:eastAsia="Palatino Linotype" w:cs="Palatino Linotype"/>
          <w:color w:val="auto"/>
          <w:lang w:eastAsia="es-MX"/>
        </w:rPr>
      </w:pPr>
    </w:p>
    <w:p w:rsidRPr="00B01980" w:rsidR="003F1992" w:rsidP="00492822" w:rsidRDefault="003F1992" w14:paraId="1C256C82"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w:t>
      </w:r>
      <w:r w:rsidRPr="00B01980">
        <w:rPr>
          <w:rFonts w:eastAsia="Palatino Linotype" w:cs="Palatino Linotype"/>
          <w:b/>
          <w:bCs/>
          <w:color w:val="auto"/>
          <w:lang w:eastAsia="es-MX"/>
        </w:rPr>
        <w:t>PLAZO RAZONABLE PARA RESOLVER. DIMENSIÓN Y EFECTOS DE ESTE CONCEPTO CUANDO SE ADUCE EXCESIVA CARGA DE TRABAJO</w:t>
      </w:r>
      <w:r w:rsidRPr="00B01980">
        <w:rPr>
          <w:rFonts w:eastAsia="Palatino Linotype" w:cs="Palatino Linotype"/>
          <w:color w:val="auto"/>
          <w:lang w:eastAsia="es-MX"/>
        </w:rPr>
        <w:t>.” consultable en el Seminario Judicial de la Federación y su gaceta, con el registro digital 2002351.</w:t>
      </w:r>
    </w:p>
    <w:p w:rsidRPr="00B01980" w:rsidR="003F1992" w:rsidP="00492822" w:rsidRDefault="003F1992" w14:paraId="62C0866D" w14:textId="77777777">
      <w:pPr>
        <w:spacing w:after="0" w:line="360" w:lineRule="auto"/>
        <w:rPr>
          <w:rFonts w:eastAsia="Palatino Linotype" w:cs="Palatino Linotype"/>
          <w:color w:val="auto"/>
          <w:lang w:eastAsia="es-MX"/>
        </w:rPr>
      </w:pPr>
    </w:p>
    <w:p w:rsidRPr="00B01980" w:rsidR="003F1992" w:rsidP="00492822" w:rsidRDefault="003F1992" w14:paraId="0EF1DD37"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w:t>
      </w:r>
      <w:r w:rsidRPr="00B01980">
        <w:rPr>
          <w:rFonts w:eastAsia="Palatino Linotype" w:cs="Palatino Linotype"/>
          <w:b/>
          <w:bCs/>
          <w:color w:val="auto"/>
          <w:lang w:eastAsia="es-MX"/>
        </w:rPr>
        <w:t xml:space="preserve">PLAZO RAZONABLE PARA RESOLVER. CONCEPTO Y ELEMENTOS QUE LO INTEGRAN A LA LUZ DEL DERECHO INTERNACIONAL DE LOS DERECHOS </w:t>
      </w:r>
      <w:r w:rsidRPr="00B01980">
        <w:rPr>
          <w:rFonts w:eastAsia="Palatino Linotype" w:cs="Palatino Linotype"/>
          <w:b/>
          <w:bCs/>
          <w:color w:val="auto"/>
          <w:lang w:eastAsia="es-MX"/>
        </w:rPr>
        <w:lastRenderedPageBreak/>
        <w:t>HUMANOS</w:t>
      </w:r>
      <w:r w:rsidRPr="00B01980">
        <w:rPr>
          <w:rFonts w:eastAsia="Palatino Linotype" w:cs="Palatino Linotype"/>
          <w:color w:val="auto"/>
          <w:lang w:eastAsia="es-MX"/>
        </w:rPr>
        <w:t>.”, visible en el Seminario Judicial de la Federación y su gaceta, con el registro digital 2002350.</w:t>
      </w:r>
    </w:p>
    <w:p w:rsidRPr="00B01980" w:rsidR="003F1992" w:rsidP="00492822" w:rsidRDefault="003F1992" w14:paraId="6FC043BF" w14:textId="77777777">
      <w:pPr>
        <w:spacing w:after="0" w:line="360" w:lineRule="auto"/>
        <w:rPr>
          <w:rFonts w:eastAsia="Palatino Linotype" w:cs="Palatino Linotype"/>
          <w:color w:val="auto"/>
          <w:lang w:eastAsia="es-MX"/>
        </w:rPr>
      </w:pPr>
    </w:p>
    <w:p w:rsidRPr="00B01980" w:rsidR="003F1992" w:rsidP="00492822" w:rsidRDefault="003F1992" w14:paraId="3DF3DC24" w14:textId="77777777">
      <w:pPr>
        <w:spacing w:after="0" w:line="360" w:lineRule="auto"/>
        <w:rPr>
          <w:rFonts w:eastAsia="Palatino Linotype" w:cs="Palatino Linotype"/>
          <w:color w:val="auto"/>
          <w:lang w:eastAsia="es-MX"/>
        </w:rPr>
      </w:pPr>
      <w:r w:rsidRPr="00B01980">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B01980" w:rsidR="004548CD" w:rsidP="00492822" w:rsidRDefault="004548CD" w14:paraId="35EA4B6F" w14:textId="503D76C8">
      <w:pPr>
        <w:spacing w:after="0" w:line="360" w:lineRule="auto"/>
        <w:rPr>
          <w:rFonts w:eastAsia="Palatino Linotype" w:cs="Palatino Linotype"/>
          <w:b/>
          <w:bCs/>
        </w:rPr>
      </w:pPr>
    </w:p>
    <w:p w:rsidRPr="00B01980" w:rsidR="004122A9" w:rsidP="00492822" w:rsidRDefault="00F23CB2" w14:paraId="6C1B7DFE" w14:textId="7F7B01A0">
      <w:pPr>
        <w:spacing w:after="0" w:line="360" w:lineRule="auto"/>
        <w:rPr>
          <w:rFonts w:eastAsia="Palatino Linotype" w:cs="Palatino Linotype"/>
          <w:lang w:val="es-ES"/>
        </w:rPr>
      </w:pPr>
      <w:r w:rsidRPr="00B01980">
        <w:rPr>
          <w:rFonts w:cs="Tahoma"/>
          <w:b/>
          <w:bCs/>
        </w:rPr>
        <w:t xml:space="preserve">e) </w:t>
      </w:r>
      <w:r w:rsidRPr="00B01980" w:rsidR="00C21871">
        <w:rPr>
          <w:rFonts w:cs="Tahoma"/>
          <w:b/>
          <w:bCs/>
        </w:rPr>
        <w:t xml:space="preserve">Vista del Informe Justificado: </w:t>
      </w:r>
      <w:r w:rsidRPr="00B01980" w:rsidR="00C21871">
        <w:rPr>
          <w:rFonts w:cs="Tahoma"/>
        </w:rPr>
        <w:t xml:space="preserve">El </w:t>
      </w:r>
      <w:r w:rsidRPr="00B01980">
        <w:rPr>
          <w:rFonts w:cs="Tahoma"/>
        </w:rPr>
        <w:t xml:space="preserve">veintitrés de enero de dos mil veintitrés, </w:t>
      </w:r>
      <w:r w:rsidRPr="00B01980" w:rsidR="00C21871">
        <w:rPr>
          <w:rFonts w:cs="Tahoma"/>
        </w:rPr>
        <w:t xml:space="preserve">se dictó acuerdo, por medio del cual </w:t>
      </w:r>
      <w:r w:rsidRPr="00B01980" w:rsidR="00C21871">
        <w:rPr>
          <w:rFonts w:cs="Tahoma"/>
          <w:b/>
        </w:rPr>
        <w:t>se pu</w:t>
      </w:r>
      <w:r w:rsidRPr="00B01980" w:rsidR="00682222">
        <w:rPr>
          <w:rFonts w:cs="Tahoma"/>
          <w:b/>
        </w:rPr>
        <w:t>s</w:t>
      </w:r>
      <w:r w:rsidRPr="00B01980" w:rsidR="00C21871">
        <w:rPr>
          <w:rFonts w:cs="Tahoma"/>
          <w:b/>
        </w:rPr>
        <w:t>o a la vista del Recurrente el Informe Justificado y sus anexos</w:t>
      </w:r>
      <w:r w:rsidRPr="00B01980" w:rsidR="00C21871">
        <w:rPr>
          <w:rFonts w:cs="Tahoma"/>
        </w:rPr>
        <w:t>, entregados por el Sujeto Obligado, a fin de que en un término no mayor a tres días hábiles manifestará lo que a derecho corresponda, acto que fue notificado</w:t>
      </w:r>
      <w:r w:rsidRPr="00B01980" w:rsidR="004122A9">
        <w:rPr>
          <w:rFonts w:eastAsia="Palatino Linotype" w:cs="Palatino Linotype"/>
          <w:lang w:val="es-ES"/>
        </w:rPr>
        <w:t xml:space="preserve"> mediante el Sistema de Acceso a la Información Mexiquense (SAIMEX)</w:t>
      </w:r>
      <w:r w:rsidRPr="00B01980" w:rsidR="00726A94">
        <w:rPr>
          <w:rFonts w:eastAsia="Palatino Linotype" w:cs="Palatino Linotype"/>
          <w:lang w:val="es-ES"/>
        </w:rPr>
        <w:t>.</w:t>
      </w:r>
    </w:p>
    <w:p w:rsidRPr="00B01980" w:rsidR="00F23CB2" w:rsidP="00492822" w:rsidRDefault="00F23CB2" w14:paraId="1042C0E9" w14:textId="77777777">
      <w:pPr>
        <w:spacing w:after="0" w:line="360" w:lineRule="auto"/>
        <w:rPr>
          <w:rFonts w:cs="Tahoma"/>
        </w:rPr>
      </w:pPr>
    </w:p>
    <w:p w:rsidRPr="00B01980" w:rsidR="004548CD" w:rsidP="00492822" w:rsidRDefault="009E4B45" w14:paraId="39328222" w14:textId="5BBC7358">
      <w:pPr>
        <w:spacing w:after="0" w:line="360" w:lineRule="auto"/>
        <w:rPr>
          <w:rFonts w:eastAsia="Palatino Linotype" w:cs="Palatino Linotype"/>
          <w:color w:val="auto"/>
          <w:lang w:eastAsia="es-MX"/>
        </w:rPr>
      </w:pPr>
      <w:r w:rsidRPr="00B01980">
        <w:rPr>
          <w:rFonts w:eastAsia="Palatino Linotype" w:cs="Palatino Linotype"/>
          <w:b/>
          <w:color w:val="auto"/>
          <w:lang w:eastAsia="es-MX"/>
        </w:rPr>
        <w:t xml:space="preserve">f) </w:t>
      </w:r>
      <w:r w:rsidRPr="00B01980" w:rsidR="004548CD">
        <w:rPr>
          <w:rFonts w:eastAsia="Palatino Linotype" w:cs="Palatino Linotype"/>
          <w:b/>
          <w:color w:val="auto"/>
          <w:lang w:eastAsia="es-MX"/>
        </w:rPr>
        <w:t>Cierre de instrucción.</w:t>
      </w:r>
      <w:r w:rsidRPr="00B01980" w:rsidR="004548CD">
        <w:rPr>
          <w:rFonts w:eastAsia="Palatino Linotype" w:cs="Palatino Linotype"/>
          <w:color w:val="auto"/>
          <w:lang w:eastAsia="es-MX"/>
        </w:rPr>
        <w:t xml:space="preserve"> El</w:t>
      </w:r>
      <w:r w:rsidRPr="00B01980" w:rsidR="00843AB9">
        <w:rPr>
          <w:rFonts w:eastAsia="Palatino Linotype" w:cs="Palatino Linotype"/>
          <w:color w:val="auto"/>
          <w:lang w:eastAsia="es-MX"/>
        </w:rPr>
        <w:t xml:space="preserve"> </w:t>
      </w:r>
      <w:r w:rsidRPr="00B01980" w:rsidR="005509C8">
        <w:rPr>
          <w:rFonts w:eastAsia="Palatino Linotype" w:cs="Palatino Linotype"/>
          <w:color w:val="auto"/>
          <w:lang w:eastAsia="es-MX"/>
        </w:rPr>
        <w:t>nueve</w:t>
      </w:r>
      <w:r w:rsidRPr="00B01980">
        <w:rPr>
          <w:rFonts w:eastAsia="Palatino Linotype" w:cs="Palatino Linotype"/>
          <w:color w:val="auto"/>
          <w:lang w:eastAsia="es-MX"/>
        </w:rPr>
        <w:t xml:space="preserve"> de febrero de dos mil veintitrés, </w:t>
      </w:r>
      <w:r w:rsidRPr="00B01980" w:rsidR="004548CD">
        <w:rPr>
          <w:rFonts w:eastAsia="Palatino Linotype" w:cs="Palatino Linotype"/>
          <w:color w:val="auto"/>
          <w:lang w:eastAsia="es-MX"/>
        </w:rPr>
        <w:t>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w:t>
      </w:r>
      <w:r w:rsidRPr="00B01980" w:rsidR="007C04FC">
        <w:rPr>
          <w:rFonts w:eastAsia="Palatino Linotype" w:cs="Palatino Linotype"/>
          <w:color w:val="auto"/>
          <w:lang w:eastAsia="es-MX"/>
        </w:rPr>
        <w:t xml:space="preserve">ormación Mexiquense (SAIMEX). </w:t>
      </w:r>
    </w:p>
    <w:p w:rsidRPr="00B01980" w:rsidR="004548CD" w:rsidP="00492822" w:rsidRDefault="004548CD" w14:paraId="61B73302" w14:textId="77777777">
      <w:pPr>
        <w:spacing w:after="0" w:line="360" w:lineRule="auto"/>
        <w:rPr>
          <w:rFonts w:eastAsia="Palatino Linotype" w:cs="Palatino Linotype"/>
          <w:color w:val="auto"/>
          <w:lang w:eastAsia="es-MX"/>
        </w:rPr>
      </w:pPr>
    </w:p>
    <w:p w:rsidRPr="00B01980" w:rsidR="00C853D1" w:rsidP="00492822" w:rsidRDefault="00C853D1" w14:paraId="5795BBB6" w14:textId="77777777">
      <w:pPr>
        <w:spacing w:after="0" w:line="360" w:lineRule="auto"/>
        <w:rPr>
          <w:rFonts w:eastAsia="Times New Roman" w:cs="Tahoma"/>
          <w:color w:val="auto"/>
          <w:szCs w:val="24"/>
          <w:lang w:eastAsia="es-ES"/>
        </w:rPr>
      </w:pPr>
      <w:r w:rsidRPr="00B01980">
        <w:rPr>
          <w:rFonts w:eastAsia="Palatino Linotype" w:cs="Palatino Linotype"/>
          <w:color w:val="auto"/>
          <w:lang w:eastAsia="es-MX"/>
        </w:rPr>
        <w:t>En razón de que fue debidamente sustanciado e integrado el expediente electrónico y no existe diligencia</w:t>
      </w:r>
      <w:r w:rsidRPr="00B01980">
        <w:rPr>
          <w:rFonts w:eastAsia="Times New Roman" w:cs="Tahoma"/>
          <w:color w:val="auto"/>
          <w:szCs w:val="24"/>
          <w:lang w:eastAsia="es-ES"/>
        </w:rPr>
        <w:t xml:space="preserve"> pendiente de desahogo, se emite la resolución que conforme a Derecho proceda, de acuerdo a los siguientes: </w:t>
      </w:r>
    </w:p>
    <w:p w:rsidRPr="00B01980" w:rsidR="00C853D1" w:rsidP="00492822" w:rsidRDefault="00C853D1" w14:paraId="264F2B95" w14:textId="77777777">
      <w:pPr>
        <w:spacing w:after="0" w:line="360" w:lineRule="auto"/>
        <w:rPr>
          <w:rFonts w:eastAsia="Times New Roman" w:cs="Tahoma"/>
          <w:bCs/>
          <w:iCs/>
          <w:color w:val="auto"/>
          <w:lang w:val="es-ES" w:eastAsia="es-ES"/>
        </w:rPr>
      </w:pPr>
    </w:p>
    <w:p w:rsidRPr="00B01980" w:rsidR="00C853D1" w:rsidP="00492822" w:rsidRDefault="00C853D1" w14:paraId="4647AD46" w14:textId="77777777">
      <w:pPr>
        <w:spacing w:after="0" w:line="360" w:lineRule="auto"/>
        <w:jc w:val="center"/>
        <w:rPr>
          <w:rFonts w:eastAsia="Times New Roman" w:cs="Tahoma"/>
          <w:b/>
          <w:color w:val="auto"/>
          <w:lang w:val="es-ES" w:eastAsia="es-ES"/>
        </w:rPr>
      </w:pPr>
      <w:r w:rsidRPr="00B01980">
        <w:rPr>
          <w:rFonts w:eastAsia="Times New Roman" w:cs="Tahoma"/>
          <w:b/>
          <w:color w:val="auto"/>
          <w:lang w:val="es-ES" w:eastAsia="es-ES"/>
        </w:rPr>
        <w:t>C O N S I D E R A N D O S:</w:t>
      </w:r>
    </w:p>
    <w:p w:rsidRPr="00B01980" w:rsidR="00C853D1" w:rsidP="00492822" w:rsidRDefault="00C853D1" w14:paraId="46CF2E78" w14:textId="77777777">
      <w:pPr>
        <w:spacing w:after="0" w:line="360" w:lineRule="auto"/>
        <w:rPr>
          <w:b/>
        </w:rPr>
      </w:pPr>
    </w:p>
    <w:p w:rsidRPr="00B01980" w:rsidR="00C853D1" w:rsidP="00492822"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B01980">
        <w:rPr>
          <w:rFonts w:eastAsia="Calibri" w:cs="Tahoma"/>
          <w:b/>
          <w:color w:val="000000"/>
          <w:szCs w:val="24"/>
          <w:lang w:val="es-ES" w:eastAsia="es-MX"/>
        </w:rPr>
        <w:t>PRIMERO</w:t>
      </w:r>
      <w:r w:rsidRPr="00B01980">
        <w:rPr>
          <w:rFonts w:eastAsia="Calibri" w:cs="Tahoma"/>
          <w:color w:val="000000"/>
          <w:szCs w:val="24"/>
          <w:lang w:val="es-ES" w:eastAsia="es-MX"/>
        </w:rPr>
        <w:t xml:space="preserve">. </w:t>
      </w:r>
      <w:r w:rsidRPr="00B01980">
        <w:rPr>
          <w:rFonts w:eastAsia="Times New Roman" w:cs="Tahoma"/>
          <w:b/>
          <w:color w:val="auto"/>
          <w:szCs w:val="24"/>
          <w:lang w:val="es-ES" w:eastAsia="es-ES"/>
        </w:rPr>
        <w:t>Competencia.</w:t>
      </w:r>
    </w:p>
    <w:p w:rsidRPr="00B01980" w:rsidR="00C853D1" w:rsidP="00492822"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B01980" w:rsidR="00C853D1" w:rsidP="00492822" w:rsidRDefault="00C853D1" w14:paraId="4BA69015" w14:textId="35F4A5AE">
      <w:pPr>
        <w:spacing w:after="0" w:line="360" w:lineRule="auto"/>
        <w:rPr>
          <w:rFonts w:eastAsia="Times New Roman" w:cs="Tahoma"/>
          <w:bCs/>
          <w:color w:val="auto"/>
          <w:lang w:eastAsia="es-ES"/>
        </w:rPr>
      </w:pPr>
      <w:r w:rsidRPr="00B01980">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B01980" w:rsidR="00682222">
        <w:rPr>
          <w:rFonts w:eastAsia="Times New Roman" w:cs="Tahoma"/>
          <w:bCs/>
          <w:color w:val="auto"/>
          <w:lang w:eastAsia="es-ES"/>
        </w:rPr>
        <w:t>trig</w:t>
      </w:r>
      <w:r w:rsidRPr="00B01980" w:rsidR="00682222">
        <w:rPr>
          <w:rFonts w:eastAsia="Times New Roman" w:cs="Tahoma"/>
          <w:bCs/>
          <w:color w:val="auto"/>
          <w:lang w:val="x-none" w:eastAsia="es-ES"/>
        </w:rPr>
        <w:t>ésimo</w:t>
      </w:r>
      <w:proofErr w:type="spellEnd"/>
      <w:r w:rsidRPr="00B01980" w:rsidR="00682222">
        <w:rPr>
          <w:rFonts w:eastAsia="Times New Roman" w:cs="Tahoma"/>
          <w:bCs/>
          <w:color w:val="auto"/>
          <w:lang w:val="x-none" w:eastAsia="es-ES"/>
        </w:rPr>
        <w:t>, trigésimo primero</w:t>
      </w:r>
      <w:r w:rsidRPr="00B01980">
        <w:rPr>
          <w:rFonts w:eastAsia="Times New Roman" w:cs="Tahoma"/>
          <w:bCs/>
          <w:color w:val="auto"/>
          <w:lang w:eastAsia="es-ES"/>
        </w:rPr>
        <w:t xml:space="preserve"> y trigésimo </w:t>
      </w:r>
      <w:r w:rsidRPr="00B01980" w:rsidR="00682222">
        <w:rPr>
          <w:rFonts w:eastAsia="Times New Roman" w:cs="Tahoma"/>
          <w:bCs/>
          <w:color w:val="auto"/>
          <w:lang w:eastAsia="es-ES"/>
        </w:rPr>
        <w:t>segundo</w:t>
      </w:r>
      <w:r w:rsidRPr="00B01980">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01980">
        <w:rPr>
          <w:rFonts w:eastAsia="Times New Roman" w:cs="Times New Roman"/>
          <w:bCs/>
          <w:color w:val="auto"/>
          <w:lang w:eastAsia="es-ES"/>
        </w:rPr>
        <w:t xml:space="preserve"> 7°, </w:t>
      </w:r>
      <w:r w:rsidRPr="00B01980">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B01980" w:rsidR="00C853D1" w:rsidP="00492822" w:rsidRDefault="00C853D1" w14:paraId="4FF2492C" w14:textId="77777777">
      <w:pPr>
        <w:spacing w:after="0" w:line="360" w:lineRule="auto"/>
        <w:rPr>
          <w:rFonts w:eastAsia="Times New Roman" w:cs="Tahoma"/>
          <w:bCs/>
          <w:color w:val="auto"/>
          <w:lang w:eastAsia="es-ES"/>
        </w:rPr>
      </w:pPr>
    </w:p>
    <w:p w:rsidRPr="00B01980" w:rsidR="00C853D1" w:rsidP="00492822"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B01980">
        <w:rPr>
          <w:rFonts w:eastAsia="Calibri" w:cs="Tahoma"/>
          <w:b/>
          <w:color w:val="000000"/>
          <w:szCs w:val="24"/>
          <w:lang w:val="es-ES" w:eastAsia="es-MX"/>
        </w:rPr>
        <w:t>SEGUNDO</w:t>
      </w:r>
      <w:r w:rsidRPr="00B01980">
        <w:rPr>
          <w:rFonts w:eastAsia="Calibri" w:cs="Tahoma"/>
          <w:color w:val="000000"/>
          <w:szCs w:val="24"/>
          <w:lang w:val="es-ES" w:eastAsia="es-MX"/>
        </w:rPr>
        <w:t xml:space="preserve">. </w:t>
      </w:r>
      <w:r w:rsidRPr="00B01980">
        <w:rPr>
          <w:rFonts w:eastAsia="Times New Roman" w:cs="Tahoma"/>
          <w:b/>
          <w:color w:val="auto"/>
          <w:szCs w:val="24"/>
          <w:lang w:val="es-ES" w:eastAsia="es-ES"/>
        </w:rPr>
        <w:t>Causales de improcedencia y sobreseimiento.</w:t>
      </w:r>
      <w:r w:rsidRPr="00B01980">
        <w:rPr>
          <w:rFonts w:eastAsia="Times New Roman" w:cs="Tahoma"/>
          <w:color w:val="auto"/>
          <w:szCs w:val="24"/>
          <w:lang w:val="es-ES" w:eastAsia="es-ES"/>
        </w:rPr>
        <w:t xml:space="preserve"> </w:t>
      </w:r>
    </w:p>
    <w:p w:rsidRPr="00B01980" w:rsidR="00C853D1" w:rsidP="00492822"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B01980" w:rsidR="00C853D1" w:rsidP="00492822"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B01980">
        <w:rPr>
          <w:rFonts w:eastAsia="Times New Roman" w:cs="Tahoma"/>
          <w:color w:val="auto"/>
          <w:szCs w:val="24"/>
          <w:lang w:val="es-ES" w:eastAsia="es-ES"/>
        </w:rPr>
        <w:t xml:space="preserve">De las constancias que forma parte del Recurso de Revisión que se analiza, se advierte que previo al estudio del fondo de la </w:t>
      </w:r>
      <w:r w:rsidRPr="00B01980">
        <w:rPr>
          <w:rFonts w:eastAsia="Times New Roman" w:cs="Tahoma"/>
          <w:i/>
          <w:color w:val="auto"/>
          <w:szCs w:val="24"/>
          <w:lang w:val="es-ES" w:eastAsia="es-ES"/>
        </w:rPr>
        <w:t>litis</w:t>
      </w:r>
      <w:r w:rsidRPr="00B01980">
        <w:rPr>
          <w:rFonts w:eastAsia="Times New Roman" w:cs="Tahoma"/>
          <w:color w:val="auto"/>
          <w:szCs w:val="24"/>
          <w:lang w:val="es-ES" w:eastAsia="es-ES"/>
        </w:rPr>
        <w:t>, es necesario estudiar las causales de improcedencia y sobreseimiento que se adviertan, para determinar lo que en Derecho proceda.</w:t>
      </w:r>
    </w:p>
    <w:p w:rsidRPr="00B01980" w:rsidR="00C853D1" w:rsidP="00492822"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B01980" w:rsidR="00C853D1" w:rsidP="00492822"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B01980">
        <w:rPr>
          <w:rFonts w:eastAsia="Calibri" w:cs="Tahoma"/>
          <w:b/>
          <w:color w:val="000000"/>
          <w:szCs w:val="24"/>
          <w:lang w:val="es-ES" w:eastAsia="es-MX"/>
        </w:rPr>
        <w:t>Causales de improcedencia.</w:t>
      </w:r>
      <w:r w:rsidRPr="00B01980">
        <w:rPr>
          <w:rFonts w:eastAsia="Calibri" w:cs="Tahoma"/>
          <w:color w:val="000000"/>
          <w:szCs w:val="24"/>
          <w:lang w:val="es-ES" w:eastAsia="es-MX"/>
        </w:rPr>
        <w:t xml:space="preserve"> </w:t>
      </w:r>
    </w:p>
    <w:p w:rsidRPr="00B01980" w:rsidR="00C853D1" w:rsidP="00492822"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B01980" w:rsidR="00C853D1" w:rsidP="00492822" w:rsidRDefault="00C853D1" w14:paraId="0231FCB7" w14:textId="77777777">
      <w:pPr>
        <w:autoSpaceDE w:val="0"/>
        <w:autoSpaceDN w:val="0"/>
        <w:adjustRightInd w:val="0"/>
        <w:spacing w:after="0" w:line="360" w:lineRule="auto"/>
        <w:rPr>
          <w:rFonts w:eastAsia="Calibri" w:cs="Tahoma"/>
          <w:color w:val="000000"/>
          <w:lang w:val="es-ES" w:eastAsia="es-MX"/>
        </w:rPr>
      </w:pPr>
      <w:r w:rsidRPr="00B01980">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01980">
        <w:rPr>
          <w:rFonts w:eastAsia="Calibri" w:cs="Tahoma"/>
          <w:b/>
          <w:bCs/>
          <w:color w:val="000000"/>
          <w:lang w:eastAsia="es-MX"/>
        </w:rPr>
        <w:t xml:space="preserve"> </w:t>
      </w:r>
      <w:r w:rsidRPr="00B01980">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B01980">
        <w:rPr>
          <w:rFonts w:eastAsia="Calibri" w:cs="Tahoma"/>
          <w:color w:val="000000"/>
          <w:lang w:eastAsia="es-MX"/>
        </w:rPr>
        <w:lastRenderedPageBreak/>
        <w:t xml:space="preserve">la Información Pública del Estado de México y Municipios, dará lugar a que el presente Recurso de Revisión sea sobreseído. </w:t>
      </w:r>
    </w:p>
    <w:p w:rsidRPr="00B01980" w:rsidR="00C853D1" w:rsidP="00492822" w:rsidRDefault="00C853D1" w14:paraId="52B897E0" w14:textId="77777777">
      <w:pPr>
        <w:autoSpaceDE w:val="0"/>
        <w:autoSpaceDN w:val="0"/>
        <w:adjustRightInd w:val="0"/>
        <w:spacing w:after="0" w:line="360" w:lineRule="auto"/>
        <w:rPr>
          <w:rFonts w:eastAsia="Calibri" w:cs="Tahoma"/>
          <w:color w:val="000000"/>
          <w:lang w:eastAsia="es-MX"/>
        </w:rPr>
      </w:pPr>
    </w:p>
    <w:p w:rsidRPr="00B01980" w:rsidR="00C853D1" w:rsidP="00492822" w:rsidRDefault="00C853D1" w14:paraId="0EA74A57" w14:textId="77777777">
      <w:pPr>
        <w:autoSpaceDE w:val="0"/>
        <w:autoSpaceDN w:val="0"/>
        <w:adjustRightInd w:val="0"/>
        <w:spacing w:after="0" w:line="360" w:lineRule="auto"/>
        <w:rPr>
          <w:rFonts w:eastAsia="Calibri" w:cs="Tahoma"/>
          <w:color w:val="000000"/>
          <w:lang w:eastAsia="es-MX"/>
        </w:rPr>
      </w:pPr>
      <w:r w:rsidRPr="00B01980">
        <w:rPr>
          <w:rFonts w:eastAsia="Calibri" w:cs="Tahoma"/>
          <w:color w:val="000000"/>
          <w:lang w:eastAsia="es-MX"/>
        </w:rPr>
        <w:t xml:space="preserve">En el presente caso, </w:t>
      </w:r>
      <w:r w:rsidRPr="00B01980">
        <w:rPr>
          <w:rFonts w:eastAsia="Calibri" w:cs="Tahoma"/>
          <w:b/>
          <w:color w:val="000000"/>
          <w:lang w:eastAsia="es-MX"/>
        </w:rPr>
        <w:t>no se actualiza ninguna de las causales de improcedencia</w:t>
      </w:r>
      <w:r w:rsidRPr="00B01980">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01980" w:rsidR="00C853D1" w:rsidP="00492822" w:rsidRDefault="00C853D1" w14:paraId="42DBAD8B" w14:textId="77777777">
      <w:pPr>
        <w:spacing w:after="0" w:line="360" w:lineRule="auto"/>
        <w:rPr>
          <w:rFonts w:eastAsia="Times New Roman" w:cs="Tahoma"/>
          <w:b/>
          <w:bCs/>
          <w:color w:val="auto"/>
          <w:lang w:eastAsia="es-ES"/>
        </w:rPr>
      </w:pPr>
    </w:p>
    <w:p w:rsidRPr="00B01980" w:rsidR="00DF4A13" w:rsidP="00492822" w:rsidRDefault="00DD116F" w14:paraId="5B01928D" w14:textId="2CFBB747">
      <w:pPr>
        <w:spacing w:after="0" w:line="360" w:lineRule="auto"/>
        <w:rPr>
          <w:rFonts w:eastAsia="Times New Roman" w:cs="Tahoma"/>
          <w:color w:val="auto"/>
          <w:lang w:eastAsia="es-ES"/>
        </w:rPr>
      </w:pPr>
      <w:r w:rsidRPr="00B01980">
        <w:rPr>
          <w:rFonts w:eastAsia="Times New Roman" w:cs="Tahoma"/>
          <w:color w:val="auto"/>
          <w:lang w:eastAsia="es-ES"/>
        </w:rPr>
        <w:t xml:space="preserve">Asimismo, </w:t>
      </w:r>
      <w:r w:rsidRPr="00B01980" w:rsidR="00C853D1">
        <w:rPr>
          <w:rFonts w:eastAsia="Times New Roman" w:cs="Tahoma"/>
          <w:color w:val="auto"/>
          <w:lang w:eastAsia="es-ES"/>
        </w:rPr>
        <w:t xml:space="preserve">se actualiza la causal de procedencia del Recurso de Revisión señalada </w:t>
      </w:r>
      <w:r w:rsidRPr="00B01980" w:rsidR="00DF4A13">
        <w:rPr>
          <w:rFonts w:eastAsia="Times New Roman" w:cs="Tahoma"/>
          <w:color w:val="auto"/>
          <w:lang w:eastAsia="es-ES"/>
        </w:rPr>
        <w:t xml:space="preserve">en la </w:t>
      </w:r>
      <w:r w:rsidRPr="00B01980" w:rsidR="008A500A">
        <w:rPr>
          <w:rFonts w:eastAsia="Times New Roman" w:cs="Tahoma"/>
          <w:color w:val="auto"/>
          <w:lang w:eastAsia="es-ES"/>
        </w:rPr>
        <w:t xml:space="preserve">fracción </w:t>
      </w:r>
      <w:r w:rsidRPr="00B01980" w:rsidR="00DD2660">
        <w:rPr>
          <w:rFonts w:eastAsia="Times New Roman" w:cs="Tahoma"/>
          <w:color w:val="auto"/>
          <w:lang w:eastAsia="es-ES"/>
        </w:rPr>
        <w:t>I</w:t>
      </w:r>
      <w:r w:rsidRPr="00B01980" w:rsidR="008F4A36">
        <w:rPr>
          <w:rFonts w:eastAsia="Times New Roman" w:cs="Tahoma"/>
          <w:color w:val="auto"/>
          <w:lang w:eastAsia="es-ES"/>
        </w:rPr>
        <w:t>I</w:t>
      </w:r>
      <w:r w:rsidRPr="00B01980" w:rsidR="00DD2660">
        <w:rPr>
          <w:rFonts w:eastAsia="Times New Roman" w:cs="Tahoma"/>
          <w:color w:val="auto"/>
          <w:lang w:eastAsia="es-ES"/>
        </w:rPr>
        <w:t>I</w:t>
      </w:r>
      <w:r w:rsidRPr="00B01980" w:rsidR="008F4A36">
        <w:rPr>
          <w:rFonts w:eastAsia="Times New Roman" w:cs="Tahoma"/>
          <w:color w:val="auto"/>
          <w:lang w:eastAsia="es-ES"/>
        </w:rPr>
        <w:t>,</w:t>
      </w:r>
      <w:r w:rsidRPr="00B01980" w:rsidR="00DD2660">
        <w:rPr>
          <w:rFonts w:eastAsia="Times New Roman" w:cs="Tahoma"/>
          <w:color w:val="auto"/>
          <w:lang w:eastAsia="es-ES"/>
        </w:rPr>
        <w:t xml:space="preserve"> del artículo 179 de la Ley de Transparencia y Acceso al a Información Pública del Estado de México y Municipios, ya que el agravio del hoy Recurrente consiste en la inexistencia </w:t>
      </w:r>
      <w:r w:rsidRPr="00B01980" w:rsidR="006D59A0">
        <w:rPr>
          <w:rFonts w:eastAsia="Times New Roman" w:cs="Tahoma"/>
          <w:color w:val="auto"/>
          <w:lang w:eastAsia="es-ES"/>
        </w:rPr>
        <w:t xml:space="preserve">de la información </w:t>
      </w:r>
      <w:r w:rsidRPr="00B01980" w:rsidR="004A0C67">
        <w:rPr>
          <w:rFonts w:eastAsia="Times New Roman" w:cs="Tahoma"/>
          <w:color w:val="auto"/>
          <w:lang w:eastAsia="es-ES"/>
        </w:rPr>
        <w:t>manifestada por el Sujeto Obligado.</w:t>
      </w:r>
    </w:p>
    <w:p w:rsidRPr="00B01980" w:rsidR="00C853D1" w:rsidP="00492822" w:rsidRDefault="00C853D1" w14:paraId="3577CA43" w14:textId="77777777">
      <w:pPr>
        <w:spacing w:after="0" w:line="360" w:lineRule="auto"/>
        <w:rPr>
          <w:rFonts w:eastAsia="Times New Roman" w:cs="Tahoma"/>
          <w:b/>
          <w:bCs/>
          <w:color w:val="auto"/>
          <w:lang w:eastAsia="es-ES"/>
        </w:rPr>
      </w:pPr>
    </w:p>
    <w:p w:rsidRPr="00B01980" w:rsidR="00C853D1" w:rsidP="00492822" w:rsidRDefault="00C853D1" w14:paraId="4F973625" w14:textId="77777777">
      <w:pPr>
        <w:spacing w:after="0" w:line="360" w:lineRule="auto"/>
        <w:rPr>
          <w:rFonts w:eastAsia="Times New Roman" w:cs="Tahoma"/>
          <w:b/>
          <w:bCs/>
          <w:color w:val="auto"/>
          <w:lang w:eastAsia="es-ES"/>
        </w:rPr>
      </w:pPr>
      <w:r w:rsidRPr="00B01980">
        <w:rPr>
          <w:rFonts w:eastAsia="Times New Roman" w:cs="Tahoma"/>
          <w:b/>
          <w:bCs/>
          <w:color w:val="auto"/>
          <w:lang w:eastAsia="es-ES"/>
        </w:rPr>
        <w:t>Causales de sobreseimiento.</w:t>
      </w:r>
    </w:p>
    <w:p w:rsidRPr="00B01980" w:rsidR="00CD573E" w:rsidP="00492822" w:rsidRDefault="00CD573E" w14:paraId="3FF75C55" w14:textId="77777777">
      <w:pPr>
        <w:spacing w:after="0" w:line="360" w:lineRule="auto"/>
        <w:rPr>
          <w:rFonts w:eastAsia="Times New Roman" w:cs="Tahoma"/>
          <w:b/>
          <w:bCs/>
          <w:color w:val="auto"/>
          <w:lang w:eastAsia="es-ES"/>
        </w:rPr>
      </w:pPr>
    </w:p>
    <w:p w:rsidRPr="00B01980" w:rsidR="00C853D1" w:rsidP="00492822" w:rsidRDefault="00C853D1" w14:paraId="77050B85" w14:textId="77777777">
      <w:pPr>
        <w:spacing w:after="0" w:line="360" w:lineRule="auto"/>
        <w:rPr>
          <w:rFonts w:eastAsia="Times New Roman" w:cs="Tahoma"/>
          <w:color w:val="auto"/>
          <w:szCs w:val="24"/>
          <w:lang w:eastAsia="es-ES"/>
        </w:rPr>
      </w:pPr>
      <w:r w:rsidRPr="00B01980">
        <w:rPr>
          <w:rFonts w:eastAsia="Times New Roman" w:cs="Tahoma"/>
          <w:color w:val="auto"/>
          <w:szCs w:val="24"/>
          <w:lang w:eastAsia="es-ES"/>
        </w:rPr>
        <w:t>Por ser de previo y especial pronunciamiento, este Instituto analiza si se actualiza alguna causal de sobreseimiento.</w:t>
      </w:r>
    </w:p>
    <w:p w:rsidRPr="00B01980" w:rsidR="00C853D1" w:rsidP="00492822" w:rsidRDefault="00C853D1" w14:paraId="1797E49B" w14:textId="77777777">
      <w:pPr>
        <w:spacing w:after="0" w:line="360" w:lineRule="auto"/>
        <w:rPr>
          <w:rFonts w:eastAsia="Times New Roman" w:cs="Tahoma"/>
          <w:color w:val="auto"/>
          <w:szCs w:val="24"/>
          <w:lang w:eastAsia="es-ES"/>
        </w:rPr>
      </w:pPr>
    </w:p>
    <w:p w:rsidRPr="00B01980" w:rsidR="00C853D1" w:rsidP="00492822" w:rsidRDefault="00C853D1" w14:paraId="3929C861" w14:textId="77777777">
      <w:pPr>
        <w:spacing w:after="0" w:line="360" w:lineRule="auto"/>
        <w:rPr>
          <w:rFonts w:eastAsia="Times New Roman" w:cs="Tahoma"/>
          <w:color w:val="auto"/>
          <w:szCs w:val="24"/>
          <w:lang w:eastAsia="es-ES"/>
        </w:rPr>
      </w:pPr>
      <w:r w:rsidRPr="00B01980">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01980" w:rsidR="00C853D1" w:rsidP="00492822" w:rsidRDefault="00C853D1" w14:paraId="12F90250" w14:textId="77777777">
      <w:pPr>
        <w:spacing w:after="0" w:line="360" w:lineRule="auto"/>
        <w:rPr>
          <w:rFonts w:eastAsia="Times New Roman" w:cs="Tahoma"/>
          <w:color w:val="auto"/>
          <w:szCs w:val="24"/>
          <w:lang w:eastAsia="es-ES"/>
        </w:rPr>
      </w:pPr>
    </w:p>
    <w:p w:rsidRPr="00B01980" w:rsidR="00C853D1" w:rsidP="00492822" w:rsidRDefault="00C853D1" w14:paraId="75DA7F11" w14:textId="77777777">
      <w:pPr>
        <w:spacing w:after="0" w:line="360" w:lineRule="auto"/>
        <w:rPr>
          <w:rFonts w:eastAsia="Times New Roman" w:cs="Tahoma"/>
          <w:color w:val="auto"/>
          <w:szCs w:val="24"/>
          <w:lang w:val="es-ES" w:eastAsia="es-ES"/>
        </w:rPr>
      </w:pPr>
      <w:r w:rsidRPr="00B01980">
        <w:rPr>
          <w:rFonts w:eastAsia="Times New Roman" w:cs="Tahoma"/>
          <w:bCs/>
          <w:color w:val="auto"/>
          <w:szCs w:val="24"/>
          <w:lang w:val="es-ES" w:eastAsia="es-ES"/>
        </w:rPr>
        <w:t xml:space="preserve">Por tales motivos, </w:t>
      </w:r>
      <w:r w:rsidRPr="00B01980">
        <w:rPr>
          <w:rFonts w:eastAsia="Times New Roman" w:cs="Tahoma"/>
          <w:color w:val="auto"/>
          <w:szCs w:val="24"/>
          <w:lang w:val="es-ES" w:eastAsia="es-ES"/>
        </w:rPr>
        <w:t>se considera procedente entrar al fondo del presente asunto.</w:t>
      </w:r>
    </w:p>
    <w:p w:rsidRPr="00B01980" w:rsidR="00C853D1" w:rsidP="00492822" w:rsidRDefault="00C853D1" w14:paraId="5A499E5E" w14:textId="77777777">
      <w:pPr>
        <w:spacing w:after="0" w:line="360" w:lineRule="auto"/>
      </w:pPr>
    </w:p>
    <w:p w:rsidRPr="00B01980" w:rsidR="00C853D1" w:rsidP="00492822" w:rsidRDefault="00C853D1" w14:paraId="554D6B44" w14:textId="77777777">
      <w:pPr>
        <w:spacing w:after="0" w:line="360" w:lineRule="auto"/>
        <w:rPr>
          <w:rFonts w:eastAsia="Times New Roman" w:cs="Tahoma"/>
          <w:b/>
          <w:bCs/>
          <w:iCs/>
          <w:color w:val="auto"/>
          <w:lang w:val="es-ES" w:eastAsia="es-ES"/>
        </w:rPr>
      </w:pPr>
      <w:r w:rsidRPr="00B01980">
        <w:rPr>
          <w:rFonts w:eastAsia="Times New Roman" w:cs="Tahoma"/>
          <w:b/>
          <w:bCs/>
          <w:iCs/>
          <w:color w:val="auto"/>
          <w:lang w:val="es-ES" w:eastAsia="es-ES"/>
        </w:rPr>
        <w:t xml:space="preserve">TERCERO. Determinación de la Controversia. </w:t>
      </w:r>
    </w:p>
    <w:p w:rsidRPr="00B01980" w:rsidR="00336DB7" w:rsidP="00492822" w:rsidRDefault="00336DB7" w14:paraId="42DD82F9" w14:textId="77777777">
      <w:pPr>
        <w:autoSpaceDE w:val="0"/>
        <w:autoSpaceDN w:val="0"/>
        <w:adjustRightInd w:val="0"/>
        <w:spacing w:after="0" w:line="360" w:lineRule="auto"/>
        <w:rPr>
          <w:rFonts w:eastAsia="Calibri" w:cs="Tahoma"/>
          <w:color w:val="000000"/>
          <w:szCs w:val="24"/>
          <w:lang w:val="es-ES" w:eastAsia="es-MX"/>
        </w:rPr>
      </w:pPr>
    </w:p>
    <w:p w:rsidRPr="00B01980" w:rsidR="00336DB7" w:rsidP="00492822" w:rsidRDefault="00C070DC" w14:paraId="73841F86" w14:textId="65A3AE9F">
      <w:pPr>
        <w:autoSpaceDE w:val="0"/>
        <w:autoSpaceDN w:val="0"/>
        <w:adjustRightInd w:val="0"/>
        <w:spacing w:after="0" w:line="360" w:lineRule="auto"/>
        <w:rPr>
          <w:rFonts w:eastAsia="Calibri" w:cs="Tahoma"/>
          <w:color w:val="000000"/>
          <w:szCs w:val="24"/>
          <w:lang w:val="es-ES" w:eastAsia="es-MX"/>
        </w:rPr>
      </w:pPr>
      <w:r w:rsidRPr="00B01980">
        <w:rPr>
          <w:rFonts w:eastAsia="Calibri" w:cs="Tahoma"/>
          <w:color w:val="000000"/>
          <w:szCs w:val="24"/>
          <w:lang w:val="es-ES" w:eastAsia="es-MX"/>
        </w:rPr>
        <w:t>Integradas las constancias que obran en el expediente en el que se actúa, se advierte que Particular requirió al Ayuntamiento de Tlalnepantla de Baz</w:t>
      </w:r>
      <w:r w:rsidRPr="00B01980" w:rsidR="00E7518D">
        <w:rPr>
          <w:rFonts w:eastAsia="Calibri" w:cs="Tahoma"/>
          <w:color w:val="000000"/>
          <w:szCs w:val="24"/>
          <w:lang w:val="es-ES" w:eastAsia="es-MX"/>
        </w:rPr>
        <w:t xml:space="preserve"> lo</w:t>
      </w:r>
      <w:r w:rsidRPr="00B01980" w:rsidR="00BC4763">
        <w:rPr>
          <w:rFonts w:eastAsia="Calibri" w:cs="Tahoma"/>
          <w:color w:val="000000"/>
          <w:szCs w:val="24"/>
          <w:lang w:val="es-ES" w:eastAsia="es-MX"/>
        </w:rPr>
        <w:t xml:space="preserve">s documentos consistentes en: </w:t>
      </w:r>
      <w:r w:rsidRPr="00B01980" w:rsidR="00E7518D">
        <w:rPr>
          <w:rFonts w:eastAsia="Calibri" w:cs="Tahoma"/>
          <w:color w:val="000000"/>
          <w:szCs w:val="24"/>
          <w:lang w:val="es-ES" w:eastAsia="es-MX"/>
        </w:rPr>
        <w:t xml:space="preserve">(i) </w:t>
      </w:r>
      <w:r w:rsidRPr="00B01980" w:rsidR="00D51CED">
        <w:rPr>
          <w:rFonts w:eastAsia="Calibri" w:cs="Tahoma"/>
          <w:color w:val="000000"/>
          <w:szCs w:val="24"/>
          <w:lang w:val="es-ES" w:eastAsia="es-MX"/>
        </w:rPr>
        <w:t xml:space="preserve">los </w:t>
      </w:r>
      <w:r w:rsidRPr="00B01980" w:rsidR="005532AE">
        <w:rPr>
          <w:rFonts w:eastAsia="Calibri" w:cs="Tahoma"/>
          <w:color w:val="000000"/>
          <w:szCs w:val="24"/>
          <w:lang w:val="es-ES" w:eastAsia="es-MX"/>
        </w:rPr>
        <w:t xml:space="preserve">contratos </w:t>
      </w:r>
      <w:r w:rsidRPr="00B01980" w:rsidR="00151E63">
        <w:rPr>
          <w:rFonts w:eastAsia="Calibri" w:cs="Tahoma"/>
          <w:color w:val="000000"/>
          <w:szCs w:val="24"/>
          <w:lang w:val="es-ES" w:eastAsia="es-MX"/>
        </w:rPr>
        <w:t xml:space="preserve">que amparen </w:t>
      </w:r>
      <w:r w:rsidRPr="00B01980" w:rsidR="00D96B97">
        <w:rPr>
          <w:rFonts w:eastAsia="Calibri" w:cs="Tahoma"/>
          <w:color w:val="000000"/>
          <w:szCs w:val="24"/>
          <w:lang w:val="es-ES" w:eastAsia="es-MX"/>
        </w:rPr>
        <w:t xml:space="preserve">la erogación por el arrendamiento de equipo de transporte </w:t>
      </w:r>
      <w:r w:rsidRPr="00B01980" w:rsidR="00277BF0">
        <w:rPr>
          <w:rFonts w:eastAsia="Calibri" w:cs="Tahoma"/>
          <w:color w:val="000000"/>
          <w:szCs w:val="24"/>
          <w:lang w:val="es-ES" w:eastAsia="es-MX"/>
        </w:rPr>
        <w:t xml:space="preserve">y (ii) </w:t>
      </w:r>
      <w:r w:rsidRPr="00B01980" w:rsidR="00747312">
        <w:rPr>
          <w:rFonts w:eastAsia="Calibri" w:cs="Tahoma"/>
          <w:color w:val="000000"/>
          <w:szCs w:val="24"/>
          <w:lang w:val="es-ES" w:eastAsia="es-MX"/>
        </w:rPr>
        <w:t xml:space="preserve">el procedimiento de adjudicación </w:t>
      </w:r>
      <w:r w:rsidRPr="00B01980" w:rsidR="00840CF3">
        <w:rPr>
          <w:rFonts w:eastAsia="Calibri" w:cs="Tahoma"/>
          <w:color w:val="000000"/>
          <w:szCs w:val="24"/>
          <w:lang w:val="es-ES" w:eastAsia="es-MX"/>
        </w:rPr>
        <w:t>realizado por el Sujeto Obligado.</w:t>
      </w:r>
    </w:p>
    <w:p w:rsidRPr="00B01980" w:rsidR="00336DB7" w:rsidP="00492822" w:rsidRDefault="00336DB7" w14:paraId="3AB6AE49" w14:textId="77777777">
      <w:pPr>
        <w:autoSpaceDE w:val="0"/>
        <w:autoSpaceDN w:val="0"/>
        <w:adjustRightInd w:val="0"/>
        <w:spacing w:after="0" w:line="360" w:lineRule="auto"/>
        <w:rPr>
          <w:rFonts w:eastAsia="Calibri" w:cs="Tahoma"/>
          <w:color w:val="000000"/>
          <w:szCs w:val="24"/>
          <w:lang w:val="es-ES" w:eastAsia="es-MX"/>
        </w:rPr>
      </w:pPr>
    </w:p>
    <w:p w:rsidRPr="00B01980" w:rsidR="00BB7ADD" w:rsidP="00492822" w:rsidRDefault="00646D1D" w14:paraId="7347927E" w14:textId="77777777">
      <w:pPr>
        <w:autoSpaceDE w:val="0"/>
        <w:autoSpaceDN w:val="0"/>
        <w:adjustRightInd w:val="0"/>
        <w:spacing w:after="0" w:line="360" w:lineRule="auto"/>
        <w:rPr>
          <w:rFonts w:eastAsia="Calibri" w:cs="Tahoma"/>
          <w:color w:val="000000"/>
          <w:szCs w:val="24"/>
          <w:lang w:val="es-ES" w:eastAsia="es-MX"/>
        </w:rPr>
      </w:pPr>
      <w:r w:rsidRPr="00B01980">
        <w:rPr>
          <w:rFonts w:eastAsia="Calibri" w:cs="Tahoma"/>
          <w:color w:val="000000"/>
          <w:szCs w:val="24"/>
          <w:lang w:val="es-ES" w:eastAsia="es-MX"/>
        </w:rPr>
        <w:t>En respuesta, el Sujeto Obligado a través de</w:t>
      </w:r>
      <w:r w:rsidRPr="00B01980" w:rsidR="001E5D04">
        <w:rPr>
          <w:rFonts w:eastAsia="Calibri" w:cs="Tahoma"/>
          <w:color w:val="000000"/>
          <w:szCs w:val="24"/>
          <w:lang w:val="es-ES" w:eastAsia="es-MX"/>
        </w:rPr>
        <w:t xml:space="preserve"> la Tesorería Municipal, la Dirección de Administración, la Subdirección de Recursos Materiales</w:t>
      </w:r>
      <w:r w:rsidRPr="00B01980" w:rsidR="005F3426">
        <w:rPr>
          <w:rFonts w:eastAsia="Calibri" w:cs="Tahoma"/>
          <w:color w:val="000000"/>
          <w:szCs w:val="24"/>
          <w:lang w:val="es-ES" w:eastAsia="es-MX"/>
        </w:rPr>
        <w:t xml:space="preserve">, la Secretaría del </w:t>
      </w:r>
      <w:r w:rsidRPr="00B01980" w:rsidR="00837DEE">
        <w:rPr>
          <w:rFonts w:eastAsia="Calibri" w:cs="Tahoma"/>
          <w:color w:val="000000"/>
          <w:szCs w:val="24"/>
          <w:lang w:val="es-ES" w:eastAsia="es-MX"/>
        </w:rPr>
        <w:t>Ayuntamiento</w:t>
      </w:r>
      <w:r w:rsidRPr="00B01980" w:rsidR="005F3426">
        <w:rPr>
          <w:rFonts w:eastAsia="Calibri" w:cs="Tahoma"/>
          <w:color w:val="000000"/>
          <w:szCs w:val="24"/>
          <w:lang w:val="es-ES" w:eastAsia="es-MX"/>
        </w:rPr>
        <w:t xml:space="preserve"> y </w:t>
      </w:r>
      <w:r w:rsidRPr="00B01980" w:rsidR="00837DEE">
        <w:rPr>
          <w:rFonts w:eastAsia="Calibri" w:cs="Tahoma"/>
          <w:color w:val="000000"/>
          <w:szCs w:val="24"/>
          <w:lang w:val="es-ES" w:eastAsia="es-MX"/>
        </w:rPr>
        <w:t xml:space="preserve">la Jefa de Departamento de Patrimonio Municipal, </w:t>
      </w:r>
      <w:r w:rsidRPr="00B01980" w:rsidR="008A40A1">
        <w:rPr>
          <w:rFonts w:eastAsia="Calibri" w:cs="Tahoma"/>
          <w:color w:val="000000"/>
          <w:szCs w:val="24"/>
          <w:lang w:val="es-ES" w:eastAsia="es-MX"/>
        </w:rPr>
        <w:t xml:space="preserve">hicieron del conocimiento del </w:t>
      </w:r>
      <w:r w:rsidRPr="00B01980" w:rsidR="00BC3544">
        <w:rPr>
          <w:rFonts w:eastAsia="Calibri" w:cs="Tahoma"/>
          <w:color w:val="000000"/>
          <w:szCs w:val="24"/>
          <w:lang w:val="es-ES" w:eastAsia="es-MX"/>
        </w:rPr>
        <w:t>Solicitante que la información no obraba en sus archivos</w:t>
      </w:r>
      <w:r w:rsidRPr="00B01980" w:rsidR="007501B3">
        <w:rPr>
          <w:rFonts w:eastAsia="Calibri" w:cs="Tahoma"/>
          <w:color w:val="000000"/>
          <w:szCs w:val="24"/>
          <w:lang w:val="es-ES" w:eastAsia="es-MX"/>
        </w:rPr>
        <w:t xml:space="preserve">. </w:t>
      </w:r>
    </w:p>
    <w:p w:rsidRPr="00B01980" w:rsidR="00BB7ADD" w:rsidP="00492822" w:rsidRDefault="00BB7ADD" w14:paraId="750F76D8" w14:textId="77777777">
      <w:pPr>
        <w:autoSpaceDE w:val="0"/>
        <w:autoSpaceDN w:val="0"/>
        <w:adjustRightInd w:val="0"/>
        <w:spacing w:after="0" w:line="360" w:lineRule="auto"/>
        <w:rPr>
          <w:rFonts w:eastAsia="Calibri" w:cs="Tahoma"/>
          <w:color w:val="000000"/>
          <w:szCs w:val="24"/>
          <w:lang w:val="es-ES" w:eastAsia="es-MX"/>
        </w:rPr>
      </w:pPr>
    </w:p>
    <w:p w:rsidRPr="00B01980" w:rsidR="008D2525" w:rsidP="00492822" w:rsidRDefault="0020056D" w14:paraId="2A080EC9" w14:textId="0B19E83D">
      <w:pPr>
        <w:autoSpaceDE w:val="0"/>
        <w:autoSpaceDN w:val="0"/>
        <w:adjustRightInd w:val="0"/>
        <w:spacing w:after="0" w:line="360" w:lineRule="auto"/>
        <w:rPr>
          <w:rFonts w:eastAsia="Calibri" w:cs="Tahoma"/>
          <w:color w:val="000000"/>
          <w:szCs w:val="24"/>
          <w:lang w:eastAsia="es-MX"/>
        </w:rPr>
      </w:pPr>
      <w:r w:rsidRPr="00B01980">
        <w:rPr>
          <w:rFonts w:eastAsia="Calibri" w:cs="Tahoma"/>
          <w:color w:val="000000"/>
          <w:szCs w:val="24"/>
          <w:lang w:val="es-ES" w:eastAsia="es-MX"/>
        </w:rPr>
        <w:t xml:space="preserve">Ante dicha </w:t>
      </w:r>
      <w:r w:rsidRPr="00B01980" w:rsidR="00CB43F7">
        <w:rPr>
          <w:rFonts w:eastAsia="Calibri" w:cs="Tahoma"/>
          <w:color w:val="000000"/>
          <w:szCs w:val="24"/>
          <w:lang w:val="es-ES" w:eastAsia="es-MX"/>
        </w:rPr>
        <w:t>circunstancia</w:t>
      </w:r>
      <w:r w:rsidRPr="00B01980">
        <w:rPr>
          <w:rFonts w:eastAsia="Calibri" w:cs="Tahoma"/>
          <w:color w:val="000000"/>
          <w:szCs w:val="24"/>
          <w:lang w:val="es-ES" w:eastAsia="es-MX"/>
        </w:rPr>
        <w:t xml:space="preserve">, </w:t>
      </w:r>
      <w:r w:rsidRPr="00B01980" w:rsidR="00CB43F7">
        <w:rPr>
          <w:rFonts w:eastAsia="Calibri" w:cs="Tahoma"/>
          <w:color w:val="000000"/>
          <w:szCs w:val="24"/>
          <w:lang w:val="es-ES" w:eastAsia="es-MX"/>
        </w:rPr>
        <w:t>el Particular interpuso Recurso de Revi</w:t>
      </w:r>
      <w:r w:rsidRPr="00B01980" w:rsidR="00E73937">
        <w:rPr>
          <w:rFonts w:eastAsia="Calibri" w:cs="Tahoma"/>
          <w:color w:val="000000"/>
          <w:szCs w:val="24"/>
          <w:lang w:val="es-ES" w:eastAsia="es-MX"/>
        </w:rPr>
        <w:t>sión</w:t>
      </w:r>
      <w:r w:rsidRPr="00B01980" w:rsidR="00CB1453">
        <w:rPr>
          <w:rFonts w:eastAsia="Calibri" w:cs="Tahoma"/>
          <w:color w:val="000000"/>
          <w:szCs w:val="24"/>
          <w:lang w:val="es-ES" w:eastAsia="es-MX"/>
        </w:rPr>
        <w:t xml:space="preserve">, </w:t>
      </w:r>
      <w:r w:rsidRPr="00B01980" w:rsidR="003E10CF">
        <w:rPr>
          <w:rFonts w:eastAsia="Calibri" w:cs="Tahoma"/>
          <w:color w:val="000000"/>
          <w:szCs w:val="24"/>
          <w:lang w:val="es-ES" w:eastAsia="es-MX"/>
        </w:rPr>
        <w:t xml:space="preserve">inconformándose por la inexistencia </w:t>
      </w:r>
      <w:r w:rsidRPr="00B01980" w:rsidR="00B0035A">
        <w:rPr>
          <w:rFonts w:eastAsia="Calibri" w:cs="Tahoma"/>
          <w:color w:val="000000"/>
          <w:szCs w:val="24"/>
          <w:lang w:val="es-ES" w:eastAsia="es-MX"/>
        </w:rPr>
        <w:t xml:space="preserve">de la información </w:t>
      </w:r>
      <w:r w:rsidRPr="00B01980" w:rsidR="004C46CC">
        <w:rPr>
          <w:rFonts w:eastAsia="Calibri" w:cs="Tahoma"/>
          <w:color w:val="000000"/>
          <w:szCs w:val="24"/>
          <w:lang w:val="es-ES" w:eastAsia="es-MX"/>
        </w:rPr>
        <w:t>manifestada por el Ente Recurrido,</w:t>
      </w:r>
      <w:r w:rsidRPr="00B01980" w:rsidR="00B63665">
        <w:rPr>
          <w:rFonts w:eastAsia="Calibri" w:cs="Tahoma"/>
          <w:color w:val="000000"/>
          <w:szCs w:val="24"/>
          <w:lang w:val="es-ES" w:eastAsia="es-MX"/>
        </w:rPr>
        <w:t xml:space="preserve"> por lo que al interponer su Medio de Impugnación, </w:t>
      </w:r>
      <w:r w:rsidRPr="00B01980" w:rsidR="00615DBE">
        <w:rPr>
          <w:rFonts w:eastAsia="Calibri" w:cs="Tahoma"/>
          <w:color w:val="000000"/>
          <w:szCs w:val="24"/>
          <w:lang w:val="es-ES" w:eastAsia="es-MX"/>
        </w:rPr>
        <w:t xml:space="preserve">el Recurrente </w:t>
      </w:r>
      <w:r w:rsidRPr="00B01980" w:rsidR="00B63665">
        <w:rPr>
          <w:rFonts w:eastAsia="Calibri" w:cs="Tahoma"/>
          <w:color w:val="000000"/>
          <w:szCs w:val="24"/>
          <w:lang w:val="es-ES" w:eastAsia="es-MX"/>
        </w:rPr>
        <w:t>present</w:t>
      </w:r>
      <w:r w:rsidRPr="00B01980" w:rsidR="00615DBE">
        <w:rPr>
          <w:rFonts w:eastAsia="Calibri" w:cs="Tahoma"/>
          <w:color w:val="000000"/>
          <w:szCs w:val="24"/>
          <w:lang w:val="es-ES" w:eastAsia="es-MX"/>
        </w:rPr>
        <w:t>ó</w:t>
      </w:r>
      <w:r w:rsidRPr="00B01980" w:rsidR="00B63665">
        <w:rPr>
          <w:rFonts w:eastAsia="Calibri" w:cs="Tahoma"/>
          <w:color w:val="000000"/>
          <w:szCs w:val="24"/>
          <w:lang w:val="es-ES" w:eastAsia="es-MX"/>
        </w:rPr>
        <w:t xml:space="preserve"> elementos que </w:t>
      </w:r>
      <w:r w:rsidRPr="00B01980" w:rsidR="00B16C65">
        <w:rPr>
          <w:rFonts w:eastAsia="Calibri" w:cs="Tahoma"/>
          <w:color w:val="000000"/>
          <w:szCs w:val="24"/>
          <w:lang w:val="es-ES" w:eastAsia="es-MX"/>
        </w:rPr>
        <w:t xml:space="preserve">serán del </w:t>
      </w:r>
      <w:r w:rsidRPr="00B01980" w:rsidR="00FA3491">
        <w:rPr>
          <w:rFonts w:eastAsia="Calibri" w:cs="Tahoma"/>
          <w:color w:val="000000"/>
          <w:szCs w:val="24"/>
          <w:lang w:val="es-ES" w:eastAsia="es-MX"/>
        </w:rPr>
        <w:t xml:space="preserve">análisis de </w:t>
      </w:r>
      <w:r w:rsidRPr="00B01980" w:rsidR="00E0511C">
        <w:rPr>
          <w:rFonts w:eastAsia="Calibri" w:cs="Tahoma"/>
          <w:color w:val="000000"/>
          <w:szCs w:val="24"/>
          <w:lang w:val="es-ES" w:eastAsia="es-MX"/>
        </w:rPr>
        <w:t xml:space="preserve">la presente </w:t>
      </w:r>
      <w:r w:rsidRPr="00B01980" w:rsidR="00FA3491">
        <w:rPr>
          <w:rFonts w:eastAsia="Calibri" w:cs="Tahoma"/>
          <w:color w:val="000000"/>
          <w:szCs w:val="24"/>
          <w:lang w:val="es-ES" w:eastAsia="es-MX"/>
        </w:rPr>
        <w:t>Resolución, por lo anterior</w:t>
      </w:r>
      <w:r w:rsidRPr="00B01980" w:rsidR="00F712D2">
        <w:rPr>
          <w:rFonts w:eastAsia="Calibri" w:cs="Tahoma"/>
          <w:color w:val="000000"/>
          <w:szCs w:val="24"/>
          <w:lang w:val="es-ES" w:eastAsia="es-MX"/>
        </w:rPr>
        <w:t xml:space="preserve">, </w:t>
      </w:r>
      <w:r w:rsidRPr="00B01980" w:rsidR="004A2602">
        <w:rPr>
          <w:rFonts w:eastAsia="Calibri" w:cs="Tahoma"/>
          <w:bCs/>
          <w:iCs/>
          <w:color w:val="000000"/>
          <w:szCs w:val="24"/>
          <w:lang w:val="es-ES" w:eastAsia="es-MX"/>
        </w:rPr>
        <w:t xml:space="preserve">toda vez que si bien, en el acto reclamado y los motivos de inconformidad, van tendientes a realizar diversas manifestaciones </w:t>
      </w:r>
      <w:r w:rsidRPr="00B01980" w:rsidR="0069203D">
        <w:rPr>
          <w:rFonts w:eastAsia="Calibri" w:cs="Tahoma"/>
          <w:bCs/>
          <w:iCs/>
          <w:color w:val="000000"/>
          <w:szCs w:val="24"/>
          <w:lang w:val="es-ES" w:eastAsia="es-MX"/>
        </w:rPr>
        <w:t>respecto de la</w:t>
      </w:r>
      <w:r w:rsidRPr="00B01980" w:rsidR="00A029F6">
        <w:rPr>
          <w:rFonts w:eastAsia="Calibri" w:cs="Tahoma"/>
          <w:bCs/>
          <w:iCs/>
          <w:color w:val="000000"/>
          <w:szCs w:val="24"/>
          <w:lang w:val="es-ES" w:eastAsia="es-MX"/>
        </w:rPr>
        <w:t xml:space="preserve"> </w:t>
      </w:r>
      <w:r w:rsidRPr="00B01980" w:rsidR="002C65E2">
        <w:rPr>
          <w:rFonts w:eastAsia="Calibri" w:cs="Tahoma"/>
          <w:bCs/>
          <w:iCs/>
          <w:color w:val="000000"/>
          <w:szCs w:val="24"/>
          <w:lang w:val="es-ES" w:eastAsia="es-MX"/>
        </w:rPr>
        <w:t>fundamentación y motivación de la</w:t>
      </w:r>
      <w:r w:rsidRPr="00B01980" w:rsidR="004A2602">
        <w:rPr>
          <w:rFonts w:eastAsia="Calibri" w:cs="Tahoma"/>
          <w:bCs/>
          <w:iCs/>
          <w:color w:val="000000"/>
          <w:szCs w:val="24"/>
          <w:lang w:val="es-ES" w:eastAsia="es-MX"/>
        </w:rPr>
        <w:t xml:space="preserve"> respuesta proporcionada, lo cierto es qu</w:t>
      </w:r>
      <w:r w:rsidRPr="00B01980" w:rsidR="008A6A37">
        <w:rPr>
          <w:rFonts w:eastAsia="Calibri" w:cs="Tahoma"/>
          <w:bCs/>
          <w:iCs/>
          <w:color w:val="000000"/>
          <w:szCs w:val="24"/>
          <w:lang w:val="es-ES" w:eastAsia="es-MX"/>
        </w:rPr>
        <w:t xml:space="preserve">e el agravio actualiza la causal de procedencia prevista </w:t>
      </w:r>
      <w:r w:rsidRPr="00B01980" w:rsidR="00DD1586">
        <w:rPr>
          <w:rFonts w:eastAsia="Calibri" w:cs="Tahoma"/>
          <w:bCs/>
          <w:iCs/>
          <w:color w:val="000000"/>
          <w:szCs w:val="24"/>
          <w:lang w:val="es-ES" w:eastAsia="es-MX"/>
        </w:rPr>
        <w:t xml:space="preserve">en la fracción II, del artículo 179 </w:t>
      </w:r>
      <w:r w:rsidRPr="00B01980" w:rsidR="004A2602">
        <w:rPr>
          <w:rFonts w:eastAsia="Calibri" w:cs="Tahoma"/>
          <w:bCs/>
          <w:iCs/>
          <w:color w:val="000000"/>
          <w:szCs w:val="24"/>
          <w:lang w:val="es-ES" w:eastAsia="es-MX"/>
        </w:rPr>
        <w:t>de la Ley de Transparencia y Acceso a la Información Pública del Estado de México y Municipios</w:t>
      </w:r>
      <w:r w:rsidRPr="00B01980" w:rsidR="00354C9A">
        <w:rPr>
          <w:rFonts w:eastAsia="Calibri" w:cs="Tahoma"/>
          <w:bCs/>
          <w:iCs/>
          <w:color w:val="000000"/>
          <w:szCs w:val="24"/>
          <w:lang w:val="es-ES" w:eastAsia="es-MX"/>
        </w:rPr>
        <w:t xml:space="preserve">. </w:t>
      </w:r>
      <w:r w:rsidRPr="00B01980" w:rsidR="00124136">
        <w:rPr>
          <w:rFonts w:eastAsia="Calibri" w:cs="Tahoma"/>
          <w:bCs/>
          <w:iCs/>
          <w:color w:val="000000"/>
          <w:szCs w:val="24"/>
          <w:lang w:val="es-ES" w:eastAsia="es-MX"/>
        </w:rPr>
        <w:t>Dicha</w:t>
      </w:r>
      <w:r w:rsidRPr="00B01980" w:rsidR="004A2602">
        <w:rPr>
          <w:rFonts w:eastAsia="Calibri" w:cs="Tahoma"/>
          <w:bCs/>
          <w:iCs/>
          <w:color w:val="000000"/>
          <w:szCs w:val="24"/>
          <w:lang w:val="es-ES_tradnl" w:eastAsia="es-MX"/>
        </w:rPr>
        <w:t xml:space="preserve"> situación, al aplicar la suplencia de la queja a favor de la Solicitante, en términos de los diversos 13 y, penúltimo párrafo, del 181 del ordenamiento señalado, relacionados con el último párrafo, del 146 de la Ley General de Transparencia y Acceso a la Información Pública.</w:t>
      </w:r>
      <w:r w:rsidRPr="00B01980" w:rsidR="0062490F">
        <w:rPr>
          <w:rFonts w:eastAsia="Calibri" w:cs="Tahoma"/>
          <w:bCs/>
          <w:iCs/>
          <w:color w:val="000000"/>
          <w:szCs w:val="24"/>
          <w:lang w:val="es-ES_tradnl" w:eastAsia="es-MX"/>
        </w:rPr>
        <w:t xml:space="preserve"> </w:t>
      </w:r>
      <w:r w:rsidRPr="00B01980" w:rsidR="00B94EC5">
        <w:rPr>
          <w:rFonts w:eastAsia="Calibri" w:cs="Tahoma"/>
          <w:color w:val="000000"/>
          <w:szCs w:val="24"/>
          <w:lang w:eastAsia="es-MX"/>
        </w:rPr>
        <w:t xml:space="preserve">De tal suerte </w:t>
      </w:r>
      <w:r w:rsidRPr="00B01980" w:rsidR="00B94EC5">
        <w:rPr>
          <w:rFonts w:eastAsia="Calibri" w:cs="Tahoma"/>
          <w:color w:val="000000"/>
          <w:szCs w:val="24"/>
          <w:lang w:eastAsia="es-MX"/>
        </w:rPr>
        <w:lastRenderedPageBreak/>
        <w:t xml:space="preserve">que </w:t>
      </w:r>
      <w:r w:rsidRPr="00B01980" w:rsidR="009156F5">
        <w:rPr>
          <w:rFonts w:eastAsia="Calibri" w:cs="Tahoma"/>
          <w:color w:val="000000"/>
          <w:szCs w:val="24"/>
          <w:lang w:eastAsia="es-MX"/>
        </w:rPr>
        <w:t>una vez admitido</w:t>
      </w:r>
      <w:r w:rsidRPr="00B01980" w:rsidR="00BB53DC">
        <w:rPr>
          <w:rFonts w:eastAsia="Calibri" w:cs="Tahoma"/>
          <w:color w:val="000000"/>
          <w:szCs w:val="24"/>
          <w:lang w:eastAsia="es-MX"/>
        </w:rPr>
        <w:t xml:space="preserve"> y notificado </w:t>
      </w:r>
      <w:r w:rsidRPr="00B01980" w:rsidR="000E55FD">
        <w:rPr>
          <w:rFonts w:eastAsia="Calibri" w:cs="Tahoma"/>
          <w:color w:val="000000"/>
          <w:szCs w:val="24"/>
          <w:lang w:eastAsia="es-MX"/>
        </w:rPr>
        <w:t>el Recurso de Revisión a las partes, el Sujeto Obligado ratifico su respuesta inicial respecto de la inexistencia de la información</w:t>
      </w:r>
      <w:r w:rsidRPr="00B01980" w:rsidR="0062490F">
        <w:rPr>
          <w:rFonts w:eastAsia="Calibri" w:cs="Tahoma"/>
          <w:color w:val="000000"/>
          <w:szCs w:val="24"/>
          <w:lang w:eastAsia="es-MX"/>
        </w:rPr>
        <w:t>.</w:t>
      </w:r>
    </w:p>
    <w:p w:rsidRPr="00B01980" w:rsidR="00A60DCE" w:rsidP="00492822" w:rsidRDefault="00A60DCE" w14:paraId="420688C8" w14:textId="77777777">
      <w:pPr>
        <w:autoSpaceDE w:val="0"/>
        <w:autoSpaceDN w:val="0"/>
        <w:adjustRightInd w:val="0"/>
        <w:spacing w:after="0" w:line="360" w:lineRule="auto"/>
        <w:rPr>
          <w:rFonts w:eastAsia="Calibri" w:cs="Tahoma"/>
          <w:color w:val="000000"/>
          <w:szCs w:val="24"/>
          <w:lang w:eastAsia="es-MX"/>
        </w:rPr>
      </w:pPr>
    </w:p>
    <w:p w:rsidRPr="00B01980" w:rsidR="002F604A" w:rsidP="00492822" w:rsidRDefault="002F604A" w14:paraId="1C1E684C" w14:textId="77777777">
      <w:pPr>
        <w:autoSpaceDE w:val="0"/>
        <w:autoSpaceDN w:val="0"/>
        <w:adjustRightInd w:val="0"/>
        <w:spacing w:after="0" w:line="360" w:lineRule="auto"/>
        <w:rPr>
          <w:rFonts w:cs="Tahoma"/>
          <w:bCs/>
          <w:iCs/>
        </w:rPr>
      </w:pPr>
      <w:r w:rsidRPr="00B01980">
        <w:rPr>
          <w:rFonts w:cs="Tahoma"/>
          <w:bCs/>
          <w:iCs/>
        </w:rPr>
        <w:t>Lo anterior, se desprende de las documentales que obran en el expediente de referencia, materia de la presente Resolución, consistentes en: la solicitud de acceso a la información, la respuesta del Sujeto Obligado y su Informe Justificado que se toman en cuenta a efecto de resolver el presente medio de impugnación, conforme a lo dispuesto por el artículo 185, fracción IV, de la Ley de Transparencia y Acceso a la Información Pública del Estado de México y Municipios.</w:t>
      </w:r>
    </w:p>
    <w:p w:rsidRPr="00B01980" w:rsidR="002F604A" w:rsidP="00492822" w:rsidRDefault="002F604A" w14:paraId="24BBA19E" w14:textId="77777777">
      <w:pPr>
        <w:autoSpaceDE w:val="0"/>
        <w:autoSpaceDN w:val="0"/>
        <w:adjustRightInd w:val="0"/>
        <w:spacing w:after="0" w:line="360" w:lineRule="auto"/>
        <w:rPr>
          <w:rFonts w:cs="Tahoma"/>
          <w:bCs/>
          <w:iCs/>
        </w:rPr>
      </w:pPr>
    </w:p>
    <w:p w:rsidRPr="00B01980" w:rsidR="00C853D1" w:rsidP="00492822" w:rsidRDefault="00C853D1" w14:paraId="4AD760E5" w14:textId="77777777">
      <w:pPr>
        <w:spacing w:after="0" w:line="360" w:lineRule="auto"/>
        <w:rPr>
          <w:rFonts w:eastAsia="Times New Roman" w:cs="Tahoma"/>
          <w:b/>
          <w:bCs/>
          <w:iCs/>
          <w:color w:val="auto"/>
          <w:lang w:eastAsia="es-ES"/>
        </w:rPr>
      </w:pPr>
      <w:r w:rsidRPr="00B01980">
        <w:rPr>
          <w:rFonts w:eastAsia="Times New Roman" w:cs="Tahoma"/>
          <w:b/>
          <w:bCs/>
          <w:iCs/>
          <w:color w:val="auto"/>
          <w:lang w:val="es-ES" w:eastAsia="es-ES"/>
        </w:rPr>
        <w:t xml:space="preserve">CUARTO. </w:t>
      </w:r>
      <w:r w:rsidRPr="00B01980">
        <w:rPr>
          <w:rFonts w:eastAsia="Times New Roman" w:cs="Tahoma"/>
          <w:b/>
          <w:bCs/>
          <w:iCs/>
          <w:color w:val="auto"/>
          <w:lang w:eastAsia="es-ES"/>
        </w:rPr>
        <w:t>Marco normativo aplicable en materia de transparencia y acceso a la información pública.</w:t>
      </w:r>
    </w:p>
    <w:p w:rsidRPr="00B01980" w:rsidR="00C853D1" w:rsidP="00492822" w:rsidRDefault="00C853D1" w14:paraId="43AD0F27" w14:textId="77777777">
      <w:pPr>
        <w:spacing w:after="0" w:line="360" w:lineRule="auto"/>
        <w:rPr>
          <w:rFonts w:eastAsia="Times New Roman" w:cs="Tahoma"/>
          <w:b/>
          <w:bCs/>
          <w:iCs/>
          <w:color w:val="auto"/>
          <w:lang w:eastAsia="es-ES"/>
        </w:rPr>
      </w:pPr>
    </w:p>
    <w:p w:rsidRPr="00B01980" w:rsidR="00C853D1" w:rsidP="00492822" w:rsidRDefault="00C853D1" w14:paraId="612B1C77"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01980" w:rsidR="00C853D1" w:rsidP="00492822" w:rsidRDefault="00C853D1" w14:paraId="4DEFDE24" w14:textId="77777777">
      <w:pPr>
        <w:spacing w:after="0" w:line="360" w:lineRule="auto"/>
        <w:rPr>
          <w:rFonts w:eastAsia="Times New Roman" w:cs="Tahoma"/>
          <w:bCs/>
          <w:iCs/>
          <w:color w:val="auto"/>
          <w:lang w:eastAsia="es-ES"/>
        </w:rPr>
      </w:pPr>
    </w:p>
    <w:p w:rsidRPr="00B01980" w:rsidR="00C853D1" w:rsidP="00492822" w:rsidRDefault="00C853D1" w14:paraId="0629EDEA"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01980" w:rsidR="00C853D1" w:rsidP="00492822" w:rsidRDefault="00C853D1" w14:paraId="1198CD87" w14:textId="77777777">
      <w:pPr>
        <w:spacing w:after="0" w:line="360" w:lineRule="auto"/>
        <w:rPr>
          <w:rFonts w:eastAsia="Times New Roman" w:cs="Tahoma"/>
          <w:bCs/>
          <w:iCs/>
          <w:color w:val="auto"/>
          <w:lang w:eastAsia="es-ES"/>
        </w:rPr>
      </w:pPr>
    </w:p>
    <w:p w:rsidRPr="00B01980" w:rsidR="00C853D1" w:rsidP="00492822" w:rsidRDefault="00C853D1" w14:paraId="2E116B44"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01980" w:rsidR="00C853D1" w:rsidP="00492822" w:rsidRDefault="00C853D1" w14:paraId="6D4CE485" w14:textId="77777777">
      <w:pPr>
        <w:spacing w:after="0" w:line="360" w:lineRule="auto"/>
        <w:rPr>
          <w:rFonts w:eastAsia="Times New Roman" w:cs="Tahoma"/>
          <w:bCs/>
          <w:iCs/>
          <w:color w:val="auto"/>
          <w:lang w:eastAsia="es-ES"/>
        </w:rPr>
      </w:pPr>
    </w:p>
    <w:p w:rsidRPr="00B01980" w:rsidR="00C853D1" w:rsidP="00492822" w:rsidRDefault="00C853D1" w14:paraId="39E7B3D5"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Pr="00B01980" w:rsidR="00C853D1" w:rsidP="00492822" w:rsidRDefault="00C853D1" w14:paraId="08EAD36A" w14:textId="77777777">
      <w:pPr>
        <w:spacing w:after="0" w:line="360" w:lineRule="auto"/>
        <w:rPr>
          <w:rFonts w:eastAsia="Times New Roman" w:cs="Tahoma"/>
          <w:bCs/>
          <w:iCs/>
          <w:color w:val="auto"/>
          <w:lang w:eastAsia="es-ES"/>
        </w:rPr>
      </w:pPr>
    </w:p>
    <w:p w:rsidRPr="00B01980" w:rsidR="00C853D1" w:rsidP="00492822" w:rsidRDefault="00C853D1" w14:paraId="33BD459A"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El artículo 12, que, quienes generen, recopilen, administren, manejen, procesen, archiven o conserven información pública serán responsables de la misma.</w:t>
      </w:r>
    </w:p>
    <w:p w:rsidRPr="00B01980" w:rsidR="00C853D1" w:rsidP="00492822" w:rsidRDefault="00C853D1" w14:paraId="7F23F258" w14:textId="77777777">
      <w:pPr>
        <w:spacing w:after="0" w:line="360" w:lineRule="auto"/>
        <w:rPr>
          <w:rFonts w:eastAsia="Times New Roman" w:cs="Tahoma"/>
          <w:bCs/>
          <w:iCs/>
          <w:color w:val="auto"/>
          <w:lang w:eastAsia="es-ES"/>
        </w:rPr>
      </w:pPr>
    </w:p>
    <w:p w:rsidRPr="00B01980" w:rsidR="00C853D1" w:rsidP="00492822" w:rsidRDefault="00C853D1" w14:paraId="21150C29"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01980" w:rsidR="00C853D1" w:rsidP="00492822" w:rsidRDefault="00C853D1" w14:paraId="3F8053D7" w14:textId="77777777">
      <w:pPr>
        <w:spacing w:after="0" w:line="360" w:lineRule="auto"/>
        <w:rPr>
          <w:rFonts w:eastAsia="Times New Roman" w:cs="Tahoma"/>
          <w:bCs/>
          <w:iCs/>
          <w:color w:val="auto"/>
          <w:lang w:eastAsia="es-ES"/>
        </w:rPr>
      </w:pPr>
    </w:p>
    <w:p w:rsidRPr="00B01980" w:rsidR="00C853D1" w:rsidP="00492822" w:rsidRDefault="00C853D1" w14:paraId="391D3BDE"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01980" w:rsidR="00E12780" w:rsidP="00492822" w:rsidRDefault="00E12780" w14:paraId="0D0EC3C9" w14:textId="77777777">
      <w:pPr>
        <w:spacing w:after="0" w:line="360" w:lineRule="auto"/>
        <w:rPr>
          <w:rFonts w:eastAsia="Times New Roman" w:cs="Tahoma"/>
          <w:bCs/>
          <w:iCs/>
          <w:color w:val="auto"/>
          <w:lang w:eastAsia="es-ES"/>
        </w:rPr>
      </w:pPr>
    </w:p>
    <w:p w:rsidRPr="00B01980" w:rsidR="00E12780" w:rsidP="00492822" w:rsidRDefault="0093774C" w14:paraId="2808639C" w14:textId="725BA114">
      <w:pPr>
        <w:spacing w:after="0" w:line="360" w:lineRule="auto"/>
        <w:rPr>
          <w:rFonts w:eastAsia="Times New Roman" w:cs="Tahoma"/>
          <w:bCs/>
          <w:iCs/>
          <w:color w:val="auto"/>
          <w:lang w:eastAsia="es-ES"/>
        </w:rPr>
      </w:pPr>
      <w:r w:rsidRPr="00B01980">
        <w:rPr>
          <w:rFonts w:eastAsia="Times New Roman" w:cs="Tahoma"/>
          <w:bCs/>
          <w:iCs/>
          <w:color w:val="auto"/>
          <w:lang w:eastAsia="es-ES"/>
        </w:rPr>
        <w:t>El artículo 92, fracción</w:t>
      </w:r>
      <w:r w:rsidRPr="00B01980">
        <w:rPr>
          <w:rFonts w:eastAsia="Times New Roman" w:cs="Tahoma"/>
          <w:bCs/>
          <w:iCs/>
          <w:color w:val="auto"/>
          <w:lang w:val="x-none" w:eastAsia="es-ES"/>
        </w:rPr>
        <w:t xml:space="preserve"> XXIX, que</w:t>
      </w:r>
      <w:r w:rsidRPr="00B01980" w:rsidR="00910D78">
        <w:rPr>
          <w:rFonts w:eastAsia="Times New Roman" w:cs="Tahoma"/>
          <w:bCs/>
          <w:iCs/>
          <w:color w:val="auto"/>
          <w:lang w:val="es-ES" w:eastAsia="es-ES"/>
        </w:rPr>
        <w:t xml:space="preserve"> especifica que</w:t>
      </w:r>
      <w:r w:rsidRPr="00B01980">
        <w:rPr>
          <w:rFonts w:eastAsia="Times New Roman" w:cs="Tahoma"/>
          <w:bCs/>
          <w:iCs/>
          <w:color w:val="auto"/>
          <w:lang w:val="x-none" w:eastAsia="es-ES"/>
        </w:rPr>
        <w:t xml:space="preserv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B01980" w:rsidR="00771B49" w:rsidP="00492822" w:rsidRDefault="00771B49" w14:paraId="5AB72608" w14:textId="77777777">
      <w:pPr>
        <w:spacing w:after="0" w:line="360" w:lineRule="auto"/>
        <w:rPr>
          <w:rFonts w:eastAsia="Times New Roman" w:cs="Tahoma"/>
          <w:bCs/>
          <w:iCs/>
          <w:color w:val="auto"/>
          <w:lang w:eastAsia="es-ES"/>
        </w:rPr>
      </w:pPr>
    </w:p>
    <w:p w:rsidRPr="00B01980" w:rsidR="00C853D1" w:rsidP="00492822" w:rsidRDefault="00771B49" w14:paraId="4CD9F9A9" w14:textId="75A2F57D">
      <w:pPr>
        <w:spacing w:after="0" w:line="360" w:lineRule="auto"/>
        <w:rPr>
          <w:rFonts w:eastAsia="Times New Roman" w:cs="Tahoma"/>
          <w:b/>
          <w:bCs/>
          <w:iCs/>
          <w:color w:val="auto"/>
          <w:lang w:val="es-ES" w:eastAsia="es-ES"/>
        </w:rPr>
      </w:pPr>
      <w:r w:rsidRPr="00B01980">
        <w:rPr>
          <w:rFonts w:eastAsia="Times New Roman" w:cs="Tahoma"/>
          <w:b/>
          <w:bCs/>
          <w:iCs/>
          <w:color w:val="auto"/>
          <w:lang w:val="es-ES" w:eastAsia="es-ES"/>
        </w:rPr>
        <w:t>QUINTO</w:t>
      </w:r>
      <w:r w:rsidRPr="00B01980" w:rsidR="00C853D1">
        <w:rPr>
          <w:rFonts w:eastAsia="Times New Roman" w:cs="Tahoma"/>
          <w:b/>
          <w:bCs/>
          <w:iCs/>
          <w:color w:val="auto"/>
          <w:lang w:val="es-ES" w:eastAsia="es-ES"/>
        </w:rPr>
        <w:t>. Estudio de Fondo.</w:t>
      </w:r>
    </w:p>
    <w:p w:rsidRPr="00B01980" w:rsidR="00C853D1" w:rsidP="00492822" w:rsidRDefault="00C853D1" w14:paraId="614B9665" w14:textId="5578038A">
      <w:pPr>
        <w:spacing w:after="0" w:line="360" w:lineRule="auto"/>
        <w:rPr>
          <w:rFonts w:eastAsia="Times New Roman" w:cs="Tahoma"/>
          <w:iCs/>
          <w:color w:val="auto"/>
          <w:lang w:val="es-ES" w:eastAsia="es-ES"/>
        </w:rPr>
      </w:pPr>
    </w:p>
    <w:p w:rsidRPr="00B01980" w:rsidR="008F4A36" w:rsidP="00492822" w:rsidRDefault="008F4A36" w14:paraId="4F40D8E1" w14:textId="0830CA28">
      <w:pPr>
        <w:tabs>
          <w:tab w:val="left" w:pos="2100"/>
        </w:tabs>
        <w:spacing w:after="0" w:line="360" w:lineRule="auto"/>
        <w:rPr>
          <w:rFonts w:cs="Tahoma"/>
        </w:rPr>
      </w:pPr>
      <w:r w:rsidRPr="00B01980">
        <w:rPr>
          <w:rFonts w:cs="Tahoma"/>
        </w:rPr>
        <w:t xml:space="preserve">Expuestas las posturas de las partes, se procede analizar el agravio hecho valer por el </w:t>
      </w:r>
      <w:r w:rsidRPr="00B01980">
        <w:rPr>
          <w:rFonts w:cs="Tahoma"/>
          <w:bCs/>
          <w:color w:val="000000"/>
        </w:rPr>
        <w:t>ahora Recurrente, referente a la inexistencia de la información</w:t>
      </w:r>
      <w:r w:rsidRPr="00B01980">
        <w:rPr>
          <w:rFonts w:cs="Tahoma"/>
        </w:rPr>
        <w:t>; para lo cual en principio es necesario contextualizar la solicitud de información, sobre la erogación de recursos para el arrendamiento de equipo de transporte.</w:t>
      </w:r>
    </w:p>
    <w:p w:rsidRPr="00B01980" w:rsidR="008F4A36" w:rsidP="00492822" w:rsidRDefault="008F4A36" w14:paraId="7891B099" w14:textId="77777777">
      <w:pPr>
        <w:tabs>
          <w:tab w:val="left" w:pos="2100"/>
        </w:tabs>
        <w:spacing w:after="0" w:line="360" w:lineRule="auto"/>
        <w:rPr>
          <w:rFonts w:cs="Tahoma"/>
        </w:rPr>
      </w:pPr>
    </w:p>
    <w:p w:rsidRPr="00B01980" w:rsidR="008F4A36" w:rsidP="00492822" w:rsidRDefault="008F4A36" w14:paraId="17B8F4D1" w14:textId="183B033A">
      <w:pPr>
        <w:spacing w:after="0" w:line="360" w:lineRule="auto"/>
        <w:rPr>
          <w:rFonts w:cs="Tahoma"/>
          <w:iCs/>
        </w:rPr>
      </w:pPr>
      <w:r w:rsidRPr="00B01980">
        <w:rPr>
          <w:rFonts w:cs="Tahoma"/>
        </w:rPr>
        <w:lastRenderedPageBreak/>
        <w:t xml:space="preserve">En principio, resulta </w:t>
      </w:r>
      <w:r w:rsidRPr="00B01980">
        <w:rPr>
          <w:rFonts w:cs="Tahoma"/>
          <w:iCs/>
        </w:rPr>
        <w:t>necesario traer a colación el Manual para la Planeación, Programación y Presupuesto de Egresos Municipal para el Ejercicio Fiscal dos mil veintidós, que establece los capítulos, subcapítulos, partidas genéricas y específicas de gasto, que se deben establecer en el Presupuesto de Egresos Municipal,</w:t>
      </w:r>
      <w:r w:rsidRPr="00B01980" w:rsidR="006F1D79">
        <w:rPr>
          <w:rFonts w:cs="Tahoma"/>
          <w:iCs/>
        </w:rPr>
        <w:t xml:space="preserve"> entre las cuales, se encuentra</w:t>
      </w:r>
      <w:r w:rsidRPr="00B01980">
        <w:rPr>
          <w:rFonts w:cs="Tahoma"/>
          <w:iCs/>
        </w:rPr>
        <w:t xml:space="preserve"> </w:t>
      </w:r>
      <w:r w:rsidRPr="00B01980" w:rsidR="006F1D79">
        <w:rPr>
          <w:rFonts w:cs="Tahoma"/>
          <w:iCs/>
        </w:rPr>
        <w:t>la</w:t>
      </w:r>
      <w:r w:rsidRPr="00B01980" w:rsidR="00492822">
        <w:rPr>
          <w:rFonts w:cs="Tahoma"/>
          <w:iCs/>
        </w:rPr>
        <w:t xml:space="preserve"> Partida Genérica</w:t>
      </w:r>
      <w:r w:rsidRPr="00B01980" w:rsidR="006F1D79">
        <w:rPr>
          <w:rFonts w:cs="Tahoma"/>
          <w:iCs/>
        </w:rPr>
        <w:t xml:space="preserve"> </w:t>
      </w:r>
      <w:r w:rsidRPr="00B01980" w:rsidR="006F1D79">
        <w:rPr>
          <w:rFonts w:cs="Tahoma"/>
          <w:b/>
          <w:iCs/>
        </w:rPr>
        <w:t xml:space="preserve">3250 Arrendamiento de equipo de transporte, </w:t>
      </w:r>
      <w:r w:rsidRPr="00B01980" w:rsidR="006F1D79">
        <w:rPr>
          <w:rFonts w:cs="Tahoma"/>
          <w:iCs/>
        </w:rPr>
        <w:t xml:space="preserve">que corresponde a las asignaciones </w:t>
      </w:r>
      <w:r w:rsidRPr="00B01980" w:rsidR="006F1D79">
        <w:t>destinadas a cubrir el alquiler de toda clase de equipo de transporte, ya sea terrestre, aeroespacial, marítimo, lacustre y fluvial; además</w:t>
      </w:r>
      <w:r w:rsidRPr="00B01980" w:rsidR="00492822">
        <w:t>, esta se conforma de la Partida Específica</w:t>
      </w:r>
      <w:r w:rsidRPr="00B01980" w:rsidR="006F1D79">
        <w:t xml:space="preserve"> </w:t>
      </w:r>
      <w:r w:rsidRPr="00B01980" w:rsidR="006F1D79">
        <w:rPr>
          <w:b/>
        </w:rPr>
        <w:t>3251</w:t>
      </w:r>
      <w:r w:rsidRPr="00B01980" w:rsidR="006F1D79">
        <w:rPr>
          <w:rFonts w:cs="Tahoma"/>
          <w:iCs/>
        </w:rPr>
        <w:t xml:space="preserve"> </w:t>
      </w:r>
      <w:r w:rsidRPr="00B01980" w:rsidR="006F1D79">
        <w:rPr>
          <w:rFonts w:cs="Tahoma"/>
          <w:b/>
          <w:iCs/>
        </w:rPr>
        <w:t xml:space="preserve">Arrendamiento de Vehículos, </w:t>
      </w:r>
      <w:r w:rsidRPr="00B01980" w:rsidR="006F1D79">
        <w:rPr>
          <w:rFonts w:cs="Tahoma"/>
          <w:iCs/>
        </w:rPr>
        <w:t xml:space="preserve">que corresponde a las asignaciones para </w:t>
      </w:r>
      <w:r w:rsidRPr="00B01980" w:rsidR="006F1D79">
        <w:t>cubrir el alquiler de todo tipo de equipo de transporte terrestre, aéreo y lacustre.</w:t>
      </w:r>
      <w:r w:rsidRPr="00B01980" w:rsidR="006F1D79">
        <w:rPr>
          <w:rFonts w:cs="Tahoma"/>
          <w:iCs/>
        </w:rPr>
        <w:t xml:space="preserve"> </w:t>
      </w:r>
    </w:p>
    <w:p w:rsidRPr="00B01980" w:rsidR="006F1D79" w:rsidP="00492822" w:rsidRDefault="006F1D79" w14:paraId="2394D195" w14:textId="77777777">
      <w:pPr>
        <w:spacing w:after="0" w:line="360" w:lineRule="auto"/>
      </w:pPr>
    </w:p>
    <w:p w:rsidRPr="00B01980" w:rsidR="006F1D79" w:rsidP="00492822" w:rsidRDefault="006F1D79" w14:paraId="472FBF14" w14:textId="26409F7F">
      <w:pPr>
        <w:spacing w:after="0" w:line="360" w:lineRule="auto"/>
      </w:pPr>
      <w:r w:rsidRPr="00B01980">
        <w:t>Conforme a lo anterior,  se logra observar que la pretensión del ahora Recurrente es obtener la información sobre el arrendamiento de veh</w:t>
      </w:r>
      <w:r w:rsidRPr="00B01980" w:rsidR="00492822">
        <w:t>ículos realizada mediante la erogación de recursos de la partida genérica (3250) y específica (3251), del primero de enero al treinta y uno de marzo de dos mil veintidós.</w:t>
      </w:r>
    </w:p>
    <w:p w:rsidRPr="00B01980" w:rsidR="006F1D79" w:rsidP="00492822" w:rsidRDefault="006F1D79" w14:paraId="0DC22E19" w14:textId="77777777">
      <w:pPr>
        <w:spacing w:after="0" w:line="360" w:lineRule="auto"/>
      </w:pPr>
    </w:p>
    <w:p w:rsidRPr="00B01980" w:rsidR="006F1D79" w:rsidP="00492822" w:rsidRDefault="00492822" w14:paraId="63F89867" w14:textId="6C817091">
      <w:pPr>
        <w:spacing w:after="0" w:line="360" w:lineRule="auto"/>
      </w:pPr>
      <w:r w:rsidRPr="00B01980">
        <w:t>Ahora bien, sobre los documentos requeridos</w:t>
      </w:r>
      <w:r w:rsidRPr="00B01980" w:rsidR="006F1D79">
        <w:t xml:space="preserve">, López Olvera, Miguel Alejandro </w:t>
      </w:r>
      <w:proofErr w:type="spellStart"/>
      <w:r w:rsidRPr="00B01980" w:rsidR="006F1D79">
        <w:t>Cancino</w:t>
      </w:r>
      <w:proofErr w:type="spellEnd"/>
      <w:r w:rsidRPr="00B01980" w:rsidR="006F1D79">
        <w:t xml:space="preserve"> Gómez, Rodolfo. (2020). “La Contratación Pública y el Sistema Nacional Anticorrupción”. (p. 4) la </w:t>
      </w:r>
      <w:r w:rsidRPr="00B01980" w:rsidR="006F1D79">
        <w:rPr>
          <w:b/>
        </w:rPr>
        <w:t>contratación pública</w:t>
      </w:r>
      <w:r w:rsidRPr="00B01980" w:rsidR="006F1D79">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rsidRPr="00B01980" w:rsidR="006F1D79" w:rsidP="00492822" w:rsidRDefault="006F1D79" w14:paraId="52FB9483" w14:textId="77777777">
      <w:pPr>
        <w:spacing w:after="0" w:line="360" w:lineRule="auto"/>
      </w:pPr>
    </w:p>
    <w:p w:rsidRPr="00B01980" w:rsidR="00492822" w:rsidP="00492822" w:rsidRDefault="00492822" w14:paraId="0966FB9A" w14:textId="77777777">
      <w:pPr>
        <w:spacing w:after="0" w:line="360" w:lineRule="auto"/>
        <w:rPr>
          <w:rFonts w:eastAsia="Calibri" w:cs="Tahoma"/>
        </w:rPr>
      </w:pPr>
      <w:r w:rsidRPr="00B01980">
        <w:rPr>
          <w:rFonts w:eastAsia="Calibri" w:cs="Times New Roman"/>
        </w:rPr>
        <w:t xml:space="preserve">En ese contexto, </w:t>
      </w:r>
      <w:r w:rsidRPr="00B01980">
        <w:rPr>
          <w:rFonts w:eastAsia="Calibri" w:cs="Tahoma"/>
        </w:rPr>
        <w:t xml:space="preserve">los artículos 1°, fracción III, y 4° 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w:t>
      </w:r>
      <w:r w:rsidRPr="00B01980">
        <w:rPr>
          <w:rFonts w:eastAsia="Calibri" w:cs="Tahoma"/>
        </w:rPr>
        <w:lastRenderedPageBreak/>
        <w:t xml:space="preserve">y </w:t>
      </w:r>
      <w:r w:rsidRPr="00B01980">
        <w:rPr>
          <w:rFonts w:eastAsia="Calibri" w:cs="Tahoma"/>
          <w:b/>
          <w:bCs/>
        </w:rPr>
        <w:t>la contratación de servicios de cualquier naturaleza,</w:t>
      </w:r>
      <w:r w:rsidRPr="00B01980">
        <w:rPr>
          <w:rFonts w:eastAsia="Calibri" w:cs="Tahoma"/>
        </w:rPr>
        <w:t xml:space="preserve"> que realicen los Ayuntamientos de los Municipios. </w:t>
      </w:r>
    </w:p>
    <w:p w:rsidRPr="00B01980" w:rsidR="00492822" w:rsidP="00492822" w:rsidRDefault="00492822" w14:paraId="4ECEE723" w14:textId="77777777">
      <w:pPr>
        <w:spacing w:after="0" w:line="360" w:lineRule="auto"/>
        <w:rPr>
          <w:rFonts w:eastAsia="Calibri" w:cs="Tahoma"/>
        </w:rPr>
      </w:pPr>
    </w:p>
    <w:p w:rsidRPr="00B01980" w:rsidR="00492822" w:rsidP="00492822" w:rsidRDefault="00492822" w14:paraId="7285F949" w14:textId="77777777">
      <w:pPr>
        <w:spacing w:after="0" w:line="360" w:lineRule="auto"/>
        <w:rPr>
          <w:rFonts w:eastAsia="Calibri" w:cs="Tahoma"/>
          <w:b/>
          <w:bCs/>
        </w:rPr>
      </w:pPr>
      <w:r w:rsidRPr="00B01980">
        <w:rPr>
          <w:rFonts w:eastAsia="Calibri" w:cs="Tahoma"/>
        </w:rPr>
        <w:t xml:space="preserve">Además, conforme a los artículos 26 y 27 de dicho ordenamiento jurídico, las adquisiciones, arrendamientos y servicios, se adjudicarán a través de procedimientos de </w:t>
      </w:r>
      <w:r w:rsidRPr="00B01980">
        <w:rPr>
          <w:rFonts w:eastAsia="Calibri" w:cs="Tahoma"/>
          <w:b/>
          <w:bCs/>
        </w:rPr>
        <w:t>licitación pública, invitación restringida y adjudicación directa.</w:t>
      </w:r>
    </w:p>
    <w:p w:rsidRPr="00B01980" w:rsidR="00492822" w:rsidP="00492822" w:rsidRDefault="00492822" w14:paraId="18B961FA" w14:textId="77777777">
      <w:pPr>
        <w:spacing w:after="0" w:line="360" w:lineRule="auto"/>
        <w:rPr>
          <w:rFonts w:eastAsia="Calibri" w:cs="Tahoma"/>
          <w:b/>
          <w:bCs/>
        </w:rPr>
      </w:pPr>
    </w:p>
    <w:p w:rsidRPr="00B01980" w:rsidR="00492822" w:rsidP="00492822" w:rsidRDefault="00492822" w14:paraId="1AF0826C" w14:textId="77777777">
      <w:pPr>
        <w:spacing w:after="0" w:line="360" w:lineRule="auto"/>
        <w:rPr>
          <w:rFonts w:cs="Tahoma"/>
        </w:rPr>
      </w:pPr>
      <w:r w:rsidRPr="00B01980">
        <w:rPr>
          <w:rFonts w:cs="Tahoma"/>
        </w:rPr>
        <w:t xml:space="preserve">En ese orden de ideas, conforme al artículo 65 de la Ley de Contratación Pública del Estado de México y Municipios, la adjudicación de un procedimiento de </w:t>
      </w:r>
      <w:r w:rsidRPr="00B01980">
        <w:rPr>
          <w:rFonts w:cs="Tahoma"/>
          <w:b/>
          <w:bCs/>
        </w:rPr>
        <w:t>adquisición y arrendamiento de bienes y contratación de servicios</w:t>
      </w:r>
      <w:r w:rsidRPr="00B01980">
        <w:rPr>
          <w:rFonts w:cs="Tahoma"/>
        </w:rPr>
        <w:t xml:space="preserve"> se realizará mediante la suscripción de un contrato, entre el Ayuntamiento y la persona a la cual haya ganado el procedimiento respectivo, dentro de los diez días hábiles siguientes a la notificación del fallo.</w:t>
      </w:r>
    </w:p>
    <w:p w:rsidRPr="00B01980" w:rsidR="00492822" w:rsidP="00492822" w:rsidRDefault="00492822" w14:paraId="17C83178" w14:textId="77777777">
      <w:pPr>
        <w:spacing w:after="0" w:line="360" w:lineRule="auto"/>
        <w:rPr>
          <w:rFonts w:cs="Tahoma"/>
        </w:rPr>
      </w:pPr>
    </w:p>
    <w:p w:rsidRPr="00B01980" w:rsidR="006F1D79" w:rsidP="00492822" w:rsidRDefault="006F1D79" w14:paraId="4BF937AB" w14:textId="77777777">
      <w:pPr>
        <w:spacing w:after="0" w:line="360" w:lineRule="auto"/>
        <w:rPr>
          <w:rFonts w:cs="Tahoma"/>
          <w:iCs/>
        </w:rPr>
      </w:pPr>
      <w:r w:rsidRPr="00B01980">
        <w:rPr>
          <w:rFonts w:cs="Tahoma"/>
          <w:lang w:val="es-ES"/>
        </w:rPr>
        <w:t xml:space="preserve">Así mismo, el artículo 92, fracción XXIX, de la Ley de Transparencia y Acceso a la Información Pública del Estado de México y Municipios, </w:t>
      </w:r>
      <w:r w:rsidRPr="00B01980">
        <w:rPr>
          <w:rFonts w:cs="Tahoma"/>
          <w:iCs/>
        </w:rPr>
        <w:t xml:space="preserve">precisa que es </w:t>
      </w:r>
      <w:r w:rsidRPr="00B01980">
        <w:rPr>
          <w:rFonts w:cs="Tahoma"/>
          <w:b/>
          <w:iCs/>
        </w:rPr>
        <w:t xml:space="preserve">información que es pública de oficio, </w:t>
      </w:r>
      <w:r w:rsidRPr="00B01980">
        <w:rPr>
          <w:rFonts w:cs="Tahoma"/>
          <w:iCs/>
        </w:rPr>
        <w:t>la</w:t>
      </w:r>
      <w:r w:rsidRPr="00B01980">
        <w:rPr>
          <w:rFonts w:cs="Tahoma"/>
          <w:b/>
          <w:iCs/>
        </w:rPr>
        <w:t xml:space="preserve"> </w:t>
      </w:r>
      <w:r w:rsidRPr="00B01980">
        <w:rPr>
          <w:rFonts w:cs="Tahoma"/>
          <w:iCs/>
        </w:rPr>
        <w:t xml:space="preserve">documentación sobre los procesos y resultados sobre procedimientos de adjudicación directa, invitación restringida y licitación de pública, </w:t>
      </w:r>
      <w:r w:rsidRPr="00B01980">
        <w:rPr>
          <w:rFonts w:cs="Tahoma"/>
          <w:b/>
          <w:iCs/>
        </w:rPr>
        <w:t>que incluye la versión pública del expediente respectivo y de los contratos celebrados,</w:t>
      </w:r>
      <w:r w:rsidRPr="00B01980">
        <w:rPr>
          <w:rFonts w:cs="Tahoma"/>
          <w:iCs/>
        </w:rPr>
        <w:t xml:space="preserve"> a saber, la siguiente:</w:t>
      </w:r>
    </w:p>
    <w:p w:rsidRPr="00B01980" w:rsidR="00492822" w:rsidP="00492822" w:rsidRDefault="00492822" w14:paraId="761E7FF6" w14:textId="77777777">
      <w:pPr>
        <w:spacing w:after="0" w:line="360" w:lineRule="auto"/>
        <w:rPr>
          <w:rFonts w:cs="Tahoma"/>
          <w:iCs/>
        </w:rPr>
      </w:pPr>
    </w:p>
    <w:tbl>
      <w:tblPr>
        <w:tblStyle w:val="Tablaconcuadrcula"/>
        <w:tblW w:w="0" w:type="auto"/>
        <w:tblLook w:val="04A0" w:firstRow="1" w:lastRow="0" w:firstColumn="1" w:lastColumn="0" w:noHBand="0" w:noVBand="1"/>
      </w:tblPr>
      <w:tblGrid>
        <w:gridCol w:w="3011"/>
        <w:gridCol w:w="3011"/>
        <w:gridCol w:w="3012"/>
      </w:tblGrid>
      <w:tr w:rsidRPr="00B01980" w:rsidR="006F1D79" w:rsidTr="00D26877" w14:paraId="47B50F18" w14:textId="77777777">
        <w:tc>
          <w:tcPr>
            <w:tcW w:w="3011" w:type="dxa"/>
            <w:shd w:val="clear" w:color="auto" w:fill="D9D9D9" w:themeFill="background1" w:themeFillShade="D9"/>
          </w:tcPr>
          <w:p w:rsidRPr="00B01980" w:rsidR="006F1D79" w:rsidP="00492822" w:rsidRDefault="006F1D79" w14:paraId="32D9672D" w14:textId="77777777">
            <w:pPr>
              <w:spacing w:line="360" w:lineRule="auto"/>
              <w:ind w:right="-93"/>
              <w:jc w:val="center"/>
              <w:rPr>
                <w:rFonts w:eastAsia="Calibri" w:cs="Tahoma"/>
                <w:b/>
                <w:iCs/>
                <w:sz w:val="18"/>
                <w:szCs w:val="18"/>
                <w:lang w:val="es-MX" w:eastAsia="es-ES_tradnl"/>
              </w:rPr>
            </w:pPr>
            <w:r w:rsidRPr="00B01980">
              <w:rPr>
                <w:rFonts w:eastAsia="Calibri" w:cs="Tahoma"/>
                <w:b/>
                <w:iCs/>
                <w:sz w:val="18"/>
                <w:szCs w:val="18"/>
                <w:lang w:val="es-MX" w:eastAsia="es-ES_tradnl"/>
              </w:rPr>
              <w:t>Licitación Pública</w:t>
            </w:r>
          </w:p>
        </w:tc>
        <w:tc>
          <w:tcPr>
            <w:tcW w:w="3011" w:type="dxa"/>
            <w:shd w:val="clear" w:color="auto" w:fill="D9D9D9" w:themeFill="background1" w:themeFillShade="D9"/>
          </w:tcPr>
          <w:p w:rsidRPr="00B01980" w:rsidR="006F1D79" w:rsidP="00492822" w:rsidRDefault="006F1D79" w14:paraId="5957EAD5" w14:textId="77777777">
            <w:pPr>
              <w:spacing w:line="360" w:lineRule="auto"/>
              <w:ind w:right="-93"/>
              <w:jc w:val="center"/>
              <w:rPr>
                <w:rFonts w:eastAsia="Calibri" w:cs="Tahoma"/>
                <w:b/>
                <w:iCs/>
                <w:sz w:val="18"/>
                <w:szCs w:val="18"/>
                <w:lang w:val="es-MX" w:eastAsia="es-ES_tradnl"/>
              </w:rPr>
            </w:pPr>
            <w:r w:rsidRPr="00B01980">
              <w:rPr>
                <w:rFonts w:eastAsia="Calibri" w:cs="Tahoma"/>
                <w:b/>
                <w:iCs/>
                <w:sz w:val="18"/>
                <w:szCs w:val="18"/>
                <w:lang w:val="es-MX" w:eastAsia="es-ES_tradnl"/>
              </w:rPr>
              <w:t>Invitación Restringida</w:t>
            </w:r>
          </w:p>
        </w:tc>
        <w:tc>
          <w:tcPr>
            <w:tcW w:w="3012" w:type="dxa"/>
            <w:shd w:val="clear" w:color="auto" w:fill="D9D9D9" w:themeFill="background1" w:themeFillShade="D9"/>
          </w:tcPr>
          <w:p w:rsidRPr="00B01980" w:rsidR="006F1D79" w:rsidP="00492822" w:rsidRDefault="006F1D79" w14:paraId="1CD8E425" w14:textId="77777777">
            <w:pPr>
              <w:spacing w:line="360" w:lineRule="auto"/>
              <w:ind w:right="-93"/>
              <w:jc w:val="center"/>
              <w:rPr>
                <w:rFonts w:eastAsia="Calibri" w:cs="Tahoma"/>
                <w:b/>
                <w:iCs/>
                <w:sz w:val="18"/>
                <w:szCs w:val="18"/>
                <w:lang w:val="es-MX" w:eastAsia="es-ES_tradnl"/>
              </w:rPr>
            </w:pPr>
            <w:r w:rsidRPr="00B01980">
              <w:rPr>
                <w:rFonts w:eastAsia="Calibri" w:cs="Tahoma"/>
                <w:b/>
                <w:iCs/>
                <w:sz w:val="18"/>
                <w:szCs w:val="18"/>
                <w:lang w:val="es-MX" w:eastAsia="es-ES_tradnl"/>
              </w:rPr>
              <w:t>Adjudicación Directa</w:t>
            </w:r>
          </w:p>
        </w:tc>
      </w:tr>
      <w:tr w:rsidRPr="00B01980" w:rsidR="006F1D79" w:rsidTr="00D26877" w14:paraId="0E9A65BD" w14:textId="77777777">
        <w:tc>
          <w:tcPr>
            <w:tcW w:w="3011" w:type="dxa"/>
          </w:tcPr>
          <w:p w:rsidRPr="00B01980" w:rsidR="006F1D79" w:rsidP="00492822" w:rsidRDefault="006F1D79" w14:paraId="0810F9A4"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Convocatoria y fundamentos legales</w:t>
            </w:r>
          </w:p>
        </w:tc>
        <w:tc>
          <w:tcPr>
            <w:tcW w:w="3011" w:type="dxa"/>
          </w:tcPr>
          <w:p w:rsidRPr="00B01980" w:rsidR="006F1D79" w:rsidP="00492822" w:rsidRDefault="006F1D79" w14:paraId="0E45CDF7"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Invitación y fundamentos legales</w:t>
            </w:r>
          </w:p>
        </w:tc>
        <w:tc>
          <w:tcPr>
            <w:tcW w:w="3012" w:type="dxa"/>
          </w:tcPr>
          <w:p w:rsidRPr="00B01980" w:rsidR="006F1D79" w:rsidP="00492822" w:rsidRDefault="006F1D79" w14:paraId="26FB37DA"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Propuesta enviada por el participante</w:t>
            </w:r>
          </w:p>
        </w:tc>
      </w:tr>
      <w:tr w:rsidRPr="00B01980" w:rsidR="006F1D79" w:rsidTr="00D26877" w14:paraId="7D132A86" w14:textId="77777777">
        <w:tc>
          <w:tcPr>
            <w:tcW w:w="3011" w:type="dxa"/>
          </w:tcPr>
          <w:p w:rsidRPr="00B01980" w:rsidR="006F1D79" w:rsidP="00492822" w:rsidRDefault="006F1D79" w14:paraId="543DB855"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Nombre de los participantes</w:t>
            </w:r>
          </w:p>
        </w:tc>
        <w:tc>
          <w:tcPr>
            <w:tcW w:w="3011" w:type="dxa"/>
          </w:tcPr>
          <w:p w:rsidRPr="00B01980" w:rsidR="006F1D79" w:rsidP="00492822" w:rsidRDefault="006F1D79" w14:paraId="5ED58951"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Nombre de los invitados</w:t>
            </w:r>
          </w:p>
        </w:tc>
        <w:tc>
          <w:tcPr>
            <w:tcW w:w="3012" w:type="dxa"/>
          </w:tcPr>
          <w:p w:rsidRPr="00B01980" w:rsidR="006F1D79" w:rsidP="00492822" w:rsidRDefault="006F1D79" w14:paraId="4101CC9B"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Motivos y fundamentos legales aplicados para llevar a cabo la adjudicación</w:t>
            </w:r>
          </w:p>
        </w:tc>
      </w:tr>
      <w:tr w:rsidRPr="00B01980" w:rsidR="006F1D79" w:rsidTr="00D26877" w14:paraId="1A4538F1" w14:textId="77777777">
        <w:tc>
          <w:tcPr>
            <w:tcW w:w="3011" w:type="dxa"/>
          </w:tcPr>
          <w:p w:rsidRPr="00B01980" w:rsidR="006F1D79" w:rsidP="00492822" w:rsidRDefault="006F1D79" w14:paraId="63535D2D"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Nombre del ganador y razones que lo justifican</w:t>
            </w:r>
          </w:p>
        </w:tc>
        <w:tc>
          <w:tcPr>
            <w:tcW w:w="3011" w:type="dxa"/>
          </w:tcPr>
          <w:p w:rsidRPr="00B01980" w:rsidR="006F1D79" w:rsidP="00492822" w:rsidRDefault="006F1D79" w14:paraId="102A62FD"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Nombre del ganador y razones que lo justifican</w:t>
            </w:r>
          </w:p>
        </w:tc>
        <w:tc>
          <w:tcPr>
            <w:tcW w:w="3012" w:type="dxa"/>
          </w:tcPr>
          <w:p w:rsidRPr="00B01980" w:rsidR="006F1D79" w:rsidP="00492822" w:rsidRDefault="006F1D79" w14:paraId="45243D01"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Autorización del ejercicio de la opción</w:t>
            </w:r>
          </w:p>
        </w:tc>
      </w:tr>
      <w:tr w:rsidRPr="00B01980" w:rsidR="006F1D79" w:rsidTr="00D26877" w14:paraId="76D26982" w14:textId="77777777">
        <w:tc>
          <w:tcPr>
            <w:tcW w:w="3011" w:type="dxa"/>
          </w:tcPr>
          <w:p w:rsidRPr="00B01980" w:rsidR="006F1D79" w:rsidP="00492822" w:rsidRDefault="006F1D79" w14:paraId="6CA62667"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val="es-MX" w:eastAsia="es-ES_tradnl"/>
              </w:rPr>
              <w:lastRenderedPageBreak/>
              <w:t>La unidad administrativa solicitante y responsable de la ejecución</w:t>
            </w:r>
          </w:p>
        </w:tc>
        <w:tc>
          <w:tcPr>
            <w:tcW w:w="3011" w:type="dxa"/>
          </w:tcPr>
          <w:p w:rsidRPr="00B01980" w:rsidR="006F1D79" w:rsidP="00492822" w:rsidRDefault="006F1D79" w14:paraId="3D1C27BE"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val="es-MX" w:eastAsia="es-ES_tradnl"/>
              </w:rPr>
              <w:t>La unidad administrativa solicitante y responsable de la ejecución</w:t>
            </w:r>
          </w:p>
        </w:tc>
        <w:tc>
          <w:tcPr>
            <w:tcW w:w="3012" w:type="dxa"/>
          </w:tcPr>
          <w:p w:rsidRPr="00B01980" w:rsidR="006F1D79" w:rsidP="00492822" w:rsidRDefault="006F1D79" w14:paraId="7C2D7445"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eastAsia="es-ES_tradnl"/>
              </w:rPr>
              <w:t>Cotizaciones consideradas, especificando el nombre de los proveedores y sus montos</w:t>
            </w:r>
          </w:p>
        </w:tc>
      </w:tr>
      <w:tr w:rsidRPr="00B01980" w:rsidR="006F1D79" w:rsidTr="00D26877" w14:paraId="26DB6857" w14:textId="77777777">
        <w:tc>
          <w:tcPr>
            <w:tcW w:w="3011" w:type="dxa"/>
          </w:tcPr>
          <w:p w:rsidRPr="00B01980" w:rsidR="006F1D79" w:rsidP="00492822" w:rsidRDefault="006F1D79" w14:paraId="0126968B"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Convocatorias emitidas</w:t>
            </w:r>
          </w:p>
        </w:tc>
        <w:tc>
          <w:tcPr>
            <w:tcW w:w="3011" w:type="dxa"/>
          </w:tcPr>
          <w:p w:rsidRPr="00B01980" w:rsidR="006F1D79" w:rsidP="00492822" w:rsidRDefault="006F1D79" w14:paraId="4069FEC7"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Invitaciones emitidas</w:t>
            </w:r>
          </w:p>
        </w:tc>
        <w:tc>
          <w:tcPr>
            <w:tcW w:w="3012" w:type="dxa"/>
          </w:tcPr>
          <w:p w:rsidRPr="00B01980" w:rsidR="006F1D79" w:rsidP="00492822" w:rsidRDefault="006F1D79" w14:paraId="3D5FFF8C"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Nombre de la persona física o jurídica colectiva adjudicada</w:t>
            </w:r>
          </w:p>
        </w:tc>
      </w:tr>
      <w:tr w:rsidRPr="00B01980" w:rsidR="006F1D79" w:rsidTr="00D26877" w14:paraId="6FBD9630" w14:textId="77777777">
        <w:tc>
          <w:tcPr>
            <w:tcW w:w="3011" w:type="dxa"/>
          </w:tcPr>
          <w:p w:rsidRPr="00B01980" w:rsidR="006F1D79" w:rsidP="00492822" w:rsidRDefault="006F1D79" w14:paraId="4A3E9A36"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eastAsia="es-ES_tradnl"/>
              </w:rPr>
              <w:t>Dictámenes y fallos</w:t>
            </w:r>
          </w:p>
        </w:tc>
        <w:tc>
          <w:tcPr>
            <w:tcW w:w="3011" w:type="dxa"/>
          </w:tcPr>
          <w:p w:rsidRPr="00B01980" w:rsidR="006F1D79" w:rsidP="00492822" w:rsidRDefault="006F1D79" w14:paraId="5EAEE3D4"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eastAsia="es-ES_tradnl"/>
              </w:rPr>
              <w:t>Dictámenes y fallos</w:t>
            </w:r>
          </w:p>
        </w:tc>
        <w:tc>
          <w:tcPr>
            <w:tcW w:w="3012" w:type="dxa"/>
          </w:tcPr>
          <w:p w:rsidRPr="00B01980" w:rsidR="006F1D79" w:rsidP="00492822" w:rsidRDefault="006F1D79" w14:paraId="76673087"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val="es-MX" w:eastAsia="es-ES_tradnl"/>
              </w:rPr>
              <w:t>La unidad administrativa solicitante y responsable de la ejecución</w:t>
            </w:r>
          </w:p>
        </w:tc>
      </w:tr>
      <w:tr w:rsidRPr="00B01980" w:rsidR="006F1D79" w:rsidTr="00D26877" w14:paraId="47C619BD" w14:textId="77777777">
        <w:tc>
          <w:tcPr>
            <w:tcW w:w="3011" w:type="dxa"/>
          </w:tcPr>
          <w:p w:rsidRPr="00B01980" w:rsidR="006F1D79" w:rsidP="00492822" w:rsidRDefault="006F1D79" w14:paraId="5737A60C"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eastAsia="es-ES_tradnl"/>
              </w:rPr>
              <w:t>Contrato y anexos</w:t>
            </w:r>
          </w:p>
        </w:tc>
        <w:tc>
          <w:tcPr>
            <w:tcW w:w="3011" w:type="dxa"/>
          </w:tcPr>
          <w:p w:rsidRPr="00B01980" w:rsidR="006F1D79" w:rsidP="00492822" w:rsidRDefault="006F1D79" w14:paraId="0CEA08E2"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eastAsia="es-ES_tradnl"/>
              </w:rPr>
              <w:t>Contrato y anexos</w:t>
            </w:r>
          </w:p>
        </w:tc>
        <w:tc>
          <w:tcPr>
            <w:tcW w:w="3012" w:type="dxa"/>
          </w:tcPr>
          <w:p w:rsidRPr="00B01980" w:rsidR="006F1D79" w:rsidP="00492822" w:rsidRDefault="006F1D79" w14:paraId="09637682" w14:textId="77777777">
            <w:pPr>
              <w:spacing w:line="360" w:lineRule="auto"/>
              <w:ind w:right="-93"/>
              <w:jc w:val="center"/>
              <w:rPr>
                <w:rFonts w:eastAsia="Calibri" w:cs="Tahoma"/>
                <w:iCs/>
                <w:sz w:val="18"/>
                <w:szCs w:val="18"/>
                <w:lang w:eastAsia="es-ES_tradnl"/>
              </w:rPr>
            </w:pPr>
            <w:r w:rsidRPr="00B01980">
              <w:rPr>
                <w:rFonts w:eastAsia="Calibri" w:cs="Tahoma"/>
                <w:iCs/>
                <w:sz w:val="18"/>
                <w:szCs w:val="18"/>
                <w:lang w:val="es-MX" w:eastAsia="es-ES_tradnl"/>
              </w:rPr>
              <w:t>Número, fecha, monto del contrato, el plazo de entrega o de ejecución de los servicios de obra.</w:t>
            </w:r>
          </w:p>
        </w:tc>
      </w:tr>
      <w:tr w:rsidRPr="00B01980" w:rsidR="006F1D79" w:rsidTr="00D26877" w14:paraId="39F37BDB" w14:textId="77777777">
        <w:tc>
          <w:tcPr>
            <w:tcW w:w="3011" w:type="dxa"/>
          </w:tcPr>
          <w:p w:rsidRPr="00B01980" w:rsidR="006F1D79" w:rsidP="00492822" w:rsidRDefault="006F1D79" w14:paraId="15D65090"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Los mecanismos de vigilancia y supervisión</w:t>
            </w:r>
          </w:p>
        </w:tc>
        <w:tc>
          <w:tcPr>
            <w:tcW w:w="3011" w:type="dxa"/>
          </w:tcPr>
          <w:p w:rsidRPr="00B01980" w:rsidR="006F1D79" w:rsidP="00492822" w:rsidRDefault="006F1D79" w14:paraId="59DD632D"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Los mecanismos de vigilancia y supervisión</w:t>
            </w:r>
          </w:p>
        </w:tc>
        <w:tc>
          <w:tcPr>
            <w:tcW w:w="3012" w:type="dxa"/>
          </w:tcPr>
          <w:p w:rsidRPr="00B01980" w:rsidR="006F1D79" w:rsidP="00492822" w:rsidRDefault="006F1D79" w14:paraId="1D329E66"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Los mecanismos de vigilancia y supervisión</w:t>
            </w:r>
          </w:p>
        </w:tc>
      </w:tr>
      <w:tr w:rsidRPr="00B01980" w:rsidR="006F1D79" w:rsidTr="00D26877" w14:paraId="7208D272" w14:textId="77777777">
        <w:tc>
          <w:tcPr>
            <w:tcW w:w="3011" w:type="dxa"/>
          </w:tcPr>
          <w:p w:rsidRPr="00B01980" w:rsidR="006F1D79" w:rsidP="00492822" w:rsidRDefault="006F1D79" w14:paraId="4CE3615E"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La partida presupuestal</w:t>
            </w:r>
          </w:p>
        </w:tc>
        <w:tc>
          <w:tcPr>
            <w:tcW w:w="3011" w:type="dxa"/>
          </w:tcPr>
          <w:p w:rsidRPr="00B01980" w:rsidR="006F1D79" w:rsidP="00492822" w:rsidRDefault="006F1D79" w14:paraId="4A1B20B3"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La partida presupuestal</w:t>
            </w:r>
          </w:p>
        </w:tc>
        <w:tc>
          <w:tcPr>
            <w:tcW w:w="3012" w:type="dxa"/>
          </w:tcPr>
          <w:p w:rsidRPr="00B01980" w:rsidR="006F1D79" w:rsidP="00492822" w:rsidRDefault="006F1D79" w14:paraId="0DC24CCB"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Informes de avances físicos y financieros</w:t>
            </w:r>
          </w:p>
        </w:tc>
      </w:tr>
      <w:tr w:rsidRPr="00B01980" w:rsidR="006F1D79" w:rsidTr="00D26877" w14:paraId="1F2DE3A0" w14:textId="77777777">
        <w:tc>
          <w:tcPr>
            <w:tcW w:w="3011" w:type="dxa"/>
          </w:tcPr>
          <w:p w:rsidRPr="00B01980" w:rsidR="006F1D79" w:rsidP="00492822" w:rsidRDefault="006F1D79" w14:paraId="577E6349"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Origen de los recursos, así como el tipo de fondo de participación o aportación respectiva</w:t>
            </w:r>
          </w:p>
        </w:tc>
        <w:tc>
          <w:tcPr>
            <w:tcW w:w="3011" w:type="dxa"/>
          </w:tcPr>
          <w:p w:rsidRPr="00B01980" w:rsidR="006F1D79" w:rsidP="00492822" w:rsidRDefault="006F1D79" w14:paraId="26B3DBBC"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Origen de los recursos, así como el tipo de fondo de participación o aportación respectiva</w:t>
            </w:r>
          </w:p>
        </w:tc>
        <w:tc>
          <w:tcPr>
            <w:tcW w:w="3012" w:type="dxa"/>
          </w:tcPr>
          <w:p w:rsidRPr="00B01980" w:rsidR="006F1D79" w:rsidP="00492822" w:rsidRDefault="006F1D79" w14:paraId="5D018A92"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Convenio de terminación</w:t>
            </w:r>
          </w:p>
        </w:tc>
      </w:tr>
      <w:tr w:rsidRPr="00B01980" w:rsidR="006F1D79" w:rsidTr="00D26877" w14:paraId="01CFE09A" w14:textId="77777777">
        <w:tc>
          <w:tcPr>
            <w:tcW w:w="3011" w:type="dxa"/>
          </w:tcPr>
          <w:p w:rsidRPr="00B01980" w:rsidR="006F1D79" w:rsidP="00492822" w:rsidRDefault="006F1D79" w14:paraId="3E8229C5"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Convenios modificatorios</w:t>
            </w:r>
          </w:p>
        </w:tc>
        <w:tc>
          <w:tcPr>
            <w:tcW w:w="3011" w:type="dxa"/>
          </w:tcPr>
          <w:p w:rsidRPr="00B01980" w:rsidR="006F1D79" w:rsidP="00492822" w:rsidRDefault="006F1D79" w14:paraId="228950B2"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Convenios modificatorios</w:t>
            </w:r>
          </w:p>
        </w:tc>
        <w:tc>
          <w:tcPr>
            <w:tcW w:w="3012" w:type="dxa"/>
          </w:tcPr>
          <w:p w:rsidRPr="00B01980" w:rsidR="006F1D79" w:rsidP="00492822" w:rsidRDefault="006F1D79" w14:paraId="08E9863F" w14:textId="77777777">
            <w:pPr>
              <w:spacing w:line="360" w:lineRule="auto"/>
              <w:ind w:right="-93"/>
              <w:jc w:val="center"/>
              <w:rPr>
                <w:rFonts w:eastAsia="Calibri" w:cs="Tahoma"/>
                <w:iCs/>
                <w:sz w:val="18"/>
                <w:szCs w:val="18"/>
                <w:lang w:val="es-MX" w:eastAsia="es-ES_tradnl"/>
              </w:rPr>
            </w:pPr>
            <w:r w:rsidRPr="00B01980">
              <w:rPr>
                <w:rFonts w:eastAsia="Calibri" w:cs="Tahoma"/>
                <w:iCs/>
                <w:sz w:val="18"/>
                <w:szCs w:val="18"/>
                <w:lang w:val="es-MX" w:eastAsia="es-ES_tradnl"/>
              </w:rPr>
              <w:t>Finiquito</w:t>
            </w:r>
          </w:p>
        </w:tc>
      </w:tr>
      <w:tr w:rsidRPr="00B01980" w:rsidR="006F1D79" w:rsidTr="00D26877" w14:paraId="5994C807" w14:textId="77777777">
        <w:tc>
          <w:tcPr>
            <w:tcW w:w="3011" w:type="dxa"/>
          </w:tcPr>
          <w:p w:rsidRPr="00B01980" w:rsidR="006F1D79" w:rsidP="00492822" w:rsidRDefault="006F1D79" w14:paraId="1EE832E3" w14:textId="77777777">
            <w:pPr>
              <w:spacing w:line="360" w:lineRule="auto"/>
              <w:ind w:right="-93"/>
              <w:jc w:val="center"/>
              <w:rPr>
                <w:rFonts w:eastAsia="Calibri" w:cs="Tahoma"/>
                <w:bCs/>
                <w:iCs/>
                <w:sz w:val="18"/>
                <w:szCs w:val="18"/>
                <w:lang w:val="es-MX" w:eastAsia="es-ES_tradnl"/>
              </w:rPr>
            </w:pPr>
            <w:r w:rsidRPr="00B01980">
              <w:rPr>
                <w:rFonts w:eastAsia="Calibri" w:cs="Tahoma"/>
                <w:bCs/>
                <w:iCs/>
                <w:sz w:val="18"/>
                <w:szCs w:val="18"/>
                <w:lang w:val="es-MX" w:eastAsia="es-ES_tradnl"/>
              </w:rPr>
              <w:t>Informes de avances físicos y financieros</w:t>
            </w:r>
          </w:p>
        </w:tc>
        <w:tc>
          <w:tcPr>
            <w:tcW w:w="3011" w:type="dxa"/>
          </w:tcPr>
          <w:p w:rsidRPr="00B01980" w:rsidR="006F1D79" w:rsidP="00492822" w:rsidRDefault="006F1D79" w14:paraId="4CF4F81F" w14:textId="77777777">
            <w:pPr>
              <w:spacing w:line="360" w:lineRule="auto"/>
              <w:ind w:right="-93"/>
              <w:jc w:val="center"/>
              <w:rPr>
                <w:rFonts w:eastAsia="Calibri" w:cs="Tahoma"/>
                <w:bCs/>
                <w:iCs/>
                <w:sz w:val="18"/>
                <w:szCs w:val="18"/>
                <w:lang w:val="es-MX" w:eastAsia="es-ES_tradnl"/>
              </w:rPr>
            </w:pPr>
            <w:r w:rsidRPr="00B01980">
              <w:rPr>
                <w:rFonts w:eastAsia="Calibri" w:cs="Tahoma"/>
                <w:bCs/>
                <w:iCs/>
                <w:sz w:val="18"/>
                <w:szCs w:val="18"/>
                <w:lang w:val="es-MX" w:eastAsia="es-ES_tradnl"/>
              </w:rPr>
              <w:t>Informes de avances físicos y financieros</w:t>
            </w:r>
          </w:p>
        </w:tc>
        <w:tc>
          <w:tcPr>
            <w:tcW w:w="3012" w:type="dxa"/>
          </w:tcPr>
          <w:p w:rsidRPr="00B01980" w:rsidR="006F1D79" w:rsidP="00492822" w:rsidRDefault="006F1D79" w14:paraId="6CDF9CF1" w14:textId="77777777">
            <w:pPr>
              <w:spacing w:line="360" w:lineRule="auto"/>
              <w:ind w:right="-93"/>
              <w:jc w:val="center"/>
              <w:rPr>
                <w:rFonts w:eastAsia="Calibri" w:cs="Tahoma"/>
                <w:iCs/>
                <w:sz w:val="18"/>
                <w:szCs w:val="18"/>
                <w:lang w:val="es-MX" w:eastAsia="es-ES_tradnl"/>
              </w:rPr>
            </w:pPr>
          </w:p>
        </w:tc>
      </w:tr>
      <w:tr w:rsidRPr="00B01980" w:rsidR="006F1D79" w:rsidTr="00D26877" w14:paraId="382652C7" w14:textId="77777777">
        <w:tc>
          <w:tcPr>
            <w:tcW w:w="3011" w:type="dxa"/>
          </w:tcPr>
          <w:p w:rsidRPr="00B01980" w:rsidR="006F1D79" w:rsidP="00492822" w:rsidRDefault="006F1D79" w14:paraId="3BCAA5C3" w14:textId="77777777">
            <w:pPr>
              <w:spacing w:line="360" w:lineRule="auto"/>
              <w:ind w:right="-93"/>
              <w:jc w:val="center"/>
              <w:rPr>
                <w:rFonts w:eastAsia="Calibri" w:cs="Tahoma"/>
                <w:bCs/>
                <w:iCs/>
                <w:sz w:val="18"/>
                <w:szCs w:val="18"/>
                <w:lang w:val="es-MX" w:eastAsia="es-ES_tradnl"/>
              </w:rPr>
            </w:pPr>
            <w:r w:rsidRPr="00B01980">
              <w:rPr>
                <w:rFonts w:eastAsia="Calibri" w:cs="Tahoma"/>
                <w:bCs/>
                <w:iCs/>
                <w:sz w:val="18"/>
                <w:szCs w:val="18"/>
                <w:lang w:val="es-MX" w:eastAsia="es-ES_tradnl"/>
              </w:rPr>
              <w:t>Convenio de terminación</w:t>
            </w:r>
          </w:p>
        </w:tc>
        <w:tc>
          <w:tcPr>
            <w:tcW w:w="3011" w:type="dxa"/>
          </w:tcPr>
          <w:p w:rsidRPr="00B01980" w:rsidR="006F1D79" w:rsidP="00492822" w:rsidRDefault="006F1D79" w14:paraId="6845EEEC" w14:textId="77777777">
            <w:pPr>
              <w:spacing w:line="360" w:lineRule="auto"/>
              <w:ind w:right="-93"/>
              <w:jc w:val="center"/>
              <w:rPr>
                <w:rFonts w:eastAsia="Calibri" w:cs="Tahoma"/>
                <w:bCs/>
                <w:iCs/>
                <w:sz w:val="18"/>
                <w:szCs w:val="18"/>
                <w:lang w:val="es-MX" w:eastAsia="es-ES_tradnl"/>
              </w:rPr>
            </w:pPr>
            <w:r w:rsidRPr="00B01980">
              <w:rPr>
                <w:rFonts w:eastAsia="Calibri" w:cs="Tahoma"/>
                <w:bCs/>
                <w:iCs/>
                <w:sz w:val="18"/>
                <w:szCs w:val="18"/>
                <w:lang w:val="es-MX" w:eastAsia="es-ES_tradnl"/>
              </w:rPr>
              <w:t>Convenio de terminación</w:t>
            </w:r>
          </w:p>
        </w:tc>
        <w:tc>
          <w:tcPr>
            <w:tcW w:w="3012" w:type="dxa"/>
          </w:tcPr>
          <w:p w:rsidRPr="00B01980" w:rsidR="006F1D79" w:rsidP="00492822" w:rsidRDefault="006F1D79" w14:paraId="5DEBBFB4" w14:textId="77777777">
            <w:pPr>
              <w:spacing w:line="360" w:lineRule="auto"/>
              <w:ind w:right="-93"/>
              <w:jc w:val="center"/>
              <w:rPr>
                <w:rFonts w:eastAsia="Calibri" w:cs="Tahoma"/>
                <w:iCs/>
                <w:sz w:val="18"/>
                <w:szCs w:val="18"/>
                <w:lang w:val="es-MX" w:eastAsia="es-ES_tradnl"/>
              </w:rPr>
            </w:pPr>
          </w:p>
        </w:tc>
      </w:tr>
      <w:tr w:rsidRPr="00B01980" w:rsidR="006F1D79" w:rsidTr="00D26877" w14:paraId="2198D975" w14:textId="77777777">
        <w:tc>
          <w:tcPr>
            <w:tcW w:w="3011" w:type="dxa"/>
          </w:tcPr>
          <w:p w:rsidRPr="00B01980" w:rsidR="006F1D79" w:rsidP="00492822" w:rsidRDefault="006F1D79" w14:paraId="314275D5" w14:textId="77777777">
            <w:pPr>
              <w:spacing w:line="360" w:lineRule="auto"/>
              <w:ind w:right="-93"/>
              <w:jc w:val="center"/>
              <w:rPr>
                <w:rFonts w:eastAsia="Calibri" w:cs="Tahoma"/>
                <w:bCs/>
                <w:iCs/>
                <w:sz w:val="18"/>
                <w:szCs w:val="18"/>
                <w:lang w:val="es-MX" w:eastAsia="es-ES_tradnl"/>
              </w:rPr>
            </w:pPr>
            <w:r w:rsidRPr="00B01980">
              <w:rPr>
                <w:rFonts w:eastAsia="Calibri" w:cs="Tahoma"/>
                <w:bCs/>
                <w:iCs/>
                <w:sz w:val="18"/>
                <w:szCs w:val="18"/>
                <w:lang w:val="es-MX" w:eastAsia="es-ES_tradnl"/>
              </w:rPr>
              <w:t>Finiquito</w:t>
            </w:r>
          </w:p>
        </w:tc>
        <w:tc>
          <w:tcPr>
            <w:tcW w:w="3011" w:type="dxa"/>
          </w:tcPr>
          <w:p w:rsidRPr="00B01980" w:rsidR="006F1D79" w:rsidP="00492822" w:rsidRDefault="006F1D79" w14:paraId="5DAF488A" w14:textId="77777777">
            <w:pPr>
              <w:spacing w:line="360" w:lineRule="auto"/>
              <w:ind w:right="-93"/>
              <w:jc w:val="center"/>
              <w:rPr>
                <w:rFonts w:eastAsia="Calibri" w:cs="Tahoma"/>
                <w:bCs/>
                <w:iCs/>
                <w:sz w:val="18"/>
                <w:szCs w:val="18"/>
                <w:lang w:val="es-MX" w:eastAsia="es-ES_tradnl"/>
              </w:rPr>
            </w:pPr>
            <w:r w:rsidRPr="00B01980">
              <w:rPr>
                <w:rFonts w:eastAsia="Calibri" w:cs="Tahoma"/>
                <w:bCs/>
                <w:iCs/>
                <w:sz w:val="18"/>
                <w:szCs w:val="18"/>
                <w:lang w:val="es-MX" w:eastAsia="es-ES_tradnl"/>
              </w:rPr>
              <w:t>Finiquito</w:t>
            </w:r>
          </w:p>
        </w:tc>
        <w:tc>
          <w:tcPr>
            <w:tcW w:w="3012" w:type="dxa"/>
          </w:tcPr>
          <w:p w:rsidRPr="00B01980" w:rsidR="006F1D79" w:rsidP="00492822" w:rsidRDefault="006F1D79" w14:paraId="287EC002" w14:textId="77777777">
            <w:pPr>
              <w:spacing w:line="360" w:lineRule="auto"/>
              <w:ind w:right="-93"/>
              <w:jc w:val="center"/>
              <w:rPr>
                <w:rFonts w:eastAsia="Calibri" w:cs="Tahoma"/>
                <w:iCs/>
                <w:sz w:val="18"/>
                <w:szCs w:val="18"/>
                <w:lang w:val="es-MX" w:eastAsia="es-ES_tradnl"/>
              </w:rPr>
            </w:pPr>
          </w:p>
        </w:tc>
      </w:tr>
    </w:tbl>
    <w:p w:rsidRPr="00B01980" w:rsidR="006F1D79" w:rsidP="00492822" w:rsidRDefault="006F1D79" w14:paraId="7FDB10FA" w14:textId="77777777">
      <w:pPr>
        <w:spacing w:after="0" w:line="360" w:lineRule="auto"/>
      </w:pPr>
    </w:p>
    <w:p w:rsidRPr="00B01980" w:rsidR="00492822" w:rsidP="00492822" w:rsidRDefault="006F1D79" w14:paraId="1755A989" w14:textId="7D6A6FA1">
      <w:pPr>
        <w:spacing w:after="0" w:line="360" w:lineRule="auto"/>
      </w:pPr>
      <w:r w:rsidRPr="00B01980">
        <w:rPr>
          <w:rFonts w:eastAsia="Times New Roman" w:cs="Tahoma"/>
          <w:iCs/>
          <w:color w:val="auto"/>
          <w:lang w:val="es-ES" w:eastAsia="es-ES"/>
        </w:rPr>
        <w:t xml:space="preserve">Con base en lo anterior, se advierte que la pretensión </w:t>
      </w:r>
      <w:r w:rsidRPr="00B01980" w:rsidR="00492822">
        <w:rPr>
          <w:rFonts w:eastAsia="Times New Roman" w:cs="Tahoma"/>
          <w:iCs/>
          <w:color w:val="auto"/>
          <w:lang w:val="es-ES" w:eastAsia="es-ES"/>
        </w:rPr>
        <w:t xml:space="preserve">del hoy Recurrente es obtener, respecto </w:t>
      </w:r>
      <w:r w:rsidRPr="00B01980" w:rsidR="00492822">
        <w:t>el arrendamiento de vehículos, realizada mediante la erogación de recursos de la partida genérica (3250) y específica (3251), del primero de enero al treinta y uno de marzo de dos mil veintidós, lo siguiente:</w:t>
      </w:r>
    </w:p>
    <w:p w:rsidRPr="00B01980" w:rsidR="00492822" w:rsidP="00492822" w:rsidRDefault="00492822" w14:paraId="77497423" w14:textId="77777777">
      <w:pPr>
        <w:spacing w:after="0" w:line="360" w:lineRule="auto"/>
      </w:pPr>
    </w:p>
    <w:p w:rsidRPr="00B01980" w:rsidR="00492822" w:rsidP="00492822" w:rsidRDefault="00492822" w14:paraId="57F95E45" w14:textId="378DFEF3">
      <w:pPr>
        <w:pStyle w:val="Prrafodelista"/>
        <w:numPr>
          <w:ilvl w:val="0"/>
          <w:numId w:val="25"/>
        </w:numPr>
        <w:spacing w:line="360" w:lineRule="auto"/>
      </w:pPr>
      <w:r w:rsidRPr="00B01980">
        <w:t>Contratos, y</w:t>
      </w:r>
    </w:p>
    <w:p w:rsidRPr="00B01980" w:rsidR="00492822" w:rsidP="00492822" w:rsidRDefault="00492822" w14:paraId="3C36DA36" w14:textId="77777777">
      <w:pPr>
        <w:pStyle w:val="Prrafodelista"/>
        <w:spacing w:line="360" w:lineRule="auto"/>
      </w:pPr>
    </w:p>
    <w:p w:rsidRPr="00B01980" w:rsidR="00492822" w:rsidP="00492822" w:rsidRDefault="00492822" w14:paraId="122BDB6F" w14:textId="4E4B5CE0">
      <w:pPr>
        <w:pStyle w:val="Prrafodelista"/>
        <w:numPr>
          <w:ilvl w:val="0"/>
          <w:numId w:val="25"/>
        </w:numPr>
        <w:spacing w:line="360" w:lineRule="auto"/>
      </w:pPr>
      <w:r w:rsidRPr="00B01980">
        <w:lastRenderedPageBreak/>
        <w:t>Tipo de procedimiento utilizado (licitación pública, invitación restringida o adjudicación directa).</w:t>
      </w:r>
    </w:p>
    <w:p w:rsidRPr="00B01980" w:rsidR="006F1D79" w:rsidP="00492822" w:rsidRDefault="006F1D79" w14:paraId="12273EDC" w14:textId="628E51EE">
      <w:pPr>
        <w:spacing w:after="0" w:line="360" w:lineRule="auto"/>
        <w:rPr>
          <w:rFonts w:eastAsia="Times New Roman" w:cs="Tahoma"/>
          <w:iCs/>
          <w:color w:val="auto"/>
          <w:lang w:val="es-ES" w:eastAsia="es-ES"/>
        </w:rPr>
      </w:pPr>
    </w:p>
    <w:p w:rsidRPr="00B01980" w:rsidR="00E53CEB" w:rsidP="00492822" w:rsidRDefault="00492822" w14:paraId="3DAC4D85" w14:textId="708A0B2D">
      <w:pPr>
        <w:spacing w:after="0" w:line="360" w:lineRule="auto"/>
        <w:rPr>
          <w:rFonts w:eastAsia="Times New Roman" w:cs="Tahoma"/>
          <w:iCs/>
          <w:color w:val="auto"/>
          <w:lang w:val="es-ES" w:eastAsia="es-ES"/>
        </w:rPr>
      </w:pPr>
      <w:r w:rsidRPr="00B01980">
        <w:rPr>
          <w:rFonts w:eastAsia="Calibri" w:cs="Tahoma"/>
          <w:color w:val="000000"/>
          <w:szCs w:val="24"/>
          <w:lang w:val="es-ES" w:eastAsia="es-MX"/>
        </w:rPr>
        <w:t>Establecida dicha circunstancia, se procede a estudiar el agravio realizado, para lo cual</w:t>
      </w:r>
      <w:r w:rsidRPr="00B01980" w:rsidR="006021CC">
        <w:rPr>
          <w:rFonts w:eastAsia="Calibri" w:cs="Tahoma"/>
          <w:color w:val="000000"/>
          <w:szCs w:val="24"/>
          <w:lang w:val="es-ES" w:eastAsia="es-MX"/>
        </w:rPr>
        <w:t xml:space="preserve">, </w:t>
      </w:r>
      <w:r w:rsidRPr="00B01980" w:rsidR="00EA2A2C">
        <w:rPr>
          <w:rFonts w:eastAsia="Calibri" w:cs="Tahoma"/>
          <w:color w:val="000000"/>
          <w:szCs w:val="24"/>
          <w:lang w:val="es-ES" w:eastAsia="es-MX"/>
        </w:rPr>
        <w:t xml:space="preserve">del análisis de las constancias que obran en el expediente en el que se actúa, </w:t>
      </w:r>
      <w:r w:rsidRPr="00B01980" w:rsidR="005A3222">
        <w:rPr>
          <w:rFonts w:eastAsia="Calibri" w:cs="Tahoma"/>
          <w:color w:val="000000"/>
          <w:szCs w:val="24"/>
          <w:lang w:val="es-ES" w:eastAsia="es-MX"/>
        </w:rPr>
        <w:t>se advierte que el Sujeto Obligado turno el requerimiento de información</w:t>
      </w:r>
      <w:r w:rsidRPr="00B01980">
        <w:rPr>
          <w:rFonts w:eastAsia="Calibri" w:cs="Tahoma"/>
          <w:color w:val="000000"/>
          <w:szCs w:val="24"/>
          <w:lang w:val="es-ES" w:eastAsia="es-MX"/>
        </w:rPr>
        <w:t>,</w:t>
      </w:r>
      <w:r w:rsidRPr="00B01980" w:rsidR="005A3222">
        <w:rPr>
          <w:rFonts w:eastAsia="Calibri" w:cs="Tahoma"/>
          <w:color w:val="000000"/>
          <w:szCs w:val="24"/>
          <w:lang w:val="es-ES" w:eastAsia="es-MX"/>
        </w:rPr>
        <w:t xml:space="preserve"> tanto en respuesta</w:t>
      </w:r>
      <w:r w:rsidRPr="00B01980">
        <w:rPr>
          <w:rFonts w:eastAsia="Calibri" w:cs="Tahoma"/>
          <w:color w:val="000000"/>
          <w:szCs w:val="24"/>
          <w:lang w:val="es-ES" w:eastAsia="es-MX"/>
        </w:rPr>
        <w:t>,</w:t>
      </w:r>
      <w:r w:rsidRPr="00B01980" w:rsidR="005A3222">
        <w:rPr>
          <w:rFonts w:eastAsia="Calibri" w:cs="Tahoma"/>
          <w:color w:val="000000"/>
          <w:szCs w:val="24"/>
          <w:lang w:val="es-ES" w:eastAsia="es-MX"/>
        </w:rPr>
        <w:t xml:space="preserve"> como en </w:t>
      </w:r>
      <w:r w:rsidRPr="00B01980" w:rsidR="00F14AB8">
        <w:rPr>
          <w:rFonts w:eastAsia="Calibri" w:cs="Tahoma"/>
          <w:color w:val="000000"/>
          <w:szCs w:val="24"/>
          <w:lang w:val="es-ES" w:eastAsia="es-MX"/>
        </w:rPr>
        <w:t xml:space="preserve">Informe Justificado </w:t>
      </w:r>
      <w:r w:rsidRPr="00B01980" w:rsidR="00667A43">
        <w:rPr>
          <w:rFonts w:eastAsia="Calibri" w:cs="Tahoma"/>
          <w:color w:val="000000"/>
          <w:szCs w:val="24"/>
          <w:lang w:val="es-ES" w:eastAsia="es-MX"/>
        </w:rPr>
        <w:t xml:space="preserve">a la </w:t>
      </w:r>
      <w:r w:rsidRPr="00B01980" w:rsidR="00EA2A2C">
        <w:rPr>
          <w:rFonts w:eastAsia="Times New Roman" w:cs="Tahoma"/>
          <w:b/>
          <w:bCs/>
          <w:iCs/>
          <w:color w:val="auto"/>
          <w:lang w:val="es-ES" w:eastAsia="es-ES"/>
        </w:rPr>
        <w:t>Tesorería Municipal, la Dirección de Administración, la Subdirección de Recursos Materiales, la Secretaría del Ayuntamiento y la Jefa de Departamento de Patrimonio Municipal</w:t>
      </w:r>
      <w:r w:rsidRPr="00B01980" w:rsidR="00510A5E">
        <w:rPr>
          <w:rFonts w:eastAsia="Times New Roman" w:cs="Tahoma"/>
          <w:b/>
          <w:bCs/>
          <w:iCs/>
          <w:color w:val="auto"/>
          <w:lang w:val="es-ES" w:eastAsia="es-ES"/>
        </w:rPr>
        <w:t xml:space="preserve">, </w:t>
      </w:r>
      <w:r w:rsidRPr="00B01980" w:rsidR="00510A5E">
        <w:rPr>
          <w:rFonts w:eastAsia="Times New Roman" w:cs="Tahoma"/>
          <w:iCs/>
          <w:color w:val="auto"/>
          <w:lang w:val="es-ES" w:eastAsia="es-ES"/>
        </w:rPr>
        <w:t xml:space="preserve">razón por la cual, es necesario hacer referencia al </w:t>
      </w:r>
      <w:r w:rsidRPr="00B01980" w:rsidR="00E53CEB">
        <w:rPr>
          <w:rFonts w:eastAsia="Times New Roman" w:cs="Tahoma"/>
          <w:iCs/>
          <w:color w:val="auto"/>
          <w:lang w:eastAsia="es-ES"/>
        </w:rPr>
        <w:t>procedimiento de búsqueda que deben de seguir los Sujetos Obligados para localizar la información</w:t>
      </w:r>
      <w:r w:rsidRPr="00B01980" w:rsidR="00E53CEB">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rsidRPr="00B01980" w:rsidR="00E53CEB" w:rsidP="00492822" w:rsidRDefault="00E53CEB" w14:paraId="1626CF05" w14:textId="77777777">
      <w:pPr>
        <w:spacing w:after="0" w:line="360" w:lineRule="auto"/>
        <w:rPr>
          <w:rFonts w:eastAsia="Times New Roman" w:cs="Tahoma"/>
          <w:bCs/>
          <w:iCs/>
          <w:color w:val="auto"/>
          <w:lang w:eastAsia="es-ES"/>
        </w:rPr>
      </w:pPr>
    </w:p>
    <w:p w:rsidRPr="00B01980" w:rsidR="00E53CEB" w:rsidP="00492822" w:rsidRDefault="00E53CEB" w14:paraId="69E0B547" w14:textId="77777777">
      <w:pPr>
        <w:numPr>
          <w:ilvl w:val="0"/>
          <w:numId w:val="1"/>
        </w:numPr>
        <w:spacing w:after="0" w:line="360" w:lineRule="auto"/>
        <w:rPr>
          <w:rFonts w:eastAsia="Times New Roman" w:cs="Tahoma"/>
          <w:bCs/>
          <w:iCs/>
          <w:color w:val="auto"/>
          <w:lang w:eastAsia="es-ES"/>
        </w:rPr>
      </w:pPr>
      <w:r w:rsidRPr="00B01980">
        <w:rPr>
          <w:rFonts w:eastAsia="Times New Roman" w:cs="Tahoma"/>
          <w:bCs/>
          <w:iCs/>
          <w:color w:val="auto"/>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B01980" w:rsidR="00E53CEB" w:rsidP="00492822" w:rsidRDefault="00E53CEB" w14:paraId="6C97430D" w14:textId="77777777">
      <w:pPr>
        <w:spacing w:after="0" w:line="360" w:lineRule="auto"/>
        <w:rPr>
          <w:rFonts w:eastAsia="Times New Roman" w:cs="Tahoma"/>
          <w:bCs/>
          <w:iCs/>
          <w:color w:val="auto"/>
          <w:lang w:eastAsia="es-ES"/>
        </w:rPr>
      </w:pPr>
    </w:p>
    <w:p w:rsidRPr="00B01980" w:rsidR="00E53CEB" w:rsidP="00492822" w:rsidRDefault="00E53CEB" w14:paraId="01F436E6" w14:textId="77777777">
      <w:pPr>
        <w:numPr>
          <w:ilvl w:val="0"/>
          <w:numId w:val="1"/>
        </w:numPr>
        <w:spacing w:after="0" w:line="360" w:lineRule="auto"/>
        <w:rPr>
          <w:rFonts w:eastAsia="Times New Roman" w:cs="Tahoma"/>
          <w:bCs/>
          <w:iCs/>
          <w:color w:val="auto"/>
          <w:lang w:eastAsia="es-ES"/>
        </w:rPr>
      </w:pPr>
      <w:r w:rsidRPr="00B01980">
        <w:rPr>
          <w:rFonts w:eastAsia="Times New Roman" w:cs="Tahoma"/>
          <w:bCs/>
          <w:iCs/>
          <w:color w:val="auto"/>
          <w:lang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B01980" w:rsidR="00E53CEB" w:rsidP="00492822" w:rsidRDefault="00E53CEB" w14:paraId="10EABBB2" w14:textId="77777777">
      <w:pPr>
        <w:spacing w:after="0" w:line="360" w:lineRule="auto"/>
        <w:rPr>
          <w:rFonts w:eastAsia="Times New Roman" w:cs="Tahoma"/>
          <w:bCs/>
          <w:iCs/>
          <w:color w:val="auto"/>
          <w:lang w:eastAsia="es-ES"/>
        </w:rPr>
      </w:pPr>
    </w:p>
    <w:p w:rsidRPr="00B01980" w:rsidR="00651C38" w:rsidP="00492822" w:rsidRDefault="00E53CEB" w14:paraId="729FEE32" w14:textId="3FBB41A2">
      <w:pPr>
        <w:spacing w:after="0" w:line="360" w:lineRule="auto"/>
        <w:rPr>
          <w:rFonts w:eastAsia="Times New Roman" w:cs="Tahoma"/>
          <w:bCs/>
          <w:iCs/>
          <w:color w:val="auto"/>
          <w:lang w:eastAsia="es-ES"/>
        </w:rPr>
      </w:pPr>
      <w:r w:rsidRPr="00B01980">
        <w:rPr>
          <w:rFonts w:eastAsia="Times New Roman" w:cs="Tahoma"/>
          <w:bCs/>
          <w:iCs/>
          <w:color w:val="auto"/>
          <w:lang w:eastAsia="es-ES"/>
        </w:rPr>
        <w:t xml:space="preserve">Así, con la finalidad de determinar si el Sujeto Obligado cumplió con el procedimiento de búsqueda previamente establecido, es necesario delimitar las atribuciones </w:t>
      </w:r>
      <w:r w:rsidRPr="00B01980" w:rsidR="0049525C">
        <w:rPr>
          <w:rFonts w:eastAsia="Times New Roman" w:cs="Tahoma"/>
          <w:bCs/>
          <w:iCs/>
          <w:color w:val="auto"/>
          <w:lang w:eastAsia="es-ES"/>
        </w:rPr>
        <w:t>de</w:t>
      </w:r>
      <w:r w:rsidRPr="00B01980" w:rsidR="00651C38">
        <w:rPr>
          <w:rFonts w:eastAsia="Times New Roman" w:cs="Tahoma"/>
          <w:bCs/>
          <w:iCs/>
          <w:color w:val="auto"/>
          <w:lang w:eastAsia="es-ES"/>
        </w:rPr>
        <w:t xml:space="preserve"> las áreas en </w:t>
      </w:r>
      <w:r w:rsidRPr="00B01980" w:rsidR="009173E3">
        <w:rPr>
          <w:rFonts w:eastAsia="Times New Roman" w:cs="Tahoma"/>
          <w:bCs/>
          <w:iCs/>
          <w:color w:val="auto"/>
          <w:lang w:eastAsia="es-ES"/>
        </w:rPr>
        <w:lastRenderedPageBreak/>
        <w:t>comento,</w:t>
      </w:r>
      <w:r w:rsidRPr="00B01980" w:rsidR="00AA3BB3">
        <w:rPr>
          <w:rFonts w:eastAsia="Times New Roman" w:cs="Tahoma"/>
          <w:bCs/>
          <w:iCs/>
          <w:color w:val="auto"/>
          <w:lang w:eastAsia="es-ES"/>
        </w:rPr>
        <w:t xml:space="preserve"> por lo que es necesario hacer referencia al </w:t>
      </w:r>
      <w:r w:rsidRPr="00B01980" w:rsidR="00CE58E1">
        <w:rPr>
          <w:rFonts w:eastAsia="Times New Roman" w:cs="Tahoma"/>
          <w:bCs/>
          <w:iCs/>
          <w:color w:val="auto"/>
          <w:lang w:eastAsia="es-ES"/>
        </w:rPr>
        <w:t>Reglamento Interno de la Administración Pública Municipal de Tlalnepantla de Baz</w:t>
      </w:r>
      <w:r w:rsidRPr="00B01980" w:rsidR="00AA3BB3">
        <w:rPr>
          <w:rFonts w:eastAsia="Times New Roman" w:cs="Tahoma"/>
          <w:bCs/>
          <w:iCs/>
          <w:color w:val="auto"/>
          <w:lang w:eastAsia="es-ES"/>
        </w:rPr>
        <w:t xml:space="preserve">, el cual dispone lo siguiente: </w:t>
      </w:r>
    </w:p>
    <w:p w:rsidRPr="00B01980" w:rsidR="00AA3BB3" w:rsidP="00492822" w:rsidRDefault="00AA3BB3" w14:paraId="0687BE44" w14:textId="77777777">
      <w:pPr>
        <w:spacing w:after="0" w:line="360" w:lineRule="auto"/>
        <w:rPr>
          <w:rFonts w:eastAsia="Times New Roman" w:cs="Tahoma"/>
          <w:bCs/>
          <w:iCs/>
          <w:color w:val="auto"/>
          <w:lang w:eastAsia="es-ES"/>
        </w:rPr>
      </w:pPr>
    </w:p>
    <w:p w:rsidRPr="00B01980" w:rsidR="00651C38" w:rsidP="00492822" w:rsidRDefault="00651C38" w14:paraId="07425128" w14:textId="60FF152D">
      <w:pPr>
        <w:pStyle w:val="Prrafodelista"/>
        <w:numPr>
          <w:ilvl w:val="0"/>
          <w:numId w:val="20"/>
        </w:numPr>
        <w:spacing w:line="360" w:lineRule="auto"/>
        <w:rPr>
          <w:rFonts w:cs="Tahoma"/>
          <w:bCs/>
          <w:iCs/>
          <w:color w:val="auto"/>
        </w:rPr>
      </w:pPr>
      <w:r w:rsidRPr="00B01980">
        <w:rPr>
          <w:rFonts w:cs="Tahoma"/>
          <w:b/>
          <w:iCs/>
          <w:color w:val="auto"/>
        </w:rPr>
        <w:t>Tesorería Municipal</w:t>
      </w:r>
      <w:r w:rsidRPr="00B01980" w:rsidR="00AA3BB3">
        <w:rPr>
          <w:rFonts w:cs="Tahoma"/>
          <w:b/>
          <w:iCs/>
          <w:color w:val="auto"/>
        </w:rPr>
        <w:t xml:space="preserve"> (artículo </w:t>
      </w:r>
      <w:r w:rsidRPr="00B01980" w:rsidR="00E82B18">
        <w:rPr>
          <w:rFonts w:cs="Tahoma"/>
          <w:b/>
          <w:iCs/>
          <w:color w:val="auto"/>
        </w:rPr>
        <w:t>120):</w:t>
      </w:r>
      <w:r w:rsidRPr="00B01980" w:rsidR="00E82B18">
        <w:rPr>
          <w:rFonts w:cs="Tahoma"/>
          <w:bCs/>
          <w:iCs/>
          <w:color w:val="auto"/>
        </w:rPr>
        <w:t xml:space="preserve"> </w:t>
      </w:r>
      <w:r w:rsidRPr="00B01980" w:rsidR="008A282B">
        <w:rPr>
          <w:rFonts w:cs="Tahoma"/>
          <w:bCs/>
          <w:iCs/>
          <w:color w:val="auto"/>
        </w:rPr>
        <w:t>Que cuenta con atribuciones para controlar y evaluar el ejercicio de la inversión y gasto público municipal</w:t>
      </w:r>
      <w:r w:rsidRPr="00B01980" w:rsidR="009C029C">
        <w:rPr>
          <w:rFonts w:cs="Tahoma"/>
          <w:bCs/>
          <w:iCs/>
          <w:color w:val="auto"/>
        </w:rPr>
        <w:t xml:space="preserve">, así como integrar los calendarios de gasto, ministraciones, ampliaciones y reducciones líquidas, liberaciones, retenciones, recalendarizaciones y traspasos presupuestarios de las dependencias de la Administración Pública Municipal, sobre la base de análisis y estudios técnicos y la disponibilidad financiera. </w:t>
      </w:r>
    </w:p>
    <w:p w:rsidRPr="00B01980" w:rsidR="00AA3BB3" w:rsidP="00492822" w:rsidRDefault="00AA3BB3" w14:paraId="080DC87F" w14:textId="77777777">
      <w:pPr>
        <w:spacing w:after="0" w:line="360" w:lineRule="auto"/>
        <w:rPr>
          <w:rFonts w:eastAsia="Times New Roman" w:cs="Tahoma"/>
          <w:bCs/>
          <w:iCs/>
          <w:color w:val="auto"/>
          <w:lang w:eastAsia="es-ES"/>
        </w:rPr>
      </w:pPr>
    </w:p>
    <w:p w:rsidRPr="00B01980" w:rsidR="000E7ADF" w:rsidP="00492822" w:rsidRDefault="00651C38" w14:paraId="33D36488" w14:textId="53287F77">
      <w:pPr>
        <w:pStyle w:val="Prrafodelista"/>
        <w:numPr>
          <w:ilvl w:val="0"/>
          <w:numId w:val="20"/>
        </w:numPr>
        <w:spacing w:line="360" w:lineRule="auto"/>
        <w:rPr>
          <w:rFonts w:cs="Tahoma"/>
          <w:bCs/>
          <w:iCs/>
          <w:color w:val="auto"/>
        </w:rPr>
      </w:pPr>
      <w:r w:rsidRPr="00B01980">
        <w:rPr>
          <w:rFonts w:cs="Tahoma"/>
          <w:b/>
          <w:iCs/>
          <w:color w:val="auto"/>
        </w:rPr>
        <w:t>Dirección de Administración</w:t>
      </w:r>
      <w:r w:rsidRPr="00B01980" w:rsidR="00465059">
        <w:rPr>
          <w:rFonts w:cs="Tahoma"/>
          <w:b/>
          <w:iCs/>
          <w:color w:val="auto"/>
        </w:rPr>
        <w:t xml:space="preserve"> (</w:t>
      </w:r>
      <w:r w:rsidRPr="00B01980" w:rsidR="006D3529">
        <w:rPr>
          <w:rFonts w:cs="Tahoma"/>
          <w:b/>
          <w:iCs/>
          <w:color w:val="auto"/>
        </w:rPr>
        <w:t>Artículo 200):</w:t>
      </w:r>
      <w:r w:rsidRPr="00B01980" w:rsidR="006D3529">
        <w:rPr>
          <w:rFonts w:cs="Tahoma"/>
          <w:bCs/>
          <w:iCs/>
          <w:color w:val="auto"/>
        </w:rPr>
        <w:t xml:space="preserve"> Área con atribuciones para vigilar</w:t>
      </w:r>
      <w:r w:rsidRPr="00B01980" w:rsidR="0039007A">
        <w:rPr>
          <w:rFonts w:cs="Tahoma"/>
          <w:bCs/>
          <w:iCs/>
          <w:color w:val="auto"/>
        </w:rPr>
        <w:t xml:space="preserve"> la adecuada planeación y programación de la adquisición de bienes muebles y</w:t>
      </w:r>
      <w:r w:rsidRPr="00B01980" w:rsidR="006D3529">
        <w:rPr>
          <w:rFonts w:cs="Tahoma"/>
          <w:bCs/>
          <w:iCs/>
          <w:color w:val="auto"/>
        </w:rPr>
        <w:t xml:space="preserve"> </w:t>
      </w:r>
      <w:r w:rsidRPr="00B01980" w:rsidR="0039007A">
        <w:rPr>
          <w:rFonts w:cs="Tahoma"/>
          <w:bCs/>
          <w:iCs/>
          <w:color w:val="auto"/>
        </w:rPr>
        <w:t>contratación de servicios</w:t>
      </w:r>
      <w:r w:rsidRPr="00B01980" w:rsidR="00E9602D">
        <w:rPr>
          <w:rFonts w:cs="Tahoma"/>
          <w:bCs/>
          <w:iCs/>
          <w:color w:val="auto"/>
        </w:rPr>
        <w:t>.</w:t>
      </w:r>
      <w:r w:rsidRPr="00B01980" w:rsidR="006D3529">
        <w:rPr>
          <w:rFonts w:cs="Tahoma"/>
          <w:bCs/>
          <w:iCs/>
          <w:color w:val="auto"/>
        </w:rPr>
        <w:t xml:space="preserve"> </w:t>
      </w:r>
      <w:r w:rsidRPr="00B01980" w:rsidR="00E9602D">
        <w:rPr>
          <w:rFonts w:cs="Tahoma"/>
          <w:bCs/>
          <w:iCs/>
          <w:color w:val="auto"/>
        </w:rPr>
        <w:t>S</w:t>
      </w:r>
      <w:r w:rsidRPr="00B01980" w:rsidR="000E7ADF">
        <w:rPr>
          <w:rFonts w:cs="Tahoma"/>
          <w:bCs/>
          <w:iCs/>
          <w:color w:val="auto"/>
        </w:rPr>
        <w:t>upervisar la adquisición de los bienes muebles y prestación de servicios</w:t>
      </w:r>
      <w:r w:rsidRPr="00B01980" w:rsidR="00E9602D">
        <w:rPr>
          <w:rFonts w:cs="Tahoma"/>
          <w:bCs/>
          <w:iCs/>
          <w:color w:val="auto"/>
        </w:rPr>
        <w:t xml:space="preserve"> y v</w:t>
      </w:r>
      <w:r w:rsidRPr="00B01980" w:rsidR="00D41BBE">
        <w:rPr>
          <w:rFonts w:cs="Tahoma"/>
          <w:bCs/>
          <w:iCs/>
          <w:color w:val="auto"/>
        </w:rPr>
        <w:t>igilar la constitución del Comité de Adquisiciones y de Servicios</w:t>
      </w:r>
      <w:r w:rsidRPr="00B01980" w:rsidR="00E9602D">
        <w:rPr>
          <w:rFonts w:cs="Tahoma"/>
          <w:bCs/>
          <w:iCs/>
          <w:color w:val="auto"/>
        </w:rPr>
        <w:t>.</w:t>
      </w:r>
    </w:p>
    <w:p w:rsidRPr="00B01980" w:rsidR="00591F54" w:rsidP="00492822" w:rsidRDefault="00591F54" w14:paraId="03FEAAE2" w14:textId="77777777">
      <w:pPr>
        <w:pStyle w:val="Prrafodelista"/>
        <w:rPr>
          <w:rFonts w:cs="Tahoma"/>
          <w:bCs/>
          <w:iCs/>
          <w:color w:val="auto"/>
        </w:rPr>
      </w:pPr>
    </w:p>
    <w:p w:rsidRPr="00B01980" w:rsidR="005E0731" w:rsidP="00492822" w:rsidRDefault="00DB27C6" w14:paraId="734B57A9" w14:textId="5F8BEEE2">
      <w:pPr>
        <w:pStyle w:val="Prrafodelista"/>
        <w:numPr>
          <w:ilvl w:val="1"/>
          <w:numId w:val="20"/>
        </w:numPr>
        <w:spacing w:line="360" w:lineRule="auto"/>
        <w:rPr>
          <w:rFonts w:cs="Tahoma"/>
          <w:bCs/>
          <w:iCs/>
          <w:color w:val="auto"/>
        </w:rPr>
      </w:pPr>
      <w:r w:rsidRPr="00B01980">
        <w:rPr>
          <w:rFonts w:cs="Tahoma"/>
          <w:b/>
          <w:iCs/>
          <w:color w:val="auto"/>
        </w:rPr>
        <w:t>Subdirección de Recursos Materiales (Artículo</w:t>
      </w:r>
      <w:r w:rsidRPr="00B01980" w:rsidR="00ED5509">
        <w:rPr>
          <w:rFonts w:cs="Tahoma"/>
          <w:b/>
          <w:iCs/>
          <w:color w:val="auto"/>
        </w:rPr>
        <w:t>s</w:t>
      </w:r>
      <w:r w:rsidRPr="00B01980">
        <w:rPr>
          <w:rFonts w:cs="Tahoma"/>
          <w:b/>
          <w:iCs/>
          <w:color w:val="auto"/>
        </w:rPr>
        <w:t xml:space="preserve"> 211, fracción </w:t>
      </w:r>
      <w:r w:rsidRPr="00B01980" w:rsidR="00DE301F">
        <w:rPr>
          <w:rFonts w:cs="Tahoma"/>
          <w:b/>
          <w:iCs/>
          <w:color w:val="auto"/>
        </w:rPr>
        <w:t>IV</w:t>
      </w:r>
      <w:r w:rsidRPr="00B01980" w:rsidR="00D44B5E">
        <w:rPr>
          <w:rFonts w:cs="Tahoma"/>
          <w:b/>
          <w:iCs/>
          <w:color w:val="auto"/>
        </w:rPr>
        <w:t xml:space="preserve"> y 222)</w:t>
      </w:r>
      <w:r w:rsidRPr="00B01980" w:rsidR="002410DA">
        <w:rPr>
          <w:rFonts w:cs="Tahoma"/>
          <w:b/>
          <w:iCs/>
          <w:color w:val="auto"/>
        </w:rPr>
        <w:t>:</w:t>
      </w:r>
      <w:r w:rsidRPr="00B01980" w:rsidR="002410DA">
        <w:rPr>
          <w:rFonts w:cs="Tahoma"/>
          <w:bCs/>
          <w:iCs/>
          <w:color w:val="auto"/>
        </w:rPr>
        <w:t xml:space="preserve"> </w:t>
      </w:r>
      <w:r w:rsidRPr="00B01980" w:rsidR="003D3702">
        <w:rPr>
          <w:rFonts w:cs="Tahoma"/>
          <w:bCs/>
          <w:iCs/>
          <w:color w:val="auto"/>
        </w:rPr>
        <w:t xml:space="preserve">Área que </w:t>
      </w:r>
      <w:r w:rsidRPr="00B01980" w:rsidR="000F22FF">
        <w:rPr>
          <w:rFonts w:cs="Tahoma"/>
          <w:bCs/>
          <w:iCs/>
          <w:color w:val="auto"/>
        </w:rPr>
        <w:t xml:space="preserve">dentro sus facultades esta de </w:t>
      </w:r>
      <w:r w:rsidRPr="00B01980" w:rsidR="00BB3BE1">
        <w:rPr>
          <w:rFonts w:cs="Tahoma"/>
          <w:bCs/>
          <w:iCs/>
          <w:color w:val="auto"/>
        </w:rPr>
        <w:t>r</w:t>
      </w:r>
      <w:r w:rsidRPr="00B01980" w:rsidR="00A37BF0">
        <w:rPr>
          <w:rFonts w:cs="Tahoma"/>
          <w:bCs/>
          <w:iCs/>
          <w:color w:val="auto"/>
        </w:rPr>
        <w:t>ealizar la adecuada programación, ejecución y control de las adquisiciones, enajenación y</w:t>
      </w:r>
      <w:r w:rsidRPr="00B01980" w:rsidR="00BB3BE1">
        <w:rPr>
          <w:rFonts w:cs="Tahoma"/>
          <w:bCs/>
          <w:iCs/>
          <w:color w:val="auto"/>
        </w:rPr>
        <w:t xml:space="preserve"> </w:t>
      </w:r>
      <w:r w:rsidRPr="00B01980" w:rsidR="00A37BF0">
        <w:rPr>
          <w:rFonts w:cs="Tahoma"/>
          <w:bCs/>
          <w:iCs/>
          <w:color w:val="auto"/>
        </w:rPr>
        <w:t>arrendamiento de bienes, y la contratación de servicios de cualquier naturaleza que se</w:t>
      </w:r>
      <w:r w:rsidRPr="00B01980" w:rsidR="00BB3BE1">
        <w:rPr>
          <w:rFonts w:cs="Tahoma"/>
          <w:bCs/>
          <w:iCs/>
          <w:color w:val="auto"/>
        </w:rPr>
        <w:t xml:space="preserve"> </w:t>
      </w:r>
      <w:r w:rsidRPr="00B01980" w:rsidR="00A37BF0">
        <w:rPr>
          <w:rFonts w:cs="Tahoma"/>
          <w:bCs/>
          <w:iCs/>
          <w:color w:val="auto"/>
        </w:rPr>
        <w:t>requieran para el funcionamiento de la Administración Pública Municipal</w:t>
      </w:r>
      <w:r w:rsidRPr="00B01980" w:rsidR="00BB3BE1">
        <w:rPr>
          <w:rFonts w:cs="Tahoma"/>
          <w:bCs/>
          <w:iCs/>
          <w:color w:val="auto"/>
        </w:rPr>
        <w:t xml:space="preserve">. </w:t>
      </w:r>
      <w:r w:rsidRPr="00B01980" w:rsidR="005E0731">
        <w:rPr>
          <w:rFonts w:cs="Tahoma"/>
          <w:bCs/>
          <w:iCs/>
          <w:color w:val="auto"/>
        </w:rPr>
        <w:t>Coadyuvar en el trámite de pagos y remitir la documentación comprobatoria del gasto a la</w:t>
      </w:r>
      <w:r w:rsidRPr="00B01980" w:rsidR="00BB3BE1">
        <w:rPr>
          <w:rFonts w:cs="Tahoma"/>
          <w:bCs/>
          <w:iCs/>
          <w:color w:val="auto"/>
        </w:rPr>
        <w:t xml:space="preserve"> </w:t>
      </w:r>
      <w:r w:rsidRPr="00B01980" w:rsidR="005E0731">
        <w:rPr>
          <w:rFonts w:cs="Tahoma"/>
          <w:bCs/>
          <w:iCs/>
          <w:color w:val="auto"/>
        </w:rPr>
        <w:t>Tesorería</w:t>
      </w:r>
      <w:r w:rsidRPr="00B01980" w:rsidR="00BB3BE1">
        <w:rPr>
          <w:rFonts w:cs="Tahoma"/>
          <w:bCs/>
          <w:iCs/>
          <w:color w:val="auto"/>
        </w:rPr>
        <w:t xml:space="preserve"> y e</w:t>
      </w:r>
      <w:r w:rsidRPr="00B01980" w:rsidR="002410DA">
        <w:rPr>
          <w:rFonts w:cs="Tahoma"/>
          <w:bCs/>
          <w:iCs/>
          <w:color w:val="auto"/>
        </w:rPr>
        <w:t>fectuar en coordinación con las dependencias de la Administración Pública Municipal, el</w:t>
      </w:r>
      <w:r w:rsidRPr="00B01980" w:rsidR="00BB3BE1">
        <w:rPr>
          <w:rFonts w:cs="Tahoma"/>
          <w:bCs/>
          <w:iCs/>
          <w:color w:val="auto"/>
        </w:rPr>
        <w:t xml:space="preserve"> </w:t>
      </w:r>
      <w:r w:rsidRPr="00B01980" w:rsidR="002410DA">
        <w:rPr>
          <w:rFonts w:cs="Tahoma"/>
          <w:bCs/>
          <w:iCs/>
          <w:color w:val="auto"/>
        </w:rPr>
        <w:t>seguimiento de los pedidos, clausulados, contratos y convenios celebrados, y verificar la</w:t>
      </w:r>
      <w:r w:rsidRPr="00B01980" w:rsidR="00BB3BE1">
        <w:rPr>
          <w:rFonts w:cs="Tahoma"/>
          <w:bCs/>
          <w:iCs/>
          <w:color w:val="auto"/>
        </w:rPr>
        <w:t xml:space="preserve"> </w:t>
      </w:r>
      <w:r w:rsidRPr="00B01980" w:rsidR="002410DA">
        <w:rPr>
          <w:rFonts w:cs="Tahoma"/>
          <w:bCs/>
          <w:iCs/>
          <w:color w:val="auto"/>
        </w:rPr>
        <w:t>entrega de materiales y servicios correspondientes</w:t>
      </w:r>
      <w:r w:rsidRPr="00B01980" w:rsidR="00BB3BE1">
        <w:rPr>
          <w:rFonts w:cs="Tahoma"/>
          <w:bCs/>
          <w:iCs/>
          <w:color w:val="auto"/>
        </w:rPr>
        <w:t>.</w:t>
      </w:r>
    </w:p>
    <w:p w:rsidRPr="00B01980" w:rsidR="005E0731" w:rsidP="00492822" w:rsidRDefault="005E0731" w14:paraId="2563CFEB" w14:textId="77777777">
      <w:pPr>
        <w:spacing w:after="0" w:line="360" w:lineRule="auto"/>
        <w:rPr>
          <w:rFonts w:eastAsia="Times New Roman" w:cs="Tahoma"/>
          <w:bCs/>
          <w:iCs/>
          <w:color w:val="auto"/>
          <w:lang w:eastAsia="es-ES"/>
        </w:rPr>
      </w:pPr>
    </w:p>
    <w:p w:rsidRPr="00B01980" w:rsidR="00D875AD" w:rsidP="00492822" w:rsidRDefault="00651C38" w14:paraId="18C381C7" w14:textId="77777777">
      <w:pPr>
        <w:pStyle w:val="Prrafodelista"/>
        <w:numPr>
          <w:ilvl w:val="0"/>
          <w:numId w:val="22"/>
        </w:numPr>
        <w:spacing w:line="360" w:lineRule="auto"/>
        <w:rPr>
          <w:rFonts w:cs="Tahoma"/>
          <w:bCs/>
          <w:iCs/>
          <w:color w:val="auto"/>
        </w:rPr>
      </w:pPr>
      <w:r w:rsidRPr="00B01980">
        <w:rPr>
          <w:rFonts w:cs="Tahoma"/>
          <w:b/>
          <w:iCs/>
          <w:color w:val="auto"/>
        </w:rPr>
        <w:lastRenderedPageBreak/>
        <w:t>Secretaría del Ayuntamiento</w:t>
      </w:r>
      <w:r w:rsidRPr="00B01980" w:rsidR="000D5AFD">
        <w:rPr>
          <w:rFonts w:cs="Tahoma"/>
          <w:b/>
          <w:iCs/>
          <w:color w:val="auto"/>
        </w:rPr>
        <w:t xml:space="preserve"> (</w:t>
      </w:r>
      <w:r w:rsidRPr="00B01980" w:rsidR="00AA0A8B">
        <w:rPr>
          <w:rFonts w:cs="Tahoma"/>
          <w:b/>
          <w:iCs/>
          <w:color w:val="auto"/>
        </w:rPr>
        <w:t>Artículo 66):</w:t>
      </w:r>
      <w:r w:rsidRPr="00B01980" w:rsidR="00AA0A8B">
        <w:rPr>
          <w:rFonts w:cs="Tahoma"/>
          <w:bCs/>
          <w:iCs/>
          <w:color w:val="auto"/>
        </w:rPr>
        <w:t xml:space="preserve"> </w:t>
      </w:r>
      <w:r w:rsidRPr="00B01980" w:rsidR="00844FFD">
        <w:rPr>
          <w:rFonts w:cs="Tahoma"/>
          <w:bCs/>
          <w:iCs/>
          <w:color w:val="auto"/>
        </w:rPr>
        <w:t xml:space="preserve">Que cuenta con facultades para </w:t>
      </w:r>
      <w:r w:rsidRPr="00B01980" w:rsidR="00CD0335">
        <w:rPr>
          <w:rFonts w:cs="Tahoma"/>
          <w:bCs/>
          <w:iCs/>
          <w:color w:val="auto"/>
        </w:rPr>
        <w:t>presentar ante el Ayuntamiento los proyectos de reglamentos, acuerdos, convenios,</w:t>
      </w:r>
      <w:r w:rsidRPr="00B01980" w:rsidR="00844FFD">
        <w:rPr>
          <w:rFonts w:cs="Tahoma"/>
          <w:bCs/>
          <w:iCs/>
          <w:color w:val="auto"/>
        </w:rPr>
        <w:t xml:space="preserve"> </w:t>
      </w:r>
      <w:r w:rsidRPr="00B01980" w:rsidR="00CD0335">
        <w:rPr>
          <w:rFonts w:cs="Tahoma"/>
          <w:bCs/>
          <w:iCs/>
          <w:color w:val="auto"/>
        </w:rPr>
        <w:t>contratos y demás actos jurídicos que requieran de su aprobación</w:t>
      </w:r>
      <w:r w:rsidRPr="00B01980" w:rsidR="00844FFD">
        <w:rPr>
          <w:rFonts w:cs="Tahoma"/>
          <w:bCs/>
          <w:iCs/>
          <w:color w:val="auto"/>
        </w:rPr>
        <w:t>.</w:t>
      </w:r>
    </w:p>
    <w:p w:rsidRPr="00B01980" w:rsidR="00D875AD" w:rsidP="00492822" w:rsidRDefault="00D875AD" w14:paraId="52C6F254" w14:textId="77777777">
      <w:pPr>
        <w:pStyle w:val="Prrafodelista"/>
        <w:spacing w:line="360" w:lineRule="auto"/>
        <w:rPr>
          <w:rFonts w:cs="Tahoma"/>
          <w:bCs/>
          <w:iCs/>
          <w:color w:val="auto"/>
        </w:rPr>
      </w:pPr>
    </w:p>
    <w:p w:rsidRPr="00B01980" w:rsidR="00D875AD" w:rsidP="00492822" w:rsidRDefault="00651C38" w14:paraId="78C435AE" w14:textId="5BCCD2EA">
      <w:pPr>
        <w:pStyle w:val="Prrafodelista"/>
        <w:numPr>
          <w:ilvl w:val="1"/>
          <w:numId w:val="22"/>
        </w:numPr>
        <w:spacing w:line="360" w:lineRule="auto"/>
        <w:rPr>
          <w:rFonts w:cs="Tahoma"/>
          <w:bCs/>
          <w:iCs/>
          <w:color w:val="auto"/>
        </w:rPr>
      </w:pPr>
      <w:r w:rsidRPr="00B01980">
        <w:rPr>
          <w:rFonts w:cs="Tahoma"/>
          <w:b/>
          <w:iCs/>
          <w:color w:val="auto"/>
        </w:rPr>
        <w:t>Jefa de Departamento de Patrimonio Municipal</w:t>
      </w:r>
      <w:r w:rsidRPr="00B01980" w:rsidR="007918B3">
        <w:rPr>
          <w:rFonts w:cs="Tahoma"/>
          <w:b/>
          <w:iCs/>
          <w:color w:val="auto"/>
        </w:rPr>
        <w:t xml:space="preserve"> (Artículo 96)</w:t>
      </w:r>
      <w:r w:rsidRPr="00B01980" w:rsidR="00600A0B">
        <w:rPr>
          <w:rFonts w:cs="Tahoma"/>
          <w:b/>
          <w:iCs/>
          <w:color w:val="auto"/>
        </w:rPr>
        <w:t>:</w:t>
      </w:r>
      <w:r w:rsidRPr="00B01980" w:rsidR="00600A0B">
        <w:rPr>
          <w:rFonts w:cs="Tahoma"/>
          <w:bCs/>
          <w:iCs/>
          <w:color w:val="auto"/>
        </w:rPr>
        <w:t xml:space="preserve"> Con atribuciones para </w:t>
      </w:r>
      <w:r w:rsidRPr="00B01980" w:rsidR="00492822">
        <w:rPr>
          <w:rFonts w:cs="Tahoma"/>
          <w:bCs/>
          <w:iCs/>
          <w:color w:val="auto"/>
        </w:rPr>
        <w:t>s</w:t>
      </w:r>
      <w:r w:rsidRPr="00B01980" w:rsidR="00D875AD">
        <w:rPr>
          <w:rFonts w:cs="Tahoma"/>
          <w:bCs/>
          <w:iCs/>
          <w:color w:val="auto"/>
        </w:rPr>
        <w:t>olicitar a las áreas responsables de las adquisiciones los documentos que acrediten la propiedad de los bienes, para su resguardo, integrar los expedientes de bienes muebles municipales que se lleven en el Comité de Arrendamientos, Adquisiciones de Inmuebles y Enajenaciones</w:t>
      </w:r>
      <w:r w:rsidRPr="00B01980" w:rsidR="008B5C9E">
        <w:rPr>
          <w:rFonts w:cs="Tahoma"/>
          <w:bCs/>
          <w:iCs/>
          <w:color w:val="auto"/>
        </w:rPr>
        <w:t>.</w:t>
      </w:r>
    </w:p>
    <w:p w:rsidRPr="00B01980" w:rsidR="00651C38" w:rsidP="00492822" w:rsidRDefault="00651C38" w14:paraId="6F687941" w14:textId="1A4C553D">
      <w:pPr>
        <w:spacing w:after="0" w:line="360" w:lineRule="auto"/>
        <w:rPr>
          <w:rFonts w:eastAsia="Times New Roman" w:cs="Tahoma"/>
          <w:bCs/>
          <w:iCs/>
          <w:color w:val="auto"/>
          <w:lang w:eastAsia="es-ES"/>
        </w:rPr>
      </w:pPr>
    </w:p>
    <w:p w:rsidRPr="00B01980" w:rsidR="00651C38" w:rsidP="00492822" w:rsidRDefault="00833500" w14:paraId="319427CC" w14:textId="1E13B8DF">
      <w:pPr>
        <w:spacing w:after="0" w:line="360" w:lineRule="auto"/>
        <w:rPr>
          <w:rFonts w:eastAsia="Times New Roman" w:cs="Tahoma"/>
          <w:bCs/>
          <w:iCs/>
          <w:color w:val="auto"/>
          <w:lang w:eastAsia="es-ES"/>
        </w:rPr>
      </w:pPr>
      <w:r w:rsidRPr="00B01980">
        <w:rPr>
          <w:rFonts w:eastAsia="Times New Roman" w:cs="Tahoma"/>
          <w:bCs/>
          <w:iCs/>
          <w:color w:val="auto"/>
          <w:lang w:eastAsia="es-ES"/>
        </w:rPr>
        <w:t xml:space="preserve">Con base en lo anterior, se logra inferir que el Sujeto Obligado </w:t>
      </w:r>
      <w:r w:rsidRPr="00B01980" w:rsidR="00F5115D">
        <w:rPr>
          <w:rFonts w:eastAsia="Times New Roman" w:cs="Tahoma"/>
          <w:bCs/>
          <w:iCs/>
          <w:color w:val="auto"/>
          <w:lang w:eastAsia="es-ES"/>
        </w:rPr>
        <w:t xml:space="preserve">cumplió con </w:t>
      </w:r>
      <w:r w:rsidRPr="00B01980" w:rsidR="00DB557D">
        <w:rPr>
          <w:rFonts w:eastAsia="Times New Roman" w:cs="Tahoma"/>
          <w:bCs/>
          <w:iCs/>
          <w:color w:val="auto"/>
          <w:lang w:eastAsia="es-ES"/>
        </w:rPr>
        <w:t>parte</w:t>
      </w:r>
      <w:r w:rsidRPr="00B01980" w:rsidR="00505166">
        <w:rPr>
          <w:rFonts w:eastAsia="Times New Roman" w:cs="Tahoma"/>
          <w:bCs/>
          <w:iCs/>
          <w:color w:val="auto"/>
          <w:lang w:eastAsia="es-ES"/>
        </w:rPr>
        <w:t xml:space="preserve"> de búsqueda previsto en el artículo 162 de la Ley de Transparencia y Acceso a la Información Pública del Estado de México y Municipios, ya que de las atribuciones de las áreas </w:t>
      </w:r>
      <w:r w:rsidRPr="00B01980" w:rsidR="00434676">
        <w:rPr>
          <w:rFonts w:eastAsia="Times New Roman" w:cs="Tahoma"/>
          <w:bCs/>
          <w:iCs/>
          <w:color w:val="auto"/>
          <w:lang w:eastAsia="es-ES"/>
        </w:rPr>
        <w:t xml:space="preserve">a través de la cuales el Ente Recurrido </w:t>
      </w:r>
      <w:r w:rsidRPr="00B01980" w:rsidR="00CF5432">
        <w:rPr>
          <w:rFonts w:eastAsia="Times New Roman" w:cs="Tahoma"/>
          <w:bCs/>
          <w:iCs/>
          <w:color w:val="auto"/>
          <w:lang w:eastAsia="es-ES"/>
        </w:rPr>
        <w:t>atendió el requerimiento de información</w:t>
      </w:r>
      <w:r w:rsidRPr="00B01980" w:rsidR="008F4798">
        <w:rPr>
          <w:rFonts w:eastAsia="Times New Roman" w:cs="Tahoma"/>
          <w:bCs/>
          <w:iCs/>
          <w:color w:val="auto"/>
          <w:lang w:eastAsia="es-ES"/>
        </w:rPr>
        <w:t>,</w:t>
      </w:r>
      <w:r w:rsidRPr="00B01980" w:rsidR="00CF5432">
        <w:rPr>
          <w:rFonts w:eastAsia="Times New Roman" w:cs="Tahoma"/>
          <w:bCs/>
          <w:iCs/>
          <w:color w:val="auto"/>
          <w:lang w:eastAsia="es-ES"/>
        </w:rPr>
        <w:t xml:space="preserve"> se advierte que todas ellas </w:t>
      </w:r>
      <w:r w:rsidRPr="00B01980" w:rsidR="00A13D39">
        <w:rPr>
          <w:rFonts w:eastAsia="Times New Roman" w:cs="Tahoma"/>
          <w:bCs/>
          <w:iCs/>
          <w:color w:val="auto"/>
          <w:lang w:eastAsia="es-ES"/>
        </w:rPr>
        <w:t xml:space="preserve">tienen </w:t>
      </w:r>
      <w:r w:rsidRPr="00B01980" w:rsidR="00454E63">
        <w:rPr>
          <w:rFonts w:eastAsia="Times New Roman" w:cs="Tahoma"/>
          <w:bCs/>
          <w:iCs/>
          <w:color w:val="auto"/>
          <w:lang w:eastAsia="es-ES"/>
        </w:rPr>
        <w:t xml:space="preserve">correlación </w:t>
      </w:r>
      <w:r w:rsidRPr="00B01980" w:rsidR="0000288D">
        <w:rPr>
          <w:rFonts w:eastAsia="Times New Roman" w:cs="Tahoma"/>
          <w:bCs/>
          <w:iCs/>
          <w:color w:val="auto"/>
          <w:lang w:eastAsia="es-ES"/>
        </w:rPr>
        <w:t xml:space="preserve">en </w:t>
      </w:r>
      <w:r w:rsidRPr="00B01980" w:rsidR="00DF0D4F">
        <w:rPr>
          <w:rFonts w:eastAsia="Times New Roman" w:cs="Tahoma"/>
          <w:bCs/>
          <w:iCs/>
          <w:color w:val="auto"/>
          <w:lang w:eastAsia="es-ES"/>
        </w:rPr>
        <w:t>los procedimientos de contratación, l</w:t>
      </w:r>
      <w:r w:rsidRPr="00B01980" w:rsidR="007921C2">
        <w:rPr>
          <w:rFonts w:eastAsia="Times New Roman" w:cs="Tahoma"/>
          <w:bCs/>
          <w:iCs/>
          <w:color w:val="auto"/>
          <w:lang w:eastAsia="es-ES"/>
        </w:rPr>
        <w:t xml:space="preserve">a vigilancia y erogación de recursos públicos y del registro </w:t>
      </w:r>
      <w:r w:rsidRPr="00B01980" w:rsidR="00DF4441">
        <w:rPr>
          <w:rFonts w:eastAsia="Times New Roman" w:cs="Tahoma"/>
          <w:bCs/>
          <w:iCs/>
          <w:color w:val="auto"/>
          <w:lang w:eastAsia="es-ES"/>
        </w:rPr>
        <w:t>de los documentos que acrediten la propiedad de los bienes</w:t>
      </w:r>
      <w:r w:rsidRPr="00B01980" w:rsidR="00545BFF">
        <w:rPr>
          <w:rFonts w:eastAsia="Times New Roman" w:cs="Tahoma"/>
          <w:bCs/>
          <w:iCs/>
          <w:color w:val="auto"/>
          <w:lang w:eastAsia="es-ES"/>
        </w:rPr>
        <w:t xml:space="preserve"> del Sujeto Obligado.</w:t>
      </w:r>
    </w:p>
    <w:p w:rsidRPr="00B01980" w:rsidR="00E96C70" w:rsidP="00492822" w:rsidRDefault="00E96C70" w14:paraId="1B854941" w14:textId="77777777">
      <w:pPr>
        <w:spacing w:after="0" w:line="360" w:lineRule="auto"/>
        <w:rPr>
          <w:rFonts w:eastAsia="Times New Roman" w:cs="Tahoma"/>
          <w:bCs/>
          <w:iCs/>
          <w:color w:val="auto"/>
          <w:lang w:eastAsia="es-ES"/>
        </w:rPr>
      </w:pPr>
    </w:p>
    <w:p w:rsidRPr="00B01980" w:rsidR="00C42155" w:rsidP="00492822" w:rsidRDefault="009B6A6E" w14:paraId="32EF8B78" w14:textId="7E607C1F">
      <w:pPr>
        <w:spacing w:after="0" w:line="360" w:lineRule="auto"/>
        <w:rPr>
          <w:rFonts w:eastAsia="Times New Roman" w:cs="Tahoma"/>
          <w:bCs/>
          <w:iCs/>
          <w:color w:val="auto"/>
          <w:lang w:val="es-ES" w:eastAsia="es-ES"/>
        </w:rPr>
      </w:pPr>
      <w:r w:rsidRPr="00B01980">
        <w:rPr>
          <w:rFonts w:eastAsia="Times New Roman" w:cs="Tahoma"/>
          <w:bCs/>
          <w:iCs/>
          <w:color w:val="auto"/>
          <w:lang w:val="es-ES" w:eastAsia="es-ES"/>
        </w:rPr>
        <w:t>Ahora bien dichas áreas, tanto en respuesta, como Informe Justificado, precisaron que la información era inexistente, al precisar lo siguiente:</w:t>
      </w:r>
    </w:p>
    <w:p w:rsidRPr="00B01980" w:rsidR="009B6A6E" w:rsidP="00492822" w:rsidRDefault="009B6A6E" w14:paraId="5686A0D4" w14:textId="77777777">
      <w:pPr>
        <w:spacing w:after="0" w:line="360" w:lineRule="auto"/>
        <w:rPr>
          <w:rFonts w:eastAsia="Times New Roman" w:cs="Tahoma"/>
          <w:bCs/>
          <w:iCs/>
          <w:color w:val="auto"/>
          <w:lang w:val="es-ES" w:eastAsia="es-ES"/>
        </w:rPr>
      </w:pPr>
    </w:p>
    <w:p w:rsidRPr="00B01980" w:rsidR="009B6A6E" w:rsidP="009B6A6E" w:rsidRDefault="009B6A6E" w14:paraId="05D4D0B1" w14:textId="2F63BAA6">
      <w:pPr>
        <w:pStyle w:val="Prrafodelista"/>
        <w:numPr>
          <w:ilvl w:val="0"/>
          <w:numId w:val="22"/>
        </w:numPr>
        <w:spacing w:line="360" w:lineRule="auto"/>
        <w:rPr>
          <w:rFonts w:cs="Tahoma"/>
          <w:b/>
          <w:bCs/>
          <w:iCs/>
          <w:color w:val="auto"/>
          <w:lang w:val="es-ES"/>
        </w:rPr>
      </w:pPr>
      <w:r w:rsidRPr="00B01980">
        <w:rPr>
          <w:rFonts w:cs="Tahoma"/>
          <w:b/>
          <w:bCs/>
          <w:iCs/>
          <w:color w:val="auto"/>
          <w:lang w:val="es-ES"/>
        </w:rPr>
        <w:t xml:space="preserve">Tesorería Municipal: </w:t>
      </w:r>
      <w:r w:rsidRPr="00B01980">
        <w:rPr>
          <w:rFonts w:cs="Tahoma"/>
          <w:bCs/>
          <w:iCs/>
          <w:color w:val="auto"/>
          <w:lang w:val="es-ES"/>
        </w:rPr>
        <w:t>Que no localizó documento que ampare la erogación por concepto de arrendamiento de equipo de transporte.</w:t>
      </w:r>
    </w:p>
    <w:p w:rsidRPr="00B01980" w:rsidR="009B6A6E" w:rsidP="009B6A6E" w:rsidRDefault="009B6A6E" w14:paraId="1FFC4B79" w14:textId="77777777">
      <w:pPr>
        <w:pStyle w:val="Prrafodelista"/>
        <w:spacing w:line="360" w:lineRule="auto"/>
        <w:rPr>
          <w:rFonts w:cs="Tahoma"/>
          <w:b/>
          <w:bCs/>
          <w:iCs/>
          <w:color w:val="auto"/>
          <w:lang w:val="es-ES"/>
        </w:rPr>
      </w:pPr>
    </w:p>
    <w:p w:rsidRPr="00B01980" w:rsidR="009B6A6E" w:rsidP="009B6A6E" w:rsidRDefault="009B6A6E" w14:paraId="6688F674" w14:textId="6EA09537">
      <w:pPr>
        <w:pStyle w:val="Prrafodelista"/>
        <w:numPr>
          <w:ilvl w:val="0"/>
          <w:numId w:val="22"/>
        </w:numPr>
        <w:spacing w:line="360" w:lineRule="auto"/>
        <w:rPr>
          <w:rFonts w:cs="Tahoma"/>
          <w:b/>
          <w:bCs/>
          <w:iCs/>
          <w:color w:val="auto"/>
          <w:lang w:val="es-ES"/>
        </w:rPr>
      </w:pPr>
      <w:r w:rsidRPr="00B01980">
        <w:rPr>
          <w:rFonts w:cs="Tahoma"/>
          <w:b/>
          <w:bCs/>
          <w:iCs/>
          <w:color w:val="auto"/>
          <w:lang w:val="es-ES"/>
        </w:rPr>
        <w:t xml:space="preserve">Dirección de Administración: </w:t>
      </w:r>
      <w:r w:rsidRPr="00B01980">
        <w:rPr>
          <w:rFonts w:cs="Tahoma"/>
          <w:bCs/>
          <w:iCs/>
          <w:color w:val="auto"/>
          <w:lang w:val="es-ES"/>
        </w:rPr>
        <w:t>Que después de realizar una búsqueda, no generó información relacionada con lo peticionado.</w:t>
      </w:r>
    </w:p>
    <w:p w:rsidRPr="00B01980" w:rsidR="009B6A6E" w:rsidP="009B6A6E" w:rsidRDefault="009B6A6E" w14:paraId="2DD9029D" w14:textId="77777777">
      <w:pPr>
        <w:pStyle w:val="Prrafodelista"/>
        <w:rPr>
          <w:rFonts w:cs="Tahoma"/>
          <w:b/>
          <w:bCs/>
          <w:iCs/>
          <w:color w:val="auto"/>
          <w:lang w:val="es-ES"/>
        </w:rPr>
      </w:pPr>
    </w:p>
    <w:p w:rsidRPr="00B01980" w:rsidR="009B6A6E" w:rsidP="009B6A6E" w:rsidRDefault="009B6A6E" w14:paraId="21895D9D" w14:textId="31AE435C">
      <w:pPr>
        <w:pStyle w:val="Prrafodelista"/>
        <w:numPr>
          <w:ilvl w:val="0"/>
          <w:numId w:val="22"/>
        </w:numPr>
        <w:spacing w:line="360" w:lineRule="auto"/>
        <w:rPr>
          <w:rFonts w:cs="Tahoma"/>
          <w:b/>
          <w:bCs/>
          <w:iCs/>
          <w:color w:val="auto"/>
          <w:lang w:val="es-ES"/>
        </w:rPr>
      </w:pPr>
      <w:r w:rsidRPr="00B01980">
        <w:rPr>
          <w:rFonts w:cs="Tahoma"/>
          <w:b/>
          <w:bCs/>
          <w:iCs/>
          <w:color w:val="auto"/>
          <w:lang w:val="es-ES"/>
        </w:rPr>
        <w:lastRenderedPageBreak/>
        <w:t xml:space="preserve">Secretaría del Ayuntamiento: </w:t>
      </w:r>
      <w:r w:rsidRPr="00B01980">
        <w:rPr>
          <w:rFonts w:cs="Tahoma"/>
          <w:bCs/>
          <w:iCs/>
          <w:color w:val="auto"/>
          <w:lang w:val="es-ES"/>
        </w:rPr>
        <w:t xml:space="preserve">Que realizó una búsqueda minuciosa y pormenorizada en sus archivos físicos y digitales, y no localizó contratos o convenios, respecto al arrendamiento de transporte. </w:t>
      </w:r>
    </w:p>
    <w:p w:rsidRPr="00B01980" w:rsidR="009B6A6E" w:rsidP="009B6A6E" w:rsidRDefault="009B6A6E" w14:paraId="4F469C07" w14:textId="77777777">
      <w:pPr>
        <w:pStyle w:val="Prrafodelista"/>
        <w:spacing w:line="360" w:lineRule="auto"/>
        <w:rPr>
          <w:rFonts w:cs="Tahoma"/>
          <w:b/>
          <w:bCs/>
          <w:iCs/>
          <w:color w:val="auto"/>
          <w:lang w:val="es-ES"/>
        </w:rPr>
      </w:pPr>
    </w:p>
    <w:p w:rsidRPr="00B01980" w:rsidR="00DB557D" w:rsidP="00DB557D" w:rsidRDefault="00DB557D" w14:paraId="5B70F605" w14:textId="673E1EB1">
      <w:pPr>
        <w:spacing w:after="0" w:line="360" w:lineRule="auto"/>
        <w:rPr>
          <w:rFonts w:eastAsia="Times New Roman" w:cs="Tahoma"/>
          <w:color w:val="auto"/>
          <w:lang w:eastAsia="es-ES"/>
        </w:rPr>
      </w:pPr>
      <w:r w:rsidRPr="00B01980">
        <w:rPr>
          <w:rFonts w:eastAsia="Times New Roman" w:cs="Tahoma"/>
          <w:iCs/>
          <w:color w:val="auto"/>
          <w:lang w:val="es-ES" w:eastAsia="es-ES"/>
        </w:rPr>
        <w:t xml:space="preserve">Así, se desprende que la Ayuntamiento de </w:t>
      </w:r>
      <w:r w:rsidRPr="00B01980" w:rsidR="009B6A6E">
        <w:rPr>
          <w:rFonts w:eastAsia="Times New Roman" w:cs="Tahoma"/>
          <w:iCs/>
          <w:color w:val="auto"/>
          <w:lang w:val="es-ES" w:eastAsia="es-ES"/>
        </w:rPr>
        <w:t>Tlalnepantla de Baz</w:t>
      </w:r>
      <w:r w:rsidRPr="00B01980">
        <w:rPr>
          <w:rFonts w:eastAsia="Times New Roman" w:cs="Tahoma"/>
          <w:iCs/>
          <w:color w:val="auto"/>
          <w:lang w:val="es-ES" w:eastAsia="es-ES"/>
        </w:rPr>
        <w:t xml:space="preserve">, precisó que la información era inexistente, al no haberse localizado información </w:t>
      </w:r>
      <w:r w:rsidRPr="00B01980" w:rsidR="009B6A6E">
        <w:rPr>
          <w:rFonts w:eastAsia="Times New Roman" w:cs="Tahoma"/>
          <w:iCs/>
          <w:color w:val="auto"/>
          <w:lang w:val="es-ES" w:eastAsia="es-ES"/>
        </w:rPr>
        <w:t>relacionada con lo peticionado</w:t>
      </w:r>
      <w:r w:rsidRPr="00B01980">
        <w:rPr>
          <w:rFonts w:eastAsia="Calibri" w:cs="Tahoma"/>
          <w:bCs/>
          <w:lang w:val="es-ES_tradnl"/>
        </w:rPr>
        <w:t>;</w:t>
      </w:r>
      <w:r w:rsidRPr="00B01980">
        <w:rPr>
          <w:rFonts w:eastAsia="Times New Roman" w:cs="Times New Roman"/>
          <w:iCs/>
          <w:color w:val="auto"/>
          <w:szCs w:val="20"/>
          <w:lang w:val="es-ES_tradnl" w:eastAsia="es-ES"/>
        </w:rPr>
        <w:t xml:space="preserve"> </w:t>
      </w:r>
      <w:r w:rsidRPr="00B01980">
        <w:rPr>
          <w:rFonts w:eastAsia="Calibri" w:cs="Tahoma"/>
          <w:bCs/>
          <w:color w:val="auto"/>
        </w:rPr>
        <w:t>sobre el tema</w:t>
      </w:r>
      <w:r w:rsidRPr="00B01980">
        <w:rPr>
          <w:rFonts w:eastAsia="Times New Roman" w:cs="Tahoma"/>
          <w:bCs/>
          <w:color w:val="auto"/>
          <w:lang w:eastAsia="es-ES"/>
        </w:rPr>
        <w:t xml:space="preserve">, resulta necesario traer a colación el </w:t>
      </w:r>
      <w:r w:rsidRPr="00B01980">
        <w:rPr>
          <w:rFonts w:eastAsia="Times New Roman" w:cs="Tahoma"/>
          <w:color w:val="auto"/>
          <w:lang w:eastAsia="es-ES"/>
        </w:rPr>
        <w:t>Criterio SO/014/2017, emitido por el Instituto Nacional de Transparencia, Acceso a la Información Pública y Protección de Datos Personales en el Estado de México y Municipios, que señala lo siguiente:</w:t>
      </w:r>
    </w:p>
    <w:p w:rsidRPr="00B01980" w:rsidR="00DB557D" w:rsidP="00DB557D" w:rsidRDefault="00DB557D" w14:paraId="179AFB68" w14:textId="77777777">
      <w:pPr>
        <w:widowControl w:val="0"/>
        <w:spacing w:after="0" w:line="360" w:lineRule="auto"/>
        <w:rPr>
          <w:rFonts w:eastAsia="Calibri" w:cs="Tahoma"/>
          <w:color w:val="auto"/>
          <w:lang w:eastAsia="es-ES_tradnl"/>
        </w:rPr>
      </w:pPr>
    </w:p>
    <w:p w:rsidRPr="00B01980" w:rsidR="00DB557D" w:rsidP="00DB557D" w:rsidRDefault="00DB557D" w14:paraId="2FAB733D" w14:textId="77777777">
      <w:pPr>
        <w:spacing w:after="0" w:line="360" w:lineRule="auto"/>
        <w:ind w:left="567" w:right="567"/>
        <w:rPr>
          <w:rFonts w:eastAsia="Calibri" w:cs="Times New Roman"/>
          <w:bCs/>
          <w:i/>
          <w:sz w:val="20"/>
          <w:szCs w:val="20"/>
          <w:lang w:val="es-ES"/>
        </w:rPr>
      </w:pPr>
      <w:r w:rsidRPr="00B01980">
        <w:rPr>
          <w:rFonts w:eastAsia="Calibri" w:cs="Times New Roman"/>
          <w:bCs/>
          <w:i/>
          <w:sz w:val="20"/>
          <w:szCs w:val="20"/>
          <w:lang w:val="es-ES"/>
        </w:rPr>
        <w:t>“</w:t>
      </w:r>
      <w:r w:rsidRPr="00B01980">
        <w:rPr>
          <w:rFonts w:eastAsia="Calibri" w:cs="Times New Roman"/>
          <w:b/>
          <w:bCs/>
          <w:i/>
          <w:sz w:val="20"/>
          <w:szCs w:val="20"/>
          <w:lang w:val="es-ES"/>
        </w:rPr>
        <w:t xml:space="preserve">Inexistencia. </w:t>
      </w:r>
      <w:r w:rsidRPr="00B01980">
        <w:rPr>
          <w:rFonts w:eastAsia="Calibri" w:cs="Times New Roman"/>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B01980" w:rsidR="00DB557D" w:rsidP="00DB557D" w:rsidRDefault="00DB557D" w14:paraId="5F70B650" w14:textId="77777777">
      <w:pPr>
        <w:spacing w:after="0" w:line="360" w:lineRule="auto"/>
        <w:rPr>
          <w:rFonts w:eastAsia="Calibri" w:cs="Times New Roman"/>
        </w:rPr>
      </w:pPr>
    </w:p>
    <w:p w:rsidRPr="00B01980" w:rsidR="00DB557D" w:rsidP="00DB557D" w:rsidRDefault="00DB557D" w14:paraId="020EFC06" w14:textId="77777777">
      <w:pPr>
        <w:spacing w:after="0" w:line="360" w:lineRule="auto"/>
        <w:rPr>
          <w:rFonts w:eastAsia="Times New Roman" w:cs="Tahoma"/>
          <w:color w:val="auto"/>
          <w:lang w:val="es-ES" w:eastAsia="es-ES"/>
        </w:rPr>
      </w:pPr>
      <w:r w:rsidRPr="00B01980">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B01980">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B01980" w:rsidR="00DB557D" w:rsidP="00DB557D" w:rsidRDefault="00DB557D" w14:paraId="13E7274F" w14:textId="77777777">
      <w:pPr>
        <w:spacing w:after="0" w:line="360" w:lineRule="auto"/>
        <w:rPr>
          <w:rFonts w:eastAsia="Calibri" w:cs="Times New Roman"/>
          <w:lang w:val="es-ES"/>
        </w:rPr>
      </w:pPr>
    </w:p>
    <w:p w:rsidRPr="00B01980" w:rsidR="00DB557D" w:rsidP="00DB557D" w:rsidRDefault="00DB557D" w14:paraId="25DBACDD" w14:textId="77777777">
      <w:pPr>
        <w:spacing w:after="0" w:line="360" w:lineRule="auto"/>
        <w:rPr>
          <w:rFonts w:eastAsia="Times New Roman" w:cs="Tahoma"/>
          <w:color w:val="auto"/>
          <w:lang w:eastAsia="es-ES"/>
        </w:rPr>
      </w:pPr>
      <w:r w:rsidRPr="00B01980">
        <w:rPr>
          <w:rFonts w:eastAsia="Times New Roman" w:cs="Tahoma"/>
          <w:color w:val="auto"/>
          <w:lang w:val="es-ES" w:eastAsia="es-ES"/>
        </w:rPr>
        <w:t>Así</w:t>
      </w:r>
      <w:r w:rsidRPr="00B01980">
        <w:rPr>
          <w:rFonts w:eastAsia="Times New Roman" w:cs="Tahoma"/>
          <w:color w:val="auto"/>
          <w:lang w:eastAsia="es-ES"/>
        </w:rPr>
        <w:t xml:space="preserve">, es posible concluir que la </w:t>
      </w:r>
      <w:r w:rsidRPr="00B01980">
        <w:rPr>
          <w:rFonts w:eastAsia="Times New Roman" w:cs="Tahoma"/>
          <w:b/>
          <w:color w:val="auto"/>
          <w:lang w:eastAsia="es-ES"/>
        </w:rPr>
        <w:t>inexistencia</w:t>
      </w:r>
      <w:r w:rsidRPr="00B01980">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B01980">
        <w:rPr>
          <w:rFonts w:eastAsia="Times New Roman" w:cs="Tahoma"/>
          <w:bCs/>
          <w:color w:val="auto"/>
          <w:lang w:eastAsia="es-ES"/>
        </w:rPr>
        <w:t xml:space="preserve">no basta con que los sujetos obligados señalen dicha circunstancia, sino que </w:t>
      </w:r>
      <w:r w:rsidRPr="00B01980">
        <w:rPr>
          <w:rFonts w:eastAsia="Times New Roman" w:cs="Tahoma"/>
          <w:color w:val="auto"/>
          <w:lang w:eastAsia="es-ES"/>
        </w:rPr>
        <w:t>primero deben realizar una indagación en todos los archivos de las áreas con funciones para conocer de lo peticionado.</w:t>
      </w:r>
    </w:p>
    <w:p w:rsidRPr="00B01980" w:rsidR="00DB557D" w:rsidP="00DB557D" w:rsidRDefault="00DB557D" w14:paraId="77835660" w14:textId="77777777">
      <w:pPr>
        <w:spacing w:after="0" w:line="360" w:lineRule="auto"/>
        <w:rPr>
          <w:rFonts w:eastAsia="Times New Roman" w:cs="Tahoma"/>
          <w:color w:val="auto"/>
          <w:lang w:eastAsia="es-ES"/>
        </w:rPr>
      </w:pPr>
    </w:p>
    <w:p w:rsidRPr="00B01980" w:rsidR="00DB557D" w:rsidP="00DB557D" w:rsidRDefault="00DB557D" w14:paraId="049594A5" w14:textId="77777777">
      <w:pPr>
        <w:spacing w:after="0" w:line="360" w:lineRule="auto"/>
        <w:rPr>
          <w:rFonts w:eastAsia="Times New Roman" w:cs="Arial"/>
          <w:b/>
          <w:bCs/>
          <w:color w:val="auto"/>
          <w:lang w:eastAsia="es-ES"/>
        </w:rPr>
      </w:pPr>
      <w:r w:rsidRPr="00B01980">
        <w:rPr>
          <w:rFonts w:eastAsia="Times New Roman" w:cs="Arial"/>
          <w:bCs/>
          <w:color w:val="auto"/>
          <w:lang w:eastAsia="es-ES"/>
        </w:rPr>
        <w:lastRenderedPageBreak/>
        <w:t xml:space="preserve">En ese sentido, según Jarquín, Soledad (2019), en el “Diccionario de Transparencia y Acceso a la Información Pública” (p. 68), </w:t>
      </w:r>
      <w:r w:rsidRPr="00B01980">
        <w:rPr>
          <w:rFonts w:eastAsia="Times New Roman" w:cs="Arial"/>
          <w:b/>
          <w:bCs/>
          <w:color w:val="auto"/>
          <w:lang w:eastAsia="es-ES"/>
        </w:rPr>
        <w:t>la búsqueda exhaustiva</w:t>
      </w:r>
      <w:r w:rsidRPr="00B01980">
        <w:rPr>
          <w:rFonts w:eastAsia="Times New Roman" w:cs="Arial"/>
          <w:bCs/>
          <w:color w:val="auto"/>
          <w:lang w:eastAsia="es-ES"/>
        </w:rPr>
        <w:t xml:space="preserve"> es la obligación del área administrativa del Sujeto Obligado que cuenta o puede contar con la información requerida, la cual consiste en localizar toda aquella que atienda la solicitud, </w:t>
      </w:r>
      <w:r w:rsidRPr="00B01980">
        <w:rPr>
          <w:rFonts w:eastAsia="Times New Roman" w:cs="Arial"/>
          <w:b/>
          <w:bCs/>
          <w:color w:val="auto"/>
          <w:lang w:eastAsia="es-ES"/>
        </w:rPr>
        <w:t>hasta agotar por completo las posibilidades de indagación.</w:t>
      </w:r>
    </w:p>
    <w:p w:rsidRPr="00B01980" w:rsidR="00DB557D" w:rsidP="00DB557D" w:rsidRDefault="00DB557D" w14:paraId="7974237A" w14:textId="77777777">
      <w:pPr>
        <w:spacing w:after="0" w:line="360" w:lineRule="auto"/>
        <w:rPr>
          <w:rFonts w:eastAsia="Times New Roman" w:cs="Arial"/>
          <w:b/>
          <w:bCs/>
          <w:color w:val="auto"/>
          <w:lang w:eastAsia="es-ES"/>
        </w:rPr>
      </w:pPr>
    </w:p>
    <w:p w:rsidRPr="00B01980" w:rsidR="00DB557D" w:rsidP="00DB557D" w:rsidRDefault="00DB557D" w14:paraId="7781FF98" w14:textId="77777777">
      <w:pPr>
        <w:spacing w:after="0" w:line="360" w:lineRule="auto"/>
        <w:rPr>
          <w:rFonts w:eastAsia="Times New Roman" w:cs="Arial"/>
          <w:b/>
          <w:bCs/>
          <w:color w:val="auto"/>
          <w:lang w:eastAsia="es-ES"/>
        </w:rPr>
      </w:pPr>
      <w:r w:rsidRPr="00B01980">
        <w:rPr>
          <w:rFonts w:eastAsia="Times New Roman" w:cs="Arial"/>
          <w:bCs/>
          <w:color w:val="auto"/>
          <w:lang w:eastAsia="es-ES"/>
        </w:rPr>
        <w:t xml:space="preserve">Además, según Calero, Natalia (2016), en la “Ley General de Transparencia y Acceso a la Información Pública Comentada” (p. 408), para que exista una búsqueda exhaustiva y razonable, se debe hacer una </w:t>
      </w:r>
      <w:r w:rsidRPr="00B01980">
        <w:rPr>
          <w:rFonts w:eastAsia="Times New Roman" w:cs="Arial"/>
          <w:b/>
          <w:bCs/>
          <w:color w:val="auto"/>
          <w:lang w:eastAsia="es-ES"/>
        </w:rPr>
        <w:t xml:space="preserve">indagación consiente y minuciosa en sus archivos físicos y electrónicos. </w:t>
      </w:r>
    </w:p>
    <w:p w:rsidRPr="00B01980" w:rsidR="00DB557D" w:rsidP="00DB557D" w:rsidRDefault="00DB557D" w14:paraId="51376939" w14:textId="77777777">
      <w:pPr>
        <w:spacing w:after="0" w:line="360" w:lineRule="auto"/>
        <w:rPr>
          <w:rFonts w:eastAsia="Times New Roman" w:cs="Tahoma"/>
          <w:color w:val="auto"/>
          <w:lang w:eastAsia="es-ES"/>
        </w:rPr>
      </w:pPr>
    </w:p>
    <w:p w:rsidRPr="00B01980" w:rsidR="00DB557D" w:rsidP="00DB557D" w:rsidRDefault="00DB557D" w14:paraId="55CC850D" w14:textId="77777777">
      <w:pPr>
        <w:spacing w:after="0" w:line="360" w:lineRule="auto"/>
        <w:rPr>
          <w:rFonts w:eastAsia="Times New Roman" w:cs="Tahoma"/>
          <w:b/>
          <w:color w:val="auto"/>
          <w:lang w:eastAsia="es-ES"/>
        </w:rPr>
      </w:pPr>
      <w:r w:rsidRPr="00B01980">
        <w:rPr>
          <w:rFonts w:eastAsia="Times New Roman" w:cs="Tahoma"/>
          <w:color w:val="auto"/>
          <w:lang w:eastAsia="es-ES"/>
        </w:rPr>
        <w:t xml:space="preserve">Conforme a lo anterior, para poder acreditar el carácter exhaustivo de la búsqueda realizada por los Sujetos Obligados, se deben motivar las razones por las que se buscó la información en determinadas áreas, </w:t>
      </w:r>
      <w:r w:rsidRPr="00B01980">
        <w:rPr>
          <w:rFonts w:eastAsia="Times New Roman" w:cs="Tahoma"/>
          <w:b/>
          <w:color w:val="auto"/>
          <w:lang w:eastAsia="es-ES"/>
        </w:rPr>
        <w:t>los criterios de búsqueda utilizados y demás circunstancias que fueron tomadas en cuenta.</w:t>
      </w:r>
    </w:p>
    <w:p w:rsidRPr="00B01980" w:rsidR="00DB557D" w:rsidP="00DB557D" w:rsidRDefault="00DB557D" w14:paraId="2219194B" w14:textId="77777777">
      <w:pPr>
        <w:spacing w:after="0" w:line="360" w:lineRule="auto"/>
        <w:rPr>
          <w:rFonts w:eastAsia="Times New Roman" w:cs="Tahoma"/>
          <w:color w:val="auto"/>
          <w:lang w:eastAsia="es-ES"/>
        </w:rPr>
      </w:pPr>
    </w:p>
    <w:p w:rsidRPr="00B01980" w:rsidR="00DB557D" w:rsidP="00DB557D" w:rsidRDefault="00DB557D" w14:paraId="37EC165B" w14:textId="77777777">
      <w:pPr>
        <w:spacing w:after="0" w:line="360" w:lineRule="auto"/>
        <w:rPr>
          <w:rFonts w:eastAsia="Times New Roman" w:cs="Tahoma"/>
          <w:color w:val="auto"/>
          <w:lang w:eastAsia="es-ES"/>
        </w:rPr>
      </w:pPr>
      <w:r w:rsidRPr="00B01980">
        <w:rPr>
          <w:rFonts w:eastAsia="Times New Roman" w:cs="Tahoma"/>
          <w:color w:val="auto"/>
          <w:lang w:eastAsia="es-ES"/>
        </w:rPr>
        <w:t xml:space="preserve">En ese contexto, de conformidad con los Criterios de Interpretación, con clave de control </w:t>
      </w:r>
      <w:r w:rsidRPr="00B01980">
        <w:rPr>
          <w:rFonts w:cs="Tahoma"/>
        </w:rPr>
        <w:t>SO/012/2010 y SO/004/2019</w:t>
      </w:r>
      <w:r w:rsidRPr="00B01980">
        <w:rPr>
          <w:rFonts w:eastAsia="Times New Roman" w:cs="Tahoma"/>
          <w:color w:val="auto"/>
          <w:lang w:eastAsia="es-ES"/>
        </w:rPr>
        <w:t>, emitidos por el Instituto Nacional de Transparencia, Acceso a la Información y Protección de Datos Personales, traídos por analogía, los sujetos obligados para acreditar que se realizó una búsqueda exhaustiva y razonable, deben de proporcionar los elementos suficientes del carácter exhaustivo de la indagación realizada, a saber, los siguientes:</w:t>
      </w:r>
    </w:p>
    <w:p w:rsidRPr="00B01980" w:rsidR="00DB557D" w:rsidP="00DB557D" w:rsidRDefault="00DB557D" w14:paraId="11EA6D4E" w14:textId="77777777">
      <w:pPr>
        <w:spacing w:after="0" w:line="360" w:lineRule="auto"/>
        <w:rPr>
          <w:rFonts w:eastAsia="Times New Roman" w:cs="Tahoma"/>
          <w:color w:val="auto"/>
          <w:lang w:eastAsia="es-ES"/>
        </w:rPr>
      </w:pPr>
    </w:p>
    <w:p w:rsidRPr="00B01980" w:rsidR="00DB557D" w:rsidP="0085462C" w:rsidRDefault="00DB557D" w14:paraId="69700D85" w14:textId="77777777">
      <w:pPr>
        <w:numPr>
          <w:ilvl w:val="0"/>
          <w:numId w:val="26"/>
        </w:numPr>
        <w:spacing w:after="0" w:line="360" w:lineRule="auto"/>
        <w:contextualSpacing/>
        <w:rPr>
          <w:rFonts w:eastAsia="Times New Roman" w:cs="Tahoma"/>
          <w:color w:val="auto"/>
          <w:lang w:eastAsia="es-ES"/>
        </w:rPr>
      </w:pPr>
      <w:r w:rsidRPr="00B01980">
        <w:rPr>
          <w:rFonts w:eastAsia="Times New Roman" w:cs="Tahoma"/>
          <w:color w:val="auto"/>
          <w:lang w:eastAsia="es-ES"/>
        </w:rPr>
        <w:t>Motivación por las que se buscó la información, en determinadas unidades administrativas;</w:t>
      </w:r>
    </w:p>
    <w:p w:rsidRPr="00B01980" w:rsidR="00DB557D" w:rsidP="00DB557D" w:rsidRDefault="00DB557D" w14:paraId="0AC397E6" w14:textId="77777777">
      <w:pPr>
        <w:spacing w:line="360" w:lineRule="auto"/>
        <w:ind w:left="720"/>
        <w:contextualSpacing/>
        <w:rPr>
          <w:rFonts w:eastAsia="Times New Roman" w:cs="Tahoma"/>
          <w:color w:val="auto"/>
          <w:lang w:eastAsia="es-ES"/>
        </w:rPr>
      </w:pPr>
    </w:p>
    <w:p w:rsidRPr="00B01980" w:rsidR="00DB557D" w:rsidP="00DB557D" w:rsidRDefault="00DB557D" w14:paraId="0CA715FE" w14:textId="77777777">
      <w:pPr>
        <w:numPr>
          <w:ilvl w:val="0"/>
          <w:numId w:val="26"/>
        </w:numPr>
        <w:spacing w:after="0" w:line="360" w:lineRule="auto"/>
        <w:contextualSpacing/>
        <w:jc w:val="left"/>
        <w:rPr>
          <w:rFonts w:eastAsia="Times New Roman" w:cs="Tahoma"/>
          <w:color w:val="auto"/>
          <w:lang w:eastAsia="es-ES"/>
        </w:rPr>
      </w:pPr>
      <w:r w:rsidRPr="00B01980">
        <w:rPr>
          <w:rFonts w:eastAsia="Times New Roman" w:cs="Tahoma"/>
          <w:color w:val="auto"/>
          <w:lang w:eastAsia="es-ES"/>
        </w:rPr>
        <w:t>Los criterios de búsqueda utilizados, y</w:t>
      </w:r>
    </w:p>
    <w:p w:rsidRPr="00B01980" w:rsidR="00DB557D" w:rsidP="00DB557D" w:rsidRDefault="00DB557D" w14:paraId="01037709" w14:textId="77777777">
      <w:pPr>
        <w:spacing w:after="0" w:line="240" w:lineRule="auto"/>
        <w:ind w:left="720"/>
        <w:contextualSpacing/>
        <w:jc w:val="left"/>
        <w:rPr>
          <w:rFonts w:eastAsia="Times New Roman" w:cs="Tahoma"/>
          <w:color w:val="auto"/>
          <w:lang w:eastAsia="es-ES"/>
        </w:rPr>
      </w:pPr>
    </w:p>
    <w:p w:rsidRPr="00B01980" w:rsidR="00DB557D" w:rsidP="00DB557D" w:rsidRDefault="00DB557D" w14:paraId="7CFA4BDD" w14:textId="77777777">
      <w:pPr>
        <w:numPr>
          <w:ilvl w:val="0"/>
          <w:numId w:val="26"/>
        </w:numPr>
        <w:spacing w:after="0" w:line="360" w:lineRule="auto"/>
        <w:contextualSpacing/>
        <w:jc w:val="left"/>
        <w:rPr>
          <w:rFonts w:eastAsia="Times New Roman" w:cs="Tahoma"/>
          <w:color w:val="auto"/>
          <w:lang w:eastAsia="es-ES"/>
        </w:rPr>
      </w:pPr>
      <w:r w:rsidRPr="00B01980">
        <w:rPr>
          <w:rFonts w:eastAsia="Times New Roman" w:cs="Tahoma"/>
          <w:color w:val="auto"/>
          <w:lang w:eastAsia="es-ES"/>
        </w:rPr>
        <w:lastRenderedPageBreak/>
        <w:t>Las circunstancias que fueron tomadas en cuenta.</w:t>
      </w:r>
    </w:p>
    <w:p w:rsidRPr="00B01980" w:rsidR="00DB557D" w:rsidP="00DB557D" w:rsidRDefault="00DB557D" w14:paraId="293D54F3" w14:textId="77777777">
      <w:pPr>
        <w:spacing w:after="0" w:line="360" w:lineRule="auto"/>
        <w:rPr>
          <w:rFonts w:eastAsia="Times New Roman" w:cs="Tahoma"/>
          <w:color w:val="auto"/>
          <w:lang w:eastAsia="es-ES"/>
        </w:rPr>
      </w:pPr>
    </w:p>
    <w:p w:rsidRPr="00B01980" w:rsidR="00DB557D" w:rsidP="00DB557D" w:rsidRDefault="00DB557D" w14:paraId="30F0B071" w14:textId="77777777">
      <w:pPr>
        <w:spacing w:after="0" w:line="360" w:lineRule="auto"/>
        <w:rPr>
          <w:rFonts w:eastAsia="Times New Roman" w:cs="Tahoma"/>
          <w:color w:val="auto"/>
          <w:lang w:eastAsia="es-ES"/>
        </w:rPr>
      </w:pPr>
      <w:r w:rsidRPr="00B01980">
        <w:rPr>
          <w:rFonts w:eastAsia="Times New Roman" w:cs="Tahoma"/>
          <w:color w:val="auto"/>
          <w:lang w:eastAsia="es-ES"/>
        </w:rPr>
        <w:t>De tales circunstancias, se considera que para que los Sujetos Obligado justifiquen que realizaron una búsqueda exhaustiva y razonable, deben indicar de manera clara, lo siguiente:</w:t>
      </w:r>
    </w:p>
    <w:p w:rsidRPr="00B01980" w:rsidR="00DB557D" w:rsidP="00DB557D" w:rsidRDefault="00DB557D" w14:paraId="1CADA171" w14:textId="77777777">
      <w:pPr>
        <w:spacing w:after="0" w:line="360" w:lineRule="auto"/>
        <w:rPr>
          <w:rFonts w:eastAsia="Times New Roman" w:cs="Tahoma"/>
          <w:color w:val="auto"/>
          <w:lang w:eastAsia="es-ES"/>
        </w:rPr>
      </w:pPr>
    </w:p>
    <w:p w:rsidRPr="00B01980" w:rsidR="00DB557D" w:rsidP="00DB557D" w:rsidRDefault="00DB557D" w14:paraId="4C171CFB" w14:textId="77777777">
      <w:pPr>
        <w:numPr>
          <w:ilvl w:val="0"/>
          <w:numId w:val="27"/>
        </w:numPr>
        <w:spacing w:after="0" w:line="360" w:lineRule="auto"/>
        <w:contextualSpacing/>
        <w:jc w:val="left"/>
        <w:rPr>
          <w:rFonts w:eastAsia="Times New Roman" w:cs="Tahoma"/>
          <w:color w:val="auto"/>
          <w:lang w:eastAsia="es-ES"/>
        </w:rPr>
      </w:pPr>
      <w:r w:rsidRPr="00B01980">
        <w:rPr>
          <w:rFonts w:eastAsia="Times New Roman" w:cs="Tahoma"/>
          <w:color w:val="auto"/>
          <w:lang w:eastAsia="es-ES"/>
        </w:rPr>
        <w:t>Las áreas donde se buscó la información;</w:t>
      </w:r>
    </w:p>
    <w:p w:rsidRPr="00B01980" w:rsidR="00DB557D" w:rsidP="00DB557D" w:rsidRDefault="00DB557D" w14:paraId="2DBF941D" w14:textId="77777777">
      <w:pPr>
        <w:spacing w:line="360" w:lineRule="auto"/>
        <w:ind w:left="720"/>
        <w:contextualSpacing/>
        <w:rPr>
          <w:rFonts w:eastAsia="Times New Roman" w:cs="Tahoma"/>
          <w:color w:val="auto"/>
          <w:lang w:eastAsia="es-ES"/>
        </w:rPr>
      </w:pPr>
    </w:p>
    <w:p w:rsidRPr="00B01980" w:rsidR="00DB557D" w:rsidP="00DB557D" w:rsidRDefault="00DB557D" w14:paraId="29A1E897" w14:textId="77777777">
      <w:pPr>
        <w:numPr>
          <w:ilvl w:val="0"/>
          <w:numId w:val="27"/>
        </w:numPr>
        <w:spacing w:after="0" w:line="360" w:lineRule="auto"/>
        <w:contextualSpacing/>
        <w:jc w:val="left"/>
        <w:rPr>
          <w:rFonts w:eastAsia="Times New Roman" w:cs="Tahoma"/>
          <w:color w:val="auto"/>
          <w:lang w:eastAsia="es-ES"/>
        </w:rPr>
      </w:pPr>
      <w:r w:rsidRPr="00B01980">
        <w:rPr>
          <w:rFonts w:eastAsia="Times New Roman" w:cs="Tahoma"/>
          <w:color w:val="auto"/>
          <w:lang w:eastAsia="es-ES"/>
        </w:rPr>
        <w:t>Tipo de archivos buscados (físicos o electrónicos);</w:t>
      </w:r>
    </w:p>
    <w:p w:rsidRPr="00B01980" w:rsidR="00DB557D" w:rsidP="00DB557D" w:rsidRDefault="00DB557D" w14:paraId="4364AA58" w14:textId="77777777">
      <w:pPr>
        <w:spacing w:after="0" w:line="240" w:lineRule="auto"/>
        <w:ind w:left="720"/>
        <w:contextualSpacing/>
        <w:jc w:val="left"/>
        <w:rPr>
          <w:rFonts w:eastAsia="Times New Roman" w:cs="Tahoma"/>
          <w:color w:val="auto"/>
          <w:lang w:eastAsia="es-ES"/>
        </w:rPr>
      </w:pPr>
    </w:p>
    <w:p w:rsidRPr="00B01980" w:rsidR="00DB557D" w:rsidP="00DB557D" w:rsidRDefault="00DB557D" w14:paraId="07E7C25F" w14:textId="77777777">
      <w:pPr>
        <w:numPr>
          <w:ilvl w:val="0"/>
          <w:numId w:val="27"/>
        </w:numPr>
        <w:spacing w:after="0" w:line="360" w:lineRule="auto"/>
        <w:contextualSpacing/>
        <w:jc w:val="left"/>
        <w:rPr>
          <w:rFonts w:eastAsia="Times New Roman" w:cs="Tahoma"/>
          <w:color w:val="auto"/>
          <w:lang w:eastAsia="es-ES"/>
        </w:rPr>
      </w:pPr>
      <w:r w:rsidRPr="00B01980">
        <w:rPr>
          <w:rFonts w:eastAsia="Times New Roman" w:cs="Tahoma"/>
          <w:color w:val="auto"/>
          <w:lang w:eastAsia="es-ES"/>
        </w:rPr>
        <w:t xml:space="preserve">Los criterios de búsqueda utilizados, y </w:t>
      </w:r>
    </w:p>
    <w:p w:rsidRPr="00B01980" w:rsidR="00DB557D" w:rsidP="00DB557D" w:rsidRDefault="00DB557D" w14:paraId="6118662A" w14:textId="77777777">
      <w:pPr>
        <w:spacing w:after="0" w:line="240" w:lineRule="auto"/>
        <w:ind w:left="720"/>
        <w:contextualSpacing/>
        <w:jc w:val="left"/>
        <w:rPr>
          <w:rFonts w:eastAsia="Times New Roman" w:cs="Tahoma"/>
          <w:color w:val="auto"/>
          <w:lang w:eastAsia="es-ES"/>
        </w:rPr>
      </w:pPr>
    </w:p>
    <w:p w:rsidRPr="00B01980" w:rsidR="00DB557D" w:rsidP="00DB557D" w:rsidRDefault="00DB557D" w14:paraId="0014472F" w14:textId="77777777">
      <w:pPr>
        <w:numPr>
          <w:ilvl w:val="0"/>
          <w:numId w:val="27"/>
        </w:numPr>
        <w:spacing w:after="0" w:line="360" w:lineRule="auto"/>
        <w:contextualSpacing/>
        <w:jc w:val="left"/>
        <w:rPr>
          <w:rFonts w:eastAsia="Times New Roman" w:cs="Tahoma"/>
          <w:color w:val="auto"/>
          <w:lang w:eastAsia="es-ES"/>
        </w:rPr>
      </w:pPr>
      <w:r w:rsidRPr="00B01980">
        <w:rPr>
          <w:rFonts w:eastAsia="Times New Roman" w:cs="Tahoma"/>
          <w:color w:val="auto"/>
          <w:lang w:eastAsia="es-ES"/>
        </w:rPr>
        <w:t>Las circunstancias que fueron tomadas en cuenta.</w:t>
      </w:r>
      <w:r w:rsidRPr="00B01980">
        <w:rPr>
          <w:rFonts w:eastAsia="Times New Roman" w:cs="Tahoma"/>
          <w:color w:val="auto"/>
          <w:lang w:eastAsia="es-ES"/>
        </w:rPr>
        <w:tab/>
      </w:r>
    </w:p>
    <w:p w:rsidRPr="00B01980" w:rsidR="00DB557D" w:rsidP="00DB557D" w:rsidRDefault="00DB557D" w14:paraId="24FB7519" w14:textId="77777777">
      <w:pPr>
        <w:spacing w:after="0" w:line="360" w:lineRule="auto"/>
        <w:rPr>
          <w:rFonts w:eastAsia="Times New Roman" w:cs="Tahoma"/>
          <w:bCs/>
          <w:iCs/>
          <w:lang w:val="es-ES" w:eastAsia="es-ES"/>
        </w:rPr>
      </w:pPr>
    </w:p>
    <w:p w:rsidRPr="00B01980" w:rsidR="0085462C" w:rsidP="00DB557D" w:rsidRDefault="0085462C" w14:paraId="63702F10" w14:textId="015E22A7">
      <w:pPr>
        <w:spacing w:after="0" w:line="360" w:lineRule="auto"/>
        <w:rPr>
          <w:rFonts w:eastAsia="Times New Roman" w:cs="Tahoma"/>
          <w:bCs/>
          <w:iCs/>
          <w:lang w:val="es-ES" w:eastAsia="es-ES"/>
        </w:rPr>
      </w:pPr>
      <w:r w:rsidRPr="00B01980">
        <w:rPr>
          <w:rFonts w:eastAsia="Times New Roman" w:cs="Tahoma"/>
          <w:bCs/>
          <w:iCs/>
          <w:lang w:val="es-ES" w:eastAsia="es-ES"/>
        </w:rPr>
        <w:t xml:space="preserve">Ahora bien, respecto a la inexistencia manifestada, este Instituto localizó el Primer Informe de Gobierno de Tlalnepantla de Baz (consultado el siete de febrero de dos mil veintidós, en la liga </w:t>
      </w:r>
      <w:hyperlink w:history="1" r:id="rId9">
        <w:r w:rsidRPr="00B01980">
          <w:rPr>
            <w:rStyle w:val="Hipervnculo"/>
            <w:rFonts w:eastAsia="Times New Roman" w:cs="Tahoma"/>
            <w:bCs/>
            <w:iCs/>
            <w:lang w:val="es-ES" w:eastAsia="es-ES"/>
          </w:rPr>
          <w:t>http://repositorio.tlalnepantla.gob.mx/files/pdf/repositorio/2983gt.pdf?v=c4ca4238a0b923820dcc509a6f75849b</w:t>
        </w:r>
      </w:hyperlink>
      <w:r w:rsidRPr="00B01980">
        <w:rPr>
          <w:rFonts w:eastAsia="Times New Roman" w:cs="Tahoma"/>
          <w:bCs/>
          <w:iCs/>
          <w:lang w:val="es-ES" w:eastAsia="es-ES"/>
        </w:rPr>
        <w:t>),</w:t>
      </w:r>
      <w:r w:rsidRPr="00B01980">
        <w:rPr>
          <w:rFonts w:eastAsia="Times New Roman" w:cs="Tahoma"/>
          <w:b/>
          <w:bCs/>
          <w:iCs/>
          <w:lang w:val="es-ES" w:eastAsia="es-ES"/>
        </w:rPr>
        <w:t xml:space="preserve"> </w:t>
      </w:r>
      <w:r w:rsidRPr="00B01980">
        <w:rPr>
          <w:rFonts w:eastAsia="Times New Roman" w:cs="Tahoma"/>
          <w:bCs/>
          <w:iCs/>
          <w:lang w:val="es-ES" w:eastAsia="es-ES"/>
        </w:rPr>
        <w:t>que precisa que durante el ejercicio fiscal dos mil veintidós, se realizó el arrendamiento puro de ciento setenta y dos patrullas nuevas</w:t>
      </w:r>
      <w:r w:rsidRPr="00B01980" w:rsidR="000B4D1B">
        <w:rPr>
          <w:rFonts w:eastAsia="Times New Roman" w:cs="Tahoma"/>
          <w:bCs/>
          <w:iCs/>
          <w:lang w:val="es-ES" w:eastAsia="es-ES"/>
        </w:rPr>
        <w:t xml:space="preserve"> y treinta camiones compactadores de residuos sólidos</w:t>
      </w:r>
      <w:r w:rsidRPr="00B01980">
        <w:rPr>
          <w:rFonts w:eastAsia="Times New Roman" w:cs="Tahoma"/>
          <w:bCs/>
          <w:iCs/>
          <w:lang w:val="es-ES" w:eastAsia="es-ES"/>
        </w:rPr>
        <w:t>, tal como se muestra a continuación:</w:t>
      </w:r>
    </w:p>
    <w:p w:rsidRPr="00B01980" w:rsidR="0085462C" w:rsidP="00DB557D" w:rsidRDefault="0085462C" w14:paraId="2DFAB409" w14:textId="77777777">
      <w:pPr>
        <w:spacing w:after="0" w:line="360" w:lineRule="auto"/>
        <w:rPr>
          <w:rFonts w:eastAsia="Times New Roman" w:cs="Tahoma"/>
          <w:bCs/>
          <w:iCs/>
          <w:lang w:val="es-ES" w:eastAsia="es-ES"/>
        </w:rPr>
      </w:pPr>
    </w:p>
    <w:p w:rsidRPr="00B01980" w:rsidR="0085462C" w:rsidP="0085462C" w:rsidRDefault="0085462C" w14:paraId="05D976BE" w14:textId="763CEAA6">
      <w:pPr>
        <w:spacing w:after="0" w:line="360" w:lineRule="auto"/>
        <w:jc w:val="center"/>
        <w:rPr>
          <w:rFonts w:eastAsia="Times New Roman" w:cs="Tahoma"/>
          <w:bCs/>
          <w:iCs/>
          <w:lang w:val="es-ES" w:eastAsia="es-ES"/>
        </w:rPr>
      </w:pPr>
      <w:r w:rsidRPr="00B01980">
        <w:rPr>
          <w:rFonts w:eastAsia="Times New Roman" w:cs="Tahoma"/>
          <w:bCs/>
          <w:iCs/>
          <w:noProof/>
          <w:lang w:eastAsia="es-MX"/>
        </w:rPr>
        <w:drawing>
          <wp:inline distT="0" distB="0" distL="0" distR="0" wp14:anchorId="1A02EC40" wp14:editId="73527499">
            <wp:extent cx="3197206" cy="18669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4225" cy="1870999"/>
                    </a:xfrm>
                    <a:prstGeom prst="rect">
                      <a:avLst/>
                    </a:prstGeom>
                  </pic:spPr>
                </pic:pic>
              </a:graphicData>
            </a:graphic>
          </wp:inline>
        </w:drawing>
      </w:r>
    </w:p>
    <w:p w:rsidRPr="00B01980" w:rsidR="0085462C" w:rsidP="00DB557D" w:rsidRDefault="0085462C" w14:paraId="4473745A" w14:textId="77777777">
      <w:pPr>
        <w:spacing w:after="0" w:line="360" w:lineRule="auto"/>
        <w:rPr>
          <w:rFonts w:eastAsia="Times New Roman" w:cs="Tahoma"/>
          <w:bCs/>
          <w:iCs/>
          <w:lang w:val="es-ES" w:eastAsia="es-ES"/>
        </w:rPr>
      </w:pPr>
    </w:p>
    <w:p w:rsidRPr="00B01980" w:rsidR="000B4D1B" w:rsidP="000B4D1B" w:rsidRDefault="000B4D1B" w14:paraId="7ED07EDB" w14:textId="51323827">
      <w:pPr>
        <w:spacing w:after="0" w:line="360" w:lineRule="auto"/>
        <w:jc w:val="center"/>
        <w:rPr>
          <w:rFonts w:eastAsia="Times New Roman" w:cs="Tahoma"/>
          <w:bCs/>
          <w:iCs/>
          <w:lang w:val="es-ES" w:eastAsia="es-ES"/>
        </w:rPr>
      </w:pPr>
      <w:r w:rsidRPr="00B01980">
        <w:rPr>
          <w:rFonts w:eastAsia="Times New Roman" w:cs="Tahoma"/>
          <w:bCs/>
          <w:iCs/>
          <w:noProof/>
          <w:lang w:eastAsia="es-MX"/>
        </w:rPr>
        <w:lastRenderedPageBreak/>
        <w:drawing>
          <wp:inline distT="0" distB="0" distL="0" distR="0" wp14:anchorId="0EA10D88" wp14:editId="4B219290">
            <wp:extent cx="2940316" cy="1704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43970" cy="1707094"/>
                    </a:xfrm>
                    <a:prstGeom prst="rect">
                      <a:avLst/>
                    </a:prstGeom>
                  </pic:spPr>
                </pic:pic>
              </a:graphicData>
            </a:graphic>
          </wp:inline>
        </w:drawing>
      </w:r>
    </w:p>
    <w:p w:rsidRPr="00B01980" w:rsidR="000B4D1B" w:rsidP="0085462C" w:rsidRDefault="000B4D1B" w14:paraId="62006CFC" w14:textId="77777777">
      <w:pPr>
        <w:spacing w:after="0" w:line="360" w:lineRule="auto"/>
        <w:rPr>
          <w:rFonts w:eastAsia="Times New Roman" w:cs="Tahoma"/>
          <w:bCs/>
          <w:iCs/>
          <w:color w:val="auto"/>
          <w:lang w:val="es-ES" w:eastAsia="es-ES"/>
        </w:rPr>
      </w:pPr>
    </w:p>
    <w:p w:rsidRPr="00B01980" w:rsidR="0085462C" w:rsidP="0085462C" w:rsidRDefault="0085462C" w14:paraId="6B7F8DAF" w14:textId="66B204C0">
      <w:pPr>
        <w:spacing w:after="0" w:line="360" w:lineRule="auto"/>
        <w:rPr>
          <w:rFonts w:eastAsia="Times New Roman" w:cs="Tahoma"/>
          <w:b/>
          <w:bCs/>
          <w:iCs/>
          <w:color w:val="auto"/>
          <w:lang w:val="es-ES" w:eastAsia="es-ES"/>
        </w:rPr>
      </w:pPr>
      <w:r w:rsidRPr="00B01980">
        <w:rPr>
          <w:rFonts w:eastAsia="Times New Roman" w:cs="Tahoma"/>
          <w:bCs/>
          <w:iCs/>
          <w:color w:val="auto"/>
          <w:lang w:val="es-ES" w:eastAsia="es-ES"/>
        </w:rPr>
        <w:t>Sobre dicho</w:t>
      </w:r>
      <w:r w:rsidRPr="00B01980" w:rsidR="000B4D1B">
        <w:rPr>
          <w:rFonts w:eastAsia="Times New Roman" w:cs="Tahoma"/>
          <w:bCs/>
          <w:iCs/>
          <w:color w:val="auto"/>
          <w:lang w:val="es-ES" w:eastAsia="es-ES"/>
        </w:rPr>
        <w:t>s</w:t>
      </w:r>
      <w:r w:rsidRPr="00B01980">
        <w:rPr>
          <w:rFonts w:eastAsia="Times New Roman" w:cs="Tahoma"/>
          <w:bCs/>
          <w:iCs/>
          <w:color w:val="auto"/>
          <w:lang w:val="es-ES" w:eastAsia="es-ES"/>
        </w:rPr>
        <w:t xml:space="preserve"> arrendamiento</w:t>
      </w:r>
      <w:r w:rsidRPr="00B01980" w:rsidR="000B4D1B">
        <w:rPr>
          <w:rFonts w:eastAsia="Times New Roman" w:cs="Tahoma"/>
          <w:bCs/>
          <w:iCs/>
          <w:color w:val="auto"/>
          <w:lang w:val="es-ES" w:eastAsia="es-ES"/>
        </w:rPr>
        <w:t>s</w:t>
      </w:r>
      <w:r w:rsidRPr="00B01980">
        <w:rPr>
          <w:rFonts w:eastAsia="Times New Roman" w:cs="Tahoma"/>
          <w:bCs/>
          <w:iCs/>
          <w:color w:val="auto"/>
          <w:lang w:val="es-ES" w:eastAsia="es-ES"/>
        </w:rPr>
        <w:t xml:space="preserve">, el Particular proporcionó en el Recurso de Revisión, </w:t>
      </w:r>
      <w:r w:rsidRPr="00B01980" w:rsidR="00837577">
        <w:rPr>
          <w:rFonts w:eastAsia="Times New Roman" w:cs="Tahoma"/>
          <w:bCs/>
          <w:iCs/>
          <w:color w:val="auto"/>
          <w:lang w:val="es-ES" w:eastAsia="es-ES"/>
        </w:rPr>
        <w:t xml:space="preserve">las Notas a los Estados Financieros del periodo del primero de marzo al treinta y uno de marzo de dos mil veintidós, las cuales se encuentra publicadas en la página oficial del Ayuntamiento (consultado el siete de febrero de dos mil veintitrés, a las trece horas, en la liga </w:t>
      </w:r>
      <w:hyperlink w:history="1" r:id="rId12">
        <w:r w:rsidRPr="00B01980" w:rsidR="00837577">
          <w:rPr>
            <w:rStyle w:val="Hipervnculo"/>
            <w:rFonts w:eastAsia="Times New Roman" w:cs="Tahoma"/>
            <w:bCs/>
            <w:iCs/>
            <w:lang w:eastAsia="es-ES"/>
          </w:rPr>
          <w:t>http://repositorio.tlalnepantla.gob.mx/files/pdf/repositorio/2074ifp.pdf?v=c81e728d9d4c2f636f067f89cc14862c</w:t>
        </w:r>
      </w:hyperlink>
      <w:r w:rsidRPr="00B01980" w:rsidR="00837577">
        <w:rPr>
          <w:rFonts w:eastAsia="Times New Roman" w:cs="Tahoma"/>
          <w:bCs/>
          <w:iCs/>
          <w:color w:val="auto"/>
          <w:lang w:val="es-ES" w:eastAsia="es-ES"/>
        </w:rPr>
        <w:t xml:space="preserve">), el cual contiene las Notas a los Estados Presupuestales al mes de marzo dos mil veintidós, en la cual se precisa que durante el primer trimestre, se ha ejercido </w:t>
      </w:r>
      <w:r w:rsidRPr="00B01980" w:rsidR="000B4D1B">
        <w:rPr>
          <w:rFonts w:eastAsia="Times New Roman" w:cs="Tahoma"/>
          <w:bCs/>
          <w:iCs/>
          <w:color w:val="auto"/>
          <w:lang w:val="es-ES" w:eastAsia="es-ES"/>
        </w:rPr>
        <w:t xml:space="preserve">el diecisiete por ciento del presupuesto, además, aclara que se </w:t>
      </w:r>
      <w:proofErr w:type="spellStart"/>
      <w:r w:rsidRPr="00B01980" w:rsidR="000B4D1B">
        <w:rPr>
          <w:rFonts w:eastAsia="Times New Roman" w:cs="Tahoma"/>
          <w:bCs/>
          <w:iCs/>
          <w:color w:val="auto"/>
          <w:lang w:val="es-ES" w:eastAsia="es-ES"/>
        </w:rPr>
        <w:t>llevo</w:t>
      </w:r>
      <w:proofErr w:type="spellEnd"/>
      <w:r w:rsidRPr="00B01980" w:rsidR="000B4D1B">
        <w:rPr>
          <w:rFonts w:eastAsia="Times New Roman" w:cs="Tahoma"/>
          <w:bCs/>
          <w:iCs/>
          <w:color w:val="auto"/>
          <w:lang w:val="es-ES" w:eastAsia="es-ES"/>
        </w:rPr>
        <w:t xml:space="preserve"> a cabo el </w:t>
      </w:r>
      <w:r w:rsidRPr="00B01980" w:rsidR="000B4D1B">
        <w:rPr>
          <w:rFonts w:eastAsia="Times New Roman" w:cs="Tahoma"/>
          <w:b/>
          <w:bCs/>
          <w:iCs/>
          <w:color w:val="auto"/>
          <w:lang w:val="es-ES" w:eastAsia="es-ES"/>
        </w:rPr>
        <w:t>arrendamiento de vehículos consistente en ciento setenta y dos para la Comisaría de Seguridad Pública y treinta para Servicios Públicos y Protección Civil, tal como se muestra a continuación:</w:t>
      </w:r>
    </w:p>
    <w:p w:rsidRPr="00B01980" w:rsidR="000B4D1B" w:rsidP="0085462C" w:rsidRDefault="000B4D1B" w14:paraId="566D33CF" w14:textId="77777777">
      <w:pPr>
        <w:spacing w:after="0" w:line="360" w:lineRule="auto"/>
        <w:rPr>
          <w:rFonts w:eastAsia="Times New Roman" w:cs="Tahoma"/>
          <w:b/>
          <w:bCs/>
          <w:iCs/>
          <w:color w:val="auto"/>
          <w:lang w:val="es-ES" w:eastAsia="es-ES"/>
        </w:rPr>
      </w:pPr>
    </w:p>
    <w:p w:rsidRPr="00B01980" w:rsidR="000B4D1B" w:rsidP="0085462C" w:rsidRDefault="000B4D1B" w14:paraId="366961EB" w14:textId="2E85B618">
      <w:pPr>
        <w:spacing w:after="0" w:line="360" w:lineRule="auto"/>
        <w:rPr>
          <w:rFonts w:eastAsia="Times New Roman" w:cs="Tahoma"/>
          <w:b/>
          <w:bCs/>
          <w:iCs/>
          <w:color w:val="auto"/>
          <w:lang w:val="es-ES" w:eastAsia="es-ES"/>
        </w:rPr>
      </w:pPr>
      <w:r w:rsidRPr="00B01980">
        <w:rPr>
          <w:rFonts w:eastAsia="Times New Roman" w:cs="Tahoma"/>
          <w:b/>
          <w:bCs/>
          <w:iCs/>
          <w:noProof/>
          <w:color w:val="auto"/>
          <w:lang w:eastAsia="es-MX"/>
        </w:rPr>
        <w:drawing>
          <wp:inline distT="0" distB="0" distL="0" distR="0" wp14:anchorId="5AA7773B" wp14:editId="0F4E81BA">
            <wp:extent cx="5791835" cy="16833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683385"/>
                    </a:xfrm>
                    <a:prstGeom prst="rect">
                      <a:avLst/>
                    </a:prstGeom>
                  </pic:spPr>
                </pic:pic>
              </a:graphicData>
            </a:graphic>
          </wp:inline>
        </w:drawing>
      </w:r>
    </w:p>
    <w:p w:rsidRPr="00B01980" w:rsidR="0085462C" w:rsidP="0085462C" w:rsidRDefault="0085462C" w14:paraId="176B6E49" w14:textId="77777777">
      <w:pPr>
        <w:spacing w:after="0" w:line="360" w:lineRule="auto"/>
        <w:rPr>
          <w:rFonts w:eastAsia="Times New Roman" w:cs="Tahoma"/>
          <w:bCs/>
          <w:iCs/>
          <w:color w:val="auto"/>
          <w:lang w:val="es-ES" w:eastAsia="es-ES"/>
        </w:rPr>
      </w:pPr>
    </w:p>
    <w:p w:rsidRPr="00B01980" w:rsidR="006204FD" w:rsidP="0085462C" w:rsidRDefault="006204FD" w14:paraId="331F653C" w14:textId="2C9313C7">
      <w:pPr>
        <w:spacing w:after="0" w:line="360" w:lineRule="auto"/>
        <w:rPr>
          <w:rFonts w:eastAsia="Times New Roman" w:cs="Tahoma"/>
          <w:bCs/>
          <w:iCs/>
          <w:color w:val="auto"/>
          <w:lang w:val="es-ES" w:eastAsia="es-ES"/>
        </w:rPr>
      </w:pPr>
      <w:r w:rsidRPr="00B01980">
        <w:rPr>
          <w:rFonts w:eastAsia="Times New Roman" w:cs="Tahoma"/>
          <w:bCs/>
          <w:iCs/>
          <w:color w:val="auto"/>
          <w:lang w:val="es-ES" w:eastAsia="es-ES"/>
        </w:rPr>
        <w:lastRenderedPageBreak/>
        <w:t>Conforme a lo anterior, se logra vislumbrar durante el primer trimestre del año dos mil veintidós, el Ayuntamiento de Tlalnepantla de Baz, realizó el arrendamiento puro de vehículos destinados a la Comisaría de Seguridad Pública y las Direcciones de Servicios Públicos y Protección Civil; situación, que toma relevancia, pues este Instituto realizó una búsqueda en el Sistema de Acceso a la Información Mexiquense (SAIMEX) y localizó que el Ayuntamiento de Tlalnepantla de B</w:t>
      </w:r>
      <w:r w:rsidRPr="00B01980" w:rsidR="00F77C11">
        <w:rPr>
          <w:rFonts w:eastAsia="Times New Roman" w:cs="Tahoma"/>
          <w:bCs/>
          <w:iCs/>
          <w:color w:val="auto"/>
          <w:lang w:val="es-ES" w:eastAsia="es-ES"/>
        </w:rPr>
        <w:t>az afirmó en el Recurso de Revisión 0</w:t>
      </w:r>
      <w:r w:rsidRPr="00B01980" w:rsidR="00F77C11">
        <w:rPr>
          <w:rFonts w:eastAsia="Calibri" w:cs="Tahoma"/>
        </w:rPr>
        <w:t>6956/INFOEM/IP/RR/2022, que existía un expediente de arrendamiento puro de vehículos.</w:t>
      </w:r>
    </w:p>
    <w:p w:rsidRPr="00B01980" w:rsidR="0085462C" w:rsidP="00DB557D" w:rsidRDefault="0085462C" w14:paraId="1C437870" w14:textId="77777777">
      <w:pPr>
        <w:spacing w:after="0" w:line="360" w:lineRule="auto"/>
        <w:rPr>
          <w:rFonts w:eastAsia="Times New Roman" w:cs="Tahoma"/>
          <w:bCs/>
          <w:iCs/>
          <w:lang w:val="es-ES" w:eastAsia="es-ES"/>
        </w:rPr>
      </w:pPr>
    </w:p>
    <w:p w:rsidRPr="00B01980" w:rsidR="00DB557D" w:rsidP="00DB557D" w:rsidRDefault="00F77C11" w14:paraId="5DC7FB33" w14:textId="400EBDBB">
      <w:pPr>
        <w:spacing w:after="0" w:line="360" w:lineRule="auto"/>
        <w:rPr>
          <w:rFonts w:eastAsia="Times New Roman" w:cs="Tahoma"/>
          <w:b/>
          <w:color w:val="auto"/>
          <w:lang w:eastAsia="es-ES"/>
        </w:rPr>
      </w:pPr>
      <w:r w:rsidRPr="00B01980">
        <w:rPr>
          <w:rFonts w:eastAsia="Times New Roman" w:cs="Tahoma"/>
          <w:bCs/>
          <w:iCs/>
          <w:lang w:val="es-ES" w:eastAsia="es-ES"/>
        </w:rPr>
        <w:t>Conforme a lo anterior, se logra vislumbrar que no es inexistente la información solicitada por el ahora Recurrente, pues contrario con lo señalado por sus unidades administrativas, si llevó a cabo procedimientos de arrendamiento puro de vehículos, durante el primero trimestre de dos mil veintidós; por lo que, es claro que</w:t>
      </w:r>
      <w:r w:rsidRPr="00B01980" w:rsidR="00DB557D">
        <w:rPr>
          <w:rFonts w:eastAsia="Times New Roman" w:cs="Tahoma"/>
          <w:color w:val="auto"/>
          <w:lang w:eastAsia="es-ES"/>
        </w:rPr>
        <w:t>, no cumplió con todos los requisitos para acreditar la búsqueda de la información, ya que si bien gestionó la solicitud a</w:t>
      </w:r>
      <w:r w:rsidRPr="00B01980">
        <w:rPr>
          <w:rFonts w:eastAsia="Times New Roman" w:cs="Tahoma"/>
          <w:color w:val="auto"/>
          <w:lang w:eastAsia="es-ES"/>
        </w:rPr>
        <w:t xml:space="preserve"> </w:t>
      </w:r>
      <w:r w:rsidRPr="00B01980" w:rsidR="00DB557D">
        <w:rPr>
          <w:rFonts w:eastAsia="Times New Roman" w:cs="Tahoma"/>
          <w:color w:val="auto"/>
          <w:lang w:eastAsia="es-ES"/>
        </w:rPr>
        <w:t>l</w:t>
      </w:r>
      <w:r w:rsidRPr="00B01980">
        <w:rPr>
          <w:rFonts w:eastAsia="Times New Roman" w:cs="Tahoma"/>
          <w:color w:val="auto"/>
          <w:lang w:eastAsia="es-ES"/>
        </w:rPr>
        <w:t>as</w:t>
      </w:r>
      <w:r w:rsidRPr="00B01980" w:rsidR="00DB557D">
        <w:rPr>
          <w:rFonts w:eastAsia="Times New Roman" w:cs="Tahoma"/>
          <w:color w:val="auto"/>
          <w:lang w:eastAsia="es-ES"/>
        </w:rPr>
        <w:t xml:space="preserve"> área</w:t>
      </w:r>
      <w:r w:rsidRPr="00B01980">
        <w:rPr>
          <w:rFonts w:eastAsia="Times New Roman" w:cs="Tahoma"/>
          <w:color w:val="auto"/>
          <w:lang w:eastAsia="es-ES"/>
        </w:rPr>
        <w:t>s</w:t>
      </w:r>
      <w:r w:rsidRPr="00B01980" w:rsidR="00DB557D">
        <w:rPr>
          <w:rFonts w:eastAsia="Times New Roman" w:cs="Tahoma"/>
          <w:color w:val="auto"/>
          <w:lang w:eastAsia="es-ES"/>
        </w:rPr>
        <w:t xml:space="preserve"> componte</w:t>
      </w:r>
      <w:r w:rsidRPr="00B01980">
        <w:rPr>
          <w:rFonts w:eastAsia="Times New Roman" w:cs="Tahoma"/>
          <w:color w:val="auto"/>
          <w:lang w:eastAsia="es-ES"/>
        </w:rPr>
        <w:t>s</w:t>
      </w:r>
      <w:r w:rsidRPr="00B01980" w:rsidR="00DB557D">
        <w:rPr>
          <w:rFonts w:eastAsia="Times New Roman" w:cs="Tahoma"/>
          <w:color w:val="auto"/>
          <w:lang w:eastAsia="es-ES"/>
        </w:rPr>
        <w:t>, esta</w:t>
      </w:r>
      <w:r w:rsidRPr="00B01980">
        <w:rPr>
          <w:rFonts w:eastAsia="Times New Roman" w:cs="Tahoma"/>
          <w:color w:val="auto"/>
          <w:lang w:eastAsia="es-ES"/>
        </w:rPr>
        <w:t>s realizaron</w:t>
      </w:r>
      <w:r w:rsidRPr="00B01980" w:rsidR="00DB557D">
        <w:rPr>
          <w:rFonts w:eastAsia="Times New Roman" w:cs="Tahoma"/>
          <w:color w:val="auto"/>
          <w:lang w:eastAsia="es-ES"/>
        </w:rPr>
        <w:t xml:space="preserve"> una indagación restrictiva, </w:t>
      </w:r>
      <w:r w:rsidRPr="00B01980">
        <w:rPr>
          <w:rFonts w:eastAsia="Times New Roman" w:cs="Tahoma"/>
          <w:color w:val="auto"/>
          <w:lang w:eastAsia="es-ES"/>
        </w:rPr>
        <w:t>al realizar una búsqueda a la literalidad de “Arrendamiento de Equipo de Transporte”, sin tomar en cuenta, a que el Particular se refería a la Partida General de donde se hab</w:t>
      </w:r>
      <w:r w:rsidRPr="00B01980" w:rsidR="00A75388">
        <w:rPr>
          <w:rFonts w:eastAsia="Times New Roman" w:cs="Tahoma"/>
          <w:color w:val="auto"/>
          <w:lang w:eastAsia="es-ES"/>
        </w:rPr>
        <w:t xml:space="preserve">ían ocupado recursos, lo cual da como resultado que el agravio sea </w:t>
      </w:r>
      <w:r w:rsidRPr="00B01980" w:rsidR="00A75388">
        <w:rPr>
          <w:rFonts w:eastAsia="Times New Roman" w:cs="Tahoma"/>
          <w:b/>
          <w:color w:val="auto"/>
          <w:lang w:eastAsia="es-ES"/>
        </w:rPr>
        <w:t>FUNDADO.</w:t>
      </w:r>
    </w:p>
    <w:p w:rsidRPr="00B01980" w:rsidR="00DB557D" w:rsidP="00DB557D" w:rsidRDefault="00DB557D" w14:paraId="2E2DF89D" w14:textId="77777777">
      <w:pPr>
        <w:spacing w:after="0" w:line="360" w:lineRule="auto"/>
        <w:rPr>
          <w:rFonts w:eastAsia="Times New Roman" w:cs="Tahoma"/>
          <w:color w:val="auto"/>
          <w:lang w:eastAsia="es-ES"/>
        </w:rPr>
      </w:pPr>
    </w:p>
    <w:p w:rsidRPr="00B01980" w:rsidR="00A75388" w:rsidP="00A75388" w:rsidRDefault="00A75388" w14:paraId="5564F57C" w14:textId="189E0973">
      <w:pPr>
        <w:spacing w:after="0" w:line="360" w:lineRule="auto"/>
        <w:rPr>
          <w:rFonts w:eastAsia="Times New Roman" w:cs="Tahoma"/>
          <w:iCs/>
          <w:color w:val="auto"/>
          <w:lang w:val="es-ES" w:eastAsia="es-ES"/>
        </w:rPr>
      </w:pPr>
      <w:r w:rsidRPr="00B01980">
        <w:rPr>
          <w:rFonts w:eastAsia="Times New Roman" w:cs="Tahoma"/>
          <w:bCs/>
          <w:iCs/>
          <w:color w:val="auto"/>
          <w:lang w:val="es-ES" w:eastAsia="es-ES"/>
        </w:rPr>
        <w:t>Por tales circunstancias, se considera que el Sujeto Obligado para atender el requerimiento de información, deberá realizar</w:t>
      </w:r>
      <w:r w:rsidRPr="00B01980" w:rsidR="00E04243">
        <w:rPr>
          <w:rFonts w:eastAsia="Times New Roman" w:cs="Tahoma"/>
          <w:bCs/>
          <w:iCs/>
          <w:color w:val="auto"/>
          <w:lang w:val="es-ES" w:eastAsia="es-ES"/>
        </w:rPr>
        <w:t xml:space="preserve"> búsqueda exhaustiva y razonable en todas las áreas que estime pertinentes, de entre las cuales no podrá omitir a la </w:t>
      </w:r>
      <w:r w:rsidRPr="00B01980" w:rsidR="00E04243">
        <w:rPr>
          <w:rFonts w:eastAsia="Times New Roman" w:cs="Tahoma"/>
          <w:iCs/>
          <w:color w:val="auto"/>
          <w:lang w:val="es-ES" w:eastAsia="es-ES"/>
        </w:rPr>
        <w:t>Tesorería Municipal,</w:t>
      </w:r>
      <w:r w:rsidRPr="00B01980">
        <w:rPr>
          <w:rFonts w:eastAsia="Times New Roman" w:cs="Tahoma"/>
          <w:iCs/>
          <w:color w:val="auto"/>
          <w:lang w:val="es-ES" w:eastAsia="es-ES"/>
        </w:rPr>
        <w:t xml:space="preserve"> la Dirección de Administración</w:t>
      </w:r>
      <w:r w:rsidRPr="00B01980" w:rsidR="00E04243">
        <w:rPr>
          <w:rFonts w:eastAsia="Times New Roman" w:cs="Tahoma"/>
          <w:iCs/>
          <w:color w:val="auto"/>
          <w:lang w:val="es-ES" w:eastAsia="es-ES"/>
        </w:rPr>
        <w:t xml:space="preserve"> </w:t>
      </w:r>
      <w:r w:rsidRPr="00B01980">
        <w:rPr>
          <w:rFonts w:eastAsia="Times New Roman" w:cs="Tahoma"/>
          <w:iCs/>
          <w:color w:val="auto"/>
          <w:lang w:val="es-ES" w:eastAsia="es-ES"/>
        </w:rPr>
        <w:t>y</w:t>
      </w:r>
      <w:r w:rsidRPr="00B01980" w:rsidR="00E04243">
        <w:rPr>
          <w:rFonts w:eastAsia="Times New Roman" w:cs="Tahoma"/>
          <w:iCs/>
          <w:color w:val="auto"/>
          <w:lang w:val="es-ES" w:eastAsia="es-ES"/>
        </w:rPr>
        <w:t xml:space="preserve"> la Secretaría del Ayuntamiento </w:t>
      </w:r>
      <w:r w:rsidRPr="00B01980">
        <w:rPr>
          <w:rFonts w:eastAsia="Times New Roman" w:cs="Tahoma"/>
          <w:iCs/>
          <w:color w:val="auto"/>
          <w:lang w:val="es-ES" w:eastAsia="es-ES"/>
        </w:rPr>
        <w:t>a efecto de que entregue los contratos y tipo de procedimiento de adjudicación, respecto a</w:t>
      </w:r>
      <w:r w:rsidRPr="00B01980">
        <w:t>l arrendamiento puro de vehículos, realizados mediante la erogación de recursos de la partida genérica (3250) o específica (3251), del primero de enero al treinta y uno de marzo de dos mil veintidós</w:t>
      </w:r>
      <w:r w:rsidRPr="00B01980" w:rsidR="00D26877">
        <w:t>.</w:t>
      </w:r>
    </w:p>
    <w:p w:rsidRPr="00B01980" w:rsidR="00A75388" w:rsidP="00A75388" w:rsidRDefault="00A75388" w14:paraId="0360431E" w14:textId="77777777">
      <w:pPr>
        <w:spacing w:after="0" w:line="360" w:lineRule="auto"/>
        <w:rPr>
          <w:rFonts w:eastAsia="Times New Roman" w:cs="Tahoma"/>
          <w:iCs/>
          <w:color w:val="auto"/>
          <w:lang w:val="es-ES" w:eastAsia="es-ES"/>
        </w:rPr>
      </w:pPr>
    </w:p>
    <w:p w:rsidRPr="00B01980" w:rsidR="002E5101" w:rsidP="00492822" w:rsidRDefault="00A75388" w14:paraId="43A467A5" w14:textId="5897199C">
      <w:pPr>
        <w:spacing w:after="0" w:line="360" w:lineRule="auto"/>
        <w:rPr>
          <w:rFonts w:eastAsia="Times New Roman" w:cs="Tahoma"/>
          <w:iCs/>
          <w:color w:val="auto"/>
          <w:lang w:val="es-ES" w:eastAsia="es-ES"/>
        </w:rPr>
      </w:pPr>
      <w:r w:rsidRPr="00B01980">
        <w:rPr>
          <w:rFonts w:eastAsia="Times New Roman" w:cs="Tahoma"/>
          <w:iCs/>
          <w:color w:val="auto"/>
          <w:lang w:eastAsia="es-ES"/>
        </w:rPr>
        <w:lastRenderedPageBreak/>
        <w:t>Dicha determinación,</w:t>
      </w:r>
      <w:r w:rsidRPr="00B01980" w:rsidR="002E5101">
        <w:rPr>
          <w:rFonts w:eastAsia="Times New Roman" w:cs="Tahoma"/>
          <w:iCs/>
          <w:color w:val="auto"/>
          <w:lang w:eastAsia="es-ES"/>
        </w:rPr>
        <w:t xml:space="preserve"> se sustenta en lo previsto en </w:t>
      </w:r>
      <w:r w:rsidRPr="00B01980" w:rsidR="002E5101">
        <w:rPr>
          <w:rFonts w:eastAsia="Times New Roman" w:cs="Tahoma"/>
          <w:iCs/>
          <w:color w:val="auto"/>
          <w:lang w:val="es-ES" w:eastAsia="es-ES"/>
        </w:rPr>
        <w:t>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B01980" w:rsidR="002E5101" w:rsidP="00492822" w:rsidRDefault="002E5101" w14:paraId="1528F963" w14:textId="77777777">
      <w:pPr>
        <w:spacing w:after="0" w:line="360" w:lineRule="auto"/>
        <w:rPr>
          <w:rFonts w:eastAsia="Times New Roman" w:cs="Tahoma"/>
          <w:iCs/>
          <w:color w:val="auto"/>
          <w:lang w:val="es-ES" w:eastAsia="es-ES"/>
        </w:rPr>
      </w:pPr>
    </w:p>
    <w:p w:rsidRPr="00B01980" w:rsidR="002E5101" w:rsidP="00492822" w:rsidRDefault="002E5101" w14:paraId="5FF419A3" w14:textId="77777777">
      <w:pPr>
        <w:spacing w:after="0" w:line="360" w:lineRule="auto"/>
        <w:rPr>
          <w:rFonts w:eastAsia="Times New Roman" w:cs="Tahoma"/>
          <w:i/>
          <w:iCs/>
          <w:color w:val="auto"/>
          <w:lang w:val="es-ES" w:eastAsia="es-ES"/>
        </w:rPr>
      </w:pPr>
      <w:r w:rsidRPr="00B01980">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B01980">
        <w:rPr>
          <w:rFonts w:eastAsia="Times New Roman" w:cs="Tahoma"/>
          <w:i/>
          <w:iCs/>
          <w:color w:val="auto"/>
          <w:lang w:val="es-ES" w:eastAsia="es-ES"/>
        </w:rPr>
        <w:t>ad hoc</w:t>
      </w:r>
      <w:r w:rsidRPr="00B01980">
        <w:rPr>
          <w:rFonts w:eastAsia="Times New Roman" w:cs="Tahoma"/>
          <w:iCs/>
          <w:color w:val="auto"/>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B01980" w:rsidR="002E5101" w:rsidP="00492822" w:rsidRDefault="002E5101" w14:paraId="328877C7" w14:textId="77777777">
      <w:pPr>
        <w:spacing w:after="0" w:line="360" w:lineRule="auto"/>
        <w:rPr>
          <w:rFonts w:eastAsia="Times New Roman" w:cs="Tahoma"/>
          <w:iCs/>
          <w:color w:val="auto"/>
          <w:lang w:val="es-ES" w:eastAsia="es-ES"/>
        </w:rPr>
      </w:pPr>
    </w:p>
    <w:p w:rsidRPr="00B01980" w:rsidR="002E5101" w:rsidP="00492822" w:rsidRDefault="002E5101" w14:paraId="3867E6E8" w14:textId="3D208751">
      <w:pPr>
        <w:spacing w:after="0" w:line="360" w:lineRule="auto"/>
        <w:rPr>
          <w:rFonts w:eastAsia="Times New Roman" w:cs="Tahoma"/>
          <w:iCs/>
          <w:color w:val="auto"/>
          <w:lang w:val="es-ES" w:eastAsia="es-ES"/>
        </w:rPr>
      </w:pPr>
      <w:r w:rsidRPr="00B01980">
        <w:rPr>
          <w:rFonts w:eastAsia="Times New Roman" w:cs="Tahoma"/>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w:t>
      </w:r>
      <w:r w:rsidRPr="00B01980" w:rsidR="00A75388">
        <w:rPr>
          <w:rFonts w:eastAsia="Times New Roman" w:cs="Tahoma"/>
          <w:iCs/>
          <w:color w:val="auto"/>
          <w:lang w:val="es-ES" w:eastAsia="es-ES"/>
        </w:rPr>
        <w:t>los contratos y el tipo de procedimiento  de adjudicación utilizado para el arrendamiento de vehículos.</w:t>
      </w:r>
    </w:p>
    <w:p w:rsidRPr="00B01980" w:rsidR="00E5561A" w:rsidP="00492822" w:rsidRDefault="00E5561A" w14:paraId="5FABA86B" w14:textId="77777777">
      <w:pPr>
        <w:spacing w:after="0" w:line="360" w:lineRule="auto"/>
        <w:rPr>
          <w:rFonts w:eastAsia="Times New Roman" w:cs="Tahoma"/>
          <w:bCs/>
          <w:iCs/>
          <w:color w:val="auto"/>
          <w:lang w:val="es-ES" w:eastAsia="es-ES"/>
        </w:rPr>
      </w:pPr>
    </w:p>
    <w:p w:rsidRPr="00B01980" w:rsidR="00A75388" w:rsidP="00A75388" w:rsidRDefault="00A75388" w14:paraId="2D30DB37" w14:textId="0E4DBDEF">
      <w:pPr>
        <w:spacing w:after="0" w:line="360" w:lineRule="auto"/>
        <w:rPr>
          <w:rFonts w:eastAsia="Times New Roman" w:cs="Tahoma"/>
          <w:bCs/>
          <w:iCs/>
          <w:color w:val="auto"/>
          <w:lang w:val="es-ES" w:eastAsia="es-ES"/>
        </w:rPr>
      </w:pPr>
      <w:r w:rsidRPr="00B01980">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B01980">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Pr="00B01980" w:rsidR="001D0B96">
        <w:rPr>
          <w:rFonts w:eastAsia="Times New Roman" w:cs="Tahoma"/>
          <w:b/>
          <w:bCs/>
          <w:iCs/>
          <w:color w:val="auto"/>
          <w:lang w:val="es-ES" w:eastAsia="es-ES"/>
        </w:rPr>
        <w:t xml:space="preserve">Al respecto, se le aclara al Sujeto Obligado, que no podrá clasificar dentro </w:t>
      </w:r>
      <w:r w:rsidRPr="00B01980" w:rsidR="001D0B96">
        <w:rPr>
          <w:rFonts w:eastAsia="Times New Roman" w:cs="Tahoma"/>
          <w:b/>
          <w:bCs/>
          <w:iCs/>
          <w:color w:val="auto"/>
          <w:lang w:val="es-ES" w:eastAsia="es-ES"/>
        </w:rPr>
        <w:lastRenderedPageBreak/>
        <w:t>de la información que dé cuenta de lo solicitado, los datos concernientes al tipo de contrato, datos del proveedor (nombre, Registro Federal de Contribuyentes, domicilio fiscal, nombre y firma del representante legal), datos o cláusulas del contrato relacionadas con el objeto del contrato, el procedimiento realizado para la adjudicación (tipo de procedimiento, partidas genéricas y específicas utilizadas), entre otros.</w:t>
      </w:r>
    </w:p>
    <w:p w:rsidRPr="00B01980" w:rsidR="00A75388" w:rsidP="00A75388" w:rsidRDefault="00A75388" w14:paraId="4656A938" w14:textId="77777777">
      <w:pPr>
        <w:spacing w:after="0" w:line="360" w:lineRule="auto"/>
        <w:rPr>
          <w:rFonts w:eastAsia="Times New Roman" w:cs="Tahoma"/>
          <w:bCs/>
          <w:iCs/>
          <w:color w:val="auto"/>
          <w:lang w:val="es-ES" w:eastAsia="es-ES"/>
        </w:rPr>
      </w:pPr>
    </w:p>
    <w:p w:rsidRPr="00B01980" w:rsidR="00A75388" w:rsidP="00A75388" w:rsidRDefault="00A75388" w14:paraId="05A693D4" w14:textId="77777777">
      <w:pPr>
        <w:spacing w:after="0" w:line="360" w:lineRule="auto"/>
        <w:rPr>
          <w:rFonts w:eastAsia="Times New Roman" w:cs="Tahoma"/>
          <w:bCs/>
          <w:iCs/>
          <w:color w:val="auto"/>
          <w:lang w:val="es-ES" w:eastAsia="es-ES"/>
        </w:rPr>
      </w:pPr>
      <w:r w:rsidRPr="00B01980">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B01980" w:rsidR="00A75388" w:rsidP="00492822" w:rsidRDefault="00A75388" w14:paraId="633032E9" w14:textId="77777777">
      <w:pPr>
        <w:spacing w:after="0" w:line="360" w:lineRule="auto"/>
        <w:rPr>
          <w:rFonts w:eastAsia="Times New Roman" w:cs="Tahoma"/>
          <w:bCs/>
          <w:iCs/>
          <w:color w:val="auto"/>
          <w:lang w:val="es-ES" w:eastAsia="es-ES"/>
        </w:rPr>
      </w:pPr>
    </w:p>
    <w:p w:rsidRPr="00B01980" w:rsidR="008D6E9C" w:rsidP="00492822" w:rsidRDefault="00E5561A" w14:paraId="5FF52F78" w14:textId="2BBB7B34">
      <w:pPr>
        <w:spacing w:after="0" w:line="360" w:lineRule="auto"/>
        <w:rPr>
          <w:rFonts w:eastAsia="Times New Roman" w:cs="Tahoma"/>
          <w:iCs/>
          <w:color w:val="auto"/>
          <w:lang w:val="es-ES" w:eastAsia="es-ES"/>
        </w:rPr>
      </w:pPr>
      <w:r w:rsidRPr="00B01980">
        <w:rPr>
          <w:rFonts w:eastAsia="Times New Roman" w:cs="Tahoma"/>
          <w:iCs/>
          <w:color w:val="auto"/>
          <w:lang w:val="es-ES" w:eastAsia="es-ES"/>
        </w:rPr>
        <w:t>Finalmente, no es</w:t>
      </w:r>
      <w:r w:rsidRPr="00B01980" w:rsidR="00A20524">
        <w:rPr>
          <w:rFonts w:eastAsia="Times New Roman" w:cs="Tahoma"/>
          <w:iCs/>
          <w:color w:val="auto"/>
          <w:lang w:val="es-ES" w:eastAsia="es-ES"/>
        </w:rPr>
        <w:t xml:space="preserve">capa de la óptica de </w:t>
      </w:r>
      <w:r w:rsidRPr="00B01980" w:rsidR="00B77544">
        <w:rPr>
          <w:rFonts w:eastAsia="Times New Roman" w:cs="Tahoma"/>
          <w:iCs/>
          <w:color w:val="auto"/>
          <w:lang w:val="es-ES" w:eastAsia="es-ES"/>
        </w:rPr>
        <w:t xml:space="preserve">este Instituto </w:t>
      </w:r>
      <w:r w:rsidRPr="00B01980" w:rsidR="008D6E9C">
        <w:rPr>
          <w:rFonts w:eastAsia="Times New Roman" w:cs="Tahoma"/>
          <w:iCs/>
          <w:color w:val="auto"/>
          <w:lang w:val="es-ES" w:eastAsia="es-ES"/>
        </w:rPr>
        <w:t xml:space="preserve">precisar </w:t>
      </w:r>
      <w:r w:rsidRPr="00B01980" w:rsidR="001D0B96">
        <w:rPr>
          <w:rFonts w:eastAsia="Times New Roman" w:cs="Tahoma"/>
          <w:iCs/>
          <w:color w:val="auto"/>
          <w:lang w:val="es-ES" w:eastAsia="es-ES"/>
        </w:rPr>
        <w:t>que las características especiales de las patrullas</w:t>
      </w:r>
      <w:r w:rsidRPr="00B01980" w:rsidR="008D6E9C">
        <w:rPr>
          <w:rFonts w:eastAsia="Times New Roman" w:cs="Tahoma"/>
          <w:iCs/>
          <w:color w:val="auto"/>
          <w:lang w:val="es-ES" w:eastAsia="es-ES"/>
        </w:rPr>
        <w:t xml:space="preserve">, </w:t>
      </w:r>
      <w:r w:rsidRPr="00B01980" w:rsidR="001D0B96">
        <w:rPr>
          <w:rFonts w:eastAsia="Times New Roman" w:cs="Tahoma"/>
          <w:iCs/>
          <w:color w:val="auto"/>
          <w:lang w:val="es-ES" w:eastAsia="es-ES"/>
        </w:rPr>
        <w:t>es decir su</w:t>
      </w:r>
      <w:r w:rsidRPr="00B01980" w:rsidR="008D6E9C">
        <w:rPr>
          <w:rFonts w:eastAsia="Times New Roman" w:cs="Tahoma"/>
          <w:iCs/>
          <w:color w:val="auto"/>
          <w:lang w:val="es-ES" w:eastAsia="es-ES"/>
        </w:rPr>
        <w:t xml:space="preserve"> equipamiento especial, entre las cuales, se encuentra el blindaje, sistemas de comunicación, armamento, entre otras cuestiones, </w:t>
      </w:r>
      <w:r w:rsidRPr="00B01980" w:rsidR="001D0B96">
        <w:rPr>
          <w:rFonts w:eastAsia="Times New Roman" w:cs="Tahoma"/>
          <w:iCs/>
          <w:color w:val="auto"/>
          <w:lang w:val="es-ES" w:eastAsia="es-ES"/>
        </w:rPr>
        <w:t>pudieran considerarse información reservada, por lo que se procede a su análisis.</w:t>
      </w:r>
    </w:p>
    <w:p w:rsidRPr="00B01980" w:rsidR="008D6E9C" w:rsidP="00492822" w:rsidRDefault="008D6E9C" w14:paraId="5C2B0055" w14:textId="77777777">
      <w:pPr>
        <w:spacing w:after="0" w:line="360" w:lineRule="auto"/>
        <w:rPr>
          <w:rFonts w:eastAsia="Times New Roman" w:cs="Tahoma"/>
          <w:iCs/>
          <w:color w:val="auto"/>
          <w:lang w:val="es-ES" w:eastAsia="es-ES"/>
        </w:rPr>
      </w:pPr>
    </w:p>
    <w:p w:rsidRPr="00B01980" w:rsidR="008D6E9C" w:rsidP="00492822" w:rsidRDefault="008D6E9C" w14:paraId="78B8B2BD" w14:textId="77777777">
      <w:pPr>
        <w:spacing w:after="0" w:line="360" w:lineRule="auto"/>
        <w:rPr>
          <w:rFonts w:eastAsia="Times New Roman" w:cs="Tahoma"/>
          <w:iCs/>
          <w:color w:val="auto"/>
          <w:lang w:val="es-ES" w:eastAsia="es-ES"/>
        </w:rPr>
      </w:pPr>
      <w:r w:rsidRPr="00B01980">
        <w:rPr>
          <w:rFonts w:eastAsia="Times New Roman" w:cs="Tahoma"/>
          <w:iCs/>
          <w:color w:val="auto"/>
          <w:lang w:val="es-ES" w:eastAsia="es-ES"/>
        </w:rPr>
        <w:t>El</w:t>
      </w:r>
      <w:r w:rsidRPr="00B01980">
        <w:rPr>
          <w:rFonts w:eastAsia="Times New Roman" w:cs="Tahoma"/>
          <w:b/>
          <w:iCs/>
          <w:color w:val="auto"/>
          <w:lang w:val="es-ES" w:eastAsia="es-ES"/>
        </w:rPr>
        <w:t xml:space="preserve"> </w:t>
      </w:r>
      <w:r w:rsidRPr="00B01980">
        <w:rPr>
          <w:rFonts w:eastAsia="Times New Roman" w:cs="Tahoma"/>
          <w:iCs/>
          <w:color w:val="auto"/>
          <w:lang w:val="es-ES" w:eastAsia="es-ES"/>
        </w:rPr>
        <w:t>artículo 140, fracción I, de la Ley de Transparencia y Acceso a la Información Pública del Estado de México y Municipios, (homólogo del artículo 113, fracción I de la Ley General de Transparencia y Acceso a la Información Pública), prevé lo siguiente:</w:t>
      </w:r>
    </w:p>
    <w:p w:rsidRPr="00B01980" w:rsidR="008D6E9C" w:rsidP="00492822" w:rsidRDefault="008D6E9C" w14:paraId="60ADF225" w14:textId="77777777">
      <w:pPr>
        <w:spacing w:after="0" w:line="360" w:lineRule="auto"/>
        <w:rPr>
          <w:rFonts w:eastAsia="Times New Roman" w:cs="Tahoma"/>
          <w:i/>
          <w:iCs/>
          <w:color w:val="auto"/>
          <w:lang w:val="es-ES" w:eastAsia="es-ES"/>
        </w:rPr>
      </w:pPr>
    </w:p>
    <w:p w:rsidRPr="00B01980" w:rsidR="008D6E9C" w:rsidP="00492822" w:rsidRDefault="008D6E9C" w14:paraId="0C2F6E74" w14:textId="77777777">
      <w:pPr>
        <w:spacing w:after="0" w:line="360" w:lineRule="auto"/>
        <w:ind w:left="567" w:right="567"/>
        <w:rPr>
          <w:rFonts w:eastAsia="Times New Roman" w:cs="Tahoma"/>
          <w:i/>
          <w:iCs/>
          <w:color w:val="auto"/>
          <w:sz w:val="20"/>
          <w:szCs w:val="20"/>
          <w:lang w:val="es-ES" w:eastAsia="es-ES"/>
        </w:rPr>
      </w:pPr>
      <w:r w:rsidRPr="00B01980">
        <w:rPr>
          <w:rFonts w:eastAsia="Times New Roman" w:cs="Tahoma"/>
          <w:i/>
          <w:iCs/>
          <w:color w:val="auto"/>
          <w:sz w:val="20"/>
          <w:szCs w:val="20"/>
          <w:lang w:val="es-ES" w:eastAsia="es-ES"/>
        </w:rPr>
        <w:t>“</w:t>
      </w:r>
      <w:r w:rsidRPr="00B01980">
        <w:rPr>
          <w:rFonts w:eastAsia="Times New Roman" w:cs="Tahoma"/>
          <w:b/>
          <w:i/>
          <w:iCs/>
          <w:color w:val="auto"/>
          <w:sz w:val="20"/>
          <w:szCs w:val="20"/>
          <w:lang w:val="es-ES" w:eastAsia="es-ES"/>
        </w:rPr>
        <w:t>Artículo 140.</w:t>
      </w:r>
      <w:r w:rsidRPr="00B01980">
        <w:rPr>
          <w:rFonts w:eastAsia="Times New Roman" w:cs="Tahoma"/>
          <w:i/>
          <w:iCs/>
          <w:color w:val="auto"/>
          <w:sz w:val="20"/>
          <w:szCs w:val="20"/>
          <w:lang w:val="es-ES" w:eastAsia="es-ES"/>
        </w:rPr>
        <w:t xml:space="preserve"> El acceso a la información pública será restringido excepcionalmente, cuando por razones de interés público, ésta sea clasificada como reservada, conforme a los criterios siguientes: </w:t>
      </w:r>
    </w:p>
    <w:p w:rsidRPr="00B01980" w:rsidR="008D6E9C" w:rsidP="00492822" w:rsidRDefault="008D6E9C" w14:paraId="12AD1908" w14:textId="77777777">
      <w:pPr>
        <w:spacing w:after="0" w:line="360" w:lineRule="auto"/>
        <w:ind w:left="567" w:right="567"/>
        <w:rPr>
          <w:rFonts w:eastAsia="Times New Roman" w:cs="Tahoma"/>
          <w:i/>
          <w:iCs/>
          <w:color w:val="auto"/>
          <w:sz w:val="20"/>
          <w:szCs w:val="20"/>
          <w:lang w:val="es-ES" w:eastAsia="es-ES"/>
        </w:rPr>
      </w:pPr>
    </w:p>
    <w:p w:rsidRPr="00B01980" w:rsidR="008D6E9C" w:rsidP="00492822" w:rsidRDefault="008D6E9C" w14:paraId="15A606ED" w14:textId="77777777">
      <w:pPr>
        <w:spacing w:after="0" w:line="360" w:lineRule="auto"/>
        <w:ind w:left="567" w:right="567"/>
        <w:rPr>
          <w:rFonts w:eastAsia="Times New Roman" w:cs="Tahoma"/>
          <w:i/>
          <w:iCs/>
          <w:color w:val="auto"/>
          <w:sz w:val="20"/>
          <w:szCs w:val="20"/>
          <w:lang w:eastAsia="es-ES"/>
        </w:rPr>
      </w:pPr>
      <w:r w:rsidRPr="00B01980">
        <w:rPr>
          <w:rFonts w:eastAsia="Times New Roman" w:cs="Tahoma"/>
          <w:i/>
          <w:iCs/>
          <w:color w:val="auto"/>
          <w:sz w:val="20"/>
          <w:szCs w:val="20"/>
          <w:lang w:eastAsia="es-ES"/>
        </w:rPr>
        <w:t>I. Comprometa la seguridad pública y cuente con un propósito genuino y un efecto demostrable;</w:t>
      </w:r>
    </w:p>
    <w:p w:rsidRPr="00B01980" w:rsidR="008D6E9C" w:rsidP="00492822" w:rsidRDefault="008D6E9C" w14:paraId="1D645C5C" w14:textId="77777777">
      <w:pPr>
        <w:spacing w:after="0" w:line="360" w:lineRule="auto"/>
        <w:ind w:left="567" w:right="567"/>
        <w:rPr>
          <w:rFonts w:eastAsia="Times New Roman" w:cs="Tahoma"/>
          <w:i/>
          <w:iCs/>
          <w:color w:val="auto"/>
          <w:sz w:val="20"/>
          <w:szCs w:val="20"/>
          <w:lang w:val="es-ES" w:eastAsia="es-ES"/>
        </w:rPr>
      </w:pPr>
      <w:r w:rsidRPr="00B01980">
        <w:rPr>
          <w:rFonts w:eastAsia="Times New Roman" w:cs="Tahoma"/>
          <w:i/>
          <w:iCs/>
          <w:color w:val="auto"/>
          <w:sz w:val="20"/>
          <w:szCs w:val="20"/>
          <w:lang w:val="es-ES" w:eastAsia="es-ES"/>
        </w:rPr>
        <w:t xml:space="preserve">…” </w:t>
      </w:r>
    </w:p>
    <w:p w:rsidRPr="00B01980" w:rsidR="008D6E9C" w:rsidP="00492822" w:rsidRDefault="008D6E9C" w14:paraId="2E37F9FC" w14:textId="77777777">
      <w:pPr>
        <w:spacing w:after="0" w:line="360" w:lineRule="auto"/>
        <w:rPr>
          <w:rFonts w:eastAsia="Times New Roman" w:cs="Tahoma"/>
          <w:iCs/>
          <w:color w:val="auto"/>
          <w:lang w:val="es-ES" w:eastAsia="es-ES"/>
        </w:rPr>
      </w:pPr>
    </w:p>
    <w:p w:rsidRPr="00B01980" w:rsidR="008D6E9C" w:rsidP="00492822" w:rsidRDefault="008D6E9C" w14:paraId="347DF3BE" w14:textId="77777777">
      <w:pPr>
        <w:spacing w:after="0" w:line="360" w:lineRule="auto"/>
        <w:rPr>
          <w:rFonts w:eastAsia="Times New Roman" w:cs="Tahoma"/>
          <w:b/>
          <w:iCs/>
          <w:color w:val="auto"/>
          <w:lang w:eastAsia="es-ES"/>
        </w:rPr>
      </w:pPr>
      <w:r w:rsidRPr="00B01980">
        <w:rPr>
          <w:rFonts w:eastAsia="Times New Roman" w:cs="Tahoma"/>
          <w:iCs/>
          <w:color w:val="auto"/>
          <w:lang w:eastAsia="es-ES"/>
        </w:rPr>
        <w:lastRenderedPageBreak/>
        <w:t xml:space="preserve">De dicho precepto normativo se desprende que podrá clasificarse como información reservada aquella cuya publicación </w:t>
      </w:r>
      <w:r w:rsidRPr="00B01980">
        <w:rPr>
          <w:rFonts w:eastAsia="Times New Roman" w:cs="Tahoma"/>
          <w:b/>
          <w:iCs/>
          <w:color w:val="auto"/>
          <w:lang w:eastAsia="es-ES"/>
        </w:rPr>
        <w:t>comprometa la seguridad pública y cuente con un propósito genuino y un efecto demostrable.</w:t>
      </w:r>
    </w:p>
    <w:p w:rsidRPr="00B01980" w:rsidR="008D6E9C" w:rsidP="00492822" w:rsidRDefault="008D6E9C" w14:paraId="5EFC8688" w14:textId="77777777">
      <w:pPr>
        <w:spacing w:after="0" w:line="360" w:lineRule="auto"/>
        <w:rPr>
          <w:rFonts w:eastAsia="Times New Roman" w:cs="Tahoma"/>
          <w:iCs/>
          <w:color w:val="auto"/>
          <w:lang w:eastAsia="es-ES"/>
        </w:rPr>
      </w:pPr>
    </w:p>
    <w:p w:rsidRPr="00B01980" w:rsidR="008D6E9C" w:rsidP="00492822" w:rsidRDefault="008D6E9C" w14:paraId="18C1E653" w14:textId="77777777">
      <w:pPr>
        <w:spacing w:after="0" w:line="360" w:lineRule="auto"/>
        <w:rPr>
          <w:rFonts w:eastAsia="Times New Roman" w:cs="Tahoma"/>
          <w:bCs/>
          <w:iCs/>
          <w:color w:val="auto"/>
          <w:lang w:eastAsia="es-ES"/>
        </w:rPr>
      </w:pPr>
      <w:r w:rsidRPr="00B01980">
        <w:rPr>
          <w:rFonts w:eastAsia="Times New Roman" w:cs="Tahoma"/>
          <w:iCs/>
          <w:color w:val="auto"/>
          <w:lang w:eastAsia="es-ES"/>
        </w:rPr>
        <w:t xml:space="preserve">Por su parte, los </w:t>
      </w:r>
      <w:r w:rsidRPr="00B01980">
        <w:rPr>
          <w:rFonts w:eastAsia="Times New Roman" w:cs="Tahoma"/>
          <w:bCs/>
          <w:iCs/>
          <w:color w:val="auto"/>
          <w:lang w:eastAsia="es-ES"/>
        </w:rPr>
        <w:t>Lineamientos Generales disponen:</w:t>
      </w:r>
    </w:p>
    <w:p w:rsidRPr="00B01980" w:rsidR="008D6E9C" w:rsidP="00492822" w:rsidRDefault="008D6E9C" w14:paraId="61ADCC9A" w14:textId="77777777">
      <w:pPr>
        <w:spacing w:after="0" w:line="360" w:lineRule="auto"/>
        <w:rPr>
          <w:rFonts w:eastAsia="Times New Roman" w:cs="Tahoma"/>
          <w:bCs/>
          <w:iCs/>
          <w:color w:val="auto"/>
          <w:lang w:eastAsia="es-ES"/>
        </w:rPr>
      </w:pPr>
    </w:p>
    <w:p w:rsidRPr="00B01980" w:rsidR="008D6E9C" w:rsidP="00492822" w:rsidRDefault="008D6E9C" w14:paraId="638F109A" w14:textId="77777777">
      <w:pPr>
        <w:spacing w:after="0" w:line="360" w:lineRule="auto"/>
        <w:ind w:left="567" w:right="567"/>
        <w:rPr>
          <w:rFonts w:eastAsia="Times New Roman" w:cs="Tahoma"/>
          <w:i/>
          <w:iCs/>
          <w:color w:val="auto"/>
          <w:sz w:val="20"/>
          <w:szCs w:val="20"/>
          <w:lang w:eastAsia="es-ES"/>
        </w:rPr>
      </w:pPr>
      <w:r w:rsidRPr="00B01980">
        <w:rPr>
          <w:rFonts w:eastAsia="Times New Roman" w:cs="Tahoma"/>
          <w:b/>
          <w:iCs/>
          <w:color w:val="auto"/>
          <w:sz w:val="20"/>
          <w:szCs w:val="20"/>
          <w:lang w:val="es-ES" w:eastAsia="es-ES"/>
        </w:rPr>
        <w:t>“</w:t>
      </w:r>
      <w:r w:rsidRPr="00B01980">
        <w:rPr>
          <w:rFonts w:eastAsia="Times New Roman" w:cs="Tahoma"/>
          <w:b/>
          <w:i/>
          <w:iCs/>
          <w:color w:val="auto"/>
          <w:sz w:val="20"/>
          <w:szCs w:val="20"/>
          <w:lang w:val="es-ES" w:eastAsia="es-ES"/>
        </w:rPr>
        <w:t>Décimo octavo.</w:t>
      </w:r>
      <w:r w:rsidRPr="00B01980">
        <w:rPr>
          <w:rFonts w:eastAsia="Times New Roman" w:cs="Tahoma"/>
          <w:i/>
          <w:iCs/>
          <w:color w:val="auto"/>
          <w:sz w:val="20"/>
          <w:szCs w:val="20"/>
          <w:lang w:val="es-ES" w:eastAsia="es-ES"/>
        </w:rPr>
        <w:t xml:space="preserve"> De conformidad con el artículo 113, fracción I de la Ley General, podrá considerarse como información reservada, aquella que comprometa la seguridad pública, al poner en peligro las funciones a cargo de la Federación, la </w:t>
      </w:r>
      <w:r w:rsidRPr="00B01980">
        <w:rPr>
          <w:rFonts w:eastAsia="Times New Roman" w:cs="Tahoma"/>
          <w:i/>
          <w:iCs/>
          <w:color w:val="auto"/>
          <w:sz w:val="20"/>
          <w:szCs w:val="20"/>
          <w:lang w:eastAsia="es-ES"/>
        </w:rPr>
        <w:t xml:space="preserve">Ciudad de México, los Estados y los Municipios, tendientes a preservar y resguardar la vida, la salud, la integridad y el ejercicio de los derechos de las personas, así como para el mantenimiento del orden público. </w:t>
      </w:r>
    </w:p>
    <w:p w:rsidRPr="00B01980" w:rsidR="008D6E9C" w:rsidP="00492822" w:rsidRDefault="008D6E9C" w14:paraId="027CC9ED" w14:textId="77777777">
      <w:pPr>
        <w:spacing w:after="0" w:line="360" w:lineRule="auto"/>
        <w:ind w:left="567" w:right="567"/>
        <w:rPr>
          <w:rFonts w:eastAsia="Times New Roman" w:cs="Tahoma"/>
          <w:i/>
          <w:iCs/>
          <w:color w:val="auto"/>
          <w:sz w:val="20"/>
          <w:szCs w:val="20"/>
          <w:lang w:eastAsia="es-ES"/>
        </w:rPr>
      </w:pPr>
    </w:p>
    <w:p w:rsidRPr="00B01980" w:rsidR="008D6E9C" w:rsidP="00492822" w:rsidRDefault="008D6E9C" w14:paraId="085B44BF" w14:textId="77777777">
      <w:pPr>
        <w:spacing w:after="0" w:line="360" w:lineRule="auto"/>
        <w:ind w:left="567" w:right="567"/>
        <w:rPr>
          <w:rFonts w:eastAsia="Times New Roman" w:cs="Tahoma"/>
          <w:i/>
          <w:iCs/>
          <w:color w:val="auto"/>
          <w:sz w:val="20"/>
          <w:szCs w:val="20"/>
          <w:lang w:eastAsia="es-ES"/>
        </w:rPr>
      </w:pPr>
      <w:r w:rsidRPr="00B01980">
        <w:rPr>
          <w:rFonts w:eastAsia="Times New Roman" w:cs="Tahoma"/>
          <w:i/>
          <w:iCs/>
          <w:color w:val="auto"/>
          <w:sz w:val="20"/>
          <w:szCs w:val="20"/>
          <w:lang w:eastAsia="es-ES"/>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Pr="00B01980" w:rsidR="008D6E9C" w:rsidP="00492822" w:rsidRDefault="008D6E9C" w14:paraId="3068F6FB" w14:textId="77777777">
      <w:pPr>
        <w:spacing w:after="0" w:line="360" w:lineRule="auto"/>
        <w:ind w:left="567" w:right="567"/>
        <w:rPr>
          <w:rFonts w:eastAsia="Times New Roman" w:cs="Tahoma"/>
          <w:i/>
          <w:iCs/>
          <w:color w:val="auto"/>
          <w:sz w:val="20"/>
          <w:szCs w:val="20"/>
          <w:lang w:eastAsia="es-ES"/>
        </w:rPr>
      </w:pPr>
    </w:p>
    <w:p w:rsidRPr="00B01980" w:rsidR="008D6E9C" w:rsidP="00492822" w:rsidRDefault="008D6E9C" w14:paraId="45D7D05E" w14:textId="77777777">
      <w:pPr>
        <w:spacing w:after="0" w:line="360" w:lineRule="auto"/>
        <w:ind w:left="567" w:right="567"/>
        <w:rPr>
          <w:rFonts w:eastAsia="Times New Roman" w:cs="Tahoma"/>
          <w:i/>
          <w:iCs/>
          <w:color w:val="auto"/>
          <w:sz w:val="20"/>
          <w:szCs w:val="20"/>
          <w:lang w:val="es-ES" w:eastAsia="es-ES"/>
        </w:rPr>
      </w:pPr>
      <w:r w:rsidRPr="00B01980">
        <w:rPr>
          <w:rFonts w:eastAsia="Times New Roman" w:cs="Tahoma"/>
          <w:i/>
          <w:iCs/>
          <w:color w:val="auto"/>
          <w:sz w:val="20"/>
          <w:szCs w:val="20"/>
          <w:lang w:eastAsia="es-ES"/>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Pr="00B01980" w:rsidR="008D6E9C" w:rsidP="00492822" w:rsidRDefault="008D6E9C" w14:paraId="036184E6" w14:textId="77777777">
      <w:pPr>
        <w:spacing w:after="0" w:line="360" w:lineRule="auto"/>
        <w:rPr>
          <w:rFonts w:eastAsia="Times New Roman" w:cs="Tahoma"/>
          <w:bCs/>
          <w:iCs/>
          <w:color w:val="auto"/>
          <w:lang w:eastAsia="es-ES"/>
        </w:rPr>
      </w:pPr>
    </w:p>
    <w:p w:rsidRPr="00B01980" w:rsidR="008D6E9C" w:rsidP="00492822" w:rsidRDefault="008D6E9C" w14:paraId="4F342626"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rsidRPr="00B01980" w:rsidR="008D6E9C" w:rsidP="00492822" w:rsidRDefault="008D6E9C" w14:paraId="1EA85B4B" w14:textId="77777777">
      <w:pPr>
        <w:spacing w:after="0" w:line="360" w:lineRule="auto"/>
        <w:rPr>
          <w:rFonts w:eastAsia="Times New Roman" w:cs="Tahoma"/>
          <w:bCs/>
          <w:iCs/>
          <w:color w:val="auto"/>
          <w:lang w:eastAsia="es-ES"/>
        </w:rPr>
      </w:pPr>
    </w:p>
    <w:p w:rsidRPr="00B01980" w:rsidR="008D6E9C" w:rsidP="00492822" w:rsidRDefault="008D6E9C" w14:paraId="3BC31DC5" w14:textId="77777777">
      <w:pPr>
        <w:spacing w:after="0" w:line="360" w:lineRule="auto"/>
        <w:rPr>
          <w:rFonts w:eastAsia="Times New Roman" w:cs="Tahoma"/>
          <w:b/>
          <w:bCs/>
          <w:iCs/>
          <w:color w:val="auto"/>
          <w:lang w:eastAsia="es-ES"/>
        </w:rPr>
      </w:pPr>
      <w:r w:rsidRPr="00B01980">
        <w:rPr>
          <w:rFonts w:eastAsia="Times New Roman" w:cs="Tahoma"/>
          <w:bCs/>
          <w:iCs/>
          <w:color w:val="auto"/>
          <w:lang w:eastAsia="es-ES"/>
        </w:rPr>
        <w:lastRenderedPageBreak/>
        <w:t xml:space="preserve">De la misma manera, </w:t>
      </w:r>
      <w:r w:rsidRPr="00B01980">
        <w:rPr>
          <w:rFonts w:eastAsia="Times New Roman" w:cs="Tahoma"/>
          <w:b/>
          <w:bCs/>
          <w:iCs/>
          <w:color w:val="auto"/>
          <w:lang w:eastAsia="es-ES"/>
        </w:rPr>
        <w:t>será información reservada aquella que revele datos que pudieran ser aprovechados para conocer la capacidad de reacción de las instituciones encargadas de la seguridad pública</w:t>
      </w:r>
      <w:r w:rsidRPr="00B01980">
        <w:rPr>
          <w:rFonts w:eastAsia="Times New Roman" w:cs="Tahoma"/>
          <w:bCs/>
          <w:iCs/>
          <w:color w:val="auto"/>
          <w:lang w:eastAsia="es-ES"/>
        </w:rPr>
        <w:t xml:space="preserve">, sus planes, estrategias, </w:t>
      </w:r>
      <w:r w:rsidRPr="00B01980">
        <w:rPr>
          <w:rFonts w:eastAsia="Times New Roman" w:cs="Tahoma"/>
          <w:b/>
          <w:bCs/>
          <w:iCs/>
          <w:color w:val="auto"/>
          <w:lang w:eastAsia="es-ES"/>
        </w:rPr>
        <w:t>tecnología,</w:t>
      </w:r>
      <w:r w:rsidRPr="00B01980">
        <w:rPr>
          <w:rFonts w:eastAsia="Times New Roman" w:cs="Tahoma"/>
          <w:bCs/>
          <w:iCs/>
          <w:color w:val="auto"/>
          <w:lang w:eastAsia="es-ES"/>
        </w:rPr>
        <w:t xml:space="preserve"> información, </w:t>
      </w:r>
      <w:r w:rsidRPr="00B01980">
        <w:rPr>
          <w:rFonts w:eastAsia="Times New Roman" w:cs="Tahoma"/>
          <w:b/>
          <w:bCs/>
          <w:iCs/>
          <w:color w:val="auto"/>
          <w:lang w:eastAsia="es-ES"/>
        </w:rPr>
        <w:t>sistemas de comunicaciones.</w:t>
      </w:r>
    </w:p>
    <w:p w:rsidRPr="00B01980" w:rsidR="008D6E9C" w:rsidP="00492822" w:rsidRDefault="008D6E9C" w14:paraId="4759DA05" w14:textId="77777777">
      <w:pPr>
        <w:spacing w:after="0" w:line="360" w:lineRule="auto"/>
        <w:rPr>
          <w:rFonts w:eastAsia="Times New Roman" w:cs="Tahoma"/>
          <w:bCs/>
          <w:iCs/>
          <w:color w:val="auto"/>
          <w:lang w:eastAsia="es-ES"/>
        </w:rPr>
      </w:pPr>
    </w:p>
    <w:p w:rsidRPr="00B01980" w:rsidR="008D6E9C" w:rsidP="00492822" w:rsidRDefault="008D6E9C" w14:paraId="5D0DC848"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En ese orden de ideas, el artículo 81 de la Ley de Seguridad del Estado de México, establece lo siguiente:</w:t>
      </w:r>
    </w:p>
    <w:p w:rsidRPr="00B01980" w:rsidR="008D6E9C" w:rsidP="00492822" w:rsidRDefault="008D6E9C" w14:paraId="74C96385" w14:textId="77777777">
      <w:pPr>
        <w:spacing w:after="0" w:line="360" w:lineRule="auto"/>
        <w:rPr>
          <w:rFonts w:eastAsia="Times New Roman" w:cs="Tahoma"/>
          <w:bCs/>
          <w:iCs/>
          <w:color w:val="auto"/>
          <w:lang w:eastAsia="es-ES"/>
        </w:rPr>
      </w:pPr>
    </w:p>
    <w:p w:rsidRPr="00B01980" w:rsidR="008D6E9C" w:rsidP="00492822" w:rsidRDefault="008D6E9C" w14:paraId="6CFBDEB3" w14:textId="77777777">
      <w:pPr>
        <w:spacing w:after="0" w:line="360" w:lineRule="auto"/>
        <w:ind w:left="567" w:right="567"/>
        <w:rPr>
          <w:rFonts w:eastAsia="Times New Roman" w:cs="Tahoma"/>
          <w:bCs/>
          <w:i/>
          <w:iCs/>
          <w:color w:val="auto"/>
          <w:sz w:val="20"/>
          <w:szCs w:val="20"/>
          <w:lang w:eastAsia="es-ES"/>
        </w:rPr>
      </w:pPr>
      <w:r w:rsidRPr="00B01980">
        <w:rPr>
          <w:rFonts w:eastAsia="Times New Roman" w:cs="Tahoma"/>
          <w:b/>
          <w:bCs/>
          <w:i/>
          <w:iCs/>
          <w:color w:val="auto"/>
          <w:sz w:val="20"/>
          <w:szCs w:val="20"/>
          <w:lang w:eastAsia="es-ES"/>
        </w:rPr>
        <w:t>“Artículo 81.-</w:t>
      </w:r>
      <w:r w:rsidRPr="00B01980">
        <w:rPr>
          <w:rFonts w:eastAsia="Times New Roman" w:cs="Tahoma"/>
          <w:bCs/>
          <w:i/>
          <w:iCs/>
          <w:color w:val="auto"/>
          <w:sz w:val="20"/>
          <w:szCs w:val="20"/>
          <w:lang w:eastAsia="es-E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B01980" w:rsidR="008D6E9C" w:rsidP="00492822" w:rsidRDefault="008D6E9C" w14:paraId="159B5CC3" w14:textId="77777777">
      <w:pPr>
        <w:spacing w:after="0" w:line="360" w:lineRule="auto"/>
        <w:ind w:left="567" w:right="567"/>
        <w:rPr>
          <w:rFonts w:eastAsia="Times New Roman" w:cs="Tahoma"/>
          <w:bCs/>
          <w:i/>
          <w:iCs/>
          <w:color w:val="auto"/>
          <w:sz w:val="20"/>
          <w:szCs w:val="20"/>
          <w:lang w:eastAsia="es-ES"/>
        </w:rPr>
      </w:pPr>
    </w:p>
    <w:p w:rsidRPr="00B01980" w:rsidR="008D6E9C" w:rsidP="00492822" w:rsidRDefault="008D6E9C" w14:paraId="04424F54" w14:textId="77777777">
      <w:pPr>
        <w:spacing w:after="0" w:line="360" w:lineRule="auto"/>
        <w:ind w:left="567" w:right="567"/>
        <w:rPr>
          <w:rFonts w:eastAsia="Times New Roman" w:cs="Tahoma"/>
          <w:bCs/>
          <w:i/>
          <w:iCs/>
          <w:color w:val="auto"/>
          <w:sz w:val="20"/>
          <w:szCs w:val="20"/>
          <w:lang w:eastAsia="es-ES"/>
        </w:rPr>
      </w:pPr>
      <w:r w:rsidRPr="00B01980">
        <w:rPr>
          <w:rFonts w:eastAsia="Times New Roman" w:cs="Tahoma"/>
          <w:b/>
          <w:bCs/>
          <w:i/>
          <w:iCs/>
          <w:color w:val="auto"/>
          <w:sz w:val="20"/>
          <w:szCs w:val="20"/>
          <w:lang w:eastAsia="es-ES"/>
        </w:rPr>
        <w:t>I.</w:t>
      </w:r>
      <w:r w:rsidRPr="00B01980">
        <w:rPr>
          <w:rFonts w:eastAsia="Times New Roman" w:cs="Tahoma"/>
          <w:bCs/>
          <w:i/>
          <w:iCs/>
          <w:color w:val="auto"/>
          <w:sz w:val="20"/>
          <w:szCs w:val="20"/>
          <w:lang w:eastAsia="es-E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Pr="00B01980" w:rsidR="008D6E9C" w:rsidP="00492822" w:rsidRDefault="008D6E9C" w14:paraId="7EE9FC9D" w14:textId="77777777">
      <w:pPr>
        <w:spacing w:after="0" w:line="360" w:lineRule="auto"/>
        <w:ind w:left="567" w:right="567"/>
        <w:rPr>
          <w:rFonts w:eastAsia="Times New Roman" w:cs="Tahoma"/>
          <w:bCs/>
          <w:i/>
          <w:iCs/>
          <w:color w:val="auto"/>
          <w:sz w:val="20"/>
          <w:szCs w:val="20"/>
          <w:lang w:eastAsia="es-ES"/>
        </w:rPr>
      </w:pPr>
    </w:p>
    <w:p w:rsidRPr="00B01980" w:rsidR="008D6E9C" w:rsidP="00492822" w:rsidRDefault="008D6E9C" w14:paraId="718D0E97" w14:textId="77777777">
      <w:pPr>
        <w:spacing w:after="0" w:line="360" w:lineRule="auto"/>
        <w:ind w:left="567" w:right="567"/>
        <w:rPr>
          <w:rFonts w:eastAsia="Times New Roman" w:cs="Tahoma"/>
          <w:bCs/>
          <w:i/>
          <w:iCs/>
          <w:color w:val="auto"/>
          <w:sz w:val="20"/>
          <w:szCs w:val="20"/>
          <w:lang w:eastAsia="es-ES"/>
        </w:rPr>
      </w:pPr>
      <w:r w:rsidRPr="00B01980">
        <w:rPr>
          <w:rFonts w:eastAsia="Times New Roman" w:cs="Tahoma"/>
          <w:b/>
          <w:bCs/>
          <w:i/>
          <w:iCs/>
          <w:color w:val="auto"/>
          <w:sz w:val="20"/>
          <w:szCs w:val="20"/>
          <w:lang w:eastAsia="es-ES"/>
        </w:rPr>
        <w:t>II.</w:t>
      </w:r>
      <w:r w:rsidRPr="00B01980">
        <w:rPr>
          <w:rFonts w:eastAsia="Times New Roman" w:cs="Tahoma"/>
          <w:bCs/>
          <w:i/>
          <w:iCs/>
          <w:color w:val="auto"/>
          <w:sz w:val="20"/>
          <w:szCs w:val="20"/>
          <w:lang w:eastAsia="es-ES"/>
        </w:rPr>
        <w:t xml:space="preserve"> Aquella cuya revelación pueda ser utilizada para actualizar o potenciar una amenaza a la seguridad pública o a las instituciones del Estado de México; </w:t>
      </w:r>
    </w:p>
    <w:p w:rsidRPr="00B01980" w:rsidR="008D6E9C" w:rsidP="00492822" w:rsidRDefault="008D6E9C" w14:paraId="4B75A4ED" w14:textId="77777777">
      <w:pPr>
        <w:spacing w:after="0" w:line="360" w:lineRule="auto"/>
        <w:ind w:left="567" w:right="567"/>
        <w:rPr>
          <w:rFonts w:eastAsia="Times New Roman" w:cs="Tahoma"/>
          <w:bCs/>
          <w:i/>
          <w:iCs/>
          <w:color w:val="auto"/>
          <w:sz w:val="20"/>
          <w:szCs w:val="20"/>
          <w:lang w:eastAsia="es-ES"/>
        </w:rPr>
      </w:pPr>
      <w:r w:rsidRPr="00B01980">
        <w:rPr>
          <w:rFonts w:eastAsia="Times New Roman" w:cs="Tahoma"/>
          <w:bCs/>
          <w:i/>
          <w:iCs/>
          <w:color w:val="auto"/>
          <w:sz w:val="20"/>
          <w:szCs w:val="20"/>
          <w:lang w:eastAsia="es-ES"/>
        </w:rPr>
        <w:t>…</w:t>
      </w:r>
    </w:p>
    <w:p w:rsidRPr="00B01980" w:rsidR="008D6E9C" w:rsidP="00492822" w:rsidRDefault="008D6E9C" w14:paraId="7B44EB7D" w14:textId="77777777">
      <w:pPr>
        <w:spacing w:after="0" w:line="360" w:lineRule="auto"/>
        <w:ind w:left="567" w:right="567"/>
        <w:rPr>
          <w:rFonts w:eastAsia="Times New Roman" w:cs="Tahoma"/>
          <w:bCs/>
          <w:i/>
          <w:iCs/>
          <w:color w:val="auto"/>
          <w:sz w:val="20"/>
          <w:szCs w:val="20"/>
          <w:lang w:eastAsia="es-ES"/>
        </w:rPr>
      </w:pPr>
      <w:r w:rsidRPr="00B01980">
        <w:rPr>
          <w:rFonts w:eastAsia="Times New Roman" w:cs="Tahoma"/>
          <w:b/>
          <w:bCs/>
          <w:i/>
          <w:iCs/>
          <w:color w:val="auto"/>
          <w:sz w:val="20"/>
          <w:szCs w:val="20"/>
          <w:lang w:eastAsia="es-ES"/>
        </w:rPr>
        <w:t xml:space="preserve">IV. </w:t>
      </w:r>
      <w:r w:rsidRPr="00B01980">
        <w:rPr>
          <w:rFonts w:eastAsia="Times New Roman" w:cs="Tahoma"/>
          <w:bCs/>
          <w:i/>
          <w:iCs/>
          <w:color w:val="auto"/>
          <w:sz w:val="20"/>
          <w:szCs w:val="20"/>
          <w:lang w:eastAsia="es-ES"/>
        </w:rPr>
        <w:t xml:space="preserve">La que sea producto de una intervención de comunicaciones privadas autorizadas conforme a la Constitución Federal y las disposiciones legales correspondientes; y </w:t>
      </w:r>
    </w:p>
    <w:p w:rsidRPr="00B01980" w:rsidR="008D6E9C" w:rsidP="00492822" w:rsidRDefault="008D6E9C" w14:paraId="1E0B20FC" w14:textId="77777777">
      <w:pPr>
        <w:spacing w:after="0" w:line="360" w:lineRule="auto"/>
        <w:ind w:left="567" w:right="567"/>
        <w:rPr>
          <w:rFonts w:eastAsia="Times New Roman" w:cs="Tahoma"/>
          <w:bCs/>
          <w:i/>
          <w:iCs/>
          <w:color w:val="auto"/>
          <w:sz w:val="20"/>
          <w:szCs w:val="20"/>
          <w:lang w:eastAsia="es-ES"/>
        </w:rPr>
      </w:pPr>
    </w:p>
    <w:p w:rsidRPr="00B01980" w:rsidR="008D6E9C" w:rsidP="00492822" w:rsidRDefault="008D6E9C" w14:paraId="2BFD1FB7" w14:textId="77777777">
      <w:pPr>
        <w:spacing w:after="0" w:line="360" w:lineRule="auto"/>
        <w:ind w:left="567" w:right="567"/>
        <w:rPr>
          <w:rFonts w:eastAsia="Times New Roman" w:cs="Tahoma"/>
          <w:bCs/>
          <w:i/>
          <w:iCs/>
          <w:color w:val="auto"/>
          <w:sz w:val="20"/>
          <w:szCs w:val="20"/>
          <w:lang w:eastAsia="es-ES"/>
        </w:rPr>
      </w:pPr>
      <w:r w:rsidRPr="00B01980">
        <w:rPr>
          <w:rFonts w:eastAsia="Times New Roman" w:cs="Tahoma"/>
          <w:b/>
          <w:bCs/>
          <w:i/>
          <w:iCs/>
          <w:color w:val="auto"/>
          <w:sz w:val="20"/>
          <w:szCs w:val="20"/>
          <w:lang w:eastAsia="es-ES"/>
        </w:rPr>
        <w:t>V.</w:t>
      </w:r>
      <w:r w:rsidRPr="00B01980">
        <w:rPr>
          <w:rFonts w:eastAsia="Times New Roman" w:cs="Tahoma"/>
          <w:bCs/>
          <w:i/>
          <w:iCs/>
          <w:color w:val="auto"/>
          <w:sz w:val="20"/>
          <w:szCs w:val="20"/>
          <w:lang w:eastAsia="es-E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rsidRPr="00B01980" w:rsidR="008D6E9C" w:rsidP="00492822" w:rsidRDefault="008D6E9C" w14:paraId="28B683DA" w14:textId="77777777">
      <w:pPr>
        <w:spacing w:after="0" w:line="360" w:lineRule="auto"/>
        <w:rPr>
          <w:rFonts w:eastAsia="Times New Roman" w:cs="Tahoma"/>
          <w:bCs/>
          <w:iCs/>
          <w:color w:val="auto"/>
          <w:lang w:eastAsia="es-ES"/>
        </w:rPr>
      </w:pPr>
    </w:p>
    <w:p w:rsidRPr="00B01980" w:rsidR="008D6E9C" w:rsidP="00492822" w:rsidRDefault="008D6E9C" w14:paraId="7CED09E6" w14:textId="77777777">
      <w:pPr>
        <w:spacing w:after="0" w:line="360" w:lineRule="auto"/>
        <w:rPr>
          <w:rFonts w:eastAsia="Times New Roman" w:cs="Tahoma"/>
          <w:bCs/>
          <w:iCs/>
          <w:color w:val="auto"/>
          <w:lang w:eastAsia="es-ES"/>
        </w:rPr>
      </w:pPr>
      <w:r w:rsidRPr="00B01980">
        <w:rPr>
          <w:rFonts w:eastAsia="Times New Roman" w:cs="Tahoma"/>
          <w:bCs/>
          <w:iCs/>
          <w:color w:val="auto"/>
          <w:lang w:eastAsia="es-ES"/>
        </w:rPr>
        <w:t xml:space="preserve">De lo anterior, se logra desprender que es información reservada, aquella que pueda revelar las normas, procedimientos, métodos, fuentes, técnicas, </w:t>
      </w:r>
      <w:r w:rsidRPr="00B01980">
        <w:rPr>
          <w:rFonts w:eastAsia="Times New Roman" w:cs="Tahoma"/>
          <w:b/>
          <w:bCs/>
          <w:iCs/>
          <w:color w:val="auto"/>
          <w:lang w:eastAsia="es-ES"/>
        </w:rPr>
        <w:t>sistemas, tecnología</w:t>
      </w:r>
      <w:r w:rsidRPr="00B01980">
        <w:rPr>
          <w:rFonts w:eastAsia="Times New Roman" w:cs="Tahoma"/>
          <w:bCs/>
          <w:iCs/>
          <w:color w:val="auto"/>
          <w:lang w:eastAsia="es-ES"/>
        </w:rPr>
        <w:t xml:space="preserve">, útiles a la </w:t>
      </w:r>
      <w:r w:rsidRPr="00B01980">
        <w:rPr>
          <w:rFonts w:eastAsia="Times New Roman" w:cs="Tahoma"/>
          <w:bCs/>
          <w:iCs/>
          <w:color w:val="auto"/>
          <w:lang w:eastAsia="es-ES"/>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rsidRPr="00B01980" w:rsidR="008D6E9C" w:rsidP="00492822" w:rsidRDefault="008D6E9C" w14:paraId="2CA1B63D" w14:textId="77777777">
      <w:pPr>
        <w:spacing w:after="0" w:line="360" w:lineRule="auto"/>
        <w:rPr>
          <w:rFonts w:eastAsia="Times New Roman" w:cs="Tahoma"/>
          <w:iCs/>
          <w:color w:val="auto"/>
          <w:lang w:val="es-ES" w:eastAsia="es-ES"/>
        </w:rPr>
      </w:pPr>
    </w:p>
    <w:p w:rsidRPr="00B01980" w:rsidR="008D6E9C" w:rsidP="00492822" w:rsidRDefault="008D6E9C" w14:paraId="52D91B66" w14:textId="1EC48032">
      <w:pPr>
        <w:spacing w:after="0" w:line="360" w:lineRule="auto"/>
        <w:rPr>
          <w:rFonts w:eastAsia="Times New Roman" w:cs="Tahoma"/>
          <w:iCs/>
          <w:color w:val="auto"/>
          <w:lang w:val="es-ES" w:eastAsia="es-ES"/>
        </w:rPr>
      </w:pPr>
      <w:r w:rsidRPr="00B01980">
        <w:rPr>
          <w:rFonts w:eastAsia="Times New Roman" w:cs="Tahoma"/>
          <w:iCs/>
          <w:color w:val="auto"/>
          <w:lang w:val="es-ES" w:eastAsia="es-ES"/>
        </w:rPr>
        <w:t xml:space="preserve">Ahora bien, este Instituto advierte que proporcionar la especificaciones y equipamiento de las patrullas, revelaría la tecnología, sistemas y equipos, con los que cuenta la </w:t>
      </w:r>
      <w:r w:rsidRPr="00B01980" w:rsidR="00071A4F">
        <w:rPr>
          <w:rFonts w:eastAsia="Times New Roman" w:cs="Tahoma"/>
          <w:iCs/>
          <w:color w:val="auto"/>
          <w:lang w:val="es-ES" w:eastAsia="es-ES"/>
        </w:rPr>
        <w:t>Comisaría General de Seguridad Pública y Tránsito Municipal</w:t>
      </w:r>
      <w:r w:rsidRPr="00B01980">
        <w:rPr>
          <w:rFonts w:eastAsia="Times New Roman" w:cs="Tahoma"/>
          <w:iCs/>
          <w:color w:val="auto"/>
          <w:lang w:val="es-ES" w:eastAsia="es-ES"/>
        </w:rPr>
        <w:t xml:space="preserve">, para el combate a la delincuencia en el Municipio, pues al proporcionar información sobre el </w:t>
      </w:r>
      <w:r w:rsidRPr="00B01980">
        <w:rPr>
          <w:rFonts w:eastAsia="Times New Roman" w:cs="Tahoma"/>
          <w:b/>
          <w:iCs/>
          <w:color w:val="auto"/>
          <w:lang w:val="es-ES" w:eastAsia="es-ES"/>
        </w:rPr>
        <w:t>armamento, blindaje y radios con los que cuentan las patrullas adquiridas,</w:t>
      </w:r>
      <w:r w:rsidRPr="00B01980">
        <w:rPr>
          <w:rFonts w:eastAsia="Times New Roman" w:cs="Tahoma"/>
          <w:iCs/>
          <w:color w:val="auto"/>
          <w:lang w:val="es-ES" w:eastAsia="es-ES"/>
        </w:rPr>
        <w:t xml:space="preserve"> se estaría dando cuenta de los aparatos que se utilizan para estar en comunicación los policías municipales, así como, el equipo y armamento especial, con el que cuentan los vehículos, y que es utilizado para mantener la seguridad dentro del territorio del Municipio.</w:t>
      </w:r>
    </w:p>
    <w:p w:rsidRPr="00B01980" w:rsidR="008D6E9C" w:rsidP="00492822" w:rsidRDefault="008D6E9C" w14:paraId="6DFCFEB4" w14:textId="77777777">
      <w:pPr>
        <w:spacing w:after="0" w:line="360" w:lineRule="auto"/>
        <w:rPr>
          <w:rFonts w:eastAsia="Times New Roman" w:cs="Tahoma"/>
          <w:iCs/>
          <w:color w:val="auto"/>
          <w:lang w:val="es-ES" w:eastAsia="es-ES"/>
        </w:rPr>
      </w:pPr>
    </w:p>
    <w:p w:rsidRPr="00B01980" w:rsidR="008D6E9C" w:rsidP="00492822" w:rsidRDefault="008D6E9C" w14:paraId="1DC439C0" w14:textId="77777777">
      <w:pPr>
        <w:spacing w:after="0" w:line="360" w:lineRule="auto"/>
        <w:rPr>
          <w:rFonts w:eastAsia="Times New Roman" w:cs="Tahoma"/>
          <w:iCs/>
          <w:color w:val="auto"/>
          <w:lang w:val="es-ES" w:eastAsia="es-ES"/>
        </w:rPr>
      </w:pPr>
      <w:r w:rsidRPr="00B01980">
        <w:rPr>
          <w:rFonts w:eastAsia="Times New Roman" w:cs="Tahoma"/>
          <w:iCs/>
          <w:color w:val="auto"/>
          <w:lang w:val="es-ES" w:eastAsia="es-ES"/>
        </w:rPr>
        <w:t>Inclusive, dar a conocer las especificaciones de las patrullas, podría ocasionar que los entes delincuenciales busquen clonar dichos vehículos, con el fin de aumentar la inseguridad de Toluca, pues podrían hacerse pasar como elementos de seguridad del Ayuntamiento, o bien, podría ser utilizada dicha información para buscar las debilidades de las mismas y poderse aprovechar de dichas situaciones para realizar diversos delitos, lo cual va en detrimento de la paz y orden social.</w:t>
      </w:r>
    </w:p>
    <w:p w:rsidRPr="00B01980" w:rsidR="008D6E9C" w:rsidP="00492822" w:rsidRDefault="008D6E9C" w14:paraId="0BE8460E" w14:textId="77777777">
      <w:pPr>
        <w:spacing w:after="0" w:line="360" w:lineRule="auto"/>
        <w:rPr>
          <w:rFonts w:eastAsia="Times New Roman" w:cs="Tahoma"/>
          <w:iCs/>
          <w:color w:val="auto"/>
          <w:lang w:val="es-ES" w:eastAsia="es-ES"/>
        </w:rPr>
      </w:pPr>
    </w:p>
    <w:p w:rsidRPr="00B01980" w:rsidR="008D6E9C" w:rsidP="00492822" w:rsidRDefault="008D6E9C" w14:paraId="68D44F9D" w14:textId="74EB7347">
      <w:pPr>
        <w:spacing w:after="0" w:line="360" w:lineRule="auto"/>
        <w:rPr>
          <w:rFonts w:eastAsia="Times New Roman" w:cs="Tahoma"/>
          <w:b/>
          <w:bCs/>
          <w:iCs/>
          <w:color w:val="auto"/>
          <w:lang w:eastAsia="es-ES"/>
        </w:rPr>
      </w:pPr>
      <w:r w:rsidRPr="00B01980">
        <w:rPr>
          <w:rFonts w:eastAsia="Times New Roman" w:cs="Tahoma"/>
          <w:bCs/>
          <w:iCs/>
          <w:color w:val="auto"/>
          <w:lang w:eastAsia="es-ES"/>
        </w:rPr>
        <w:t xml:space="preserve">Conforme a lo anterior, se puede colegir que proporcionar la información en análisis podría comprometer la seguridad pública, al poner en peligro las funciones a cargo del Municipio, </w:t>
      </w:r>
      <w:r w:rsidRPr="00B01980">
        <w:rPr>
          <w:rFonts w:eastAsia="Times New Roman" w:cs="Tahoma"/>
          <w:iCs/>
          <w:color w:val="auto"/>
          <w:lang w:eastAsia="es-ES"/>
        </w:rPr>
        <w:t xml:space="preserve"> </w:t>
      </w:r>
      <w:r w:rsidRPr="00B01980">
        <w:rPr>
          <w:rFonts w:eastAsia="Times New Roman" w:cs="Tahoma"/>
          <w:bCs/>
          <w:iCs/>
          <w:color w:val="auto"/>
          <w:lang w:eastAsia="es-ES"/>
        </w:rPr>
        <w:t xml:space="preserve">tendientes a preservar y resguardar la vida, la salud, la integridad y el ejercicio de los derechos de las personas, así como para el mantenimiento del orden público, toda vez </w:t>
      </w:r>
      <w:r w:rsidRPr="00B01980">
        <w:rPr>
          <w:rFonts w:eastAsia="Times New Roman" w:cs="Tahoma"/>
          <w:b/>
          <w:bCs/>
          <w:iCs/>
          <w:color w:val="auto"/>
          <w:lang w:eastAsia="es-ES"/>
        </w:rPr>
        <w:t xml:space="preserve">que da cuenta de las tecnologías, equipos y sistemas de la </w:t>
      </w:r>
      <w:r w:rsidRPr="00B01980" w:rsidR="00DE2D5B">
        <w:rPr>
          <w:rFonts w:eastAsia="Times New Roman" w:cs="Tahoma"/>
          <w:b/>
          <w:bCs/>
          <w:iCs/>
          <w:color w:val="auto"/>
          <w:lang w:eastAsia="es-ES"/>
        </w:rPr>
        <w:t xml:space="preserve">Comisaría General de Seguridad Pública y Tránsito </w:t>
      </w:r>
      <w:r w:rsidRPr="00B01980" w:rsidR="00DE2D5B">
        <w:rPr>
          <w:rFonts w:eastAsia="Times New Roman" w:cs="Tahoma"/>
          <w:b/>
          <w:bCs/>
          <w:iCs/>
          <w:color w:val="auto"/>
          <w:lang w:eastAsia="es-ES"/>
        </w:rPr>
        <w:lastRenderedPageBreak/>
        <w:t>Municipal</w:t>
      </w:r>
      <w:r w:rsidRPr="00B01980" w:rsidR="00215AFD">
        <w:rPr>
          <w:rFonts w:eastAsia="Times New Roman" w:cs="Tahoma"/>
          <w:b/>
          <w:bCs/>
          <w:iCs/>
          <w:color w:val="auto"/>
          <w:lang w:eastAsia="es-ES"/>
        </w:rPr>
        <w:t xml:space="preserve">, </w:t>
      </w:r>
      <w:r w:rsidRPr="00B01980">
        <w:rPr>
          <w:rFonts w:eastAsia="Times New Roman" w:cs="Tahoma"/>
          <w:bCs/>
          <w:iCs/>
          <w:color w:val="auto"/>
          <w:lang w:eastAsia="es-ES"/>
        </w:rPr>
        <w:t>y por lo tanto, acredita la causal de clasificación prevista en el artículo 140, fracción I</w:t>
      </w:r>
      <w:r w:rsidRPr="00B01980" w:rsidR="001D0B96">
        <w:rPr>
          <w:rFonts w:eastAsia="Times New Roman" w:cs="Tahoma"/>
          <w:bCs/>
          <w:iCs/>
          <w:color w:val="auto"/>
          <w:lang w:eastAsia="es-ES"/>
        </w:rPr>
        <w:t>,</w:t>
      </w:r>
      <w:r w:rsidRPr="00B01980">
        <w:rPr>
          <w:rFonts w:eastAsia="Times New Roman" w:cs="Tahoma"/>
          <w:bCs/>
          <w:iCs/>
          <w:color w:val="auto"/>
          <w:lang w:eastAsia="es-ES"/>
        </w:rPr>
        <w:t xml:space="preserve"> de la Ley de Transparencia y Acceso a la Información Pública del Estado de México</w:t>
      </w:r>
      <w:r w:rsidRPr="00B01980">
        <w:rPr>
          <w:rFonts w:eastAsia="Times New Roman" w:cs="Tahoma"/>
          <w:b/>
          <w:bCs/>
          <w:iCs/>
          <w:color w:val="auto"/>
          <w:lang w:eastAsia="es-ES"/>
        </w:rPr>
        <w:t>.</w:t>
      </w:r>
    </w:p>
    <w:p w:rsidRPr="00B01980" w:rsidR="001D0B96" w:rsidP="00492822" w:rsidRDefault="001D0B96" w14:paraId="731E5CC6" w14:textId="77777777">
      <w:pPr>
        <w:spacing w:after="0" w:line="360" w:lineRule="auto"/>
        <w:rPr>
          <w:rFonts w:eastAsia="Times New Roman" w:cs="Tahoma"/>
          <w:iCs/>
          <w:color w:val="auto"/>
          <w:lang w:val="es-ES" w:eastAsia="es-ES"/>
        </w:rPr>
      </w:pPr>
    </w:p>
    <w:p w:rsidRPr="00B01980" w:rsidR="008D6E9C" w:rsidP="00492822" w:rsidRDefault="001D0B96" w14:paraId="606D1336" w14:textId="3E419484">
      <w:pPr>
        <w:spacing w:after="0" w:line="360" w:lineRule="auto"/>
        <w:rPr>
          <w:rFonts w:eastAsia="Times New Roman" w:cs="Tahoma"/>
          <w:iCs/>
          <w:color w:val="auto"/>
          <w:lang w:val="es-ES" w:eastAsia="es-ES"/>
        </w:rPr>
      </w:pPr>
      <w:r w:rsidRPr="00B01980">
        <w:rPr>
          <w:rFonts w:eastAsia="Times New Roman" w:cs="Tahoma"/>
          <w:iCs/>
          <w:color w:val="auto"/>
          <w:lang w:val="es-ES" w:eastAsia="es-ES"/>
        </w:rPr>
        <w:t>Ahora bien</w:t>
      </w:r>
      <w:r w:rsidRPr="00B01980" w:rsidR="008D6E9C">
        <w:rPr>
          <w:rFonts w:eastAsia="Times New Roman" w:cs="Tahoma"/>
          <w:iCs/>
          <w:color w:val="auto"/>
          <w:lang w:val="es-ES" w:eastAsia="es-ES"/>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B01980" w:rsidR="008D6E9C" w:rsidP="00492822" w:rsidRDefault="008D6E9C" w14:paraId="5386E964" w14:textId="77777777">
      <w:pPr>
        <w:spacing w:after="0" w:line="360" w:lineRule="auto"/>
        <w:rPr>
          <w:rFonts w:eastAsia="Times New Roman" w:cs="Tahoma"/>
          <w:iCs/>
          <w:color w:val="auto"/>
          <w:lang w:val="es-ES" w:eastAsia="es-ES"/>
        </w:rPr>
      </w:pPr>
    </w:p>
    <w:p w:rsidRPr="00B01980" w:rsidR="008D6E9C" w:rsidP="00492822" w:rsidRDefault="008D6E9C" w14:paraId="79B474F2" w14:textId="77777777">
      <w:pPr>
        <w:numPr>
          <w:ilvl w:val="0"/>
          <w:numId w:val="23"/>
        </w:numPr>
        <w:spacing w:after="0" w:line="360" w:lineRule="auto"/>
        <w:rPr>
          <w:rFonts w:eastAsia="Times New Roman" w:cs="Tahoma"/>
          <w:iCs/>
          <w:color w:val="auto"/>
          <w:lang w:val="es-ES_tradnl" w:eastAsia="es-ES"/>
        </w:rPr>
      </w:pPr>
      <w:r w:rsidRPr="00B01980">
        <w:rPr>
          <w:rFonts w:eastAsia="Times New Roman" w:cs="Tahoma"/>
          <w:iCs/>
          <w:color w:val="auto"/>
          <w:lang w:val="es-ES_tradnl" w:eastAsia="es-ES"/>
        </w:rPr>
        <w:t>La divulgación de la información representa un riesgo real, demostrable e identificable de perjuicio significativo al interés público o a la seguridad nacional.</w:t>
      </w:r>
    </w:p>
    <w:p w:rsidRPr="00B01980" w:rsidR="008D6E9C" w:rsidP="00492822" w:rsidRDefault="008D6E9C" w14:paraId="1AF75D08" w14:textId="77777777">
      <w:pPr>
        <w:spacing w:after="0" w:line="360" w:lineRule="auto"/>
        <w:rPr>
          <w:rFonts w:eastAsia="Times New Roman" w:cs="Tahoma"/>
          <w:iCs/>
          <w:color w:val="auto"/>
          <w:lang w:val="es-ES_tradnl" w:eastAsia="es-ES"/>
        </w:rPr>
      </w:pPr>
    </w:p>
    <w:p w:rsidRPr="00B01980" w:rsidR="008D6E9C" w:rsidP="00492822" w:rsidRDefault="008D6E9C" w14:paraId="1EB8ABCA" w14:textId="77777777">
      <w:pPr>
        <w:numPr>
          <w:ilvl w:val="0"/>
          <w:numId w:val="23"/>
        </w:numPr>
        <w:spacing w:after="0" w:line="360" w:lineRule="auto"/>
        <w:rPr>
          <w:rFonts w:eastAsia="Times New Roman" w:cs="Tahoma"/>
          <w:iCs/>
          <w:color w:val="auto"/>
          <w:lang w:val="es-ES_tradnl" w:eastAsia="es-ES"/>
        </w:rPr>
      </w:pPr>
      <w:r w:rsidRPr="00B01980">
        <w:rPr>
          <w:rFonts w:eastAsia="Times New Roman" w:cs="Tahoma"/>
          <w:iCs/>
          <w:color w:val="auto"/>
          <w:lang w:val="es-ES_tradnl" w:eastAsia="es-ES"/>
        </w:rPr>
        <w:t>El riesgo de perjuicio supera el interés público general de que se difunda.</w:t>
      </w:r>
    </w:p>
    <w:p w:rsidRPr="00B01980" w:rsidR="008D6E9C" w:rsidP="00492822" w:rsidRDefault="008D6E9C" w14:paraId="2DA31A7C" w14:textId="77777777">
      <w:pPr>
        <w:spacing w:after="0" w:line="360" w:lineRule="auto"/>
        <w:rPr>
          <w:rFonts w:eastAsia="Times New Roman" w:cs="Tahoma"/>
          <w:iCs/>
          <w:color w:val="auto"/>
          <w:lang w:val="es-ES_tradnl" w:eastAsia="es-ES"/>
        </w:rPr>
      </w:pPr>
    </w:p>
    <w:p w:rsidRPr="00B01980" w:rsidR="008D6E9C" w:rsidP="00492822" w:rsidRDefault="008D6E9C" w14:paraId="653BC011" w14:textId="77777777">
      <w:pPr>
        <w:numPr>
          <w:ilvl w:val="0"/>
          <w:numId w:val="23"/>
        </w:numPr>
        <w:spacing w:after="0" w:line="360" w:lineRule="auto"/>
        <w:rPr>
          <w:rFonts w:eastAsia="Times New Roman" w:cs="Tahoma"/>
          <w:iCs/>
          <w:color w:val="auto"/>
          <w:lang w:val="es-ES_tradnl" w:eastAsia="es-ES"/>
        </w:rPr>
      </w:pPr>
      <w:r w:rsidRPr="00B01980">
        <w:rPr>
          <w:rFonts w:eastAsia="Times New Roman" w:cs="Tahoma"/>
          <w:iCs/>
          <w:color w:val="auto"/>
          <w:lang w:val="es-ES_tradnl" w:eastAsia="es-ES"/>
        </w:rPr>
        <w:t>Que la limitación se adecua al principio de proporcionalidad y representa el medio menos restrictivo disponible para evitar el perjuicio.</w:t>
      </w:r>
    </w:p>
    <w:p w:rsidRPr="00B01980" w:rsidR="008D6E9C" w:rsidP="00492822" w:rsidRDefault="008D6E9C" w14:paraId="40442EC8" w14:textId="77777777">
      <w:pPr>
        <w:spacing w:after="0" w:line="360" w:lineRule="auto"/>
        <w:rPr>
          <w:rFonts w:eastAsia="Times New Roman" w:cs="Tahoma"/>
          <w:iCs/>
          <w:color w:val="auto"/>
          <w:lang w:val="es-ES" w:eastAsia="es-ES"/>
        </w:rPr>
      </w:pPr>
    </w:p>
    <w:p w:rsidRPr="00B01980" w:rsidR="008D6E9C" w:rsidP="00492822" w:rsidRDefault="008D6E9C" w14:paraId="64AF9BE2" w14:textId="77777777">
      <w:pPr>
        <w:spacing w:after="0" w:line="360" w:lineRule="auto"/>
        <w:rPr>
          <w:rFonts w:eastAsia="Times New Roman" w:cs="Tahoma"/>
          <w:bCs/>
          <w:iCs/>
          <w:color w:val="auto"/>
          <w:lang w:eastAsia="es-ES"/>
        </w:rPr>
      </w:pPr>
      <w:r w:rsidRPr="00B01980">
        <w:rPr>
          <w:rFonts w:eastAsia="Times New Roman" w:cs="Tahoma"/>
          <w:iCs/>
          <w:color w:val="auto"/>
          <w:lang w:val="es-ES" w:eastAsia="es-ES"/>
        </w:rPr>
        <w:t>Finalmente,</w:t>
      </w:r>
      <w:r w:rsidRPr="00B01980">
        <w:rPr>
          <w:rFonts w:eastAsia="Times New Roman" w:cs="Tahoma"/>
          <w:b/>
          <w:iCs/>
          <w:color w:val="auto"/>
          <w:lang w:val="es-ES" w:eastAsia="es-ES"/>
        </w:rPr>
        <w:t xml:space="preserve"> </w:t>
      </w:r>
      <w:r w:rsidRPr="00B01980">
        <w:rPr>
          <w:rFonts w:eastAsia="Times New Roman" w:cs="Tahoma"/>
          <w:bCs/>
          <w:iCs/>
          <w:color w:val="auto"/>
          <w:lang w:eastAsia="es-ES"/>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rsidRPr="00B01980" w:rsidR="008D6E9C" w:rsidP="00492822" w:rsidRDefault="008D6E9C" w14:paraId="3FFC139B" w14:textId="77777777">
      <w:pPr>
        <w:spacing w:after="0" w:line="360" w:lineRule="auto"/>
        <w:rPr>
          <w:rFonts w:eastAsia="Times New Roman" w:cs="Tahoma"/>
          <w:bCs/>
          <w:iCs/>
          <w:color w:val="auto"/>
          <w:lang w:eastAsia="es-ES"/>
        </w:rPr>
      </w:pPr>
    </w:p>
    <w:p w:rsidRPr="00B01980" w:rsidR="008D6E9C" w:rsidP="00492822" w:rsidRDefault="001D0B96" w14:paraId="4488E75E" w14:textId="717597CE">
      <w:pPr>
        <w:spacing w:after="0" w:line="360" w:lineRule="auto"/>
        <w:rPr>
          <w:rFonts w:eastAsia="Times New Roman" w:cs="Tahoma"/>
          <w:bCs/>
          <w:iCs/>
          <w:color w:val="auto"/>
          <w:lang w:eastAsia="es-ES"/>
        </w:rPr>
      </w:pPr>
      <w:r w:rsidRPr="00B01980">
        <w:rPr>
          <w:rFonts w:eastAsia="Times New Roman" w:cs="Tahoma"/>
          <w:bCs/>
          <w:iCs/>
          <w:color w:val="auto"/>
          <w:lang w:eastAsia="es-ES"/>
        </w:rPr>
        <w:lastRenderedPageBreak/>
        <w:t xml:space="preserve">Conforme a lo anterior, se logra vislumbrar que en el caso de que la información que da cuenta de lo solicitado, contenga las características especiales de patrullas, deberá reservarlas en términos del artículo 140, fracción I, de la Ley </w:t>
      </w:r>
      <w:r w:rsidRPr="00B01980">
        <w:rPr>
          <w:rFonts w:cs="Tahoma"/>
        </w:rPr>
        <w:t>de Transparencia y Acceso a la Información Pública del Estado de México y Municipios, de manera fundada y motivada, mediante la respectiva prueba de daño.</w:t>
      </w:r>
    </w:p>
    <w:p w:rsidRPr="00B01980" w:rsidR="008D6E9C" w:rsidP="00492822" w:rsidRDefault="008D6E9C" w14:paraId="5320D49E" w14:textId="77777777">
      <w:pPr>
        <w:spacing w:after="0" w:line="360" w:lineRule="auto"/>
        <w:rPr>
          <w:rFonts w:eastAsia="Times New Roman" w:cs="Tahoma"/>
          <w:bCs/>
          <w:iCs/>
          <w:color w:val="auto"/>
          <w:lang w:eastAsia="es-ES"/>
        </w:rPr>
      </w:pPr>
    </w:p>
    <w:p w:rsidRPr="00B01980" w:rsidR="001D0B96" w:rsidP="00492822" w:rsidRDefault="001D0B96" w14:paraId="474DBCCF" w14:textId="15DE07B7">
      <w:pPr>
        <w:spacing w:after="0" w:line="360" w:lineRule="auto"/>
        <w:rPr>
          <w:rFonts w:eastAsia="Times New Roman" w:cs="Tahoma"/>
          <w:bCs/>
          <w:iCs/>
          <w:color w:val="auto"/>
          <w:lang w:eastAsia="es-ES"/>
        </w:rPr>
      </w:pPr>
      <w:r w:rsidRPr="00B01980">
        <w:rPr>
          <w:rFonts w:eastAsia="Times New Roman" w:cs="Tahoma"/>
          <w:bCs/>
          <w:iCs/>
          <w:color w:val="auto"/>
          <w:lang w:eastAsia="es-ES"/>
        </w:rPr>
        <w:t>Finalmente, se le informa al Sujeto Obligado que no podrá clasificar en su totalidad los contratos, toda vez que en términos del artículo 112 de la Ley General de Transparencia y Acceso a la Información Pública, 138 de la Ley de Transparencia y Acceso a la Información Pública del Estado de México y Municipios y la fracción I, del Quincuagésimo séptimo, de los Lineamientos generales en materia de clasificación y desclasificación de la información, así como para la elaboración de versiones públicas</w:t>
      </w:r>
      <w:r w:rsidRPr="00B01980" w:rsidR="00D26877">
        <w:rPr>
          <w:rFonts w:eastAsia="Times New Roman" w:cs="Tahoma"/>
          <w:bCs/>
          <w:iCs/>
          <w:color w:val="auto"/>
          <w:lang w:eastAsia="es-ES"/>
        </w:rPr>
        <w:t>, no se puede clasificar la información contenida en las obligaciones de transparencia.</w:t>
      </w:r>
    </w:p>
    <w:p w:rsidRPr="00B01980" w:rsidR="00D26877" w:rsidP="00492822" w:rsidRDefault="00D26877" w14:paraId="25D274F8" w14:textId="77777777">
      <w:pPr>
        <w:spacing w:after="0" w:line="360" w:lineRule="auto"/>
        <w:rPr>
          <w:rFonts w:eastAsia="Times New Roman" w:cs="Tahoma"/>
          <w:bCs/>
          <w:iCs/>
          <w:color w:val="auto"/>
          <w:lang w:eastAsia="es-ES"/>
        </w:rPr>
      </w:pPr>
    </w:p>
    <w:p w:rsidRPr="00B01980" w:rsidR="00D26877" w:rsidP="00492822" w:rsidRDefault="00D26877" w14:paraId="01DAC51C" w14:textId="100D4720">
      <w:pPr>
        <w:spacing w:after="0" w:line="360" w:lineRule="auto"/>
        <w:rPr>
          <w:rFonts w:eastAsia="Times New Roman" w:cs="Tahoma"/>
          <w:bCs/>
          <w:iCs/>
          <w:color w:val="auto"/>
          <w:lang w:eastAsia="es-ES"/>
        </w:rPr>
      </w:pPr>
      <w:r w:rsidRPr="00B01980">
        <w:rPr>
          <w:rFonts w:eastAsia="Times New Roman" w:cs="Tahoma"/>
          <w:bCs/>
          <w:iCs/>
          <w:color w:val="auto"/>
          <w:lang w:eastAsia="es-ES"/>
        </w:rPr>
        <w:t>Ahora bien, no pasa desapercibido que el Particular solicitó que se requiriera la facultad de atracción, establecida en el artículo 181 de la Ley General de Transparencia y Acceso a la Información Pública, toda vez que a su consideración, la trascendencia de lo peticionado lo ameritaba.</w:t>
      </w:r>
    </w:p>
    <w:p w:rsidRPr="00B01980" w:rsidR="00D26877" w:rsidP="00492822" w:rsidRDefault="00D26877" w14:paraId="31E7434A" w14:textId="77777777">
      <w:pPr>
        <w:spacing w:after="0" w:line="360" w:lineRule="auto"/>
        <w:rPr>
          <w:rFonts w:eastAsia="Times New Roman" w:cs="Tahoma"/>
          <w:bCs/>
          <w:iCs/>
          <w:color w:val="auto"/>
          <w:lang w:eastAsia="es-ES"/>
        </w:rPr>
      </w:pPr>
    </w:p>
    <w:p w:rsidRPr="00B01980" w:rsidR="00D26877" w:rsidP="00492822" w:rsidRDefault="00D26877" w14:paraId="686E56E9" w14:textId="569A77AB">
      <w:pPr>
        <w:spacing w:after="0" w:line="360" w:lineRule="auto"/>
        <w:rPr>
          <w:rFonts w:eastAsia="Times New Roman" w:cs="Tahoma"/>
          <w:bCs/>
          <w:iCs/>
          <w:color w:val="auto"/>
          <w:lang w:eastAsia="es-ES"/>
        </w:rPr>
      </w:pPr>
      <w:r w:rsidRPr="00B01980">
        <w:rPr>
          <w:rFonts w:eastAsia="Times New Roman" w:cs="Tahoma"/>
          <w:bCs/>
          <w:iCs/>
          <w:color w:val="auto"/>
          <w:lang w:eastAsia="es-ES"/>
        </w:rPr>
        <w:t>Al respecto, este Instituto no considera procedente dicha solicitud, pues no logra advertir que lo peticionado, tenga una relevancia, novedad o complejidad que amerite dicha acción; pues es de recordar que en el presente caso, se trata de información pública de oficio, que el Sujeto Obligado debe dar a conocer, en términos del artículo 92, fracción XXIX, de la Ley de Transparencia y Acceso a la Información Pública del Estado de México y Municipios; aunado a que se encuentra vinculada a la erogación de recursos públicos.</w:t>
      </w:r>
    </w:p>
    <w:p w:rsidRPr="00B01980" w:rsidR="001D0B96" w:rsidP="00492822" w:rsidRDefault="001D0B96" w14:paraId="0C513E86" w14:textId="77777777">
      <w:pPr>
        <w:spacing w:after="0" w:line="360" w:lineRule="auto"/>
        <w:rPr>
          <w:rFonts w:eastAsia="Times New Roman" w:cs="Tahoma"/>
          <w:bCs/>
          <w:iCs/>
          <w:color w:val="auto"/>
          <w:lang w:eastAsia="es-ES"/>
        </w:rPr>
      </w:pPr>
    </w:p>
    <w:p w:rsidRPr="00B01980" w:rsidR="001900B4" w:rsidP="00492822" w:rsidRDefault="001900B4" w14:paraId="1C5A2A33" w14:textId="77777777">
      <w:pPr>
        <w:spacing w:after="0" w:line="360" w:lineRule="auto"/>
        <w:rPr>
          <w:rFonts w:cs="Tahoma"/>
          <w:b/>
        </w:rPr>
      </w:pPr>
      <w:r w:rsidRPr="00B01980">
        <w:rPr>
          <w:rFonts w:cs="Tahoma"/>
          <w:b/>
        </w:rPr>
        <w:t xml:space="preserve">SEXTO. Decisión. </w:t>
      </w:r>
    </w:p>
    <w:p w:rsidRPr="00B01980" w:rsidR="001900B4" w:rsidP="00492822" w:rsidRDefault="001900B4" w14:paraId="4A11B667" w14:textId="77777777">
      <w:pPr>
        <w:spacing w:after="0" w:line="360" w:lineRule="auto"/>
        <w:rPr>
          <w:rFonts w:cs="Tahoma"/>
          <w:b/>
        </w:rPr>
      </w:pPr>
    </w:p>
    <w:p w:rsidRPr="00B01980" w:rsidR="00D26877" w:rsidP="00D26877" w:rsidRDefault="001900B4" w14:paraId="01DD389A" w14:textId="0D2F4BA3">
      <w:pPr>
        <w:spacing w:after="0" w:line="360" w:lineRule="auto"/>
      </w:pPr>
      <w:r w:rsidRPr="00B01980">
        <w:rPr>
          <w:rFonts w:cs="Tahoma"/>
        </w:rPr>
        <w:t xml:space="preserve">Con fundamento en el artículo 186, fracción III, de la Ley de Transparencia y Acceso a la Información Pública del Estado de México y Municipios, este Instituto considera procedente </w:t>
      </w:r>
      <w:r w:rsidRPr="00B01980" w:rsidR="00D26877">
        <w:rPr>
          <w:rFonts w:cs="Tahoma"/>
          <w:b/>
        </w:rPr>
        <w:t>REVOCAR</w:t>
      </w:r>
      <w:r w:rsidRPr="00B01980">
        <w:rPr>
          <w:rFonts w:cs="Tahoma"/>
          <w:b/>
        </w:rPr>
        <w:t xml:space="preserve"> </w:t>
      </w:r>
      <w:r w:rsidRPr="00B01980">
        <w:rPr>
          <w:rFonts w:cs="Tahoma"/>
          <w:bCs/>
        </w:rPr>
        <w:t>la</w:t>
      </w:r>
      <w:r w:rsidRPr="00B01980">
        <w:rPr>
          <w:rFonts w:cs="Tahoma"/>
        </w:rPr>
        <w:t xml:space="preserve"> respuesta otorgada por el</w:t>
      </w:r>
      <w:r w:rsidRPr="00B01980" w:rsidR="00EF0D39">
        <w:rPr>
          <w:rFonts w:cs="Tahoma"/>
        </w:rPr>
        <w:t xml:space="preserve"> </w:t>
      </w:r>
      <w:r w:rsidRPr="00B01980" w:rsidR="00E85B41">
        <w:rPr>
          <w:rFonts w:eastAsia="Calibri" w:cs="Tahoma"/>
        </w:rPr>
        <w:t>Ayuntamiento de Tlalnepantla de Baz</w:t>
      </w:r>
      <w:r w:rsidRPr="00B01980" w:rsidR="00EF0D39">
        <w:rPr>
          <w:rFonts w:eastAsia="Calibri" w:cs="Tahoma"/>
        </w:rPr>
        <w:t xml:space="preserve">, </w:t>
      </w:r>
      <w:r w:rsidRPr="00B01980">
        <w:rPr>
          <w:rFonts w:cs="Tahoma"/>
        </w:rPr>
        <w:t>a efecto de que</w:t>
      </w:r>
      <w:r w:rsidRPr="00B01980" w:rsidR="006A0781">
        <w:rPr>
          <w:rFonts w:cs="Tahoma"/>
        </w:rPr>
        <w:t xml:space="preserve"> </w:t>
      </w:r>
      <w:r w:rsidRPr="00B01980" w:rsidR="00D26877">
        <w:rPr>
          <w:rFonts w:cs="Tahoma"/>
        </w:rPr>
        <w:t xml:space="preserve">previa búsqueda exhaustiva y razonable en los archivos de las unidades administrativas competentes, </w:t>
      </w:r>
      <w:r w:rsidRPr="00B01980">
        <w:rPr>
          <w:rFonts w:cs="Tahoma"/>
        </w:rPr>
        <w:t xml:space="preserve">entregue, </w:t>
      </w:r>
      <w:r w:rsidRPr="00B01980">
        <w:rPr>
          <w:rFonts w:eastAsia="Calibri" w:cs="Tahoma"/>
          <w:iCs/>
          <w:lang w:eastAsia="es-ES_tradnl"/>
        </w:rPr>
        <w:t>a través del Sistema de Acceso a la Información Mexiquense (SAIMEX),</w:t>
      </w:r>
      <w:r w:rsidRPr="00B01980" w:rsidR="00682222">
        <w:rPr>
          <w:rFonts w:eastAsia="Calibri" w:cs="Tahoma"/>
          <w:iCs/>
          <w:lang w:eastAsia="es-ES_tradnl"/>
        </w:rPr>
        <w:t xml:space="preserve"> </w:t>
      </w:r>
      <w:r w:rsidRPr="00B01980" w:rsidR="00877307">
        <w:rPr>
          <w:rFonts w:eastAsia="Calibri" w:cs="Tahoma"/>
          <w:iCs/>
          <w:lang w:eastAsia="es-ES_tradnl"/>
        </w:rPr>
        <w:t>en su caso</w:t>
      </w:r>
      <w:r w:rsidRPr="00B01980" w:rsidR="00D26877">
        <w:rPr>
          <w:rFonts w:eastAsia="Calibri" w:cs="Tahoma"/>
          <w:iCs/>
          <w:lang w:eastAsia="es-ES_tradnl"/>
        </w:rPr>
        <w:t>,</w:t>
      </w:r>
      <w:r w:rsidRPr="00B01980" w:rsidR="00877307">
        <w:rPr>
          <w:rFonts w:eastAsia="Calibri" w:cs="Tahoma"/>
          <w:iCs/>
          <w:lang w:eastAsia="es-ES_tradnl"/>
        </w:rPr>
        <w:t xml:space="preserve"> en versión </w:t>
      </w:r>
      <w:r w:rsidRPr="00B01980" w:rsidR="00D26877">
        <w:rPr>
          <w:rFonts w:eastAsia="Calibri" w:cs="Tahoma"/>
          <w:iCs/>
          <w:lang w:eastAsia="es-ES_tradnl"/>
        </w:rPr>
        <w:t xml:space="preserve">pública, </w:t>
      </w:r>
      <w:r w:rsidRPr="00B01980" w:rsidR="00D26877">
        <w:rPr>
          <w:rFonts w:eastAsia="Times New Roman" w:cs="Tahoma"/>
          <w:iCs/>
          <w:color w:val="auto"/>
          <w:lang w:val="es-ES" w:eastAsia="es-ES"/>
        </w:rPr>
        <w:t>respecto a</w:t>
      </w:r>
      <w:r w:rsidRPr="00B01980" w:rsidR="00D26877">
        <w:t>l arrendamiento puro de vehículos, realizado mediante la erogación de recursos de la partida genérica (3250) o específica (3251), del primero de enero al treinta y uno de marzo de dos mil veintidós, lo siguiente:</w:t>
      </w:r>
    </w:p>
    <w:p w:rsidRPr="00B01980" w:rsidR="00D26877" w:rsidP="00D26877" w:rsidRDefault="00D26877" w14:paraId="6A756276" w14:textId="77777777">
      <w:pPr>
        <w:spacing w:after="0" w:line="360" w:lineRule="auto"/>
      </w:pPr>
    </w:p>
    <w:p w:rsidRPr="00B01980" w:rsidR="00D26877" w:rsidP="00D26877" w:rsidRDefault="00D26877" w14:paraId="344F3630" w14:textId="7C785BBD">
      <w:pPr>
        <w:pStyle w:val="Prrafodelista"/>
        <w:numPr>
          <w:ilvl w:val="0"/>
          <w:numId w:val="30"/>
        </w:numPr>
        <w:spacing w:line="360" w:lineRule="auto"/>
        <w:rPr>
          <w:rFonts w:cs="Tahoma"/>
          <w:iCs/>
          <w:color w:val="auto"/>
          <w:lang w:val="es-ES"/>
        </w:rPr>
      </w:pPr>
      <w:r w:rsidRPr="00B01980">
        <w:rPr>
          <w:rFonts w:cs="Tahoma"/>
          <w:iCs/>
          <w:color w:val="auto"/>
          <w:lang w:val="es-ES"/>
        </w:rPr>
        <w:t>Contratos celebrados, y</w:t>
      </w:r>
    </w:p>
    <w:p w:rsidRPr="00B01980" w:rsidR="00D26877" w:rsidP="00D26877" w:rsidRDefault="00D26877" w14:paraId="13D5645F" w14:textId="418A8A81">
      <w:pPr>
        <w:pStyle w:val="Prrafodelista"/>
        <w:numPr>
          <w:ilvl w:val="0"/>
          <w:numId w:val="30"/>
        </w:numPr>
        <w:spacing w:line="360" w:lineRule="auto"/>
        <w:rPr>
          <w:rFonts w:cs="Tahoma"/>
          <w:iCs/>
          <w:color w:val="auto"/>
          <w:lang w:val="es-ES"/>
        </w:rPr>
      </w:pPr>
      <w:r w:rsidRPr="00B01980">
        <w:rPr>
          <w:rFonts w:cs="Tahoma"/>
          <w:iCs/>
          <w:color w:val="auto"/>
          <w:lang w:val="es-ES"/>
        </w:rPr>
        <w:t>Tipo de procedimiento utilizado (Licitación pública, Adjudicación directa o invitación restringida).</w:t>
      </w:r>
    </w:p>
    <w:p w:rsidRPr="00B01980" w:rsidR="00F20002" w:rsidP="00492822" w:rsidRDefault="00F20002" w14:paraId="39AFC162" w14:textId="7899CF85">
      <w:pPr>
        <w:spacing w:after="0" w:line="360" w:lineRule="auto"/>
        <w:rPr>
          <w:rFonts w:eastAsia="Calibri" w:cs="Tahoma"/>
          <w:iCs/>
          <w:lang w:eastAsia="es-ES_tradnl"/>
        </w:rPr>
      </w:pPr>
    </w:p>
    <w:p w:rsidRPr="00B01980" w:rsidR="00682222" w:rsidP="00492822" w:rsidRDefault="00D26877" w14:paraId="3CF302AD" w14:textId="6B4DEEAA">
      <w:pPr>
        <w:spacing w:after="0" w:line="360" w:lineRule="auto"/>
        <w:ind w:right="-28"/>
        <w:rPr>
          <w:rFonts w:eastAsia="Calibri" w:cs="Tahoma"/>
          <w:bCs/>
          <w:iCs/>
          <w:color w:val="auto"/>
        </w:rPr>
      </w:pPr>
      <w:r w:rsidRPr="00B01980">
        <w:rPr>
          <w:rFonts w:eastAsia="Calibri" w:cs="Tahoma"/>
          <w:bCs/>
          <w:iCs/>
          <w:color w:val="auto"/>
        </w:rPr>
        <w:t>Además, de ser necesario, deberá proporcionar el Acuerdo de Clasificación donde el Comité de Transparencia, confirme la eliminación de los datos o información clasificada, en términos del Considerando QUINTO, en la versión pública.</w:t>
      </w:r>
    </w:p>
    <w:p w:rsidRPr="00B01980" w:rsidR="00D26877" w:rsidP="00492822" w:rsidRDefault="00D26877" w14:paraId="6D29A48A" w14:textId="77777777">
      <w:pPr>
        <w:spacing w:after="0" w:line="360" w:lineRule="auto"/>
        <w:ind w:right="-28"/>
        <w:rPr>
          <w:rFonts w:eastAsia="Times New Roman" w:cs="Times New Roman"/>
          <w:lang w:eastAsia="es-MX"/>
        </w:rPr>
      </w:pPr>
    </w:p>
    <w:p w:rsidRPr="00B01980" w:rsidR="00C853D1" w:rsidP="00492822" w:rsidRDefault="00C853D1" w14:paraId="1BD24118" w14:textId="77777777">
      <w:pPr>
        <w:spacing w:after="0" w:line="360" w:lineRule="auto"/>
        <w:ind w:right="-28"/>
        <w:rPr>
          <w:rFonts w:eastAsia="Times New Roman" w:cs="Times New Roman"/>
          <w:b/>
          <w:bCs/>
          <w:lang w:eastAsia="es-MX"/>
        </w:rPr>
      </w:pPr>
      <w:r w:rsidRPr="00B01980">
        <w:rPr>
          <w:rFonts w:eastAsia="Times New Roman" w:cs="Times New Roman"/>
          <w:b/>
          <w:bCs/>
          <w:lang w:eastAsia="es-MX"/>
        </w:rPr>
        <w:t>Términos de la Resolución.</w:t>
      </w:r>
    </w:p>
    <w:p w:rsidRPr="00B01980" w:rsidR="002E0486" w:rsidP="00492822" w:rsidRDefault="002E0486" w14:paraId="2A38D6A5" w14:textId="77777777">
      <w:pPr>
        <w:spacing w:after="0" w:line="360" w:lineRule="auto"/>
        <w:ind w:right="-28"/>
        <w:rPr>
          <w:rFonts w:eastAsia="Times New Roman" w:cs="Times New Roman"/>
          <w:lang w:eastAsia="es-MX"/>
        </w:rPr>
      </w:pPr>
    </w:p>
    <w:p w:rsidRPr="00B01980" w:rsidR="00C853D1" w:rsidP="00492822" w:rsidRDefault="000223B0" w14:paraId="457213AE" w14:textId="260DD669">
      <w:pPr>
        <w:spacing w:after="0" w:line="360" w:lineRule="auto"/>
        <w:ind w:right="-28"/>
        <w:rPr>
          <w:rFonts w:eastAsia="Calibri" w:cs="Tahoma"/>
          <w:bCs/>
          <w:iCs/>
          <w:color w:val="auto"/>
        </w:rPr>
      </w:pPr>
      <w:r w:rsidRPr="00B01980">
        <w:rPr>
          <w:rFonts w:eastAsia="Times New Roman" w:cs="Times New Roman"/>
          <w:lang w:eastAsia="es-MX"/>
        </w:rPr>
        <w:t xml:space="preserve">Se le hace del conocimiento al Particular, que, en el presente caso, </w:t>
      </w:r>
      <w:r w:rsidRPr="00B01980" w:rsidR="00C76EDA">
        <w:rPr>
          <w:rFonts w:eastAsia="Times New Roman" w:cs="Times New Roman"/>
          <w:lang w:eastAsia="es-MX"/>
        </w:rPr>
        <w:t xml:space="preserve">se le da la razón </w:t>
      </w:r>
      <w:r w:rsidRPr="00B01980" w:rsidR="00D26877">
        <w:rPr>
          <w:rFonts w:eastAsia="Times New Roman" w:cs="Times New Roman"/>
          <w:lang w:eastAsia="es-MX"/>
        </w:rPr>
        <w:t xml:space="preserve">pues el Sujeto Obligado realizó una búsqueda restrictiva y por lo tanto, no le entregó la información que daba cuenta de lo peticionado; por lo que, deberá realizar una indagación en sentido amplió a efecto de proporcionar la documentación requerida, relacionada con la erogación de recursos públicos. </w:t>
      </w:r>
      <w:r w:rsidRPr="00B01980">
        <w:rPr>
          <w:rFonts w:eastAsia="Calibri" w:cs="Tahoma"/>
          <w:bCs/>
          <w:iCs/>
          <w:color w:val="auto"/>
        </w:rPr>
        <w:t>Finalmente,</w:t>
      </w:r>
      <w:r w:rsidRPr="00B01980" w:rsidR="00F06206">
        <w:rPr>
          <w:rFonts w:eastAsia="Calibri" w:cs="Tahoma"/>
          <w:bCs/>
          <w:iCs/>
          <w:color w:val="auto"/>
        </w:rPr>
        <w:t xml:space="preserve"> labor del Instituto, es apoyar a la población a acceder a la información pública y garantizar la protección de sus datos personales</w:t>
      </w:r>
      <w:r w:rsidRPr="00B01980" w:rsidR="00F8232D">
        <w:rPr>
          <w:rFonts w:eastAsia="Calibri" w:cs="Tahoma"/>
          <w:bCs/>
          <w:iCs/>
          <w:color w:val="auto"/>
        </w:rPr>
        <w:t>.</w:t>
      </w:r>
    </w:p>
    <w:p w:rsidRPr="00B01980" w:rsidR="00F06206" w:rsidP="00492822" w:rsidRDefault="00F06206" w14:paraId="01F6756E" w14:textId="77777777">
      <w:pPr>
        <w:spacing w:after="0" w:line="360" w:lineRule="auto"/>
        <w:ind w:right="-28"/>
      </w:pPr>
    </w:p>
    <w:p w:rsidRPr="00B01980" w:rsidR="00C853D1" w:rsidP="00492822" w:rsidRDefault="00C853D1" w14:paraId="4469D1A7" w14:textId="77777777">
      <w:pPr>
        <w:spacing w:after="0" w:line="360" w:lineRule="auto"/>
        <w:rPr>
          <w:rFonts w:eastAsia="Calibri" w:cs="Tahoma"/>
          <w:bCs/>
          <w:color w:val="auto"/>
        </w:rPr>
      </w:pPr>
      <w:r w:rsidRPr="00B01980">
        <w:lastRenderedPageBreak/>
        <w:t>Por</w:t>
      </w:r>
      <w:r w:rsidRPr="00B01980">
        <w:rPr>
          <w:rFonts w:eastAsia="Calibri" w:cs="Tahoma"/>
          <w:bCs/>
          <w:color w:val="auto"/>
        </w:rPr>
        <w:t xml:space="preserve"> lo expuesto y fundado, este Pleno:</w:t>
      </w:r>
    </w:p>
    <w:p w:rsidRPr="00B01980" w:rsidR="00C853D1" w:rsidP="00492822" w:rsidRDefault="00C853D1" w14:paraId="2A9CCC89" w14:textId="77777777">
      <w:pPr>
        <w:spacing w:after="0" w:line="360" w:lineRule="auto"/>
        <w:ind w:right="-28"/>
        <w:rPr>
          <w:rFonts w:eastAsia="Calibri" w:cs="Tahoma"/>
          <w:bCs/>
          <w:color w:val="auto"/>
        </w:rPr>
      </w:pPr>
    </w:p>
    <w:p w:rsidRPr="00B01980" w:rsidR="00C853D1" w:rsidP="00492822" w:rsidRDefault="00C853D1" w14:paraId="5C5F6794" w14:textId="77777777">
      <w:pPr>
        <w:spacing w:after="0" w:line="360" w:lineRule="auto"/>
        <w:ind w:right="-28"/>
        <w:jc w:val="center"/>
        <w:rPr>
          <w:rFonts w:eastAsia="Calibri" w:cs="Tahoma"/>
          <w:b/>
          <w:bCs/>
          <w:color w:val="auto"/>
        </w:rPr>
      </w:pPr>
      <w:r w:rsidRPr="00B01980">
        <w:rPr>
          <w:rFonts w:eastAsia="Calibri" w:cs="Tahoma"/>
          <w:b/>
          <w:bCs/>
          <w:color w:val="auto"/>
        </w:rPr>
        <w:t>R E S U E L V E:</w:t>
      </w:r>
    </w:p>
    <w:p w:rsidRPr="00B01980" w:rsidR="00C853D1" w:rsidP="00492822" w:rsidRDefault="00C853D1" w14:paraId="5315815D" w14:textId="77777777">
      <w:pPr>
        <w:spacing w:after="0" w:line="360" w:lineRule="auto"/>
        <w:rPr>
          <w:lang w:val="es-ES" w:eastAsia="es-ES_tradnl"/>
        </w:rPr>
      </w:pPr>
    </w:p>
    <w:p w:rsidRPr="00B01980" w:rsidR="00782132" w:rsidP="00492822" w:rsidRDefault="00782132" w14:paraId="3F37601B" w14:textId="5BC76C22">
      <w:pPr>
        <w:spacing w:after="0" w:line="360" w:lineRule="auto"/>
        <w:contextualSpacing/>
        <w:rPr>
          <w:rFonts w:eastAsia="Calibri" w:cs="Tahoma"/>
        </w:rPr>
      </w:pPr>
      <w:r w:rsidRPr="00B01980">
        <w:rPr>
          <w:rFonts w:cs="Tahoma"/>
          <w:b/>
          <w:bCs/>
        </w:rPr>
        <w:t xml:space="preserve">PRIMERO. </w:t>
      </w:r>
      <w:r w:rsidRPr="00B01980">
        <w:rPr>
          <w:rFonts w:cs="Tahoma"/>
          <w:bCs/>
        </w:rPr>
        <w:t xml:space="preserve">Se </w:t>
      </w:r>
      <w:r w:rsidRPr="00B01980" w:rsidR="00D26877">
        <w:rPr>
          <w:rFonts w:cs="Tahoma"/>
          <w:b/>
          <w:bCs/>
        </w:rPr>
        <w:t>REVOCA</w:t>
      </w:r>
      <w:r w:rsidRPr="00B01980">
        <w:rPr>
          <w:rFonts w:cs="Tahoma"/>
          <w:bCs/>
        </w:rPr>
        <w:t xml:space="preserve"> la respuesta entregada por el </w:t>
      </w:r>
      <w:r w:rsidRPr="00B01980" w:rsidR="00E85B41">
        <w:rPr>
          <w:rFonts w:eastAsia="Calibri" w:cs="Tahoma"/>
        </w:rPr>
        <w:t>Ayuntamiento de Tlalnepantla de Baz</w:t>
      </w:r>
      <w:r w:rsidRPr="00B01980" w:rsidR="00F060A2">
        <w:rPr>
          <w:rFonts w:cs="Tahoma"/>
          <w:bCs/>
        </w:rPr>
        <w:t xml:space="preserve"> </w:t>
      </w:r>
      <w:r w:rsidRPr="00B01980">
        <w:rPr>
          <w:rFonts w:cs="Tahoma"/>
          <w:bCs/>
        </w:rPr>
        <w:t xml:space="preserve">a la solicitud de </w:t>
      </w:r>
      <w:r w:rsidRPr="00B01980">
        <w:rPr>
          <w:rFonts w:eastAsia="Calibri" w:cs="Tahoma"/>
        </w:rPr>
        <w:t xml:space="preserve">información </w:t>
      </w:r>
      <w:r w:rsidRPr="00B01980" w:rsidR="002573D3">
        <w:rPr>
          <w:rFonts w:eastAsia="Calibri" w:cs="Tahoma"/>
        </w:rPr>
        <w:t>00548/TLALNEPA/IP/2022</w:t>
      </w:r>
      <w:r w:rsidRPr="00B01980" w:rsidR="00E92B4A">
        <w:t xml:space="preserve"> </w:t>
      </w:r>
      <w:r w:rsidRPr="00B01980">
        <w:t xml:space="preserve">por resultar </w:t>
      </w:r>
      <w:r w:rsidRPr="00B01980">
        <w:rPr>
          <w:b/>
        </w:rPr>
        <w:t>FUNDADAS</w:t>
      </w:r>
      <w:r w:rsidRPr="00B01980">
        <w:rPr>
          <w:rFonts w:cs="Tahoma"/>
        </w:rPr>
        <w:t xml:space="preserve"> </w:t>
      </w:r>
      <w:r w:rsidRPr="00B01980">
        <w:rPr>
          <w:rFonts w:eastAsia="Calibri" w:cs="Tahoma"/>
        </w:rPr>
        <w:t>las razones o motivos de inconformidad hechos valer por el Particular, en</w:t>
      </w:r>
      <w:r w:rsidRPr="00B01980">
        <w:rPr>
          <w:rFonts w:eastAsia="Calibri" w:cs="Tahoma"/>
          <w:bCs/>
        </w:rPr>
        <w:t xml:space="preserve"> términos de los considerandos </w:t>
      </w:r>
      <w:r w:rsidRPr="00B01980">
        <w:rPr>
          <w:rFonts w:eastAsia="Calibri" w:cs="Tahoma"/>
        </w:rPr>
        <w:t>QUINTO y SEXTO de la presente Resolución.</w:t>
      </w:r>
    </w:p>
    <w:p w:rsidRPr="00B01980" w:rsidR="00782132" w:rsidP="00492822" w:rsidRDefault="00782132" w14:paraId="4A6EB131" w14:textId="77777777">
      <w:pPr>
        <w:spacing w:after="0" w:line="360" w:lineRule="auto"/>
        <w:contextualSpacing/>
        <w:rPr>
          <w:rFonts w:eastAsia="Calibri" w:cs="Tahoma"/>
          <w:bCs/>
        </w:rPr>
      </w:pPr>
    </w:p>
    <w:p w:rsidRPr="00B01980" w:rsidR="00D26877" w:rsidP="00D26877" w:rsidRDefault="00782132" w14:paraId="0DD40759" w14:textId="77777777">
      <w:pPr>
        <w:spacing w:after="0" w:line="360" w:lineRule="auto"/>
      </w:pPr>
      <w:r w:rsidRPr="00B01980">
        <w:rPr>
          <w:rFonts w:cs="Tahoma"/>
          <w:b/>
          <w:bCs/>
        </w:rPr>
        <w:t xml:space="preserve">SEGUNDO. </w:t>
      </w:r>
      <w:r w:rsidRPr="00B01980" w:rsidR="009A1046">
        <w:rPr>
          <w:rFonts w:cs="Arial"/>
          <w:lang w:val="es-ES_tradnl"/>
        </w:rPr>
        <w:t>S</w:t>
      </w:r>
      <w:r w:rsidRPr="00B01980" w:rsidR="009A1046">
        <w:rPr>
          <w:rFonts w:cs="Tahoma"/>
          <w:bCs/>
          <w:iCs/>
          <w:lang w:val="es-ES_tradnl"/>
        </w:rPr>
        <w:t xml:space="preserve">e </w:t>
      </w:r>
      <w:r w:rsidRPr="00B01980" w:rsidR="009A1046">
        <w:rPr>
          <w:rFonts w:cs="Tahoma"/>
          <w:b/>
          <w:bCs/>
          <w:iCs/>
          <w:caps/>
          <w:lang w:val="es-ES_tradnl"/>
        </w:rPr>
        <w:t>ordena</w:t>
      </w:r>
      <w:r w:rsidRPr="00B01980" w:rsidR="009A1046">
        <w:rPr>
          <w:rFonts w:cs="Tahoma"/>
          <w:bCs/>
          <w:iCs/>
          <w:lang w:val="es-ES_tradnl"/>
        </w:rPr>
        <w:t xml:space="preserve"> al </w:t>
      </w:r>
      <w:r w:rsidRPr="00B01980" w:rsidR="00D26877">
        <w:rPr>
          <w:rFonts w:cs="Tahoma"/>
          <w:bCs/>
          <w:iCs/>
          <w:lang w:val="es-ES_tradnl"/>
        </w:rPr>
        <w:t>Sujeto Obligado</w:t>
      </w:r>
      <w:r w:rsidRPr="00B01980" w:rsidR="009A1046">
        <w:rPr>
          <w:rFonts w:cs="Tahoma"/>
          <w:bCs/>
          <w:iCs/>
          <w:lang w:val="es-ES_tradnl"/>
        </w:rPr>
        <w:t>,</w:t>
      </w:r>
      <w:r w:rsidRPr="00B01980" w:rsidR="009A1046">
        <w:rPr>
          <w:rFonts w:cs="Tahoma"/>
          <w:bCs/>
        </w:rPr>
        <w:t xml:space="preserve"> a efecto de que, previa </w:t>
      </w:r>
      <w:r w:rsidRPr="00B01980" w:rsidR="009A1046">
        <w:rPr>
          <w:rFonts w:eastAsia="Calibri" w:cs="Tahoma"/>
          <w:iCs/>
          <w:lang w:eastAsia="es-ES_tradnl"/>
        </w:rPr>
        <w:t>búsqueda exhaustiva y razonable, en todas las áreas competentes</w:t>
      </w:r>
      <w:r w:rsidRPr="00B01980" w:rsidR="009A1046">
        <w:rPr>
          <w:rFonts w:cs="Tahoma"/>
        </w:rPr>
        <w:t xml:space="preserve">, </w:t>
      </w:r>
      <w:r w:rsidRPr="00B01980" w:rsidR="009A1046">
        <w:rPr>
          <w:rFonts w:cs="Tahoma"/>
          <w:bCs/>
        </w:rPr>
        <w:t>entregue, a través del Sistema de Acceso a la Información Mexiquense (SAIMEX), en su caso, en versión pública</w:t>
      </w:r>
      <w:r w:rsidRPr="00B01980" w:rsidR="00D26877">
        <w:rPr>
          <w:rFonts w:cs="Tahoma"/>
        </w:rPr>
        <w:t xml:space="preserve">, </w:t>
      </w:r>
      <w:r w:rsidRPr="00B01980" w:rsidR="00D26877">
        <w:rPr>
          <w:rFonts w:eastAsia="Times New Roman" w:cs="Tahoma"/>
          <w:iCs/>
          <w:color w:val="auto"/>
          <w:lang w:val="es-ES" w:eastAsia="es-ES"/>
        </w:rPr>
        <w:t>respecto a</w:t>
      </w:r>
      <w:r w:rsidRPr="00B01980" w:rsidR="00D26877">
        <w:t>l arrendamiento puro de vehículos, realizado mediante la erogación de recursos de la partida genérica (3250) o específica (3251), del primero de enero al treinta y uno de marzo de dos mil veintidós, lo siguiente:</w:t>
      </w:r>
    </w:p>
    <w:p w:rsidRPr="00B01980" w:rsidR="00D26877" w:rsidP="00D26877" w:rsidRDefault="00D26877" w14:paraId="1A2AA8BE" w14:textId="77777777">
      <w:pPr>
        <w:spacing w:after="0" w:line="360" w:lineRule="auto"/>
      </w:pPr>
    </w:p>
    <w:p w:rsidRPr="00B01980" w:rsidR="00D26877" w:rsidP="00D26877" w:rsidRDefault="00D26877" w14:paraId="71983878" w14:textId="77777777">
      <w:pPr>
        <w:pStyle w:val="Prrafodelista"/>
        <w:numPr>
          <w:ilvl w:val="0"/>
          <w:numId w:val="30"/>
        </w:numPr>
        <w:spacing w:line="360" w:lineRule="auto"/>
        <w:rPr>
          <w:rFonts w:cs="Tahoma"/>
          <w:iCs/>
          <w:color w:val="auto"/>
          <w:lang w:val="es-ES"/>
        </w:rPr>
      </w:pPr>
      <w:r w:rsidRPr="00B01980">
        <w:rPr>
          <w:rFonts w:cs="Tahoma"/>
          <w:iCs/>
          <w:color w:val="auto"/>
          <w:lang w:val="es-ES"/>
        </w:rPr>
        <w:t>Contratos celebrados, y</w:t>
      </w:r>
    </w:p>
    <w:p w:rsidRPr="00B01980" w:rsidR="00D26877" w:rsidP="00D26877" w:rsidRDefault="00D26877" w14:paraId="77BB3D51" w14:textId="6B9123C9">
      <w:pPr>
        <w:pStyle w:val="Prrafodelista"/>
        <w:numPr>
          <w:ilvl w:val="0"/>
          <w:numId w:val="30"/>
        </w:numPr>
        <w:spacing w:line="360" w:lineRule="auto"/>
        <w:rPr>
          <w:rFonts w:cs="Tahoma"/>
          <w:iCs/>
          <w:color w:val="auto"/>
          <w:lang w:val="es-ES"/>
        </w:rPr>
      </w:pPr>
      <w:r w:rsidRPr="00B01980">
        <w:rPr>
          <w:rFonts w:cs="Tahoma"/>
          <w:iCs/>
          <w:color w:val="auto"/>
          <w:lang w:val="es-ES"/>
        </w:rPr>
        <w:t>Documento donde conste el tipo de procedimiento utilizado (Licitación pública, Adjudicación directa o invitación restringida).</w:t>
      </w:r>
    </w:p>
    <w:p w:rsidRPr="00B01980" w:rsidR="00D26877" w:rsidP="00492822" w:rsidRDefault="00D26877" w14:paraId="58337B55" w14:textId="77777777">
      <w:pPr>
        <w:spacing w:after="0" w:line="360" w:lineRule="auto"/>
        <w:contextualSpacing/>
        <w:rPr>
          <w:rFonts w:cs="Tahoma"/>
        </w:rPr>
      </w:pPr>
    </w:p>
    <w:p w:rsidRPr="00B01980" w:rsidR="007D38B2" w:rsidP="00492822" w:rsidRDefault="00D26877" w14:paraId="22CD8925" w14:textId="239222F1">
      <w:pPr>
        <w:spacing w:after="0" w:line="360" w:lineRule="auto"/>
        <w:rPr>
          <w:rFonts w:cs="Tahoma"/>
        </w:rPr>
      </w:pPr>
      <w:r w:rsidRPr="00B01980">
        <w:rPr>
          <w:rFonts w:eastAsia="Calibri" w:cs="Tahoma"/>
          <w:bCs/>
          <w:iCs/>
          <w:color w:val="auto"/>
        </w:rPr>
        <w:t>Además, de ser necesario, deberá proporcionar el Acuerdo de Clasificación donde el Comité de Transparencia, confirme la eliminación de los datos o información clasificada, en la versión pública</w:t>
      </w:r>
      <w:r w:rsidRPr="00B01980" w:rsidR="007D38B2">
        <w:rPr>
          <w:rFonts w:cs="Tahoma"/>
          <w:iCs/>
          <w:szCs w:val="24"/>
          <w:lang w:val="es-ES_tradnl"/>
        </w:rPr>
        <w:t xml:space="preserve">, de conformidad con los artículos 49, fracciones II y VIII, 129, 132, fracción II, 141 y 149 de la Ley de </w:t>
      </w:r>
      <w:r w:rsidRPr="00B01980" w:rsidR="007D38B2">
        <w:rPr>
          <w:rFonts w:cs="Tahoma"/>
        </w:rPr>
        <w:t>Transparencia y Acceso a la Información Pública del Estado de México y Municipios.</w:t>
      </w:r>
    </w:p>
    <w:p w:rsidRPr="00B01980" w:rsidR="00C87F74" w:rsidP="00492822" w:rsidRDefault="00C87F74" w14:paraId="2D6FF8D9" w14:textId="77777777">
      <w:pPr>
        <w:spacing w:after="0" w:line="360" w:lineRule="auto"/>
        <w:rPr>
          <w:rFonts w:cs="Tahoma"/>
        </w:rPr>
      </w:pPr>
    </w:p>
    <w:p w:rsidRPr="00B01980" w:rsidR="00782132" w:rsidP="00492822" w:rsidRDefault="00782132" w14:paraId="3B54D014" w14:textId="5958598A">
      <w:pPr>
        <w:spacing w:after="0" w:line="360" w:lineRule="auto"/>
        <w:rPr>
          <w:rFonts w:cs="Tahoma"/>
        </w:rPr>
      </w:pPr>
      <w:r w:rsidRPr="00B01980">
        <w:rPr>
          <w:rFonts w:cs="Tahoma"/>
          <w:b/>
          <w:bCs/>
        </w:rPr>
        <w:lastRenderedPageBreak/>
        <w:t>TERCERO. NOTIFÍQUESE</w:t>
      </w:r>
      <w:r w:rsidRPr="00B01980">
        <w:rPr>
          <w:rFonts w:cs="Tahoma"/>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B01980" w:rsidR="00782132" w:rsidP="00492822" w:rsidRDefault="00782132" w14:paraId="3FBF6176" w14:textId="20AE5D8D">
      <w:pPr>
        <w:spacing w:after="0" w:line="360" w:lineRule="auto"/>
        <w:rPr>
          <w:rFonts w:cs="Tahoma"/>
        </w:rPr>
      </w:pPr>
    </w:p>
    <w:p w:rsidRPr="00B01980" w:rsidR="00682222" w:rsidP="00492822" w:rsidRDefault="00682222" w14:paraId="5C47A650" w14:textId="0C12761D">
      <w:pPr>
        <w:spacing w:after="0" w:line="360" w:lineRule="auto"/>
        <w:contextualSpacing/>
        <w:rPr>
          <w:rFonts w:eastAsia="Calibri" w:cs="Tahoma"/>
          <w:iCs/>
        </w:rPr>
      </w:pPr>
      <w:bookmarkStart w:name="_Hlk61509110" w:id="0"/>
      <w:r w:rsidRPr="00B01980">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B01980" w:rsidR="00682222" w:rsidP="00492822" w:rsidRDefault="00682222" w14:paraId="5AAB16D7" w14:textId="77777777">
      <w:pPr>
        <w:spacing w:after="0" w:line="360" w:lineRule="auto"/>
        <w:rPr>
          <w:rFonts w:cs="Tahoma"/>
        </w:rPr>
      </w:pPr>
    </w:p>
    <w:p w:rsidRPr="00B01980" w:rsidR="004A1277" w:rsidP="00492822" w:rsidRDefault="00782132" w14:paraId="6F2D37E3" w14:textId="4FE6C92F">
      <w:pPr>
        <w:spacing w:after="0" w:line="360" w:lineRule="auto"/>
        <w:rPr>
          <w:rFonts w:eastAsia="Calibri" w:cs="Tahoma"/>
          <w:bCs/>
          <w:lang w:val="es-ES"/>
        </w:rPr>
      </w:pPr>
      <w:r w:rsidRPr="00B01980">
        <w:rPr>
          <w:rFonts w:cs="Tahoma"/>
          <w:b/>
        </w:rPr>
        <w:t xml:space="preserve">CUARTO. </w:t>
      </w:r>
      <w:r w:rsidRPr="00B01980" w:rsidR="00F06206">
        <w:rPr>
          <w:rFonts w:cs="Tahoma"/>
          <w:b/>
        </w:rPr>
        <w:t>NOTIFÍQUESE</w:t>
      </w:r>
      <w:r w:rsidRPr="00B01980" w:rsidR="00F06206">
        <w:rPr>
          <w:rFonts w:cs="Tahoma"/>
        </w:rPr>
        <w:t xml:space="preserve"> al </w:t>
      </w:r>
      <w:r w:rsidRPr="00B01980" w:rsidR="004A1277">
        <w:rPr>
          <w:rFonts w:eastAsia="Calibri" w:cs="Tahoma"/>
          <w:bCs/>
        </w:rPr>
        <w:t>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01980" w:rsidR="004A1277" w:rsidP="00492822" w:rsidRDefault="004A1277" w14:paraId="28E272E9" w14:textId="77777777">
      <w:pPr>
        <w:spacing w:after="0" w:line="360" w:lineRule="auto"/>
        <w:rPr>
          <w:rFonts w:eastAsia="Calibri" w:cs="Tahoma"/>
          <w:bCs/>
          <w:lang w:val="es-ES"/>
        </w:rPr>
      </w:pPr>
    </w:p>
    <w:p w:rsidRPr="006357A9" w:rsidR="00C853D1" w:rsidP="00492822" w:rsidRDefault="00806DC3" w14:paraId="61493576" w14:textId="4A7A6ABD">
      <w:pPr>
        <w:spacing w:after="0" w:line="360" w:lineRule="auto"/>
        <w:rPr>
          <w:rFonts w:eastAsia="Calibri" w:cs="Tahoma"/>
          <w:bCs/>
        </w:rPr>
      </w:pPr>
      <w:r w:rsidRPr="00B01980">
        <w:rPr>
          <w:rFonts w:eastAsia="Calibri" w:cs="Tahoma"/>
          <w:bCs/>
        </w:rPr>
        <w:t xml:space="preserve">ASÍ LO RESUELVE, POR </w:t>
      </w:r>
      <w:r w:rsidRPr="00B01980">
        <w:rPr>
          <w:rFonts w:eastAsia="Calibri" w:cs="Tahoma"/>
          <w:b/>
        </w:rPr>
        <w:t>UNANIMIDAD</w:t>
      </w:r>
      <w:r w:rsidRPr="00B01980">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w:t>
      </w:r>
      <w:r w:rsidRPr="00B01980">
        <w:rPr>
          <w:rFonts w:eastAsia="Times New Roman" w:cs="Tahoma"/>
          <w:bCs/>
          <w:color w:val="auto"/>
          <w:lang w:eastAsia="es-ES"/>
        </w:rPr>
        <w:t>QUINCE DE FEBRERO DE DOS MIL VEINTITRÉS</w:t>
      </w:r>
      <w:r w:rsidRPr="00B01980">
        <w:rPr>
          <w:rFonts w:eastAsia="Calibri" w:cs="Tahoma"/>
          <w:bCs/>
        </w:rPr>
        <w:t>, ANTE EL SECRETARIO TÉCNICO DEL PLENO, ALEXIS TAPIA RAMÍREZ.</w:t>
      </w:r>
    </w:p>
    <w:p w:rsidRPr="006357A9" w:rsidR="00C853D1" w:rsidP="00492822" w:rsidRDefault="00C853D1" w14:paraId="189BD5D9" w14:textId="5AA6579D">
      <w:pPr>
        <w:spacing w:after="0" w:line="360" w:lineRule="auto"/>
        <w:jc w:val="left"/>
        <w:rPr>
          <w:rFonts w:eastAsia="Calibri" w:cs="Tahoma"/>
          <w:b/>
          <w:bCs/>
        </w:rPr>
      </w:pPr>
      <w:r w:rsidRPr="006357A9">
        <w:rPr>
          <w:rFonts w:eastAsia="Calibri" w:cs="Tahoma"/>
          <w:b/>
          <w:bCs/>
        </w:rPr>
        <w:br w:type="page"/>
      </w:r>
    </w:p>
    <w:p w:rsidRPr="006357A9" w:rsidR="00A6477D" w:rsidP="00492822" w:rsidRDefault="00A6477D" w14:paraId="3A7BF8F4" w14:textId="77777777">
      <w:pPr>
        <w:spacing w:after="0" w:line="360" w:lineRule="auto"/>
      </w:pPr>
    </w:p>
    <w:sectPr w:rsidRPr="006357A9" w:rsidR="00A6477D" w:rsidSect="002C59A0">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2B83" w:rsidP="00C853D1" w:rsidRDefault="00452B83" w14:paraId="355764DC" w14:textId="77777777">
      <w:pPr>
        <w:spacing w:after="0" w:line="240" w:lineRule="auto"/>
      </w:pPr>
      <w:r>
        <w:separator/>
      </w:r>
    </w:p>
  </w:endnote>
  <w:endnote w:type="continuationSeparator" w:id="0">
    <w:p w:rsidR="00452B83" w:rsidP="00C853D1" w:rsidRDefault="00452B83" w14:paraId="4A633A38" w14:textId="77777777">
      <w:pPr>
        <w:spacing w:after="0" w:line="240" w:lineRule="auto"/>
      </w:pPr>
      <w:r>
        <w:continuationSeparator/>
      </w:r>
    </w:p>
  </w:endnote>
  <w:endnote w:type="continuationNotice" w:id="1">
    <w:p w:rsidR="00452B83" w:rsidRDefault="00452B83" w14:paraId="083B72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877" w:rsidRDefault="00D26877"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26877" w:rsidRDefault="00D26877"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26877" w:rsidRDefault="00D26877"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2644">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2644">
              <w:rPr>
                <w:b/>
                <w:bCs/>
                <w:noProof/>
              </w:rPr>
              <w:t>43</w:t>
            </w:r>
            <w:r>
              <w:rPr>
                <w:b/>
                <w:bCs/>
                <w:sz w:val="24"/>
                <w:szCs w:val="24"/>
              </w:rPr>
              <w:fldChar w:fldCharType="end"/>
            </w:r>
          </w:p>
        </w:sdtContent>
      </w:sdt>
    </w:sdtContent>
  </w:sdt>
  <w:p w:rsidR="00D26877" w:rsidRDefault="00D26877"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877" w:rsidRDefault="00D26877"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264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2644">
      <w:rPr>
        <w:b/>
        <w:bCs/>
        <w:noProof/>
      </w:rPr>
      <w:t>43</w:t>
    </w:r>
    <w:r>
      <w:rPr>
        <w:b/>
        <w:bCs/>
        <w:sz w:val="24"/>
        <w:szCs w:val="24"/>
      </w:rPr>
      <w:fldChar w:fldCharType="end"/>
    </w:r>
  </w:p>
  <w:p w:rsidR="00D26877" w:rsidRDefault="00D26877"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2B83" w:rsidP="00C853D1" w:rsidRDefault="00452B83" w14:paraId="7659A6B9" w14:textId="77777777">
      <w:pPr>
        <w:spacing w:after="0" w:line="240" w:lineRule="auto"/>
      </w:pPr>
      <w:r>
        <w:separator/>
      </w:r>
    </w:p>
  </w:footnote>
  <w:footnote w:type="continuationSeparator" w:id="0">
    <w:p w:rsidR="00452B83" w:rsidP="00C853D1" w:rsidRDefault="00452B83" w14:paraId="78946CCE" w14:textId="77777777">
      <w:pPr>
        <w:spacing w:after="0" w:line="240" w:lineRule="auto"/>
      </w:pPr>
      <w:r>
        <w:continuationSeparator/>
      </w:r>
    </w:p>
  </w:footnote>
  <w:footnote w:type="continuationNotice" w:id="1">
    <w:p w:rsidR="00452B83" w:rsidRDefault="00452B83" w14:paraId="4FB6935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26877" w:rsidTr="002C59A0" w14:paraId="282B3A75" w14:textId="77777777">
      <w:trPr>
        <w:trHeight w:val="141"/>
      </w:trPr>
      <w:tc>
        <w:tcPr>
          <w:tcW w:w="2404" w:type="dxa"/>
        </w:tcPr>
        <w:p w:rsidRPr="001B5FB6" w:rsidR="00D26877" w:rsidP="002C59A0" w:rsidRDefault="00D26877"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D26877" w:rsidP="002C59A0" w:rsidRDefault="00D26877"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D26877" w:rsidTr="002C59A0" w14:paraId="46AFE2B4" w14:textId="77777777">
      <w:trPr>
        <w:trHeight w:val="276"/>
      </w:trPr>
      <w:tc>
        <w:tcPr>
          <w:tcW w:w="2404" w:type="dxa"/>
        </w:tcPr>
        <w:p w:rsidRPr="001B5FB6" w:rsidR="00D26877" w:rsidP="002C59A0" w:rsidRDefault="00D26877"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D26877" w:rsidP="002C59A0" w:rsidRDefault="00D26877"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D26877" w:rsidTr="002C59A0" w14:paraId="1FA679E9" w14:textId="77777777">
      <w:trPr>
        <w:trHeight w:val="276"/>
      </w:trPr>
      <w:tc>
        <w:tcPr>
          <w:tcW w:w="2404" w:type="dxa"/>
        </w:tcPr>
        <w:p w:rsidRPr="001B5FB6" w:rsidR="00D26877" w:rsidP="002C59A0" w:rsidRDefault="00D26877"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D26877" w:rsidP="002C59A0" w:rsidRDefault="00D26877"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D26877" w:rsidRDefault="00B01980"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position-horizontal:center;mso-position-horizontal-relative:margin;mso-position-vertical:center;mso-position-vertical-relative:margin"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877" w:rsidRDefault="00B01980" w14:paraId="23D02B0A" w14:textId="41CF453B">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3.85pt;margin-top:-127.25pt;width:663.5pt;height:12in;z-index:-251658239;mso-wrap-edited:f;mso-position-horizontal-relative:margin;mso-position-vertical-relative:margin" alt="MARCA DE AGUA - HOJA RESOLUCIÓN" o:spid="_x0000_s2050" o:allowincell="f" type="#_x0000_t75">
          <v:imagedata o:title="MARCA DE AGUA - HOJA RESOLUCIÓN" r:id="rId1"/>
          <w10:wrap anchorx="margin" anchory="margin"/>
        </v:shape>
      </w:pict>
    </w:r>
  </w:p>
  <w:tbl>
    <w:tblPr>
      <w:tblStyle w:val="Tablaconcuadrcula"/>
      <w:tblW w:w="6804"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400"/>
    </w:tblGrid>
    <w:tr w:rsidR="00D26877" w:rsidTr="008F4A36" w14:paraId="1E2FF18B" w14:textId="77777777">
      <w:trPr>
        <w:trHeight w:val="141"/>
      </w:trPr>
      <w:tc>
        <w:tcPr>
          <w:tcW w:w="2404" w:type="dxa"/>
        </w:tcPr>
        <w:p w:rsidRPr="001B5FB6" w:rsidR="00D26877" w:rsidP="00682222" w:rsidRDefault="00D26877"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400" w:type="dxa"/>
        </w:tcPr>
        <w:p w:rsidRPr="00C853D1" w:rsidR="00D26877" w:rsidP="00682222" w:rsidRDefault="00D26877" w14:paraId="503BB8DE" w14:textId="5D8ADB8F">
          <w:pPr>
            <w:tabs>
              <w:tab w:val="right" w:pos="8838"/>
            </w:tabs>
            <w:ind w:left="-28" w:right="454"/>
            <w:rPr>
              <w:rFonts w:eastAsia="Calibri" w:cs="Tahoma"/>
            </w:rPr>
          </w:pPr>
          <w:r w:rsidRPr="00FB1A11">
            <w:rPr>
              <w:rFonts w:eastAsia="Calibri" w:cs="Tahoma"/>
              <w:lang w:val="es-MX"/>
            </w:rPr>
            <w:t>12396/INFOEM/IP/RR/2022</w:t>
          </w:r>
        </w:p>
      </w:tc>
    </w:tr>
    <w:tr w:rsidR="00D26877" w:rsidTr="008F4A36" w14:paraId="110906AA" w14:textId="77777777">
      <w:trPr>
        <w:trHeight w:val="276"/>
      </w:trPr>
      <w:tc>
        <w:tcPr>
          <w:tcW w:w="2404" w:type="dxa"/>
        </w:tcPr>
        <w:p w:rsidRPr="001B5FB6" w:rsidR="00D26877" w:rsidP="002C59A0" w:rsidRDefault="00D26877"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400" w:type="dxa"/>
        </w:tcPr>
        <w:p w:rsidRPr="00A8173F" w:rsidR="00D26877" w:rsidP="00682222" w:rsidRDefault="00D26877" w14:paraId="5C93113C" w14:textId="60649F60">
          <w:pPr>
            <w:tabs>
              <w:tab w:val="right" w:pos="8838"/>
            </w:tabs>
            <w:ind w:right="454"/>
            <w:rPr>
              <w:rFonts w:eastAsia="Calibri" w:cs="Tahoma"/>
              <w:lang w:val="es-MX"/>
            </w:rPr>
          </w:pPr>
          <w:bookmarkStart w:name="_Hlk126761510" w:id="1"/>
          <w:r w:rsidRPr="00FB1A11">
            <w:rPr>
              <w:rFonts w:eastAsia="Calibri" w:cs="Tahoma"/>
              <w:lang w:val="es-MX"/>
            </w:rPr>
            <w:t>Ayuntamiento de Tlalnepantla de Baz</w:t>
          </w:r>
          <w:bookmarkEnd w:id="1"/>
        </w:p>
      </w:tc>
    </w:tr>
    <w:tr w:rsidR="00D26877" w:rsidTr="008F4A36" w14:paraId="065F2043" w14:textId="77777777">
      <w:trPr>
        <w:trHeight w:val="276"/>
      </w:trPr>
      <w:tc>
        <w:tcPr>
          <w:tcW w:w="2404" w:type="dxa"/>
        </w:tcPr>
        <w:p w:rsidRPr="001B5FB6" w:rsidR="00D26877" w:rsidP="002C59A0" w:rsidRDefault="00D26877"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400" w:type="dxa"/>
        </w:tcPr>
        <w:p w:rsidRPr="00A8173F" w:rsidR="00D26877" w:rsidP="00682222" w:rsidRDefault="00D26877"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D26877" w:rsidRDefault="00D26877" w14:paraId="0A6563BD" w14:textId="011947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Layout w:type="fixed"/>
      <w:tblLook w:val="04A0" w:firstRow="1" w:lastRow="0" w:firstColumn="1" w:lastColumn="0" w:noHBand="0" w:noVBand="1"/>
    </w:tblPr>
    <w:tblGrid>
      <w:gridCol w:w="2006"/>
      <w:gridCol w:w="7595"/>
    </w:tblGrid>
    <w:tr w:rsidRPr="005C106F" w:rsidR="00D26877" w:rsidTr="59C27B04" w14:paraId="5D26797B" w14:textId="77777777">
      <w:trPr>
        <w:trHeight w:val="1246"/>
      </w:trPr>
      <w:tc>
        <w:tcPr>
          <w:tcW w:w="2006" w:type="dxa"/>
          <w:shd w:val="clear" w:color="auto" w:fill="auto"/>
          <w:tcMar/>
        </w:tcPr>
        <w:p w:rsidRPr="005C106F" w:rsidR="00D26877" w:rsidP="002C59A0" w:rsidRDefault="00D26877" w14:paraId="76E7DE43" w14:textId="77777777">
          <w:pPr>
            <w:tabs>
              <w:tab w:val="right" w:pos="4273"/>
            </w:tabs>
            <w:rPr>
              <w:rFonts w:ascii="Garamond" w:hAnsi="Garamond" w:eastAsia="Calibri"/>
              <w:sz w:val="16"/>
              <w:szCs w:val="16"/>
            </w:rPr>
          </w:pPr>
        </w:p>
      </w:tc>
      <w:tc>
        <w:tcPr>
          <w:tcW w:w="7595" w:type="dxa"/>
          <w:shd w:val="clear" w:color="auto" w:fill="auto"/>
          <w:tcMar/>
        </w:tcPr>
        <w:tbl>
          <w:tblPr>
            <w:tblStyle w:val="Tablaconcuadrcula"/>
            <w:tblW w:w="6448" w:type="dxa"/>
            <w:tblInd w:w="6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30"/>
            <w:gridCol w:w="4018"/>
          </w:tblGrid>
          <w:tr w:rsidR="00D26877" w:rsidTr="59C27B04" w14:paraId="5CB74832" w14:textId="77777777">
            <w:trPr>
              <w:trHeight w:val="113"/>
            </w:trPr>
            <w:tc>
              <w:tcPr>
                <w:tcW w:w="2430" w:type="dxa"/>
                <w:tcMar/>
                <w:vAlign w:val="bottom"/>
              </w:tcPr>
              <w:p w:rsidRPr="001B5FB6" w:rsidR="00D26877" w:rsidP="002C59A0" w:rsidRDefault="00D26877"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018" w:type="dxa"/>
                <w:tcMar/>
              </w:tcPr>
              <w:p w:rsidRPr="00C853D1" w:rsidR="00D26877" w:rsidP="002C59A0" w:rsidRDefault="00D26877" w14:paraId="25021A4A" w14:textId="4143B6B3">
                <w:pPr>
                  <w:tabs>
                    <w:tab w:val="right" w:pos="8838"/>
                  </w:tabs>
                  <w:ind w:left="-28" w:right="-107"/>
                  <w:rPr>
                    <w:rFonts w:eastAsia="Calibri" w:cs="Tahoma"/>
                  </w:rPr>
                </w:pPr>
                <w:r w:rsidRPr="00C5197F">
                  <w:rPr>
                    <w:rFonts w:eastAsia="Calibri" w:cs="Tahoma"/>
                    <w:lang w:val="es-MX"/>
                  </w:rPr>
                  <w:t>12396/INFOEM/IP/RR/2022</w:t>
                </w:r>
              </w:p>
            </w:tc>
          </w:tr>
          <w:tr w:rsidR="00D26877" w:rsidTr="59C27B04" w14:paraId="65D6C982" w14:textId="77777777">
            <w:trPr>
              <w:trHeight w:val="113"/>
            </w:trPr>
            <w:tc>
              <w:tcPr>
                <w:tcW w:w="2430" w:type="dxa"/>
                <w:tcMar/>
              </w:tcPr>
              <w:p w:rsidRPr="001B5FB6" w:rsidR="00D26877" w:rsidP="002C59A0" w:rsidRDefault="00D26877"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018" w:type="dxa"/>
                <w:tcMar/>
              </w:tcPr>
              <w:p w:rsidRPr="003405AF" w:rsidR="00D26877" w:rsidP="59C27B04" w:rsidRDefault="00D26877" w14:paraId="4D5C37D5" w14:textId="26B6B0CE">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59C27B04" w:rsidR="59C27B04">
                  <w:rPr>
                    <w:rFonts w:eastAsia="Calibri" w:cs="Tahoma"/>
                    <w:highlight w:val="black"/>
                    <w:lang w:val="es-MX"/>
                  </w:rPr>
                  <w:t>XXXXXXXXXXXXXX</w:t>
                </w:r>
              </w:p>
            </w:tc>
          </w:tr>
          <w:tr w:rsidR="00D26877" w:rsidTr="59C27B04" w14:paraId="40A995EA" w14:textId="77777777">
            <w:trPr>
              <w:trHeight w:val="222"/>
            </w:trPr>
            <w:tc>
              <w:tcPr>
                <w:tcW w:w="2430" w:type="dxa"/>
                <w:tcMar/>
              </w:tcPr>
              <w:p w:rsidRPr="001B5FB6" w:rsidR="00D26877" w:rsidP="002C59A0" w:rsidRDefault="00D26877"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018" w:type="dxa"/>
                <w:tcMar/>
              </w:tcPr>
              <w:p w:rsidRPr="00C853D1" w:rsidR="00D26877" w:rsidP="001737C9" w:rsidRDefault="00D26877" w14:paraId="433E1B49" w14:textId="272DE849">
                <w:pPr>
                  <w:tabs>
                    <w:tab w:val="right" w:pos="8838"/>
                  </w:tabs>
                  <w:ind w:right="-107"/>
                  <w:rPr>
                    <w:rFonts w:eastAsia="Calibri" w:cs="Tahoma"/>
                    <w:lang w:val="es-MX"/>
                  </w:rPr>
                </w:pPr>
                <w:r w:rsidRPr="008A2CD9">
                  <w:rPr>
                    <w:rFonts w:eastAsia="Calibri" w:cs="Tahoma"/>
                    <w:lang w:val="es-MX"/>
                  </w:rPr>
                  <w:t>Ayuntamiento de Tlalnepantla de Baz</w:t>
                </w:r>
              </w:p>
            </w:tc>
          </w:tr>
          <w:tr w:rsidR="00D26877" w:rsidTr="59C27B04" w14:paraId="386AB112" w14:textId="77777777">
            <w:trPr>
              <w:trHeight w:val="222"/>
            </w:trPr>
            <w:tc>
              <w:tcPr>
                <w:tcW w:w="2430" w:type="dxa"/>
                <w:tcMar/>
              </w:tcPr>
              <w:p w:rsidRPr="001B5FB6" w:rsidR="00D26877" w:rsidP="002C59A0" w:rsidRDefault="00D26877"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018" w:type="dxa"/>
                <w:tcMar/>
              </w:tcPr>
              <w:p w:rsidRPr="00A8173F" w:rsidR="00D26877" w:rsidP="002C59A0" w:rsidRDefault="00D26877"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D26877" w:rsidP="002C59A0" w:rsidRDefault="00D26877" w14:paraId="7017D3D5" w14:textId="77777777">
          <w:pPr>
            <w:tabs>
              <w:tab w:val="right" w:pos="8838"/>
            </w:tabs>
            <w:ind w:left="-28"/>
            <w:rPr>
              <w:rFonts w:ascii="Arial" w:hAnsi="Arial" w:eastAsia="Calibri" w:cs="Arial"/>
              <w:b/>
            </w:rPr>
          </w:pPr>
        </w:p>
      </w:tc>
    </w:tr>
  </w:tbl>
  <w:p w:rsidR="00D26877" w:rsidRDefault="00B01980"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2.6pt;margin-top:-128.35pt;width:663.5pt;height:12in;z-index:-251658238;mso-wrap-edited:f;mso-position-horizontal-relative:margin;mso-position-vertical-relative:margin"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B1F"/>
    <w:multiLevelType w:val="hybridMultilevel"/>
    <w:tmpl w:val="4578816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4A235F4"/>
    <w:multiLevelType w:val="hybridMultilevel"/>
    <w:tmpl w:val="219E1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6F2B73"/>
    <w:multiLevelType w:val="hybridMultilevel"/>
    <w:tmpl w:val="A0AC59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24E4170"/>
    <w:multiLevelType w:val="hybridMultilevel"/>
    <w:tmpl w:val="40A2F2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4777D6"/>
    <w:multiLevelType w:val="hybridMultilevel"/>
    <w:tmpl w:val="4A6C9A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3E7C1D"/>
    <w:multiLevelType w:val="hybridMultilevel"/>
    <w:tmpl w:val="85022C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31537AC5"/>
    <w:multiLevelType w:val="hybridMultilevel"/>
    <w:tmpl w:val="A9C8D5F6"/>
    <w:lvl w:ilvl="0" w:tplc="FEAE0966">
      <w:start w:val="1"/>
      <w:numFmt w:val="lowerLetter"/>
      <w:lvlText w:val="%1)"/>
      <w:lvlJc w:val="left"/>
      <w:pPr>
        <w:ind w:left="720" w:hanging="360"/>
      </w:pPr>
      <w:rPr>
        <w:rFonts w:hint="default"/>
        <w:b/>
        <w:bC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4EF7DFD"/>
    <w:multiLevelType w:val="hybridMultilevel"/>
    <w:tmpl w:val="62666C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59254C6"/>
    <w:multiLevelType w:val="hybridMultilevel"/>
    <w:tmpl w:val="034006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AA63839"/>
    <w:multiLevelType w:val="hybridMultilevel"/>
    <w:tmpl w:val="2C8668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B167C98"/>
    <w:multiLevelType w:val="hybridMultilevel"/>
    <w:tmpl w:val="436272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DCC7593"/>
    <w:multiLevelType w:val="hybridMultilevel"/>
    <w:tmpl w:val="0C24147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0" w15:restartNumberingAfterBreak="0">
    <w:nsid w:val="3DE53E8A"/>
    <w:multiLevelType w:val="hybridMultilevel"/>
    <w:tmpl w:val="D34243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ACA7B0B"/>
    <w:multiLevelType w:val="hybridMultilevel"/>
    <w:tmpl w:val="2B20E7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8E75B11"/>
    <w:multiLevelType w:val="hybridMultilevel"/>
    <w:tmpl w:val="E990FF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A635F1D"/>
    <w:multiLevelType w:val="hybridMultilevel"/>
    <w:tmpl w:val="6ED69E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DDD4224"/>
    <w:multiLevelType w:val="hybridMultilevel"/>
    <w:tmpl w:val="3F0C20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2141219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64474">
    <w:abstractNumId w:val="8"/>
  </w:num>
  <w:num w:numId="3" w16cid:durableId="1221557027">
    <w:abstractNumId w:val="17"/>
  </w:num>
  <w:num w:numId="4" w16cid:durableId="197819864">
    <w:abstractNumId w:val="20"/>
  </w:num>
  <w:num w:numId="5" w16cid:durableId="1268152321">
    <w:abstractNumId w:val="13"/>
  </w:num>
  <w:num w:numId="6" w16cid:durableId="1217938768">
    <w:abstractNumId w:val="18"/>
    <w:lvlOverride w:ilvl="0">
      <w:startOverride w:val="1"/>
    </w:lvlOverride>
    <w:lvlOverride w:ilvl="1"/>
    <w:lvlOverride w:ilvl="2"/>
    <w:lvlOverride w:ilvl="3"/>
    <w:lvlOverride w:ilvl="4"/>
    <w:lvlOverride w:ilvl="5"/>
    <w:lvlOverride w:ilvl="6"/>
    <w:lvlOverride w:ilvl="7"/>
    <w:lvlOverride w:ilvl="8"/>
  </w:num>
  <w:num w:numId="7" w16cid:durableId="72046211">
    <w:abstractNumId w:val="27"/>
  </w:num>
  <w:num w:numId="8" w16cid:durableId="1594893629">
    <w:abstractNumId w:val="5"/>
  </w:num>
  <w:num w:numId="9" w16cid:durableId="179129958">
    <w:abstractNumId w:val="24"/>
  </w:num>
  <w:num w:numId="10" w16cid:durableId="1961955510">
    <w:abstractNumId w:val="3"/>
  </w:num>
  <w:num w:numId="11" w16cid:durableId="442311345">
    <w:abstractNumId w:val="28"/>
  </w:num>
  <w:num w:numId="12" w16cid:durableId="1410807477">
    <w:abstractNumId w:val="4"/>
  </w:num>
  <w:num w:numId="13" w16cid:durableId="957637777">
    <w:abstractNumId w:val="7"/>
  </w:num>
  <w:num w:numId="14" w16cid:durableId="1134252761">
    <w:abstractNumId w:val="14"/>
  </w:num>
  <w:num w:numId="15" w16cid:durableId="438067332">
    <w:abstractNumId w:val="15"/>
  </w:num>
  <w:num w:numId="16" w16cid:durableId="1278567347">
    <w:abstractNumId w:val="19"/>
  </w:num>
  <w:num w:numId="17" w16cid:durableId="1133256209">
    <w:abstractNumId w:val="16"/>
  </w:num>
  <w:num w:numId="18" w16cid:durableId="576868772">
    <w:abstractNumId w:val="11"/>
  </w:num>
  <w:num w:numId="19" w16cid:durableId="1066101556">
    <w:abstractNumId w:val="9"/>
  </w:num>
  <w:num w:numId="20" w16cid:durableId="391735478">
    <w:abstractNumId w:val="0"/>
  </w:num>
  <w:num w:numId="21" w16cid:durableId="1318804025">
    <w:abstractNumId w:val="23"/>
  </w:num>
  <w:num w:numId="22" w16cid:durableId="1476725295">
    <w:abstractNumId w:val="6"/>
  </w:num>
  <w:num w:numId="23" w16cid:durableId="657271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865900">
    <w:abstractNumId w:val="12"/>
  </w:num>
  <w:num w:numId="25" w16cid:durableId="1121729082">
    <w:abstractNumId w:val="2"/>
  </w:num>
  <w:num w:numId="26" w16cid:durableId="1305503068">
    <w:abstractNumId w:val="1"/>
  </w:num>
  <w:num w:numId="27" w16cid:durableId="1157301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7833492">
    <w:abstractNumId w:val="21"/>
  </w:num>
  <w:num w:numId="29" w16cid:durableId="898786297">
    <w:abstractNumId w:val="10"/>
  </w:num>
  <w:num w:numId="30" w16cid:durableId="80281937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88D"/>
    <w:rsid w:val="00002E53"/>
    <w:rsid w:val="000039BC"/>
    <w:rsid w:val="000051F1"/>
    <w:rsid w:val="00007008"/>
    <w:rsid w:val="00007C58"/>
    <w:rsid w:val="00007EB8"/>
    <w:rsid w:val="00011B3E"/>
    <w:rsid w:val="0001208E"/>
    <w:rsid w:val="00012F13"/>
    <w:rsid w:val="000132DF"/>
    <w:rsid w:val="0001387C"/>
    <w:rsid w:val="0001499A"/>
    <w:rsid w:val="00014DCE"/>
    <w:rsid w:val="000152FD"/>
    <w:rsid w:val="00016179"/>
    <w:rsid w:val="00017D8C"/>
    <w:rsid w:val="000217E1"/>
    <w:rsid w:val="000223B0"/>
    <w:rsid w:val="00022F7E"/>
    <w:rsid w:val="00023BF5"/>
    <w:rsid w:val="000241E5"/>
    <w:rsid w:val="000268BB"/>
    <w:rsid w:val="00027FA3"/>
    <w:rsid w:val="000303D0"/>
    <w:rsid w:val="00030561"/>
    <w:rsid w:val="00030A38"/>
    <w:rsid w:val="000310AC"/>
    <w:rsid w:val="000315CB"/>
    <w:rsid w:val="00031725"/>
    <w:rsid w:val="00033CF4"/>
    <w:rsid w:val="00034816"/>
    <w:rsid w:val="00036F7D"/>
    <w:rsid w:val="00040F35"/>
    <w:rsid w:val="00043A88"/>
    <w:rsid w:val="00046215"/>
    <w:rsid w:val="00046BEE"/>
    <w:rsid w:val="00046D78"/>
    <w:rsid w:val="000476F8"/>
    <w:rsid w:val="000477C6"/>
    <w:rsid w:val="00052A57"/>
    <w:rsid w:val="00052F0A"/>
    <w:rsid w:val="00053254"/>
    <w:rsid w:val="00054618"/>
    <w:rsid w:val="0005747D"/>
    <w:rsid w:val="00057801"/>
    <w:rsid w:val="000601FF"/>
    <w:rsid w:val="00062AAC"/>
    <w:rsid w:val="00062C8B"/>
    <w:rsid w:val="00062DAA"/>
    <w:rsid w:val="00063796"/>
    <w:rsid w:val="00064475"/>
    <w:rsid w:val="000705A9"/>
    <w:rsid w:val="00071067"/>
    <w:rsid w:val="00071A4F"/>
    <w:rsid w:val="000733E5"/>
    <w:rsid w:val="00073CB5"/>
    <w:rsid w:val="000744E4"/>
    <w:rsid w:val="000747B9"/>
    <w:rsid w:val="000751F0"/>
    <w:rsid w:val="00076474"/>
    <w:rsid w:val="00076D08"/>
    <w:rsid w:val="00077BF4"/>
    <w:rsid w:val="00081145"/>
    <w:rsid w:val="00081203"/>
    <w:rsid w:val="000817A6"/>
    <w:rsid w:val="00085112"/>
    <w:rsid w:val="0008590D"/>
    <w:rsid w:val="000939CD"/>
    <w:rsid w:val="00093BE4"/>
    <w:rsid w:val="00094077"/>
    <w:rsid w:val="00096694"/>
    <w:rsid w:val="000979DA"/>
    <w:rsid w:val="000A2588"/>
    <w:rsid w:val="000A259F"/>
    <w:rsid w:val="000A3771"/>
    <w:rsid w:val="000A3832"/>
    <w:rsid w:val="000A5EBF"/>
    <w:rsid w:val="000A61A2"/>
    <w:rsid w:val="000A785D"/>
    <w:rsid w:val="000A78DB"/>
    <w:rsid w:val="000B0EAF"/>
    <w:rsid w:val="000B2B72"/>
    <w:rsid w:val="000B4D1B"/>
    <w:rsid w:val="000B6196"/>
    <w:rsid w:val="000B7029"/>
    <w:rsid w:val="000C4A5B"/>
    <w:rsid w:val="000C5330"/>
    <w:rsid w:val="000C5BA7"/>
    <w:rsid w:val="000C715C"/>
    <w:rsid w:val="000D1A72"/>
    <w:rsid w:val="000D1E8E"/>
    <w:rsid w:val="000D2522"/>
    <w:rsid w:val="000D2CFE"/>
    <w:rsid w:val="000D426B"/>
    <w:rsid w:val="000D45D9"/>
    <w:rsid w:val="000D59F5"/>
    <w:rsid w:val="000D5AFD"/>
    <w:rsid w:val="000D69EB"/>
    <w:rsid w:val="000D6A74"/>
    <w:rsid w:val="000D6E68"/>
    <w:rsid w:val="000D73F7"/>
    <w:rsid w:val="000D7CC5"/>
    <w:rsid w:val="000E28E6"/>
    <w:rsid w:val="000E2A84"/>
    <w:rsid w:val="000E355A"/>
    <w:rsid w:val="000E4E10"/>
    <w:rsid w:val="000E55C2"/>
    <w:rsid w:val="000E55FD"/>
    <w:rsid w:val="000E6D82"/>
    <w:rsid w:val="000E7ADF"/>
    <w:rsid w:val="000F0219"/>
    <w:rsid w:val="000F05A6"/>
    <w:rsid w:val="000F1E71"/>
    <w:rsid w:val="000F2219"/>
    <w:rsid w:val="000F22FF"/>
    <w:rsid w:val="000F2A9A"/>
    <w:rsid w:val="000F2F3D"/>
    <w:rsid w:val="000F2F5C"/>
    <w:rsid w:val="000F3403"/>
    <w:rsid w:val="000F38BC"/>
    <w:rsid w:val="000F45A1"/>
    <w:rsid w:val="000F47C2"/>
    <w:rsid w:val="000F728E"/>
    <w:rsid w:val="000F7975"/>
    <w:rsid w:val="001004CE"/>
    <w:rsid w:val="00100EB3"/>
    <w:rsid w:val="0010232F"/>
    <w:rsid w:val="00102662"/>
    <w:rsid w:val="0010279A"/>
    <w:rsid w:val="0010413E"/>
    <w:rsid w:val="00105049"/>
    <w:rsid w:val="001059E3"/>
    <w:rsid w:val="00105EF9"/>
    <w:rsid w:val="0010774E"/>
    <w:rsid w:val="001105F1"/>
    <w:rsid w:val="0011334D"/>
    <w:rsid w:val="00113D95"/>
    <w:rsid w:val="0011522B"/>
    <w:rsid w:val="00115309"/>
    <w:rsid w:val="001202DE"/>
    <w:rsid w:val="001203EF"/>
    <w:rsid w:val="00122963"/>
    <w:rsid w:val="00124136"/>
    <w:rsid w:val="001241A6"/>
    <w:rsid w:val="001254CF"/>
    <w:rsid w:val="0012576A"/>
    <w:rsid w:val="00126140"/>
    <w:rsid w:val="00130DE4"/>
    <w:rsid w:val="00131717"/>
    <w:rsid w:val="00132A4D"/>
    <w:rsid w:val="00132EB2"/>
    <w:rsid w:val="00133B26"/>
    <w:rsid w:val="00134C39"/>
    <w:rsid w:val="00134FFE"/>
    <w:rsid w:val="001356BB"/>
    <w:rsid w:val="001403B8"/>
    <w:rsid w:val="00140711"/>
    <w:rsid w:val="00142455"/>
    <w:rsid w:val="001433D0"/>
    <w:rsid w:val="0014357F"/>
    <w:rsid w:val="00146731"/>
    <w:rsid w:val="00151E63"/>
    <w:rsid w:val="001536AE"/>
    <w:rsid w:val="00154269"/>
    <w:rsid w:val="00155120"/>
    <w:rsid w:val="00155239"/>
    <w:rsid w:val="00155669"/>
    <w:rsid w:val="0015587B"/>
    <w:rsid w:val="001601CC"/>
    <w:rsid w:val="00160AD5"/>
    <w:rsid w:val="00161E74"/>
    <w:rsid w:val="00163A7D"/>
    <w:rsid w:val="00164599"/>
    <w:rsid w:val="001652CF"/>
    <w:rsid w:val="001675D9"/>
    <w:rsid w:val="00167E18"/>
    <w:rsid w:val="00170EEC"/>
    <w:rsid w:val="00171B99"/>
    <w:rsid w:val="00173714"/>
    <w:rsid w:val="001737C9"/>
    <w:rsid w:val="0017427D"/>
    <w:rsid w:val="001748E0"/>
    <w:rsid w:val="00174F57"/>
    <w:rsid w:val="00175572"/>
    <w:rsid w:val="00176F43"/>
    <w:rsid w:val="00180003"/>
    <w:rsid w:val="001808ED"/>
    <w:rsid w:val="00184ACB"/>
    <w:rsid w:val="00187D67"/>
    <w:rsid w:val="001900B4"/>
    <w:rsid w:val="0019023B"/>
    <w:rsid w:val="0019027C"/>
    <w:rsid w:val="00190EBA"/>
    <w:rsid w:val="001914E7"/>
    <w:rsid w:val="0019270D"/>
    <w:rsid w:val="001935D3"/>
    <w:rsid w:val="00193BF1"/>
    <w:rsid w:val="001944F2"/>
    <w:rsid w:val="00194DD1"/>
    <w:rsid w:val="0019678D"/>
    <w:rsid w:val="001A063C"/>
    <w:rsid w:val="001A51B0"/>
    <w:rsid w:val="001A592F"/>
    <w:rsid w:val="001A641F"/>
    <w:rsid w:val="001A6FBA"/>
    <w:rsid w:val="001B28C7"/>
    <w:rsid w:val="001B3B40"/>
    <w:rsid w:val="001B52E3"/>
    <w:rsid w:val="001B7487"/>
    <w:rsid w:val="001B77BD"/>
    <w:rsid w:val="001B7D90"/>
    <w:rsid w:val="001C01D8"/>
    <w:rsid w:val="001C093D"/>
    <w:rsid w:val="001C1007"/>
    <w:rsid w:val="001C255C"/>
    <w:rsid w:val="001C3C7E"/>
    <w:rsid w:val="001C3D02"/>
    <w:rsid w:val="001C6757"/>
    <w:rsid w:val="001C6764"/>
    <w:rsid w:val="001C7E9E"/>
    <w:rsid w:val="001D02DD"/>
    <w:rsid w:val="001D0A05"/>
    <w:rsid w:val="001D0B96"/>
    <w:rsid w:val="001D2124"/>
    <w:rsid w:val="001D37BB"/>
    <w:rsid w:val="001D6590"/>
    <w:rsid w:val="001E386E"/>
    <w:rsid w:val="001E4A27"/>
    <w:rsid w:val="001E5D04"/>
    <w:rsid w:val="001E6D1F"/>
    <w:rsid w:val="001E7CF2"/>
    <w:rsid w:val="001E7F04"/>
    <w:rsid w:val="001F110B"/>
    <w:rsid w:val="001F2D1F"/>
    <w:rsid w:val="001F2E0E"/>
    <w:rsid w:val="001F3238"/>
    <w:rsid w:val="001F49C2"/>
    <w:rsid w:val="001F636E"/>
    <w:rsid w:val="001F7C51"/>
    <w:rsid w:val="0020056D"/>
    <w:rsid w:val="0020269E"/>
    <w:rsid w:val="00204AF1"/>
    <w:rsid w:val="00205586"/>
    <w:rsid w:val="00206637"/>
    <w:rsid w:val="00206E41"/>
    <w:rsid w:val="002074E6"/>
    <w:rsid w:val="002111A8"/>
    <w:rsid w:val="00211547"/>
    <w:rsid w:val="002128DD"/>
    <w:rsid w:val="00213776"/>
    <w:rsid w:val="00215AFD"/>
    <w:rsid w:val="002164E0"/>
    <w:rsid w:val="00220583"/>
    <w:rsid w:val="002219DD"/>
    <w:rsid w:val="0022261D"/>
    <w:rsid w:val="00223975"/>
    <w:rsid w:val="0022779E"/>
    <w:rsid w:val="0023433F"/>
    <w:rsid w:val="00235BA0"/>
    <w:rsid w:val="002364E0"/>
    <w:rsid w:val="002370A2"/>
    <w:rsid w:val="002402DE"/>
    <w:rsid w:val="00240337"/>
    <w:rsid w:val="00240384"/>
    <w:rsid w:val="002410DA"/>
    <w:rsid w:val="002419E9"/>
    <w:rsid w:val="00242242"/>
    <w:rsid w:val="0024313A"/>
    <w:rsid w:val="002438E8"/>
    <w:rsid w:val="0024432E"/>
    <w:rsid w:val="002503C9"/>
    <w:rsid w:val="00251192"/>
    <w:rsid w:val="00251A4C"/>
    <w:rsid w:val="00251DD4"/>
    <w:rsid w:val="00252644"/>
    <w:rsid w:val="00252EF3"/>
    <w:rsid w:val="0025417F"/>
    <w:rsid w:val="0025433F"/>
    <w:rsid w:val="00254E7C"/>
    <w:rsid w:val="002557A7"/>
    <w:rsid w:val="00255F6B"/>
    <w:rsid w:val="0025734D"/>
    <w:rsid w:val="002573D3"/>
    <w:rsid w:val="00257F3B"/>
    <w:rsid w:val="00260AAA"/>
    <w:rsid w:val="00261807"/>
    <w:rsid w:val="00261BED"/>
    <w:rsid w:val="002634E5"/>
    <w:rsid w:val="00265F18"/>
    <w:rsid w:val="0026775D"/>
    <w:rsid w:val="002718A0"/>
    <w:rsid w:val="00271D9C"/>
    <w:rsid w:val="00272473"/>
    <w:rsid w:val="00272886"/>
    <w:rsid w:val="00272D03"/>
    <w:rsid w:val="00273E3B"/>
    <w:rsid w:val="00277BF0"/>
    <w:rsid w:val="00277CA5"/>
    <w:rsid w:val="002811E0"/>
    <w:rsid w:val="00281B2B"/>
    <w:rsid w:val="0028305A"/>
    <w:rsid w:val="0028578F"/>
    <w:rsid w:val="00286B20"/>
    <w:rsid w:val="00290366"/>
    <w:rsid w:val="00296E2A"/>
    <w:rsid w:val="002A110D"/>
    <w:rsid w:val="002A1401"/>
    <w:rsid w:val="002A4000"/>
    <w:rsid w:val="002A5CB7"/>
    <w:rsid w:val="002B0E1B"/>
    <w:rsid w:val="002B3565"/>
    <w:rsid w:val="002B3FDA"/>
    <w:rsid w:val="002B54AE"/>
    <w:rsid w:val="002C0722"/>
    <w:rsid w:val="002C26E9"/>
    <w:rsid w:val="002C514D"/>
    <w:rsid w:val="002C5653"/>
    <w:rsid w:val="002C59A0"/>
    <w:rsid w:val="002C5A77"/>
    <w:rsid w:val="002C6390"/>
    <w:rsid w:val="002C65E2"/>
    <w:rsid w:val="002C7309"/>
    <w:rsid w:val="002C730F"/>
    <w:rsid w:val="002D23F3"/>
    <w:rsid w:val="002D2E5D"/>
    <w:rsid w:val="002D48ED"/>
    <w:rsid w:val="002D5915"/>
    <w:rsid w:val="002D653B"/>
    <w:rsid w:val="002D6E52"/>
    <w:rsid w:val="002D79C4"/>
    <w:rsid w:val="002E0486"/>
    <w:rsid w:val="002E0552"/>
    <w:rsid w:val="002E05D6"/>
    <w:rsid w:val="002E25E7"/>
    <w:rsid w:val="002E32FE"/>
    <w:rsid w:val="002E333F"/>
    <w:rsid w:val="002E33E8"/>
    <w:rsid w:val="002E5101"/>
    <w:rsid w:val="002E5CED"/>
    <w:rsid w:val="002E6FA9"/>
    <w:rsid w:val="002F07C6"/>
    <w:rsid w:val="002F604A"/>
    <w:rsid w:val="00300286"/>
    <w:rsid w:val="00306566"/>
    <w:rsid w:val="00311288"/>
    <w:rsid w:val="003114A1"/>
    <w:rsid w:val="00311811"/>
    <w:rsid w:val="003160D6"/>
    <w:rsid w:val="00316C63"/>
    <w:rsid w:val="00317B9F"/>
    <w:rsid w:val="00317DA3"/>
    <w:rsid w:val="00320671"/>
    <w:rsid w:val="00320B93"/>
    <w:rsid w:val="003219D7"/>
    <w:rsid w:val="00322C0D"/>
    <w:rsid w:val="0032312D"/>
    <w:rsid w:val="00323AB9"/>
    <w:rsid w:val="003261B1"/>
    <w:rsid w:val="003265A2"/>
    <w:rsid w:val="0032718B"/>
    <w:rsid w:val="0032768B"/>
    <w:rsid w:val="00330331"/>
    <w:rsid w:val="00330BF6"/>
    <w:rsid w:val="00331AD4"/>
    <w:rsid w:val="00332E40"/>
    <w:rsid w:val="003335D1"/>
    <w:rsid w:val="00334B20"/>
    <w:rsid w:val="00336980"/>
    <w:rsid w:val="00336DB7"/>
    <w:rsid w:val="003376EC"/>
    <w:rsid w:val="00337A5C"/>
    <w:rsid w:val="00341D98"/>
    <w:rsid w:val="0034462A"/>
    <w:rsid w:val="00344EA2"/>
    <w:rsid w:val="00345528"/>
    <w:rsid w:val="00347746"/>
    <w:rsid w:val="00350BA4"/>
    <w:rsid w:val="00350D55"/>
    <w:rsid w:val="00351AE7"/>
    <w:rsid w:val="00352581"/>
    <w:rsid w:val="0035315E"/>
    <w:rsid w:val="00353160"/>
    <w:rsid w:val="003537E3"/>
    <w:rsid w:val="00353CE7"/>
    <w:rsid w:val="00354C9A"/>
    <w:rsid w:val="00355553"/>
    <w:rsid w:val="00357DB0"/>
    <w:rsid w:val="00360690"/>
    <w:rsid w:val="00361D3B"/>
    <w:rsid w:val="00362DE2"/>
    <w:rsid w:val="00363046"/>
    <w:rsid w:val="003643CB"/>
    <w:rsid w:val="003647F7"/>
    <w:rsid w:val="00365075"/>
    <w:rsid w:val="0036662E"/>
    <w:rsid w:val="0036799B"/>
    <w:rsid w:val="00370966"/>
    <w:rsid w:val="00370D02"/>
    <w:rsid w:val="00371DAE"/>
    <w:rsid w:val="00372BAB"/>
    <w:rsid w:val="0037464B"/>
    <w:rsid w:val="003753D2"/>
    <w:rsid w:val="00376559"/>
    <w:rsid w:val="00376B59"/>
    <w:rsid w:val="00380368"/>
    <w:rsid w:val="00381FDE"/>
    <w:rsid w:val="00384A4A"/>
    <w:rsid w:val="0038779D"/>
    <w:rsid w:val="003879BE"/>
    <w:rsid w:val="00387D54"/>
    <w:rsid w:val="0039007A"/>
    <w:rsid w:val="00390600"/>
    <w:rsid w:val="003919E9"/>
    <w:rsid w:val="003936D2"/>
    <w:rsid w:val="00393903"/>
    <w:rsid w:val="003955C4"/>
    <w:rsid w:val="003975AD"/>
    <w:rsid w:val="00397660"/>
    <w:rsid w:val="003A1B84"/>
    <w:rsid w:val="003A36C6"/>
    <w:rsid w:val="003A4FE6"/>
    <w:rsid w:val="003A52D9"/>
    <w:rsid w:val="003A65AC"/>
    <w:rsid w:val="003B084E"/>
    <w:rsid w:val="003B0BA2"/>
    <w:rsid w:val="003B2A49"/>
    <w:rsid w:val="003B3C4D"/>
    <w:rsid w:val="003B46DC"/>
    <w:rsid w:val="003B7F47"/>
    <w:rsid w:val="003C24E0"/>
    <w:rsid w:val="003C2ED7"/>
    <w:rsid w:val="003C39F4"/>
    <w:rsid w:val="003C3F95"/>
    <w:rsid w:val="003C470A"/>
    <w:rsid w:val="003C5B59"/>
    <w:rsid w:val="003C6923"/>
    <w:rsid w:val="003C6C10"/>
    <w:rsid w:val="003C6CAD"/>
    <w:rsid w:val="003D15D4"/>
    <w:rsid w:val="003D2783"/>
    <w:rsid w:val="003D30B4"/>
    <w:rsid w:val="003D3537"/>
    <w:rsid w:val="003D3702"/>
    <w:rsid w:val="003D4A58"/>
    <w:rsid w:val="003D50B4"/>
    <w:rsid w:val="003D512A"/>
    <w:rsid w:val="003D7ED4"/>
    <w:rsid w:val="003E10CF"/>
    <w:rsid w:val="003E2FB0"/>
    <w:rsid w:val="003E3D0C"/>
    <w:rsid w:val="003E4FC2"/>
    <w:rsid w:val="003E6425"/>
    <w:rsid w:val="003E7060"/>
    <w:rsid w:val="003E718D"/>
    <w:rsid w:val="003F0015"/>
    <w:rsid w:val="003F0CE1"/>
    <w:rsid w:val="003F0E14"/>
    <w:rsid w:val="003F0F63"/>
    <w:rsid w:val="003F1992"/>
    <w:rsid w:val="003F26E2"/>
    <w:rsid w:val="003F3E76"/>
    <w:rsid w:val="003F64D8"/>
    <w:rsid w:val="00400FDE"/>
    <w:rsid w:val="0040138C"/>
    <w:rsid w:val="00403429"/>
    <w:rsid w:val="004059D0"/>
    <w:rsid w:val="004060E1"/>
    <w:rsid w:val="0040636E"/>
    <w:rsid w:val="00410140"/>
    <w:rsid w:val="00410222"/>
    <w:rsid w:val="00411BFD"/>
    <w:rsid w:val="00411D7D"/>
    <w:rsid w:val="00411E17"/>
    <w:rsid w:val="004122A9"/>
    <w:rsid w:val="004123D7"/>
    <w:rsid w:val="0041245D"/>
    <w:rsid w:val="004130DC"/>
    <w:rsid w:val="004133F4"/>
    <w:rsid w:val="00415A15"/>
    <w:rsid w:val="00417EED"/>
    <w:rsid w:val="0042325F"/>
    <w:rsid w:val="0042351D"/>
    <w:rsid w:val="0042422A"/>
    <w:rsid w:val="00424614"/>
    <w:rsid w:val="00424C4B"/>
    <w:rsid w:val="00425020"/>
    <w:rsid w:val="00425CB1"/>
    <w:rsid w:val="00430B0D"/>
    <w:rsid w:val="0043152E"/>
    <w:rsid w:val="00433CAA"/>
    <w:rsid w:val="00434676"/>
    <w:rsid w:val="0043589D"/>
    <w:rsid w:val="00441A7E"/>
    <w:rsid w:val="00447C6E"/>
    <w:rsid w:val="0045050B"/>
    <w:rsid w:val="00450E6E"/>
    <w:rsid w:val="004513C9"/>
    <w:rsid w:val="004513E5"/>
    <w:rsid w:val="00452038"/>
    <w:rsid w:val="00452B83"/>
    <w:rsid w:val="004542DC"/>
    <w:rsid w:val="004548CD"/>
    <w:rsid w:val="00454E63"/>
    <w:rsid w:val="0046048A"/>
    <w:rsid w:val="00460D6E"/>
    <w:rsid w:val="00460EAD"/>
    <w:rsid w:val="00462A63"/>
    <w:rsid w:val="004633F1"/>
    <w:rsid w:val="00463A70"/>
    <w:rsid w:val="00464242"/>
    <w:rsid w:val="004642DE"/>
    <w:rsid w:val="00464811"/>
    <w:rsid w:val="00465059"/>
    <w:rsid w:val="0046529F"/>
    <w:rsid w:val="00465EC8"/>
    <w:rsid w:val="004673C4"/>
    <w:rsid w:val="00467751"/>
    <w:rsid w:val="00470A7A"/>
    <w:rsid w:val="00470AF6"/>
    <w:rsid w:val="00471A6E"/>
    <w:rsid w:val="00473150"/>
    <w:rsid w:val="00474538"/>
    <w:rsid w:val="00474E4C"/>
    <w:rsid w:val="00476ED1"/>
    <w:rsid w:val="00481C17"/>
    <w:rsid w:val="00482779"/>
    <w:rsid w:val="004829B9"/>
    <w:rsid w:val="00482C18"/>
    <w:rsid w:val="00485A5B"/>
    <w:rsid w:val="0048648B"/>
    <w:rsid w:val="004871AA"/>
    <w:rsid w:val="0049061B"/>
    <w:rsid w:val="00491C3E"/>
    <w:rsid w:val="00492822"/>
    <w:rsid w:val="00494387"/>
    <w:rsid w:val="004946E9"/>
    <w:rsid w:val="004949AC"/>
    <w:rsid w:val="0049525C"/>
    <w:rsid w:val="00496426"/>
    <w:rsid w:val="004A0202"/>
    <w:rsid w:val="004A0C67"/>
    <w:rsid w:val="004A1277"/>
    <w:rsid w:val="004A1E88"/>
    <w:rsid w:val="004A2602"/>
    <w:rsid w:val="004A27DB"/>
    <w:rsid w:val="004A2C6D"/>
    <w:rsid w:val="004A2EE1"/>
    <w:rsid w:val="004A3CE9"/>
    <w:rsid w:val="004A3F89"/>
    <w:rsid w:val="004A528D"/>
    <w:rsid w:val="004A5BD8"/>
    <w:rsid w:val="004A6975"/>
    <w:rsid w:val="004A79AD"/>
    <w:rsid w:val="004B15BE"/>
    <w:rsid w:val="004B387C"/>
    <w:rsid w:val="004B5ABB"/>
    <w:rsid w:val="004B5ADC"/>
    <w:rsid w:val="004B720F"/>
    <w:rsid w:val="004B726A"/>
    <w:rsid w:val="004C084B"/>
    <w:rsid w:val="004C1B53"/>
    <w:rsid w:val="004C2CB2"/>
    <w:rsid w:val="004C34C6"/>
    <w:rsid w:val="004C38A0"/>
    <w:rsid w:val="004C3C1A"/>
    <w:rsid w:val="004C46CC"/>
    <w:rsid w:val="004C4AAC"/>
    <w:rsid w:val="004C63A2"/>
    <w:rsid w:val="004C65CE"/>
    <w:rsid w:val="004C71CF"/>
    <w:rsid w:val="004D2468"/>
    <w:rsid w:val="004D3D6A"/>
    <w:rsid w:val="004D4220"/>
    <w:rsid w:val="004D4644"/>
    <w:rsid w:val="004D51CF"/>
    <w:rsid w:val="004D66A3"/>
    <w:rsid w:val="004E1643"/>
    <w:rsid w:val="004E1BF6"/>
    <w:rsid w:val="004E2875"/>
    <w:rsid w:val="004E529B"/>
    <w:rsid w:val="004E5602"/>
    <w:rsid w:val="004E617D"/>
    <w:rsid w:val="004E6D06"/>
    <w:rsid w:val="004E72DD"/>
    <w:rsid w:val="004E7559"/>
    <w:rsid w:val="004F10BE"/>
    <w:rsid w:val="004F4445"/>
    <w:rsid w:val="004F6003"/>
    <w:rsid w:val="004F662C"/>
    <w:rsid w:val="004F6976"/>
    <w:rsid w:val="004F736C"/>
    <w:rsid w:val="004F7666"/>
    <w:rsid w:val="004F7B5E"/>
    <w:rsid w:val="005000A4"/>
    <w:rsid w:val="005006F9"/>
    <w:rsid w:val="005008AF"/>
    <w:rsid w:val="00501E21"/>
    <w:rsid w:val="0050260F"/>
    <w:rsid w:val="00505166"/>
    <w:rsid w:val="00506F24"/>
    <w:rsid w:val="00510A5E"/>
    <w:rsid w:val="0051194E"/>
    <w:rsid w:val="00513F33"/>
    <w:rsid w:val="00515CA2"/>
    <w:rsid w:val="00517B06"/>
    <w:rsid w:val="00517B6A"/>
    <w:rsid w:val="00520182"/>
    <w:rsid w:val="0052024A"/>
    <w:rsid w:val="00522F3F"/>
    <w:rsid w:val="005230CF"/>
    <w:rsid w:val="005247A3"/>
    <w:rsid w:val="00525283"/>
    <w:rsid w:val="005277CB"/>
    <w:rsid w:val="00531792"/>
    <w:rsid w:val="00532E51"/>
    <w:rsid w:val="0053366C"/>
    <w:rsid w:val="00533C3F"/>
    <w:rsid w:val="00534853"/>
    <w:rsid w:val="00534932"/>
    <w:rsid w:val="0053767C"/>
    <w:rsid w:val="0054028E"/>
    <w:rsid w:val="00540994"/>
    <w:rsid w:val="00540E4D"/>
    <w:rsid w:val="00543740"/>
    <w:rsid w:val="00543E9C"/>
    <w:rsid w:val="0054406A"/>
    <w:rsid w:val="00545BFF"/>
    <w:rsid w:val="0054694D"/>
    <w:rsid w:val="00547380"/>
    <w:rsid w:val="005509C8"/>
    <w:rsid w:val="00550D10"/>
    <w:rsid w:val="00551230"/>
    <w:rsid w:val="0055155D"/>
    <w:rsid w:val="005522E8"/>
    <w:rsid w:val="005532AE"/>
    <w:rsid w:val="00555D44"/>
    <w:rsid w:val="00557BEF"/>
    <w:rsid w:val="00560367"/>
    <w:rsid w:val="005638B2"/>
    <w:rsid w:val="00565717"/>
    <w:rsid w:val="005706CC"/>
    <w:rsid w:val="00571737"/>
    <w:rsid w:val="00571A01"/>
    <w:rsid w:val="005722EB"/>
    <w:rsid w:val="00572AAD"/>
    <w:rsid w:val="00572E48"/>
    <w:rsid w:val="005747FF"/>
    <w:rsid w:val="00574F5E"/>
    <w:rsid w:val="00581915"/>
    <w:rsid w:val="00582102"/>
    <w:rsid w:val="00583138"/>
    <w:rsid w:val="00583313"/>
    <w:rsid w:val="00584385"/>
    <w:rsid w:val="00584740"/>
    <w:rsid w:val="005861E7"/>
    <w:rsid w:val="00587FE6"/>
    <w:rsid w:val="00591F54"/>
    <w:rsid w:val="00593E62"/>
    <w:rsid w:val="00594B15"/>
    <w:rsid w:val="0059523B"/>
    <w:rsid w:val="00596109"/>
    <w:rsid w:val="005967BB"/>
    <w:rsid w:val="00596883"/>
    <w:rsid w:val="00596A74"/>
    <w:rsid w:val="005A3222"/>
    <w:rsid w:val="005A3985"/>
    <w:rsid w:val="005A7146"/>
    <w:rsid w:val="005A7E64"/>
    <w:rsid w:val="005B0981"/>
    <w:rsid w:val="005B28FE"/>
    <w:rsid w:val="005B4641"/>
    <w:rsid w:val="005B48F3"/>
    <w:rsid w:val="005B5220"/>
    <w:rsid w:val="005B6C6A"/>
    <w:rsid w:val="005B6F24"/>
    <w:rsid w:val="005B6FB1"/>
    <w:rsid w:val="005B73AA"/>
    <w:rsid w:val="005B788C"/>
    <w:rsid w:val="005C2437"/>
    <w:rsid w:val="005C2E8B"/>
    <w:rsid w:val="005C33B0"/>
    <w:rsid w:val="005C3B61"/>
    <w:rsid w:val="005C40CA"/>
    <w:rsid w:val="005C436F"/>
    <w:rsid w:val="005C51C2"/>
    <w:rsid w:val="005C6308"/>
    <w:rsid w:val="005C6658"/>
    <w:rsid w:val="005C6D55"/>
    <w:rsid w:val="005C7219"/>
    <w:rsid w:val="005D2E05"/>
    <w:rsid w:val="005D3368"/>
    <w:rsid w:val="005D5833"/>
    <w:rsid w:val="005D5CB6"/>
    <w:rsid w:val="005D70F7"/>
    <w:rsid w:val="005E0731"/>
    <w:rsid w:val="005E0A33"/>
    <w:rsid w:val="005E1588"/>
    <w:rsid w:val="005E29F3"/>
    <w:rsid w:val="005E2D20"/>
    <w:rsid w:val="005E3877"/>
    <w:rsid w:val="005E5646"/>
    <w:rsid w:val="005E5C25"/>
    <w:rsid w:val="005F0882"/>
    <w:rsid w:val="005F0AA5"/>
    <w:rsid w:val="005F0F77"/>
    <w:rsid w:val="005F251F"/>
    <w:rsid w:val="005F2BAD"/>
    <w:rsid w:val="005F3426"/>
    <w:rsid w:val="005F3538"/>
    <w:rsid w:val="005F4E56"/>
    <w:rsid w:val="005F7764"/>
    <w:rsid w:val="005F7797"/>
    <w:rsid w:val="006006F4"/>
    <w:rsid w:val="00600A0B"/>
    <w:rsid w:val="006021CC"/>
    <w:rsid w:val="006026B5"/>
    <w:rsid w:val="006028A6"/>
    <w:rsid w:val="00602BBA"/>
    <w:rsid w:val="00604FB9"/>
    <w:rsid w:val="006059E4"/>
    <w:rsid w:val="00607213"/>
    <w:rsid w:val="006074A3"/>
    <w:rsid w:val="00607F00"/>
    <w:rsid w:val="00611799"/>
    <w:rsid w:val="006117FE"/>
    <w:rsid w:val="00611844"/>
    <w:rsid w:val="006134B9"/>
    <w:rsid w:val="0061403D"/>
    <w:rsid w:val="00614CDB"/>
    <w:rsid w:val="00615DBE"/>
    <w:rsid w:val="006165E4"/>
    <w:rsid w:val="006204FD"/>
    <w:rsid w:val="00620A10"/>
    <w:rsid w:val="00621E91"/>
    <w:rsid w:val="0062234B"/>
    <w:rsid w:val="006234E1"/>
    <w:rsid w:val="0062490F"/>
    <w:rsid w:val="0062543F"/>
    <w:rsid w:val="00625925"/>
    <w:rsid w:val="00631373"/>
    <w:rsid w:val="00631D1A"/>
    <w:rsid w:val="00631FD1"/>
    <w:rsid w:val="00632E99"/>
    <w:rsid w:val="00633617"/>
    <w:rsid w:val="0063438C"/>
    <w:rsid w:val="00635177"/>
    <w:rsid w:val="006357A9"/>
    <w:rsid w:val="0063599F"/>
    <w:rsid w:val="00635A2F"/>
    <w:rsid w:val="00635D67"/>
    <w:rsid w:val="00641011"/>
    <w:rsid w:val="00641F43"/>
    <w:rsid w:val="00643FB1"/>
    <w:rsid w:val="00644051"/>
    <w:rsid w:val="006441E1"/>
    <w:rsid w:val="00644766"/>
    <w:rsid w:val="00644838"/>
    <w:rsid w:val="00644CE6"/>
    <w:rsid w:val="006456E5"/>
    <w:rsid w:val="00646BCB"/>
    <w:rsid w:val="00646D1D"/>
    <w:rsid w:val="006473A8"/>
    <w:rsid w:val="006474EB"/>
    <w:rsid w:val="006507ED"/>
    <w:rsid w:val="006510F8"/>
    <w:rsid w:val="00651C38"/>
    <w:rsid w:val="00652BE9"/>
    <w:rsid w:val="00655CB7"/>
    <w:rsid w:val="00660363"/>
    <w:rsid w:val="00660E60"/>
    <w:rsid w:val="006629A0"/>
    <w:rsid w:val="006631C9"/>
    <w:rsid w:val="006642B4"/>
    <w:rsid w:val="00667A43"/>
    <w:rsid w:val="006703A5"/>
    <w:rsid w:val="006709F4"/>
    <w:rsid w:val="006733E5"/>
    <w:rsid w:val="00675D0B"/>
    <w:rsid w:val="006766FB"/>
    <w:rsid w:val="00677CFD"/>
    <w:rsid w:val="006800E1"/>
    <w:rsid w:val="00682222"/>
    <w:rsid w:val="006851F1"/>
    <w:rsid w:val="00687641"/>
    <w:rsid w:val="0069016D"/>
    <w:rsid w:val="006901C3"/>
    <w:rsid w:val="0069203D"/>
    <w:rsid w:val="0069249E"/>
    <w:rsid w:val="00694F0D"/>
    <w:rsid w:val="00695723"/>
    <w:rsid w:val="00695E03"/>
    <w:rsid w:val="006979E4"/>
    <w:rsid w:val="006A0781"/>
    <w:rsid w:val="006A083C"/>
    <w:rsid w:val="006A0B45"/>
    <w:rsid w:val="006A3BC1"/>
    <w:rsid w:val="006A4247"/>
    <w:rsid w:val="006A4E8D"/>
    <w:rsid w:val="006A7E85"/>
    <w:rsid w:val="006B06CA"/>
    <w:rsid w:val="006B5B3E"/>
    <w:rsid w:val="006B74B6"/>
    <w:rsid w:val="006C03ED"/>
    <w:rsid w:val="006C20FB"/>
    <w:rsid w:val="006C241E"/>
    <w:rsid w:val="006C2461"/>
    <w:rsid w:val="006C26B5"/>
    <w:rsid w:val="006C4DA0"/>
    <w:rsid w:val="006C75C0"/>
    <w:rsid w:val="006C7660"/>
    <w:rsid w:val="006D02D2"/>
    <w:rsid w:val="006D11CE"/>
    <w:rsid w:val="006D1782"/>
    <w:rsid w:val="006D3529"/>
    <w:rsid w:val="006D35D8"/>
    <w:rsid w:val="006D4AB9"/>
    <w:rsid w:val="006D59A0"/>
    <w:rsid w:val="006D6092"/>
    <w:rsid w:val="006D6F5A"/>
    <w:rsid w:val="006E035D"/>
    <w:rsid w:val="006E0643"/>
    <w:rsid w:val="006E06E3"/>
    <w:rsid w:val="006E118F"/>
    <w:rsid w:val="006E1488"/>
    <w:rsid w:val="006E1B1D"/>
    <w:rsid w:val="006E283C"/>
    <w:rsid w:val="006E353E"/>
    <w:rsid w:val="006E4222"/>
    <w:rsid w:val="006E5273"/>
    <w:rsid w:val="006E5A97"/>
    <w:rsid w:val="006E7C23"/>
    <w:rsid w:val="006F0508"/>
    <w:rsid w:val="006F1D79"/>
    <w:rsid w:val="006F3217"/>
    <w:rsid w:val="006F6104"/>
    <w:rsid w:val="006F6459"/>
    <w:rsid w:val="00700502"/>
    <w:rsid w:val="007054EC"/>
    <w:rsid w:val="00706604"/>
    <w:rsid w:val="00707235"/>
    <w:rsid w:val="00712803"/>
    <w:rsid w:val="00714720"/>
    <w:rsid w:val="007169F5"/>
    <w:rsid w:val="00717658"/>
    <w:rsid w:val="00721566"/>
    <w:rsid w:val="0072391B"/>
    <w:rsid w:val="00723CF2"/>
    <w:rsid w:val="00724A49"/>
    <w:rsid w:val="007268C8"/>
    <w:rsid w:val="00726A94"/>
    <w:rsid w:val="00732599"/>
    <w:rsid w:val="00732B82"/>
    <w:rsid w:val="007358C2"/>
    <w:rsid w:val="007359A2"/>
    <w:rsid w:val="00735FEB"/>
    <w:rsid w:val="00737AD0"/>
    <w:rsid w:val="007401EC"/>
    <w:rsid w:val="00740CD0"/>
    <w:rsid w:val="007427CF"/>
    <w:rsid w:val="007430FE"/>
    <w:rsid w:val="00743B72"/>
    <w:rsid w:val="00744439"/>
    <w:rsid w:val="007454CF"/>
    <w:rsid w:val="00745AEC"/>
    <w:rsid w:val="00747312"/>
    <w:rsid w:val="007474FF"/>
    <w:rsid w:val="007501B3"/>
    <w:rsid w:val="00750797"/>
    <w:rsid w:val="007547B1"/>
    <w:rsid w:val="007550F6"/>
    <w:rsid w:val="0075605D"/>
    <w:rsid w:val="0075746B"/>
    <w:rsid w:val="007578BB"/>
    <w:rsid w:val="0076077F"/>
    <w:rsid w:val="00762999"/>
    <w:rsid w:val="00762A57"/>
    <w:rsid w:val="00762D76"/>
    <w:rsid w:val="00765C0A"/>
    <w:rsid w:val="007667B5"/>
    <w:rsid w:val="00766B85"/>
    <w:rsid w:val="0076712A"/>
    <w:rsid w:val="00771B49"/>
    <w:rsid w:val="007722C4"/>
    <w:rsid w:val="0077346F"/>
    <w:rsid w:val="007745CA"/>
    <w:rsid w:val="0077473B"/>
    <w:rsid w:val="007761DA"/>
    <w:rsid w:val="00776699"/>
    <w:rsid w:val="00781A4A"/>
    <w:rsid w:val="00782132"/>
    <w:rsid w:val="00783795"/>
    <w:rsid w:val="0078528A"/>
    <w:rsid w:val="00786546"/>
    <w:rsid w:val="007871B3"/>
    <w:rsid w:val="0078740A"/>
    <w:rsid w:val="00787AB7"/>
    <w:rsid w:val="0079077D"/>
    <w:rsid w:val="007918B3"/>
    <w:rsid w:val="00791DAF"/>
    <w:rsid w:val="007921C2"/>
    <w:rsid w:val="00792748"/>
    <w:rsid w:val="00793379"/>
    <w:rsid w:val="00793504"/>
    <w:rsid w:val="007957DA"/>
    <w:rsid w:val="0079584A"/>
    <w:rsid w:val="007A0941"/>
    <w:rsid w:val="007A0978"/>
    <w:rsid w:val="007A0D0B"/>
    <w:rsid w:val="007A2D7A"/>
    <w:rsid w:val="007A311D"/>
    <w:rsid w:val="007A5334"/>
    <w:rsid w:val="007A56DC"/>
    <w:rsid w:val="007A5AB0"/>
    <w:rsid w:val="007A5BB9"/>
    <w:rsid w:val="007A6164"/>
    <w:rsid w:val="007A6246"/>
    <w:rsid w:val="007A66D1"/>
    <w:rsid w:val="007A74DB"/>
    <w:rsid w:val="007B06CA"/>
    <w:rsid w:val="007B0B8D"/>
    <w:rsid w:val="007B18F1"/>
    <w:rsid w:val="007B2158"/>
    <w:rsid w:val="007B2BE9"/>
    <w:rsid w:val="007B4895"/>
    <w:rsid w:val="007B5364"/>
    <w:rsid w:val="007B54BD"/>
    <w:rsid w:val="007B6C4A"/>
    <w:rsid w:val="007C04FC"/>
    <w:rsid w:val="007C6F35"/>
    <w:rsid w:val="007C79EE"/>
    <w:rsid w:val="007C7F7D"/>
    <w:rsid w:val="007D0766"/>
    <w:rsid w:val="007D38B2"/>
    <w:rsid w:val="007D42C2"/>
    <w:rsid w:val="007D4D40"/>
    <w:rsid w:val="007D4F3B"/>
    <w:rsid w:val="007D779A"/>
    <w:rsid w:val="007D7AB9"/>
    <w:rsid w:val="007E1341"/>
    <w:rsid w:val="007E20F1"/>
    <w:rsid w:val="007E2548"/>
    <w:rsid w:val="007E38E8"/>
    <w:rsid w:val="007E5D97"/>
    <w:rsid w:val="007E600B"/>
    <w:rsid w:val="007F0470"/>
    <w:rsid w:val="007F06F2"/>
    <w:rsid w:val="007F2EEC"/>
    <w:rsid w:val="007F400F"/>
    <w:rsid w:val="007F614B"/>
    <w:rsid w:val="007F7D92"/>
    <w:rsid w:val="00800650"/>
    <w:rsid w:val="008006C4"/>
    <w:rsid w:val="00800FED"/>
    <w:rsid w:val="00801751"/>
    <w:rsid w:val="00803581"/>
    <w:rsid w:val="00804053"/>
    <w:rsid w:val="00804248"/>
    <w:rsid w:val="0080523A"/>
    <w:rsid w:val="00806DC3"/>
    <w:rsid w:val="0080732D"/>
    <w:rsid w:val="00810184"/>
    <w:rsid w:val="0081333A"/>
    <w:rsid w:val="00814F41"/>
    <w:rsid w:val="00815C69"/>
    <w:rsid w:val="0081663D"/>
    <w:rsid w:val="00816EE8"/>
    <w:rsid w:val="00817A95"/>
    <w:rsid w:val="00820C1B"/>
    <w:rsid w:val="0082148A"/>
    <w:rsid w:val="00821CD1"/>
    <w:rsid w:val="00821E08"/>
    <w:rsid w:val="008224EE"/>
    <w:rsid w:val="00823130"/>
    <w:rsid w:val="0082578E"/>
    <w:rsid w:val="008262C2"/>
    <w:rsid w:val="00827B0C"/>
    <w:rsid w:val="00831EAC"/>
    <w:rsid w:val="00833500"/>
    <w:rsid w:val="00833C09"/>
    <w:rsid w:val="00834A0C"/>
    <w:rsid w:val="00836F1F"/>
    <w:rsid w:val="00837577"/>
    <w:rsid w:val="00837DEE"/>
    <w:rsid w:val="008403EE"/>
    <w:rsid w:val="00840CF3"/>
    <w:rsid w:val="00841E60"/>
    <w:rsid w:val="00842168"/>
    <w:rsid w:val="00843AB9"/>
    <w:rsid w:val="00844194"/>
    <w:rsid w:val="00844FFD"/>
    <w:rsid w:val="00845AB7"/>
    <w:rsid w:val="008508E2"/>
    <w:rsid w:val="00850A5F"/>
    <w:rsid w:val="00852049"/>
    <w:rsid w:val="00852277"/>
    <w:rsid w:val="00852A01"/>
    <w:rsid w:val="008538DF"/>
    <w:rsid w:val="00853ACB"/>
    <w:rsid w:val="00853F28"/>
    <w:rsid w:val="0085462C"/>
    <w:rsid w:val="00854E78"/>
    <w:rsid w:val="0085649B"/>
    <w:rsid w:val="00857F62"/>
    <w:rsid w:val="008644E3"/>
    <w:rsid w:val="008671D2"/>
    <w:rsid w:val="008702B3"/>
    <w:rsid w:val="0087090A"/>
    <w:rsid w:val="008737D7"/>
    <w:rsid w:val="00873E51"/>
    <w:rsid w:val="008750CD"/>
    <w:rsid w:val="008766E5"/>
    <w:rsid w:val="00876FD9"/>
    <w:rsid w:val="00877307"/>
    <w:rsid w:val="00880F6A"/>
    <w:rsid w:val="008813D4"/>
    <w:rsid w:val="008824B1"/>
    <w:rsid w:val="00883A00"/>
    <w:rsid w:val="00884387"/>
    <w:rsid w:val="00884860"/>
    <w:rsid w:val="00884AD3"/>
    <w:rsid w:val="00887612"/>
    <w:rsid w:val="00891115"/>
    <w:rsid w:val="00892595"/>
    <w:rsid w:val="008934EE"/>
    <w:rsid w:val="008949CD"/>
    <w:rsid w:val="008977F6"/>
    <w:rsid w:val="00897AC3"/>
    <w:rsid w:val="00897D57"/>
    <w:rsid w:val="008A0B97"/>
    <w:rsid w:val="008A258D"/>
    <w:rsid w:val="008A282B"/>
    <w:rsid w:val="008A2CD9"/>
    <w:rsid w:val="008A34BD"/>
    <w:rsid w:val="008A40A1"/>
    <w:rsid w:val="008A43BA"/>
    <w:rsid w:val="008A500A"/>
    <w:rsid w:val="008A6A37"/>
    <w:rsid w:val="008A73EB"/>
    <w:rsid w:val="008A7418"/>
    <w:rsid w:val="008A7E99"/>
    <w:rsid w:val="008B0792"/>
    <w:rsid w:val="008B2FFC"/>
    <w:rsid w:val="008B3A4E"/>
    <w:rsid w:val="008B42C1"/>
    <w:rsid w:val="008B4F02"/>
    <w:rsid w:val="008B5B74"/>
    <w:rsid w:val="008B5C9E"/>
    <w:rsid w:val="008B6E23"/>
    <w:rsid w:val="008C1062"/>
    <w:rsid w:val="008C4F3D"/>
    <w:rsid w:val="008C5558"/>
    <w:rsid w:val="008C5A8C"/>
    <w:rsid w:val="008C60FB"/>
    <w:rsid w:val="008D1382"/>
    <w:rsid w:val="008D2525"/>
    <w:rsid w:val="008D2611"/>
    <w:rsid w:val="008D3BA6"/>
    <w:rsid w:val="008D4F4A"/>
    <w:rsid w:val="008D6E9C"/>
    <w:rsid w:val="008E1CA7"/>
    <w:rsid w:val="008E3B00"/>
    <w:rsid w:val="008E400F"/>
    <w:rsid w:val="008E702E"/>
    <w:rsid w:val="008F170B"/>
    <w:rsid w:val="008F1C65"/>
    <w:rsid w:val="008F4798"/>
    <w:rsid w:val="008F4A36"/>
    <w:rsid w:val="008F5FA0"/>
    <w:rsid w:val="008F619E"/>
    <w:rsid w:val="008F6225"/>
    <w:rsid w:val="0090099F"/>
    <w:rsid w:val="00902138"/>
    <w:rsid w:val="009036AC"/>
    <w:rsid w:val="00904433"/>
    <w:rsid w:val="00904BDC"/>
    <w:rsid w:val="0090550C"/>
    <w:rsid w:val="0090761D"/>
    <w:rsid w:val="00910D78"/>
    <w:rsid w:val="00911857"/>
    <w:rsid w:val="00912D87"/>
    <w:rsid w:val="009144C6"/>
    <w:rsid w:val="009156F5"/>
    <w:rsid w:val="00915BDA"/>
    <w:rsid w:val="009173E3"/>
    <w:rsid w:val="0091790E"/>
    <w:rsid w:val="009237C1"/>
    <w:rsid w:val="009247A0"/>
    <w:rsid w:val="009264DB"/>
    <w:rsid w:val="00927082"/>
    <w:rsid w:val="009276B7"/>
    <w:rsid w:val="00927AEA"/>
    <w:rsid w:val="0093192E"/>
    <w:rsid w:val="0093249D"/>
    <w:rsid w:val="00933146"/>
    <w:rsid w:val="009349C0"/>
    <w:rsid w:val="009366D5"/>
    <w:rsid w:val="00936CFC"/>
    <w:rsid w:val="0093774C"/>
    <w:rsid w:val="00940170"/>
    <w:rsid w:val="009402FE"/>
    <w:rsid w:val="00940EC8"/>
    <w:rsid w:val="009418D2"/>
    <w:rsid w:val="00941CAD"/>
    <w:rsid w:val="00942065"/>
    <w:rsid w:val="009430B1"/>
    <w:rsid w:val="00943850"/>
    <w:rsid w:val="00943A6D"/>
    <w:rsid w:val="00943E54"/>
    <w:rsid w:val="00943FF8"/>
    <w:rsid w:val="00945698"/>
    <w:rsid w:val="009457EF"/>
    <w:rsid w:val="00945BCF"/>
    <w:rsid w:val="00946604"/>
    <w:rsid w:val="009466DC"/>
    <w:rsid w:val="00946B88"/>
    <w:rsid w:val="009478DA"/>
    <w:rsid w:val="00947910"/>
    <w:rsid w:val="00947AD3"/>
    <w:rsid w:val="009505AA"/>
    <w:rsid w:val="009508A6"/>
    <w:rsid w:val="00950E85"/>
    <w:rsid w:val="0095130E"/>
    <w:rsid w:val="0095136F"/>
    <w:rsid w:val="00951B5E"/>
    <w:rsid w:val="00951C76"/>
    <w:rsid w:val="00951F34"/>
    <w:rsid w:val="009530D4"/>
    <w:rsid w:val="009564F9"/>
    <w:rsid w:val="0095708B"/>
    <w:rsid w:val="0095750C"/>
    <w:rsid w:val="0095786D"/>
    <w:rsid w:val="0096288F"/>
    <w:rsid w:val="00963588"/>
    <w:rsid w:val="00963D8E"/>
    <w:rsid w:val="00964247"/>
    <w:rsid w:val="009655BF"/>
    <w:rsid w:val="00965F57"/>
    <w:rsid w:val="009703B2"/>
    <w:rsid w:val="00971451"/>
    <w:rsid w:val="00973498"/>
    <w:rsid w:val="009740C1"/>
    <w:rsid w:val="00975117"/>
    <w:rsid w:val="009761C3"/>
    <w:rsid w:val="0097775B"/>
    <w:rsid w:val="00977D0A"/>
    <w:rsid w:val="009817BB"/>
    <w:rsid w:val="00981C9D"/>
    <w:rsid w:val="009827A7"/>
    <w:rsid w:val="00985DB7"/>
    <w:rsid w:val="0099005D"/>
    <w:rsid w:val="00991010"/>
    <w:rsid w:val="0099108D"/>
    <w:rsid w:val="0099297B"/>
    <w:rsid w:val="00992D28"/>
    <w:rsid w:val="00993365"/>
    <w:rsid w:val="00993F22"/>
    <w:rsid w:val="00996990"/>
    <w:rsid w:val="00997CF2"/>
    <w:rsid w:val="009A1046"/>
    <w:rsid w:val="009A23C4"/>
    <w:rsid w:val="009A3041"/>
    <w:rsid w:val="009A344A"/>
    <w:rsid w:val="009A57DD"/>
    <w:rsid w:val="009A66FA"/>
    <w:rsid w:val="009B2111"/>
    <w:rsid w:val="009B2A82"/>
    <w:rsid w:val="009B31FE"/>
    <w:rsid w:val="009B35CA"/>
    <w:rsid w:val="009B3CF0"/>
    <w:rsid w:val="009B6A6E"/>
    <w:rsid w:val="009B6F85"/>
    <w:rsid w:val="009B772D"/>
    <w:rsid w:val="009C029C"/>
    <w:rsid w:val="009C1083"/>
    <w:rsid w:val="009C2B7A"/>
    <w:rsid w:val="009C43FD"/>
    <w:rsid w:val="009C67A5"/>
    <w:rsid w:val="009C6D79"/>
    <w:rsid w:val="009C73C3"/>
    <w:rsid w:val="009D661F"/>
    <w:rsid w:val="009D6CD2"/>
    <w:rsid w:val="009D7DC3"/>
    <w:rsid w:val="009D7F75"/>
    <w:rsid w:val="009D7FE8"/>
    <w:rsid w:val="009E0C75"/>
    <w:rsid w:val="009E1175"/>
    <w:rsid w:val="009E3B82"/>
    <w:rsid w:val="009E4B45"/>
    <w:rsid w:val="009E5AC3"/>
    <w:rsid w:val="009E61B2"/>
    <w:rsid w:val="009E6313"/>
    <w:rsid w:val="009F508D"/>
    <w:rsid w:val="009F5F8F"/>
    <w:rsid w:val="009F641E"/>
    <w:rsid w:val="009F745F"/>
    <w:rsid w:val="00A00E3C"/>
    <w:rsid w:val="00A00F71"/>
    <w:rsid w:val="00A0109C"/>
    <w:rsid w:val="00A0114C"/>
    <w:rsid w:val="00A029F6"/>
    <w:rsid w:val="00A0428B"/>
    <w:rsid w:val="00A056AC"/>
    <w:rsid w:val="00A05BA1"/>
    <w:rsid w:val="00A064A6"/>
    <w:rsid w:val="00A07085"/>
    <w:rsid w:val="00A0793D"/>
    <w:rsid w:val="00A1044E"/>
    <w:rsid w:val="00A108E9"/>
    <w:rsid w:val="00A10B48"/>
    <w:rsid w:val="00A10DF4"/>
    <w:rsid w:val="00A11DD4"/>
    <w:rsid w:val="00A13D39"/>
    <w:rsid w:val="00A1481E"/>
    <w:rsid w:val="00A14FA7"/>
    <w:rsid w:val="00A15143"/>
    <w:rsid w:val="00A159E8"/>
    <w:rsid w:val="00A15C94"/>
    <w:rsid w:val="00A17DFE"/>
    <w:rsid w:val="00A20524"/>
    <w:rsid w:val="00A22D36"/>
    <w:rsid w:val="00A23F63"/>
    <w:rsid w:val="00A26733"/>
    <w:rsid w:val="00A26A5A"/>
    <w:rsid w:val="00A27233"/>
    <w:rsid w:val="00A27419"/>
    <w:rsid w:val="00A31769"/>
    <w:rsid w:val="00A32387"/>
    <w:rsid w:val="00A326F3"/>
    <w:rsid w:val="00A3342E"/>
    <w:rsid w:val="00A3595B"/>
    <w:rsid w:val="00A37BF0"/>
    <w:rsid w:val="00A4355E"/>
    <w:rsid w:val="00A4451F"/>
    <w:rsid w:val="00A44E7F"/>
    <w:rsid w:val="00A46802"/>
    <w:rsid w:val="00A47669"/>
    <w:rsid w:val="00A477DA"/>
    <w:rsid w:val="00A47CEF"/>
    <w:rsid w:val="00A47DC9"/>
    <w:rsid w:val="00A50429"/>
    <w:rsid w:val="00A50618"/>
    <w:rsid w:val="00A519CC"/>
    <w:rsid w:val="00A54828"/>
    <w:rsid w:val="00A556D2"/>
    <w:rsid w:val="00A5574A"/>
    <w:rsid w:val="00A60DCE"/>
    <w:rsid w:val="00A625C8"/>
    <w:rsid w:val="00A6477D"/>
    <w:rsid w:val="00A71159"/>
    <w:rsid w:val="00A71D5B"/>
    <w:rsid w:val="00A7345F"/>
    <w:rsid w:val="00A74581"/>
    <w:rsid w:val="00A7478F"/>
    <w:rsid w:val="00A74D5E"/>
    <w:rsid w:val="00A74FC1"/>
    <w:rsid w:val="00A75388"/>
    <w:rsid w:val="00A755E3"/>
    <w:rsid w:val="00A760F1"/>
    <w:rsid w:val="00A80C6B"/>
    <w:rsid w:val="00A82B69"/>
    <w:rsid w:val="00A83292"/>
    <w:rsid w:val="00A83A37"/>
    <w:rsid w:val="00A847B0"/>
    <w:rsid w:val="00A85223"/>
    <w:rsid w:val="00A85EFB"/>
    <w:rsid w:val="00A8609C"/>
    <w:rsid w:val="00A86E5F"/>
    <w:rsid w:val="00A874E4"/>
    <w:rsid w:val="00A91053"/>
    <w:rsid w:val="00A91D47"/>
    <w:rsid w:val="00A92676"/>
    <w:rsid w:val="00A93DD7"/>
    <w:rsid w:val="00A944F4"/>
    <w:rsid w:val="00A965E4"/>
    <w:rsid w:val="00AA0A8B"/>
    <w:rsid w:val="00AA19A2"/>
    <w:rsid w:val="00AA2F3B"/>
    <w:rsid w:val="00AA2F82"/>
    <w:rsid w:val="00AA2FDF"/>
    <w:rsid w:val="00AA3BB3"/>
    <w:rsid w:val="00AA41A9"/>
    <w:rsid w:val="00AA484B"/>
    <w:rsid w:val="00AA535F"/>
    <w:rsid w:val="00AA5D16"/>
    <w:rsid w:val="00AA5F70"/>
    <w:rsid w:val="00AA64FB"/>
    <w:rsid w:val="00AB0C45"/>
    <w:rsid w:val="00AB1599"/>
    <w:rsid w:val="00AB5874"/>
    <w:rsid w:val="00AB6262"/>
    <w:rsid w:val="00AB7124"/>
    <w:rsid w:val="00AB7A53"/>
    <w:rsid w:val="00AC332F"/>
    <w:rsid w:val="00AC35D6"/>
    <w:rsid w:val="00AC4743"/>
    <w:rsid w:val="00AC4EAD"/>
    <w:rsid w:val="00AC5205"/>
    <w:rsid w:val="00AC52BE"/>
    <w:rsid w:val="00AC5758"/>
    <w:rsid w:val="00AC6254"/>
    <w:rsid w:val="00AC741A"/>
    <w:rsid w:val="00AC7D14"/>
    <w:rsid w:val="00AD1D1A"/>
    <w:rsid w:val="00AD3664"/>
    <w:rsid w:val="00AD4CDA"/>
    <w:rsid w:val="00AD546F"/>
    <w:rsid w:val="00AD5B92"/>
    <w:rsid w:val="00AD7FA8"/>
    <w:rsid w:val="00AE1B10"/>
    <w:rsid w:val="00AE1BEB"/>
    <w:rsid w:val="00AE29CA"/>
    <w:rsid w:val="00AE3AE5"/>
    <w:rsid w:val="00AE573C"/>
    <w:rsid w:val="00AE6E01"/>
    <w:rsid w:val="00AF348C"/>
    <w:rsid w:val="00AF3534"/>
    <w:rsid w:val="00AF36B7"/>
    <w:rsid w:val="00AF4431"/>
    <w:rsid w:val="00AF5CDA"/>
    <w:rsid w:val="00AF6275"/>
    <w:rsid w:val="00AF7269"/>
    <w:rsid w:val="00B0035A"/>
    <w:rsid w:val="00B0088D"/>
    <w:rsid w:val="00B008B4"/>
    <w:rsid w:val="00B00BFD"/>
    <w:rsid w:val="00B00DD4"/>
    <w:rsid w:val="00B01980"/>
    <w:rsid w:val="00B042A0"/>
    <w:rsid w:val="00B0555D"/>
    <w:rsid w:val="00B06AC2"/>
    <w:rsid w:val="00B11B36"/>
    <w:rsid w:val="00B11BC8"/>
    <w:rsid w:val="00B125A8"/>
    <w:rsid w:val="00B15379"/>
    <w:rsid w:val="00B16253"/>
    <w:rsid w:val="00B16C65"/>
    <w:rsid w:val="00B20B03"/>
    <w:rsid w:val="00B21934"/>
    <w:rsid w:val="00B2285D"/>
    <w:rsid w:val="00B22F65"/>
    <w:rsid w:val="00B25631"/>
    <w:rsid w:val="00B25B74"/>
    <w:rsid w:val="00B265BF"/>
    <w:rsid w:val="00B27740"/>
    <w:rsid w:val="00B27B45"/>
    <w:rsid w:val="00B30B2A"/>
    <w:rsid w:val="00B30D07"/>
    <w:rsid w:val="00B31157"/>
    <w:rsid w:val="00B32E1E"/>
    <w:rsid w:val="00B332FC"/>
    <w:rsid w:val="00B33A5D"/>
    <w:rsid w:val="00B340DB"/>
    <w:rsid w:val="00B345A2"/>
    <w:rsid w:val="00B35008"/>
    <w:rsid w:val="00B422E2"/>
    <w:rsid w:val="00B42A6C"/>
    <w:rsid w:val="00B43451"/>
    <w:rsid w:val="00B43D1B"/>
    <w:rsid w:val="00B50E6E"/>
    <w:rsid w:val="00B50F7D"/>
    <w:rsid w:val="00B52C3D"/>
    <w:rsid w:val="00B53A7F"/>
    <w:rsid w:val="00B56081"/>
    <w:rsid w:val="00B561F9"/>
    <w:rsid w:val="00B57547"/>
    <w:rsid w:val="00B57EC4"/>
    <w:rsid w:val="00B606C3"/>
    <w:rsid w:val="00B6193F"/>
    <w:rsid w:val="00B63665"/>
    <w:rsid w:val="00B6436B"/>
    <w:rsid w:val="00B65640"/>
    <w:rsid w:val="00B670B4"/>
    <w:rsid w:val="00B6752D"/>
    <w:rsid w:val="00B67A8E"/>
    <w:rsid w:val="00B67E15"/>
    <w:rsid w:val="00B70C84"/>
    <w:rsid w:val="00B7450B"/>
    <w:rsid w:val="00B77544"/>
    <w:rsid w:val="00B8071B"/>
    <w:rsid w:val="00B808EE"/>
    <w:rsid w:val="00B81498"/>
    <w:rsid w:val="00B833CE"/>
    <w:rsid w:val="00B85DBE"/>
    <w:rsid w:val="00B909EB"/>
    <w:rsid w:val="00B92D75"/>
    <w:rsid w:val="00B935E7"/>
    <w:rsid w:val="00B94EC5"/>
    <w:rsid w:val="00B95E46"/>
    <w:rsid w:val="00B96937"/>
    <w:rsid w:val="00B969A9"/>
    <w:rsid w:val="00B97A6D"/>
    <w:rsid w:val="00BA208B"/>
    <w:rsid w:val="00BA3D07"/>
    <w:rsid w:val="00BA48D6"/>
    <w:rsid w:val="00BA75B1"/>
    <w:rsid w:val="00BB1C7F"/>
    <w:rsid w:val="00BB3BE1"/>
    <w:rsid w:val="00BB53DC"/>
    <w:rsid w:val="00BB672D"/>
    <w:rsid w:val="00BB720E"/>
    <w:rsid w:val="00BB7ADD"/>
    <w:rsid w:val="00BC012A"/>
    <w:rsid w:val="00BC2DAE"/>
    <w:rsid w:val="00BC3544"/>
    <w:rsid w:val="00BC367E"/>
    <w:rsid w:val="00BC3ECC"/>
    <w:rsid w:val="00BC3F9C"/>
    <w:rsid w:val="00BC475B"/>
    <w:rsid w:val="00BC4763"/>
    <w:rsid w:val="00BC540E"/>
    <w:rsid w:val="00BC5F5F"/>
    <w:rsid w:val="00BC6201"/>
    <w:rsid w:val="00BC6F77"/>
    <w:rsid w:val="00BD098C"/>
    <w:rsid w:val="00BD102A"/>
    <w:rsid w:val="00BD3F4A"/>
    <w:rsid w:val="00BD666C"/>
    <w:rsid w:val="00BD6BDC"/>
    <w:rsid w:val="00BD6D29"/>
    <w:rsid w:val="00BE06B5"/>
    <w:rsid w:val="00BE0C4E"/>
    <w:rsid w:val="00BE2A2E"/>
    <w:rsid w:val="00BE3623"/>
    <w:rsid w:val="00BE36AA"/>
    <w:rsid w:val="00BE5B32"/>
    <w:rsid w:val="00BF0782"/>
    <w:rsid w:val="00BF27F5"/>
    <w:rsid w:val="00BF548C"/>
    <w:rsid w:val="00BF7714"/>
    <w:rsid w:val="00BF7A34"/>
    <w:rsid w:val="00C00FE4"/>
    <w:rsid w:val="00C01620"/>
    <w:rsid w:val="00C04DBE"/>
    <w:rsid w:val="00C05BEB"/>
    <w:rsid w:val="00C06584"/>
    <w:rsid w:val="00C067F6"/>
    <w:rsid w:val="00C070DC"/>
    <w:rsid w:val="00C10481"/>
    <w:rsid w:val="00C1189F"/>
    <w:rsid w:val="00C11983"/>
    <w:rsid w:val="00C13A0F"/>
    <w:rsid w:val="00C160F9"/>
    <w:rsid w:val="00C171B9"/>
    <w:rsid w:val="00C21871"/>
    <w:rsid w:val="00C21CEE"/>
    <w:rsid w:val="00C228A9"/>
    <w:rsid w:val="00C252B9"/>
    <w:rsid w:val="00C252E6"/>
    <w:rsid w:val="00C258C9"/>
    <w:rsid w:val="00C25E58"/>
    <w:rsid w:val="00C2663F"/>
    <w:rsid w:val="00C26F66"/>
    <w:rsid w:val="00C27D62"/>
    <w:rsid w:val="00C31E94"/>
    <w:rsid w:val="00C334F1"/>
    <w:rsid w:val="00C350CA"/>
    <w:rsid w:val="00C35A21"/>
    <w:rsid w:val="00C36221"/>
    <w:rsid w:val="00C41463"/>
    <w:rsid w:val="00C42155"/>
    <w:rsid w:val="00C429CD"/>
    <w:rsid w:val="00C452FF"/>
    <w:rsid w:val="00C45C4F"/>
    <w:rsid w:val="00C4744E"/>
    <w:rsid w:val="00C51450"/>
    <w:rsid w:val="00C5197F"/>
    <w:rsid w:val="00C52CCA"/>
    <w:rsid w:val="00C546C5"/>
    <w:rsid w:val="00C61151"/>
    <w:rsid w:val="00C6341A"/>
    <w:rsid w:val="00C6382C"/>
    <w:rsid w:val="00C64896"/>
    <w:rsid w:val="00C65A21"/>
    <w:rsid w:val="00C71C73"/>
    <w:rsid w:val="00C7200A"/>
    <w:rsid w:val="00C72970"/>
    <w:rsid w:val="00C72F8C"/>
    <w:rsid w:val="00C73CF8"/>
    <w:rsid w:val="00C7467F"/>
    <w:rsid w:val="00C74924"/>
    <w:rsid w:val="00C74988"/>
    <w:rsid w:val="00C76992"/>
    <w:rsid w:val="00C76EDA"/>
    <w:rsid w:val="00C80428"/>
    <w:rsid w:val="00C82132"/>
    <w:rsid w:val="00C82A62"/>
    <w:rsid w:val="00C84C2B"/>
    <w:rsid w:val="00C853D1"/>
    <w:rsid w:val="00C85A96"/>
    <w:rsid w:val="00C86687"/>
    <w:rsid w:val="00C87F74"/>
    <w:rsid w:val="00C9233E"/>
    <w:rsid w:val="00C96165"/>
    <w:rsid w:val="00CA0C1D"/>
    <w:rsid w:val="00CA1578"/>
    <w:rsid w:val="00CA1A35"/>
    <w:rsid w:val="00CA2F84"/>
    <w:rsid w:val="00CA54C1"/>
    <w:rsid w:val="00CA56B5"/>
    <w:rsid w:val="00CA64B2"/>
    <w:rsid w:val="00CB1453"/>
    <w:rsid w:val="00CB2B7B"/>
    <w:rsid w:val="00CB3507"/>
    <w:rsid w:val="00CB43F7"/>
    <w:rsid w:val="00CB5A9E"/>
    <w:rsid w:val="00CB74F9"/>
    <w:rsid w:val="00CB755C"/>
    <w:rsid w:val="00CB7A9C"/>
    <w:rsid w:val="00CC12D9"/>
    <w:rsid w:val="00CC293D"/>
    <w:rsid w:val="00CC2EBD"/>
    <w:rsid w:val="00CC3C31"/>
    <w:rsid w:val="00CC5000"/>
    <w:rsid w:val="00CC5561"/>
    <w:rsid w:val="00CC5B9F"/>
    <w:rsid w:val="00CC652E"/>
    <w:rsid w:val="00CC7111"/>
    <w:rsid w:val="00CC7A27"/>
    <w:rsid w:val="00CC7EAC"/>
    <w:rsid w:val="00CD0335"/>
    <w:rsid w:val="00CD1505"/>
    <w:rsid w:val="00CD2787"/>
    <w:rsid w:val="00CD2836"/>
    <w:rsid w:val="00CD573E"/>
    <w:rsid w:val="00CE0389"/>
    <w:rsid w:val="00CE58E1"/>
    <w:rsid w:val="00CE7D92"/>
    <w:rsid w:val="00CF1FCE"/>
    <w:rsid w:val="00CF312E"/>
    <w:rsid w:val="00CF38E2"/>
    <w:rsid w:val="00CF3C8E"/>
    <w:rsid w:val="00CF46A1"/>
    <w:rsid w:val="00CF5073"/>
    <w:rsid w:val="00CF5199"/>
    <w:rsid w:val="00CF5432"/>
    <w:rsid w:val="00CF6CD6"/>
    <w:rsid w:val="00CF7911"/>
    <w:rsid w:val="00CF7F10"/>
    <w:rsid w:val="00D00393"/>
    <w:rsid w:val="00D0168B"/>
    <w:rsid w:val="00D02413"/>
    <w:rsid w:val="00D0258F"/>
    <w:rsid w:val="00D028F1"/>
    <w:rsid w:val="00D04493"/>
    <w:rsid w:val="00D04636"/>
    <w:rsid w:val="00D05776"/>
    <w:rsid w:val="00D05DB0"/>
    <w:rsid w:val="00D060B7"/>
    <w:rsid w:val="00D06809"/>
    <w:rsid w:val="00D069DF"/>
    <w:rsid w:val="00D07358"/>
    <w:rsid w:val="00D104DB"/>
    <w:rsid w:val="00D10BBE"/>
    <w:rsid w:val="00D10CA1"/>
    <w:rsid w:val="00D114F9"/>
    <w:rsid w:val="00D11BE9"/>
    <w:rsid w:val="00D11E84"/>
    <w:rsid w:val="00D121F9"/>
    <w:rsid w:val="00D14A58"/>
    <w:rsid w:val="00D15032"/>
    <w:rsid w:val="00D16932"/>
    <w:rsid w:val="00D16C0D"/>
    <w:rsid w:val="00D16F06"/>
    <w:rsid w:val="00D205E4"/>
    <w:rsid w:val="00D21B7F"/>
    <w:rsid w:val="00D22A8D"/>
    <w:rsid w:val="00D237F3"/>
    <w:rsid w:val="00D2535A"/>
    <w:rsid w:val="00D26877"/>
    <w:rsid w:val="00D309AA"/>
    <w:rsid w:val="00D349C8"/>
    <w:rsid w:val="00D34FF7"/>
    <w:rsid w:val="00D36269"/>
    <w:rsid w:val="00D41ABA"/>
    <w:rsid w:val="00D41BBE"/>
    <w:rsid w:val="00D423EA"/>
    <w:rsid w:val="00D43062"/>
    <w:rsid w:val="00D44B5E"/>
    <w:rsid w:val="00D461AD"/>
    <w:rsid w:val="00D5012F"/>
    <w:rsid w:val="00D51CED"/>
    <w:rsid w:val="00D5332B"/>
    <w:rsid w:val="00D535C0"/>
    <w:rsid w:val="00D53A0C"/>
    <w:rsid w:val="00D53DFE"/>
    <w:rsid w:val="00D54405"/>
    <w:rsid w:val="00D553B2"/>
    <w:rsid w:val="00D56572"/>
    <w:rsid w:val="00D57654"/>
    <w:rsid w:val="00D603BF"/>
    <w:rsid w:val="00D60D69"/>
    <w:rsid w:val="00D62C6E"/>
    <w:rsid w:val="00D639BF"/>
    <w:rsid w:val="00D6407D"/>
    <w:rsid w:val="00D643A8"/>
    <w:rsid w:val="00D6732F"/>
    <w:rsid w:val="00D726AE"/>
    <w:rsid w:val="00D733EF"/>
    <w:rsid w:val="00D737E6"/>
    <w:rsid w:val="00D74CF0"/>
    <w:rsid w:val="00D752D2"/>
    <w:rsid w:val="00D76975"/>
    <w:rsid w:val="00D7717E"/>
    <w:rsid w:val="00D772C9"/>
    <w:rsid w:val="00D77542"/>
    <w:rsid w:val="00D779FA"/>
    <w:rsid w:val="00D80610"/>
    <w:rsid w:val="00D80EA7"/>
    <w:rsid w:val="00D85DFF"/>
    <w:rsid w:val="00D875AD"/>
    <w:rsid w:val="00D90E06"/>
    <w:rsid w:val="00D9128F"/>
    <w:rsid w:val="00D917F4"/>
    <w:rsid w:val="00D92950"/>
    <w:rsid w:val="00D93EFD"/>
    <w:rsid w:val="00D943CE"/>
    <w:rsid w:val="00D94C0C"/>
    <w:rsid w:val="00D9579C"/>
    <w:rsid w:val="00D96276"/>
    <w:rsid w:val="00D96B97"/>
    <w:rsid w:val="00DA33F5"/>
    <w:rsid w:val="00DA3751"/>
    <w:rsid w:val="00DA3E8B"/>
    <w:rsid w:val="00DA4001"/>
    <w:rsid w:val="00DA6BC5"/>
    <w:rsid w:val="00DA7965"/>
    <w:rsid w:val="00DB10DD"/>
    <w:rsid w:val="00DB1689"/>
    <w:rsid w:val="00DB268E"/>
    <w:rsid w:val="00DB27C6"/>
    <w:rsid w:val="00DB4EF9"/>
    <w:rsid w:val="00DB557D"/>
    <w:rsid w:val="00DB56BC"/>
    <w:rsid w:val="00DB58B0"/>
    <w:rsid w:val="00DB5D61"/>
    <w:rsid w:val="00DB6C9F"/>
    <w:rsid w:val="00DB6D27"/>
    <w:rsid w:val="00DB754B"/>
    <w:rsid w:val="00DC0AAB"/>
    <w:rsid w:val="00DC0FE5"/>
    <w:rsid w:val="00DC3DD5"/>
    <w:rsid w:val="00DC4524"/>
    <w:rsid w:val="00DC5C7B"/>
    <w:rsid w:val="00DC6020"/>
    <w:rsid w:val="00DC6387"/>
    <w:rsid w:val="00DC6C53"/>
    <w:rsid w:val="00DD0303"/>
    <w:rsid w:val="00DD0E54"/>
    <w:rsid w:val="00DD116F"/>
    <w:rsid w:val="00DD1586"/>
    <w:rsid w:val="00DD2536"/>
    <w:rsid w:val="00DD2660"/>
    <w:rsid w:val="00DD4568"/>
    <w:rsid w:val="00DD5573"/>
    <w:rsid w:val="00DD6442"/>
    <w:rsid w:val="00DE227A"/>
    <w:rsid w:val="00DE2672"/>
    <w:rsid w:val="00DE2D5B"/>
    <w:rsid w:val="00DE301F"/>
    <w:rsid w:val="00DE4F8B"/>
    <w:rsid w:val="00DE5AAC"/>
    <w:rsid w:val="00DE6290"/>
    <w:rsid w:val="00DF0D4F"/>
    <w:rsid w:val="00DF0E39"/>
    <w:rsid w:val="00DF1DC4"/>
    <w:rsid w:val="00DF2DD7"/>
    <w:rsid w:val="00DF4441"/>
    <w:rsid w:val="00DF4A13"/>
    <w:rsid w:val="00DF63B1"/>
    <w:rsid w:val="00DF70E7"/>
    <w:rsid w:val="00E00CF7"/>
    <w:rsid w:val="00E010F7"/>
    <w:rsid w:val="00E022C6"/>
    <w:rsid w:val="00E02900"/>
    <w:rsid w:val="00E02D3F"/>
    <w:rsid w:val="00E0369E"/>
    <w:rsid w:val="00E04243"/>
    <w:rsid w:val="00E04D30"/>
    <w:rsid w:val="00E0511C"/>
    <w:rsid w:val="00E05349"/>
    <w:rsid w:val="00E05DAF"/>
    <w:rsid w:val="00E06552"/>
    <w:rsid w:val="00E1157D"/>
    <w:rsid w:val="00E1265F"/>
    <w:rsid w:val="00E12780"/>
    <w:rsid w:val="00E130C7"/>
    <w:rsid w:val="00E14603"/>
    <w:rsid w:val="00E15654"/>
    <w:rsid w:val="00E15BF7"/>
    <w:rsid w:val="00E160CE"/>
    <w:rsid w:val="00E16F78"/>
    <w:rsid w:val="00E17C32"/>
    <w:rsid w:val="00E17C77"/>
    <w:rsid w:val="00E240BC"/>
    <w:rsid w:val="00E25DDB"/>
    <w:rsid w:val="00E278F2"/>
    <w:rsid w:val="00E30CD3"/>
    <w:rsid w:val="00E30E7E"/>
    <w:rsid w:val="00E317EA"/>
    <w:rsid w:val="00E3240A"/>
    <w:rsid w:val="00E32D11"/>
    <w:rsid w:val="00E33609"/>
    <w:rsid w:val="00E33E03"/>
    <w:rsid w:val="00E3412A"/>
    <w:rsid w:val="00E356CA"/>
    <w:rsid w:val="00E378A7"/>
    <w:rsid w:val="00E37BAF"/>
    <w:rsid w:val="00E4099C"/>
    <w:rsid w:val="00E41E5D"/>
    <w:rsid w:val="00E42E72"/>
    <w:rsid w:val="00E443C4"/>
    <w:rsid w:val="00E44731"/>
    <w:rsid w:val="00E45953"/>
    <w:rsid w:val="00E46DA8"/>
    <w:rsid w:val="00E5060B"/>
    <w:rsid w:val="00E524AF"/>
    <w:rsid w:val="00E53CEB"/>
    <w:rsid w:val="00E5473E"/>
    <w:rsid w:val="00E5561A"/>
    <w:rsid w:val="00E57937"/>
    <w:rsid w:val="00E57F38"/>
    <w:rsid w:val="00E61E5E"/>
    <w:rsid w:val="00E63092"/>
    <w:rsid w:val="00E64649"/>
    <w:rsid w:val="00E66F83"/>
    <w:rsid w:val="00E7110F"/>
    <w:rsid w:val="00E73287"/>
    <w:rsid w:val="00E73937"/>
    <w:rsid w:val="00E7419A"/>
    <w:rsid w:val="00E74831"/>
    <w:rsid w:val="00E7492D"/>
    <w:rsid w:val="00E7518D"/>
    <w:rsid w:val="00E80C55"/>
    <w:rsid w:val="00E81AE2"/>
    <w:rsid w:val="00E82B18"/>
    <w:rsid w:val="00E8346C"/>
    <w:rsid w:val="00E83494"/>
    <w:rsid w:val="00E84336"/>
    <w:rsid w:val="00E85B41"/>
    <w:rsid w:val="00E87E74"/>
    <w:rsid w:val="00E91339"/>
    <w:rsid w:val="00E9186A"/>
    <w:rsid w:val="00E92B4A"/>
    <w:rsid w:val="00E93EDF"/>
    <w:rsid w:val="00E9602D"/>
    <w:rsid w:val="00E965D0"/>
    <w:rsid w:val="00E966F3"/>
    <w:rsid w:val="00E96C70"/>
    <w:rsid w:val="00E97619"/>
    <w:rsid w:val="00E97929"/>
    <w:rsid w:val="00EA0BD5"/>
    <w:rsid w:val="00EA0DF6"/>
    <w:rsid w:val="00EA1004"/>
    <w:rsid w:val="00EA1426"/>
    <w:rsid w:val="00EA2A2C"/>
    <w:rsid w:val="00EA2CF6"/>
    <w:rsid w:val="00EA30B1"/>
    <w:rsid w:val="00EA32C2"/>
    <w:rsid w:val="00EA415A"/>
    <w:rsid w:val="00EA4781"/>
    <w:rsid w:val="00EA6054"/>
    <w:rsid w:val="00EB01F9"/>
    <w:rsid w:val="00EB0518"/>
    <w:rsid w:val="00EB051B"/>
    <w:rsid w:val="00EB0AEA"/>
    <w:rsid w:val="00EB114B"/>
    <w:rsid w:val="00EB1E57"/>
    <w:rsid w:val="00EB254E"/>
    <w:rsid w:val="00EB43DB"/>
    <w:rsid w:val="00EB4A38"/>
    <w:rsid w:val="00EB5EC7"/>
    <w:rsid w:val="00EB67AB"/>
    <w:rsid w:val="00EC01B9"/>
    <w:rsid w:val="00EC023F"/>
    <w:rsid w:val="00EC172F"/>
    <w:rsid w:val="00EC4189"/>
    <w:rsid w:val="00ED175B"/>
    <w:rsid w:val="00ED2143"/>
    <w:rsid w:val="00ED23EB"/>
    <w:rsid w:val="00ED5509"/>
    <w:rsid w:val="00ED7B0C"/>
    <w:rsid w:val="00EE1F23"/>
    <w:rsid w:val="00EE23E5"/>
    <w:rsid w:val="00EE27F8"/>
    <w:rsid w:val="00EE3424"/>
    <w:rsid w:val="00EE4551"/>
    <w:rsid w:val="00EE4815"/>
    <w:rsid w:val="00EE53C5"/>
    <w:rsid w:val="00EE7818"/>
    <w:rsid w:val="00EE7871"/>
    <w:rsid w:val="00EF0402"/>
    <w:rsid w:val="00EF0D39"/>
    <w:rsid w:val="00EF3F54"/>
    <w:rsid w:val="00EF557E"/>
    <w:rsid w:val="00EF639E"/>
    <w:rsid w:val="00EF7E8E"/>
    <w:rsid w:val="00F01CF5"/>
    <w:rsid w:val="00F01F31"/>
    <w:rsid w:val="00F03666"/>
    <w:rsid w:val="00F03ADE"/>
    <w:rsid w:val="00F05DDC"/>
    <w:rsid w:val="00F060A2"/>
    <w:rsid w:val="00F061EA"/>
    <w:rsid w:val="00F06206"/>
    <w:rsid w:val="00F069FF"/>
    <w:rsid w:val="00F107E4"/>
    <w:rsid w:val="00F10BA7"/>
    <w:rsid w:val="00F11638"/>
    <w:rsid w:val="00F121AE"/>
    <w:rsid w:val="00F13B57"/>
    <w:rsid w:val="00F1411D"/>
    <w:rsid w:val="00F147D9"/>
    <w:rsid w:val="00F14AB8"/>
    <w:rsid w:val="00F16C0F"/>
    <w:rsid w:val="00F17641"/>
    <w:rsid w:val="00F20002"/>
    <w:rsid w:val="00F2070A"/>
    <w:rsid w:val="00F218E9"/>
    <w:rsid w:val="00F23CB2"/>
    <w:rsid w:val="00F25E33"/>
    <w:rsid w:val="00F27E58"/>
    <w:rsid w:val="00F32781"/>
    <w:rsid w:val="00F33B1C"/>
    <w:rsid w:val="00F347EA"/>
    <w:rsid w:val="00F35A10"/>
    <w:rsid w:val="00F366F6"/>
    <w:rsid w:val="00F4029B"/>
    <w:rsid w:val="00F40AEC"/>
    <w:rsid w:val="00F41239"/>
    <w:rsid w:val="00F41A6F"/>
    <w:rsid w:val="00F41EB2"/>
    <w:rsid w:val="00F4296E"/>
    <w:rsid w:val="00F44120"/>
    <w:rsid w:val="00F44D79"/>
    <w:rsid w:val="00F45655"/>
    <w:rsid w:val="00F462F3"/>
    <w:rsid w:val="00F475AC"/>
    <w:rsid w:val="00F47DA2"/>
    <w:rsid w:val="00F5115D"/>
    <w:rsid w:val="00F516F1"/>
    <w:rsid w:val="00F5283E"/>
    <w:rsid w:val="00F53A45"/>
    <w:rsid w:val="00F54246"/>
    <w:rsid w:val="00F54360"/>
    <w:rsid w:val="00F561D0"/>
    <w:rsid w:val="00F56916"/>
    <w:rsid w:val="00F61725"/>
    <w:rsid w:val="00F61A94"/>
    <w:rsid w:val="00F6341B"/>
    <w:rsid w:val="00F70CF2"/>
    <w:rsid w:val="00F71261"/>
    <w:rsid w:val="00F712D2"/>
    <w:rsid w:val="00F71341"/>
    <w:rsid w:val="00F71F27"/>
    <w:rsid w:val="00F7203A"/>
    <w:rsid w:val="00F7246E"/>
    <w:rsid w:val="00F72CFF"/>
    <w:rsid w:val="00F7369F"/>
    <w:rsid w:val="00F748CD"/>
    <w:rsid w:val="00F762D3"/>
    <w:rsid w:val="00F77C11"/>
    <w:rsid w:val="00F81A9B"/>
    <w:rsid w:val="00F821C8"/>
    <w:rsid w:val="00F8232D"/>
    <w:rsid w:val="00F833CB"/>
    <w:rsid w:val="00F83C7A"/>
    <w:rsid w:val="00F84248"/>
    <w:rsid w:val="00F8570E"/>
    <w:rsid w:val="00F868EF"/>
    <w:rsid w:val="00F86EA7"/>
    <w:rsid w:val="00F916E0"/>
    <w:rsid w:val="00F926A0"/>
    <w:rsid w:val="00F926E4"/>
    <w:rsid w:val="00F931D2"/>
    <w:rsid w:val="00F960BE"/>
    <w:rsid w:val="00FA3491"/>
    <w:rsid w:val="00FA3952"/>
    <w:rsid w:val="00FA5759"/>
    <w:rsid w:val="00FA703C"/>
    <w:rsid w:val="00FA7BA8"/>
    <w:rsid w:val="00FB018E"/>
    <w:rsid w:val="00FB19EC"/>
    <w:rsid w:val="00FB1A11"/>
    <w:rsid w:val="00FB2500"/>
    <w:rsid w:val="00FB286D"/>
    <w:rsid w:val="00FB473B"/>
    <w:rsid w:val="00FB4AB4"/>
    <w:rsid w:val="00FB5413"/>
    <w:rsid w:val="00FB6BF8"/>
    <w:rsid w:val="00FC4CB0"/>
    <w:rsid w:val="00FC55E7"/>
    <w:rsid w:val="00FC6454"/>
    <w:rsid w:val="00FC6B3E"/>
    <w:rsid w:val="00FD1A44"/>
    <w:rsid w:val="00FD2AF7"/>
    <w:rsid w:val="00FD66A1"/>
    <w:rsid w:val="00FD766C"/>
    <w:rsid w:val="00FD7A43"/>
    <w:rsid w:val="00FE3038"/>
    <w:rsid w:val="00FE53FE"/>
    <w:rsid w:val="00FE5E84"/>
    <w:rsid w:val="00FE7722"/>
    <w:rsid w:val="00FF1A47"/>
    <w:rsid w:val="00FF1B1D"/>
    <w:rsid w:val="00FF3D67"/>
    <w:rsid w:val="00FF4236"/>
    <w:rsid w:val="00FF4BE3"/>
    <w:rsid w:val="00FF69E9"/>
    <w:rsid w:val="59C27B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0CE86389-428D-4E4F-AA14-BA48084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1578"/>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5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32EB2"/>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2EB2"/>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character" w:styleId="Mencinsinresolver2" w:customStyle="1">
    <w:name w:val="Mención sin resolver2"/>
    <w:basedOn w:val="Fuentedeprrafopredeter"/>
    <w:uiPriority w:val="99"/>
    <w:semiHidden/>
    <w:unhideWhenUsed/>
    <w:rsid w:val="00375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990">
      <w:bodyDiv w:val="1"/>
      <w:marLeft w:val="0"/>
      <w:marRight w:val="0"/>
      <w:marTop w:val="0"/>
      <w:marBottom w:val="0"/>
      <w:divBdr>
        <w:top w:val="none" w:sz="0" w:space="0" w:color="auto"/>
        <w:left w:val="none" w:sz="0" w:space="0" w:color="auto"/>
        <w:bottom w:val="none" w:sz="0" w:space="0" w:color="auto"/>
        <w:right w:val="none" w:sz="0" w:space="0" w:color="auto"/>
      </w:divBdr>
    </w:div>
    <w:div w:id="130443910">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67844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5907975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56902">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4739">
      <w:bodyDiv w:val="1"/>
      <w:marLeft w:val="0"/>
      <w:marRight w:val="0"/>
      <w:marTop w:val="0"/>
      <w:marBottom w:val="0"/>
      <w:divBdr>
        <w:top w:val="none" w:sz="0" w:space="0" w:color="auto"/>
        <w:left w:val="none" w:sz="0" w:space="0" w:color="auto"/>
        <w:bottom w:val="none" w:sz="0" w:space="0" w:color="auto"/>
        <w:right w:val="none" w:sz="0" w:space="0" w:color="auto"/>
      </w:divBdr>
    </w:div>
    <w:div w:id="1126973640">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7142">
      <w:bodyDiv w:val="1"/>
      <w:marLeft w:val="0"/>
      <w:marRight w:val="0"/>
      <w:marTop w:val="0"/>
      <w:marBottom w:val="0"/>
      <w:divBdr>
        <w:top w:val="none" w:sz="0" w:space="0" w:color="auto"/>
        <w:left w:val="none" w:sz="0" w:space="0" w:color="auto"/>
        <w:bottom w:val="none" w:sz="0" w:space="0" w:color="auto"/>
        <w:right w:val="none" w:sz="0" w:space="0" w:color="auto"/>
      </w:divBdr>
    </w:div>
    <w:div w:id="1725714276">
      <w:bodyDiv w:val="1"/>
      <w:marLeft w:val="0"/>
      <w:marRight w:val="0"/>
      <w:marTop w:val="0"/>
      <w:marBottom w:val="0"/>
      <w:divBdr>
        <w:top w:val="none" w:sz="0" w:space="0" w:color="auto"/>
        <w:left w:val="none" w:sz="0" w:space="0" w:color="auto"/>
        <w:bottom w:val="none" w:sz="0" w:space="0" w:color="auto"/>
        <w:right w:val="none" w:sz="0" w:space="0" w:color="auto"/>
      </w:divBdr>
    </w:div>
    <w:div w:id="1822306729">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820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omasuno.com.mx/gobierno-de-tlalnepantla-fortalece-la-seguridad-del-municipio-con-la-entrega-de-patrullas/" TargetMode="External"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repositorio.tlalnepantla.gob.mx/files/pdf/repositorio/2074ifp.pdf?v=c81e728d9d4c2f636f067f89cc14862c"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repositorio.tlalnepantla.gob.mx/files/pdf/repositorio/2983gt.pdf?v=c4ca4238a0b923820dcc509a6f75849b" TargetMode="External" Id="rId9" /><Relationship Type="http://schemas.openxmlformats.org/officeDocument/2006/relationships/header" Target="header1.xml" Id="rId14" /><Relationship Type="http://schemas.openxmlformats.org/officeDocument/2006/relationships/glossaryDocument" Target="glossary/document.xml" Id="R079afea96fe64b06"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c56052a-2bd8-4a47-bbaa-e648563cca55}"/>
      </w:docPartPr>
      <w:docPartBody>
        <w:p w14:paraId="2BD5284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BE0E-2C45-4706-A2DE-C430509B90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10</revision>
  <dcterms:created xsi:type="dcterms:W3CDTF">2023-02-09T15:29:00.0000000Z</dcterms:created>
  <dcterms:modified xsi:type="dcterms:W3CDTF">2023-03-09T19:44:03.5199304Z</dcterms:modified>
</coreProperties>
</file>