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w:t>
      </w:r>
      <w:r w:rsidDel="00000000" w:rsidR="00000000" w:rsidRPr="00000000">
        <w:rPr>
          <w:rFonts w:ascii="Palatino Linotype" w:cs="Palatino Linotype" w:eastAsia="Palatino Linotype" w:hAnsi="Palatino Linotype"/>
          <w:b w:val="1"/>
          <w:rtl w:val="0"/>
        </w:rPr>
        <w:t xml:space="preserve">primero de noviembre de dos mil veintitrés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05289/INFOEM/IP/RR/2023</w:t>
      </w:r>
      <w:r w:rsidDel="00000000" w:rsidR="00000000" w:rsidRPr="00000000">
        <w:rPr>
          <w:rFonts w:ascii="Palatino Linotype" w:cs="Palatino Linotype" w:eastAsia="Palatino Linotype" w:hAnsi="Palatino Linotype"/>
          <w:rtl w:val="0"/>
        </w:rPr>
        <w:t xml:space="preserve">, interpuesto por</w:t>
      </w:r>
      <w:r w:rsidDel="00000000" w:rsidR="00000000" w:rsidRPr="00000000">
        <w:rPr>
          <w:rFonts w:ascii="Palatino Linotype" w:cs="Palatino Linotype" w:eastAsia="Palatino Linotype" w:hAnsi="Palatino Linotype"/>
          <w:b w:val="1"/>
          <w:rtl w:val="0"/>
        </w:rPr>
        <w:t xml:space="preserve"> XXXXX XXXX XXXXXXX,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la parte 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Zinacantepec,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treinta y uno de julio de dos mil veintitrés,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la parte 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00776/ZINACANT/IP/2023,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“KARENTY CASTRO CAMACHO” (Sic)</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Prórroga.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veintiuno de agosto de dos mil veintitrés,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notificó a la parte solicitante, la prórroga para atender su solicitud de información, medularmente en los siguientes términos:</w:t>
      </w:r>
    </w:p>
    <w:p w:rsidR="00000000" w:rsidDel="00000000" w:rsidP="00000000" w:rsidRDefault="00000000" w:rsidRPr="00000000" w14:paraId="00000008">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00000" w:rsidDel="00000000" w:rsidP="00000000" w:rsidRDefault="00000000" w:rsidRPr="00000000" w14:paraId="00000009">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aprueba prórroga solicitada con la finalidad de dar cabal cumplimiento a su requerimiento.</w:t>
      </w:r>
    </w:p>
    <w:p w:rsidR="00000000" w:rsidDel="00000000" w:rsidP="00000000" w:rsidRDefault="00000000" w:rsidRPr="00000000" w14:paraId="0000000A">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BRENDA SELENE HERNANDEZ LOPEZ</w:t>
      </w:r>
    </w:p>
    <w:p w:rsidR="00000000" w:rsidDel="00000000" w:rsidP="00000000" w:rsidRDefault="00000000" w:rsidRPr="00000000" w14:paraId="0000000B">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Responsable de la Unidad de Transparencia”</w:t>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Información que Puede estar en Poder de Otro Sujeto Obligado.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treinta y uno de agosto de dos mil veintitrés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notificó a través de SAIMEX, lo siguiente:   </w:t>
      </w:r>
      <w:r w:rsidDel="00000000" w:rsidR="00000000" w:rsidRPr="00000000">
        <w:rPr>
          <w:rtl w:val="0"/>
        </w:rPr>
      </w:r>
    </w:p>
    <w:p w:rsidR="00000000" w:rsidDel="00000000" w:rsidP="00000000" w:rsidRDefault="00000000" w:rsidRPr="00000000" w14:paraId="0000000D">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Sin Solicitud no especifica</w:t>
      </w:r>
      <w:r w:rsidDel="00000000" w:rsidR="00000000" w:rsidRPr="00000000">
        <w:rPr>
          <w:rtl w:val="0"/>
        </w:rPr>
      </w:r>
    </w:p>
    <w:p w:rsidR="00000000" w:rsidDel="00000000" w:rsidP="00000000" w:rsidRDefault="00000000" w:rsidRPr="00000000" w14:paraId="0000000E">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ATENTAMENTE</w:t>
      </w:r>
    </w:p>
    <w:p w:rsidR="00000000" w:rsidDel="00000000" w:rsidP="00000000" w:rsidRDefault="00000000" w:rsidRPr="00000000" w14:paraId="0000000F">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BRENDA SELENE HERNANDEZ LOPEZ” (Sic) (Énfasis añadido)</w:t>
      </w:r>
    </w:p>
    <w:p w:rsidR="00000000" w:rsidDel="00000000" w:rsidP="00000000" w:rsidRDefault="00000000" w:rsidRPr="00000000" w14:paraId="00000010">
      <w:pPr>
        <w:spacing w:after="240" w:before="240" w:line="360" w:lineRule="auto"/>
        <w:ind w:left="567"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Archivos adjuntos:</w:t>
      </w:r>
    </w:p>
    <w:p w:rsidR="00000000" w:rsidDel="00000000" w:rsidP="00000000" w:rsidRDefault="00000000" w:rsidRPr="00000000" w14:paraId="00000011">
      <w:pPr>
        <w:spacing w:after="240" w:before="240" w:line="360" w:lineRule="auto"/>
        <w:ind w:left="567"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“Art 167.docx”: </w:t>
      </w:r>
      <w:r w:rsidDel="00000000" w:rsidR="00000000" w:rsidRPr="00000000">
        <w:rPr>
          <w:rFonts w:ascii="Palatino Linotype" w:cs="Palatino Linotype" w:eastAsia="Palatino Linotype" w:hAnsi="Palatino Linotype"/>
          <w:rtl w:val="0"/>
        </w:rPr>
        <w:t xml:space="preserve">Documento de una foja en la que se aprecia la leyenda “art 167”</w:t>
      </w:r>
    </w:p>
    <w:p w:rsidR="00000000" w:rsidDel="00000000" w:rsidP="00000000" w:rsidRDefault="00000000" w:rsidRPr="00000000" w14:paraId="00000012">
      <w:pPr>
        <w:spacing w:after="240" w:before="240" w:line="360" w:lineRule="auto"/>
        <w:ind w:left="567"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3896269" cy="10764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96269" cy="10764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Interposición del recurso de revisión.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cuatro de septiembre de dos mil veintitrés, </w:t>
      </w:r>
      <w:r w:rsidDel="00000000" w:rsidR="00000000" w:rsidRPr="00000000">
        <w:rPr>
          <w:rFonts w:ascii="Palatino Linotype" w:cs="Palatino Linotype" w:eastAsia="Palatino Linotype" w:hAnsi="Palatino Linotype"/>
          <w:rtl w:val="0"/>
        </w:rPr>
        <w:t xml:space="preserve">la </w:t>
      </w:r>
      <w:r w:rsidDel="00000000" w:rsidR="00000000" w:rsidRPr="00000000">
        <w:rPr>
          <w:rFonts w:ascii="Palatino Linotype" w:cs="Palatino Linotype" w:eastAsia="Palatino Linotype" w:hAnsi="Palatino Linotype"/>
          <w:b w:val="1"/>
          <w:rtl w:val="0"/>
        </w:rPr>
        <w:t xml:space="preserve">parte 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r w:rsidDel="00000000" w:rsidR="00000000" w:rsidRPr="00000000">
        <w:rPr>
          <w:rtl w:val="0"/>
        </w:rPr>
      </w:r>
    </w:p>
    <w:p w:rsidR="00000000" w:rsidDel="00000000" w:rsidP="00000000" w:rsidRDefault="00000000" w:rsidRPr="00000000" w14:paraId="00000014">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 </w:t>
      </w:r>
    </w:p>
    <w:p w:rsidR="00000000" w:rsidDel="00000000" w:rsidP="00000000" w:rsidRDefault="00000000" w:rsidRPr="00000000" w14:paraId="00000015">
      <w:pPr>
        <w:tabs>
          <w:tab w:val="left" w:leader="none" w:pos="2745"/>
        </w:tabs>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NO ENTREGAN INFORMACIÓN</w:t>
      </w:r>
      <w:r w:rsidDel="00000000" w:rsidR="00000000" w:rsidRPr="00000000">
        <w:rPr>
          <w:rFonts w:ascii="Palatino Linotype" w:cs="Palatino Linotype" w:eastAsia="Palatino Linotype" w:hAnsi="Palatino Linotype"/>
          <w:i w:val="1"/>
          <w:sz w:val="22"/>
          <w:szCs w:val="22"/>
          <w:rtl w:val="0"/>
        </w:rPr>
        <w:t xml:space="preserve">” (Sic) (Énfasis añadido)</w:t>
      </w:r>
    </w:p>
    <w:p w:rsidR="00000000" w:rsidDel="00000000" w:rsidP="00000000" w:rsidRDefault="00000000" w:rsidRPr="00000000" w14:paraId="00000016">
      <w:pPr>
        <w:tabs>
          <w:tab w:val="left" w:leader="none" w:pos="2745"/>
        </w:tabs>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7">
      <w:pPr>
        <w:spacing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b) Razones o motivos de inconformidad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8">
      <w:pPr>
        <w:ind w:left="567" w:right="902" w:firstLine="0"/>
        <w:jc w:val="both"/>
        <w:rPr>
          <w:rFonts w:ascii="Palatino Linotype" w:cs="Palatino Linotype" w:eastAsia="Palatino Linotype" w:hAnsi="Palatino Linotype"/>
          <w:i w:val="1"/>
          <w:sz w:val="22"/>
          <w:szCs w:val="22"/>
        </w:rPr>
      </w:pPr>
      <w:bookmarkStart w:colFirst="0" w:colLast="0" w:name="_heading=h.30j0zll" w:id="1"/>
      <w:bookmarkEnd w:id="1"/>
      <w:r w:rsidDel="00000000" w:rsidR="00000000" w:rsidRPr="00000000">
        <w:rPr>
          <w:rFonts w:ascii="Palatino Linotype" w:cs="Palatino Linotype" w:eastAsia="Palatino Linotype" w:hAnsi="Palatino Linotype"/>
          <w:i w:val="1"/>
          <w:sz w:val="22"/>
          <w:szCs w:val="22"/>
          <w:rtl w:val="0"/>
        </w:rPr>
        <w:t xml:space="preserve">“NO ENTREGAN INFORMACIÓN”</w:t>
      </w:r>
    </w:p>
    <w:p w:rsidR="00000000" w:rsidDel="00000000" w:rsidP="00000000" w:rsidRDefault="00000000" w:rsidRPr="00000000" w14:paraId="00000019">
      <w:pPr>
        <w:ind w:left="851" w:right="902"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1A">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Del="00000000" w:rsidR="00000000" w:rsidRPr="00000000">
        <w:rPr>
          <w:rFonts w:ascii="Palatino Linotype" w:cs="Palatino Linotype" w:eastAsia="Palatino Linotype" w:hAnsi="Palatino Linotype"/>
          <w:b w:val="1"/>
          <w:rtl w:val="0"/>
        </w:rPr>
        <w:t xml:space="preserve">Comisionada 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B">
      <w:pPr>
        <w:widowControl w:val="0"/>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Admisión del Recurso de revisión.</w:t>
      </w:r>
      <w:r w:rsidDel="00000000" w:rsidR="00000000" w:rsidRPr="00000000">
        <w:rPr>
          <w:rFonts w:ascii="Palatino Linotype" w:cs="Palatino Linotype" w:eastAsia="Palatino Linotype" w:hAnsi="Palatino Linotype"/>
          <w:rtl w:val="0"/>
        </w:rPr>
        <w:t xml:space="preserve"> El</w:t>
      </w:r>
      <w:r w:rsidDel="00000000" w:rsidR="00000000" w:rsidRPr="00000000">
        <w:rPr>
          <w:rFonts w:ascii="Palatino Linotype" w:cs="Palatino Linotype" w:eastAsia="Palatino Linotype" w:hAnsi="Palatino Linotype"/>
          <w:b w:val="1"/>
          <w:rtl w:val="0"/>
        </w:rPr>
        <w:t xml:space="preserve"> siete de septiembre de dos mil veintitrés,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r w:rsidDel="00000000" w:rsidR="00000000" w:rsidRPr="00000000">
        <w:rPr>
          <w:rtl w:val="0"/>
        </w:rPr>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Manifestaciones</w:t>
      </w:r>
      <w:r w:rsidDel="00000000" w:rsidR="00000000" w:rsidRPr="00000000">
        <w:rPr>
          <w:rFonts w:ascii="Palatino Linotype" w:cs="Palatino Linotype" w:eastAsia="Palatino Linotype" w:hAnsi="Palatino Linotype"/>
          <w:rtl w:val="0"/>
        </w:rPr>
        <w:t xml:space="preserve">. De las constancias que obran en el expediente electrónico, se aprecia que las partes fueron omisas en remitir sus manifestaciones, informes justificados o cualquier argumento que a su derecho conviniera.</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2130" cy="149606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12130" cy="14960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tabs>
          <w:tab w:val="left" w:leader="none" w:pos="709"/>
        </w:tabs>
        <w:spacing w:after="240" w:before="240" w:line="360" w:lineRule="auto"/>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7. Ampliación del plazo para emitir resolución.</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veintiséis de octubre de dos mil veintitrés</w:t>
      </w:r>
      <w:r w:rsidDel="00000000" w:rsidR="00000000" w:rsidRPr="00000000">
        <w:rPr>
          <w:rFonts w:ascii="Palatino Linotype" w:cs="Palatino Linotype" w:eastAsia="Palatino Linotype" w:hAnsi="Palatino Linotype"/>
          <w:rtl w:val="0"/>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veintiséis de octubre de dos mil veintitrés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21">
      <w:pPr>
        <w:widowControl w:val="0"/>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bookmarkStart w:colFirst="0" w:colLast="0" w:name="_heading=h.tyjcwt" w:id="2"/>
      <w:bookmarkEnd w:id="2"/>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dio respuesta el día </w:t>
      </w:r>
      <w:r w:rsidDel="00000000" w:rsidR="00000000" w:rsidRPr="00000000">
        <w:rPr>
          <w:rFonts w:ascii="Palatino Linotype" w:cs="Palatino Linotype" w:eastAsia="Palatino Linotype" w:hAnsi="Palatino Linotype"/>
          <w:b w:val="1"/>
          <w:rtl w:val="0"/>
        </w:rPr>
        <w:t xml:space="preserve">treinta y uno de agosto de dos mil veintitrés, </w:t>
      </w:r>
      <w:r w:rsidDel="00000000" w:rsidR="00000000" w:rsidRPr="00000000">
        <w:rPr>
          <w:rFonts w:ascii="Palatino Linotype" w:cs="Palatino Linotype" w:eastAsia="Palatino Linotype" w:hAnsi="Palatino Linotype"/>
          <w:rtl w:val="0"/>
        </w:rPr>
        <w:t xml:space="preserve">mientras que el recurso de revisión interpuesto por </w:t>
      </w:r>
      <w:r w:rsidDel="00000000" w:rsidR="00000000" w:rsidRPr="00000000">
        <w:rPr>
          <w:rFonts w:ascii="Palatino Linotype" w:cs="Palatino Linotype" w:eastAsia="Palatino Linotype" w:hAnsi="Palatino Linotype"/>
          <w:b w:val="1"/>
          <w:rtl w:val="0"/>
        </w:rPr>
        <w:t xml:space="preserve">la parte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cuatro de septiembre de dos mil veintitrés</w:t>
      </w:r>
      <w:r w:rsidDel="00000000" w:rsidR="00000000" w:rsidRPr="00000000">
        <w:rPr>
          <w:rFonts w:ascii="Palatino Linotype" w:cs="Palatino Linotype" w:eastAsia="Palatino Linotype" w:hAnsi="Palatino Linotype"/>
          <w:rtl w:val="0"/>
        </w:rPr>
        <w:t xml:space="preserve">, esto es, al </w:t>
      </w:r>
      <w:r w:rsidDel="00000000" w:rsidR="00000000" w:rsidRPr="00000000">
        <w:rPr>
          <w:rFonts w:ascii="Palatino Linotype" w:cs="Palatino Linotype" w:eastAsia="Palatino Linotype" w:hAnsi="Palatino Linotype"/>
          <w:b w:val="1"/>
          <w:rtl w:val="0"/>
        </w:rPr>
        <w:t xml:space="preserve">segundo día hábil</w:t>
      </w:r>
      <w:r w:rsidDel="00000000" w:rsidR="00000000" w:rsidRPr="00000000">
        <w:rPr>
          <w:rFonts w:ascii="Palatino Linotype" w:cs="Palatino Linotype" w:eastAsia="Palatino Linotype" w:hAnsi="Palatino Linotype"/>
          <w:rtl w:val="0"/>
        </w:rPr>
        <w:t xml:space="preserve"> en que tuvo conocimiento de la respuesta impugnada.</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esta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bookmarkStart w:colFirst="0" w:colLast="0" w:name="_heading=h.3znysh7" w:id="3"/>
      <w:bookmarkEnd w:id="3"/>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27">
      <w:pPr>
        <w:spacing w:after="240" w:before="240" w:line="360" w:lineRule="auto"/>
        <w:ind w:right="-14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rsidR="00000000" w:rsidDel="00000000" w:rsidP="00000000" w:rsidRDefault="00000000" w:rsidRPr="00000000" w14:paraId="00000028">
      <w:pPr>
        <w:spacing w:after="240" w:before="240" w:line="276" w:lineRule="auto"/>
        <w:ind w:left="1000" w:right="104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 recurso de revisión</w:t>
      </w:r>
      <w:r w:rsidDel="00000000" w:rsidR="00000000" w:rsidRPr="00000000">
        <w:rPr>
          <w:rFonts w:ascii="Palatino Linotype" w:cs="Palatino Linotype" w:eastAsia="Palatino Linotype" w:hAnsi="Palatino Linotype"/>
          <w:i w:val="1"/>
          <w:sz w:val="22"/>
          <w:szCs w:val="22"/>
          <w:rtl w:val="0"/>
        </w:rPr>
        <w:t xml:space="preserve"> es un medio de protección que la Ley otorga a los particulares, para hacer valer su derecho de acceso a la información pública</w:t>
      </w:r>
      <w:r w:rsidDel="00000000" w:rsidR="00000000" w:rsidRPr="00000000">
        <w:rPr>
          <w:rFonts w:ascii="Palatino Linotype" w:cs="Palatino Linotype" w:eastAsia="Palatino Linotype" w:hAnsi="Palatino Linotype"/>
          <w:b w:val="1"/>
          <w:i w:val="1"/>
          <w:sz w:val="22"/>
          <w:szCs w:val="22"/>
          <w:rtl w:val="0"/>
        </w:rPr>
        <w:t xml:space="preserve">, y procederá en contra de las siguientes causas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9">
      <w:pPr>
        <w:spacing w:after="240" w:before="240" w:line="276" w:lineRule="auto"/>
        <w:ind w:left="1000" w:right="104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La negativa a la información solicitada;</w:t>
      </w:r>
      <w:r w:rsidDel="00000000" w:rsidR="00000000" w:rsidRPr="00000000">
        <w:rPr>
          <w:rFonts w:ascii="Palatino Linotype" w:cs="Palatino Linotype" w:eastAsia="Palatino Linotype" w:hAnsi="Palatino Linotype"/>
          <w:i w:val="1"/>
          <w:sz w:val="22"/>
          <w:szCs w:val="22"/>
          <w:rtl w:val="0"/>
        </w:rPr>
        <w:t xml:space="preserve">” (Énfasis añadido)</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rPr>
      </w:pPr>
      <w:bookmarkStart w:colFirst="0" w:colLast="0" w:name="_heading=h.fstkdsrvn3ou" w:id="4"/>
      <w:bookmarkEnd w:id="4"/>
      <w:r w:rsidDel="00000000" w:rsidR="00000000" w:rsidRPr="00000000">
        <w:rPr>
          <w:rtl w:val="0"/>
        </w:rPr>
      </w:r>
    </w:p>
    <w:p w:rsidR="00000000" w:rsidDel="00000000" w:rsidP="00000000" w:rsidRDefault="00000000" w:rsidRPr="00000000" w14:paraId="0000002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Análisis de las causales de improcedencia y sobreseimiento del recurso de revisión.</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00000" w:rsidDel="00000000" w:rsidP="00000000" w:rsidRDefault="00000000" w:rsidRPr="00000000" w14:paraId="0000002C">
      <w:pPr>
        <w:tabs>
          <w:tab w:val="left" w:leader="none" w:pos="1350"/>
        </w:tabs>
        <w:spacing w:line="360" w:lineRule="auto"/>
        <w:jc w:val="both"/>
        <w:rPr>
          <w:rFonts w:ascii="Palatino Linotype" w:cs="Palatino Linotype" w:eastAsia="Palatino Linotype" w:hAnsi="Palatino Linotype"/>
        </w:rPr>
      </w:pPr>
      <w:r w:rsidDel="00000000" w:rsidR="00000000" w:rsidRPr="00000000">
        <w:rPr>
          <w:rtl w:val="0"/>
        </w:rPr>
        <w:tab/>
      </w: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Fonts w:ascii="Palatino Linotype" w:cs="Palatino Linotype" w:eastAsia="Palatino Linotype" w:hAnsi="Palatino Linotype"/>
          <w:rtl w:val="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r w:rsidDel="00000000" w:rsidR="00000000" w:rsidRPr="00000000">
        <w:rPr>
          <w:rtl w:val="0"/>
        </w:rPr>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preliminar en el caso concreto conviene analizar si se actualiza alguna de las causales de sobreseimiento del recurso de revisión.</w:t>
      </w:r>
    </w:p>
    <w:p w:rsidR="00000000" w:rsidDel="00000000" w:rsidP="00000000" w:rsidRDefault="00000000" w:rsidRPr="00000000" w14:paraId="00000030">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del análisis de la solicitud de información motivo del recurso de revisión que ahora se resuelve, se advierte que la parte solicitante requirió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le proporcione información consistente en lo siguiente:</w:t>
      </w:r>
    </w:p>
    <w:p w:rsidR="00000000" w:rsidDel="00000000" w:rsidP="00000000" w:rsidRDefault="00000000" w:rsidRPr="00000000" w14:paraId="00000032">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rtl w:val="0"/>
        </w:rPr>
        <w:t xml:space="preserve">“KARENTY CASTRO CAMACHO”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33">
      <w:pPr>
        <w:spacing w:after="240" w:before="240" w:line="360" w:lineRule="auto"/>
        <w:ind w:right="49"/>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En un acto posterior,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expresión </w:t>
      </w:r>
      <w:r w:rsidDel="00000000" w:rsidR="00000000" w:rsidRPr="00000000">
        <w:rPr>
          <w:rFonts w:ascii="Palatino Linotype" w:cs="Palatino Linotype" w:eastAsia="Palatino Linotype" w:hAnsi="Palatino Linotype"/>
          <w:i w:val="1"/>
          <w:rtl w:val="0"/>
        </w:rPr>
        <w:t xml:space="preserve">“Sin Solicitud no especifica”, </w:t>
      </w:r>
      <w:r w:rsidDel="00000000" w:rsidR="00000000" w:rsidRPr="00000000">
        <w:rPr>
          <w:rFonts w:ascii="Palatino Linotype" w:cs="Palatino Linotype" w:eastAsia="Palatino Linotype" w:hAnsi="Palatino Linotype"/>
          <w:rtl w:val="0"/>
        </w:rPr>
        <w:t xml:space="preserve">adjuntando asimismo el archivo electrónico </w:t>
      </w:r>
      <w:r w:rsidDel="00000000" w:rsidR="00000000" w:rsidRPr="00000000">
        <w:rPr>
          <w:rFonts w:ascii="Palatino Linotype" w:cs="Palatino Linotype" w:eastAsia="Palatino Linotype" w:hAnsi="Palatino Linotype"/>
          <w:b w:val="1"/>
          <w:i w:val="1"/>
          <w:rtl w:val="0"/>
        </w:rPr>
        <w:t xml:space="preserve">“Art 167.docx”</w:t>
      </w:r>
      <w:r w:rsidDel="00000000" w:rsidR="00000000" w:rsidRPr="00000000">
        <w:rPr>
          <w:rFonts w:ascii="Palatino Linotype" w:cs="Palatino Linotype" w:eastAsia="Palatino Linotype" w:hAnsi="Palatino Linotype"/>
          <w:rtl w:val="0"/>
        </w:rPr>
        <w:t xml:space="preserve">, en el cual se aprecia la leyenda “art 167”</w:t>
      </w:r>
      <w:r w:rsidDel="00000000" w:rsidR="00000000" w:rsidRPr="00000000">
        <w:rPr>
          <w:rtl w:val="0"/>
        </w:rPr>
      </w:r>
    </w:p>
    <w:p w:rsidR="00000000" w:rsidDel="00000000" w:rsidP="00000000" w:rsidRDefault="00000000" w:rsidRPr="00000000" w14:paraId="0000003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este pronunciamiento proporcionado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se inconformó arguyendo a la literalidad lo siguiente </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NO ENTREGAN INFORMACIÓN</w:t>
      </w:r>
      <w:r w:rsidDel="00000000" w:rsidR="00000000" w:rsidRPr="00000000">
        <w:rPr>
          <w:rFonts w:ascii="Palatino Linotype" w:cs="Palatino Linotype" w:eastAsia="Palatino Linotype" w:hAnsi="Palatino Linotype"/>
          <w:i w:val="1"/>
          <w:sz w:val="22"/>
          <w:szCs w:val="22"/>
          <w:rtl w:val="0"/>
        </w:rPr>
        <w:t xml:space="preserve">” (Sic) (Énfasis añadido)</w:t>
      </w:r>
      <w:r w:rsidDel="00000000" w:rsidR="00000000" w:rsidRPr="00000000">
        <w:rPr>
          <w:rtl w:val="0"/>
        </w:rPr>
      </w:r>
    </w:p>
    <w:p w:rsidR="00000000" w:rsidDel="00000000" w:rsidP="00000000" w:rsidRDefault="00000000" w:rsidRPr="00000000" w14:paraId="0000003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precisar que una vez aperturado el expediente del medio de impugnación que se resuelve en este acto, las partes fueron omisas en remitir sus informes justificados o manifestaciones, por lo que se procedió a emitir el cierre de instrucción y a la emisión de la resolución que conforme a derecho corresponda.</w:t>
      </w:r>
    </w:p>
    <w:p w:rsidR="00000000" w:rsidDel="00000000" w:rsidP="00000000" w:rsidRDefault="00000000" w:rsidRPr="00000000" w14:paraId="0000003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es necesario hacer alusión a la solicitud de información ya que de ella deriva por un lado al procedimiento de acceso a la información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por otro lado la materia sobre la que versará el recurso de revisión ante este Organismo Garante; por ello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puede considerar una circunstancia en particular diversa a la que el particular objetivamente requiere.</w:t>
      </w:r>
    </w:p>
    <w:p w:rsidR="00000000" w:rsidDel="00000000" w:rsidP="00000000" w:rsidRDefault="00000000" w:rsidRPr="00000000" w14:paraId="0000003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Expuestas lo anterior, se tiene que desde la presentación de la solicitud, el requerimiento de información no fue lo suficientemente claro para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pudiera efectuar la búsqueda de la información, toda vez que se limitó a expresar únicamente lo siguiente: </w:t>
      </w:r>
      <w:r w:rsidDel="00000000" w:rsidR="00000000" w:rsidRPr="00000000">
        <w:rPr>
          <w:rFonts w:ascii="Palatino Linotype" w:cs="Palatino Linotype" w:eastAsia="Palatino Linotype" w:hAnsi="Palatino Linotype"/>
          <w:i w:val="1"/>
          <w:rtl w:val="0"/>
        </w:rPr>
        <w:t xml:space="preserve">“KARENTY CASTRO CAMACHO”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(Sic), </w:t>
      </w:r>
      <w:r w:rsidDel="00000000" w:rsidR="00000000" w:rsidRPr="00000000">
        <w:rPr>
          <w:rFonts w:ascii="Palatino Linotype" w:cs="Palatino Linotype" w:eastAsia="Palatino Linotype" w:hAnsi="Palatino Linotype"/>
          <w:rtl w:val="0"/>
        </w:rPr>
        <w:t xml:space="preserve">sin precisar las documentales requeridas, por lo que nos encontramos ante una solicitud que no es específica.</w:t>
      </w:r>
    </w:p>
    <w:p w:rsidR="00000000" w:rsidDel="00000000" w:rsidP="00000000" w:rsidRDefault="00000000" w:rsidRPr="00000000" w14:paraId="0000003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resulta importante mencionar que en su solicitud no especificó o describió la información o documento al cual pretende tener acceso de acuerdo, en términos de lo señalado por el artículo 155 fracción III de la Ley de  la Materia, que señala:</w:t>
      </w:r>
    </w:p>
    <w:p w:rsidR="00000000" w:rsidDel="00000000" w:rsidP="00000000" w:rsidRDefault="00000000" w:rsidRPr="00000000" w14:paraId="0000003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155. Para presentar una solicitud por escrito, no se podrán exigir mayores requisitos que los siguientes: </w:t>
      </w:r>
    </w:p>
    <w:p w:rsidR="00000000" w:rsidDel="00000000" w:rsidP="00000000" w:rsidRDefault="00000000" w:rsidRPr="00000000" w14:paraId="0000003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Nombre del solicitante, o en su caso, los datos generales de su representante;</w:t>
      </w:r>
    </w:p>
    <w:p w:rsidR="00000000" w:rsidDel="00000000" w:rsidP="00000000" w:rsidRDefault="00000000" w:rsidRPr="00000000" w14:paraId="0000003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II. Domicilio o en su caso correo electrónico para recibir notificaciones; </w:t>
      </w:r>
    </w:p>
    <w:p w:rsidR="00000000" w:rsidDel="00000000" w:rsidP="00000000" w:rsidRDefault="00000000" w:rsidRPr="00000000" w14:paraId="0000003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La descripción de la información solicitada</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3D">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Cualquier otro dato que facilite la búsqueda y eventual localización de la información; y </w:t>
      </w:r>
    </w:p>
    <w:p w:rsidR="00000000" w:rsidDel="00000000" w:rsidP="00000000" w:rsidRDefault="00000000" w:rsidRPr="00000000" w14:paraId="0000003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000000" w:rsidDel="00000000" w:rsidP="00000000" w:rsidRDefault="00000000" w:rsidRPr="00000000" w14:paraId="0000003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Queda prohibido para los sujetos obligados recabar datos que den lugar a indagatorias sobre las motivaciones de la solicitud de información y su uso posterior. </w:t>
      </w:r>
    </w:p>
    <w:p w:rsidR="00000000" w:rsidDel="00000000" w:rsidP="00000000" w:rsidRDefault="00000000" w:rsidRPr="00000000" w14:paraId="0000004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Las solicitudes anónimas, con nombre incompleto o seudónimo serán procedentes para su trámite por parte del sujeto obligado ante quien se presente. </w:t>
      </w:r>
    </w:p>
    <w:p w:rsidR="00000000" w:rsidDel="00000000" w:rsidP="00000000" w:rsidRDefault="00000000" w:rsidRPr="00000000" w14:paraId="0000004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podrá requerirse información adicional con motivo del nombre proporcionado por el solicitante. </w:t>
      </w:r>
    </w:p>
    <w:p w:rsidR="00000000" w:rsidDel="00000000" w:rsidP="00000000" w:rsidRDefault="00000000" w:rsidRPr="00000000" w14:paraId="0000004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de las fracciones I y IV será proporcionada por el solicitante de manera opcional y, en ningún caso, podrá ser un requisito indispensable para la procedencia de la solicitud.</w:t>
      </w:r>
    </w:p>
    <w:p w:rsidR="00000000" w:rsidDel="00000000" w:rsidP="00000000" w:rsidRDefault="00000000" w:rsidRPr="00000000" w14:paraId="00000043">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Expuesto lo anterior, no se omite señalar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declaró su incompetencia en términos del artículo 167.  </w:t>
      </w:r>
    </w:p>
    <w:p w:rsidR="00000000" w:rsidDel="00000000" w:rsidP="00000000" w:rsidRDefault="00000000" w:rsidRPr="00000000" w14:paraId="0000004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al no proporcionar el particular la descripción de la información solicitada para su búsqueda y localización, no pasa desapercibido, que los Sujetos Obligados tienen la de facultad requerir a los solicitantes una aclaración, cuando la solicitud sea obscura, en términos de lo señalado por el artículo 159 de la Ley de Transparencia y Acceso a la Información Pública del Estado de México y Municipios, que señala lo siguiente:</w:t>
      </w:r>
    </w:p>
    <w:p w:rsidR="00000000" w:rsidDel="00000000" w:rsidP="00000000" w:rsidRDefault="00000000" w:rsidRPr="00000000" w14:paraId="00000045">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159</w:t>
      </w:r>
      <w:r w:rsidDel="00000000" w:rsidR="00000000" w:rsidRPr="00000000">
        <w:rPr>
          <w:rFonts w:ascii="Palatino Linotype" w:cs="Palatino Linotype" w:eastAsia="Palatino Linotype" w:hAnsi="Palatino Linotype"/>
          <w:i w:val="1"/>
          <w:sz w:val="22"/>
          <w:szCs w:val="22"/>
          <w:rtl w:val="0"/>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000000" w:rsidDel="00000000" w:rsidP="00000000" w:rsidRDefault="00000000" w:rsidRPr="00000000" w14:paraId="00000046">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000000" w:rsidDel="00000000" w:rsidP="00000000" w:rsidRDefault="00000000" w:rsidRPr="00000000" w14:paraId="00000047">
      <w:pPr>
        <w:spacing w:after="240" w:before="240"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000000" w:rsidDel="00000000" w:rsidP="00000000" w:rsidRDefault="00000000" w:rsidRPr="00000000" w14:paraId="0000004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Circunstancia que no sucedió en el presente caso en particular, ya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sólo se concretó a señalar no es competente; de ahí que, que le invita el ayuntamiento de Zinacantepec que en subsecuentes solicitudes de información haga los requerimientos que estime pertinentes con la finalidad de garantizar el derecho de acceso a la información de los particulares.</w:t>
      </w:r>
    </w:p>
    <w:p w:rsidR="00000000" w:rsidDel="00000000" w:rsidP="00000000" w:rsidRDefault="00000000" w:rsidRPr="00000000" w14:paraId="0000004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sentado lo anterior, como fue mencionado en el antecedente primero, de la solicitud de información no se advierte ningún elemento que pueda llevar a una búsqueda de la información requerida al no proveer datos preponderantemente específicos y detallados, los cuales se encuentran en clara desvinculación con su contexto subjetivo. </w:t>
      </w:r>
    </w:p>
    <w:p w:rsidR="00000000" w:rsidDel="00000000" w:rsidP="00000000" w:rsidRDefault="00000000" w:rsidRPr="00000000" w14:paraId="0000004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si bien la inconformidad se encuentran fundada para la procedencia de la interposición del recurso de revisión, al encuadrar en la hipótesis normativa de la fracción I del artículo 179 de la Ley de Transparencia Local, toda vez que se impugna la negativa de la información solicitada; también lo es que el mismo resulta infundado en el caso particular, toda vez que como quedó acreditado en párrafos anteriores, se advierte que </w:t>
      </w:r>
      <w:r w:rsidDel="00000000" w:rsidR="00000000" w:rsidRPr="00000000">
        <w:rPr>
          <w:rFonts w:ascii="Palatino Linotype" w:cs="Palatino Linotype" w:eastAsia="Palatino Linotype" w:hAnsi="Palatino Linotype"/>
          <w:b w:val="1"/>
          <w:rtl w:val="0"/>
        </w:rPr>
        <w:t xml:space="preserve">la parte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su solicitud de acceso a la información pública no proporcionó algún dato que pueda llevar a una búsqueda de la información a la cual pretende tener acceso. </w:t>
      </w:r>
    </w:p>
    <w:p w:rsidR="00000000" w:rsidDel="00000000" w:rsidP="00000000" w:rsidRDefault="00000000" w:rsidRPr="00000000" w14:paraId="0000004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consiguiente y en atención a la solicitud de acceso a la información pública, no se advierte el documento al cual pretende acceder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se dejan a salvo los derechos de persona solicitante a efecto de que, de considerarlo pertinente, interponga una nueva solicitud de acceso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fin de obtener la información de su interés.</w:t>
      </w:r>
    </w:p>
    <w:p w:rsidR="00000000" w:rsidDel="00000000" w:rsidP="00000000" w:rsidRDefault="00000000" w:rsidRPr="00000000" w14:paraId="0000004E">
      <w:pPr>
        <w:spacing w:after="240" w:before="240" w:line="360" w:lineRule="auto"/>
        <w:ind w:right="9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en virtud de  los argumentos expuestos con anterioridad así como del análisis realizado a las constancias que obran en el expediente electrónico, al no haber materia que permita hacer el estudio correspondiente del asunto que nos ocupa</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rtl w:val="0"/>
        </w:rPr>
        <w:t xml:space="preserve">se determina </w:t>
      </w:r>
      <w:r w:rsidDel="00000000" w:rsidR="00000000" w:rsidRPr="00000000">
        <w:rPr>
          <w:rFonts w:ascii="Palatino Linotype" w:cs="Palatino Linotype" w:eastAsia="Palatino Linotype" w:hAnsi="Palatino Linotype"/>
          <w:i w:val="1"/>
          <w:rtl w:val="0"/>
        </w:rPr>
        <w:t xml:space="preserve">sobreseer </w:t>
      </w:r>
      <w:r w:rsidDel="00000000" w:rsidR="00000000" w:rsidRPr="00000000">
        <w:rPr>
          <w:rFonts w:ascii="Palatino Linotype" w:cs="Palatino Linotype" w:eastAsia="Palatino Linotype" w:hAnsi="Palatino Linotype"/>
          <w:rtl w:val="0"/>
        </w:rPr>
        <w:t xml:space="preserve">el presente recurso de revisión por actualizarse la causal de sobreseimiento prevista en la fracción V del artículo 192 de la Ley de Transparencia y Acceso a la Información Pública del Estado de México y Municipios, </w:t>
      </w:r>
      <w:r w:rsidDel="00000000" w:rsidR="00000000" w:rsidRPr="00000000">
        <w:rPr>
          <w:rFonts w:ascii="Palatino Linotype" w:cs="Palatino Linotype" w:eastAsia="Palatino Linotype" w:hAnsi="Palatino Linotype"/>
          <w:sz w:val="22"/>
          <w:szCs w:val="22"/>
          <w:rtl w:val="0"/>
        </w:rPr>
        <w:t xml:space="preserve">el</w:t>
      </w:r>
      <w:r w:rsidDel="00000000" w:rsidR="00000000" w:rsidRPr="00000000">
        <w:rPr>
          <w:rFonts w:ascii="Palatino Linotype" w:cs="Palatino Linotype" w:eastAsia="Palatino Linotype" w:hAnsi="Palatino Linotype"/>
          <w:rtl w:val="0"/>
        </w:rPr>
        <w:t xml:space="preserve"> que se transcribe a continuación, para un mejor entendimiento:</w:t>
      </w:r>
    </w:p>
    <w:p w:rsidR="00000000" w:rsidDel="00000000" w:rsidP="00000000" w:rsidRDefault="00000000" w:rsidRPr="00000000" w14:paraId="0000004F">
      <w:pPr>
        <w:tabs>
          <w:tab w:val="left" w:leader="none" w:pos="7938"/>
        </w:tabs>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192.</w:t>
      </w:r>
      <w:r w:rsidDel="00000000" w:rsidR="00000000" w:rsidRPr="00000000">
        <w:rPr>
          <w:rFonts w:ascii="Palatino Linotype" w:cs="Palatino Linotype" w:eastAsia="Palatino Linotype" w:hAnsi="Palatino Linotype"/>
          <w:i w:val="1"/>
          <w:sz w:val="22"/>
          <w:szCs w:val="22"/>
          <w:rtl w:val="0"/>
        </w:rPr>
        <w:t xml:space="preserve"> El recurso será sobreseído, en todo o en parte, cuando una vez admitido, se actualicen alguno de los siguientes supuestos:</w:t>
      </w:r>
    </w:p>
    <w:p w:rsidR="00000000" w:rsidDel="00000000" w:rsidP="00000000" w:rsidRDefault="00000000" w:rsidRPr="00000000" w14:paraId="00000050">
      <w:pPr>
        <w:tabs>
          <w:tab w:val="left" w:leader="none" w:pos="7938"/>
        </w:tabs>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1">
      <w:pPr>
        <w:tabs>
          <w:tab w:val="left" w:leader="none" w:pos="7938"/>
        </w:tabs>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 Cuando por cualquier motivo quede sin materia el recurso. “</w:t>
      </w:r>
    </w:p>
    <w:p w:rsidR="00000000" w:rsidDel="00000000" w:rsidP="00000000" w:rsidRDefault="00000000" w:rsidRPr="00000000" w14:paraId="00000052">
      <w:pPr>
        <w:spacing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el </w:t>
      </w:r>
      <w:r w:rsidDel="00000000" w:rsidR="00000000" w:rsidRPr="00000000">
        <w:rPr>
          <w:rFonts w:ascii="Palatino Linotype" w:cs="Palatino Linotype" w:eastAsia="Palatino Linotype" w:hAnsi="Palatino Linotype"/>
          <w:i w:val="1"/>
          <w:rtl w:val="0"/>
        </w:rPr>
        <w:t xml:space="preserve">sobreseimiento</w:t>
      </w:r>
      <w:r w:rsidDel="00000000" w:rsidR="00000000" w:rsidRPr="00000000">
        <w:rPr>
          <w:rFonts w:ascii="Palatino Linotype" w:cs="Palatino Linotype" w:eastAsia="Palatino Linotype" w:hAnsi="Palatino Linotype"/>
          <w:rtl w:val="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053">
      <w:pPr>
        <w:spacing w:after="12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SOBRESEIMIENTO, NO PERMITE ENTRAR AL ESTUDIO DE LAS CUESTIONES DE FONDO</w:t>
      </w:r>
      <w:r w:rsidDel="00000000" w:rsidR="00000000" w:rsidRPr="00000000">
        <w:rPr>
          <w:rtl w:val="0"/>
        </w:rPr>
      </w:r>
    </w:p>
    <w:p w:rsidR="00000000" w:rsidDel="00000000" w:rsidP="00000000" w:rsidRDefault="00000000" w:rsidRPr="00000000" w14:paraId="0000005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Localización: 213609. II.2o.183 K. Tribunales Colegiados de Circuito. Octava Época. Semanario Judicial de la Federación. Tomo XIII, Febrero de 1994, Pág. 420</w:t>
      </w:r>
    </w:p>
    <w:p w:rsidR="00000000" w:rsidDel="00000000" w:rsidP="00000000" w:rsidRDefault="00000000" w:rsidRPr="00000000" w14:paraId="0000005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destacar que la decisión de este Organismo Colegiado de sobreseer el recurso de revisión no implica una limitación o negación a la justicia, según lo ha establecido el Poder Judicial Federal, en el criterio que es aplicable por analogía, con rubro:</w:t>
      </w:r>
    </w:p>
    <w:p w:rsidR="00000000" w:rsidDel="00000000" w:rsidP="00000000" w:rsidRDefault="00000000" w:rsidRPr="00000000" w14:paraId="00000057">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“DESECHAMIENTO O SOBRESEIMIENTO EN EL JUICIO DE AMPARO. NO IMPLICA DENEGACIÓN DE JUSTICIA NI GENERA INSEGURIDAD JURÍDICA”</w:t>
      </w:r>
    </w:p>
    <w:p w:rsidR="00000000" w:rsidDel="00000000" w:rsidP="00000000" w:rsidRDefault="00000000" w:rsidRPr="00000000" w14:paraId="0000005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Del="00000000" w:rsidR="00000000" w:rsidRPr="00000000">
        <w:rPr>
          <w:rFonts w:ascii="Palatino Linotype" w:cs="Palatino Linotype" w:eastAsia="Palatino Linotype" w:hAnsi="Palatino Linotype"/>
          <w:rtl w:val="0"/>
        </w:rPr>
        <w:tab/>
      </w:r>
      <w:r w:rsidDel="00000000" w:rsidR="00000000" w:rsidRPr="00000000">
        <w:rPr>
          <w:rtl w:val="0"/>
        </w:rPr>
      </w:r>
    </w:p>
    <w:p w:rsidR="00000000" w:rsidDel="00000000" w:rsidP="00000000" w:rsidRDefault="00000000" w:rsidRPr="00000000" w14:paraId="0000005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ese tenor con fundamento en la segunda hipótesis de la fracción I del artículo 186, de la Ley de Transparencia y Acceso a la Información Pública del Estado de México y Municipios, se determina </w:t>
      </w:r>
      <w:r w:rsidDel="00000000" w:rsidR="00000000" w:rsidRPr="00000000">
        <w:rPr>
          <w:rFonts w:ascii="Palatino Linotype" w:cs="Palatino Linotype" w:eastAsia="Palatino Linotype" w:hAnsi="Palatino Linotype"/>
          <w:b w:val="1"/>
          <w:rtl w:val="0"/>
        </w:rPr>
        <w:t xml:space="preserve">SOBRESEER </w:t>
      </w:r>
      <w:r w:rsidDel="00000000" w:rsidR="00000000" w:rsidRPr="00000000">
        <w:rPr>
          <w:rFonts w:ascii="Palatino Linotype" w:cs="Palatino Linotype" w:eastAsia="Palatino Linotype" w:hAnsi="Palatino Linotype"/>
          <w:rtl w:val="0"/>
        </w:rPr>
        <w:t xml:space="preserve">el Recurso de Revisión </w:t>
      </w:r>
      <w:r w:rsidDel="00000000" w:rsidR="00000000" w:rsidRPr="00000000">
        <w:rPr>
          <w:rFonts w:ascii="Palatino Linotype" w:cs="Palatino Linotype" w:eastAsia="Palatino Linotype" w:hAnsi="Palatino Linotype"/>
          <w:b w:val="1"/>
          <w:rtl w:val="0"/>
        </w:rPr>
        <w:t xml:space="preserve">05289/INFOEM/IP/RR/2023</w:t>
      </w:r>
      <w:r w:rsidDel="00000000" w:rsidR="00000000" w:rsidRPr="00000000">
        <w:rPr>
          <w:rFonts w:ascii="Palatino Linotype" w:cs="Palatino Linotype" w:eastAsia="Palatino Linotype" w:hAnsi="Palatino Linotype"/>
          <w:rtl w:val="0"/>
        </w:rPr>
        <w:t xml:space="preserve">, que ha sido materia del presente fallo.</w:t>
      </w:r>
    </w:p>
    <w:p w:rsidR="00000000" w:rsidDel="00000000" w:rsidP="00000000" w:rsidRDefault="00000000" w:rsidRPr="00000000" w14:paraId="0000005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right="9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right="96"/>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5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Se </w:t>
      </w:r>
      <w:r w:rsidDel="00000000" w:rsidR="00000000" w:rsidRPr="00000000">
        <w:rPr>
          <w:rFonts w:ascii="Palatino Linotype" w:cs="Palatino Linotype" w:eastAsia="Palatino Linotype" w:hAnsi="Palatino Linotype"/>
          <w:b w:val="1"/>
          <w:rtl w:val="0"/>
        </w:rPr>
        <w:t xml:space="preserve">SOBRESEE</w:t>
      </w:r>
      <w:r w:rsidDel="00000000" w:rsidR="00000000" w:rsidRPr="00000000">
        <w:rPr>
          <w:rFonts w:ascii="Palatino Linotype" w:cs="Palatino Linotype" w:eastAsia="Palatino Linotype" w:hAnsi="Palatino Linotype"/>
          <w:rtl w:val="0"/>
        </w:rPr>
        <w:t xml:space="preserve"> el Recurso de Revisión </w:t>
      </w:r>
      <w:r w:rsidDel="00000000" w:rsidR="00000000" w:rsidRPr="00000000">
        <w:rPr>
          <w:rFonts w:ascii="Palatino Linotype" w:cs="Palatino Linotype" w:eastAsia="Palatino Linotype" w:hAnsi="Palatino Linotype"/>
          <w:b w:val="1"/>
          <w:rtl w:val="0"/>
        </w:rPr>
        <w:t xml:space="preserve">05289/INFOEM/IP/RR/2023</w:t>
      </w:r>
      <w:r w:rsidDel="00000000" w:rsidR="00000000" w:rsidRPr="00000000">
        <w:rPr>
          <w:rFonts w:ascii="Palatino Linotype" w:cs="Palatino Linotype" w:eastAsia="Palatino Linotype" w:hAnsi="Palatino Linotype"/>
          <w:rtl w:val="0"/>
        </w:rPr>
        <w:t xml:space="preserve">, al quedarse si materia en términos de lo dispuesto por la fracción V del artículo 192 de la Ley de Transparencia y Acceso a la Información Pública del Estado de México y Municipios, en términos del </w:t>
      </w:r>
      <w:r w:rsidDel="00000000" w:rsidR="00000000" w:rsidRPr="00000000">
        <w:rPr>
          <w:rFonts w:ascii="Palatino Linotype" w:cs="Palatino Linotype" w:eastAsia="Palatino Linotype" w:hAnsi="Palatino Linotype"/>
          <w:b w:val="1"/>
          <w:rtl w:val="0"/>
        </w:rPr>
        <w:t xml:space="preserve">Considerando Tercero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936"/>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936"/>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al Titular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su conocimiento.</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936"/>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w:t>
      </w:r>
      <w:r w:rsidDel="00000000" w:rsidR="00000000" w:rsidRPr="00000000">
        <w:rPr>
          <w:rFonts w:ascii="Palatino Linotype" w:cs="Palatino Linotype" w:eastAsia="Palatino Linotype" w:hAnsi="Palatino Linotype"/>
          <w:b w:val="1"/>
          <w:rtl w:val="0"/>
        </w:rPr>
        <w:t xml:space="preserve"> la parte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rPr>
      </w:pPr>
      <w:bookmarkStart w:colFirst="0" w:colLast="0" w:name="_heading=h.1t3h5sf" w:id="5"/>
      <w:bookmarkEnd w:id="5"/>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PRIMERO DE NOVIEMBRE DE DOS MIL VEINTITRÉS, ANTE EL SECRETARIO TÉCNICO DEL PLENO ALEXIS TAPIA RAMÍREZ.</w:t>
      </w:r>
    </w:p>
    <w:p w:rsidR="00000000" w:rsidDel="00000000" w:rsidP="00000000" w:rsidRDefault="00000000" w:rsidRPr="00000000" w14:paraId="00000065">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6">
      <w:pPr>
        <w:spacing w:after="240" w:before="240" w:line="360" w:lineRule="auto"/>
        <w:jc w:val="both"/>
        <w:rPr>
          <w:rFonts w:ascii="Palatino Linotype" w:cs="Palatino Linotype" w:eastAsia="Palatino Linotype" w:hAnsi="Palatino Linotype"/>
        </w:rPr>
      </w:pPr>
      <w:bookmarkStart w:colFirst="0" w:colLast="0" w:name="_heading=h.2et92p0" w:id="6"/>
      <w:bookmarkEnd w:id="6"/>
      <w:r w:rsidDel="00000000" w:rsidR="00000000" w:rsidRPr="00000000">
        <w:rPr>
          <w:rtl w:val="0"/>
        </w:rPr>
      </w:r>
    </w:p>
    <w:p w:rsidR="00000000" w:rsidDel="00000000" w:rsidP="00000000" w:rsidRDefault="00000000" w:rsidRPr="00000000" w14:paraId="0000006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6">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-1080131</wp:posOffset>
          </wp:positionH>
          <wp:positionV relativeFrom="paragraph">
            <wp:posOffset>-345729</wp:posOffset>
          </wp:positionV>
          <wp:extent cx="7809865" cy="1016571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953.0" w:type="dxa"/>
      <w:jc w:val="left"/>
      <w:tblInd w:w="3261.0" w:type="dxa"/>
      <w:tblLayout w:type="fixed"/>
      <w:tblLook w:val="0400"/>
    </w:tblPr>
    <w:tblGrid>
      <w:gridCol w:w="2551"/>
      <w:gridCol w:w="3402"/>
      <w:tblGridChange w:id="0">
        <w:tblGrid>
          <w:gridCol w:w="2551"/>
          <w:gridCol w:w="3402"/>
        </w:tblGrid>
      </w:tblGridChange>
    </w:tblGrid>
    <w:tr>
      <w:trPr>
        <w:cantSplit w:val="0"/>
        <w:tblHeader w:val="0"/>
      </w:trPr>
      <w:tc>
        <w:tcPr>
          <w:shd w:fill="auto" w:val="clear"/>
          <w:vAlign w:val="center"/>
        </w:tcPr>
        <w:p w:rsidR="00000000" w:rsidDel="00000000" w:rsidP="00000000" w:rsidRDefault="00000000" w:rsidRPr="00000000" w14:paraId="0000007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79">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05289/INFOEM/IP/RR/2023</w:t>
          </w:r>
        </w:p>
      </w:tc>
    </w:tr>
    <w:tr>
      <w:trPr>
        <w:cantSplit w:val="0"/>
        <w:trHeight w:val="130" w:hRule="atLeast"/>
        <w:tblHeader w:val="0"/>
      </w:trPr>
      <w:tc>
        <w:tcPr>
          <w:shd w:fill="auto" w:val="clear"/>
          <w:vAlign w:val="center"/>
        </w:tcPr>
        <w:p w:rsidR="00000000" w:rsidDel="00000000" w:rsidP="00000000" w:rsidRDefault="00000000" w:rsidRPr="00000000" w14:paraId="0000007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7B">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 XXXX XXXXXXX</w:t>
          </w:r>
        </w:p>
      </w:tc>
    </w:tr>
    <w:tr>
      <w:trPr>
        <w:cantSplit w:val="0"/>
        <w:trHeight w:val="228" w:hRule="atLeast"/>
        <w:tblHeader w:val="0"/>
      </w:trPr>
      <w:tc>
        <w:tcPr>
          <w:shd w:fill="auto" w:val="clear"/>
          <w:vAlign w:val="center"/>
        </w:tcPr>
        <w:p w:rsidR="00000000" w:rsidDel="00000000" w:rsidP="00000000" w:rsidRDefault="00000000" w:rsidRPr="00000000" w14:paraId="0000007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7D">
          <w:pPr>
            <w:ind w:left="-45" w:right="-540"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Zinacantepec</w:t>
          </w:r>
        </w:p>
      </w:tc>
    </w:tr>
    <w:tr>
      <w:trPr>
        <w:cantSplit w:val="0"/>
        <w:tblHeader w:val="0"/>
      </w:trPr>
      <w:tc>
        <w:tcPr>
          <w:shd w:fill="auto" w:val="clear"/>
          <w:vAlign w:val="center"/>
        </w:tcPr>
        <w:p w:rsidR="00000000" w:rsidDel="00000000" w:rsidP="00000000" w:rsidRDefault="00000000" w:rsidRPr="00000000" w14:paraId="0000007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7F">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-488308</wp:posOffset>
          </wp:positionV>
          <wp:extent cx="7809865" cy="1016571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8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83">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05289/INFOEM/IP/RR/2023</w:t>
          </w:r>
        </w:p>
      </w:tc>
    </w:tr>
    <w:tr>
      <w:trPr>
        <w:cantSplit w:val="0"/>
        <w:trHeight w:val="228" w:hRule="atLeast"/>
        <w:tblHeader w:val="0"/>
      </w:trPr>
      <w:tc>
        <w:tcPr>
          <w:shd w:fill="auto" w:val="clear"/>
          <w:vAlign w:val="center"/>
        </w:tcPr>
        <w:p w:rsidR="00000000" w:rsidDel="00000000" w:rsidP="00000000" w:rsidRDefault="00000000" w:rsidRPr="00000000" w14:paraId="0000008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85">
          <w:pPr>
            <w:ind w:right="-399"/>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Zinacantepec</w:t>
          </w:r>
        </w:p>
      </w:tc>
    </w:tr>
    <w:tr>
      <w:trPr>
        <w:cantSplit w:val="0"/>
        <w:tblHeader w:val="0"/>
      </w:trPr>
      <w:tc>
        <w:tcPr>
          <w:shd w:fill="auto" w:val="clear"/>
          <w:vAlign w:val="center"/>
        </w:tcPr>
        <w:p w:rsidR="00000000" w:rsidDel="00000000" w:rsidP="00000000" w:rsidRDefault="00000000" w:rsidRPr="00000000" w14:paraId="00000086">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87">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c5weJx9uPO/xm3SQhuHsXLZMA==">CgMxLjAyCGguZ2pkZ3hzMgloLjMwajB6bGwyCGgudHlqY3d0MgloLjN6bnlzaDcyDmguZnN0a2RzcnZuM291MgloLjF0M2g1c2YyCWguMmV0OTJwMDgAciExM2p2aENRZkU2LUlEMlVqaDBoTDh2NWtZaEpHQ0l1aUw=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