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71A3E94" w:rsidR="005000AA" w:rsidRPr="00846A59" w:rsidRDefault="005000AA" w:rsidP="005000AA">
      <w:pPr>
        <w:spacing w:before="240" w:after="240" w:line="360" w:lineRule="auto"/>
        <w:jc w:val="both"/>
        <w:rPr>
          <w:rFonts w:ascii="Palatino Linotype" w:hAnsi="Palatino Linotype"/>
          <w:sz w:val="24"/>
          <w:szCs w:val="24"/>
        </w:rPr>
      </w:pPr>
      <w:r w:rsidRPr="00846A59">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95AD6" w:rsidRPr="00846A59">
        <w:rPr>
          <w:rFonts w:ascii="Palatino Linotype" w:hAnsi="Palatino Linotype"/>
          <w:sz w:val="24"/>
          <w:szCs w:val="24"/>
        </w:rPr>
        <w:t>doce</w:t>
      </w:r>
      <w:r w:rsidRPr="00846A59">
        <w:rPr>
          <w:rFonts w:ascii="Palatino Linotype" w:hAnsi="Palatino Linotype"/>
          <w:sz w:val="24"/>
          <w:szCs w:val="24"/>
        </w:rPr>
        <w:t xml:space="preserve"> (</w:t>
      </w:r>
      <w:r w:rsidR="00D74BE9" w:rsidRPr="00846A59">
        <w:rPr>
          <w:rFonts w:ascii="Palatino Linotype" w:hAnsi="Palatino Linotype"/>
          <w:sz w:val="24"/>
          <w:szCs w:val="24"/>
        </w:rPr>
        <w:t>1</w:t>
      </w:r>
      <w:r w:rsidR="00D95AD6" w:rsidRPr="00846A59">
        <w:rPr>
          <w:rFonts w:ascii="Palatino Linotype" w:hAnsi="Palatino Linotype"/>
          <w:sz w:val="24"/>
          <w:szCs w:val="24"/>
        </w:rPr>
        <w:t>2</w:t>
      </w:r>
      <w:r w:rsidR="00BE6E79" w:rsidRPr="00846A59">
        <w:rPr>
          <w:rFonts w:ascii="Palatino Linotype" w:hAnsi="Palatino Linotype"/>
          <w:sz w:val="24"/>
          <w:szCs w:val="24"/>
        </w:rPr>
        <w:t xml:space="preserve">) de </w:t>
      </w:r>
      <w:r w:rsidR="00D74BE9" w:rsidRPr="00846A59">
        <w:rPr>
          <w:rFonts w:ascii="Palatino Linotype" w:hAnsi="Palatino Linotype"/>
          <w:sz w:val="24"/>
          <w:szCs w:val="24"/>
        </w:rPr>
        <w:t>octubre</w:t>
      </w:r>
      <w:r w:rsidRPr="00846A59">
        <w:rPr>
          <w:rFonts w:ascii="Palatino Linotype" w:hAnsi="Palatino Linotype"/>
          <w:sz w:val="24"/>
          <w:szCs w:val="24"/>
        </w:rPr>
        <w:t xml:space="preserve"> de dos mil veinti</w:t>
      </w:r>
      <w:r w:rsidR="00573C5F" w:rsidRPr="00846A59">
        <w:rPr>
          <w:rFonts w:ascii="Palatino Linotype" w:hAnsi="Palatino Linotype"/>
          <w:sz w:val="24"/>
          <w:szCs w:val="24"/>
        </w:rPr>
        <w:t>trés</w:t>
      </w:r>
      <w:r w:rsidRPr="00846A59">
        <w:rPr>
          <w:rFonts w:ascii="Palatino Linotype" w:hAnsi="Palatino Linotype"/>
          <w:sz w:val="24"/>
          <w:szCs w:val="24"/>
        </w:rPr>
        <w:t>.</w:t>
      </w:r>
    </w:p>
    <w:p w14:paraId="2153F906" w14:textId="77777777" w:rsidR="00174363" w:rsidRPr="00846A59" w:rsidRDefault="005000AA" w:rsidP="005000AA">
      <w:pPr>
        <w:pStyle w:val="Encabezado"/>
        <w:spacing w:line="360" w:lineRule="auto"/>
        <w:jc w:val="both"/>
        <w:rPr>
          <w:rFonts w:ascii="Palatino Linotype" w:hAnsi="Palatino Linotype"/>
          <w:sz w:val="24"/>
          <w:szCs w:val="24"/>
        </w:rPr>
      </w:pPr>
      <w:r w:rsidRPr="00846A59">
        <w:rPr>
          <w:rFonts w:ascii="Palatino Linotype" w:hAnsi="Palatino Linotype"/>
          <w:b/>
          <w:sz w:val="24"/>
          <w:szCs w:val="24"/>
        </w:rPr>
        <w:t>VISTO</w:t>
      </w:r>
      <w:r w:rsidR="00F714A9" w:rsidRPr="00846A59">
        <w:rPr>
          <w:rFonts w:ascii="Palatino Linotype" w:hAnsi="Palatino Linotype"/>
          <w:b/>
          <w:sz w:val="24"/>
          <w:szCs w:val="24"/>
        </w:rPr>
        <w:t>S</w:t>
      </w:r>
      <w:r w:rsidRPr="00846A59">
        <w:rPr>
          <w:rFonts w:ascii="Palatino Linotype" w:hAnsi="Palatino Linotype"/>
          <w:b/>
          <w:sz w:val="24"/>
          <w:szCs w:val="24"/>
        </w:rPr>
        <w:t xml:space="preserve"> </w:t>
      </w:r>
      <w:r w:rsidR="00F714A9" w:rsidRPr="00846A59">
        <w:rPr>
          <w:rFonts w:ascii="Palatino Linotype" w:hAnsi="Palatino Linotype"/>
          <w:b/>
          <w:sz w:val="24"/>
          <w:szCs w:val="24"/>
        </w:rPr>
        <w:t>los</w:t>
      </w:r>
      <w:r w:rsidRPr="00846A59">
        <w:rPr>
          <w:rFonts w:ascii="Palatino Linotype" w:hAnsi="Palatino Linotype"/>
          <w:sz w:val="24"/>
          <w:szCs w:val="24"/>
        </w:rPr>
        <w:t xml:space="preserve"> expediente</w:t>
      </w:r>
      <w:r w:rsidR="00F714A9" w:rsidRPr="00846A59">
        <w:rPr>
          <w:rFonts w:ascii="Palatino Linotype" w:hAnsi="Palatino Linotype"/>
          <w:sz w:val="24"/>
          <w:szCs w:val="24"/>
        </w:rPr>
        <w:t>s</w:t>
      </w:r>
      <w:r w:rsidRPr="00846A59">
        <w:rPr>
          <w:rFonts w:ascii="Palatino Linotype" w:hAnsi="Palatino Linotype"/>
          <w:sz w:val="24"/>
          <w:szCs w:val="24"/>
        </w:rPr>
        <w:t xml:space="preserve"> electrónico</w:t>
      </w:r>
      <w:r w:rsidR="00F714A9" w:rsidRPr="00846A59">
        <w:rPr>
          <w:rFonts w:ascii="Palatino Linotype" w:hAnsi="Palatino Linotype"/>
          <w:sz w:val="24"/>
          <w:szCs w:val="24"/>
        </w:rPr>
        <w:t>s</w:t>
      </w:r>
      <w:r w:rsidRPr="00846A59">
        <w:rPr>
          <w:rFonts w:ascii="Palatino Linotype" w:hAnsi="Palatino Linotype"/>
          <w:sz w:val="24"/>
          <w:szCs w:val="24"/>
        </w:rPr>
        <w:t xml:space="preserve"> formado</w:t>
      </w:r>
      <w:r w:rsidR="00F714A9" w:rsidRPr="00846A59">
        <w:rPr>
          <w:rFonts w:ascii="Palatino Linotype" w:hAnsi="Palatino Linotype"/>
          <w:sz w:val="24"/>
          <w:szCs w:val="24"/>
        </w:rPr>
        <w:t>s</w:t>
      </w:r>
      <w:r w:rsidRPr="00846A59">
        <w:rPr>
          <w:rFonts w:ascii="Palatino Linotype" w:hAnsi="Palatino Linotype"/>
          <w:sz w:val="24"/>
          <w:szCs w:val="24"/>
        </w:rPr>
        <w:t xml:space="preserve"> con motivo de</w:t>
      </w:r>
      <w:r w:rsidR="00F714A9" w:rsidRPr="00846A59">
        <w:rPr>
          <w:rFonts w:ascii="Palatino Linotype" w:hAnsi="Palatino Linotype"/>
          <w:sz w:val="24"/>
          <w:szCs w:val="24"/>
        </w:rPr>
        <w:t xml:space="preserve"> </w:t>
      </w:r>
      <w:r w:rsidRPr="00846A59">
        <w:rPr>
          <w:rFonts w:ascii="Palatino Linotype" w:hAnsi="Palatino Linotype"/>
          <w:sz w:val="24"/>
          <w:szCs w:val="24"/>
        </w:rPr>
        <w:t>l</w:t>
      </w:r>
      <w:r w:rsidR="00F714A9" w:rsidRPr="00846A59">
        <w:rPr>
          <w:rFonts w:ascii="Palatino Linotype" w:hAnsi="Palatino Linotype"/>
          <w:sz w:val="24"/>
          <w:szCs w:val="24"/>
        </w:rPr>
        <w:t>os</w:t>
      </w:r>
      <w:r w:rsidR="003374B1" w:rsidRPr="00846A59">
        <w:rPr>
          <w:rFonts w:ascii="Palatino Linotype" w:hAnsi="Palatino Linotype"/>
          <w:sz w:val="24"/>
          <w:szCs w:val="24"/>
        </w:rPr>
        <w:t xml:space="preserve"> recurso de revisión </w:t>
      </w:r>
    </w:p>
    <w:p w14:paraId="4C818016" w14:textId="3A91EE6A" w:rsidR="005000AA" w:rsidRPr="00846A59" w:rsidRDefault="00D74BE9" w:rsidP="005000AA">
      <w:pPr>
        <w:pStyle w:val="Encabezado"/>
        <w:spacing w:line="360" w:lineRule="auto"/>
        <w:jc w:val="both"/>
        <w:rPr>
          <w:rFonts w:ascii="Palatino Linotype" w:hAnsi="Palatino Linotype"/>
          <w:sz w:val="24"/>
          <w:szCs w:val="24"/>
        </w:rPr>
      </w:pPr>
      <w:r w:rsidRPr="00846A59">
        <w:rPr>
          <w:rFonts w:ascii="Palatino Linotype" w:eastAsia="Calibri" w:hAnsi="Palatino Linotype" w:cs="Tahoma"/>
          <w:b/>
          <w:sz w:val="24"/>
          <w:lang w:eastAsia="en-US"/>
        </w:rPr>
        <w:t>17598/INFOEM/IP/RR/2022,</w:t>
      </w:r>
      <w:r w:rsidR="005B2307" w:rsidRPr="00846A59">
        <w:rPr>
          <w:rFonts w:ascii="Palatino Linotype" w:hAnsi="Palatino Linotype"/>
          <w:b/>
          <w:sz w:val="24"/>
          <w:szCs w:val="24"/>
        </w:rPr>
        <w:t xml:space="preserve"> </w:t>
      </w:r>
      <w:r w:rsidRPr="00846A59">
        <w:rPr>
          <w:rFonts w:ascii="Palatino Linotype" w:hAnsi="Palatino Linotype"/>
          <w:b/>
          <w:sz w:val="24"/>
          <w:szCs w:val="24"/>
        </w:rPr>
        <w:t>17600/INFOEM/IP/RR/2022 17601/INFOEM/IP/RR/2022 y 17602/INFOEM/IP/RR/2022</w:t>
      </w:r>
      <w:r w:rsidR="00174363" w:rsidRPr="00846A59">
        <w:rPr>
          <w:rFonts w:ascii="Palatino Linotype" w:hAnsi="Palatino Linotype"/>
          <w:b/>
          <w:sz w:val="24"/>
          <w:szCs w:val="24"/>
        </w:rPr>
        <w:t xml:space="preserve">, </w:t>
      </w:r>
      <w:r w:rsidR="005000AA" w:rsidRPr="00846A59">
        <w:rPr>
          <w:rFonts w:ascii="Palatino Linotype" w:hAnsi="Palatino Linotype"/>
          <w:sz w:val="24"/>
          <w:szCs w:val="24"/>
        </w:rPr>
        <w:t>promovido</w:t>
      </w:r>
      <w:r w:rsidR="00F714A9" w:rsidRPr="00846A59">
        <w:rPr>
          <w:rFonts w:ascii="Palatino Linotype" w:hAnsi="Palatino Linotype"/>
          <w:sz w:val="24"/>
          <w:szCs w:val="24"/>
        </w:rPr>
        <w:t>s</w:t>
      </w:r>
      <w:r w:rsidR="005000AA" w:rsidRPr="00846A59">
        <w:rPr>
          <w:rFonts w:ascii="Palatino Linotype" w:hAnsi="Palatino Linotype"/>
          <w:sz w:val="24"/>
          <w:szCs w:val="24"/>
        </w:rPr>
        <w:t xml:space="preserve"> por</w:t>
      </w:r>
      <w:r w:rsidR="00396CF5" w:rsidRPr="00846A59">
        <w:rPr>
          <w:rFonts w:ascii="Palatino Linotype" w:hAnsi="Palatino Linotype"/>
          <w:sz w:val="24"/>
          <w:szCs w:val="24"/>
        </w:rPr>
        <w:t xml:space="preserve"> </w:t>
      </w:r>
      <w:r w:rsidR="00C56D1A" w:rsidRPr="00846A59">
        <w:rPr>
          <w:rFonts w:ascii="Palatino Linotype" w:hAnsi="Palatino Linotype"/>
          <w:b/>
          <w:sz w:val="24"/>
          <w:szCs w:val="24"/>
        </w:rPr>
        <w:t>Un Usuario del Sistema de Acceso a la Información Mexiquense</w:t>
      </w:r>
      <w:r w:rsidR="007374F6" w:rsidRPr="00846A59">
        <w:rPr>
          <w:rFonts w:ascii="Palatino Linotype" w:hAnsi="Palatino Linotype"/>
          <w:b/>
          <w:sz w:val="24"/>
          <w:szCs w:val="24"/>
        </w:rPr>
        <w:t>,</w:t>
      </w:r>
      <w:r w:rsidR="00C56D1A" w:rsidRPr="00846A59">
        <w:rPr>
          <w:rFonts w:ascii="Palatino Linotype" w:hAnsi="Palatino Linotype"/>
          <w:b/>
          <w:sz w:val="24"/>
          <w:szCs w:val="24"/>
        </w:rPr>
        <w:t xml:space="preserve"> </w:t>
      </w:r>
      <w:r w:rsidR="00C56D1A" w:rsidRPr="00846A59">
        <w:rPr>
          <w:rFonts w:ascii="Palatino Linotype" w:hAnsi="Palatino Linotype"/>
          <w:sz w:val="24"/>
          <w:szCs w:val="24"/>
        </w:rPr>
        <w:t>qu</w:t>
      </w:r>
      <w:r w:rsidR="007374F6" w:rsidRPr="00846A59">
        <w:rPr>
          <w:rFonts w:ascii="Palatino Linotype" w:hAnsi="Palatino Linotype"/>
          <w:sz w:val="24"/>
          <w:szCs w:val="24"/>
        </w:rPr>
        <w:t>i</w:t>
      </w:r>
      <w:r w:rsidR="00C56D1A" w:rsidRPr="00846A59">
        <w:rPr>
          <w:rFonts w:ascii="Palatino Linotype" w:hAnsi="Palatino Linotype"/>
          <w:sz w:val="24"/>
          <w:szCs w:val="24"/>
        </w:rPr>
        <w:t>e</w:t>
      </w:r>
      <w:r w:rsidR="007374F6" w:rsidRPr="00846A59">
        <w:rPr>
          <w:rFonts w:ascii="Palatino Linotype" w:hAnsi="Palatino Linotype"/>
          <w:sz w:val="24"/>
          <w:szCs w:val="24"/>
        </w:rPr>
        <w:t>n</w:t>
      </w:r>
      <w:r w:rsidR="00C56D1A" w:rsidRPr="00846A59">
        <w:rPr>
          <w:rFonts w:ascii="Palatino Linotype" w:hAnsi="Palatino Linotype"/>
          <w:sz w:val="24"/>
          <w:szCs w:val="24"/>
        </w:rPr>
        <w:t xml:space="preserve"> no </w:t>
      </w:r>
      <w:r w:rsidR="007374F6" w:rsidRPr="00846A59">
        <w:rPr>
          <w:rFonts w:ascii="Palatino Linotype" w:hAnsi="Palatino Linotype"/>
          <w:sz w:val="24"/>
          <w:szCs w:val="24"/>
        </w:rPr>
        <w:t xml:space="preserve">proporcionó </w:t>
      </w:r>
      <w:r w:rsidR="00C56D1A" w:rsidRPr="00846A59">
        <w:rPr>
          <w:rFonts w:ascii="Palatino Linotype" w:hAnsi="Palatino Linotype"/>
          <w:sz w:val="24"/>
          <w:szCs w:val="24"/>
        </w:rPr>
        <w:t>nombre</w:t>
      </w:r>
      <w:r w:rsidR="007374F6" w:rsidRPr="00846A59">
        <w:rPr>
          <w:rFonts w:ascii="Palatino Linotype" w:hAnsi="Palatino Linotype"/>
          <w:sz w:val="24"/>
          <w:szCs w:val="24"/>
        </w:rPr>
        <w:t xml:space="preserve"> alguno</w:t>
      </w:r>
      <w:r w:rsidR="00CA3902" w:rsidRPr="00846A59">
        <w:rPr>
          <w:rFonts w:ascii="Palatino Linotype" w:eastAsia="Calibri" w:hAnsi="Palatino Linotype" w:cs="Tahoma"/>
          <w:sz w:val="24"/>
          <w:szCs w:val="22"/>
          <w:lang w:eastAsia="en-US"/>
        </w:rPr>
        <w:t>,</w:t>
      </w:r>
      <w:r w:rsidR="005D09C1" w:rsidRPr="00846A59">
        <w:rPr>
          <w:rFonts w:ascii="Palatino Linotype" w:hAnsi="Palatino Linotype"/>
          <w:sz w:val="24"/>
          <w:szCs w:val="24"/>
        </w:rPr>
        <w:t xml:space="preserve"> en su calidad de </w:t>
      </w:r>
      <w:r w:rsidR="005000AA" w:rsidRPr="00846A59">
        <w:rPr>
          <w:rFonts w:ascii="Palatino Linotype" w:hAnsi="Palatino Linotype"/>
          <w:b/>
          <w:sz w:val="24"/>
          <w:szCs w:val="24"/>
        </w:rPr>
        <w:t>RECURRENTE</w:t>
      </w:r>
      <w:r w:rsidR="005000AA" w:rsidRPr="00846A59">
        <w:rPr>
          <w:rFonts w:ascii="Palatino Linotype" w:hAnsi="Palatino Linotype" w:cs="Arial"/>
          <w:sz w:val="24"/>
          <w:szCs w:val="24"/>
        </w:rPr>
        <w:t>, en contra de la</w:t>
      </w:r>
      <w:r w:rsidR="00C56D1A" w:rsidRPr="00846A59">
        <w:rPr>
          <w:rFonts w:ascii="Palatino Linotype" w:hAnsi="Palatino Linotype" w:cs="Arial"/>
          <w:sz w:val="24"/>
          <w:szCs w:val="24"/>
        </w:rPr>
        <w:t xml:space="preserve"> falta de</w:t>
      </w:r>
      <w:r w:rsidR="005000AA" w:rsidRPr="00846A59">
        <w:rPr>
          <w:rFonts w:ascii="Palatino Linotype" w:hAnsi="Palatino Linotype" w:cs="Arial"/>
          <w:sz w:val="24"/>
          <w:szCs w:val="24"/>
        </w:rPr>
        <w:t xml:space="preserve"> respuesta del </w:t>
      </w:r>
      <w:r w:rsidR="00C56D1A" w:rsidRPr="00846A59">
        <w:rPr>
          <w:rFonts w:ascii="Palatino Linotype" w:eastAsia="Calibri" w:hAnsi="Palatino Linotype" w:cs="Arial"/>
          <w:b/>
          <w:sz w:val="24"/>
        </w:rPr>
        <w:t>Ayuntamiento de Zinacantepec</w:t>
      </w:r>
      <w:r w:rsidR="005000AA" w:rsidRPr="00846A59">
        <w:rPr>
          <w:rFonts w:ascii="Palatino Linotype" w:hAnsi="Palatino Linotype" w:cs="Arial"/>
          <w:sz w:val="24"/>
          <w:szCs w:val="24"/>
        </w:rPr>
        <w:t>,</w:t>
      </w:r>
      <w:r w:rsidR="005000AA" w:rsidRPr="00846A59">
        <w:rPr>
          <w:rFonts w:ascii="Palatino Linotype" w:hAnsi="Palatino Linotype"/>
          <w:b/>
          <w:sz w:val="24"/>
          <w:szCs w:val="24"/>
        </w:rPr>
        <w:t xml:space="preserve"> </w:t>
      </w:r>
      <w:r w:rsidR="005000AA" w:rsidRPr="00846A59">
        <w:rPr>
          <w:rFonts w:ascii="Palatino Linotype" w:hAnsi="Palatino Linotype"/>
          <w:sz w:val="24"/>
          <w:szCs w:val="24"/>
        </w:rPr>
        <w:t>en lo sucesivo el</w:t>
      </w:r>
      <w:r w:rsidR="005000AA" w:rsidRPr="00846A59">
        <w:rPr>
          <w:rFonts w:ascii="Palatino Linotype" w:hAnsi="Palatino Linotype"/>
          <w:b/>
          <w:sz w:val="24"/>
          <w:szCs w:val="24"/>
        </w:rPr>
        <w:t xml:space="preserve"> SUJETO OBLIGADO, </w:t>
      </w:r>
      <w:r w:rsidR="005000AA" w:rsidRPr="00846A59">
        <w:rPr>
          <w:rFonts w:ascii="Palatino Linotype" w:hAnsi="Palatino Linotype"/>
          <w:sz w:val="24"/>
          <w:szCs w:val="24"/>
        </w:rPr>
        <w:t>se procede a dictar la presente resolución, con base en los siguientes:</w:t>
      </w:r>
    </w:p>
    <w:p w14:paraId="1F1BAF80" w14:textId="77777777" w:rsidR="005000AA" w:rsidRPr="00846A59" w:rsidRDefault="005000AA" w:rsidP="005000AA">
      <w:pPr>
        <w:pStyle w:val="Ttulo1"/>
        <w:jc w:val="center"/>
        <w:rPr>
          <w:rFonts w:ascii="Palatino Linotype" w:hAnsi="Palatino Linotype"/>
          <w:b/>
          <w:color w:val="auto"/>
          <w:sz w:val="24"/>
          <w:szCs w:val="24"/>
        </w:rPr>
      </w:pPr>
      <w:bookmarkStart w:id="0" w:name="_Toc87549671"/>
      <w:r w:rsidRPr="00846A59">
        <w:rPr>
          <w:rFonts w:ascii="Palatino Linotype" w:hAnsi="Palatino Linotype"/>
          <w:b/>
          <w:color w:val="auto"/>
          <w:sz w:val="24"/>
          <w:szCs w:val="24"/>
        </w:rPr>
        <w:t>ANTECEDENTES</w:t>
      </w:r>
      <w:bookmarkEnd w:id="0"/>
    </w:p>
    <w:p w14:paraId="04287D5F" w14:textId="77777777" w:rsidR="005000AA" w:rsidRPr="00846A59" w:rsidRDefault="005000AA" w:rsidP="005000AA">
      <w:pPr>
        <w:rPr>
          <w:rFonts w:ascii="Palatino Linotype" w:hAnsi="Palatino Linotype"/>
          <w:sz w:val="24"/>
          <w:szCs w:val="24"/>
          <w:lang w:eastAsia="en-US"/>
        </w:rPr>
      </w:pPr>
    </w:p>
    <w:p w14:paraId="5ED33D9B" w14:textId="5984C52D" w:rsidR="00A87524" w:rsidRPr="00846A59"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846A59">
        <w:rPr>
          <w:rFonts w:ascii="Palatino Linotype" w:eastAsia="Calibri" w:hAnsi="Palatino Linotype" w:cs="Arial"/>
          <w:sz w:val="24"/>
          <w:lang w:val="es-ES"/>
        </w:rPr>
        <w:t xml:space="preserve">El </w:t>
      </w:r>
      <w:r w:rsidR="00D74BE9" w:rsidRPr="00846A59">
        <w:rPr>
          <w:rFonts w:ascii="Palatino Linotype" w:eastAsia="Calibri" w:hAnsi="Palatino Linotype" w:cs="Arial"/>
          <w:sz w:val="24"/>
          <w:lang w:val="es-ES"/>
        </w:rPr>
        <w:t>dieciocho</w:t>
      </w:r>
      <w:r w:rsidR="000904E7" w:rsidRPr="00846A59">
        <w:rPr>
          <w:rFonts w:ascii="Palatino Linotype" w:eastAsia="Calibri" w:hAnsi="Palatino Linotype" w:cs="Arial"/>
          <w:sz w:val="24"/>
          <w:lang w:val="es-ES"/>
        </w:rPr>
        <w:t xml:space="preserve"> (</w:t>
      </w:r>
      <w:r w:rsidR="00D74BE9" w:rsidRPr="00846A59">
        <w:rPr>
          <w:rFonts w:ascii="Palatino Linotype" w:eastAsia="Calibri" w:hAnsi="Palatino Linotype" w:cs="Arial"/>
          <w:sz w:val="24"/>
          <w:lang w:val="es-ES"/>
        </w:rPr>
        <w:t>18</w:t>
      </w:r>
      <w:r w:rsidR="000904E7" w:rsidRPr="00846A59">
        <w:rPr>
          <w:rFonts w:ascii="Palatino Linotype" w:eastAsia="Calibri" w:hAnsi="Palatino Linotype" w:cs="Arial"/>
          <w:sz w:val="24"/>
          <w:lang w:val="es-ES"/>
        </w:rPr>
        <w:t xml:space="preserve">) </w:t>
      </w:r>
      <w:r w:rsidR="00A87524" w:rsidRPr="00846A59">
        <w:rPr>
          <w:rFonts w:ascii="Palatino Linotype" w:eastAsia="Calibri" w:hAnsi="Palatino Linotype" w:cs="Arial"/>
          <w:sz w:val="24"/>
          <w:lang w:val="es-ES"/>
        </w:rPr>
        <w:t xml:space="preserve">de </w:t>
      </w:r>
      <w:r w:rsidR="00C56D1A" w:rsidRPr="00846A59">
        <w:rPr>
          <w:rFonts w:ascii="Palatino Linotype" w:eastAsia="Calibri" w:hAnsi="Palatino Linotype" w:cs="Arial"/>
          <w:sz w:val="24"/>
          <w:lang w:val="es-ES"/>
        </w:rPr>
        <w:t>noviembre</w:t>
      </w:r>
      <w:r w:rsidR="00A526EE" w:rsidRPr="00846A59">
        <w:rPr>
          <w:rFonts w:ascii="Palatino Linotype" w:eastAsia="Calibri" w:hAnsi="Palatino Linotype"/>
          <w:sz w:val="24"/>
          <w:lang w:val="es-ES"/>
        </w:rPr>
        <w:t xml:space="preserve"> </w:t>
      </w:r>
      <w:r w:rsidR="005000AA" w:rsidRPr="00846A59">
        <w:rPr>
          <w:rFonts w:ascii="Palatino Linotype" w:eastAsia="Calibri" w:hAnsi="Palatino Linotype"/>
          <w:sz w:val="24"/>
          <w:lang w:val="es-ES"/>
        </w:rPr>
        <w:t>de dos mil veinti</w:t>
      </w:r>
      <w:r w:rsidR="00F714A9" w:rsidRPr="00846A59">
        <w:rPr>
          <w:rFonts w:ascii="Palatino Linotype" w:eastAsia="Calibri" w:hAnsi="Palatino Linotype"/>
          <w:sz w:val="24"/>
          <w:lang w:val="es-ES"/>
        </w:rPr>
        <w:t>dós</w:t>
      </w:r>
      <w:r w:rsidR="005000AA" w:rsidRPr="00846A59">
        <w:rPr>
          <w:rFonts w:ascii="Palatino Linotype" w:eastAsia="Calibri" w:hAnsi="Palatino Linotype" w:cs="Arial"/>
          <w:sz w:val="24"/>
          <w:lang w:val="es-ES"/>
        </w:rPr>
        <w:t>,</w:t>
      </w:r>
      <w:r w:rsidR="005000AA" w:rsidRPr="00846A59">
        <w:rPr>
          <w:rFonts w:ascii="Palatino Linotype" w:eastAsia="Calibri" w:hAnsi="Palatino Linotype"/>
          <w:sz w:val="24"/>
          <w:lang w:val="es-ES"/>
        </w:rPr>
        <w:t xml:space="preserve"> </w:t>
      </w:r>
      <w:r w:rsidR="005000AA" w:rsidRPr="00846A59">
        <w:rPr>
          <w:rFonts w:ascii="Palatino Linotype" w:eastAsia="Calibri" w:hAnsi="Palatino Linotype"/>
          <w:b/>
          <w:sz w:val="24"/>
          <w:lang w:val="es-ES"/>
        </w:rPr>
        <w:t xml:space="preserve">EL RECURRENTE </w:t>
      </w:r>
      <w:r w:rsidR="005000AA" w:rsidRPr="00846A59">
        <w:rPr>
          <w:rFonts w:ascii="Palatino Linotype" w:eastAsia="Calibri" w:hAnsi="Palatino Linotype"/>
          <w:bCs/>
          <w:sz w:val="24"/>
          <w:lang w:val="es-ES"/>
        </w:rPr>
        <w:t>presentó</w:t>
      </w:r>
      <w:r w:rsidR="005000AA" w:rsidRPr="00846A59">
        <w:rPr>
          <w:rFonts w:ascii="Palatino Linotype" w:hAnsi="Palatino Linotype"/>
          <w:b/>
          <w:sz w:val="24"/>
        </w:rPr>
        <w:t>,</w:t>
      </w:r>
      <w:r w:rsidR="005000AA" w:rsidRPr="00846A59">
        <w:rPr>
          <w:rFonts w:ascii="Palatino Linotype" w:eastAsia="Calibri" w:hAnsi="Palatino Linotype" w:cs="Arial"/>
          <w:sz w:val="24"/>
          <w:lang w:val="es-ES"/>
        </w:rPr>
        <w:t xml:space="preserve"> ante el </w:t>
      </w:r>
      <w:r w:rsidR="005000AA" w:rsidRPr="00846A59">
        <w:rPr>
          <w:rFonts w:ascii="Palatino Linotype" w:eastAsia="Calibri" w:hAnsi="Palatino Linotype" w:cs="Arial"/>
          <w:b/>
          <w:sz w:val="24"/>
          <w:lang w:val="es-ES"/>
        </w:rPr>
        <w:t>SUJETO OBLIGADO</w:t>
      </w:r>
      <w:r w:rsidR="005000AA" w:rsidRPr="00846A59">
        <w:rPr>
          <w:rFonts w:ascii="Palatino Linotype" w:eastAsia="Calibri" w:hAnsi="Palatino Linotype" w:cs="Arial"/>
          <w:sz w:val="24"/>
        </w:rPr>
        <w:t xml:space="preserve"> vía </w:t>
      </w:r>
      <w:r w:rsidR="005000AA" w:rsidRPr="00846A59">
        <w:rPr>
          <w:rFonts w:ascii="Palatino Linotype" w:eastAsia="Calibri" w:hAnsi="Palatino Linotype" w:cs="Arial"/>
          <w:sz w:val="24"/>
          <w:lang w:val="es-ES"/>
        </w:rPr>
        <w:t>Sistema de Acceso a la Información Mexiquense (</w:t>
      </w:r>
      <w:r w:rsidR="005000AA" w:rsidRPr="00846A59">
        <w:rPr>
          <w:rFonts w:ascii="Palatino Linotype" w:eastAsia="Calibri" w:hAnsi="Palatino Linotype" w:cs="Arial"/>
          <w:b/>
          <w:sz w:val="24"/>
          <w:lang w:val="es-ES"/>
        </w:rPr>
        <w:t>SAIMEX)</w:t>
      </w:r>
      <w:r w:rsidR="005000AA" w:rsidRPr="00846A59">
        <w:rPr>
          <w:rFonts w:ascii="Palatino Linotype" w:eastAsia="Calibri" w:hAnsi="Palatino Linotype" w:cs="Arial"/>
          <w:sz w:val="24"/>
          <w:lang w:val="es-ES"/>
        </w:rPr>
        <w:t>, la</w:t>
      </w:r>
      <w:r w:rsidR="00A13224" w:rsidRPr="00846A59">
        <w:rPr>
          <w:rFonts w:ascii="Palatino Linotype" w:eastAsia="Calibri" w:hAnsi="Palatino Linotype" w:cs="Arial"/>
          <w:sz w:val="24"/>
          <w:lang w:val="es-ES"/>
        </w:rPr>
        <w:t>s</w:t>
      </w:r>
      <w:r w:rsidR="005000AA" w:rsidRPr="00846A59">
        <w:rPr>
          <w:rFonts w:ascii="Palatino Linotype" w:eastAsia="Calibri" w:hAnsi="Palatino Linotype" w:cs="Arial"/>
          <w:sz w:val="24"/>
          <w:lang w:val="es-ES"/>
        </w:rPr>
        <w:t xml:space="preserve"> solicitud</w:t>
      </w:r>
      <w:r w:rsidR="00A13224" w:rsidRPr="00846A59">
        <w:rPr>
          <w:rFonts w:ascii="Palatino Linotype" w:eastAsia="Calibri" w:hAnsi="Palatino Linotype" w:cs="Arial"/>
          <w:sz w:val="24"/>
          <w:lang w:val="es-ES"/>
        </w:rPr>
        <w:t>es</w:t>
      </w:r>
      <w:r w:rsidR="005000AA" w:rsidRPr="00846A59">
        <w:rPr>
          <w:rFonts w:ascii="Palatino Linotype" w:eastAsia="Calibri" w:hAnsi="Palatino Linotype" w:cs="Arial"/>
          <w:sz w:val="24"/>
          <w:lang w:val="es-ES"/>
        </w:rPr>
        <w:t xml:space="preserve"> de información pública registrada</w:t>
      </w:r>
      <w:r w:rsidR="00A13224" w:rsidRPr="00846A59">
        <w:rPr>
          <w:rFonts w:ascii="Palatino Linotype" w:eastAsia="Calibri" w:hAnsi="Palatino Linotype" w:cs="Arial"/>
          <w:sz w:val="24"/>
          <w:lang w:val="es-ES"/>
        </w:rPr>
        <w:t>s</w:t>
      </w:r>
      <w:r w:rsidR="005000AA" w:rsidRPr="00846A59">
        <w:rPr>
          <w:rFonts w:ascii="Palatino Linotype" w:eastAsia="Calibri" w:hAnsi="Palatino Linotype" w:cs="Arial"/>
          <w:sz w:val="24"/>
          <w:lang w:val="es-ES"/>
        </w:rPr>
        <w:t xml:space="preserve"> con el número </w:t>
      </w:r>
      <w:r w:rsidR="006C28CC" w:rsidRPr="00846A59">
        <w:rPr>
          <w:rFonts w:ascii="Palatino Linotype" w:hAnsi="Palatino Linotype" w:cs="Arial"/>
          <w:b/>
          <w:sz w:val="24"/>
          <w:lang w:val="es-ES"/>
        </w:rPr>
        <w:t>0</w:t>
      </w:r>
      <w:r w:rsidR="00C56D1A" w:rsidRPr="00846A59">
        <w:rPr>
          <w:rFonts w:ascii="Palatino Linotype" w:hAnsi="Palatino Linotype" w:cs="Arial"/>
          <w:b/>
          <w:sz w:val="24"/>
          <w:lang w:val="es-ES"/>
        </w:rPr>
        <w:t>12</w:t>
      </w:r>
      <w:r w:rsidR="00D74BE9" w:rsidRPr="00846A59">
        <w:rPr>
          <w:rFonts w:ascii="Palatino Linotype" w:hAnsi="Palatino Linotype" w:cs="Arial"/>
          <w:b/>
          <w:sz w:val="24"/>
          <w:lang w:val="es-ES"/>
        </w:rPr>
        <w:t>61</w:t>
      </w:r>
      <w:r w:rsidR="006C28CC" w:rsidRPr="00846A59">
        <w:rPr>
          <w:rFonts w:ascii="Palatino Linotype" w:hAnsi="Palatino Linotype" w:cs="Arial"/>
          <w:b/>
          <w:sz w:val="24"/>
          <w:lang w:val="es-ES"/>
        </w:rPr>
        <w:t>/</w:t>
      </w:r>
      <w:r w:rsidR="00C56D1A" w:rsidRPr="00846A59">
        <w:rPr>
          <w:rFonts w:ascii="Palatino Linotype" w:hAnsi="Palatino Linotype" w:cs="Arial"/>
          <w:b/>
          <w:sz w:val="24"/>
          <w:lang w:val="es-ES"/>
        </w:rPr>
        <w:t>ZINACANT</w:t>
      </w:r>
      <w:r w:rsidR="006C28CC" w:rsidRPr="00846A59">
        <w:rPr>
          <w:rFonts w:ascii="Palatino Linotype" w:hAnsi="Palatino Linotype" w:cs="Arial"/>
          <w:b/>
          <w:sz w:val="24"/>
          <w:lang w:val="es-ES"/>
        </w:rPr>
        <w:t>/IP/2022</w:t>
      </w:r>
      <w:r w:rsidR="00D74BE9" w:rsidRPr="00846A59">
        <w:rPr>
          <w:rFonts w:ascii="Palatino Linotype" w:hAnsi="Palatino Linotype" w:cs="Arial"/>
          <w:b/>
          <w:sz w:val="24"/>
          <w:lang w:val="es-ES"/>
        </w:rPr>
        <w:t xml:space="preserve">, </w:t>
      </w:r>
      <w:r w:rsidR="006C28CC" w:rsidRPr="00846A59">
        <w:rPr>
          <w:rFonts w:ascii="Palatino Linotype" w:hAnsi="Palatino Linotype" w:cs="Arial"/>
          <w:b/>
          <w:sz w:val="24"/>
          <w:lang w:val="es-ES"/>
        </w:rPr>
        <w:t xml:space="preserve"> </w:t>
      </w:r>
      <w:r w:rsidR="00D74BE9" w:rsidRPr="00846A59">
        <w:rPr>
          <w:rFonts w:ascii="Palatino Linotype" w:hAnsi="Palatino Linotype" w:cs="Arial"/>
          <w:b/>
          <w:sz w:val="24"/>
          <w:lang w:val="es-ES"/>
        </w:rPr>
        <w:t>01259/ZINACANT/IP/2022, 01258/ZINACANT/IP/2022 y 01257/ZINACANT/IP/2022</w:t>
      </w:r>
      <w:r w:rsidR="007374F6" w:rsidRPr="00846A59">
        <w:rPr>
          <w:rFonts w:ascii="Palatino Linotype" w:hAnsi="Palatino Linotype" w:cs="Arial"/>
          <w:b/>
          <w:sz w:val="24"/>
          <w:lang w:val="es-ES"/>
        </w:rPr>
        <w:t>,</w:t>
      </w:r>
      <w:r w:rsidR="006C28CC" w:rsidRPr="00846A59">
        <w:rPr>
          <w:rFonts w:ascii="Palatino Linotype" w:hAnsi="Palatino Linotype" w:cs="Arial"/>
          <w:b/>
          <w:sz w:val="24"/>
          <w:lang w:val="es-ES"/>
        </w:rPr>
        <w:t xml:space="preserve"> </w:t>
      </w:r>
      <w:r w:rsidR="007374F6" w:rsidRPr="00846A59">
        <w:rPr>
          <w:rFonts w:ascii="Palatino Linotype" w:eastAsia="Calibri" w:hAnsi="Palatino Linotype" w:cs="Arial"/>
          <w:sz w:val="24"/>
          <w:lang w:val="es-ES"/>
        </w:rPr>
        <w:t>en las que</w:t>
      </w:r>
      <w:r w:rsidR="008A2519" w:rsidRPr="00846A59">
        <w:rPr>
          <w:rFonts w:ascii="Palatino Linotype" w:eastAsia="Calibri" w:hAnsi="Palatino Linotype" w:cs="Arial"/>
          <w:sz w:val="24"/>
          <w:lang w:val="es-ES"/>
        </w:rPr>
        <w:t xml:space="preserve"> solicitó lo siguiente:</w:t>
      </w:r>
    </w:p>
    <w:p w14:paraId="39EB81E9" w14:textId="77777777" w:rsidR="008A2519" w:rsidRPr="00846A59" w:rsidRDefault="008A2519" w:rsidP="008A2519">
      <w:pPr>
        <w:pStyle w:val="Prrafodelista"/>
        <w:spacing w:line="360" w:lineRule="auto"/>
        <w:ind w:left="0"/>
        <w:jc w:val="both"/>
        <w:rPr>
          <w:rFonts w:ascii="Palatino Linotype" w:hAnsi="Palatino Linotype" w:cs="Arial"/>
          <w:sz w:val="24"/>
          <w:lang w:val="es-ES"/>
        </w:rPr>
      </w:pPr>
    </w:p>
    <w:p w14:paraId="58C6E069" w14:textId="15D8BF8B" w:rsidR="006C28CC" w:rsidRPr="00846A59" w:rsidRDefault="00D74BE9" w:rsidP="00D74BE9">
      <w:pPr>
        <w:pStyle w:val="Prrafodelista"/>
        <w:spacing w:line="360" w:lineRule="auto"/>
        <w:ind w:left="284"/>
        <w:jc w:val="both"/>
        <w:rPr>
          <w:rFonts w:ascii="Palatino Linotype" w:hAnsi="Palatino Linotype" w:cs="Arial"/>
          <w:b/>
          <w:sz w:val="24"/>
          <w:lang w:val="es-ES"/>
        </w:rPr>
      </w:pPr>
      <w:r w:rsidRPr="00846A59">
        <w:rPr>
          <w:rFonts w:ascii="Palatino Linotype" w:hAnsi="Palatino Linotype" w:cs="Arial"/>
          <w:b/>
          <w:sz w:val="24"/>
          <w:lang w:val="es-ES"/>
        </w:rPr>
        <w:t>01261/ZINACANT/IP/2022:</w:t>
      </w:r>
    </w:p>
    <w:p w14:paraId="4F8928F9" w14:textId="12A2E905" w:rsidR="00C56D1A" w:rsidRPr="00846A59" w:rsidRDefault="00D74BE9" w:rsidP="00D74BE9">
      <w:pPr>
        <w:pStyle w:val="Prrafodelista"/>
        <w:spacing w:line="360" w:lineRule="auto"/>
        <w:ind w:left="284"/>
        <w:jc w:val="both"/>
        <w:rPr>
          <w:rFonts w:ascii="Palatino Linotype" w:hAnsi="Palatino Linotype"/>
          <w:i/>
        </w:rPr>
      </w:pPr>
      <w:r w:rsidRPr="00846A59">
        <w:rPr>
          <w:rFonts w:ascii="Palatino Linotype" w:hAnsi="Palatino Linotype"/>
          <w:i/>
        </w:rPr>
        <w:t>SOLICITO EL GAFETE DE IDENTIFICACIÓN DE PERSONAL DEL PRESIDENTE MUNICIPAL</w:t>
      </w:r>
    </w:p>
    <w:p w14:paraId="3738F3AA" w14:textId="5BADDAB1" w:rsidR="00D74BE9" w:rsidRPr="00846A59" w:rsidRDefault="00D74BE9" w:rsidP="00D74BE9">
      <w:pPr>
        <w:pStyle w:val="Prrafodelista"/>
        <w:spacing w:line="360" w:lineRule="auto"/>
        <w:ind w:left="284"/>
        <w:jc w:val="both"/>
        <w:rPr>
          <w:rFonts w:ascii="Palatino Linotype" w:hAnsi="Palatino Linotype" w:cs="Arial"/>
          <w:b/>
          <w:sz w:val="24"/>
          <w:lang w:val="es-ES"/>
        </w:rPr>
      </w:pPr>
      <w:r w:rsidRPr="00846A59">
        <w:rPr>
          <w:rFonts w:ascii="Palatino Linotype" w:hAnsi="Palatino Linotype" w:cs="Arial"/>
          <w:b/>
          <w:sz w:val="24"/>
          <w:lang w:val="es-ES"/>
        </w:rPr>
        <w:lastRenderedPageBreak/>
        <w:t>01259/ZINACANT/IP/2022</w:t>
      </w:r>
    </w:p>
    <w:p w14:paraId="6B43921F" w14:textId="1C653F52" w:rsidR="00D74BE9" w:rsidRPr="00846A59" w:rsidRDefault="00D74BE9" w:rsidP="00D74BE9">
      <w:pPr>
        <w:ind w:left="284" w:right="567"/>
        <w:jc w:val="both"/>
        <w:rPr>
          <w:rFonts w:ascii="Palatino Linotype" w:hAnsi="Palatino Linotype"/>
          <w:i/>
          <w:sz w:val="22"/>
          <w:szCs w:val="24"/>
        </w:rPr>
      </w:pPr>
      <w:r w:rsidRPr="00846A59">
        <w:rPr>
          <w:rFonts w:ascii="Palatino Linotype" w:hAnsi="Palatino Linotype"/>
          <w:i/>
          <w:sz w:val="22"/>
          <w:szCs w:val="24"/>
        </w:rPr>
        <w:t>SOLICITO EL INFORME DE NO ANTECEDENTES PENALES DEL PRESIDENTE MUNICIPAL</w:t>
      </w:r>
    </w:p>
    <w:p w14:paraId="602FE487" w14:textId="77777777" w:rsidR="00D74BE9" w:rsidRPr="00846A59" w:rsidRDefault="00D74BE9" w:rsidP="00D74BE9">
      <w:pPr>
        <w:ind w:left="284" w:right="567"/>
        <w:jc w:val="both"/>
        <w:rPr>
          <w:rFonts w:ascii="Palatino Linotype" w:hAnsi="Palatino Linotype"/>
          <w:i/>
          <w:sz w:val="22"/>
          <w:szCs w:val="24"/>
        </w:rPr>
      </w:pPr>
    </w:p>
    <w:p w14:paraId="16C386A7" w14:textId="2A1F662D" w:rsidR="00D74BE9" w:rsidRPr="00846A59" w:rsidRDefault="00D74BE9" w:rsidP="00D74BE9">
      <w:pPr>
        <w:pStyle w:val="Prrafodelista"/>
        <w:spacing w:line="360" w:lineRule="auto"/>
        <w:ind w:left="284"/>
        <w:jc w:val="both"/>
        <w:rPr>
          <w:rFonts w:ascii="Palatino Linotype" w:hAnsi="Palatino Linotype" w:cs="Arial"/>
          <w:b/>
          <w:sz w:val="24"/>
          <w:lang w:val="es-ES"/>
        </w:rPr>
      </w:pPr>
      <w:r w:rsidRPr="00846A59">
        <w:rPr>
          <w:rFonts w:ascii="Palatino Linotype" w:hAnsi="Palatino Linotype" w:cs="Arial"/>
          <w:b/>
          <w:sz w:val="24"/>
          <w:lang w:val="es-ES"/>
        </w:rPr>
        <w:t xml:space="preserve">01258/ZINACANT/IP/2022 </w:t>
      </w:r>
    </w:p>
    <w:p w14:paraId="79F13EA5" w14:textId="77777777" w:rsidR="00D74BE9" w:rsidRPr="00846A59" w:rsidRDefault="00D74BE9" w:rsidP="00D74BE9">
      <w:pPr>
        <w:ind w:left="284" w:right="567"/>
        <w:jc w:val="both"/>
        <w:rPr>
          <w:rFonts w:ascii="Palatino Linotype" w:hAnsi="Palatino Linotype"/>
          <w:i/>
          <w:sz w:val="22"/>
          <w:szCs w:val="24"/>
        </w:rPr>
      </w:pPr>
      <w:r w:rsidRPr="00846A59">
        <w:rPr>
          <w:rFonts w:ascii="Palatino Linotype" w:hAnsi="Palatino Linotype"/>
          <w:i/>
          <w:sz w:val="22"/>
          <w:szCs w:val="24"/>
        </w:rPr>
        <w:t>SOLICITO EL COMPROBANTE DE IDENTIFICACIÓN FISCAL DEL PRESIDENTE MUNICIPAL</w:t>
      </w:r>
    </w:p>
    <w:p w14:paraId="2DD1AEE9" w14:textId="77777777" w:rsidR="00D74BE9" w:rsidRPr="00846A59" w:rsidRDefault="00D74BE9" w:rsidP="00D74BE9">
      <w:pPr>
        <w:ind w:left="284" w:right="567"/>
        <w:jc w:val="both"/>
        <w:rPr>
          <w:rFonts w:ascii="Palatino Linotype" w:hAnsi="Palatino Linotype"/>
          <w:i/>
          <w:sz w:val="22"/>
          <w:szCs w:val="24"/>
        </w:rPr>
      </w:pPr>
    </w:p>
    <w:p w14:paraId="31B98C4F" w14:textId="36FD4876" w:rsidR="00D74BE9" w:rsidRPr="00846A59" w:rsidRDefault="00D74BE9" w:rsidP="00D74BE9">
      <w:pPr>
        <w:ind w:left="284" w:right="567"/>
        <w:jc w:val="both"/>
        <w:rPr>
          <w:rFonts w:ascii="Palatino Linotype" w:hAnsi="Palatino Linotype" w:cs="Arial"/>
          <w:b/>
          <w:sz w:val="24"/>
          <w:lang w:val="es-ES"/>
        </w:rPr>
      </w:pPr>
      <w:r w:rsidRPr="00846A59">
        <w:rPr>
          <w:rFonts w:ascii="Palatino Linotype" w:hAnsi="Palatino Linotype" w:cs="Arial"/>
          <w:b/>
          <w:sz w:val="24"/>
          <w:lang w:val="es-ES"/>
        </w:rPr>
        <w:t>01257/ZINACANT/IP/2022</w:t>
      </w:r>
    </w:p>
    <w:p w14:paraId="48D756F2" w14:textId="0EE6D119" w:rsidR="00D74BE9" w:rsidRPr="00846A59" w:rsidRDefault="00D74BE9" w:rsidP="00D74BE9">
      <w:pPr>
        <w:ind w:left="284" w:right="567"/>
        <w:jc w:val="both"/>
        <w:rPr>
          <w:rFonts w:ascii="Palatino Linotype" w:hAnsi="Palatino Linotype"/>
          <w:i/>
          <w:sz w:val="22"/>
          <w:szCs w:val="24"/>
        </w:rPr>
      </w:pPr>
      <w:r w:rsidRPr="00846A59">
        <w:rPr>
          <w:rFonts w:ascii="Palatino Linotype" w:hAnsi="Palatino Linotype"/>
          <w:i/>
          <w:sz w:val="22"/>
          <w:szCs w:val="24"/>
        </w:rPr>
        <w:t>SOLICITO EL MOVIMIENTO DE ALTA DEL ISSEMYM DEL PRESIDENTE MUNICIPAL</w:t>
      </w:r>
    </w:p>
    <w:p w14:paraId="0CE61A8B" w14:textId="77777777" w:rsidR="00C56D1A" w:rsidRPr="00846A59" w:rsidRDefault="00C56D1A" w:rsidP="005000AA">
      <w:pPr>
        <w:ind w:left="567" w:right="567"/>
        <w:jc w:val="both"/>
        <w:rPr>
          <w:rFonts w:ascii="Palatino Linotype" w:hAnsi="Palatino Linotype"/>
          <w:i/>
          <w:sz w:val="22"/>
          <w:szCs w:val="24"/>
        </w:rPr>
      </w:pPr>
    </w:p>
    <w:p w14:paraId="729506A2" w14:textId="77777777" w:rsidR="00C56D1A" w:rsidRPr="00846A59" w:rsidRDefault="00C56D1A" w:rsidP="005000AA">
      <w:pPr>
        <w:ind w:left="567" w:right="567"/>
        <w:jc w:val="both"/>
        <w:rPr>
          <w:rFonts w:ascii="Palatino Linotype" w:eastAsia="Calibri" w:hAnsi="Palatino Linotype" w:cs="Arial"/>
          <w:i/>
          <w:sz w:val="24"/>
          <w:szCs w:val="24"/>
          <w:lang w:val="es-ES"/>
        </w:rPr>
      </w:pPr>
    </w:p>
    <w:p w14:paraId="10A9E574" w14:textId="77777777" w:rsidR="00573C5F" w:rsidRPr="00846A59"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846A59">
        <w:rPr>
          <w:rFonts w:ascii="Palatino Linotype" w:hAnsi="Palatino Linotype" w:cs="Arial"/>
          <w:sz w:val="24"/>
          <w:lang w:val="es-ES"/>
        </w:rPr>
        <w:t>Señaló como modalidad de entrega</w:t>
      </w:r>
      <w:r w:rsidR="006C28CC" w:rsidRPr="00846A59">
        <w:rPr>
          <w:rFonts w:ascii="Palatino Linotype" w:hAnsi="Palatino Linotype" w:cs="Arial"/>
          <w:sz w:val="24"/>
          <w:lang w:val="es-ES"/>
        </w:rPr>
        <w:t xml:space="preserve"> de la información a través de</w:t>
      </w:r>
      <w:r w:rsidR="00573C5F" w:rsidRPr="00846A59">
        <w:rPr>
          <w:rFonts w:ascii="Palatino Linotype" w:hAnsi="Palatino Linotype" w:cs="Arial"/>
          <w:sz w:val="24"/>
          <w:lang w:val="es-ES"/>
        </w:rPr>
        <w:t>l</w:t>
      </w:r>
      <w:r w:rsidR="006C28CC" w:rsidRPr="00846A59">
        <w:rPr>
          <w:rFonts w:ascii="Palatino Linotype" w:hAnsi="Palatino Linotype" w:cs="Arial"/>
          <w:sz w:val="24"/>
          <w:lang w:val="es-ES"/>
        </w:rPr>
        <w:t xml:space="preserve"> </w:t>
      </w:r>
      <w:r w:rsidRPr="00846A59">
        <w:rPr>
          <w:rFonts w:ascii="Palatino Linotype" w:hAnsi="Palatino Linotype" w:cs="Arial"/>
          <w:b/>
          <w:sz w:val="24"/>
          <w:lang w:val="es-ES"/>
        </w:rPr>
        <w:t>SAIMEX.</w:t>
      </w:r>
    </w:p>
    <w:p w14:paraId="49A61894" w14:textId="77777777" w:rsidR="00573C5F" w:rsidRPr="00846A59" w:rsidRDefault="00573C5F" w:rsidP="00573C5F">
      <w:pPr>
        <w:pStyle w:val="Prrafodelista"/>
        <w:spacing w:line="360" w:lineRule="auto"/>
        <w:ind w:left="0"/>
        <w:jc w:val="both"/>
        <w:rPr>
          <w:rFonts w:ascii="Palatino Linotype" w:hAnsi="Palatino Linotype" w:cs="Arial"/>
          <w:sz w:val="24"/>
          <w:lang w:val="es-ES"/>
        </w:rPr>
      </w:pPr>
    </w:p>
    <w:p w14:paraId="5CED267C" w14:textId="7E3B200E" w:rsidR="00C56D1A" w:rsidRPr="00846A59"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846A59">
        <w:rPr>
          <w:rFonts w:ascii="Palatino Linotype" w:hAnsi="Palatino Linotype" w:cs="Arial"/>
          <w:sz w:val="24"/>
          <w:lang w:val="es-ES"/>
        </w:rPr>
        <w:t xml:space="preserve">El </w:t>
      </w:r>
      <w:r w:rsidR="00D74BE9" w:rsidRPr="00846A59">
        <w:rPr>
          <w:rFonts w:ascii="Palatino Linotype" w:hAnsi="Palatino Linotype" w:cs="Arial"/>
          <w:sz w:val="24"/>
          <w:lang w:val="es-ES"/>
        </w:rPr>
        <w:t>veintiocho</w:t>
      </w:r>
      <w:r w:rsidRPr="00846A59">
        <w:rPr>
          <w:rFonts w:ascii="Palatino Linotype" w:hAnsi="Palatino Linotype" w:cs="Arial"/>
          <w:sz w:val="24"/>
          <w:lang w:val="es-ES"/>
        </w:rPr>
        <w:t xml:space="preserve"> (</w:t>
      </w:r>
      <w:r w:rsidR="00D74BE9" w:rsidRPr="00846A59">
        <w:rPr>
          <w:rFonts w:ascii="Palatino Linotype" w:hAnsi="Palatino Linotype" w:cs="Arial"/>
          <w:sz w:val="24"/>
          <w:lang w:val="es-ES"/>
        </w:rPr>
        <w:t>28</w:t>
      </w:r>
      <w:r w:rsidRPr="00846A59">
        <w:rPr>
          <w:rFonts w:ascii="Palatino Linotype" w:hAnsi="Palatino Linotype" w:cs="Arial"/>
          <w:sz w:val="24"/>
          <w:lang w:val="es-ES"/>
        </w:rPr>
        <w:t xml:space="preserve">) de noviembre de dos mil veintidós solicitó una aclaración </w:t>
      </w:r>
    </w:p>
    <w:p w14:paraId="20A380EF" w14:textId="77777777" w:rsidR="00C56D1A" w:rsidRPr="00846A59" w:rsidRDefault="00C56D1A" w:rsidP="00C56D1A">
      <w:pPr>
        <w:pStyle w:val="Prrafodelista"/>
        <w:rPr>
          <w:rFonts w:ascii="Palatino Linotype" w:hAnsi="Palatino Linotype" w:cs="Arial"/>
          <w:sz w:val="24"/>
          <w:lang w:val="es-ES"/>
        </w:rPr>
      </w:pPr>
    </w:p>
    <w:p w14:paraId="138C7856" w14:textId="038B6C86" w:rsidR="00C56D1A" w:rsidRPr="00846A59" w:rsidRDefault="00C56D1A" w:rsidP="00C56D1A">
      <w:pPr>
        <w:pStyle w:val="Prrafodelista"/>
        <w:spacing w:line="360" w:lineRule="auto"/>
        <w:ind w:left="567" w:right="822"/>
        <w:jc w:val="both"/>
        <w:rPr>
          <w:rFonts w:ascii="Palatino Linotype" w:hAnsi="Palatino Linotype" w:cs="Arial"/>
          <w:i/>
          <w:lang w:val="es-ES"/>
        </w:rPr>
      </w:pPr>
      <w:r w:rsidRPr="00846A59">
        <w:rPr>
          <w:rFonts w:ascii="Palatino Linotype"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p w14:paraId="0EF14726" w14:textId="77777777" w:rsidR="00C56D1A" w:rsidRPr="00846A59" w:rsidRDefault="00C56D1A" w:rsidP="00C56D1A">
      <w:pPr>
        <w:pStyle w:val="Prrafodelista"/>
        <w:spacing w:line="360" w:lineRule="auto"/>
        <w:ind w:left="567" w:right="822"/>
        <w:jc w:val="both"/>
        <w:rPr>
          <w:rFonts w:ascii="Palatino Linotype" w:hAnsi="Palatino Linotype" w:cs="Arial"/>
          <w:i/>
          <w:lang w:val="es-ES"/>
        </w:rPr>
      </w:pPr>
      <w:r w:rsidRPr="00846A59">
        <w:rPr>
          <w:rFonts w:ascii="Palatino Linotype" w:hAnsi="Palatino Linotype" w:cs="Arial"/>
          <w:i/>
          <w:lang w:val="es-ES"/>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w:t>
      </w:r>
      <w:r w:rsidRPr="00846A59">
        <w:rPr>
          <w:rFonts w:ascii="Palatino Linotype" w:hAnsi="Palatino Linotype" w:cs="Arial"/>
          <w:i/>
          <w:lang w:val="es-ES"/>
        </w:rPr>
        <w:lastRenderedPageBreak/>
        <w:t>Unidad de Transparencia cuente con los elementos necesarios que permitan realizar una búsqueda exhaustiva en los archivos municipales.</w:t>
      </w:r>
    </w:p>
    <w:p w14:paraId="5943305B" w14:textId="77777777" w:rsidR="00C56D1A" w:rsidRPr="00846A59" w:rsidRDefault="00C56D1A" w:rsidP="00C56D1A">
      <w:pPr>
        <w:pStyle w:val="Prrafodelista"/>
        <w:spacing w:line="360" w:lineRule="auto"/>
        <w:ind w:left="567" w:right="822"/>
        <w:jc w:val="both"/>
        <w:rPr>
          <w:rFonts w:ascii="Palatino Linotype" w:hAnsi="Palatino Linotype" w:cs="Arial"/>
          <w:i/>
          <w:lang w:val="es-ES"/>
        </w:rPr>
      </w:pPr>
      <w:r w:rsidRPr="00846A59">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1A2EBB4" w14:textId="77777777" w:rsidR="00C56D1A" w:rsidRPr="00846A59" w:rsidRDefault="00C56D1A" w:rsidP="00C56D1A">
      <w:pPr>
        <w:pStyle w:val="Prrafodelista"/>
        <w:spacing w:line="360" w:lineRule="auto"/>
        <w:ind w:left="567" w:right="822"/>
        <w:jc w:val="both"/>
        <w:rPr>
          <w:rFonts w:ascii="Palatino Linotype" w:hAnsi="Palatino Linotype" w:cs="Arial"/>
          <w:i/>
          <w:lang w:val="es-ES"/>
        </w:rPr>
      </w:pPr>
      <w:r w:rsidRPr="00846A59">
        <w:rPr>
          <w:rFonts w:ascii="Palatino Linotype" w:hAnsi="Palatino Linotype" w:cs="Arial"/>
          <w:i/>
          <w:lang w:val="es-ES"/>
        </w:rPr>
        <w:t>ATENTAMENTE</w:t>
      </w:r>
    </w:p>
    <w:p w14:paraId="790F3FF3" w14:textId="217533EA" w:rsidR="00C56D1A" w:rsidRPr="00846A59" w:rsidRDefault="00C56D1A" w:rsidP="00C56D1A">
      <w:pPr>
        <w:pStyle w:val="Prrafodelista"/>
        <w:spacing w:line="360" w:lineRule="auto"/>
        <w:ind w:left="567" w:right="822"/>
        <w:jc w:val="both"/>
        <w:rPr>
          <w:rFonts w:ascii="Palatino Linotype" w:hAnsi="Palatino Linotype" w:cs="Arial"/>
          <w:i/>
          <w:lang w:val="es-ES"/>
        </w:rPr>
      </w:pPr>
      <w:r w:rsidRPr="00846A59">
        <w:rPr>
          <w:rFonts w:ascii="Palatino Linotype" w:hAnsi="Palatino Linotype" w:cs="Arial"/>
          <w:i/>
          <w:lang w:val="es-ES"/>
        </w:rPr>
        <w:t>ING. JESUS EMMANUEL ENCASTIN RENDON” (sic)</w:t>
      </w:r>
    </w:p>
    <w:p w14:paraId="10EA4AD3" w14:textId="77777777" w:rsidR="00C56D1A" w:rsidRPr="00846A59" w:rsidRDefault="00C56D1A" w:rsidP="00C56D1A">
      <w:pPr>
        <w:pStyle w:val="Prrafodelista"/>
        <w:rPr>
          <w:rFonts w:ascii="Palatino Linotype" w:eastAsia="Calibri" w:hAnsi="Palatino Linotype"/>
          <w:sz w:val="24"/>
          <w:lang w:val="es-ES"/>
        </w:rPr>
      </w:pPr>
    </w:p>
    <w:p w14:paraId="7D913170" w14:textId="7F9BADE1" w:rsidR="00ED737F" w:rsidRPr="00846A59"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846A59">
        <w:rPr>
          <w:rFonts w:ascii="Palatino Linotype" w:eastAsia="Calibri" w:hAnsi="Palatino Linotype"/>
          <w:sz w:val="24"/>
          <w:lang w:val="es-ES"/>
        </w:rPr>
        <w:t>El</w:t>
      </w:r>
      <w:r w:rsidR="00A526EE" w:rsidRPr="00846A59">
        <w:rPr>
          <w:rFonts w:ascii="Palatino Linotype" w:eastAsia="Calibri" w:hAnsi="Palatino Linotype"/>
          <w:sz w:val="24"/>
          <w:lang w:val="es-ES"/>
        </w:rPr>
        <w:t xml:space="preserve"> </w:t>
      </w:r>
      <w:r w:rsidR="00D74BE9" w:rsidRPr="00846A59">
        <w:rPr>
          <w:rFonts w:ascii="Palatino Linotype" w:eastAsia="Calibri" w:hAnsi="Palatino Linotype"/>
          <w:sz w:val="24"/>
          <w:lang w:val="es-ES"/>
        </w:rPr>
        <w:t>veintiocho</w:t>
      </w:r>
      <w:r w:rsidR="000E6FEE" w:rsidRPr="00846A59">
        <w:rPr>
          <w:rFonts w:ascii="Palatino Linotype" w:eastAsia="Calibri" w:hAnsi="Palatino Linotype"/>
          <w:sz w:val="24"/>
          <w:lang w:val="es-ES"/>
        </w:rPr>
        <w:t xml:space="preserve"> </w:t>
      </w:r>
      <w:r w:rsidR="006C28CC" w:rsidRPr="00846A59">
        <w:rPr>
          <w:rFonts w:ascii="Palatino Linotype" w:eastAsia="Calibri" w:hAnsi="Palatino Linotype"/>
          <w:sz w:val="24"/>
          <w:lang w:val="es-ES"/>
        </w:rPr>
        <w:t>(</w:t>
      </w:r>
      <w:r w:rsidR="00D74BE9" w:rsidRPr="00846A59">
        <w:rPr>
          <w:rFonts w:ascii="Palatino Linotype" w:eastAsia="Calibri" w:hAnsi="Palatino Linotype"/>
          <w:sz w:val="24"/>
          <w:lang w:val="es-ES"/>
        </w:rPr>
        <w:t>28</w:t>
      </w:r>
      <w:r w:rsidR="00DD2E71" w:rsidRPr="00846A59">
        <w:rPr>
          <w:rFonts w:ascii="Palatino Linotype" w:eastAsia="Calibri" w:hAnsi="Palatino Linotype"/>
          <w:sz w:val="24"/>
          <w:lang w:val="es-ES"/>
        </w:rPr>
        <w:t>)</w:t>
      </w:r>
      <w:r w:rsidR="00A871C4" w:rsidRPr="00846A59">
        <w:rPr>
          <w:rFonts w:ascii="Palatino Linotype" w:eastAsia="Calibri" w:hAnsi="Palatino Linotype"/>
          <w:sz w:val="24"/>
          <w:lang w:val="es-ES"/>
        </w:rPr>
        <w:t xml:space="preserve"> </w:t>
      </w:r>
      <w:r w:rsidR="00573C5F" w:rsidRPr="00846A59">
        <w:rPr>
          <w:rFonts w:ascii="Palatino Linotype" w:eastAsia="Calibri" w:hAnsi="Palatino Linotype"/>
          <w:sz w:val="24"/>
          <w:lang w:val="es-ES"/>
        </w:rPr>
        <w:t>de noviembre de dos mil veintidós,</w:t>
      </w:r>
      <w:r w:rsidR="000E6FEE" w:rsidRPr="00846A59">
        <w:rPr>
          <w:rFonts w:ascii="Palatino Linotype" w:eastAsia="Calibri" w:hAnsi="Palatino Linotype"/>
          <w:sz w:val="24"/>
          <w:lang w:val="es-ES"/>
        </w:rPr>
        <w:t xml:space="preserve"> </w:t>
      </w:r>
      <w:r w:rsidR="00C56D1A" w:rsidRPr="00846A59">
        <w:rPr>
          <w:rFonts w:ascii="Palatino Linotype" w:eastAsia="Calibri" w:hAnsi="Palatino Linotype"/>
          <w:sz w:val="24"/>
          <w:lang w:val="es-ES"/>
        </w:rPr>
        <w:t xml:space="preserve">el particular </w:t>
      </w:r>
      <w:r w:rsidR="00ED737F" w:rsidRPr="00846A59">
        <w:rPr>
          <w:rFonts w:ascii="Palatino Linotype" w:eastAsia="Calibri" w:hAnsi="Palatino Linotype"/>
          <w:sz w:val="24"/>
          <w:lang w:val="es-ES"/>
        </w:rPr>
        <w:t>dio contestación a la aclaración en los siguientes términos:</w:t>
      </w:r>
    </w:p>
    <w:p w14:paraId="387296DA" w14:textId="77777777" w:rsidR="00ED737F" w:rsidRPr="00846A59" w:rsidRDefault="00ED737F" w:rsidP="00ED737F">
      <w:pPr>
        <w:pStyle w:val="Prrafodelista"/>
        <w:spacing w:line="360" w:lineRule="auto"/>
        <w:ind w:left="0"/>
        <w:jc w:val="both"/>
        <w:rPr>
          <w:rFonts w:ascii="Palatino Linotype" w:hAnsi="Palatino Linotype" w:cs="Arial"/>
          <w:sz w:val="24"/>
          <w:lang w:val="es-ES"/>
        </w:rPr>
      </w:pPr>
    </w:p>
    <w:p w14:paraId="3757793B" w14:textId="41B8C402" w:rsidR="00ED737F" w:rsidRPr="00846A59" w:rsidRDefault="00ED737F" w:rsidP="00ED737F">
      <w:pPr>
        <w:pStyle w:val="Prrafodelista"/>
        <w:spacing w:line="360" w:lineRule="auto"/>
        <w:ind w:left="567"/>
        <w:jc w:val="both"/>
        <w:rPr>
          <w:rFonts w:ascii="Palatino Linotype" w:hAnsi="Palatino Linotype" w:cs="Arial"/>
          <w:i/>
          <w:lang w:val="es-ES"/>
        </w:rPr>
      </w:pPr>
      <w:r w:rsidRPr="00846A59">
        <w:rPr>
          <w:rFonts w:ascii="Palatino Linotype" w:hAnsi="Palatino Linotype" w:cs="Arial"/>
          <w:i/>
          <w:lang w:val="es-ES"/>
        </w:rPr>
        <w:t>“LA SOLICITUD ES MUY ESPECÍFICA” (sic)</w:t>
      </w:r>
    </w:p>
    <w:p w14:paraId="1F11F314" w14:textId="77777777" w:rsidR="00ED737F" w:rsidRPr="00846A59" w:rsidRDefault="00ED737F" w:rsidP="00ED737F">
      <w:pPr>
        <w:pStyle w:val="Prrafodelista"/>
        <w:spacing w:line="360" w:lineRule="auto"/>
        <w:ind w:left="0"/>
        <w:jc w:val="both"/>
        <w:rPr>
          <w:rFonts w:ascii="Palatino Linotype" w:hAnsi="Palatino Linotype" w:cs="Arial"/>
          <w:sz w:val="24"/>
          <w:lang w:val="es-ES"/>
        </w:rPr>
      </w:pPr>
    </w:p>
    <w:p w14:paraId="345147FD" w14:textId="4B328EF9" w:rsidR="00ED737F" w:rsidRPr="00846A59" w:rsidRDefault="00ED737F"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846A59">
        <w:rPr>
          <w:rFonts w:ascii="Palatino Linotype" w:hAnsi="Palatino Linotype" w:cs="Arial"/>
          <w:sz w:val="24"/>
        </w:rPr>
        <w:t>El Sujeto Obligado no dio respuesta a las solicitudes de acceso a la información pública.</w:t>
      </w:r>
    </w:p>
    <w:p w14:paraId="24A4392F" w14:textId="77777777" w:rsidR="00ED737F" w:rsidRPr="00846A59" w:rsidRDefault="00ED737F" w:rsidP="00ED737F">
      <w:pPr>
        <w:pStyle w:val="Prrafodelista"/>
        <w:spacing w:before="240" w:after="240" w:line="360" w:lineRule="auto"/>
        <w:ind w:left="0"/>
        <w:jc w:val="both"/>
        <w:rPr>
          <w:rFonts w:ascii="Palatino Linotype" w:hAnsi="Palatino Linotype" w:cs="Arial"/>
          <w:i/>
          <w:sz w:val="24"/>
        </w:rPr>
      </w:pPr>
    </w:p>
    <w:p w14:paraId="518CDCD9" w14:textId="3DB97763" w:rsidR="005000AA" w:rsidRPr="00846A59"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46A59">
        <w:rPr>
          <w:rFonts w:ascii="Palatino Linotype" w:eastAsia="Calibri" w:hAnsi="Palatino Linotype" w:cs="Arial"/>
          <w:sz w:val="24"/>
          <w:lang w:val="es-AR"/>
        </w:rPr>
        <w:t xml:space="preserve">El </w:t>
      </w:r>
      <w:r w:rsidR="00D74BE9" w:rsidRPr="00846A59">
        <w:rPr>
          <w:rFonts w:ascii="Palatino Linotype" w:eastAsia="Calibri" w:hAnsi="Palatino Linotype" w:cs="Arial"/>
          <w:sz w:val="24"/>
          <w:lang w:val="es-AR"/>
        </w:rPr>
        <w:t>veintiuno</w:t>
      </w:r>
      <w:r w:rsidR="00A871C4" w:rsidRPr="00846A59">
        <w:rPr>
          <w:rFonts w:ascii="Palatino Linotype" w:eastAsia="Calibri" w:hAnsi="Palatino Linotype" w:cs="Arial"/>
          <w:sz w:val="24"/>
          <w:lang w:val="es-AR"/>
        </w:rPr>
        <w:t xml:space="preserve"> </w:t>
      </w:r>
      <w:r w:rsidR="00D74DC2" w:rsidRPr="00846A59">
        <w:rPr>
          <w:rFonts w:ascii="Palatino Linotype" w:eastAsia="Calibri" w:hAnsi="Palatino Linotype" w:cs="Arial"/>
          <w:sz w:val="24"/>
          <w:lang w:val="es-AR"/>
        </w:rPr>
        <w:t>(</w:t>
      </w:r>
      <w:r w:rsidR="00D74BE9" w:rsidRPr="00846A59">
        <w:rPr>
          <w:rFonts w:ascii="Palatino Linotype" w:eastAsia="Calibri" w:hAnsi="Palatino Linotype" w:cs="Arial"/>
          <w:sz w:val="24"/>
          <w:lang w:val="es-AR"/>
        </w:rPr>
        <w:t>21</w:t>
      </w:r>
      <w:r w:rsidR="00D74DC2" w:rsidRPr="00846A59">
        <w:rPr>
          <w:rFonts w:ascii="Palatino Linotype" w:eastAsia="Calibri" w:hAnsi="Palatino Linotype" w:cs="Arial"/>
          <w:sz w:val="24"/>
          <w:lang w:val="es-AR"/>
        </w:rPr>
        <w:t>)</w:t>
      </w:r>
      <w:r w:rsidR="005000AA" w:rsidRPr="00846A59">
        <w:rPr>
          <w:rFonts w:ascii="Palatino Linotype" w:eastAsia="Calibri" w:hAnsi="Palatino Linotype" w:cs="Arial"/>
          <w:sz w:val="24"/>
          <w:lang w:val="es-AR"/>
        </w:rPr>
        <w:t xml:space="preserve"> </w:t>
      </w:r>
      <w:r w:rsidR="00A871C4" w:rsidRPr="00846A59">
        <w:rPr>
          <w:rFonts w:ascii="Palatino Linotype" w:eastAsia="Calibri" w:hAnsi="Palatino Linotype" w:cs="Arial"/>
          <w:sz w:val="24"/>
          <w:lang w:val="es-AR"/>
        </w:rPr>
        <w:t xml:space="preserve">de </w:t>
      </w:r>
      <w:r w:rsidR="00ED737F" w:rsidRPr="00846A59">
        <w:rPr>
          <w:rFonts w:ascii="Palatino Linotype" w:eastAsia="Calibri" w:hAnsi="Palatino Linotype" w:cs="Arial"/>
          <w:sz w:val="24"/>
          <w:lang w:val="es-AR"/>
        </w:rPr>
        <w:t>diciembre</w:t>
      </w:r>
      <w:r w:rsidR="00D74DC2" w:rsidRPr="00846A59">
        <w:rPr>
          <w:rFonts w:ascii="Palatino Linotype" w:eastAsia="Calibri" w:hAnsi="Palatino Linotype" w:cs="Arial"/>
          <w:sz w:val="24"/>
          <w:lang w:val="es-AR"/>
        </w:rPr>
        <w:t xml:space="preserve"> </w:t>
      </w:r>
      <w:r w:rsidR="005000AA" w:rsidRPr="00846A59">
        <w:rPr>
          <w:rFonts w:ascii="Palatino Linotype" w:eastAsia="Calibri" w:hAnsi="Palatino Linotype" w:cs="Arial"/>
          <w:sz w:val="24"/>
          <w:lang w:val="es-AR"/>
        </w:rPr>
        <w:t>de</w:t>
      </w:r>
      <w:r w:rsidR="005000AA" w:rsidRPr="00846A59">
        <w:rPr>
          <w:rFonts w:ascii="Palatino Linotype" w:hAnsi="Palatino Linotype" w:cs="Arial"/>
          <w:sz w:val="24"/>
          <w:lang w:val="es-ES"/>
        </w:rPr>
        <w:t xml:space="preserve"> dos mil veinti</w:t>
      </w:r>
      <w:r w:rsidR="0021453D" w:rsidRPr="00846A59">
        <w:rPr>
          <w:rFonts w:ascii="Palatino Linotype" w:hAnsi="Palatino Linotype" w:cs="Arial"/>
          <w:sz w:val="24"/>
          <w:lang w:val="es-ES"/>
        </w:rPr>
        <w:t>dós</w:t>
      </w:r>
      <w:r w:rsidR="005000AA" w:rsidRPr="00846A59">
        <w:rPr>
          <w:rFonts w:ascii="Palatino Linotype" w:hAnsi="Palatino Linotype" w:cs="Arial"/>
          <w:sz w:val="24"/>
          <w:lang w:val="es-ES"/>
        </w:rPr>
        <w:t xml:space="preserve">, </w:t>
      </w:r>
      <w:r w:rsidR="005000AA" w:rsidRPr="00846A59">
        <w:rPr>
          <w:rFonts w:ascii="Palatino Linotype" w:hAnsi="Palatino Linotype"/>
          <w:b/>
          <w:sz w:val="24"/>
        </w:rPr>
        <w:t>EL RECURRENTE</w:t>
      </w:r>
      <w:r w:rsidR="005000AA" w:rsidRPr="00846A59">
        <w:rPr>
          <w:rFonts w:ascii="Palatino Linotype" w:hAnsi="Palatino Linotype" w:cs="Arial"/>
          <w:sz w:val="24"/>
          <w:lang w:val="es-ES"/>
        </w:rPr>
        <w:t xml:space="preserve"> interpuso </w:t>
      </w:r>
      <w:r w:rsidR="00043374" w:rsidRPr="00846A59">
        <w:rPr>
          <w:rFonts w:ascii="Palatino Linotype" w:hAnsi="Palatino Linotype" w:cs="Arial"/>
          <w:sz w:val="24"/>
          <w:lang w:val="es-ES"/>
        </w:rPr>
        <w:t>los</w:t>
      </w:r>
      <w:r w:rsidR="005000AA" w:rsidRPr="00846A59">
        <w:rPr>
          <w:rFonts w:ascii="Palatino Linotype" w:hAnsi="Palatino Linotype" w:cs="Arial"/>
          <w:sz w:val="24"/>
          <w:lang w:val="es-ES"/>
        </w:rPr>
        <w:t xml:space="preserve"> recurso</w:t>
      </w:r>
      <w:r w:rsidR="00043374" w:rsidRPr="00846A59">
        <w:rPr>
          <w:rFonts w:ascii="Palatino Linotype" w:hAnsi="Palatino Linotype" w:cs="Arial"/>
          <w:sz w:val="24"/>
          <w:lang w:val="es-ES"/>
        </w:rPr>
        <w:t>s</w:t>
      </w:r>
      <w:r w:rsidR="005000AA" w:rsidRPr="00846A59">
        <w:rPr>
          <w:rFonts w:ascii="Palatino Linotype" w:hAnsi="Palatino Linotype" w:cs="Arial"/>
          <w:sz w:val="24"/>
          <w:lang w:val="es-ES"/>
        </w:rPr>
        <w:t xml:space="preserve"> de revisión, en contra de la</w:t>
      </w:r>
      <w:r w:rsidR="00085D14" w:rsidRPr="00846A59">
        <w:rPr>
          <w:rFonts w:ascii="Palatino Linotype" w:hAnsi="Palatino Linotype" w:cs="Arial"/>
          <w:sz w:val="24"/>
          <w:lang w:val="es-ES"/>
        </w:rPr>
        <w:t>s</w:t>
      </w:r>
      <w:r w:rsidR="005000AA" w:rsidRPr="00846A59">
        <w:rPr>
          <w:rFonts w:ascii="Palatino Linotype" w:hAnsi="Palatino Linotype" w:cs="Arial"/>
          <w:sz w:val="24"/>
          <w:lang w:val="es-ES"/>
        </w:rPr>
        <w:t xml:space="preserve"> respuesta</w:t>
      </w:r>
      <w:r w:rsidR="00043374" w:rsidRPr="00846A59">
        <w:rPr>
          <w:rFonts w:ascii="Palatino Linotype" w:hAnsi="Palatino Linotype" w:cs="Arial"/>
          <w:sz w:val="24"/>
          <w:lang w:val="es-ES"/>
        </w:rPr>
        <w:t>s</w:t>
      </w:r>
      <w:r w:rsidR="005000AA" w:rsidRPr="00846A59">
        <w:rPr>
          <w:rFonts w:ascii="Palatino Linotype" w:hAnsi="Palatino Linotype" w:cs="Arial"/>
          <w:sz w:val="24"/>
          <w:lang w:val="es-ES"/>
        </w:rPr>
        <w:t xml:space="preserve"> y, señaló</w:t>
      </w:r>
      <w:r w:rsidR="00085D14" w:rsidRPr="00846A59">
        <w:rPr>
          <w:rFonts w:ascii="Palatino Linotype" w:hAnsi="Palatino Linotype" w:cs="Arial"/>
          <w:sz w:val="24"/>
          <w:lang w:val="es-ES"/>
        </w:rPr>
        <w:t>, en todos y cada uno de los recursos</w:t>
      </w:r>
      <w:r w:rsidR="005000AA" w:rsidRPr="00846A59">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846A59" w:rsidRDefault="00F714A9" w:rsidP="005000AA">
      <w:pPr>
        <w:pStyle w:val="Prrafodelista"/>
        <w:rPr>
          <w:rFonts w:ascii="Palatino Linotype" w:eastAsia="Calibri" w:hAnsi="Palatino Linotype" w:cs="Tahoma"/>
          <w:b/>
          <w:lang w:eastAsia="en-US"/>
        </w:rPr>
      </w:pPr>
    </w:p>
    <w:p w14:paraId="137ACA93" w14:textId="2ED05AFC" w:rsidR="00F714A9" w:rsidRPr="00846A59" w:rsidRDefault="00F714A9" w:rsidP="00F714A9">
      <w:pPr>
        <w:pStyle w:val="Prrafodelista"/>
        <w:spacing w:line="360" w:lineRule="auto"/>
        <w:jc w:val="both"/>
        <w:rPr>
          <w:rFonts w:ascii="Palatino Linotype" w:hAnsi="Palatino Linotype"/>
          <w:bCs/>
          <w:i/>
          <w:iCs/>
        </w:rPr>
      </w:pPr>
      <w:r w:rsidRPr="00846A59">
        <w:rPr>
          <w:rFonts w:ascii="Palatino Linotype" w:hAnsi="Palatino Linotype"/>
          <w:b/>
        </w:rPr>
        <w:t xml:space="preserve">Acto impugnado: </w:t>
      </w:r>
      <w:r w:rsidRPr="00846A59">
        <w:rPr>
          <w:rFonts w:ascii="Palatino Linotype" w:hAnsi="Palatino Linotype"/>
          <w:bCs/>
          <w:i/>
          <w:iCs/>
        </w:rPr>
        <w:t>“</w:t>
      </w:r>
      <w:r w:rsidR="00ED737F" w:rsidRPr="00846A59">
        <w:rPr>
          <w:rFonts w:ascii="Palatino Linotype" w:eastAsia="Calibri" w:hAnsi="Palatino Linotype" w:cs="Tahoma"/>
          <w:i/>
          <w:szCs w:val="22"/>
          <w:lang w:eastAsia="en-US"/>
        </w:rPr>
        <w:t>NO ENTREGA INFORMACIÓN</w:t>
      </w:r>
      <w:r w:rsidRPr="00846A59">
        <w:rPr>
          <w:rFonts w:ascii="Palatino Linotype" w:hAnsi="Palatino Linotype"/>
          <w:bCs/>
          <w:i/>
          <w:iCs/>
        </w:rPr>
        <w:t>”</w:t>
      </w:r>
      <w:r w:rsidR="00B83EE1" w:rsidRPr="00846A59">
        <w:rPr>
          <w:rFonts w:ascii="Palatino Linotype" w:hAnsi="Palatino Linotype"/>
          <w:bCs/>
          <w:i/>
          <w:iCs/>
        </w:rPr>
        <w:t xml:space="preserve"> (sic)</w:t>
      </w:r>
    </w:p>
    <w:p w14:paraId="67187D0D" w14:textId="77777777" w:rsidR="001A0283" w:rsidRPr="00846A59" w:rsidRDefault="001A0283" w:rsidP="00F714A9">
      <w:pPr>
        <w:pStyle w:val="Prrafodelista"/>
        <w:spacing w:line="360" w:lineRule="auto"/>
        <w:jc w:val="both"/>
        <w:rPr>
          <w:rFonts w:ascii="Palatino Linotype" w:hAnsi="Palatino Linotype" w:cstheme="minorBidi"/>
          <w:bCs/>
          <w:i/>
          <w:iCs/>
        </w:rPr>
      </w:pPr>
    </w:p>
    <w:p w14:paraId="0F38B6A1" w14:textId="765FAEE5" w:rsidR="001A0283" w:rsidRPr="00846A59" w:rsidRDefault="00ED737F" w:rsidP="00ED737F">
      <w:pPr>
        <w:pStyle w:val="Prrafodelista"/>
        <w:spacing w:line="360" w:lineRule="auto"/>
        <w:jc w:val="both"/>
        <w:rPr>
          <w:rFonts w:ascii="Palatino Linotype" w:hAnsi="Palatino Linotype"/>
          <w:b/>
        </w:rPr>
      </w:pPr>
      <w:r w:rsidRPr="00846A59">
        <w:rPr>
          <w:rFonts w:ascii="Palatino Linotype" w:hAnsi="Palatino Linotype"/>
          <w:b/>
        </w:rPr>
        <w:t>Motivos o razones de inconformidad</w:t>
      </w:r>
      <w:r w:rsidR="001A0283" w:rsidRPr="00846A59">
        <w:rPr>
          <w:rFonts w:ascii="Palatino Linotype" w:hAnsi="Palatino Linotype"/>
          <w:b/>
        </w:rPr>
        <w:t>: “</w:t>
      </w:r>
      <w:r w:rsidRPr="00846A59">
        <w:rPr>
          <w:rFonts w:ascii="Palatino Linotype" w:hAnsi="Palatino Linotype"/>
          <w:i/>
        </w:rPr>
        <w:t>NO ENTREGA INFORMACIÓN</w:t>
      </w:r>
      <w:r w:rsidR="001A0283" w:rsidRPr="00846A59">
        <w:rPr>
          <w:rFonts w:ascii="Palatino Linotype" w:hAnsi="Palatino Linotype" w:cstheme="minorBidi"/>
          <w:bCs/>
          <w:i/>
          <w:iCs/>
        </w:rPr>
        <w:t>” (sic)</w:t>
      </w:r>
    </w:p>
    <w:bookmarkEnd w:id="1"/>
    <w:bookmarkEnd w:id="2"/>
    <w:bookmarkEnd w:id="3"/>
    <w:p w14:paraId="5BE2AC11" w14:textId="6BEBEF99" w:rsidR="005000AA" w:rsidRPr="00846A59"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46A59">
        <w:rPr>
          <w:rFonts w:ascii="Palatino Linotype" w:hAnsi="Palatino Linotype" w:cs="Arial"/>
          <w:sz w:val="24"/>
          <w:lang w:val="es-ES"/>
        </w:rPr>
        <w:lastRenderedPageBreak/>
        <w:t>Se regist</w:t>
      </w:r>
      <w:r w:rsidR="00043374" w:rsidRPr="00846A59">
        <w:rPr>
          <w:rFonts w:ascii="Palatino Linotype" w:hAnsi="Palatino Linotype" w:cs="Arial"/>
          <w:sz w:val="24"/>
          <w:lang w:val="es-ES"/>
        </w:rPr>
        <w:t>raron</w:t>
      </w:r>
      <w:r w:rsidRPr="00846A59">
        <w:rPr>
          <w:rFonts w:ascii="Palatino Linotype" w:hAnsi="Palatino Linotype" w:cs="Arial"/>
          <w:sz w:val="24"/>
          <w:lang w:val="es-ES"/>
        </w:rPr>
        <w:t xml:space="preserve"> </w:t>
      </w:r>
      <w:r w:rsidR="00043374" w:rsidRPr="00846A59">
        <w:rPr>
          <w:rFonts w:ascii="Palatino Linotype" w:hAnsi="Palatino Linotype" w:cs="Arial"/>
          <w:sz w:val="24"/>
          <w:lang w:val="es-ES"/>
        </w:rPr>
        <w:t>los</w:t>
      </w:r>
      <w:r w:rsidRPr="00846A59">
        <w:rPr>
          <w:rFonts w:ascii="Palatino Linotype" w:hAnsi="Palatino Linotype" w:cs="Arial"/>
          <w:sz w:val="24"/>
          <w:lang w:val="es-ES"/>
        </w:rPr>
        <w:t xml:space="preserve"> recurso</w:t>
      </w:r>
      <w:r w:rsidR="00043374" w:rsidRPr="00846A59">
        <w:rPr>
          <w:rFonts w:ascii="Palatino Linotype" w:hAnsi="Palatino Linotype" w:cs="Arial"/>
          <w:sz w:val="24"/>
          <w:lang w:val="es-ES"/>
        </w:rPr>
        <w:t>s</w:t>
      </w:r>
      <w:r w:rsidRPr="00846A59">
        <w:rPr>
          <w:rFonts w:ascii="Palatino Linotype" w:hAnsi="Palatino Linotype" w:cs="Arial"/>
          <w:sz w:val="24"/>
          <w:lang w:val="es-ES"/>
        </w:rPr>
        <w:t xml:space="preserve"> de revisión bajo </w:t>
      </w:r>
      <w:r w:rsidR="00043374" w:rsidRPr="00846A59">
        <w:rPr>
          <w:rFonts w:ascii="Palatino Linotype" w:hAnsi="Palatino Linotype" w:cs="Arial"/>
          <w:sz w:val="24"/>
          <w:lang w:val="es-ES"/>
        </w:rPr>
        <w:t>los</w:t>
      </w:r>
      <w:r w:rsidRPr="00846A59">
        <w:rPr>
          <w:rFonts w:ascii="Palatino Linotype" w:hAnsi="Palatino Linotype" w:cs="Arial"/>
          <w:sz w:val="24"/>
          <w:lang w:val="es-ES"/>
        </w:rPr>
        <w:t xml:space="preserve"> número</w:t>
      </w:r>
      <w:r w:rsidR="00043374" w:rsidRPr="00846A59">
        <w:rPr>
          <w:rFonts w:ascii="Palatino Linotype" w:hAnsi="Palatino Linotype" w:cs="Arial"/>
          <w:sz w:val="24"/>
          <w:lang w:val="es-ES"/>
        </w:rPr>
        <w:t>s</w:t>
      </w:r>
      <w:r w:rsidRPr="00846A59">
        <w:rPr>
          <w:rFonts w:ascii="Palatino Linotype" w:hAnsi="Palatino Linotype" w:cs="Arial"/>
          <w:sz w:val="24"/>
          <w:lang w:val="es-ES"/>
        </w:rPr>
        <w:t xml:space="preserve"> de expediente </w:t>
      </w:r>
      <w:r w:rsidRPr="00846A59">
        <w:rPr>
          <w:rFonts w:ascii="Palatino Linotype" w:hAnsi="Palatino Linotype" w:cs="Arial"/>
          <w:bCs/>
          <w:sz w:val="24"/>
        </w:rPr>
        <w:t>al rubro indicado</w:t>
      </w:r>
      <w:r w:rsidR="00043374" w:rsidRPr="00846A59">
        <w:rPr>
          <w:rFonts w:ascii="Palatino Linotype" w:hAnsi="Palatino Linotype" w:cs="Arial"/>
          <w:bCs/>
          <w:sz w:val="24"/>
        </w:rPr>
        <w:t>s</w:t>
      </w:r>
      <w:r w:rsidRPr="00846A59">
        <w:rPr>
          <w:rFonts w:ascii="Palatino Linotype" w:hAnsi="Palatino Linotype" w:cs="Arial"/>
          <w:bCs/>
          <w:sz w:val="24"/>
        </w:rPr>
        <w:t xml:space="preserve">, asimismo con fundamento en lo dispuesto por el </w:t>
      </w:r>
      <w:r w:rsidRPr="00846A59">
        <w:rPr>
          <w:rFonts w:ascii="Palatino Linotype" w:eastAsia="Calibri" w:hAnsi="Palatino Linotype" w:cs="Arial"/>
          <w:sz w:val="24"/>
          <w:lang w:val="es-ES"/>
        </w:rPr>
        <w:t xml:space="preserve">artículo 185 fracción I de la </w:t>
      </w:r>
      <w:r w:rsidRPr="00846A59">
        <w:rPr>
          <w:rFonts w:ascii="Palatino Linotype" w:eastAsia="Calibri" w:hAnsi="Palatino Linotype" w:cs="Arial"/>
          <w:b/>
          <w:sz w:val="24"/>
          <w:lang w:val="es-ES"/>
        </w:rPr>
        <w:t xml:space="preserve">Ley de Transparencia y Acceso a la Información Pública del Estado de México y Municipios </w:t>
      </w:r>
      <w:r w:rsidR="00D31521" w:rsidRPr="00846A59">
        <w:rPr>
          <w:rFonts w:ascii="Palatino Linotype" w:hAnsi="Palatino Linotype" w:cs="Arial"/>
          <w:sz w:val="24"/>
          <w:lang w:val="es-ES"/>
        </w:rPr>
        <w:t>se turnó a</w:t>
      </w:r>
      <w:r w:rsidR="00F942BD" w:rsidRPr="00846A59">
        <w:rPr>
          <w:rFonts w:ascii="Palatino Linotype" w:hAnsi="Palatino Linotype" w:cs="Arial"/>
          <w:sz w:val="24"/>
          <w:lang w:val="es-ES"/>
        </w:rPr>
        <w:t xml:space="preserve"> </w:t>
      </w:r>
      <w:r w:rsidRPr="00846A59">
        <w:rPr>
          <w:rFonts w:ascii="Palatino Linotype" w:hAnsi="Palatino Linotype" w:cs="Arial"/>
          <w:sz w:val="24"/>
          <w:lang w:val="es-ES"/>
        </w:rPr>
        <w:t>l</w:t>
      </w:r>
      <w:r w:rsidR="00F942BD" w:rsidRPr="00846A59">
        <w:rPr>
          <w:rFonts w:ascii="Palatino Linotype" w:hAnsi="Palatino Linotype" w:cs="Arial"/>
          <w:sz w:val="24"/>
          <w:lang w:val="es-ES"/>
        </w:rPr>
        <w:t>a</w:t>
      </w:r>
      <w:r w:rsidRPr="00846A59">
        <w:rPr>
          <w:rFonts w:ascii="Palatino Linotype" w:hAnsi="Palatino Linotype" w:cs="Arial"/>
          <w:sz w:val="24"/>
          <w:lang w:val="es-ES"/>
        </w:rPr>
        <w:t xml:space="preserve"> </w:t>
      </w:r>
      <w:r w:rsidR="00F942BD" w:rsidRPr="00846A59">
        <w:rPr>
          <w:rFonts w:ascii="Palatino Linotype" w:hAnsi="Palatino Linotype" w:cs="Arial"/>
          <w:b/>
          <w:sz w:val="24"/>
          <w:lang w:val="es-ES"/>
        </w:rPr>
        <w:t>Comisionada</w:t>
      </w:r>
      <w:r w:rsidRPr="00846A59">
        <w:rPr>
          <w:rFonts w:ascii="Palatino Linotype" w:hAnsi="Palatino Linotype" w:cs="Arial"/>
          <w:b/>
          <w:sz w:val="24"/>
          <w:lang w:val="es-ES"/>
        </w:rPr>
        <w:t xml:space="preserve"> </w:t>
      </w:r>
      <w:r w:rsidR="00F942BD" w:rsidRPr="00846A59">
        <w:rPr>
          <w:rFonts w:ascii="Palatino Linotype" w:hAnsi="Palatino Linotype" w:cs="Arial"/>
          <w:b/>
          <w:sz w:val="24"/>
          <w:lang w:val="es-ES"/>
        </w:rPr>
        <w:t>María del Rosario Mejía Ayala</w:t>
      </w:r>
      <w:r w:rsidRPr="00846A59">
        <w:rPr>
          <w:rFonts w:ascii="Palatino Linotype" w:hAnsi="Palatino Linotype" w:cs="Arial"/>
          <w:b/>
          <w:sz w:val="24"/>
          <w:lang w:val="es-ES"/>
        </w:rPr>
        <w:t xml:space="preserve">, </w:t>
      </w:r>
      <w:r w:rsidR="007374F6" w:rsidRPr="00846A59">
        <w:rPr>
          <w:rFonts w:ascii="Palatino Linotype" w:hAnsi="Palatino Linotype" w:cs="Arial"/>
          <w:sz w:val="24"/>
          <w:lang w:val="es-ES"/>
        </w:rPr>
        <w:t>para</w:t>
      </w:r>
      <w:r w:rsidRPr="00846A59">
        <w:rPr>
          <w:rFonts w:ascii="Palatino Linotype" w:hAnsi="Palatino Linotype" w:cs="Arial"/>
          <w:sz w:val="24"/>
          <w:lang w:val="es-ES"/>
        </w:rPr>
        <w:t xml:space="preserve"> </w:t>
      </w:r>
      <w:r w:rsidRPr="00846A59">
        <w:rPr>
          <w:rFonts w:ascii="Palatino Linotype" w:hAnsi="Palatino Linotype" w:cs="Arial"/>
          <w:sz w:val="24"/>
        </w:rPr>
        <w:t>su análisis.</w:t>
      </w:r>
    </w:p>
    <w:p w14:paraId="21EFF6B2" w14:textId="77777777" w:rsidR="005000AA" w:rsidRPr="00846A59"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553ACED" w:rsidR="005000AA" w:rsidRPr="00846A59"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46A59">
        <w:rPr>
          <w:rFonts w:ascii="Palatino Linotype" w:eastAsia="Calibri" w:hAnsi="Palatino Linotype" w:cs="Arial"/>
          <w:sz w:val="24"/>
          <w:lang w:val="es-ES"/>
        </w:rPr>
        <w:t>La Comisionada</w:t>
      </w:r>
      <w:r w:rsidR="005000AA" w:rsidRPr="00846A59">
        <w:rPr>
          <w:rFonts w:ascii="Palatino Linotype" w:eastAsia="Calibri" w:hAnsi="Palatino Linotype" w:cs="Arial"/>
          <w:sz w:val="24"/>
          <w:lang w:val="es-ES"/>
        </w:rPr>
        <w:t xml:space="preserve"> Ponente</w:t>
      </w:r>
      <w:r w:rsidR="007374F6" w:rsidRPr="00846A59">
        <w:rPr>
          <w:rFonts w:ascii="Palatino Linotype" w:eastAsia="Calibri" w:hAnsi="Palatino Linotype" w:cs="Arial"/>
          <w:sz w:val="24"/>
          <w:lang w:val="es-ES"/>
        </w:rPr>
        <w:t>,</w:t>
      </w:r>
      <w:r w:rsidR="005000AA" w:rsidRPr="00846A59">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846A59">
        <w:rPr>
          <w:rFonts w:ascii="Palatino Linotype" w:eastAsia="Calibri" w:hAnsi="Palatino Linotype" w:cs="Arial"/>
          <w:sz w:val="24"/>
          <w:lang w:val="es-ES"/>
        </w:rPr>
        <w:t xml:space="preserve"> </w:t>
      </w:r>
      <w:r w:rsidR="00D74BE9" w:rsidRPr="00846A59">
        <w:rPr>
          <w:rFonts w:ascii="Palatino Linotype" w:eastAsia="Calibri" w:hAnsi="Palatino Linotype" w:cs="Arial"/>
          <w:sz w:val="24"/>
          <w:lang w:val="es-ES"/>
        </w:rPr>
        <w:t>nueve (9), once (11), doce (12) y dieciocho</w:t>
      </w:r>
      <w:r w:rsidR="00ED737F" w:rsidRPr="00846A59">
        <w:rPr>
          <w:rFonts w:ascii="Palatino Linotype" w:eastAsia="Calibri" w:hAnsi="Palatino Linotype" w:cs="Arial"/>
          <w:sz w:val="24"/>
          <w:lang w:val="es-ES"/>
        </w:rPr>
        <w:t xml:space="preserve"> (</w:t>
      </w:r>
      <w:r w:rsidR="00D74BE9" w:rsidRPr="00846A59">
        <w:rPr>
          <w:rFonts w:ascii="Palatino Linotype" w:eastAsia="Calibri" w:hAnsi="Palatino Linotype" w:cs="Arial"/>
          <w:sz w:val="24"/>
          <w:lang w:val="es-ES"/>
        </w:rPr>
        <w:t>18</w:t>
      </w:r>
      <w:r w:rsidR="00ED737F" w:rsidRPr="00846A59">
        <w:rPr>
          <w:rFonts w:ascii="Palatino Linotype" w:eastAsia="Calibri" w:hAnsi="Palatino Linotype" w:cs="Arial"/>
          <w:sz w:val="24"/>
          <w:lang w:val="es-ES"/>
        </w:rPr>
        <w:t xml:space="preserve">) </w:t>
      </w:r>
      <w:r w:rsidR="00D74BE9" w:rsidRPr="00846A59">
        <w:rPr>
          <w:rFonts w:ascii="Palatino Linotype" w:eastAsia="Calibri" w:hAnsi="Palatino Linotype" w:cs="Arial"/>
          <w:sz w:val="24"/>
          <w:lang w:val="es-ES"/>
        </w:rPr>
        <w:t>de enero de dos mil veintitrés</w:t>
      </w:r>
      <w:r w:rsidR="005000AA" w:rsidRPr="00846A59">
        <w:rPr>
          <w:rFonts w:ascii="Palatino Linotype" w:eastAsia="Calibri" w:hAnsi="Palatino Linotype" w:cs="Arial"/>
          <w:sz w:val="24"/>
          <w:lang w:val="es-ES"/>
        </w:rPr>
        <w:t xml:space="preserve">, puso a disposición de las partes el expediente electrónico </w:t>
      </w:r>
      <w:r w:rsidR="005000AA" w:rsidRPr="00846A59">
        <w:rPr>
          <w:rFonts w:ascii="Palatino Linotype" w:eastAsia="Calibri" w:hAnsi="Palatino Linotype" w:cs="Arial"/>
          <w:sz w:val="24"/>
        </w:rPr>
        <w:t xml:space="preserve">vía </w:t>
      </w:r>
      <w:r w:rsidR="005000AA" w:rsidRPr="00846A59">
        <w:rPr>
          <w:rFonts w:ascii="Palatino Linotype" w:eastAsia="Calibri" w:hAnsi="Palatino Linotype" w:cs="Arial"/>
          <w:b/>
          <w:sz w:val="24"/>
          <w:lang w:val="es-ES"/>
        </w:rPr>
        <w:t xml:space="preserve">SAIMEX </w:t>
      </w:r>
      <w:r w:rsidR="005000AA" w:rsidRPr="00846A59">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846A59">
        <w:rPr>
          <w:rFonts w:ascii="Palatino Linotype" w:eastAsia="Calibri" w:hAnsi="Palatino Linotype" w:cs="Arial"/>
          <w:b/>
          <w:sz w:val="24"/>
          <w:lang w:val="es-ES"/>
        </w:rPr>
        <w:t>SUJETO OBLIGADO</w:t>
      </w:r>
      <w:r w:rsidR="005000AA" w:rsidRPr="00846A59">
        <w:rPr>
          <w:rFonts w:ascii="Palatino Linotype" w:eastAsia="Calibri" w:hAnsi="Palatino Linotype" w:cs="Arial"/>
          <w:sz w:val="24"/>
          <w:lang w:val="es-ES"/>
        </w:rPr>
        <w:t xml:space="preserve"> presentara el informe justificado procedente.</w:t>
      </w:r>
    </w:p>
    <w:p w14:paraId="51336F6A" w14:textId="77777777" w:rsidR="00043374" w:rsidRPr="00846A59" w:rsidRDefault="00043374" w:rsidP="00043374">
      <w:pPr>
        <w:pStyle w:val="Prrafodelista"/>
        <w:rPr>
          <w:rFonts w:ascii="Palatino Linotype" w:eastAsiaTheme="minorEastAsia" w:hAnsi="Palatino Linotype" w:cstheme="minorBidi"/>
          <w:i/>
          <w:color w:val="000000"/>
          <w:sz w:val="24"/>
          <w:lang w:val="es-ES_tradnl"/>
        </w:rPr>
      </w:pPr>
    </w:p>
    <w:p w14:paraId="36B2F64B" w14:textId="59D0C3D6" w:rsidR="00043374" w:rsidRPr="00846A59"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846A59">
        <w:rPr>
          <w:rFonts w:ascii="Palatino Linotype" w:eastAsia="MS Mincho" w:hAnsi="Palatino Linotype" w:cs="Arial"/>
          <w:sz w:val="24"/>
        </w:rPr>
        <w:t xml:space="preserve">En la </w:t>
      </w:r>
      <w:r w:rsidR="00D74BE9" w:rsidRPr="00846A59">
        <w:rPr>
          <w:rFonts w:ascii="Palatino Linotype" w:eastAsia="MS Mincho" w:hAnsi="Palatino Linotype" w:cs="Arial"/>
          <w:sz w:val="24"/>
        </w:rPr>
        <w:t>Segunda</w:t>
      </w:r>
      <w:r w:rsidR="00C21A0D" w:rsidRPr="00846A59">
        <w:rPr>
          <w:rFonts w:ascii="Palatino Linotype" w:eastAsia="MS Mincho" w:hAnsi="Palatino Linotype" w:cs="Arial"/>
          <w:sz w:val="24"/>
        </w:rPr>
        <w:t xml:space="preserve"> </w:t>
      </w:r>
      <w:r w:rsidR="00B83EE1" w:rsidRPr="00846A59">
        <w:rPr>
          <w:rFonts w:ascii="Palatino Linotype" w:eastAsia="MS Mincho" w:hAnsi="Palatino Linotype" w:cs="Arial"/>
          <w:sz w:val="24"/>
        </w:rPr>
        <w:t>S</w:t>
      </w:r>
      <w:r w:rsidR="00C21A0D" w:rsidRPr="00846A59">
        <w:rPr>
          <w:rFonts w:ascii="Palatino Linotype" w:eastAsia="MS Mincho" w:hAnsi="Palatino Linotype" w:cs="Arial"/>
          <w:sz w:val="24"/>
        </w:rPr>
        <w:t>e</w:t>
      </w:r>
      <w:r w:rsidRPr="00846A59">
        <w:rPr>
          <w:rFonts w:ascii="Palatino Linotype" w:eastAsia="MS Mincho" w:hAnsi="Palatino Linotype" w:cs="Arial"/>
          <w:sz w:val="24"/>
        </w:rPr>
        <w:t xml:space="preserve">sión Ordinaria de fecha </w:t>
      </w:r>
      <w:r w:rsidR="00D50D54" w:rsidRPr="00846A59">
        <w:rPr>
          <w:rFonts w:ascii="Palatino Linotype" w:eastAsia="MS Mincho" w:hAnsi="Palatino Linotype" w:cs="Arial"/>
          <w:sz w:val="24"/>
        </w:rPr>
        <w:t>dieciocho</w:t>
      </w:r>
      <w:r w:rsidRPr="00846A59">
        <w:rPr>
          <w:rFonts w:ascii="Palatino Linotype" w:eastAsia="MS Mincho" w:hAnsi="Palatino Linotype" w:cs="Arial"/>
          <w:sz w:val="24"/>
        </w:rPr>
        <w:t xml:space="preserve"> (</w:t>
      </w:r>
      <w:r w:rsidR="00ED737F" w:rsidRPr="00846A59">
        <w:rPr>
          <w:rFonts w:ascii="Palatino Linotype" w:eastAsia="MS Mincho" w:hAnsi="Palatino Linotype" w:cs="Arial"/>
          <w:sz w:val="24"/>
        </w:rPr>
        <w:t>1</w:t>
      </w:r>
      <w:r w:rsidR="00D50D54" w:rsidRPr="00846A59">
        <w:rPr>
          <w:rFonts w:ascii="Palatino Linotype" w:eastAsia="MS Mincho" w:hAnsi="Palatino Linotype" w:cs="Arial"/>
          <w:sz w:val="24"/>
        </w:rPr>
        <w:t>8</w:t>
      </w:r>
      <w:r w:rsidRPr="00846A59">
        <w:rPr>
          <w:rFonts w:ascii="Palatino Linotype" w:eastAsia="MS Mincho" w:hAnsi="Palatino Linotype" w:cs="Arial"/>
          <w:sz w:val="24"/>
        </w:rPr>
        <w:t xml:space="preserve">) de </w:t>
      </w:r>
      <w:r w:rsidR="00ED737F" w:rsidRPr="00846A59">
        <w:rPr>
          <w:rFonts w:ascii="Palatino Linotype" w:eastAsia="MS Mincho" w:hAnsi="Palatino Linotype" w:cs="Arial"/>
          <w:sz w:val="24"/>
        </w:rPr>
        <w:t>enero</w:t>
      </w:r>
      <w:r w:rsidR="00B83EE1" w:rsidRPr="00846A59">
        <w:rPr>
          <w:rFonts w:ascii="Palatino Linotype" w:eastAsia="MS Mincho" w:hAnsi="Palatino Linotype" w:cs="Arial"/>
          <w:sz w:val="24"/>
        </w:rPr>
        <w:t xml:space="preserve"> </w:t>
      </w:r>
      <w:r w:rsidRPr="00846A59">
        <w:rPr>
          <w:rFonts w:ascii="Palatino Linotype" w:eastAsia="MS Mincho" w:hAnsi="Palatino Linotype" w:cs="Arial"/>
          <w:sz w:val="24"/>
        </w:rPr>
        <w:t>de dos mil veinti</w:t>
      </w:r>
      <w:r w:rsidR="00ED737F" w:rsidRPr="00846A59">
        <w:rPr>
          <w:rFonts w:ascii="Palatino Linotype" w:eastAsia="MS Mincho" w:hAnsi="Palatino Linotype" w:cs="Arial"/>
          <w:sz w:val="24"/>
        </w:rPr>
        <w:t>trés</w:t>
      </w:r>
      <w:r w:rsidRPr="00846A59">
        <w:rPr>
          <w:rFonts w:ascii="Palatino Linotype" w:eastAsia="MS Mincho" w:hAnsi="Palatino Linotype" w:cs="Arial"/>
          <w:sz w:val="24"/>
        </w:rPr>
        <w:t>, el Pleno de este Órgano Garante acordó la acumulación de los recursos de revisión</w:t>
      </w:r>
      <w:r w:rsidR="00A75BBA" w:rsidRPr="00846A59">
        <w:rPr>
          <w:rFonts w:ascii="Palatino Linotype" w:eastAsia="MS Mincho" w:hAnsi="Palatino Linotype" w:cs="Arial"/>
          <w:sz w:val="24"/>
        </w:rPr>
        <w:t xml:space="preserve"> </w:t>
      </w:r>
      <w:r w:rsidRPr="00846A59">
        <w:rPr>
          <w:rFonts w:ascii="Palatino Linotype" w:hAnsi="Palatino Linotype" w:cs="Arial"/>
          <w:b/>
          <w:bCs/>
          <w:sz w:val="24"/>
        </w:rPr>
        <w:t>a la</w:t>
      </w:r>
      <w:r w:rsidRPr="00846A59">
        <w:rPr>
          <w:rFonts w:ascii="Palatino Linotype" w:eastAsia="MS Mincho" w:hAnsi="Palatino Linotype"/>
          <w:b/>
          <w:bCs/>
          <w:sz w:val="24"/>
        </w:rPr>
        <w:t xml:space="preserve"> </w:t>
      </w:r>
      <w:r w:rsidRPr="00846A59">
        <w:rPr>
          <w:rFonts w:ascii="Palatino Linotype" w:eastAsia="MS Mincho" w:hAnsi="Palatino Linotype"/>
          <w:sz w:val="24"/>
        </w:rPr>
        <w:t>Comisionada</w:t>
      </w:r>
      <w:r w:rsidRPr="00846A59">
        <w:rPr>
          <w:rFonts w:ascii="Palatino Linotype" w:eastAsia="MS Mincho" w:hAnsi="Palatino Linotype"/>
          <w:b/>
          <w:sz w:val="24"/>
        </w:rPr>
        <w:t xml:space="preserve"> </w:t>
      </w:r>
      <w:r w:rsidRPr="00846A59">
        <w:rPr>
          <w:rFonts w:ascii="Palatino Linotype" w:hAnsi="Palatino Linotype"/>
          <w:b/>
          <w:sz w:val="24"/>
        </w:rPr>
        <w:t>María del Rosario Mejía Ayala</w:t>
      </w:r>
      <w:r w:rsidRPr="00846A59">
        <w:rPr>
          <w:rFonts w:ascii="Palatino Linotype" w:eastAsia="MS Mincho" w:hAnsi="Palatino Linotype"/>
          <w:b/>
          <w:sz w:val="24"/>
        </w:rPr>
        <w:t xml:space="preserve"> </w:t>
      </w:r>
      <w:r w:rsidRPr="00846A59">
        <w:rPr>
          <w:rFonts w:ascii="Palatino Linotype" w:eastAsia="MS Mincho" w:hAnsi="Palatino Linotype"/>
          <w:sz w:val="24"/>
        </w:rPr>
        <w:t xml:space="preserve">a efecto de presentar al Pleno el proyecto de resolución correspondiente y de </w:t>
      </w:r>
      <w:r w:rsidRPr="00846A59">
        <w:rPr>
          <w:rFonts w:ascii="Palatino Linotype" w:hAnsi="Palatino Linotype" w:cs="Arial"/>
          <w:sz w:val="24"/>
        </w:rPr>
        <w:t xml:space="preserve">conformidad con el numeral ONCE inciso c) de los </w:t>
      </w:r>
      <w:r w:rsidRPr="00846A59">
        <w:rPr>
          <w:rFonts w:ascii="Palatino Linotype" w:hAnsi="Palatino Linotype" w:cs="Arial"/>
          <w:b/>
          <w:sz w:val="24"/>
        </w:rPr>
        <w:t xml:space="preserve">Lineamientos para la Recepción, Trámite y Resolución de las Solicitudes de Acceso a la Información Pública, así como de los Recursos de </w:t>
      </w:r>
      <w:r w:rsidRPr="00846A59">
        <w:rPr>
          <w:rFonts w:ascii="Palatino Linotype" w:hAnsi="Palatino Linotype" w:cs="Arial"/>
          <w:b/>
          <w:sz w:val="24"/>
        </w:rPr>
        <w:lastRenderedPageBreak/>
        <w:t>Revisión que Deberán Observar los Sujetos Obligados por la Ley de Transparencia Estatal</w:t>
      </w:r>
      <w:r w:rsidRPr="00846A59">
        <w:rPr>
          <w:rFonts w:ascii="Palatino Linotype" w:hAnsi="Palatino Linotype" w:cs="Arial"/>
          <w:sz w:val="24"/>
          <w:vertAlign w:val="superscript"/>
        </w:rPr>
        <w:footnoteReference w:id="1"/>
      </w:r>
      <w:r w:rsidRPr="00846A59">
        <w:rPr>
          <w:rFonts w:ascii="Palatino Linotype" w:hAnsi="Palatino Linotype" w:cs="Arial"/>
          <w:sz w:val="24"/>
        </w:rPr>
        <w:t>, que señala:</w:t>
      </w:r>
    </w:p>
    <w:p w14:paraId="0A9F752A" w14:textId="77777777" w:rsidR="00043374" w:rsidRPr="00846A59"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846A59">
        <w:rPr>
          <w:rFonts w:ascii="Palatino Linotype" w:hAnsi="Palatino Linotype" w:cs="Arial"/>
          <w:b/>
          <w:i/>
          <w:sz w:val="22"/>
        </w:rPr>
        <w:t>ONCE.</w:t>
      </w:r>
      <w:r w:rsidRPr="00846A59">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846A59"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846A59">
        <w:rPr>
          <w:rFonts w:ascii="Palatino Linotype" w:hAnsi="Palatino Linotype" w:cs="Arial"/>
          <w:i/>
          <w:sz w:val="22"/>
        </w:rPr>
        <w:t>…</w:t>
      </w:r>
    </w:p>
    <w:p w14:paraId="1E29230A" w14:textId="77777777" w:rsidR="00043374" w:rsidRPr="00846A59"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846A59">
        <w:rPr>
          <w:rFonts w:ascii="Palatino Linotype" w:hAnsi="Palatino Linotype" w:cs="Arial"/>
          <w:i/>
          <w:sz w:val="22"/>
        </w:rPr>
        <w:t>c) Cuando se trate del mismo solicitante, el mismo SUJETO OBLIGADO, aunque se trate de solicitudes diversas;</w:t>
      </w:r>
    </w:p>
    <w:p w14:paraId="2B32053C" w14:textId="77777777" w:rsidR="00043374" w:rsidRPr="00846A59" w:rsidRDefault="00043374" w:rsidP="00043374">
      <w:pPr>
        <w:spacing w:before="240" w:after="240" w:line="360" w:lineRule="auto"/>
        <w:ind w:left="567"/>
        <w:contextualSpacing/>
        <w:jc w:val="both"/>
        <w:rPr>
          <w:rFonts w:ascii="Palatino Linotype" w:hAnsi="Palatino Linotype" w:cs="Arial"/>
          <w:i/>
        </w:rPr>
      </w:pPr>
      <w:r w:rsidRPr="00846A59">
        <w:rPr>
          <w:rFonts w:ascii="Palatino Linotype" w:hAnsi="Palatino Linotype" w:cs="Arial"/>
          <w:i/>
        </w:rPr>
        <w:t>…</w:t>
      </w:r>
    </w:p>
    <w:p w14:paraId="38FF9707" w14:textId="77777777" w:rsidR="00043374" w:rsidRPr="00846A59"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846A59">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846A59">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846A59">
        <w:rPr>
          <w:rFonts w:ascii="Palatino Linotype" w:eastAsia="MS Mincho" w:hAnsi="Palatino Linotype" w:cs="Arial"/>
          <w:color w:val="000000"/>
          <w:sz w:val="24"/>
          <w:szCs w:val="28"/>
        </w:rPr>
        <w:t xml:space="preserve">artículo 195 de </w:t>
      </w:r>
      <w:r w:rsidRPr="00846A59">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846A59" w:rsidRDefault="00043374" w:rsidP="00043374">
      <w:pPr>
        <w:tabs>
          <w:tab w:val="center" w:pos="4252"/>
          <w:tab w:val="right" w:pos="8504"/>
        </w:tabs>
        <w:spacing w:line="360" w:lineRule="auto"/>
        <w:jc w:val="both"/>
        <w:rPr>
          <w:rFonts w:ascii="Palatino Linotype" w:eastAsia="MS Mincho" w:hAnsi="Palatino Linotype"/>
          <w:sz w:val="22"/>
          <w:szCs w:val="22"/>
        </w:rPr>
      </w:pPr>
    </w:p>
    <w:p w14:paraId="1C0A178D" w14:textId="77777777" w:rsidR="00043374" w:rsidRPr="00846A59" w:rsidRDefault="00043374" w:rsidP="00A75BBA">
      <w:pPr>
        <w:spacing w:line="360" w:lineRule="auto"/>
        <w:ind w:left="567" w:right="567"/>
        <w:jc w:val="both"/>
        <w:rPr>
          <w:rFonts w:ascii="Palatino Linotype" w:eastAsia="MS Mincho" w:hAnsi="Palatino Linotype" w:cs="Arial"/>
          <w:b/>
          <w:i/>
          <w:sz w:val="22"/>
          <w:szCs w:val="22"/>
        </w:rPr>
      </w:pPr>
      <w:r w:rsidRPr="00846A59">
        <w:rPr>
          <w:rFonts w:ascii="Palatino Linotype" w:eastAsia="MS Mincho" w:hAnsi="Palatino Linotype" w:cs="Arial"/>
          <w:b/>
          <w:i/>
          <w:sz w:val="22"/>
          <w:szCs w:val="22"/>
        </w:rPr>
        <w:t>Código de Procedimientos Administrativos del Estado de México</w:t>
      </w:r>
    </w:p>
    <w:p w14:paraId="4A363F22" w14:textId="77777777" w:rsidR="00043374" w:rsidRPr="00846A59" w:rsidRDefault="00043374" w:rsidP="00A75BBA">
      <w:pPr>
        <w:spacing w:line="360" w:lineRule="auto"/>
        <w:ind w:left="567" w:right="567"/>
        <w:jc w:val="both"/>
        <w:rPr>
          <w:rFonts w:ascii="Palatino Linotype" w:eastAsia="MS Mincho" w:hAnsi="Palatino Linotype" w:cs="Arial"/>
          <w:i/>
          <w:sz w:val="22"/>
          <w:szCs w:val="22"/>
        </w:rPr>
      </w:pPr>
      <w:r w:rsidRPr="00846A59">
        <w:rPr>
          <w:rFonts w:ascii="Palatino Linotype" w:eastAsia="MS Mincho" w:hAnsi="Palatino Linotype" w:cs="Arial"/>
          <w:i/>
          <w:sz w:val="22"/>
          <w:szCs w:val="22"/>
        </w:rPr>
        <w:t>“</w:t>
      </w:r>
      <w:r w:rsidRPr="00846A59">
        <w:rPr>
          <w:rFonts w:ascii="Palatino Linotype" w:eastAsia="MS Mincho" w:hAnsi="Palatino Linotype" w:cs="Arial"/>
          <w:b/>
          <w:i/>
          <w:sz w:val="22"/>
          <w:szCs w:val="22"/>
        </w:rPr>
        <w:t>Artículo 18</w:t>
      </w:r>
      <w:r w:rsidRPr="00846A59">
        <w:rPr>
          <w:rFonts w:ascii="Palatino Linotype" w:eastAsia="MS Mincho" w:hAnsi="Palatino Linotype" w:cs="Arial"/>
          <w:i/>
          <w:sz w:val="22"/>
          <w:szCs w:val="22"/>
        </w:rPr>
        <w:t xml:space="preserve">.- </w:t>
      </w:r>
      <w:r w:rsidRPr="00846A59">
        <w:rPr>
          <w:rFonts w:ascii="Palatino Linotype" w:eastAsia="MS Mincho" w:hAnsi="Palatino Linotype" w:cs="Arial"/>
          <w:b/>
          <w:i/>
          <w:sz w:val="22"/>
          <w:szCs w:val="22"/>
        </w:rPr>
        <w:t xml:space="preserve">La autoridad administrativa o el Tribunal </w:t>
      </w:r>
      <w:r w:rsidRPr="00846A59">
        <w:rPr>
          <w:rFonts w:ascii="Palatino Linotype" w:eastAsia="MS Mincho" w:hAnsi="Palatino Linotype" w:cs="Arial"/>
          <w:b/>
          <w:i/>
          <w:sz w:val="22"/>
          <w:szCs w:val="22"/>
          <w:u w:val="single"/>
        </w:rPr>
        <w:t>acordarán la acumulación de los expedientes</w:t>
      </w:r>
      <w:r w:rsidRPr="00846A59">
        <w:rPr>
          <w:rFonts w:ascii="Palatino Linotype" w:eastAsia="MS Mincho" w:hAnsi="Palatino Linotype" w:cs="Arial"/>
          <w:b/>
          <w:i/>
          <w:sz w:val="22"/>
          <w:szCs w:val="22"/>
        </w:rPr>
        <w:t xml:space="preserve"> del procedimiento y proceso administrativo que </w:t>
      </w:r>
      <w:r w:rsidRPr="00846A59">
        <w:rPr>
          <w:rFonts w:ascii="Palatino Linotype" w:eastAsia="MS Mincho" w:hAnsi="Palatino Linotype" w:cs="Arial"/>
          <w:b/>
          <w:i/>
          <w:sz w:val="22"/>
          <w:szCs w:val="22"/>
        </w:rPr>
        <w:lastRenderedPageBreak/>
        <w:t>ante ellos se sigan, de oficio</w:t>
      </w:r>
      <w:r w:rsidRPr="00846A59">
        <w:rPr>
          <w:rFonts w:ascii="Palatino Linotype" w:eastAsia="MS Mincho" w:hAnsi="Palatino Linotype" w:cs="Arial"/>
          <w:i/>
          <w:sz w:val="22"/>
          <w:szCs w:val="22"/>
        </w:rPr>
        <w:t xml:space="preserve"> o a petición de parte, </w:t>
      </w:r>
      <w:r w:rsidRPr="00846A59">
        <w:rPr>
          <w:rFonts w:ascii="Palatino Linotype" w:eastAsia="MS Mincho" w:hAnsi="Palatino Linotype" w:cs="Arial"/>
          <w:b/>
          <w:i/>
          <w:sz w:val="22"/>
          <w:szCs w:val="22"/>
          <w:u w:val="single"/>
        </w:rPr>
        <w:t>cuando las partes</w:t>
      </w:r>
      <w:r w:rsidRPr="00846A59">
        <w:rPr>
          <w:rFonts w:ascii="Palatino Linotype" w:eastAsia="MS Mincho" w:hAnsi="Palatino Linotype" w:cs="Arial"/>
          <w:i/>
          <w:sz w:val="22"/>
          <w:szCs w:val="22"/>
        </w:rPr>
        <w:t xml:space="preserve"> o los actos administrativos </w:t>
      </w:r>
      <w:r w:rsidRPr="00846A59">
        <w:rPr>
          <w:rFonts w:ascii="Palatino Linotype" w:eastAsia="MS Mincho" w:hAnsi="Palatino Linotype" w:cs="Arial"/>
          <w:b/>
          <w:i/>
          <w:sz w:val="22"/>
          <w:szCs w:val="22"/>
          <w:u w:val="single"/>
        </w:rPr>
        <w:t>sean iguales</w:t>
      </w:r>
      <w:r w:rsidRPr="00846A59">
        <w:rPr>
          <w:rFonts w:ascii="Palatino Linotype" w:eastAsia="MS Mincho" w:hAnsi="Palatino Linotype" w:cs="Arial"/>
          <w:i/>
          <w:sz w:val="22"/>
          <w:szCs w:val="22"/>
        </w:rPr>
        <w:t xml:space="preserve">, se trate de actos conexos o </w:t>
      </w:r>
      <w:r w:rsidRPr="00846A59">
        <w:rPr>
          <w:rFonts w:ascii="Palatino Linotype" w:eastAsia="MS Mincho" w:hAnsi="Palatino Linotype" w:cs="Arial"/>
          <w:b/>
          <w:i/>
          <w:sz w:val="22"/>
          <w:szCs w:val="22"/>
          <w:u w:val="single"/>
        </w:rPr>
        <w:t>resulte conveniente el trámite unificado de los asuntos, para evitar la emisión de resoluciones contradictorias</w:t>
      </w:r>
      <w:r w:rsidRPr="00846A59">
        <w:rPr>
          <w:rFonts w:ascii="Palatino Linotype" w:eastAsia="MS Mincho" w:hAnsi="Palatino Linotype" w:cs="Arial"/>
          <w:i/>
          <w:sz w:val="22"/>
          <w:szCs w:val="22"/>
        </w:rPr>
        <w:t>. La misma regla se aplicará, en lo conducente, para la separación de los expedientes.”</w:t>
      </w:r>
    </w:p>
    <w:p w14:paraId="1E20DD0F" w14:textId="77777777" w:rsidR="00043374" w:rsidRPr="00846A59" w:rsidRDefault="00043374" w:rsidP="00A75BBA">
      <w:pPr>
        <w:spacing w:line="360" w:lineRule="auto"/>
        <w:ind w:left="567" w:right="567"/>
        <w:jc w:val="both"/>
        <w:rPr>
          <w:rFonts w:ascii="Palatino Linotype" w:eastAsia="MS Mincho" w:hAnsi="Palatino Linotype" w:cs="Arial"/>
          <w:i/>
          <w:sz w:val="22"/>
          <w:szCs w:val="22"/>
        </w:rPr>
      </w:pPr>
    </w:p>
    <w:p w14:paraId="6DCD5CE4" w14:textId="77777777" w:rsidR="00043374" w:rsidRPr="00846A59" w:rsidRDefault="00043374" w:rsidP="00A75BBA">
      <w:pPr>
        <w:spacing w:line="360" w:lineRule="auto"/>
        <w:ind w:left="567" w:right="567"/>
        <w:jc w:val="both"/>
        <w:rPr>
          <w:rFonts w:ascii="Palatino Linotype" w:eastAsia="MS Mincho" w:hAnsi="Palatino Linotype" w:cs="Arial"/>
          <w:b/>
          <w:i/>
          <w:sz w:val="22"/>
          <w:szCs w:val="22"/>
        </w:rPr>
      </w:pPr>
      <w:r w:rsidRPr="00846A59">
        <w:rPr>
          <w:rFonts w:ascii="Palatino Linotype" w:eastAsia="MS Mincho" w:hAnsi="Palatino Linotype" w:cs="Arial"/>
          <w:b/>
          <w:i/>
          <w:sz w:val="22"/>
          <w:szCs w:val="22"/>
        </w:rPr>
        <w:t xml:space="preserve">Ley de Transparencia y Acceso a la Información Pública del Estado de México y Municipios </w:t>
      </w:r>
    </w:p>
    <w:p w14:paraId="7A718BDD" w14:textId="77777777" w:rsidR="00043374" w:rsidRPr="00846A59" w:rsidRDefault="00043374" w:rsidP="00A75BBA">
      <w:pPr>
        <w:spacing w:line="360" w:lineRule="auto"/>
        <w:ind w:left="567" w:right="567"/>
        <w:jc w:val="both"/>
        <w:rPr>
          <w:rFonts w:ascii="Palatino Linotype" w:eastAsia="MS Mincho" w:hAnsi="Palatino Linotype" w:cs="Arial"/>
          <w:i/>
          <w:sz w:val="22"/>
          <w:szCs w:val="22"/>
        </w:rPr>
      </w:pPr>
      <w:r w:rsidRPr="00846A59">
        <w:rPr>
          <w:rFonts w:ascii="Palatino Linotype" w:eastAsia="MS Mincho" w:hAnsi="Palatino Linotype" w:cs="Arial"/>
          <w:i/>
          <w:sz w:val="22"/>
          <w:szCs w:val="22"/>
        </w:rPr>
        <w:t>“</w:t>
      </w:r>
      <w:r w:rsidRPr="00846A59">
        <w:rPr>
          <w:rFonts w:ascii="Palatino Linotype" w:eastAsia="MS Mincho" w:hAnsi="Palatino Linotype" w:cs="Arial"/>
          <w:b/>
          <w:i/>
          <w:sz w:val="22"/>
          <w:szCs w:val="22"/>
        </w:rPr>
        <w:t xml:space="preserve">Artículo 195. </w:t>
      </w:r>
      <w:r w:rsidRPr="00846A59">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710F92FF" w14:textId="77777777" w:rsidR="00043374" w:rsidRPr="00846A59" w:rsidRDefault="00043374" w:rsidP="00A75BBA">
      <w:pPr>
        <w:pStyle w:val="Prrafodelista"/>
        <w:spacing w:before="240" w:after="240" w:line="360" w:lineRule="auto"/>
        <w:ind w:left="567"/>
        <w:jc w:val="both"/>
        <w:rPr>
          <w:rFonts w:ascii="Palatino Linotype" w:eastAsia="MS Mincho" w:hAnsi="Palatino Linotype" w:cs="Arial"/>
          <w:i/>
          <w:szCs w:val="22"/>
        </w:rPr>
      </w:pPr>
      <w:r w:rsidRPr="00846A59">
        <w:rPr>
          <w:rFonts w:ascii="Palatino Linotype" w:eastAsia="MS Mincho" w:hAnsi="Palatino Linotype" w:cs="Arial"/>
          <w:i/>
          <w:szCs w:val="22"/>
        </w:rPr>
        <w:t>(Énfasis añadido)</w:t>
      </w:r>
    </w:p>
    <w:p w14:paraId="31B6122A" w14:textId="33026DB0" w:rsidR="00DC4C30" w:rsidRPr="00846A59"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846A59">
        <w:rPr>
          <w:rFonts w:ascii="Palatino Linotype" w:eastAsiaTheme="minorEastAsia" w:hAnsi="Palatino Linotype"/>
          <w:color w:val="000000"/>
          <w:sz w:val="24"/>
          <w:szCs w:val="24"/>
          <w:lang w:val="es-ES_tradnl"/>
        </w:rPr>
        <w:t xml:space="preserve">El </w:t>
      </w:r>
      <w:r w:rsidRPr="00846A59">
        <w:rPr>
          <w:rFonts w:ascii="Palatino Linotype" w:eastAsiaTheme="minorEastAsia" w:hAnsi="Palatino Linotype"/>
          <w:b/>
          <w:color w:val="000000"/>
          <w:sz w:val="24"/>
          <w:szCs w:val="24"/>
          <w:lang w:val="es-ES_tradnl"/>
        </w:rPr>
        <w:t xml:space="preserve">SUJETO OBLIGADO </w:t>
      </w:r>
      <w:r w:rsidR="00D50D54" w:rsidRPr="00846A59">
        <w:rPr>
          <w:rFonts w:ascii="Palatino Linotype" w:eastAsiaTheme="minorEastAsia" w:hAnsi="Palatino Linotype"/>
          <w:color w:val="000000"/>
          <w:sz w:val="24"/>
          <w:szCs w:val="24"/>
          <w:lang w:val="es-ES_tradnl"/>
        </w:rPr>
        <w:t>el diecinueve (19) de enero y tres</w:t>
      </w:r>
      <w:r w:rsidR="00DC4C30" w:rsidRPr="00846A59">
        <w:rPr>
          <w:rFonts w:ascii="Palatino Linotype" w:eastAsiaTheme="minorEastAsia" w:hAnsi="Palatino Linotype"/>
          <w:color w:val="000000"/>
          <w:sz w:val="24"/>
          <w:szCs w:val="24"/>
          <w:lang w:val="es-ES_tradnl"/>
        </w:rPr>
        <w:t xml:space="preserve"> (</w:t>
      </w:r>
      <w:r w:rsidR="00D50D54" w:rsidRPr="00846A59">
        <w:rPr>
          <w:rFonts w:ascii="Palatino Linotype" w:eastAsiaTheme="minorEastAsia" w:hAnsi="Palatino Linotype"/>
          <w:color w:val="000000"/>
          <w:sz w:val="24"/>
          <w:szCs w:val="24"/>
          <w:lang w:val="es-ES_tradnl"/>
        </w:rPr>
        <w:t>3</w:t>
      </w:r>
      <w:r w:rsidR="00DC4C30" w:rsidRPr="00846A59">
        <w:rPr>
          <w:rFonts w:ascii="Palatino Linotype" w:eastAsiaTheme="minorEastAsia" w:hAnsi="Palatino Linotype"/>
          <w:color w:val="000000"/>
          <w:sz w:val="24"/>
          <w:szCs w:val="24"/>
          <w:lang w:val="es-ES_tradnl"/>
        </w:rPr>
        <w:t xml:space="preserve">) de </w:t>
      </w:r>
      <w:r w:rsidR="00D50D54" w:rsidRPr="00846A59">
        <w:rPr>
          <w:rFonts w:ascii="Palatino Linotype" w:eastAsiaTheme="minorEastAsia" w:hAnsi="Palatino Linotype"/>
          <w:color w:val="000000"/>
          <w:sz w:val="24"/>
          <w:szCs w:val="24"/>
          <w:lang w:val="es-ES_tradnl"/>
        </w:rPr>
        <w:t>abril</w:t>
      </w:r>
      <w:r w:rsidR="00ED737F" w:rsidRPr="00846A59">
        <w:rPr>
          <w:rFonts w:ascii="Palatino Linotype" w:eastAsiaTheme="minorEastAsia" w:hAnsi="Palatino Linotype"/>
          <w:color w:val="000000"/>
          <w:sz w:val="24"/>
          <w:szCs w:val="24"/>
          <w:lang w:val="es-ES_tradnl"/>
        </w:rPr>
        <w:t xml:space="preserve"> </w:t>
      </w:r>
      <w:r w:rsidR="00DC4C30" w:rsidRPr="00846A59">
        <w:rPr>
          <w:rFonts w:ascii="Palatino Linotype" w:eastAsiaTheme="minorEastAsia" w:hAnsi="Palatino Linotype"/>
          <w:color w:val="000000"/>
          <w:sz w:val="24"/>
          <w:szCs w:val="24"/>
          <w:lang w:val="es-ES_tradnl"/>
        </w:rPr>
        <w:t>de dos mil veinti</w:t>
      </w:r>
      <w:r w:rsidR="00ED737F" w:rsidRPr="00846A59">
        <w:rPr>
          <w:rFonts w:ascii="Palatino Linotype" w:eastAsiaTheme="minorEastAsia" w:hAnsi="Palatino Linotype"/>
          <w:color w:val="000000"/>
          <w:sz w:val="24"/>
          <w:szCs w:val="24"/>
          <w:lang w:val="es-ES_tradnl"/>
        </w:rPr>
        <w:t>trés</w:t>
      </w:r>
      <w:r w:rsidR="00DC4C30" w:rsidRPr="00846A59">
        <w:rPr>
          <w:rFonts w:ascii="Palatino Linotype" w:eastAsiaTheme="minorEastAsia" w:hAnsi="Palatino Linotype"/>
          <w:color w:val="000000"/>
          <w:sz w:val="24"/>
          <w:szCs w:val="24"/>
          <w:lang w:val="es-ES_tradnl"/>
        </w:rPr>
        <w:t xml:space="preserve">, rindió su informe justificado a través de los documentos electrónicos </w:t>
      </w:r>
      <w:r w:rsidR="00ED737F" w:rsidRPr="00846A59">
        <w:rPr>
          <w:rFonts w:ascii="Palatino Linotype" w:eastAsiaTheme="minorEastAsia" w:hAnsi="Palatino Linotype"/>
          <w:color w:val="000000"/>
          <w:sz w:val="24"/>
          <w:szCs w:val="24"/>
          <w:lang w:val="es-ES_tradnl"/>
        </w:rPr>
        <w:t>que a continuación se describen</w:t>
      </w:r>
      <w:r w:rsidR="001D2908" w:rsidRPr="00846A59">
        <w:rPr>
          <w:rFonts w:ascii="Palatino Linotype" w:eastAsiaTheme="minorEastAsia" w:hAnsi="Palatino Linotype"/>
          <w:color w:val="000000"/>
          <w:sz w:val="24"/>
          <w:szCs w:val="24"/>
          <w:lang w:val="es-ES_tradnl"/>
        </w:rPr>
        <w:t xml:space="preserve">, mismos documentos que fueron puestos a disposición del particular el </w:t>
      </w:r>
      <w:r w:rsidR="00D50D54" w:rsidRPr="00846A59">
        <w:rPr>
          <w:rFonts w:ascii="Palatino Linotype" w:eastAsiaTheme="minorEastAsia" w:hAnsi="Palatino Linotype"/>
          <w:color w:val="000000"/>
          <w:sz w:val="24"/>
          <w:szCs w:val="24"/>
          <w:lang w:val="es-ES_tradnl"/>
        </w:rPr>
        <w:t>tres</w:t>
      </w:r>
      <w:r w:rsidR="001D2908" w:rsidRPr="00846A59">
        <w:rPr>
          <w:rFonts w:ascii="Palatino Linotype" w:eastAsiaTheme="minorEastAsia" w:hAnsi="Palatino Linotype"/>
          <w:color w:val="000000"/>
          <w:sz w:val="24"/>
          <w:szCs w:val="24"/>
          <w:lang w:val="es-ES_tradnl"/>
        </w:rPr>
        <w:t xml:space="preserve"> (</w:t>
      </w:r>
      <w:r w:rsidR="00D50D54" w:rsidRPr="00846A59">
        <w:rPr>
          <w:rFonts w:ascii="Palatino Linotype" w:eastAsiaTheme="minorEastAsia" w:hAnsi="Palatino Linotype"/>
          <w:color w:val="000000"/>
          <w:sz w:val="24"/>
          <w:szCs w:val="24"/>
          <w:lang w:val="es-ES_tradnl"/>
        </w:rPr>
        <w:t>3</w:t>
      </w:r>
      <w:r w:rsidR="001D2908" w:rsidRPr="00846A59">
        <w:rPr>
          <w:rFonts w:ascii="Palatino Linotype" w:eastAsiaTheme="minorEastAsia" w:hAnsi="Palatino Linotype"/>
          <w:color w:val="000000"/>
          <w:sz w:val="24"/>
          <w:szCs w:val="24"/>
          <w:lang w:val="es-ES_tradnl"/>
        </w:rPr>
        <w:t>) de</w:t>
      </w:r>
      <w:r w:rsidR="00D50D54" w:rsidRPr="00846A59">
        <w:rPr>
          <w:rFonts w:ascii="Palatino Linotype" w:eastAsiaTheme="minorEastAsia" w:hAnsi="Palatino Linotype"/>
          <w:color w:val="000000"/>
          <w:sz w:val="24"/>
          <w:szCs w:val="24"/>
          <w:lang w:val="es-ES_tradnl"/>
        </w:rPr>
        <w:t xml:space="preserve"> octubre</w:t>
      </w:r>
      <w:r w:rsidR="001D2908" w:rsidRPr="00846A59">
        <w:rPr>
          <w:rFonts w:ascii="Palatino Linotype" w:eastAsiaTheme="minorEastAsia" w:hAnsi="Palatino Linotype"/>
          <w:color w:val="000000"/>
          <w:sz w:val="24"/>
          <w:szCs w:val="24"/>
          <w:lang w:val="es-ES_tradnl"/>
        </w:rPr>
        <w:t xml:space="preserve"> de dos mil veintitrés</w:t>
      </w:r>
      <w:r w:rsidR="00ED737F" w:rsidRPr="00846A59">
        <w:rPr>
          <w:rFonts w:ascii="Palatino Linotype" w:eastAsiaTheme="minorEastAsia" w:hAnsi="Palatino Linotype"/>
          <w:color w:val="000000"/>
          <w:sz w:val="24"/>
          <w:szCs w:val="24"/>
          <w:lang w:val="es-ES_tradnl"/>
        </w:rPr>
        <w:t>:</w:t>
      </w:r>
    </w:p>
    <w:p w14:paraId="7F36B8C6" w14:textId="7F1F44CA" w:rsidR="00D50D54" w:rsidRPr="00846A59" w:rsidRDefault="00D50D54" w:rsidP="00D50D54">
      <w:pPr>
        <w:pStyle w:val="Prrafodelista"/>
        <w:numPr>
          <w:ilvl w:val="0"/>
          <w:numId w:val="28"/>
        </w:numPr>
        <w:tabs>
          <w:tab w:val="left" w:pos="284"/>
        </w:tabs>
        <w:spacing w:before="240" w:after="240" w:line="360" w:lineRule="auto"/>
        <w:ind w:left="284"/>
        <w:jc w:val="both"/>
        <w:rPr>
          <w:rFonts w:ascii="Palatino Linotype" w:eastAsiaTheme="minorEastAsia" w:hAnsi="Palatino Linotype"/>
          <w:b/>
          <w:color w:val="000000"/>
          <w:lang w:val="es-ES_tradnl"/>
        </w:rPr>
      </w:pPr>
      <w:r w:rsidRPr="00846A59">
        <w:rPr>
          <w:rFonts w:ascii="Palatino Linotype" w:eastAsiaTheme="minorEastAsia" w:hAnsi="Palatino Linotype"/>
          <w:b/>
          <w:color w:val="000000"/>
          <w:lang w:val="es-ES_tradnl"/>
        </w:rPr>
        <w:t>Recurso de revisión 17958/INFOEM/IP/RR/2022.</w:t>
      </w:r>
    </w:p>
    <w:p w14:paraId="4AC5E019" w14:textId="2556BB68" w:rsidR="00D50D54" w:rsidRPr="00846A59" w:rsidRDefault="00D50D54" w:rsidP="00D50D54">
      <w:pPr>
        <w:pStyle w:val="Prrafodelista"/>
        <w:numPr>
          <w:ilvl w:val="0"/>
          <w:numId w:val="27"/>
        </w:numPr>
        <w:tabs>
          <w:tab w:val="left" w:pos="284"/>
        </w:tabs>
        <w:spacing w:before="240" w:after="240" w:line="360" w:lineRule="auto"/>
        <w:jc w:val="both"/>
        <w:rPr>
          <w:rFonts w:ascii="Palatino Linotype" w:hAnsi="Palatino Linotype"/>
          <w:i/>
          <w:color w:val="000000"/>
        </w:rPr>
      </w:pPr>
      <w:r w:rsidRPr="00846A59">
        <w:rPr>
          <w:rFonts w:ascii="Palatino Linotype" w:hAnsi="Palatino Linotype"/>
          <w:b/>
          <w:i/>
          <w:color w:val="000000"/>
        </w:rPr>
        <w:t>respuesta de solicitud 1261-22R.pdf:</w:t>
      </w:r>
      <w:r w:rsidRPr="00846A59">
        <w:rPr>
          <w:rFonts w:ascii="Palatino Linotype" w:hAnsi="Palatino Linotype"/>
          <w:i/>
          <w:color w:val="000000"/>
        </w:rPr>
        <w:t xml:space="preserve"> </w:t>
      </w:r>
      <w:r w:rsidRPr="00846A59">
        <w:rPr>
          <w:rFonts w:ascii="Palatino Linotype" w:hAnsi="Palatino Linotype"/>
          <w:color w:val="000000"/>
        </w:rPr>
        <w:t>Documento suscrito por el Titular de la Unidad de Transparencia mediante el cual refiere que turnó la solicitud al Servidor Público Habilitado, por lo que se anexa la respuesta correspondiente.</w:t>
      </w:r>
    </w:p>
    <w:p w14:paraId="332A277C" w14:textId="26C348E1" w:rsidR="00D50D54" w:rsidRPr="00846A59" w:rsidRDefault="00D50D54" w:rsidP="00D50D54">
      <w:pPr>
        <w:pStyle w:val="Prrafodelista"/>
        <w:numPr>
          <w:ilvl w:val="0"/>
          <w:numId w:val="27"/>
        </w:numPr>
        <w:tabs>
          <w:tab w:val="left" w:pos="284"/>
        </w:tabs>
        <w:spacing w:before="240" w:after="240" w:line="360" w:lineRule="auto"/>
        <w:jc w:val="both"/>
        <w:rPr>
          <w:rFonts w:ascii="Palatino Linotype" w:hAnsi="Palatino Linotype"/>
          <w:b/>
          <w:i/>
          <w:color w:val="000000"/>
        </w:rPr>
      </w:pPr>
      <w:r w:rsidRPr="00846A59">
        <w:rPr>
          <w:rFonts w:ascii="Palatino Linotype" w:hAnsi="Palatino Linotype"/>
          <w:b/>
          <w:i/>
          <w:color w:val="000000"/>
        </w:rPr>
        <w:t xml:space="preserve">ANEXO 1261.pdf: </w:t>
      </w:r>
      <w:r w:rsidRPr="00846A59">
        <w:rPr>
          <w:rFonts w:ascii="Palatino Linotype" w:hAnsi="Palatino Linotype"/>
          <w:color w:val="000000"/>
        </w:rPr>
        <w:t>Contiene el Gafete del Presidente Municipal.</w:t>
      </w:r>
    </w:p>
    <w:p w14:paraId="6189D0E1" w14:textId="62789FC3" w:rsidR="00D50D54" w:rsidRPr="00846A59" w:rsidRDefault="00D50D54" w:rsidP="00D50D54">
      <w:pPr>
        <w:pStyle w:val="Prrafodelista"/>
        <w:numPr>
          <w:ilvl w:val="0"/>
          <w:numId w:val="27"/>
        </w:numPr>
        <w:tabs>
          <w:tab w:val="left" w:pos="284"/>
        </w:tabs>
        <w:spacing w:before="240" w:after="240" w:line="360" w:lineRule="auto"/>
        <w:jc w:val="both"/>
        <w:rPr>
          <w:rFonts w:ascii="Palatino Linotype" w:hAnsi="Palatino Linotype"/>
          <w:b/>
          <w:i/>
          <w:color w:val="000000"/>
        </w:rPr>
      </w:pPr>
      <w:r w:rsidRPr="00846A59">
        <w:rPr>
          <w:rFonts w:ascii="Palatino Linotype" w:hAnsi="Palatino Linotype"/>
          <w:b/>
          <w:i/>
          <w:color w:val="000000"/>
        </w:rPr>
        <w:t xml:space="preserve">20230403155041220.pdf: </w:t>
      </w:r>
      <w:r w:rsidRPr="00846A59">
        <w:rPr>
          <w:rFonts w:ascii="Palatino Linotype" w:hAnsi="Palatino Linotype"/>
          <w:b/>
          <w:color w:val="000000"/>
        </w:rPr>
        <w:t xml:space="preserve">Oficio ZIN/DA/2811/2022 </w:t>
      </w:r>
      <w:r w:rsidRPr="00846A59">
        <w:rPr>
          <w:rFonts w:ascii="Palatino Linotype" w:hAnsi="Palatino Linotype"/>
          <w:color w:val="000000"/>
        </w:rPr>
        <w:t xml:space="preserve">suscrito por el Director de Administración, mediante el cual refiere que entrega el gafete de identificación del </w:t>
      </w:r>
      <w:r w:rsidRPr="00846A59">
        <w:rPr>
          <w:rFonts w:ascii="Palatino Linotype" w:hAnsi="Palatino Linotype"/>
          <w:color w:val="000000"/>
        </w:rPr>
        <w:lastRenderedPageBreak/>
        <w:t>Presidente Municipal, solicitando que sea sometido al Comité de Transparencia para su versión pública.</w:t>
      </w:r>
    </w:p>
    <w:p w14:paraId="7E3A5BE4" w14:textId="77777777" w:rsidR="00D50D54" w:rsidRPr="00846A59" w:rsidRDefault="00D50D54" w:rsidP="00D50D54">
      <w:pPr>
        <w:pStyle w:val="Prrafodelista"/>
        <w:tabs>
          <w:tab w:val="left" w:pos="284"/>
        </w:tabs>
        <w:spacing w:before="240" w:after="240" w:line="360" w:lineRule="auto"/>
        <w:jc w:val="both"/>
        <w:rPr>
          <w:rFonts w:ascii="Palatino Linotype" w:hAnsi="Palatino Linotype"/>
          <w:b/>
          <w:i/>
          <w:color w:val="000000"/>
        </w:rPr>
      </w:pPr>
    </w:p>
    <w:p w14:paraId="59118FB6" w14:textId="04AEFEBF" w:rsidR="00D50D54" w:rsidRPr="00846A59" w:rsidRDefault="00D50D54" w:rsidP="00D50D54">
      <w:pPr>
        <w:pStyle w:val="Prrafodelista"/>
        <w:numPr>
          <w:ilvl w:val="0"/>
          <w:numId w:val="28"/>
        </w:numPr>
        <w:tabs>
          <w:tab w:val="left" w:pos="284"/>
        </w:tabs>
        <w:spacing w:before="240" w:after="240" w:line="360" w:lineRule="auto"/>
        <w:ind w:left="426"/>
        <w:jc w:val="both"/>
        <w:rPr>
          <w:rFonts w:ascii="Palatino Linotype" w:eastAsiaTheme="minorEastAsia" w:hAnsi="Palatino Linotype"/>
          <w:b/>
          <w:color w:val="000000"/>
          <w:lang w:val="es-ES_tradnl"/>
        </w:rPr>
      </w:pPr>
      <w:r w:rsidRPr="00846A59">
        <w:rPr>
          <w:rFonts w:ascii="Palatino Linotype" w:eastAsiaTheme="minorEastAsia" w:hAnsi="Palatino Linotype"/>
          <w:b/>
          <w:color w:val="000000"/>
          <w:lang w:val="es-ES_tradnl"/>
        </w:rPr>
        <w:t xml:space="preserve">Recurso de revisión 17600/INFOEM/IP/RR/2022, 17601/INFOEM/IP/RR/2022 y 17602/INFOEM/IP/RR/2022, </w:t>
      </w:r>
      <w:r w:rsidRPr="00846A59">
        <w:rPr>
          <w:rFonts w:ascii="Palatino Linotype" w:eastAsiaTheme="minorEastAsia" w:hAnsi="Palatino Linotype"/>
          <w:color w:val="000000"/>
          <w:lang w:val="es-ES_tradnl"/>
        </w:rPr>
        <w:t>el Sujeto Obligado adjuntó un documento mediante el cual se solicita la ampliación de plazo para dar respuesta a la solicitud.</w:t>
      </w:r>
    </w:p>
    <w:p w14:paraId="0B0B7B95" w14:textId="77777777" w:rsidR="001D2908" w:rsidRPr="00846A59" w:rsidRDefault="001D2908" w:rsidP="001D2908">
      <w:pPr>
        <w:pStyle w:val="Prrafodelista"/>
        <w:spacing w:line="360" w:lineRule="auto"/>
        <w:ind w:left="0"/>
        <w:jc w:val="both"/>
        <w:rPr>
          <w:rFonts w:ascii="Palatino Linotype" w:hAnsi="Palatino Linotype" w:cs="Tahoma"/>
        </w:rPr>
      </w:pPr>
    </w:p>
    <w:p w14:paraId="5334A9C4" w14:textId="77777777" w:rsidR="00003855" w:rsidRPr="00846A59" w:rsidRDefault="001D2908" w:rsidP="008A06D7">
      <w:pPr>
        <w:pStyle w:val="Prrafodelista"/>
        <w:numPr>
          <w:ilvl w:val="0"/>
          <w:numId w:val="3"/>
        </w:numPr>
        <w:spacing w:line="360" w:lineRule="auto"/>
        <w:ind w:left="0" w:firstLine="0"/>
        <w:jc w:val="both"/>
        <w:rPr>
          <w:rFonts w:ascii="Palatino Linotype" w:hAnsi="Palatino Linotype" w:cs="Tahoma"/>
          <w:sz w:val="24"/>
        </w:rPr>
      </w:pPr>
      <w:r w:rsidRPr="00846A59">
        <w:rPr>
          <w:rFonts w:ascii="Palatino Linotype" w:hAnsi="Palatino Linotype" w:cs="Tahoma"/>
          <w:sz w:val="24"/>
        </w:rPr>
        <w:t xml:space="preserve">El </w:t>
      </w:r>
      <w:r w:rsidR="00003855" w:rsidRPr="00846A59">
        <w:rPr>
          <w:rFonts w:ascii="Palatino Linotype" w:hAnsi="Palatino Linotype" w:cs="Tahoma"/>
          <w:sz w:val="24"/>
        </w:rPr>
        <w:t>treinta (30) de mayo de dos mil veintitrés, la Comisionada Ponente notificó el acuerdo de ampliación de plazo para emitir resolución.</w:t>
      </w:r>
    </w:p>
    <w:p w14:paraId="5E1502D2" w14:textId="2661A277" w:rsidR="00003855" w:rsidRPr="00846A59" w:rsidRDefault="00003855" w:rsidP="00003855">
      <w:pPr>
        <w:pStyle w:val="Prrafodelista"/>
        <w:spacing w:line="360" w:lineRule="auto"/>
        <w:ind w:left="0"/>
        <w:jc w:val="both"/>
        <w:rPr>
          <w:rFonts w:ascii="Palatino Linotype" w:hAnsi="Palatino Linotype" w:cs="Tahoma"/>
          <w:sz w:val="24"/>
        </w:rPr>
      </w:pPr>
      <w:r w:rsidRPr="00846A59">
        <w:rPr>
          <w:rFonts w:ascii="Palatino Linotype" w:hAnsi="Palatino Linotype" w:cs="Tahoma"/>
          <w:sz w:val="24"/>
        </w:rPr>
        <w:t xml:space="preserve"> </w:t>
      </w:r>
    </w:p>
    <w:p w14:paraId="40D70AE1" w14:textId="77777777" w:rsidR="00003855" w:rsidRPr="00846A59" w:rsidRDefault="00003855" w:rsidP="008A06D7">
      <w:pPr>
        <w:pStyle w:val="Prrafodelista"/>
        <w:numPr>
          <w:ilvl w:val="0"/>
          <w:numId w:val="3"/>
        </w:numPr>
        <w:spacing w:line="360" w:lineRule="auto"/>
        <w:ind w:left="0" w:firstLine="0"/>
        <w:jc w:val="both"/>
        <w:rPr>
          <w:rFonts w:ascii="Palatino Linotype" w:hAnsi="Palatino Linotype" w:cs="Tahoma"/>
          <w:sz w:val="24"/>
        </w:rPr>
      </w:pPr>
      <w:r w:rsidRPr="00846A59">
        <w:rPr>
          <w:rFonts w:ascii="Palatino Linotype" w:hAnsi="Palatino Linotype" w:cs="Tahoma"/>
          <w:sz w:val="24"/>
        </w:rPr>
        <w:t>El veintitrés</w:t>
      </w:r>
      <w:r w:rsidR="001A0283" w:rsidRPr="00846A59">
        <w:rPr>
          <w:rFonts w:ascii="Palatino Linotype" w:hAnsi="Palatino Linotype" w:cs="Tahoma"/>
          <w:sz w:val="24"/>
        </w:rPr>
        <w:t xml:space="preserve"> (</w:t>
      </w:r>
      <w:r w:rsidRPr="00846A59">
        <w:rPr>
          <w:rFonts w:ascii="Palatino Linotype" w:hAnsi="Palatino Linotype" w:cs="Tahoma"/>
          <w:sz w:val="24"/>
        </w:rPr>
        <w:t>23</w:t>
      </w:r>
      <w:r w:rsidR="001A0283" w:rsidRPr="00846A59">
        <w:rPr>
          <w:rFonts w:ascii="Palatino Linotype" w:hAnsi="Palatino Linotype" w:cs="Tahoma"/>
          <w:sz w:val="24"/>
        </w:rPr>
        <w:t xml:space="preserve">) de </w:t>
      </w:r>
      <w:r w:rsidRPr="00846A59">
        <w:rPr>
          <w:rFonts w:ascii="Palatino Linotype" w:hAnsi="Palatino Linotype" w:cs="Tahoma"/>
          <w:sz w:val="24"/>
        </w:rPr>
        <w:t>junio</w:t>
      </w:r>
      <w:r w:rsidR="001A0283" w:rsidRPr="00846A59">
        <w:rPr>
          <w:rFonts w:ascii="Palatino Linotype" w:hAnsi="Palatino Linotype" w:cs="Tahoma"/>
          <w:sz w:val="24"/>
        </w:rPr>
        <w:t xml:space="preserve"> de dos mil veintitrés se notificó el acuerdo de acumulación de recursos de revisión</w:t>
      </w:r>
      <w:r w:rsidRPr="00846A59">
        <w:rPr>
          <w:rFonts w:ascii="Palatino Linotype" w:hAnsi="Palatino Linotype" w:cs="Tahoma"/>
          <w:sz w:val="24"/>
        </w:rPr>
        <w:t>.</w:t>
      </w:r>
    </w:p>
    <w:p w14:paraId="0348A369" w14:textId="77777777" w:rsidR="00003855" w:rsidRPr="00846A59" w:rsidRDefault="00003855" w:rsidP="00003855">
      <w:pPr>
        <w:pStyle w:val="Prrafodelista"/>
        <w:rPr>
          <w:rFonts w:ascii="Palatino Linotype" w:hAnsi="Palatino Linotype" w:cs="Tahoma"/>
          <w:sz w:val="24"/>
        </w:rPr>
      </w:pPr>
    </w:p>
    <w:p w14:paraId="04016115" w14:textId="01B33B29" w:rsidR="00BC6FDD" w:rsidRPr="00846A59" w:rsidRDefault="00003855" w:rsidP="00003855">
      <w:pPr>
        <w:pStyle w:val="Prrafodelista"/>
        <w:numPr>
          <w:ilvl w:val="0"/>
          <w:numId w:val="3"/>
        </w:numPr>
        <w:spacing w:line="360" w:lineRule="auto"/>
        <w:ind w:left="0" w:firstLine="0"/>
        <w:jc w:val="both"/>
        <w:rPr>
          <w:rFonts w:ascii="Palatino Linotype" w:hAnsi="Palatino Linotype" w:cs="Tahoma"/>
          <w:sz w:val="24"/>
        </w:rPr>
      </w:pPr>
      <w:r w:rsidRPr="00846A59">
        <w:rPr>
          <w:rFonts w:ascii="Palatino Linotype" w:hAnsi="Palatino Linotype" w:cs="Tahoma"/>
          <w:sz w:val="24"/>
        </w:rPr>
        <w:t xml:space="preserve">El nueve (9) de octubre de dos mil veintitrés, </w:t>
      </w:r>
      <w:r w:rsidR="00D73603" w:rsidRPr="00846A59">
        <w:rPr>
          <w:rFonts w:ascii="Palatino Linotype" w:eastAsia="Calibri" w:hAnsi="Palatino Linotype" w:cs="Arial"/>
          <w:sz w:val="24"/>
          <w:lang w:val="es-ES"/>
        </w:rPr>
        <w:t>la</w:t>
      </w:r>
      <w:r w:rsidR="005000AA" w:rsidRPr="00846A59">
        <w:rPr>
          <w:rFonts w:ascii="Palatino Linotype" w:hAnsi="Palatino Linotype"/>
          <w:sz w:val="24"/>
        </w:rPr>
        <w:t xml:space="preserve"> Comisionad</w:t>
      </w:r>
      <w:r w:rsidR="00D73603" w:rsidRPr="00846A59">
        <w:rPr>
          <w:rFonts w:ascii="Palatino Linotype" w:hAnsi="Palatino Linotype"/>
          <w:sz w:val="24"/>
        </w:rPr>
        <w:t>a</w:t>
      </w:r>
      <w:r w:rsidR="005000AA" w:rsidRPr="00846A59">
        <w:rPr>
          <w:rFonts w:ascii="Palatino Linotype" w:hAnsi="Palatino Linotype"/>
          <w:sz w:val="24"/>
        </w:rPr>
        <w:t xml:space="preserve"> Ponente decretó el cierre de instrucción</w:t>
      </w:r>
      <w:r w:rsidR="00B83EE1" w:rsidRPr="00846A59">
        <w:rPr>
          <w:rFonts w:ascii="Palatino Linotype" w:hAnsi="Palatino Linotype" w:cs="Arial"/>
          <w:sz w:val="24"/>
        </w:rPr>
        <w:t>,</w:t>
      </w:r>
      <w:r w:rsidR="001A0283" w:rsidRPr="00846A59">
        <w:rPr>
          <w:rFonts w:ascii="Palatino Linotype" w:hAnsi="Palatino Linotype" w:cs="Arial"/>
          <w:sz w:val="24"/>
        </w:rPr>
        <w:t xml:space="preserve"> </w:t>
      </w:r>
      <w:r w:rsidR="00B83EE1" w:rsidRPr="00846A59">
        <w:rPr>
          <w:rFonts w:ascii="Palatino Linotype" w:hAnsi="Palatino Linotype" w:cs="Arial"/>
          <w:sz w:val="24"/>
        </w:rPr>
        <w:t>p</w:t>
      </w:r>
      <w:r w:rsidR="003C497F" w:rsidRPr="00846A59">
        <w:rPr>
          <w:rFonts w:ascii="Palatino Linotype" w:hAnsi="Palatino Linotype" w:cs="Tahoma"/>
          <w:sz w:val="24"/>
        </w:rPr>
        <w:t xml:space="preserve">or lo que turnó la presente resolución </w:t>
      </w:r>
      <w:r w:rsidR="003C5753" w:rsidRPr="00846A59">
        <w:rPr>
          <w:rFonts w:ascii="Palatino Linotype" w:hAnsi="Palatino Linotype" w:cs="Tahoma"/>
          <w:sz w:val="24"/>
        </w:rPr>
        <w:t>para su aprobación.</w:t>
      </w:r>
    </w:p>
    <w:p w14:paraId="51E7EB51" w14:textId="77777777" w:rsidR="00003855" w:rsidRPr="00846A59" w:rsidRDefault="00003855" w:rsidP="00003855">
      <w:pPr>
        <w:pStyle w:val="Prrafodelista"/>
        <w:spacing w:line="360" w:lineRule="auto"/>
        <w:ind w:left="0"/>
        <w:jc w:val="both"/>
        <w:rPr>
          <w:rFonts w:ascii="Palatino Linotype" w:hAnsi="Palatino Linotype" w:cs="Tahoma"/>
          <w:sz w:val="24"/>
        </w:rPr>
      </w:pPr>
    </w:p>
    <w:p w14:paraId="776778EF" w14:textId="77777777" w:rsidR="00003855" w:rsidRPr="00846A59" w:rsidRDefault="00003855" w:rsidP="00003855">
      <w:pPr>
        <w:pStyle w:val="Prrafodelista"/>
        <w:numPr>
          <w:ilvl w:val="0"/>
          <w:numId w:val="2"/>
        </w:numPr>
        <w:spacing w:before="240" w:after="240" w:line="360" w:lineRule="auto"/>
        <w:ind w:left="0" w:hanging="11"/>
        <w:jc w:val="both"/>
        <w:rPr>
          <w:rFonts w:ascii="Palatino Linotype" w:hAnsi="Palatino Linotype"/>
          <w:b/>
          <w:sz w:val="36"/>
          <w:u w:val="single"/>
        </w:rPr>
      </w:pPr>
      <w:r w:rsidRPr="00846A59">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237D99" w14:textId="77777777" w:rsidR="00003855" w:rsidRPr="00846A59" w:rsidRDefault="00003855" w:rsidP="00003855">
      <w:pPr>
        <w:pStyle w:val="Prrafodelista"/>
        <w:numPr>
          <w:ilvl w:val="0"/>
          <w:numId w:val="2"/>
        </w:numPr>
        <w:spacing w:before="240" w:after="240" w:line="360" w:lineRule="auto"/>
        <w:ind w:left="0" w:firstLine="0"/>
        <w:jc w:val="both"/>
        <w:rPr>
          <w:rFonts w:ascii="Palatino Linotype" w:hAnsi="Palatino Linotype"/>
          <w:sz w:val="24"/>
        </w:rPr>
      </w:pPr>
      <w:r w:rsidRPr="00846A59">
        <w:rPr>
          <w:rFonts w:ascii="Palatino Linotype" w:hAnsi="Palatino Linotype"/>
          <w:sz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796416E" w14:textId="77777777" w:rsidR="00003855" w:rsidRPr="00846A59" w:rsidRDefault="00003855" w:rsidP="00003855">
      <w:pPr>
        <w:pStyle w:val="Prrafodelista"/>
        <w:spacing w:before="240" w:after="240" w:line="360" w:lineRule="auto"/>
        <w:ind w:left="0"/>
        <w:jc w:val="both"/>
        <w:rPr>
          <w:rFonts w:ascii="Palatino Linotype" w:hAnsi="Palatino Linotype"/>
          <w:sz w:val="24"/>
        </w:rPr>
      </w:pPr>
    </w:p>
    <w:p w14:paraId="3A58F38D" w14:textId="77777777" w:rsidR="00003855" w:rsidRPr="00846A59" w:rsidRDefault="00003855" w:rsidP="00003855">
      <w:pPr>
        <w:pStyle w:val="Prrafodelista"/>
        <w:numPr>
          <w:ilvl w:val="0"/>
          <w:numId w:val="2"/>
        </w:numPr>
        <w:spacing w:before="240" w:after="240" w:line="360" w:lineRule="auto"/>
        <w:ind w:left="0" w:firstLine="0"/>
        <w:jc w:val="both"/>
        <w:rPr>
          <w:rFonts w:ascii="Palatino Linotype" w:hAnsi="Palatino Linotype"/>
          <w:sz w:val="24"/>
        </w:rPr>
      </w:pPr>
      <w:r w:rsidRPr="00846A59">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8432DB" w14:textId="77777777" w:rsidR="00003855" w:rsidRPr="00846A59" w:rsidRDefault="00003855" w:rsidP="00003855">
      <w:pPr>
        <w:pStyle w:val="Prrafodelista"/>
        <w:rPr>
          <w:rFonts w:ascii="Palatino Linotype" w:hAnsi="Palatino Linotype"/>
          <w:sz w:val="24"/>
        </w:rPr>
      </w:pPr>
    </w:p>
    <w:p w14:paraId="479FABBD" w14:textId="77777777" w:rsidR="00003855" w:rsidRPr="00846A59" w:rsidRDefault="00003855" w:rsidP="00003855">
      <w:pPr>
        <w:pStyle w:val="Prrafodelista"/>
        <w:numPr>
          <w:ilvl w:val="0"/>
          <w:numId w:val="2"/>
        </w:numPr>
        <w:spacing w:before="240" w:after="240" w:line="360" w:lineRule="auto"/>
        <w:ind w:left="0" w:firstLine="0"/>
        <w:jc w:val="both"/>
        <w:rPr>
          <w:rFonts w:ascii="Palatino Linotype" w:hAnsi="Palatino Linotype"/>
          <w:sz w:val="24"/>
        </w:rPr>
      </w:pPr>
      <w:r w:rsidRPr="00846A59">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38C43A2" w14:textId="77777777" w:rsidR="00003855" w:rsidRPr="00846A59" w:rsidRDefault="00003855" w:rsidP="00003855">
      <w:pPr>
        <w:pStyle w:val="Prrafodelista"/>
        <w:spacing w:before="240" w:after="240" w:line="360" w:lineRule="auto"/>
        <w:ind w:left="0"/>
        <w:jc w:val="both"/>
        <w:rPr>
          <w:rFonts w:ascii="Palatino Linotype" w:hAnsi="Palatino Linotype"/>
          <w:sz w:val="24"/>
        </w:rPr>
      </w:pPr>
    </w:p>
    <w:p w14:paraId="470B7837" w14:textId="77777777" w:rsidR="00003855" w:rsidRPr="00846A59" w:rsidRDefault="00003855" w:rsidP="00003855">
      <w:pPr>
        <w:pStyle w:val="Prrafodelista"/>
        <w:numPr>
          <w:ilvl w:val="0"/>
          <w:numId w:val="2"/>
        </w:numPr>
        <w:spacing w:before="240" w:after="240" w:line="360" w:lineRule="auto"/>
        <w:ind w:left="0" w:firstLine="0"/>
        <w:jc w:val="both"/>
        <w:rPr>
          <w:rFonts w:ascii="Palatino Linotype" w:hAnsi="Palatino Linotype"/>
          <w:sz w:val="24"/>
        </w:rPr>
      </w:pPr>
      <w:r w:rsidRPr="00846A59">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E0FB212" w14:textId="77777777" w:rsidR="00003855" w:rsidRPr="00846A59" w:rsidRDefault="00003855" w:rsidP="00003855">
      <w:pPr>
        <w:pStyle w:val="Prrafodelista"/>
        <w:spacing w:before="240" w:after="240" w:line="360" w:lineRule="auto"/>
        <w:ind w:left="0"/>
        <w:jc w:val="both"/>
        <w:rPr>
          <w:rFonts w:ascii="Palatino Linotype" w:hAnsi="Palatino Linotype"/>
          <w:sz w:val="24"/>
        </w:rPr>
      </w:pPr>
    </w:p>
    <w:p w14:paraId="5B2F1914" w14:textId="0ABF6474" w:rsidR="00003855" w:rsidRPr="00846A59" w:rsidRDefault="00003855" w:rsidP="00003855">
      <w:pPr>
        <w:pStyle w:val="Prrafodelista"/>
        <w:spacing w:before="240" w:after="240" w:line="360" w:lineRule="auto"/>
        <w:ind w:left="284"/>
        <w:jc w:val="both"/>
        <w:rPr>
          <w:rFonts w:ascii="Palatino Linotype" w:hAnsi="Palatino Linotype"/>
        </w:rPr>
      </w:pPr>
      <w:r w:rsidRPr="00846A59">
        <w:rPr>
          <w:rFonts w:ascii="Palatino Linotype" w:hAnsi="Palatino Linotype"/>
        </w:rPr>
        <w:lastRenderedPageBreak/>
        <w:t>a)</w:t>
      </w:r>
      <w:r w:rsidR="007374F6" w:rsidRPr="00846A59">
        <w:rPr>
          <w:rFonts w:ascii="Palatino Linotype" w:hAnsi="Palatino Linotype"/>
        </w:rPr>
        <w:t xml:space="preserve"> </w:t>
      </w:r>
      <w:r w:rsidRPr="00846A59">
        <w:rPr>
          <w:rFonts w:ascii="Palatino Linotype" w:hAnsi="Palatino Linotype"/>
        </w:rPr>
        <w:t>Complejidad del asunto: La complejidad de la prueba, la pluralidad de sujetos procesales, el tiempo transcurrido, las características y contexto del recurso.</w:t>
      </w:r>
    </w:p>
    <w:p w14:paraId="38E20B7A" w14:textId="5EDE60A4" w:rsidR="00003855" w:rsidRPr="00846A59" w:rsidRDefault="00003855" w:rsidP="00003855">
      <w:pPr>
        <w:pStyle w:val="Prrafodelista"/>
        <w:spacing w:before="240" w:after="240" w:line="360" w:lineRule="auto"/>
        <w:ind w:left="284"/>
        <w:jc w:val="both"/>
        <w:rPr>
          <w:rFonts w:ascii="Palatino Linotype" w:hAnsi="Palatino Linotype"/>
        </w:rPr>
      </w:pPr>
      <w:r w:rsidRPr="00846A59">
        <w:rPr>
          <w:rFonts w:ascii="Palatino Linotype" w:hAnsi="Palatino Linotype"/>
        </w:rPr>
        <w:t>b)</w:t>
      </w:r>
      <w:r w:rsidR="007374F6" w:rsidRPr="00846A59">
        <w:rPr>
          <w:rFonts w:ascii="Palatino Linotype" w:hAnsi="Palatino Linotype"/>
        </w:rPr>
        <w:t xml:space="preserve">  </w:t>
      </w:r>
      <w:r w:rsidRPr="00846A59">
        <w:rPr>
          <w:rFonts w:ascii="Palatino Linotype" w:hAnsi="Palatino Linotype"/>
        </w:rPr>
        <w:t>Actividad Procesal del interesado: Acciones u omisiones del interesado.</w:t>
      </w:r>
    </w:p>
    <w:p w14:paraId="52DF20C9" w14:textId="709B9116" w:rsidR="00003855" w:rsidRPr="00846A59" w:rsidRDefault="00003855" w:rsidP="00003855">
      <w:pPr>
        <w:pStyle w:val="Prrafodelista"/>
        <w:spacing w:before="240" w:after="240" w:line="360" w:lineRule="auto"/>
        <w:ind w:left="284"/>
        <w:jc w:val="both"/>
        <w:rPr>
          <w:rFonts w:ascii="Palatino Linotype" w:hAnsi="Palatino Linotype"/>
        </w:rPr>
      </w:pPr>
      <w:r w:rsidRPr="00846A59">
        <w:rPr>
          <w:rFonts w:ascii="Palatino Linotype" w:hAnsi="Palatino Linotype"/>
        </w:rPr>
        <w:t>c)  Conducta de la Autoridad: Las Acciones u omisiones realizadas en el procedimiento. Así como si la autoridad actuó con la debida diligencia.</w:t>
      </w:r>
    </w:p>
    <w:p w14:paraId="54F99436" w14:textId="1B19DA54" w:rsidR="00003855" w:rsidRPr="00846A59" w:rsidRDefault="00003855" w:rsidP="00003855">
      <w:pPr>
        <w:pStyle w:val="Prrafodelista"/>
        <w:spacing w:before="240" w:after="240" w:line="360" w:lineRule="auto"/>
        <w:ind w:left="284"/>
        <w:jc w:val="both"/>
        <w:rPr>
          <w:rFonts w:ascii="Palatino Linotype" w:hAnsi="Palatino Linotype"/>
        </w:rPr>
      </w:pPr>
      <w:r w:rsidRPr="00846A59">
        <w:rPr>
          <w:rFonts w:ascii="Palatino Linotype" w:hAnsi="Palatino Linotype"/>
        </w:rPr>
        <w:t xml:space="preserve">d) </w:t>
      </w:r>
      <w:r w:rsidR="007374F6" w:rsidRPr="00846A59">
        <w:rPr>
          <w:rFonts w:ascii="Palatino Linotype" w:hAnsi="Palatino Linotype"/>
        </w:rPr>
        <w:t xml:space="preserve"> </w:t>
      </w:r>
      <w:r w:rsidRPr="00846A59">
        <w:rPr>
          <w:rFonts w:ascii="Palatino Linotype" w:hAnsi="Palatino Linotype"/>
        </w:rPr>
        <w:t>La afectación generada en la situación jurídica de la persona involucrada en el proceso: Violación a sus derechos humanos.</w:t>
      </w:r>
    </w:p>
    <w:p w14:paraId="05B7C99E" w14:textId="77777777" w:rsidR="00003855" w:rsidRPr="00846A59" w:rsidRDefault="00003855" w:rsidP="00003855">
      <w:pPr>
        <w:pStyle w:val="Prrafodelista"/>
        <w:spacing w:before="240" w:after="240" w:line="360" w:lineRule="auto"/>
        <w:ind w:left="0"/>
        <w:jc w:val="both"/>
        <w:rPr>
          <w:rFonts w:ascii="Palatino Linotype" w:hAnsi="Palatino Linotype"/>
          <w:sz w:val="24"/>
        </w:rPr>
      </w:pPr>
    </w:p>
    <w:p w14:paraId="76BE5862" w14:textId="77777777" w:rsidR="00003855" w:rsidRPr="00846A59" w:rsidRDefault="00003855" w:rsidP="00003855">
      <w:pPr>
        <w:pStyle w:val="Prrafodelista"/>
        <w:numPr>
          <w:ilvl w:val="0"/>
          <w:numId w:val="2"/>
        </w:numPr>
        <w:spacing w:before="240" w:after="240" w:line="360" w:lineRule="auto"/>
        <w:ind w:left="0" w:firstLine="0"/>
        <w:jc w:val="both"/>
        <w:rPr>
          <w:rFonts w:ascii="Palatino Linotype" w:hAnsi="Palatino Linotype"/>
          <w:sz w:val="24"/>
        </w:rPr>
      </w:pPr>
      <w:r w:rsidRPr="00846A59">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51AB52" w14:textId="77777777" w:rsidR="00003855" w:rsidRPr="00846A59" w:rsidRDefault="00003855" w:rsidP="00003855">
      <w:pPr>
        <w:pStyle w:val="Prrafodelista"/>
        <w:spacing w:before="240" w:after="240" w:line="360" w:lineRule="auto"/>
        <w:ind w:left="0"/>
        <w:jc w:val="both"/>
        <w:rPr>
          <w:rFonts w:ascii="Palatino Linotype" w:hAnsi="Palatino Linotype"/>
          <w:sz w:val="24"/>
        </w:rPr>
      </w:pPr>
    </w:p>
    <w:p w14:paraId="7B267593" w14:textId="77777777" w:rsidR="00003855" w:rsidRPr="00846A59" w:rsidRDefault="00003855" w:rsidP="00003855">
      <w:pPr>
        <w:pStyle w:val="Prrafodelista"/>
        <w:numPr>
          <w:ilvl w:val="0"/>
          <w:numId w:val="2"/>
        </w:numPr>
        <w:spacing w:before="240" w:after="240" w:line="360" w:lineRule="auto"/>
        <w:ind w:left="0" w:firstLine="0"/>
        <w:jc w:val="both"/>
        <w:rPr>
          <w:rFonts w:ascii="Palatino Linotype" w:hAnsi="Palatino Linotype"/>
          <w:sz w:val="24"/>
        </w:rPr>
      </w:pPr>
      <w:r w:rsidRPr="00846A59">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D79944C" w14:textId="77777777" w:rsidR="00003855" w:rsidRPr="00846A59" w:rsidRDefault="00003855" w:rsidP="00003855">
      <w:pPr>
        <w:pStyle w:val="Prrafodelista"/>
        <w:rPr>
          <w:rFonts w:ascii="Palatino Linotype" w:hAnsi="Palatino Linotype"/>
          <w:sz w:val="24"/>
        </w:rPr>
      </w:pPr>
    </w:p>
    <w:p w14:paraId="0C3ADFE2" w14:textId="77777777" w:rsidR="00003855" w:rsidRPr="00846A59" w:rsidRDefault="00003855" w:rsidP="00003855">
      <w:pPr>
        <w:pStyle w:val="Prrafodelista"/>
        <w:numPr>
          <w:ilvl w:val="0"/>
          <w:numId w:val="2"/>
        </w:numPr>
        <w:spacing w:before="240" w:after="240" w:line="360" w:lineRule="auto"/>
        <w:ind w:left="0" w:firstLine="0"/>
        <w:jc w:val="both"/>
        <w:rPr>
          <w:rFonts w:ascii="Palatino Linotype" w:hAnsi="Palatino Linotype"/>
          <w:sz w:val="24"/>
        </w:rPr>
      </w:pPr>
      <w:r w:rsidRPr="00846A59">
        <w:rPr>
          <w:rFonts w:ascii="Palatino Linotype" w:hAnsi="Palatino Linotype"/>
          <w:sz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ABA463" w14:textId="77777777" w:rsidR="00003855" w:rsidRPr="00846A59" w:rsidRDefault="00003855" w:rsidP="00003855">
      <w:pPr>
        <w:pStyle w:val="Prrafodelista"/>
        <w:spacing w:before="240" w:after="240" w:line="360" w:lineRule="auto"/>
        <w:ind w:left="0"/>
        <w:jc w:val="both"/>
        <w:rPr>
          <w:rFonts w:ascii="Palatino Linotype" w:hAnsi="Palatino Linotype"/>
          <w:sz w:val="24"/>
        </w:rPr>
      </w:pPr>
    </w:p>
    <w:p w14:paraId="58CE4826" w14:textId="77777777" w:rsidR="00003855" w:rsidRPr="00846A59" w:rsidRDefault="00003855" w:rsidP="00003855">
      <w:pPr>
        <w:pStyle w:val="Prrafodelista"/>
        <w:numPr>
          <w:ilvl w:val="0"/>
          <w:numId w:val="2"/>
        </w:numPr>
        <w:spacing w:before="240" w:after="240" w:line="360" w:lineRule="auto"/>
        <w:ind w:left="0" w:firstLine="0"/>
        <w:jc w:val="both"/>
        <w:rPr>
          <w:rFonts w:ascii="Palatino Linotype" w:hAnsi="Palatino Linotype"/>
          <w:sz w:val="24"/>
        </w:rPr>
      </w:pPr>
      <w:r w:rsidRPr="00846A59">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CB2C001" w14:textId="77777777" w:rsidR="00003855" w:rsidRPr="00846A59" w:rsidRDefault="00003855" w:rsidP="00003855">
      <w:pPr>
        <w:pStyle w:val="Prrafodelista"/>
        <w:rPr>
          <w:rFonts w:ascii="Palatino Linotype" w:hAnsi="Palatino Linotype"/>
        </w:rPr>
      </w:pPr>
    </w:p>
    <w:p w14:paraId="707CDD46" w14:textId="77777777" w:rsidR="00003855" w:rsidRPr="00846A59" w:rsidRDefault="00003855" w:rsidP="00003855">
      <w:pPr>
        <w:pStyle w:val="Prrafodelista"/>
        <w:spacing w:before="240" w:after="240" w:line="360" w:lineRule="auto"/>
        <w:ind w:left="567"/>
        <w:jc w:val="both"/>
        <w:rPr>
          <w:rFonts w:ascii="Palatino Linotype" w:hAnsi="Palatino Linotype"/>
        </w:rPr>
      </w:pPr>
      <w:r w:rsidRPr="00846A5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141AA77" w14:textId="77777777" w:rsidR="00003855" w:rsidRPr="00846A59" w:rsidRDefault="00003855" w:rsidP="00003855">
      <w:pPr>
        <w:pStyle w:val="Prrafodelista"/>
        <w:spacing w:before="240" w:after="240" w:line="360" w:lineRule="auto"/>
        <w:ind w:left="567"/>
        <w:jc w:val="both"/>
        <w:rPr>
          <w:rFonts w:ascii="Palatino Linotype" w:hAnsi="Palatino Linotype"/>
        </w:rPr>
      </w:pPr>
      <w:r w:rsidRPr="00846A5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F353739" w14:textId="77777777" w:rsidR="00003855" w:rsidRPr="00846A59" w:rsidRDefault="00003855" w:rsidP="00003855">
      <w:pPr>
        <w:pStyle w:val="Prrafodelista"/>
        <w:spacing w:before="240" w:after="240" w:line="360" w:lineRule="auto"/>
        <w:ind w:left="708"/>
        <w:jc w:val="both"/>
        <w:rPr>
          <w:rFonts w:ascii="Palatino Linotype" w:hAnsi="Palatino Linotype"/>
        </w:rPr>
      </w:pPr>
    </w:p>
    <w:p w14:paraId="4794750D" w14:textId="77777777" w:rsidR="00003855" w:rsidRPr="00846A59" w:rsidRDefault="00003855" w:rsidP="00003855">
      <w:pPr>
        <w:pStyle w:val="Prrafodelista"/>
        <w:numPr>
          <w:ilvl w:val="0"/>
          <w:numId w:val="2"/>
        </w:numPr>
        <w:spacing w:line="360" w:lineRule="auto"/>
        <w:ind w:left="0" w:firstLine="0"/>
        <w:jc w:val="both"/>
        <w:rPr>
          <w:rFonts w:ascii="Palatino Linotype" w:hAnsi="Palatino Linotype" w:cs="Tahoma"/>
          <w:sz w:val="28"/>
        </w:rPr>
      </w:pPr>
      <w:r w:rsidRPr="00846A59">
        <w:rPr>
          <w:rFonts w:ascii="Palatino Linotype" w:hAnsi="Palatino Linotype"/>
          <w:sz w:val="24"/>
        </w:rPr>
        <w:lastRenderedPageBreak/>
        <w:t>Por ello, este organismo garante comprometido con la tutela de los derechos humanos confiados, señala que este exceso del plazo legal para resolver el presente asunto, resulta de carácter excepcional.</w:t>
      </w:r>
    </w:p>
    <w:p w14:paraId="0F9176A0" w14:textId="77777777" w:rsidR="005000AA" w:rsidRPr="00846A59" w:rsidRDefault="005000AA" w:rsidP="005000AA">
      <w:pPr>
        <w:pStyle w:val="Ttulo1"/>
        <w:jc w:val="center"/>
        <w:rPr>
          <w:rFonts w:ascii="Palatino Linotype" w:hAnsi="Palatino Linotype"/>
          <w:b/>
          <w:color w:val="auto"/>
          <w:sz w:val="24"/>
          <w:szCs w:val="24"/>
        </w:rPr>
      </w:pPr>
      <w:bookmarkStart w:id="4" w:name="_Toc87549672"/>
      <w:r w:rsidRPr="00846A59">
        <w:rPr>
          <w:rFonts w:ascii="Palatino Linotype" w:hAnsi="Palatino Linotype"/>
          <w:b/>
          <w:color w:val="auto"/>
          <w:sz w:val="24"/>
          <w:szCs w:val="24"/>
        </w:rPr>
        <w:t>CONSIDERANDO</w:t>
      </w:r>
      <w:bookmarkEnd w:id="4"/>
      <w:r w:rsidRPr="00846A59">
        <w:rPr>
          <w:rFonts w:ascii="Palatino Linotype" w:hAnsi="Palatino Linotype"/>
          <w:b/>
          <w:color w:val="auto"/>
          <w:sz w:val="24"/>
          <w:szCs w:val="24"/>
        </w:rPr>
        <w:t xml:space="preserve"> </w:t>
      </w:r>
    </w:p>
    <w:p w14:paraId="5A808AC6" w14:textId="77777777" w:rsidR="005000AA" w:rsidRPr="00846A59" w:rsidRDefault="005000AA" w:rsidP="005000AA">
      <w:pPr>
        <w:rPr>
          <w:rFonts w:ascii="Palatino Linotype" w:hAnsi="Palatino Linotype"/>
          <w:sz w:val="24"/>
          <w:szCs w:val="24"/>
          <w:lang w:eastAsia="en-US"/>
        </w:rPr>
      </w:pPr>
    </w:p>
    <w:p w14:paraId="1058C60B" w14:textId="77777777" w:rsidR="005000AA" w:rsidRPr="00846A59" w:rsidRDefault="005000AA" w:rsidP="005000AA">
      <w:pPr>
        <w:pStyle w:val="Ttulo2"/>
        <w:rPr>
          <w:rFonts w:ascii="Palatino Linotype" w:hAnsi="Palatino Linotype"/>
          <w:b/>
          <w:bCs/>
          <w:color w:val="auto"/>
          <w:spacing w:val="60"/>
          <w:sz w:val="24"/>
          <w:szCs w:val="24"/>
          <w:lang w:eastAsia="en-US"/>
        </w:rPr>
      </w:pPr>
      <w:bookmarkStart w:id="5" w:name="_Toc87549673"/>
      <w:r w:rsidRPr="00846A59">
        <w:rPr>
          <w:rFonts w:ascii="Palatino Linotype" w:hAnsi="Palatino Linotype"/>
          <w:b/>
          <w:color w:val="auto"/>
          <w:sz w:val="24"/>
          <w:szCs w:val="24"/>
        </w:rPr>
        <w:t>PRIMERO. De la competencia</w:t>
      </w:r>
      <w:bookmarkEnd w:id="5"/>
    </w:p>
    <w:p w14:paraId="38B24DFE" w14:textId="3BFE7192" w:rsidR="005000AA" w:rsidRPr="00846A59"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846A5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46A59">
        <w:rPr>
          <w:rFonts w:ascii="Palatino Linotype" w:eastAsia="Calibri" w:hAnsi="Palatino Linotype"/>
          <w:b/>
          <w:sz w:val="24"/>
          <w:lang w:val="es-ES"/>
        </w:rPr>
        <w:t>Constitución Política de los Estados Unidos Mexicanos</w:t>
      </w:r>
      <w:r w:rsidRPr="00846A59">
        <w:rPr>
          <w:rFonts w:ascii="Palatino Linotype" w:eastAsia="Calibri" w:hAnsi="Palatino Linotype"/>
          <w:sz w:val="24"/>
          <w:lang w:val="es-ES"/>
        </w:rPr>
        <w:t xml:space="preserve">; 5, párrafos </w:t>
      </w:r>
      <w:r w:rsidRPr="00846A59">
        <w:rPr>
          <w:rFonts w:ascii="Palatino Linotype" w:hAnsi="Palatino Linotype" w:cs="Arial"/>
          <w:bCs/>
          <w:color w:val="222222"/>
          <w:sz w:val="24"/>
          <w:lang w:val="es-ES"/>
        </w:rPr>
        <w:t>trigésimo y trigésimo primero fracciones</w:t>
      </w:r>
      <w:r w:rsidRPr="00846A59">
        <w:rPr>
          <w:rFonts w:ascii="Palatino Linotype" w:eastAsia="Calibri" w:hAnsi="Palatino Linotype"/>
          <w:sz w:val="24"/>
          <w:lang w:val="es-ES"/>
        </w:rPr>
        <w:t xml:space="preserve"> IV y V de la </w:t>
      </w:r>
      <w:r w:rsidRPr="00846A59">
        <w:rPr>
          <w:rFonts w:ascii="Palatino Linotype" w:eastAsia="Calibri" w:hAnsi="Palatino Linotype"/>
          <w:b/>
          <w:sz w:val="24"/>
          <w:lang w:val="es-ES"/>
        </w:rPr>
        <w:t>Constitución Política del Estado Libre y Soberano de México</w:t>
      </w:r>
      <w:r w:rsidRPr="00846A59">
        <w:rPr>
          <w:rFonts w:ascii="Palatino Linotype" w:eastAsia="Calibri" w:hAnsi="Palatino Linotype"/>
          <w:sz w:val="24"/>
          <w:lang w:val="es-ES"/>
        </w:rPr>
        <w:t xml:space="preserve">; artículos 1, 2 fracción II, 13, 29, 36 fracciones I y II, 176, 178, 179, 181 párrafo tercero y 185 </w:t>
      </w:r>
      <w:r w:rsidRPr="00846A59">
        <w:rPr>
          <w:rFonts w:ascii="Palatino Linotype" w:eastAsia="Calibri" w:hAnsi="Palatino Linotype" w:cs="Arial"/>
          <w:sz w:val="24"/>
          <w:lang w:val="es-ES"/>
        </w:rPr>
        <w:t xml:space="preserve">de la </w:t>
      </w:r>
      <w:r w:rsidRPr="00846A59">
        <w:rPr>
          <w:rFonts w:ascii="Palatino Linotype" w:eastAsia="Calibri" w:hAnsi="Palatino Linotype" w:cs="Arial"/>
          <w:b/>
          <w:sz w:val="24"/>
          <w:lang w:val="es-ES"/>
        </w:rPr>
        <w:t>Ley de Transparencia y Acceso a la Información Pública del Estado de México y Municipios</w:t>
      </w:r>
      <w:r w:rsidRPr="00846A59">
        <w:rPr>
          <w:rFonts w:ascii="Palatino Linotype" w:eastAsia="Calibri" w:hAnsi="Palatino Linotype" w:cs="Arial"/>
          <w:sz w:val="24"/>
          <w:lang w:val="es-ES"/>
        </w:rPr>
        <w:t xml:space="preserve">; y 7, 9 fracciones I y XXIV, y 11 del </w:t>
      </w:r>
      <w:r w:rsidRPr="00846A59">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846A59">
        <w:rPr>
          <w:rFonts w:ascii="Palatino Linotype" w:hAnsi="Palatino Linotype"/>
          <w:sz w:val="24"/>
        </w:rPr>
        <w:t>.</w:t>
      </w:r>
    </w:p>
    <w:p w14:paraId="6D296A9A" w14:textId="77777777" w:rsidR="005000AA" w:rsidRPr="00846A59" w:rsidRDefault="005000AA" w:rsidP="005000AA">
      <w:pPr>
        <w:pStyle w:val="Ttulo2"/>
        <w:rPr>
          <w:rFonts w:ascii="Palatino Linotype" w:hAnsi="Palatino Linotype"/>
          <w:b/>
          <w:color w:val="auto"/>
          <w:sz w:val="24"/>
          <w:szCs w:val="24"/>
        </w:rPr>
      </w:pPr>
      <w:bookmarkStart w:id="6" w:name="_Toc87549674"/>
      <w:r w:rsidRPr="00846A59">
        <w:rPr>
          <w:rFonts w:ascii="Palatino Linotype" w:hAnsi="Palatino Linotype"/>
          <w:b/>
          <w:color w:val="auto"/>
          <w:sz w:val="24"/>
          <w:szCs w:val="24"/>
        </w:rPr>
        <w:t>SEGUNDO. De la oportunidad y procedencia.</w:t>
      </w:r>
      <w:bookmarkEnd w:id="6"/>
    </w:p>
    <w:p w14:paraId="34A6A51D" w14:textId="77777777" w:rsidR="00DA420D" w:rsidRPr="00846A59" w:rsidRDefault="00DA420D" w:rsidP="00DA420D">
      <w:pPr>
        <w:rPr>
          <w:rFonts w:ascii="Palatino Linotype" w:hAnsi="Palatino Linotype"/>
        </w:rPr>
      </w:pPr>
    </w:p>
    <w:p w14:paraId="274F72F2" w14:textId="77777777" w:rsidR="001D2908" w:rsidRPr="00846A59"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846A59">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46A59">
        <w:rPr>
          <w:rFonts w:ascii="Palatino Linotype" w:eastAsia="Calibri" w:hAnsi="Palatino Linotype" w:cs="Arial"/>
          <w:b/>
          <w:sz w:val="24"/>
          <w:szCs w:val="24"/>
          <w:lang w:val="es-ES"/>
        </w:rPr>
        <w:t>SUJETO OBLIGADO</w:t>
      </w:r>
      <w:r w:rsidRPr="00846A59">
        <w:rPr>
          <w:rFonts w:ascii="Palatino Linotype" w:eastAsia="Calibri" w:hAnsi="Palatino Linotype" w:cs="Arial"/>
          <w:sz w:val="24"/>
          <w:szCs w:val="24"/>
          <w:lang w:val="es-ES"/>
        </w:rPr>
        <w:t xml:space="preserve"> para entregar la respuesta a una solicitud de información pública, es de quince días hábiles </w:t>
      </w:r>
      <w:r w:rsidRPr="00846A59">
        <w:rPr>
          <w:rFonts w:ascii="Palatino Linotype" w:eastAsia="Calibri" w:hAnsi="Palatino Linotype" w:cs="Arial"/>
          <w:sz w:val="24"/>
          <w:szCs w:val="24"/>
          <w:lang w:val="es-ES"/>
        </w:rPr>
        <w:lastRenderedPageBreak/>
        <w:t xml:space="preserve">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846A59"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846A59"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46A59">
        <w:rPr>
          <w:rFonts w:ascii="Palatino Linotype" w:eastAsia="Calibri" w:hAnsi="Palatino Linotype" w:cs="Arial"/>
          <w:sz w:val="24"/>
          <w:szCs w:val="24"/>
          <w:lang w:val="es-ES"/>
        </w:rPr>
        <w:t xml:space="preserve">Por ende, se constituye la figura jurídica de la </w:t>
      </w:r>
      <w:r w:rsidRPr="00846A59">
        <w:rPr>
          <w:rFonts w:ascii="Palatino Linotype" w:eastAsia="Calibri" w:hAnsi="Palatino Linotype" w:cs="Arial"/>
          <w:i/>
          <w:sz w:val="24"/>
          <w:szCs w:val="24"/>
          <w:lang w:val="es-ES"/>
        </w:rPr>
        <w:t>negativa ficta</w:t>
      </w:r>
      <w:r w:rsidRPr="00846A59">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46A59">
        <w:rPr>
          <w:rFonts w:ascii="Palatino Linotype" w:eastAsia="Calibri" w:hAnsi="Palatino Linotype" w:cs="Arial"/>
          <w:b/>
          <w:sz w:val="24"/>
          <w:szCs w:val="24"/>
          <w:lang w:val="es-ES"/>
        </w:rPr>
        <w:t>178</w:t>
      </w:r>
      <w:r w:rsidRPr="00846A59">
        <w:rPr>
          <w:rFonts w:ascii="Palatino Linotype" w:eastAsia="Calibri" w:hAnsi="Palatino Linotype" w:cs="Arial"/>
          <w:sz w:val="24"/>
          <w:szCs w:val="24"/>
          <w:lang w:val="es-ES"/>
        </w:rPr>
        <w:t xml:space="preserve"> segundo párrafo de </w:t>
      </w:r>
      <w:r w:rsidRPr="00846A59">
        <w:rPr>
          <w:rFonts w:ascii="Palatino Linotype" w:eastAsia="Calibri" w:hAnsi="Palatino Linotype" w:cs="Arial"/>
          <w:b/>
          <w:sz w:val="24"/>
          <w:szCs w:val="24"/>
          <w:lang w:val="es-ES"/>
        </w:rPr>
        <w:t>Ley de Transparencia y Acceso a la Información Pública del Estado de México y Municipios</w:t>
      </w:r>
      <w:r w:rsidRPr="00846A59">
        <w:rPr>
          <w:rFonts w:ascii="Palatino Linotype" w:eastAsia="Calibri" w:hAnsi="Palatino Linotype"/>
          <w:color w:val="000000"/>
          <w:sz w:val="24"/>
          <w:szCs w:val="24"/>
          <w:shd w:val="clear" w:color="auto" w:fill="FFFFFF"/>
        </w:rPr>
        <w:t xml:space="preserve">, que dispone; ante la falta de respuesta del </w:t>
      </w:r>
      <w:r w:rsidRPr="00846A59">
        <w:rPr>
          <w:rFonts w:ascii="Palatino Linotype" w:eastAsia="Calibri" w:hAnsi="Palatino Linotype"/>
          <w:b/>
          <w:color w:val="000000"/>
          <w:sz w:val="24"/>
          <w:szCs w:val="24"/>
          <w:shd w:val="clear" w:color="auto" w:fill="FFFFFF"/>
        </w:rPr>
        <w:t>SUJETO OBLIGADO,</w:t>
      </w:r>
      <w:r w:rsidRPr="00846A59">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46A59">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846A59"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846A59"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46A59">
        <w:rPr>
          <w:rFonts w:ascii="Palatino Linotype" w:eastAsia="Calibri" w:hAnsi="Palatino Linotype" w:cs="Arial"/>
          <w:sz w:val="24"/>
          <w:szCs w:val="24"/>
          <w:lang w:val="es-ES"/>
        </w:rPr>
        <w:t xml:space="preserve">Por lo que, tratándose de la </w:t>
      </w:r>
      <w:r w:rsidRPr="00846A59">
        <w:rPr>
          <w:rFonts w:ascii="Palatino Linotype" w:eastAsia="Calibri" w:hAnsi="Palatino Linotype" w:cs="Arial"/>
          <w:i/>
          <w:sz w:val="24"/>
          <w:szCs w:val="24"/>
          <w:lang w:val="es-ES"/>
        </w:rPr>
        <w:t>negativa ficta</w:t>
      </w:r>
      <w:r w:rsidRPr="00846A59">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846A59">
        <w:rPr>
          <w:rFonts w:ascii="Palatino Linotype" w:eastAsia="Calibri" w:hAnsi="Palatino Linotype" w:cs="Arial"/>
          <w:sz w:val="24"/>
          <w:szCs w:val="24"/>
          <w:lang w:val="es-ES"/>
        </w:rPr>
        <w:lastRenderedPageBreak/>
        <w:t xml:space="preserve">interposición del recurso de revisión en cualquier tiempo cuando exista </w:t>
      </w:r>
      <w:r w:rsidRPr="00846A59">
        <w:rPr>
          <w:rFonts w:ascii="Palatino Linotype" w:eastAsia="Calibri" w:hAnsi="Palatino Linotype" w:cs="Arial"/>
          <w:i/>
          <w:sz w:val="24"/>
          <w:szCs w:val="24"/>
          <w:lang w:val="es-ES"/>
        </w:rPr>
        <w:t>negativa ficta</w:t>
      </w:r>
      <w:r w:rsidRPr="00846A59">
        <w:rPr>
          <w:rFonts w:ascii="Palatino Linotype" w:eastAsia="Calibri" w:hAnsi="Palatino Linotype" w:cs="Arial"/>
          <w:sz w:val="24"/>
          <w:szCs w:val="24"/>
          <w:lang w:val="es-ES"/>
        </w:rPr>
        <w:t>, que señala:</w:t>
      </w:r>
    </w:p>
    <w:p w14:paraId="55C29071" w14:textId="77777777" w:rsidR="001D2908" w:rsidRPr="00846A59"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846A59">
        <w:rPr>
          <w:rFonts w:ascii="Palatino Linotype" w:eastAsia="Calibri" w:hAnsi="Palatino Linotype" w:cs="Arial"/>
          <w:b/>
          <w:sz w:val="22"/>
          <w:szCs w:val="24"/>
          <w:lang w:val="es-ES"/>
        </w:rPr>
        <w:t>Criterio 0001-15</w:t>
      </w:r>
    </w:p>
    <w:p w14:paraId="242C2AF3" w14:textId="77777777" w:rsidR="001D2908" w:rsidRPr="00846A59"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846A59">
        <w:rPr>
          <w:rFonts w:ascii="Palatino Linotype" w:eastAsia="Calibri" w:hAnsi="Palatino Linotype" w:cs="Arial"/>
          <w:b/>
          <w:i/>
          <w:sz w:val="22"/>
          <w:szCs w:val="24"/>
          <w:lang w:val="es-ES"/>
        </w:rPr>
        <w:t>NEGATIVA FICTA. PLAZO PARA INTERPONER EL RECURSO DE REVISIÓN TRATÁNDOSE DE.</w:t>
      </w:r>
      <w:r w:rsidRPr="00846A59">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846A59"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46A59">
        <w:rPr>
          <w:rFonts w:ascii="Palatino Linotype" w:hAnsi="Palatino Linotype" w:cs="Arial"/>
          <w:color w:val="000000" w:themeColor="text1"/>
          <w:sz w:val="24"/>
          <w:szCs w:val="24"/>
          <w:lang w:val="es-ES" w:eastAsia="es-MX"/>
        </w:rPr>
        <w:t xml:space="preserve">Lo anterior, se explica porque la </w:t>
      </w:r>
      <w:r w:rsidRPr="00846A59">
        <w:rPr>
          <w:rFonts w:ascii="Palatino Linotype" w:hAnsi="Palatino Linotype" w:cs="Arial"/>
          <w:b/>
          <w:color w:val="000000" w:themeColor="text1"/>
          <w:sz w:val="24"/>
          <w:szCs w:val="24"/>
          <w:u w:val="single"/>
          <w:lang w:val="es-ES" w:eastAsia="es-MX"/>
        </w:rPr>
        <w:t>posible ausencia</w:t>
      </w:r>
      <w:r w:rsidRPr="00846A59">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46A59">
        <w:rPr>
          <w:rFonts w:ascii="Palatino Linotype" w:hAnsi="Palatino Linotype" w:cs="Arial"/>
          <w:b/>
          <w:color w:val="000000" w:themeColor="text1"/>
          <w:sz w:val="24"/>
          <w:szCs w:val="24"/>
          <w:lang w:val="es-ES" w:eastAsia="es-MX"/>
        </w:rPr>
        <w:t>SUJETO OBLIGADO</w:t>
      </w:r>
      <w:r w:rsidRPr="00846A59">
        <w:rPr>
          <w:rFonts w:ascii="Palatino Linotype" w:hAnsi="Palatino Linotype" w:cs="Arial"/>
          <w:color w:val="000000" w:themeColor="text1"/>
          <w:sz w:val="24"/>
          <w:szCs w:val="24"/>
          <w:lang w:val="es-ES" w:eastAsia="es-MX"/>
        </w:rPr>
        <w:t>.</w:t>
      </w:r>
    </w:p>
    <w:p w14:paraId="4D3F58EB" w14:textId="77777777" w:rsidR="001D2908" w:rsidRPr="00846A59"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46A59">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846A59" w:rsidRDefault="005000AA" w:rsidP="005000AA">
      <w:pPr>
        <w:pStyle w:val="Ttulo1"/>
        <w:rPr>
          <w:rFonts w:ascii="Palatino Linotype" w:eastAsia="MS Mincho" w:hAnsi="Palatino Linotype" w:cs="Times New Roman"/>
          <w:b/>
          <w:color w:val="auto"/>
          <w:sz w:val="24"/>
          <w:szCs w:val="24"/>
        </w:rPr>
      </w:pPr>
      <w:r w:rsidRPr="00846A59">
        <w:rPr>
          <w:rFonts w:ascii="Palatino Linotype" w:hAnsi="Palatino Linotype"/>
          <w:b/>
          <w:color w:val="auto"/>
          <w:sz w:val="24"/>
          <w:szCs w:val="24"/>
        </w:rPr>
        <w:t>TERCERO. Planteamiento de la Litis</w:t>
      </w:r>
      <w:bookmarkEnd w:id="7"/>
      <w:r w:rsidRPr="00846A59">
        <w:rPr>
          <w:rFonts w:ascii="Palatino Linotype" w:hAnsi="Palatino Linotype"/>
          <w:b/>
          <w:color w:val="auto"/>
          <w:sz w:val="24"/>
          <w:szCs w:val="24"/>
        </w:rPr>
        <w:t xml:space="preserve"> </w:t>
      </w:r>
    </w:p>
    <w:p w14:paraId="3DACE4FE" w14:textId="696A2094" w:rsidR="00506B6B" w:rsidRPr="00846A59"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846A59">
        <w:rPr>
          <w:rFonts w:ascii="Palatino Linotype" w:hAnsi="Palatino Linotype"/>
          <w:bCs/>
          <w:sz w:val="24"/>
        </w:rPr>
        <w:t>El recurrente solicitó</w:t>
      </w:r>
      <w:r w:rsidR="00030C87" w:rsidRPr="00846A59">
        <w:rPr>
          <w:rFonts w:ascii="Palatino Linotype" w:hAnsi="Palatino Linotype"/>
          <w:bCs/>
          <w:sz w:val="24"/>
        </w:rPr>
        <w:t xml:space="preserve"> </w:t>
      </w:r>
      <w:r w:rsidR="00506B6B" w:rsidRPr="00846A59">
        <w:rPr>
          <w:rFonts w:ascii="Palatino Linotype" w:hAnsi="Palatino Linotype"/>
          <w:bCs/>
          <w:sz w:val="24"/>
        </w:rPr>
        <w:t>la siguiente información del Presidente Municipal del Ayuntamiento de Zinacantepec:</w:t>
      </w:r>
    </w:p>
    <w:p w14:paraId="2770CA99" w14:textId="77777777" w:rsidR="00506B6B" w:rsidRPr="00846A59" w:rsidRDefault="00506B6B" w:rsidP="00506B6B">
      <w:pPr>
        <w:pStyle w:val="Prrafodelista"/>
        <w:spacing w:line="360" w:lineRule="auto"/>
        <w:jc w:val="both"/>
        <w:rPr>
          <w:rFonts w:ascii="Palatino Linotype" w:hAnsi="Palatino Linotype"/>
        </w:rPr>
      </w:pPr>
    </w:p>
    <w:p w14:paraId="3A8CDB5B" w14:textId="3FE575C0" w:rsidR="00003855" w:rsidRPr="00846A59" w:rsidRDefault="00506B6B" w:rsidP="00506B6B">
      <w:pPr>
        <w:pStyle w:val="Prrafodelista"/>
        <w:numPr>
          <w:ilvl w:val="0"/>
          <w:numId w:val="13"/>
        </w:numPr>
        <w:spacing w:line="360" w:lineRule="auto"/>
        <w:jc w:val="both"/>
        <w:rPr>
          <w:rFonts w:ascii="Palatino Linotype" w:hAnsi="Palatino Linotype"/>
        </w:rPr>
      </w:pPr>
      <w:r w:rsidRPr="00846A59">
        <w:rPr>
          <w:rFonts w:ascii="Palatino Linotype" w:hAnsi="Palatino Linotype"/>
        </w:rPr>
        <w:t>Gafete de identificación de personal;</w:t>
      </w:r>
    </w:p>
    <w:p w14:paraId="3A5E2C2E" w14:textId="09525BEA" w:rsidR="00003855" w:rsidRPr="00846A59" w:rsidRDefault="00506B6B" w:rsidP="00506B6B">
      <w:pPr>
        <w:pStyle w:val="Prrafodelista"/>
        <w:numPr>
          <w:ilvl w:val="0"/>
          <w:numId w:val="13"/>
        </w:numPr>
        <w:spacing w:line="360" w:lineRule="auto"/>
        <w:ind w:right="567"/>
        <w:jc w:val="both"/>
        <w:rPr>
          <w:rFonts w:ascii="Palatino Linotype" w:hAnsi="Palatino Linotype"/>
        </w:rPr>
      </w:pPr>
      <w:r w:rsidRPr="00846A59">
        <w:rPr>
          <w:rFonts w:ascii="Palatino Linotype" w:hAnsi="Palatino Linotype"/>
        </w:rPr>
        <w:t>Informe de no antecedentes penales;</w:t>
      </w:r>
    </w:p>
    <w:p w14:paraId="5585AEE4" w14:textId="0CEB8699" w:rsidR="00003855" w:rsidRPr="00846A59" w:rsidRDefault="00506B6B" w:rsidP="00506B6B">
      <w:pPr>
        <w:pStyle w:val="Prrafodelista"/>
        <w:numPr>
          <w:ilvl w:val="0"/>
          <w:numId w:val="13"/>
        </w:numPr>
        <w:spacing w:line="360" w:lineRule="auto"/>
        <w:ind w:right="567"/>
        <w:jc w:val="both"/>
        <w:rPr>
          <w:rFonts w:ascii="Palatino Linotype" w:hAnsi="Palatino Linotype"/>
        </w:rPr>
      </w:pPr>
      <w:r w:rsidRPr="00846A59">
        <w:rPr>
          <w:rFonts w:ascii="Palatino Linotype" w:hAnsi="Palatino Linotype"/>
        </w:rPr>
        <w:t>Comprobante de identificación fiscal; y</w:t>
      </w:r>
    </w:p>
    <w:p w14:paraId="53FF58A6" w14:textId="3745D43A" w:rsidR="00003855" w:rsidRPr="00846A59" w:rsidRDefault="00506B6B" w:rsidP="00506B6B">
      <w:pPr>
        <w:pStyle w:val="Prrafodelista"/>
        <w:numPr>
          <w:ilvl w:val="0"/>
          <w:numId w:val="13"/>
        </w:numPr>
        <w:spacing w:line="360" w:lineRule="auto"/>
        <w:ind w:right="567"/>
        <w:jc w:val="both"/>
        <w:rPr>
          <w:rFonts w:ascii="Palatino Linotype" w:hAnsi="Palatino Linotype"/>
        </w:rPr>
      </w:pPr>
      <w:r w:rsidRPr="00846A59">
        <w:rPr>
          <w:rFonts w:ascii="Palatino Linotype" w:hAnsi="Palatino Linotype"/>
        </w:rPr>
        <w:t>Movimiento de alta del ISSEMyM.</w:t>
      </w:r>
    </w:p>
    <w:p w14:paraId="591A0962" w14:textId="77777777" w:rsidR="00506B6B" w:rsidRPr="00846A59" w:rsidRDefault="00506B6B" w:rsidP="00506B6B">
      <w:pPr>
        <w:pStyle w:val="Prrafodelista"/>
        <w:ind w:right="567"/>
        <w:jc w:val="both"/>
        <w:rPr>
          <w:rFonts w:ascii="Palatino Linotype" w:hAnsi="Palatino Linotype"/>
          <w:i/>
        </w:rPr>
      </w:pPr>
    </w:p>
    <w:p w14:paraId="289A2790" w14:textId="77777777" w:rsidR="00003855" w:rsidRPr="00846A59" w:rsidRDefault="00030C87" w:rsidP="0000385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846A59">
        <w:rPr>
          <w:rFonts w:ascii="Palatino Linotype" w:eastAsiaTheme="minorEastAsia" w:hAnsi="Palatino Linotype"/>
          <w:iCs/>
          <w:sz w:val="24"/>
          <w:lang w:val="es-ES_tradnl"/>
        </w:rPr>
        <w:t>El Sujeto Obligado</w:t>
      </w:r>
      <w:r w:rsidR="00601054" w:rsidRPr="00846A59">
        <w:rPr>
          <w:rFonts w:ascii="Palatino Linotype" w:eastAsiaTheme="minorEastAsia" w:hAnsi="Palatino Linotype"/>
          <w:iCs/>
          <w:sz w:val="24"/>
          <w:lang w:val="es-ES_tradnl"/>
        </w:rPr>
        <w:t xml:space="preserve"> </w:t>
      </w:r>
      <w:r w:rsidR="00B30557" w:rsidRPr="00846A59">
        <w:rPr>
          <w:rFonts w:ascii="Palatino Linotype" w:eastAsiaTheme="minorEastAsia" w:hAnsi="Palatino Linotype"/>
          <w:iCs/>
          <w:sz w:val="24"/>
          <w:lang w:val="es-ES_tradnl"/>
        </w:rPr>
        <w:t>no dio respuesta a las solicitudes.</w:t>
      </w:r>
    </w:p>
    <w:p w14:paraId="5ACAC9B4" w14:textId="77777777" w:rsidR="00003855" w:rsidRPr="00846A59" w:rsidRDefault="00003855" w:rsidP="0000385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6653142" w14:textId="3CEC92DC" w:rsidR="00B30557" w:rsidRPr="00846A59" w:rsidRDefault="00B30557" w:rsidP="00003855">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846A59">
        <w:rPr>
          <w:rFonts w:ascii="Palatino Linotype" w:eastAsiaTheme="minorEastAsia" w:hAnsi="Palatino Linotype" w:cs="Arial"/>
          <w:sz w:val="24"/>
          <w:lang w:val="es-ES_tradnl"/>
        </w:rPr>
        <w:t xml:space="preserve">Por lo tanto, el presente recurso de revisión se circunscribe en determinar si se </w:t>
      </w:r>
      <w:r w:rsidRPr="00846A59">
        <w:rPr>
          <w:rFonts w:ascii="Palatino Linotype" w:hAnsi="Palatino Linotype"/>
          <w:sz w:val="24"/>
          <w:lang w:val="es-ES_tradnl"/>
        </w:rPr>
        <w:t>actualiza las causales de procedencia</w:t>
      </w:r>
      <w:r w:rsidRPr="00846A59">
        <w:rPr>
          <w:rFonts w:ascii="Palatino Linotype" w:hAnsi="Palatino Linotype"/>
          <w:b/>
          <w:sz w:val="24"/>
          <w:lang w:val="es-ES_tradnl"/>
        </w:rPr>
        <w:t xml:space="preserve"> </w:t>
      </w:r>
      <w:r w:rsidRPr="00846A59">
        <w:rPr>
          <w:rFonts w:ascii="Palatino Linotype" w:hAnsi="Palatino Linotype" w:cs="Arial"/>
          <w:sz w:val="24"/>
          <w:lang w:val="es-ES_tradnl" w:eastAsia="es-MX"/>
        </w:rPr>
        <w:t xml:space="preserve">contenidas en </w:t>
      </w:r>
      <w:r w:rsidRPr="00846A59">
        <w:rPr>
          <w:rFonts w:ascii="Palatino Linotype" w:hAnsi="Palatino Linotype" w:cs="Arial"/>
          <w:sz w:val="24"/>
          <w:lang w:val="es-ES" w:eastAsia="es-MX"/>
        </w:rPr>
        <w:t>el artículo 179 fracciones V</w:t>
      </w:r>
      <w:r w:rsidR="008E2311" w:rsidRPr="00846A59">
        <w:rPr>
          <w:rFonts w:ascii="Palatino Linotype" w:hAnsi="Palatino Linotype" w:cs="Arial"/>
          <w:sz w:val="24"/>
          <w:lang w:val="es-ES" w:eastAsia="es-MX"/>
        </w:rPr>
        <w:t>II, relativo a la falta de respuesta,</w:t>
      </w:r>
      <w:r w:rsidRPr="00846A59">
        <w:rPr>
          <w:rFonts w:ascii="Palatino Linotype" w:hAnsi="Palatino Linotype" w:cs="Arial"/>
          <w:sz w:val="24"/>
          <w:lang w:val="es-ES" w:eastAsia="es-MX"/>
        </w:rPr>
        <w:t xml:space="preserve"> de la </w:t>
      </w:r>
      <w:r w:rsidRPr="00846A59">
        <w:rPr>
          <w:rFonts w:ascii="Palatino Linotype" w:eastAsia="Calibri" w:hAnsi="Palatino Linotype" w:cs="Arial"/>
          <w:b/>
          <w:sz w:val="24"/>
          <w:lang w:val="es-ES"/>
        </w:rPr>
        <w:t>Ley de Transparencia y Acceso a la Información Pública del Estado de México y Municipios</w:t>
      </w:r>
      <w:r w:rsidRPr="00846A59">
        <w:rPr>
          <w:rFonts w:ascii="Palatino Linotype" w:hAnsi="Palatino Linotype" w:cs="Arial"/>
          <w:sz w:val="24"/>
          <w:lang w:val="es-ES" w:eastAsia="es-MX"/>
        </w:rPr>
        <w:t>.</w:t>
      </w:r>
    </w:p>
    <w:p w14:paraId="7F7546DD" w14:textId="77777777" w:rsidR="00601054" w:rsidRPr="00846A59"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846A59"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846A59">
        <w:rPr>
          <w:rFonts w:ascii="Palatino Linotype" w:hAnsi="Palatino Linotype" w:cs="Arial"/>
          <w:b/>
          <w:color w:val="000000" w:themeColor="text1"/>
          <w:sz w:val="24"/>
          <w:szCs w:val="24"/>
        </w:rPr>
        <w:lastRenderedPageBreak/>
        <w:t>CUARTO. Estudio y Resolución del asunto.</w:t>
      </w:r>
      <w:bookmarkEnd w:id="8"/>
    </w:p>
    <w:p w14:paraId="221A5442" w14:textId="77777777" w:rsidR="00030C87" w:rsidRPr="00846A59"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846A59"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846A59">
        <w:rPr>
          <w:rFonts w:ascii="Palatino Linotype" w:hAnsi="Palatino Linotype"/>
          <w:b/>
          <w:bCs/>
          <w:color w:val="000000" w:themeColor="text1"/>
          <w:sz w:val="24"/>
        </w:rPr>
        <w:t>I. De la atención a la solicitud de información.</w:t>
      </w:r>
      <w:bookmarkEnd w:id="10"/>
    </w:p>
    <w:p w14:paraId="305E77F3" w14:textId="77777777" w:rsidR="00030C87" w:rsidRPr="00846A59"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846A59">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846A59" w:rsidRDefault="00030C87" w:rsidP="00030C87">
      <w:pPr>
        <w:rPr>
          <w:rFonts w:ascii="Palatino Linotype" w:hAnsi="Palatino Linotype"/>
          <w:sz w:val="24"/>
          <w:szCs w:val="24"/>
          <w:lang w:val="es-ES"/>
        </w:rPr>
      </w:pPr>
    </w:p>
    <w:p w14:paraId="4CE1B5E6" w14:textId="77777777" w:rsidR="00030C87" w:rsidRPr="00846A59"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846A59">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46A59">
        <w:rPr>
          <w:rFonts w:ascii="Palatino Linotype" w:hAnsi="Palatino Linotype" w:cs="Arial"/>
          <w:color w:val="000000"/>
          <w:sz w:val="24"/>
          <w:szCs w:val="24"/>
        </w:rPr>
        <w:t xml:space="preserve"> </w:t>
      </w:r>
      <w:r w:rsidRPr="00846A59">
        <w:rPr>
          <w:rFonts w:ascii="Palatino Linotype" w:hAnsi="Palatino Linotype" w:cs="Arial"/>
          <w:b/>
          <w:color w:val="000000"/>
          <w:sz w:val="24"/>
          <w:szCs w:val="24"/>
        </w:rPr>
        <w:t>SUJETO OBLIGADO</w:t>
      </w:r>
      <w:r w:rsidRPr="00846A59">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46A59">
        <w:rPr>
          <w:rFonts w:ascii="Palatino Linotype" w:hAnsi="Palatino Linotype" w:cs="Arial"/>
          <w:b/>
          <w:color w:val="000000"/>
          <w:sz w:val="24"/>
          <w:szCs w:val="24"/>
        </w:rPr>
        <w:t xml:space="preserve">Constitución Política de los Estados Unidos Mexicanos </w:t>
      </w:r>
      <w:r w:rsidRPr="00846A59">
        <w:rPr>
          <w:rFonts w:ascii="Palatino Linotype" w:hAnsi="Palatino Linotype" w:cs="Arial"/>
          <w:color w:val="000000"/>
          <w:sz w:val="24"/>
          <w:szCs w:val="24"/>
        </w:rPr>
        <w:t xml:space="preserve">al señalar la obligación de “promover, </w:t>
      </w:r>
      <w:r w:rsidRPr="00846A59">
        <w:rPr>
          <w:rFonts w:ascii="Palatino Linotype" w:hAnsi="Palatino Linotype" w:cs="Arial"/>
          <w:b/>
          <w:color w:val="000000"/>
          <w:sz w:val="24"/>
          <w:szCs w:val="24"/>
        </w:rPr>
        <w:t>respetar</w:t>
      </w:r>
      <w:r w:rsidRPr="00846A59">
        <w:rPr>
          <w:rFonts w:ascii="Palatino Linotype" w:hAnsi="Palatino Linotype" w:cs="Arial"/>
          <w:color w:val="000000"/>
          <w:sz w:val="24"/>
          <w:szCs w:val="24"/>
        </w:rPr>
        <w:t xml:space="preserve">, proteger y </w:t>
      </w:r>
      <w:r w:rsidRPr="00846A59">
        <w:rPr>
          <w:rFonts w:ascii="Palatino Linotype" w:hAnsi="Palatino Linotype" w:cs="Arial"/>
          <w:b/>
          <w:color w:val="000000"/>
          <w:sz w:val="24"/>
          <w:szCs w:val="24"/>
        </w:rPr>
        <w:t>garantizar</w:t>
      </w:r>
      <w:r w:rsidRPr="00846A59">
        <w:rPr>
          <w:rFonts w:ascii="Palatino Linotype" w:hAnsi="Palatino Linotype" w:cs="Arial"/>
          <w:color w:val="000000"/>
          <w:sz w:val="24"/>
          <w:szCs w:val="24"/>
        </w:rPr>
        <w:t xml:space="preserve"> los derechos humanos”, entre los cuales se encuentra dicho derecho. </w:t>
      </w:r>
    </w:p>
    <w:p w14:paraId="0A0C0F66" w14:textId="77777777" w:rsidR="00030C87" w:rsidRPr="00846A59"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846A5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846A59">
        <w:rPr>
          <w:rFonts w:ascii="Palatino Linotype" w:hAnsi="Palatino Linotype"/>
          <w:sz w:val="24"/>
          <w:szCs w:val="24"/>
        </w:rPr>
        <w:t xml:space="preserve">Definiendo el Derecho de Acceso a la Información Pública como: </w:t>
      </w:r>
      <w:r w:rsidRPr="00846A59">
        <w:rPr>
          <w:rFonts w:ascii="Palatino Linotype" w:hAnsi="Palatino Linotype"/>
          <w:i/>
          <w:color w:val="000000"/>
          <w:sz w:val="24"/>
          <w:szCs w:val="24"/>
        </w:rPr>
        <w:t>La igualdad de oportunidades para recibir, buscar e impartir información</w:t>
      </w:r>
      <w:r w:rsidRPr="00846A59">
        <w:rPr>
          <w:rFonts w:ascii="Palatino Linotype" w:hAnsi="Palatino Linotype"/>
          <w:i/>
          <w:color w:val="000000"/>
          <w:sz w:val="24"/>
          <w:szCs w:val="24"/>
          <w:vertAlign w:val="superscript"/>
        </w:rPr>
        <w:footnoteReference w:id="2"/>
      </w:r>
      <w:r w:rsidRPr="00846A59">
        <w:rPr>
          <w:rFonts w:ascii="Palatino Linotype" w:hAnsi="Palatino Linotype"/>
          <w:i/>
          <w:color w:val="000000"/>
          <w:sz w:val="24"/>
          <w:szCs w:val="24"/>
        </w:rPr>
        <w:t xml:space="preserve">en posesión de cualquier autoridad, entidad, órgano y organismo de los poderes Ejecutivo, Legislativo y Judicial, órganos autónomos, partidos políticos, fideicomisos y fondos públicos, así como de cualquier persona </w:t>
      </w:r>
      <w:r w:rsidRPr="00846A59">
        <w:rPr>
          <w:rFonts w:ascii="Palatino Linotype" w:hAnsi="Palatino Linotype"/>
          <w:i/>
          <w:color w:val="000000"/>
          <w:sz w:val="24"/>
          <w:szCs w:val="24"/>
        </w:rPr>
        <w:lastRenderedPageBreak/>
        <w:t>física, moral o sindicato que reciba y ejerza recursos públicos o realice actos de autoridad en el ámbito federal, estatal y municipal,</w:t>
      </w:r>
      <w:r w:rsidRPr="00846A59">
        <w:rPr>
          <w:rFonts w:ascii="Palatino Linotype" w:hAnsi="Palatino Linotype"/>
          <w:i/>
          <w:color w:val="000000"/>
          <w:sz w:val="24"/>
          <w:szCs w:val="24"/>
          <w:vertAlign w:val="superscript"/>
        </w:rPr>
        <w:footnoteReference w:id="3"/>
      </w:r>
      <w:r w:rsidRPr="00846A59">
        <w:rPr>
          <w:rFonts w:ascii="Palatino Linotype" w:hAnsi="Palatino Linotype"/>
          <w:color w:val="000000"/>
          <w:sz w:val="24"/>
          <w:szCs w:val="24"/>
        </w:rPr>
        <w:t>que se constituye como una herramienta fundamental para ejercer</w:t>
      </w:r>
      <w:r w:rsidRPr="00846A59">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846A59">
        <w:rPr>
          <w:rFonts w:ascii="Palatino Linotype" w:hAnsi="Palatino Linotype"/>
          <w:i/>
          <w:color w:val="000000"/>
          <w:sz w:val="24"/>
          <w:szCs w:val="24"/>
          <w:vertAlign w:val="superscript"/>
        </w:rPr>
        <w:footnoteReference w:id="4"/>
      </w:r>
      <w:r w:rsidRPr="00846A59">
        <w:rPr>
          <w:rFonts w:ascii="Palatino Linotype" w:hAnsi="Palatino Linotype"/>
          <w:color w:val="000000"/>
          <w:sz w:val="24"/>
          <w:szCs w:val="24"/>
        </w:rPr>
        <w:t>fomentando</w:t>
      </w:r>
      <w:r w:rsidRPr="00846A59">
        <w:rPr>
          <w:rFonts w:ascii="Palatino Linotype" w:hAnsi="Palatino Linotype"/>
          <w:i/>
          <w:color w:val="000000"/>
          <w:sz w:val="24"/>
          <w:szCs w:val="24"/>
        </w:rPr>
        <w:t xml:space="preserve"> la transparencia de las actividades estatales y </w:t>
      </w:r>
      <w:r w:rsidRPr="00846A59">
        <w:rPr>
          <w:rFonts w:ascii="Palatino Linotype" w:hAnsi="Palatino Linotype"/>
          <w:color w:val="000000"/>
          <w:sz w:val="24"/>
          <w:szCs w:val="24"/>
        </w:rPr>
        <w:t>promoviendo</w:t>
      </w:r>
      <w:r w:rsidRPr="00846A59">
        <w:rPr>
          <w:rFonts w:ascii="Palatino Linotype" w:hAnsi="Palatino Linotype"/>
          <w:i/>
          <w:color w:val="000000"/>
          <w:sz w:val="24"/>
          <w:szCs w:val="24"/>
        </w:rPr>
        <w:t xml:space="preserve"> la responsabilidad de los funcionarios sobre su gestión pública,</w:t>
      </w:r>
      <w:r w:rsidRPr="00846A59">
        <w:rPr>
          <w:rFonts w:ascii="Palatino Linotype" w:hAnsi="Palatino Linotype"/>
          <w:i/>
          <w:color w:val="000000"/>
          <w:sz w:val="24"/>
          <w:szCs w:val="24"/>
          <w:vertAlign w:val="superscript"/>
        </w:rPr>
        <w:footnoteReference w:id="5"/>
      </w:r>
      <w:r w:rsidRPr="00846A59">
        <w:rPr>
          <w:rFonts w:ascii="Palatino Linotype" w:hAnsi="Palatino Linotype"/>
          <w:color w:val="000000"/>
          <w:sz w:val="24"/>
          <w:szCs w:val="24"/>
        </w:rPr>
        <w:t>que permite</w:t>
      </w:r>
      <w:r w:rsidRPr="00846A59">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846A59" w:rsidRDefault="00030C87" w:rsidP="00030C87">
      <w:pPr>
        <w:tabs>
          <w:tab w:val="left" w:pos="284"/>
        </w:tabs>
        <w:contextualSpacing/>
        <w:rPr>
          <w:rFonts w:ascii="Palatino Linotype" w:hAnsi="Palatino Linotype"/>
          <w:sz w:val="24"/>
          <w:szCs w:val="24"/>
        </w:rPr>
      </w:pPr>
    </w:p>
    <w:p w14:paraId="581AF776" w14:textId="77777777" w:rsidR="00030C87" w:rsidRPr="00846A5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846A59">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846A59" w:rsidRDefault="00030C87" w:rsidP="00030C87">
      <w:pPr>
        <w:tabs>
          <w:tab w:val="left" w:pos="284"/>
        </w:tabs>
        <w:spacing w:before="240" w:after="240" w:line="360" w:lineRule="auto"/>
        <w:contextualSpacing/>
        <w:jc w:val="both"/>
        <w:rPr>
          <w:rFonts w:ascii="Palatino Linotype" w:hAnsi="Palatino Linotype"/>
          <w:i/>
          <w:sz w:val="24"/>
          <w:szCs w:val="24"/>
        </w:rPr>
      </w:pPr>
      <w:r w:rsidRPr="00846A59">
        <w:rPr>
          <w:rFonts w:ascii="Palatino Linotype" w:hAnsi="Palatino Linotype"/>
          <w:i/>
          <w:sz w:val="24"/>
          <w:szCs w:val="24"/>
        </w:rPr>
        <w:t xml:space="preserve"> </w:t>
      </w:r>
    </w:p>
    <w:p w14:paraId="5DB6B440" w14:textId="77777777" w:rsidR="00030C87" w:rsidRPr="00846A59"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846A59">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46A59">
        <w:rPr>
          <w:rFonts w:ascii="Palatino Linotype" w:hAnsi="Palatino Linotype" w:cs="Arial"/>
          <w:i/>
          <w:sz w:val="24"/>
          <w:szCs w:val="24"/>
        </w:rPr>
        <w:t xml:space="preserve">por los principios de simplicidad, rapidez gratuidad del procedimiento, auxilio y orientación a </w:t>
      </w:r>
      <w:r w:rsidRPr="00846A59">
        <w:rPr>
          <w:rFonts w:ascii="Palatino Linotype" w:hAnsi="Palatino Linotype" w:cs="Arial"/>
          <w:i/>
          <w:sz w:val="24"/>
          <w:szCs w:val="24"/>
        </w:rPr>
        <w:lastRenderedPageBreak/>
        <w:t>los particulares</w:t>
      </w:r>
      <w:r w:rsidRPr="00846A59">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846A59"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846A59"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846A59">
        <w:rPr>
          <w:rFonts w:ascii="Palatino Linotype" w:hAnsi="Palatino Linotype"/>
          <w:sz w:val="24"/>
          <w:szCs w:val="24"/>
        </w:rPr>
        <w:t xml:space="preserve">Es así que la </w:t>
      </w:r>
      <w:r w:rsidRPr="00846A59">
        <w:rPr>
          <w:rFonts w:ascii="Palatino Linotype" w:hAnsi="Palatino Linotype"/>
          <w:b/>
          <w:sz w:val="24"/>
          <w:szCs w:val="24"/>
        </w:rPr>
        <w:t xml:space="preserve">Ley de Transparencia y Acceso a la Información Pública del Estado de México y Municipios, </w:t>
      </w:r>
      <w:r w:rsidRPr="00846A59">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846A59">
        <w:rPr>
          <w:rFonts w:ascii="Palatino Linotype" w:hAnsi="Palatino Linotype"/>
          <w:b/>
          <w:sz w:val="24"/>
          <w:szCs w:val="24"/>
        </w:rPr>
        <w:t xml:space="preserve"> </w:t>
      </w:r>
      <w:r w:rsidRPr="00846A59">
        <w:rPr>
          <w:rFonts w:ascii="Palatino Linotype" w:hAnsi="Palatino Linotype"/>
          <w:sz w:val="24"/>
          <w:szCs w:val="24"/>
        </w:rPr>
        <w:t xml:space="preserve">establece que </w:t>
      </w:r>
      <w:r w:rsidRPr="00846A59">
        <w:rPr>
          <w:rFonts w:ascii="Palatino Linotype" w:hAnsi="Palatino Linotype"/>
          <w:b/>
          <w:i/>
          <w:sz w:val="24"/>
          <w:szCs w:val="24"/>
          <w:u w:val="single"/>
        </w:rPr>
        <w:t>el recurso de revisión es la garantía secundaria</w:t>
      </w:r>
      <w:r w:rsidRPr="00846A59">
        <w:rPr>
          <w:rFonts w:ascii="Palatino Linotype" w:hAnsi="Palatino Linotype"/>
          <w:b/>
          <w:i/>
          <w:sz w:val="24"/>
          <w:szCs w:val="24"/>
        </w:rPr>
        <w:t xml:space="preserve"> mediante la cual se pretende reparar cualquier posible afectación al derecho de acceso a la información pública</w:t>
      </w:r>
      <w:r w:rsidRPr="00846A59">
        <w:rPr>
          <w:rFonts w:ascii="Palatino Linotype" w:hAnsi="Palatino Linotype"/>
          <w:b/>
          <w:sz w:val="24"/>
          <w:szCs w:val="24"/>
        </w:rPr>
        <w:t>, s</w:t>
      </w:r>
      <w:r w:rsidRPr="00846A59">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846A59" w:rsidRDefault="00030C87" w:rsidP="00030C87">
      <w:pPr>
        <w:tabs>
          <w:tab w:val="left" w:pos="284"/>
        </w:tabs>
        <w:rPr>
          <w:rFonts w:ascii="Palatino Linotype" w:eastAsia="MS Mincho" w:hAnsi="Palatino Linotype" w:cs="Arial"/>
          <w:sz w:val="24"/>
          <w:szCs w:val="24"/>
        </w:rPr>
      </w:pPr>
    </w:p>
    <w:p w14:paraId="39AE54FA" w14:textId="77777777" w:rsidR="00030C87" w:rsidRPr="00846A59"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846A59">
        <w:rPr>
          <w:rFonts w:ascii="Palatino Linotype" w:eastAsia="Calibri" w:hAnsi="Palatino Linotype"/>
          <w:sz w:val="24"/>
          <w:szCs w:val="24"/>
        </w:rPr>
        <w:t xml:space="preserve">Establecido lo anterior, resulta evidente que las razones o motivos de inconformidad hechos valer en el recurso de revisión resultan </w:t>
      </w:r>
      <w:r w:rsidRPr="00846A59">
        <w:rPr>
          <w:rFonts w:ascii="Palatino Linotype" w:eastAsia="Calibri" w:hAnsi="Palatino Linotype"/>
          <w:b/>
          <w:sz w:val="24"/>
          <w:szCs w:val="24"/>
        </w:rPr>
        <w:t>fundadas y procedentes</w:t>
      </w:r>
      <w:r w:rsidRPr="00846A59">
        <w:rPr>
          <w:rFonts w:ascii="Palatino Linotype" w:eastAsia="Calibri" w:hAnsi="Palatino Linotype"/>
          <w:sz w:val="24"/>
          <w:szCs w:val="24"/>
        </w:rPr>
        <w:t xml:space="preserve">, debido a que el </w:t>
      </w:r>
      <w:r w:rsidRPr="00846A59">
        <w:rPr>
          <w:rFonts w:ascii="Palatino Linotype" w:eastAsia="Calibri" w:hAnsi="Palatino Linotype"/>
          <w:b/>
          <w:sz w:val="24"/>
          <w:szCs w:val="24"/>
        </w:rPr>
        <w:t>SUJETO OBLIGADO</w:t>
      </w:r>
      <w:r w:rsidRPr="00846A59">
        <w:rPr>
          <w:rFonts w:ascii="Palatino Linotype" w:eastAsia="Calibri" w:hAnsi="Palatino Linotype"/>
          <w:sz w:val="24"/>
          <w:szCs w:val="24"/>
        </w:rPr>
        <w:t xml:space="preserve"> proporcionó información que no corresponde con lo solicitado.</w:t>
      </w:r>
    </w:p>
    <w:p w14:paraId="6FFECD04" w14:textId="77777777" w:rsidR="00030C87" w:rsidRPr="00846A59"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846A59">
        <w:rPr>
          <w:rFonts w:ascii="Palatino Linotype" w:hAnsi="Palatino Linotype" w:cs="Arial"/>
          <w:sz w:val="24"/>
        </w:rPr>
        <w:t xml:space="preserve">Ahora bien, para entender los alcances de la información pública se considera importante citar el criterio </w:t>
      </w:r>
      <w:r w:rsidRPr="00846A59">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846A59">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846A59">
        <w:rPr>
          <w:rFonts w:ascii="Palatino Linotype" w:hAnsi="Palatino Linotype" w:cs="Arial"/>
          <w:sz w:val="24"/>
        </w:rPr>
        <w:t>cuyo rubro y texto dispone:</w:t>
      </w:r>
    </w:p>
    <w:p w14:paraId="1D0BF643" w14:textId="77777777" w:rsidR="00030C87" w:rsidRPr="00846A59"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846A59"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846A59">
        <w:rPr>
          <w:rFonts w:ascii="Palatino Linotype" w:hAnsi="Palatino Linotype" w:cs="Arial"/>
          <w:b/>
          <w:i/>
          <w:sz w:val="22"/>
          <w:szCs w:val="24"/>
          <w:lang w:eastAsia="es-MX"/>
        </w:rPr>
        <w:t>“CRITERIO 0002-11</w:t>
      </w:r>
    </w:p>
    <w:p w14:paraId="7F2E7637" w14:textId="77777777" w:rsidR="00030C87" w:rsidRPr="00846A5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846A59">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846A59">
        <w:rPr>
          <w:rFonts w:ascii="Palatino Linotype" w:hAnsi="Palatino Linotype" w:cs="Arial"/>
          <w:b/>
          <w:bCs/>
          <w:i/>
          <w:sz w:val="22"/>
          <w:szCs w:val="24"/>
          <w:lang w:eastAsia="es-MX"/>
        </w:rPr>
        <w:t xml:space="preserve">V, XV, Y XVI, </w:t>
      </w:r>
      <w:r w:rsidRPr="00846A59">
        <w:rPr>
          <w:rFonts w:ascii="Palatino Linotype" w:hAnsi="Palatino Linotype" w:cs="Arial"/>
          <w:b/>
          <w:i/>
          <w:sz w:val="22"/>
          <w:szCs w:val="24"/>
          <w:lang w:eastAsia="es-MX"/>
        </w:rPr>
        <w:t>3, 4,11 Y 41.</w:t>
      </w:r>
      <w:r w:rsidRPr="00846A59">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846A5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846A59">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846A5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846A59">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846A59"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846A59">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846A59" w:rsidRDefault="00030C87" w:rsidP="00030C87">
      <w:pPr>
        <w:ind w:left="567" w:right="567"/>
        <w:jc w:val="both"/>
        <w:rPr>
          <w:rFonts w:ascii="Palatino Linotype" w:hAnsi="Palatino Linotype" w:cs="Arial"/>
          <w:i/>
          <w:color w:val="000000" w:themeColor="text1"/>
          <w:sz w:val="22"/>
          <w:szCs w:val="24"/>
        </w:rPr>
      </w:pPr>
      <w:r w:rsidRPr="00846A59">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846A59"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846A59"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846A59">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846A59" w:rsidRDefault="00030C87" w:rsidP="00030C87">
      <w:pPr>
        <w:autoSpaceDE w:val="0"/>
        <w:autoSpaceDN w:val="0"/>
        <w:adjustRightInd w:val="0"/>
        <w:ind w:left="567" w:right="567"/>
        <w:jc w:val="both"/>
        <w:rPr>
          <w:rFonts w:ascii="Palatino Linotype" w:hAnsi="Palatino Linotype"/>
          <w:i/>
          <w:sz w:val="22"/>
          <w:szCs w:val="24"/>
          <w:lang w:val="es-ES"/>
        </w:rPr>
      </w:pPr>
      <w:r w:rsidRPr="00846A59">
        <w:rPr>
          <w:rFonts w:ascii="Palatino Linotype" w:eastAsiaTheme="minorHAnsi" w:hAnsi="Palatino Linotype" w:cs="Bookman Old Style,Bold"/>
          <w:b/>
          <w:bCs/>
          <w:i/>
          <w:sz w:val="22"/>
          <w:szCs w:val="24"/>
          <w:lang w:eastAsia="en-US"/>
        </w:rPr>
        <w:t xml:space="preserve">XI. Documento: </w:t>
      </w:r>
      <w:r w:rsidRPr="00846A59">
        <w:rPr>
          <w:rFonts w:ascii="Palatino Linotype" w:eastAsiaTheme="minorHAnsi" w:hAnsi="Palatino Linotype" w:cs="Bookman Old Style"/>
          <w:i/>
          <w:sz w:val="22"/>
          <w:szCs w:val="24"/>
          <w:lang w:eastAsia="en-US"/>
        </w:rPr>
        <w:t xml:space="preserve">Los expedientes, reportes, estudios, actas, resoluciones, </w:t>
      </w:r>
      <w:r w:rsidRPr="00846A59">
        <w:rPr>
          <w:rFonts w:ascii="Palatino Linotype" w:eastAsiaTheme="minorHAnsi" w:hAnsi="Palatino Linotype" w:cs="Bookman Old Style"/>
          <w:b/>
          <w:i/>
          <w:sz w:val="22"/>
          <w:szCs w:val="24"/>
          <w:lang w:eastAsia="en-US"/>
        </w:rPr>
        <w:t>oficios,</w:t>
      </w:r>
      <w:r w:rsidRPr="00846A59">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846A59">
        <w:rPr>
          <w:rFonts w:ascii="Palatino Linotype" w:eastAsiaTheme="minorHAnsi" w:hAnsi="Palatino Linotype" w:cs="Bookman Old Style"/>
          <w:b/>
          <w:i/>
          <w:sz w:val="22"/>
          <w:szCs w:val="24"/>
          <w:lang w:eastAsia="en-US"/>
        </w:rPr>
        <w:t>cualquier otro registro</w:t>
      </w:r>
      <w:r w:rsidRPr="00846A59">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04D2E8" w14:textId="77777777" w:rsidR="00030C87" w:rsidRPr="00846A5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6A59">
        <w:rPr>
          <w:rFonts w:ascii="Palatino Linotype" w:hAnsi="Palatino Linotype"/>
          <w:sz w:val="24"/>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846A59"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846A59"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846A59">
        <w:rPr>
          <w:rFonts w:ascii="Palatino Linotype" w:hAnsi="Palatino Linotype"/>
          <w:color w:val="000000" w:themeColor="text1"/>
          <w:sz w:val="24"/>
        </w:rPr>
        <w:t xml:space="preserve">Resulta necesario referir que, el </w:t>
      </w:r>
      <w:r w:rsidRPr="00846A59">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46A59">
        <w:rPr>
          <w:rFonts w:ascii="Palatino Linotype" w:eastAsia="Calibri" w:hAnsi="Palatino Linotype" w:cs="Arial"/>
          <w:b/>
          <w:sz w:val="24"/>
        </w:rPr>
        <w:t>los Sujetos Obligados deberán documentar todo acto que se derive del ejercicio de sus facultades, competencias o funciones,</w:t>
      </w:r>
      <w:r w:rsidRPr="00846A59">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846A59" w:rsidRDefault="00030C87" w:rsidP="00030C87">
      <w:pPr>
        <w:pStyle w:val="Prrafodelista"/>
        <w:rPr>
          <w:rFonts w:ascii="Palatino Linotype" w:eastAsia="Calibri" w:hAnsi="Palatino Linotype" w:cs="Arial"/>
          <w:sz w:val="24"/>
        </w:rPr>
      </w:pPr>
    </w:p>
    <w:p w14:paraId="05E2B4E9" w14:textId="77777777" w:rsidR="00030C87" w:rsidRPr="00846A59"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846A59">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846A59" w:rsidRDefault="00030C87" w:rsidP="00030C87">
      <w:pPr>
        <w:pStyle w:val="Prrafodelista"/>
        <w:spacing w:line="360" w:lineRule="auto"/>
        <w:rPr>
          <w:rFonts w:ascii="Palatino Linotype" w:hAnsi="Palatino Linotype" w:cs="Arial"/>
          <w:color w:val="000000"/>
          <w:sz w:val="24"/>
        </w:rPr>
      </w:pPr>
    </w:p>
    <w:p w14:paraId="56593512" w14:textId="77777777" w:rsidR="00030C87" w:rsidRPr="00846A59" w:rsidRDefault="00030C87" w:rsidP="00030C87">
      <w:pPr>
        <w:autoSpaceDE w:val="0"/>
        <w:autoSpaceDN w:val="0"/>
        <w:adjustRightInd w:val="0"/>
        <w:ind w:left="567" w:right="567"/>
        <w:jc w:val="both"/>
        <w:rPr>
          <w:rFonts w:ascii="Palatino Linotype" w:hAnsi="Palatino Linotype" w:cs="Bookman Old Style"/>
          <w:i/>
          <w:sz w:val="22"/>
          <w:szCs w:val="24"/>
        </w:rPr>
      </w:pPr>
      <w:r w:rsidRPr="00846A59">
        <w:rPr>
          <w:rFonts w:ascii="Palatino Linotype" w:hAnsi="Palatino Linotype" w:cs="Bookman Old Style,Bold"/>
          <w:b/>
          <w:bCs/>
          <w:i/>
          <w:sz w:val="22"/>
          <w:szCs w:val="24"/>
        </w:rPr>
        <w:t xml:space="preserve">Artículo 4. </w:t>
      </w:r>
      <w:r w:rsidRPr="00846A59">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846A59"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846A59" w:rsidRDefault="00030C87" w:rsidP="00030C87">
      <w:pPr>
        <w:autoSpaceDE w:val="0"/>
        <w:autoSpaceDN w:val="0"/>
        <w:adjustRightInd w:val="0"/>
        <w:ind w:left="567" w:right="567"/>
        <w:jc w:val="both"/>
        <w:rPr>
          <w:rFonts w:ascii="Palatino Linotype" w:hAnsi="Palatino Linotype" w:cs="Bookman Old Style"/>
          <w:i/>
          <w:sz w:val="22"/>
          <w:szCs w:val="24"/>
        </w:rPr>
      </w:pPr>
      <w:r w:rsidRPr="00846A59">
        <w:rPr>
          <w:rFonts w:ascii="Palatino Linotype" w:hAnsi="Palatino Linotype" w:cs="Bookman Old Style"/>
          <w:i/>
          <w:sz w:val="22"/>
          <w:szCs w:val="24"/>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846A59"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846A59" w:rsidRDefault="00030C87" w:rsidP="00030C87">
      <w:pPr>
        <w:autoSpaceDE w:val="0"/>
        <w:autoSpaceDN w:val="0"/>
        <w:adjustRightInd w:val="0"/>
        <w:ind w:left="567" w:right="567"/>
        <w:jc w:val="both"/>
        <w:rPr>
          <w:rFonts w:ascii="Palatino Linotype" w:hAnsi="Palatino Linotype" w:cs="Bookman Old Style"/>
          <w:i/>
          <w:sz w:val="22"/>
          <w:szCs w:val="24"/>
        </w:rPr>
      </w:pPr>
      <w:r w:rsidRPr="00846A59">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846A59"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846A59" w:rsidRDefault="00030C87" w:rsidP="00030C87">
      <w:pPr>
        <w:autoSpaceDE w:val="0"/>
        <w:autoSpaceDN w:val="0"/>
        <w:adjustRightInd w:val="0"/>
        <w:ind w:left="567" w:right="567"/>
        <w:jc w:val="both"/>
        <w:rPr>
          <w:rFonts w:ascii="Palatino Linotype" w:hAnsi="Palatino Linotype" w:cs="Bookman Old Style"/>
          <w:i/>
          <w:sz w:val="22"/>
          <w:szCs w:val="24"/>
        </w:rPr>
      </w:pPr>
      <w:r w:rsidRPr="00846A59">
        <w:rPr>
          <w:rFonts w:ascii="Palatino Linotype" w:hAnsi="Palatino Linotype" w:cs="Bookman Old Style,Bold"/>
          <w:b/>
          <w:bCs/>
          <w:i/>
          <w:sz w:val="22"/>
          <w:szCs w:val="24"/>
        </w:rPr>
        <w:t xml:space="preserve">Artículo 12. </w:t>
      </w:r>
      <w:r w:rsidRPr="00846A59">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846A59"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846A59" w:rsidRDefault="00030C87" w:rsidP="00030C87">
      <w:pPr>
        <w:autoSpaceDE w:val="0"/>
        <w:autoSpaceDN w:val="0"/>
        <w:adjustRightInd w:val="0"/>
        <w:ind w:left="567" w:right="567"/>
        <w:jc w:val="both"/>
        <w:rPr>
          <w:rFonts w:ascii="Palatino Linotype" w:hAnsi="Palatino Linotype" w:cs="Bookman Old Style"/>
          <w:b/>
          <w:i/>
          <w:sz w:val="22"/>
          <w:szCs w:val="24"/>
        </w:rPr>
      </w:pPr>
      <w:r w:rsidRPr="00846A59">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846A59">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846A59"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846A5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6A59">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46A59">
        <w:rPr>
          <w:rStyle w:val="Refdenotaalpie"/>
          <w:rFonts w:ascii="Palatino Linotype" w:hAnsi="Palatino Linotype"/>
          <w:sz w:val="24"/>
        </w:rPr>
        <w:footnoteReference w:id="6"/>
      </w:r>
      <w:r w:rsidRPr="00846A59">
        <w:rPr>
          <w:rFonts w:ascii="Palatino Linotype" w:hAnsi="Palatino Linotype"/>
          <w:sz w:val="24"/>
          <w:lang w:val="es-ES"/>
        </w:rPr>
        <w:t xml:space="preserve"> y máxima publicidad, sobre éste último se debe poner mayor énfasis, </w:t>
      </w:r>
      <w:r w:rsidRPr="00846A59">
        <w:rPr>
          <w:rFonts w:ascii="Palatino Linotype" w:hAnsi="Palatino Linotype"/>
          <w:sz w:val="24"/>
          <w:lang w:val="es-ES"/>
        </w:rPr>
        <w:lastRenderedPageBreak/>
        <w:t>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846A59"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846A5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6A59">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846A59" w:rsidRDefault="00030C87" w:rsidP="00030C87">
      <w:pPr>
        <w:pStyle w:val="Prrafodelista"/>
        <w:spacing w:line="360" w:lineRule="auto"/>
        <w:rPr>
          <w:rFonts w:ascii="Palatino Linotype" w:hAnsi="Palatino Linotype"/>
          <w:sz w:val="24"/>
          <w:lang w:val="es-ES"/>
        </w:rPr>
      </w:pPr>
    </w:p>
    <w:p w14:paraId="61DA40C6" w14:textId="77777777" w:rsidR="00030C87" w:rsidRPr="00846A59" w:rsidRDefault="00030C87" w:rsidP="00030C87">
      <w:pPr>
        <w:pStyle w:val="Prrafodelista"/>
        <w:tabs>
          <w:tab w:val="left" w:pos="851"/>
        </w:tabs>
        <w:ind w:left="567" w:right="567"/>
        <w:jc w:val="both"/>
        <w:rPr>
          <w:rFonts w:ascii="Palatino Linotype" w:hAnsi="Palatino Linotype"/>
          <w:i/>
        </w:rPr>
      </w:pPr>
      <w:r w:rsidRPr="00846A59">
        <w:rPr>
          <w:rFonts w:ascii="Palatino Linotype" w:hAnsi="Palatino Linotype"/>
          <w:b/>
          <w:i/>
        </w:rPr>
        <w:t>ACCESO A LA INFORMACIÓN. IMPLICACIÓN DEL PRINCIPIO DE MÁXIMA PUBLICIDAD EN EL DERECHO FUNDAMENTAL RELATIVO.</w:t>
      </w:r>
      <w:r w:rsidRPr="00846A5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w:t>
      </w:r>
      <w:r w:rsidRPr="00846A59">
        <w:rPr>
          <w:rFonts w:ascii="Palatino Linotype" w:hAnsi="Palatino Linotype"/>
          <w:i/>
        </w:rPr>
        <w:lastRenderedPageBreak/>
        <w:t xml:space="preserve">justificados bajo determinadas circunstancias, se podrá clasificar como confidencial o reservada, esto es, considerarla con una calidad diversa. </w:t>
      </w:r>
    </w:p>
    <w:p w14:paraId="0CF3C9F8" w14:textId="77777777" w:rsidR="00030C87" w:rsidRPr="00846A59"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846A59" w:rsidRDefault="00030C87" w:rsidP="00030C87">
      <w:pPr>
        <w:pStyle w:val="Prrafodelista"/>
        <w:tabs>
          <w:tab w:val="left" w:pos="851"/>
        </w:tabs>
        <w:ind w:left="567" w:right="567"/>
        <w:jc w:val="both"/>
        <w:rPr>
          <w:rFonts w:ascii="Palatino Linotype" w:hAnsi="Palatino Linotype"/>
          <w:i/>
        </w:rPr>
      </w:pPr>
      <w:r w:rsidRPr="00846A59">
        <w:rPr>
          <w:rFonts w:ascii="Palatino Linotype" w:hAnsi="Palatino Linotype"/>
          <w:i/>
        </w:rPr>
        <w:t xml:space="preserve">CUARTO TRIBUNAL COLEGIADO EN MATERIA ADMINISTRATIVA DEL PRIMER CIRCUITO. </w:t>
      </w:r>
    </w:p>
    <w:p w14:paraId="009F6F6E" w14:textId="77777777" w:rsidR="00030C87" w:rsidRPr="00846A59"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846A59" w:rsidRDefault="00030C87" w:rsidP="00030C87">
      <w:pPr>
        <w:pStyle w:val="Prrafodelista"/>
        <w:tabs>
          <w:tab w:val="left" w:pos="851"/>
        </w:tabs>
        <w:ind w:left="567" w:right="567"/>
        <w:jc w:val="both"/>
        <w:rPr>
          <w:rFonts w:ascii="Palatino Linotype" w:hAnsi="Palatino Linotype"/>
          <w:i/>
        </w:rPr>
      </w:pPr>
      <w:r w:rsidRPr="00846A59">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846A59"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846A59"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846A59">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846A59"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846A59"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846A59">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846A59" w:rsidRDefault="00F05CCB" w:rsidP="00F05CCB">
      <w:pPr>
        <w:pStyle w:val="Prrafodelista"/>
        <w:rPr>
          <w:rFonts w:ascii="Palatino Linotype" w:hAnsi="Palatino Linotype" w:cs="Arial"/>
          <w:sz w:val="24"/>
          <w:lang w:eastAsia="es-MX"/>
        </w:rPr>
      </w:pPr>
    </w:p>
    <w:p w14:paraId="77562420"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b/>
          <w:i/>
          <w:sz w:val="22"/>
          <w:szCs w:val="24"/>
        </w:rPr>
        <w:t>“Artículo 6o.</w:t>
      </w:r>
      <w:r w:rsidRPr="00846A59">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46A59">
        <w:rPr>
          <w:rFonts w:ascii="Palatino Linotype" w:hAnsi="Palatino Linotype" w:cs="Arial"/>
          <w:b/>
          <w:i/>
          <w:sz w:val="22"/>
          <w:szCs w:val="24"/>
        </w:rPr>
        <w:t>El derecho a la información será garantizado por el Estado.</w:t>
      </w:r>
      <w:r w:rsidRPr="00846A59">
        <w:rPr>
          <w:rFonts w:ascii="Palatino Linotype" w:hAnsi="Palatino Linotype" w:cs="Arial"/>
          <w:i/>
          <w:sz w:val="22"/>
          <w:szCs w:val="24"/>
        </w:rPr>
        <w:t xml:space="preserve"> </w:t>
      </w:r>
    </w:p>
    <w:p w14:paraId="3EB4E778" w14:textId="77777777" w:rsidR="00030C87" w:rsidRPr="00846A59" w:rsidRDefault="00030C87" w:rsidP="00030C87">
      <w:pPr>
        <w:ind w:left="567" w:right="567"/>
        <w:jc w:val="both"/>
        <w:rPr>
          <w:rFonts w:ascii="Palatino Linotype" w:hAnsi="Palatino Linotype" w:cs="Arial"/>
          <w:i/>
          <w:sz w:val="22"/>
          <w:szCs w:val="24"/>
        </w:rPr>
      </w:pPr>
    </w:p>
    <w:p w14:paraId="3D20CC92"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846A59" w:rsidRDefault="00030C87" w:rsidP="00030C87">
      <w:pPr>
        <w:ind w:left="567" w:right="567"/>
        <w:jc w:val="both"/>
        <w:rPr>
          <w:rFonts w:ascii="Palatino Linotype" w:hAnsi="Palatino Linotype" w:cs="Arial"/>
          <w:i/>
          <w:sz w:val="22"/>
          <w:szCs w:val="24"/>
        </w:rPr>
      </w:pPr>
    </w:p>
    <w:p w14:paraId="08FD9951"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Para efectos de lo dispuesto en el presente artículo se observará lo siguiente:</w:t>
      </w:r>
    </w:p>
    <w:p w14:paraId="03EF769F" w14:textId="77777777" w:rsidR="00030C87" w:rsidRPr="00846A59" w:rsidRDefault="00030C87" w:rsidP="00030C87">
      <w:pPr>
        <w:ind w:left="567" w:right="567"/>
        <w:jc w:val="both"/>
        <w:rPr>
          <w:rFonts w:ascii="Palatino Linotype" w:hAnsi="Palatino Linotype" w:cs="Arial"/>
          <w:i/>
          <w:sz w:val="22"/>
          <w:szCs w:val="24"/>
        </w:rPr>
      </w:pPr>
    </w:p>
    <w:p w14:paraId="14A65C19"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lastRenderedPageBreak/>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846A59" w:rsidRDefault="00030C87" w:rsidP="00030C87">
      <w:pPr>
        <w:ind w:left="567" w:right="567"/>
        <w:jc w:val="both"/>
        <w:rPr>
          <w:rFonts w:ascii="Palatino Linotype" w:hAnsi="Palatino Linotype" w:cs="Arial"/>
          <w:b/>
          <w:i/>
          <w:sz w:val="22"/>
          <w:szCs w:val="24"/>
        </w:rPr>
      </w:pPr>
    </w:p>
    <w:p w14:paraId="112C9C1C"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b/>
          <w:i/>
          <w:sz w:val="22"/>
          <w:szCs w:val="24"/>
        </w:rPr>
        <w:t>I. Toda la información en posesión de</w:t>
      </w:r>
      <w:r w:rsidRPr="00846A59">
        <w:rPr>
          <w:rFonts w:ascii="Palatino Linotype" w:hAnsi="Palatino Linotype" w:cs="Arial"/>
          <w:i/>
          <w:sz w:val="22"/>
          <w:szCs w:val="24"/>
        </w:rPr>
        <w:t xml:space="preserve"> </w:t>
      </w:r>
      <w:r w:rsidRPr="00846A59">
        <w:rPr>
          <w:rFonts w:ascii="Palatino Linotype" w:hAnsi="Palatino Linotype" w:cs="Arial"/>
          <w:b/>
          <w:i/>
          <w:sz w:val="22"/>
          <w:szCs w:val="24"/>
        </w:rPr>
        <w:t>cualquier autoridad</w:t>
      </w:r>
      <w:r w:rsidRPr="00846A59">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46A59">
        <w:rPr>
          <w:rFonts w:ascii="Palatino Linotype" w:hAnsi="Palatino Linotype" w:cs="Arial"/>
          <w:b/>
          <w:i/>
          <w:sz w:val="22"/>
          <w:szCs w:val="24"/>
        </w:rPr>
        <w:t>es pública</w:t>
      </w:r>
      <w:r w:rsidRPr="00846A59">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846A59">
        <w:rPr>
          <w:rFonts w:ascii="Palatino Linotype" w:hAnsi="Palatino Linotype" w:cs="Arial"/>
          <w:b/>
          <w:i/>
          <w:sz w:val="22"/>
          <w:szCs w:val="24"/>
        </w:rPr>
        <w:t>Los sujetos obligados deberán documentar todo acto que derive del ejercicio de sus facultades, competencias o funciones</w:t>
      </w:r>
      <w:r w:rsidRPr="00846A59">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846A59" w:rsidRDefault="00030C87" w:rsidP="00030C87">
      <w:pPr>
        <w:ind w:left="567" w:right="567"/>
        <w:jc w:val="both"/>
        <w:rPr>
          <w:rFonts w:ascii="Palatino Linotype" w:hAnsi="Palatino Linotype" w:cs="Arial"/>
          <w:i/>
          <w:sz w:val="22"/>
          <w:szCs w:val="24"/>
        </w:rPr>
      </w:pPr>
    </w:p>
    <w:p w14:paraId="4461DD7B"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846A59" w:rsidRDefault="00030C87" w:rsidP="00030C87">
      <w:pPr>
        <w:ind w:left="567" w:right="567"/>
        <w:jc w:val="both"/>
        <w:rPr>
          <w:rFonts w:ascii="Palatino Linotype" w:hAnsi="Palatino Linotype" w:cs="Arial"/>
          <w:i/>
          <w:sz w:val="22"/>
          <w:szCs w:val="24"/>
        </w:rPr>
      </w:pPr>
    </w:p>
    <w:p w14:paraId="6F24C83A"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846A59" w:rsidRDefault="00030C87" w:rsidP="00030C87">
      <w:pPr>
        <w:ind w:left="567" w:right="567"/>
        <w:jc w:val="both"/>
        <w:rPr>
          <w:rFonts w:ascii="Palatino Linotype" w:hAnsi="Palatino Linotype" w:cs="Arial"/>
          <w:i/>
          <w:sz w:val="22"/>
          <w:szCs w:val="24"/>
        </w:rPr>
      </w:pPr>
    </w:p>
    <w:p w14:paraId="4C57B4BB"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846A59" w:rsidRDefault="00030C87" w:rsidP="00030C87">
      <w:pPr>
        <w:ind w:left="567" w:right="567"/>
        <w:jc w:val="both"/>
        <w:rPr>
          <w:rFonts w:ascii="Palatino Linotype" w:hAnsi="Palatino Linotype" w:cs="Arial"/>
          <w:b/>
          <w:i/>
          <w:sz w:val="22"/>
          <w:szCs w:val="24"/>
        </w:rPr>
      </w:pPr>
    </w:p>
    <w:p w14:paraId="066AD9C7"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846A59">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846A59" w:rsidRDefault="00030C87" w:rsidP="00030C87">
      <w:pPr>
        <w:ind w:left="567" w:right="567"/>
        <w:jc w:val="both"/>
        <w:rPr>
          <w:rFonts w:ascii="Palatino Linotype" w:hAnsi="Palatino Linotype" w:cs="Arial"/>
          <w:i/>
          <w:sz w:val="22"/>
          <w:szCs w:val="24"/>
        </w:rPr>
      </w:pPr>
    </w:p>
    <w:p w14:paraId="1E17B65C"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846A59" w:rsidRDefault="00030C87" w:rsidP="00030C87">
      <w:pPr>
        <w:ind w:left="567" w:right="567"/>
        <w:jc w:val="both"/>
        <w:rPr>
          <w:rFonts w:ascii="Palatino Linotype" w:hAnsi="Palatino Linotype" w:cs="Arial"/>
          <w:i/>
          <w:sz w:val="22"/>
          <w:szCs w:val="24"/>
        </w:rPr>
      </w:pPr>
    </w:p>
    <w:p w14:paraId="4FF2A70D"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lastRenderedPageBreak/>
        <w:t>VII. La inobservancia a las disposiciones en materia de acceso a la información pública será sancionada en los términos que dispongan las leyes.</w:t>
      </w:r>
    </w:p>
    <w:p w14:paraId="2AFF8068" w14:textId="77777777" w:rsidR="00030C87" w:rsidRPr="00846A59" w:rsidRDefault="00030C87" w:rsidP="00030C87">
      <w:pPr>
        <w:ind w:left="567" w:right="567"/>
        <w:jc w:val="both"/>
        <w:rPr>
          <w:rFonts w:ascii="Palatino Linotype" w:hAnsi="Palatino Linotype" w:cs="Arial"/>
          <w:i/>
          <w:sz w:val="22"/>
          <w:szCs w:val="24"/>
        </w:rPr>
      </w:pPr>
    </w:p>
    <w:p w14:paraId="26EDD1BA"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w:t>
      </w:r>
    </w:p>
    <w:p w14:paraId="13700958"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cs="Arial"/>
          <w:i/>
          <w:sz w:val="22"/>
          <w:szCs w:val="24"/>
        </w:rPr>
        <w:t>La ley establecerá aquella información que se considere reservada o confidencial.”</w:t>
      </w:r>
    </w:p>
    <w:p w14:paraId="4C2320CD" w14:textId="77777777" w:rsidR="00030C87" w:rsidRPr="00846A59" w:rsidRDefault="00030C87" w:rsidP="00030C87">
      <w:pPr>
        <w:ind w:left="567" w:right="567"/>
        <w:jc w:val="both"/>
        <w:rPr>
          <w:rFonts w:ascii="Palatino Linotype" w:hAnsi="Palatino Linotype"/>
          <w:i/>
          <w:sz w:val="22"/>
          <w:szCs w:val="24"/>
        </w:rPr>
      </w:pPr>
    </w:p>
    <w:p w14:paraId="7AAE3C46"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i/>
          <w:sz w:val="22"/>
          <w:szCs w:val="24"/>
        </w:rPr>
        <w:t>(Énfasis añadido)</w:t>
      </w:r>
    </w:p>
    <w:p w14:paraId="094B478A" w14:textId="77777777" w:rsidR="00030C87" w:rsidRPr="00846A59" w:rsidRDefault="00030C87" w:rsidP="00030C87">
      <w:pPr>
        <w:spacing w:line="360" w:lineRule="auto"/>
        <w:ind w:left="709" w:right="757"/>
        <w:jc w:val="both"/>
        <w:rPr>
          <w:rFonts w:ascii="Palatino Linotype" w:hAnsi="Palatino Linotype"/>
          <w:sz w:val="24"/>
          <w:szCs w:val="24"/>
        </w:rPr>
      </w:pPr>
    </w:p>
    <w:p w14:paraId="28042139" w14:textId="77777777" w:rsidR="00030C87" w:rsidRPr="00846A5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846A59">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846A59" w:rsidRDefault="00030C87" w:rsidP="00030C87">
      <w:pPr>
        <w:ind w:left="567" w:right="567"/>
        <w:jc w:val="both"/>
        <w:rPr>
          <w:rFonts w:ascii="Palatino Linotype" w:hAnsi="Palatino Linotype" w:cs="Arial"/>
          <w:b/>
          <w:i/>
          <w:sz w:val="22"/>
          <w:szCs w:val="24"/>
        </w:rPr>
      </w:pPr>
      <w:r w:rsidRPr="00846A59">
        <w:rPr>
          <w:rFonts w:ascii="Palatino Linotype" w:hAnsi="Palatino Linotype" w:cs="Arial"/>
          <w:b/>
          <w:i/>
          <w:sz w:val="22"/>
          <w:szCs w:val="24"/>
        </w:rPr>
        <w:t xml:space="preserve">“Artículo 5. … </w:t>
      </w:r>
    </w:p>
    <w:p w14:paraId="00605BD5"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b/>
          <w:i/>
          <w:sz w:val="22"/>
          <w:szCs w:val="24"/>
        </w:rPr>
        <w:t>El derecho a la información será garantizado por el Estado</w:t>
      </w:r>
      <w:r w:rsidRPr="00846A59">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846A59" w:rsidRDefault="00030C87" w:rsidP="00030C87">
      <w:pPr>
        <w:ind w:left="567" w:right="567"/>
        <w:jc w:val="both"/>
        <w:rPr>
          <w:rFonts w:ascii="Palatino Linotype" w:hAnsi="Palatino Linotype"/>
          <w:i/>
          <w:sz w:val="22"/>
          <w:szCs w:val="24"/>
        </w:rPr>
      </w:pPr>
    </w:p>
    <w:p w14:paraId="61341A61"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i/>
          <w:sz w:val="22"/>
          <w:szCs w:val="24"/>
        </w:rPr>
        <w:t>Este derecho se regirá por los principios y bases siguientes:</w:t>
      </w:r>
    </w:p>
    <w:p w14:paraId="26E4D920" w14:textId="77777777" w:rsidR="00030C87" w:rsidRPr="00846A59" w:rsidRDefault="00030C87" w:rsidP="00030C87">
      <w:pPr>
        <w:ind w:left="567" w:right="567"/>
        <w:jc w:val="both"/>
        <w:rPr>
          <w:rFonts w:ascii="Palatino Linotype" w:hAnsi="Palatino Linotype"/>
          <w:b/>
          <w:i/>
          <w:sz w:val="22"/>
          <w:szCs w:val="24"/>
        </w:rPr>
      </w:pPr>
    </w:p>
    <w:p w14:paraId="346A6AF4"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b/>
          <w:i/>
          <w:sz w:val="22"/>
          <w:szCs w:val="24"/>
        </w:rPr>
        <w:t xml:space="preserve">I. Toda la información en posesión </w:t>
      </w:r>
      <w:r w:rsidRPr="00846A59">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846A59">
        <w:rPr>
          <w:rFonts w:ascii="Palatino Linotype" w:hAnsi="Palatino Linotype"/>
          <w:b/>
          <w:i/>
          <w:sz w:val="22"/>
          <w:szCs w:val="24"/>
        </w:rPr>
        <w:t>del gobierno y de la administración pública municipal y sus organismos descentralizados</w:t>
      </w:r>
      <w:r w:rsidRPr="00846A59">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846A59">
        <w:rPr>
          <w:rFonts w:ascii="Palatino Linotype" w:hAnsi="Palatino Linotype"/>
          <w:b/>
          <w:i/>
          <w:sz w:val="22"/>
          <w:szCs w:val="24"/>
        </w:rPr>
        <w:t>es pública</w:t>
      </w:r>
      <w:r w:rsidRPr="00846A59">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w:t>
      </w:r>
      <w:r w:rsidRPr="00846A59">
        <w:rPr>
          <w:rFonts w:ascii="Palatino Linotype" w:hAnsi="Palatino Linotype"/>
          <w:i/>
          <w:sz w:val="22"/>
          <w:szCs w:val="24"/>
        </w:rPr>
        <w:lastRenderedPageBreak/>
        <w:t>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846A59" w:rsidRDefault="00030C87" w:rsidP="00030C87">
      <w:pPr>
        <w:ind w:left="567" w:right="567"/>
        <w:jc w:val="both"/>
        <w:rPr>
          <w:rFonts w:ascii="Palatino Linotype" w:hAnsi="Palatino Linotype"/>
          <w:i/>
          <w:sz w:val="22"/>
          <w:szCs w:val="24"/>
        </w:rPr>
      </w:pPr>
    </w:p>
    <w:p w14:paraId="20B1EFF1"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846A59" w:rsidRDefault="00030C87" w:rsidP="00030C87">
      <w:pPr>
        <w:ind w:left="567" w:right="567"/>
        <w:jc w:val="both"/>
        <w:rPr>
          <w:rFonts w:ascii="Palatino Linotype" w:hAnsi="Palatino Linotype"/>
          <w:i/>
          <w:sz w:val="22"/>
          <w:szCs w:val="24"/>
        </w:rPr>
      </w:pPr>
    </w:p>
    <w:p w14:paraId="18DFC536"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846A59" w:rsidRDefault="00030C87" w:rsidP="00030C87">
      <w:pPr>
        <w:ind w:left="567" w:right="567"/>
        <w:jc w:val="both"/>
        <w:rPr>
          <w:rFonts w:ascii="Palatino Linotype" w:hAnsi="Palatino Linotype"/>
          <w:i/>
          <w:sz w:val="22"/>
          <w:szCs w:val="24"/>
        </w:rPr>
      </w:pPr>
    </w:p>
    <w:p w14:paraId="425DEE4D"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846A59" w:rsidRDefault="00030C87" w:rsidP="00030C87">
      <w:pPr>
        <w:ind w:left="567" w:right="567"/>
        <w:jc w:val="both"/>
        <w:rPr>
          <w:rFonts w:ascii="Palatino Linotype" w:hAnsi="Palatino Linotype"/>
          <w:i/>
          <w:sz w:val="22"/>
          <w:szCs w:val="24"/>
        </w:rPr>
      </w:pPr>
    </w:p>
    <w:p w14:paraId="1663E6EE"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846A59" w:rsidRDefault="00030C87" w:rsidP="00030C87">
      <w:pPr>
        <w:ind w:left="567" w:right="567"/>
        <w:jc w:val="both"/>
        <w:rPr>
          <w:rFonts w:ascii="Palatino Linotype" w:hAnsi="Palatino Linotype"/>
          <w:b/>
          <w:i/>
          <w:sz w:val="22"/>
          <w:szCs w:val="24"/>
        </w:rPr>
      </w:pPr>
    </w:p>
    <w:p w14:paraId="19D0DC39" w14:textId="77777777" w:rsidR="00030C87" w:rsidRPr="00846A59" w:rsidRDefault="00030C87" w:rsidP="00030C87">
      <w:pPr>
        <w:ind w:left="567" w:right="567"/>
        <w:jc w:val="both"/>
        <w:rPr>
          <w:rFonts w:ascii="Palatino Linotype" w:hAnsi="Palatino Linotype"/>
          <w:i/>
          <w:sz w:val="22"/>
          <w:szCs w:val="24"/>
        </w:rPr>
      </w:pPr>
      <w:r w:rsidRPr="00846A59">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846A59">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846A59" w:rsidRDefault="00030C87" w:rsidP="00030C87">
      <w:pPr>
        <w:ind w:left="567" w:right="567"/>
        <w:jc w:val="both"/>
        <w:rPr>
          <w:rFonts w:ascii="Palatino Linotype" w:hAnsi="Palatino Linotype"/>
          <w:i/>
          <w:sz w:val="22"/>
          <w:szCs w:val="24"/>
        </w:rPr>
      </w:pPr>
    </w:p>
    <w:p w14:paraId="363F898A" w14:textId="77777777" w:rsidR="00030C87" w:rsidRPr="00846A59" w:rsidRDefault="00030C87" w:rsidP="00030C87">
      <w:pPr>
        <w:ind w:left="567" w:right="567"/>
        <w:jc w:val="both"/>
        <w:rPr>
          <w:rFonts w:ascii="Palatino Linotype" w:hAnsi="Palatino Linotype" w:cs="Arial"/>
          <w:i/>
          <w:sz w:val="22"/>
          <w:szCs w:val="24"/>
        </w:rPr>
      </w:pPr>
      <w:r w:rsidRPr="00846A59">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846A59" w:rsidRDefault="00030C87" w:rsidP="00030C87">
      <w:pPr>
        <w:ind w:left="567" w:right="567"/>
        <w:jc w:val="both"/>
        <w:rPr>
          <w:rFonts w:ascii="Palatino Linotype" w:hAnsi="Palatino Linotype"/>
          <w:sz w:val="22"/>
          <w:szCs w:val="24"/>
        </w:rPr>
      </w:pPr>
    </w:p>
    <w:p w14:paraId="23D9E784" w14:textId="77777777" w:rsidR="00030C87" w:rsidRPr="00846A59" w:rsidRDefault="00030C87" w:rsidP="00030C87">
      <w:pPr>
        <w:ind w:left="567" w:right="567"/>
        <w:jc w:val="both"/>
        <w:rPr>
          <w:rFonts w:ascii="Palatino Linotype" w:hAnsi="Palatino Linotype"/>
          <w:sz w:val="22"/>
          <w:szCs w:val="24"/>
        </w:rPr>
      </w:pPr>
      <w:r w:rsidRPr="00846A59">
        <w:rPr>
          <w:rFonts w:ascii="Palatino Linotype" w:hAnsi="Palatino Linotype"/>
          <w:sz w:val="22"/>
          <w:szCs w:val="24"/>
        </w:rPr>
        <w:t>(Énfasis añadido)</w:t>
      </w:r>
    </w:p>
    <w:p w14:paraId="7993745D" w14:textId="77777777" w:rsidR="00030C87" w:rsidRPr="00846A59" w:rsidRDefault="00030C87" w:rsidP="00030C87">
      <w:pPr>
        <w:spacing w:line="360" w:lineRule="auto"/>
        <w:ind w:left="567" w:right="567"/>
        <w:jc w:val="both"/>
        <w:rPr>
          <w:rFonts w:ascii="Palatino Linotype" w:hAnsi="Palatino Linotype"/>
          <w:sz w:val="24"/>
          <w:szCs w:val="24"/>
        </w:rPr>
      </w:pPr>
    </w:p>
    <w:p w14:paraId="28E40394" w14:textId="77777777" w:rsidR="00030C87" w:rsidRPr="00846A5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846A59">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846A59" w:rsidRDefault="00030C87" w:rsidP="00030C87">
      <w:pPr>
        <w:spacing w:line="360" w:lineRule="auto"/>
        <w:jc w:val="both"/>
        <w:rPr>
          <w:rFonts w:ascii="Palatino Linotype" w:hAnsi="Palatino Linotype" w:cs="Arial"/>
          <w:sz w:val="24"/>
          <w:szCs w:val="24"/>
        </w:rPr>
      </w:pPr>
    </w:p>
    <w:p w14:paraId="58307176" w14:textId="77777777" w:rsidR="00030C87" w:rsidRPr="00846A59" w:rsidRDefault="00030C87" w:rsidP="00030C87">
      <w:pPr>
        <w:ind w:left="567" w:right="822"/>
        <w:jc w:val="both"/>
        <w:rPr>
          <w:rFonts w:ascii="Palatino Linotype" w:eastAsia="MS Mincho" w:hAnsi="Palatino Linotype" w:cs="Arial"/>
          <w:i/>
          <w:sz w:val="22"/>
          <w:szCs w:val="24"/>
        </w:rPr>
      </w:pPr>
      <w:r w:rsidRPr="00846A59">
        <w:rPr>
          <w:rFonts w:ascii="Palatino Linotype" w:eastAsia="MS Mincho" w:hAnsi="Palatino Linotype" w:cs="Arial"/>
          <w:b/>
          <w:i/>
          <w:sz w:val="22"/>
          <w:szCs w:val="24"/>
        </w:rPr>
        <w:t xml:space="preserve">“Artículo 23. Son sujetos obligados a transparentar y permitir el acceso a su información y </w:t>
      </w:r>
      <w:r w:rsidRPr="00846A59">
        <w:rPr>
          <w:rFonts w:ascii="Palatino Linotype" w:eastAsia="MS Mincho" w:hAnsi="Palatino Linotype"/>
          <w:b/>
          <w:i/>
          <w:sz w:val="22"/>
          <w:szCs w:val="24"/>
        </w:rPr>
        <w:t>proteger</w:t>
      </w:r>
      <w:r w:rsidRPr="00846A59">
        <w:rPr>
          <w:rFonts w:ascii="Palatino Linotype" w:eastAsia="MS Mincho" w:hAnsi="Palatino Linotype" w:cs="Arial"/>
          <w:b/>
          <w:i/>
          <w:sz w:val="22"/>
          <w:szCs w:val="24"/>
        </w:rPr>
        <w:t xml:space="preserve"> los datos personales que obren en su poder</w:t>
      </w:r>
      <w:r w:rsidRPr="00846A59">
        <w:rPr>
          <w:rFonts w:ascii="Palatino Linotype" w:eastAsia="MS Mincho" w:hAnsi="Palatino Linotype" w:cs="Arial"/>
          <w:i/>
          <w:sz w:val="22"/>
          <w:szCs w:val="24"/>
        </w:rPr>
        <w:t>:</w:t>
      </w:r>
    </w:p>
    <w:p w14:paraId="557DAB22" w14:textId="77777777" w:rsidR="00030C87" w:rsidRPr="00846A59" w:rsidRDefault="00030C87" w:rsidP="00030C87">
      <w:pPr>
        <w:ind w:left="567" w:right="822"/>
        <w:jc w:val="both"/>
        <w:rPr>
          <w:rFonts w:ascii="Palatino Linotype" w:eastAsia="MS Mincho" w:hAnsi="Palatino Linotype" w:cs="Arial"/>
          <w:i/>
          <w:sz w:val="22"/>
          <w:szCs w:val="24"/>
        </w:rPr>
      </w:pPr>
      <w:r w:rsidRPr="00846A59">
        <w:rPr>
          <w:rFonts w:ascii="Palatino Linotype" w:eastAsia="MS Mincho" w:hAnsi="Palatino Linotype" w:cs="Arial"/>
          <w:i/>
          <w:sz w:val="22"/>
          <w:szCs w:val="24"/>
        </w:rPr>
        <w:t>…</w:t>
      </w:r>
    </w:p>
    <w:p w14:paraId="511B2D70" w14:textId="77777777" w:rsidR="00030C87" w:rsidRPr="00846A59" w:rsidRDefault="00030C87" w:rsidP="00030C87">
      <w:pPr>
        <w:ind w:left="567" w:right="822"/>
        <w:jc w:val="both"/>
        <w:rPr>
          <w:rFonts w:ascii="Palatino Linotype" w:eastAsia="MS Mincho" w:hAnsi="Palatino Linotype" w:cs="Arial"/>
          <w:b/>
          <w:i/>
          <w:iCs/>
          <w:sz w:val="22"/>
          <w:szCs w:val="24"/>
        </w:rPr>
      </w:pPr>
      <w:r w:rsidRPr="00846A59">
        <w:rPr>
          <w:rFonts w:ascii="Palatino Linotype" w:hAnsi="Palatino Linotype"/>
          <w:i/>
          <w:iCs/>
          <w:sz w:val="22"/>
          <w:szCs w:val="24"/>
        </w:rPr>
        <w:t>IV. Los ayuntamientos y las dependencias, organismos, órganos y entidades de la administración municipal;</w:t>
      </w:r>
      <w:r w:rsidRPr="00846A59">
        <w:rPr>
          <w:rFonts w:ascii="Palatino Linotype" w:eastAsia="MS Mincho" w:hAnsi="Palatino Linotype" w:cs="Arial"/>
          <w:b/>
          <w:i/>
          <w:iCs/>
          <w:sz w:val="22"/>
          <w:szCs w:val="24"/>
        </w:rPr>
        <w:t xml:space="preserve"> </w:t>
      </w:r>
    </w:p>
    <w:p w14:paraId="1AAB05B8" w14:textId="77777777" w:rsidR="00030C87" w:rsidRPr="00846A59" w:rsidRDefault="00030C87" w:rsidP="00030C87">
      <w:pPr>
        <w:ind w:left="567" w:right="822"/>
        <w:jc w:val="both"/>
        <w:rPr>
          <w:rFonts w:ascii="Palatino Linotype" w:eastAsia="MS Mincho" w:hAnsi="Palatino Linotype" w:cs="Arial"/>
          <w:b/>
          <w:i/>
          <w:sz w:val="22"/>
          <w:szCs w:val="24"/>
        </w:rPr>
      </w:pPr>
      <w:r w:rsidRPr="00846A59">
        <w:rPr>
          <w:rFonts w:ascii="Palatino Linotype" w:eastAsia="MS Mincho" w:hAnsi="Palatino Linotype" w:cs="Arial"/>
          <w:b/>
          <w:i/>
          <w:sz w:val="22"/>
          <w:szCs w:val="24"/>
        </w:rPr>
        <w:t>…</w:t>
      </w:r>
    </w:p>
    <w:p w14:paraId="2E072A21" w14:textId="77777777" w:rsidR="00030C87" w:rsidRPr="00846A59" w:rsidRDefault="00030C87" w:rsidP="00030C87">
      <w:pPr>
        <w:ind w:left="567" w:right="822"/>
        <w:jc w:val="both"/>
        <w:rPr>
          <w:rFonts w:ascii="Palatino Linotype" w:eastAsia="MS Mincho" w:hAnsi="Palatino Linotype"/>
          <w:b/>
          <w:i/>
          <w:sz w:val="22"/>
          <w:szCs w:val="24"/>
        </w:rPr>
      </w:pPr>
      <w:r w:rsidRPr="00846A59">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846A59">
        <w:rPr>
          <w:rFonts w:ascii="Palatino Linotype" w:eastAsia="MS Mincho" w:hAnsi="Palatino Linotype"/>
          <w:i/>
          <w:sz w:val="22"/>
          <w:szCs w:val="24"/>
        </w:rPr>
        <w:t xml:space="preserve">, </w:t>
      </w:r>
      <w:r w:rsidRPr="00846A59">
        <w:rPr>
          <w:rFonts w:ascii="Palatino Linotype" w:eastAsia="MS Mincho" w:hAnsi="Palatino Linotype"/>
          <w:b/>
          <w:i/>
          <w:sz w:val="22"/>
          <w:szCs w:val="24"/>
        </w:rPr>
        <w:t>así como</w:t>
      </w:r>
      <w:r w:rsidRPr="00846A59">
        <w:rPr>
          <w:rFonts w:ascii="Palatino Linotype" w:eastAsia="MS Mincho" w:hAnsi="Palatino Linotype"/>
          <w:i/>
          <w:sz w:val="22"/>
          <w:szCs w:val="24"/>
        </w:rPr>
        <w:t xml:space="preserve"> </w:t>
      </w:r>
      <w:r w:rsidRPr="00846A59">
        <w:rPr>
          <w:rFonts w:ascii="Palatino Linotype" w:eastAsia="MS Mincho" w:hAnsi="Palatino Linotype"/>
          <w:b/>
          <w:i/>
          <w:sz w:val="22"/>
          <w:szCs w:val="24"/>
        </w:rPr>
        <w:t>los informes que dichas personas les entreguen sobre el uso y destino de dichos recursos.</w:t>
      </w:r>
    </w:p>
    <w:p w14:paraId="63E7F600" w14:textId="77777777" w:rsidR="00030C87" w:rsidRPr="00846A59" w:rsidRDefault="00030C87" w:rsidP="00030C87">
      <w:pPr>
        <w:ind w:left="567" w:right="822"/>
        <w:jc w:val="both"/>
        <w:rPr>
          <w:rFonts w:ascii="Palatino Linotype" w:eastAsia="MS Mincho" w:hAnsi="Palatino Linotype"/>
          <w:b/>
          <w:i/>
          <w:sz w:val="22"/>
          <w:szCs w:val="24"/>
        </w:rPr>
      </w:pPr>
    </w:p>
    <w:p w14:paraId="54D538D0" w14:textId="77777777" w:rsidR="00030C87" w:rsidRPr="00846A59" w:rsidRDefault="00030C87" w:rsidP="00030C87">
      <w:pPr>
        <w:ind w:left="567" w:right="822"/>
        <w:jc w:val="both"/>
        <w:rPr>
          <w:rFonts w:ascii="Palatino Linotype" w:eastAsia="MS Mincho" w:hAnsi="Palatino Linotype" w:cs="Arial"/>
          <w:i/>
          <w:sz w:val="22"/>
          <w:szCs w:val="24"/>
        </w:rPr>
      </w:pPr>
      <w:r w:rsidRPr="00846A59">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846A59" w:rsidRDefault="00030C87" w:rsidP="00030C87">
      <w:pPr>
        <w:ind w:left="567" w:right="822"/>
        <w:jc w:val="both"/>
        <w:rPr>
          <w:rFonts w:ascii="Palatino Linotype" w:eastAsia="MS Mincho" w:hAnsi="Palatino Linotype" w:cs="Arial"/>
          <w:i/>
          <w:sz w:val="22"/>
          <w:szCs w:val="24"/>
        </w:rPr>
      </w:pPr>
      <w:r w:rsidRPr="00846A59">
        <w:rPr>
          <w:rFonts w:ascii="Palatino Linotype" w:eastAsia="MS Mincho" w:hAnsi="Palatino Linotype" w:cs="Arial"/>
          <w:i/>
          <w:sz w:val="22"/>
          <w:szCs w:val="24"/>
        </w:rPr>
        <w:t>(Énfasis añadido)</w:t>
      </w:r>
    </w:p>
    <w:p w14:paraId="51738043" w14:textId="77777777" w:rsidR="00030C87" w:rsidRPr="00846A59" w:rsidRDefault="00030C87" w:rsidP="00030C87">
      <w:pPr>
        <w:spacing w:line="360" w:lineRule="auto"/>
        <w:jc w:val="both"/>
        <w:rPr>
          <w:rFonts w:ascii="Palatino Linotype" w:hAnsi="Palatino Linotype" w:cs="Arial"/>
          <w:sz w:val="24"/>
          <w:szCs w:val="24"/>
        </w:rPr>
      </w:pPr>
    </w:p>
    <w:p w14:paraId="570C5D6F" w14:textId="77777777" w:rsidR="00030C87" w:rsidRPr="00846A5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846A59">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846A59" w:rsidRDefault="00030C87" w:rsidP="00030C87">
      <w:pPr>
        <w:pStyle w:val="Prrafodelista"/>
        <w:spacing w:line="360" w:lineRule="auto"/>
        <w:ind w:left="0"/>
        <w:jc w:val="both"/>
        <w:rPr>
          <w:rFonts w:ascii="Palatino Linotype" w:hAnsi="Palatino Linotype" w:cs="Arial"/>
          <w:sz w:val="24"/>
        </w:rPr>
      </w:pPr>
    </w:p>
    <w:p w14:paraId="3415F0D5" w14:textId="7A391CED" w:rsidR="00030C87" w:rsidRPr="00846A59"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846A59">
        <w:rPr>
          <w:rFonts w:ascii="Palatino Linotype" w:hAnsi="Palatino Linotype" w:cs="Arial"/>
          <w:sz w:val="24"/>
        </w:rPr>
        <w:lastRenderedPageBreak/>
        <w:t>Por lo anterior, es de referir que,</w:t>
      </w:r>
      <w:r w:rsidRPr="00846A59">
        <w:rPr>
          <w:rFonts w:ascii="Palatino Linotype" w:hAnsi="Palatino Linotype" w:cs="Arial"/>
          <w:b/>
          <w:sz w:val="24"/>
        </w:rPr>
        <w:t xml:space="preserve"> el</w:t>
      </w:r>
      <w:r w:rsidRPr="00846A59">
        <w:rPr>
          <w:rFonts w:ascii="Palatino Linotype" w:hAnsi="Palatino Linotype"/>
          <w:b/>
          <w:bCs/>
          <w:sz w:val="24"/>
        </w:rPr>
        <w:t xml:space="preserve"> </w:t>
      </w:r>
      <w:r w:rsidR="00C56D1A" w:rsidRPr="00846A59">
        <w:rPr>
          <w:rFonts w:ascii="Palatino Linotype" w:eastAsia="Calibri" w:hAnsi="Palatino Linotype" w:cs="Arial"/>
          <w:b/>
          <w:sz w:val="24"/>
        </w:rPr>
        <w:t>Ayuntamiento de Zinacantepec</w:t>
      </w:r>
      <w:r w:rsidRPr="00846A59">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846A59" w:rsidRDefault="00B30557" w:rsidP="00B30557">
      <w:pPr>
        <w:pStyle w:val="Prrafodelista"/>
        <w:rPr>
          <w:rFonts w:ascii="Palatino Linotype" w:hAnsi="Palatino Linotype" w:cs="Arial"/>
          <w:sz w:val="24"/>
        </w:rPr>
      </w:pPr>
    </w:p>
    <w:p w14:paraId="4653FD44" w14:textId="124CB858" w:rsidR="00085010" w:rsidRPr="00846A59"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46A59">
        <w:rPr>
          <w:rFonts w:ascii="Palatino Linotype" w:hAnsi="Palatino Linotype"/>
          <w:b/>
          <w:color w:val="000000" w:themeColor="text1"/>
          <w:sz w:val="24"/>
        </w:rPr>
        <w:t xml:space="preserve">II. </w:t>
      </w:r>
      <w:bookmarkEnd w:id="16"/>
      <w:r w:rsidR="00085010" w:rsidRPr="00846A59">
        <w:rPr>
          <w:rFonts w:ascii="Palatino Linotype" w:hAnsi="Palatino Linotype"/>
          <w:b/>
          <w:color w:val="000000" w:themeColor="text1"/>
          <w:sz w:val="24"/>
        </w:rPr>
        <w:t>De la</w:t>
      </w:r>
      <w:r w:rsidR="008A06D7" w:rsidRPr="00846A59">
        <w:rPr>
          <w:rFonts w:ascii="Palatino Linotype" w:hAnsi="Palatino Linotype"/>
          <w:b/>
          <w:color w:val="000000" w:themeColor="text1"/>
          <w:sz w:val="24"/>
        </w:rPr>
        <w:t xml:space="preserve"> </w:t>
      </w:r>
      <w:r w:rsidR="00AE265F" w:rsidRPr="00846A59">
        <w:rPr>
          <w:rFonts w:ascii="Palatino Linotype" w:hAnsi="Palatino Linotype"/>
          <w:b/>
          <w:color w:val="000000" w:themeColor="text1"/>
          <w:sz w:val="24"/>
        </w:rPr>
        <w:t>información proporcionada.</w:t>
      </w:r>
    </w:p>
    <w:p w14:paraId="7ACA3202" w14:textId="74A300CE" w:rsidR="00AE265F" w:rsidRPr="00846A59"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 xml:space="preserve">El Recurrente </w:t>
      </w:r>
      <w:r w:rsidR="00AE265F" w:rsidRPr="00846A59">
        <w:rPr>
          <w:rFonts w:ascii="Palatino Linotype" w:eastAsia="Calibri" w:hAnsi="Palatino Linotype" w:cs="Arial"/>
          <w:sz w:val="24"/>
        </w:rPr>
        <w:t>solicitó la siguiente información</w:t>
      </w:r>
      <w:r w:rsidR="00506B6B" w:rsidRPr="00846A59">
        <w:rPr>
          <w:rFonts w:ascii="Palatino Linotype" w:eastAsia="Calibri" w:hAnsi="Palatino Linotype" w:cs="Arial"/>
          <w:sz w:val="24"/>
        </w:rPr>
        <w:t xml:space="preserve"> del Presidente Municipal</w:t>
      </w:r>
      <w:r w:rsidR="00AE265F" w:rsidRPr="00846A59">
        <w:rPr>
          <w:rFonts w:ascii="Palatino Linotype" w:eastAsia="Calibri" w:hAnsi="Palatino Linotype" w:cs="Arial"/>
          <w:sz w:val="24"/>
        </w:rPr>
        <w:t>:</w:t>
      </w:r>
    </w:p>
    <w:p w14:paraId="677F489E" w14:textId="77777777" w:rsidR="00AE265F" w:rsidRPr="00846A59" w:rsidRDefault="00AE265F" w:rsidP="00AE265F">
      <w:pPr>
        <w:pStyle w:val="Prrafodelista"/>
        <w:tabs>
          <w:tab w:val="left" w:pos="567"/>
        </w:tabs>
        <w:spacing w:line="360" w:lineRule="auto"/>
        <w:ind w:left="0"/>
        <w:jc w:val="both"/>
        <w:rPr>
          <w:rFonts w:ascii="Palatino Linotype" w:eastAsia="Calibri" w:hAnsi="Palatino Linotype" w:cs="Arial"/>
        </w:rPr>
      </w:pPr>
    </w:p>
    <w:p w14:paraId="42D26DF8" w14:textId="5FBB3C18" w:rsidR="00003855" w:rsidRPr="00846A59" w:rsidRDefault="00506B6B" w:rsidP="00506B6B">
      <w:pPr>
        <w:pStyle w:val="Prrafodelista"/>
        <w:numPr>
          <w:ilvl w:val="0"/>
          <w:numId w:val="13"/>
        </w:numPr>
        <w:spacing w:line="360" w:lineRule="auto"/>
        <w:jc w:val="both"/>
        <w:rPr>
          <w:rFonts w:ascii="Palatino Linotype" w:hAnsi="Palatino Linotype"/>
        </w:rPr>
      </w:pPr>
      <w:r w:rsidRPr="00846A59">
        <w:rPr>
          <w:rFonts w:ascii="Palatino Linotype" w:hAnsi="Palatino Linotype"/>
        </w:rPr>
        <w:t>Gafete de identificación de personal;</w:t>
      </w:r>
    </w:p>
    <w:p w14:paraId="0DF70911" w14:textId="2CFD3EC9" w:rsidR="00003855" w:rsidRPr="00846A59" w:rsidRDefault="00506B6B" w:rsidP="00506B6B">
      <w:pPr>
        <w:pStyle w:val="Prrafodelista"/>
        <w:numPr>
          <w:ilvl w:val="0"/>
          <w:numId w:val="13"/>
        </w:numPr>
        <w:spacing w:line="360" w:lineRule="auto"/>
        <w:ind w:right="567"/>
        <w:jc w:val="both"/>
        <w:rPr>
          <w:rFonts w:ascii="Palatino Linotype" w:hAnsi="Palatino Linotype"/>
        </w:rPr>
      </w:pPr>
      <w:r w:rsidRPr="00846A59">
        <w:rPr>
          <w:rFonts w:ascii="Palatino Linotype" w:hAnsi="Palatino Linotype"/>
        </w:rPr>
        <w:t xml:space="preserve">Informe de no antecedentes penales; </w:t>
      </w:r>
    </w:p>
    <w:p w14:paraId="625CEC51" w14:textId="625E7BD2" w:rsidR="00003855" w:rsidRPr="00846A59" w:rsidRDefault="00506B6B" w:rsidP="00506B6B">
      <w:pPr>
        <w:pStyle w:val="Prrafodelista"/>
        <w:numPr>
          <w:ilvl w:val="0"/>
          <w:numId w:val="13"/>
        </w:numPr>
        <w:spacing w:line="360" w:lineRule="auto"/>
        <w:ind w:right="567"/>
        <w:jc w:val="both"/>
        <w:rPr>
          <w:rFonts w:ascii="Palatino Linotype" w:hAnsi="Palatino Linotype"/>
        </w:rPr>
      </w:pPr>
      <w:r w:rsidRPr="00846A59">
        <w:rPr>
          <w:rFonts w:ascii="Palatino Linotype" w:hAnsi="Palatino Linotype"/>
        </w:rPr>
        <w:t>Comprobante de identificación fiscal; Y,</w:t>
      </w:r>
    </w:p>
    <w:p w14:paraId="0AA22CC9" w14:textId="5482708D" w:rsidR="00003855" w:rsidRPr="00846A59" w:rsidRDefault="00506B6B" w:rsidP="00506B6B">
      <w:pPr>
        <w:pStyle w:val="Prrafodelista"/>
        <w:numPr>
          <w:ilvl w:val="0"/>
          <w:numId w:val="13"/>
        </w:numPr>
        <w:spacing w:line="360" w:lineRule="auto"/>
        <w:ind w:right="567"/>
        <w:jc w:val="both"/>
        <w:rPr>
          <w:rFonts w:ascii="Palatino Linotype" w:hAnsi="Palatino Linotype"/>
        </w:rPr>
      </w:pPr>
      <w:r w:rsidRPr="00846A59">
        <w:rPr>
          <w:rFonts w:ascii="Palatino Linotype" w:hAnsi="Palatino Linotype"/>
        </w:rPr>
        <w:t>Movimiento de alta del ISSEMyM.</w:t>
      </w:r>
    </w:p>
    <w:p w14:paraId="7617EF62" w14:textId="77777777" w:rsidR="00E82F06" w:rsidRPr="00846A59" w:rsidRDefault="00E82F06" w:rsidP="00E82F06">
      <w:pPr>
        <w:spacing w:line="360" w:lineRule="auto"/>
        <w:jc w:val="both"/>
        <w:rPr>
          <w:rFonts w:ascii="Palatino Linotype" w:hAnsi="Palatino Linotype"/>
          <w:i/>
          <w:sz w:val="18"/>
        </w:rPr>
      </w:pPr>
    </w:p>
    <w:p w14:paraId="31B66B3A" w14:textId="4BC9AB63" w:rsidR="00E82F06" w:rsidRPr="00846A59" w:rsidRDefault="00E82F06"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El Sujeto Obligado no dio respuesta a la</w:t>
      </w:r>
      <w:r w:rsidR="00003855" w:rsidRPr="00846A59">
        <w:rPr>
          <w:rFonts w:ascii="Palatino Linotype" w:eastAsia="Calibri" w:hAnsi="Palatino Linotype" w:cs="Arial"/>
          <w:sz w:val="24"/>
        </w:rPr>
        <w:t>s</w:t>
      </w:r>
      <w:r w:rsidRPr="00846A59">
        <w:rPr>
          <w:rFonts w:ascii="Palatino Linotype" w:eastAsia="Calibri" w:hAnsi="Palatino Linotype" w:cs="Arial"/>
          <w:sz w:val="24"/>
        </w:rPr>
        <w:t xml:space="preserve"> solicitud</w:t>
      </w:r>
      <w:r w:rsidR="00003855" w:rsidRPr="00846A59">
        <w:rPr>
          <w:rFonts w:ascii="Palatino Linotype" w:eastAsia="Calibri" w:hAnsi="Palatino Linotype" w:cs="Arial"/>
          <w:sz w:val="24"/>
        </w:rPr>
        <w:t>es de acceso a la información pública del particular. Derivado de tal situación, es necesario analizar por cuerdas separadas, por la naturaleza de la información que fue solicitada.</w:t>
      </w:r>
    </w:p>
    <w:p w14:paraId="12C0C331" w14:textId="77777777" w:rsidR="00003855" w:rsidRPr="00846A59" w:rsidRDefault="00003855" w:rsidP="00003855">
      <w:pPr>
        <w:pStyle w:val="Prrafodelista"/>
        <w:tabs>
          <w:tab w:val="left" w:pos="567"/>
        </w:tabs>
        <w:spacing w:line="360" w:lineRule="auto"/>
        <w:ind w:left="0"/>
        <w:jc w:val="both"/>
        <w:rPr>
          <w:rFonts w:ascii="Palatino Linotype" w:eastAsia="Calibri" w:hAnsi="Palatino Linotype" w:cs="Arial"/>
          <w:sz w:val="24"/>
        </w:rPr>
      </w:pPr>
    </w:p>
    <w:p w14:paraId="080CFA8F" w14:textId="75AB6A2E" w:rsidR="00003855" w:rsidRPr="00846A59" w:rsidRDefault="00003855" w:rsidP="00003855">
      <w:pPr>
        <w:pStyle w:val="Prrafodelista"/>
        <w:numPr>
          <w:ilvl w:val="3"/>
          <w:numId w:val="2"/>
        </w:numPr>
        <w:tabs>
          <w:tab w:val="left" w:pos="567"/>
        </w:tabs>
        <w:spacing w:line="360" w:lineRule="auto"/>
        <w:ind w:left="567"/>
        <w:jc w:val="both"/>
        <w:rPr>
          <w:rFonts w:ascii="Palatino Linotype" w:eastAsia="Calibri" w:hAnsi="Palatino Linotype" w:cs="Arial"/>
          <w:b/>
          <w:sz w:val="24"/>
        </w:rPr>
      </w:pPr>
      <w:r w:rsidRPr="00846A59">
        <w:rPr>
          <w:rFonts w:ascii="Palatino Linotype" w:eastAsia="Calibri" w:hAnsi="Palatino Linotype" w:cs="Arial"/>
          <w:b/>
          <w:sz w:val="24"/>
        </w:rPr>
        <w:t>Gafete de identificación de Personal del Presidente Municipal.</w:t>
      </w:r>
    </w:p>
    <w:p w14:paraId="31FD4CE4" w14:textId="46DE90D4" w:rsidR="00003855" w:rsidRPr="00846A59" w:rsidRDefault="00003855" w:rsidP="0000385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Para determinar la fuente obligacional del Sujeto Obligado de generar, poseer y/o administrar, es necesario analizar el requerimiento planteado en la solicitud de acceso a la información, siendo que requirió el Gafete de Identificación del Presidente Municipal.</w:t>
      </w:r>
    </w:p>
    <w:p w14:paraId="5D7B9AE5" w14:textId="77777777" w:rsidR="00003855" w:rsidRPr="00846A59" w:rsidRDefault="00003855" w:rsidP="00003855">
      <w:pPr>
        <w:pStyle w:val="Prrafodelista"/>
        <w:tabs>
          <w:tab w:val="left" w:pos="567"/>
        </w:tabs>
        <w:spacing w:line="360" w:lineRule="auto"/>
        <w:ind w:left="0"/>
        <w:jc w:val="both"/>
        <w:rPr>
          <w:rFonts w:ascii="Palatino Linotype" w:eastAsia="Calibri" w:hAnsi="Palatino Linotype" w:cs="Arial"/>
          <w:sz w:val="24"/>
        </w:rPr>
      </w:pPr>
    </w:p>
    <w:p w14:paraId="69F23BC0" w14:textId="7BBDBBBD" w:rsidR="00003855" w:rsidRPr="00846A59" w:rsidRDefault="00003855" w:rsidP="00003855">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846A59">
        <w:rPr>
          <w:rFonts w:ascii="Palatino Linotype" w:eastAsia="Calibri" w:hAnsi="Palatino Linotype" w:cs="Arial"/>
          <w:sz w:val="24"/>
        </w:rPr>
        <w:lastRenderedPageBreak/>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generarla, administrarla y poseerla, tan es así que proporcionó el Gafete de Identificación del Presidente Municipal. </w:t>
      </w:r>
    </w:p>
    <w:p w14:paraId="2B038BEB" w14:textId="77777777" w:rsidR="00003855" w:rsidRPr="00846A59" w:rsidRDefault="00003855" w:rsidP="00003855">
      <w:pPr>
        <w:pStyle w:val="Prrafodelista"/>
        <w:tabs>
          <w:tab w:val="left" w:pos="567"/>
        </w:tabs>
        <w:spacing w:line="360" w:lineRule="auto"/>
        <w:ind w:left="0"/>
        <w:jc w:val="both"/>
        <w:rPr>
          <w:rFonts w:ascii="Palatino Linotype" w:eastAsia="Calibri" w:hAnsi="Palatino Linotype" w:cs="Arial"/>
          <w:sz w:val="24"/>
        </w:rPr>
      </w:pPr>
    </w:p>
    <w:p w14:paraId="6243DC84" w14:textId="1F7FF807" w:rsidR="00003855" w:rsidRPr="00846A59" w:rsidRDefault="00003855" w:rsidP="00003855">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En este caso en particular, el Sujeto Obligado a través del informe justificado entregó el gafete de identificación del Presidente Municipal; se adjunta imagen de referencia:</w:t>
      </w:r>
    </w:p>
    <w:p w14:paraId="45C6326D" w14:textId="66465873" w:rsidR="00003855" w:rsidRPr="00846A59" w:rsidRDefault="00003855" w:rsidP="00003855">
      <w:pPr>
        <w:pStyle w:val="Prrafodelista"/>
        <w:tabs>
          <w:tab w:val="left" w:pos="567"/>
        </w:tabs>
        <w:spacing w:line="360" w:lineRule="auto"/>
        <w:ind w:left="0"/>
        <w:jc w:val="center"/>
        <w:rPr>
          <w:rFonts w:ascii="Palatino Linotype" w:eastAsia="Calibri" w:hAnsi="Palatino Linotype" w:cs="Arial"/>
          <w:sz w:val="24"/>
        </w:rPr>
      </w:pPr>
      <w:r w:rsidRPr="00846A59">
        <w:rPr>
          <w:rFonts w:ascii="Palatino Linotype" w:eastAsia="Calibri" w:hAnsi="Palatino Linotype" w:cs="Arial"/>
          <w:noProof/>
          <w:sz w:val="24"/>
          <w:lang w:eastAsia="es-MX"/>
        </w:rPr>
        <w:lastRenderedPageBreak/>
        <w:drawing>
          <wp:inline distT="0" distB="0" distL="0" distR="0" wp14:anchorId="33BC1795" wp14:editId="2A5BB9BA">
            <wp:extent cx="2636322" cy="3824199"/>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6322" cy="3824199"/>
                    </a:xfrm>
                    <a:prstGeom prst="rect">
                      <a:avLst/>
                    </a:prstGeom>
                  </pic:spPr>
                </pic:pic>
              </a:graphicData>
            </a:graphic>
          </wp:inline>
        </w:drawing>
      </w:r>
    </w:p>
    <w:p w14:paraId="606F9F06" w14:textId="4A98B214" w:rsidR="00003855" w:rsidRPr="00846A59" w:rsidRDefault="00003855"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Asimismo, el Servidor Público Habilitado, en el oficio de respuesta, solicitó que la información fuera sometida al Comité de Transparencia para la el</w:t>
      </w:r>
      <w:r w:rsidR="0025369F" w:rsidRPr="00846A59">
        <w:rPr>
          <w:rFonts w:ascii="Palatino Linotype" w:eastAsia="Calibri" w:hAnsi="Palatino Linotype" w:cs="Arial"/>
          <w:sz w:val="24"/>
        </w:rPr>
        <w:t>aboración de la versión pública, situación que no ocurrió, ya que de las documentales proporcionadas en informe justificado no se advierte la existencia del acuerdo de Comité de Transparencia que sustente la versión pública del referido Gafete.</w:t>
      </w:r>
    </w:p>
    <w:p w14:paraId="58ED7327" w14:textId="77777777" w:rsidR="0025369F" w:rsidRPr="00846A59" w:rsidRDefault="0025369F" w:rsidP="0025369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846A59">
        <w:rPr>
          <w:rFonts w:ascii="Palatino Linotype" w:hAnsi="Palatino Linotype"/>
          <w:b/>
          <w:color w:val="000000" w:themeColor="text1"/>
        </w:rPr>
        <w:t>De la clasificación de la información.</w:t>
      </w:r>
    </w:p>
    <w:p w14:paraId="28678C7D" w14:textId="77777777" w:rsidR="0025369F" w:rsidRPr="00846A59" w:rsidRDefault="0025369F" w:rsidP="0025369F">
      <w:pPr>
        <w:pStyle w:val="Prrafodelista"/>
        <w:tabs>
          <w:tab w:val="left" w:pos="567"/>
        </w:tabs>
        <w:spacing w:line="360" w:lineRule="auto"/>
        <w:ind w:left="0"/>
        <w:jc w:val="both"/>
        <w:rPr>
          <w:rFonts w:ascii="Palatino Linotype" w:eastAsia="Calibri" w:hAnsi="Palatino Linotype" w:cs="Arial"/>
        </w:rPr>
      </w:pPr>
    </w:p>
    <w:p w14:paraId="456A9504" w14:textId="66FD0178" w:rsidR="0025369F" w:rsidRPr="00846A59" w:rsidRDefault="0025369F" w:rsidP="0025369F">
      <w:pPr>
        <w:pStyle w:val="Ttulo2"/>
        <w:numPr>
          <w:ilvl w:val="2"/>
          <w:numId w:val="2"/>
        </w:numPr>
        <w:spacing w:line="360" w:lineRule="auto"/>
        <w:ind w:left="567"/>
        <w:rPr>
          <w:rFonts w:ascii="Palatino Linotype" w:eastAsia="Calibri" w:hAnsi="Palatino Linotype"/>
          <w:b/>
          <w:color w:val="auto"/>
          <w:sz w:val="24"/>
        </w:rPr>
      </w:pPr>
      <w:bookmarkStart w:id="17" w:name="_Toc487025371"/>
      <w:bookmarkStart w:id="18" w:name="_Toc493790439"/>
      <w:bookmarkStart w:id="19" w:name="_Toc495606559"/>
      <w:bookmarkStart w:id="20" w:name="_Toc507005373"/>
      <w:bookmarkStart w:id="21" w:name="_Toc507673312"/>
      <w:r w:rsidRPr="00846A59">
        <w:rPr>
          <w:rFonts w:ascii="Palatino Linotype" w:hAnsi="Palatino Linotype"/>
          <w:b/>
          <w:color w:val="auto"/>
          <w:sz w:val="24"/>
        </w:rPr>
        <w:t>Requisitos previos.</w:t>
      </w:r>
      <w:bookmarkEnd w:id="17"/>
      <w:bookmarkEnd w:id="18"/>
      <w:bookmarkEnd w:id="19"/>
      <w:bookmarkEnd w:id="20"/>
      <w:bookmarkEnd w:id="21"/>
    </w:p>
    <w:p w14:paraId="24E39D5C" w14:textId="77777777" w:rsidR="0025369F" w:rsidRPr="00846A59" w:rsidRDefault="0025369F" w:rsidP="0025369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18A345"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cs="Arial"/>
          <w:sz w:val="24"/>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B3C6789" w14:textId="77777777" w:rsidR="0025369F" w:rsidRPr="00846A59" w:rsidRDefault="0025369F" w:rsidP="0025369F">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275CA19A"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cs="Arial"/>
          <w:sz w:val="24"/>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7B05894" w14:textId="77777777" w:rsidR="0025369F" w:rsidRPr="00846A59" w:rsidRDefault="0025369F" w:rsidP="0025369F">
      <w:pPr>
        <w:pStyle w:val="Prrafodelista"/>
        <w:spacing w:line="360" w:lineRule="auto"/>
        <w:rPr>
          <w:rFonts w:ascii="Palatino Linotype" w:eastAsia="Calibri" w:hAnsi="Palatino Linotype" w:cs="Arial"/>
          <w:sz w:val="24"/>
          <w:szCs w:val="22"/>
          <w:lang w:val="es-ES" w:eastAsia="es-MX"/>
        </w:rPr>
      </w:pPr>
    </w:p>
    <w:p w14:paraId="3342F21E"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cs="Arial"/>
          <w:sz w:val="24"/>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E473841" w14:textId="19251D81" w:rsidR="0025369F" w:rsidRPr="00846A59" w:rsidRDefault="0025369F" w:rsidP="0025369F">
      <w:pPr>
        <w:pStyle w:val="Ttulo2"/>
        <w:spacing w:line="360" w:lineRule="auto"/>
        <w:ind w:left="284"/>
        <w:rPr>
          <w:rFonts w:ascii="Palatino Linotype" w:hAnsi="Palatino Linotype"/>
          <w:b/>
          <w:color w:val="auto"/>
          <w:sz w:val="24"/>
        </w:rPr>
      </w:pPr>
      <w:bookmarkStart w:id="22" w:name="_Toc487025372"/>
      <w:bookmarkStart w:id="23" w:name="_Toc493790440"/>
      <w:bookmarkStart w:id="24" w:name="_Toc495606560"/>
      <w:bookmarkStart w:id="25" w:name="_Toc507005374"/>
      <w:bookmarkStart w:id="26" w:name="_Toc507673313"/>
      <w:r w:rsidRPr="00846A59">
        <w:rPr>
          <w:rFonts w:ascii="Palatino Linotype" w:hAnsi="Palatino Linotype"/>
          <w:b/>
          <w:color w:val="auto"/>
          <w:sz w:val="24"/>
        </w:rPr>
        <w:t>ii. Supuesto de clasificación.</w:t>
      </w:r>
      <w:bookmarkEnd w:id="22"/>
      <w:bookmarkEnd w:id="23"/>
      <w:bookmarkEnd w:id="24"/>
      <w:bookmarkEnd w:id="25"/>
      <w:bookmarkEnd w:id="26"/>
    </w:p>
    <w:p w14:paraId="4D45ED21" w14:textId="77777777" w:rsidR="0025369F" w:rsidRPr="00846A59" w:rsidRDefault="0025369F" w:rsidP="0025369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EA6EAD3"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eastAsia="Calibri" w:hAnsi="Palatino Linotype" w:cs="Arial"/>
          <w:sz w:val="24"/>
          <w:szCs w:val="22"/>
          <w:lang w:val="es-ES" w:eastAsia="es-MX"/>
        </w:rPr>
        <w:lastRenderedPageBreak/>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48B6058" w14:textId="77777777" w:rsidR="0025369F" w:rsidRPr="00846A59" w:rsidRDefault="0025369F" w:rsidP="0025369F">
      <w:pPr>
        <w:autoSpaceDE w:val="0"/>
        <w:autoSpaceDN w:val="0"/>
        <w:adjustRightInd w:val="0"/>
        <w:spacing w:after="160" w:line="360" w:lineRule="auto"/>
        <w:ind w:left="567" w:right="567"/>
        <w:jc w:val="both"/>
        <w:rPr>
          <w:rFonts w:ascii="Palatino Linotype" w:hAnsi="Palatino Linotype" w:cs="Arial"/>
          <w:i/>
          <w:sz w:val="22"/>
        </w:rPr>
      </w:pPr>
      <w:r w:rsidRPr="00846A59">
        <w:rPr>
          <w:rFonts w:ascii="Palatino Linotype" w:hAnsi="Palatino Linotype" w:cs="Arial"/>
          <w:b/>
          <w:bCs/>
          <w:i/>
          <w:sz w:val="22"/>
        </w:rPr>
        <w:t xml:space="preserve">Artículo 3. </w:t>
      </w:r>
      <w:r w:rsidRPr="00846A59">
        <w:rPr>
          <w:rFonts w:ascii="Palatino Linotype" w:hAnsi="Palatino Linotype" w:cs="Arial"/>
          <w:i/>
          <w:sz w:val="22"/>
        </w:rPr>
        <w:t>Para los efectos de la presente Ley se entenderá por:</w:t>
      </w:r>
    </w:p>
    <w:p w14:paraId="61FBD294"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 xml:space="preserve"> (…)</w:t>
      </w:r>
    </w:p>
    <w:p w14:paraId="14CA63F7"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3369B94C"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w:t>
      </w:r>
    </w:p>
    <w:p w14:paraId="79F665C8"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XX. Información clasificada: Aquella considerada por la presente Ley como reservada o confidencial;</w:t>
      </w:r>
    </w:p>
    <w:p w14:paraId="7CABAD4D"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2468B8"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w:t>
      </w:r>
    </w:p>
    <w:p w14:paraId="4CD23D86"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88F1FFD"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lastRenderedPageBreak/>
        <w:t>(…)</w:t>
      </w:r>
    </w:p>
    <w:p w14:paraId="65CAEC5F"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4DAF2F2"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w:t>
      </w:r>
    </w:p>
    <w:p w14:paraId="4EA7001C"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7BC15F9"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w:t>
      </w:r>
    </w:p>
    <w:p w14:paraId="05A3EF91"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7D2A35C2"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575D5A7F"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365A044" w14:textId="77777777" w:rsidR="0025369F" w:rsidRPr="00846A59" w:rsidRDefault="0025369F" w:rsidP="0025369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46A5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CC21A48"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cs="Arial"/>
          <w:sz w:val="24"/>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D77243C" w14:textId="77777777" w:rsidR="0025369F" w:rsidRPr="00846A59" w:rsidRDefault="0025369F" w:rsidP="0025369F">
      <w:pPr>
        <w:pStyle w:val="Prrafodelista"/>
        <w:autoSpaceDE w:val="0"/>
        <w:autoSpaceDN w:val="0"/>
        <w:adjustRightInd w:val="0"/>
        <w:spacing w:after="160" w:line="360" w:lineRule="auto"/>
        <w:ind w:left="426" w:right="50"/>
        <w:jc w:val="both"/>
        <w:rPr>
          <w:rFonts w:ascii="Palatino Linotype" w:eastAsia="Calibri" w:hAnsi="Palatino Linotype" w:cs="Arial"/>
          <w:sz w:val="24"/>
          <w:szCs w:val="22"/>
          <w:lang w:val="es-ES" w:eastAsia="es-MX"/>
        </w:rPr>
      </w:pPr>
    </w:p>
    <w:p w14:paraId="7EB5D0BC"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cs="Arial"/>
          <w:sz w:val="24"/>
        </w:rPr>
        <w:t>Como consecuencia de lo anterior, el sujeto obligado debe identificar claramente el tipo de información y hacer un juicio de subsunción o encaje</w:t>
      </w:r>
      <w:r w:rsidRPr="00846A59">
        <w:rPr>
          <w:rStyle w:val="Refdenotaalpie"/>
          <w:rFonts w:ascii="Palatino Linotype" w:hAnsi="Palatino Linotype" w:cs="Arial"/>
          <w:sz w:val="24"/>
        </w:rPr>
        <w:footnoteReference w:id="7"/>
      </w:r>
      <w:r w:rsidRPr="00846A59">
        <w:rPr>
          <w:rFonts w:ascii="Palatino Linotype" w:hAnsi="Palatino Linotype" w:cs="Arial"/>
          <w:sz w:val="24"/>
        </w:rPr>
        <w:t xml:space="preserve"> para acreditar que el supuesto de hecho corresponde estrictamente con la hipótesis jurídica. Esto también lo debe de realizar el servidor público habilitado y el titular del área que administra la información.</w:t>
      </w:r>
    </w:p>
    <w:p w14:paraId="2015AC51" w14:textId="77777777" w:rsidR="0025369F" w:rsidRPr="00846A59" w:rsidRDefault="0025369F" w:rsidP="0025369F">
      <w:pPr>
        <w:pStyle w:val="Prrafodelista"/>
        <w:spacing w:line="360" w:lineRule="auto"/>
        <w:ind w:left="0"/>
        <w:rPr>
          <w:rFonts w:ascii="Palatino Linotype" w:eastAsia="Calibri" w:hAnsi="Palatino Linotype" w:cs="Arial"/>
          <w:sz w:val="24"/>
          <w:szCs w:val="22"/>
          <w:lang w:val="es-ES" w:eastAsia="es-MX"/>
        </w:rPr>
      </w:pPr>
    </w:p>
    <w:p w14:paraId="7A80682E"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cs="Arial"/>
          <w:sz w:val="24"/>
        </w:rPr>
        <w:lastRenderedPageBreak/>
        <w:t>Una vez hecho lo anterior, se remite la información al Titular de la Unidad de Transparencia, con el acuerdo de clasificación correspondiente, para que sea sometido al conocimiento del Comité de Transparencia.</w:t>
      </w:r>
    </w:p>
    <w:p w14:paraId="3BEAF461" w14:textId="77777777" w:rsidR="007374F6" w:rsidRPr="00846A59" w:rsidRDefault="007374F6" w:rsidP="007374F6">
      <w:pPr>
        <w:pStyle w:val="Prrafodelista"/>
        <w:rPr>
          <w:rFonts w:ascii="Palatino Linotype" w:eastAsia="Calibri" w:hAnsi="Palatino Linotype" w:cs="Arial"/>
          <w:sz w:val="24"/>
          <w:szCs w:val="22"/>
          <w:lang w:val="es-ES" w:eastAsia="es-MX"/>
        </w:rPr>
      </w:pPr>
    </w:p>
    <w:p w14:paraId="7540A857" w14:textId="7D7E4A2D" w:rsidR="0025369F" w:rsidRPr="00846A59" w:rsidRDefault="0025369F" w:rsidP="0025369F">
      <w:pPr>
        <w:pStyle w:val="Ttulo2"/>
        <w:spacing w:line="360" w:lineRule="auto"/>
        <w:ind w:left="284"/>
        <w:rPr>
          <w:rFonts w:ascii="Palatino Linotype" w:hAnsi="Palatino Linotype"/>
          <w:b/>
          <w:color w:val="auto"/>
          <w:sz w:val="24"/>
        </w:rPr>
      </w:pPr>
      <w:bookmarkStart w:id="27" w:name="_Toc486509923"/>
      <w:bookmarkStart w:id="28" w:name="_Toc487025373"/>
      <w:bookmarkStart w:id="29" w:name="_Toc493790441"/>
      <w:bookmarkStart w:id="30" w:name="_Toc495606561"/>
      <w:bookmarkStart w:id="31" w:name="_Toc507005375"/>
      <w:bookmarkStart w:id="32" w:name="_Toc507673314"/>
      <w:r w:rsidRPr="00846A59">
        <w:rPr>
          <w:rFonts w:ascii="Palatino Linotype" w:hAnsi="Palatino Linotype"/>
          <w:b/>
          <w:color w:val="auto"/>
          <w:sz w:val="24"/>
        </w:rPr>
        <w:t>iii. La intervención del Comité de Transparencia.</w:t>
      </w:r>
      <w:bookmarkEnd w:id="27"/>
      <w:bookmarkEnd w:id="28"/>
      <w:bookmarkEnd w:id="29"/>
      <w:bookmarkEnd w:id="30"/>
      <w:bookmarkEnd w:id="31"/>
      <w:bookmarkEnd w:id="32"/>
    </w:p>
    <w:p w14:paraId="4C870B70" w14:textId="77777777" w:rsidR="0025369F" w:rsidRPr="00846A59" w:rsidRDefault="0025369F" w:rsidP="0025369F">
      <w:pPr>
        <w:pStyle w:val="Ttulo3"/>
        <w:numPr>
          <w:ilvl w:val="0"/>
          <w:numId w:val="30"/>
        </w:numPr>
        <w:tabs>
          <w:tab w:val="left" w:pos="1134"/>
          <w:tab w:val="left" w:pos="1560"/>
        </w:tabs>
        <w:spacing w:line="360" w:lineRule="auto"/>
        <w:ind w:left="1134" w:firstLine="0"/>
        <w:rPr>
          <w:rFonts w:ascii="Palatino Linotype" w:hAnsi="Palatino Linotype"/>
          <w:b/>
          <w:color w:val="auto"/>
        </w:rPr>
      </w:pPr>
      <w:bookmarkStart w:id="33" w:name="_Toc487025374"/>
      <w:bookmarkStart w:id="34" w:name="_Toc493790442"/>
      <w:bookmarkStart w:id="35" w:name="_Toc495606562"/>
      <w:bookmarkStart w:id="36" w:name="_Toc507005376"/>
      <w:bookmarkStart w:id="37" w:name="_Toc507673315"/>
      <w:r w:rsidRPr="00846A59">
        <w:rPr>
          <w:rFonts w:ascii="Palatino Linotype" w:hAnsi="Palatino Linotype"/>
          <w:b/>
          <w:color w:val="auto"/>
        </w:rPr>
        <w:t>Formalidades para emitir el acuerdo de clasificación.</w:t>
      </w:r>
      <w:bookmarkEnd w:id="33"/>
      <w:bookmarkEnd w:id="34"/>
      <w:bookmarkEnd w:id="35"/>
      <w:bookmarkEnd w:id="36"/>
      <w:bookmarkEnd w:id="37"/>
    </w:p>
    <w:p w14:paraId="73CEAF03" w14:textId="77777777" w:rsidR="0025369F" w:rsidRPr="00846A59" w:rsidRDefault="0025369F" w:rsidP="0025369F">
      <w:pPr>
        <w:spacing w:line="360" w:lineRule="auto"/>
        <w:rPr>
          <w:rFonts w:ascii="Palatino Linotype" w:hAnsi="Palatino Linotype"/>
          <w:lang w:eastAsia="en-US"/>
        </w:rPr>
      </w:pPr>
    </w:p>
    <w:p w14:paraId="5B1CF26F"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eastAsia="Calibri" w:hAnsi="Palatino Linotype" w:cs="Arial"/>
          <w:sz w:val="24"/>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846A59">
        <w:rPr>
          <w:rFonts w:ascii="Palatino Linotype" w:hAnsi="Palatino Linotype" w:cs="Arial"/>
          <w:sz w:val="24"/>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008D7F58" w14:textId="77777777" w:rsidR="0025369F" w:rsidRPr="00846A59" w:rsidRDefault="0025369F" w:rsidP="0025369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F5AFF7A" w14:textId="77777777" w:rsidR="0025369F" w:rsidRPr="00846A59" w:rsidRDefault="0025369F" w:rsidP="0025369F">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846A59">
        <w:rPr>
          <w:rFonts w:ascii="Palatino Linotype" w:hAnsi="Palatino Linotype" w:cs="Bookman Old Style,Bold"/>
          <w:b/>
          <w:bCs/>
          <w:i/>
          <w:sz w:val="22"/>
          <w:lang w:val="es-ES"/>
        </w:rPr>
        <w:t xml:space="preserve">Artículo 128. </w:t>
      </w:r>
      <w:r w:rsidRPr="00846A59">
        <w:rPr>
          <w:rFonts w:ascii="Palatino Linotype" w:hAnsi="Palatino Linotype" w:cs="Bookman Old Style"/>
          <w:i/>
          <w:sz w:val="22"/>
          <w:lang w:val="es-ES"/>
        </w:rPr>
        <w:t>En los casos en que se niegue el acceso a la información, por actualizarse alguno de los supuestos de clasificación</w:t>
      </w:r>
      <w:r w:rsidRPr="00846A59">
        <w:rPr>
          <w:rFonts w:ascii="Palatino Linotype" w:hAnsi="Palatino Linotype" w:cs="Bookman Old Style"/>
          <w:i/>
          <w:sz w:val="22"/>
          <w:u w:val="single"/>
          <w:lang w:val="es-ES"/>
        </w:rPr>
        <w:t>, el Comité de Transparencia deberá confirmar, modificar o revocar la decisión.</w:t>
      </w:r>
    </w:p>
    <w:p w14:paraId="7107C11D" w14:textId="77777777" w:rsidR="0025369F" w:rsidRPr="00846A59" w:rsidRDefault="0025369F" w:rsidP="0025369F">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51885A03"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 w:val="22"/>
          <w:szCs w:val="22"/>
          <w:lang w:eastAsia="en-US"/>
        </w:rPr>
      </w:pPr>
      <w:r w:rsidRPr="00846A59">
        <w:rPr>
          <w:rFonts w:ascii="Palatino Linotype" w:hAnsi="Palatino Linotype" w:cs="Arial"/>
          <w:b/>
          <w:i/>
          <w:sz w:val="22"/>
          <w:szCs w:val="22"/>
          <w:lang w:eastAsia="en-US"/>
        </w:rPr>
        <w:t>Artículo 149</w:t>
      </w:r>
      <w:r w:rsidRPr="00846A59">
        <w:rPr>
          <w:rFonts w:ascii="Palatino Linotype" w:hAnsi="Palatino Linotype" w:cs="Arial"/>
          <w:i/>
          <w:sz w:val="22"/>
          <w:szCs w:val="22"/>
          <w:lang w:eastAsia="en-US"/>
        </w:rPr>
        <w:t>. El acuerdo que clasifique la información como confidencial deberá contener un razonamiento lógico en el que demuestre que la información se encuentra en alguna o algunas de las hipótesis previstas en la presente Ley.</w:t>
      </w:r>
    </w:p>
    <w:p w14:paraId="76F21541" w14:textId="77777777" w:rsidR="0025369F" w:rsidRPr="00846A59" w:rsidRDefault="0025369F" w:rsidP="0025369F">
      <w:pPr>
        <w:shd w:val="clear" w:color="auto" w:fill="FFFFFF"/>
        <w:spacing w:after="200" w:line="360" w:lineRule="auto"/>
        <w:ind w:left="567" w:right="567"/>
        <w:jc w:val="both"/>
        <w:rPr>
          <w:rFonts w:ascii="Palatino Linotype" w:hAnsi="Palatino Linotype"/>
          <w:i/>
          <w:sz w:val="22"/>
        </w:rPr>
      </w:pPr>
      <w:r w:rsidRPr="00846A59">
        <w:rPr>
          <w:rFonts w:ascii="Palatino Linotype" w:hAnsi="Palatino Linotype"/>
          <w:b/>
          <w:i/>
          <w:sz w:val="22"/>
        </w:rPr>
        <w:lastRenderedPageBreak/>
        <w:t>Segundo</w:t>
      </w:r>
      <w:r w:rsidRPr="00846A59">
        <w:rPr>
          <w:rFonts w:ascii="Palatino Linotype" w:hAnsi="Palatino Linotype"/>
          <w:i/>
          <w:sz w:val="22"/>
        </w:rPr>
        <w:t>. Para efectos de los presentes Lineamientos Generales, se entenderá por:</w:t>
      </w:r>
    </w:p>
    <w:p w14:paraId="40265B98"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Cs w:val="22"/>
          <w:lang w:eastAsia="en-US"/>
        </w:rPr>
      </w:pPr>
      <w:r w:rsidRPr="00846A59">
        <w:rPr>
          <w:rFonts w:ascii="Palatino Linotype" w:hAnsi="Palatino Linotype"/>
          <w:b/>
          <w:i/>
          <w:sz w:val="22"/>
        </w:rPr>
        <w:t>IV. Comité de Transparencia</w:t>
      </w:r>
      <w:r w:rsidRPr="00846A59">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846A59">
        <w:rPr>
          <w:rFonts w:ascii="Palatino Linotype" w:hAnsi="Palatino Linotype"/>
          <w:b/>
          <w:i/>
          <w:sz w:val="22"/>
        </w:rPr>
        <w:t>entre sus funciones las de confirmar, modificar o revocar las determinaciones en materia de clasificación</w:t>
      </w:r>
      <w:r w:rsidRPr="00846A59">
        <w:rPr>
          <w:rFonts w:ascii="Palatino Linotype" w:hAnsi="Palatino Linotype"/>
          <w:i/>
          <w:sz w:val="22"/>
        </w:rPr>
        <w:t xml:space="preserve"> de la información que realicen los titulares de las áreas de los sujetos obligados</w:t>
      </w:r>
    </w:p>
    <w:p w14:paraId="1A94AF29"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 w:val="22"/>
          <w:szCs w:val="22"/>
          <w:lang w:eastAsia="en-US"/>
        </w:rPr>
      </w:pPr>
      <w:r w:rsidRPr="00846A59">
        <w:rPr>
          <w:rFonts w:ascii="Palatino Linotype" w:hAnsi="Palatino Linotype" w:cs="Arial"/>
          <w:b/>
          <w:i/>
          <w:sz w:val="22"/>
          <w:szCs w:val="22"/>
          <w:lang w:eastAsia="en-US"/>
        </w:rPr>
        <w:t>Quincuagésimo sexto</w:t>
      </w:r>
      <w:r w:rsidRPr="00846A59">
        <w:rPr>
          <w:rFonts w:ascii="Palatino Linotype" w:hAnsi="Palatino Linotype" w:cs="Arial"/>
          <w:i/>
          <w:sz w:val="22"/>
          <w:szCs w:val="22"/>
          <w:lang w:eastAsia="en-US"/>
        </w:rPr>
        <w:t xml:space="preserve">. La versión pública del documento o expediente que contenga partes o secciones reservadas o </w:t>
      </w:r>
      <w:r w:rsidRPr="00846A59">
        <w:rPr>
          <w:rFonts w:ascii="Palatino Linotype" w:hAnsi="Palatino Linotype" w:cs="Arial"/>
          <w:b/>
          <w:i/>
          <w:sz w:val="22"/>
          <w:szCs w:val="22"/>
          <w:lang w:eastAsia="en-US"/>
        </w:rPr>
        <w:t>confidenciales</w:t>
      </w:r>
      <w:r w:rsidRPr="00846A59">
        <w:rPr>
          <w:rFonts w:ascii="Palatino Linotype" w:hAnsi="Palatino Linotype" w:cs="Arial"/>
          <w:i/>
          <w:sz w:val="22"/>
          <w:szCs w:val="22"/>
          <w:lang w:eastAsia="en-US"/>
        </w:rPr>
        <w:t>, será elaborada por los sujetos obligados, previo pago de los costos de reproducción, a través de sus áreas y deberá ser aprobada por su Comité de Transparencia.</w:t>
      </w:r>
    </w:p>
    <w:p w14:paraId="551082AC"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 w:val="22"/>
          <w:szCs w:val="22"/>
          <w:lang w:eastAsia="en-US"/>
        </w:rPr>
      </w:pPr>
      <w:r w:rsidRPr="00846A59">
        <w:rPr>
          <w:rFonts w:ascii="Palatino Linotype" w:hAnsi="Palatino Linotype" w:cs="Arial"/>
          <w:b/>
          <w:i/>
          <w:sz w:val="22"/>
          <w:szCs w:val="22"/>
          <w:lang w:eastAsia="en-US"/>
        </w:rPr>
        <w:t>Quincuagésimo séptimo</w:t>
      </w:r>
      <w:r w:rsidRPr="00846A59">
        <w:rPr>
          <w:rFonts w:ascii="Palatino Linotype" w:hAnsi="Palatino Linotype" w:cs="Arial"/>
          <w:i/>
          <w:sz w:val="22"/>
          <w:szCs w:val="22"/>
          <w:lang w:eastAsia="en-US"/>
        </w:rPr>
        <w:t>. Se considera, en principio, como información pública y no podrá omitirse de las  versiones públicas la siguiente:</w:t>
      </w:r>
    </w:p>
    <w:p w14:paraId="7571E4F6"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 w:val="22"/>
          <w:szCs w:val="22"/>
          <w:lang w:eastAsia="en-US"/>
        </w:rPr>
      </w:pPr>
      <w:r w:rsidRPr="00846A59">
        <w:rPr>
          <w:rFonts w:ascii="Palatino Linotype" w:hAnsi="Palatino Linotype" w:cs="Arial"/>
          <w:i/>
          <w:sz w:val="22"/>
          <w:szCs w:val="22"/>
          <w:lang w:eastAsia="en-US"/>
        </w:rPr>
        <w:t>I.        La relativa a las Obligaciones de Transparencia que contempla el Título V de la Ley General y las demás disposiciones legales aplicables;</w:t>
      </w:r>
    </w:p>
    <w:p w14:paraId="2D69A176"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 w:val="22"/>
          <w:szCs w:val="22"/>
          <w:lang w:eastAsia="en-US"/>
        </w:rPr>
      </w:pPr>
      <w:r w:rsidRPr="00846A59">
        <w:rPr>
          <w:rFonts w:ascii="Palatino Linotype" w:hAnsi="Palatino Linotype" w:cs="Arial"/>
          <w:i/>
          <w:sz w:val="22"/>
          <w:szCs w:val="22"/>
          <w:lang w:eastAsia="en-US"/>
        </w:rPr>
        <w:t>II.       El nombre de los servidores públicos en los documentos, y sus firmas autógrafas, cuando sean utilizados en el ejercicio de las facultades conferidas para el desempeño del servicio público, y</w:t>
      </w:r>
    </w:p>
    <w:p w14:paraId="4863FB84"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 w:val="22"/>
          <w:szCs w:val="22"/>
        </w:rPr>
      </w:pPr>
      <w:r w:rsidRPr="00846A59">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EB4D404"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 w:val="22"/>
          <w:szCs w:val="22"/>
        </w:rPr>
      </w:pPr>
      <w:r w:rsidRPr="00846A59">
        <w:rPr>
          <w:rFonts w:ascii="Palatino Linotype" w:hAnsi="Palatino Linotype" w:cs="Arial"/>
          <w:i/>
          <w:sz w:val="22"/>
          <w:szCs w:val="22"/>
        </w:rPr>
        <w:lastRenderedPageBreak/>
        <w:t>Lo anterior, siempre y cuando no se acredite alguna causal de clasificación, prevista en las leyes o en los tratados internaciones suscritos por el Estado mexicano.</w:t>
      </w:r>
    </w:p>
    <w:p w14:paraId="3A3667DC" w14:textId="77777777" w:rsidR="0025369F" w:rsidRPr="00846A59" w:rsidRDefault="0025369F" w:rsidP="0025369F">
      <w:pPr>
        <w:shd w:val="clear" w:color="auto" w:fill="FFFFFF"/>
        <w:spacing w:after="200" w:line="360" w:lineRule="auto"/>
        <w:ind w:left="567" w:right="567"/>
        <w:jc w:val="both"/>
        <w:rPr>
          <w:rFonts w:ascii="Palatino Linotype" w:hAnsi="Palatino Linotype" w:cs="Arial"/>
          <w:i/>
          <w:sz w:val="22"/>
          <w:szCs w:val="22"/>
        </w:rPr>
      </w:pPr>
      <w:r w:rsidRPr="00846A59">
        <w:rPr>
          <w:rFonts w:ascii="Palatino Linotype" w:hAnsi="Palatino Linotype" w:cs="Arial"/>
          <w:b/>
          <w:i/>
          <w:sz w:val="22"/>
          <w:szCs w:val="22"/>
        </w:rPr>
        <w:t>Quincuagésimo octavo.</w:t>
      </w:r>
      <w:r w:rsidRPr="00846A59">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543B248F"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cs="Arial"/>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7BF66048" w14:textId="77777777" w:rsidR="0025369F" w:rsidRPr="00846A59" w:rsidRDefault="0025369F" w:rsidP="0025369F">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35D89E4C"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w:t>
      </w:r>
      <w:r w:rsidRPr="00846A59">
        <w:rPr>
          <w:rFonts w:ascii="Palatino Linotype" w:hAnsi="Palatino Linotype"/>
          <w:sz w:val="24"/>
        </w:rPr>
        <w:lastRenderedPageBreak/>
        <w:t>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23D9210" w14:textId="111E5425" w:rsidR="0025369F" w:rsidRPr="00846A59" w:rsidRDefault="0025369F" w:rsidP="0025369F">
      <w:pPr>
        <w:pStyle w:val="Ttulo3"/>
        <w:numPr>
          <w:ilvl w:val="0"/>
          <w:numId w:val="30"/>
        </w:numPr>
        <w:tabs>
          <w:tab w:val="left" w:pos="1134"/>
        </w:tabs>
        <w:spacing w:line="360" w:lineRule="auto"/>
        <w:ind w:left="709" w:firstLine="0"/>
        <w:rPr>
          <w:rFonts w:ascii="Palatino Linotype" w:hAnsi="Palatino Linotype"/>
          <w:b/>
          <w:color w:val="auto"/>
        </w:rPr>
      </w:pPr>
      <w:bookmarkStart w:id="38" w:name="_Toc486509925"/>
      <w:r w:rsidRPr="00846A59">
        <w:rPr>
          <w:rFonts w:ascii="Palatino Linotype" w:hAnsi="Palatino Linotype"/>
          <w:b/>
          <w:color w:val="auto"/>
        </w:rPr>
        <w:t xml:space="preserve"> </w:t>
      </w:r>
      <w:bookmarkStart w:id="39" w:name="_Toc487025375"/>
      <w:bookmarkStart w:id="40" w:name="_Toc493790443"/>
      <w:bookmarkStart w:id="41" w:name="_Toc495606563"/>
      <w:bookmarkStart w:id="42" w:name="_Toc507005377"/>
      <w:bookmarkStart w:id="43" w:name="_Toc507673316"/>
      <w:r w:rsidRPr="00846A59">
        <w:rPr>
          <w:rFonts w:ascii="Palatino Linotype" w:hAnsi="Palatino Linotype"/>
          <w:b/>
          <w:color w:val="auto"/>
        </w:rPr>
        <w:t>Requisitos de fondo del acuerdo de clasificación</w:t>
      </w:r>
      <w:bookmarkEnd w:id="38"/>
      <w:bookmarkEnd w:id="39"/>
      <w:bookmarkEnd w:id="40"/>
      <w:bookmarkEnd w:id="41"/>
      <w:bookmarkEnd w:id="42"/>
      <w:bookmarkEnd w:id="43"/>
    </w:p>
    <w:p w14:paraId="601F7E2B" w14:textId="77777777" w:rsidR="0025369F" w:rsidRPr="00846A59" w:rsidRDefault="0025369F" w:rsidP="0025369F">
      <w:pPr>
        <w:rPr>
          <w:lang w:val="es-ES_tradnl"/>
        </w:rPr>
      </w:pPr>
    </w:p>
    <w:p w14:paraId="1F196275"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46A59">
        <w:rPr>
          <w:rFonts w:ascii="Palatino Linotype" w:hAnsi="Palatino Linotype" w:cs="Arial"/>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846A59">
        <w:rPr>
          <w:rFonts w:ascii="Palatino Linotype" w:hAnsi="Palatino Linotype" w:cs="Arial"/>
        </w:rPr>
        <w:t>luces para cumplir con dicha acreditación. En el artículo 131 de la  Ley en materia.</w:t>
      </w:r>
    </w:p>
    <w:p w14:paraId="2BE2D289" w14:textId="77777777" w:rsidR="0025369F" w:rsidRPr="00846A59" w:rsidRDefault="0025369F" w:rsidP="0025369F">
      <w:pPr>
        <w:tabs>
          <w:tab w:val="left" w:pos="426"/>
        </w:tabs>
        <w:autoSpaceDE w:val="0"/>
        <w:autoSpaceDN w:val="0"/>
        <w:adjustRightInd w:val="0"/>
        <w:spacing w:line="360" w:lineRule="auto"/>
        <w:ind w:left="567" w:right="567"/>
        <w:jc w:val="both"/>
        <w:rPr>
          <w:rFonts w:ascii="Palatino Linotype" w:hAnsi="Palatino Linotype" w:cs="Arial"/>
          <w:i/>
          <w:sz w:val="28"/>
        </w:rPr>
      </w:pPr>
      <w:r w:rsidRPr="00846A59">
        <w:rPr>
          <w:rFonts w:ascii="Palatino Linotype" w:hAnsi="Palatino Linotype" w:cs="Bookman Old Style,Bold"/>
          <w:b/>
          <w:bCs/>
          <w:i/>
          <w:sz w:val="22"/>
          <w:lang w:val="es-ES"/>
        </w:rPr>
        <w:t xml:space="preserve">Artículo 131. </w:t>
      </w:r>
      <w:r w:rsidRPr="00846A59">
        <w:rPr>
          <w:rFonts w:ascii="Palatino Linotype" w:hAnsi="Palatino Linotype" w:cs="Bookman Old Style"/>
          <w:i/>
          <w:sz w:val="22"/>
          <w:lang w:val="es-ES"/>
        </w:rPr>
        <w:t xml:space="preserve">La carga de la prueba para justificar toda negativa de acceso a la información, por actualizarse cualquiera de los supuestos de clasificación previstos en esta Ley corresponderá a los sujetos obligados; </w:t>
      </w:r>
      <w:r w:rsidRPr="00846A59">
        <w:rPr>
          <w:rFonts w:ascii="Palatino Linotype" w:hAnsi="Palatino Linotype" w:cs="Bookman Old Style"/>
          <w:b/>
          <w:i/>
          <w:sz w:val="22"/>
          <w:lang w:val="es-ES"/>
        </w:rPr>
        <w:t>en tal caso deberá fundar y motivar debidamente la clasificación de la información,</w:t>
      </w:r>
      <w:r w:rsidRPr="00846A59">
        <w:rPr>
          <w:rFonts w:ascii="Palatino Linotype" w:hAnsi="Palatino Linotype" w:cs="Bookman Old Style"/>
          <w:i/>
          <w:sz w:val="22"/>
          <w:lang w:val="es-ES"/>
        </w:rPr>
        <w:t xml:space="preserve"> de conformidad con lo previsto en la presente Ley.</w:t>
      </w:r>
    </w:p>
    <w:p w14:paraId="37B395CE" w14:textId="77777777" w:rsidR="0025369F" w:rsidRPr="00846A59" w:rsidRDefault="0025369F" w:rsidP="0025369F">
      <w:pPr>
        <w:pStyle w:val="Prrafodelista"/>
        <w:autoSpaceDE w:val="0"/>
        <w:autoSpaceDN w:val="0"/>
        <w:adjustRightInd w:val="0"/>
        <w:spacing w:after="160" w:line="360" w:lineRule="auto"/>
        <w:ind w:left="0" w:right="50"/>
        <w:jc w:val="both"/>
        <w:rPr>
          <w:rFonts w:ascii="Palatino Linotype" w:hAnsi="Palatino Linotype" w:cs="Arial"/>
        </w:rPr>
      </w:pPr>
    </w:p>
    <w:p w14:paraId="7F86D6F9"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sz w:val="24"/>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846A59">
        <w:rPr>
          <w:rFonts w:ascii="Palatino Linotype" w:hAnsi="Palatino Linotype"/>
          <w:sz w:val="24"/>
        </w:rPr>
        <w:lastRenderedPageBreak/>
        <w:t>fundamentos legales que le dieron origen y las razones por las que se deben aplicar al caso concreto.</w:t>
      </w:r>
    </w:p>
    <w:p w14:paraId="72F2182C" w14:textId="77777777" w:rsidR="0025369F" w:rsidRPr="00846A59" w:rsidRDefault="0025369F" w:rsidP="0025369F">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4C964ACB" w14:textId="77777777" w:rsidR="0025369F" w:rsidRPr="00846A59" w:rsidRDefault="0025369F" w:rsidP="0025369F">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846A59">
        <w:rPr>
          <w:rFonts w:ascii="Palatino Linotype" w:hAnsi="Palatino Linotype" w:cs="Arial"/>
          <w:sz w:val="24"/>
          <w:lang w:eastAsia="es-MX"/>
        </w:rPr>
        <w:t>Por su parte, el intérprete judicial del país ha establecido una jurisprudencia respecto a qué debe entenderse por fundamentación y motivación, en los siguientes términos:</w:t>
      </w:r>
    </w:p>
    <w:p w14:paraId="3CC01C7F" w14:textId="77777777" w:rsidR="0025369F" w:rsidRPr="00846A59" w:rsidRDefault="0025369F" w:rsidP="0025369F">
      <w:pPr>
        <w:spacing w:line="360" w:lineRule="auto"/>
        <w:ind w:left="567" w:right="618"/>
        <w:contextualSpacing/>
        <w:jc w:val="both"/>
        <w:rPr>
          <w:rFonts w:ascii="Palatino Linotype" w:hAnsi="Palatino Linotype" w:cs="Arial"/>
          <w:i/>
          <w:sz w:val="22"/>
          <w:szCs w:val="22"/>
        </w:rPr>
      </w:pPr>
      <w:r w:rsidRPr="00846A59">
        <w:rPr>
          <w:rFonts w:ascii="Palatino Linotype" w:hAnsi="Palatino Linotype" w:cs="Arial"/>
          <w:b/>
          <w:i/>
          <w:sz w:val="22"/>
          <w:szCs w:val="22"/>
        </w:rPr>
        <w:t>FUNDAMENTACIÓN Y MOTIVACIÓN.</w:t>
      </w:r>
      <w:r w:rsidRPr="00846A59">
        <w:rPr>
          <w:rFonts w:ascii="Palatino Linotype" w:hAnsi="Palatino Linotype" w:cs="Arial"/>
          <w:i/>
          <w:sz w:val="22"/>
          <w:szCs w:val="22"/>
        </w:rPr>
        <w:t xml:space="preserve"> La </w:t>
      </w:r>
      <w:r w:rsidRPr="00846A59">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46A59">
        <w:rPr>
          <w:rFonts w:ascii="Palatino Linotype" w:hAnsi="Palatino Linotype" w:cs="Arial"/>
          <w:i/>
          <w:sz w:val="22"/>
          <w:szCs w:val="22"/>
        </w:rPr>
        <w:t>.</w:t>
      </w:r>
    </w:p>
    <w:p w14:paraId="31120A4E" w14:textId="77777777" w:rsidR="0025369F" w:rsidRPr="00846A59" w:rsidRDefault="0025369F" w:rsidP="0025369F">
      <w:pPr>
        <w:spacing w:line="360" w:lineRule="auto"/>
        <w:ind w:left="567" w:right="618"/>
        <w:contextualSpacing/>
        <w:jc w:val="both"/>
        <w:rPr>
          <w:rFonts w:ascii="Palatino Linotype" w:hAnsi="Palatino Linotype" w:cs="Arial"/>
          <w:i/>
          <w:sz w:val="22"/>
          <w:szCs w:val="22"/>
        </w:rPr>
      </w:pPr>
      <w:r w:rsidRPr="00846A59">
        <w:rPr>
          <w:rFonts w:ascii="Palatino Linotype" w:hAnsi="Palatino Linotype" w:cs="Arial"/>
          <w:i/>
          <w:sz w:val="22"/>
          <w:szCs w:val="22"/>
        </w:rPr>
        <w:t>SEGUNDO TRIBUNAL COLEGIADO DEL SEXTO CIRCUITO.</w:t>
      </w:r>
    </w:p>
    <w:p w14:paraId="1C2227D5" w14:textId="77777777" w:rsidR="0025369F" w:rsidRPr="00846A59" w:rsidRDefault="0025369F" w:rsidP="0025369F">
      <w:pPr>
        <w:spacing w:line="360" w:lineRule="auto"/>
        <w:ind w:left="567" w:right="618"/>
        <w:contextualSpacing/>
        <w:jc w:val="both"/>
        <w:rPr>
          <w:rFonts w:ascii="Palatino Linotype" w:hAnsi="Palatino Linotype" w:cs="Arial"/>
          <w:i/>
          <w:sz w:val="22"/>
          <w:szCs w:val="22"/>
        </w:rPr>
      </w:pPr>
      <w:r w:rsidRPr="00846A59">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655ED385" w14:textId="77777777" w:rsidR="0025369F" w:rsidRPr="00846A59" w:rsidRDefault="0025369F" w:rsidP="0025369F">
      <w:pPr>
        <w:spacing w:line="360" w:lineRule="auto"/>
        <w:ind w:left="567" w:right="618"/>
        <w:contextualSpacing/>
        <w:jc w:val="both"/>
        <w:rPr>
          <w:rFonts w:ascii="Palatino Linotype" w:hAnsi="Palatino Linotype" w:cs="Arial"/>
          <w:i/>
          <w:sz w:val="22"/>
          <w:szCs w:val="22"/>
        </w:rPr>
      </w:pPr>
      <w:r w:rsidRPr="00846A59">
        <w:rPr>
          <w:rFonts w:ascii="Palatino Linotype" w:hAnsi="Palatino Linotype" w:cs="Arial"/>
          <w:i/>
          <w:sz w:val="22"/>
          <w:szCs w:val="22"/>
        </w:rPr>
        <w:t>Revisión fiscal 103/88. Instituto Mexicano del Seguro Social. 18 de octubre de 1988. Unanimidad de votos. Ponente: Arnoldo Nájera Virgen. Secretario: Alejandro Esponda Rincón.</w:t>
      </w:r>
    </w:p>
    <w:p w14:paraId="01E5778D" w14:textId="77777777" w:rsidR="0025369F" w:rsidRPr="00846A59" w:rsidRDefault="0025369F" w:rsidP="0025369F">
      <w:pPr>
        <w:spacing w:line="360" w:lineRule="auto"/>
        <w:ind w:left="567" w:right="618"/>
        <w:contextualSpacing/>
        <w:jc w:val="both"/>
        <w:rPr>
          <w:rFonts w:ascii="Palatino Linotype" w:hAnsi="Palatino Linotype" w:cs="Arial"/>
          <w:i/>
          <w:sz w:val="22"/>
          <w:szCs w:val="22"/>
        </w:rPr>
      </w:pPr>
      <w:r w:rsidRPr="00846A59">
        <w:rPr>
          <w:rFonts w:ascii="Palatino Linotype" w:hAnsi="Palatino Linotype" w:cs="Arial"/>
          <w:i/>
          <w:sz w:val="22"/>
          <w:szCs w:val="22"/>
        </w:rPr>
        <w:t>Amparo en revisión 333/88. Adilia Romero. 26 de octubre de 1988. Unanimidad de votos. Ponente: Arnoldo Nájera Virgen. Secretario: Enrique Crispín Campos Ramírez.</w:t>
      </w:r>
    </w:p>
    <w:p w14:paraId="5B2814B8" w14:textId="77777777" w:rsidR="0025369F" w:rsidRPr="00846A59" w:rsidRDefault="0025369F" w:rsidP="0025369F">
      <w:pPr>
        <w:spacing w:line="360" w:lineRule="auto"/>
        <w:ind w:left="567" w:right="618"/>
        <w:contextualSpacing/>
        <w:jc w:val="both"/>
        <w:rPr>
          <w:rFonts w:ascii="Palatino Linotype" w:hAnsi="Palatino Linotype" w:cs="Arial"/>
          <w:i/>
          <w:sz w:val="22"/>
          <w:szCs w:val="22"/>
        </w:rPr>
      </w:pPr>
      <w:r w:rsidRPr="00846A59">
        <w:rPr>
          <w:rFonts w:ascii="Palatino Linotype" w:hAnsi="Palatino Linotype" w:cs="Arial"/>
          <w:i/>
          <w:sz w:val="22"/>
          <w:szCs w:val="22"/>
        </w:rPr>
        <w:t>Amparo en revisión 597/95. Emilio Maurer Bretón. 15 de noviembre de 1995. Unanimidad de votos. Ponente: Clementina Ramírez Moguel Goyzueta. Secretario: Gonzalo Carrera Molina.</w:t>
      </w:r>
    </w:p>
    <w:p w14:paraId="2BAFAF0A" w14:textId="77777777" w:rsidR="0025369F" w:rsidRPr="00846A59" w:rsidRDefault="0025369F" w:rsidP="0025369F">
      <w:pPr>
        <w:spacing w:line="360" w:lineRule="auto"/>
        <w:ind w:left="567" w:right="618"/>
        <w:contextualSpacing/>
        <w:jc w:val="both"/>
        <w:rPr>
          <w:rFonts w:ascii="Palatino Linotype" w:hAnsi="Palatino Linotype" w:cs="Arial"/>
          <w:i/>
          <w:sz w:val="22"/>
          <w:szCs w:val="22"/>
        </w:rPr>
      </w:pPr>
      <w:r w:rsidRPr="00846A59">
        <w:rPr>
          <w:rFonts w:ascii="Palatino Linotype" w:hAnsi="Palatino Linotype" w:cs="Arial"/>
          <w:i/>
          <w:sz w:val="22"/>
          <w:szCs w:val="22"/>
        </w:rPr>
        <w:lastRenderedPageBreak/>
        <w:t>Amparo directo 7/96. Pedro Vicente López Miro. 21 de febrero de 1996. Unanimidad de votos. Ponente: María Eugenia Estela Martínez Cardiel. Secretario: Enrique Baigts Muñoz.</w:t>
      </w:r>
    </w:p>
    <w:p w14:paraId="0DDAD519" w14:textId="77777777" w:rsidR="0025369F" w:rsidRPr="00846A59" w:rsidRDefault="0025369F" w:rsidP="0025369F">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846A59">
        <w:rPr>
          <w:rFonts w:ascii="Palatino Linotype" w:hAnsi="Palatino Linotype" w:cs="Arial"/>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F2DD7FB" w14:textId="77777777" w:rsidR="0025369F" w:rsidRPr="00846A59" w:rsidRDefault="0025369F" w:rsidP="0025369F">
      <w:pPr>
        <w:pStyle w:val="Prrafodelista"/>
        <w:shd w:val="clear" w:color="auto" w:fill="FFFFFF"/>
        <w:spacing w:line="360" w:lineRule="auto"/>
        <w:ind w:left="0"/>
        <w:jc w:val="both"/>
        <w:rPr>
          <w:rFonts w:ascii="Palatino Linotype" w:hAnsi="Palatino Linotype" w:cs="Arial"/>
          <w:sz w:val="24"/>
          <w:lang w:eastAsia="es-MX"/>
        </w:rPr>
      </w:pPr>
    </w:p>
    <w:p w14:paraId="3CC37EFE" w14:textId="77777777" w:rsidR="0025369F" w:rsidRPr="00846A59" w:rsidRDefault="0025369F" w:rsidP="0025369F">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846A59">
        <w:rPr>
          <w:rFonts w:ascii="Palatino Linotype" w:hAnsi="Palatino Linotype" w:cs="Arial"/>
          <w:sz w:val="24"/>
          <w:lang w:eastAsia="es-MX"/>
        </w:rPr>
        <w:t xml:space="preserve">Ahora bien, para cada caso además de fundar y motivar, se debe identificar con claridad que datos contenidos en las documentales que son susceptibles de suprimirse </w:t>
      </w:r>
      <w:r w:rsidRPr="00846A59">
        <w:rPr>
          <w:rFonts w:ascii="Palatino Linotype" w:eastAsia="MS Mincho" w:hAnsi="Palatino Linotype"/>
          <w:color w:val="000000"/>
          <w:sz w:val="24"/>
        </w:rPr>
        <w:t>por ejemplo, si una documental de naturaleza pública como lo es la nómina general, si bien el dato de sus remuneraciones es eminentemente público, no así todos los datos contenidos en dicho documento que son datos personales</w:t>
      </w:r>
      <w:r w:rsidRPr="00846A59">
        <w:rPr>
          <w:rFonts w:ascii="Palatino Linotype" w:eastAsia="MS Mincho" w:hAnsi="Palatino Linotype"/>
          <w:color w:val="000000"/>
          <w:sz w:val="24"/>
        </w:rPr>
        <w:footnoteReference w:id="8"/>
      </w:r>
      <w:r w:rsidRPr="00846A59">
        <w:rPr>
          <w:rFonts w:ascii="Palatino Linotype" w:eastAsia="MS Mincho" w:hAnsi="Palatino Linotype"/>
          <w:color w:val="000000"/>
          <w:sz w:val="24"/>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w:t>
      </w:r>
      <w:r w:rsidRPr="00846A59">
        <w:rPr>
          <w:rFonts w:ascii="Palatino Linotype" w:eastAsia="MS Mincho" w:hAnsi="Palatino Linotype"/>
          <w:color w:val="000000"/>
          <w:sz w:val="24"/>
        </w:rPr>
        <w:lastRenderedPageBreak/>
        <w:t xml:space="preserve">QR, estos son datos  susceptibles de clasificarse como confidenciales mediante una versión pública que deje a la vista los datos que ofrezcan la información requerida.  </w:t>
      </w:r>
    </w:p>
    <w:p w14:paraId="32EBA2B4" w14:textId="77777777" w:rsidR="0025369F" w:rsidRPr="00846A59" w:rsidRDefault="0025369F" w:rsidP="0025369F">
      <w:pPr>
        <w:pStyle w:val="Prrafodelista"/>
        <w:spacing w:line="360" w:lineRule="auto"/>
        <w:rPr>
          <w:rFonts w:ascii="Palatino Linotype" w:hAnsi="Palatino Linotype" w:cs="Arial"/>
          <w:sz w:val="24"/>
          <w:lang w:eastAsia="es-MX"/>
        </w:rPr>
      </w:pPr>
    </w:p>
    <w:p w14:paraId="14CD915C" w14:textId="77777777" w:rsidR="0025369F" w:rsidRPr="00846A59" w:rsidRDefault="0025369F" w:rsidP="0025369F">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846A59">
        <w:rPr>
          <w:rFonts w:ascii="Palatino Linotype" w:eastAsia="Calibri" w:hAnsi="Palatino Linotype" w:cs="Arial"/>
          <w:sz w:val="24"/>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46A59">
        <w:rPr>
          <w:rFonts w:ascii="Palatino Linotype" w:eastAsia="Calibri" w:hAnsi="Palatino Linotype" w:cs="Arial"/>
          <w:b/>
          <w:sz w:val="24"/>
          <w:szCs w:val="22"/>
          <w:lang w:val="es-ES" w:eastAsia="es-CO"/>
        </w:rPr>
        <w:t>SUJETO OBLIGADO</w:t>
      </w:r>
      <w:r w:rsidRPr="00846A59">
        <w:rPr>
          <w:rFonts w:ascii="Palatino Linotype" w:eastAsia="Calibri" w:hAnsi="Palatino Linotype" w:cs="Arial"/>
          <w:sz w:val="24"/>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4E3237" w14:textId="77777777" w:rsidR="0025369F" w:rsidRPr="00846A59" w:rsidRDefault="0025369F" w:rsidP="0025369F">
      <w:pPr>
        <w:pStyle w:val="Prrafodelista"/>
        <w:spacing w:line="360" w:lineRule="auto"/>
        <w:rPr>
          <w:rFonts w:ascii="Palatino Linotype" w:hAnsi="Palatino Linotype" w:cs="Arial"/>
          <w:sz w:val="24"/>
          <w:lang w:eastAsia="es-MX"/>
        </w:rPr>
      </w:pPr>
    </w:p>
    <w:p w14:paraId="2BE93FDF" w14:textId="77777777" w:rsidR="0025369F" w:rsidRPr="00846A59" w:rsidRDefault="0025369F" w:rsidP="0025369F">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846A59">
        <w:rPr>
          <w:rFonts w:ascii="Palatino Linotype" w:hAnsi="Palatino Linotype" w:cs="Arial"/>
          <w:sz w:val="24"/>
          <w:szCs w:val="22"/>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846A59">
        <w:rPr>
          <w:rFonts w:ascii="Palatino Linotype" w:hAnsi="Palatino Linotype" w:cs="Arial"/>
          <w:sz w:val="24"/>
          <w:szCs w:val="22"/>
          <w:lang w:eastAsia="es-MX"/>
        </w:rPr>
        <w:lastRenderedPageBreak/>
        <w:t>permite la elaboración de versiones públicas en las que se suprima aquella información relacionada con la vida privada de los particulares y de los servidores públicos.</w:t>
      </w:r>
    </w:p>
    <w:p w14:paraId="0818839A" w14:textId="7A2C4711" w:rsidR="0025369F" w:rsidRPr="00846A59" w:rsidRDefault="0025369F" w:rsidP="0025369F">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846A59">
        <w:rPr>
          <w:rFonts w:ascii="Palatino Linotype" w:hAnsi="Palatino Linotype" w:cs="Arial"/>
          <w:sz w:val="24"/>
          <w:lang w:eastAsia="es-MX"/>
        </w:rPr>
        <w:t xml:space="preserve">Es así que podemos concluir que la clasificación de la información es una restricción al derecho del particular, para que dicha restricción sea legitima debe actualizar la hipótesis jurídica establecida en una norma y, además, ser confirmada por el Comité de Transparencia a través del acuerdo correspondiente, de otro modo, se traduce en una restricción ilegitima violatoria del derecho humano al acceso a la información. </w:t>
      </w:r>
    </w:p>
    <w:p w14:paraId="2F7D6F6E" w14:textId="77777777" w:rsidR="0025369F" w:rsidRPr="00846A59" w:rsidRDefault="0025369F" w:rsidP="0025369F">
      <w:pPr>
        <w:pStyle w:val="Prrafodelista"/>
        <w:rPr>
          <w:rFonts w:ascii="Palatino Linotype" w:hAnsi="Palatino Linotype" w:cs="Arial"/>
          <w:sz w:val="24"/>
          <w:lang w:eastAsia="es-MX"/>
        </w:rPr>
      </w:pPr>
    </w:p>
    <w:p w14:paraId="4F5D1738" w14:textId="77777777" w:rsidR="0025369F" w:rsidRPr="00846A59" w:rsidRDefault="0025369F" w:rsidP="0025369F">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846A59">
        <w:rPr>
          <w:rFonts w:ascii="Palatino Linotype" w:hAnsi="Palatino Linotype" w:cs="Arial"/>
          <w:sz w:val="24"/>
          <w:lang w:eastAsia="es-MX"/>
        </w:rPr>
        <w:t>Es así que, al no haber proporcionado el acuerdo que sustente la clasificación de la información, es que la información proporcionada por el Sujeto Obligado no satisface los requerimientos planteados por el particular.</w:t>
      </w:r>
    </w:p>
    <w:p w14:paraId="4A6AFBC2" w14:textId="77777777" w:rsidR="0025369F" w:rsidRPr="00846A59" w:rsidRDefault="0025369F" w:rsidP="0025369F">
      <w:pPr>
        <w:pStyle w:val="Prrafodelista"/>
        <w:rPr>
          <w:rFonts w:ascii="Palatino Linotype" w:hAnsi="Palatino Linotype" w:cs="Arial"/>
          <w:sz w:val="24"/>
          <w:lang w:eastAsia="es-MX"/>
        </w:rPr>
      </w:pPr>
    </w:p>
    <w:p w14:paraId="42D216DC" w14:textId="406C8864" w:rsidR="00416D55" w:rsidRPr="00846A59" w:rsidRDefault="0025369F" w:rsidP="00416D55">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846A59">
        <w:rPr>
          <w:rFonts w:ascii="Palatino Linotype" w:hAnsi="Palatino Linotype" w:cs="Arial"/>
          <w:sz w:val="24"/>
          <w:lang w:eastAsia="es-MX"/>
        </w:rPr>
        <w:t>Además, no debe perderse de vista que la información que se omitió entregar corresponde al número de empleado.</w:t>
      </w:r>
      <w:r w:rsidR="00416D55" w:rsidRPr="00846A59">
        <w:rPr>
          <w:rFonts w:ascii="Palatino Linotype" w:hAnsi="Palatino Linotype" w:cs="Arial"/>
          <w:sz w:val="24"/>
          <w:lang w:eastAsia="es-MX"/>
        </w:rPr>
        <w:t xml:space="preserve"> Este dato es un código numérico y, en ocasiones alfanumérico, que identifica a cada uno de los servidores públicos y es </w:t>
      </w:r>
      <w:r w:rsidR="00416D55" w:rsidRPr="00846A59">
        <w:rPr>
          <w:rFonts w:ascii="Palatino Linotype" w:hAnsi="Palatino Linotype" w:cs="Tahoma"/>
          <w:bCs/>
          <w:sz w:val="24"/>
          <w:szCs w:val="22"/>
        </w:rPr>
        <w:t>asignado por el Departamento de Recursos Humanos y se trata de un código identificador para uso exclusivo del empleado que, de vincularse y relacionarse al RFC</w:t>
      </w:r>
      <w:r w:rsidR="000234F4" w:rsidRPr="00846A59">
        <w:rPr>
          <w:rFonts w:ascii="Palatino Linotype" w:hAnsi="Palatino Linotype" w:cs="Tahoma"/>
          <w:bCs/>
          <w:sz w:val="24"/>
          <w:szCs w:val="22"/>
        </w:rPr>
        <w:t xml:space="preserve"> o CURP,</w:t>
      </w:r>
      <w:r w:rsidR="00416D55" w:rsidRPr="00846A59">
        <w:rPr>
          <w:rFonts w:ascii="Palatino Linotype" w:hAnsi="Palatino Linotype" w:cs="Tahoma"/>
          <w:bCs/>
          <w:sz w:val="24"/>
          <w:szCs w:val="22"/>
        </w:rPr>
        <w:t xml:space="preserve"> lo hace identificable plenamente y, con los mismos se puede tener acceso a diversa información, inclusive con sus datos personales.</w:t>
      </w:r>
    </w:p>
    <w:p w14:paraId="10C3DBD4" w14:textId="77777777" w:rsidR="00416D55" w:rsidRPr="00846A59" w:rsidRDefault="00416D55" w:rsidP="00416D55">
      <w:pPr>
        <w:pStyle w:val="Prrafodelista"/>
        <w:spacing w:line="360" w:lineRule="auto"/>
        <w:ind w:left="0"/>
        <w:jc w:val="both"/>
        <w:rPr>
          <w:rFonts w:ascii="Palatino Linotype" w:hAnsi="Palatino Linotype" w:cs="Tahoma"/>
          <w:bCs/>
          <w:sz w:val="24"/>
          <w:szCs w:val="22"/>
        </w:rPr>
      </w:pPr>
    </w:p>
    <w:p w14:paraId="44D508B1" w14:textId="77777777" w:rsidR="00416D55" w:rsidRPr="00846A59" w:rsidRDefault="00416D55" w:rsidP="00416D55">
      <w:pPr>
        <w:pStyle w:val="Prrafodelista"/>
        <w:numPr>
          <w:ilvl w:val="0"/>
          <w:numId w:val="2"/>
        </w:numPr>
        <w:spacing w:line="360" w:lineRule="auto"/>
        <w:ind w:left="0" w:firstLine="0"/>
        <w:jc w:val="both"/>
        <w:rPr>
          <w:rFonts w:ascii="Palatino Linotype" w:hAnsi="Palatino Linotype" w:cs="Tahoma"/>
          <w:bCs/>
          <w:sz w:val="24"/>
          <w:szCs w:val="22"/>
        </w:rPr>
      </w:pPr>
      <w:r w:rsidRPr="00846A59">
        <w:rPr>
          <w:rFonts w:ascii="Palatino Linotype" w:hAnsi="Palatino Linotype" w:cs="Tahoma"/>
          <w:bCs/>
          <w:sz w:val="24"/>
          <w:szCs w:val="22"/>
        </w:rPr>
        <w:lastRenderedPageBreak/>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3BBB3C60" w14:textId="77777777" w:rsidR="00416D55" w:rsidRPr="00846A59" w:rsidRDefault="00416D55" w:rsidP="00416D55">
      <w:pPr>
        <w:pStyle w:val="Prrafodelista"/>
        <w:rPr>
          <w:rFonts w:ascii="Palatino Linotype" w:hAnsi="Palatino Linotype" w:cs="Tahoma"/>
          <w:bCs/>
          <w:szCs w:val="22"/>
        </w:rPr>
      </w:pPr>
    </w:p>
    <w:p w14:paraId="1908130F" w14:textId="77777777" w:rsidR="00416D55" w:rsidRPr="00846A59" w:rsidRDefault="00416D55" w:rsidP="00416D55">
      <w:pPr>
        <w:pStyle w:val="Prrafodelista"/>
        <w:spacing w:line="360" w:lineRule="auto"/>
        <w:ind w:left="567" w:right="822"/>
        <w:jc w:val="both"/>
        <w:rPr>
          <w:rFonts w:ascii="Palatino Linotype" w:hAnsi="Palatino Linotype" w:cs="Tahoma"/>
          <w:bCs/>
          <w:i/>
          <w:szCs w:val="22"/>
        </w:rPr>
      </w:pPr>
      <w:r w:rsidRPr="00846A59">
        <w:rPr>
          <w:rFonts w:ascii="Palatino Linotype" w:hAnsi="Palatino Linotype" w:cs="Tahoma"/>
          <w:b/>
          <w:bCs/>
          <w:i/>
          <w:szCs w:val="22"/>
        </w:rPr>
        <w:t>Número de empleado.</w:t>
      </w:r>
      <w:r w:rsidRPr="00846A59">
        <w:rPr>
          <w:rFonts w:ascii="Palatino Linotype" w:hAnsi="Palatino Linotype" w:cs="Tahoma"/>
          <w:bCs/>
          <w:i/>
          <w:szCs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2391DB36" w14:textId="77777777" w:rsidR="00416D55" w:rsidRPr="00846A59" w:rsidRDefault="00416D55" w:rsidP="00416D55">
      <w:pPr>
        <w:pStyle w:val="Prrafodelista"/>
        <w:shd w:val="clear" w:color="auto" w:fill="FFFFFF"/>
        <w:spacing w:line="360" w:lineRule="auto"/>
        <w:ind w:left="0"/>
        <w:jc w:val="both"/>
        <w:rPr>
          <w:rFonts w:ascii="Palatino Linotype" w:hAnsi="Palatino Linotype" w:cs="Arial"/>
          <w:sz w:val="24"/>
          <w:lang w:eastAsia="es-MX"/>
        </w:rPr>
      </w:pPr>
    </w:p>
    <w:p w14:paraId="3BC7D9F8" w14:textId="6C0E7A46" w:rsidR="000234F4" w:rsidRPr="00846A59" w:rsidRDefault="000234F4" w:rsidP="0025369F">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846A59">
        <w:rPr>
          <w:rFonts w:ascii="Palatino Linotype" w:hAnsi="Palatino Linotype" w:cs="Arial"/>
          <w:sz w:val="24"/>
          <w:lang w:eastAsia="es-MX"/>
        </w:rPr>
        <w:t>En consecuencia, a falta de certeza en la forma de integración del número de empleado y garantizando en todo momento tanto el derecho de acceso a la información pública como la protección de los datos personales, se ORDENA al Sujeto Obligado entregar el Gafete del Presidente Municipal, de ser el caso en versión pública con el acuerdo emitido por el Comité de Transparencia, o en su defecto, entregarlo de fo</w:t>
      </w:r>
      <w:r w:rsidR="0016492C" w:rsidRPr="00846A59">
        <w:rPr>
          <w:rFonts w:ascii="Palatino Linotype" w:hAnsi="Palatino Linotype" w:cs="Arial"/>
          <w:sz w:val="24"/>
          <w:lang w:eastAsia="es-MX"/>
        </w:rPr>
        <w:t>r</w:t>
      </w:r>
      <w:r w:rsidRPr="00846A59">
        <w:rPr>
          <w:rFonts w:ascii="Palatino Linotype" w:hAnsi="Palatino Linotype" w:cs="Arial"/>
          <w:sz w:val="24"/>
          <w:lang w:eastAsia="es-MX"/>
        </w:rPr>
        <w:t>ma íntegra, en caso de que el número de empleado no contenga datos personales susceptibles de clasificarse como confidenciales.</w:t>
      </w:r>
    </w:p>
    <w:p w14:paraId="4BCF3047" w14:textId="77777777" w:rsidR="000234F4" w:rsidRPr="00846A59" w:rsidRDefault="000234F4" w:rsidP="0016492C">
      <w:pPr>
        <w:pStyle w:val="Prrafodelista"/>
        <w:shd w:val="clear" w:color="auto" w:fill="FFFFFF"/>
        <w:spacing w:line="360" w:lineRule="auto"/>
        <w:ind w:left="0"/>
        <w:jc w:val="both"/>
        <w:rPr>
          <w:rFonts w:ascii="Palatino Linotype" w:hAnsi="Palatino Linotype" w:cs="Arial"/>
          <w:sz w:val="24"/>
          <w:lang w:eastAsia="es-MX"/>
        </w:rPr>
      </w:pPr>
    </w:p>
    <w:p w14:paraId="4DA5C70E" w14:textId="321AEEFF" w:rsidR="0025369F" w:rsidRPr="00846A59" w:rsidRDefault="00F30703" w:rsidP="0025369F">
      <w:pPr>
        <w:pStyle w:val="Prrafodelista"/>
        <w:tabs>
          <w:tab w:val="left" w:pos="567"/>
        </w:tabs>
        <w:spacing w:line="360" w:lineRule="auto"/>
        <w:ind w:left="0"/>
        <w:jc w:val="both"/>
        <w:rPr>
          <w:rFonts w:ascii="Palatino Linotype" w:eastAsia="Calibri" w:hAnsi="Palatino Linotype" w:cs="Arial"/>
          <w:b/>
          <w:sz w:val="24"/>
        </w:rPr>
      </w:pPr>
      <w:r w:rsidRPr="00846A59">
        <w:rPr>
          <w:rFonts w:ascii="Palatino Linotype" w:eastAsia="Calibri" w:hAnsi="Palatino Linotype" w:cs="Arial"/>
          <w:b/>
          <w:sz w:val="24"/>
        </w:rPr>
        <w:t>b) Informe de antecedentes no penales.</w:t>
      </w:r>
    </w:p>
    <w:p w14:paraId="403B8644" w14:textId="230CF405" w:rsidR="00BC2FC4" w:rsidRPr="00846A59" w:rsidRDefault="00BC2FC4" w:rsidP="00BC2FC4">
      <w:pPr>
        <w:numPr>
          <w:ilvl w:val="0"/>
          <w:numId w:val="2"/>
        </w:numPr>
        <w:spacing w:line="360" w:lineRule="auto"/>
        <w:ind w:left="0" w:right="49" w:firstLine="0"/>
        <w:contextualSpacing/>
        <w:jc w:val="both"/>
        <w:rPr>
          <w:rFonts w:ascii="Palatino Linotype" w:eastAsia="MS Mincho" w:hAnsi="Palatino Linotype"/>
          <w:sz w:val="24"/>
        </w:rPr>
      </w:pPr>
      <w:r w:rsidRPr="00846A59">
        <w:rPr>
          <w:rFonts w:ascii="Palatino Linotype" w:eastAsia="MS Mincho" w:hAnsi="Palatino Linotype"/>
          <w:sz w:val="24"/>
        </w:rPr>
        <w:t xml:space="preserve">Es de recordar que el documento conocido como </w:t>
      </w:r>
      <w:r w:rsidRPr="00846A59">
        <w:rPr>
          <w:rFonts w:ascii="Palatino Linotype" w:eastAsia="MS Mincho" w:hAnsi="Palatino Linotype"/>
          <w:i/>
          <w:iCs/>
          <w:sz w:val="24"/>
        </w:rPr>
        <w:t>Certificado de No Antecedentes Penales</w:t>
      </w:r>
      <w:r w:rsidRPr="00846A59">
        <w:rPr>
          <w:rFonts w:ascii="Palatino Linotype" w:eastAsia="MS Mincho" w:hAnsi="Palatino Linotype"/>
          <w:sz w:val="24"/>
        </w:rPr>
        <w:t xml:space="preserve">, expedido por la Fiscalía General de Justicia, a través de la Coordinación General de Servicios Periciales sirve para acreditar que los servidores públicos no han </w:t>
      </w:r>
      <w:r w:rsidRPr="00846A59">
        <w:rPr>
          <w:rFonts w:ascii="Palatino Linotype" w:eastAsia="MS Mincho" w:hAnsi="Palatino Linotype"/>
          <w:sz w:val="24"/>
        </w:rPr>
        <w:lastRenderedPageBreak/>
        <w:t>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14:paraId="469AC4FB" w14:textId="77777777" w:rsidR="00BC2FC4" w:rsidRPr="00846A59" w:rsidRDefault="00BC2FC4" w:rsidP="00BC2FC4">
      <w:pPr>
        <w:pStyle w:val="Prrafodelista"/>
        <w:rPr>
          <w:rFonts w:ascii="Palatino Linotype" w:eastAsia="MS Mincho" w:hAnsi="Palatino Linotype"/>
        </w:rPr>
      </w:pPr>
    </w:p>
    <w:p w14:paraId="3A83A8B3" w14:textId="77777777" w:rsidR="00BC2FC4" w:rsidRPr="00846A59" w:rsidRDefault="00BC2FC4" w:rsidP="00BC2FC4">
      <w:pPr>
        <w:pStyle w:val="Prrafodelista"/>
        <w:widowControl w:val="0"/>
        <w:autoSpaceDE w:val="0"/>
        <w:autoSpaceDN w:val="0"/>
        <w:adjustRightInd w:val="0"/>
        <w:spacing w:line="276" w:lineRule="auto"/>
        <w:ind w:left="851" w:right="902"/>
        <w:jc w:val="center"/>
        <w:rPr>
          <w:rFonts w:ascii="Palatino Linotype" w:hAnsi="Palatino Linotype"/>
          <w:b/>
          <w:i/>
          <w:szCs w:val="22"/>
        </w:rPr>
      </w:pPr>
      <w:r w:rsidRPr="00846A59">
        <w:rPr>
          <w:rFonts w:ascii="Palatino Linotype" w:hAnsi="Palatino Linotype" w:cs="Arial"/>
          <w:b/>
          <w:i/>
          <w:szCs w:val="22"/>
          <w:lang w:val="es-ES"/>
        </w:rPr>
        <w:t>Constitución Política de los Estados Unidos Mexicanos</w:t>
      </w:r>
    </w:p>
    <w:p w14:paraId="67EBBADC"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bookmarkStart w:id="44" w:name="Artículo_38"/>
      <w:r w:rsidRPr="00846A59">
        <w:rPr>
          <w:rFonts w:ascii="Palatino Linotype" w:hAnsi="Palatino Linotype" w:cs="Arial"/>
          <w:bCs/>
          <w:i/>
          <w:sz w:val="22"/>
          <w:szCs w:val="22"/>
          <w:lang w:val="es-ES"/>
        </w:rPr>
        <w:t>“</w:t>
      </w:r>
      <w:r w:rsidRPr="00846A59">
        <w:rPr>
          <w:rFonts w:ascii="Palatino Linotype" w:hAnsi="Palatino Linotype" w:cs="Arial"/>
          <w:b/>
          <w:i/>
          <w:sz w:val="22"/>
          <w:szCs w:val="22"/>
          <w:lang w:val="es-ES"/>
        </w:rPr>
        <w:t>Artículo 38</w:t>
      </w:r>
      <w:bookmarkEnd w:id="44"/>
      <w:r w:rsidRPr="00846A59">
        <w:rPr>
          <w:rFonts w:ascii="Palatino Linotype" w:hAnsi="Palatino Linotype" w:cs="Arial"/>
          <w:b/>
          <w:i/>
          <w:sz w:val="22"/>
          <w:szCs w:val="22"/>
          <w:lang w:val="es-ES"/>
        </w:rPr>
        <w:t>.</w:t>
      </w:r>
      <w:r w:rsidRPr="00846A59">
        <w:rPr>
          <w:rFonts w:ascii="Palatino Linotype" w:hAnsi="Palatino Linotype" w:cs="Arial"/>
          <w:bCs/>
          <w:i/>
          <w:sz w:val="22"/>
          <w:szCs w:val="22"/>
          <w:lang w:val="es-ES"/>
        </w:rPr>
        <w:t xml:space="preserve"> Los derechos o prerrogativas de los ciudadanos se suspenden:</w:t>
      </w:r>
    </w:p>
    <w:p w14:paraId="596C6FF9"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r w:rsidRPr="00846A59">
        <w:rPr>
          <w:rFonts w:ascii="Palatino Linotype" w:hAnsi="Palatino Linotype" w:cs="Arial"/>
          <w:bCs/>
          <w:i/>
          <w:sz w:val="22"/>
          <w:szCs w:val="22"/>
          <w:lang w:val="es-ES"/>
        </w:rPr>
        <w:t>[…]</w:t>
      </w:r>
    </w:p>
    <w:p w14:paraId="30108C6F"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r w:rsidRPr="00846A59">
        <w:rPr>
          <w:rFonts w:ascii="Palatino Linotype" w:hAnsi="Palatino Linotype" w:cs="Arial"/>
          <w:b/>
          <w:i/>
          <w:sz w:val="22"/>
          <w:szCs w:val="22"/>
          <w:lang w:val="es-ES"/>
        </w:rPr>
        <w:t>II.</w:t>
      </w:r>
      <w:r w:rsidRPr="00846A59">
        <w:rPr>
          <w:rFonts w:ascii="Palatino Linotype" w:hAnsi="Palatino Linotype" w:cs="Arial"/>
          <w:bCs/>
          <w:i/>
          <w:sz w:val="22"/>
          <w:szCs w:val="22"/>
          <w:lang w:val="es-ES"/>
        </w:rPr>
        <w:t xml:space="preserve"> Por estar sujeto a un proceso criminal por delito que merezca pena corporal, a contar desde la fecha del auto de formal prisión;</w:t>
      </w:r>
    </w:p>
    <w:p w14:paraId="05E84429"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r w:rsidRPr="00846A59">
        <w:rPr>
          <w:rFonts w:ascii="Palatino Linotype" w:hAnsi="Palatino Linotype" w:cs="Arial"/>
          <w:bCs/>
          <w:i/>
          <w:sz w:val="22"/>
          <w:szCs w:val="22"/>
          <w:lang w:val="es-ES"/>
        </w:rPr>
        <w:t>[…]</w:t>
      </w:r>
    </w:p>
    <w:p w14:paraId="3A8B9776"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r w:rsidRPr="00846A59">
        <w:rPr>
          <w:rFonts w:ascii="Palatino Linotype" w:hAnsi="Palatino Linotype" w:cs="Arial"/>
          <w:b/>
          <w:i/>
          <w:sz w:val="22"/>
          <w:szCs w:val="22"/>
          <w:lang w:val="es-ES"/>
        </w:rPr>
        <w:t>V.</w:t>
      </w:r>
      <w:r w:rsidRPr="00846A59">
        <w:rPr>
          <w:rFonts w:ascii="Palatino Linotype" w:hAnsi="Palatino Linotype" w:cs="Arial"/>
          <w:bCs/>
          <w:i/>
          <w:sz w:val="22"/>
          <w:szCs w:val="22"/>
          <w:lang w:val="es-ES"/>
        </w:rPr>
        <w:t xml:space="preserve"> Por estar prófugo de la justicia, desde que se dicte la orden de aprehensión hasta que prescriba la acción penal; y</w:t>
      </w:r>
    </w:p>
    <w:p w14:paraId="183E570C"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r w:rsidRPr="00846A59">
        <w:rPr>
          <w:rFonts w:ascii="Palatino Linotype" w:hAnsi="Palatino Linotype" w:cs="Arial"/>
          <w:b/>
          <w:i/>
          <w:sz w:val="22"/>
          <w:szCs w:val="22"/>
          <w:lang w:val="es-ES"/>
        </w:rPr>
        <w:t>VI.</w:t>
      </w:r>
      <w:r w:rsidRPr="00846A59">
        <w:rPr>
          <w:rFonts w:ascii="Palatino Linotype" w:hAnsi="Palatino Linotype" w:cs="Arial"/>
          <w:bCs/>
          <w:i/>
          <w:sz w:val="22"/>
          <w:szCs w:val="22"/>
          <w:lang w:val="es-ES"/>
        </w:rPr>
        <w:t xml:space="preserve"> Por sentencia ejecutoria que imponga como pena esa suspensión.”</w:t>
      </w:r>
    </w:p>
    <w:p w14:paraId="2A9E1E49" w14:textId="77777777" w:rsidR="00BC2FC4" w:rsidRPr="00846A59" w:rsidRDefault="00BC2FC4" w:rsidP="00BC2FC4">
      <w:pPr>
        <w:spacing w:line="276" w:lineRule="auto"/>
        <w:ind w:left="851" w:right="902"/>
        <w:contextualSpacing/>
        <w:jc w:val="center"/>
        <w:rPr>
          <w:rFonts w:ascii="Palatino Linotype" w:hAnsi="Palatino Linotype" w:cs="Arial"/>
          <w:bCs/>
          <w:i/>
          <w:sz w:val="22"/>
          <w:szCs w:val="22"/>
          <w:lang w:val="es-ES"/>
        </w:rPr>
      </w:pPr>
      <w:bookmarkStart w:id="45" w:name="Artículo_46"/>
    </w:p>
    <w:p w14:paraId="0EFC8F78" w14:textId="77777777" w:rsidR="00BC2FC4" w:rsidRPr="00846A59" w:rsidRDefault="00BC2FC4" w:rsidP="00BC2FC4">
      <w:pPr>
        <w:spacing w:line="276" w:lineRule="auto"/>
        <w:ind w:left="851" w:right="902"/>
        <w:contextualSpacing/>
        <w:jc w:val="center"/>
        <w:rPr>
          <w:rFonts w:ascii="Palatino Linotype" w:hAnsi="Palatino Linotype" w:cs="Arial"/>
          <w:b/>
          <w:i/>
          <w:sz w:val="22"/>
          <w:szCs w:val="22"/>
          <w:lang w:val="es-ES"/>
        </w:rPr>
      </w:pPr>
      <w:r w:rsidRPr="00846A59">
        <w:rPr>
          <w:rFonts w:ascii="Palatino Linotype" w:hAnsi="Palatino Linotype" w:cs="Arial"/>
          <w:b/>
          <w:i/>
          <w:sz w:val="22"/>
          <w:szCs w:val="22"/>
          <w:lang w:val="es-ES"/>
        </w:rPr>
        <w:t>Código Penal Federal</w:t>
      </w:r>
    </w:p>
    <w:p w14:paraId="0A18A3DF" w14:textId="77777777" w:rsidR="00BC2FC4" w:rsidRPr="00846A59" w:rsidRDefault="00BC2FC4" w:rsidP="00BC2FC4">
      <w:pPr>
        <w:spacing w:line="276" w:lineRule="auto"/>
        <w:ind w:left="851" w:right="902"/>
        <w:contextualSpacing/>
        <w:jc w:val="center"/>
        <w:rPr>
          <w:rFonts w:ascii="Palatino Linotype" w:hAnsi="Palatino Linotype" w:cs="Arial"/>
          <w:bCs/>
          <w:i/>
          <w:sz w:val="22"/>
          <w:szCs w:val="22"/>
          <w:lang w:val="es-ES"/>
        </w:rPr>
      </w:pPr>
    </w:p>
    <w:p w14:paraId="6E535B1B"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r w:rsidRPr="00846A59">
        <w:rPr>
          <w:rFonts w:ascii="Palatino Linotype" w:hAnsi="Palatino Linotype" w:cs="Arial"/>
          <w:bCs/>
          <w:i/>
          <w:sz w:val="22"/>
          <w:szCs w:val="22"/>
          <w:lang w:val="es-ES"/>
        </w:rPr>
        <w:t>“</w:t>
      </w:r>
      <w:r w:rsidRPr="00846A59">
        <w:rPr>
          <w:rFonts w:ascii="Palatino Linotype" w:hAnsi="Palatino Linotype" w:cs="Arial"/>
          <w:b/>
          <w:i/>
          <w:sz w:val="22"/>
          <w:szCs w:val="22"/>
          <w:lang w:val="es-ES"/>
        </w:rPr>
        <w:t>Artículo 46</w:t>
      </w:r>
      <w:bookmarkEnd w:id="45"/>
      <w:r w:rsidRPr="00846A59">
        <w:rPr>
          <w:rFonts w:ascii="Palatino Linotype" w:hAnsi="Palatino Linotype" w:cs="Arial"/>
          <w:b/>
          <w:i/>
          <w:sz w:val="22"/>
          <w:szCs w:val="22"/>
          <w:lang w:val="es-ES"/>
        </w:rPr>
        <w:t>.-</w:t>
      </w:r>
      <w:r w:rsidRPr="00846A59">
        <w:rPr>
          <w:rFonts w:ascii="Palatino Linotype" w:hAnsi="Palatino Linotype" w:cs="Arial"/>
          <w:bCs/>
          <w:i/>
          <w:sz w:val="22"/>
          <w:szCs w:val="22"/>
          <w:lang w:val="es-ES"/>
        </w:rPr>
        <w:t xml:space="preserve"> La pena de prisión produce la suspensión de los derechos políticos y los de tutela, curatela, ser apoderado, defensor, albacea, perito, depositario o interventor judicial, síndico o interventor en quiebras, árbitro, arbitrador o representante de ausentes. La suspensión comenzará desde que cause ejecutoria la sentencia respectiva y durará todo el tiempo de la condena.”</w:t>
      </w:r>
    </w:p>
    <w:p w14:paraId="0EDB0463" w14:textId="77777777" w:rsidR="00BC2FC4" w:rsidRPr="00846A59" w:rsidRDefault="00BC2FC4" w:rsidP="00BC2FC4">
      <w:pPr>
        <w:spacing w:line="276" w:lineRule="auto"/>
        <w:ind w:left="851" w:right="902"/>
        <w:contextualSpacing/>
        <w:jc w:val="center"/>
        <w:rPr>
          <w:rFonts w:ascii="Palatino Linotype" w:hAnsi="Palatino Linotype" w:cs="Arial"/>
          <w:bCs/>
          <w:i/>
          <w:sz w:val="22"/>
          <w:szCs w:val="22"/>
          <w:lang w:val="es-ES"/>
        </w:rPr>
      </w:pPr>
    </w:p>
    <w:p w14:paraId="0343FAE6" w14:textId="77777777" w:rsidR="00BC2FC4" w:rsidRPr="00846A59" w:rsidRDefault="00BC2FC4" w:rsidP="00BC2FC4">
      <w:pPr>
        <w:spacing w:line="276" w:lineRule="auto"/>
        <w:ind w:left="851" w:right="902"/>
        <w:contextualSpacing/>
        <w:jc w:val="center"/>
        <w:rPr>
          <w:rFonts w:ascii="Palatino Linotype" w:hAnsi="Palatino Linotype" w:cs="Arial"/>
          <w:b/>
          <w:i/>
          <w:sz w:val="22"/>
          <w:szCs w:val="22"/>
          <w:lang w:val="es-ES"/>
        </w:rPr>
      </w:pPr>
      <w:r w:rsidRPr="00846A59">
        <w:rPr>
          <w:rFonts w:ascii="Palatino Linotype" w:hAnsi="Palatino Linotype" w:cs="Arial"/>
          <w:b/>
          <w:i/>
          <w:sz w:val="22"/>
          <w:szCs w:val="22"/>
          <w:lang w:val="es-ES"/>
        </w:rPr>
        <w:t>Código Penal del Estado de México</w:t>
      </w:r>
    </w:p>
    <w:p w14:paraId="61FCEE1E" w14:textId="77777777" w:rsidR="00BC2FC4" w:rsidRPr="00846A59" w:rsidRDefault="00BC2FC4" w:rsidP="00BC2FC4">
      <w:pPr>
        <w:spacing w:line="276" w:lineRule="auto"/>
        <w:ind w:left="851" w:right="902"/>
        <w:contextualSpacing/>
        <w:jc w:val="center"/>
        <w:rPr>
          <w:rFonts w:ascii="Palatino Linotype" w:hAnsi="Palatino Linotype" w:cs="Arial"/>
          <w:bCs/>
          <w:i/>
          <w:sz w:val="22"/>
          <w:szCs w:val="22"/>
          <w:lang w:val="es-ES"/>
        </w:rPr>
      </w:pPr>
    </w:p>
    <w:p w14:paraId="3F47E751"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r w:rsidRPr="00846A59">
        <w:rPr>
          <w:rFonts w:ascii="Palatino Linotype" w:hAnsi="Palatino Linotype" w:cs="Arial"/>
          <w:bCs/>
          <w:i/>
          <w:sz w:val="22"/>
          <w:szCs w:val="22"/>
          <w:lang w:val="es-ES"/>
        </w:rPr>
        <w:t>“</w:t>
      </w:r>
      <w:r w:rsidRPr="00846A59">
        <w:rPr>
          <w:rFonts w:ascii="Palatino Linotype" w:hAnsi="Palatino Linotype" w:cs="Arial"/>
          <w:b/>
          <w:i/>
          <w:sz w:val="22"/>
          <w:szCs w:val="22"/>
          <w:lang w:val="es-ES"/>
        </w:rPr>
        <w:t>Artículo 41.-</w:t>
      </w:r>
      <w:r w:rsidRPr="00846A59">
        <w:rPr>
          <w:rFonts w:ascii="Palatino Linotype" w:hAnsi="Palatino Linotype" w:cs="Arial"/>
          <w:bCs/>
          <w:i/>
          <w:sz w:val="22"/>
          <w:szCs w:val="22"/>
          <w:lang w:val="es-ES"/>
        </w:rPr>
        <w:t xml:space="preserve"> La pena de prisión inhabilita para desempeñar toda clase de funciones, empleos y comisiones y suspende el ejercicio de las funciones y empleos que desempeñe el inculpado, aunque se suspendiere la ejecución de la misma.</w:t>
      </w:r>
    </w:p>
    <w:p w14:paraId="4481E6EB"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p>
    <w:p w14:paraId="46848CB4" w14:textId="77777777" w:rsidR="00BC2FC4" w:rsidRPr="00846A59" w:rsidRDefault="00BC2FC4" w:rsidP="00BC2FC4">
      <w:pPr>
        <w:spacing w:line="276" w:lineRule="auto"/>
        <w:ind w:left="851" w:right="902"/>
        <w:contextualSpacing/>
        <w:jc w:val="both"/>
        <w:rPr>
          <w:rFonts w:ascii="Palatino Linotype" w:hAnsi="Palatino Linotype" w:cs="Arial"/>
          <w:bCs/>
          <w:i/>
          <w:sz w:val="22"/>
          <w:szCs w:val="22"/>
          <w:lang w:val="es-ES"/>
        </w:rPr>
      </w:pPr>
      <w:r w:rsidRPr="00846A59">
        <w:rPr>
          <w:rFonts w:ascii="Palatino Linotype" w:hAnsi="Palatino Linotype" w:cs="Arial"/>
          <w:b/>
          <w:i/>
          <w:sz w:val="22"/>
          <w:szCs w:val="22"/>
          <w:lang w:val="es-ES"/>
        </w:rPr>
        <w:lastRenderedPageBreak/>
        <w:t>Artículo 44.-</w:t>
      </w:r>
      <w:r w:rsidRPr="00846A59">
        <w:rPr>
          <w:rFonts w:ascii="Palatino Linotype" w:hAnsi="Palatino Linotype" w:cs="Arial"/>
          <w:bCs/>
          <w:i/>
          <w:sz w:val="22"/>
          <w:szCs w:val="22"/>
          <w:lang w:val="es-ES"/>
        </w:rPr>
        <w:t xml:space="preserve"> La prisión suspende o interrumpe los derechos políticos y de tutela, curatela, apoderado, defensor, albacea, perito, interventor de quiebra, árbitro y representante de ausentes. Concluido el tiempo o causa de la suspensión de derechos, la rehabilitación operara sin necesidad de declaratoria judicial.”</w:t>
      </w:r>
    </w:p>
    <w:p w14:paraId="6616AC3B" w14:textId="77777777" w:rsidR="00BC2FC4" w:rsidRPr="00846A59" w:rsidRDefault="00BC2FC4" w:rsidP="00BC2FC4">
      <w:pPr>
        <w:spacing w:line="276" w:lineRule="auto"/>
        <w:ind w:left="851" w:right="902"/>
        <w:contextualSpacing/>
        <w:jc w:val="both"/>
        <w:rPr>
          <w:rFonts w:ascii="Palatino Linotype" w:hAnsi="Palatino Linotype" w:cs="Arial"/>
          <w:bCs/>
          <w:iCs/>
          <w:sz w:val="22"/>
          <w:szCs w:val="22"/>
        </w:rPr>
      </w:pPr>
      <w:r w:rsidRPr="00846A59">
        <w:rPr>
          <w:rFonts w:ascii="Palatino Linotype" w:hAnsi="Palatino Linotype" w:cs="Arial"/>
          <w:bCs/>
          <w:iCs/>
          <w:sz w:val="22"/>
          <w:szCs w:val="22"/>
        </w:rPr>
        <w:t>(Énfasis añadido)</w:t>
      </w:r>
    </w:p>
    <w:p w14:paraId="1CA0B183" w14:textId="77777777" w:rsidR="006D71AF" w:rsidRPr="00846A59" w:rsidRDefault="006D71AF" w:rsidP="00BC2FC4">
      <w:pPr>
        <w:spacing w:line="276" w:lineRule="auto"/>
        <w:ind w:left="851" w:right="902"/>
        <w:contextualSpacing/>
        <w:jc w:val="both"/>
        <w:rPr>
          <w:rFonts w:ascii="Palatino Linotype" w:hAnsi="Palatino Linotype" w:cs="Arial"/>
          <w:bCs/>
          <w:iCs/>
          <w:sz w:val="22"/>
          <w:szCs w:val="22"/>
        </w:rPr>
      </w:pPr>
    </w:p>
    <w:p w14:paraId="66072592" w14:textId="77777777" w:rsidR="00BC2FC4" w:rsidRPr="00846A59" w:rsidRDefault="00BC2FC4" w:rsidP="00BC2FC4">
      <w:pPr>
        <w:numPr>
          <w:ilvl w:val="0"/>
          <w:numId w:val="2"/>
        </w:numPr>
        <w:spacing w:line="360" w:lineRule="auto"/>
        <w:ind w:left="0" w:right="49" w:firstLine="0"/>
        <w:contextualSpacing/>
        <w:jc w:val="both"/>
        <w:rPr>
          <w:rFonts w:ascii="Palatino Linotype" w:eastAsia="MS Mincho" w:hAnsi="Palatino Linotype"/>
          <w:sz w:val="24"/>
        </w:rPr>
      </w:pPr>
      <w:r w:rsidRPr="00846A59">
        <w:rPr>
          <w:rFonts w:ascii="Palatino Linotype" w:eastAsia="Palatino Linotype" w:hAnsi="Palatino Linotype" w:cs="Palatino Linotype"/>
          <w:sz w:val="24"/>
        </w:rPr>
        <w:t>En este sentido, el Manual de Normas y Procedimientos de Desarrollo y Administración de Personal en el Procedimiento 021 “ALTA DE SERVIDORES PÚBLICOS GENERALES Y DE CONFIANZA” establece en las normas 20301/021-01 y 20301/021-11, lo siguiente:</w:t>
      </w:r>
    </w:p>
    <w:p w14:paraId="3B3937A4" w14:textId="77777777" w:rsidR="00BC2FC4" w:rsidRPr="00846A59" w:rsidRDefault="00BC2FC4" w:rsidP="00BC2FC4">
      <w:pPr>
        <w:spacing w:line="360" w:lineRule="auto"/>
        <w:ind w:right="49"/>
        <w:contextualSpacing/>
        <w:jc w:val="both"/>
        <w:rPr>
          <w:rFonts w:ascii="Palatino Linotype" w:eastAsia="MS Mincho" w:hAnsi="Palatino Linotype"/>
        </w:rPr>
      </w:pPr>
    </w:p>
    <w:p w14:paraId="1D18741C" w14:textId="77777777" w:rsidR="00BC2FC4" w:rsidRPr="00846A59" w:rsidRDefault="00BC2FC4" w:rsidP="00BC2FC4">
      <w:pPr>
        <w:spacing w:line="360" w:lineRule="auto"/>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“20301/021-01 Es política del Gobierno del Estado de México no hacer discriminación alguna para el ingreso de servidores públicos, por motivo de sexo, credo religioso, edad, raza o filiación política,…”</w:t>
      </w:r>
    </w:p>
    <w:p w14:paraId="4E2B0E5E" w14:textId="77777777" w:rsidR="00BC2FC4" w:rsidRPr="00846A59" w:rsidRDefault="00BC2FC4" w:rsidP="00BC2FC4">
      <w:pPr>
        <w:spacing w:line="360" w:lineRule="auto"/>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14:paraId="64D30ED4" w14:textId="77777777" w:rsidR="00BC2FC4" w:rsidRPr="00846A59" w:rsidRDefault="00BC2FC4" w:rsidP="00BC2FC4">
      <w:pPr>
        <w:ind w:left="851" w:right="851"/>
        <w:jc w:val="both"/>
        <w:rPr>
          <w:rFonts w:ascii="Palatino Linotype" w:eastAsia="Palatino Linotype" w:hAnsi="Palatino Linotype" w:cs="Palatino Linotype"/>
          <w:i/>
          <w:sz w:val="22"/>
          <w:szCs w:val="22"/>
        </w:rPr>
      </w:pPr>
    </w:p>
    <w:p w14:paraId="0FECBD53" w14:textId="77777777" w:rsidR="00BC2FC4" w:rsidRPr="00846A59" w:rsidRDefault="00BC2FC4" w:rsidP="00BC2FC4">
      <w:pPr>
        <w:pStyle w:val="Prrafodelista"/>
        <w:numPr>
          <w:ilvl w:val="0"/>
          <w:numId w:val="2"/>
        </w:numPr>
        <w:spacing w:before="240" w:after="240" w:line="360" w:lineRule="auto"/>
        <w:ind w:left="0" w:firstLine="0"/>
        <w:jc w:val="both"/>
        <w:rPr>
          <w:rFonts w:ascii="Palatino Linotype" w:eastAsia="Palatino Linotype" w:hAnsi="Palatino Linotype" w:cs="Palatino Linotype"/>
          <w:sz w:val="24"/>
        </w:rPr>
      </w:pPr>
      <w:r w:rsidRPr="00846A59">
        <w:rPr>
          <w:rFonts w:ascii="Palatino Linotype" w:eastAsia="Palatino Linotype" w:hAnsi="Palatino Linotype" w:cs="Palatino Linotype"/>
          <w:sz w:val="24"/>
        </w:rPr>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14:paraId="0827D89F" w14:textId="77777777" w:rsidR="00BC2FC4" w:rsidRPr="00846A59" w:rsidRDefault="00BC2FC4" w:rsidP="00BC2FC4">
      <w:pPr>
        <w:spacing w:line="360" w:lineRule="auto"/>
        <w:ind w:left="851" w:right="851"/>
        <w:jc w:val="both"/>
        <w:rPr>
          <w:rFonts w:ascii="Palatino Linotype" w:eastAsia="Palatino Linotype" w:hAnsi="Palatino Linotype" w:cs="Palatino Linotype"/>
          <w:sz w:val="22"/>
          <w:szCs w:val="22"/>
        </w:rPr>
      </w:pPr>
      <w:r w:rsidRPr="00846A59">
        <w:rPr>
          <w:rFonts w:ascii="Palatino Linotype" w:eastAsia="Palatino Linotype" w:hAnsi="Palatino Linotype" w:cs="Palatino Linotype"/>
          <w:i/>
          <w:sz w:val="22"/>
          <w:szCs w:val="22"/>
        </w:rPr>
        <w:t>“</w:t>
      </w:r>
      <w:r w:rsidRPr="00846A59">
        <w:rPr>
          <w:rFonts w:ascii="Palatino Linotype" w:eastAsia="Palatino Linotype" w:hAnsi="Palatino Linotype" w:cs="Palatino Linotype"/>
          <w:b/>
          <w:i/>
          <w:sz w:val="22"/>
          <w:szCs w:val="22"/>
        </w:rPr>
        <w:t>CUARTO</w:t>
      </w:r>
      <w:r w:rsidRPr="00846A59">
        <w:rPr>
          <w:rFonts w:ascii="Palatino Linotype" w:eastAsia="Palatino Linotype" w:hAnsi="Palatino Linotype" w:cs="Palatino Linotype"/>
          <w:i/>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846A59">
        <w:rPr>
          <w:rFonts w:ascii="Palatino Linotype" w:eastAsia="Palatino Linotype" w:hAnsi="Palatino Linotype" w:cs="Palatino Linotype"/>
          <w:sz w:val="22"/>
          <w:szCs w:val="22"/>
        </w:rPr>
        <w:t>.”</w:t>
      </w:r>
    </w:p>
    <w:p w14:paraId="7BADF977" w14:textId="77777777" w:rsidR="00BC2FC4" w:rsidRPr="00846A59" w:rsidRDefault="00BC2FC4" w:rsidP="00BC2FC4">
      <w:pPr>
        <w:spacing w:line="360" w:lineRule="auto"/>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w:t>
      </w:r>
      <w:r w:rsidRPr="00846A59">
        <w:rPr>
          <w:rFonts w:ascii="Palatino Linotype" w:eastAsia="Palatino Linotype" w:hAnsi="Palatino Linotype" w:cs="Palatino Linotype"/>
          <w:b/>
          <w:i/>
          <w:sz w:val="22"/>
          <w:szCs w:val="22"/>
        </w:rPr>
        <w:t>SÉPTIMO</w:t>
      </w:r>
      <w:r w:rsidRPr="00846A59">
        <w:rPr>
          <w:rFonts w:ascii="Palatino Linotype" w:eastAsia="Palatino Linotype" w:hAnsi="Palatino Linotype" w:cs="Palatino Linotype"/>
          <w:i/>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5C4842CA" w14:textId="77777777" w:rsidR="00BC2FC4" w:rsidRPr="00846A59" w:rsidRDefault="00BC2FC4" w:rsidP="00BC2FC4">
      <w:pPr>
        <w:spacing w:line="360" w:lineRule="auto"/>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Realizar el pago de derechos por la expedición del Certificado de No Antecedentes Penales de la forma que a continuación se indica:</w:t>
      </w:r>
    </w:p>
    <w:p w14:paraId="5B372343" w14:textId="77777777" w:rsidR="00BC2FC4" w:rsidRPr="00846A59" w:rsidRDefault="00BC2FC4" w:rsidP="00BC2FC4">
      <w:pPr>
        <w:numPr>
          <w:ilvl w:val="0"/>
          <w:numId w:val="31"/>
        </w:num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sz w:val="22"/>
          <w:szCs w:val="22"/>
        </w:rPr>
      </w:pPr>
      <w:r w:rsidRPr="00846A59">
        <w:rPr>
          <w:rFonts w:ascii="Palatino Linotype" w:eastAsia="Palatino Linotype" w:hAnsi="Palatino Linotype" w:cs="Palatino Linotype"/>
          <w:color w:val="000000"/>
          <w:sz w:val="22"/>
          <w:szCs w:val="22"/>
        </w:rPr>
        <w:t xml:space="preserve"> </w:t>
      </w:r>
      <w:r w:rsidRPr="00846A59">
        <w:rPr>
          <w:rFonts w:ascii="Palatino Linotype" w:eastAsia="Palatino Linotype" w:hAnsi="Palatino Linotype" w:cs="Palatino Linotype"/>
          <w:i/>
          <w:color w:val="000000"/>
          <w:sz w:val="22"/>
          <w:szCs w:val="22"/>
        </w:rPr>
        <w:t xml:space="preserve">Ingresar a la página electrónica www.edomex.gob.mx: Hacer "click en el botón "Portal de Servicios al Contribuyente, Pagos Electrónicos"; </w:t>
      </w:r>
    </w:p>
    <w:p w14:paraId="6D50A00C" w14:textId="77777777" w:rsidR="00BC2FC4" w:rsidRPr="00846A59" w:rsidRDefault="00BC2FC4" w:rsidP="00BC2FC4">
      <w:pPr>
        <w:numPr>
          <w:ilvl w:val="0"/>
          <w:numId w:val="31"/>
        </w:numPr>
        <w:spacing w:line="360" w:lineRule="auto"/>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lastRenderedPageBreak/>
        <w:t>Hacer "click" en el botón "Derechos" y a continuación en "No Antecedentes Penales"; Llenar el "Formulario de Pago Estatal Procuraduría", e. imprimir el formulario y acudir a realizar el pago en cualquiera de las instituciones bancarias señaladas en el mismo.</w:t>
      </w:r>
    </w:p>
    <w:p w14:paraId="4918DCFA" w14:textId="77777777" w:rsidR="00BC2FC4" w:rsidRPr="00846A59" w:rsidRDefault="00BC2FC4" w:rsidP="00BC2FC4">
      <w:pPr>
        <w:numPr>
          <w:ilvl w:val="0"/>
          <w:numId w:val="31"/>
        </w:numPr>
        <w:spacing w:line="360" w:lineRule="auto"/>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 Hecho el pago de derechos, ingresar a la página www.eciornex.dob.mx/pgiern y proceder como sigue: Hacer "click" en el botón "Expedición de Certificado de No Antecedentes Penales" y llenar el Formato correspondiente; dar "click"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59E23CF5" w14:textId="77777777" w:rsidR="00BC2FC4" w:rsidRPr="00846A59" w:rsidRDefault="00BC2FC4" w:rsidP="00BC2FC4">
      <w:pPr>
        <w:spacing w:line="360" w:lineRule="auto"/>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w:t>
      </w:r>
      <w:r w:rsidRPr="00846A59">
        <w:rPr>
          <w:rFonts w:ascii="Palatino Linotype" w:eastAsia="Palatino Linotype" w:hAnsi="Palatino Linotype" w:cs="Palatino Linotype"/>
          <w:b/>
          <w:i/>
          <w:sz w:val="22"/>
          <w:szCs w:val="22"/>
        </w:rPr>
        <w:t>OCTAVO.</w:t>
      </w:r>
      <w:r w:rsidRPr="00846A59">
        <w:rPr>
          <w:rFonts w:ascii="Palatino Linotype" w:eastAsia="Palatino Linotype" w:hAnsi="Palatino Linotype" w:cs="Palatino Linotype"/>
          <w:i/>
          <w:sz w:val="22"/>
          <w:szCs w:val="22"/>
        </w:rPr>
        <w:t xml:space="preserve"> El Instituto de Servicios Periciales expedirá </w:t>
      </w:r>
      <w:r w:rsidRPr="00846A59">
        <w:rPr>
          <w:rFonts w:ascii="Palatino Linotype" w:eastAsia="Palatino Linotype" w:hAnsi="Palatino Linotype" w:cs="Palatino Linotype"/>
          <w:b/>
          <w:i/>
          <w:sz w:val="22"/>
          <w:szCs w:val="22"/>
        </w:rPr>
        <w:t>un Informe</w:t>
      </w:r>
      <w:r w:rsidRPr="00846A59">
        <w:rPr>
          <w:rFonts w:ascii="Palatino Linotype" w:eastAsia="Palatino Linotype" w:hAnsi="Palatino Linotype" w:cs="Palatino Linotype"/>
          <w:i/>
          <w:sz w:val="22"/>
          <w:szCs w:val="22"/>
        </w:rPr>
        <w:t xml:space="preserve">, a través de medios electrónicos, cuyo trámite será gratuito. Para tal efecto, el interesado deberá ingresar a la página electrónica www.edomex.gob.mx/pcliem y realizar lo siguiente: </w:t>
      </w:r>
    </w:p>
    <w:p w14:paraId="5749708C" w14:textId="77777777" w:rsidR="00BC2FC4" w:rsidRPr="00846A59" w:rsidRDefault="00BC2FC4" w:rsidP="00BC2FC4">
      <w:pPr>
        <w:numPr>
          <w:ilvl w:val="0"/>
          <w:numId w:val="32"/>
        </w:numPr>
        <w:spacing w:line="360" w:lineRule="auto"/>
        <w:ind w:left="851" w:right="851" w:hanging="426"/>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Llenar el Formato con los siguientes datos: </w:t>
      </w:r>
    </w:p>
    <w:p w14:paraId="376F9A21"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Nombre; </w:t>
      </w:r>
    </w:p>
    <w:p w14:paraId="4F78B3B6"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Apellido Paterno; </w:t>
      </w:r>
    </w:p>
    <w:p w14:paraId="64933125"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Apellido Materno; </w:t>
      </w:r>
    </w:p>
    <w:p w14:paraId="7DD14515"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Fecha de Nacimiento (dd/mm/aaaa):</w:t>
      </w:r>
    </w:p>
    <w:p w14:paraId="6054455E"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Registro Federal de Contribuyentes (RFC); </w:t>
      </w:r>
    </w:p>
    <w:p w14:paraId="1BF6020A"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Clave Única de Registro de Población (CURP); </w:t>
      </w:r>
    </w:p>
    <w:p w14:paraId="47B8F9C5"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Número de folio de la identificación: </w:t>
      </w:r>
    </w:p>
    <w:p w14:paraId="1E52E6FD"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Teléfono fijo y móvil;</w:t>
      </w:r>
    </w:p>
    <w:p w14:paraId="6D744B61"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lastRenderedPageBreak/>
        <w:t xml:space="preserve">Correo Electrónico, </w:t>
      </w:r>
    </w:p>
    <w:p w14:paraId="217CAF6B"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Domicilio, que contendrá: Calle, número exterior, número interior, Colonia, Código Postal y Municipio dentro del Estado de México. </w:t>
      </w:r>
    </w:p>
    <w:p w14:paraId="476253FE" w14:textId="77777777" w:rsidR="00BC2FC4" w:rsidRPr="00846A59" w:rsidRDefault="00BC2FC4" w:rsidP="00BC2FC4">
      <w:pPr>
        <w:numPr>
          <w:ilvl w:val="1"/>
          <w:numId w:val="33"/>
        </w:numPr>
        <w:spacing w:line="360" w:lineRule="auto"/>
        <w:ind w:left="1134"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14:paraId="223D12FD" w14:textId="77777777" w:rsidR="00BC2FC4" w:rsidRPr="00846A59" w:rsidRDefault="00BC2FC4" w:rsidP="00BC2FC4">
      <w:pPr>
        <w:numPr>
          <w:ilvl w:val="0"/>
          <w:numId w:val="32"/>
        </w:numPr>
        <w:spacing w:line="360" w:lineRule="auto"/>
        <w:ind w:left="851" w:right="851" w:hanging="360"/>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Dar "click"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1C0E33FA" w14:textId="77777777" w:rsidR="00BC2FC4" w:rsidRPr="00846A59" w:rsidRDefault="00BC2FC4" w:rsidP="00BC2FC4">
      <w:pPr>
        <w:spacing w:line="360" w:lineRule="auto"/>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b/>
          <w:i/>
          <w:sz w:val="22"/>
          <w:szCs w:val="22"/>
        </w:rPr>
        <w:t>NOVENO</w:t>
      </w:r>
      <w:r w:rsidRPr="00846A59">
        <w:rPr>
          <w:rFonts w:ascii="Palatino Linotype" w:eastAsia="Palatino Linotype" w:hAnsi="Palatino Linotype" w:cs="Palatino Linotype"/>
          <w:i/>
          <w:sz w:val="22"/>
          <w:szCs w:val="22"/>
        </w:rPr>
        <w:t xml:space="preserve">. El Informe será emitido únicamente en relación con los </w:t>
      </w:r>
      <w:r w:rsidRPr="00846A59">
        <w:rPr>
          <w:rFonts w:ascii="Palatino Linotype" w:eastAsia="Palatino Linotype" w:hAnsi="Palatino Linotype" w:cs="Palatino Linotype"/>
          <w:i/>
          <w:sz w:val="22"/>
          <w:szCs w:val="22"/>
          <w:u w:val="single"/>
        </w:rPr>
        <w:t>datos proporcionados por el interesado</w:t>
      </w:r>
      <w:r w:rsidRPr="00846A59">
        <w:rPr>
          <w:rFonts w:ascii="Palatino Linotype" w:eastAsia="Palatino Linotype" w:hAnsi="Palatino Linotype" w:cs="Palatino Linotype"/>
          <w:i/>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aplicables.”(Sic)</w:t>
      </w:r>
    </w:p>
    <w:p w14:paraId="67ECBCE8" w14:textId="77777777" w:rsidR="00BC2FC4" w:rsidRPr="00846A59" w:rsidRDefault="00BC2FC4" w:rsidP="00BC2FC4">
      <w:pPr>
        <w:ind w:left="851" w:right="851"/>
        <w:jc w:val="both"/>
        <w:rPr>
          <w:rFonts w:ascii="Palatino Linotype" w:eastAsia="Palatino Linotype" w:hAnsi="Palatino Linotype" w:cs="Palatino Linotype"/>
          <w:i/>
          <w:sz w:val="22"/>
          <w:szCs w:val="22"/>
        </w:rPr>
      </w:pPr>
    </w:p>
    <w:p w14:paraId="00180E3D" w14:textId="77777777" w:rsidR="00BC2FC4" w:rsidRPr="00846A59" w:rsidRDefault="00BC2FC4" w:rsidP="00BC2FC4">
      <w:pPr>
        <w:pStyle w:val="Prrafodelista"/>
        <w:numPr>
          <w:ilvl w:val="0"/>
          <w:numId w:val="2"/>
        </w:numPr>
        <w:spacing w:before="240" w:after="240" w:line="360" w:lineRule="auto"/>
        <w:ind w:left="0" w:firstLine="0"/>
        <w:jc w:val="both"/>
        <w:rPr>
          <w:rFonts w:ascii="Palatino Linotype" w:eastAsia="Palatino Linotype" w:hAnsi="Palatino Linotype" w:cs="Palatino Linotype"/>
          <w:sz w:val="24"/>
        </w:rPr>
      </w:pPr>
      <w:r w:rsidRPr="00846A59">
        <w:rPr>
          <w:rFonts w:ascii="Palatino Linotype" w:eastAsia="Palatino Linotype" w:hAnsi="Palatino Linotype" w:cs="Palatino Linotype"/>
          <w:sz w:val="24"/>
        </w:rPr>
        <w:lastRenderedPageBreak/>
        <w:t>De lo anterior se desprende que para expedir el certificado de antecedentes no penales o el informe respectivo, el Instituto de Servicios Periciales recabará los datos personales del interesado, de lo que resulta evidente que el certificado multirreferido contiene datos que resultan de carácter confidencial, como lo es la fecha de Nacimiento, Registro Federal de 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14:paraId="35E6FA99" w14:textId="77777777" w:rsidR="00BC2FC4" w:rsidRPr="00846A59" w:rsidRDefault="00BC2FC4" w:rsidP="00BC2FC4">
      <w:pPr>
        <w:pStyle w:val="Prrafodelista"/>
        <w:spacing w:before="240" w:after="240" w:line="360" w:lineRule="auto"/>
        <w:ind w:left="0"/>
        <w:jc w:val="both"/>
        <w:rPr>
          <w:rFonts w:ascii="Palatino Linotype" w:eastAsia="Palatino Linotype" w:hAnsi="Palatino Linotype" w:cs="Palatino Linotype"/>
          <w:sz w:val="24"/>
        </w:rPr>
      </w:pPr>
    </w:p>
    <w:p w14:paraId="7928A183" w14:textId="77777777" w:rsidR="00BC2FC4" w:rsidRPr="00846A59" w:rsidRDefault="00BC2FC4" w:rsidP="00BC2FC4">
      <w:pPr>
        <w:pStyle w:val="Prrafodelista"/>
        <w:numPr>
          <w:ilvl w:val="0"/>
          <w:numId w:val="2"/>
        </w:numPr>
        <w:spacing w:before="240" w:after="240" w:line="360" w:lineRule="auto"/>
        <w:ind w:left="0" w:firstLine="0"/>
        <w:jc w:val="both"/>
        <w:rPr>
          <w:rFonts w:ascii="Palatino Linotype" w:eastAsia="Palatino Linotype" w:hAnsi="Palatino Linotype" w:cs="Palatino Linotype"/>
          <w:sz w:val="24"/>
        </w:rPr>
      </w:pPr>
      <w:r w:rsidRPr="00846A59">
        <w:rPr>
          <w:rFonts w:ascii="Palatino Linotype" w:eastAsia="Palatino Linotype" w:hAnsi="Palatino Linotype" w:cs="Palatino Linotype"/>
          <w:sz w:val="24"/>
        </w:rPr>
        <w:t xml:space="preserve">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w:t>
      </w:r>
      <w:r w:rsidRPr="00846A59">
        <w:rPr>
          <w:rFonts w:ascii="Palatino Linotype" w:eastAsia="Palatino Linotype" w:hAnsi="Palatino Linotype" w:cs="Palatino Linotype"/>
          <w:sz w:val="24"/>
        </w:rPr>
        <w:lastRenderedPageBreak/>
        <w:t xml:space="preserve">el ejercicio de los derechos de acceso a la información y protección de datos, en la referida obra concretamente en el tema identificado con el numeral 138, “Constancia de antecedentes penales”, página 107, la cual establece que: </w:t>
      </w:r>
    </w:p>
    <w:p w14:paraId="26C91594" w14:textId="77777777" w:rsidR="00BC2FC4" w:rsidRPr="00846A59" w:rsidRDefault="00BC2FC4" w:rsidP="00BC2FC4">
      <w:pPr>
        <w:ind w:left="851" w:right="851"/>
        <w:jc w:val="both"/>
        <w:rPr>
          <w:rFonts w:ascii="Palatino Linotype" w:eastAsia="Palatino Linotype" w:hAnsi="Palatino Linotype" w:cs="Palatino Linotype"/>
          <w:i/>
          <w:sz w:val="22"/>
          <w:szCs w:val="22"/>
        </w:rPr>
      </w:pPr>
      <w:r w:rsidRPr="00846A59">
        <w:rPr>
          <w:rFonts w:ascii="Palatino Linotype" w:eastAsia="Palatino Linotype" w:hAnsi="Palatino Linotype" w:cs="Palatino Linotype"/>
          <w:i/>
          <w:sz w:val="22"/>
          <w:szCs w:val="22"/>
        </w:rPr>
        <w:t xml:space="preserve">“… </w:t>
      </w:r>
      <w:r w:rsidRPr="00846A59">
        <w:rPr>
          <w:rFonts w:ascii="Palatino Linotype" w:eastAsia="Palatino Linotype" w:hAnsi="Palatino Linotype" w:cs="Palatino Linotype"/>
          <w:b/>
          <w:i/>
          <w:sz w:val="22"/>
          <w:szCs w:val="22"/>
        </w:rPr>
        <w:t>la constancia de antecedentes penales es el documento expedido por la autoridad competente para acreditar la existencia o inexistencia de delitos cometidos por los individuos y la condena correspondiente</w:t>
      </w:r>
      <w:r w:rsidRPr="00846A59">
        <w:rPr>
          <w:rFonts w:ascii="Palatino Linotype" w:eastAsia="Palatino Linotype" w:hAnsi="Palatino Linotype" w:cs="Palatino Linotype"/>
          <w:i/>
          <w:sz w:val="22"/>
          <w:szCs w:val="22"/>
        </w:rPr>
        <w:t xml:space="preserve">, en su caso. </w:t>
      </w:r>
      <w:r w:rsidRPr="00846A59">
        <w:rPr>
          <w:rFonts w:ascii="Palatino Linotype" w:eastAsia="Palatino Linotype" w:hAnsi="Palatino Linotype" w:cs="Palatino Linotype"/>
          <w:b/>
          <w:i/>
          <w:sz w:val="22"/>
          <w:szCs w:val="22"/>
        </w:rPr>
        <w:t>La certificación corresponde a la policía y tiene importancia para determinar la reincidencia</w:t>
      </w:r>
      <w:r w:rsidRPr="00846A59">
        <w:rPr>
          <w:rFonts w:ascii="Palatino Linotype" w:eastAsia="Palatino Linotype" w:hAnsi="Palatino Linotype" w:cs="Palatino Linotype"/>
          <w:i/>
          <w:sz w:val="22"/>
          <w:szCs w:val="22"/>
        </w:rPr>
        <w:t xml:space="preserve"> (artículo 20 del Código Penal Federal), la habitualidad (artículo 21 del Código Penal Federal) </w:t>
      </w:r>
      <w:r w:rsidRPr="00846A59">
        <w:rPr>
          <w:rFonts w:ascii="Palatino Linotype" w:eastAsia="Palatino Linotype" w:hAnsi="Palatino Linotype" w:cs="Palatino Linotype"/>
          <w:b/>
          <w:i/>
          <w:sz w:val="22"/>
          <w:szCs w:val="22"/>
        </w:rPr>
        <w:t>y la posibilidad de caución</w:t>
      </w:r>
      <w:r w:rsidRPr="00846A59">
        <w:rPr>
          <w:rFonts w:ascii="Palatino Linotype" w:eastAsia="Palatino Linotype" w:hAnsi="Palatino Linotype" w:cs="Palatino Linotype"/>
          <w:i/>
          <w:sz w:val="22"/>
          <w:szCs w:val="22"/>
        </w:rPr>
        <w:t xml:space="preserve"> (artículo 402 del Código Federal de Procedimientos Penales), al respecto se precisa que materia de transparencia y acceso a la información, </w:t>
      </w:r>
      <w:r w:rsidRPr="00846A59">
        <w:rPr>
          <w:rFonts w:ascii="Palatino Linotype" w:eastAsia="Palatino Linotype" w:hAnsi="Palatino Linotype" w:cs="Palatino Linotype"/>
          <w:i/>
          <w:sz w:val="22"/>
          <w:szCs w:val="22"/>
          <w:u w:val="single"/>
        </w:rPr>
        <w:t>este acto jurídico contiene información confidencial pues se refiere a datos personales de particulares</w:t>
      </w:r>
      <w:r w:rsidRPr="00846A59">
        <w:rPr>
          <w:rFonts w:ascii="Palatino Linotype" w:eastAsia="Palatino Linotype" w:hAnsi="Palatino Linotype" w:cs="Palatino Linotype"/>
          <w:i/>
          <w:sz w:val="22"/>
          <w:szCs w:val="22"/>
        </w:rPr>
        <w:t>.” (Sic)</w:t>
      </w:r>
    </w:p>
    <w:p w14:paraId="0B4D9354" w14:textId="77777777" w:rsidR="00BC2FC4" w:rsidRPr="00846A59" w:rsidRDefault="00BC2FC4" w:rsidP="00BC2FC4">
      <w:pPr>
        <w:spacing w:line="360" w:lineRule="auto"/>
        <w:jc w:val="both"/>
        <w:rPr>
          <w:rFonts w:ascii="Palatino Linotype" w:eastAsia="Palatino Linotype" w:hAnsi="Palatino Linotype" w:cs="Palatino Linotype"/>
        </w:rPr>
      </w:pPr>
    </w:p>
    <w:p w14:paraId="42FA17F7" w14:textId="1ADDFFF6" w:rsidR="00BC2FC4" w:rsidRPr="00846A59" w:rsidRDefault="00BC2FC4" w:rsidP="00BC2FC4">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846A59">
        <w:rPr>
          <w:rFonts w:ascii="Palatino Linotype" w:eastAsia="Palatino Linotype" w:hAnsi="Palatino Linotype" w:cs="Palatino Linotype"/>
          <w:sz w:val="24"/>
        </w:rPr>
        <w:t>De lo expuesto, se concluye que un Certificado de No Antecedentes Penales constituye un documento que puede ser entregado en versión pública, al contener información confidencial en términos de los artículos 143, fracción I de la Ley de Transparencia del Estado de México y Municipios y 4, fracciones VII y VIII de la Ley de Protección de Datos Personales del Estado de México.</w:t>
      </w:r>
    </w:p>
    <w:p w14:paraId="75F2D26A" w14:textId="77777777" w:rsidR="00BC2FC4" w:rsidRPr="00846A59" w:rsidRDefault="00BC2FC4" w:rsidP="00BC2FC4">
      <w:pPr>
        <w:pStyle w:val="Prrafodelista"/>
        <w:spacing w:line="360" w:lineRule="auto"/>
        <w:ind w:left="0"/>
        <w:jc w:val="both"/>
        <w:rPr>
          <w:rFonts w:ascii="Palatino Linotype" w:eastAsia="Palatino Linotype" w:hAnsi="Palatino Linotype" w:cs="Palatino Linotype"/>
          <w:sz w:val="24"/>
        </w:rPr>
      </w:pPr>
    </w:p>
    <w:p w14:paraId="51B15004" w14:textId="23E8C5E9" w:rsidR="00BC2FC4" w:rsidRPr="00846A59" w:rsidRDefault="00BC2FC4" w:rsidP="00BC2FC4">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846A59">
        <w:rPr>
          <w:rFonts w:ascii="Palatino Linotype" w:eastAsia="Palatino Linotype" w:hAnsi="Palatino Linotype" w:cs="Palatino Linotype"/>
          <w:sz w:val="24"/>
        </w:rPr>
        <w:t>Sin embargo, no escapa de la óptica del Órgano Garante, que la inquietud del particular es relativa a acceder a información del Presidente Municipal. De dicho requerimiento, es necesario traer a contexto el artículo 115 de la Constitución Política de los Estados Unidos Mexicanos, el cual establece lo siguiente:</w:t>
      </w:r>
    </w:p>
    <w:p w14:paraId="1375A4E5" w14:textId="77777777" w:rsidR="00BC2FC4" w:rsidRPr="00846A59" w:rsidRDefault="00BC2FC4" w:rsidP="00BC2FC4">
      <w:pPr>
        <w:pStyle w:val="Prrafodelista"/>
        <w:rPr>
          <w:rFonts w:ascii="Palatino Linotype" w:eastAsia="Palatino Linotype" w:hAnsi="Palatino Linotype" w:cs="Palatino Linotype"/>
          <w:sz w:val="24"/>
        </w:rPr>
      </w:pPr>
    </w:p>
    <w:p w14:paraId="7F8438FB" w14:textId="4C25FE8B" w:rsidR="00BC2FC4" w:rsidRPr="00846A59" w:rsidRDefault="00BC2FC4" w:rsidP="00F754CF">
      <w:pPr>
        <w:pStyle w:val="Prrafodelista"/>
        <w:spacing w:line="360" w:lineRule="auto"/>
        <w:ind w:left="567" w:right="822"/>
        <w:jc w:val="center"/>
        <w:rPr>
          <w:rFonts w:ascii="Palatino Linotype" w:hAnsi="Palatino Linotype"/>
          <w:b/>
          <w:i/>
        </w:rPr>
      </w:pPr>
      <w:r w:rsidRPr="00846A59">
        <w:rPr>
          <w:rFonts w:ascii="Palatino Linotype" w:hAnsi="Palatino Linotype"/>
          <w:b/>
          <w:i/>
        </w:rPr>
        <w:t>Título Quinto</w:t>
      </w:r>
    </w:p>
    <w:p w14:paraId="33FD320B" w14:textId="0E8AE355" w:rsidR="00BC2FC4" w:rsidRPr="00846A59" w:rsidRDefault="00BC2FC4" w:rsidP="00F754CF">
      <w:pPr>
        <w:pStyle w:val="Prrafodelista"/>
        <w:spacing w:line="360" w:lineRule="auto"/>
        <w:ind w:left="567" w:right="822"/>
        <w:jc w:val="center"/>
        <w:rPr>
          <w:rFonts w:ascii="Palatino Linotype" w:hAnsi="Palatino Linotype"/>
          <w:b/>
          <w:i/>
        </w:rPr>
      </w:pPr>
      <w:r w:rsidRPr="00846A59">
        <w:rPr>
          <w:rFonts w:ascii="Palatino Linotype" w:hAnsi="Palatino Linotype"/>
          <w:b/>
          <w:i/>
        </w:rPr>
        <w:lastRenderedPageBreak/>
        <w:t>De los Estados de la Federación y de la Ciudad de México</w:t>
      </w:r>
    </w:p>
    <w:p w14:paraId="013FE7F5" w14:textId="77777777" w:rsidR="00BC2FC4" w:rsidRPr="00846A59" w:rsidRDefault="00BC2FC4" w:rsidP="00BC2FC4">
      <w:pPr>
        <w:pStyle w:val="Prrafodelista"/>
        <w:spacing w:line="360" w:lineRule="auto"/>
        <w:ind w:left="567" w:right="822"/>
        <w:jc w:val="both"/>
        <w:rPr>
          <w:rFonts w:ascii="Palatino Linotype" w:hAnsi="Palatino Linotype"/>
          <w:i/>
        </w:rPr>
      </w:pPr>
    </w:p>
    <w:p w14:paraId="3B75CE52" w14:textId="77777777" w:rsidR="00BC2FC4" w:rsidRPr="00846A59" w:rsidRDefault="00BC2FC4" w:rsidP="00BC2FC4">
      <w:pPr>
        <w:pStyle w:val="Prrafodelista"/>
        <w:spacing w:line="360" w:lineRule="auto"/>
        <w:ind w:left="567" w:right="822"/>
        <w:jc w:val="both"/>
        <w:rPr>
          <w:rFonts w:ascii="Palatino Linotype" w:hAnsi="Palatino Linotype"/>
          <w:i/>
        </w:rPr>
      </w:pPr>
      <w:r w:rsidRPr="00846A59">
        <w:rPr>
          <w:rFonts w:ascii="Palatino Linotype" w:hAnsi="Palatino Linotype"/>
          <w:i/>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69D07468" w14:textId="77777777" w:rsidR="00BC2FC4" w:rsidRPr="00846A59" w:rsidRDefault="00BC2FC4" w:rsidP="00BC2FC4">
      <w:pPr>
        <w:pStyle w:val="Prrafodelista"/>
        <w:spacing w:line="360" w:lineRule="auto"/>
        <w:ind w:left="567" w:right="822"/>
        <w:jc w:val="both"/>
        <w:rPr>
          <w:rFonts w:ascii="Palatino Linotype" w:hAnsi="Palatino Linotype"/>
          <w:i/>
        </w:rPr>
      </w:pPr>
    </w:p>
    <w:p w14:paraId="0BB25EB3" w14:textId="57E791C7" w:rsidR="00BC2FC4" w:rsidRPr="00846A59" w:rsidRDefault="00BC2FC4" w:rsidP="00BC2FC4">
      <w:pPr>
        <w:pStyle w:val="Prrafodelista"/>
        <w:spacing w:line="360" w:lineRule="auto"/>
        <w:ind w:left="567" w:right="822"/>
        <w:jc w:val="both"/>
        <w:rPr>
          <w:rFonts w:ascii="Palatino Linotype" w:eastAsia="Palatino Linotype" w:hAnsi="Palatino Linotype" w:cs="Palatino Linotype"/>
          <w:i/>
          <w:sz w:val="24"/>
        </w:rPr>
      </w:pPr>
      <w:r w:rsidRPr="00846A59">
        <w:rPr>
          <w:rFonts w:ascii="Palatino Linotype" w:hAnsi="Palatino Linotype"/>
          <w:i/>
        </w:rPr>
        <w:t>I</w:t>
      </w:r>
      <w:r w:rsidRPr="00846A59">
        <w:rPr>
          <w:rFonts w:ascii="Palatino Linotype" w:hAnsi="Palatino Linotype"/>
          <w:b/>
          <w:i/>
          <w:u w:val="single"/>
        </w:rPr>
        <w:t>. Cada Municipio será gobernado por un Ayuntamiento de elección popular directa, integrado por un Presidente o Presidenta Municipal</w:t>
      </w:r>
      <w:r w:rsidRPr="00846A59">
        <w:rPr>
          <w:rFonts w:ascii="Palatino Linotype" w:hAnsi="Palatino Linotype"/>
          <w:i/>
        </w:rPr>
        <w:t xml:space="preserve">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2757BC74" w14:textId="77777777" w:rsidR="00BC2FC4" w:rsidRPr="00846A59" w:rsidRDefault="00BC2FC4" w:rsidP="00BC2FC4">
      <w:pPr>
        <w:pStyle w:val="Prrafodelista"/>
        <w:tabs>
          <w:tab w:val="left" w:pos="567"/>
        </w:tabs>
        <w:spacing w:line="360" w:lineRule="auto"/>
        <w:ind w:left="0"/>
        <w:jc w:val="both"/>
        <w:rPr>
          <w:rFonts w:ascii="Palatino Linotype" w:eastAsia="Calibri" w:hAnsi="Palatino Linotype" w:cs="Arial"/>
          <w:sz w:val="24"/>
        </w:rPr>
      </w:pPr>
    </w:p>
    <w:p w14:paraId="6BE57A44" w14:textId="0B68720E" w:rsidR="00BC2FC4" w:rsidRPr="00846A59" w:rsidRDefault="00BC2FC4" w:rsidP="00BC2FC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De la Constitución Federal, se tiene que la autoridad máxima de los Municipios es el Ayuntamiento, el cual será elegido por elección popular y será integrado, entre otros, por un Presidente o Presidenta Municipal.</w:t>
      </w:r>
    </w:p>
    <w:p w14:paraId="5D907185" w14:textId="77777777" w:rsidR="00BC2FC4" w:rsidRPr="00846A59" w:rsidRDefault="00BC2FC4" w:rsidP="00BC2FC4">
      <w:pPr>
        <w:pStyle w:val="Prrafodelista"/>
        <w:tabs>
          <w:tab w:val="left" w:pos="567"/>
        </w:tabs>
        <w:spacing w:line="360" w:lineRule="auto"/>
        <w:ind w:left="0"/>
        <w:jc w:val="both"/>
        <w:rPr>
          <w:rFonts w:ascii="Palatino Linotype" w:eastAsia="Calibri" w:hAnsi="Palatino Linotype" w:cs="Arial"/>
          <w:sz w:val="24"/>
        </w:rPr>
      </w:pPr>
    </w:p>
    <w:p w14:paraId="095FEE09" w14:textId="222E1440" w:rsidR="00BC2FC4" w:rsidRPr="00846A59" w:rsidRDefault="00111672" w:rsidP="00BC2FC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Ahora bien, es necesario traer a contexto los artículos 16 y 17 del Código Electoral del Estado de México, los cuales contienen lo siguiente:</w:t>
      </w:r>
    </w:p>
    <w:p w14:paraId="0B0F2623" w14:textId="77777777" w:rsidR="00111672" w:rsidRPr="00846A59" w:rsidRDefault="00111672" w:rsidP="00111672">
      <w:pPr>
        <w:pStyle w:val="Prrafodelista"/>
        <w:rPr>
          <w:rFonts w:ascii="Palatino Linotype" w:eastAsia="Calibri" w:hAnsi="Palatino Linotype" w:cs="Arial"/>
          <w:sz w:val="24"/>
        </w:rPr>
      </w:pPr>
    </w:p>
    <w:p w14:paraId="4E700813" w14:textId="77777777" w:rsidR="00111672" w:rsidRPr="00846A59" w:rsidRDefault="00111672" w:rsidP="00111672">
      <w:pPr>
        <w:pStyle w:val="Prrafodelista"/>
        <w:tabs>
          <w:tab w:val="left" w:pos="567"/>
        </w:tabs>
        <w:spacing w:line="360" w:lineRule="auto"/>
        <w:ind w:left="567" w:right="539"/>
        <w:jc w:val="center"/>
        <w:rPr>
          <w:rFonts w:ascii="Palatino Linotype" w:hAnsi="Palatino Linotype"/>
          <w:b/>
          <w:i/>
        </w:rPr>
      </w:pPr>
      <w:r w:rsidRPr="00846A59">
        <w:rPr>
          <w:rFonts w:ascii="Palatino Linotype" w:hAnsi="Palatino Linotype"/>
          <w:b/>
          <w:i/>
        </w:rPr>
        <w:t>CAPÍTULO PRIMERO</w:t>
      </w:r>
    </w:p>
    <w:p w14:paraId="09AB4B3D" w14:textId="50D6C65B" w:rsidR="00111672" w:rsidRPr="00846A59" w:rsidRDefault="00111672" w:rsidP="00111672">
      <w:pPr>
        <w:pStyle w:val="Prrafodelista"/>
        <w:tabs>
          <w:tab w:val="left" w:pos="567"/>
        </w:tabs>
        <w:spacing w:line="360" w:lineRule="auto"/>
        <w:ind w:left="567" w:right="539"/>
        <w:jc w:val="center"/>
        <w:rPr>
          <w:rFonts w:ascii="Palatino Linotype" w:hAnsi="Palatino Linotype"/>
          <w:b/>
          <w:i/>
        </w:rPr>
      </w:pPr>
      <w:r w:rsidRPr="00846A59">
        <w:rPr>
          <w:rFonts w:ascii="Palatino Linotype" w:hAnsi="Palatino Linotype"/>
          <w:b/>
          <w:i/>
        </w:rPr>
        <w:t>De los requisitos de elegibilidad</w:t>
      </w:r>
    </w:p>
    <w:p w14:paraId="35A6FCAF"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p>
    <w:p w14:paraId="6238A8A1"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 xml:space="preserve">Artículo 16. Los ciudadanos que reúnan los requisitos que establece el artículo 68 de la Constitución Local son elegibles para el cargo de Gobernador del Estado de México. </w:t>
      </w:r>
    </w:p>
    <w:p w14:paraId="6FDBB19C"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 xml:space="preserve">Los ciudadanos que reúnan los requisitos que establece el artículo 40 de la Constitución Local son elegibles para los cargos de diputados a la Legislatura del Estado. </w:t>
      </w:r>
    </w:p>
    <w:p w14:paraId="6E0787C7"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p>
    <w:p w14:paraId="31F0CC57"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b/>
          <w:i/>
          <w:u w:val="single"/>
        </w:rPr>
      </w:pPr>
      <w:r w:rsidRPr="00846A59">
        <w:rPr>
          <w:rFonts w:ascii="Palatino Linotype" w:hAnsi="Palatino Linotype"/>
          <w:b/>
          <w:i/>
          <w:u w:val="single"/>
        </w:rPr>
        <w:t xml:space="preserve">Los ciudadanos que reúnan los requisitos establecidos en el artículo 119 y que no se encuentren en cualquiera de los supuestos previstos en el artículo 120 de la Constitución Local, son elegibles para ser miembros de los ayuntamientos. </w:t>
      </w:r>
    </w:p>
    <w:p w14:paraId="77433F5D"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p>
    <w:p w14:paraId="69E2DC93"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 xml:space="preserve">Los ciudadanos que se hayan separado de un cargo público para contender en un proceso electoral, podrán reincorporarse al mismo una vez concluidos los cómputos de la elección en la que participe. </w:t>
      </w:r>
    </w:p>
    <w:p w14:paraId="6DABD064"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p>
    <w:p w14:paraId="73668662"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b/>
          <w:i/>
        </w:rPr>
        <w:t>Artículo 17. Además de los requisitos señalados en el artículo anterior</w:t>
      </w:r>
      <w:r w:rsidRPr="00846A59">
        <w:rPr>
          <w:rFonts w:ascii="Palatino Linotype" w:hAnsi="Palatino Linotype"/>
          <w:i/>
        </w:rPr>
        <w:t xml:space="preserve">, </w:t>
      </w:r>
      <w:r w:rsidRPr="00846A59">
        <w:rPr>
          <w:rFonts w:ascii="Palatino Linotype" w:hAnsi="Palatino Linotype"/>
          <w:b/>
          <w:i/>
        </w:rPr>
        <w:t>los ciudadanos que aspiren a ser candidatos a</w:t>
      </w:r>
      <w:r w:rsidRPr="00846A59">
        <w:rPr>
          <w:rFonts w:ascii="Palatino Linotype" w:hAnsi="Palatino Linotype"/>
          <w:i/>
        </w:rPr>
        <w:t xml:space="preserve"> Gobernador, Diputado o </w:t>
      </w:r>
      <w:r w:rsidRPr="00846A59">
        <w:rPr>
          <w:rFonts w:ascii="Palatino Linotype" w:hAnsi="Palatino Linotype"/>
          <w:b/>
          <w:i/>
        </w:rPr>
        <w:t xml:space="preserve">miembro de Ayuntamiento </w:t>
      </w:r>
      <w:r w:rsidRPr="00846A59">
        <w:rPr>
          <w:rFonts w:ascii="Palatino Linotype" w:hAnsi="Palatino Linotype"/>
          <w:i/>
        </w:rPr>
        <w:t xml:space="preserve">deberán satisfacer lo siguiente: </w:t>
      </w:r>
    </w:p>
    <w:p w14:paraId="56064091"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p>
    <w:p w14:paraId="48E7D364"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I. Estar inscrito en el padrón electoral correspondiente y contar con la credencial para votar respectiva.</w:t>
      </w:r>
    </w:p>
    <w:p w14:paraId="24650A62"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 xml:space="preserve">II. No ser magistrado del Tribunal Superior de Justicia o del Tribunal Electoral o funcionario de este, salvo que se separe del cargo dos años antes de la fecha de inicio del proceso electoral de que se trate. </w:t>
      </w:r>
    </w:p>
    <w:p w14:paraId="2BFD61CB"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lastRenderedPageBreak/>
        <w:t xml:space="preserve">III. No formar parte del servicio profesional electoral del Instituto, salvo que se separe del cargo dos años antes de la fecha de inicio del proceso electoral de que se trate. </w:t>
      </w:r>
    </w:p>
    <w:p w14:paraId="5DF85990"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 xml:space="preserve">IV. No ser consejero electoral en el consejo general, del Instituto ni secretario ejecutivo, salvo que se separe del cargo dos años antes de la fecha de inicio del proceso electoral de que se trate. </w:t>
      </w:r>
    </w:p>
    <w:p w14:paraId="1C30FA1E"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 xml:space="preserve">V. No ser consejero electoral en los consejos distritales o municipales del Instituto ni director del mismo, durante el proceso electoral en curso. </w:t>
      </w:r>
    </w:p>
    <w:p w14:paraId="511CCDE8"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 xml:space="preserve">VI. No ser integrante del órgano de dirección de los organismos a los que la Constitución Local otorga autonomía, salvo que se separe del cargo dos años antes de la fecha de inicio del proceso electoral de que se trate; </w:t>
      </w:r>
    </w:p>
    <w:p w14:paraId="71F8DB3E" w14:textId="77777777" w:rsidR="00111672" w:rsidRPr="00846A59" w:rsidRDefault="00111672" w:rsidP="00111672">
      <w:pPr>
        <w:pStyle w:val="Prrafodelista"/>
        <w:tabs>
          <w:tab w:val="left" w:pos="567"/>
        </w:tabs>
        <w:spacing w:line="360" w:lineRule="auto"/>
        <w:ind w:left="567" w:right="539"/>
        <w:jc w:val="both"/>
        <w:rPr>
          <w:rFonts w:ascii="Palatino Linotype" w:hAnsi="Palatino Linotype"/>
          <w:i/>
        </w:rPr>
      </w:pPr>
      <w:r w:rsidRPr="00846A59">
        <w:rPr>
          <w:rFonts w:ascii="Palatino Linotype" w:hAnsi="Palatino Linotype"/>
          <w:i/>
        </w:rPr>
        <w:t xml:space="preserve">VII. No ser secretario o subsecretario de Estado, ni titular de los organismos públicos desconcentrados o descentralizados de la administración pública estatal, a menos que se separen noventa días antes de la elección. </w:t>
      </w:r>
    </w:p>
    <w:p w14:paraId="5CCBA1E8" w14:textId="72FFCF15" w:rsidR="00111672" w:rsidRPr="00846A59" w:rsidRDefault="00111672" w:rsidP="00111672">
      <w:pPr>
        <w:pStyle w:val="Prrafodelista"/>
        <w:tabs>
          <w:tab w:val="left" w:pos="567"/>
        </w:tabs>
        <w:spacing w:line="360" w:lineRule="auto"/>
        <w:ind w:left="567" w:right="539"/>
        <w:jc w:val="both"/>
        <w:rPr>
          <w:rFonts w:ascii="Palatino Linotype" w:eastAsia="Calibri" w:hAnsi="Palatino Linotype" w:cs="Arial"/>
          <w:i/>
          <w:sz w:val="24"/>
        </w:rPr>
      </w:pPr>
      <w:r w:rsidRPr="00846A59">
        <w:rPr>
          <w:rFonts w:ascii="Palatino Linotype" w:hAnsi="Palatino Linotype"/>
          <w:i/>
        </w:rPr>
        <w:t>VIII. Ser electo o designado candidato, de conformidad con los procedimientos democráticos internos del partido político que lo postule.</w:t>
      </w:r>
    </w:p>
    <w:p w14:paraId="7E5B34FA" w14:textId="77777777" w:rsidR="00111672" w:rsidRPr="00846A59" w:rsidRDefault="00111672" w:rsidP="00111672">
      <w:pPr>
        <w:pStyle w:val="Prrafodelista"/>
        <w:tabs>
          <w:tab w:val="left" w:pos="567"/>
        </w:tabs>
        <w:spacing w:line="360" w:lineRule="auto"/>
        <w:ind w:left="0"/>
        <w:jc w:val="both"/>
        <w:rPr>
          <w:rFonts w:ascii="Palatino Linotype" w:eastAsia="Calibri" w:hAnsi="Palatino Linotype" w:cs="Arial"/>
          <w:sz w:val="24"/>
        </w:rPr>
      </w:pPr>
    </w:p>
    <w:p w14:paraId="0C0C43A6" w14:textId="77777777" w:rsidR="00111672" w:rsidRPr="00846A59" w:rsidRDefault="00111672" w:rsidP="00111672">
      <w:pPr>
        <w:pStyle w:val="Prrafodelista"/>
        <w:tabs>
          <w:tab w:val="left" w:pos="567"/>
        </w:tabs>
        <w:spacing w:line="360" w:lineRule="auto"/>
        <w:ind w:left="0"/>
        <w:jc w:val="both"/>
        <w:rPr>
          <w:rFonts w:ascii="Palatino Linotype" w:eastAsia="Calibri" w:hAnsi="Palatino Linotype" w:cs="Arial"/>
          <w:sz w:val="24"/>
        </w:rPr>
      </w:pPr>
    </w:p>
    <w:p w14:paraId="1221CB6D" w14:textId="46AD191E" w:rsidR="00111672" w:rsidRPr="00846A59" w:rsidRDefault="00111672" w:rsidP="00BC2FC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hAnsi="Palatino Linotype" w:cs="Tahoma"/>
          <w:sz w:val="24"/>
        </w:rPr>
        <w:t>De lo dispuesto por el Código Electoral citado, se advierten una serie de requisitos que los ciudadanos deberán cumplir para poder participar como candidato a las elecciones, por lo que, inherentemente, es información que debe verificar y conservar el Instituto Electoral del Estado de México, para cerciorarse que todos los candidatos cumplieron los requisitos.</w:t>
      </w:r>
    </w:p>
    <w:p w14:paraId="6A44DC75" w14:textId="77777777" w:rsidR="00111672" w:rsidRPr="00846A59" w:rsidRDefault="00111672" w:rsidP="00111672">
      <w:pPr>
        <w:pStyle w:val="Prrafodelista"/>
        <w:tabs>
          <w:tab w:val="left" w:pos="567"/>
        </w:tabs>
        <w:spacing w:line="360" w:lineRule="auto"/>
        <w:ind w:left="0"/>
        <w:jc w:val="both"/>
        <w:rPr>
          <w:rFonts w:ascii="Palatino Linotype" w:eastAsia="Calibri" w:hAnsi="Palatino Linotype" w:cs="Arial"/>
          <w:sz w:val="24"/>
        </w:rPr>
      </w:pPr>
    </w:p>
    <w:p w14:paraId="6ECA6618" w14:textId="35F1495D" w:rsidR="00111672" w:rsidRPr="00846A59" w:rsidRDefault="00111672" w:rsidP="00BC2FC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lastRenderedPageBreak/>
        <w:t>Mientras que, por otra parte, los artículos 18, 19 y 20 de la Constitución Política del Estado Libre y Soberano de México establecen lo siguiente:</w:t>
      </w:r>
    </w:p>
    <w:p w14:paraId="27A2323D" w14:textId="1C131F66" w:rsidR="00111672" w:rsidRPr="00846A59" w:rsidRDefault="00111672" w:rsidP="00111672">
      <w:pPr>
        <w:pStyle w:val="Prrafodelista"/>
        <w:tabs>
          <w:tab w:val="left" w:pos="567"/>
        </w:tabs>
        <w:spacing w:line="360" w:lineRule="auto"/>
        <w:ind w:left="567" w:right="822"/>
        <w:jc w:val="center"/>
        <w:rPr>
          <w:rFonts w:ascii="Palatino Linotype" w:hAnsi="Palatino Linotype"/>
          <w:b/>
          <w:i/>
        </w:rPr>
      </w:pPr>
      <w:r w:rsidRPr="00846A59">
        <w:rPr>
          <w:rFonts w:ascii="Palatino Linotype" w:hAnsi="Palatino Linotype"/>
          <w:b/>
          <w:i/>
        </w:rPr>
        <w:t>CAPITULO SEGUNDO</w:t>
      </w:r>
    </w:p>
    <w:p w14:paraId="04984B42" w14:textId="146E2887" w:rsidR="00111672" w:rsidRPr="00846A59" w:rsidRDefault="00111672" w:rsidP="00111672">
      <w:pPr>
        <w:pStyle w:val="Prrafodelista"/>
        <w:tabs>
          <w:tab w:val="left" w:pos="567"/>
        </w:tabs>
        <w:spacing w:line="360" w:lineRule="auto"/>
        <w:ind w:left="567" w:right="822"/>
        <w:jc w:val="center"/>
        <w:rPr>
          <w:rFonts w:ascii="Palatino Linotype" w:hAnsi="Palatino Linotype"/>
          <w:b/>
          <w:i/>
        </w:rPr>
      </w:pPr>
      <w:r w:rsidRPr="00846A59">
        <w:rPr>
          <w:rFonts w:ascii="Palatino Linotype" w:hAnsi="Palatino Linotype"/>
          <w:b/>
          <w:i/>
        </w:rPr>
        <w:t>De los Miembros de los Ayuntamientos</w:t>
      </w:r>
    </w:p>
    <w:p w14:paraId="611578C4"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p>
    <w:p w14:paraId="203121E2"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b/>
          <w:i/>
        </w:rPr>
        <w:t>Artículo 118.- Los miembros de un ayuntamiento serán designados en una sola elección</w:t>
      </w:r>
      <w:r w:rsidRPr="00846A59">
        <w:rPr>
          <w:rFonts w:ascii="Palatino Linotype" w:hAnsi="Palatino Linotype"/>
          <w:i/>
        </w:rPr>
        <w:t xml:space="preserve">. Se distinguirán las regidoras y los regidores por el orden numérico y los síndicos cuando sean dos, en la misma forma. </w:t>
      </w:r>
    </w:p>
    <w:p w14:paraId="10698B18"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p>
    <w:p w14:paraId="0FC6DA1D" w14:textId="17ED9493"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Las regidoras y los regidores de mayoría relativa y de representación proporcional tendrán los mismos derechos y obligaciones, conforme a la ley de la materia. Las síndicas electas y los síndicos electos por ambas fórmulas tendrán las atribuciones que les señale la ley.</w:t>
      </w:r>
    </w:p>
    <w:p w14:paraId="3C09DA55"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p>
    <w:p w14:paraId="6109B4B6" w14:textId="5F551208"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Por cada miembro del ayuntamiento que se elija como propietario se elegirá un suplente</w:t>
      </w:r>
    </w:p>
    <w:p w14:paraId="5C8F4F9F"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b/>
          <w:i/>
        </w:rPr>
        <w:t>Artículo 119.- Para ser miembro propietario o suplente de un ayuntamiento se requiere</w:t>
      </w:r>
      <w:r w:rsidRPr="00846A59">
        <w:rPr>
          <w:rFonts w:ascii="Palatino Linotype" w:hAnsi="Palatino Linotype"/>
          <w:i/>
        </w:rPr>
        <w:t xml:space="preserve">: </w:t>
      </w:r>
    </w:p>
    <w:p w14:paraId="5DA1941F" w14:textId="00EE634D"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I. Ser mexicana o mexicano, ciudadana o ciudadano del Estado, en pleno ejercicio de sus derechos;</w:t>
      </w:r>
    </w:p>
    <w:p w14:paraId="71D7525D"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II. Ser mexiquense con residencia efectiva en el municipio no menor a un año o vecino del mismo, con residencia efectiva en su territorio no menor a tres años, anteriores al día de la elección; y </w:t>
      </w:r>
    </w:p>
    <w:p w14:paraId="7694042E"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III. Ser de reconocida probidad y buena fama pública. </w:t>
      </w:r>
    </w:p>
    <w:p w14:paraId="41926495"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b/>
          <w:i/>
        </w:rPr>
        <w:lastRenderedPageBreak/>
        <w:t>IV. No estar condenada o condenado por sentencia ejecutoriada por el delito de violencia política contra las mujeres en razón de género</w:t>
      </w:r>
      <w:r w:rsidRPr="00846A59">
        <w:rPr>
          <w:rFonts w:ascii="Palatino Linotype" w:hAnsi="Palatino Linotype"/>
          <w:i/>
        </w:rPr>
        <w:t xml:space="preserve">; </w:t>
      </w:r>
    </w:p>
    <w:p w14:paraId="5D5762A6" w14:textId="77777777" w:rsidR="00111672" w:rsidRPr="00846A59" w:rsidRDefault="00111672" w:rsidP="00111672">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 No estar inscrito en el Registro de Deudores Alimentarios Morosos en el Estado, ni en otra entidad federativa, y </w:t>
      </w:r>
    </w:p>
    <w:p w14:paraId="546440F6" w14:textId="7C706BE5" w:rsidR="00111672" w:rsidRPr="00846A59" w:rsidRDefault="00111672" w:rsidP="00111672">
      <w:pPr>
        <w:pStyle w:val="Prrafodelista"/>
        <w:tabs>
          <w:tab w:val="left" w:pos="567"/>
        </w:tabs>
        <w:spacing w:line="360" w:lineRule="auto"/>
        <w:ind w:left="567" w:right="822"/>
        <w:jc w:val="both"/>
        <w:rPr>
          <w:rFonts w:ascii="Palatino Linotype" w:eastAsia="Calibri" w:hAnsi="Palatino Linotype" w:cs="Arial"/>
          <w:b/>
          <w:i/>
          <w:sz w:val="24"/>
        </w:rPr>
      </w:pPr>
      <w:r w:rsidRPr="00846A59">
        <w:rPr>
          <w:rFonts w:ascii="Palatino Linotype" w:hAnsi="Palatino Linotype"/>
          <w:b/>
          <w:i/>
        </w:rPr>
        <w:t>VI. No estar condenada o condenado por sentencia ejecutoriada por delitos de violencia familiar, contra la libertad sexual o de violencia de género.</w:t>
      </w:r>
    </w:p>
    <w:p w14:paraId="23B4DC9C" w14:textId="77777777" w:rsidR="00111672" w:rsidRPr="00846A59" w:rsidRDefault="00111672" w:rsidP="00111672">
      <w:pPr>
        <w:pStyle w:val="Prrafodelista"/>
        <w:rPr>
          <w:rFonts w:ascii="Palatino Linotype" w:eastAsia="Calibri" w:hAnsi="Palatino Linotype" w:cs="Arial"/>
          <w:sz w:val="24"/>
        </w:rPr>
      </w:pPr>
    </w:p>
    <w:p w14:paraId="157218AA" w14:textId="77777777" w:rsidR="00111672" w:rsidRPr="00846A59" w:rsidRDefault="00111672" w:rsidP="00111672">
      <w:pPr>
        <w:tabs>
          <w:tab w:val="left" w:pos="567"/>
        </w:tabs>
        <w:spacing w:line="360" w:lineRule="auto"/>
        <w:jc w:val="both"/>
        <w:rPr>
          <w:rFonts w:ascii="Palatino Linotype" w:eastAsia="Calibri" w:hAnsi="Palatino Linotype" w:cs="Arial"/>
          <w:sz w:val="24"/>
        </w:rPr>
      </w:pPr>
    </w:p>
    <w:p w14:paraId="3719EAF2" w14:textId="54910EB6" w:rsidR="00F754CF" w:rsidRPr="00846A59" w:rsidRDefault="00F754CF" w:rsidP="00BC2FC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hAnsi="Palatino Linotype" w:cs="Tahoma"/>
          <w:sz w:val="24"/>
        </w:rPr>
        <w:t>A diferencia de lo que dispone el Código Electoral, para los ciudadanos que participen para elecciones de miembros del Ayuntamiento, los requisitos que dispone la Constitución Local, son para los aquellos ciudadanos electos y que forman parte activa de los Ayuntamientos, esto es, que corresponde al área de Administración, o Recursos Humanos o equivalente, verificar que los miembros activos de los Ayuntamientos, cumplan con los requisitos que enlista el artículo 119 de la Constitución Local,</w:t>
      </w:r>
    </w:p>
    <w:p w14:paraId="3F9855BC" w14:textId="77777777" w:rsidR="00F754CF" w:rsidRPr="00846A59" w:rsidRDefault="00F754CF" w:rsidP="00F754CF">
      <w:pPr>
        <w:pStyle w:val="Prrafodelista"/>
        <w:tabs>
          <w:tab w:val="left" w:pos="567"/>
        </w:tabs>
        <w:spacing w:line="360" w:lineRule="auto"/>
        <w:ind w:left="0"/>
        <w:jc w:val="both"/>
        <w:rPr>
          <w:rFonts w:ascii="Palatino Linotype" w:eastAsia="Calibri" w:hAnsi="Palatino Linotype" w:cs="Arial"/>
          <w:sz w:val="24"/>
        </w:rPr>
      </w:pPr>
    </w:p>
    <w:p w14:paraId="0F3F2FC9" w14:textId="3EB8B70E" w:rsidR="00F754CF" w:rsidRPr="00846A59" w:rsidRDefault="00F754CF" w:rsidP="00BC2FC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hAnsi="Palatino Linotype" w:cs="Tahoma"/>
          <w:sz w:val="24"/>
        </w:rPr>
        <w:t>La Ley del Trabajo de los Servidores Públicos del Estado y Municipios no contempla el Certificado</w:t>
      </w:r>
      <w:r w:rsidR="00443F2A" w:rsidRPr="00846A59">
        <w:rPr>
          <w:rFonts w:ascii="Palatino Linotype" w:hAnsi="Palatino Linotype" w:cs="Tahoma"/>
          <w:sz w:val="24"/>
        </w:rPr>
        <w:t xml:space="preserve"> o Informe</w:t>
      </w:r>
      <w:r w:rsidRPr="00846A59">
        <w:rPr>
          <w:rFonts w:ascii="Palatino Linotype" w:hAnsi="Palatino Linotype" w:cs="Tahoma"/>
          <w:sz w:val="24"/>
        </w:rPr>
        <w:t xml:space="preserve"> de Antecedentes No Penales para el ingreso al servicio público,</w:t>
      </w:r>
      <w:r w:rsidR="00443F2A" w:rsidRPr="00846A59">
        <w:rPr>
          <w:rFonts w:ascii="Palatino Linotype" w:hAnsi="Palatino Linotype" w:cs="Tahoma"/>
          <w:sz w:val="24"/>
        </w:rPr>
        <w:t xml:space="preserve"> como se muestra en el artículo 47, que a continuación se transcribe:</w:t>
      </w:r>
    </w:p>
    <w:p w14:paraId="0237C130" w14:textId="77777777" w:rsidR="00F754CF" w:rsidRPr="00846A59" w:rsidRDefault="00F754CF" w:rsidP="00F754CF">
      <w:pPr>
        <w:pStyle w:val="Prrafodelista"/>
        <w:rPr>
          <w:rFonts w:ascii="Palatino Linotype" w:hAnsi="Palatino Linotype" w:cs="Tahoma"/>
          <w:sz w:val="24"/>
        </w:rPr>
      </w:pPr>
    </w:p>
    <w:p w14:paraId="3A65FCEB"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ARTÍCULO 47. Para ingresar al servicio público se requiere: </w:t>
      </w:r>
    </w:p>
    <w:p w14:paraId="4561271C"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 Presentar una solicitud utilizando la forma oficial que se autorice por la institución pública o dependencia correspondiente; </w:t>
      </w:r>
    </w:p>
    <w:p w14:paraId="3C44412C"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lastRenderedPageBreak/>
        <w:t xml:space="preserve">II. Ser de nacionalidad mexicana, con la excepción prevista en el artículo 17 de la presente ley; </w:t>
      </w:r>
    </w:p>
    <w:p w14:paraId="063241E0"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III. Estar en pleno ejercicio de sus derechos civiles y políticos, en su caso; </w:t>
      </w:r>
    </w:p>
    <w:p w14:paraId="4EC5A288"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IV. Acreditar, cuando proceda, el cumplimiento de la Ley del Servicio Militar Nacional; </w:t>
      </w:r>
    </w:p>
    <w:p w14:paraId="05C1F747"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 Derogada. </w:t>
      </w:r>
    </w:p>
    <w:p w14:paraId="69E2A117"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VI. No haber sido separado anteriormente del servicio por las causas previstas en el artículo 93 de la presente ley; </w:t>
      </w:r>
    </w:p>
    <w:p w14:paraId="7356984F"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VII. Tener buena salud, lo que se comprobará con los certificados médicos correspondientes, en la forma en que se establezca en cada institución pública; </w:t>
      </w:r>
    </w:p>
    <w:p w14:paraId="068AD88D"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VIII. Cumplir con los requisitos que se establezcan para los diferentes puestos; </w:t>
      </w:r>
    </w:p>
    <w:p w14:paraId="478DAA66"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IX. Acreditar por medio de los exámenes correspondientes los conocimientos y aptitudes necesarios para el desempeño del puesto; y </w:t>
      </w:r>
    </w:p>
    <w:p w14:paraId="3C7213E4"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X. No estar inhabilitado para el ejercicio del servicio público. </w:t>
      </w:r>
    </w:p>
    <w:p w14:paraId="4DA4D0BC"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XI. Presentar certificado expedido por la Unidad del Registro de Deudores Alimentarios Morosos en el que conste, si se encuentra inscrito o no en el mismo. </w:t>
      </w:r>
    </w:p>
    <w:p w14:paraId="66D6EBBA" w14:textId="77777777" w:rsidR="00F754CF" w:rsidRPr="00846A59" w:rsidRDefault="00F754CF" w:rsidP="00F754CF">
      <w:pPr>
        <w:pStyle w:val="Prrafodelista"/>
        <w:tabs>
          <w:tab w:val="left" w:pos="567"/>
        </w:tabs>
        <w:spacing w:line="360" w:lineRule="auto"/>
        <w:ind w:left="567" w:right="822"/>
        <w:jc w:val="both"/>
        <w:rPr>
          <w:rFonts w:ascii="Palatino Linotype" w:hAnsi="Palatino Linotype"/>
          <w:i/>
        </w:rPr>
      </w:pPr>
    </w:p>
    <w:p w14:paraId="6B7917D4" w14:textId="5272A1B7" w:rsidR="00443F2A" w:rsidRPr="00846A59" w:rsidRDefault="00F754CF" w:rsidP="00166D63">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A92C5CF" w14:textId="77777777" w:rsidR="00846A59" w:rsidRPr="00846A59" w:rsidRDefault="00846A59" w:rsidP="00166D63">
      <w:pPr>
        <w:pStyle w:val="Prrafodelista"/>
        <w:tabs>
          <w:tab w:val="left" w:pos="567"/>
        </w:tabs>
        <w:spacing w:line="360" w:lineRule="auto"/>
        <w:ind w:left="567" w:right="822"/>
        <w:jc w:val="both"/>
        <w:rPr>
          <w:rFonts w:ascii="Palatino Linotype" w:eastAsia="Calibri" w:hAnsi="Palatino Linotype" w:cs="Arial"/>
          <w:sz w:val="24"/>
        </w:rPr>
      </w:pPr>
    </w:p>
    <w:p w14:paraId="06DF7D9D" w14:textId="6EA77E69" w:rsidR="00F45919" w:rsidRPr="00846A59" w:rsidRDefault="00443F2A" w:rsidP="00F4591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lastRenderedPageBreak/>
        <w:t>En consecuencia, se ORDENA su entrega en versión pública, clasificando como confidenciales los datos personales que se contengan, para tal efecto, se deberá estar a lo dispuesto en el Considerando QUINTO de la presente resolución.</w:t>
      </w:r>
    </w:p>
    <w:p w14:paraId="666894F5" w14:textId="77777777" w:rsidR="006F1518" w:rsidRPr="00846A59" w:rsidRDefault="006F1518" w:rsidP="006F1518">
      <w:pPr>
        <w:pStyle w:val="Prrafodelista"/>
        <w:tabs>
          <w:tab w:val="left" w:pos="567"/>
        </w:tabs>
        <w:spacing w:line="360" w:lineRule="auto"/>
        <w:ind w:left="0"/>
        <w:jc w:val="both"/>
        <w:rPr>
          <w:rFonts w:ascii="Palatino Linotype" w:eastAsia="Calibri" w:hAnsi="Palatino Linotype" w:cs="Arial"/>
          <w:sz w:val="24"/>
        </w:rPr>
      </w:pPr>
    </w:p>
    <w:p w14:paraId="4C57DBEB" w14:textId="559C3373" w:rsidR="006F1518" w:rsidRPr="00846A59" w:rsidRDefault="006F1518" w:rsidP="00F45919">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De ser el caso de que no se localice la información relativa al Informe de No antecedentes Penales, el Sujeto Obligado deberá manifestar tal circunstancia, en términos del artículo 19 de la Ley de Transparencia y Acceso a la información Pública del Estado de México y Municipios.</w:t>
      </w:r>
    </w:p>
    <w:p w14:paraId="43C6A468" w14:textId="77777777" w:rsidR="00F45919" w:rsidRPr="00846A59" w:rsidRDefault="00F45919" w:rsidP="00F45919">
      <w:pPr>
        <w:pStyle w:val="Prrafodelista"/>
        <w:rPr>
          <w:rFonts w:ascii="Palatino Linotype" w:eastAsia="Calibri" w:hAnsi="Palatino Linotype" w:cs="Arial"/>
          <w:sz w:val="24"/>
        </w:rPr>
      </w:pPr>
    </w:p>
    <w:p w14:paraId="4A3F1AA4" w14:textId="292D1A5D" w:rsidR="00443F2A" w:rsidRPr="00846A59" w:rsidRDefault="00443F2A" w:rsidP="00443F2A">
      <w:pPr>
        <w:pStyle w:val="Prrafodelista"/>
        <w:numPr>
          <w:ilvl w:val="0"/>
          <w:numId w:val="30"/>
        </w:numPr>
        <w:tabs>
          <w:tab w:val="left" w:pos="567"/>
        </w:tabs>
        <w:spacing w:line="360" w:lineRule="auto"/>
        <w:ind w:left="567"/>
        <w:jc w:val="both"/>
        <w:rPr>
          <w:rFonts w:ascii="Palatino Linotype" w:eastAsia="Calibri" w:hAnsi="Palatino Linotype" w:cs="Arial"/>
          <w:b/>
          <w:sz w:val="24"/>
        </w:rPr>
      </w:pPr>
      <w:r w:rsidRPr="00846A59">
        <w:rPr>
          <w:rFonts w:ascii="Palatino Linotype" w:eastAsia="Calibri" w:hAnsi="Palatino Linotype" w:cs="Arial"/>
          <w:b/>
          <w:sz w:val="24"/>
        </w:rPr>
        <w:t>Cédula de identificación fiscal.</w:t>
      </w:r>
    </w:p>
    <w:p w14:paraId="2C119E52" w14:textId="431C60CD" w:rsidR="00443F2A" w:rsidRPr="00846A59" w:rsidRDefault="0034288E" w:rsidP="007A509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La Cédula de Identificación Fiscal es un documento oficial, emitido por la Secretaría de Hacienda y Crédito Público, que acredita la inscripción de las personas físicas o morales en el Registro Federal de Contribuyentes, brindando identidad fiscal exclusiva a cada contribuyente Mexicano.</w:t>
      </w:r>
    </w:p>
    <w:p w14:paraId="3AF368BC" w14:textId="77777777" w:rsidR="00443F2A" w:rsidRPr="00846A59" w:rsidRDefault="00443F2A" w:rsidP="0034288E">
      <w:pPr>
        <w:pStyle w:val="Prrafodelista"/>
        <w:tabs>
          <w:tab w:val="left" w:pos="567"/>
        </w:tabs>
        <w:spacing w:line="360" w:lineRule="auto"/>
        <w:ind w:left="0"/>
        <w:jc w:val="both"/>
        <w:rPr>
          <w:rFonts w:ascii="Palatino Linotype" w:eastAsia="Calibri" w:hAnsi="Palatino Linotype" w:cs="Arial"/>
          <w:sz w:val="24"/>
        </w:rPr>
      </w:pPr>
    </w:p>
    <w:p w14:paraId="2CD9FD9A" w14:textId="69D1BA3B" w:rsidR="00443F2A" w:rsidRPr="00846A59" w:rsidRDefault="0034288E"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 xml:space="preserve">La página oficial del Servicio de Administración Tributaria (SAT) </w:t>
      </w:r>
      <w:r w:rsidR="0078200B" w:rsidRPr="00846A59">
        <w:rPr>
          <w:rFonts w:ascii="Palatino Linotype" w:eastAsia="Calibri" w:hAnsi="Palatino Linotype" w:cs="Arial"/>
          <w:sz w:val="24"/>
        </w:rPr>
        <w:t xml:space="preserve">refiere </w:t>
      </w:r>
      <w:r w:rsidRPr="00846A59">
        <w:rPr>
          <w:rFonts w:ascii="Palatino Linotype" w:eastAsia="Calibri" w:hAnsi="Palatino Linotype" w:cs="Arial"/>
          <w:sz w:val="24"/>
        </w:rPr>
        <w:t xml:space="preserve">que el trámite </w:t>
      </w:r>
      <w:r w:rsidR="0078200B" w:rsidRPr="00846A59">
        <w:rPr>
          <w:rFonts w:ascii="Palatino Linotype" w:eastAsia="Calibri" w:hAnsi="Palatino Linotype" w:cs="Arial"/>
          <w:sz w:val="24"/>
        </w:rPr>
        <w:t>te permite generar una C</w:t>
      </w:r>
      <w:r w:rsidRPr="00846A59">
        <w:rPr>
          <w:rFonts w:ascii="Palatino Linotype" w:eastAsia="Calibri" w:hAnsi="Palatino Linotype" w:cs="Arial"/>
          <w:sz w:val="24"/>
        </w:rPr>
        <w:t>édula</w:t>
      </w:r>
      <w:r w:rsidR="0078200B" w:rsidRPr="00846A59">
        <w:rPr>
          <w:rFonts w:ascii="Palatino Linotype" w:eastAsia="Calibri" w:hAnsi="Palatino Linotype" w:cs="Arial"/>
          <w:sz w:val="24"/>
        </w:rPr>
        <w:t xml:space="preserve"> de Identificación Fiscal</w:t>
      </w:r>
      <w:r w:rsidRPr="00846A59">
        <w:rPr>
          <w:rFonts w:ascii="Palatino Linotype" w:eastAsia="Calibri" w:hAnsi="Palatino Linotype" w:cs="Arial"/>
          <w:sz w:val="24"/>
        </w:rPr>
        <w:t xml:space="preserve">, </w:t>
      </w:r>
      <w:r w:rsidRPr="00846A59">
        <w:rPr>
          <w:rFonts w:ascii="Palatino Linotype" w:eastAsia="Calibri" w:hAnsi="Palatino Linotype" w:cs="Arial"/>
          <w:i/>
        </w:rPr>
        <w:t>mediante la cual acreditas tu RFC. Contiene un código de barras bidimensional (QR) que al ser escaneado por un dispositivo electrónico inteligente, muestra la siguiente información: clave única de registro de población, nombre, denominación o razón social, fecha de inicio de operaciones, situación fiscal, domicilio y características fiscales (régimen y obligaciones)</w:t>
      </w:r>
      <w:r w:rsidRPr="00846A59">
        <w:rPr>
          <w:rStyle w:val="Refdenotaalpie"/>
          <w:rFonts w:ascii="Palatino Linotype" w:eastAsia="Calibri" w:hAnsi="Palatino Linotype" w:cs="Arial"/>
          <w:i/>
        </w:rPr>
        <w:footnoteReference w:id="9"/>
      </w:r>
    </w:p>
    <w:p w14:paraId="41E2BCB6" w14:textId="77777777" w:rsidR="00443F2A" w:rsidRPr="00846A59" w:rsidRDefault="00443F2A" w:rsidP="0078200B">
      <w:pPr>
        <w:pStyle w:val="Prrafodelista"/>
        <w:tabs>
          <w:tab w:val="left" w:pos="567"/>
        </w:tabs>
        <w:spacing w:line="360" w:lineRule="auto"/>
        <w:ind w:left="0"/>
        <w:jc w:val="both"/>
        <w:rPr>
          <w:rFonts w:ascii="Palatino Linotype" w:eastAsia="Calibri" w:hAnsi="Palatino Linotype" w:cs="Arial"/>
          <w:sz w:val="24"/>
        </w:rPr>
      </w:pPr>
    </w:p>
    <w:p w14:paraId="73E191E1" w14:textId="59D16E3A" w:rsidR="0078200B" w:rsidRPr="00846A59" w:rsidRDefault="0078200B"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Una vez dicho que la Cédula de Identificación Fiscal te acredita la inscripción al Registro Federal de Contribuyentes, es necesario traer a contexto el art</w:t>
      </w:r>
      <w:r w:rsidR="00247854" w:rsidRPr="00846A59">
        <w:rPr>
          <w:rFonts w:ascii="Palatino Linotype" w:eastAsia="Calibri" w:hAnsi="Palatino Linotype" w:cs="Arial"/>
          <w:sz w:val="24"/>
        </w:rPr>
        <w:t xml:space="preserve">ículo 27, apartad A y B </w:t>
      </w:r>
      <w:r w:rsidRPr="00846A59">
        <w:rPr>
          <w:rFonts w:ascii="Palatino Linotype" w:eastAsia="Calibri" w:hAnsi="Palatino Linotype" w:cs="Arial"/>
          <w:sz w:val="24"/>
        </w:rPr>
        <w:t>del Código Fiscal de la Federación, el cual establece lo siguiente:</w:t>
      </w:r>
    </w:p>
    <w:p w14:paraId="54BF9364"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Artículo 27. En materia del Registro Federal de Contribuyentes, se estará a lo siguiente: </w:t>
      </w:r>
    </w:p>
    <w:p w14:paraId="3D7DC570"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7F716B35" w14:textId="54864123" w:rsidR="0078200B" w:rsidRPr="00846A59" w:rsidRDefault="0078200B" w:rsidP="0078200B">
      <w:pPr>
        <w:pStyle w:val="Prrafodelista"/>
        <w:tabs>
          <w:tab w:val="left" w:pos="567"/>
        </w:tabs>
        <w:spacing w:line="360" w:lineRule="auto"/>
        <w:ind w:left="567" w:right="822"/>
        <w:jc w:val="both"/>
        <w:rPr>
          <w:rFonts w:ascii="Palatino Linotype" w:eastAsia="Calibri" w:hAnsi="Palatino Linotype" w:cs="Arial"/>
          <w:i/>
          <w:sz w:val="24"/>
        </w:rPr>
      </w:pPr>
      <w:r w:rsidRPr="00846A59">
        <w:rPr>
          <w:rFonts w:ascii="Palatino Linotype" w:hAnsi="Palatino Linotype"/>
          <w:i/>
        </w:rPr>
        <w:t>A. Sujetos y sus obligaciones específicas:</w:t>
      </w:r>
    </w:p>
    <w:p w14:paraId="193414A6" w14:textId="77777777" w:rsidR="0078200B" w:rsidRPr="00846A59" w:rsidRDefault="0078200B" w:rsidP="0078200B">
      <w:pPr>
        <w:pStyle w:val="Prrafodelista"/>
        <w:ind w:left="567" w:right="822"/>
        <w:rPr>
          <w:rFonts w:ascii="Palatino Linotype" w:eastAsia="Calibri" w:hAnsi="Palatino Linotype" w:cs="Arial"/>
          <w:i/>
          <w:sz w:val="24"/>
        </w:rPr>
      </w:pPr>
    </w:p>
    <w:p w14:paraId="2D5E4162"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 Las personas físicas y personas morales están obligadas a dar cumplimiento a las fracciones I, II, III y IV del apartado B del presente artículo, siempre que: </w:t>
      </w:r>
    </w:p>
    <w:p w14:paraId="3B6791C5"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a) Deban presentar declaraciones periódicas, o </w:t>
      </w:r>
    </w:p>
    <w:p w14:paraId="0D8B5CDC"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b) Estén obligadas a expedir comprobantes fiscales digitales por Internet por los actos o actividades que realicen o por los ingresos que perciban.</w:t>
      </w:r>
    </w:p>
    <w:p w14:paraId="28B72F6D"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705E48FB" w14:textId="2751CE20"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Tratándose de personas físicas y personas morales que hayan abierto una cuenta a su nombre en las entidades del sistema financiero o en las sociedades cooperativas de ahorro y préstamo, en las que reciban depósitos o realicen operaciones susceptibles de ser sujetas de contribuciones, sólo están obligadas a dar cumplimiento a las fracciones I, II y III del apartado B del presente artículo, siempre que no se ubiquen en los supuestos de los incisos a) y b) de esta fracción.</w:t>
      </w:r>
    </w:p>
    <w:p w14:paraId="085D5A80"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4B390CEF"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II. Las personas morales, además están obligadas a dar cumplimiento a las fracciones V y VI del apartado B del presente artículo. </w:t>
      </w:r>
    </w:p>
    <w:p w14:paraId="4F2D86F4"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lastRenderedPageBreak/>
        <w:t xml:space="preserve">III. Los representantes legales, socios y accionistas de las personas morales están obligados a dar cumplimiento a las fracciones I, II, III y IV del apartado B de este artículo, así como las personas que hubiesen adquirido sus acciones a través de mercados reconocidos o de amplia bursatilidad y dichas acciones se consideren colocadas entre el gran público inversionista, siempre que, en este último supuesto, el socio o accionista no hubiere solicitado su registro en el libro de socios y accionistas. </w:t>
      </w:r>
    </w:p>
    <w:p w14:paraId="10BA8C89"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568B5B5E" w14:textId="209F0CCB"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IV. Las personas que hagan los pagos a que se refiere el Capítulo I del Título IV de la Ley del Impuesto sobre la Renta, deberán dar cumplimiento a la obligación prevista en la fracción VII del apartado B del presente artículo. </w:t>
      </w:r>
    </w:p>
    <w:p w14:paraId="318179E1"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5FAE0D81"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 Los fedatarios públicos deberán dar cumplimiento a las obligaciones previstas en las fracciones VIII, IX y X del apartado B del presente artículo. </w:t>
      </w:r>
    </w:p>
    <w:p w14:paraId="0FED8A8E"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00658ECF" w14:textId="26E92D79" w:rsidR="0078200B" w:rsidRPr="00846A59" w:rsidRDefault="0078200B" w:rsidP="0078200B">
      <w:pPr>
        <w:pStyle w:val="Prrafodelista"/>
        <w:tabs>
          <w:tab w:val="left" w:pos="567"/>
        </w:tabs>
        <w:spacing w:line="360" w:lineRule="auto"/>
        <w:ind w:left="567" w:right="822"/>
        <w:jc w:val="both"/>
        <w:rPr>
          <w:rFonts w:ascii="Palatino Linotype" w:eastAsia="Calibri" w:hAnsi="Palatino Linotype" w:cs="Arial"/>
          <w:b/>
          <w:i/>
          <w:sz w:val="24"/>
          <w:u w:val="single"/>
        </w:rPr>
      </w:pPr>
      <w:r w:rsidRPr="00846A59">
        <w:rPr>
          <w:rFonts w:ascii="Palatino Linotype" w:hAnsi="Palatino Linotype"/>
          <w:b/>
          <w:i/>
          <w:u w:val="single"/>
        </w:rPr>
        <w:t>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contribuyente, de conformidad con las leyes fiscales, en forma separada del ente público al que pertenezcan, deberán dar cumplimiento a las obligaciones previstas en las fracciones I, II y III del apartado B del presente artículo.</w:t>
      </w:r>
    </w:p>
    <w:p w14:paraId="1D0C3ED8" w14:textId="77777777" w:rsidR="0078200B" w:rsidRPr="00846A59" w:rsidRDefault="0078200B" w:rsidP="0078200B">
      <w:pPr>
        <w:pStyle w:val="Prrafodelista"/>
        <w:tabs>
          <w:tab w:val="left" w:pos="567"/>
        </w:tabs>
        <w:spacing w:line="360" w:lineRule="auto"/>
        <w:ind w:left="567" w:right="822"/>
        <w:jc w:val="both"/>
        <w:rPr>
          <w:rFonts w:ascii="Palatino Linotype" w:eastAsia="Calibri" w:hAnsi="Palatino Linotype" w:cs="Arial"/>
          <w:i/>
          <w:sz w:val="24"/>
        </w:rPr>
      </w:pPr>
    </w:p>
    <w:p w14:paraId="79D3A02F" w14:textId="79342135"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lastRenderedPageBreak/>
        <w:t>En todos los casos, los sujetos obligados deberán conservar en el domicilio fiscal, la documentación que compruebe el cumplimiento de las obligaciones previstas en este artículo y en el Reglamento de este Código.</w:t>
      </w:r>
    </w:p>
    <w:p w14:paraId="0FE1B4EC"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16BD3736"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Las personas físicas y morales que presenten algún documento ante las autoridades fiscales y jurisdiccionales, en los asuntos en que la Secretaría de Hacienda y Crédito Público o el Servicio de Administración Tributaria sean parte, deberán citar en todo momento, la clave que el Servicio de Administración Tributaria le haya asignado al momento de inscribirla en el padrón del Registro Federal de Contribuyentes. </w:t>
      </w:r>
    </w:p>
    <w:p w14:paraId="1CBD5A76"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27442F9E"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No son sujetos obligados en términos del presente artículo, los socios o accionistas residentes en el extranjero de personas morales residentes en México, así como los asociados residentes en el extranjero de asociaciones en participación, siempre que la persona moral o el asociante, residentes en México, presente ante las autoridades fiscales dentro de los tres primeros meses siguientes al cierre de cada ejercicio, una relación de los socios, accionistas o asociados, residentes en el extranjero, en la que se indique su domicilio, residencia fiscal y número de identificación fiscal. </w:t>
      </w:r>
    </w:p>
    <w:p w14:paraId="1F140E2C" w14:textId="77777777" w:rsidR="0078200B" w:rsidRPr="00846A59" w:rsidRDefault="0078200B" w:rsidP="0078200B">
      <w:pPr>
        <w:pStyle w:val="Prrafodelista"/>
        <w:tabs>
          <w:tab w:val="left" w:pos="567"/>
        </w:tabs>
        <w:spacing w:line="360" w:lineRule="auto"/>
        <w:ind w:left="567" w:right="822"/>
        <w:jc w:val="both"/>
        <w:rPr>
          <w:rFonts w:ascii="Palatino Linotype" w:hAnsi="Palatino Linotype"/>
          <w:i/>
        </w:rPr>
      </w:pPr>
    </w:p>
    <w:p w14:paraId="60E674C2" w14:textId="7DE39690" w:rsidR="0078200B" w:rsidRPr="00846A59" w:rsidRDefault="0078200B" w:rsidP="0078200B">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Las personas físicas mayores de edad deberán solicitar su inscripción al Registro Federal de Contribuyentes. Tratándose de personas físicas sin actividades económicas, dicha inscripción se realizará bajo el rubro “Inscripción de personas físicas sin actividad económica”, conforme al Reglamento de este Código, por lo que no adquirirán la obligación de presentar declaraciones o pagar contribuciones y tampoco les serán aplicables sanciones, incluyendo la prevista en el artículo 80, fracción I, de este Código.</w:t>
      </w:r>
    </w:p>
    <w:p w14:paraId="53438AD1" w14:textId="77777777" w:rsidR="0078200B" w:rsidRPr="00846A59" w:rsidRDefault="0078200B" w:rsidP="0078200B">
      <w:pPr>
        <w:pStyle w:val="Prrafodelista"/>
        <w:tabs>
          <w:tab w:val="left" w:pos="567"/>
        </w:tabs>
        <w:spacing w:line="360" w:lineRule="auto"/>
        <w:ind w:left="0"/>
        <w:jc w:val="both"/>
      </w:pPr>
    </w:p>
    <w:p w14:paraId="24154735" w14:textId="77777777" w:rsidR="00247854" w:rsidRPr="00846A59" w:rsidRDefault="00247854" w:rsidP="00F45919">
      <w:pPr>
        <w:pStyle w:val="Prrafodelista"/>
        <w:tabs>
          <w:tab w:val="left" w:pos="709"/>
        </w:tabs>
        <w:spacing w:line="360" w:lineRule="auto"/>
        <w:ind w:left="426" w:right="822"/>
        <w:jc w:val="both"/>
        <w:rPr>
          <w:rFonts w:ascii="Palatino Linotype" w:hAnsi="Palatino Linotype"/>
          <w:b/>
          <w:i/>
        </w:rPr>
      </w:pPr>
      <w:r w:rsidRPr="00846A59">
        <w:rPr>
          <w:rFonts w:ascii="Palatino Linotype" w:hAnsi="Palatino Linotype"/>
          <w:b/>
          <w:i/>
        </w:rPr>
        <w:t xml:space="preserve">B. Catálogo general de obligaciones: </w:t>
      </w:r>
    </w:p>
    <w:p w14:paraId="0A309048"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 Solicitar la inscripción en el registro federal de contribuyentes. </w:t>
      </w:r>
    </w:p>
    <w:p w14:paraId="3CC8CDB3"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II. Proporcionar en el registro federal de contribuyentes, la información relacionada con la identidad, domicilio y, en general, sobre la situación fiscal, mediante los avisos que se establecen en el Reglamento de este Código, así como registrar y mantener actualizada una sola dirección de correo electrónico y un número telefónico del contribuyente, o bien, los medios de contacto que determine la autoridad fiscal a través de reglas de carácter general. </w:t>
      </w:r>
    </w:p>
    <w:p w14:paraId="497797EE"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III. Manifestar al registro federal de contribuyentes el domicilio fiscal. </w:t>
      </w:r>
    </w:p>
    <w:p w14:paraId="52E190EF"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IV. Solicitar el certificado de firma electrónica avanzada. </w:t>
      </w:r>
    </w:p>
    <w:p w14:paraId="42EF7599"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 Anotar en el libro de socios y accionistas, la clave en el registro federal de contribuyentes de cada socio y accionista y, en cada acta de asamblea, la clave de los socios o accionistas que concurran a la misma. </w:t>
      </w:r>
    </w:p>
    <w:p w14:paraId="78D03FAA"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VI. Presentar un aviso en el Registro Federal de Contribuyentes, a través del cual informen el nombre y la clave en el Registro Federal de Contribuyentes de los socios, accionistas, asociados y demás personas, cualquiera que sea el nombre con el que se les designe, que por su naturaleza formen parte de la estructura orgánica y que ostenten dicho carácter conforme a los estatutos o legislación bajo la cual se constituyen, cada vez que se realice alguna modificación o incorporación respecto a estos, así como informar el porcentaje de participación de cada uno de ellos en el capital social, el objeto social y quién ejerce el control efectivo, en los términos de lo que establezca el Servicio de Administración Tributaria mediante reglas de carácter general. </w:t>
      </w:r>
    </w:p>
    <w:p w14:paraId="47AAAC2F"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p>
    <w:p w14:paraId="687A6F5F" w14:textId="68275311"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lastRenderedPageBreak/>
        <w:t xml:space="preserve">Tratándose de las sociedades cuyas acciones están colocadas entre el gran público inversionista, se deberá presentar la información a que se refiere esta fracción respecto de las personas que tengan control, influencia significativa o poder de mando dentro de la persona moral. Asimismo, deberán informarse los nombres de los representantes comunes, su clave en el Registro Federal de Contribuyentes y el porcentaje que representan respecto del total de acciones que ha emitido la persona moral. Para los efectos de este párrafo se entenderá por control, influencia significativa o poder de mando, lo que al efecto se establezca en las reglas de carácter general que para tal efecto emita el Servicio de Administración Tributaria. </w:t>
      </w:r>
    </w:p>
    <w:p w14:paraId="385A5B92"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p>
    <w:p w14:paraId="799C6E52"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b/>
          <w:i/>
          <w:u w:val="single"/>
        </w:rPr>
        <w:t>VII. Solicitar la inscripción de los contribuyentes a los que se realicen los pagos a que se refiere el Capítulo I del Título IV de la Ley del Impuesto sobre la Renta,</w:t>
      </w:r>
      <w:r w:rsidRPr="00846A59">
        <w:rPr>
          <w:rFonts w:ascii="Palatino Linotype" w:hAnsi="Palatino Linotype"/>
          <w:i/>
        </w:rPr>
        <w:t xml:space="preserve"> así como proporcionar correo electrónico y número telefónico de los mismos, o bien, los medios de contacto que determine la autoridad fiscal a través de reglas de carácter general. </w:t>
      </w:r>
    </w:p>
    <w:p w14:paraId="41A471C4"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VIII. Exigir a los otorgantes de las escrituras públicas en que se hagan constar actas constitutivas, de fusión, escisión o de liquidación de personas morales, que comprueben dentro del mes siguiente a la firma, que han presentado solicitud de inscripción, o aviso de liquidación o de cancelación, según sea el caso, en el registro federal de contribuyentes, de la persona moral de que se trate, debiendo asentar en su protocolo la fecha de su presentación; en caso contrario, el fedatario deberá informar de dicha omisión al Servicio de Administración Tributaria dentro del mes siguiente. </w:t>
      </w:r>
    </w:p>
    <w:p w14:paraId="34AD25E1" w14:textId="7777777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IX. Asentar en las escrituras públicas en las que hagan constar actas constitutivas o demás actas de asamblea, la clave en el registro federal de contribuyentes que </w:t>
      </w:r>
      <w:r w:rsidRPr="00846A59">
        <w:rPr>
          <w:rFonts w:ascii="Palatino Linotype" w:hAnsi="Palatino Linotype"/>
          <w:i/>
        </w:rPr>
        <w:lastRenderedPageBreak/>
        <w:t xml:space="preserve">corresponda a cada socio y accionista o representantes legales, o en su caso, verificar que dicha clave aparezca en los documentos señalados, cerciorándose que la misma concuerda con la cédula respectiva. </w:t>
      </w:r>
    </w:p>
    <w:p w14:paraId="2A63443D" w14:textId="71930B57" w:rsidR="00247854" w:rsidRPr="00846A59" w:rsidRDefault="00247854" w:rsidP="0024785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X. Presentar la declaración informativa relativa a las operaciones consignadas en escrituras públicas celebradas ante los fedatarios públicos, respecto de las operaciones realizadas en el mes inmediato anterior.</w:t>
      </w:r>
    </w:p>
    <w:p w14:paraId="3D3D9275" w14:textId="77777777" w:rsidR="00247854" w:rsidRPr="00846A59" w:rsidRDefault="00247854" w:rsidP="0078200B">
      <w:pPr>
        <w:pStyle w:val="Prrafodelista"/>
        <w:tabs>
          <w:tab w:val="left" w:pos="567"/>
        </w:tabs>
        <w:spacing w:line="360" w:lineRule="auto"/>
        <w:ind w:left="0"/>
        <w:jc w:val="both"/>
      </w:pPr>
    </w:p>
    <w:p w14:paraId="0E614793" w14:textId="77B98B73" w:rsidR="00247854" w:rsidRPr="00846A59" w:rsidRDefault="00247854"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 xml:space="preserve">Tal y como se aprecia, los Ayuntamientos, tienen la atribución de solicitar la inscripción en el registro federal de contribuyentes, a los servidores públicos, para su eventual pago de remuneraciones y el respectivo descuento por la retención del impuesto sobre la renta. </w:t>
      </w:r>
    </w:p>
    <w:p w14:paraId="32C0DF96" w14:textId="77777777" w:rsidR="00247854" w:rsidRPr="00846A59" w:rsidRDefault="00247854" w:rsidP="00247854">
      <w:pPr>
        <w:pStyle w:val="Prrafodelista"/>
        <w:tabs>
          <w:tab w:val="left" w:pos="567"/>
        </w:tabs>
        <w:spacing w:line="360" w:lineRule="auto"/>
        <w:ind w:left="0"/>
        <w:jc w:val="both"/>
        <w:rPr>
          <w:rFonts w:ascii="Palatino Linotype" w:eastAsia="Calibri" w:hAnsi="Palatino Linotype" w:cs="Arial"/>
          <w:sz w:val="24"/>
        </w:rPr>
      </w:pPr>
    </w:p>
    <w:p w14:paraId="2C4E3BE9" w14:textId="037FA805" w:rsidR="00247854" w:rsidRPr="00846A59" w:rsidRDefault="00247854"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Por su parte, la Resolución Miscelánea Fiscal</w:t>
      </w:r>
      <w:r w:rsidRPr="00846A59">
        <w:rPr>
          <w:rStyle w:val="Refdenotaalpie"/>
          <w:rFonts w:ascii="Palatino Linotype" w:eastAsia="Calibri" w:hAnsi="Palatino Linotype" w:cs="Arial"/>
          <w:sz w:val="24"/>
        </w:rPr>
        <w:footnoteReference w:id="10"/>
      </w:r>
      <w:r w:rsidRPr="00846A59">
        <w:rPr>
          <w:rFonts w:ascii="Palatino Linotype" w:eastAsia="Calibri" w:hAnsi="Palatino Linotype" w:cs="Arial"/>
          <w:sz w:val="24"/>
        </w:rPr>
        <w:t>, regla 2.4.10. establece</w:t>
      </w:r>
      <w:r w:rsidR="00E92444" w:rsidRPr="00846A59">
        <w:rPr>
          <w:rFonts w:ascii="Palatino Linotype" w:eastAsia="Calibri" w:hAnsi="Palatino Linotype" w:cs="Arial"/>
          <w:sz w:val="24"/>
        </w:rPr>
        <w:t xml:space="preserve"> las formas en las que se podrá obtener la cédula de identificación fiscal, siendo las</w:t>
      </w:r>
      <w:r w:rsidRPr="00846A59">
        <w:rPr>
          <w:rFonts w:ascii="Palatino Linotype" w:eastAsia="Calibri" w:hAnsi="Palatino Linotype" w:cs="Arial"/>
          <w:sz w:val="24"/>
        </w:rPr>
        <w:t xml:space="preserve"> siguiente</w:t>
      </w:r>
      <w:r w:rsidR="00E92444" w:rsidRPr="00846A59">
        <w:rPr>
          <w:rFonts w:ascii="Palatino Linotype" w:eastAsia="Calibri" w:hAnsi="Palatino Linotype" w:cs="Arial"/>
          <w:sz w:val="24"/>
        </w:rPr>
        <w:t>s</w:t>
      </w:r>
      <w:r w:rsidRPr="00846A59">
        <w:rPr>
          <w:rFonts w:ascii="Palatino Linotype" w:eastAsia="Calibri" w:hAnsi="Palatino Linotype" w:cs="Arial"/>
          <w:sz w:val="24"/>
        </w:rPr>
        <w:t>:</w:t>
      </w:r>
    </w:p>
    <w:p w14:paraId="044CFA97" w14:textId="77777777" w:rsidR="00247854" w:rsidRPr="00846A59" w:rsidRDefault="00247854" w:rsidP="00247854">
      <w:pPr>
        <w:pStyle w:val="Prrafodelista"/>
        <w:rPr>
          <w:rFonts w:ascii="Palatino Linotype" w:eastAsia="Calibri" w:hAnsi="Palatino Linotype" w:cs="Arial"/>
          <w:sz w:val="24"/>
        </w:rPr>
      </w:pPr>
    </w:p>
    <w:p w14:paraId="6F141C23" w14:textId="77777777" w:rsidR="00E92444" w:rsidRPr="00846A59" w:rsidRDefault="00247854" w:rsidP="00E92444">
      <w:pPr>
        <w:pStyle w:val="Prrafodelista"/>
        <w:tabs>
          <w:tab w:val="left" w:pos="567"/>
        </w:tabs>
        <w:spacing w:line="360" w:lineRule="auto"/>
        <w:ind w:left="567" w:right="822"/>
        <w:jc w:val="both"/>
        <w:rPr>
          <w:rFonts w:ascii="Palatino Linotype" w:hAnsi="Palatino Linotype"/>
          <w:b/>
          <w:i/>
        </w:rPr>
      </w:pPr>
      <w:r w:rsidRPr="00846A59">
        <w:rPr>
          <w:rFonts w:ascii="Palatino Linotype" w:hAnsi="Palatino Linotype"/>
          <w:b/>
          <w:i/>
        </w:rPr>
        <w:t xml:space="preserve">Cédula de identificación fiscal y constancia de situación fiscal </w:t>
      </w:r>
    </w:p>
    <w:p w14:paraId="16A34BEA" w14:textId="77777777" w:rsidR="00E92444" w:rsidRPr="00846A59" w:rsidRDefault="00E92444" w:rsidP="00E92444">
      <w:pPr>
        <w:pStyle w:val="Prrafodelista"/>
        <w:tabs>
          <w:tab w:val="left" w:pos="567"/>
        </w:tabs>
        <w:spacing w:line="360" w:lineRule="auto"/>
        <w:ind w:left="567" w:right="822"/>
        <w:jc w:val="both"/>
        <w:rPr>
          <w:rFonts w:ascii="Palatino Linotype" w:hAnsi="Palatino Linotype"/>
          <w:i/>
        </w:rPr>
      </w:pPr>
    </w:p>
    <w:p w14:paraId="11A417DE" w14:textId="77777777" w:rsidR="00E92444" w:rsidRPr="00846A59" w:rsidRDefault="00247854" w:rsidP="00E9244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 xml:space="preserve">2.4.10. Para los efectos del artículo 27, apartado C, fracciones VIII y IX del CFF, la cédula de identificación fiscal, así como la constancia de situación fiscal, son las contenidas en el Anexo 1, rubro B, numerales 1. y 1.1., respectivamente. La impresión de la cédula de identificación fiscal a que se refiere el párrafo anterior, se podrá obtener a través del Portal del SAT, en el apartado Trámites del RFC/Obtén tu cédula de </w:t>
      </w:r>
      <w:r w:rsidRPr="00846A59">
        <w:rPr>
          <w:rFonts w:ascii="Palatino Linotype" w:hAnsi="Palatino Linotype"/>
          <w:i/>
        </w:rPr>
        <w:lastRenderedPageBreak/>
        <w:t xml:space="preserve">identificación fiscal, ingresando con su clave en el RFC y Contraseña o e.firma, o bien, mediante el servicio de chat uno a uno disponible en el Portal del SAT en el apartado de contacto o en el número de orientación telefónica MarcaSAT 55 627 22 728, la cédula o constancia será enviada al correo electrónico registrado ante el SAT; o a través del servicio de Oficina Virtual previa cita registrada en https://citas.sat.gob.mx/ en el servicio "Entrega de Constancias". </w:t>
      </w:r>
    </w:p>
    <w:p w14:paraId="7682577E" w14:textId="77777777" w:rsidR="00E92444" w:rsidRPr="00846A59" w:rsidRDefault="00E92444" w:rsidP="00E92444">
      <w:pPr>
        <w:pStyle w:val="Prrafodelista"/>
        <w:tabs>
          <w:tab w:val="left" w:pos="567"/>
        </w:tabs>
        <w:spacing w:line="360" w:lineRule="auto"/>
        <w:ind w:left="567" w:right="822"/>
        <w:jc w:val="both"/>
        <w:rPr>
          <w:rFonts w:ascii="Palatino Linotype" w:hAnsi="Palatino Linotype"/>
          <w:i/>
        </w:rPr>
      </w:pPr>
    </w:p>
    <w:p w14:paraId="0163642E" w14:textId="77777777" w:rsidR="00E92444" w:rsidRPr="00846A59" w:rsidRDefault="00247854" w:rsidP="00E92444">
      <w:pPr>
        <w:pStyle w:val="Prrafodelista"/>
        <w:tabs>
          <w:tab w:val="left" w:pos="567"/>
        </w:tabs>
        <w:spacing w:line="360" w:lineRule="auto"/>
        <w:ind w:left="567" w:right="822"/>
        <w:jc w:val="both"/>
        <w:rPr>
          <w:rFonts w:ascii="Palatino Linotype" w:hAnsi="Palatino Linotype"/>
          <w:i/>
        </w:rPr>
      </w:pPr>
      <w:r w:rsidRPr="00846A59">
        <w:rPr>
          <w:rFonts w:ascii="Palatino Linotype" w:hAnsi="Palatino Linotype"/>
          <w:i/>
        </w:rPr>
        <w:t>Si el contribuyente no tiene registrado un correo electrónico ante el SAT o manifiesta no tener acceso al correo electrónico registrado, la cédula de identificación fiscal o constancia de situación fiscal será remitida a la dirección de correo electrónico que proporcione el contribuyente previa validación de su identidad, a través de las preguntas o medios de identificación que para tales efectos determine la autoridad.</w:t>
      </w:r>
    </w:p>
    <w:p w14:paraId="6BB1555A" w14:textId="77777777" w:rsidR="00E92444" w:rsidRPr="00846A59" w:rsidRDefault="00E92444" w:rsidP="00E92444">
      <w:pPr>
        <w:pStyle w:val="Prrafodelista"/>
        <w:tabs>
          <w:tab w:val="left" w:pos="567"/>
        </w:tabs>
        <w:spacing w:line="360" w:lineRule="auto"/>
        <w:ind w:left="567" w:right="822"/>
        <w:jc w:val="both"/>
        <w:rPr>
          <w:rFonts w:ascii="Palatino Linotype" w:hAnsi="Palatino Linotype"/>
          <w:i/>
        </w:rPr>
      </w:pPr>
    </w:p>
    <w:p w14:paraId="06B90DA4" w14:textId="5D06DF4C" w:rsidR="00247854" w:rsidRPr="00846A59" w:rsidRDefault="00247854" w:rsidP="00E92444">
      <w:pPr>
        <w:pStyle w:val="Prrafodelista"/>
        <w:tabs>
          <w:tab w:val="left" w:pos="567"/>
        </w:tabs>
        <w:spacing w:line="360" w:lineRule="auto"/>
        <w:ind w:left="567" w:right="822"/>
        <w:jc w:val="both"/>
        <w:rPr>
          <w:rFonts w:ascii="Palatino Linotype" w:eastAsia="Calibri" w:hAnsi="Palatino Linotype" w:cs="Arial"/>
          <w:i/>
          <w:sz w:val="24"/>
        </w:rPr>
      </w:pPr>
      <w:r w:rsidRPr="00846A59">
        <w:rPr>
          <w:rFonts w:ascii="Palatino Linotype" w:hAnsi="Palatino Linotype"/>
          <w:i/>
        </w:rPr>
        <w:t xml:space="preserve"> Asimismo, el contribuyente podrá registrar su solicitud a través de la aplicación SAT ID https://satid.sat.gob.mx y en caso de ser aprobada, en un plazo máximo de cinco días será enviada la constancia de situación fiscal o cédula de identificación fiscal a través del correo electrónico que registró en la solicitud o bien, mediante la aplicación SAT Móvil, ingresando con su clave en el RFC y Contraseña. CFF 27</w:t>
      </w:r>
    </w:p>
    <w:p w14:paraId="59D9DF42" w14:textId="77777777" w:rsidR="00247854" w:rsidRPr="00846A59" w:rsidRDefault="00247854" w:rsidP="00247854">
      <w:pPr>
        <w:pStyle w:val="Prrafodelista"/>
        <w:rPr>
          <w:rFonts w:ascii="Palatino Linotype" w:eastAsia="Calibri" w:hAnsi="Palatino Linotype" w:cs="Arial"/>
          <w:sz w:val="24"/>
        </w:rPr>
      </w:pPr>
    </w:p>
    <w:p w14:paraId="70413ECF" w14:textId="46942AFA" w:rsidR="00E92444" w:rsidRPr="00846A59" w:rsidRDefault="00E92444" w:rsidP="00E92444">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 xml:space="preserve">Expuesto lo anterior, se tiene que la Cédula de Identificación Fiscal es un documento inherente al Registro Federal de Contribuyentes, en el cual se contiene información meramente al Contribuyente, tal como RFC, CURP, Nombre, fecha de inicio de operaciones, situación fiscal, domicilio, entre otra información fiscal. Por lo tanto, de ser el caso que el documento obre en los archivos del Sujeto Obligado, al </w:t>
      </w:r>
      <w:r w:rsidRPr="00846A59">
        <w:rPr>
          <w:rFonts w:ascii="Palatino Linotype" w:eastAsia="Calibri" w:hAnsi="Palatino Linotype" w:cs="Arial"/>
          <w:sz w:val="24"/>
        </w:rPr>
        <w:lastRenderedPageBreak/>
        <w:t xml:space="preserve">contener únicamente información del servidor público que se relacionan con datos personales ajenos al desempeño de cargo que ostenta, </w:t>
      </w:r>
      <w:r w:rsidR="008C1C0E" w:rsidRPr="00846A59">
        <w:rPr>
          <w:rFonts w:ascii="Palatino Linotype" w:eastAsia="Calibri" w:hAnsi="Palatino Linotype" w:cs="Arial"/>
          <w:sz w:val="24"/>
        </w:rPr>
        <w:t xml:space="preserve">y que nada abonan a la transparencia y rendición de cuentas, en consecuencia, y derivado de la naturaleza del mismo, </w:t>
      </w:r>
      <w:r w:rsidRPr="00846A59">
        <w:rPr>
          <w:rFonts w:ascii="Palatino Linotype" w:eastAsia="Calibri" w:hAnsi="Palatino Linotype" w:cs="Arial"/>
          <w:sz w:val="24"/>
        </w:rPr>
        <w:t>deberá clasificarse en su totalidad. Sin embargo, de ser el caso de que no se localice el documento, el Sujeto Obligado deberá manifestar las razones por las que no se cuenta con la información, en términos del artículo 19 de la Ley de Transparencia y Acceso a la Información Pública del Estado de México y Municipios.</w:t>
      </w:r>
    </w:p>
    <w:p w14:paraId="1F7B71DA" w14:textId="77777777" w:rsidR="00F45919" w:rsidRPr="00846A59" w:rsidRDefault="00F45919" w:rsidP="00F45919">
      <w:pPr>
        <w:pStyle w:val="Prrafodelista"/>
        <w:tabs>
          <w:tab w:val="left" w:pos="567"/>
        </w:tabs>
        <w:spacing w:line="360" w:lineRule="auto"/>
        <w:ind w:left="0"/>
        <w:jc w:val="both"/>
        <w:rPr>
          <w:rFonts w:ascii="Palatino Linotype" w:eastAsia="Calibri" w:hAnsi="Palatino Linotype" w:cs="Arial"/>
          <w:sz w:val="24"/>
        </w:rPr>
      </w:pPr>
    </w:p>
    <w:p w14:paraId="641CAB5B" w14:textId="295D6B58" w:rsidR="0078200B" w:rsidRPr="00846A59" w:rsidRDefault="008C1C0E" w:rsidP="008C1C0E">
      <w:pPr>
        <w:pStyle w:val="Prrafodelista"/>
        <w:numPr>
          <w:ilvl w:val="0"/>
          <w:numId w:val="30"/>
        </w:numPr>
        <w:tabs>
          <w:tab w:val="left" w:pos="567"/>
        </w:tabs>
        <w:spacing w:line="360" w:lineRule="auto"/>
        <w:ind w:left="567"/>
        <w:jc w:val="both"/>
        <w:rPr>
          <w:rFonts w:ascii="Palatino Linotype" w:eastAsia="Calibri" w:hAnsi="Palatino Linotype" w:cs="Arial"/>
          <w:b/>
          <w:sz w:val="24"/>
        </w:rPr>
      </w:pPr>
      <w:r w:rsidRPr="00846A59">
        <w:rPr>
          <w:rFonts w:ascii="Palatino Linotype" w:eastAsia="Calibri" w:hAnsi="Palatino Linotype" w:cs="Arial"/>
          <w:b/>
          <w:sz w:val="24"/>
        </w:rPr>
        <w:t>Movimiento de alta de ISSEMyM.</w:t>
      </w:r>
    </w:p>
    <w:p w14:paraId="67AE54D9" w14:textId="43C78809" w:rsidR="008C1C0E" w:rsidRPr="00846A59" w:rsidRDefault="008C1C0E" w:rsidP="008C1C0E">
      <w:pPr>
        <w:pStyle w:val="Prrafodelista"/>
        <w:numPr>
          <w:ilvl w:val="0"/>
          <w:numId w:val="2"/>
        </w:numPr>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Por lo que corresponde al alta del Servidor Público en el ISSEMyM, es necesario traer a contexto La Ley del Trabajo de los Servidores Públicos del Estado de México y Municipios, en su artículo 86 fracción II establece lo siguiente:</w:t>
      </w:r>
    </w:p>
    <w:p w14:paraId="43E1B4AB" w14:textId="77777777" w:rsidR="007A509F" w:rsidRPr="00846A59" w:rsidRDefault="007A509F" w:rsidP="007A509F">
      <w:pPr>
        <w:spacing w:line="360" w:lineRule="auto"/>
        <w:jc w:val="both"/>
        <w:rPr>
          <w:rFonts w:ascii="Palatino Linotype" w:eastAsia="Calibri" w:hAnsi="Palatino Linotype" w:cs="Arial"/>
          <w:sz w:val="24"/>
        </w:rPr>
      </w:pPr>
    </w:p>
    <w:p w14:paraId="0419D15E" w14:textId="77777777" w:rsidR="008C1C0E" w:rsidRPr="00846A59" w:rsidRDefault="008C1C0E" w:rsidP="008C1C0E">
      <w:pPr>
        <w:pStyle w:val="Prrafodelista"/>
        <w:spacing w:line="360" w:lineRule="auto"/>
        <w:ind w:left="567" w:right="567"/>
        <w:jc w:val="both"/>
        <w:rPr>
          <w:rFonts w:ascii="Palatino Linotype" w:hAnsi="Palatino Linotype"/>
          <w:i/>
        </w:rPr>
      </w:pPr>
      <w:r w:rsidRPr="00846A59">
        <w:rPr>
          <w:rFonts w:ascii="Palatino Linotype" w:hAnsi="Palatino Linotype"/>
          <w:i/>
        </w:rPr>
        <w:t>ARTÍCULO 86. Los servidores públicos tendrán los siguientes derechos:</w:t>
      </w:r>
    </w:p>
    <w:p w14:paraId="6D81BD24" w14:textId="77777777" w:rsidR="008C1C0E" w:rsidRPr="00846A59" w:rsidRDefault="008C1C0E" w:rsidP="008C1C0E">
      <w:pPr>
        <w:pStyle w:val="Prrafodelista"/>
        <w:spacing w:line="360" w:lineRule="auto"/>
        <w:ind w:left="567" w:right="567"/>
        <w:jc w:val="both"/>
        <w:rPr>
          <w:rFonts w:ascii="Palatino Linotype" w:hAnsi="Palatino Linotype"/>
          <w:i/>
        </w:rPr>
      </w:pPr>
      <w:r w:rsidRPr="00846A59">
        <w:rPr>
          <w:rFonts w:ascii="Palatino Linotype" w:hAnsi="Palatino Linotype"/>
          <w:i/>
        </w:rPr>
        <w:t>…</w:t>
      </w:r>
    </w:p>
    <w:p w14:paraId="2541FE8C" w14:textId="77777777" w:rsidR="008C1C0E" w:rsidRPr="00846A59" w:rsidRDefault="008C1C0E" w:rsidP="008C1C0E">
      <w:pPr>
        <w:pStyle w:val="Prrafodelista"/>
        <w:spacing w:line="360" w:lineRule="auto"/>
        <w:ind w:left="567" w:right="567"/>
        <w:jc w:val="both"/>
        <w:rPr>
          <w:rFonts w:ascii="Palatino Linotype" w:eastAsia="Calibri" w:hAnsi="Palatino Linotype" w:cs="Arial"/>
          <w:i/>
        </w:rPr>
      </w:pPr>
      <w:r w:rsidRPr="00846A59">
        <w:rPr>
          <w:rFonts w:ascii="Palatino Linotype" w:hAnsi="Palatino Linotype"/>
          <w:i/>
        </w:rPr>
        <w:t>II. Gozar de los beneficios de la seguridad social en la forma y términos establecidos por la Ley de Seguridad Social para los Servidores Públicos del Estado y Municipios;</w:t>
      </w:r>
    </w:p>
    <w:p w14:paraId="6FCF0D0F" w14:textId="77777777" w:rsidR="008C1C0E" w:rsidRPr="00846A59" w:rsidRDefault="008C1C0E" w:rsidP="008C1C0E">
      <w:pPr>
        <w:pStyle w:val="Prrafodelista"/>
        <w:spacing w:line="360" w:lineRule="auto"/>
        <w:ind w:left="0"/>
        <w:jc w:val="both"/>
        <w:rPr>
          <w:rFonts w:ascii="Palatino Linotype" w:eastAsia="Calibri" w:hAnsi="Palatino Linotype" w:cs="Arial"/>
        </w:rPr>
      </w:pPr>
    </w:p>
    <w:p w14:paraId="7534EE3C" w14:textId="5BEC4CA9" w:rsidR="008C1C0E" w:rsidRPr="00846A59" w:rsidRDefault="008C1C0E" w:rsidP="008C1C0E">
      <w:pPr>
        <w:pStyle w:val="Prrafodelista"/>
        <w:numPr>
          <w:ilvl w:val="0"/>
          <w:numId w:val="2"/>
        </w:numPr>
        <w:spacing w:line="360" w:lineRule="auto"/>
        <w:ind w:left="0" w:firstLine="0"/>
        <w:jc w:val="both"/>
        <w:rPr>
          <w:rFonts w:ascii="Palatino Linotype" w:eastAsia="Calibri" w:hAnsi="Palatino Linotype" w:cs="Arial"/>
        </w:rPr>
      </w:pPr>
      <w:r w:rsidRPr="00846A59">
        <w:rPr>
          <w:rFonts w:ascii="Palatino Linotype" w:eastAsia="Calibri" w:hAnsi="Palatino Linotype" w:cs="Arial"/>
          <w:sz w:val="24"/>
        </w:rPr>
        <w:t>Al ingresar al servicio público, uno de los derechos que obtienes es la seguridad social, en este caso, el Instituto de Seguridad Social del Estado de México y sus Municipios</w:t>
      </w:r>
      <w:r w:rsidR="00CE0303" w:rsidRPr="00846A59">
        <w:rPr>
          <w:rFonts w:ascii="Palatino Linotype" w:eastAsia="Calibri" w:hAnsi="Palatino Linotype" w:cs="Arial"/>
          <w:sz w:val="24"/>
        </w:rPr>
        <w:t xml:space="preserve"> (ISSEMyM)</w:t>
      </w:r>
      <w:r w:rsidRPr="00846A59">
        <w:rPr>
          <w:rFonts w:ascii="Palatino Linotype" w:eastAsia="Calibri" w:hAnsi="Palatino Linotype" w:cs="Arial"/>
          <w:sz w:val="24"/>
        </w:rPr>
        <w:t xml:space="preserve">. Por su parte, la </w:t>
      </w:r>
      <w:r w:rsidRPr="00846A59">
        <w:rPr>
          <w:rFonts w:ascii="Palatino Linotype" w:eastAsia="Calibri" w:hAnsi="Palatino Linotype" w:cs="Arial"/>
          <w:b/>
          <w:sz w:val="24"/>
        </w:rPr>
        <w:t>Ley de Seguridad Social para los Servidores Públicos del Estado de México y Municipios</w:t>
      </w:r>
      <w:r w:rsidRPr="00846A59">
        <w:rPr>
          <w:rFonts w:ascii="Palatino Linotype" w:eastAsia="Calibri" w:hAnsi="Palatino Linotype" w:cs="Arial"/>
          <w:sz w:val="24"/>
        </w:rPr>
        <w:t xml:space="preserve"> establece en su artículo 6 lo siguiente</w:t>
      </w:r>
      <w:r w:rsidRPr="00846A59">
        <w:rPr>
          <w:rFonts w:ascii="Palatino Linotype" w:eastAsia="Calibri" w:hAnsi="Palatino Linotype" w:cs="Arial"/>
        </w:rPr>
        <w:t>:</w:t>
      </w:r>
    </w:p>
    <w:p w14:paraId="0AA46252" w14:textId="77777777" w:rsidR="008C1C0E" w:rsidRPr="00846A59" w:rsidRDefault="008C1C0E" w:rsidP="008C1C0E">
      <w:pPr>
        <w:pStyle w:val="Prrafodelista"/>
        <w:spacing w:line="360" w:lineRule="auto"/>
        <w:ind w:left="0"/>
        <w:jc w:val="both"/>
        <w:rPr>
          <w:rFonts w:ascii="Palatino Linotype" w:eastAsia="Calibri" w:hAnsi="Palatino Linotype" w:cs="Arial"/>
        </w:rPr>
      </w:pPr>
    </w:p>
    <w:p w14:paraId="5F5C9444" w14:textId="77777777" w:rsidR="008C1C0E" w:rsidRPr="00846A59" w:rsidRDefault="008C1C0E" w:rsidP="008C1C0E">
      <w:pPr>
        <w:pStyle w:val="Prrafodelista"/>
        <w:spacing w:line="360" w:lineRule="auto"/>
        <w:ind w:left="567" w:right="567"/>
        <w:jc w:val="both"/>
        <w:rPr>
          <w:rFonts w:ascii="Palatino Linotype" w:hAnsi="Palatino Linotype"/>
          <w:i/>
        </w:rPr>
      </w:pPr>
      <w:r w:rsidRPr="00846A59">
        <w:rPr>
          <w:rFonts w:ascii="Palatino Linotype" w:hAnsi="Palatino Linotype"/>
          <w:i/>
        </w:rPr>
        <w:t xml:space="preserve">ARTÍCULO 6.- Los derechos que otorga la presente ley a los servidores públicos se generan a partir de su ingreso al servicio independientemente de la fecha en que el Instituto reciba las cuotas y aportaciones establecidas. </w:t>
      </w:r>
    </w:p>
    <w:p w14:paraId="7DB0E28B" w14:textId="77777777" w:rsidR="008C1C0E" w:rsidRPr="00846A59" w:rsidRDefault="008C1C0E" w:rsidP="008C1C0E">
      <w:pPr>
        <w:pStyle w:val="Prrafodelista"/>
        <w:spacing w:line="360" w:lineRule="auto"/>
        <w:ind w:left="567" w:right="567"/>
        <w:jc w:val="both"/>
        <w:rPr>
          <w:rFonts w:ascii="Palatino Linotype" w:hAnsi="Palatino Linotype"/>
          <w:i/>
        </w:rPr>
      </w:pPr>
    </w:p>
    <w:p w14:paraId="05EFF9A4" w14:textId="77777777" w:rsidR="008C1C0E" w:rsidRPr="00846A59" w:rsidRDefault="008C1C0E" w:rsidP="008C1C0E">
      <w:pPr>
        <w:pStyle w:val="Prrafodelista"/>
        <w:spacing w:line="360" w:lineRule="auto"/>
        <w:ind w:left="567" w:right="567"/>
        <w:jc w:val="both"/>
        <w:rPr>
          <w:rFonts w:ascii="Palatino Linotype" w:eastAsia="Calibri" w:hAnsi="Palatino Linotype" w:cs="Arial"/>
          <w:b/>
          <w:i/>
        </w:rPr>
      </w:pPr>
      <w:r w:rsidRPr="00846A59">
        <w:rPr>
          <w:rFonts w:ascii="Palatino Linotype" w:hAnsi="Palatino Linotype"/>
          <w:b/>
          <w:i/>
        </w:rPr>
        <w:t>Las instituciones públicas deberán remitir al Instituto, en un plazo no mayor de 10 días hábiles a partir del ingreso al servicio del servidor público, los datos necesarios para su registro y control.</w:t>
      </w:r>
    </w:p>
    <w:p w14:paraId="6248C7E4" w14:textId="77777777" w:rsidR="008C1C0E" w:rsidRPr="00846A59" w:rsidRDefault="008C1C0E" w:rsidP="008C1C0E">
      <w:pPr>
        <w:pStyle w:val="Prrafodelista"/>
        <w:spacing w:line="360" w:lineRule="auto"/>
        <w:ind w:left="0"/>
        <w:jc w:val="both"/>
        <w:rPr>
          <w:rFonts w:ascii="Palatino Linotype" w:eastAsia="Calibri" w:hAnsi="Palatino Linotype" w:cs="Arial"/>
        </w:rPr>
      </w:pPr>
    </w:p>
    <w:p w14:paraId="1D296254" w14:textId="77777777" w:rsidR="008C1C0E" w:rsidRPr="00846A59" w:rsidRDefault="008C1C0E" w:rsidP="008C1C0E">
      <w:pPr>
        <w:pStyle w:val="Prrafodelista"/>
        <w:numPr>
          <w:ilvl w:val="0"/>
          <w:numId w:val="2"/>
        </w:numPr>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Es así que, corresponde a las Instituciones Públicas remitir al ISSEMyM en un plazo no mayor a 10 días hábiles a partir de su ingreso, los datos necesarios para su registro y control, asimismo, corresponde a la Institución Pública cubrir puntualmente sus cuotas por concepto de la Seguridad Social, de acuerdo al artículo 35 de la Ley de Seguridad Social en cito.</w:t>
      </w:r>
    </w:p>
    <w:p w14:paraId="57ADE497" w14:textId="77777777" w:rsidR="008C1C0E" w:rsidRPr="00846A59" w:rsidRDefault="008C1C0E" w:rsidP="008C1C0E">
      <w:pPr>
        <w:spacing w:line="360" w:lineRule="auto"/>
        <w:jc w:val="both"/>
        <w:rPr>
          <w:rFonts w:ascii="Palatino Linotype" w:eastAsia="Calibri" w:hAnsi="Palatino Linotype" w:cs="Arial"/>
          <w:sz w:val="22"/>
        </w:rPr>
      </w:pPr>
    </w:p>
    <w:p w14:paraId="452757E9" w14:textId="77777777" w:rsidR="008C1C0E" w:rsidRPr="00846A59" w:rsidRDefault="008C1C0E" w:rsidP="008C1C0E">
      <w:pPr>
        <w:pStyle w:val="Prrafodelista"/>
        <w:numPr>
          <w:ilvl w:val="0"/>
          <w:numId w:val="2"/>
        </w:numPr>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Ahora bien, el Manual de Procedimientos para la Afiliación y Credencialización de los Derecho Habientes del ISSEMYM</w:t>
      </w:r>
      <w:r w:rsidRPr="00846A59">
        <w:rPr>
          <w:rStyle w:val="Refdenotaalpie"/>
          <w:rFonts w:ascii="Palatino Linotype" w:eastAsia="Calibri" w:hAnsi="Palatino Linotype" w:cs="Arial"/>
          <w:sz w:val="24"/>
        </w:rPr>
        <w:footnoteReference w:id="11"/>
      </w:r>
      <w:r w:rsidRPr="00846A59">
        <w:rPr>
          <w:rFonts w:ascii="Palatino Linotype" w:eastAsia="Calibri" w:hAnsi="Palatino Linotype" w:cs="Arial"/>
          <w:sz w:val="24"/>
        </w:rPr>
        <w:t xml:space="preserve"> hace referencia que, en las Instituciones Públicas será designado un Usuario Autorizado (persona designada por la Institución Pública ante el ISSEMYM para la operación y manejo de la Plataforma Prisma) que será el encargado de realizar las </w:t>
      </w:r>
      <w:r w:rsidRPr="00846A59">
        <w:rPr>
          <w:rFonts w:ascii="Palatino Linotype" w:eastAsia="Calibri" w:hAnsi="Palatino Linotype" w:cs="Arial"/>
          <w:b/>
          <w:sz w:val="24"/>
        </w:rPr>
        <w:t>altas, bajas, cambios y/o modificaciones</w:t>
      </w:r>
      <w:r w:rsidRPr="00846A59">
        <w:rPr>
          <w:rFonts w:ascii="Palatino Linotype" w:eastAsia="Calibri" w:hAnsi="Palatino Linotype" w:cs="Arial"/>
          <w:sz w:val="24"/>
        </w:rPr>
        <w:t xml:space="preserve"> de los </w:t>
      </w:r>
      <w:r w:rsidRPr="00846A59">
        <w:rPr>
          <w:rFonts w:ascii="Palatino Linotype" w:eastAsia="Calibri" w:hAnsi="Palatino Linotype" w:cs="Arial"/>
          <w:sz w:val="24"/>
        </w:rPr>
        <w:lastRenderedPageBreak/>
        <w:t>registros de las Instituciones Públicas en la Plataforma PRISMA y, ésta última es la Plataforma de Recaudación e Información de Seguridad Social ISSEMYM.}</w:t>
      </w:r>
    </w:p>
    <w:p w14:paraId="1164646F" w14:textId="77777777" w:rsidR="008C1C0E" w:rsidRPr="00846A59" w:rsidRDefault="008C1C0E" w:rsidP="008C1C0E">
      <w:pPr>
        <w:pStyle w:val="Prrafodelista"/>
        <w:rPr>
          <w:rFonts w:ascii="Palatino Linotype" w:eastAsia="Calibri" w:hAnsi="Palatino Linotype" w:cs="Arial"/>
        </w:rPr>
      </w:pPr>
    </w:p>
    <w:p w14:paraId="536DA12F" w14:textId="77777777" w:rsidR="008C1C0E" w:rsidRPr="00846A59" w:rsidRDefault="008C1C0E" w:rsidP="008C1C0E">
      <w:pPr>
        <w:pStyle w:val="Prrafodelista"/>
        <w:numPr>
          <w:ilvl w:val="0"/>
          <w:numId w:val="2"/>
        </w:numPr>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El Manual de referencia establece que, la Institución Pública, a través del Usuario Autorizado, ingresará, por lo menos una vez a la quincena a la Plataforma PRISMA para realizar las actualizaciones correspondientes, de lo contrario, la Plataforma bloqueará automáticamente su clave de usuario otorgada.</w:t>
      </w:r>
    </w:p>
    <w:p w14:paraId="2FCD5E05" w14:textId="77777777" w:rsidR="008C1C0E" w:rsidRPr="00846A59" w:rsidRDefault="008C1C0E" w:rsidP="008C1C0E">
      <w:pPr>
        <w:pStyle w:val="Prrafodelista"/>
        <w:rPr>
          <w:rFonts w:ascii="Palatino Linotype" w:eastAsia="Calibri" w:hAnsi="Palatino Linotype" w:cs="Arial"/>
          <w:sz w:val="24"/>
        </w:rPr>
      </w:pPr>
    </w:p>
    <w:p w14:paraId="749CA667" w14:textId="77777777" w:rsidR="008C1C0E" w:rsidRPr="00846A59" w:rsidRDefault="008C1C0E" w:rsidP="008C1C0E">
      <w:pPr>
        <w:pStyle w:val="Prrafodelista"/>
        <w:numPr>
          <w:ilvl w:val="0"/>
          <w:numId w:val="2"/>
        </w:numPr>
        <w:spacing w:line="360" w:lineRule="auto"/>
        <w:ind w:left="0" w:firstLine="0"/>
        <w:jc w:val="both"/>
        <w:rPr>
          <w:rFonts w:ascii="Palatino Linotype" w:eastAsia="Calibri" w:hAnsi="Palatino Linotype" w:cs="Arial"/>
          <w:sz w:val="24"/>
        </w:rPr>
      </w:pPr>
      <w:r w:rsidRPr="00846A59">
        <w:rPr>
          <w:rFonts w:ascii="Palatino Linotype" w:eastAsia="Calibri" w:hAnsi="Palatino Linotype" w:cs="Arial"/>
          <w:sz w:val="24"/>
        </w:rPr>
        <w:t>Es así que, al ser el Usuario Autorizado quien lleve el manejo y control de la Plataforma PRIMA-ISSEMYM, es quien debe solicitar el alta del servidor público al Instituto de Seguridad Social del Estado de México y Municipios, en ese contexto, es evidente que el Sujeto Obligado resulta competente para contar con el documento de alta  Servidor Público señalado en la solicitud ante el ISSEMYM, en consecuencia se ordena su entrega.</w:t>
      </w:r>
    </w:p>
    <w:p w14:paraId="38A8AD49" w14:textId="77777777" w:rsidR="008C1C0E" w:rsidRPr="00846A59" w:rsidRDefault="008C1C0E" w:rsidP="008C1C0E">
      <w:pPr>
        <w:pStyle w:val="Prrafodelista"/>
        <w:rPr>
          <w:rFonts w:ascii="Palatino Linotype" w:eastAsia="Calibri" w:hAnsi="Palatino Linotype" w:cs="Arial"/>
        </w:rPr>
      </w:pPr>
    </w:p>
    <w:p w14:paraId="3A0CAAB4" w14:textId="77777777" w:rsidR="008C1C0E" w:rsidRPr="00846A59" w:rsidRDefault="008C1C0E" w:rsidP="008C1C0E">
      <w:pPr>
        <w:pStyle w:val="Prrafodelista"/>
        <w:numPr>
          <w:ilvl w:val="0"/>
          <w:numId w:val="2"/>
        </w:numPr>
        <w:spacing w:line="360" w:lineRule="auto"/>
        <w:ind w:left="0" w:firstLine="0"/>
        <w:jc w:val="both"/>
        <w:rPr>
          <w:rFonts w:ascii="Palatino Linotype" w:eastAsia="Calibri" w:hAnsi="Palatino Linotype" w:cs="Arial"/>
        </w:rPr>
      </w:pPr>
      <w:r w:rsidRPr="00846A59">
        <w:rPr>
          <w:rFonts w:ascii="Palatino Linotype" w:eastAsia="Calibri" w:hAnsi="Palatino Linotype" w:cs="Arial"/>
          <w:sz w:val="24"/>
        </w:rPr>
        <w:t>De ser el caso de que la información que se ORDENA entregar contenga datos personales susceptibles de clasificarse como confidenciales, el Sujeto Obligado estará a lo dispuesto en el siguiente Considerando</w:t>
      </w:r>
      <w:r w:rsidRPr="00846A59">
        <w:rPr>
          <w:rFonts w:ascii="Palatino Linotype" w:eastAsia="Calibri" w:hAnsi="Palatino Linotype" w:cs="Arial"/>
        </w:rPr>
        <w:t>.</w:t>
      </w:r>
    </w:p>
    <w:p w14:paraId="22F26A18" w14:textId="77777777" w:rsidR="00CB2836" w:rsidRPr="00846A59" w:rsidRDefault="00CB2836" w:rsidP="00CB2836">
      <w:pPr>
        <w:pStyle w:val="Ttulo1"/>
        <w:rPr>
          <w:rFonts w:ascii="Palatino Linotype" w:hAnsi="Palatino Linotype"/>
          <w:b/>
          <w:color w:val="auto"/>
          <w:sz w:val="24"/>
          <w:lang w:val="es-ES_tradnl"/>
        </w:rPr>
      </w:pPr>
      <w:bookmarkStart w:id="46" w:name="_Toc87549682"/>
      <w:r w:rsidRPr="00846A59">
        <w:rPr>
          <w:rFonts w:ascii="Palatino Linotype" w:hAnsi="Palatino Linotype"/>
          <w:b/>
          <w:color w:val="auto"/>
          <w:sz w:val="24"/>
          <w:lang w:val="es-ES_tradnl"/>
        </w:rPr>
        <w:t>QUINTO. De la versión pública.</w:t>
      </w:r>
      <w:bookmarkEnd w:id="46"/>
    </w:p>
    <w:p w14:paraId="48DCD071" w14:textId="77777777" w:rsidR="00CB2836" w:rsidRPr="00846A59" w:rsidRDefault="00CB2836" w:rsidP="00CB2836">
      <w:pPr>
        <w:rPr>
          <w:rFonts w:ascii="Palatino Linotype" w:hAnsi="Palatino Linotype"/>
          <w:lang w:val="es-ES_tradnl"/>
        </w:rPr>
      </w:pPr>
    </w:p>
    <w:p w14:paraId="5A3561F4" w14:textId="77777777" w:rsidR="00CB2836" w:rsidRPr="00846A59"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47" w:name="_Toc48135362"/>
      <w:bookmarkStart w:id="48" w:name="_Toc72309902"/>
      <w:bookmarkStart w:id="49" w:name="_Toc73643041"/>
      <w:bookmarkStart w:id="50" w:name="_Toc73911519"/>
      <w:bookmarkStart w:id="51" w:name="_Toc87549683"/>
      <w:r w:rsidRPr="00846A59">
        <w:rPr>
          <w:rFonts w:ascii="Palatino Linotype" w:hAnsi="Palatino Linotype" w:cs="Times New Roman"/>
          <w:b/>
          <w:color w:val="000000" w:themeColor="text1"/>
          <w:sz w:val="24"/>
          <w:szCs w:val="24"/>
          <w:lang w:eastAsia="es-ES_tradnl"/>
        </w:rPr>
        <w:t>Nociones generales.</w:t>
      </w:r>
      <w:bookmarkEnd w:id="47"/>
      <w:bookmarkEnd w:id="48"/>
      <w:bookmarkEnd w:id="49"/>
      <w:bookmarkEnd w:id="50"/>
      <w:bookmarkEnd w:id="51"/>
      <w:r w:rsidRPr="00846A59">
        <w:rPr>
          <w:rFonts w:ascii="Palatino Linotype" w:hAnsi="Palatino Linotype" w:cs="Times New Roman"/>
          <w:b/>
          <w:color w:val="000000" w:themeColor="text1"/>
          <w:sz w:val="24"/>
          <w:szCs w:val="24"/>
          <w:lang w:eastAsia="es-ES_tradnl"/>
        </w:rPr>
        <w:t xml:space="preserve"> </w:t>
      </w:r>
    </w:p>
    <w:p w14:paraId="71BBB8A8" w14:textId="77777777" w:rsidR="00CB2836" w:rsidRPr="00846A59"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846A59">
        <w:rPr>
          <w:rFonts w:ascii="Palatino Linotype" w:hAnsi="Palatino Linotype" w:cs="Arial"/>
          <w:color w:val="000000"/>
          <w:sz w:val="24"/>
        </w:rPr>
        <w:t>Debe destacarse que, debido a la naturaleza de la información solicitada</w:t>
      </w:r>
      <w:r w:rsidRPr="00846A59">
        <w:rPr>
          <w:rFonts w:ascii="Palatino Linotype" w:hAnsi="Palatino Linotype" w:cs="Arial"/>
          <w:b/>
          <w:color w:val="000000"/>
          <w:sz w:val="24"/>
        </w:rPr>
        <w:t xml:space="preserve">, </w:t>
      </w:r>
      <w:r w:rsidRPr="00846A59">
        <w:rPr>
          <w:rFonts w:ascii="Palatino Linotype" w:hAnsi="Palatino Linotype" w:cs="Arial"/>
          <w:color w:val="000000"/>
          <w:sz w:val="24"/>
        </w:rPr>
        <w:t xml:space="preserve">eventualmente pudiera obrar datos personales susceptibles de protegerse, así como </w:t>
      </w:r>
      <w:r w:rsidRPr="00846A59">
        <w:rPr>
          <w:rFonts w:ascii="Palatino Linotype" w:hAnsi="Palatino Linotype" w:cs="Arial"/>
          <w:color w:val="000000"/>
          <w:sz w:val="24"/>
        </w:rPr>
        <w:lastRenderedPageBreak/>
        <w:t xml:space="preserve">información susceptible de clasificarse como reservada, el </w:t>
      </w:r>
      <w:r w:rsidRPr="00846A59">
        <w:rPr>
          <w:rFonts w:ascii="Palatino Linotype" w:hAnsi="Palatino Linotype" w:cs="Arial"/>
          <w:b/>
          <w:bCs/>
          <w:color w:val="000000"/>
          <w:sz w:val="24"/>
        </w:rPr>
        <w:t xml:space="preserve">Sujeto Obligado </w:t>
      </w:r>
      <w:r w:rsidRPr="00846A59">
        <w:rPr>
          <w:rFonts w:ascii="Palatino Linotype" w:hAnsi="Palatino Linotype" w:cs="Arial"/>
          <w:color w:val="000000"/>
          <w:sz w:val="24"/>
        </w:rPr>
        <w:t xml:space="preserve">deberá de hacer la adecuada versión pública, protegiendo los datos que no son susceptibles de ser proporcionados. </w:t>
      </w:r>
    </w:p>
    <w:p w14:paraId="4D2B6890" w14:textId="77777777" w:rsidR="00CB2836" w:rsidRPr="00846A59"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846A59">
        <w:rPr>
          <w:rFonts w:ascii="Palatino Linotype" w:hAnsi="Palatino Linotype" w:cs="Arial"/>
          <w:color w:val="000000"/>
          <w:sz w:val="24"/>
          <w:szCs w:val="24"/>
        </w:rPr>
        <w:t xml:space="preserve">No pasa desapercibido para este Órgano Garante que los </w:t>
      </w:r>
      <w:r w:rsidRPr="00846A59">
        <w:rPr>
          <w:rFonts w:ascii="Palatino Linotype" w:hAnsi="Palatino Linotype" w:cs="Arial"/>
          <w:b/>
          <w:bCs/>
          <w:color w:val="000000"/>
          <w:sz w:val="24"/>
          <w:szCs w:val="24"/>
        </w:rPr>
        <w:t xml:space="preserve">Sujetos Obligados </w:t>
      </w:r>
      <w:r w:rsidRPr="00846A59">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846A59"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846A59" w14:paraId="7F8CB49D" w14:textId="77777777" w:rsidTr="00003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846A59" w:rsidRDefault="00CB2836" w:rsidP="00003855">
            <w:pPr>
              <w:tabs>
                <w:tab w:val="left" w:pos="284"/>
              </w:tabs>
              <w:spacing w:line="360" w:lineRule="auto"/>
              <w:rPr>
                <w:rFonts w:ascii="Palatino Linotype" w:hAnsi="Palatino Linotype"/>
                <w:bCs w:val="0"/>
                <w:sz w:val="20"/>
              </w:rPr>
            </w:pPr>
            <w:r w:rsidRPr="00846A59">
              <w:rPr>
                <w:rFonts w:ascii="Palatino Linotype" w:hAnsi="Palatino Linotype" w:cstheme="majorBidi"/>
                <w:sz w:val="20"/>
              </w:rPr>
              <w:t>a) Requisitos previos.</w:t>
            </w:r>
          </w:p>
        </w:tc>
        <w:tc>
          <w:tcPr>
            <w:tcW w:w="6667" w:type="dxa"/>
            <w:hideMark/>
          </w:tcPr>
          <w:p w14:paraId="2A73E002" w14:textId="77777777" w:rsidR="00CB2836" w:rsidRPr="00846A59" w:rsidRDefault="00CB2836" w:rsidP="0000385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846A59">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846A59" w:rsidRDefault="00CB2836" w:rsidP="0000385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846A59">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846A59" w:rsidRDefault="00CB2836" w:rsidP="0000385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846A59">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846A59" w:rsidRDefault="00CB2836" w:rsidP="0000385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846A59">
              <w:rPr>
                <w:rFonts w:ascii="Palatino Linotype" w:hAnsi="Palatino Linotype" w:cs="Arial"/>
                <w:color w:val="000000"/>
                <w:sz w:val="20"/>
              </w:rPr>
              <w:t xml:space="preserve">El último de estos requisitos previos consiste en que no se pueden emitir acuerdos de carácter general ni particular, esto es, </w:t>
            </w:r>
            <w:r w:rsidRPr="00846A59">
              <w:rPr>
                <w:rFonts w:ascii="Palatino Linotype" w:hAnsi="Palatino Linotype" w:cs="Arial"/>
                <w:color w:val="000000"/>
                <w:sz w:val="20"/>
                <w:u w:val="single"/>
              </w:rPr>
              <w:t>no se puede hacer un acuerdo para clasificar de manera general todos los documentos de un expediente o área, sin</w:t>
            </w:r>
            <w:r w:rsidRPr="00846A59">
              <w:rPr>
                <w:rFonts w:ascii="Palatino Linotype" w:hAnsi="Palatino Linotype" w:cs="Arial"/>
                <w:color w:val="000000"/>
                <w:sz w:val="20"/>
              </w:rPr>
              <w:t xml:space="preserve"> individualizar su análisis y tampoco se puede hacer un acuerdo por cada dato que se vaya a </w:t>
            </w:r>
            <w:r w:rsidRPr="00846A59">
              <w:rPr>
                <w:rFonts w:ascii="Palatino Linotype" w:hAnsi="Palatino Linotype" w:cs="Arial"/>
                <w:color w:val="000000"/>
                <w:sz w:val="20"/>
              </w:rPr>
              <w:lastRenderedPageBreak/>
              <w:t>clasificar dentro de un documento con diez datos, por ejemplo, susceptibles de ser clasificados.</w:t>
            </w:r>
          </w:p>
        </w:tc>
      </w:tr>
      <w:tr w:rsidR="00CB2836" w:rsidRPr="00846A59" w14:paraId="3FD60997" w14:textId="77777777" w:rsidTr="00003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846A59" w:rsidRDefault="00CB2836" w:rsidP="00003855">
            <w:pPr>
              <w:tabs>
                <w:tab w:val="left" w:pos="284"/>
              </w:tabs>
              <w:spacing w:line="360" w:lineRule="auto"/>
              <w:rPr>
                <w:rFonts w:ascii="Palatino Linotype" w:hAnsi="Palatino Linotype"/>
                <w:bCs w:val="0"/>
                <w:sz w:val="20"/>
              </w:rPr>
            </w:pPr>
            <w:r w:rsidRPr="00846A59">
              <w:rPr>
                <w:rFonts w:ascii="Palatino Linotype" w:hAnsi="Palatino Linotype" w:cstheme="majorBidi"/>
                <w:sz w:val="20"/>
              </w:rPr>
              <w:lastRenderedPageBreak/>
              <w:t>b) Supuestos de clasificación.</w:t>
            </w:r>
          </w:p>
        </w:tc>
        <w:tc>
          <w:tcPr>
            <w:tcW w:w="6667" w:type="dxa"/>
            <w:hideMark/>
          </w:tcPr>
          <w:p w14:paraId="3491A29E" w14:textId="77777777" w:rsidR="00CB2836" w:rsidRPr="00846A59" w:rsidRDefault="00CB2836" w:rsidP="0000385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846A59" w:rsidRDefault="00CB2836" w:rsidP="0000385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846A59" w:rsidRDefault="00CB2836" w:rsidP="0000385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846A59">
              <w:rPr>
                <w:rFonts w:ascii="Palatino Linotype" w:hAnsi="Palatino Linotype" w:cs="Arial"/>
                <w:color w:val="000000"/>
                <w:sz w:val="20"/>
              </w:rPr>
              <w:t xml:space="preserve">El </w:t>
            </w:r>
            <w:r w:rsidRPr="00846A59">
              <w:rPr>
                <w:rFonts w:ascii="Palatino Linotype" w:hAnsi="Palatino Linotype" w:cs="Arial"/>
                <w:b/>
                <w:color w:val="000000"/>
                <w:sz w:val="20"/>
              </w:rPr>
              <w:t>Sujeto Obligado</w:t>
            </w:r>
            <w:r w:rsidRPr="00846A59">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846A59" w14:paraId="708BA4DD" w14:textId="77777777" w:rsidTr="00003855">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846A59" w:rsidRDefault="00CB2836" w:rsidP="00003855">
            <w:pPr>
              <w:tabs>
                <w:tab w:val="left" w:pos="284"/>
              </w:tabs>
              <w:spacing w:line="360" w:lineRule="auto"/>
              <w:rPr>
                <w:rFonts w:ascii="Palatino Linotype" w:hAnsi="Palatino Linotype"/>
                <w:bCs w:val="0"/>
                <w:sz w:val="20"/>
              </w:rPr>
            </w:pPr>
            <w:r w:rsidRPr="00846A59">
              <w:rPr>
                <w:rFonts w:ascii="Palatino Linotype" w:hAnsi="Palatino Linotype" w:cstheme="majorBidi"/>
                <w:sz w:val="20"/>
              </w:rPr>
              <w:t>c) Formalidades para emitir el acuerdo de clasificación.</w:t>
            </w:r>
          </w:p>
        </w:tc>
        <w:tc>
          <w:tcPr>
            <w:tcW w:w="6667" w:type="dxa"/>
            <w:hideMark/>
          </w:tcPr>
          <w:p w14:paraId="12DC43BD" w14:textId="77777777" w:rsidR="00CB2836" w:rsidRPr="00846A59" w:rsidRDefault="00CB2836" w:rsidP="0000385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846A59" w:rsidRDefault="00CB2836" w:rsidP="0000385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 xml:space="preserve">Es necesario que </w:t>
            </w:r>
            <w:r w:rsidRPr="00846A59">
              <w:rPr>
                <w:rFonts w:ascii="Palatino Linotype" w:hAnsi="Palatino Linotype" w:cs="Arial"/>
                <w:b/>
                <w:color w:val="000000"/>
                <w:sz w:val="20"/>
                <w:u w:val="single"/>
              </w:rPr>
              <w:t>el acto reúna con los requisitos elementales</w:t>
            </w:r>
            <w:r w:rsidRPr="00846A59">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846A59" w:rsidRDefault="00CB2836" w:rsidP="0000385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846A59">
              <w:rPr>
                <w:rFonts w:ascii="Palatino Linotype" w:hAnsi="Palatino Linotype" w:cs="Arial"/>
                <w:color w:val="000000"/>
                <w:sz w:val="20"/>
              </w:rPr>
              <w:t xml:space="preserve">La decisión de aprobar, modificar o revocar la clasificación deberá de asentarse en un documento que registre la determinación a la que se </w:t>
            </w:r>
            <w:r w:rsidRPr="00846A59">
              <w:rPr>
                <w:rFonts w:ascii="Palatino Linotype" w:hAnsi="Palatino Linotype" w:cs="Arial"/>
                <w:color w:val="000000"/>
                <w:sz w:val="20"/>
              </w:rPr>
              <w:lastRenderedPageBreak/>
              <w:t>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846A59" w14:paraId="5F994609" w14:textId="77777777" w:rsidTr="000038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846A59" w:rsidRDefault="00CB2836" w:rsidP="00003855">
            <w:pPr>
              <w:tabs>
                <w:tab w:val="left" w:pos="284"/>
              </w:tabs>
              <w:spacing w:line="360" w:lineRule="auto"/>
              <w:rPr>
                <w:rFonts w:ascii="Palatino Linotype" w:hAnsi="Palatino Linotype"/>
                <w:b w:val="0"/>
                <w:sz w:val="20"/>
              </w:rPr>
            </w:pPr>
          </w:p>
          <w:p w14:paraId="223D977E" w14:textId="77777777" w:rsidR="00CB2836" w:rsidRPr="00846A59" w:rsidRDefault="00CB2836" w:rsidP="00003855">
            <w:pPr>
              <w:tabs>
                <w:tab w:val="left" w:pos="284"/>
              </w:tabs>
              <w:spacing w:line="360" w:lineRule="auto"/>
              <w:jc w:val="both"/>
              <w:rPr>
                <w:rFonts w:ascii="Palatino Linotype" w:hAnsi="Palatino Linotype"/>
                <w:bCs w:val="0"/>
                <w:sz w:val="20"/>
              </w:rPr>
            </w:pPr>
            <w:r w:rsidRPr="00846A59">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846A59" w:rsidRDefault="00CB2836" w:rsidP="0000385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46A59">
              <w:rPr>
                <w:rFonts w:ascii="Palatino Linotype" w:hAnsi="Palatino Linotype" w:cs="Arial"/>
                <w:b/>
                <w:color w:val="000000"/>
                <w:sz w:val="20"/>
              </w:rPr>
              <w:t>Sujetos Obligados</w:t>
            </w:r>
            <w:r w:rsidRPr="00846A59">
              <w:rPr>
                <w:rFonts w:ascii="Palatino Linotype" w:hAnsi="Palatino Linotype" w:cs="Arial"/>
                <w:color w:val="000000"/>
                <w:sz w:val="20"/>
              </w:rPr>
              <w:t xml:space="preserve">, por lo que deberán fundar y motivar debidamente la clasificación. </w:t>
            </w:r>
          </w:p>
          <w:p w14:paraId="29A9773E" w14:textId="77777777" w:rsidR="00CB2836" w:rsidRPr="00846A59" w:rsidRDefault="00CB2836" w:rsidP="0000385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 xml:space="preserve">De lo anterior, se desprende que para una correcta </w:t>
            </w:r>
            <w:r w:rsidRPr="00846A59">
              <w:rPr>
                <w:rFonts w:ascii="Palatino Linotype" w:hAnsi="Palatino Linotype" w:cs="Arial"/>
                <w:b/>
                <w:color w:val="000000"/>
                <w:sz w:val="20"/>
              </w:rPr>
              <w:t>clasificación total o parcial</w:t>
            </w:r>
            <w:r w:rsidRPr="00846A59">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846A59" w:rsidRDefault="00CB2836" w:rsidP="0000385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846A59" w:rsidRDefault="00CB2836" w:rsidP="0000385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283DA2BF" w14:textId="77777777" w:rsidR="00CB2836" w:rsidRPr="00846A59" w:rsidRDefault="00CB2836" w:rsidP="0000385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 xml:space="preserve">Ahora bien, </w:t>
            </w:r>
            <w:r w:rsidRPr="00846A59">
              <w:rPr>
                <w:rFonts w:ascii="Palatino Linotype" w:hAnsi="Palatino Linotype" w:cs="Arial"/>
                <w:b/>
                <w:color w:val="000000"/>
                <w:sz w:val="20"/>
                <w:u w:val="single"/>
              </w:rPr>
              <w:t>para cada caso además de fundar y motivar</w:t>
            </w:r>
            <w:r w:rsidRPr="00846A59">
              <w:rPr>
                <w:rFonts w:ascii="Palatino Linotype" w:hAnsi="Palatino Linotype" w:cs="Arial"/>
                <w:color w:val="000000"/>
                <w:sz w:val="20"/>
              </w:rPr>
              <w:t xml:space="preserve">, se debe identificar con claridad que datos contenidos en las documentales que son susceptibles de suprimirse, por ejemplo; </w:t>
            </w:r>
            <w:r w:rsidRPr="00846A59">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846A59" w14:paraId="7C8AA5AA" w14:textId="77777777" w:rsidTr="00003855">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846A59" w:rsidRDefault="00CB2836" w:rsidP="00003855">
            <w:pPr>
              <w:tabs>
                <w:tab w:val="left" w:pos="284"/>
              </w:tabs>
              <w:spacing w:line="360" w:lineRule="auto"/>
              <w:ind w:right="49"/>
              <w:jc w:val="both"/>
              <w:rPr>
                <w:rFonts w:ascii="Palatino Linotype" w:hAnsi="Palatino Linotype" w:cs="Arial"/>
                <w:bCs w:val="0"/>
                <w:sz w:val="20"/>
              </w:rPr>
            </w:pPr>
            <w:r w:rsidRPr="00846A59">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846A59" w:rsidRDefault="00CB2836" w:rsidP="0000385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846A59" w:rsidRDefault="00CB2836" w:rsidP="0000385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846A59">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846A59" w:rsidRDefault="00CB2836" w:rsidP="0000385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846A59">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846A59" w:rsidRDefault="00CB2836" w:rsidP="00CB2836">
      <w:pPr>
        <w:pStyle w:val="Prrafodelista"/>
        <w:tabs>
          <w:tab w:val="left" w:pos="284"/>
        </w:tabs>
        <w:ind w:left="0"/>
        <w:rPr>
          <w:rFonts w:ascii="Palatino Linotype" w:hAnsi="Palatino Linotype" w:cs="Arial"/>
          <w:color w:val="000000"/>
        </w:rPr>
      </w:pPr>
    </w:p>
    <w:p w14:paraId="1CAA2906" w14:textId="77777777" w:rsidR="007A509F" w:rsidRPr="00846A59" w:rsidRDefault="007A509F" w:rsidP="00CB2836">
      <w:pPr>
        <w:pStyle w:val="Prrafodelista"/>
        <w:tabs>
          <w:tab w:val="left" w:pos="284"/>
        </w:tabs>
        <w:ind w:left="0"/>
        <w:rPr>
          <w:rFonts w:ascii="Palatino Linotype" w:hAnsi="Palatino Linotype" w:cs="Arial"/>
          <w:color w:val="000000"/>
        </w:rPr>
      </w:pPr>
    </w:p>
    <w:p w14:paraId="1345DD05" w14:textId="0E02E816" w:rsidR="00CE0303" w:rsidRPr="00846A59" w:rsidRDefault="00CE0303"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846A59">
        <w:rPr>
          <w:rFonts w:ascii="Palatino Linotype" w:hAnsi="Palatino Linotype" w:cs="Arial"/>
          <w:color w:val="000000"/>
          <w:sz w:val="24"/>
        </w:rPr>
        <w:lastRenderedPageBreak/>
        <w:t>Entre los datos personales que deban ser clasificados como confidenciales, se encuentran los siguientes:</w:t>
      </w:r>
    </w:p>
    <w:p w14:paraId="7A3CB253" w14:textId="77777777" w:rsidR="00CE0303" w:rsidRPr="00846A59" w:rsidRDefault="00CE0303" w:rsidP="00CE0303">
      <w:pPr>
        <w:pStyle w:val="Prrafodelista"/>
        <w:tabs>
          <w:tab w:val="left" w:pos="284"/>
        </w:tabs>
        <w:spacing w:line="360" w:lineRule="auto"/>
        <w:ind w:left="0"/>
        <w:jc w:val="both"/>
        <w:rPr>
          <w:rFonts w:ascii="Palatino Linotype" w:hAnsi="Palatino Linotype" w:cs="Arial"/>
          <w:color w:val="000000"/>
          <w:sz w:val="24"/>
        </w:rPr>
      </w:pPr>
    </w:p>
    <w:p w14:paraId="74F80FD4" w14:textId="77777777" w:rsidR="00CE0303" w:rsidRPr="00846A59" w:rsidRDefault="00CE0303" w:rsidP="00CE0303">
      <w:pPr>
        <w:pStyle w:val="Prrafodelista"/>
        <w:numPr>
          <w:ilvl w:val="0"/>
          <w:numId w:val="14"/>
        </w:numPr>
        <w:shd w:val="clear" w:color="auto" w:fill="FFFFFF"/>
        <w:spacing w:after="200" w:line="360" w:lineRule="auto"/>
        <w:ind w:left="709"/>
        <w:jc w:val="both"/>
        <w:rPr>
          <w:rFonts w:ascii="Palatino Linotype" w:hAnsi="Palatino Linotype" w:cs="Arial"/>
          <w:b/>
          <w:bCs/>
          <w:lang w:eastAsia="es-MX"/>
        </w:rPr>
      </w:pPr>
      <w:r w:rsidRPr="00846A59">
        <w:rPr>
          <w:rFonts w:ascii="Palatino Linotype" w:hAnsi="Palatino Linotype" w:cs="Arial"/>
          <w:b/>
          <w:bCs/>
          <w:lang w:eastAsia="es-MX"/>
        </w:rPr>
        <w:t>Clave Única de Registro de Población;</w:t>
      </w:r>
    </w:p>
    <w:p w14:paraId="49091E20" w14:textId="77777777" w:rsidR="00CE0303" w:rsidRPr="00846A59" w:rsidRDefault="00CE0303" w:rsidP="00CE0303">
      <w:pPr>
        <w:pStyle w:val="Prrafodelista"/>
        <w:numPr>
          <w:ilvl w:val="0"/>
          <w:numId w:val="2"/>
        </w:numPr>
        <w:tabs>
          <w:tab w:val="left" w:pos="567"/>
        </w:tabs>
        <w:spacing w:line="360" w:lineRule="auto"/>
        <w:ind w:left="0" w:right="49" w:firstLine="0"/>
        <w:jc w:val="both"/>
        <w:rPr>
          <w:rFonts w:ascii="Palatino Linotype" w:eastAsia="MS Mincho" w:hAnsi="Palatino Linotype" w:cs="Arial"/>
          <w:iCs/>
          <w:sz w:val="24"/>
        </w:rPr>
      </w:pPr>
      <w:r w:rsidRPr="00846A59">
        <w:rPr>
          <w:rFonts w:ascii="Palatino Linotype" w:eastAsia="MS Mincho" w:hAnsi="Palatino Linotype" w:cs="Arial"/>
          <w:iCs/>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7DD59E58" w14:textId="77777777" w:rsidR="00CE0303" w:rsidRPr="00846A59" w:rsidRDefault="00CE0303" w:rsidP="00F45919">
      <w:pPr>
        <w:tabs>
          <w:tab w:val="left" w:pos="851"/>
        </w:tabs>
        <w:spacing w:line="360" w:lineRule="auto"/>
        <w:ind w:right="49"/>
        <w:contextualSpacing/>
        <w:jc w:val="center"/>
        <w:rPr>
          <w:rFonts w:ascii="Palatino Linotype" w:eastAsia="MS Mincho" w:hAnsi="Palatino Linotype" w:cs="Arial"/>
          <w:iCs/>
        </w:rPr>
      </w:pPr>
      <w:r w:rsidRPr="00846A59">
        <w:rPr>
          <w:noProof/>
          <w:lang w:eastAsia="es-MX"/>
        </w:rPr>
        <w:lastRenderedPageBreak/>
        <w:drawing>
          <wp:inline distT="0" distB="0" distL="0" distR="0" wp14:anchorId="06BE2E2E" wp14:editId="3C97799E">
            <wp:extent cx="4981575" cy="4391298"/>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l="25748" t="8269" r="41254" b="18082"/>
                    <a:stretch>
                      <a:fillRect/>
                    </a:stretch>
                  </pic:blipFill>
                  <pic:spPr bwMode="auto">
                    <a:xfrm>
                      <a:off x="0" y="0"/>
                      <a:ext cx="5000417" cy="4407907"/>
                    </a:xfrm>
                    <a:prstGeom prst="rect">
                      <a:avLst/>
                    </a:prstGeom>
                    <a:noFill/>
                    <a:ln>
                      <a:noFill/>
                    </a:ln>
                  </pic:spPr>
                </pic:pic>
              </a:graphicData>
            </a:graphic>
          </wp:inline>
        </w:drawing>
      </w:r>
    </w:p>
    <w:p w14:paraId="388F24E8" w14:textId="77777777" w:rsidR="00CE0303" w:rsidRPr="00846A59" w:rsidRDefault="00CE0303" w:rsidP="00CE0303">
      <w:pPr>
        <w:pStyle w:val="Prrafodelista"/>
        <w:numPr>
          <w:ilvl w:val="0"/>
          <w:numId w:val="2"/>
        </w:numPr>
        <w:tabs>
          <w:tab w:val="left" w:pos="567"/>
        </w:tabs>
        <w:spacing w:line="360" w:lineRule="auto"/>
        <w:ind w:left="0" w:right="49" w:firstLine="0"/>
        <w:jc w:val="both"/>
        <w:rPr>
          <w:rFonts w:ascii="Palatino Linotype" w:eastAsia="MS Mincho" w:hAnsi="Palatino Linotype" w:cs="Arial"/>
          <w:iCs/>
          <w:sz w:val="24"/>
        </w:rPr>
      </w:pPr>
      <w:r w:rsidRPr="00846A59">
        <w:rPr>
          <w:rFonts w:ascii="Palatino Linotype" w:eastAsia="MS Mincho" w:hAnsi="Palatino Linotype" w:cs="Arial"/>
          <w:iCs/>
          <w:sz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66879FC3" w14:textId="77777777" w:rsidR="00CE0303" w:rsidRPr="00846A59" w:rsidRDefault="00CE0303" w:rsidP="00CE0303">
      <w:pPr>
        <w:tabs>
          <w:tab w:val="left" w:pos="0"/>
          <w:tab w:val="left" w:pos="426"/>
        </w:tabs>
        <w:spacing w:line="360" w:lineRule="auto"/>
        <w:ind w:right="49"/>
        <w:contextualSpacing/>
        <w:jc w:val="both"/>
        <w:rPr>
          <w:rFonts w:ascii="Palatino Linotype" w:eastAsia="MS Mincho" w:hAnsi="Palatino Linotype" w:cs="Arial"/>
          <w:iCs/>
        </w:rPr>
      </w:pPr>
    </w:p>
    <w:p w14:paraId="7C08E09D" w14:textId="77777777" w:rsidR="00CE0303" w:rsidRPr="00846A59" w:rsidRDefault="00CE0303" w:rsidP="00CE0303">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846A59">
        <w:rPr>
          <w:rFonts w:ascii="Palatino Linotype" w:eastAsia="MS Mincho" w:hAnsi="Palatino Linotype" w:cs="Arial"/>
          <w:iCs/>
          <w:sz w:val="24"/>
        </w:rPr>
        <w:t xml:space="preserve">Entre las características de la CURP, se encuentra: </w:t>
      </w:r>
    </w:p>
    <w:p w14:paraId="7B9DF2FF" w14:textId="77777777" w:rsidR="00CE0303" w:rsidRPr="00846A59" w:rsidRDefault="00CE0303" w:rsidP="00CE0303">
      <w:pPr>
        <w:tabs>
          <w:tab w:val="left" w:pos="0"/>
          <w:tab w:val="left" w:pos="426"/>
        </w:tabs>
        <w:spacing w:line="360" w:lineRule="auto"/>
        <w:ind w:right="49"/>
        <w:contextualSpacing/>
        <w:jc w:val="both"/>
        <w:rPr>
          <w:rFonts w:ascii="Palatino Linotype" w:eastAsia="MS Mincho" w:hAnsi="Palatino Linotype" w:cs="Arial"/>
          <w:iCs/>
        </w:rPr>
      </w:pPr>
    </w:p>
    <w:p w14:paraId="75802C86" w14:textId="77777777" w:rsidR="00CE0303" w:rsidRPr="00846A59" w:rsidRDefault="00CE0303" w:rsidP="00CE0303">
      <w:pPr>
        <w:tabs>
          <w:tab w:val="left" w:pos="426"/>
          <w:tab w:val="left" w:pos="567"/>
        </w:tabs>
        <w:spacing w:line="360" w:lineRule="auto"/>
        <w:ind w:left="567" w:right="567"/>
        <w:contextualSpacing/>
        <w:jc w:val="both"/>
        <w:rPr>
          <w:rFonts w:ascii="Palatino Linotype" w:eastAsia="MS Mincho" w:hAnsi="Palatino Linotype" w:cs="Arial"/>
          <w:iCs/>
          <w:sz w:val="22"/>
        </w:rPr>
      </w:pPr>
      <w:r w:rsidRPr="00846A59">
        <w:rPr>
          <w:rFonts w:ascii="Palatino Linotype" w:eastAsia="MS Mincho" w:hAnsi="Palatino Linotype" w:cs="Arial"/>
          <w:b/>
          <w:bCs/>
          <w:iCs/>
          <w:sz w:val="22"/>
        </w:rPr>
        <w:t xml:space="preserve">Composición. </w:t>
      </w:r>
      <w:r w:rsidRPr="00846A59">
        <w:rPr>
          <w:rFonts w:ascii="Palatino Linotype" w:eastAsia="MS Mincho" w:hAnsi="Palatino Linotype" w:cs="Arial"/>
          <w:iCs/>
          <w:sz w:val="22"/>
        </w:rPr>
        <w:t>Alfanumérica.</w:t>
      </w:r>
    </w:p>
    <w:p w14:paraId="513915AD" w14:textId="77777777" w:rsidR="00CE0303" w:rsidRPr="00846A59" w:rsidRDefault="00CE0303" w:rsidP="00CE0303">
      <w:pPr>
        <w:tabs>
          <w:tab w:val="left" w:pos="426"/>
          <w:tab w:val="left" w:pos="567"/>
        </w:tabs>
        <w:spacing w:line="360" w:lineRule="auto"/>
        <w:ind w:left="567" w:right="567"/>
        <w:contextualSpacing/>
        <w:jc w:val="both"/>
        <w:rPr>
          <w:rFonts w:ascii="Palatino Linotype" w:eastAsia="MS Mincho" w:hAnsi="Palatino Linotype" w:cs="Arial"/>
          <w:iCs/>
          <w:sz w:val="22"/>
        </w:rPr>
      </w:pPr>
      <w:r w:rsidRPr="00846A59">
        <w:rPr>
          <w:rFonts w:ascii="Palatino Linotype" w:eastAsia="MS Mincho" w:hAnsi="Palatino Linotype" w:cs="Arial"/>
          <w:b/>
          <w:bCs/>
          <w:iCs/>
          <w:sz w:val="22"/>
        </w:rPr>
        <w:lastRenderedPageBreak/>
        <w:t xml:space="preserve">Longitud. </w:t>
      </w:r>
      <w:r w:rsidRPr="00846A59">
        <w:rPr>
          <w:rFonts w:ascii="Palatino Linotype" w:eastAsia="MS Mincho" w:hAnsi="Palatino Linotype" w:cs="Arial"/>
          <w:iCs/>
          <w:sz w:val="22"/>
        </w:rPr>
        <w:t xml:space="preserve"> 18 caracteres.</w:t>
      </w:r>
    </w:p>
    <w:p w14:paraId="16017793" w14:textId="77777777" w:rsidR="00CE0303" w:rsidRPr="00846A59" w:rsidRDefault="00CE0303" w:rsidP="00CE0303">
      <w:pPr>
        <w:tabs>
          <w:tab w:val="left" w:pos="426"/>
          <w:tab w:val="left" w:pos="567"/>
        </w:tabs>
        <w:spacing w:line="360" w:lineRule="auto"/>
        <w:ind w:left="567" w:right="567"/>
        <w:contextualSpacing/>
        <w:jc w:val="both"/>
        <w:rPr>
          <w:rFonts w:ascii="Palatino Linotype" w:eastAsia="MS Mincho" w:hAnsi="Palatino Linotype" w:cs="Arial"/>
          <w:iCs/>
          <w:sz w:val="22"/>
        </w:rPr>
      </w:pPr>
      <w:r w:rsidRPr="00846A59">
        <w:rPr>
          <w:rFonts w:ascii="Palatino Linotype" w:eastAsia="MS Mincho" w:hAnsi="Palatino Linotype" w:cs="Arial"/>
          <w:b/>
          <w:bCs/>
          <w:iCs/>
          <w:sz w:val="22"/>
        </w:rPr>
        <w:t xml:space="preserve">Naturaleza. </w:t>
      </w:r>
      <w:r w:rsidRPr="00846A59">
        <w:rPr>
          <w:rFonts w:ascii="Palatino Linotype" w:eastAsia="MS Mincho" w:hAnsi="Palatino Linotype" w:cs="Arial"/>
          <w:iCs/>
          <w:sz w:val="22"/>
        </w:rPr>
        <w:t>Biunívoca.</w:t>
      </w:r>
    </w:p>
    <w:p w14:paraId="51550131" w14:textId="77777777" w:rsidR="00CE0303" w:rsidRPr="00846A59" w:rsidRDefault="00CE0303" w:rsidP="00CE0303">
      <w:pPr>
        <w:tabs>
          <w:tab w:val="left" w:pos="426"/>
          <w:tab w:val="left" w:pos="567"/>
        </w:tabs>
        <w:spacing w:line="360" w:lineRule="auto"/>
        <w:ind w:left="567" w:right="567"/>
        <w:contextualSpacing/>
        <w:jc w:val="both"/>
        <w:rPr>
          <w:rFonts w:ascii="Palatino Linotype" w:eastAsia="MS Mincho" w:hAnsi="Palatino Linotype" w:cs="Arial"/>
          <w:iCs/>
          <w:sz w:val="22"/>
        </w:rPr>
      </w:pPr>
      <w:r w:rsidRPr="00846A59">
        <w:rPr>
          <w:rFonts w:ascii="Palatino Linotype" w:eastAsia="MS Mincho" w:hAnsi="Palatino Linotype" w:cs="Arial"/>
          <w:b/>
          <w:bCs/>
          <w:iCs/>
          <w:sz w:val="22"/>
        </w:rPr>
        <w:t xml:space="preserve">Universalidad. </w:t>
      </w:r>
      <w:r w:rsidRPr="00846A59">
        <w:rPr>
          <w:rFonts w:ascii="Palatino Linotype" w:eastAsia="MS Mincho" w:hAnsi="Palatino Linotype" w:cs="Arial"/>
          <w:iCs/>
          <w:sz w:val="22"/>
        </w:rPr>
        <w:t>Se asigna a todas las personas que conforman la población.</w:t>
      </w:r>
    </w:p>
    <w:p w14:paraId="451B96E2" w14:textId="77777777" w:rsidR="00CE0303" w:rsidRPr="00846A59" w:rsidRDefault="00CE0303" w:rsidP="00CE0303">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846A59">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4E782D06" w14:textId="77777777" w:rsidR="00CE0303" w:rsidRPr="00846A59" w:rsidRDefault="00CE0303" w:rsidP="00CE0303">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73641F9C" w14:textId="77777777" w:rsidR="00CE0303" w:rsidRPr="00846A59" w:rsidRDefault="00CE0303" w:rsidP="00CE0303">
      <w:pPr>
        <w:pStyle w:val="Prrafodelista"/>
        <w:numPr>
          <w:ilvl w:val="0"/>
          <w:numId w:val="2"/>
        </w:numPr>
        <w:tabs>
          <w:tab w:val="left" w:pos="567"/>
        </w:tabs>
        <w:spacing w:line="360" w:lineRule="auto"/>
        <w:ind w:left="0" w:right="49" w:firstLine="0"/>
        <w:jc w:val="both"/>
        <w:rPr>
          <w:rFonts w:ascii="Palatino Linotype" w:eastAsia="MS Mincho" w:hAnsi="Palatino Linotype" w:cs="Arial"/>
          <w:i/>
          <w:sz w:val="24"/>
        </w:rPr>
      </w:pPr>
      <w:r w:rsidRPr="00846A59">
        <w:rPr>
          <w:rFonts w:ascii="Palatino Linotype" w:eastAsia="MS Mincho" w:hAnsi="Palatino Linotype" w:cs="Arial"/>
          <w:iCs/>
          <w:sz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631D9B1B" w14:textId="77777777" w:rsidR="00CE0303" w:rsidRPr="00846A59" w:rsidRDefault="00CE0303" w:rsidP="00CE0303">
      <w:pPr>
        <w:tabs>
          <w:tab w:val="left" w:pos="567"/>
        </w:tabs>
        <w:spacing w:line="360" w:lineRule="auto"/>
        <w:ind w:right="49"/>
        <w:contextualSpacing/>
        <w:jc w:val="both"/>
        <w:rPr>
          <w:rFonts w:ascii="Palatino Linotype" w:eastAsia="MS Mincho" w:hAnsi="Palatino Linotype" w:cs="Arial"/>
          <w:i/>
          <w:sz w:val="22"/>
        </w:rPr>
      </w:pPr>
    </w:p>
    <w:p w14:paraId="01D44955" w14:textId="77777777" w:rsidR="00CE0303" w:rsidRPr="00846A59" w:rsidRDefault="00CE0303" w:rsidP="00CE0303">
      <w:pPr>
        <w:pStyle w:val="Prrafodelista"/>
        <w:numPr>
          <w:ilvl w:val="0"/>
          <w:numId w:val="2"/>
        </w:numPr>
        <w:tabs>
          <w:tab w:val="left" w:pos="567"/>
        </w:tabs>
        <w:spacing w:line="360" w:lineRule="auto"/>
        <w:ind w:left="0" w:right="49" w:firstLine="0"/>
        <w:jc w:val="both"/>
        <w:rPr>
          <w:rFonts w:ascii="Palatino Linotype" w:eastAsia="MS Mincho" w:hAnsi="Palatino Linotype" w:cs="Arial"/>
          <w:iCs/>
          <w:sz w:val="24"/>
        </w:rPr>
      </w:pPr>
      <w:r w:rsidRPr="00846A59">
        <w:rPr>
          <w:rFonts w:ascii="Palatino Linotype" w:eastAsia="MS Mincho" w:hAnsi="Palatino Linotype" w:cs="Arial"/>
          <w:iCs/>
          <w:sz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80DF248" w14:textId="77777777" w:rsidR="00CE0303" w:rsidRPr="00846A59" w:rsidRDefault="00CE0303" w:rsidP="00CE0303">
      <w:pPr>
        <w:pStyle w:val="Prrafodelista"/>
        <w:tabs>
          <w:tab w:val="left" w:pos="567"/>
        </w:tabs>
        <w:spacing w:line="360" w:lineRule="auto"/>
        <w:ind w:left="0" w:right="49"/>
        <w:jc w:val="both"/>
        <w:rPr>
          <w:rFonts w:ascii="Palatino Linotype" w:eastAsia="MS Mincho" w:hAnsi="Palatino Linotype" w:cs="Arial"/>
          <w:iCs/>
          <w:sz w:val="24"/>
        </w:rPr>
      </w:pPr>
    </w:p>
    <w:p w14:paraId="5A149B09" w14:textId="77777777" w:rsidR="00CE0303" w:rsidRPr="00846A59" w:rsidRDefault="00CE0303" w:rsidP="00CE0303">
      <w:pPr>
        <w:pStyle w:val="Prrafodelista"/>
        <w:numPr>
          <w:ilvl w:val="0"/>
          <w:numId w:val="2"/>
        </w:numPr>
        <w:tabs>
          <w:tab w:val="left" w:pos="567"/>
        </w:tabs>
        <w:spacing w:line="360" w:lineRule="auto"/>
        <w:ind w:left="0" w:right="49" w:firstLine="0"/>
        <w:jc w:val="both"/>
        <w:rPr>
          <w:rFonts w:ascii="Palatino Linotype" w:eastAsia="MS Mincho" w:hAnsi="Palatino Linotype" w:cs="Arial"/>
          <w:iCs/>
          <w:sz w:val="24"/>
        </w:rPr>
      </w:pPr>
      <w:r w:rsidRPr="00846A59">
        <w:rPr>
          <w:rFonts w:ascii="Palatino Linotype" w:eastAsia="MS Mincho" w:hAnsi="Palatino Linotype" w:cs="Arial"/>
          <w:iCs/>
          <w:sz w:val="24"/>
        </w:rPr>
        <w:lastRenderedPageBreak/>
        <w:t xml:space="preserve">Ante ello, resulta aplicable el Criterio 18/17 emitido por el Instituto Nacional de Transparencia, Acceso a la Información y Protección de Datos Personales, que a la literalidad señala: </w:t>
      </w:r>
    </w:p>
    <w:p w14:paraId="638C81CF" w14:textId="77777777" w:rsidR="00CE0303" w:rsidRPr="00846A59" w:rsidRDefault="00CE0303" w:rsidP="00CE0303">
      <w:pPr>
        <w:pStyle w:val="Prrafodelista"/>
        <w:spacing w:line="360" w:lineRule="auto"/>
        <w:ind w:left="567" w:right="616"/>
        <w:rPr>
          <w:rFonts w:ascii="Palatino Linotype" w:eastAsia="MS Mincho" w:hAnsi="Palatino Linotype" w:cs="Arial"/>
          <w:i/>
          <w:iCs/>
        </w:rPr>
      </w:pPr>
    </w:p>
    <w:p w14:paraId="205CBE5D" w14:textId="77777777" w:rsidR="00CE0303" w:rsidRPr="00846A59" w:rsidRDefault="00CE0303" w:rsidP="00CE0303">
      <w:pPr>
        <w:shd w:val="clear" w:color="auto" w:fill="FFFFFF" w:themeFill="background1"/>
        <w:spacing w:line="360" w:lineRule="auto"/>
        <w:ind w:left="567" w:right="616"/>
        <w:jc w:val="both"/>
        <w:rPr>
          <w:rFonts w:ascii="Palatino Linotype" w:eastAsia="Calibri" w:hAnsi="Palatino Linotype" w:cs="Tahoma"/>
          <w:bCs/>
          <w:i/>
          <w:iCs/>
          <w:sz w:val="22"/>
        </w:rPr>
      </w:pPr>
      <w:r w:rsidRPr="00846A59">
        <w:rPr>
          <w:rFonts w:ascii="Palatino Linotype" w:eastAsia="Calibri" w:hAnsi="Palatino Linotype" w:cs="Tahoma"/>
          <w:i/>
          <w:iCs/>
          <w:sz w:val="22"/>
        </w:rPr>
        <w:t>“</w:t>
      </w:r>
      <w:r w:rsidRPr="00846A59">
        <w:rPr>
          <w:rFonts w:ascii="Palatino Linotype" w:eastAsia="Calibri" w:hAnsi="Palatino Linotype" w:cs="Tahoma"/>
          <w:b/>
          <w:bCs/>
          <w:i/>
          <w:iCs/>
          <w:sz w:val="22"/>
        </w:rPr>
        <w:t xml:space="preserve">Clave Única de Registro de Población (CURP). </w:t>
      </w:r>
      <w:r w:rsidRPr="00846A59">
        <w:rPr>
          <w:rFonts w:ascii="Palatino Linotype" w:eastAsia="Calibri"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1A2181C9" w14:textId="77777777" w:rsidR="00F45919" w:rsidRPr="00846A59" w:rsidRDefault="00F45919" w:rsidP="00CE0303">
      <w:pPr>
        <w:shd w:val="clear" w:color="auto" w:fill="FFFFFF" w:themeFill="background1"/>
        <w:spacing w:line="360" w:lineRule="auto"/>
        <w:ind w:left="567" w:right="616"/>
        <w:jc w:val="both"/>
        <w:rPr>
          <w:rFonts w:ascii="Palatino Linotype" w:eastAsia="Calibri" w:hAnsi="Palatino Linotype" w:cs="Tahoma"/>
          <w:bCs/>
          <w:i/>
          <w:iCs/>
          <w:sz w:val="22"/>
        </w:rPr>
      </w:pPr>
    </w:p>
    <w:p w14:paraId="20FFB94C" w14:textId="77777777" w:rsidR="00CE0303" w:rsidRPr="00846A59" w:rsidRDefault="00CE0303" w:rsidP="00CE0303">
      <w:pPr>
        <w:pStyle w:val="Prrafodelista"/>
        <w:rPr>
          <w:rFonts w:ascii="Palatino Linotype" w:hAnsi="Palatino Linotype" w:cs="Arial"/>
          <w:lang w:eastAsia="es-MX"/>
        </w:rPr>
      </w:pPr>
    </w:p>
    <w:p w14:paraId="0D746557" w14:textId="77777777" w:rsidR="00CE0303" w:rsidRPr="00846A59" w:rsidRDefault="00CE0303" w:rsidP="00F45919">
      <w:pPr>
        <w:pStyle w:val="Ttulo3"/>
        <w:numPr>
          <w:ilvl w:val="0"/>
          <w:numId w:val="14"/>
        </w:numPr>
        <w:spacing w:line="259" w:lineRule="auto"/>
        <w:ind w:left="851"/>
        <w:rPr>
          <w:rFonts w:ascii="Palatino Linotype" w:hAnsi="Palatino Linotype"/>
          <w:b/>
          <w:color w:val="auto"/>
        </w:rPr>
      </w:pPr>
      <w:bookmarkStart w:id="52" w:name="_Toc57918936"/>
      <w:r w:rsidRPr="00846A59">
        <w:rPr>
          <w:rFonts w:ascii="Palatino Linotype" w:hAnsi="Palatino Linotype"/>
          <w:b/>
          <w:color w:val="auto"/>
        </w:rPr>
        <w:t>Registro Federal de contribuyentes</w:t>
      </w:r>
      <w:bookmarkEnd w:id="52"/>
    </w:p>
    <w:p w14:paraId="45606E15" w14:textId="77777777" w:rsidR="00CE0303" w:rsidRPr="00846A59" w:rsidRDefault="00CE0303" w:rsidP="00CE0303">
      <w:pPr>
        <w:pStyle w:val="Prrafodelista"/>
        <w:rPr>
          <w:rFonts w:ascii="Palatino Linotype" w:hAnsi="Palatino Linotype"/>
          <w:b/>
          <w:lang w:eastAsia="en-US"/>
        </w:rPr>
      </w:pPr>
    </w:p>
    <w:p w14:paraId="1F6BED4E" w14:textId="77777777" w:rsidR="00CE0303" w:rsidRPr="00846A59" w:rsidRDefault="00CE0303" w:rsidP="00CE0303">
      <w:pPr>
        <w:pStyle w:val="Prrafodelista"/>
        <w:numPr>
          <w:ilvl w:val="0"/>
          <w:numId w:val="2"/>
        </w:numPr>
        <w:spacing w:line="360" w:lineRule="auto"/>
        <w:ind w:left="0" w:firstLine="0"/>
        <w:jc w:val="both"/>
        <w:rPr>
          <w:rFonts w:ascii="Palatino Linotype" w:hAnsi="Palatino Linotype" w:cs="Tahoma"/>
          <w:sz w:val="24"/>
          <w:lang w:eastAsia="es-MX"/>
        </w:rPr>
      </w:pPr>
      <w:r w:rsidRPr="00846A59">
        <w:rPr>
          <w:rFonts w:ascii="Palatino Linotype" w:hAnsi="Palatino Linotype" w:cs="Tahoma"/>
          <w:sz w:val="24"/>
          <w:lang w:eastAsia="es-MX"/>
        </w:rPr>
        <w:t>Observando que, quien solicitó la licencia de funcionamiento es una persona física, es necesario precisar que éstas, deben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A7B7C5E" w14:textId="77777777" w:rsidR="00CE0303" w:rsidRPr="00846A59" w:rsidRDefault="00CE0303" w:rsidP="00CE0303">
      <w:pPr>
        <w:pStyle w:val="Prrafodelista"/>
        <w:spacing w:line="360" w:lineRule="auto"/>
        <w:ind w:left="0"/>
        <w:jc w:val="both"/>
        <w:rPr>
          <w:rFonts w:ascii="Palatino Linotype" w:hAnsi="Palatino Linotype" w:cs="Tahoma"/>
          <w:sz w:val="24"/>
          <w:lang w:eastAsia="es-MX"/>
        </w:rPr>
      </w:pPr>
    </w:p>
    <w:p w14:paraId="3E5ECA03" w14:textId="77777777" w:rsidR="00CE0303" w:rsidRPr="00846A59" w:rsidRDefault="00CE0303" w:rsidP="00CE0303">
      <w:pPr>
        <w:pStyle w:val="Prrafodelista"/>
        <w:numPr>
          <w:ilvl w:val="0"/>
          <w:numId w:val="2"/>
        </w:numPr>
        <w:spacing w:line="360" w:lineRule="auto"/>
        <w:ind w:left="0" w:firstLine="0"/>
        <w:jc w:val="both"/>
        <w:rPr>
          <w:rFonts w:ascii="Palatino Linotype" w:hAnsi="Palatino Linotype" w:cs="Tahoma"/>
          <w:sz w:val="24"/>
          <w:lang w:eastAsia="es-MX"/>
        </w:rPr>
      </w:pPr>
      <w:r w:rsidRPr="00846A59">
        <w:rPr>
          <w:rFonts w:ascii="Palatino Linotype" w:hAnsi="Palatino Linotype" w:cs="Tahoma"/>
          <w:sz w:val="24"/>
          <w:lang w:eastAsia="es-MX"/>
        </w:rPr>
        <w:lastRenderedPageBreak/>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578A0D7" w14:textId="77777777" w:rsidR="00CE0303" w:rsidRPr="00846A59" w:rsidRDefault="00CE0303" w:rsidP="00CE0303">
      <w:pPr>
        <w:pStyle w:val="Prrafodelista"/>
        <w:spacing w:line="360" w:lineRule="auto"/>
        <w:rPr>
          <w:rFonts w:ascii="Palatino Linotype" w:hAnsi="Palatino Linotype" w:cs="Tahoma"/>
          <w:sz w:val="24"/>
          <w:lang w:eastAsia="es-MX"/>
        </w:rPr>
      </w:pPr>
    </w:p>
    <w:p w14:paraId="0FBF4A73" w14:textId="77777777" w:rsidR="00CE0303" w:rsidRPr="00846A59" w:rsidRDefault="00CE0303" w:rsidP="00CE0303">
      <w:pPr>
        <w:pStyle w:val="Prrafodelista"/>
        <w:numPr>
          <w:ilvl w:val="0"/>
          <w:numId w:val="2"/>
        </w:numPr>
        <w:spacing w:line="360" w:lineRule="auto"/>
        <w:ind w:left="0" w:firstLine="0"/>
        <w:jc w:val="both"/>
        <w:rPr>
          <w:rFonts w:ascii="Palatino Linotype" w:hAnsi="Palatino Linotype" w:cs="Tahoma"/>
          <w:sz w:val="24"/>
          <w:lang w:eastAsia="es-MX"/>
        </w:rPr>
      </w:pPr>
      <w:r w:rsidRPr="00846A59">
        <w:rPr>
          <w:rFonts w:ascii="Palatino Linotype" w:hAnsi="Palatino Linotype" w:cs="Tahoma"/>
          <w:sz w:val="24"/>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897D84C" w14:textId="77777777" w:rsidR="00CE0303" w:rsidRPr="00846A59" w:rsidRDefault="00CE0303" w:rsidP="00CE0303">
      <w:pPr>
        <w:pStyle w:val="Prrafodelista"/>
        <w:spacing w:line="360" w:lineRule="auto"/>
        <w:rPr>
          <w:rFonts w:ascii="Palatino Linotype" w:hAnsi="Palatino Linotype" w:cs="Tahoma"/>
          <w:sz w:val="24"/>
          <w:lang w:eastAsia="es-MX"/>
        </w:rPr>
      </w:pPr>
    </w:p>
    <w:p w14:paraId="3451B021" w14:textId="77777777" w:rsidR="00CE0303" w:rsidRPr="00846A59" w:rsidRDefault="00CE0303" w:rsidP="00CE0303">
      <w:pPr>
        <w:pStyle w:val="Prrafodelista"/>
        <w:numPr>
          <w:ilvl w:val="0"/>
          <w:numId w:val="2"/>
        </w:numPr>
        <w:spacing w:line="360" w:lineRule="auto"/>
        <w:ind w:left="0" w:firstLine="0"/>
        <w:jc w:val="both"/>
        <w:rPr>
          <w:rFonts w:ascii="Palatino Linotype" w:hAnsi="Palatino Linotype" w:cs="Tahoma"/>
          <w:sz w:val="24"/>
          <w:lang w:eastAsia="es-MX"/>
        </w:rPr>
      </w:pPr>
      <w:r w:rsidRPr="00846A59">
        <w:rPr>
          <w:rFonts w:ascii="Palatino Linotype" w:hAnsi="Palatino Linotype" w:cs="Tahoma"/>
          <w:sz w:val="24"/>
          <w:lang w:eastAsia="es-MX"/>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CDEB7A2" w14:textId="77777777" w:rsidR="00CE0303" w:rsidRPr="00846A59" w:rsidRDefault="00CE0303" w:rsidP="00CE0303">
      <w:pPr>
        <w:pStyle w:val="Prrafodelista"/>
        <w:spacing w:line="360" w:lineRule="auto"/>
        <w:rPr>
          <w:rFonts w:ascii="Palatino Linotype" w:hAnsi="Palatino Linotype" w:cs="Tahoma"/>
          <w:sz w:val="24"/>
          <w:lang w:eastAsia="es-MX"/>
        </w:rPr>
      </w:pPr>
    </w:p>
    <w:p w14:paraId="47378CEE" w14:textId="77777777" w:rsidR="00CE0303" w:rsidRPr="00846A59" w:rsidRDefault="00CE0303" w:rsidP="00CE0303">
      <w:pPr>
        <w:pStyle w:val="Prrafodelista"/>
        <w:numPr>
          <w:ilvl w:val="0"/>
          <w:numId w:val="2"/>
        </w:numPr>
        <w:spacing w:line="360" w:lineRule="auto"/>
        <w:ind w:left="0" w:firstLine="0"/>
        <w:jc w:val="both"/>
        <w:rPr>
          <w:rFonts w:ascii="Palatino Linotype" w:hAnsi="Palatino Linotype" w:cs="Tahoma"/>
          <w:sz w:val="24"/>
          <w:lang w:eastAsia="es-MX"/>
        </w:rPr>
      </w:pPr>
      <w:r w:rsidRPr="00846A59">
        <w:rPr>
          <w:rFonts w:ascii="Palatino Linotype" w:eastAsiaTheme="minorHAnsi" w:hAnsi="Palatino Linotype" w:cs="Tahoma"/>
          <w:bCs/>
          <w:sz w:val="24"/>
          <w:lang w:eastAsia="es-MX"/>
        </w:rPr>
        <w:t>Lo anterior, resulta congruente con el Criterio 19/17 emitido por el Instituto Nacional de Transparencia, Acceso a la Información y Protección de Datos Personales, en el cual se señala lo siguiente:</w:t>
      </w:r>
    </w:p>
    <w:p w14:paraId="39266073" w14:textId="77777777" w:rsidR="00CE0303" w:rsidRPr="00846A59" w:rsidRDefault="00CE0303" w:rsidP="00CE0303">
      <w:pPr>
        <w:spacing w:line="360" w:lineRule="auto"/>
        <w:contextualSpacing/>
        <w:jc w:val="both"/>
        <w:rPr>
          <w:rFonts w:ascii="Palatino Linotype" w:hAnsi="Palatino Linotype" w:cs="Tahoma"/>
          <w:lang w:eastAsia="es-MX"/>
        </w:rPr>
      </w:pPr>
    </w:p>
    <w:p w14:paraId="104EFB64" w14:textId="77777777" w:rsidR="00CE0303" w:rsidRPr="00846A59" w:rsidRDefault="00CE0303" w:rsidP="00CE0303">
      <w:pPr>
        <w:spacing w:line="360" w:lineRule="auto"/>
        <w:ind w:left="567"/>
        <w:jc w:val="both"/>
        <w:rPr>
          <w:rFonts w:ascii="Palatino Linotype" w:hAnsi="Palatino Linotype" w:cs="Tahoma"/>
          <w:b/>
          <w:i/>
          <w:sz w:val="22"/>
          <w:lang w:eastAsia="es-MX"/>
        </w:rPr>
      </w:pPr>
      <w:r w:rsidRPr="00846A59">
        <w:rPr>
          <w:rFonts w:ascii="Palatino Linotype" w:hAnsi="Palatino Linotype"/>
          <w:b/>
          <w:i/>
          <w:sz w:val="22"/>
        </w:rPr>
        <w:t xml:space="preserve">Registro Federal de Contribuyentes (RFC) de personas físicas. </w:t>
      </w:r>
    </w:p>
    <w:p w14:paraId="410ED61D" w14:textId="77777777" w:rsidR="00CE0303" w:rsidRPr="00846A59" w:rsidRDefault="00CE0303" w:rsidP="00CE0303">
      <w:pPr>
        <w:pStyle w:val="Prrafodelista"/>
        <w:spacing w:line="360" w:lineRule="auto"/>
        <w:ind w:left="567" w:right="567"/>
        <w:jc w:val="both"/>
        <w:rPr>
          <w:rFonts w:ascii="Palatino Linotype" w:hAnsi="Palatino Linotype" w:cs="Tahoma"/>
          <w:i/>
        </w:rPr>
      </w:pPr>
      <w:r w:rsidRPr="00846A59">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7138E582" w14:textId="77777777" w:rsidR="00CE0303" w:rsidRPr="00846A59" w:rsidRDefault="00CE0303" w:rsidP="00CE0303">
      <w:pPr>
        <w:pStyle w:val="Prrafodelista"/>
        <w:spacing w:line="360" w:lineRule="auto"/>
        <w:ind w:left="567" w:right="567"/>
        <w:jc w:val="both"/>
        <w:rPr>
          <w:rFonts w:ascii="Palatino Linotype" w:hAnsi="Palatino Linotype" w:cs="Tahoma"/>
        </w:rPr>
      </w:pPr>
    </w:p>
    <w:p w14:paraId="2EC9974D" w14:textId="77777777" w:rsidR="00CE0303" w:rsidRPr="00846A59" w:rsidRDefault="00CE0303" w:rsidP="00CE0303">
      <w:pPr>
        <w:pStyle w:val="Prrafodelista"/>
        <w:numPr>
          <w:ilvl w:val="0"/>
          <w:numId w:val="2"/>
        </w:numPr>
        <w:spacing w:line="360" w:lineRule="auto"/>
        <w:ind w:left="0" w:firstLine="0"/>
        <w:jc w:val="both"/>
        <w:rPr>
          <w:rFonts w:ascii="Palatino Linotype" w:hAnsi="Palatino Linotype" w:cs="Tahoma"/>
          <w:sz w:val="24"/>
          <w:lang w:eastAsia="es-MX"/>
        </w:rPr>
      </w:pPr>
      <w:r w:rsidRPr="00846A59">
        <w:rPr>
          <w:rFonts w:ascii="Palatino Linotype" w:hAnsi="Palatino Linotype" w:cs="Tahoma"/>
          <w:b/>
          <w:sz w:val="24"/>
          <w:lang w:eastAsia="es-MX"/>
        </w:rPr>
        <w:t>De tal suerte, el Registro Federal de Contribuyentes de las personas físicas no guarda relación con la transparencia de los recursos públicos</w:t>
      </w:r>
      <w:r w:rsidRPr="00846A59">
        <w:rPr>
          <w:rFonts w:ascii="Palatino Linotype" w:hAnsi="Palatino Linotype" w:cs="Tahoma"/>
          <w:sz w:val="24"/>
          <w:lang w:eastAsia="es-MX"/>
        </w:rPr>
        <w:t xml:space="preserve">, así como tampoco con el desempeño laboral que pueda tener una persona, por lo que constituye un dato personal confidencial </w:t>
      </w:r>
      <w:r w:rsidRPr="00846A59">
        <w:rPr>
          <w:rFonts w:ascii="Palatino Linotype" w:hAnsi="Palatino Linotype" w:cs="Tahoma"/>
          <w:sz w:val="24"/>
        </w:rPr>
        <w:t>al actualizar el supuesto normativo del artículo 143, fracción I de la Ley de Transparencia y Acceso a la Información Pública del Estado de México y Municipios</w:t>
      </w:r>
      <w:r w:rsidRPr="00846A59">
        <w:rPr>
          <w:rFonts w:ascii="Palatino Linotype" w:hAnsi="Palatino Linotype" w:cs="Tahoma"/>
          <w:sz w:val="24"/>
          <w:lang w:eastAsia="es-MX"/>
        </w:rPr>
        <w:t xml:space="preserve"> y se aprueba su eliminación de las versiones públicas.</w:t>
      </w:r>
    </w:p>
    <w:p w14:paraId="056C57D9" w14:textId="77777777" w:rsidR="00CE0303" w:rsidRPr="00846A59" w:rsidRDefault="00CE0303" w:rsidP="00CE0303">
      <w:pPr>
        <w:pStyle w:val="Prrafodelista"/>
        <w:tabs>
          <w:tab w:val="left" w:pos="284"/>
        </w:tabs>
        <w:spacing w:line="360" w:lineRule="auto"/>
        <w:ind w:left="0"/>
        <w:jc w:val="both"/>
        <w:rPr>
          <w:rFonts w:ascii="Palatino Linotype" w:hAnsi="Palatino Linotype" w:cs="Arial"/>
          <w:color w:val="000000"/>
          <w:sz w:val="24"/>
        </w:rPr>
      </w:pPr>
    </w:p>
    <w:p w14:paraId="5D6ED022" w14:textId="77777777" w:rsidR="00CE0303" w:rsidRPr="00846A59" w:rsidRDefault="00CE0303" w:rsidP="00CE0303">
      <w:pPr>
        <w:pStyle w:val="Prrafodelista"/>
        <w:numPr>
          <w:ilvl w:val="0"/>
          <w:numId w:val="14"/>
        </w:numPr>
        <w:spacing w:line="360" w:lineRule="auto"/>
        <w:ind w:right="49"/>
        <w:jc w:val="both"/>
        <w:rPr>
          <w:rFonts w:ascii="Palatino Linotype" w:eastAsia="Calibri" w:hAnsi="Palatino Linotype" w:cs="Arial"/>
          <w:b/>
          <w:sz w:val="24"/>
        </w:rPr>
      </w:pPr>
      <w:r w:rsidRPr="00846A59">
        <w:rPr>
          <w:rFonts w:ascii="Palatino Linotype" w:eastAsia="Calibri" w:hAnsi="Palatino Linotype" w:cs="Arial"/>
          <w:b/>
          <w:sz w:val="24"/>
        </w:rPr>
        <w:t>Domicilio de particulares</w:t>
      </w:r>
    </w:p>
    <w:p w14:paraId="7A4C52F9" w14:textId="77777777" w:rsidR="00CE0303" w:rsidRPr="00846A59" w:rsidRDefault="00CE0303" w:rsidP="00CE0303">
      <w:pPr>
        <w:pStyle w:val="Prrafodelista"/>
        <w:numPr>
          <w:ilvl w:val="0"/>
          <w:numId w:val="2"/>
        </w:numPr>
        <w:spacing w:line="360" w:lineRule="auto"/>
        <w:ind w:left="0" w:firstLine="0"/>
        <w:jc w:val="both"/>
        <w:rPr>
          <w:rFonts w:ascii="Palatino Linotype" w:hAnsi="Palatino Linotype" w:cs="Arial"/>
          <w:sz w:val="32"/>
        </w:rPr>
      </w:pPr>
      <w:r w:rsidRPr="00846A59">
        <w:rPr>
          <w:rFonts w:ascii="Palatino Linotype" w:eastAsia="Calibri" w:hAnsi="Palatino Linotype" w:cs="Tahoma"/>
          <w:bCs/>
          <w:sz w:val="24"/>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5D180F6B" w14:textId="77777777" w:rsidR="00CE0303" w:rsidRPr="00846A59" w:rsidRDefault="00CE0303" w:rsidP="00CE0303">
      <w:pPr>
        <w:pStyle w:val="Prrafodelista"/>
        <w:spacing w:line="360" w:lineRule="auto"/>
        <w:ind w:left="0"/>
        <w:jc w:val="both"/>
        <w:rPr>
          <w:rFonts w:ascii="Palatino Linotype" w:hAnsi="Palatino Linotype" w:cs="Arial"/>
          <w:sz w:val="24"/>
        </w:rPr>
      </w:pPr>
    </w:p>
    <w:p w14:paraId="7F146A89" w14:textId="77777777" w:rsidR="00CE0303" w:rsidRPr="00846A59" w:rsidRDefault="00CE0303" w:rsidP="00CE0303">
      <w:pPr>
        <w:pStyle w:val="Prrafodelista"/>
        <w:numPr>
          <w:ilvl w:val="0"/>
          <w:numId w:val="2"/>
        </w:numPr>
        <w:spacing w:line="360" w:lineRule="auto"/>
        <w:ind w:left="0" w:firstLine="0"/>
        <w:jc w:val="both"/>
        <w:rPr>
          <w:rFonts w:ascii="Palatino Linotype" w:hAnsi="Palatino Linotype" w:cs="Arial"/>
          <w:sz w:val="32"/>
        </w:rPr>
      </w:pPr>
      <w:r w:rsidRPr="00846A59">
        <w:rPr>
          <w:rFonts w:ascii="Palatino Linotype" w:eastAsia="Calibri" w:hAnsi="Palatino Linotype" w:cs="Tahoma"/>
          <w:bCs/>
          <w:sz w:val="24"/>
          <w:szCs w:val="22"/>
          <w:lang w:eastAsia="en-US"/>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4D4814D6" w14:textId="77777777" w:rsidR="00CE0303" w:rsidRPr="00846A59" w:rsidRDefault="00CE0303" w:rsidP="00CE0303">
      <w:pPr>
        <w:pStyle w:val="Prrafodelista"/>
        <w:rPr>
          <w:rFonts w:ascii="Palatino Linotype" w:hAnsi="Palatino Linotype" w:cs="Arial"/>
          <w:sz w:val="32"/>
        </w:rPr>
      </w:pPr>
    </w:p>
    <w:p w14:paraId="6DA312FA" w14:textId="77777777" w:rsidR="00CB2836" w:rsidRPr="00846A59"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846A59">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486FF4BE" w14:textId="310E70E7" w:rsidR="00CB2836" w:rsidRPr="00846A59" w:rsidRDefault="00CB2836" w:rsidP="00CB2836">
      <w:pPr>
        <w:keepNext/>
        <w:keepLines/>
        <w:tabs>
          <w:tab w:val="left" w:pos="284"/>
        </w:tabs>
        <w:spacing w:before="240"/>
        <w:outlineLvl w:val="0"/>
        <w:rPr>
          <w:rFonts w:ascii="Palatino Linotype" w:eastAsia="MS Gothic" w:hAnsi="Palatino Linotype" w:cstheme="majorBidi"/>
          <w:b/>
          <w:sz w:val="24"/>
          <w:szCs w:val="24"/>
        </w:rPr>
      </w:pPr>
      <w:bookmarkStart w:id="53" w:name="_Toc487739452"/>
      <w:bookmarkStart w:id="54" w:name="_Toc524344196"/>
      <w:bookmarkStart w:id="55" w:name="_Toc526271201"/>
      <w:bookmarkStart w:id="56" w:name="_Toc536106975"/>
      <w:bookmarkStart w:id="57" w:name="_Toc68793658"/>
      <w:bookmarkStart w:id="58" w:name="_Toc87549681"/>
      <w:r w:rsidRPr="00846A59">
        <w:rPr>
          <w:rFonts w:ascii="Palatino Linotype" w:eastAsia="MS Gothic" w:hAnsi="Palatino Linotype" w:cstheme="majorBidi"/>
          <w:b/>
          <w:sz w:val="24"/>
          <w:szCs w:val="24"/>
        </w:rPr>
        <w:t>SEXTO</w:t>
      </w:r>
      <w:r w:rsidR="007A509F" w:rsidRPr="00846A59">
        <w:rPr>
          <w:rFonts w:ascii="Palatino Linotype" w:eastAsia="MS Gothic" w:hAnsi="Palatino Linotype" w:cstheme="majorBidi"/>
          <w:b/>
          <w:sz w:val="24"/>
          <w:szCs w:val="24"/>
        </w:rPr>
        <w:t>. Vista a los Ó</w:t>
      </w:r>
      <w:r w:rsidRPr="00846A59">
        <w:rPr>
          <w:rFonts w:ascii="Palatino Linotype" w:eastAsia="MS Gothic" w:hAnsi="Palatino Linotype" w:cstheme="majorBidi"/>
          <w:b/>
          <w:sz w:val="24"/>
          <w:szCs w:val="24"/>
        </w:rPr>
        <w:t xml:space="preserve">rganos </w:t>
      </w:r>
      <w:r w:rsidR="007A509F" w:rsidRPr="00846A59">
        <w:rPr>
          <w:rFonts w:ascii="Palatino Linotype" w:eastAsia="MS Gothic" w:hAnsi="Palatino Linotype" w:cstheme="majorBidi"/>
          <w:b/>
          <w:sz w:val="24"/>
          <w:szCs w:val="24"/>
        </w:rPr>
        <w:t xml:space="preserve">Interno </w:t>
      </w:r>
      <w:r w:rsidRPr="00846A59">
        <w:rPr>
          <w:rFonts w:ascii="Palatino Linotype" w:eastAsia="MS Gothic" w:hAnsi="Palatino Linotype" w:cstheme="majorBidi"/>
          <w:b/>
          <w:sz w:val="24"/>
          <w:szCs w:val="24"/>
        </w:rPr>
        <w:t xml:space="preserve">de </w:t>
      </w:r>
      <w:r w:rsidR="007A509F" w:rsidRPr="00846A59">
        <w:rPr>
          <w:rFonts w:ascii="Palatino Linotype" w:eastAsia="MS Gothic" w:hAnsi="Palatino Linotype" w:cstheme="majorBidi"/>
          <w:b/>
          <w:sz w:val="24"/>
          <w:szCs w:val="24"/>
        </w:rPr>
        <w:t>C</w:t>
      </w:r>
      <w:r w:rsidRPr="00846A59">
        <w:rPr>
          <w:rFonts w:ascii="Palatino Linotype" w:eastAsia="MS Gothic" w:hAnsi="Palatino Linotype" w:cstheme="majorBidi"/>
          <w:b/>
          <w:sz w:val="24"/>
          <w:szCs w:val="24"/>
        </w:rPr>
        <w:t>ontrol</w:t>
      </w:r>
      <w:bookmarkEnd w:id="53"/>
      <w:r w:rsidRPr="00846A59">
        <w:rPr>
          <w:rFonts w:ascii="Palatino Linotype" w:eastAsia="MS Gothic" w:hAnsi="Palatino Linotype" w:cstheme="majorBidi"/>
          <w:b/>
          <w:sz w:val="24"/>
          <w:szCs w:val="24"/>
        </w:rPr>
        <w:t>.</w:t>
      </w:r>
      <w:bookmarkEnd w:id="54"/>
      <w:bookmarkEnd w:id="55"/>
      <w:bookmarkEnd w:id="56"/>
      <w:bookmarkEnd w:id="57"/>
      <w:bookmarkEnd w:id="58"/>
    </w:p>
    <w:p w14:paraId="0A0D01E1" w14:textId="77777777" w:rsidR="00CB2836" w:rsidRPr="00846A59" w:rsidRDefault="00CB2836" w:rsidP="00CB2836">
      <w:pPr>
        <w:tabs>
          <w:tab w:val="left" w:pos="284"/>
        </w:tabs>
        <w:rPr>
          <w:rFonts w:eastAsiaTheme="minorEastAsia"/>
          <w:sz w:val="24"/>
          <w:szCs w:val="24"/>
        </w:rPr>
      </w:pPr>
    </w:p>
    <w:p w14:paraId="1B793F64" w14:textId="77777777" w:rsidR="00CE0303" w:rsidRPr="00846A59" w:rsidRDefault="00CE0303" w:rsidP="00CE0303">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46A59">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1581B0B4" w14:textId="77777777" w:rsidR="00CE0303" w:rsidRPr="00846A59" w:rsidRDefault="00CE0303" w:rsidP="00CE030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2B64A6E9"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Artículo 222. Son causas de responsabilidad administrativa de los servidores públicos de los sujetos obligados, por incumplimiento de las obligaciones establecidas en la materia de la presente Ley, las siguientes:</w:t>
      </w:r>
    </w:p>
    <w:p w14:paraId="4F63F0FD"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 xml:space="preserve">I. Cualquier acto u omisión que provoque la suspensión o deficiencia en la atención de las solicitudes de información; </w:t>
      </w:r>
    </w:p>
    <w:p w14:paraId="48210A87"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II. La falta de respuesta a las solicitudes de información en los plazos señalados en la normatividad aplicable;</w:t>
      </w:r>
    </w:p>
    <w:p w14:paraId="369DB71C"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III. a XXI. …</w:t>
      </w:r>
    </w:p>
    <w:p w14:paraId="5B866D62" w14:textId="77777777" w:rsidR="00CE0303" w:rsidRPr="00846A59" w:rsidRDefault="00CE0303" w:rsidP="00CE030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1F3BFE"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C4D4E9F"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p>
    <w:p w14:paraId="3CCE1150"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Artículo 59. Los servidores públicos habilitados tendrán las funciones siguientes:</w:t>
      </w:r>
    </w:p>
    <w:p w14:paraId="487B051A"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p>
    <w:p w14:paraId="327F8486"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 xml:space="preserve">I. Localizar la información que le solicite la Unidad de Transparencia; </w:t>
      </w:r>
    </w:p>
    <w:p w14:paraId="610BC67E"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II. Proporcionar la información que obre en los archivos y que le sea solicitada por la Unidad de Transparencia;</w:t>
      </w:r>
    </w:p>
    <w:p w14:paraId="1BCACA5C" w14:textId="77777777" w:rsidR="00CE0303" w:rsidRPr="00846A59" w:rsidRDefault="00CE0303" w:rsidP="00CE0303">
      <w:pPr>
        <w:tabs>
          <w:tab w:val="left" w:pos="284"/>
        </w:tabs>
        <w:spacing w:before="240" w:after="240" w:line="360" w:lineRule="auto"/>
        <w:ind w:left="567" w:right="822"/>
        <w:contextualSpacing/>
        <w:jc w:val="both"/>
        <w:rPr>
          <w:rFonts w:ascii="Palatino Linotype" w:eastAsiaTheme="minorEastAsia" w:hAnsi="Palatino Linotype" w:cs="Arial"/>
          <w:i/>
          <w:sz w:val="22"/>
          <w:szCs w:val="24"/>
          <w:lang w:val="es-ES_tradnl"/>
        </w:rPr>
      </w:pPr>
      <w:r w:rsidRPr="00846A59">
        <w:rPr>
          <w:rFonts w:ascii="Palatino Linotype" w:eastAsiaTheme="minorEastAsia" w:hAnsi="Palatino Linotype" w:cs="Arial"/>
          <w:i/>
          <w:sz w:val="22"/>
          <w:szCs w:val="24"/>
          <w:lang w:val="es-ES_tradnl"/>
        </w:rPr>
        <w:t>III. a VII. …”</w:t>
      </w:r>
    </w:p>
    <w:p w14:paraId="4DC1E531" w14:textId="77777777" w:rsidR="00CE0303" w:rsidRPr="00846A59" w:rsidRDefault="00CE0303" w:rsidP="00CE030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2282645E" w14:textId="77777777" w:rsidR="00CE0303" w:rsidRPr="00846A59" w:rsidRDefault="00CE0303" w:rsidP="00CE030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846A59">
        <w:rPr>
          <w:rFonts w:ascii="Palatino Linotype" w:eastAsiaTheme="minorEastAsia" w:hAnsi="Palatino Linotype" w:cs="Arial"/>
          <w:sz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F511C46" w14:textId="77777777" w:rsidR="00CE0303" w:rsidRPr="00846A59" w:rsidRDefault="00CE0303" w:rsidP="00CE0303">
      <w:pPr>
        <w:pStyle w:val="Prrafodelista"/>
        <w:tabs>
          <w:tab w:val="left" w:pos="284"/>
        </w:tabs>
        <w:spacing w:before="240" w:after="240" w:line="360" w:lineRule="auto"/>
        <w:ind w:left="0"/>
        <w:jc w:val="both"/>
        <w:rPr>
          <w:rFonts w:ascii="Palatino Linotype" w:eastAsiaTheme="minorEastAsia" w:hAnsi="Palatino Linotype" w:cs="Arial"/>
          <w:sz w:val="24"/>
          <w:lang w:val="es-ES_tradnl"/>
        </w:rPr>
      </w:pPr>
    </w:p>
    <w:p w14:paraId="65B6971F" w14:textId="77777777" w:rsidR="00CE0303" w:rsidRPr="00846A59" w:rsidRDefault="00CE0303" w:rsidP="00CE030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846A59">
        <w:rPr>
          <w:rFonts w:ascii="Palatino Linotype" w:eastAsiaTheme="minorEastAsia" w:hAnsi="Palatino Linotype" w:cs="Arial"/>
          <w:sz w:val="24"/>
          <w:lang w:val="es-ES_tradnl"/>
        </w:rPr>
        <w:t xml:space="preserve">La omisión a las obligaciones, tanto del Titular de la Unidad de Transparencia como de los servidores públicos habilitados puede causar la suspensión, deficiencia o </w:t>
      </w:r>
      <w:r w:rsidRPr="00846A59">
        <w:rPr>
          <w:rFonts w:ascii="Palatino Linotype" w:eastAsiaTheme="minorEastAsia" w:hAnsi="Palatino Linotype" w:cs="Arial"/>
          <w:sz w:val="24"/>
          <w:lang w:val="es-ES_tradnl"/>
        </w:rPr>
        <w:lastRenderedPageBreak/>
        <w:t>la falta de respuesta a las solicitudes de acceso a la información que formulen los particulares, siendo esto una causa de responsabilidad.</w:t>
      </w:r>
    </w:p>
    <w:p w14:paraId="616A2C13" w14:textId="77777777" w:rsidR="00CE0303" w:rsidRPr="00846A59" w:rsidRDefault="00CE0303" w:rsidP="00CE030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846A59">
        <w:rPr>
          <w:rFonts w:ascii="Palatino Linotype" w:eastAsiaTheme="minorEastAsia" w:hAnsi="Palatino Linotype" w:cs="Arial"/>
          <w:sz w:val="24"/>
          <w:lang w:val="es-ES_tradnl"/>
        </w:rPr>
        <w:t>En el presente asunto en particular, se tiene que el Titular de la Unidad de Transparencia no turnó la solicitud al Servidor Público Habilitado.</w:t>
      </w:r>
    </w:p>
    <w:p w14:paraId="4129B9AE" w14:textId="77777777" w:rsidR="00CE0303" w:rsidRPr="00846A59" w:rsidRDefault="00CE0303" w:rsidP="00CE0303">
      <w:pPr>
        <w:pStyle w:val="Prrafodelista"/>
        <w:rPr>
          <w:rFonts w:ascii="Palatino Linotype" w:eastAsiaTheme="minorEastAsia" w:hAnsi="Palatino Linotype" w:cs="Arial"/>
          <w:sz w:val="24"/>
          <w:lang w:val="es-ES_tradnl"/>
        </w:rPr>
      </w:pPr>
    </w:p>
    <w:p w14:paraId="78C52DD0" w14:textId="77777777" w:rsidR="00CE0303" w:rsidRPr="00846A59" w:rsidRDefault="00CE0303" w:rsidP="00CE030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846A59">
        <w:rPr>
          <w:rFonts w:ascii="Palatino Linotype" w:eastAsiaTheme="minorEastAsia" w:hAnsi="Palatino Linotype" w:cs="Arial"/>
          <w:sz w:val="24"/>
          <w:lang w:val="es-ES_tradnl"/>
        </w:rPr>
        <w:t>Se tiene que el Titular de la Unidad de Transparencia incumplió con sus funciones, atribuciones y competencias, al no dar trámite a la solicitud, lo cual tuvo como consecuencia la falta de respuesta a ambas solicitudes.</w:t>
      </w:r>
    </w:p>
    <w:p w14:paraId="3F7B6A17" w14:textId="77777777" w:rsidR="00CE0303" w:rsidRPr="00846A59" w:rsidRDefault="00CE0303" w:rsidP="00CE0303">
      <w:pPr>
        <w:pStyle w:val="Prrafodelista"/>
        <w:rPr>
          <w:rFonts w:ascii="Palatino Linotype" w:eastAsiaTheme="minorEastAsia" w:hAnsi="Palatino Linotype" w:cs="Arial"/>
          <w:sz w:val="24"/>
          <w:lang w:val="es-ES_tradnl"/>
        </w:rPr>
      </w:pPr>
    </w:p>
    <w:p w14:paraId="7CA1D2FD" w14:textId="120E1268" w:rsidR="00CE0303" w:rsidRPr="00846A59" w:rsidRDefault="00CE0303" w:rsidP="00CE030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cs="Arial"/>
          <w:sz w:val="24"/>
          <w:lang w:val="es-ES_tradnl"/>
        </w:rPr>
      </w:pPr>
      <w:r w:rsidRPr="00846A59">
        <w:rPr>
          <w:rFonts w:ascii="Palatino Linotype" w:eastAsiaTheme="minorEastAsia" w:hAnsi="Palatino Linotype" w:cs="Arial"/>
          <w:sz w:val="24"/>
          <w:lang w:val="es-ES_tradnl"/>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w:t>
      </w:r>
      <w:r w:rsidR="007A509F" w:rsidRPr="00846A59">
        <w:rPr>
          <w:rFonts w:ascii="Palatino Linotype" w:eastAsiaTheme="minorEastAsia" w:hAnsi="Palatino Linotype" w:cs="Arial"/>
          <w:sz w:val="24"/>
          <w:lang w:val="es-ES_tradnl"/>
        </w:rPr>
        <w:t xml:space="preserve">interno </w:t>
      </w:r>
      <w:r w:rsidRPr="00846A59">
        <w:rPr>
          <w:rFonts w:ascii="Palatino Linotype" w:eastAsiaTheme="minorEastAsia" w:hAnsi="Palatino Linotype" w:cs="Arial"/>
          <w:sz w:val="24"/>
          <w:lang w:val="es-ES_tradnl"/>
        </w:rPr>
        <w:t>de control competente, para que inicie, en su caso, el procedimiento de responsabilidad respectivo.</w:t>
      </w:r>
    </w:p>
    <w:p w14:paraId="320A190E" w14:textId="77777777" w:rsidR="00CB2836" w:rsidRPr="00846A59"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846A59"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846A59">
        <w:rPr>
          <w:rFonts w:ascii="Palatino Linotype" w:hAnsi="Palatino Linotype" w:cs="Arial"/>
          <w:color w:val="222222"/>
          <w:sz w:val="24"/>
          <w:lang w:eastAsia="es-MX"/>
        </w:rPr>
        <w:t xml:space="preserve">Por lo anteriormente expuesto y fundado, este </w:t>
      </w:r>
      <w:r w:rsidRPr="00846A59">
        <w:rPr>
          <w:rFonts w:ascii="Palatino Linotype" w:hAnsi="Palatino Linotype" w:cs="Arial"/>
          <w:b/>
          <w:bCs/>
          <w:color w:val="222222"/>
          <w:sz w:val="24"/>
          <w:lang w:eastAsia="es-MX"/>
        </w:rPr>
        <w:t>ÓRGANO GARANTE</w:t>
      </w:r>
      <w:r w:rsidRPr="00846A59">
        <w:rPr>
          <w:rFonts w:ascii="Palatino Linotype" w:hAnsi="Palatino Linotype" w:cs="Arial"/>
          <w:color w:val="222222"/>
          <w:sz w:val="24"/>
          <w:lang w:eastAsia="es-MX"/>
        </w:rPr>
        <w:t xml:space="preserve"> emite los siguientes:</w:t>
      </w:r>
    </w:p>
    <w:p w14:paraId="15F72B0A" w14:textId="77777777" w:rsidR="005000AA" w:rsidRPr="00846A59" w:rsidRDefault="005000AA" w:rsidP="00DB2180">
      <w:pPr>
        <w:pStyle w:val="Ttulo1"/>
        <w:jc w:val="center"/>
        <w:rPr>
          <w:rFonts w:ascii="Palatino Linotype" w:hAnsi="Palatino Linotype"/>
          <w:b/>
          <w:color w:val="auto"/>
          <w:sz w:val="24"/>
          <w:szCs w:val="24"/>
        </w:rPr>
      </w:pPr>
      <w:bookmarkStart w:id="59" w:name="_Toc4061692"/>
      <w:bookmarkStart w:id="60" w:name="_Toc486525261"/>
      <w:bookmarkStart w:id="61" w:name="_Toc445745148"/>
      <w:bookmarkStart w:id="62" w:name="_Toc447699324"/>
      <w:bookmarkStart w:id="63" w:name="_Toc87549684"/>
      <w:r w:rsidRPr="00846A59">
        <w:rPr>
          <w:rFonts w:ascii="Palatino Linotype" w:hAnsi="Palatino Linotype"/>
          <w:b/>
          <w:color w:val="auto"/>
          <w:sz w:val="24"/>
          <w:szCs w:val="24"/>
        </w:rPr>
        <w:t>R E S O L U T I V O S</w:t>
      </w:r>
      <w:bookmarkEnd w:id="59"/>
      <w:bookmarkEnd w:id="60"/>
      <w:bookmarkEnd w:id="61"/>
      <w:bookmarkEnd w:id="62"/>
      <w:bookmarkEnd w:id="63"/>
    </w:p>
    <w:p w14:paraId="463AEB82" w14:textId="77777777" w:rsidR="005000AA" w:rsidRPr="00846A59" w:rsidRDefault="005000AA" w:rsidP="005000AA">
      <w:pPr>
        <w:keepNext/>
        <w:keepLines/>
        <w:spacing w:line="360" w:lineRule="auto"/>
        <w:jc w:val="center"/>
        <w:outlineLvl w:val="0"/>
        <w:rPr>
          <w:rFonts w:ascii="Palatino Linotype" w:hAnsi="Palatino Linotype" w:cstheme="majorBidi"/>
          <w:b/>
          <w:bCs/>
          <w:sz w:val="24"/>
          <w:szCs w:val="24"/>
        </w:rPr>
      </w:pPr>
    </w:p>
    <w:p w14:paraId="1347F3C8" w14:textId="77777777" w:rsidR="00CB2836" w:rsidRPr="00846A59" w:rsidRDefault="00CB2836" w:rsidP="00827AEB">
      <w:pPr>
        <w:tabs>
          <w:tab w:val="left" w:pos="284"/>
        </w:tabs>
        <w:spacing w:line="360" w:lineRule="auto"/>
        <w:jc w:val="both"/>
        <w:rPr>
          <w:rFonts w:ascii="Palatino Linotype" w:hAnsi="Palatino Linotype" w:cs="Arial"/>
          <w:b/>
          <w:sz w:val="24"/>
          <w:szCs w:val="24"/>
          <w:lang w:val="es-ES_tradnl"/>
        </w:rPr>
      </w:pPr>
    </w:p>
    <w:p w14:paraId="00B13E62" w14:textId="6A4C821F" w:rsidR="00CB2836" w:rsidRPr="00846A59" w:rsidRDefault="00CB2836" w:rsidP="00946F7F">
      <w:pPr>
        <w:spacing w:line="360" w:lineRule="auto"/>
        <w:jc w:val="both"/>
        <w:rPr>
          <w:rFonts w:ascii="Palatino Linotype" w:hAnsi="Palatino Linotype"/>
          <w:sz w:val="24"/>
          <w:szCs w:val="24"/>
        </w:rPr>
      </w:pPr>
      <w:r w:rsidRPr="00846A59">
        <w:rPr>
          <w:rFonts w:ascii="Palatino Linotype" w:hAnsi="Palatino Linotype" w:cs="Arial"/>
          <w:b/>
          <w:sz w:val="24"/>
          <w:szCs w:val="24"/>
        </w:rPr>
        <w:lastRenderedPageBreak/>
        <w:t xml:space="preserve">PRIMERO. </w:t>
      </w:r>
      <w:r w:rsidRPr="00846A59">
        <w:rPr>
          <w:rFonts w:ascii="Palatino Linotype" w:hAnsi="Palatino Linotype" w:cs="Arial"/>
          <w:sz w:val="24"/>
          <w:szCs w:val="24"/>
        </w:rPr>
        <w:t>Resultan fundadas las</w:t>
      </w:r>
      <w:r w:rsidRPr="00846A59">
        <w:rPr>
          <w:rFonts w:ascii="Palatino Linotype" w:hAnsi="Palatino Linotype" w:cs="Arial"/>
          <w:b/>
          <w:sz w:val="24"/>
          <w:szCs w:val="24"/>
        </w:rPr>
        <w:t xml:space="preserve"> </w:t>
      </w:r>
      <w:r w:rsidRPr="00846A59">
        <w:rPr>
          <w:rFonts w:ascii="Palatino Linotype" w:hAnsi="Palatino Linotype" w:cs="Arial"/>
          <w:sz w:val="24"/>
          <w:szCs w:val="24"/>
          <w:lang w:val="es-ES"/>
        </w:rPr>
        <w:t xml:space="preserve">razones o motivos de inconformidad hechos valer </w:t>
      </w:r>
      <w:r w:rsidRPr="00846A59">
        <w:rPr>
          <w:rFonts w:ascii="Palatino Linotype" w:eastAsia="Calibri" w:hAnsi="Palatino Linotype" w:cs="Arial"/>
          <w:sz w:val="24"/>
          <w:szCs w:val="24"/>
          <w:lang w:val="es-ES"/>
        </w:rPr>
        <w:t xml:space="preserve">en los recursos de revisión </w:t>
      </w:r>
      <w:r w:rsidR="00D74BE9" w:rsidRPr="00846A59">
        <w:rPr>
          <w:rFonts w:ascii="Palatino Linotype" w:eastAsia="Calibri" w:hAnsi="Palatino Linotype" w:cs="Tahoma"/>
          <w:b/>
          <w:sz w:val="24"/>
          <w:lang w:eastAsia="en-US"/>
        </w:rPr>
        <w:t>17598/INFOEM/IP/RR/2022</w:t>
      </w:r>
      <w:r w:rsidR="0016492C" w:rsidRPr="00846A59">
        <w:rPr>
          <w:rFonts w:ascii="Palatino Linotype" w:hAnsi="Palatino Linotype"/>
          <w:b/>
          <w:sz w:val="24"/>
          <w:szCs w:val="24"/>
        </w:rPr>
        <w:t xml:space="preserve">, </w:t>
      </w:r>
      <w:r w:rsidRPr="00846A59">
        <w:rPr>
          <w:rFonts w:ascii="Palatino Linotype" w:hAnsi="Palatino Linotype"/>
          <w:b/>
          <w:sz w:val="24"/>
          <w:szCs w:val="24"/>
        </w:rPr>
        <w:t>17</w:t>
      </w:r>
      <w:r w:rsidR="00D74BE9" w:rsidRPr="00846A59">
        <w:rPr>
          <w:rFonts w:ascii="Palatino Linotype" w:hAnsi="Palatino Linotype"/>
          <w:b/>
          <w:sz w:val="24"/>
          <w:szCs w:val="24"/>
        </w:rPr>
        <w:t>6</w:t>
      </w:r>
      <w:r w:rsidR="0016492C" w:rsidRPr="00846A59">
        <w:rPr>
          <w:rFonts w:ascii="Palatino Linotype" w:hAnsi="Palatino Linotype"/>
          <w:b/>
          <w:sz w:val="24"/>
          <w:szCs w:val="24"/>
        </w:rPr>
        <w:t>0</w:t>
      </w:r>
      <w:r w:rsidR="00D74BE9" w:rsidRPr="00846A59">
        <w:rPr>
          <w:rFonts w:ascii="Palatino Linotype" w:hAnsi="Palatino Linotype"/>
          <w:b/>
          <w:sz w:val="24"/>
          <w:szCs w:val="24"/>
        </w:rPr>
        <w:t>0</w:t>
      </w:r>
      <w:r w:rsidRPr="00846A59">
        <w:rPr>
          <w:rFonts w:ascii="Palatino Linotype" w:hAnsi="Palatino Linotype"/>
          <w:b/>
          <w:sz w:val="24"/>
          <w:szCs w:val="24"/>
        </w:rPr>
        <w:t>/INFOEM/IP/RR/2022</w:t>
      </w:r>
      <w:r w:rsidR="0016492C" w:rsidRPr="00846A59">
        <w:rPr>
          <w:rFonts w:ascii="Palatino Linotype" w:hAnsi="Palatino Linotype"/>
          <w:b/>
          <w:sz w:val="24"/>
          <w:szCs w:val="24"/>
        </w:rPr>
        <w:t>, 17601/INFOEM/IP/RR/2022 y 17602/INFOEM/IP/RR/2022</w:t>
      </w:r>
      <w:r w:rsidR="007A509F" w:rsidRPr="00846A59">
        <w:rPr>
          <w:rFonts w:ascii="Palatino Linotype" w:hAnsi="Palatino Linotype"/>
          <w:b/>
          <w:sz w:val="24"/>
          <w:szCs w:val="24"/>
        </w:rPr>
        <w:t>,</w:t>
      </w:r>
      <w:r w:rsidRPr="00846A59">
        <w:rPr>
          <w:rFonts w:ascii="Palatino Linotype" w:hAnsi="Palatino Linotype"/>
          <w:b/>
          <w:sz w:val="24"/>
          <w:szCs w:val="24"/>
        </w:rPr>
        <w:t xml:space="preserve"> </w:t>
      </w:r>
      <w:r w:rsidRPr="00846A59">
        <w:rPr>
          <w:rFonts w:ascii="Palatino Linotype" w:hAnsi="Palatino Linotype"/>
          <w:sz w:val="24"/>
          <w:szCs w:val="24"/>
        </w:rPr>
        <w:t>en términos de los</w:t>
      </w:r>
      <w:r w:rsidR="007A509F" w:rsidRPr="00846A59">
        <w:rPr>
          <w:rFonts w:ascii="Palatino Linotype" w:hAnsi="Palatino Linotype"/>
          <w:b/>
          <w:bCs/>
          <w:sz w:val="24"/>
          <w:szCs w:val="24"/>
        </w:rPr>
        <w:t xml:space="preserve"> c</w:t>
      </w:r>
      <w:r w:rsidRPr="00846A59">
        <w:rPr>
          <w:rFonts w:ascii="Palatino Linotype" w:hAnsi="Palatino Linotype"/>
          <w:b/>
          <w:bCs/>
          <w:sz w:val="24"/>
          <w:szCs w:val="24"/>
        </w:rPr>
        <w:t>onsiderandos</w:t>
      </w:r>
      <w:r w:rsidRPr="00846A59">
        <w:rPr>
          <w:rFonts w:ascii="Palatino Linotype" w:hAnsi="Palatino Linotype"/>
          <w:sz w:val="24"/>
          <w:szCs w:val="24"/>
        </w:rPr>
        <w:t xml:space="preserve"> </w:t>
      </w:r>
      <w:r w:rsidRPr="00846A59">
        <w:rPr>
          <w:rFonts w:ascii="Palatino Linotype" w:hAnsi="Palatino Linotype"/>
          <w:b/>
          <w:sz w:val="24"/>
          <w:szCs w:val="24"/>
        </w:rPr>
        <w:t>CUARTO y QUINTO</w:t>
      </w:r>
      <w:r w:rsidRPr="00846A59">
        <w:rPr>
          <w:rFonts w:ascii="Palatino Linotype" w:hAnsi="Palatino Linotype"/>
          <w:sz w:val="24"/>
          <w:szCs w:val="24"/>
        </w:rPr>
        <w:t xml:space="preserve"> de la presente resolución.</w:t>
      </w:r>
    </w:p>
    <w:p w14:paraId="2AB2F298" w14:textId="77777777" w:rsidR="00CB2836" w:rsidRPr="00846A59"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7DAA5A11" w:rsidR="00CB2836" w:rsidRPr="00846A59" w:rsidRDefault="00CB2836" w:rsidP="00946F7F">
      <w:pPr>
        <w:pStyle w:val="Sinespaciado"/>
        <w:spacing w:line="360" w:lineRule="auto"/>
        <w:ind w:left="0" w:right="0"/>
        <w:rPr>
          <w:rFonts w:ascii="Palatino Linotype" w:eastAsia="Calibri" w:hAnsi="Palatino Linotype" w:cs="Arial"/>
          <w:bCs/>
          <w:sz w:val="24"/>
          <w:lang w:val="es-ES"/>
        </w:rPr>
      </w:pPr>
      <w:r w:rsidRPr="00846A59">
        <w:rPr>
          <w:rFonts w:ascii="Palatino Linotype" w:eastAsia="Calibri" w:hAnsi="Palatino Linotype" w:cs="Arial"/>
          <w:b/>
          <w:bCs/>
          <w:sz w:val="24"/>
          <w:lang w:val="es-ES"/>
        </w:rPr>
        <w:t>SEGUNDO. ORDENA al Ayuntamiento de Zinacantepec</w:t>
      </w:r>
      <w:r w:rsidR="007A509F" w:rsidRPr="00846A59">
        <w:rPr>
          <w:rFonts w:ascii="Palatino Linotype" w:eastAsia="Calibri" w:hAnsi="Palatino Linotype" w:cs="Arial"/>
          <w:b/>
          <w:bCs/>
          <w:sz w:val="24"/>
          <w:lang w:val="es-ES"/>
        </w:rPr>
        <w:t>,</w:t>
      </w:r>
      <w:r w:rsidRPr="00846A59">
        <w:rPr>
          <w:rFonts w:ascii="Palatino Linotype" w:eastAsia="Calibri" w:hAnsi="Palatino Linotype" w:cs="Arial"/>
          <w:b/>
          <w:bCs/>
          <w:sz w:val="24"/>
          <w:lang w:val="es-ES"/>
        </w:rPr>
        <w:t xml:space="preserve"> </w:t>
      </w:r>
      <w:r w:rsidRPr="00846A59">
        <w:rPr>
          <w:rFonts w:ascii="Palatino Linotype" w:eastAsia="Calibri" w:hAnsi="Palatino Linotype" w:cs="Arial"/>
          <w:bCs/>
          <w:sz w:val="24"/>
          <w:lang w:val="es-ES"/>
        </w:rPr>
        <w:t xml:space="preserve">entregar vía </w:t>
      </w:r>
      <w:r w:rsidRPr="00846A59">
        <w:rPr>
          <w:rFonts w:ascii="Palatino Linotype" w:eastAsia="Calibri" w:hAnsi="Palatino Linotype" w:cs="Arial"/>
          <w:b/>
          <w:bCs/>
          <w:sz w:val="24"/>
          <w:lang w:val="es-ES"/>
        </w:rPr>
        <w:t>Sistema de Acceso a la Información Mexiquense (SAIMEX</w:t>
      </w:r>
      <w:r w:rsidR="007A509F" w:rsidRPr="00846A59">
        <w:rPr>
          <w:rFonts w:ascii="Palatino Linotype" w:eastAsia="Calibri" w:hAnsi="Palatino Linotype" w:cs="Arial"/>
          <w:b/>
          <w:bCs/>
          <w:sz w:val="24"/>
          <w:lang w:val="es-ES"/>
        </w:rPr>
        <w:t>)</w:t>
      </w:r>
      <w:r w:rsidRPr="00846A59">
        <w:rPr>
          <w:rFonts w:ascii="Palatino Linotype" w:eastAsia="Calibri" w:hAnsi="Palatino Linotype" w:cs="Arial"/>
          <w:b/>
          <w:bCs/>
          <w:sz w:val="24"/>
          <w:lang w:val="es-ES"/>
        </w:rPr>
        <w:t xml:space="preserve">, </w:t>
      </w:r>
      <w:r w:rsidRPr="00846A59">
        <w:rPr>
          <w:rFonts w:ascii="Palatino Linotype" w:eastAsia="Calibri" w:hAnsi="Palatino Linotype" w:cs="Arial"/>
          <w:bCs/>
          <w:sz w:val="24"/>
          <w:lang w:val="es-ES"/>
        </w:rPr>
        <w:t>de ser el caso en</w:t>
      </w:r>
      <w:r w:rsidRPr="00846A59">
        <w:rPr>
          <w:rFonts w:ascii="Palatino Linotype" w:eastAsia="Calibri" w:hAnsi="Palatino Linotype" w:cs="Arial"/>
          <w:sz w:val="24"/>
          <w:lang w:val="es-ES"/>
        </w:rPr>
        <w:t xml:space="preserve"> versión pública, </w:t>
      </w:r>
      <w:r w:rsidR="00E92444" w:rsidRPr="00846A59">
        <w:rPr>
          <w:rFonts w:ascii="Palatino Linotype" w:eastAsia="Calibri" w:hAnsi="Palatino Linotype" w:cs="Arial"/>
          <w:sz w:val="24"/>
          <w:lang w:val="es-ES"/>
        </w:rPr>
        <w:t xml:space="preserve">del </w:t>
      </w:r>
      <w:r w:rsidR="008C1C0E" w:rsidRPr="00846A59">
        <w:rPr>
          <w:rFonts w:ascii="Palatino Linotype" w:eastAsia="Calibri" w:hAnsi="Palatino Linotype" w:cs="Arial"/>
          <w:sz w:val="24"/>
          <w:lang w:val="es-ES"/>
        </w:rPr>
        <w:t xml:space="preserve">actual </w:t>
      </w:r>
      <w:r w:rsidR="00E92444" w:rsidRPr="00846A59">
        <w:rPr>
          <w:rFonts w:ascii="Palatino Linotype" w:eastAsia="Calibri" w:hAnsi="Palatino Linotype" w:cs="Arial"/>
          <w:sz w:val="24"/>
          <w:lang w:val="es-ES"/>
        </w:rPr>
        <w:t xml:space="preserve">Presidente Municipal, </w:t>
      </w:r>
      <w:r w:rsidRPr="00846A59">
        <w:rPr>
          <w:rFonts w:ascii="Palatino Linotype" w:eastAsia="Calibri" w:hAnsi="Palatino Linotype" w:cs="Arial"/>
          <w:sz w:val="24"/>
          <w:lang w:val="es-ES"/>
        </w:rPr>
        <w:t>l</w:t>
      </w:r>
      <w:r w:rsidR="008F247A" w:rsidRPr="00846A59">
        <w:rPr>
          <w:rFonts w:ascii="Palatino Linotype" w:eastAsia="Calibri" w:hAnsi="Palatino Linotype" w:cs="Arial"/>
          <w:sz w:val="24"/>
          <w:lang w:val="es-ES"/>
        </w:rPr>
        <w:t>os documentos donde conste la siguiente información</w:t>
      </w:r>
      <w:r w:rsidRPr="00846A59">
        <w:rPr>
          <w:rFonts w:ascii="Palatino Linotype" w:eastAsia="Calibri" w:hAnsi="Palatino Linotype" w:cs="Arial"/>
          <w:bCs/>
          <w:sz w:val="24"/>
          <w:lang w:val="es-ES"/>
        </w:rPr>
        <w:t>:</w:t>
      </w:r>
    </w:p>
    <w:p w14:paraId="713BE531" w14:textId="77777777" w:rsidR="00CB2836" w:rsidRPr="00846A59" w:rsidRDefault="00CB2836" w:rsidP="00CB2836">
      <w:pPr>
        <w:spacing w:line="360" w:lineRule="auto"/>
        <w:ind w:right="-93"/>
        <w:jc w:val="both"/>
        <w:rPr>
          <w:rFonts w:ascii="Palatino Linotype" w:hAnsi="Palatino Linotype" w:cs="Tahoma"/>
          <w:sz w:val="22"/>
          <w:szCs w:val="22"/>
          <w:lang w:val="es-ES"/>
        </w:rPr>
      </w:pPr>
    </w:p>
    <w:p w14:paraId="730DB528" w14:textId="7C6DC280" w:rsidR="0016492C" w:rsidRPr="00846A59" w:rsidRDefault="0016492C" w:rsidP="00946F7F">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846A59">
        <w:rPr>
          <w:rFonts w:ascii="Palatino Linotype" w:hAnsi="Palatino Linotype"/>
          <w:b/>
          <w:color w:val="000000"/>
          <w:sz w:val="24"/>
          <w:szCs w:val="22"/>
        </w:rPr>
        <w:t xml:space="preserve">Gafete del Presidente Municipal proporcionado en informe justificado del recurso de revisión </w:t>
      </w:r>
      <w:r w:rsidRPr="00846A59">
        <w:rPr>
          <w:rFonts w:ascii="Palatino Linotype" w:eastAsia="Calibri" w:hAnsi="Palatino Linotype" w:cs="Tahoma"/>
          <w:b/>
          <w:sz w:val="24"/>
          <w:lang w:eastAsia="en-US"/>
        </w:rPr>
        <w:t>17598/INFOEM/IP/RR/2022;</w:t>
      </w:r>
    </w:p>
    <w:p w14:paraId="3E252F4A" w14:textId="2ABD6688" w:rsidR="0016492C" w:rsidRPr="00846A59" w:rsidRDefault="00E92444" w:rsidP="00946F7F">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846A59">
        <w:rPr>
          <w:rFonts w:ascii="Palatino Linotype" w:eastAsia="Calibri" w:hAnsi="Palatino Linotype" w:cs="Arial"/>
          <w:b/>
          <w:sz w:val="24"/>
        </w:rPr>
        <w:t>Informe de Antecedentes No Penales al dieciocho (18) de noviembre de dos mil veintidós;</w:t>
      </w:r>
    </w:p>
    <w:p w14:paraId="3F133D7B" w14:textId="17AE2308" w:rsidR="00E92444" w:rsidRPr="00846A59" w:rsidRDefault="00E92444" w:rsidP="00946F7F">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846A59">
        <w:rPr>
          <w:rFonts w:ascii="Palatino Linotype" w:eastAsia="Calibri" w:hAnsi="Palatino Linotype" w:cs="Arial"/>
          <w:b/>
          <w:sz w:val="24"/>
        </w:rPr>
        <w:t>Acuerdo del Comité de Transparencia mediante el cual se clasifique como información confidencial la Cédula de Identificación Fiscal del Presidente Municipal;</w:t>
      </w:r>
      <w:r w:rsidR="008C1C0E" w:rsidRPr="00846A59">
        <w:rPr>
          <w:rFonts w:ascii="Palatino Linotype" w:eastAsia="Calibri" w:hAnsi="Palatino Linotype" w:cs="Arial"/>
          <w:b/>
          <w:sz w:val="24"/>
        </w:rPr>
        <w:t xml:space="preserve"> y</w:t>
      </w:r>
    </w:p>
    <w:p w14:paraId="1B61BDA1" w14:textId="77777777" w:rsidR="008C1C0E" w:rsidRPr="00846A59" w:rsidRDefault="00E92444" w:rsidP="00946F7F">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846A59">
        <w:rPr>
          <w:rFonts w:ascii="Palatino Linotype" w:hAnsi="Palatino Linotype"/>
          <w:b/>
          <w:color w:val="000000"/>
          <w:sz w:val="24"/>
          <w:szCs w:val="22"/>
        </w:rPr>
        <w:t xml:space="preserve">Movimiento </w:t>
      </w:r>
      <w:r w:rsidR="008C1C0E" w:rsidRPr="00846A59">
        <w:rPr>
          <w:rFonts w:ascii="Palatino Linotype" w:hAnsi="Palatino Linotype"/>
          <w:b/>
          <w:color w:val="000000"/>
          <w:sz w:val="24"/>
          <w:szCs w:val="22"/>
        </w:rPr>
        <w:t>de alta del ISSEMyM;</w:t>
      </w:r>
    </w:p>
    <w:p w14:paraId="6DAEFA37" w14:textId="77777777" w:rsidR="00CB2836" w:rsidRPr="00846A59" w:rsidRDefault="00CB2836" w:rsidP="00CB2836">
      <w:pPr>
        <w:spacing w:line="360" w:lineRule="auto"/>
        <w:ind w:right="49"/>
        <w:jc w:val="both"/>
        <w:rPr>
          <w:rFonts w:ascii="Palatino Linotype" w:hAnsi="Palatino Linotype"/>
          <w:b/>
          <w:bCs/>
          <w:color w:val="000000"/>
          <w:szCs w:val="22"/>
        </w:rPr>
      </w:pPr>
    </w:p>
    <w:p w14:paraId="6CC20491" w14:textId="77777777" w:rsidR="00CB2836" w:rsidRPr="00846A59" w:rsidRDefault="00CB2836" w:rsidP="00CB2836">
      <w:pPr>
        <w:spacing w:line="360" w:lineRule="auto"/>
        <w:jc w:val="both"/>
        <w:rPr>
          <w:rFonts w:ascii="Palatino Linotype" w:eastAsia="Calibri" w:hAnsi="Palatino Linotype" w:cs="Arial"/>
          <w:sz w:val="24"/>
        </w:rPr>
      </w:pPr>
      <w:r w:rsidRPr="00846A59">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w:t>
      </w:r>
      <w:r w:rsidRPr="00846A59">
        <w:rPr>
          <w:rFonts w:ascii="Palatino Linotype" w:eastAsia="Calibri" w:hAnsi="Palatino Linotype" w:cs="Arial"/>
          <w:sz w:val="24"/>
        </w:rPr>
        <w:lastRenderedPageBreak/>
        <w:t>y motive las razones sobre los datos que se supriman o eliminen dentro del soporte documental respectivo objeto de las versiones públicas que se formulen y se ponga a disposición de la parte recurrente.</w:t>
      </w:r>
    </w:p>
    <w:p w14:paraId="4F2D0066" w14:textId="77777777" w:rsidR="00CE0303" w:rsidRPr="00846A59" w:rsidRDefault="00CE0303" w:rsidP="00CB2836">
      <w:pPr>
        <w:spacing w:line="360" w:lineRule="auto"/>
        <w:jc w:val="both"/>
        <w:rPr>
          <w:rFonts w:ascii="Palatino Linotype" w:eastAsia="Calibri" w:hAnsi="Palatino Linotype" w:cs="Arial"/>
          <w:sz w:val="24"/>
        </w:rPr>
      </w:pPr>
    </w:p>
    <w:p w14:paraId="0C7529B7" w14:textId="41046AD0" w:rsidR="00CE0303" w:rsidRPr="00846A59" w:rsidRDefault="00CE0303" w:rsidP="00CB2836">
      <w:pPr>
        <w:spacing w:line="360" w:lineRule="auto"/>
        <w:jc w:val="both"/>
        <w:rPr>
          <w:rFonts w:ascii="Palatino Linotype" w:eastAsia="Calibri" w:hAnsi="Palatino Linotype" w:cs="Arial"/>
          <w:sz w:val="24"/>
        </w:rPr>
      </w:pPr>
      <w:r w:rsidRPr="00846A59">
        <w:rPr>
          <w:rFonts w:ascii="Palatino Linotype" w:eastAsia="Calibri" w:hAnsi="Palatino Linotype" w:cs="Arial"/>
          <w:sz w:val="24"/>
        </w:rPr>
        <w:t xml:space="preserve">De ser el caso de que no se cuente con la información señalada en el numeral </w:t>
      </w:r>
      <w:r w:rsidR="005F178D" w:rsidRPr="00846A59">
        <w:rPr>
          <w:rFonts w:ascii="Palatino Linotype" w:eastAsia="Calibri" w:hAnsi="Palatino Linotype" w:cs="Arial"/>
          <w:sz w:val="24"/>
        </w:rPr>
        <w:t xml:space="preserve">2 y </w:t>
      </w:r>
      <w:r w:rsidRPr="00846A59">
        <w:rPr>
          <w:rFonts w:ascii="Palatino Linotype" w:eastAsia="Calibri" w:hAnsi="Palatino Linotype" w:cs="Arial"/>
          <w:sz w:val="24"/>
        </w:rPr>
        <w:t xml:space="preserve">3, por no obrar </w:t>
      </w:r>
      <w:r w:rsidR="005F178D" w:rsidRPr="00846A59">
        <w:rPr>
          <w:rFonts w:ascii="Palatino Linotype" w:eastAsia="Calibri" w:hAnsi="Palatino Linotype" w:cs="Arial"/>
          <w:sz w:val="24"/>
        </w:rPr>
        <w:t xml:space="preserve">el Informe de Antecedentes No Penales y </w:t>
      </w:r>
      <w:r w:rsidRPr="00846A59">
        <w:rPr>
          <w:rFonts w:ascii="Palatino Linotype" w:eastAsia="Calibri" w:hAnsi="Palatino Linotype" w:cs="Arial"/>
          <w:sz w:val="24"/>
        </w:rPr>
        <w:t xml:space="preserve">la Cédula de Identificación Fiscal del Presidente Municipal en los archivos del Sujeto Obligado, el Sujeto Obligado deberá de manifestarlo en términos del </w:t>
      </w:r>
      <w:r w:rsidR="000C4766" w:rsidRPr="00846A59">
        <w:rPr>
          <w:rFonts w:ascii="Palatino Linotype" w:eastAsia="Calibri" w:hAnsi="Palatino Linotype" w:cs="Arial"/>
          <w:sz w:val="24"/>
        </w:rPr>
        <w:t xml:space="preserve">segundo párrafo del </w:t>
      </w:r>
      <w:r w:rsidRPr="00846A59">
        <w:rPr>
          <w:rFonts w:ascii="Palatino Linotype" w:eastAsia="Calibri" w:hAnsi="Palatino Linotype" w:cs="Arial"/>
          <w:sz w:val="24"/>
        </w:rPr>
        <w:t>artículo 19 de la Ley de Transparencia y Acceso a la Información Pública del Estado de México y Municipios.</w:t>
      </w:r>
    </w:p>
    <w:p w14:paraId="6A3620CA" w14:textId="77777777" w:rsidR="00CB2836" w:rsidRPr="00846A59" w:rsidRDefault="00CB2836" w:rsidP="00CB2836">
      <w:pPr>
        <w:spacing w:line="360" w:lineRule="auto"/>
        <w:jc w:val="both"/>
        <w:rPr>
          <w:rFonts w:ascii="Palatino Linotype" w:eastAsia="Calibri" w:hAnsi="Palatino Linotype" w:cs="Arial"/>
        </w:rPr>
      </w:pPr>
    </w:p>
    <w:p w14:paraId="68F8610F" w14:textId="77777777" w:rsidR="00CE0303" w:rsidRPr="00846A59" w:rsidRDefault="00CE0303" w:rsidP="00CE0303">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846A59">
        <w:rPr>
          <w:rFonts w:ascii="Palatino Linotype" w:eastAsia="Palatino Linotype" w:hAnsi="Palatino Linotype" w:cs="Palatino Linotype"/>
          <w:b/>
          <w:sz w:val="24"/>
          <w:szCs w:val="24"/>
          <w:lang w:val="es-ES_tradnl"/>
        </w:rPr>
        <w:t xml:space="preserve">TERCERO. </w:t>
      </w:r>
      <w:r w:rsidRPr="00846A59">
        <w:rPr>
          <w:rFonts w:ascii="Palatino Linotype" w:hAnsi="Palatino Linotype" w:cs="Arial"/>
          <w:b/>
          <w:color w:val="222222"/>
          <w:sz w:val="24"/>
          <w:shd w:val="clear" w:color="auto" w:fill="FFFFFF"/>
        </w:rPr>
        <w:t>NOTIFÍQUESE</w:t>
      </w:r>
      <w:r w:rsidRPr="00846A5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846A59">
        <w:rPr>
          <w:rFonts w:ascii="Palatino Linotype" w:hAnsi="Palatino Linotype" w:cs="Arial"/>
          <w:b/>
          <w:color w:val="222222"/>
          <w:sz w:val="24"/>
          <w:shd w:val="clear" w:color="auto" w:fill="FFFFFF"/>
        </w:rPr>
        <w:t>dé cumplimiento a lo ordenado dentro del plazo de diez días hábiles,</w:t>
      </w:r>
      <w:r w:rsidRPr="00846A5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B07071" w14:textId="77777777" w:rsidR="00CE0303" w:rsidRPr="00846A59" w:rsidRDefault="00CE0303"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65CFF4B0" w14:textId="3159D528" w:rsidR="00CB2836" w:rsidRPr="00846A59" w:rsidRDefault="00406534"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846A59">
        <w:rPr>
          <w:rFonts w:ascii="Palatino Linotype" w:hAnsi="Palatino Linotype" w:cs="Arial"/>
          <w:b/>
          <w:sz w:val="24"/>
          <w:szCs w:val="24"/>
          <w:lang w:val="es-ES_tradnl"/>
        </w:rPr>
        <w:lastRenderedPageBreak/>
        <w:t>CUARTO</w:t>
      </w:r>
      <w:r w:rsidR="00CB2836" w:rsidRPr="00846A59">
        <w:rPr>
          <w:rFonts w:ascii="Palatino Linotype" w:hAnsi="Palatino Linotype" w:cs="Arial"/>
          <w:b/>
          <w:sz w:val="24"/>
          <w:szCs w:val="24"/>
          <w:lang w:val="es-ES_tradnl"/>
        </w:rPr>
        <w:t xml:space="preserve">. </w:t>
      </w:r>
      <w:r w:rsidR="00CB2836" w:rsidRPr="00846A59">
        <w:rPr>
          <w:rFonts w:ascii="Palatino Linotype" w:hAnsi="Palatino Linotype"/>
          <w:b/>
          <w:bCs/>
          <w:color w:val="222222"/>
          <w:sz w:val="24"/>
          <w:szCs w:val="24"/>
          <w:lang w:val="es-ES"/>
        </w:rPr>
        <w:t xml:space="preserve">Notifíquese </w:t>
      </w:r>
      <w:r w:rsidR="00CB2836" w:rsidRPr="00846A59">
        <w:rPr>
          <w:rFonts w:ascii="Palatino Linotype" w:hAnsi="Palatino Linotype"/>
          <w:bCs/>
          <w:color w:val="222222"/>
          <w:sz w:val="24"/>
          <w:szCs w:val="24"/>
          <w:lang w:val="es-ES"/>
        </w:rPr>
        <w:t xml:space="preserve">al </w:t>
      </w:r>
      <w:r w:rsidR="00CB2836" w:rsidRPr="00846A59">
        <w:rPr>
          <w:rFonts w:ascii="Palatino Linotype" w:hAnsi="Palatino Linotype"/>
          <w:b/>
          <w:bCs/>
          <w:color w:val="222222"/>
          <w:sz w:val="24"/>
          <w:szCs w:val="24"/>
          <w:lang w:val="es-ES"/>
        </w:rPr>
        <w:t>RECURRENTE</w:t>
      </w:r>
      <w:r w:rsidR="00CB2836" w:rsidRPr="00846A59">
        <w:rPr>
          <w:rFonts w:ascii="Palatino Linotype" w:hAnsi="Palatino Linotype"/>
          <w:b/>
          <w:color w:val="222222"/>
          <w:sz w:val="24"/>
          <w:szCs w:val="24"/>
          <w:lang w:val="es-ES"/>
        </w:rPr>
        <w:t xml:space="preserve"> </w:t>
      </w:r>
      <w:r w:rsidR="00CB2836" w:rsidRPr="00846A59">
        <w:rPr>
          <w:rFonts w:ascii="Palatino Linotype" w:eastAsiaTheme="minorEastAsia" w:hAnsi="Palatino Linotype"/>
          <w:sz w:val="24"/>
          <w:szCs w:val="24"/>
          <w:lang w:val="es-ES_tradnl"/>
        </w:rPr>
        <w:t>la presente resolución</w:t>
      </w:r>
      <w:r w:rsidR="00CB2836" w:rsidRPr="00846A59">
        <w:rPr>
          <w:rFonts w:ascii="Palatino Linotype" w:eastAsia="MS Mincho" w:hAnsi="Palatino Linotype"/>
          <w:sz w:val="24"/>
          <w:szCs w:val="24"/>
          <w:lang w:val="es-ES_tradnl"/>
        </w:rPr>
        <w:t xml:space="preserve"> a través del Sistema de Acceso a la Información Mexiquense (SAIMEX)</w:t>
      </w:r>
    </w:p>
    <w:p w14:paraId="526DDF7E" w14:textId="77777777" w:rsidR="006A7B01" w:rsidRPr="00846A59" w:rsidRDefault="006A7B01"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3F9E3330" w14:textId="16FDF23E" w:rsidR="00F45919" w:rsidRPr="00846A59" w:rsidRDefault="00406534" w:rsidP="00F45919">
      <w:pPr>
        <w:shd w:val="clear" w:color="auto" w:fill="FFFFFF"/>
        <w:tabs>
          <w:tab w:val="left" w:pos="284"/>
        </w:tabs>
        <w:spacing w:line="360" w:lineRule="auto"/>
        <w:jc w:val="both"/>
        <w:rPr>
          <w:rFonts w:ascii="Palatino Linotype" w:eastAsia="MS Mincho" w:hAnsi="Palatino Linotype"/>
          <w:sz w:val="24"/>
          <w:szCs w:val="24"/>
          <w:lang w:val="es-ES"/>
        </w:rPr>
      </w:pPr>
      <w:r w:rsidRPr="00846A59">
        <w:rPr>
          <w:rFonts w:ascii="Palatino Linotype" w:eastAsia="MS Mincho" w:hAnsi="Palatino Linotype"/>
          <w:b/>
          <w:sz w:val="24"/>
          <w:szCs w:val="24"/>
        </w:rPr>
        <w:t>QUINTO</w:t>
      </w:r>
      <w:r w:rsidR="00CB2836" w:rsidRPr="00846A59">
        <w:rPr>
          <w:rFonts w:ascii="Palatino Linotype" w:eastAsia="MS Mincho" w:hAnsi="Palatino Linotype"/>
          <w:b/>
          <w:sz w:val="24"/>
          <w:szCs w:val="24"/>
        </w:rPr>
        <w:t>.</w:t>
      </w:r>
      <w:r w:rsidR="00CB2836" w:rsidRPr="00846A59">
        <w:rPr>
          <w:rFonts w:ascii="Palatino Linotype" w:eastAsia="MS Mincho" w:hAnsi="Palatino Linotype"/>
          <w:sz w:val="24"/>
          <w:szCs w:val="24"/>
        </w:rPr>
        <w:t xml:space="preserve"> </w:t>
      </w:r>
      <w:r w:rsidR="00F45919" w:rsidRPr="00846A59">
        <w:rPr>
          <w:rFonts w:ascii="Palatino Linotype" w:eastAsia="MS Mincho" w:hAnsi="Palatino Linotype"/>
          <w:sz w:val="24"/>
          <w:szCs w:val="24"/>
          <w:lang w:val="es-ES"/>
        </w:rPr>
        <w:t xml:space="preserve">Se hace del conocimiento de </w:t>
      </w:r>
      <w:r w:rsidR="00F45919" w:rsidRPr="00846A59">
        <w:rPr>
          <w:rFonts w:ascii="Palatino Linotype" w:hAnsi="Palatino Linotype"/>
          <w:b/>
          <w:sz w:val="24"/>
          <w:szCs w:val="24"/>
        </w:rPr>
        <w:t>RECURRENTE</w:t>
      </w:r>
      <w:r w:rsidR="00F45919" w:rsidRPr="00846A59">
        <w:rPr>
          <w:rFonts w:ascii="Palatino Linotype" w:hAnsi="Palatino Linotype"/>
          <w:sz w:val="24"/>
          <w:szCs w:val="24"/>
        </w:rPr>
        <w:t xml:space="preserve"> </w:t>
      </w:r>
      <w:r w:rsidR="00F45919" w:rsidRPr="00846A59">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00F45919" w:rsidRPr="00846A59">
        <w:rPr>
          <w:rFonts w:ascii="Palatino Linotype" w:hAnsi="Palatino Linotype"/>
          <w:color w:val="000000"/>
          <w:sz w:val="24"/>
          <w:szCs w:val="24"/>
        </w:rPr>
        <w:t>y en lo dispuesto en los artículos </w:t>
      </w:r>
      <w:r w:rsidR="00F45919" w:rsidRPr="00846A59">
        <w:rPr>
          <w:rStyle w:val="il"/>
          <w:rFonts w:ascii="Palatino Linotype" w:hAnsi="Palatino Linotype"/>
          <w:color w:val="000000"/>
          <w:sz w:val="24"/>
          <w:szCs w:val="24"/>
        </w:rPr>
        <w:t>159</w:t>
      </w:r>
      <w:r w:rsidR="00F45919" w:rsidRPr="00846A59">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F45919" w:rsidRPr="00846A59">
        <w:rPr>
          <w:rFonts w:ascii="Palatino Linotype" w:eastAsia="MS Mincho" w:hAnsi="Palatino Linotype"/>
          <w:sz w:val="24"/>
          <w:szCs w:val="24"/>
          <w:lang w:val="es-ES"/>
        </w:rPr>
        <w:t xml:space="preserve">, o bien, </w:t>
      </w:r>
      <w:r w:rsidR="00F45919" w:rsidRPr="00846A59">
        <w:rPr>
          <w:rFonts w:ascii="Palatino Linotype" w:eastAsia="MS Mincho" w:hAnsi="Palatino Linotype"/>
          <w:bCs/>
          <w:sz w:val="24"/>
          <w:szCs w:val="24"/>
          <w:lang w:val="es-ES"/>
        </w:rPr>
        <w:t>vía juicio de amparo</w:t>
      </w:r>
      <w:r w:rsidR="00F45919" w:rsidRPr="00846A59">
        <w:rPr>
          <w:rFonts w:ascii="Palatino Linotype" w:eastAsia="MS Mincho" w:hAnsi="Palatino Linotype"/>
          <w:sz w:val="24"/>
          <w:szCs w:val="24"/>
          <w:lang w:val="es-ES"/>
        </w:rPr>
        <w:t> en los términos de las leyes aplicables.</w:t>
      </w:r>
    </w:p>
    <w:p w14:paraId="1B03558B" w14:textId="77777777" w:rsidR="00CB2836" w:rsidRPr="00846A59" w:rsidRDefault="00CB2836"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69F571E3" w14:textId="2E340957" w:rsidR="00CB2836" w:rsidRPr="00846A59" w:rsidRDefault="00406534" w:rsidP="00CB2836">
      <w:pPr>
        <w:shd w:val="clear" w:color="auto" w:fill="FFFFFF"/>
        <w:tabs>
          <w:tab w:val="left" w:pos="284"/>
        </w:tabs>
        <w:spacing w:line="360" w:lineRule="auto"/>
        <w:jc w:val="both"/>
        <w:rPr>
          <w:rFonts w:ascii="Palatino Linotype" w:eastAsia="MS Mincho" w:hAnsi="Palatino Linotype"/>
          <w:sz w:val="24"/>
          <w:szCs w:val="24"/>
        </w:rPr>
      </w:pPr>
      <w:r w:rsidRPr="00846A59">
        <w:rPr>
          <w:rFonts w:ascii="Palatino Linotype" w:eastAsia="MS Mincho" w:hAnsi="Palatino Linotype"/>
          <w:b/>
          <w:bCs/>
          <w:sz w:val="24"/>
          <w:szCs w:val="24"/>
        </w:rPr>
        <w:t>SEXTO</w:t>
      </w:r>
      <w:r w:rsidR="00CB2836" w:rsidRPr="00846A59">
        <w:rPr>
          <w:rFonts w:ascii="Palatino Linotype" w:eastAsia="MS Mincho" w:hAnsi="Palatino Linotype"/>
          <w:b/>
          <w:bCs/>
          <w:sz w:val="24"/>
          <w:szCs w:val="24"/>
        </w:rPr>
        <w:t>.</w:t>
      </w:r>
      <w:r w:rsidR="00CB2836" w:rsidRPr="00846A59">
        <w:rPr>
          <w:rFonts w:ascii="Palatino Linotype" w:eastAsia="MS Mincho" w:hAnsi="Palatino Linotype"/>
          <w:bCs/>
          <w:sz w:val="24"/>
          <w:szCs w:val="24"/>
        </w:rPr>
        <w:t xml:space="preserve"> Hágase del conocimiento</w:t>
      </w:r>
      <w:r w:rsidR="00CB2836" w:rsidRPr="00846A59">
        <w:rPr>
          <w:rFonts w:ascii="Palatino Linotype" w:eastAsia="MS Mincho" w:hAnsi="Palatino Linotype"/>
          <w:b/>
          <w:bCs/>
          <w:sz w:val="24"/>
          <w:szCs w:val="24"/>
        </w:rPr>
        <w:t> </w:t>
      </w:r>
      <w:r w:rsidR="00CB2836" w:rsidRPr="00846A59">
        <w:rPr>
          <w:rFonts w:ascii="Palatino Linotype" w:eastAsia="MS Mincho" w:hAnsi="Palatino Linotype"/>
          <w:sz w:val="24"/>
          <w:szCs w:val="24"/>
        </w:rPr>
        <w:t>del </w:t>
      </w:r>
      <w:r w:rsidR="00CB2836" w:rsidRPr="00846A59">
        <w:rPr>
          <w:rFonts w:ascii="Palatino Linotype" w:hAnsi="Palatino Linotype"/>
          <w:b/>
          <w:color w:val="222222"/>
          <w:sz w:val="24"/>
          <w:szCs w:val="24"/>
          <w:lang w:val="es-ES"/>
        </w:rPr>
        <w:t>RECURRENTE</w:t>
      </w:r>
      <w:r w:rsidR="00CB2836" w:rsidRPr="00846A59">
        <w:rPr>
          <w:rFonts w:ascii="Palatino Linotype" w:eastAsia="MS Mincho" w:hAnsi="Palatino Linotype"/>
          <w:b/>
          <w:bCs/>
          <w:sz w:val="24"/>
          <w:szCs w:val="24"/>
        </w:rPr>
        <w:t> </w:t>
      </w:r>
      <w:r w:rsidR="00CB2836" w:rsidRPr="00846A59">
        <w:rPr>
          <w:rFonts w:ascii="Palatino Linotype" w:eastAsia="MS Mincho" w:hAnsi="Palatino Linotype"/>
          <w:sz w:val="24"/>
          <w:szCs w:val="24"/>
        </w:rPr>
        <w:t>que la respuesta que dé </w:t>
      </w:r>
      <w:r w:rsidR="00CB2836" w:rsidRPr="00846A59">
        <w:rPr>
          <w:rFonts w:ascii="Palatino Linotype" w:eastAsia="MS Mincho" w:hAnsi="Palatino Linotype"/>
          <w:b/>
          <w:bCs/>
          <w:sz w:val="24"/>
          <w:szCs w:val="24"/>
        </w:rPr>
        <w:t>EL SUJETO OBLIGADO</w:t>
      </w:r>
      <w:r w:rsidR="00CB2836" w:rsidRPr="00846A59">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81EFABE" w14:textId="77777777" w:rsidR="00CB2836" w:rsidRPr="00846A59"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75839FE0" w14:textId="018C2E31" w:rsidR="00CE0303" w:rsidRPr="00846A59" w:rsidRDefault="00CE0303" w:rsidP="00CE0303">
      <w:pPr>
        <w:tabs>
          <w:tab w:val="left" w:pos="284"/>
        </w:tabs>
        <w:spacing w:line="360" w:lineRule="auto"/>
        <w:jc w:val="both"/>
        <w:rPr>
          <w:rFonts w:ascii="Palatino Linotype" w:eastAsia="MS Mincho" w:hAnsi="Palatino Linotype"/>
          <w:b/>
          <w:sz w:val="24"/>
          <w:szCs w:val="24"/>
          <w:lang w:val="es-ES_tradnl"/>
        </w:rPr>
      </w:pPr>
      <w:r w:rsidRPr="00846A59">
        <w:rPr>
          <w:rFonts w:ascii="Palatino Linotype" w:eastAsia="MS Mincho" w:hAnsi="Palatino Linotype"/>
          <w:b/>
          <w:sz w:val="24"/>
          <w:szCs w:val="24"/>
          <w:lang w:val="es-ES_tradnl"/>
        </w:rPr>
        <w:t>SÉPTIMO</w:t>
      </w:r>
      <w:r w:rsidR="00CB2836" w:rsidRPr="00846A59">
        <w:rPr>
          <w:rFonts w:ascii="Palatino Linotype" w:eastAsia="MS Mincho" w:hAnsi="Palatino Linotype"/>
          <w:b/>
          <w:sz w:val="24"/>
          <w:szCs w:val="24"/>
          <w:lang w:val="es-ES_tradnl"/>
        </w:rPr>
        <w:t>.</w:t>
      </w:r>
      <w:r w:rsidRPr="00846A59">
        <w:rPr>
          <w:rFonts w:ascii="Palatino Linotype" w:eastAsia="MS Mincho" w:hAnsi="Palatino Linotype"/>
          <w:sz w:val="24"/>
        </w:rPr>
        <w:t xml:space="preserve"> </w:t>
      </w:r>
      <w:r w:rsidRPr="00846A59">
        <w:rPr>
          <w:rFonts w:ascii="Palatino Linotype" w:eastAsia="MS Mincho" w:hAnsi="Palatino Linotype"/>
          <w:sz w:val="24"/>
          <w:lang w:val="es-ES"/>
        </w:rPr>
        <w:t xml:space="preserve">Gírese oficio a la Secretaría Técnica del Pleno de este Instituto para hacer del conocimiento del Órgano Interno de Control competente la presente resolución, a fin de que de conformidad con el artículo 190, de la Ley de Transparencia y Acceso a </w:t>
      </w:r>
      <w:r w:rsidRPr="00846A59">
        <w:rPr>
          <w:rFonts w:ascii="Palatino Linotype" w:eastAsia="MS Mincho" w:hAnsi="Palatino Linotype"/>
          <w:sz w:val="24"/>
          <w:lang w:val="es-ES"/>
        </w:rPr>
        <w:lastRenderedPageBreak/>
        <w:t xml:space="preserve">la Información Pública del Estado de México y Municipios, determine lo conducente, en términos de lo señalado en el Considerando </w:t>
      </w:r>
      <w:r w:rsidR="00F155DE" w:rsidRPr="00846A59">
        <w:rPr>
          <w:rFonts w:ascii="Palatino Linotype" w:eastAsia="MS Mincho" w:hAnsi="Palatino Linotype"/>
          <w:sz w:val="24"/>
          <w:lang w:val="es-ES"/>
        </w:rPr>
        <w:t>SEXTO</w:t>
      </w:r>
      <w:r w:rsidRPr="00846A59">
        <w:rPr>
          <w:rFonts w:ascii="Palatino Linotype" w:eastAsia="MS Mincho" w:hAnsi="Palatino Linotype"/>
          <w:sz w:val="24"/>
          <w:lang w:val="es-ES"/>
        </w:rPr>
        <w:t xml:space="preserve"> de la presente Resolución.</w:t>
      </w:r>
    </w:p>
    <w:p w14:paraId="4AB0A3AA" w14:textId="77777777" w:rsidR="00CE0303" w:rsidRPr="00846A59" w:rsidRDefault="00CE0303" w:rsidP="00CB2836">
      <w:pPr>
        <w:tabs>
          <w:tab w:val="left" w:pos="284"/>
        </w:tabs>
        <w:spacing w:line="360" w:lineRule="auto"/>
        <w:jc w:val="both"/>
        <w:rPr>
          <w:rFonts w:ascii="Palatino Linotype" w:eastAsia="MS Mincho" w:hAnsi="Palatino Linotype"/>
          <w:b/>
          <w:sz w:val="24"/>
          <w:szCs w:val="24"/>
          <w:lang w:val="es-ES_tradnl"/>
        </w:rPr>
      </w:pPr>
    </w:p>
    <w:p w14:paraId="14DF7734" w14:textId="13226DAA" w:rsidR="00D95AD6" w:rsidRPr="00D95AD6" w:rsidRDefault="00D95AD6" w:rsidP="00D95AD6">
      <w:pPr>
        <w:spacing w:before="240" w:after="240" w:line="360" w:lineRule="auto"/>
        <w:ind w:firstLine="1"/>
        <w:jc w:val="both"/>
        <w:rPr>
          <w:rFonts w:ascii="Palatino Linotype" w:hAnsi="Palatino Linotype"/>
          <w:smallCaps/>
          <w:sz w:val="24"/>
        </w:rPr>
      </w:pPr>
      <w:bookmarkStart w:id="64" w:name="_Hlk129792997"/>
      <w:r w:rsidRPr="00846A59">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A7B01" w:rsidRPr="00846A59">
        <w:rPr>
          <w:rStyle w:val="Referenciasutil"/>
          <w:rFonts w:ascii="Palatino Linotype" w:hAnsi="Palatino Linotype"/>
          <w:color w:val="auto"/>
          <w:sz w:val="24"/>
        </w:rPr>
        <w:t xml:space="preserve"> (AUSENCIA JUSTIFICADA)</w:t>
      </w:r>
      <w:r w:rsidRPr="00846A59">
        <w:rPr>
          <w:rStyle w:val="Referenciasutil"/>
          <w:rFonts w:ascii="Palatino Linotype" w:hAnsi="Palatino Linotype"/>
          <w:color w:val="auto"/>
          <w:sz w:val="24"/>
        </w:rPr>
        <w:t>; LUIS GUSTAVO PARRA NORIEGA Y GUADALUPE RAMÍREZ PEÑA; EN LA TRIGÉSIMA SÉPTIMA SESIÓN ORDINARIA CELEBRADA EL DOCE (12) DE OCTUBRE DE DOS MIL VEINTITRÉS, ANTE EL SECRETARIO TÉCNICO DEL PLENO ALEXIS TAPIA RAMÍREZ.</w:t>
      </w:r>
      <w:bookmarkStart w:id="65" w:name="_GoBack"/>
      <w:bookmarkEnd w:id="65"/>
      <w:r w:rsidRPr="00D95AD6">
        <w:rPr>
          <w:rStyle w:val="Referenciasutil"/>
          <w:rFonts w:ascii="Palatino Linotype" w:hAnsi="Palatino Linotype"/>
          <w:color w:val="auto"/>
          <w:sz w:val="24"/>
        </w:rPr>
        <w:t xml:space="preserve"> </w:t>
      </w:r>
      <w:bookmarkEnd w:id="64"/>
    </w:p>
    <w:p w14:paraId="67133A5B" w14:textId="77777777" w:rsidR="007A509F" w:rsidRDefault="007A509F" w:rsidP="007A509F">
      <w:pPr>
        <w:spacing w:before="240" w:after="240" w:line="360" w:lineRule="auto"/>
        <w:ind w:firstLine="1"/>
        <w:jc w:val="both"/>
        <w:rPr>
          <w:rStyle w:val="Referenciasutil"/>
          <w:rFonts w:ascii="Palatino Linotype" w:hAnsi="Palatino Linotype"/>
          <w:color w:val="auto"/>
          <w:sz w:val="24"/>
        </w:rPr>
      </w:pPr>
    </w:p>
    <w:p w14:paraId="7E12B62A" w14:textId="77777777" w:rsidR="007A509F" w:rsidRDefault="007A509F" w:rsidP="007A509F">
      <w:pPr>
        <w:spacing w:before="240" w:after="240" w:line="360" w:lineRule="auto"/>
        <w:ind w:firstLine="1"/>
        <w:jc w:val="both"/>
        <w:rPr>
          <w:rStyle w:val="Referenciasutil"/>
          <w:rFonts w:ascii="Palatino Linotype" w:hAnsi="Palatino Linotype"/>
          <w:color w:val="auto"/>
          <w:sz w:val="24"/>
        </w:rPr>
      </w:pPr>
    </w:p>
    <w:p w14:paraId="2EE35B13" w14:textId="77777777" w:rsidR="007A509F" w:rsidRDefault="007A509F" w:rsidP="007A509F">
      <w:pPr>
        <w:spacing w:before="240" w:after="240" w:line="360" w:lineRule="auto"/>
        <w:ind w:firstLine="1"/>
        <w:jc w:val="both"/>
        <w:rPr>
          <w:rStyle w:val="Referenciasutil"/>
          <w:rFonts w:ascii="Palatino Linotype" w:hAnsi="Palatino Linotype"/>
          <w:color w:val="auto"/>
          <w:sz w:val="24"/>
        </w:rPr>
      </w:pPr>
    </w:p>
    <w:p w14:paraId="6329BE71" w14:textId="77777777" w:rsidR="007A509F" w:rsidRDefault="007A509F" w:rsidP="007A509F">
      <w:pPr>
        <w:spacing w:before="240" w:after="240" w:line="360" w:lineRule="auto"/>
        <w:ind w:firstLine="1"/>
        <w:jc w:val="both"/>
        <w:rPr>
          <w:rStyle w:val="Referenciasutil"/>
          <w:rFonts w:ascii="Palatino Linotype" w:hAnsi="Palatino Linotype"/>
          <w:color w:val="auto"/>
          <w:sz w:val="24"/>
        </w:rPr>
      </w:pPr>
    </w:p>
    <w:p w14:paraId="537BED62" w14:textId="77777777" w:rsidR="007A509F" w:rsidRPr="007A509F" w:rsidRDefault="007A509F" w:rsidP="007A509F">
      <w:pPr>
        <w:spacing w:before="240" w:after="240" w:line="360" w:lineRule="auto"/>
        <w:ind w:firstLine="1"/>
        <w:jc w:val="both"/>
        <w:rPr>
          <w:rFonts w:ascii="Palatino Linotype" w:hAnsi="Palatino Linotype"/>
          <w:smallCaps/>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9B713" w14:textId="77777777" w:rsidR="00030617" w:rsidRDefault="00030617">
      <w:r>
        <w:separator/>
      </w:r>
    </w:p>
  </w:endnote>
  <w:endnote w:type="continuationSeparator" w:id="0">
    <w:p w14:paraId="7604E5E8" w14:textId="77777777" w:rsidR="00030617" w:rsidRDefault="0003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Light">
    <w:altName w:val="Segoe Print"/>
    <w:charset w:val="00"/>
    <w:family w:val="auto"/>
    <w:pitch w:val="default"/>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374F6" w:rsidRDefault="007374F6">
            <w:pPr>
              <w:pStyle w:val="Piedepgina"/>
              <w:jc w:val="right"/>
            </w:pPr>
          </w:p>
          <w:p w14:paraId="1F7A191C" w14:textId="2A69F491" w:rsidR="007374F6" w:rsidRDefault="007374F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6A59">
              <w:rPr>
                <w:b/>
                <w:bCs/>
                <w:noProof/>
              </w:rPr>
              <w:t>84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6A59">
              <w:rPr>
                <w:b/>
                <w:bCs/>
                <w:noProof/>
              </w:rPr>
              <w:t>84</w:t>
            </w:r>
            <w:r>
              <w:rPr>
                <w:b/>
                <w:bCs/>
                <w:sz w:val="24"/>
                <w:szCs w:val="24"/>
              </w:rPr>
              <w:fldChar w:fldCharType="end"/>
            </w:r>
          </w:p>
        </w:sdtContent>
      </w:sdt>
    </w:sdtContent>
  </w:sdt>
  <w:p w14:paraId="2A221972" w14:textId="77777777" w:rsidR="007374F6" w:rsidRDefault="007374F6">
    <w:pPr>
      <w:pStyle w:val="Piedepgina"/>
    </w:pPr>
  </w:p>
  <w:p w14:paraId="1D6FF208" w14:textId="77777777" w:rsidR="007374F6" w:rsidRDefault="007374F6"/>
  <w:p w14:paraId="70055CD7" w14:textId="77777777" w:rsidR="007374F6" w:rsidRDefault="007374F6"/>
  <w:p w14:paraId="5452645F" w14:textId="77777777" w:rsidR="007374F6" w:rsidRDefault="007374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7374F6" w:rsidRDefault="007374F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46A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46A59">
              <w:rPr>
                <w:b/>
                <w:bCs/>
                <w:noProof/>
              </w:rPr>
              <w:t>84</w:t>
            </w:r>
            <w:r>
              <w:rPr>
                <w:b/>
                <w:bCs/>
                <w:sz w:val="24"/>
                <w:szCs w:val="24"/>
              </w:rPr>
              <w:fldChar w:fldCharType="end"/>
            </w:r>
          </w:p>
        </w:sdtContent>
      </w:sdt>
    </w:sdtContent>
  </w:sdt>
  <w:p w14:paraId="2D12AEB2" w14:textId="77777777" w:rsidR="007374F6" w:rsidRDefault="007374F6">
    <w:pPr>
      <w:pStyle w:val="Piedepgina"/>
    </w:pPr>
  </w:p>
  <w:p w14:paraId="54227169" w14:textId="77777777" w:rsidR="007374F6" w:rsidRDefault="007374F6"/>
  <w:p w14:paraId="7DE40FB1" w14:textId="77777777" w:rsidR="007374F6" w:rsidRDefault="007374F6"/>
  <w:p w14:paraId="33755E87" w14:textId="77777777" w:rsidR="007374F6" w:rsidRDefault="007374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9BC05" w14:textId="77777777" w:rsidR="00030617" w:rsidRDefault="00030617">
      <w:r>
        <w:separator/>
      </w:r>
    </w:p>
  </w:footnote>
  <w:footnote w:type="continuationSeparator" w:id="0">
    <w:p w14:paraId="2021B039" w14:textId="77777777" w:rsidR="00030617" w:rsidRDefault="00030617">
      <w:r>
        <w:continuationSeparator/>
      </w:r>
    </w:p>
  </w:footnote>
  <w:footnote w:id="1">
    <w:p w14:paraId="7D872842" w14:textId="77777777" w:rsidR="007374F6" w:rsidRPr="00F75272" w:rsidRDefault="007374F6"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7374F6" w:rsidRDefault="007374F6" w:rsidP="00030C87">
      <w:pPr>
        <w:pStyle w:val="Textonotapie"/>
      </w:pPr>
      <w:r>
        <w:rPr>
          <w:rStyle w:val="Refdenotaalpie"/>
        </w:rPr>
        <w:footnoteRef/>
      </w:r>
      <w:r>
        <w:t xml:space="preserve"> Convención Americana sobre Derechos Humanos. Artículo 13.</w:t>
      </w:r>
    </w:p>
  </w:footnote>
  <w:footnote w:id="3">
    <w:p w14:paraId="76B1CB8C" w14:textId="77777777" w:rsidR="007374F6" w:rsidRDefault="007374F6"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7374F6" w:rsidRDefault="007374F6"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7374F6" w:rsidRDefault="007374F6" w:rsidP="00030C87">
      <w:pPr>
        <w:pStyle w:val="Textonotapie"/>
      </w:pPr>
      <w:r>
        <w:rPr>
          <w:rStyle w:val="Refdenotaalpie"/>
        </w:rPr>
        <w:footnoteRef/>
      </w:r>
      <w:r>
        <w:t xml:space="preserve"> Ibídem. Parr. 87.</w:t>
      </w:r>
    </w:p>
  </w:footnote>
  <w:footnote w:id="6">
    <w:p w14:paraId="0F88C173" w14:textId="77777777" w:rsidR="007374F6" w:rsidRDefault="007374F6"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7374F6" w:rsidRDefault="007374F6" w:rsidP="00030C87">
      <w:pPr>
        <w:pStyle w:val="Textonotapie"/>
      </w:pPr>
      <w:r>
        <w:t>II. Eficacia: Obligación del Instituto para tutelar, de manera efectiva, el derecho de acceso a la información;</w:t>
      </w:r>
    </w:p>
    <w:p w14:paraId="0DC8B13D" w14:textId="77777777" w:rsidR="007374F6" w:rsidRDefault="007374F6" w:rsidP="00030C87">
      <w:pPr>
        <w:pStyle w:val="Textonotapie"/>
      </w:pPr>
      <w:r>
        <w:t xml:space="preserve">… </w:t>
      </w:r>
    </w:p>
  </w:footnote>
  <w:footnote w:id="7">
    <w:p w14:paraId="04FD50DB" w14:textId="77777777" w:rsidR="007374F6" w:rsidRDefault="007374F6" w:rsidP="0025369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1391BE" w14:textId="77777777" w:rsidR="007374F6" w:rsidRDefault="007374F6" w:rsidP="0025369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ACAD1A1" w14:textId="77777777" w:rsidR="007374F6" w:rsidRPr="001E1F95" w:rsidRDefault="007374F6" w:rsidP="0025369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31D902C1" w14:textId="77777777" w:rsidR="007374F6" w:rsidRPr="00034B44" w:rsidRDefault="007374F6" w:rsidP="0025369F">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D4B63DA" w14:textId="77777777" w:rsidR="007374F6" w:rsidRPr="00034B44" w:rsidRDefault="007374F6" w:rsidP="0025369F">
      <w:pPr>
        <w:pStyle w:val="Textonotapie"/>
        <w:jc w:val="both"/>
        <w:rPr>
          <w:rFonts w:ascii="Palatino Linotype" w:hAnsi="Palatino Linotype"/>
          <w:sz w:val="18"/>
        </w:rPr>
      </w:pPr>
      <w:r w:rsidRPr="00034B44">
        <w:rPr>
          <w:rFonts w:ascii="Palatino Linotype" w:hAnsi="Palatino Linotype"/>
          <w:sz w:val="18"/>
        </w:rPr>
        <w:t xml:space="preserve"> (…)</w:t>
      </w:r>
    </w:p>
    <w:p w14:paraId="004295D0" w14:textId="77777777" w:rsidR="007374F6" w:rsidRPr="00034B44" w:rsidRDefault="007374F6" w:rsidP="0025369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9">
    <w:p w14:paraId="5C28F4B6" w14:textId="55A7DEC5" w:rsidR="007374F6" w:rsidRDefault="007374F6">
      <w:pPr>
        <w:pStyle w:val="Textonotapie"/>
      </w:pPr>
      <w:r>
        <w:rPr>
          <w:rStyle w:val="Refdenotaalpie"/>
        </w:rPr>
        <w:footnoteRef/>
      </w:r>
      <w:r>
        <w:t xml:space="preserve"> Disponible para su consulta en </w:t>
      </w:r>
      <w:hyperlink r:id="rId1" w:history="1">
        <w:r w:rsidRPr="0040117F">
          <w:rPr>
            <w:rStyle w:val="Hipervnculo"/>
          </w:rPr>
          <w:t>https://www.sat.gob.mx/aplicacion/28889/obten-tu-cedula-de-identificacion-fiscal</w:t>
        </w:r>
      </w:hyperlink>
    </w:p>
  </w:footnote>
  <w:footnote w:id="10">
    <w:p w14:paraId="455429B4" w14:textId="24140700" w:rsidR="007374F6" w:rsidRDefault="007374F6">
      <w:pPr>
        <w:pStyle w:val="Textonotapie"/>
      </w:pPr>
      <w:r>
        <w:rPr>
          <w:rStyle w:val="Refdenotaalpie"/>
        </w:rPr>
        <w:footnoteRef/>
      </w:r>
      <w:r>
        <w:t xml:space="preserve"> Disponible para su consulta en </w:t>
      </w:r>
      <w:hyperlink r:id="rId2" w:history="1">
        <w:r w:rsidRPr="0040117F">
          <w:rPr>
            <w:rStyle w:val="Hipervnculo"/>
          </w:rPr>
          <w:t>https://www.sat.gob.mx/aplicacion/28889/obten-tu-cedula-de-identificacion-fiscal</w:t>
        </w:r>
      </w:hyperlink>
    </w:p>
  </w:footnote>
  <w:footnote w:id="11">
    <w:p w14:paraId="12FD856C" w14:textId="77777777" w:rsidR="007374F6" w:rsidRPr="00452D47" w:rsidRDefault="007374F6" w:rsidP="008C1C0E">
      <w:pPr>
        <w:pStyle w:val="Textonotapie"/>
      </w:pPr>
      <w:r>
        <w:rPr>
          <w:rStyle w:val="Refdenotaalpie"/>
        </w:rPr>
        <w:footnoteRef/>
      </w:r>
      <w:r>
        <w:t xml:space="preserve"> </w:t>
      </w:r>
      <w:hyperlink r:id="rId3" w:history="1">
        <w:r>
          <w:rPr>
            <w:rStyle w:val="Hipervnculo"/>
          </w:rPr>
          <w:t>http://www.issemym.gob.mx/sites/www.issemym.gob.mx/files/MANUAL%20DE%20PROCEDIMIENTOS%20PARA%20LA%20AFILIACION%20Y%20CREDENCIALIZACION.PDF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374F6" w:rsidRDefault="00030617">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374F6" w:rsidRDefault="007374F6"/>
  <w:p w14:paraId="77B719CE" w14:textId="77777777" w:rsidR="007374F6" w:rsidRDefault="007374F6"/>
  <w:p w14:paraId="50A3AAAA" w14:textId="77777777" w:rsidR="007374F6" w:rsidRDefault="007374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374F6" w14:paraId="6255E3A4" w14:textId="77777777" w:rsidTr="00814079">
      <w:trPr>
        <w:trHeight w:val="1435"/>
      </w:trPr>
      <w:tc>
        <w:tcPr>
          <w:tcW w:w="1843" w:type="dxa"/>
          <w:shd w:val="clear" w:color="auto" w:fill="auto"/>
        </w:tcPr>
        <w:p w14:paraId="3E05202F" w14:textId="4A7C9DF8" w:rsidR="007374F6" w:rsidRDefault="007374F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374F6" w:rsidRDefault="007374F6"/>
        <w:tbl>
          <w:tblPr>
            <w:tblStyle w:val="Tablaconcuadrcula"/>
            <w:tblW w:w="6236"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5"/>
          </w:tblGrid>
          <w:tr w:rsidR="007374F6" w14:paraId="727F90BF" w14:textId="77777777" w:rsidTr="007374F6">
            <w:trPr>
              <w:trHeight w:val="338"/>
            </w:trPr>
            <w:tc>
              <w:tcPr>
                <w:tcW w:w="2551" w:type="dxa"/>
              </w:tcPr>
              <w:p w14:paraId="410A3741" w14:textId="535C9D39" w:rsidR="007374F6" w:rsidRDefault="007374F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685" w:type="dxa"/>
              </w:tcPr>
              <w:p w14:paraId="3FF69A05" w14:textId="1A324C58" w:rsidR="007374F6" w:rsidRDefault="007374F6" w:rsidP="007374F6">
                <w:pPr>
                  <w:tabs>
                    <w:tab w:val="right" w:pos="8838"/>
                  </w:tabs>
                  <w:ind w:left="-108" w:right="-105"/>
                  <w:rPr>
                    <w:rFonts w:ascii="Palatino Linotype" w:eastAsia="Calibri" w:hAnsi="Palatino Linotype" w:cs="Tahoma"/>
                    <w:bCs/>
                    <w:sz w:val="22"/>
                    <w:szCs w:val="22"/>
                    <w:lang w:eastAsia="en-US"/>
                  </w:rPr>
                </w:pPr>
                <w:r>
                  <w:rPr>
                    <w:rFonts w:ascii="Palatino Linotype" w:eastAsia="Calibri" w:hAnsi="Palatino Linotype" w:cs="Tahoma"/>
                    <w:sz w:val="22"/>
                    <w:lang w:eastAsia="en-US"/>
                  </w:rPr>
                  <w:t>17598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7374F6" w14:paraId="1389436A" w14:textId="128385F2" w:rsidTr="007374F6">
            <w:trPr>
              <w:trHeight w:val="283"/>
            </w:trPr>
            <w:tc>
              <w:tcPr>
                <w:tcW w:w="2551" w:type="dxa"/>
              </w:tcPr>
              <w:p w14:paraId="22E0F4E9" w14:textId="77777777" w:rsidR="007374F6" w:rsidRDefault="007374F6">
                <w:pPr>
                  <w:tabs>
                    <w:tab w:val="right" w:pos="8838"/>
                  </w:tabs>
                  <w:ind w:right="-105"/>
                  <w:rPr>
                    <w:rFonts w:ascii="Palatino Linotype" w:eastAsia="Calibri" w:hAnsi="Palatino Linotype" w:cs="Tahoma"/>
                    <w:b/>
                    <w:sz w:val="22"/>
                    <w:szCs w:val="22"/>
                    <w:lang w:eastAsia="en-US"/>
                  </w:rPr>
                </w:pPr>
                <w:bookmarkStart w:id="66" w:name="_Hlk33010189"/>
                <w:r>
                  <w:rPr>
                    <w:rFonts w:ascii="Palatino Linotype" w:eastAsia="Calibri" w:hAnsi="Palatino Linotype" w:cs="Tahoma"/>
                    <w:b/>
                    <w:sz w:val="22"/>
                    <w:szCs w:val="22"/>
                    <w:lang w:eastAsia="en-US"/>
                  </w:rPr>
                  <w:t>Sujeto Obligado:</w:t>
                </w:r>
              </w:p>
            </w:tc>
            <w:tc>
              <w:tcPr>
                <w:tcW w:w="3685" w:type="dxa"/>
              </w:tcPr>
              <w:p w14:paraId="2B205C7F" w14:textId="72B1559E" w:rsidR="007374F6" w:rsidRPr="00C56D1A" w:rsidRDefault="007374F6" w:rsidP="007374F6">
                <w:pPr>
                  <w:tabs>
                    <w:tab w:val="left" w:pos="2834"/>
                    <w:tab w:val="right" w:pos="8838"/>
                  </w:tabs>
                  <w:ind w:left="-113" w:right="-107"/>
                  <w:rPr>
                    <w:rFonts w:ascii="Palatino Linotype" w:eastAsia="Calibri" w:hAnsi="Palatino Linotype" w:cs="Tahoma"/>
                    <w:sz w:val="22"/>
                    <w:szCs w:val="22"/>
                    <w:lang w:eastAsia="en-US"/>
                  </w:rPr>
                </w:pPr>
                <w:r w:rsidRPr="00C56D1A">
                  <w:rPr>
                    <w:rFonts w:ascii="Palatino Linotype" w:eastAsia="Calibri" w:hAnsi="Palatino Linotype" w:cs="Arial"/>
                    <w:sz w:val="22"/>
                  </w:rPr>
                  <w:t>Ayuntamiento de Zinacantepec</w:t>
                </w:r>
              </w:p>
            </w:tc>
          </w:tr>
          <w:bookmarkEnd w:id="66"/>
          <w:tr w:rsidR="007374F6" w14:paraId="28CCE4E5" w14:textId="77777777" w:rsidTr="007374F6">
            <w:trPr>
              <w:trHeight w:val="283"/>
            </w:trPr>
            <w:tc>
              <w:tcPr>
                <w:tcW w:w="2551" w:type="dxa"/>
              </w:tcPr>
              <w:p w14:paraId="13EBF3BB" w14:textId="6E4ECE4B" w:rsidR="007374F6" w:rsidRDefault="007374F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85" w:type="dxa"/>
              </w:tcPr>
              <w:p w14:paraId="5DF20594" w14:textId="1A6CDEA4" w:rsidR="007374F6" w:rsidRDefault="007374F6" w:rsidP="007374F6">
                <w:pPr>
                  <w:tabs>
                    <w:tab w:val="right" w:pos="8838"/>
                  </w:tabs>
                  <w:ind w:left="-113" w:right="-105"/>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7374F6" w:rsidRDefault="007374F6">
          <w:pPr>
            <w:tabs>
              <w:tab w:val="right" w:pos="8838"/>
            </w:tabs>
            <w:ind w:left="-28"/>
            <w:jc w:val="both"/>
            <w:rPr>
              <w:rFonts w:ascii="Arial" w:eastAsia="Calibri" w:hAnsi="Arial" w:cs="Arial"/>
              <w:b/>
              <w:sz w:val="22"/>
              <w:szCs w:val="22"/>
              <w:lang w:eastAsia="en-US"/>
            </w:rPr>
          </w:pPr>
        </w:p>
      </w:tc>
    </w:tr>
  </w:tbl>
  <w:p w14:paraId="07EF2D29" w14:textId="1620A8B4" w:rsidR="007374F6" w:rsidRDefault="00030617"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374F6" w:rsidRDefault="007374F6"/>
  <w:p w14:paraId="104386EF" w14:textId="77777777" w:rsidR="007374F6" w:rsidRDefault="007374F6"/>
  <w:p w14:paraId="60A3E393" w14:textId="77777777" w:rsidR="007374F6" w:rsidRDefault="007374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374F6" w14:paraId="61517A1D" w14:textId="77777777" w:rsidTr="003A6126">
      <w:trPr>
        <w:trHeight w:val="1435"/>
      </w:trPr>
      <w:tc>
        <w:tcPr>
          <w:tcW w:w="1560" w:type="dxa"/>
          <w:shd w:val="clear" w:color="auto" w:fill="auto"/>
        </w:tcPr>
        <w:p w14:paraId="4B74E846" w14:textId="1E0D62B9" w:rsidR="007374F6" w:rsidRDefault="007374F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4"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48"/>
            <w:gridCol w:w="3402"/>
          </w:tblGrid>
          <w:tr w:rsidR="007374F6" w14:paraId="7F59E1EF" w14:textId="77777777" w:rsidTr="007374F6">
            <w:trPr>
              <w:trHeight w:val="144"/>
            </w:trPr>
            <w:tc>
              <w:tcPr>
                <w:tcW w:w="2444" w:type="dxa"/>
              </w:tcPr>
              <w:p w14:paraId="5EFF942E" w14:textId="77777777" w:rsidR="007374F6" w:rsidRDefault="007374F6" w:rsidP="000D485D">
                <w:pPr>
                  <w:tabs>
                    <w:tab w:val="right" w:pos="8838"/>
                  </w:tabs>
                  <w:ind w:left="-74" w:right="-105"/>
                  <w:rPr>
                    <w:rFonts w:ascii="Palatino Linotype" w:eastAsia="Calibri" w:hAnsi="Palatino Linotype" w:cs="Tahoma"/>
                    <w:b/>
                    <w:sz w:val="22"/>
                    <w:szCs w:val="22"/>
                    <w:lang w:eastAsia="en-US"/>
                  </w:rPr>
                </w:pPr>
                <w:bookmarkStart w:id="67" w:name="_Hlk12526980"/>
                <w:r>
                  <w:rPr>
                    <w:rFonts w:ascii="Palatino Linotype" w:eastAsia="Calibri" w:hAnsi="Palatino Linotype" w:cs="Tahoma"/>
                    <w:b/>
                    <w:sz w:val="22"/>
                    <w:szCs w:val="22"/>
                    <w:lang w:eastAsia="en-US"/>
                  </w:rPr>
                  <w:t>Recurso de Revisión:</w:t>
                </w:r>
              </w:p>
            </w:tc>
            <w:tc>
              <w:tcPr>
                <w:tcW w:w="3648" w:type="dxa"/>
              </w:tcPr>
              <w:p w14:paraId="0DE47EE2" w14:textId="00634C41" w:rsidR="007374F6" w:rsidRPr="002B2042" w:rsidRDefault="007374F6" w:rsidP="007374F6">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lang w:eastAsia="en-US"/>
                  </w:rPr>
                  <w:t>17598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7374F6" w:rsidRDefault="007374F6" w:rsidP="007374F6">
                <w:pPr>
                  <w:tabs>
                    <w:tab w:val="right" w:pos="8838"/>
                  </w:tabs>
                  <w:ind w:left="-74" w:right="-105"/>
                  <w:rPr>
                    <w:rFonts w:ascii="Palatino Linotype" w:eastAsia="Calibri" w:hAnsi="Palatino Linotype" w:cs="Tahoma"/>
                    <w:bCs/>
                    <w:sz w:val="22"/>
                    <w:szCs w:val="22"/>
                    <w:lang w:eastAsia="en-US"/>
                  </w:rPr>
                </w:pPr>
              </w:p>
            </w:tc>
          </w:tr>
          <w:tr w:rsidR="007374F6" w14:paraId="3FC4FA7D" w14:textId="77777777" w:rsidTr="007374F6">
            <w:trPr>
              <w:trHeight w:val="144"/>
            </w:trPr>
            <w:tc>
              <w:tcPr>
                <w:tcW w:w="2444" w:type="dxa"/>
              </w:tcPr>
              <w:p w14:paraId="363D966B" w14:textId="77777777" w:rsidR="007374F6" w:rsidRDefault="007374F6" w:rsidP="000D485D">
                <w:pPr>
                  <w:tabs>
                    <w:tab w:val="right" w:pos="8838"/>
                  </w:tabs>
                  <w:ind w:left="-74" w:right="-105"/>
                  <w:rPr>
                    <w:rFonts w:ascii="Palatino Linotype" w:eastAsia="Calibri" w:hAnsi="Palatino Linotype" w:cs="Tahoma"/>
                    <w:b/>
                    <w:sz w:val="22"/>
                    <w:szCs w:val="22"/>
                    <w:lang w:eastAsia="en-US"/>
                  </w:rPr>
                </w:pPr>
                <w:bookmarkStart w:id="68" w:name="_Hlk10641523"/>
                <w:bookmarkEnd w:id="67"/>
                <w:r>
                  <w:rPr>
                    <w:rFonts w:ascii="Palatino Linotype" w:eastAsia="Calibri" w:hAnsi="Palatino Linotype" w:cs="Tahoma"/>
                    <w:b/>
                    <w:sz w:val="22"/>
                    <w:szCs w:val="22"/>
                    <w:lang w:eastAsia="en-US"/>
                  </w:rPr>
                  <w:t>Recurrente:</w:t>
                </w:r>
              </w:p>
            </w:tc>
            <w:tc>
              <w:tcPr>
                <w:tcW w:w="3648" w:type="dxa"/>
              </w:tcPr>
              <w:p w14:paraId="73C065CD" w14:textId="4CD61C8D" w:rsidR="007374F6" w:rsidRPr="000A7E5D" w:rsidRDefault="007374F6" w:rsidP="007374F6">
                <w:pPr>
                  <w:tabs>
                    <w:tab w:val="left" w:pos="3122"/>
                    <w:tab w:val="right" w:pos="8838"/>
                  </w:tabs>
                  <w:ind w:right="745"/>
                  <w:rPr>
                    <w:rFonts w:ascii="Palatino Linotype" w:eastAsia="Calibri" w:hAnsi="Palatino Linotype" w:cs="Tahoma"/>
                    <w:sz w:val="22"/>
                    <w:szCs w:val="22"/>
                    <w:lang w:eastAsia="en-US"/>
                  </w:rPr>
                </w:pPr>
              </w:p>
            </w:tc>
            <w:tc>
              <w:tcPr>
                <w:tcW w:w="3402" w:type="dxa"/>
              </w:tcPr>
              <w:p w14:paraId="370E6EFF" w14:textId="4050217D" w:rsidR="007374F6" w:rsidRDefault="007374F6" w:rsidP="007374F6">
                <w:pPr>
                  <w:tabs>
                    <w:tab w:val="left" w:pos="3122"/>
                    <w:tab w:val="right" w:pos="8838"/>
                  </w:tabs>
                  <w:ind w:right="-105"/>
                  <w:rPr>
                    <w:rFonts w:ascii="Palatino Linotype" w:eastAsia="Calibri" w:hAnsi="Palatino Linotype" w:cs="Tahoma"/>
                    <w:sz w:val="22"/>
                    <w:szCs w:val="22"/>
                    <w:lang w:eastAsia="en-US"/>
                  </w:rPr>
                </w:pPr>
              </w:p>
            </w:tc>
          </w:tr>
          <w:bookmarkEnd w:id="68"/>
          <w:tr w:rsidR="007374F6" w14:paraId="4D832A43" w14:textId="77777777" w:rsidTr="007374F6">
            <w:trPr>
              <w:trHeight w:val="283"/>
            </w:trPr>
            <w:tc>
              <w:tcPr>
                <w:tcW w:w="2444" w:type="dxa"/>
              </w:tcPr>
              <w:p w14:paraId="02CA5CB0" w14:textId="77777777" w:rsidR="007374F6" w:rsidRDefault="007374F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648" w:type="dxa"/>
              </w:tcPr>
              <w:p w14:paraId="28528629" w14:textId="4E012B39" w:rsidR="007374F6" w:rsidRPr="00396CF5" w:rsidRDefault="007374F6" w:rsidP="007374F6">
                <w:pPr>
                  <w:tabs>
                    <w:tab w:val="left" w:pos="2834"/>
                    <w:tab w:val="right" w:pos="8838"/>
                  </w:tabs>
                  <w:ind w:left="-3" w:right="-105"/>
                  <w:rPr>
                    <w:rFonts w:ascii="Palatino Linotype" w:eastAsia="Calibri" w:hAnsi="Palatino Linotype" w:cs="Tahoma"/>
                    <w:sz w:val="22"/>
                    <w:szCs w:val="22"/>
                    <w:lang w:eastAsia="en-US"/>
                  </w:rPr>
                </w:pPr>
                <w:r>
                  <w:rPr>
                    <w:rFonts w:ascii="Palatino Linotype" w:eastAsia="Calibri" w:hAnsi="Palatino Linotype" w:cs="Arial"/>
                    <w:sz w:val="22"/>
                  </w:rPr>
                  <w:t>Ayuntamiento de Zinacantepec</w:t>
                </w:r>
              </w:p>
            </w:tc>
            <w:tc>
              <w:tcPr>
                <w:tcW w:w="3402" w:type="dxa"/>
              </w:tcPr>
              <w:p w14:paraId="00F18B8C" w14:textId="77777777" w:rsidR="007374F6" w:rsidRDefault="007374F6" w:rsidP="007374F6">
                <w:pPr>
                  <w:tabs>
                    <w:tab w:val="left" w:pos="2834"/>
                    <w:tab w:val="right" w:pos="8838"/>
                  </w:tabs>
                  <w:ind w:left="-74" w:right="-105"/>
                  <w:rPr>
                    <w:rFonts w:ascii="Palatino Linotype" w:eastAsia="Calibri" w:hAnsi="Palatino Linotype" w:cs="Tahoma"/>
                    <w:sz w:val="22"/>
                    <w:szCs w:val="22"/>
                    <w:lang w:eastAsia="en-US"/>
                  </w:rPr>
                </w:pPr>
              </w:p>
            </w:tc>
          </w:tr>
          <w:tr w:rsidR="007374F6" w14:paraId="7BC74D7A" w14:textId="77777777" w:rsidTr="007374F6">
            <w:trPr>
              <w:trHeight w:val="283"/>
            </w:trPr>
            <w:tc>
              <w:tcPr>
                <w:tcW w:w="2444" w:type="dxa"/>
              </w:tcPr>
              <w:p w14:paraId="3BF93338" w14:textId="01E84F2D" w:rsidR="007374F6" w:rsidRDefault="007374F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48" w:type="dxa"/>
              </w:tcPr>
              <w:p w14:paraId="3589422E" w14:textId="64278750" w:rsidR="007374F6" w:rsidRPr="003037E1" w:rsidRDefault="007374F6" w:rsidP="007374F6">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7374F6" w:rsidRDefault="007374F6" w:rsidP="007374F6">
                <w:pPr>
                  <w:tabs>
                    <w:tab w:val="right" w:pos="8838"/>
                  </w:tabs>
                  <w:ind w:left="-74" w:right="-105"/>
                  <w:rPr>
                    <w:rFonts w:ascii="Palatino Linotype" w:eastAsia="Calibri" w:hAnsi="Palatino Linotype" w:cs="Tahoma"/>
                    <w:sz w:val="22"/>
                    <w:szCs w:val="22"/>
                    <w:lang w:eastAsia="en-US"/>
                  </w:rPr>
                </w:pPr>
              </w:p>
            </w:tc>
          </w:tr>
        </w:tbl>
        <w:p w14:paraId="27F446EB" w14:textId="77777777" w:rsidR="007374F6" w:rsidRDefault="007374F6">
          <w:pPr>
            <w:tabs>
              <w:tab w:val="right" w:pos="8838"/>
            </w:tabs>
            <w:ind w:left="-28"/>
            <w:jc w:val="both"/>
            <w:rPr>
              <w:rFonts w:ascii="Arial" w:eastAsia="Calibri" w:hAnsi="Arial" w:cs="Arial"/>
              <w:b/>
              <w:sz w:val="22"/>
              <w:szCs w:val="22"/>
              <w:lang w:eastAsia="en-US"/>
            </w:rPr>
          </w:pPr>
        </w:p>
      </w:tc>
    </w:tr>
  </w:tbl>
  <w:p w14:paraId="5F654A99" w14:textId="6CB7D4AE" w:rsidR="007374F6" w:rsidRDefault="00030617"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7374F6" w:rsidRDefault="007374F6"/>
  <w:p w14:paraId="69AC6122" w14:textId="77777777" w:rsidR="007374F6" w:rsidRDefault="007374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024B81"/>
    <w:multiLevelType w:val="hybridMultilevel"/>
    <w:tmpl w:val="9D0C8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C3A0DB9"/>
    <w:multiLevelType w:val="hybridMultilevel"/>
    <w:tmpl w:val="37EE05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3"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8"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1E3B3F"/>
    <w:multiLevelType w:val="hybridMultilevel"/>
    <w:tmpl w:val="B344E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
  </w:num>
  <w:num w:numId="7">
    <w:abstractNumId w:val="3"/>
  </w:num>
  <w:num w:numId="8">
    <w:abstractNumId w:val="24"/>
  </w:num>
  <w:num w:numId="9">
    <w:abstractNumId w:val="29"/>
  </w:num>
  <w:num w:numId="10">
    <w:abstractNumId w:val="23"/>
  </w:num>
  <w:num w:numId="11">
    <w:abstractNumId w:val="4"/>
  </w:num>
  <w:num w:numId="12">
    <w:abstractNumId w:val="11"/>
  </w:num>
  <w:num w:numId="13">
    <w:abstractNumId w:val="31"/>
  </w:num>
  <w:num w:numId="14">
    <w:abstractNumId w:val="2"/>
  </w:num>
  <w:num w:numId="15">
    <w:abstractNumId w:val="14"/>
  </w:num>
  <w:num w:numId="16">
    <w:abstractNumId w:val="12"/>
  </w:num>
  <w:num w:numId="17">
    <w:abstractNumId w:val="19"/>
  </w:num>
  <w:num w:numId="18">
    <w:abstractNumId w:val="18"/>
  </w:num>
  <w:num w:numId="19">
    <w:abstractNumId w:val="13"/>
  </w:num>
  <w:num w:numId="20">
    <w:abstractNumId w:val="7"/>
  </w:num>
  <w:num w:numId="21">
    <w:abstractNumId w:val="10"/>
  </w:num>
  <w:num w:numId="22">
    <w:abstractNumId w:val="30"/>
  </w:num>
  <w:num w:numId="23">
    <w:abstractNumId w:val="16"/>
  </w:num>
  <w:num w:numId="24">
    <w:abstractNumId w:val="21"/>
  </w:num>
  <w:num w:numId="25">
    <w:abstractNumId w:val="28"/>
  </w:num>
  <w:num w:numId="26">
    <w:abstractNumId w:val="26"/>
  </w:num>
  <w:num w:numId="27">
    <w:abstractNumId w:val="6"/>
  </w:num>
  <w:num w:numId="28">
    <w:abstractNumId w:val="17"/>
  </w:num>
  <w:num w:numId="29">
    <w:abstractNumId w:val="20"/>
  </w:num>
  <w:num w:numId="30">
    <w:abstractNumId w:val="22"/>
  </w:num>
  <w:num w:numId="31">
    <w:abstractNumId w:val="27"/>
  </w:num>
  <w:num w:numId="32">
    <w:abstractNumId w:val="32"/>
  </w:num>
  <w:num w:numId="33">
    <w:abstractNumId w:val="25"/>
  </w:num>
  <w:num w:numId="3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3855"/>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34F4"/>
    <w:rsid w:val="00024052"/>
    <w:rsid w:val="000241C5"/>
    <w:rsid w:val="00024D74"/>
    <w:rsid w:val="00025941"/>
    <w:rsid w:val="00025F1B"/>
    <w:rsid w:val="00025F5D"/>
    <w:rsid w:val="00027891"/>
    <w:rsid w:val="00030617"/>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68B"/>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6C7F"/>
    <w:rsid w:val="000677C5"/>
    <w:rsid w:val="0007134D"/>
    <w:rsid w:val="00071A4A"/>
    <w:rsid w:val="00071DD1"/>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766"/>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1672"/>
    <w:rsid w:val="001130E0"/>
    <w:rsid w:val="001133D5"/>
    <w:rsid w:val="001139FD"/>
    <w:rsid w:val="00114068"/>
    <w:rsid w:val="00114BD2"/>
    <w:rsid w:val="001150E9"/>
    <w:rsid w:val="00116032"/>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492C"/>
    <w:rsid w:val="00165221"/>
    <w:rsid w:val="00165253"/>
    <w:rsid w:val="00165891"/>
    <w:rsid w:val="00166286"/>
    <w:rsid w:val="00166D63"/>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071E"/>
    <w:rsid w:val="00241116"/>
    <w:rsid w:val="002417D7"/>
    <w:rsid w:val="00242711"/>
    <w:rsid w:val="00242C30"/>
    <w:rsid w:val="002432D8"/>
    <w:rsid w:val="002433A4"/>
    <w:rsid w:val="002435DC"/>
    <w:rsid w:val="0024366B"/>
    <w:rsid w:val="00243EAA"/>
    <w:rsid w:val="00246501"/>
    <w:rsid w:val="002475C7"/>
    <w:rsid w:val="00247854"/>
    <w:rsid w:val="00247B17"/>
    <w:rsid w:val="00250389"/>
    <w:rsid w:val="00251439"/>
    <w:rsid w:val="00251FF7"/>
    <w:rsid w:val="00252669"/>
    <w:rsid w:val="0025369F"/>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771AE"/>
    <w:rsid w:val="00281A35"/>
    <w:rsid w:val="00281A6B"/>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84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4AF2"/>
    <w:rsid w:val="002D563D"/>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88E"/>
    <w:rsid w:val="00342BF2"/>
    <w:rsid w:val="00343417"/>
    <w:rsid w:val="00345880"/>
    <w:rsid w:val="00346926"/>
    <w:rsid w:val="003472DE"/>
    <w:rsid w:val="00350142"/>
    <w:rsid w:val="00350D3D"/>
    <w:rsid w:val="003514F4"/>
    <w:rsid w:val="00352BAE"/>
    <w:rsid w:val="003535F4"/>
    <w:rsid w:val="00353724"/>
    <w:rsid w:val="00353B6D"/>
    <w:rsid w:val="00354920"/>
    <w:rsid w:val="003552B5"/>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6D30"/>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534"/>
    <w:rsid w:val="00406B9B"/>
    <w:rsid w:val="00407715"/>
    <w:rsid w:val="00407A93"/>
    <w:rsid w:val="004100AA"/>
    <w:rsid w:val="00410CD2"/>
    <w:rsid w:val="00412203"/>
    <w:rsid w:val="004134C9"/>
    <w:rsid w:val="00413D17"/>
    <w:rsid w:val="00414814"/>
    <w:rsid w:val="00414F9B"/>
    <w:rsid w:val="004153E3"/>
    <w:rsid w:val="00415D63"/>
    <w:rsid w:val="00416D4C"/>
    <w:rsid w:val="00416D55"/>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3F2A"/>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B6B"/>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381"/>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8B8"/>
    <w:rsid w:val="005D6A2B"/>
    <w:rsid w:val="005D6AD9"/>
    <w:rsid w:val="005D72F9"/>
    <w:rsid w:val="005D7A98"/>
    <w:rsid w:val="005E1EE5"/>
    <w:rsid w:val="005E37E9"/>
    <w:rsid w:val="005E4B8C"/>
    <w:rsid w:val="005E50A8"/>
    <w:rsid w:val="005E512C"/>
    <w:rsid w:val="005E750A"/>
    <w:rsid w:val="005F001D"/>
    <w:rsid w:val="005F03DB"/>
    <w:rsid w:val="005F178D"/>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58CB"/>
    <w:rsid w:val="006969BA"/>
    <w:rsid w:val="00696C0F"/>
    <w:rsid w:val="00697FF1"/>
    <w:rsid w:val="006A026A"/>
    <w:rsid w:val="006A0425"/>
    <w:rsid w:val="006A1D62"/>
    <w:rsid w:val="006A2CD8"/>
    <w:rsid w:val="006A4150"/>
    <w:rsid w:val="006A4B87"/>
    <w:rsid w:val="006A4EAE"/>
    <w:rsid w:val="006A56C3"/>
    <w:rsid w:val="006A59BC"/>
    <w:rsid w:val="006A5A3A"/>
    <w:rsid w:val="006A6B88"/>
    <w:rsid w:val="006A6D7F"/>
    <w:rsid w:val="006A7A69"/>
    <w:rsid w:val="006A7B01"/>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1AF"/>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518"/>
    <w:rsid w:val="006F1F3A"/>
    <w:rsid w:val="006F20CD"/>
    <w:rsid w:val="006F260B"/>
    <w:rsid w:val="006F3C5E"/>
    <w:rsid w:val="006F4E33"/>
    <w:rsid w:val="006F70DE"/>
    <w:rsid w:val="006F785E"/>
    <w:rsid w:val="006F7EB8"/>
    <w:rsid w:val="007003A9"/>
    <w:rsid w:val="0070094A"/>
    <w:rsid w:val="00700AA4"/>
    <w:rsid w:val="00702DD7"/>
    <w:rsid w:val="007047D3"/>
    <w:rsid w:val="00705663"/>
    <w:rsid w:val="00705C40"/>
    <w:rsid w:val="007102EC"/>
    <w:rsid w:val="007106A0"/>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374F6"/>
    <w:rsid w:val="00740927"/>
    <w:rsid w:val="00740C8C"/>
    <w:rsid w:val="00740E16"/>
    <w:rsid w:val="00741048"/>
    <w:rsid w:val="00741683"/>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00B"/>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09F"/>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C95"/>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6A59"/>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551A"/>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1C0E"/>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1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47A"/>
    <w:rsid w:val="008F35BB"/>
    <w:rsid w:val="008F4298"/>
    <w:rsid w:val="008F46C2"/>
    <w:rsid w:val="008F5209"/>
    <w:rsid w:val="008F6F29"/>
    <w:rsid w:val="008F7068"/>
    <w:rsid w:val="009021B9"/>
    <w:rsid w:val="00902912"/>
    <w:rsid w:val="00902A87"/>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441D"/>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341"/>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2FC4"/>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303"/>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0D54"/>
    <w:rsid w:val="00D51515"/>
    <w:rsid w:val="00D5267D"/>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BE9"/>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AD6"/>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998"/>
    <w:rsid w:val="00E84A66"/>
    <w:rsid w:val="00E84AD7"/>
    <w:rsid w:val="00E85CC0"/>
    <w:rsid w:val="00E861B4"/>
    <w:rsid w:val="00E905B8"/>
    <w:rsid w:val="00E90627"/>
    <w:rsid w:val="00E9193D"/>
    <w:rsid w:val="00E92444"/>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2F3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55DE"/>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0703"/>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5919"/>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4CF"/>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0BF"/>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DE0"/>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F45919"/>
  </w:style>
  <w:style w:type="character" w:styleId="Referenciasutil">
    <w:name w:val="Subtle Reference"/>
    <w:basedOn w:val="Fuentedeprrafopredeter"/>
    <w:uiPriority w:val="31"/>
    <w:qFormat/>
    <w:rsid w:val="007A509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304372">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89200463">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696197186">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324936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4741024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46107387">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issemym.gob.mx/sites/www.issemym.gob.mx/files/MANUAL%20DE%20PROCEDIMIENTOS%20PARA%20LA%20AFILIACION%20Y%20CREDENCIALIZACION.PDF" TargetMode="External"/><Relationship Id="rId2" Type="http://schemas.openxmlformats.org/officeDocument/2006/relationships/hyperlink" Target="https://www.sat.gob.mx/aplicacion/28889/obten-tu-cedula-de-identificacion-fiscal" TargetMode="External"/><Relationship Id="rId1" Type="http://schemas.openxmlformats.org/officeDocument/2006/relationships/hyperlink" Target="https://www.sat.gob.mx/aplicacion/28889/obten-tu-cedula-de-identificacion-fisc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5C5D2-1DC3-431B-8393-8FED779A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84</Pages>
  <Words>17610</Words>
  <Characters>96859</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2023-10-11T15:55:00Z</dcterms:created>
  <dcterms:modified xsi:type="dcterms:W3CDTF">2023-11-15T19:19:00Z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