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FC1EC"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tres de octubre de dos mil veintitrés. </w:t>
      </w:r>
    </w:p>
    <w:p w14:paraId="77AF48BB"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00779/INFOEM/IP/RR/2023</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 xml:space="preserve">una persona que no proporcionó nombre o seudónimo, </w:t>
      </w:r>
      <w:r>
        <w:rPr>
          <w:rFonts w:ascii="Palatino Linotype" w:eastAsia="Palatino Linotype" w:hAnsi="Palatino Linotype" w:cs="Palatino Linotype"/>
        </w:rPr>
        <w:t xml:space="preserve">quien en lo sucesivo será identificada como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contra de la respuesta a su solicitud por parte de la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1A863183" w14:textId="77777777" w:rsidR="009A1083" w:rsidRDefault="00C6131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9262092"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nueve de enero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00010/METEPEC/IP/2023, </w:t>
      </w:r>
      <w:r>
        <w:rPr>
          <w:rFonts w:ascii="Palatino Linotype" w:eastAsia="Palatino Linotype" w:hAnsi="Palatino Linotype" w:cs="Palatino Linotype"/>
        </w:rPr>
        <w:t xml:space="preserve">mediante la cual requirió la información siguiente: </w:t>
      </w:r>
    </w:p>
    <w:p w14:paraId="36BC3A6F" w14:textId="77777777" w:rsidR="009A1083" w:rsidRDefault="00C61316">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Pr>
          <w:rFonts w:ascii="Palatino Linotype" w:eastAsia="Palatino Linotype" w:hAnsi="Palatino Linotype" w:cs="Palatino Linotype"/>
          <w:i/>
          <w:sz w:val="22"/>
          <w:szCs w:val="22"/>
        </w:rPr>
        <w:t xml:space="preserve">“Solicito los oficios del mes de </w:t>
      </w:r>
      <w:proofErr w:type="gramStart"/>
      <w:r>
        <w:rPr>
          <w:rFonts w:ascii="Palatino Linotype" w:eastAsia="Palatino Linotype" w:hAnsi="Palatino Linotype" w:cs="Palatino Linotype"/>
          <w:i/>
          <w:sz w:val="22"/>
          <w:szCs w:val="22"/>
        </w:rPr>
        <w:t>Diciembre</w:t>
      </w:r>
      <w:proofErr w:type="gramEnd"/>
      <w:r>
        <w:rPr>
          <w:rFonts w:ascii="Palatino Linotype" w:eastAsia="Palatino Linotype" w:hAnsi="Palatino Linotype" w:cs="Palatino Linotype"/>
          <w:i/>
          <w:sz w:val="22"/>
          <w:szCs w:val="22"/>
        </w:rPr>
        <w:t xml:space="preserve"> correspondientes a la Dirección de Administración” (sic) </w:t>
      </w:r>
    </w:p>
    <w:p w14:paraId="6E1A9368"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0C95E9E1" w14:textId="77777777" w:rsidR="009A1083" w:rsidRDefault="00C61316">
      <w:pPr>
        <w:spacing w:before="240" w:after="240" w:line="360" w:lineRule="auto"/>
        <w:jc w:val="both"/>
        <w:rPr>
          <w:rFonts w:ascii="Palatino Linotype" w:eastAsia="Palatino Linotype" w:hAnsi="Palatino Linotype" w:cs="Palatino Linotype"/>
          <w:b/>
        </w:rPr>
      </w:pPr>
      <w:bookmarkStart w:id="1" w:name="_heading=h.3dy6vkm" w:colFirst="0" w:colLast="0"/>
      <w:bookmarkEnd w:id="1"/>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Pr>
          <w:rFonts w:ascii="Palatino Linotype" w:eastAsia="Palatino Linotype" w:hAnsi="Palatino Linotype" w:cs="Palatino Linotype"/>
          <w:b/>
        </w:rPr>
        <w:t>SAIMEX.</w:t>
      </w:r>
    </w:p>
    <w:p w14:paraId="6E3A2232"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Solicitud de Aclaración.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nueve de enero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requirió a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aclarara la solicitud de información pública planteada, en los siguientes términos:</w:t>
      </w:r>
    </w:p>
    <w:p w14:paraId="473EC09D" w14:textId="77777777" w:rsidR="009A1083" w:rsidRDefault="00C6131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ART. 159 DE LA LEY DE TRANSPARENCIA LOCAL, SE SOLICITA ATENTAMENTE </w:t>
      </w:r>
      <w:r>
        <w:rPr>
          <w:rFonts w:ascii="Palatino Linotype" w:eastAsia="Palatino Linotype" w:hAnsi="Palatino Linotype" w:cs="Palatino Linotype"/>
          <w:b/>
          <w:i/>
          <w:sz w:val="22"/>
          <w:szCs w:val="22"/>
        </w:rPr>
        <w:t>ACLARAR EL PERIODO AL QUE REFIERE SU SOLICITUD</w:t>
      </w:r>
      <w:r>
        <w:rPr>
          <w:rFonts w:ascii="Palatino Linotype" w:eastAsia="Palatino Linotype" w:hAnsi="Palatino Linotype" w:cs="Palatino Linotype"/>
          <w:i/>
          <w:sz w:val="22"/>
          <w:szCs w:val="22"/>
        </w:rPr>
        <w:t>.</w:t>
      </w:r>
    </w:p>
    <w:p w14:paraId="4D7028F7" w14:textId="77777777" w:rsidR="009A1083" w:rsidRDefault="00C61316">
      <w:pPr>
        <w:spacing w:before="240" w:after="24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62E07514"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Aclaración.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nueve de enero de dos mil veintitrés</w:t>
      </w:r>
      <w:r>
        <w:rPr>
          <w:rFonts w:ascii="Palatino Linotype" w:eastAsia="Palatino Linotype" w:hAnsi="Palatino Linotype" w:cs="Palatino Linotype"/>
        </w:rPr>
        <w:t>, la persona solicitante desahogó el requerimiento de información en los siguientes términos:</w:t>
      </w:r>
    </w:p>
    <w:p w14:paraId="57F868F0" w14:textId="77777777" w:rsidR="009A1083" w:rsidRDefault="00C61316">
      <w:pPr>
        <w:spacing w:before="240" w:after="240"/>
        <w:ind w:left="851" w:right="900"/>
        <w:jc w:val="both"/>
        <w:rPr>
          <w:rFonts w:ascii="Palatino Linotype" w:eastAsia="Palatino Linotype" w:hAnsi="Palatino Linotype" w:cs="Palatino Linotype"/>
          <w:i/>
        </w:rPr>
      </w:pPr>
      <w:r>
        <w:rPr>
          <w:rFonts w:ascii="Palatino Linotype" w:eastAsia="Palatino Linotype" w:hAnsi="Palatino Linotype" w:cs="Palatino Linotype"/>
          <w:b/>
        </w:rPr>
        <w:t>“</w:t>
      </w:r>
      <w:r>
        <w:rPr>
          <w:rFonts w:ascii="Palatino Linotype" w:eastAsia="Palatino Linotype" w:hAnsi="Palatino Linotype" w:cs="Palatino Linotype"/>
          <w:i/>
          <w:sz w:val="22"/>
          <w:szCs w:val="22"/>
        </w:rPr>
        <w:t>2022.</w:t>
      </w:r>
      <w:r>
        <w:rPr>
          <w:rFonts w:ascii="Palatino Linotype" w:eastAsia="Palatino Linotype" w:hAnsi="Palatino Linotype" w:cs="Palatino Linotype"/>
          <w:b/>
        </w:rPr>
        <w:t xml:space="preserve">” </w:t>
      </w:r>
      <w:r>
        <w:rPr>
          <w:rFonts w:ascii="Palatino Linotype" w:eastAsia="Palatino Linotype" w:hAnsi="Palatino Linotype" w:cs="Palatino Linotype"/>
          <w:i/>
        </w:rPr>
        <w:t>(sic)</w:t>
      </w:r>
    </w:p>
    <w:p w14:paraId="6FDEB5DF"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4. Prórroga.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treinta de enero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solicitó prórroga mediante </w:t>
      </w:r>
      <w:r>
        <w:rPr>
          <w:rFonts w:ascii="Palatino Linotype" w:eastAsia="Palatino Linotype" w:hAnsi="Palatino Linotype" w:cs="Palatino Linotype"/>
          <w:b/>
        </w:rPr>
        <w:t xml:space="preserve">SAIMEX, </w:t>
      </w:r>
      <w:r>
        <w:rPr>
          <w:rFonts w:ascii="Palatino Linotype" w:eastAsia="Palatino Linotype" w:hAnsi="Palatino Linotype" w:cs="Palatino Linotype"/>
        </w:rPr>
        <w:t>argumentando lo siguiente:</w:t>
      </w:r>
    </w:p>
    <w:p w14:paraId="4DF4216D" w14:textId="77777777" w:rsidR="009A1083" w:rsidRDefault="00C61316">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9B31E5A" w14:textId="77777777" w:rsidR="009A1083" w:rsidRDefault="00C61316">
      <w:pPr>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2023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1ª. Sesión Extraordinaria, de fecha doce de enero de 2023. Sin más por el momento quedo a sus órdenes. ATENTAMENTE GERARDO ARTURO OZUNA MARTÍNEZ DIRECTOR DE TRANSPARENCIA Y GOBIERNO ABIERTO...”</w:t>
      </w:r>
    </w:p>
    <w:p w14:paraId="57A02EAC" w14:textId="77777777" w:rsidR="009A1083" w:rsidRDefault="00C613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Como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aprobó la ampliación del plazo.</w:t>
      </w:r>
    </w:p>
    <w:p w14:paraId="372B5D5E"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5.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nueve de enero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5A9B3AC" w14:textId="77777777" w:rsidR="009A1083" w:rsidRDefault="00C61316">
      <w:pPr>
        <w:spacing w:before="240" w:after="24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(sic)</w:t>
      </w:r>
    </w:p>
    <w:p w14:paraId="2A5E7CC4"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lo siguiente:</w:t>
      </w:r>
    </w:p>
    <w:p w14:paraId="05E53649"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Oficio número DA/00763/2023, de fecha siete de febrero de dos mil veintitrés, signado por el Director de Administración, mediante el cual, en atención a las </w:t>
      </w:r>
      <w:r>
        <w:rPr>
          <w:rFonts w:ascii="Palatino Linotype" w:eastAsia="Palatino Linotype" w:hAnsi="Palatino Linotype" w:cs="Palatino Linotype"/>
        </w:rPr>
        <w:lastRenderedPageBreak/>
        <w:t>solicitudes de información 00010/METEPEC/IP/2023 y 00020/METEPEC/IP/2023, manifestó que con la finalidad de atender las solicitudes se procedió a realizar una búsqueda exhaustiva y razonable en los archivos de la Dirección a su cargo, e informa que la entrega de la información solicitada vía SAIMEX no es viable, derivado de que constituye un cúmulo de documentos de un volumen considerable, cuyo archivo electrónico tiene un peso cercano a los 2.0GB (dos mil MB), lo que sobrepasa el peso máximo que soporta el SAIMEX, imposibilitando al entrega por dicha vía, además de que requiere de un procesamiento y revisión para verificar si contiene información que deba ser clasificada como confidencial y/o reservada, según sea el caso, cuya entrega y procesamiento sobrepasa las capacidades técnicas, administrativas y humanas de la unidad administrativa a su cargo bajo los siguientes argumentos:</w:t>
      </w:r>
    </w:p>
    <w:p w14:paraId="45604225"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drawing>
          <wp:inline distT="0" distB="0" distL="0" distR="0" wp14:anchorId="1584D3D0" wp14:editId="23BE897D">
            <wp:extent cx="5419725" cy="3133725"/>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19725" cy="3133725"/>
                    </a:xfrm>
                    <a:prstGeom prst="rect">
                      <a:avLst/>
                    </a:prstGeom>
                    <a:ln/>
                  </pic:spPr>
                </pic:pic>
              </a:graphicData>
            </a:graphic>
          </wp:inline>
        </w:drawing>
      </w:r>
    </w:p>
    <w:p w14:paraId="18D6650D" w14:textId="77777777" w:rsidR="009A1083" w:rsidRDefault="009A1083">
      <w:pPr>
        <w:spacing w:before="240" w:after="240" w:line="360" w:lineRule="auto"/>
        <w:ind w:right="49"/>
        <w:jc w:val="center"/>
        <w:rPr>
          <w:rFonts w:ascii="Palatino Linotype" w:eastAsia="Palatino Linotype" w:hAnsi="Palatino Linotype" w:cs="Palatino Linotype"/>
        </w:rPr>
      </w:pPr>
    </w:p>
    <w:p w14:paraId="73EF74DE"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lastRenderedPageBreak/>
        <w:drawing>
          <wp:inline distT="0" distB="0" distL="0" distR="0" wp14:anchorId="5FAD395B" wp14:editId="137E33B3">
            <wp:extent cx="5419725" cy="657225"/>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19725" cy="657225"/>
                    </a:xfrm>
                    <a:prstGeom prst="rect">
                      <a:avLst/>
                    </a:prstGeom>
                    <a:ln/>
                  </pic:spPr>
                </pic:pic>
              </a:graphicData>
            </a:graphic>
          </wp:inline>
        </w:drawing>
      </w:r>
    </w:p>
    <w:p w14:paraId="44635DFC" w14:textId="77777777" w:rsidR="009A1083" w:rsidRDefault="00C61316">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rPr>
        <w:t>[Se tiene por reproducido]</w:t>
      </w:r>
    </w:p>
    <w:p w14:paraId="331977C5"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drawing>
          <wp:inline distT="0" distB="0" distL="0" distR="0" wp14:anchorId="6B92131F" wp14:editId="5DF475D6">
            <wp:extent cx="5448300" cy="3400425"/>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48300" cy="3400425"/>
                    </a:xfrm>
                    <a:prstGeom prst="rect">
                      <a:avLst/>
                    </a:prstGeom>
                    <a:ln/>
                  </pic:spPr>
                </pic:pic>
              </a:graphicData>
            </a:graphic>
          </wp:inline>
        </w:drawing>
      </w:r>
      <w:r>
        <w:rPr>
          <w:noProof/>
        </w:rPr>
        <w:drawing>
          <wp:inline distT="0" distB="0" distL="0" distR="0" wp14:anchorId="06596A0A" wp14:editId="2F45A633">
            <wp:extent cx="5495925" cy="1590675"/>
            <wp:effectExtent l="0" t="0" r="0" b="0"/>
            <wp:docPr id="5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b="55702"/>
                    <a:stretch>
                      <a:fillRect/>
                    </a:stretch>
                  </pic:blipFill>
                  <pic:spPr>
                    <a:xfrm>
                      <a:off x="0" y="0"/>
                      <a:ext cx="5495925" cy="1590675"/>
                    </a:xfrm>
                    <a:prstGeom prst="rect">
                      <a:avLst/>
                    </a:prstGeom>
                    <a:ln/>
                  </pic:spPr>
                </pic:pic>
              </a:graphicData>
            </a:graphic>
          </wp:inline>
        </w:drawing>
      </w:r>
    </w:p>
    <w:p w14:paraId="731497A1"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lastRenderedPageBreak/>
        <w:drawing>
          <wp:inline distT="0" distB="0" distL="0" distR="0" wp14:anchorId="1E05BE95" wp14:editId="5D6D1B9D">
            <wp:extent cx="5495925" cy="1895475"/>
            <wp:effectExtent l="0" t="0" r="0" b="0"/>
            <wp:docPr id="5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45625" b="1590"/>
                    <a:stretch>
                      <a:fillRect/>
                    </a:stretch>
                  </pic:blipFill>
                  <pic:spPr>
                    <a:xfrm>
                      <a:off x="0" y="0"/>
                      <a:ext cx="5495925" cy="1895475"/>
                    </a:xfrm>
                    <a:prstGeom prst="rect">
                      <a:avLst/>
                    </a:prstGeom>
                    <a:ln/>
                  </pic:spPr>
                </pic:pic>
              </a:graphicData>
            </a:graphic>
          </wp:inline>
        </w:drawing>
      </w:r>
      <w:r>
        <w:rPr>
          <w:noProof/>
        </w:rPr>
        <w:drawing>
          <wp:inline distT="0" distB="0" distL="0" distR="0" wp14:anchorId="3DC94CCC" wp14:editId="6E940420">
            <wp:extent cx="5438775" cy="5162550"/>
            <wp:effectExtent l="0" t="0" r="0" b="0"/>
            <wp:docPr id="6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b="32419"/>
                    <a:stretch>
                      <a:fillRect/>
                    </a:stretch>
                  </pic:blipFill>
                  <pic:spPr>
                    <a:xfrm>
                      <a:off x="0" y="0"/>
                      <a:ext cx="5438775" cy="5162550"/>
                    </a:xfrm>
                    <a:prstGeom prst="rect">
                      <a:avLst/>
                    </a:prstGeom>
                    <a:ln/>
                  </pic:spPr>
                </pic:pic>
              </a:graphicData>
            </a:graphic>
          </wp:inline>
        </w:drawing>
      </w:r>
    </w:p>
    <w:p w14:paraId="7809FE3C"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lastRenderedPageBreak/>
        <w:drawing>
          <wp:inline distT="0" distB="0" distL="0" distR="0" wp14:anchorId="3F6F2D8C" wp14:editId="27331952">
            <wp:extent cx="5438775" cy="2466975"/>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t="67706"/>
                    <a:stretch>
                      <a:fillRect/>
                    </a:stretch>
                  </pic:blipFill>
                  <pic:spPr>
                    <a:xfrm>
                      <a:off x="0" y="0"/>
                      <a:ext cx="5438775" cy="2466975"/>
                    </a:xfrm>
                    <a:prstGeom prst="rect">
                      <a:avLst/>
                    </a:prstGeom>
                    <a:ln/>
                  </pic:spPr>
                </pic:pic>
              </a:graphicData>
            </a:graphic>
          </wp:inline>
        </w:drawing>
      </w:r>
      <w:r>
        <w:rPr>
          <w:noProof/>
        </w:rPr>
        <w:drawing>
          <wp:inline distT="0" distB="0" distL="0" distR="0" wp14:anchorId="6E5F20E0" wp14:editId="527D1328">
            <wp:extent cx="5429250" cy="93345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429250" cy="933450"/>
                    </a:xfrm>
                    <a:prstGeom prst="rect">
                      <a:avLst/>
                    </a:prstGeom>
                    <a:ln/>
                  </pic:spPr>
                </pic:pic>
              </a:graphicData>
            </a:graphic>
          </wp:inline>
        </w:drawing>
      </w:r>
    </w:p>
    <w:p w14:paraId="326B42A7" w14:textId="77777777" w:rsidR="009A1083" w:rsidRDefault="00C61316">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6.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Pr>
          <w:rFonts w:ascii="Palatino Linotype" w:eastAsia="Palatino Linotype" w:hAnsi="Palatino Linotype" w:cs="Palatino Linotype"/>
          <w:b/>
        </w:rPr>
        <w:t>trece de febrero de dos mil veintitrés,</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57E8C813" w14:textId="77777777" w:rsidR="009A1083" w:rsidRDefault="00C61316">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18505EB7" w14:textId="77777777" w:rsidR="009A1083" w:rsidRDefault="00C61316">
      <w:pPr>
        <w:tabs>
          <w:tab w:val="left" w:pos="2745"/>
        </w:tabs>
        <w:spacing w:before="240" w:after="240"/>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ENTREGA INFORMACIÓN” (sic)</w:t>
      </w:r>
    </w:p>
    <w:p w14:paraId="5E4E55D7" w14:textId="77777777" w:rsidR="009A1083" w:rsidRDefault="00C61316">
      <w:p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 xml:space="preserve">: </w:t>
      </w:r>
    </w:p>
    <w:p w14:paraId="7E3FFE41" w14:textId="77777777" w:rsidR="009A1083" w:rsidRDefault="00C61316">
      <w:pPr>
        <w:spacing w:before="120" w:after="120"/>
        <w:ind w:left="851" w:right="902"/>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“NO ENTREGA INFORMACIÓN</w:t>
      </w:r>
      <w:r>
        <w:rPr>
          <w:rFonts w:ascii="Palatino Linotype" w:eastAsia="Palatino Linotype" w:hAnsi="Palatino Linotype" w:cs="Palatino Linotype"/>
          <w:b/>
          <w:i/>
          <w:sz w:val="22"/>
          <w:szCs w:val="22"/>
        </w:rPr>
        <w:t>”</w:t>
      </w:r>
    </w:p>
    <w:p w14:paraId="780A0C0E" w14:textId="77777777" w:rsidR="009A1083" w:rsidRDefault="00C6131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7.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47D6C73"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dieciséis de febrero de dos mil veintitrés,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4AB638E4" w14:textId="77777777" w:rsidR="009A1083" w:rsidRDefault="00C61316">
      <w:pPr>
        <w:spacing w:before="240"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9.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rindió su informe justificado, del mismo modo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como se observa a continuación:</w:t>
      </w:r>
    </w:p>
    <w:p w14:paraId="4BB156BF" w14:textId="77777777" w:rsidR="009A1083" w:rsidRDefault="00C61316">
      <w:pPr>
        <w:spacing w:before="240" w:after="240" w:line="360" w:lineRule="auto"/>
        <w:ind w:right="49"/>
        <w:jc w:val="both"/>
        <w:rPr>
          <w:rFonts w:ascii="Palatino Linotype" w:eastAsia="Palatino Linotype" w:hAnsi="Palatino Linotype" w:cs="Palatino Linotype"/>
        </w:rPr>
      </w:pPr>
      <w:r>
        <w:rPr>
          <w:noProof/>
        </w:rPr>
        <w:drawing>
          <wp:inline distT="0" distB="0" distL="0" distR="0" wp14:anchorId="2354C105" wp14:editId="057DAE58">
            <wp:extent cx="5612130" cy="1624965"/>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612130" cy="1624965"/>
                    </a:xfrm>
                    <a:prstGeom prst="rect">
                      <a:avLst/>
                    </a:prstGeom>
                    <a:ln/>
                  </pic:spPr>
                </pic:pic>
              </a:graphicData>
            </a:graphic>
          </wp:inline>
        </w:drawing>
      </w:r>
    </w:p>
    <w:p w14:paraId="6D59C802"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veintiocho de febrero de dos mil veintitrés</w:t>
      </w:r>
      <w:r>
        <w:rPr>
          <w:rFonts w:ascii="Palatino Linotype" w:eastAsia="Palatino Linotype" w:hAnsi="Palatino Linotype" w:cs="Palatino Linotype"/>
        </w:rPr>
        <w:t xml:space="preserve"> la Comisionada Ponente </w:t>
      </w:r>
      <w:r>
        <w:rPr>
          <w:rFonts w:ascii="Palatino Linotype" w:eastAsia="Palatino Linotype" w:hAnsi="Palatino Linotype" w:cs="Palatino Linotype"/>
        </w:rPr>
        <w:lastRenderedPageBreak/>
        <w:t>determinó el cierre de instrucción en términos de la fracción VI del artículo 185 de la Ley de Transparencia y Acceso a la Información Pública del Estado de México y Municipios</w:t>
      </w:r>
    </w:p>
    <w:p w14:paraId="285AE0C6"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11.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mayo de dos mil veintitrés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416DE312"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FAD0CE5"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CD4817D"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1F785927"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700DE3E" w14:textId="77777777" w:rsidR="009A1083" w:rsidRDefault="00C61316">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75AEFC1" w14:textId="77777777" w:rsidR="009A1083" w:rsidRDefault="00C6131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6AC82EC" w14:textId="77777777" w:rsidR="009A1083" w:rsidRDefault="00C6131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03278057" w14:textId="77777777" w:rsidR="009A1083" w:rsidRDefault="00C61316">
      <w:pPr>
        <w:numPr>
          <w:ilvl w:val="0"/>
          <w:numId w:val="1"/>
        </w:num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1D732C99" w14:textId="77777777" w:rsidR="009A1083" w:rsidRDefault="00C61316">
      <w:pPr>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682BCC1"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relación con la actuación del funcionario, como ha acontecido en el caso que nos ocupa.</w:t>
      </w:r>
    </w:p>
    <w:p w14:paraId="40901A6B"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735260B2"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548719"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7CF9C6D" w14:textId="77777777" w:rsidR="009A1083" w:rsidRDefault="00C61316">
      <w:pPr>
        <w:spacing w:before="240"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xml:space="preserve"> consultable en el Seminario Judicial de la Federación y su gaceta, con el registro digital 2002351.</w:t>
      </w:r>
    </w:p>
    <w:p w14:paraId="52B0F357" w14:textId="77777777" w:rsidR="009A1083" w:rsidRDefault="00C61316">
      <w:pPr>
        <w:spacing w:before="240"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w:t>
      </w:r>
      <w:r>
        <w:rPr>
          <w:rFonts w:ascii="Palatino Linotype" w:eastAsia="Palatino Linotype" w:hAnsi="Palatino Linotype" w:cs="Palatino Linotype"/>
          <w:sz w:val="22"/>
          <w:szCs w:val="22"/>
        </w:rPr>
        <w:t>, visible en el Seminario Judicial de la Federación y su gaceta, con el registro digital 2002350.</w:t>
      </w:r>
    </w:p>
    <w:p w14:paraId="6974201A"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7007AEF" w14:textId="77777777" w:rsidR="009A1083" w:rsidRDefault="00C61316">
      <w:pPr>
        <w:widowControl w:val="0"/>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12. Requerimiento de información adicional. </w:t>
      </w:r>
      <w:r>
        <w:rPr>
          <w:rFonts w:ascii="Palatino Linotype" w:eastAsia="Palatino Linotype" w:hAnsi="Palatino Linotype" w:cs="Palatino Linotype"/>
        </w:rPr>
        <w:t xml:space="preserve">El </w:t>
      </w:r>
      <w:r>
        <w:rPr>
          <w:rFonts w:ascii="Palatino Linotype" w:eastAsia="Palatino Linotype" w:hAnsi="Palatino Linotype" w:cs="Palatino Linotype"/>
          <w:b/>
        </w:rPr>
        <w:t>once de abril de dos mil veintitrés</w:t>
      </w:r>
      <w:r>
        <w:rPr>
          <w:rFonts w:ascii="Palatino Linotype" w:eastAsia="Palatino Linotype" w:hAnsi="Palatino Linotype" w:cs="Palatino Linotype"/>
        </w:rPr>
        <w:t xml:space="preserve">, se envió por correo electrónico un requerimiento de información adicional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cual consistió en lo siguiente: </w:t>
      </w:r>
    </w:p>
    <w:p w14:paraId="5878F578" w14:textId="77777777" w:rsidR="009A1083" w:rsidRDefault="00C61316">
      <w:pPr>
        <w:ind w:left="567" w:right="618"/>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Asunto</w:t>
      </w:r>
      <w:r>
        <w:rPr>
          <w:rFonts w:ascii="Palatino Linotype" w:eastAsia="Palatino Linotype" w:hAnsi="Palatino Linotype" w:cs="Palatino Linotype"/>
          <w:i/>
          <w:sz w:val="22"/>
          <w:szCs w:val="22"/>
        </w:rPr>
        <w:t>: Requerimiento de información</w:t>
      </w:r>
    </w:p>
    <w:p w14:paraId="336DE3D9" w14:textId="77777777" w:rsidR="009A1083" w:rsidRDefault="00C61316">
      <w:pPr>
        <w:tabs>
          <w:tab w:val="left" w:pos="8220"/>
        </w:tabs>
        <w:ind w:left="567" w:right="618"/>
        <w:jc w:val="right"/>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México, a 11 de abril de 2023</w:t>
      </w:r>
    </w:p>
    <w:p w14:paraId="19CABAD9" w14:textId="77777777" w:rsidR="009A1083" w:rsidRDefault="009A1083">
      <w:pPr>
        <w:tabs>
          <w:tab w:val="left" w:pos="8220"/>
        </w:tabs>
        <w:ind w:left="567" w:right="618"/>
        <w:jc w:val="both"/>
        <w:rPr>
          <w:rFonts w:ascii="Palatino Linotype" w:eastAsia="Palatino Linotype" w:hAnsi="Palatino Linotype" w:cs="Palatino Linotype"/>
          <w:i/>
          <w:sz w:val="22"/>
          <w:szCs w:val="22"/>
        </w:rPr>
      </w:pPr>
    </w:p>
    <w:p w14:paraId="116EE775" w14:textId="77777777" w:rsidR="009A1083" w:rsidRDefault="00C61316">
      <w:pPr>
        <w:tabs>
          <w:tab w:val="left" w:pos="8220"/>
        </w:tabs>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Gerardo Arturo Ozuna Martínez</w:t>
      </w:r>
    </w:p>
    <w:p w14:paraId="66B23810" w14:textId="77777777" w:rsidR="009A1083" w:rsidRDefault="00C61316">
      <w:pPr>
        <w:tabs>
          <w:tab w:val="left" w:pos="8220"/>
        </w:tabs>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Director de Transparencia del</w:t>
      </w:r>
    </w:p>
    <w:p w14:paraId="5E1D9F5E" w14:textId="77777777" w:rsidR="009A1083" w:rsidRDefault="00C61316">
      <w:pPr>
        <w:tabs>
          <w:tab w:val="left" w:pos="8220"/>
        </w:tabs>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Ayuntamiento de Metepec</w:t>
      </w:r>
    </w:p>
    <w:p w14:paraId="3177C605" w14:textId="77777777" w:rsidR="009A1083" w:rsidRDefault="00C61316">
      <w:pPr>
        <w:tabs>
          <w:tab w:val="left" w:pos="8220"/>
        </w:tabs>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P r e s e n t e:</w:t>
      </w:r>
    </w:p>
    <w:p w14:paraId="5AF484BB" w14:textId="77777777" w:rsidR="009A1083" w:rsidRDefault="00C61316">
      <w:pPr>
        <w:widowControl w:val="0"/>
        <w:spacing w:before="120" w:after="12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las constancias que integran el expediente del recurso de revisión </w:t>
      </w:r>
      <w:r>
        <w:rPr>
          <w:rFonts w:ascii="Palatino Linotype" w:eastAsia="Palatino Linotype" w:hAnsi="Palatino Linotype" w:cs="Palatino Linotype"/>
          <w:b/>
          <w:i/>
          <w:sz w:val="22"/>
          <w:szCs w:val="22"/>
        </w:rPr>
        <w:t>00779/INFOEM/IP/RR/2023</w:t>
      </w:r>
      <w:r>
        <w:rPr>
          <w:rFonts w:ascii="Palatino Linotype" w:eastAsia="Palatino Linotype" w:hAnsi="Palatino Linotype" w:cs="Palatino Linotype"/>
          <w:i/>
          <w:sz w:val="22"/>
          <w:szCs w:val="22"/>
        </w:rPr>
        <w:t xml:space="preserve">; se desprende que en respuesta a la solicitud de información </w:t>
      </w:r>
      <w:r>
        <w:rPr>
          <w:rFonts w:ascii="Palatino Linotype" w:eastAsia="Palatino Linotype" w:hAnsi="Palatino Linotype" w:cs="Palatino Linotype"/>
          <w:b/>
          <w:i/>
          <w:sz w:val="22"/>
          <w:szCs w:val="22"/>
        </w:rPr>
        <w:t>00010/METEPEC/IP/2023</w:t>
      </w:r>
      <w:r>
        <w:rPr>
          <w:rFonts w:ascii="Palatino Linotype" w:eastAsia="Palatino Linotype" w:hAnsi="Palatino Linotype" w:cs="Palatino Linotype"/>
          <w:i/>
          <w:sz w:val="22"/>
          <w:szCs w:val="22"/>
        </w:rPr>
        <w:t xml:space="preserve">, con fundamento en el artículo 158 de la Ley de Transparencia y Acceso a la Información Pública del Estado de México y Municipios, propuso el cambio de la modalidad de entrega con base en el pronunciamiento emitido por el Director de Administración, quien argumentó en lo medular, que la información solicitada de los meses de noviembre y diciembre constituye un cúmulo de documentos de un volumen considerable, cuyo archivo electrónico tiene un peso cercano a los 2.0 GB (dos mil megabytes), que sobrepasa el peso máximo que soporta el SAIMEX, imposibilitando la entrega por esta vía, asimismo, que se requería el procesamiento y revisión para verificar si contiene información que deba ser clasificada como confidencial </w:t>
      </w:r>
      <w:r>
        <w:rPr>
          <w:rFonts w:ascii="Palatino Linotype" w:eastAsia="Palatino Linotype" w:hAnsi="Palatino Linotype" w:cs="Palatino Linotype"/>
          <w:i/>
          <w:sz w:val="22"/>
          <w:szCs w:val="22"/>
        </w:rPr>
        <w:lastRenderedPageBreak/>
        <w:t>y/o reservada, según sea el caso, cuya entrega y procesamiento sobrepasa las capacidades técnicas administrativas y humanas de dicha Unidad Administrativa, razón por la cual el servidor público habilitado de la Dirección de Administración, para garantizar el derecho de acceso a la información pública de la persona solicitante, puso a su disposición la información en cualquiera de las modalidades establecidas en la Ley y las cuales tengan capacidades de almacenamientos como son: modalidad de entrega digital a través de USB o cualquier dispositivo electrónico, o en su caso, modalidad a través de consulta directa, copias simples o certificadas, correo certificado, proporcionando para tales efectos el domicilio y horario de la Tesorería Municipal para realizar el pago de derechos en caso de generarse, y de la Dirección de Transparencia y Gobierno Abierto para la entrega de la información</w:t>
      </w:r>
    </w:p>
    <w:p w14:paraId="7194EEBE" w14:textId="77777777" w:rsidR="009A1083" w:rsidRDefault="00C61316">
      <w:pPr>
        <w:widowControl w:val="0"/>
        <w:spacing w:before="120" w:after="12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Sin embargo, se tiene que dejó de justificar, de manera clara, las razones o motivos que lo llevaron hacer dicho cambio de modalidad </w:t>
      </w:r>
      <w:r>
        <w:rPr>
          <w:rFonts w:ascii="Palatino Linotype" w:eastAsia="Palatino Linotype" w:hAnsi="Palatino Linotype" w:cs="Palatino Linotype"/>
          <w:b/>
          <w:i/>
          <w:sz w:val="22"/>
          <w:szCs w:val="22"/>
        </w:rPr>
        <w:t>en el caso que nos ocupa,</w:t>
      </w:r>
      <w:r>
        <w:rPr>
          <w:rFonts w:ascii="Palatino Linotype" w:eastAsia="Palatino Linotype" w:hAnsi="Palatino Linotype" w:cs="Palatino Linotype"/>
          <w:i/>
          <w:sz w:val="22"/>
          <w:szCs w:val="22"/>
        </w:rPr>
        <w:t xml:space="preserve"> toda vez que el servidor público habilitado de la Dirección de Administración, no especificó respecto de la solicitud que dio origen al recurso de revisión que nos ocupa, de manera enunciativa, más no limitativa, lo siguiente:</w:t>
      </w:r>
    </w:p>
    <w:p w14:paraId="7997F60B" w14:textId="77777777" w:rsidR="009A1083" w:rsidRDefault="00C61316">
      <w:pPr>
        <w:widowControl w:val="0"/>
        <w:numPr>
          <w:ilvl w:val="0"/>
          <w:numId w:val="3"/>
        </w:numPr>
        <w:pBdr>
          <w:top w:val="nil"/>
          <w:left w:val="nil"/>
          <w:bottom w:val="nil"/>
          <w:right w:val="nil"/>
          <w:between w:val="nil"/>
        </w:pBdr>
        <w:spacing w:before="120" w:after="120"/>
        <w:ind w:left="851" w:right="618"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formato, en que se encuentra la información, es decir, de manera digital o física;</w:t>
      </w:r>
    </w:p>
    <w:p w14:paraId="55C6EA1F" w14:textId="77777777" w:rsidR="009A1083" w:rsidRDefault="00C61316">
      <w:pPr>
        <w:widowControl w:val="0"/>
        <w:numPr>
          <w:ilvl w:val="0"/>
          <w:numId w:val="3"/>
        </w:numPr>
        <w:pBdr>
          <w:top w:val="nil"/>
          <w:left w:val="nil"/>
          <w:bottom w:val="nil"/>
          <w:right w:val="nil"/>
          <w:between w:val="nil"/>
        </w:pBdr>
        <w:spacing w:before="120" w:after="120"/>
        <w:ind w:left="851" w:right="618"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El número de hojas o peso aproximado de la información solicitada, del cual se pudiera conocer cuántos documentos había generado o bien, cuando menos un aproximado; </w:t>
      </w:r>
    </w:p>
    <w:p w14:paraId="4B109747" w14:textId="77777777" w:rsidR="009A1083" w:rsidRDefault="00C61316">
      <w:pPr>
        <w:widowControl w:val="0"/>
        <w:numPr>
          <w:ilvl w:val="0"/>
          <w:numId w:val="3"/>
        </w:numPr>
        <w:pBdr>
          <w:top w:val="nil"/>
          <w:left w:val="nil"/>
          <w:bottom w:val="nil"/>
          <w:right w:val="nil"/>
          <w:between w:val="nil"/>
        </w:pBdr>
        <w:spacing w:before="120" w:after="120"/>
        <w:ind w:left="851" w:right="618" w:firstLine="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Tampoco acreditó que lo peticionado implicaba un análisis, procesamiento o estudio de documentos cuya reproducción sobrepasará las capacidades técnicas, administrativas y humanas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pues si bien precisó el número de personas que se encontraban en las áreas competentes, no refirió ni el formato, ni número de hojas aproximadas de lo solicitado, o bien, si lo peticionado, se encontraba en uno o varios expedientes.</w:t>
      </w:r>
    </w:p>
    <w:p w14:paraId="56886DD6" w14:textId="77777777" w:rsidR="009A1083" w:rsidRDefault="00C61316">
      <w:pPr>
        <w:widowControl w:val="0"/>
        <w:spacing w:before="120" w:after="12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tal sentido, se carece de los elementos que permitan justificar que, efectivamente, existe la necesidad de realizar el cambio de modalidad, lo anterior en términos de los señalado por el artículo 155 fracción V, 158 y 164 de la Ley de Transparencia y Acceso a la Información Pública del Estado de México y Municipios.</w:t>
      </w:r>
    </w:p>
    <w:p w14:paraId="4AEA8BED" w14:textId="77777777" w:rsidR="009A1083" w:rsidRDefault="00C61316">
      <w:pPr>
        <w:widowControl w:val="0"/>
        <w:spacing w:before="120" w:after="120"/>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14 de marzo de 2023; con el objeto de contar con los elementos necesarios para la elaboración del proyecto de resolución correspondiente, </w:t>
      </w:r>
      <w:r>
        <w:rPr>
          <w:rFonts w:ascii="Palatino Linotype" w:eastAsia="Palatino Linotype" w:hAnsi="Palatino Linotype" w:cs="Palatino Linotype"/>
          <w:b/>
          <w:i/>
          <w:sz w:val="22"/>
          <w:szCs w:val="22"/>
        </w:rPr>
        <w:t xml:space="preserve">se requiere informe lo siguiente </w:t>
      </w:r>
      <w:r>
        <w:rPr>
          <w:rFonts w:ascii="Palatino Linotype" w:eastAsia="Palatino Linotype" w:hAnsi="Palatino Linotype" w:cs="Palatino Linotype"/>
          <w:b/>
          <w:i/>
          <w:sz w:val="22"/>
          <w:szCs w:val="22"/>
          <w:u w:val="single"/>
        </w:rPr>
        <w:t xml:space="preserve">respecto a la solicitud de información con número de folio </w:t>
      </w:r>
      <w:r>
        <w:rPr>
          <w:rFonts w:ascii="Palatino Linotype" w:eastAsia="Palatino Linotype" w:hAnsi="Palatino Linotype" w:cs="Palatino Linotype"/>
          <w:b/>
          <w:i/>
          <w:sz w:val="22"/>
          <w:szCs w:val="22"/>
          <w:u w:val="single"/>
        </w:rPr>
        <w:lastRenderedPageBreak/>
        <w:t>00010/METEPEC/IP/2023</w:t>
      </w:r>
      <w:r>
        <w:rPr>
          <w:rFonts w:ascii="Palatino Linotype" w:eastAsia="Palatino Linotype" w:hAnsi="Palatino Linotype" w:cs="Palatino Linotype"/>
          <w:i/>
          <w:sz w:val="22"/>
          <w:szCs w:val="22"/>
        </w:rPr>
        <w:t>:</w:t>
      </w:r>
    </w:p>
    <w:p w14:paraId="2306CD21" w14:textId="77777777" w:rsidR="009A1083" w:rsidRDefault="00C61316">
      <w:pPr>
        <w:widowControl w:val="0"/>
        <w:spacing w:before="120" w:after="120"/>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Manifieste, de manera clara y precisa, las razones y fundamentos suficientes que impiden la entrega de la información a través del SAIMEX.</w:t>
      </w:r>
    </w:p>
    <w:p w14:paraId="56F83025" w14:textId="77777777" w:rsidR="009A1083" w:rsidRDefault="00C61316">
      <w:pPr>
        <w:widowControl w:val="0"/>
        <w:spacing w:before="120" w:after="120"/>
        <w:ind w:left="851"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2.- Se refiera </w:t>
      </w:r>
      <w:r>
        <w:rPr>
          <w:rFonts w:ascii="Palatino Linotype" w:eastAsia="Palatino Linotype" w:hAnsi="Palatino Linotype" w:cs="Palatino Linotype"/>
          <w:b/>
          <w:i/>
          <w:sz w:val="22"/>
          <w:szCs w:val="22"/>
          <w:u w:val="single"/>
        </w:rPr>
        <w:t>con exactitud</w:t>
      </w:r>
      <w:r>
        <w:rPr>
          <w:rFonts w:ascii="Palatino Linotype" w:eastAsia="Palatino Linotype" w:hAnsi="Palatino Linotype" w:cs="Palatino Linotype"/>
          <w:i/>
          <w:sz w:val="22"/>
          <w:szCs w:val="22"/>
        </w:rPr>
        <w:t xml:space="preserve">, al cúmulo de información de que se trata y sí excede las </w:t>
      </w:r>
      <w:r>
        <w:rPr>
          <w:rFonts w:ascii="Palatino Linotype" w:eastAsia="Palatino Linotype" w:hAnsi="Palatino Linotype" w:cs="Palatino Linotype"/>
          <w:b/>
          <w:i/>
          <w:sz w:val="22"/>
          <w:szCs w:val="22"/>
          <w:u w:val="single"/>
        </w:rPr>
        <w:t>capacidades del SAIMEX</w:t>
      </w:r>
      <w:r>
        <w:rPr>
          <w:rFonts w:ascii="Palatino Linotype" w:eastAsia="Palatino Linotype" w:hAnsi="Palatino Linotype" w:cs="Palatino Linotype"/>
          <w:i/>
          <w:sz w:val="22"/>
          <w:szCs w:val="22"/>
        </w:rPr>
        <w:t xml:space="preserve">, esto </w:t>
      </w:r>
      <w:r>
        <w:rPr>
          <w:rFonts w:ascii="Palatino Linotype" w:eastAsia="Palatino Linotype" w:hAnsi="Palatino Linotype" w:cs="Palatino Linotype"/>
          <w:b/>
          <w:i/>
          <w:sz w:val="22"/>
          <w:szCs w:val="22"/>
        </w:rPr>
        <w:t>mediante el reporte de incidencias realizado con el área de soporte técnico del INFOEM</w:t>
      </w:r>
      <w:r>
        <w:rPr>
          <w:rFonts w:ascii="Palatino Linotype" w:eastAsia="Palatino Linotype" w:hAnsi="Palatino Linotype" w:cs="Palatino Linotype"/>
          <w:i/>
          <w:sz w:val="22"/>
          <w:szCs w:val="22"/>
        </w:rPr>
        <w:t xml:space="preserve">. </w:t>
      </w:r>
    </w:p>
    <w:p w14:paraId="0A5BEE63" w14:textId="77777777" w:rsidR="009A1083" w:rsidRDefault="00C61316">
      <w:pPr>
        <w:widowControl w:val="0"/>
        <w:spacing w:before="120" w:after="120"/>
        <w:ind w:left="851" w:right="618"/>
        <w:jc w:val="both"/>
        <w:rPr>
          <w:rFonts w:ascii="Palatino Linotype" w:eastAsia="Palatino Linotype" w:hAnsi="Palatino Linotype" w:cs="Palatino Linotype"/>
          <w:b/>
          <w:i/>
          <w:u w:val="single"/>
        </w:rPr>
      </w:pPr>
      <w:r>
        <w:rPr>
          <w:rFonts w:ascii="Palatino Linotype" w:eastAsia="Palatino Linotype" w:hAnsi="Palatino Linotype" w:cs="Palatino Linotype"/>
          <w:i/>
          <w:sz w:val="22"/>
          <w:szCs w:val="22"/>
        </w:rPr>
        <w:t xml:space="preserve">3.- Que la información solicitada, sobrepasa las capacidades técnicas administrativas y humanas del Sujeto Obligado para cumplir con la solicitud, en los plazos establecidos para dichos efectos, </w:t>
      </w:r>
      <w:r>
        <w:rPr>
          <w:rFonts w:ascii="Palatino Linotype" w:eastAsia="Palatino Linotype" w:hAnsi="Palatino Linotype" w:cs="Palatino Linotype"/>
          <w:b/>
          <w:i/>
          <w:sz w:val="22"/>
          <w:szCs w:val="22"/>
          <w:u w:val="single"/>
        </w:rPr>
        <w:t>con los respectivos medios de convicción</w:t>
      </w:r>
      <w:r>
        <w:rPr>
          <w:rFonts w:ascii="Palatino Linotype" w:eastAsia="Palatino Linotype" w:hAnsi="Palatino Linotype" w:cs="Palatino Linotype"/>
          <w:i/>
          <w:sz w:val="22"/>
          <w:szCs w:val="22"/>
        </w:rPr>
        <w:t>..</w:t>
      </w:r>
      <w:r>
        <w:rPr>
          <w:i/>
        </w:rPr>
        <w:t>.”</w:t>
      </w:r>
    </w:p>
    <w:p w14:paraId="03D4F182" w14:textId="77777777" w:rsidR="009A1083" w:rsidRDefault="00C61316">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13. Desahogo del requerimiento adicional.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catorce de abril de dos mil veintitrés,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desahogó el requerimiento de información adicional en los siguientes términos:</w:t>
      </w:r>
    </w:p>
    <w:p w14:paraId="1B41BBC8" w14:textId="77777777" w:rsidR="009A1083" w:rsidRDefault="00C61316">
      <w:pPr>
        <w:widowControl w:val="0"/>
        <w:spacing w:before="240" w:after="240" w:line="360" w:lineRule="auto"/>
        <w:jc w:val="center"/>
        <w:rPr>
          <w:rFonts w:ascii="Palatino Linotype" w:eastAsia="Palatino Linotype" w:hAnsi="Palatino Linotype" w:cs="Palatino Linotype"/>
        </w:rPr>
      </w:pPr>
      <w:r>
        <w:rPr>
          <w:noProof/>
        </w:rPr>
        <w:drawing>
          <wp:inline distT="0" distB="0" distL="0" distR="0" wp14:anchorId="41960B0F" wp14:editId="343314EB">
            <wp:extent cx="5400000" cy="4277196"/>
            <wp:effectExtent l="0" t="0" r="0" b="0"/>
            <wp:docPr id="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b="21749"/>
                    <a:stretch>
                      <a:fillRect/>
                    </a:stretch>
                  </pic:blipFill>
                  <pic:spPr>
                    <a:xfrm>
                      <a:off x="0" y="0"/>
                      <a:ext cx="5400000" cy="4277196"/>
                    </a:xfrm>
                    <a:prstGeom prst="rect">
                      <a:avLst/>
                    </a:prstGeom>
                    <a:ln/>
                  </pic:spPr>
                </pic:pic>
              </a:graphicData>
            </a:graphic>
          </wp:inline>
        </w:drawing>
      </w:r>
    </w:p>
    <w:p w14:paraId="43CD99EF" w14:textId="77777777" w:rsidR="009A1083" w:rsidRDefault="00C61316">
      <w:pPr>
        <w:widowControl w:val="0"/>
        <w:spacing w:before="240" w:after="240" w:line="360" w:lineRule="auto"/>
        <w:jc w:val="center"/>
        <w:rPr>
          <w:rFonts w:ascii="Palatino Linotype" w:eastAsia="Palatino Linotype" w:hAnsi="Palatino Linotype" w:cs="Palatino Linotype"/>
        </w:rPr>
      </w:pPr>
      <w:r>
        <w:rPr>
          <w:noProof/>
        </w:rPr>
        <w:lastRenderedPageBreak/>
        <w:drawing>
          <wp:inline distT="0" distB="0" distL="0" distR="0" wp14:anchorId="26B64660" wp14:editId="39B6A3E5">
            <wp:extent cx="5400000" cy="1207825"/>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77903"/>
                    <a:stretch>
                      <a:fillRect/>
                    </a:stretch>
                  </pic:blipFill>
                  <pic:spPr>
                    <a:xfrm>
                      <a:off x="0" y="0"/>
                      <a:ext cx="5400000" cy="1207825"/>
                    </a:xfrm>
                    <a:prstGeom prst="rect">
                      <a:avLst/>
                    </a:prstGeom>
                    <a:ln/>
                  </pic:spPr>
                </pic:pic>
              </a:graphicData>
            </a:graphic>
          </wp:inline>
        </w:drawing>
      </w:r>
      <w:r>
        <w:rPr>
          <w:noProof/>
        </w:rPr>
        <w:drawing>
          <wp:inline distT="0" distB="0" distL="0" distR="0" wp14:anchorId="2EBA6BEC" wp14:editId="40CB0D82">
            <wp:extent cx="5438775" cy="5934075"/>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438775" cy="5934075"/>
                    </a:xfrm>
                    <a:prstGeom prst="rect">
                      <a:avLst/>
                    </a:prstGeom>
                    <a:ln/>
                  </pic:spPr>
                </pic:pic>
              </a:graphicData>
            </a:graphic>
          </wp:inline>
        </w:drawing>
      </w:r>
    </w:p>
    <w:p w14:paraId="41973B18" w14:textId="77777777" w:rsidR="009A1083" w:rsidRDefault="00C61316">
      <w:pPr>
        <w:widowControl w:val="0"/>
        <w:spacing w:before="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14. Solicitud de reporte de incidencia.</w:t>
      </w:r>
      <w: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diecisiete de abril de dos mil veintitrés, </w:t>
      </w:r>
      <w:r>
        <w:rPr>
          <w:rFonts w:ascii="Palatino Linotype" w:eastAsia="Palatino Linotype" w:hAnsi="Palatino Linotype" w:cs="Palatino Linotype"/>
        </w:rPr>
        <w:t>se realizó la consulta, a través de correo electrónico, a la Dirección General de Informática</w:t>
      </w:r>
      <w:r>
        <w:t xml:space="preserve"> </w:t>
      </w:r>
      <w:r>
        <w:rPr>
          <w:rFonts w:ascii="Palatino Linotype" w:eastAsia="Palatino Linotype" w:hAnsi="Palatino Linotype" w:cs="Palatino Linotype"/>
        </w:rPr>
        <w:t xml:space="preserve">sobre las incidencias presentadas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para atender la solicitud de información que motivó el respecto de la solicitud que dio origen al recurso de revisión que se resuelve, tal como se advierte a continuación:</w:t>
      </w:r>
    </w:p>
    <w:p w14:paraId="61C2D651" w14:textId="77777777" w:rsidR="009A1083" w:rsidRDefault="00C61316">
      <w:pPr>
        <w:widowControl w:val="0"/>
        <w:spacing w:before="240" w:line="360" w:lineRule="auto"/>
        <w:jc w:val="center"/>
        <w:rPr>
          <w:rFonts w:ascii="Palatino Linotype" w:eastAsia="Palatino Linotype" w:hAnsi="Palatino Linotype" w:cs="Palatino Linotype"/>
        </w:rPr>
      </w:pPr>
      <w:r>
        <w:rPr>
          <w:noProof/>
        </w:rPr>
        <w:drawing>
          <wp:inline distT="0" distB="0" distL="0" distR="0" wp14:anchorId="48D206B9" wp14:editId="3C58C086">
            <wp:extent cx="4500000" cy="1713629"/>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r="372"/>
                    <a:stretch>
                      <a:fillRect/>
                    </a:stretch>
                  </pic:blipFill>
                  <pic:spPr>
                    <a:xfrm>
                      <a:off x="0" y="0"/>
                      <a:ext cx="4500000" cy="1713629"/>
                    </a:xfrm>
                    <a:prstGeom prst="rect">
                      <a:avLst/>
                    </a:prstGeom>
                    <a:ln/>
                  </pic:spPr>
                </pic:pic>
              </a:graphicData>
            </a:graphic>
          </wp:inline>
        </w:drawing>
      </w:r>
    </w:p>
    <w:p w14:paraId="0AA4D006" w14:textId="77777777" w:rsidR="009A1083" w:rsidRDefault="00C61316">
      <w:pPr>
        <w:pBdr>
          <w:top w:val="nil"/>
          <w:left w:val="nil"/>
          <w:bottom w:val="nil"/>
          <w:right w:val="nil"/>
          <w:between w:val="nil"/>
        </w:pBdr>
        <w:spacing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15. Reporte de incidencia.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diecisiete de abril de dos mil veintitrés, </w:t>
      </w:r>
      <w:r>
        <w:rPr>
          <w:rFonts w:ascii="Palatino Linotype" w:eastAsia="Palatino Linotype" w:hAnsi="Palatino Linotype" w:cs="Palatino Linotype"/>
        </w:rPr>
        <w:t xml:space="preserve">en </w:t>
      </w:r>
      <w:proofErr w:type="gramStart"/>
      <w:r>
        <w:rPr>
          <w:rFonts w:ascii="Palatino Linotype" w:eastAsia="Palatino Linotype" w:hAnsi="Palatino Linotype" w:cs="Palatino Linotype"/>
        </w:rPr>
        <w:t>respuesta  al</w:t>
      </w:r>
      <w:proofErr w:type="gramEnd"/>
      <w:r>
        <w:rPr>
          <w:rFonts w:ascii="Palatino Linotype" w:eastAsia="Palatino Linotype" w:hAnsi="Palatino Linotype" w:cs="Palatino Linotype"/>
        </w:rPr>
        <w:t xml:space="preserve"> correo electrónico referido en el punto anterior,</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Dirección General de Informática, informó que </w:t>
      </w:r>
      <w:r>
        <w:rPr>
          <w:rFonts w:ascii="Palatino Linotype" w:eastAsia="Palatino Linotype" w:hAnsi="Palatino Linotype" w:cs="Palatino Linotype"/>
          <w:b/>
        </w:rPr>
        <w:t xml:space="preserve">se tenía registro de incidencia por parte del Sujeto Obligado </w:t>
      </w:r>
      <w:r>
        <w:rPr>
          <w:rFonts w:ascii="Palatino Linotype" w:eastAsia="Palatino Linotype" w:hAnsi="Palatino Linotype" w:cs="Palatino Linotype"/>
        </w:rPr>
        <w:t>en comento</w:t>
      </w:r>
      <w:r>
        <w:rPr>
          <w:rFonts w:ascii="Palatino Linotype" w:eastAsia="Palatino Linotype" w:hAnsi="Palatino Linotype" w:cs="Palatino Linotype"/>
          <w:b/>
        </w:rPr>
        <w:t xml:space="preserve">, </w:t>
      </w:r>
      <w:r>
        <w:rPr>
          <w:rFonts w:ascii="Palatino Linotype" w:eastAsia="Palatino Linotype" w:hAnsi="Palatino Linotype" w:cs="Palatino Linotype"/>
        </w:rPr>
        <w:t>como se advierte a continuación:</w:t>
      </w:r>
    </w:p>
    <w:p w14:paraId="6FCD2D8D" w14:textId="77777777" w:rsidR="009A1083" w:rsidRDefault="00C61316">
      <w:pPr>
        <w:widowControl w:val="0"/>
        <w:spacing w:before="240" w:after="240" w:line="360" w:lineRule="auto"/>
        <w:jc w:val="center"/>
        <w:rPr>
          <w:rFonts w:ascii="Palatino Linotype" w:eastAsia="Palatino Linotype" w:hAnsi="Palatino Linotype" w:cs="Palatino Linotype"/>
          <w:b/>
        </w:rPr>
      </w:pPr>
      <w:r>
        <w:rPr>
          <w:noProof/>
        </w:rPr>
        <w:drawing>
          <wp:inline distT="0" distB="0" distL="0" distR="0" wp14:anchorId="33DE9BF0" wp14:editId="7E11160F">
            <wp:extent cx="4500000" cy="1446029"/>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500000" cy="1446029"/>
                    </a:xfrm>
                    <a:prstGeom prst="rect">
                      <a:avLst/>
                    </a:prstGeom>
                    <a:ln/>
                  </pic:spPr>
                </pic:pic>
              </a:graphicData>
            </a:graphic>
          </wp:inline>
        </w:drawing>
      </w:r>
      <w:r>
        <w:rPr>
          <w:rFonts w:ascii="Palatino Linotype" w:eastAsia="Palatino Linotype" w:hAnsi="Palatino Linotype" w:cs="Palatino Linotype"/>
          <w:u w:val="single"/>
        </w:rPr>
        <w:t xml:space="preserve"> </w:t>
      </w:r>
    </w:p>
    <w:p w14:paraId="2D595CFB"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adjuntó el oficio número INFOEM/DGI/206/2023, signado por el </w:t>
      </w:r>
      <w:proofErr w:type="gramStart"/>
      <w:r>
        <w:rPr>
          <w:rFonts w:ascii="Palatino Linotype" w:eastAsia="Palatino Linotype" w:hAnsi="Palatino Linotype" w:cs="Palatino Linotype"/>
        </w:rPr>
        <w:t>Director General</w:t>
      </w:r>
      <w:proofErr w:type="gramEnd"/>
      <w:r>
        <w:rPr>
          <w:rFonts w:ascii="Palatino Linotype" w:eastAsia="Palatino Linotype" w:hAnsi="Palatino Linotype" w:cs="Palatino Linotype"/>
        </w:rPr>
        <w:t xml:space="preserve"> de Informática, mediante el cual refiere en su parte conducente, lo siguiente:</w:t>
      </w:r>
    </w:p>
    <w:p w14:paraId="5850CC3E" w14:textId="77777777" w:rsidR="009A1083" w:rsidRDefault="00C6131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atención a su oficio con número </w:t>
      </w:r>
      <w:r>
        <w:rPr>
          <w:rFonts w:ascii="Palatino Linotype" w:eastAsia="Palatino Linotype" w:hAnsi="Palatino Linotype" w:cs="Palatino Linotype"/>
          <w:b/>
          <w:i/>
          <w:sz w:val="22"/>
          <w:szCs w:val="22"/>
        </w:rPr>
        <w:t>MET/DTYGA/474/2023</w:t>
      </w:r>
      <w:r>
        <w:rPr>
          <w:rFonts w:ascii="Palatino Linotype" w:eastAsia="Palatino Linotype" w:hAnsi="Palatino Linotype" w:cs="Palatino Linotype"/>
          <w:i/>
          <w:sz w:val="22"/>
          <w:szCs w:val="22"/>
        </w:rPr>
        <w:t xml:space="preserve">, a fin de atender la solicitud de información con folio </w:t>
      </w:r>
      <w:r>
        <w:rPr>
          <w:rFonts w:ascii="Palatino Linotype" w:eastAsia="Palatino Linotype" w:hAnsi="Palatino Linotype" w:cs="Palatino Linotype"/>
          <w:b/>
          <w:i/>
          <w:sz w:val="22"/>
          <w:szCs w:val="22"/>
        </w:rPr>
        <w:t>00010/METEPEC/IP/2023</w:t>
      </w:r>
      <w:r>
        <w:rPr>
          <w:rFonts w:ascii="Palatino Linotype" w:eastAsia="Palatino Linotype" w:hAnsi="Palatino Linotype" w:cs="Palatino Linotype"/>
          <w:i/>
          <w:sz w:val="22"/>
          <w:szCs w:val="22"/>
        </w:rPr>
        <w:t xml:space="preserve">, al respecto me permito comunicarle a Usted que dicha incidencia técnica ha quedado registrada en la bitácora de incidencias, toda vez que trata de subir </w:t>
      </w:r>
      <w:r>
        <w:rPr>
          <w:rFonts w:ascii="Palatino Linotype" w:eastAsia="Palatino Linotype" w:hAnsi="Palatino Linotype" w:cs="Palatino Linotype"/>
          <w:b/>
          <w:i/>
          <w:sz w:val="22"/>
          <w:szCs w:val="22"/>
        </w:rPr>
        <w:t>un peso de 800MB</w:t>
      </w:r>
      <w:r>
        <w:rPr>
          <w:rFonts w:ascii="Palatino Linotype" w:eastAsia="Palatino Linotype" w:hAnsi="Palatino Linotype" w:cs="Palatino Linotype"/>
          <w:i/>
          <w:sz w:val="22"/>
          <w:szCs w:val="22"/>
        </w:rPr>
        <w:t xml:space="preserve">, lo cual sobrepasa las capacidades técnicas del sistema </w:t>
      </w:r>
      <w:proofErr w:type="spellStart"/>
      <w:r>
        <w:rPr>
          <w:rFonts w:ascii="Palatino Linotype" w:eastAsia="Palatino Linotype" w:hAnsi="Palatino Linotype" w:cs="Palatino Linotype"/>
          <w:i/>
          <w:sz w:val="22"/>
          <w:szCs w:val="22"/>
        </w:rPr>
        <w:t>Saimex</w:t>
      </w:r>
      <w:proofErr w:type="spellEnd"/>
      <w:r>
        <w:rPr>
          <w:rFonts w:ascii="Palatino Linotype" w:eastAsia="Palatino Linotype" w:hAnsi="Palatino Linotype" w:cs="Palatino Linotype"/>
          <w:i/>
          <w:sz w:val="22"/>
          <w:szCs w:val="22"/>
        </w:rPr>
        <w:t xml:space="preserve">. </w:t>
      </w:r>
    </w:p>
    <w:p w14:paraId="2EB8562B" w14:textId="77777777" w:rsidR="009A1083" w:rsidRDefault="00C6131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 importante hacer mención que el peso referido en el párrafo anterior, así como lo expresado en su solicitud para el cambio de modalidad, considerando los supuestos de su justificación con base en los artículos 158 y 164 de la Ley de Transparencia y Acceso a la Información Pública del Estado de México y Municipios, es responsabilidad del Sujeto Obligado. </w:t>
      </w:r>
    </w:p>
    <w:p w14:paraId="70CE7BD2" w14:textId="77777777" w:rsidR="009A1083" w:rsidRDefault="00C6131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otro lado, para el escaneo de fojas le recomendamos utilizar una resolución alta de 150 </w:t>
      </w:r>
      <w:proofErr w:type="spellStart"/>
      <w:r>
        <w:rPr>
          <w:rFonts w:ascii="Palatino Linotype" w:eastAsia="Palatino Linotype" w:hAnsi="Palatino Linotype" w:cs="Palatino Linotype"/>
          <w:i/>
          <w:sz w:val="22"/>
          <w:szCs w:val="22"/>
        </w:rPr>
        <w:t>Dpi's</w:t>
      </w:r>
      <w:proofErr w:type="spellEnd"/>
      <w:r>
        <w:rPr>
          <w:rFonts w:ascii="Palatino Linotype" w:eastAsia="Palatino Linotype" w:hAnsi="Palatino Linotype" w:cs="Palatino Linotype"/>
          <w:i/>
          <w:sz w:val="22"/>
          <w:szCs w:val="22"/>
        </w:rPr>
        <w:t>, en escala de grises y formato "PDF"; extraído directamente del escáner…” (sic)</w:t>
      </w:r>
    </w:p>
    <w:p w14:paraId="3C711D14"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A75506C" w14:textId="77777777" w:rsidR="009A1083" w:rsidRDefault="00C6131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19B1600"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5A7E4E1" w14:textId="77777777" w:rsidR="009A1083" w:rsidRDefault="00C61316">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lastRenderedPageBreak/>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5044E46"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nueve de febrero de dos mil veintitrés,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trece de febrero de dos mil veintitrés</w:t>
      </w:r>
      <w:r>
        <w:rPr>
          <w:rFonts w:ascii="Palatino Linotype" w:eastAsia="Palatino Linotype" w:hAnsi="Palatino Linotype" w:cs="Palatino Linotype"/>
        </w:rPr>
        <w:t>, esto es, al segundo día hábil en que tuvo conocimiento de la respuesta impugnada.</w:t>
      </w:r>
    </w:p>
    <w:p w14:paraId="713BB8A8" w14:textId="77777777" w:rsidR="009A1083" w:rsidRDefault="00C61316">
      <w:pPr>
        <w:tabs>
          <w:tab w:val="left" w:pos="7938"/>
        </w:tabs>
        <w:spacing w:before="240" w:after="240" w:line="360" w:lineRule="auto"/>
        <w:jc w:val="both"/>
        <w:rPr>
          <w:rFonts w:ascii="Palatino Linotype" w:eastAsia="Palatino Linotype" w:hAnsi="Palatino Linotype" w:cs="Palatino Linotype"/>
        </w:rPr>
      </w:pPr>
      <w:bookmarkStart w:id="5" w:name="_heading=h.3znysh7" w:colFirst="0" w:colLast="0"/>
      <w:bookmarkEnd w:id="5"/>
      <w:r>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B27EE15"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efecto de sustentar lo anterior, es de suma importancia mencionar que si bien la persona solicitante </w:t>
      </w:r>
      <w:r>
        <w:rPr>
          <w:rFonts w:ascii="Palatino Linotype" w:eastAsia="Palatino Linotype" w:hAnsi="Palatino Linotype" w:cs="Palatino Linotype"/>
          <w:b/>
        </w:rPr>
        <w:t xml:space="preserve">no proporcionó nombre completo, </w:t>
      </w:r>
      <w:r>
        <w:rPr>
          <w:rFonts w:ascii="Palatino Linotype" w:eastAsia="Palatino Linotype" w:hAnsi="Palatino Linotype" w:cs="Palatino Linotype"/>
        </w:rPr>
        <w:t xml:space="preserve">como se advierte en el detalle de seguimiento del SAIMEX, sin embargo, el no proporcionar un nombre no es motivo para archivar la solicitud de acceso a la información pública como concluida, conforme a lo previsto en el artículo 155, penúltimo párrafo de la Ley de </w:t>
      </w:r>
      <w:r>
        <w:rPr>
          <w:rFonts w:ascii="Palatino Linotype" w:eastAsia="Palatino Linotype" w:hAnsi="Palatino Linotype" w:cs="Palatino Linotype"/>
        </w:rPr>
        <w:lastRenderedPageBreak/>
        <w:t>Transparencia y Acceso a la Información Pública del Estado de México y Municipios que establece lo siguiente:</w:t>
      </w:r>
    </w:p>
    <w:p w14:paraId="65E56894" w14:textId="77777777" w:rsidR="009A1083" w:rsidRDefault="00C61316">
      <w:pPr>
        <w:spacing w:before="120"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Las solicitudes anónimas</w:t>
      </w:r>
      <w:r>
        <w:rPr>
          <w:rFonts w:ascii="Palatino Linotype" w:eastAsia="Palatino Linotype" w:hAnsi="Palatino Linotype" w:cs="Palatino Linotype"/>
          <w:i/>
          <w:sz w:val="22"/>
          <w:szCs w:val="22"/>
        </w:rPr>
        <w:t xml:space="preserve">, con nombre incompleto o seudónimo </w:t>
      </w:r>
      <w:r>
        <w:rPr>
          <w:rFonts w:ascii="Palatino Linotype" w:eastAsia="Palatino Linotype" w:hAnsi="Palatino Linotype" w:cs="Palatino Linotype"/>
          <w:b/>
          <w:i/>
          <w:sz w:val="22"/>
          <w:szCs w:val="22"/>
        </w:rPr>
        <w:t>serán procedentes para su trámite por parte del sujeto obligado ante quien se presente</w:t>
      </w:r>
      <w:r>
        <w:rPr>
          <w:rFonts w:ascii="Palatino Linotype" w:eastAsia="Palatino Linotype" w:hAnsi="Palatino Linotype" w:cs="Palatino Linotype"/>
          <w:i/>
          <w:sz w:val="22"/>
          <w:szCs w:val="22"/>
        </w:rPr>
        <w:t>. No podrá requerirse información adicional con motivo del nombre proporcionado por el solicitante."</w:t>
      </w:r>
    </w:p>
    <w:p w14:paraId="2CE9E483"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Pr>
          <w:rFonts w:ascii="Palatino Linotype" w:eastAsia="Palatino Linotype" w:hAnsi="Palatino Linotype" w:cs="Palatino Linotype"/>
          <w:b/>
        </w:rPr>
        <w:t>Recurrente</w:t>
      </w:r>
      <w:r>
        <w:rPr>
          <w:rFonts w:ascii="Palatino Linotype" w:eastAsia="Palatino Linotype" w:hAnsi="Palatino Linotype" w:cs="Palatino Linotype"/>
        </w:rPr>
        <w:t>, por lo que, en el presente caso, al haber sido presentado el recurso de revisión vía SAIMEX, dicho requisito resulta innecesario.</w:t>
      </w:r>
    </w:p>
    <w:p w14:paraId="23F03AE7"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fracciones I y VIII del ordenamiento legal citado, que a la letra dice: </w:t>
      </w:r>
    </w:p>
    <w:p w14:paraId="52106411" w14:textId="77777777" w:rsidR="009A1083" w:rsidRDefault="00C61316">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9DBCA33" w14:textId="77777777" w:rsidR="009A1083" w:rsidRDefault="00C61316">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La negativa a la información solicitada;</w:t>
      </w:r>
    </w:p>
    <w:p w14:paraId="5FE8E130" w14:textId="77777777" w:rsidR="009A1083" w:rsidRDefault="00C61316">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413E667" w14:textId="77777777" w:rsidR="009A1083" w:rsidRDefault="00C61316">
      <w:pPr>
        <w:spacing w:before="120" w:after="120"/>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La notificación, entrega o puesta a disposición de información en una modalidad o formato distinto al solicitado;”</w:t>
      </w:r>
    </w:p>
    <w:p w14:paraId="0A7AA97B"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o en su defecto, en caso de ser procedente, ordenar la entrega de información oportuna.</w:t>
      </w:r>
    </w:p>
    <w:p w14:paraId="1EC47FAB" w14:textId="77777777" w:rsidR="009A1083" w:rsidRDefault="00C6131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 consistente en lo siguiente:</w:t>
      </w:r>
    </w:p>
    <w:p w14:paraId="73628E7F" w14:textId="77777777" w:rsidR="009A1083" w:rsidRDefault="00C61316">
      <w:pPr>
        <w:spacing w:before="240" w:after="240" w:line="360" w:lineRule="auto"/>
        <w:ind w:left="284"/>
        <w:jc w:val="both"/>
        <w:rPr>
          <w:rFonts w:ascii="Palatino Linotype" w:eastAsia="Palatino Linotype" w:hAnsi="Palatino Linotype" w:cs="Palatino Linotype"/>
          <w:b/>
        </w:rPr>
      </w:pPr>
      <w:r>
        <w:rPr>
          <w:rFonts w:ascii="Palatino Linotype" w:eastAsia="Palatino Linotype" w:hAnsi="Palatino Linotype" w:cs="Palatino Linotype"/>
        </w:rPr>
        <w:t>1.</w:t>
      </w:r>
      <w:r>
        <w:rPr>
          <w:rFonts w:ascii="Palatino Linotype" w:eastAsia="Palatino Linotype" w:hAnsi="Palatino Linotype" w:cs="Palatino Linotype"/>
          <w:b/>
        </w:rPr>
        <w:t xml:space="preserve"> </w:t>
      </w:r>
      <w:r>
        <w:rPr>
          <w:rFonts w:ascii="Palatino Linotype" w:eastAsia="Palatino Linotype" w:hAnsi="Palatino Linotype" w:cs="Palatino Linotype"/>
        </w:rPr>
        <w:t>Oficios del mes de diciembre correspondientes a la Dirección de Administración.</w:t>
      </w:r>
    </w:p>
    <w:p w14:paraId="27019400" w14:textId="77777777" w:rsidR="009A1083" w:rsidRDefault="00C61316">
      <w:pPr>
        <w:tabs>
          <w:tab w:val="left" w:pos="709"/>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Es necesario mencionar que en ejercicio de la facultad conferida en el artículo 159 primer párrafo de la Ley de Transparencia y Acceso a la Información Pública del Estado de México,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la Titular de la Unidad de Transparencia, requirió a la persona solicitante el mismo día en el que se tuvo por presentada la </w:t>
      </w:r>
      <w:proofErr w:type="gramStart"/>
      <w:r>
        <w:rPr>
          <w:rFonts w:ascii="Palatino Linotype" w:eastAsia="Palatino Linotype" w:hAnsi="Palatino Linotype" w:cs="Palatino Linotype"/>
        </w:rPr>
        <w:t>solicitud,  a</w:t>
      </w:r>
      <w:proofErr w:type="gramEnd"/>
      <w:r>
        <w:rPr>
          <w:rFonts w:ascii="Palatino Linotype" w:eastAsia="Palatino Linotype" w:hAnsi="Palatino Linotype" w:cs="Palatino Linotype"/>
        </w:rPr>
        <w:t xml:space="preserve"> efecto de que, dentro de los diez días hábiles siguientes, </w:t>
      </w:r>
      <w:r>
        <w:rPr>
          <w:rFonts w:ascii="Palatino Linotype" w:eastAsia="Palatino Linotype" w:hAnsi="Palatino Linotype" w:cs="Palatino Linotype"/>
          <w:b/>
        </w:rPr>
        <w:t>aclarara el periodo al que se refiere la solicitud.</w:t>
      </w:r>
    </w:p>
    <w:p w14:paraId="02979334" w14:textId="77777777" w:rsidR="009A1083" w:rsidRDefault="00C6131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desahogo de dicho requerimiento la persona solicitante precisó que requería información </w:t>
      </w:r>
      <w:r>
        <w:rPr>
          <w:rFonts w:ascii="Palatino Linotype" w:eastAsia="Palatino Linotype" w:hAnsi="Palatino Linotype" w:cs="Palatino Linotype"/>
          <w:b/>
        </w:rPr>
        <w:t>del ejercicio 2022</w:t>
      </w:r>
      <w:r>
        <w:rPr>
          <w:rFonts w:ascii="Palatino Linotype" w:eastAsia="Palatino Linotype" w:hAnsi="Palatino Linotype" w:cs="Palatino Linotype"/>
        </w:rPr>
        <w:t>.</w:t>
      </w:r>
    </w:p>
    <w:p w14:paraId="0BF6E525"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tenor, atendiendo al segundo párrafo del artículo 159 primer párrafo de la Ley de Transparencia, mismo que señala que el Sujeto Obligado atenderá la solicitud en los términos en que fue desahogado el requerimiento de información adicional, se colige que la materia de la solicitud es la siguiente:</w:t>
      </w:r>
    </w:p>
    <w:p w14:paraId="19C17937" w14:textId="77777777" w:rsidR="009A1083" w:rsidRDefault="00C61316">
      <w:pPr>
        <w:spacing w:before="240" w:after="240" w:line="360" w:lineRule="auto"/>
        <w:ind w:left="284"/>
        <w:jc w:val="both"/>
        <w:rPr>
          <w:rFonts w:ascii="Palatino Linotype" w:eastAsia="Palatino Linotype" w:hAnsi="Palatino Linotype" w:cs="Palatino Linotype"/>
          <w:b/>
        </w:rPr>
      </w:pPr>
      <w:r>
        <w:rPr>
          <w:rFonts w:ascii="Palatino Linotype" w:eastAsia="Palatino Linotype" w:hAnsi="Palatino Linotype" w:cs="Palatino Linotype"/>
        </w:rPr>
        <w:t>1.</w:t>
      </w:r>
      <w:r>
        <w:rPr>
          <w:rFonts w:ascii="Palatino Linotype" w:eastAsia="Palatino Linotype" w:hAnsi="Palatino Linotype" w:cs="Palatino Linotype"/>
          <w:b/>
        </w:rPr>
        <w:t xml:space="preserve"> </w:t>
      </w:r>
      <w:r>
        <w:rPr>
          <w:rFonts w:ascii="Palatino Linotype" w:eastAsia="Palatino Linotype" w:hAnsi="Palatino Linotype" w:cs="Palatino Linotype"/>
        </w:rPr>
        <w:t>Oficios del mes de diciembre de 2022, correspondientes a la Dirección de Administración.</w:t>
      </w:r>
    </w:p>
    <w:p w14:paraId="2E53E300" w14:textId="77777777" w:rsidR="009A1083" w:rsidRDefault="00C61316">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Una vez desahogada la aclaración por la persona solicitante, la Unidad de Transparencia notificó la respuesta emitida por el servidor público habilitado de la Dirección de Administración, quien, derivado de la búsqueda exhaustiva y razonable en los archivos a su cargo, manifestó que no era viable entregar la información solicitada vía SAIMEX, en las solicitudes 00010/METEPEC/IP/2023 y 00020/METEPEC/IP/2023, derivado de que constituye un cúmulo de documentos de un volumen considerable, que sobrepasa el peso máximo que soporta el SAIMEX, imposibilitando al entrega por dicha vía, además de que requiere de un procesamiento y revisión para verificar si contiene información que deba ser clasificada como confidencial y/o reservada, según sea el caso, cuya entrega y procesamiento sobrepasa las capacidades técnicas, administrativas y humanas de la unidad administrativa, precisando que:</w:t>
      </w:r>
    </w:p>
    <w:p w14:paraId="63385226" w14:textId="77777777" w:rsidR="009A1083" w:rsidRDefault="00C61316">
      <w:pPr>
        <w:widowControl w:val="0"/>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El personal que atiende los requerimientos relacionados a solicitudes de acceso a la información es reducido ya que se cuenta con una persona adscrita a la Dirección, encargada de realizar el proceso de búsqueda, análisis, procesamiento e integración de la información derivado de que aproximadamente el 70% de los oficios son susceptibles de contener datos personales, siendo necesario realizar la versión pública de los documentos, así como los cuadros de clasificación respectivos y solicitar al Comité de Transparencia sesione para la aprobación de las versiones públicas.</w:t>
      </w:r>
    </w:p>
    <w:p w14:paraId="02B46785" w14:textId="77777777" w:rsidR="009A1083" w:rsidRDefault="00C61316">
      <w:pPr>
        <w:widowControl w:val="0"/>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disponer de más personal de apoyo de las diferentes áreas adscritas a la Dirección de Administración, implica que descuiden sus demás actividades esenciales derivadas del ejercicio de sus funciones y atribuciones, lo cual es poco viable atendiendo a que la Dirección de Administración no sólo coadyuva con la </w:t>
      </w:r>
      <w:r>
        <w:rPr>
          <w:rFonts w:ascii="Palatino Linotype" w:eastAsia="Palatino Linotype" w:hAnsi="Palatino Linotype" w:cs="Palatino Linotype"/>
        </w:rPr>
        <w:lastRenderedPageBreak/>
        <w:t>Dirección de Transparencia y Gobierno Abierto en la atención de las solicitudes de acceso a la información pública que le corresponden, sino además debe atender diversas obligaciones en materia de transparencia que refiere el Título Quinto de la Ley de Transparencia Local.</w:t>
      </w:r>
    </w:p>
    <w:p w14:paraId="5DF3FDBB" w14:textId="77777777" w:rsidR="009A1083" w:rsidRDefault="00C61316">
      <w:pPr>
        <w:widowControl w:val="0"/>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El plazo legal que prevé la Ley de Transparencia Local para atender las solicitudes de acceso a la información es máximo de 15 días hábiles, con una prórroga máxima de 7 días hábiles, de acuerdo al artículo 163 del ordenamiento mencionado, plazo legal insuficiente atendiendo a que la fecha, la Dirección de Administración tiene en trámite para atender más de 40 solicitudes de información que ingresaron durante el mes de enero, además de 15 recursos de revisión y acuerdos de incumplimiento que fueron turnados a dicha Dependencia, trámites que vencen en próximos plazos y de las que se requiere información que también se debe realizar un procesamiento y revisión para verificar si contiene información clasificada como confidencial y/o reservada, descargarla o escanearla, según sea el caso.</w:t>
      </w:r>
    </w:p>
    <w:p w14:paraId="7459D369" w14:textId="77777777" w:rsidR="009A1083" w:rsidRDefault="00C61316">
      <w:pPr>
        <w:widowControl w:val="0"/>
        <w:numPr>
          <w:ilvl w:val="0"/>
          <w:numId w:val="2"/>
        </w:numPr>
        <w:pBdr>
          <w:top w:val="nil"/>
          <w:left w:val="nil"/>
          <w:bottom w:val="nil"/>
          <w:right w:val="nil"/>
          <w:between w:val="nil"/>
        </w:pBdr>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Se dispone de una computadora con el programa oportuno para elaborar versiones públicas necesarias para atender las solicitudes de información, aunado a ello solamente se cuenta con un escáner que es compartido con más áreas del Ayuntamiento, las cuales son fundamentales para el trabajo de cada una y que por ende no está a disposición todo el tiempo y únicamente para realizar los escaneos necesarios para atender a cada área, lo que genera pausas en el proceso de tratamiento a los documentos; agregando que la adquisición de nuevas computadoras y/o escáner no se encuentra contemplado dentro de los gastos a realizar para el ejercicio y por lo tanto no se contempla su viabilidad.</w:t>
      </w:r>
    </w:p>
    <w:p w14:paraId="35106A3E" w14:textId="77777777" w:rsidR="009A1083" w:rsidRDefault="00C61316">
      <w:pPr>
        <w:widowControl w:val="0"/>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Es importante mencionar que si bien el servidor público alegó la imposibilidad técnica y humana para dar contestación a las solicitudes a través de la modalidad elegida por la persona solicitante en el plazo que la normativa de la materia estipula, asimismo que con la finalidad de garantizar el derecho de acceso a la información y con el propósito de privilegiar una respuesta pronta y oportuna, puso a disposición de la persona solicitante la información en cualquiera de las modalidades que refiere la Ley y que tengan capacidades de almacenamiento como: copias simples o certificadas con costo, correo certificado, entrega digital con costo, privilegiando la gratuidad en la entrega de la información si la persona proporciona el dispositivo electrónico, o en su caso consulta directa, para lo cual proporcionó el procedimiento a seguir para el pago respectivo, de ser el caso, la dirección de las oficinas, los horarios de atención y el nombre del o los servidores públicos quienes le atenderían, y, finalmente, se hizo del conocimiento de la persona solicitante que la información estaría disponible por un periodo de sesenta días hábiles, sin embargo, no refirió de manera particular</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respecto a la solicitud 00010/METEPEC/IP/2023</w:t>
      </w:r>
      <w:r>
        <w:rPr>
          <w:rFonts w:ascii="Palatino Linotype" w:eastAsia="Palatino Linotype" w:hAnsi="Palatino Linotype" w:cs="Palatino Linotype"/>
        </w:rPr>
        <w:t>, que dio origen al recurso de revisión que se resuelve,</w:t>
      </w:r>
      <w:r>
        <w:rPr>
          <w:rFonts w:ascii="Palatino Linotype" w:eastAsia="Palatino Linotype" w:hAnsi="Palatino Linotype" w:cs="Palatino Linotype"/>
          <w:b/>
        </w:rPr>
        <w:t xml:space="preserve"> </w:t>
      </w:r>
      <w:r>
        <w:rPr>
          <w:rFonts w:ascii="Palatino Linotype" w:eastAsia="Palatino Linotype" w:hAnsi="Palatino Linotype" w:cs="Palatino Linotype"/>
        </w:rPr>
        <w:t>el formato en el que se encontraba la información y la cantidad exacta que representa la información solicitada.</w:t>
      </w:r>
    </w:p>
    <w:p w14:paraId="51C8932E" w14:textId="77777777" w:rsidR="009A1083" w:rsidRDefault="00C61316">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Conocida la respuesta por la persona solicitante, al no estar conforme con los términos de la misma interpuso el recurso de revisión que nos ocupa, donde señaló como motivo de inconformidad que no le fue entregada la información.</w:t>
      </w:r>
    </w:p>
    <w:p w14:paraId="16C33091" w14:textId="77777777" w:rsidR="009A1083" w:rsidRDefault="00C6131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Una vez admitido el recurso de revisión, en términos del artículo 185 fracción II</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 la Ley de Transparencia y Acceso a la Información Pública del Estado de México y </w:t>
      </w:r>
      <w:r>
        <w:rPr>
          <w:rFonts w:ascii="Palatino Linotype" w:eastAsia="Palatino Linotype" w:hAnsi="Palatino Linotype" w:cs="Palatino Linotype"/>
        </w:rPr>
        <w:lastRenderedPageBreak/>
        <w:t>Municipios, se integró el expediente y se puso a disposición de las partes para que, en un plazo máximo de siete días hábiles, manifestaran lo que a su derecho resultara conveniente, siendo ambas partes omisas en ejercer dicha prerrogativa.</w:t>
      </w:r>
    </w:p>
    <w:p w14:paraId="592AF0E2" w14:textId="77777777" w:rsidR="009A1083" w:rsidRDefault="00C61316">
      <w:pPr>
        <w:tabs>
          <w:tab w:val="left" w:pos="709"/>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Hasta este punto, los motivos de inconformidad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suponen que existió una omisión en el actuar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momento de realizar un cambio de modalidad, pues como ha quedado claro, la persona solicitante requirió que la información le fuera remitida mediante el SAIMEX, sistema que tiene como propósito facilitar en la entidad el ejercicio del derecho humano de acceso a la información pública, de forma sencilla y gratuita, como se ilustra a continuación: </w:t>
      </w:r>
    </w:p>
    <w:p w14:paraId="5F67EF82" w14:textId="77777777" w:rsidR="009A1083" w:rsidRDefault="00C61316">
      <w:pPr>
        <w:tabs>
          <w:tab w:val="left" w:pos="709"/>
        </w:tabs>
        <w:spacing w:line="360" w:lineRule="auto"/>
        <w:jc w:val="both"/>
        <w:rPr>
          <w:rFonts w:ascii="Palatino Linotype" w:eastAsia="Palatino Linotype" w:hAnsi="Palatino Linotype" w:cs="Palatino Linotype"/>
        </w:rPr>
      </w:pPr>
      <w:r>
        <w:rPr>
          <w:noProof/>
        </w:rPr>
        <w:drawing>
          <wp:inline distT="0" distB="0" distL="0" distR="0" wp14:anchorId="70882F6A" wp14:editId="338FD9FD">
            <wp:extent cx="5612130" cy="1790065"/>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612130" cy="1790065"/>
                    </a:xfrm>
                    <a:prstGeom prst="rect">
                      <a:avLst/>
                    </a:prstGeom>
                    <a:ln/>
                  </pic:spPr>
                </pic:pic>
              </a:graphicData>
            </a:graphic>
          </wp:inline>
        </w:drawing>
      </w:r>
    </w:p>
    <w:p w14:paraId="315C2D29"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w:t>
      </w:r>
      <w:r>
        <w:rPr>
          <w:rFonts w:ascii="Palatino Linotype" w:eastAsia="Palatino Linotype" w:hAnsi="Palatino Linotype" w:cs="Palatino Linotype"/>
          <w:b/>
          <w:u w:val="single"/>
        </w:rPr>
        <w:t>respecto al cambio de modalidad</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Pr>
          <w:rFonts w:ascii="Palatino Linotype" w:eastAsia="Palatino Linotype" w:hAnsi="Palatino Linotype" w:cs="Palatino Linotype"/>
          <w:b/>
        </w:rPr>
        <w:t>la modalidad en la que prefiere se otorgue el acceso a la información</w:t>
      </w:r>
      <w:r>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w:t>
      </w:r>
      <w:r>
        <w:rPr>
          <w:rFonts w:ascii="Palatino Linotype" w:eastAsia="Palatino Linotype" w:hAnsi="Palatino Linotype" w:cs="Palatino Linotype"/>
        </w:rPr>
        <w:lastRenderedPageBreak/>
        <w:t xml:space="preserve">la entidad, el Organismo Garante determinó en el formato de solicitud, que podría ser SAIMEX, </w:t>
      </w:r>
      <w:proofErr w:type="spellStart"/>
      <w:r>
        <w:rPr>
          <w:rFonts w:ascii="Palatino Linotype" w:eastAsia="Palatino Linotype" w:hAnsi="Palatino Linotype" w:cs="Palatino Linotype"/>
        </w:rPr>
        <w:t>CD-Rom</w:t>
      </w:r>
      <w:proofErr w:type="spellEnd"/>
      <w:r>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14:paraId="383D5D0E"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Por su parte, el artículo 158, dispone que, de manera excepcional, cuando de manera fundada y motivada lo determine el Sujeto Obligado, </w:t>
      </w:r>
      <w:r>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527AFCA" w14:textId="77777777" w:rsidR="009A1083" w:rsidRDefault="00C61316">
      <w:pPr>
        <w:spacing w:before="240" w:after="240" w:line="360" w:lineRule="auto"/>
        <w:jc w:val="both"/>
        <w:rPr>
          <w:rFonts w:ascii="Palatino Linotype" w:eastAsia="Palatino Linotype" w:hAnsi="Palatino Linotype" w:cs="Palatino Linotype"/>
        </w:rPr>
      </w:pPr>
      <w:bookmarkStart w:id="6" w:name="_heading=h.2et92p0" w:colFirst="0" w:colLast="0"/>
      <w:bookmarkEnd w:id="6"/>
      <w:r>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Pr>
          <w:rFonts w:ascii="Palatino Linotype" w:eastAsia="Palatino Linotype" w:hAnsi="Palatino Linotype" w:cs="Palatino Linotype"/>
          <w:vertAlign w:val="superscript"/>
        </w:rPr>
        <w:t xml:space="preserve"> </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7E8F99B7" w14:textId="77777777" w:rsidR="009A1083" w:rsidRDefault="00C61316">
      <w:pPr>
        <w:spacing w:before="120" w:after="120"/>
        <w:ind w:left="851"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“FUNDAMENTACIÓN Y MOTIVACIÓN DE LOS ACTOS ADMINISTRATIVOS</w:t>
      </w:r>
      <w:r>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Pr>
          <w:rFonts w:ascii="Palatino Linotype" w:eastAsia="Palatino Linotype" w:hAnsi="Palatino Linotype" w:cs="Palatino Linotype"/>
          <w:i/>
          <w:sz w:val="22"/>
          <w:szCs w:val="22"/>
        </w:rPr>
        <w:t>subincisos</w:t>
      </w:r>
      <w:proofErr w:type="spellEnd"/>
      <w:r>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660910AB" w14:textId="77777777" w:rsidR="009A1083" w:rsidRDefault="00C61316">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04D14E76" w14:textId="77777777" w:rsidR="009A1083" w:rsidRDefault="00C61316">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rPr>
        <w:t>“</w:t>
      </w:r>
      <w:r>
        <w:rPr>
          <w:rFonts w:ascii="Palatino Linotype" w:eastAsia="Palatino Linotype" w:hAnsi="Palatino Linotype" w:cs="Palatino Linotype"/>
          <w:b/>
          <w:i/>
          <w:sz w:val="22"/>
          <w:szCs w:val="22"/>
        </w:rPr>
        <w:t>Artículo 160.</w:t>
      </w:r>
      <w:r>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CBBAC47" w14:textId="77777777" w:rsidR="009A1083" w:rsidRDefault="00C61316">
      <w:pPr>
        <w:spacing w:before="120" w:after="120"/>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164.</w:t>
      </w:r>
      <w:r>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Pr>
          <w:rFonts w:ascii="Palatino Linotype" w:eastAsia="Palatino Linotype" w:hAnsi="Palatino Linotype" w:cs="Palatino Linotype"/>
          <w:b/>
          <w:i/>
          <w:sz w:val="22"/>
          <w:szCs w:val="22"/>
          <w:u w:val="single"/>
        </w:rPr>
        <w:t>el sujeto obligado deberá ofrecer otra u otras modalidades de entrega.</w:t>
      </w:r>
      <w:r>
        <w:rPr>
          <w:rFonts w:ascii="Palatino Linotype" w:eastAsia="Palatino Linotype" w:hAnsi="Palatino Linotype" w:cs="Palatino Linotype"/>
          <w:i/>
          <w:sz w:val="22"/>
          <w:szCs w:val="22"/>
        </w:rPr>
        <w:t xml:space="preserve"> En cualquier caso, se deberá fundar y motivar la necesidad de ofrecer otras modalidades.”</w:t>
      </w:r>
    </w:p>
    <w:p w14:paraId="76CD0E76"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3B0A9A6"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Pr>
          <w:rFonts w:ascii="Palatino Linotype" w:eastAsia="Palatino Linotype" w:hAnsi="Palatino Linotype" w:cs="Palatino Linotype"/>
          <w:b/>
        </w:rPr>
        <w:t>en la medida de lo posible, en la forma solicitada por el interesado, salvo que exista un impedimento justificado para atenderla</w:t>
      </w:r>
      <w:r>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Pr>
          <w:rFonts w:ascii="Palatino Linotype" w:eastAsia="Palatino Linotype" w:hAnsi="Palatino Linotype" w:cs="Palatino Linotype"/>
          <w:b/>
        </w:rPr>
        <w:t>sólo procede, en caso de que se acredite la imposibilidad de atenderla.</w:t>
      </w:r>
      <w:r>
        <w:rPr>
          <w:rFonts w:ascii="Palatino Linotype" w:eastAsia="Palatino Linotype" w:hAnsi="Palatino Linotype" w:cs="Palatino Linotype"/>
        </w:rPr>
        <w:t xml:space="preserve"> </w:t>
      </w:r>
    </w:p>
    <w:p w14:paraId="1B69049F"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cuando se justifique el impedimento, </w:t>
      </w:r>
      <w:r>
        <w:rPr>
          <w:rFonts w:ascii="Palatino Linotype" w:eastAsia="Palatino Linotype" w:hAnsi="Palatino Linotype" w:cs="Palatino Linotype"/>
          <w:b/>
        </w:rPr>
        <w:t>los Sujetos Obligados deberán ofrecer al particular otras modalidades de entrega que permita la información</w:t>
      </w:r>
      <w:r>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incluidos los electrónicos, lo que se robustece con el criterio 08/17, emitido por el Pleno del </w:t>
      </w:r>
      <w:r>
        <w:rPr>
          <w:rFonts w:ascii="Palatino Linotype" w:eastAsia="Palatino Linotype" w:hAnsi="Palatino Linotype" w:cs="Palatino Linotype"/>
        </w:rPr>
        <w:lastRenderedPageBreak/>
        <w:t>Instituto Nacional de Transparencia, Acceso a la Información y Protección de Datos Personales, el cual establece lo siguiente:</w:t>
      </w:r>
    </w:p>
    <w:p w14:paraId="26E30DE5" w14:textId="77777777" w:rsidR="009A1083" w:rsidRDefault="00C61316">
      <w:pPr>
        <w:spacing w:before="120" w:after="120"/>
        <w:ind w:left="851"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Pr>
          <w:rFonts w:ascii="Palatino Linotype" w:eastAsia="Palatino Linotype" w:hAnsi="Palatino Linotype" w:cs="Palatino Linotype"/>
          <w:b/>
          <w:i/>
          <w:sz w:val="22"/>
          <w:szCs w:val="22"/>
        </w:rPr>
        <w:t>.”</w:t>
      </w:r>
    </w:p>
    <w:p w14:paraId="6F98E4A1"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Del citado criterio, se desprende que cuando</w:t>
      </w:r>
      <w:r>
        <w:rPr>
          <w:rFonts w:ascii="Palatino Linotype" w:eastAsia="Palatino Linotype" w:hAnsi="Palatino Linotype" w:cs="Palatino Linotype"/>
          <w:b/>
        </w:rPr>
        <w:t xml:space="preserve"> la información no pueda entregarse o enviarse en la modalidad elegida, </w:t>
      </w:r>
      <w:r>
        <w:rPr>
          <w:rFonts w:ascii="Palatino Linotype" w:eastAsia="Palatino Linotype" w:hAnsi="Palatino Linotype" w:cs="Palatino Linotype"/>
        </w:rPr>
        <w:t xml:space="preserve">para que la obligación de acceso a la información se tenga por cumplida, </w:t>
      </w:r>
      <w:r>
        <w:rPr>
          <w:rFonts w:ascii="Palatino Linotype" w:eastAsia="Palatino Linotype" w:hAnsi="Palatino Linotype" w:cs="Palatino Linotype"/>
          <w:b/>
        </w:rPr>
        <w:t>el Sujeto Obligado deberá ofrecer otra u otras modalidades de entrega.</w:t>
      </w:r>
      <w:r>
        <w:rPr>
          <w:rFonts w:ascii="Palatino Linotype" w:eastAsia="Palatino Linotype" w:hAnsi="Palatino Linotype" w:cs="Palatino Linotype"/>
        </w:rPr>
        <w:t xml:space="preserve"> En cualquier caso, </w:t>
      </w:r>
      <w:r>
        <w:rPr>
          <w:rFonts w:ascii="Palatino Linotype" w:eastAsia="Palatino Linotype" w:hAnsi="Palatino Linotype" w:cs="Palatino Linotype"/>
          <w:b/>
        </w:rPr>
        <w:t>se deberá fundar y motivar la necesidad de ofrecer otras modalidades</w:t>
      </w:r>
      <w:r>
        <w:rPr>
          <w:rFonts w:ascii="Palatino Linotype" w:eastAsia="Palatino Linotype" w:hAnsi="Palatino Linotype" w:cs="Palatino Linotype"/>
        </w:rPr>
        <w:t xml:space="preserve"> que lo permitan, </w:t>
      </w:r>
      <w:r>
        <w:rPr>
          <w:rFonts w:ascii="Palatino Linotype" w:eastAsia="Palatino Linotype" w:hAnsi="Palatino Linotype" w:cs="Palatino Linotype"/>
          <w:b/>
        </w:rPr>
        <w:t>procurando reducir los costos de entrega.</w:t>
      </w:r>
    </w:p>
    <w:p w14:paraId="5787D78B" w14:textId="77777777" w:rsidR="009A1083" w:rsidRDefault="00C613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164CE6F" w14:textId="77777777" w:rsidR="009A1083" w:rsidRDefault="00C61316">
      <w:pPr>
        <w:numPr>
          <w:ilvl w:val="0"/>
          <w:numId w:val="4"/>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Las razones por las cuales la información implicaba un análisis, estudio o procesamiento de datos;</w:t>
      </w:r>
    </w:p>
    <w:p w14:paraId="6350311E" w14:textId="77777777" w:rsidR="009A1083" w:rsidRDefault="00C61316">
      <w:pPr>
        <w:numPr>
          <w:ilvl w:val="0"/>
          <w:numId w:val="4"/>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t>El tiempo no es suficiente para atender la solicitud en la modalidad elegida, y</w:t>
      </w:r>
    </w:p>
    <w:p w14:paraId="16793FF7" w14:textId="77777777" w:rsidR="009A1083" w:rsidRDefault="00C61316">
      <w:pPr>
        <w:numPr>
          <w:ilvl w:val="0"/>
          <w:numId w:val="4"/>
        </w:numPr>
        <w:pBdr>
          <w:top w:val="nil"/>
          <w:left w:val="nil"/>
          <w:bottom w:val="nil"/>
          <w:right w:val="nil"/>
          <w:between w:val="nil"/>
        </w:pBdr>
        <w:tabs>
          <w:tab w:val="left" w:pos="567"/>
        </w:tabs>
        <w:spacing w:before="240" w:after="240" w:line="360" w:lineRule="auto"/>
        <w:ind w:left="284"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La cantidad de recursos humanos y materiales con los que cuenta el Sujeto Obligado son insuficientes.</w:t>
      </w:r>
    </w:p>
    <w:p w14:paraId="4497A811" w14:textId="77777777" w:rsidR="009A1083" w:rsidRDefault="00C6131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este tenor, toda vez que el oficio notificado en respuesta a la solicitud, no refería de manera particular solicitud de información 00010/METEPEC/IP/2023, el formato en el que se encontraba la información y la cantidad exacta que representa la información solicitada, este Organismo Garante realizó un requerimiento de información adicional a través del SAIMEX, con la finalidad de esclarecer si el presente asunto reunida los elementos necesarios para realizar el cambio de modalidad en la entrega de la información, y, en desahogo del mismo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 la Dirección de administración,  manifestó en lo medular lo siguiente:</w:t>
      </w:r>
      <w:r>
        <w:rPr>
          <w:noProof/>
        </w:rPr>
        <w:drawing>
          <wp:inline distT="0" distB="0" distL="0" distR="0" wp14:anchorId="30AA88B7" wp14:editId="194BAB1A">
            <wp:extent cx="5400000" cy="4019993"/>
            <wp:effectExtent l="0" t="0" r="0" b="0"/>
            <wp:docPr id="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25967" b="487"/>
                    <a:stretch>
                      <a:fillRect/>
                    </a:stretch>
                  </pic:blipFill>
                  <pic:spPr>
                    <a:xfrm>
                      <a:off x="0" y="0"/>
                      <a:ext cx="5400000" cy="4019993"/>
                    </a:xfrm>
                    <a:prstGeom prst="rect">
                      <a:avLst/>
                    </a:prstGeom>
                    <a:ln/>
                  </pic:spPr>
                </pic:pic>
              </a:graphicData>
            </a:graphic>
          </wp:inline>
        </w:drawing>
      </w:r>
    </w:p>
    <w:p w14:paraId="09177D01" w14:textId="77777777" w:rsidR="009A1083" w:rsidRDefault="00C61316">
      <w:pPr>
        <w:spacing w:before="240" w:after="240" w:line="360" w:lineRule="auto"/>
        <w:ind w:right="49"/>
        <w:jc w:val="center"/>
        <w:rPr>
          <w:rFonts w:ascii="Palatino Linotype" w:eastAsia="Palatino Linotype" w:hAnsi="Palatino Linotype" w:cs="Palatino Linotype"/>
          <w:b/>
        </w:rPr>
      </w:pPr>
      <w:r>
        <w:rPr>
          <w:noProof/>
        </w:rPr>
        <w:lastRenderedPageBreak/>
        <w:drawing>
          <wp:inline distT="0" distB="0" distL="0" distR="0" wp14:anchorId="06EFB707" wp14:editId="354D2BF6">
            <wp:extent cx="5438775" cy="317182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b="46549"/>
                    <a:stretch>
                      <a:fillRect/>
                    </a:stretch>
                  </pic:blipFill>
                  <pic:spPr>
                    <a:xfrm>
                      <a:off x="0" y="0"/>
                      <a:ext cx="5438775" cy="3171825"/>
                    </a:xfrm>
                    <a:prstGeom prst="rect">
                      <a:avLst/>
                    </a:prstGeom>
                    <a:ln/>
                  </pic:spPr>
                </pic:pic>
              </a:graphicData>
            </a:graphic>
          </wp:inline>
        </w:drawing>
      </w:r>
    </w:p>
    <w:p w14:paraId="65234742"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aprecia en la imagen anterior, el Director de Administración esclareció las razones por las cuales es necesario realizar el cambio de modalidad en la entrega de la información en el caso que nos ocupa, y especificó que una parte de la información materia de la solicitud se encontraba digitalizada y otra parte en formato físico, </w:t>
      </w:r>
      <w:r>
        <w:rPr>
          <w:rFonts w:ascii="Palatino Linotype" w:eastAsia="Palatino Linotype" w:hAnsi="Palatino Linotype" w:cs="Palatino Linotype"/>
          <w:b/>
        </w:rPr>
        <w:t xml:space="preserve">teniendo un peso aproximado de 800 MB </w:t>
      </w:r>
      <w:r>
        <w:rPr>
          <w:rFonts w:ascii="Palatino Linotype" w:eastAsia="Palatino Linotype" w:hAnsi="Palatino Linotype" w:cs="Palatino Linotype"/>
          <w:b/>
          <w:u w:val="single"/>
        </w:rPr>
        <w:t>la información digitalizada</w:t>
      </w:r>
      <w:r>
        <w:rPr>
          <w:rFonts w:ascii="Palatino Linotype" w:eastAsia="Palatino Linotype" w:hAnsi="Palatino Linotype" w:cs="Palatino Linotype"/>
        </w:rPr>
        <w:t xml:space="preserve">, y que </w:t>
      </w:r>
      <w:r>
        <w:rPr>
          <w:rFonts w:ascii="Palatino Linotype" w:eastAsia="Palatino Linotype" w:hAnsi="Palatino Linotype" w:cs="Palatino Linotype"/>
          <w:b/>
        </w:rPr>
        <w:t>la información que se encuentra en formato físico</w:t>
      </w:r>
      <w:r>
        <w:rPr>
          <w:rFonts w:ascii="Palatino Linotype" w:eastAsia="Palatino Linotype" w:hAnsi="Palatino Linotype" w:cs="Palatino Linotype"/>
        </w:rPr>
        <w:t xml:space="preserve"> que corresponde con los anexos de los oficios, </w:t>
      </w:r>
      <w:r>
        <w:rPr>
          <w:rFonts w:ascii="Palatino Linotype" w:eastAsia="Palatino Linotype" w:hAnsi="Palatino Linotype" w:cs="Palatino Linotype"/>
          <w:b/>
          <w:u w:val="single"/>
        </w:rPr>
        <w:t>tenía que ser escaneada</w:t>
      </w:r>
      <w:r>
        <w:rPr>
          <w:rFonts w:ascii="Palatino Linotype" w:eastAsia="Palatino Linotype" w:hAnsi="Palatino Linotype" w:cs="Palatino Linotype"/>
        </w:rPr>
        <w:t>.</w:t>
      </w:r>
    </w:p>
    <w:p w14:paraId="15719C26"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procedió a solicitar a la Dirección General de Informática de este Instituto el registro de la incidencia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donde se informó que </w:t>
      </w:r>
      <w:r>
        <w:rPr>
          <w:rFonts w:ascii="Palatino Linotype" w:eastAsia="Palatino Linotype" w:hAnsi="Palatino Linotype" w:cs="Palatino Linotype"/>
          <w:b/>
        </w:rPr>
        <w:t xml:space="preserve">se tenía registro de una incidencia, </w:t>
      </w:r>
      <w:r>
        <w:rPr>
          <w:rFonts w:ascii="Palatino Linotype" w:eastAsia="Palatino Linotype" w:hAnsi="Palatino Linotype" w:cs="Palatino Linotype"/>
        </w:rPr>
        <w:t>al</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tratar de subir información con un peso de 800 MB lo cual </w:t>
      </w:r>
      <w:r>
        <w:rPr>
          <w:rFonts w:ascii="Palatino Linotype" w:eastAsia="Palatino Linotype" w:hAnsi="Palatino Linotype" w:cs="Palatino Linotype"/>
          <w:b/>
          <w:u w:val="single"/>
        </w:rPr>
        <w:t>sobrepasa las capacidades técnicas del sistema SAIMEX</w:t>
      </w:r>
      <w:r>
        <w:rPr>
          <w:rFonts w:ascii="Palatino Linotype" w:eastAsia="Palatino Linotype" w:hAnsi="Palatino Linotype" w:cs="Palatino Linotype"/>
        </w:rPr>
        <w:t>.</w:t>
      </w:r>
    </w:p>
    <w:p w14:paraId="42802A3B" w14:textId="77777777" w:rsidR="009A1083" w:rsidRDefault="00C6131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tal contexto la imposibilidad para atender la solicitud de información 00010/METEPEC/IP/2023 a través del sistema SAIMEX, ha quedado demostrada.</w:t>
      </w:r>
    </w:p>
    <w:p w14:paraId="49E0FDC3"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Caber recordar que el artículo 158 de la Ley de la materia, dispone que cuando la información implique un análisis, estudio o procesamiento de documentos, cuya entrega o reproducción sobrepase las capacidades técnicas, administrativas y humanas del Sujeto Obligado, deberá poner la información a disposición del Solicitante en consulta directa.</w:t>
      </w:r>
    </w:p>
    <w:p w14:paraId="577403FF"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Aunado a lo descrito, el Organismo Garante Nacional, ha considerado que no resulta suficiente justificar una imposibilidad técnica y humana para acreditar un cambio de modalidad, sino que es necesario demostrar otros impedimentos, como que la información se encontrará en un formato diverso a lo solicitado, que fuera de imposible reproducción en el medio elegido por el Solicitante, que la información ameritara el cruce de información en los sistemas de datos, entre otros, argumentos que encuentran sustento dentro diversas de sus resoluciones de Recursos de Inconformidad, por enunciar algunas, RIA 136/20, RIA 140/20, RIA 153/20 RIA 237/20, RIA 257/20, RIA 258/20, ello con el fin de privilegiar el Principio de Gratuidad y Máxima Publicidad, por lo que en el presente caso el Sujeto Obligado proporcionó otras modalidades para de la entrega de la información, a través de su respuesta que adjuntó al Sistema de Acceso a la Información Mexiquense (SAIMEX); tal como copia simple o certificada; de disco compacto, medios de almacenamiento (USB), e incluso su envió a través de correo certificado previo pago de los costos de reproducción correspondientes, o sin costo si el Particular proporciona los medios para la entrega de la misma.</w:t>
      </w:r>
    </w:p>
    <w:p w14:paraId="18CA2588"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Aunado a lo anterior, resulta de suma importancia hacer énfasis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desde la respuesta inicial, el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garantizó el ejercicio del Derecho de Acceso a la Información en favor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considerando que con independencia de la consulta directa, se debían ofrecer otras formas de entrega, las cuales definió puntualmente, en los siguientes términos:</w:t>
      </w:r>
    </w:p>
    <w:p w14:paraId="1E0E885B" w14:textId="77777777" w:rsidR="009A1083" w:rsidRDefault="00C6131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Copias simples o certificadas, </w:t>
      </w:r>
      <w:r>
        <w:rPr>
          <w:rFonts w:ascii="Palatino Linotype" w:eastAsia="Palatino Linotype" w:hAnsi="Palatino Linotype" w:cs="Palatino Linotype"/>
        </w:rPr>
        <w:t xml:space="preserve">para lo cual deberá asistir a las oficinas de la Dirección de Transparencia y Gobierno Abierto a partir de haber realizado el pago correspondiente en la Tesorería Municipal, para solicitar las copias, en un horario de 17:00 a 18:00 horas, con el Director de Transparencia y Gobierno Abierto, en el domicilio de </w:t>
      </w:r>
      <w:proofErr w:type="gramStart"/>
      <w:r>
        <w:rPr>
          <w:rFonts w:ascii="Palatino Linotype" w:eastAsia="Palatino Linotype" w:hAnsi="Palatino Linotype" w:cs="Palatino Linotype"/>
        </w:rPr>
        <w:t>la  Dirección</w:t>
      </w:r>
      <w:proofErr w:type="gramEnd"/>
      <w:r>
        <w:rPr>
          <w:rFonts w:ascii="Palatino Linotype" w:eastAsia="Palatino Linotype" w:hAnsi="Palatino Linotype" w:cs="Palatino Linotype"/>
        </w:rPr>
        <w:t xml:space="preserve"> mismo que se proporciona en el acto.</w:t>
      </w:r>
    </w:p>
    <w:p w14:paraId="2E91DC82" w14:textId="77777777" w:rsidR="009A1083" w:rsidRDefault="00C6131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Correo certificado</w:t>
      </w:r>
      <w:r>
        <w:rPr>
          <w:rFonts w:ascii="Palatino Linotype" w:eastAsia="Palatino Linotype" w:hAnsi="Palatino Linotype" w:cs="Palatino Linotype"/>
        </w:rPr>
        <w:t>, previo pago de derechos en la Tesorería Municipal de las copias simples o certificadas, o el medio de almacenamiento para que se le remita la información a su domicilio, debiendo proporcionando su domicilio la Dirección de Transparencia y Gobierno Abierto, una vez cubierto el pago y proporcionado el domicilio, se hará llegar la información.</w:t>
      </w:r>
    </w:p>
    <w:p w14:paraId="2CC52BB6" w14:textId="77777777" w:rsidR="009A1083" w:rsidRDefault="00C6131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Entrega digital, </w:t>
      </w:r>
      <w:r>
        <w:rPr>
          <w:rFonts w:ascii="Palatino Linotype" w:eastAsia="Palatino Linotype" w:hAnsi="Palatino Linotype" w:cs="Palatino Linotype"/>
        </w:rPr>
        <w:t>privilegiando la gratuidad de la entrega de la información, el solicitante deberá llevar el dispositivo electrónico en el que se le proporcionará y/o grabará la información (disco compacto, dispositivo de almacenamiento), para lo cual deberá asistir a las oficinas de la Dirección de Transparencia y Gobierno Abierto, para lo cual se le proporciona la dirección, horario y nombre del servidor público que le atenderá.</w:t>
      </w:r>
    </w:p>
    <w:p w14:paraId="232ABFB5" w14:textId="77777777" w:rsidR="009A1083" w:rsidRDefault="00C61316">
      <w:pPr>
        <w:numPr>
          <w:ilvl w:val="0"/>
          <w:numId w:val="5"/>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Consulta directa, </w:t>
      </w:r>
      <w:r>
        <w:rPr>
          <w:rFonts w:ascii="Palatino Linotype" w:eastAsia="Palatino Linotype" w:hAnsi="Palatino Linotype" w:cs="Palatino Linotype"/>
        </w:rPr>
        <w:t>la persona solicitante deberá presentarse en las oficinas de la Dirección de Transparencia y Gobierno Abierto, para lo cual se le proporciona la dirección, el nombre del servidor público que le atenderá.</w:t>
      </w:r>
    </w:p>
    <w:p w14:paraId="3A094D62" w14:textId="77777777" w:rsidR="009A1083" w:rsidRDefault="00C6131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hizo del conocimiento a la persona solicitante que la información estará disponible, por un plazo mínimo de sesenta días naturales, en términos del segundo párrafo del artículo 166 de la Ley de Transparencia y Acceso a la Información Pública del Estado de México y Municipios.</w:t>
      </w:r>
    </w:p>
    <w:p w14:paraId="11EA7F26"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se colige que el Ayuntamiento de Metepec, como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acreditó la imposibilidad técnica para proporcionar la información solicitada a través del SAIMEX, toda vez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conformidad con los registros en la Bitácora de Incidencias, la misma sobrepasa las capacidades técnicas de dicho sistema; por lo cual, resulta procedente el cambio de modalidad en la entrega de la información y se pone a disposición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efectos de que se haga llegar de la misma.</w:t>
      </w:r>
    </w:p>
    <w:p w14:paraId="6C1C8069"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si bien el</w:t>
      </w:r>
      <w:r>
        <w:rPr>
          <w:rFonts w:ascii="Palatino Linotype" w:eastAsia="Palatino Linotype" w:hAnsi="Palatino Linotype" w:cs="Palatino Linotype"/>
          <w:b/>
        </w:rPr>
        <w:t xml:space="preserve"> Sujeto </w:t>
      </w:r>
      <w:proofErr w:type="gramStart"/>
      <w:r>
        <w:rPr>
          <w:rFonts w:ascii="Palatino Linotype" w:eastAsia="Palatino Linotype" w:hAnsi="Palatino Linotype" w:cs="Palatino Linotype"/>
          <w:b/>
        </w:rPr>
        <w:t>Obligado</w:t>
      </w:r>
      <w:r>
        <w:rPr>
          <w:rFonts w:ascii="Palatino Linotype" w:eastAsia="Palatino Linotype" w:hAnsi="Palatino Linotype" w:cs="Palatino Linotype"/>
        </w:rPr>
        <w:t xml:space="preserve">  hizo</w:t>
      </w:r>
      <w:proofErr w:type="gramEnd"/>
      <w:r>
        <w:rPr>
          <w:rFonts w:ascii="Palatino Linotype" w:eastAsia="Palatino Linotype" w:hAnsi="Palatino Linotype" w:cs="Palatino Linotype"/>
        </w:rPr>
        <w:t xml:space="preserve"> del conocimiento a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las respuestas a sus solicitudes, que la información estaría disponible para su consulta por un plazo de sesenta días hábiles, este se deberá volver a contar a partir del día siguiente al que se notifique la presente resolución, en términos del segundo párrafo del artículo 166 de la Ley de Transparencia y Acceso a la Información Pública del Estado de México y Municipios.</w:t>
      </w:r>
    </w:p>
    <w:p w14:paraId="1C773169"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 dentro del transcurso del término señalado en el párrafo anterior, la parte</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acude por la información,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debe remitir a este Instituto, por conducto de la Secretaría Técnica del Pleno, el acuse de recibo de la información de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sin embargo, si una vez fenecido el plazo, el </w:t>
      </w:r>
      <w:r>
        <w:rPr>
          <w:rFonts w:ascii="Palatino Linotype" w:eastAsia="Palatino Linotype" w:hAnsi="Palatino Linotype" w:cs="Palatino Linotype"/>
        </w:rPr>
        <w:lastRenderedPageBreak/>
        <w:t>solicitante no acudiera por los documentos ordenados,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mediante acuerdo </w:t>
      </w:r>
      <w:r>
        <w:rPr>
          <w:rFonts w:ascii="Palatino Linotype" w:eastAsia="Palatino Linotype" w:hAnsi="Palatino Linotype" w:cs="Palatino Linotype"/>
          <w:b/>
        </w:rPr>
        <w:t>dará por concluida la solicitud</w:t>
      </w:r>
      <w:r>
        <w:rPr>
          <w:rFonts w:ascii="Palatino Linotype" w:eastAsia="Palatino Linotype" w:hAnsi="Palatino Linotype" w:cs="Palatino Linotype"/>
        </w:rPr>
        <w:t xml:space="preserve"> y podrá, de ser el caso, realizar la destrucción del material en el que se reprodujo, situación que también deberá informar a este Instituto, por el mismo conducto.</w:t>
      </w:r>
    </w:p>
    <w:p w14:paraId="23AF46F6" w14:textId="77777777" w:rsidR="009A1083" w:rsidRDefault="00C6131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expuesto,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infundados, siendo procedente </w:t>
      </w:r>
      <w:r>
        <w:rPr>
          <w:rFonts w:ascii="Palatino Linotype" w:eastAsia="Palatino Linotype" w:hAnsi="Palatino Linotype" w:cs="Palatino Linotype"/>
          <w:i/>
        </w:rPr>
        <w:t xml:space="preserve">Confirmar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 términos del artículo 186, fracción II de la Ley de Transparencia y Acceso a la Información Pública del Estado de México y Municipios.</w:t>
      </w:r>
    </w:p>
    <w:p w14:paraId="16421F97" w14:textId="77777777" w:rsidR="009A1083" w:rsidRDefault="00C61316">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Así, con fundamento en lo prescrito en los artículos 5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1C29DA1" w14:textId="77777777" w:rsidR="009A1083" w:rsidRDefault="00C6131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2225DEB1" w14:textId="77777777" w:rsidR="009A1083" w:rsidRDefault="00C61316">
      <w:pPr>
        <w:spacing w:before="240" w:after="240" w:line="360" w:lineRule="auto"/>
        <w:jc w:val="both"/>
        <w:rPr>
          <w:rFonts w:ascii="Palatino Linotype" w:eastAsia="Palatino Linotype" w:hAnsi="Palatino Linotype" w:cs="Palatino Linotype"/>
        </w:rPr>
      </w:pPr>
      <w:bookmarkStart w:id="7" w:name="_heading=h.3rdcrjn" w:colFirst="0" w:colLast="0"/>
      <w:bookmarkEnd w:id="7"/>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Son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00779/INFOEM/IP/RR/2023</w:t>
      </w:r>
      <w:r>
        <w:rPr>
          <w:rFonts w:ascii="Palatino Linotype" w:eastAsia="Palatino Linotype" w:hAnsi="Palatino Linotype" w:cs="Palatino Linotype"/>
        </w:rPr>
        <w:t xml:space="preserve">, por lo que, en términos de los argumentos de derecho señalados en el considerando </w:t>
      </w:r>
      <w:r>
        <w:rPr>
          <w:rFonts w:ascii="Palatino Linotype" w:eastAsia="Palatino Linotype" w:hAnsi="Palatino Linotype" w:cs="Palatino Linotype"/>
          <w:b/>
        </w:rPr>
        <w:t>Cuarto</w:t>
      </w:r>
      <w:r>
        <w:rPr>
          <w:rFonts w:ascii="Palatino Linotype" w:eastAsia="Palatino Linotype" w:hAnsi="Palatino Linotype" w:cs="Palatino Linotype"/>
        </w:rPr>
        <w:t>, se</w:t>
      </w:r>
      <w:r>
        <w:rPr>
          <w:rFonts w:ascii="Palatino Linotype" w:eastAsia="Palatino Linotype" w:hAnsi="Palatino Linotype" w:cs="Palatino Linotype"/>
          <w:b/>
        </w:rPr>
        <w:t xml:space="preserve"> Confirma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21DCDE6F" w14:textId="77777777" w:rsidR="009A1083" w:rsidRDefault="00C6131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Notifíquese, </w:t>
      </w:r>
      <w:r>
        <w:rPr>
          <w:rFonts w:ascii="Palatino Linotype" w:eastAsia="Palatino Linotype" w:hAnsi="Palatino Linotype" w:cs="Palatino Linotype"/>
        </w:rPr>
        <w:t xml:space="preserve">al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su conocimiento, la presente resolución.</w:t>
      </w:r>
    </w:p>
    <w:p w14:paraId="314E004C" w14:textId="77777777" w:rsidR="009A1083" w:rsidRDefault="00C61316">
      <w:pPr>
        <w:spacing w:before="240" w:after="240" w:line="360" w:lineRule="auto"/>
        <w:jc w:val="both"/>
        <w:rPr>
          <w:rFonts w:ascii="Palatino Linotype" w:eastAsia="Palatino Linotype" w:hAnsi="Palatino Linotype" w:cs="Palatino Linotype"/>
        </w:rPr>
      </w:pPr>
      <w:bookmarkStart w:id="8" w:name="_heading=h.4d34og8" w:colFirst="0" w:colLast="0"/>
      <w:bookmarkEnd w:id="8"/>
      <w:r>
        <w:rPr>
          <w:rFonts w:ascii="Palatino Linotype" w:eastAsia="Palatino Linotype" w:hAnsi="Palatino Linotype" w:cs="Palatino Linotype"/>
          <w:b/>
        </w:rPr>
        <w:lastRenderedPageBreak/>
        <w:t xml:space="preserve"> Tercero.  Notifíquese, a</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86E3163" w14:textId="77777777" w:rsidR="009A1083" w:rsidRDefault="00C61316">
      <w:pPr>
        <w:spacing w:line="360" w:lineRule="auto"/>
        <w:jc w:val="both"/>
        <w:rPr>
          <w:rFonts w:ascii="Palatino Linotype" w:eastAsia="Palatino Linotype" w:hAnsi="Palatino Linotype" w:cs="Palatino Linotype"/>
        </w:rPr>
      </w:pPr>
      <w:bookmarkStart w:id="9" w:name="_heading=h.1fob9te" w:colFirst="0" w:colLast="0"/>
      <w:bookmarkEnd w:id="9"/>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TRIGÉSIMO SEXTA  SESIÓN ORDINARIA, CELEBRADA EL TRES DE OCTUBRE DE DOS MIL VEINTITRÉS, ANTE EL SECRETARIO TÉCNICO DEL PLENO ALEXIS TAPIA RAMÍREZ.</w:t>
      </w:r>
    </w:p>
    <w:bookmarkStart w:id="10" w:name="_heading=h.1t3h5sf" w:colFirst="0" w:colLast="0"/>
    <w:bookmarkEnd w:id="10"/>
    <w:p w14:paraId="56696B45" w14:textId="77777777" w:rsidR="009A1083" w:rsidRDefault="00FB6D7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6C9C3A7B" wp14:editId="407C70C7">
                <wp:simplePos x="0" y="0"/>
                <wp:positionH relativeFrom="margin">
                  <wp:align>right</wp:align>
                </wp:positionH>
                <wp:positionV relativeFrom="paragraph">
                  <wp:posOffset>24130</wp:posOffset>
                </wp:positionV>
                <wp:extent cx="5505450" cy="30003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505450" cy="3000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8F9F7"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1.9pt" to="815.8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" strokecolor="black [3200]" strokeweight="2pt">
                <v:shadow on="t" color="black" opacity="24903f" origin=",.5" offset="0,.55556mm"/>
                <w10:wrap anchorx="margin"/>
              </v:line>
            </w:pict>
          </mc:Fallback>
        </mc:AlternateContent>
      </w:r>
    </w:p>
    <w:p w14:paraId="25451AC6" w14:textId="77777777" w:rsidR="009A1083" w:rsidRDefault="009A1083">
      <w:pPr>
        <w:spacing w:line="360" w:lineRule="auto"/>
        <w:jc w:val="both"/>
        <w:rPr>
          <w:rFonts w:ascii="Palatino Linotype" w:eastAsia="Palatino Linotype" w:hAnsi="Palatino Linotype" w:cs="Palatino Linotype"/>
        </w:rPr>
      </w:pPr>
    </w:p>
    <w:p w14:paraId="6720D633" w14:textId="77777777" w:rsidR="009A1083" w:rsidRDefault="009A1083">
      <w:pPr>
        <w:spacing w:line="360" w:lineRule="auto"/>
        <w:jc w:val="both"/>
        <w:rPr>
          <w:rFonts w:ascii="Palatino Linotype" w:eastAsia="Palatino Linotype" w:hAnsi="Palatino Linotype" w:cs="Palatino Linotype"/>
        </w:rPr>
      </w:pPr>
    </w:p>
    <w:p w14:paraId="71C64C2C" w14:textId="77777777" w:rsidR="009A1083" w:rsidRDefault="009A1083">
      <w:pPr>
        <w:spacing w:line="360" w:lineRule="auto"/>
        <w:jc w:val="both"/>
        <w:rPr>
          <w:rFonts w:ascii="Palatino Linotype" w:eastAsia="Palatino Linotype" w:hAnsi="Palatino Linotype" w:cs="Palatino Linotype"/>
        </w:rPr>
      </w:pPr>
    </w:p>
    <w:p w14:paraId="5F653888" w14:textId="77777777" w:rsidR="00FB6D70" w:rsidRDefault="00FB6D70">
      <w:pPr>
        <w:spacing w:line="360" w:lineRule="auto"/>
        <w:jc w:val="both"/>
        <w:rPr>
          <w:rFonts w:ascii="Palatino Linotype" w:eastAsia="Palatino Linotype" w:hAnsi="Palatino Linotype" w:cs="Palatino Linotype"/>
        </w:rPr>
      </w:pPr>
    </w:p>
    <w:p w14:paraId="49369FAF" w14:textId="77777777" w:rsidR="00FB6D70" w:rsidRDefault="00FB6D70">
      <w:pPr>
        <w:spacing w:line="360" w:lineRule="auto"/>
        <w:jc w:val="both"/>
        <w:rPr>
          <w:rFonts w:ascii="Palatino Linotype" w:eastAsia="Palatino Linotype" w:hAnsi="Palatino Linotype" w:cs="Palatino Linotype"/>
        </w:rPr>
      </w:pPr>
    </w:p>
    <w:p w14:paraId="4F98D417" w14:textId="77777777" w:rsidR="009A1083" w:rsidRDefault="009A1083">
      <w:pPr>
        <w:spacing w:line="360" w:lineRule="auto"/>
        <w:jc w:val="both"/>
        <w:rPr>
          <w:rFonts w:ascii="Palatino Linotype" w:eastAsia="Palatino Linotype" w:hAnsi="Palatino Linotype" w:cs="Palatino Linotype"/>
        </w:rPr>
      </w:pPr>
    </w:p>
    <w:p w14:paraId="350D5631" w14:textId="77777777" w:rsidR="009A1083" w:rsidRDefault="009A1083">
      <w:pPr>
        <w:spacing w:line="360" w:lineRule="auto"/>
        <w:jc w:val="both"/>
        <w:rPr>
          <w:rFonts w:ascii="Palatino Linotype" w:eastAsia="Palatino Linotype" w:hAnsi="Palatino Linotype" w:cs="Palatino Linotype"/>
        </w:rPr>
      </w:pPr>
    </w:p>
    <w:p w14:paraId="5BB0557D" w14:textId="77777777" w:rsidR="009A1083" w:rsidRDefault="009A1083">
      <w:pPr>
        <w:spacing w:line="360" w:lineRule="auto"/>
        <w:jc w:val="both"/>
        <w:rPr>
          <w:rFonts w:ascii="Palatino Linotype" w:eastAsia="Palatino Linotype" w:hAnsi="Palatino Linotype" w:cs="Palatino Linotype"/>
        </w:rPr>
      </w:pPr>
    </w:p>
    <w:p w14:paraId="16CC8563" w14:textId="77777777" w:rsidR="009A1083" w:rsidRDefault="009A1083">
      <w:pPr>
        <w:spacing w:line="360" w:lineRule="auto"/>
        <w:jc w:val="both"/>
        <w:rPr>
          <w:rFonts w:ascii="Palatino Linotype" w:eastAsia="Palatino Linotype" w:hAnsi="Palatino Linotype" w:cs="Palatino Linotype"/>
        </w:rPr>
      </w:pPr>
    </w:p>
    <w:p w14:paraId="3F25ECCC" w14:textId="77777777" w:rsidR="009A1083" w:rsidRDefault="009A1083">
      <w:pPr>
        <w:spacing w:line="360" w:lineRule="auto"/>
        <w:jc w:val="both"/>
        <w:rPr>
          <w:rFonts w:ascii="Palatino Linotype" w:eastAsia="Palatino Linotype" w:hAnsi="Palatino Linotype" w:cs="Palatino Linotype"/>
        </w:rPr>
      </w:pPr>
    </w:p>
    <w:p w14:paraId="2CFA330A" w14:textId="77777777" w:rsidR="009A1083" w:rsidRDefault="009A1083">
      <w:pPr>
        <w:spacing w:line="360" w:lineRule="auto"/>
        <w:jc w:val="both"/>
        <w:rPr>
          <w:rFonts w:ascii="Palatino Linotype" w:eastAsia="Palatino Linotype" w:hAnsi="Palatino Linotype" w:cs="Palatino Linotype"/>
        </w:rPr>
      </w:pPr>
    </w:p>
    <w:sectPr w:rsidR="009A1083">
      <w:headerReference w:type="default" r:id="rId20"/>
      <w:footerReference w:type="default" r:id="rId21"/>
      <w:headerReference w:type="first" r:id="rId22"/>
      <w:footerReference w:type="first" r:id="rId2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5968F" w14:textId="77777777" w:rsidR="00C12B70" w:rsidRDefault="00C12B70">
      <w:r>
        <w:separator/>
      </w:r>
    </w:p>
  </w:endnote>
  <w:endnote w:type="continuationSeparator" w:id="0">
    <w:p w14:paraId="3924EB79" w14:textId="77777777" w:rsidR="00C12B70" w:rsidRDefault="00C12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6A707" w14:textId="77777777" w:rsidR="009A1083" w:rsidRDefault="00C613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03F6">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03F6">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72A2B5A5" w14:textId="77777777" w:rsidR="009A1083" w:rsidRDefault="009A108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A2D12" w14:textId="77777777" w:rsidR="009A1083" w:rsidRDefault="00C613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F03F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F03F6">
      <w:rPr>
        <w:rFonts w:ascii="Palatino Linotype" w:eastAsia="Palatino Linotype" w:hAnsi="Palatino Linotype" w:cs="Palatino Linotype"/>
        <w:b/>
        <w:noProof/>
        <w:color w:val="000000"/>
        <w:sz w:val="20"/>
        <w:szCs w:val="20"/>
      </w:rPr>
      <w:t>36</w:t>
    </w:r>
    <w:r>
      <w:rPr>
        <w:rFonts w:ascii="Palatino Linotype" w:eastAsia="Palatino Linotype" w:hAnsi="Palatino Linotype" w:cs="Palatino Linotype"/>
        <w:b/>
        <w:color w:val="000000"/>
        <w:sz w:val="20"/>
        <w:szCs w:val="20"/>
      </w:rPr>
      <w:fldChar w:fldCharType="end"/>
    </w:r>
  </w:p>
  <w:p w14:paraId="36CFE9A6" w14:textId="77777777" w:rsidR="009A1083" w:rsidRDefault="009A108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F51F2" w14:textId="77777777" w:rsidR="00C12B70" w:rsidRDefault="00C12B70">
      <w:r>
        <w:separator/>
      </w:r>
    </w:p>
  </w:footnote>
  <w:footnote w:type="continuationSeparator" w:id="0">
    <w:p w14:paraId="774EBC70" w14:textId="77777777" w:rsidR="00C12B70" w:rsidRDefault="00C12B70">
      <w:r>
        <w:continuationSeparator/>
      </w:r>
    </w:p>
  </w:footnote>
  <w:footnote w:id="1">
    <w:p w14:paraId="7410BE41" w14:textId="77777777" w:rsidR="009A1083" w:rsidRDefault="00C61316">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i/>
          <w:color w:val="000000"/>
          <w:sz w:val="16"/>
          <w:szCs w:val="16"/>
        </w:rPr>
        <w:t xml:space="preserve"> “</w:t>
      </w:r>
      <w:r>
        <w:rPr>
          <w:rFonts w:ascii="Palatino Linotype" w:eastAsia="Palatino Linotype" w:hAnsi="Palatino Linotype" w:cs="Palatino Linotype"/>
          <w:b/>
          <w:i/>
          <w:color w:val="000000"/>
          <w:sz w:val="16"/>
          <w:szCs w:val="16"/>
        </w:rPr>
        <w:t>Artículo 185.</w:t>
      </w:r>
      <w:r>
        <w:rPr>
          <w:rFonts w:ascii="Palatino Linotype" w:eastAsia="Palatino Linotype" w:hAnsi="Palatino Linotype" w:cs="Palatino Linotype"/>
          <w:i/>
          <w:color w:val="000000"/>
          <w:sz w:val="16"/>
          <w:szCs w:val="16"/>
        </w:rPr>
        <w:t xml:space="preserve"> El Instituto resolverá el recurso de revisión conforme a lo siguiente: (…)</w:t>
      </w:r>
    </w:p>
    <w:p w14:paraId="415FC025" w14:textId="77777777" w:rsidR="009A1083" w:rsidRDefault="00C61316">
      <w:pPr>
        <w:jc w:val="both"/>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115B2116" w14:textId="77777777" w:rsidR="009A1083" w:rsidRDefault="00C61316">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255C" w14:textId="77777777" w:rsidR="009A1083" w:rsidRDefault="00C61316">
    <w:pPr>
      <w:rPr>
        <w:rFonts w:ascii="Cambria" w:eastAsia="Cambria" w:hAnsi="Cambria" w:cs="Cambria"/>
        <w:color w:val="000000"/>
      </w:rPr>
    </w:pPr>
    <w:r>
      <w:rPr>
        <w:noProof/>
      </w:rPr>
      <w:drawing>
        <wp:anchor distT="0" distB="0" distL="0" distR="0" simplePos="0" relativeHeight="251658240" behindDoc="1" locked="0" layoutInCell="1" hidden="0" allowOverlap="1" wp14:anchorId="2A615A0E" wp14:editId="73C88DFE">
          <wp:simplePos x="0" y="0"/>
          <wp:positionH relativeFrom="column">
            <wp:posOffset>-1080119</wp:posOffset>
          </wp:positionH>
          <wp:positionV relativeFrom="paragraph">
            <wp:posOffset>-488297</wp:posOffset>
          </wp:positionV>
          <wp:extent cx="7809865" cy="10165715"/>
          <wp:effectExtent l="0" t="0" r="0" b="0"/>
          <wp:wrapNone/>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
      <w:tblW w:w="5953" w:type="dxa"/>
      <w:tblInd w:w="3261" w:type="dxa"/>
      <w:tblLayout w:type="fixed"/>
      <w:tblLook w:val="0400" w:firstRow="0" w:lastRow="0" w:firstColumn="0" w:lastColumn="0" w:noHBand="0" w:noVBand="1"/>
    </w:tblPr>
    <w:tblGrid>
      <w:gridCol w:w="2489"/>
      <w:gridCol w:w="3464"/>
    </w:tblGrid>
    <w:tr w:rsidR="009A1083" w14:paraId="42FB5B1B" w14:textId="77777777">
      <w:tc>
        <w:tcPr>
          <w:tcW w:w="2489" w:type="dxa"/>
          <w:shd w:val="clear" w:color="auto" w:fill="auto"/>
        </w:tcPr>
        <w:p w14:paraId="3580FB29"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0302B56" w14:textId="77777777" w:rsidR="009A1083" w:rsidRDefault="00C6131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00779/INFOEM/IP/RR/2023</w:t>
          </w:r>
        </w:p>
      </w:tc>
    </w:tr>
    <w:tr w:rsidR="009A1083" w14:paraId="3B755D60" w14:textId="77777777">
      <w:trPr>
        <w:trHeight w:val="228"/>
      </w:trPr>
      <w:tc>
        <w:tcPr>
          <w:tcW w:w="2489" w:type="dxa"/>
          <w:shd w:val="clear" w:color="auto" w:fill="auto"/>
          <w:vAlign w:val="center"/>
        </w:tcPr>
        <w:p w14:paraId="3FE304FB"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342F9CA" w14:textId="77777777" w:rsidR="009A1083" w:rsidRDefault="00C613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A1083" w14:paraId="477DCC96" w14:textId="77777777">
      <w:tc>
        <w:tcPr>
          <w:tcW w:w="2489" w:type="dxa"/>
          <w:shd w:val="clear" w:color="auto" w:fill="auto"/>
          <w:vAlign w:val="center"/>
        </w:tcPr>
        <w:p w14:paraId="208BFF0D" w14:textId="77777777" w:rsidR="009A1083" w:rsidRDefault="00C6131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C451AB" w14:textId="77777777" w:rsidR="009A1083" w:rsidRDefault="00C6131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1E6A90" w14:textId="77777777" w:rsidR="009A1083" w:rsidRDefault="00C6131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1FD9" w14:textId="77777777" w:rsidR="009A1083" w:rsidRDefault="00C6131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FFC5157" wp14:editId="3DC9716A">
          <wp:simplePos x="0" y="0"/>
          <wp:positionH relativeFrom="column">
            <wp:posOffset>-1079497</wp:posOffset>
          </wp:positionH>
          <wp:positionV relativeFrom="paragraph">
            <wp:posOffset>-328927</wp:posOffset>
          </wp:positionV>
          <wp:extent cx="7809865" cy="10165715"/>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670" w:type="dxa"/>
      <w:tblInd w:w="3261" w:type="dxa"/>
      <w:tblLayout w:type="fixed"/>
      <w:tblLook w:val="0400" w:firstRow="0" w:lastRow="0" w:firstColumn="0" w:lastColumn="0" w:noHBand="0" w:noVBand="1"/>
    </w:tblPr>
    <w:tblGrid>
      <w:gridCol w:w="2551"/>
      <w:gridCol w:w="3119"/>
    </w:tblGrid>
    <w:tr w:rsidR="009A1083" w14:paraId="7E802B04" w14:textId="77777777">
      <w:tc>
        <w:tcPr>
          <w:tcW w:w="2551" w:type="dxa"/>
          <w:shd w:val="clear" w:color="auto" w:fill="auto"/>
          <w:vAlign w:val="center"/>
        </w:tcPr>
        <w:p w14:paraId="2B458E6B"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6755665" w14:textId="77777777" w:rsidR="009A1083" w:rsidRDefault="00C6131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00779/INFOEM/IP/RR/2023</w:t>
          </w:r>
        </w:p>
      </w:tc>
    </w:tr>
    <w:tr w:rsidR="009A1083" w14:paraId="6FCEA627" w14:textId="77777777">
      <w:trPr>
        <w:trHeight w:val="130"/>
      </w:trPr>
      <w:tc>
        <w:tcPr>
          <w:tcW w:w="2551" w:type="dxa"/>
          <w:shd w:val="clear" w:color="auto" w:fill="auto"/>
          <w:vAlign w:val="center"/>
        </w:tcPr>
        <w:p w14:paraId="15FF3FDA"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C414A5C" w14:textId="77777777" w:rsidR="009A1083" w:rsidRDefault="009A1083">
          <w:pPr>
            <w:ind w:left="-45"/>
            <w:jc w:val="both"/>
            <w:rPr>
              <w:rFonts w:ascii="Palatino Linotype" w:eastAsia="Palatino Linotype" w:hAnsi="Palatino Linotype" w:cs="Palatino Linotype"/>
              <w:b/>
              <w:sz w:val="22"/>
              <w:szCs w:val="22"/>
            </w:rPr>
          </w:pPr>
        </w:p>
      </w:tc>
    </w:tr>
    <w:tr w:rsidR="009A1083" w14:paraId="5BF86A93" w14:textId="77777777">
      <w:trPr>
        <w:trHeight w:val="228"/>
      </w:trPr>
      <w:tc>
        <w:tcPr>
          <w:tcW w:w="2551" w:type="dxa"/>
          <w:shd w:val="clear" w:color="auto" w:fill="auto"/>
          <w:vAlign w:val="center"/>
        </w:tcPr>
        <w:p w14:paraId="65C91463"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E1FFB4B" w14:textId="77777777" w:rsidR="009A1083" w:rsidRDefault="00C6131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9A1083" w14:paraId="07A33090" w14:textId="77777777">
      <w:tc>
        <w:tcPr>
          <w:tcW w:w="2551" w:type="dxa"/>
          <w:shd w:val="clear" w:color="auto" w:fill="auto"/>
          <w:vAlign w:val="center"/>
        </w:tcPr>
        <w:p w14:paraId="641D6CD5" w14:textId="77777777" w:rsidR="009A1083" w:rsidRDefault="00C613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7E502A4" w14:textId="77777777" w:rsidR="009A1083" w:rsidRDefault="00C6131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A8AB5C5" w14:textId="77777777" w:rsidR="009A1083" w:rsidRDefault="009A1083">
    <w:pPr>
      <w:pBdr>
        <w:top w:val="nil"/>
        <w:left w:val="nil"/>
        <w:bottom w:val="nil"/>
        <w:right w:val="nil"/>
        <w:between w:val="nil"/>
      </w:pBdr>
      <w:tabs>
        <w:tab w:val="center" w:pos="4252"/>
        <w:tab w:val="right" w:pos="8504"/>
      </w:tabs>
      <w:rPr>
        <w:rFonts w:ascii="Cambria" w:eastAsia="Cambria" w:hAnsi="Cambria" w:cs="Cambria"/>
        <w:color w:val="000000"/>
      </w:rPr>
    </w:pPr>
  </w:p>
  <w:p w14:paraId="566BF58C" w14:textId="77777777" w:rsidR="009A1083" w:rsidRDefault="009A10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C67EB"/>
    <w:multiLevelType w:val="multilevel"/>
    <w:tmpl w:val="FDFEB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0327B"/>
    <w:multiLevelType w:val="multilevel"/>
    <w:tmpl w:val="BF107C4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214E687F"/>
    <w:multiLevelType w:val="multilevel"/>
    <w:tmpl w:val="482E5F4A"/>
    <w:lvl w:ilvl="0">
      <w:start w:val="1"/>
      <w:numFmt w:val="bullet"/>
      <w:pStyle w:val="Listaconvietas3"/>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3" w15:restartNumberingAfterBreak="0">
    <w:nsid w:val="28E646E6"/>
    <w:multiLevelType w:val="multilevel"/>
    <w:tmpl w:val="5EF8CE8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B9D13EA"/>
    <w:multiLevelType w:val="multilevel"/>
    <w:tmpl w:val="77DA68D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083"/>
    <w:rsid w:val="005D744B"/>
    <w:rsid w:val="006C69C1"/>
    <w:rsid w:val="009A1083"/>
    <w:rsid w:val="00B51FA4"/>
    <w:rsid w:val="00C12B70"/>
    <w:rsid w:val="00C61316"/>
    <w:rsid w:val="00FB6D70"/>
    <w:rsid w:val="00FF03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BAABA"/>
  <w15:docId w15:val="{EBC88F65-9B78-4526-A70F-25E803808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
    <w:tblPr>
      <w:tblStyleRowBandSize w:val="1"/>
      <w:tblStyleColBandSize w:val="1"/>
      <w:tblCellMar>
        <w:left w:w="115" w:type="dxa"/>
        <w:right w:w="115" w:type="dxa"/>
      </w:tblCellMar>
    </w:tblPr>
  </w:style>
  <w:style w:type="table" w:customStyle="1" w:styleId="15">
    <w:name w:val="15"/>
    <w:basedOn w:val="TableNormal6"/>
    <w:tblPr>
      <w:tblStyleRowBandSize w:val="1"/>
      <w:tblStyleColBandSize w:val="1"/>
      <w:tblCellMar>
        <w:left w:w="115" w:type="dxa"/>
        <w:right w:w="115" w:type="dxa"/>
      </w:tblCellMar>
    </w:tblPr>
  </w:style>
  <w:style w:type="table" w:customStyle="1" w:styleId="14">
    <w:name w:val="14"/>
    <w:basedOn w:val="TableNormal7"/>
    <w:tblPr>
      <w:tblStyleRowBandSize w:val="1"/>
      <w:tblStyleColBandSize w:val="1"/>
      <w:tblCellMar>
        <w:left w:w="115" w:type="dxa"/>
        <w:right w:w="115" w:type="dxa"/>
      </w:tblCellMar>
    </w:tblPr>
  </w:style>
  <w:style w:type="table" w:customStyle="1" w:styleId="13">
    <w:name w:val="13"/>
    <w:basedOn w:val="TableNormal7"/>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iJO5LxdiHrKLXD4gdo1Ll791tw==">CgMxLjAyCGguZ2pkZ3hzMgloLjNkeTZ2a20yCWguMzBqMHpsbDIJaC4yczhleW8xMghoLnR5amN3dDIJaC4zem55c2g3MgloLjJldDkycDAyCWguM3JkY3JqbjIJaC40ZDM0b2c4MgloLjFmb2I5dGUyCWguMXQzaDVzZjgAciExY09RcHdDTkVOYzltMG51Yktqc0hMaG1RZHdXSmtTVWk=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7572</Words>
  <Characters>41646</Characters>
  <Application>Microsoft Office Word</Application>
  <DocSecurity>4</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2023-10-04T16:30:00Z</cp:lastPrinted>
  <dcterms:created xsi:type="dcterms:W3CDTF">2023-10-26T20:46:00Z</dcterms:created>
  <dcterms:modified xsi:type="dcterms:W3CDTF">2023-10-26T20:46:00Z</dcterms:modified>
</cp:coreProperties>
</file>