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1556E" w14:textId="489C59C2"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D61317" w:rsidRPr="00771FC6">
        <w:rPr>
          <w:rFonts w:ascii="Palatino Linotype" w:eastAsia="Palatino Linotype" w:hAnsi="Palatino Linotype" w:cs="Palatino Linotype"/>
        </w:rPr>
        <w:t>del cuatro de mayo</w:t>
      </w:r>
      <w:r w:rsidR="00505885" w:rsidRPr="00771FC6">
        <w:rPr>
          <w:rFonts w:ascii="Palatino Linotype" w:eastAsia="Palatino Linotype" w:hAnsi="Palatino Linotype" w:cs="Palatino Linotype"/>
        </w:rPr>
        <w:t xml:space="preserve"> </w:t>
      </w:r>
      <w:r w:rsidRPr="00771FC6">
        <w:rPr>
          <w:rFonts w:ascii="Palatino Linotype" w:eastAsia="Palatino Linotype" w:hAnsi="Palatino Linotype" w:cs="Palatino Linotype"/>
        </w:rPr>
        <w:t>de dos mil veintitrés.</w:t>
      </w:r>
    </w:p>
    <w:p w14:paraId="38D72977"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315E7F2A" w14:textId="0982F69B"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b/>
        </w:rPr>
        <w:t>VISTO</w:t>
      </w:r>
      <w:r w:rsidRPr="00771FC6">
        <w:rPr>
          <w:rFonts w:ascii="Palatino Linotype" w:eastAsia="Palatino Linotype" w:hAnsi="Palatino Linotype" w:cs="Palatino Linotype"/>
        </w:rPr>
        <w:t xml:space="preserve"> el expediente formado con motivo del Recurso Revisión </w:t>
      </w:r>
      <w:r w:rsidR="00BD1089" w:rsidRPr="00771FC6">
        <w:rPr>
          <w:rFonts w:ascii="Palatino Linotype" w:eastAsia="Palatino Linotype" w:hAnsi="Palatino Linotype" w:cs="Palatino Linotype"/>
          <w:b/>
        </w:rPr>
        <w:t>16892</w:t>
      </w:r>
      <w:r w:rsidRPr="00771FC6">
        <w:rPr>
          <w:rFonts w:ascii="Palatino Linotype" w:eastAsia="Palatino Linotype" w:hAnsi="Palatino Linotype" w:cs="Palatino Linotype"/>
          <w:b/>
        </w:rPr>
        <w:t>/INFOEM/IP/RR/2022</w:t>
      </w:r>
      <w:r w:rsidRPr="00771FC6">
        <w:rPr>
          <w:rFonts w:ascii="Palatino Linotype" w:eastAsia="Palatino Linotype" w:hAnsi="Palatino Linotype" w:cs="Palatino Linotype"/>
        </w:rPr>
        <w:t xml:space="preserve">, promovido por </w:t>
      </w:r>
      <w:bookmarkStart w:id="0" w:name="_GoBack"/>
      <w:r w:rsidR="00692C4E">
        <w:rPr>
          <w:rFonts w:ascii="Palatino Linotype" w:eastAsia="Palatino Linotype" w:hAnsi="Palatino Linotype" w:cs="Palatino Linotype"/>
          <w:b/>
        </w:rPr>
        <w:t xml:space="preserve">XXXXXX </w:t>
      </w:r>
      <w:proofErr w:type="spellStart"/>
      <w:r w:rsidR="00692C4E">
        <w:rPr>
          <w:rFonts w:ascii="Palatino Linotype" w:eastAsia="Palatino Linotype" w:hAnsi="Palatino Linotype" w:cs="Palatino Linotype"/>
          <w:b/>
        </w:rPr>
        <w:t>XXXXXX</w:t>
      </w:r>
      <w:proofErr w:type="spellEnd"/>
      <w:r w:rsidR="00692C4E">
        <w:rPr>
          <w:rFonts w:ascii="Palatino Linotype" w:eastAsia="Palatino Linotype" w:hAnsi="Palatino Linotype" w:cs="Palatino Linotype"/>
          <w:b/>
        </w:rPr>
        <w:t xml:space="preserve"> XXXXXXX</w:t>
      </w:r>
      <w:bookmarkEnd w:id="0"/>
      <w:r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rPr>
        <w:t>a quien</w:t>
      </w:r>
      <w:r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rPr>
        <w:t xml:space="preserve">en lo sucesivo se denominará </w:t>
      </w:r>
      <w:r w:rsidR="00BD1089" w:rsidRPr="00771FC6">
        <w:rPr>
          <w:rFonts w:ascii="Palatino Linotype" w:eastAsia="Palatino Linotype" w:hAnsi="Palatino Linotype" w:cs="Palatino Linotype"/>
          <w:b/>
        </w:rPr>
        <w:t>EL RECURRENTE</w:t>
      </w:r>
      <w:r w:rsidRPr="00771FC6">
        <w:rPr>
          <w:rFonts w:ascii="Palatino Linotype" w:eastAsia="Palatino Linotype" w:hAnsi="Palatino Linotype" w:cs="Palatino Linotype"/>
        </w:rPr>
        <w:t xml:space="preserve">, en contra de la </w:t>
      </w:r>
      <w:r w:rsidR="00C014EC" w:rsidRPr="00771FC6">
        <w:rPr>
          <w:rFonts w:ascii="Palatino Linotype" w:eastAsia="Palatino Linotype" w:hAnsi="Palatino Linotype" w:cs="Palatino Linotype"/>
        </w:rPr>
        <w:t>e</w:t>
      </w:r>
      <w:r w:rsidRPr="00771FC6">
        <w:rPr>
          <w:rFonts w:ascii="Palatino Linotype" w:eastAsia="Palatino Linotype" w:hAnsi="Palatino Linotype" w:cs="Palatino Linotype"/>
        </w:rPr>
        <w:t xml:space="preserve"> respuesta por </w:t>
      </w:r>
      <w:r w:rsidR="00C014EC" w:rsidRPr="00771FC6">
        <w:rPr>
          <w:rFonts w:ascii="Palatino Linotype" w:eastAsia="Palatino Linotype" w:hAnsi="Palatino Linotype" w:cs="Palatino Linotype"/>
        </w:rPr>
        <w:t xml:space="preserve">parte del </w:t>
      </w:r>
      <w:r w:rsidR="00505885" w:rsidRPr="00771FC6">
        <w:rPr>
          <w:rFonts w:ascii="Palatino Linotype" w:eastAsia="Palatino Linotype" w:hAnsi="Palatino Linotype" w:cs="Palatino Linotype"/>
          <w:b/>
        </w:rPr>
        <w:t xml:space="preserve">Ayuntamiento de </w:t>
      </w:r>
      <w:r w:rsidR="00BD1089" w:rsidRPr="00771FC6">
        <w:rPr>
          <w:rFonts w:ascii="Palatino Linotype" w:eastAsia="Palatino Linotype" w:hAnsi="Palatino Linotype" w:cs="Palatino Linotype"/>
          <w:b/>
          <w:sz w:val="22"/>
          <w:szCs w:val="22"/>
        </w:rPr>
        <w:t>Tepotzotlán</w:t>
      </w:r>
      <w:r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rPr>
        <w:t>que</w:t>
      </w:r>
      <w:r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rPr>
        <w:t xml:space="preserve">en lo sucesivo se denominará </w:t>
      </w:r>
      <w:r w:rsidRPr="00771FC6">
        <w:rPr>
          <w:rFonts w:ascii="Palatino Linotype" w:eastAsia="Palatino Linotype" w:hAnsi="Palatino Linotype" w:cs="Palatino Linotype"/>
          <w:b/>
        </w:rPr>
        <w:t>EL SUJETO OBLIGADO</w:t>
      </w:r>
      <w:r w:rsidRPr="00771FC6">
        <w:rPr>
          <w:rFonts w:ascii="Palatino Linotype" w:eastAsia="Palatino Linotype" w:hAnsi="Palatino Linotype" w:cs="Palatino Linotype"/>
        </w:rPr>
        <w:t xml:space="preserve">, se procede a dictar la presente resolución con base en lo siguiente: </w:t>
      </w:r>
    </w:p>
    <w:p w14:paraId="11414C4C" w14:textId="77777777" w:rsidR="001A58C1" w:rsidRPr="00771FC6" w:rsidRDefault="001A58C1" w:rsidP="00771FC6">
      <w:pPr>
        <w:shd w:val="clear" w:color="auto" w:fill="FFFFFF" w:themeFill="background1"/>
        <w:jc w:val="center"/>
        <w:rPr>
          <w:rFonts w:ascii="Palatino Linotype" w:eastAsia="Palatino Linotype" w:hAnsi="Palatino Linotype" w:cs="Palatino Linotype"/>
        </w:rPr>
      </w:pPr>
    </w:p>
    <w:p w14:paraId="1118B184" w14:textId="77777777" w:rsidR="001A58C1" w:rsidRPr="00771FC6" w:rsidRDefault="00594609" w:rsidP="00771FC6">
      <w:pPr>
        <w:shd w:val="clear" w:color="auto" w:fill="FFFFFF" w:themeFill="background1"/>
        <w:jc w:val="center"/>
        <w:rPr>
          <w:rFonts w:ascii="Palatino Linotype" w:eastAsia="Palatino Linotype" w:hAnsi="Palatino Linotype" w:cs="Palatino Linotype"/>
          <w:b/>
          <w:sz w:val="28"/>
          <w:szCs w:val="28"/>
        </w:rPr>
      </w:pPr>
      <w:r w:rsidRPr="00771FC6">
        <w:rPr>
          <w:rFonts w:ascii="Palatino Linotype" w:eastAsia="Palatino Linotype" w:hAnsi="Palatino Linotype" w:cs="Palatino Linotype"/>
          <w:b/>
          <w:sz w:val="28"/>
          <w:szCs w:val="28"/>
        </w:rPr>
        <w:t>ANTECEDENTES</w:t>
      </w:r>
    </w:p>
    <w:p w14:paraId="7B5EC760" w14:textId="77777777" w:rsidR="001A58C1" w:rsidRPr="00771FC6" w:rsidRDefault="001A58C1" w:rsidP="00771FC6">
      <w:pPr>
        <w:shd w:val="clear" w:color="auto" w:fill="FFFFFF" w:themeFill="background1"/>
        <w:jc w:val="center"/>
        <w:rPr>
          <w:rFonts w:ascii="Palatino Linotype" w:eastAsia="Palatino Linotype" w:hAnsi="Palatino Linotype" w:cs="Palatino Linotype"/>
          <w:b/>
        </w:rPr>
      </w:pPr>
    </w:p>
    <w:p w14:paraId="7E13B771" w14:textId="77777777" w:rsidR="001A58C1" w:rsidRPr="00771FC6" w:rsidRDefault="001A58C1" w:rsidP="00771FC6">
      <w:pPr>
        <w:shd w:val="clear" w:color="auto" w:fill="FFFFFF" w:themeFill="background1"/>
        <w:jc w:val="center"/>
        <w:rPr>
          <w:rFonts w:ascii="Palatino Linotype" w:eastAsia="Palatino Linotype" w:hAnsi="Palatino Linotype" w:cs="Palatino Linotype"/>
          <w:b/>
        </w:rPr>
      </w:pPr>
    </w:p>
    <w:p w14:paraId="557156C5"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b/>
          <w:sz w:val="28"/>
          <w:szCs w:val="28"/>
        </w:rPr>
      </w:pPr>
      <w:r w:rsidRPr="00771FC6">
        <w:rPr>
          <w:rFonts w:ascii="Palatino Linotype" w:eastAsia="Palatino Linotype" w:hAnsi="Palatino Linotype" w:cs="Palatino Linotype"/>
          <w:b/>
          <w:sz w:val="28"/>
          <w:szCs w:val="28"/>
        </w:rPr>
        <w:t>I. De la Solicitud de Información</w:t>
      </w:r>
    </w:p>
    <w:p w14:paraId="781AB2FB" w14:textId="77777777" w:rsidR="00566A7C" w:rsidRPr="00771FC6" w:rsidRDefault="00941F06" w:rsidP="00771FC6">
      <w:pPr>
        <w:shd w:val="clear" w:color="auto" w:fill="FFFFFF" w:themeFill="background1"/>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rPr>
        <w:t>El</w:t>
      </w:r>
      <w:r w:rsidR="00594609" w:rsidRPr="00771FC6">
        <w:rPr>
          <w:rFonts w:ascii="Palatino Linotype" w:eastAsia="Palatino Linotype" w:hAnsi="Palatino Linotype" w:cs="Palatino Linotype"/>
        </w:rPr>
        <w:t xml:space="preserve"> </w:t>
      </w:r>
      <w:r w:rsidR="00BD1089" w:rsidRPr="00771FC6">
        <w:rPr>
          <w:rFonts w:ascii="Palatino Linotype" w:eastAsia="Palatino Linotype" w:hAnsi="Palatino Linotype" w:cs="Palatino Linotype"/>
          <w:b/>
        </w:rPr>
        <w:t>nueve</w:t>
      </w:r>
      <w:r w:rsidRPr="00771FC6">
        <w:rPr>
          <w:rFonts w:ascii="Palatino Linotype" w:eastAsia="Palatino Linotype" w:hAnsi="Palatino Linotype" w:cs="Palatino Linotype"/>
          <w:b/>
        </w:rPr>
        <w:t xml:space="preserve"> </w:t>
      </w:r>
      <w:r w:rsidR="00594609" w:rsidRPr="00771FC6">
        <w:rPr>
          <w:rFonts w:ascii="Palatino Linotype" w:eastAsia="Palatino Linotype" w:hAnsi="Palatino Linotype" w:cs="Palatino Linotype"/>
          <w:b/>
        </w:rPr>
        <w:t xml:space="preserve">de </w:t>
      </w:r>
      <w:r w:rsidR="003F4201" w:rsidRPr="00771FC6">
        <w:rPr>
          <w:rFonts w:ascii="Palatino Linotype" w:eastAsia="Palatino Linotype" w:hAnsi="Palatino Linotype" w:cs="Palatino Linotype"/>
          <w:b/>
        </w:rPr>
        <w:t>octubre</w:t>
      </w:r>
      <w:r w:rsidRPr="00771FC6">
        <w:rPr>
          <w:rFonts w:ascii="Palatino Linotype" w:eastAsia="Palatino Linotype" w:hAnsi="Palatino Linotype" w:cs="Palatino Linotype"/>
          <w:b/>
        </w:rPr>
        <w:t xml:space="preserve"> </w:t>
      </w:r>
      <w:r w:rsidR="00594609" w:rsidRPr="00771FC6">
        <w:rPr>
          <w:rFonts w:ascii="Palatino Linotype" w:eastAsia="Palatino Linotype" w:hAnsi="Palatino Linotype" w:cs="Palatino Linotype"/>
          <w:b/>
        </w:rPr>
        <w:t>de dos mil veintidós</w:t>
      </w:r>
      <w:r w:rsidR="00594609" w:rsidRPr="00771FC6">
        <w:rPr>
          <w:rFonts w:ascii="Palatino Linotype" w:eastAsia="Palatino Linotype" w:hAnsi="Palatino Linotype" w:cs="Palatino Linotype"/>
        </w:rPr>
        <w:t xml:space="preserve">, </w:t>
      </w:r>
      <w:r w:rsidR="00BD1089" w:rsidRPr="00771FC6">
        <w:rPr>
          <w:rFonts w:ascii="Palatino Linotype" w:eastAsia="Palatino Linotype" w:hAnsi="Palatino Linotype" w:cs="Palatino Linotype"/>
          <w:b/>
        </w:rPr>
        <w:t>EL RECURRENTE</w:t>
      </w:r>
      <w:r w:rsidR="00594609" w:rsidRPr="00771FC6">
        <w:rPr>
          <w:rFonts w:ascii="Palatino Linotype" w:eastAsia="Palatino Linotype" w:hAnsi="Palatino Linotype" w:cs="Palatino Linotype"/>
          <w:b/>
        </w:rPr>
        <w:t xml:space="preserve"> </w:t>
      </w:r>
      <w:r w:rsidR="00594609" w:rsidRPr="00771FC6">
        <w:rPr>
          <w:rFonts w:ascii="Palatino Linotype" w:eastAsia="Palatino Linotype" w:hAnsi="Palatino Linotype" w:cs="Palatino Linotype"/>
        </w:rPr>
        <w:t xml:space="preserve">presentó a través del Sistema de Acceso a la Información Mexiquense, que en lo subsecuente se denominara </w:t>
      </w:r>
      <w:r w:rsidR="00594609" w:rsidRPr="00771FC6">
        <w:rPr>
          <w:rFonts w:ascii="Palatino Linotype" w:eastAsia="Palatino Linotype" w:hAnsi="Palatino Linotype" w:cs="Palatino Linotype"/>
          <w:b/>
        </w:rPr>
        <w:t>EL SAIMEX</w:t>
      </w:r>
      <w:r w:rsidR="00594609" w:rsidRPr="00771FC6">
        <w:rPr>
          <w:rFonts w:ascii="Palatino Linotype" w:eastAsia="Palatino Linotype" w:hAnsi="Palatino Linotype" w:cs="Palatino Linotype"/>
        </w:rPr>
        <w:t xml:space="preserve"> ante </w:t>
      </w:r>
      <w:r w:rsidR="00594609" w:rsidRPr="00771FC6">
        <w:rPr>
          <w:rFonts w:ascii="Palatino Linotype" w:eastAsia="Palatino Linotype" w:hAnsi="Palatino Linotype" w:cs="Palatino Linotype"/>
          <w:b/>
        </w:rPr>
        <w:t>EL SUJETO OBLIGADO</w:t>
      </w:r>
      <w:r w:rsidR="00594609" w:rsidRPr="00771FC6">
        <w:rPr>
          <w:rFonts w:ascii="Palatino Linotype" w:eastAsia="Palatino Linotype" w:hAnsi="Palatino Linotype" w:cs="Palatino Linotype"/>
        </w:rPr>
        <w:t xml:space="preserve">, la solicitud de acceso a la Información Pública, a la cual se le asignó el número de expediente </w:t>
      </w:r>
      <w:r w:rsidR="00BD1089" w:rsidRPr="00771FC6">
        <w:rPr>
          <w:rFonts w:ascii="Palatino Linotype" w:eastAsia="Palatino Linotype" w:hAnsi="Palatino Linotype" w:cs="Palatino Linotype"/>
          <w:b/>
        </w:rPr>
        <w:t>00541/TEPOTZOT/IP/2022</w:t>
      </w:r>
      <w:r w:rsidR="00594609" w:rsidRPr="00771FC6">
        <w:rPr>
          <w:rFonts w:ascii="Palatino Linotype" w:eastAsia="Palatino Linotype" w:hAnsi="Palatino Linotype" w:cs="Palatino Linotype"/>
        </w:rPr>
        <w:t xml:space="preserve">, mediante </w:t>
      </w:r>
      <w:r w:rsidR="00566A7C" w:rsidRPr="00771FC6">
        <w:rPr>
          <w:rFonts w:ascii="Palatino Linotype" w:eastAsia="Palatino Linotype" w:hAnsi="Palatino Linotype" w:cs="Palatino Linotype"/>
        </w:rPr>
        <w:t>la cual requirió:</w:t>
      </w:r>
    </w:p>
    <w:p w14:paraId="33514B35" w14:textId="77777777" w:rsidR="00566A7C" w:rsidRPr="00771FC6" w:rsidRDefault="00566A7C" w:rsidP="00771FC6">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p>
    <w:p w14:paraId="50BF0C31" w14:textId="77777777" w:rsidR="00566A7C" w:rsidRPr="00771FC6" w:rsidRDefault="00566A7C" w:rsidP="00771FC6">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771FC6">
        <w:rPr>
          <w:rFonts w:ascii="Palatino Linotype" w:eastAsia="Palatino Linotype" w:hAnsi="Palatino Linotype" w:cs="Palatino Linotype"/>
          <w:i/>
          <w:sz w:val="22"/>
          <w:szCs w:val="22"/>
        </w:rPr>
        <w:t>“</w:t>
      </w:r>
      <w:r w:rsidR="00BD1089" w:rsidRPr="00771FC6">
        <w:rPr>
          <w:rFonts w:ascii="Palatino Linotype" w:eastAsia="Palatino Linotype" w:hAnsi="Palatino Linotype" w:cs="Palatino Linotype"/>
          <w:i/>
          <w:sz w:val="22"/>
          <w:szCs w:val="22"/>
        </w:rPr>
        <w:t xml:space="preserve">Cantidad de usuarios a los que se les ha restringido la opción de realizar comentarios en la página oficial del Ayuntamiento en la red social Facebook y de ser posible la lista con los nombres de estos usuarios. En el mismo sentido, se le solicita al sujeto obligado el fundamento legal bajo el que la jefatura de comunicación social restringe a los usuarios de comentar en las publicaciones de la </w:t>
      </w:r>
      <w:proofErr w:type="spellStart"/>
      <w:r w:rsidR="00BD1089" w:rsidRPr="00771FC6">
        <w:rPr>
          <w:rFonts w:ascii="Palatino Linotype" w:eastAsia="Palatino Linotype" w:hAnsi="Palatino Linotype" w:cs="Palatino Linotype"/>
          <w:i/>
          <w:sz w:val="22"/>
          <w:szCs w:val="22"/>
        </w:rPr>
        <w:t>pa+gina</w:t>
      </w:r>
      <w:proofErr w:type="spellEnd"/>
      <w:r w:rsidR="00BD1089" w:rsidRPr="00771FC6">
        <w:rPr>
          <w:rFonts w:ascii="Palatino Linotype" w:eastAsia="Palatino Linotype" w:hAnsi="Palatino Linotype" w:cs="Palatino Linotype"/>
          <w:i/>
          <w:sz w:val="22"/>
          <w:szCs w:val="22"/>
        </w:rPr>
        <w:t xml:space="preserve"> del ayuntamiento</w:t>
      </w:r>
      <w:r w:rsidRPr="00771FC6">
        <w:rPr>
          <w:rFonts w:ascii="Palatino Linotype" w:eastAsia="Palatino Linotype" w:hAnsi="Palatino Linotype" w:cs="Palatino Linotype"/>
          <w:i/>
          <w:sz w:val="22"/>
          <w:szCs w:val="22"/>
        </w:rPr>
        <w:t>” (Sic)</w:t>
      </w:r>
    </w:p>
    <w:p w14:paraId="4C4388C5"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i/>
          <w:sz w:val="22"/>
          <w:szCs w:val="22"/>
        </w:rPr>
      </w:pPr>
    </w:p>
    <w:p w14:paraId="55E2C6A8"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b/>
        </w:rPr>
        <w:t>MODALIDAD DE ENTREGA:</w:t>
      </w:r>
      <w:r w:rsidRPr="00771FC6">
        <w:rPr>
          <w:rFonts w:ascii="Palatino Linotype" w:eastAsia="Palatino Linotype" w:hAnsi="Palatino Linotype" w:cs="Palatino Linotype"/>
        </w:rPr>
        <w:t xml:space="preserve"> Vía </w:t>
      </w:r>
      <w:r w:rsidRPr="00771FC6">
        <w:rPr>
          <w:rFonts w:ascii="Palatino Linotype" w:eastAsia="Palatino Linotype" w:hAnsi="Palatino Linotype" w:cs="Palatino Linotype"/>
          <w:b/>
        </w:rPr>
        <w:t>SAIMEX.</w:t>
      </w:r>
    </w:p>
    <w:p w14:paraId="77EBF3BE" w14:textId="77777777" w:rsidR="003F4201" w:rsidRPr="00771FC6" w:rsidRDefault="003F4201" w:rsidP="00771FC6">
      <w:pPr>
        <w:shd w:val="clear" w:color="auto" w:fill="FFFFFF" w:themeFill="background1"/>
        <w:spacing w:line="360" w:lineRule="auto"/>
        <w:jc w:val="both"/>
        <w:rPr>
          <w:rFonts w:ascii="Palatino Linotype" w:hAnsi="Palatino Linotype"/>
          <w:b/>
          <w:sz w:val="28"/>
        </w:rPr>
      </w:pPr>
      <w:r w:rsidRPr="00771FC6">
        <w:rPr>
          <w:rFonts w:ascii="Palatino Linotype" w:hAnsi="Palatino Linotype"/>
          <w:b/>
          <w:sz w:val="28"/>
        </w:rPr>
        <w:lastRenderedPageBreak/>
        <w:t>II. Turno de requerimiento del Sujeto Obligado</w:t>
      </w:r>
    </w:p>
    <w:p w14:paraId="31F2C2A0" w14:textId="77777777" w:rsidR="003F4201" w:rsidRPr="00771FC6" w:rsidRDefault="003F4201" w:rsidP="00771FC6">
      <w:pPr>
        <w:shd w:val="clear" w:color="auto" w:fill="FFFFFF" w:themeFill="background1"/>
        <w:spacing w:line="360" w:lineRule="auto"/>
        <w:jc w:val="both"/>
        <w:rPr>
          <w:rFonts w:ascii="Palatino Linotype" w:hAnsi="Palatino Linotype"/>
          <w:bCs/>
        </w:rPr>
      </w:pPr>
      <w:r w:rsidRPr="00771FC6">
        <w:rPr>
          <w:rFonts w:ascii="Palatino Linotype" w:hAnsi="Palatino Linotype"/>
        </w:rPr>
        <w:t xml:space="preserve">En cumplimiento al artículo 162 de la Ley de Transparencia y Acceso a la Información Pública del Estado de México y Municipios, el </w:t>
      </w:r>
      <w:r w:rsidR="00BD1089" w:rsidRPr="00771FC6">
        <w:rPr>
          <w:rFonts w:ascii="Palatino Linotype" w:hAnsi="Palatino Linotype"/>
          <w:b/>
        </w:rPr>
        <w:t>once</w:t>
      </w:r>
      <w:r w:rsidRPr="00771FC6">
        <w:rPr>
          <w:rFonts w:ascii="Palatino Linotype" w:hAnsi="Palatino Linotype"/>
          <w:b/>
        </w:rPr>
        <w:t xml:space="preserve"> de octubre de dos mil veintidós</w:t>
      </w:r>
      <w:r w:rsidRPr="00771FC6">
        <w:rPr>
          <w:rFonts w:ascii="Palatino Linotype" w:hAnsi="Palatino Linotype"/>
        </w:rPr>
        <w:t xml:space="preserve">, el Titular de la Unidad de Transparencia del </w:t>
      </w:r>
      <w:r w:rsidRPr="00771FC6">
        <w:rPr>
          <w:rFonts w:ascii="Palatino Linotype" w:hAnsi="Palatino Linotype"/>
          <w:b/>
        </w:rPr>
        <w:t>SUJETO OBLIGADO</w:t>
      </w:r>
      <w:r w:rsidRPr="00771FC6">
        <w:rPr>
          <w:rFonts w:ascii="Palatino Linotype" w:hAnsi="Palatino Linotype"/>
        </w:rPr>
        <w:t xml:space="preserve">, turnó los requerimientos de información a los servidores públicos habilitados que estimó pertinente, a fin de colmar la solicitud de acceso a la información; </w:t>
      </w:r>
      <w:r w:rsidRPr="00771FC6">
        <w:rPr>
          <w:rFonts w:ascii="Palatino Linotype" w:hAnsi="Palatino Linotype"/>
          <w:bCs/>
        </w:rPr>
        <w:t>tal y como, se aprecia en la siguiente imagen:</w:t>
      </w:r>
    </w:p>
    <w:p w14:paraId="49213EAE" w14:textId="77777777" w:rsidR="003F4201" w:rsidRPr="00771FC6" w:rsidRDefault="00BD1089" w:rsidP="00771FC6">
      <w:pPr>
        <w:shd w:val="clear" w:color="auto" w:fill="FFFFFF" w:themeFill="background1"/>
        <w:spacing w:line="360" w:lineRule="auto"/>
        <w:jc w:val="both"/>
        <w:rPr>
          <w:rFonts w:ascii="Palatino Linotype" w:eastAsia="Palatino Linotype" w:hAnsi="Palatino Linotype" w:cs="Palatino Linotype"/>
          <w:b/>
          <w:sz w:val="28"/>
          <w:szCs w:val="28"/>
        </w:rPr>
      </w:pPr>
      <w:r w:rsidRPr="00771FC6">
        <w:rPr>
          <w:rFonts w:ascii="Palatino Linotype" w:eastAsia="Palatino Linotype" w:hAnsi="Palatino Linotype" w:cs="Palatino Linotype"/>
          <w:b/>
          <w:noProof/>
          <w:sz w:val="28"/>
          <w:szCs w:val="28"/>
        </w:rPr>
        <w:drawing>
          <wp:inline distT="0" distB="0" distL="0" distR="0" wp14:anchorId="44F32387" wp14:editId="3EA6CC42">
            <wp:extent cx="5791835" cy="4902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90220"/>
                    </a:xfrm>
                    <a:prstGeom prst="rect">
                      <a:avLst/>
                    </a:prstGeom>
                  </pic:spPr>
                </pic:pic>
              </a:graphicData>
            </a:graphic>
          </wp:inline>
        </w:drawing>
      </w:r>
    </w:p>
    <w:p w14:paraId="1B6E68CA" w14:textId="77777777" w:rsidR="00DC41D9" w:rsidRPr="00771FC6" w:rsidRDefault="00DC41D9" w:rsidP="00771FC6">
      <w:pPr>
        <w:shd w:val="clear" w:color="auto" w:fill="FFFFFF" w:themeFill="background1"/>
        <w:spacing w:line="360" w:lineRule="auto"/>
        <w:jc w:val="both"/>
        <w:rPr>
          <w:rFonts w:ascii="Palatino Linotype" w:hAnsi="Palatino Linotype"/>
          <w:b/>
        </w:rPr>
      </w:pPr>
      <w:r w:rsidRPr="00771FC6">
        <w:rPr>
          <w:rFonts w:ascii="Palatino Linotype" w:hAnsi="Palatino Linotype"/>
          <w:b/>
        </w:rPr>
        <w:t>III. Prórroga</w:t>
      </w:r>
    </w:p>
    <w:p w14:paraId="75B6BD1C" w14:textId="77777777" w:rsidR="00DC41D9" w:rsidRPr="00771FC6" w:rsidRDefault="00DC41D9" w:rsidP="00771FC6">
      <w:pPr>
        <w:pStyle w:val="Prrafodelista"/>
        <w:shd w:val="clear" w:color="auto" w:fill="FFFFFF" w:themeFill="background1"/>
        <w:tabs>
          <w:tab w:val="left" w:pos="709"/>
        </w:tabs>
        <w:spacing w:line="360" w:lineRule="auto"/>
        <w:ind w:left="0"/>
        <w:jc w:val="both"/>
        <w:rPr>
          <w:rFonts w:ascii="Palatino Linotype" w:hAnsi="Palatino Linotype" w:cs="Arial"/>
        </w:rPr>
      </w:pPr>
      <w:r w:rsidRPr="00771FC6">
        <w:rPr>
          <w:rFonts w:ascii="Palatino Linotype" w:hAnsi="Palatino Linotype" w:cs="Arial"/>
        </w:rPr>
        <w:t xml:space="preserve">De las constancias que obran en el expediente electrónico del </w:t>
      </w:r>
      <w:r w:rsidRPr="00771FC6">
        <w:rPr>
          <w:rFonts w:ascii="Palatino Linotype" w:hAnsi="Palatino Linotype" w:cs="Arial"/>
          <w:b/>
        </w:rPr>
        <w:t>SAIMEX</w:t>
      </w:r>
      <w:r w:rsidRPr="00771FC6">
        <w:rPr>
          <w:rFonts w:ascii="Palatino Linotype" w:hAnsi="Palatino Linotype" w:cs="Arial"/>
        </w:rPr>
        <w:t xml:space="preserve">, se advierte que el </w:t>
      </w:r>
      <w:r w:rsidRPr="00771FC6">
        <w:rPr>
          <w:rFonts w:ascii="Palatino Linotype" w:hAnsi="Palatino Linotype" w:cs="Arial"/>
          <w:b/>
        </w:rPr>
        <w:t>treinta y uno de octubre</w:t>
      </w:r>
      <w:r w:rsidRPr="00771FC6">
        <w:rPr>
          <w:rFonts w:ascii="Palatino Linotype" w:hAnsi="Palatino Linotype" w:cs="Arial"/>
        </w:rPr>
        <w:t xml:space="preserve"> de dos mil veintidós, </w:t>
      </w:r>
      <w:r w:rsidRPr="00771FC6">
        <w:rPr>
          <w:rFonts w:ascii="Palatino Linotype" w:hAnsi="Palatino Linotype"/>
          <w:b/>
        </w:rPr>
        <w:t>EL SUJETO OBLIGADO</w:t>
      </w:r>
      <w:r w:rsidRPr="00771FC6">
        <w:rPr>
          <w:rFonts w:ascii="Palatino Linotype" w:hAnsi="Palatino Linotype" w:cs="Arial"/>
        </w:rPr>
        <w:t xml:space="preserve"> solicitó prórroga de siete días para recabar la información solicitada y dar cumplimiento a lo requerido por </w:t>
      </w:r>
      <w:r w:rsidRPr="00771FC6">
        <w:rPr>
          <w:rFonts w:ascii="Palatino Linotype" w:hAnsi="Palatino Linotype" w:cs="Arial"/>
          <w:b/>
        </w:rPr>
        <w:t>EL RECURRENTE</w:t>
      </w:r>
      <w:r w:rsidRPr="00771FC6">
        <w:rPr>
          <w:rFonts w:ascii="Palatino Linotype" w:hAnsi="Palatino Linotype" w:cs="Arial"/>
        </w:rPr>
        <w:t>, advirtiendo que dicha prórroga no cumple con lo establecido en el artículo 49, fracción II, así como en el artículo 163 segundo párrafo, de la Ley de Transparencia y Acceso a la Información Pública del Estado de México y Municipios.</w:t>
      </w:r>
    </w:p>
    <w:p w14:paraId="7E81D00E" w14:textId="77777777" w:rsidR="00DC41D9" w:rsidRPr="00771FC6" w:rsidRDefault="00DC41D9" w:rsidP="00771FC6">
      <w:pPr>
        <w:widowControl w:val="0"/>
        <w:shd w:val="clear" w:color="auto" w:fill="FFFFFF" w:themeFill="background1"/>
        <w:autoSpaceDE w:val="0"/>
        <w:autoSpaceDN w:val="0"/>
        <w:adjustRightInd w:val="0"/>
        <w:spacing w:line="360" w:lineRule="auto"/>
        <w:jc w:val="both"/>
        <w:rPr>
          <w:rFonts w:ascii="Palatino Linotype" w:eastAsia="Calibri" w:hAnsi="Palatino Linotype" w:cs="Arial"/>
          <w:b/>
          <w:bCs/>
          <w:lang w:val="es-ES" w:eastAsia="en-US"/>
        </w:rPr>
      </w:pPr>
    </w:p>
    <w:p w14:paraId="5517B713" w14:textId="77777777" w:rsidR="00DC41D9" w:rsidRPr="00771FC6" w:rsidRDefault="00DC41D9" w:rsidP="00771FC6">
      <w:pPr>
        <w:widowControl w:val="0"/>
        <w:shd w:val="clear" w:color="auto" w:fill="FFFFFF" w:themeFill="background1"/>
        <w:autoSpaceDE w:val="0"/>
        <w:autoSpaceDN w:val="0"/>
        <w:adjustRightInd w:val="0"/>
        <w:spacing w:line="360" w:lineRule="auto"/>
        <w:jc w:val="both"/>
        <w:rPr>
          <w:rFonts w:ascii="Palatino Linotype" w:eastAsia="Calibri" w:hAnsi="Palatino Linotype" w:cs="Arial"/>
          <w:lang w:val="es-ES" w:eastAsia="en-US"/>
        </w:rPr>
      </w:pPr>
      <w:r w:rsidRPr="00771FC6">
        <w:rPr>
          <w:rFonts w:ascii="Palatino Linotype" w:eastAsia="Calibri" w:hAnsi="Palatino Linotype" w:cs="Arial"/>
          <w:b/>
          <w:bCs/>
          <w:lang w:val="es-ES" w:eastAsia="en-US"/>
        </w:rPr>
        <w:t>IV.</w:t>
      </w:r>
      <w:r w:rsidRPr="00771FC6">
        <w:rPr>
          <w:rFonts w:ascii="Palatino Linotype" w:eastAsia="Calibri" w:hAnsi="Palatino Linotype" w:cs="Arial"/>
          <w:lang w:val="es-ES" w:eastAsia="en-US"/>
        </w:rPr>
        <w:t xml:space="preserve"> </w:t>
      </w:r>
      <w:r w:rsidRPr="00771FC6">
        <w:rPr>
          <w:rFonts w:ascii="Palatino Linotype" w:hAnsi="Palatino Linotype" w:cs="Arial"/>
          <w:b/>
        </w:rPr>
        <w:t>Respuesta del Sujeto Obligado</w:t>
      </w:r>
    </w:p>
    <w:p w14:paraId="09D735D6" w14:textId="77777777" w:rsidR="00DC41D9" w:rsidRPr="00771FC6" w:rsidRDefault="00DC41D9" w:rsidP="00771FC6">
      <w:pPr>
        <w:widowControl w:val="0"/>
        <w:shd w:val="clear" w:color="auto" w:fill="FFFFFF" w:themeFill="background1"/>
        <w:autoSpaceDE w:val="0"/>
        <w:autoSpaceDN w:val="0"/>
        <w:adjustRightInd w:val="0"/>
        <w:spacing w:line="360" w:lineRule="auto"/>
        <w:jc w:val="both"/>
        <w:rPr>
          <w:rFonts w:ascii="Palatino Linotype" w:hAnsi="Palatino Linotype" w:cs="Segoe UI"/>
        </w:rPr>
      </w:pPr>
      <w:r w:rsidRPr="00771FC6">
        <w:rPr>
          <w:rFonts w:ascii="Palatino Linotype" w:hAnsi="Palatino Linotype" w:cs="Segoe UI"/>
        </w:rPr>
        <w:t xml:space="preserve">El </w:t>
      </w:r>
      <w:r w:rsidRPr="00771FC6">
        <w:rPr>
          <w:rFonts w:ascii="Palatino Linotype" w:hAnsi="Palatino Linotype" w:cs="Segoe UI"/>
          <w:b/>
        </w:rPr>
        <w:t>diez de noviembre de dos mil veintidós</w:t>
      </w:r>
      <w:r w:rsidRPr="00771FC6">
        <w:rPr>
          <w:rFonts w:ascii="Palatino Linotype" w:hAnsi="Palatino Linotype" w:cs="Segoe UI"/>
        </w:rPr>
        <w:t xml:space="preserve">, </w:t>
      </w:r>
      <w:r w:rsidRPr="00771FC6">
        <w:rPr>
          <w:rFonts w:ascii="Palatino Linotype" w:hAnsi="Palatino Linotype" w:cs="Segoe UI"/>
          <w:b/>
          <w:bCs/>
        </w:rPr>
        <w:t>EL SU</w:t>
      </w:r>
      <w:r w:rsidRPr="00771FC6">
        <w:rPr>
          <w:rFonts w:ascii="Palatino Linotype" w:hAnsi="Palatino Linotype" w:cs="Segoe UI"/>
          <w:b/>
        </w:rPr>
        <w:t>JETO OBLIGADO</w:t>
      </w:r>
      <w:r w:rsidRPr="00771FC6">
        <w:rPr>
          <w:rFonts w:ascii="Palatino Linotype" w:hAnsi="Palatino Linotype" w:cs="Segoe UI"/>
        </w:rPr>
        <w:t xml:space="preserve"> dio respuesta a la solicitud de información en los siguientes términos:</w:t>
      </w:r>
    </w:p>
    <w:p w14:paraId="203915BB" w14:textId="77777777" w:rsidR="00DC41D9" w:rsidRPr="00771FC6" w:rsidRDefault="00DC41D9" w:rsidP="00771FC6">
      <w:pPr>
        <w:shd w:val="clear" w:color="auto" w:fill="FFFFFF" w:themeFill="background1"/>
        <w:spacing w:line="360" w:lineRule="auto"/>
        <w:ind w:right="900"/>
        <w:jc w:val="both"/>
        <w:textAlignment w:val="baseline"/>
        <w:rPr>
          <w:rFonts w:ascii="Palatino Linotype" w:eastAsia="Palatino Linotype" w:hAnsi="Palatino Linotype" w:cs="Palatino Linotype"/>
          <w:b/>
          <w:bCs/>
        </w:rPr>
      </w:pPr>
    </w:p>
    <w:p w14:paraId="4903693F" w14:textId="77777777" w:rsidR="00DC41D9" w:rsidRPr="00771FC6" w:rsidRDefault="00DC41D9" w:rsidP="00771FC6">
      <w:pPr>
        <w:shd w:val="clear" w:color="auto" w:fill="FFFFFF" w:themeFill="background1"/>
        <w:spacing w:line="360" w:lineRule="auto"/>
        <w:ind w:left="840" w:right="900"/>
        <w:jc w:val="both"/>
        <w:textAlignment w:val="baseline"/>
        <w:rPr>
          <w:rFonts w:ascii="Palatino Linotype" w:hAnsi="Palatino Linotype" w:cs="Segoe UI"/>
          <w:i/>
          <w:iCs/>
        </w:rPr>
      </w:pPr>
      <w:r w:rsidRPr="00771FC6">
        <w:rPr>
          <w:rFonts w:ascii="Palatino Linotype" w:hAnsi="Palatino Linotype" w:cs="Segoe UI"/>
          <w:i/>
          <w:iCs/>
        </w:rPr>
        <w:t xml:space="preserve">“En respuesta a la solicitud recibida, nos permitimos hacer de su conocimiento que con fundamento en el artículo 53, Fracciones: II, V y VI de </w:t>
      </w:r>
      <w:r w:rsidRPr="00771FC6">
        <w:rPr>
          <w:rFonts w:ascii="Palatino Linotype" w:hAnsi="Palatino Linotype" w:cs="Segoe UI"/>
          <w:i/>
          <w:iCs/>
        </w:rPr>
        <w:lastRenderedPageBreak/>
        <w:t>la Ley de Transparencia y Acceso a la Información Pública del Estado de México y Municipios, le contestamos que:</w:t>
      </w:r>
    </w:p>
    <w:p w14:paraId="22E96636" w14:textId="77777777" w:rsidR="00DC41D9" w:rsidRPr="00771FC6" w:rsidRDefault="00DC41D9" w:rsidP="00771FC6">
      <w:pPr>
        <w:shd w:val="clear" w:color="auto" w:fill="FFFFFF" w:themeFill="background1"/>
        <w:spacing w:line="360" w:lineRule="auto"/>
        <w:ind w:left="840" w:right="900"/>
        <w:jc w:val="both"/>
        <w:textAlignment w:val="baseline"/>
        <w:rPr>
          <w:rFonts w:ascii="Palatino Linotype" w:hAnsi="Palatino Linotype" w:cs="Segoe UI"/>
          <w:i/>
          <w:iCs/>
        </w:rPr>
      </w:pPr>
      <w:r w:rsidRPr="00771FC6">
        <w:rPr>
          <w:rFonts w:ascii="Palatino Linotype" w:hAnsi="Palatino Linotype" w:cs="Segoe UI"/>
          <w:i/>
          <w:iCs/>
        </w:rPr>
        <w:t>SE ADJUNTA RESPUESTA DE SERVIDOR PÚBLICO HABILITADO” (Sic)</w:t>
      </w:r>
    </w:p>
    <w:p w14:paraId="6F02F4AA" w14:textId="77777777" w:rsidR="00DC41D9" w:rsidRPr="00771FC6" w:rsidRDefault="00DC41D9" w:rsidP="00771FC6">
      <w:pPr>
        <w:shd w:val="clear" w:color="auto" w:fill="FFFFFF" w:themeFill="background1"/>
        <w:spacing w:line="360" w:lineRule="auto"/>
        <w:ind w:right="49"/>
        <w:jc w:val="both"/>
        <w:textAlignment w:val="baseline"/>
        <w:rPr>
          <w:rFonts w:ascii="Palatino Linotype" w:hAnsi="Palatino Linotype"/>
        </w:rPr>
      </w:pPr>
    </w:p>
    <w:p w14:paraId="5F710FCC" w14:textId="77777777" w:rsidR="00DC41D9" w:rsidRPr="00771FC6" w:rsidRDefault="00DC41D9" w:rsidP="00771FC6">
      <w:pPr>
        <w:shd w:val="clear" w:color="auto" w:fill="FFFFFF" w:themeFill="background1"/>
        <w:spacing w:line="360" w:lineRule="auto"/>
        <w:ind w:right="49"/>
        <w:jc w:val="both"/>
        <w:textAlignment w:val="baseline"/>
        <w:rPr>
          <w:rFonts w:ascii="Palatino Linotype" w:hAnsi="Palatino Linotype"/>
        </w:rPr>
      </w:pPr>
      <w:r w:rsidRPr="00771FC6">
        <w:rPr>
          <w:rFonts w:ascii="Palatino Linotype" w:hAnsi="Palatino Linotype"/>
        </w:rPr>
        <w:t xml:space="preserve">Adjunto a la respuesta </w:t>
      </w:r>
      <w:r w:rsidRPr="00771FC6">
        <w:rPr>
          <w:rFonts w:ascii="Palatino Linotype" w:hAnsi="Palatino Linotype"/>
          <w:b/>
        </w:rPr>
        <w:t xml:space="preserve">EL SUJETO OBLIGADO </w:t>
      </w:r>
      <w:r w:rsidRPr="00771FC6">
        <w:rPr>
          <w:rFonts w:ascii="Palatino Linotype" w:hAnsi="Palatino Linotype"/>
        </w:rPr>
        <w:t xml:space="preserve">remitió el archivo denominado </w:t>
      </w:r>
      <w:r w:rsidRPr="00771FC6">
        <w:rPr>
          <w:rFonts w:ascii="Palatino Linotype" w:hAnsi="Palatino Linotype"/>
          <w:i/>
        </w:rPr>
        <w:t>“</w:t>
      </w:r>
      <w:r w:rsidRPr="00771FC6">
        <w:rPr>
          <w:rFonts w:ascii="Palatino Linotype" w:hAnsi="Palatino Linotype"/>
        </w:rPr>
        <w:t>CS-096-2022.pdf</w:t>
      </w:r>
      <w:r w:rsidRPr="00771FC6">
        <w:rPr>
          <w:rFonts w:ascii="Palatino Linotype" w:hAnsi="Palatino Linotype"/>
          <w:i/>
        </w:rPr>
        <w:t>”</w:t>
      </w:r>
      <w:r w:rsidRPr="00771FC6">
        <w:rPr>
          <w:rFonts w:ascii="Palatino Linotype" w:hAnsi="Palatino Linotype"/>
        </w:rPr>
        <w:t xml:space="preserve"> mismo que se inserta a continuación:</w:t>
      </w:r>
    </w:p>
    <w:p w14:paraId="0F77F0A2" w14:textId="77777777" w:rsidR="00DC41D9" w:rsidRPr="00771FC6" w:rsidRDefault="00DC41D9" w:rsidP="00771FC6">
      <w:pPr>
        <w:shd w:val="clear" w:color="auto" w:fill="FFFFFF" w:themeFill="background1"/>
        <w:spacing w:line="360" w:lineRule="auto"/>
        <w:ind w:right="49"/>
        <w:jc w:val="both"/>
        <w:textAlignment w:val="baseline"/>
        <w:rPr>
          <w:rFonts w:ascii="Palatino Linotype" w:hAnsi="Palatino Linotype"/>
        </w:rPr>
      </w:pPr>
      <w:r w:rsidRPr="00771FC6">
        <w:rPr>
          <w:rFonts w:ascii="Palatino Linotype" w:hAnsi="Palatino Linotype"/>
          <w:noProof/>
        </w:rPr>
        <w:drawing>
          <wp:inline distT="0" distB="0" distL="0" distR="0" wp14:anchorId="1FF6CE21" wp14:editId="5A4E8CC5">
            <wp:extent cx="5115639" cy="4925112"/>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5639" cy="4925112"/>
                    </a:xfrm>
                    <a:prstGeom prst="rect">
                      <a:avLst/>
                    </a:prstGeom>
                  </pic:spPr>
                </pic:pic>
              </a:graphicData>
            </a:graphic>
          </wp:inline>
        </w:drawing>
      </w:r>
    </w:p>
    <w:p w14:paraId="0757436F" w14:textId="77777777" w:rsidR="001A58C1" w:rsidRPr="00771FC6" w:rsidRDefault="005A04C5" w:rsidP="00771FC6">
      <w:pPr>
        <w:pBdr>
          <w:top w:val="nil"/>
          <w:left w:val="nil"/>
          <w:bottom w:val="nil"/>
          <w:right w:val="nil"/>
          <w:between w:val="nil"/>
        </w:pBdr>
        <w:shd w:val="clear" w:color="auto" w:fill="FFFFFF" w:themeFill="background1"/>
        <w:tabs>
          <w:tab w:val="left" w:pos="709"/>
        </w:tabs>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b/>
          <w:sz w:val="28"/>
          <w:szCs w:val="28"/>
        </w:rPr>
        <w:lastRenderedPageBreak/>
        <w:t>V</w:t>
      </w:r>
      <w:r w:rsidR="00594609" w:rsidRPr="00771FC6">
        <w:rPr>
          <w:rFonts w:ascii="Palatino Linotype" w:eastAsia="Palatino Linotype" w:hAnsi="Palatino Linotype" w:cs="Palatino Linotype"/>
          <w:b/>
          <w:sz w:val="28"/>
          <w:szCs w:val="28"/>
        </w:rPr>
        <w:t>. Del Recurso Revisión</w:t>
      </w:r>
    </w:p>
    <w:p w14:paraId="39C29EDD"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 xml:space="preserve">Inconforme con la </w:t>
      </w:r>
      <w:r w:rsidR="003B1F15" w:rsidRPr="00771FC6">
        <w:rPr>
          <w:rFonts w:ascii="Palatino Linotype" w:eastAsia="Palatino Linotype" w:hAnsi="Palatino Linotype" w:cs="Palatino Linotype"/>
        </w:rPr>
        <w:t xml:space="preserve">falta de </w:t>
      </w:r>
      <w:r w:rsidRPr="00771FC6">
        <w:rPr>
          <w:rFonts w:ascii="Palatino Linotype" w:eastAsia="Palatino Linotype" w:hAnsi="Palatino Linotype" w:cs="Palatino Linotype"/>
        </w:rPr>
        <w:t xml:space="preserve">respuesta, </w:t>
      </w:r>
      <w:r w:rsidR="00CD2BE7" w:rsidRPr="00771FC6">
        <w:rPr>
          <w:rFonts w:ascii="Palatino Linotype" w:eastAsia="Palatino Linotype" w:hAnsi="Palatino Linotype" w:cs="Palatino Linotype"/>
        </w:rPr>
        <w:t>el</w:t>
      </w:r>
      <w:r w:rsidRPr="00771FC6">
        <w:rPr>
          <w:rFonts w:ascii="Palatino Linotype" w:eastAsia="Palatino Linotype" w:hAnsi="Palatino Linotype" w:cs="Palatino Linotype"/>
        </w:rPr>
        <w:t xml:space="preserve"> </w:t>
      </w:r>
      <w:r w:rsidR="003F4201" w:rsidRPr="00771FC6">
        <w:rPr>
          <w:rFonts w:ascii="Palatino Linotype" w:eastAsia="Palatino Linotype" w:hAnsi="Palatino Linotype" w:cs="Palatino Linotype"/>
          <w:b/>
        </w:rPr>
        <w:t>dieciséis</w:t>
      </w:r>
      <w:r w:rsidR="00CD2BE7"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b/>
        </w:rPr>
        <w:t xml:space="preserve">de </w:t>
      </w:r>
      <w:r w:rsidR="003F4201" w:rsidRPr="00771FC6">
        <w:rPr>
          <w:rFonts w:ascii="Palatino Linotype" w:eastAsia="Palatino Linotype" w:hAnsi="Palatino Linotype" w:cs="Palatino Linotype"/>
          <w:b/>
        </w:rPr>
        <w:t>noviembre</w:t>
      </w:r>
      <w:r w:rsidR="00CD2BE7"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b/>
        </w:rPr>
        <w:t>de dos mil veintidós</w:t>
      </w:r>
      <w:r w:rsidRPr="00771FC6">
        <w:rPr>
          <w:rFonts w:ascii="Palatino Linotype" w:eastAsia="Palatino Linotype" w:hAnsi="Palatino Linotype" w:cs="Palatino Linotype"/>
        </w:rPr>
        <w:t xml:space="preserve">, </w:t>
      </w:r>
      <w:r w:rsidR="00BD1089" w:rsidRPr="00771FC6">
        <w:rPr>
          <w:rFonts w:ascii="Palatino Linotype" w:eastAsia="Palatino Linotype" w:hAnsi="Palatino Linotype" w:cs="Palatino Linotype"/>
          <w:b/>
        </w:rPr>
        <w:t>EL RECURRENTE</w:t>
      </w:r>
      <w:r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rPr>
        <w:t xml:space="preserve">interpuso el Recurso Revisión sujeto del presente estudio, el cual fue registrado en </w:t>
      </w:r>
      <w:r w:rsidRPr="00771FC6">
        <w:rPr>
          <w:rFonts w:ascii="Palatino Linotype" w:eastAsia="Palatino Linotype" w:hAnsi="Palatino Linotype" w:cs="Palatino Linotype"/>
          <w:b/>
        </w:rPr>
        <w:t xml:space="preserve">EL SAIMEX, </w:t>
      </w:r>
      <w:r w:rsidRPr="00771FC6">
        <w:rPr>
          <w:rFonts w:ascii="Palatino Linotype" w:eastAsia="Palatino Linotype" w:hAnsi="Palatino Linotype" w:cs="Palatino Linotype"/>
        </w:rPr>
        <w:t xml:space="preserve">al que se le asignó el número de expediente </w:t>
      </w:r>
      <w:r w:rsidR="003F4201" w:rsidRPr="00771FC6">
        <w:rPr>
          <w:rFonts w:ascii="Palatino Linotype" w:eastAsia="Palatino Linotype" w:hAnsi="Palatino Linotype" w:cs="Palatino Linotype"/>
          <w:b/>
        </w:rPr>
        <w:t>16612</w:t>
      </w:r>
      <w:r w:rsidRPr="00771FC6">
        <w:rPr>
          <w:rFonts w:ascii="Palatino Linotype" w:eastAsia="Palatino Linotype" w:hAnsi="Palatino Linotype" w:cs="Palatino Linotype"/>
          <w:b/>
        </w:rPr>
        <w:t xml:space="preserve">/INFOEM/IP/RR/2022, </w:t>
      </w:r>
      <w:r w:rsidRPr="00771FC6">
        <w:rPr>
          <w:rFonts w:ascii="Palatino Linotype" w:eastAsia="Palatino Linotype" w:hAnsi="Palatino Linotype" w:cs="Palatino Linotype"/>
        </w:rPr>
        <w:t>en el que señaló como:</w:t>
      </w:r>
    </w:p>
    <w:p w14:paraId="7A555E32"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380BA32B"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b/>
        </w:rPr>
        <w:t xml:space="preserve">Acto Impugnado: </w:t>
      </w:r>
    </w:p>
    <w:p w14:paraId="317F7DF7" w14:textId="77777777" w:rsidR="001A58C1" w:rsidRPr="00771FC6" w:rsidRDefault="00594609" w:rsidP="00771FC6">
      <w:pPr>
        <w:shd w:val="clear" w:color="auto" w:fill="FFFFFF" w:themeFill="background1"/>
        <w:tabs>
          <w:tab w:val="left" w:pos="7936"/>
        </w:tabs>
        <w:ind w:left="851" w:right="902"/>
        <w:jc w:val="both"/>
        <w:rPr>
          <w:rFonts w:ascii="Palatino Linotype" w:eastAsia="Palatino Linotype" w:hAnsi="Palatino Linotype" w:cs="Palatino Linotype"/>
          <w:i/>
          <w:sz w:val="22"/>
          <w:szCs w:val="22"/>
        </w:rPr>
      </w:pPr>
      <w:r w:rsidRPr="00771FC6">
        <w:rPr>
          <w:rFonts w:ascii="Palatino Linotype" w:eastAsia="Palatino Linotype" w:hAnsi="Palatino Linotype" w:cs="Palatino Linotype"/>
          <w:i/>
          <w:sz w:val="22"/>
          <w:szCs w:val="22"/>
        </w:rPr>
        <w:t>“</w:t>
      </w:r>
      <w:r w:rsidR="00DC41D9" w:rsidRPr="00771FC6">
        <w:rPr>
          <w:rFonts w:ascii="Palatino Linotype" w:eastAsia="Palatino Linotype" w:hAnsi="Palatino Linotype" w:cs="Palatino Linotype"/>
          <w:i/>
          <w:sz w:val="22"/>
          <w:szCs w:val="22"/>
        </w:rPr>
        <w:t>El sujeto obligado ha mentido en su respuesta a solicitud de transparencia</w:t>
      </w:r>
      <w:r w:rsidRPr="00771FC6">
        <w:rPr>
          <w:rFonts w:ascii="Palatino Linotype" w:eastAsia="Palatino Linotype" w:hAnsi="Palatino Linotype" w:cs="Palatino Linotype"/>
          <w:i/>
          <w:sz w:val="22"/>
          <w:szCs w:val="22"/>
        </w:rPr>
        <w:t>” (Sic)</w:t>
      </w:r>
    </w:p>
    <w:p w14:paraId="0310424D" w14:textId="77777777" w:rsidR="001A58C1" w:rsidRPr="00771FC6" w:rsidRDefault="00594609" w:rsidP="00771FC6">
      <w:pPr>
        <w:pBdr>
          <w:top w:val="nil"/>
          <w:left w:val="nil"/>
          <w:bottom w:val="nil"/>
          <w:right w:val="nil"/>
          <w:between w:val="nil"/>
        </w:pBdr>
        <w:shd w:val="clear" w:color="auto" w:fill="FFFFFF" w:themeFill="background1"/>
        <w:spacing w:before="280" w:after="280"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b/>
        </w:rPr>
        <w:t>Así como Razones o Motivos de Inconformidad:</w:t>
      </w:r>
    </w:p>
    <w:p w14:paraId="21CC4816" w14:textId="77777777" w:rsidR="001A58C1" w:rsidRPr="00771FC6" w:rsidRDefault="00594609" w:rsidP="00771FC6">
      <w:pPr>
        <w:shd w:val="clear" w:color="auto" w:fill="FFFFFF" w:themeFill="background1"/>
        <w:ind w:left="851" w:right="899"/>
        <w:jc w:val="both"/>
        <w:rPr>
          <w:rFonts w:ascii="Palatino Linotype" w:eastAsia="Palatino Linotype" w:hAnsi="Palatino Linotype" w:cs="Palatino Linotype"/>
        </w:rPr>
      </w:pPr>
      <w:r w:rsidRPr="00771FC6">
        <w:rPr>
          <w:rFonts w:ascii="Palatino Linotype" w:eastAsia="Palatino Linotype" w:hAnsi="Palatino Linotype" w:cs="Palatino Linotype"/>
          <w:i/>
          <w:sz w:val="22"/>
          <w:szCs w:val="22"/>
        </w:rPr>
        <w:t>“</w:t>
      </w:r>
      <w:r w:rsidR="00DC41D9" w:rsidRPr="00771FC6">
        <w:rPr>
          <w:rFonts w:ascii="Palatino Linotype" w:eastAsia="Palatino Linotype" w:hAnsi="Palatino Linotype" w:cs="Palatino Linotype"/>
          <w:i/>
          <w:sz w:val="22"/>
          <w:szCs w:val="22"/>
        </w:rPr>
        <w:t xml:space="preserve">El sujeto obligado ha falseado información. Se le solicita el registro de usuarios bloqueados en la plataforma de la red social </w:t>
      </w:r>
      <w:proofErr w:type="spellStart"/>
      <w:r w:rsidR="00DC41D9" w:rsidRPr="00771FC6">
        <w:rPr>
          <w:rFonts w:ascii="Palatino Linotype" w:eastAsia="Palatino Linotype" w:hAnsi="Palatino Linotype" w:cs="Palatino Linotype"/>
          <w:i/>
          <w:sz w:val="22"/>
          <w:szCs w:val="22"/>
        </w:rPr>
        <w:t>facebook</w:t>
      </w:r>
      <w:proofErr w:type="spellEnd"/>
      <w:r w:rsidR="00DC41D9" w:rsidRPr="00771FC6">
        <w:rPr>
          <w:rFonts w:ascii="Palatino Linotype" w:eastAsia="Palatino Linotype" w:hAnsi="Palatino Linotype" w:cs="Palatino Linotype"/>
          <w:i/>
          <w:sz w:val="22"/>
          <w:szCs w:val="22"/>
        </w:rPr>
        <w:t xml:space="preserve"> correspondiente al ayuntamiento. En respuesta a esta solicitud, el jefe de comunicación social afirma que no ha bloqueado a usuario alguno, sin embargo, esto es falso pues la misma plataforma ha informado a distintos usuarios que han sido bloqueados por obra del mismo ayuntamiento. Se adjunta la evidencia</w:t>
      </w:r>
      <w:r w:rsidRPr="00771FC6">
        <w:rPr>
          <w:rFonts w:ascii="Palatino Linotype" w:eastAsia="Palatino Linotype" w:hAnsi="Palatino Linotype" w:cs="Palatino Linotype"/>
          <w:i/>
          <w:sz w:val="22"/>
          <w:szCs w:val="22"/>
        </w:rPr>
        <w:t>” (Sic)</w:t>
      </w:r>
    </w:p>
    <w:p w14:paraId="34F62BBE"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b/>
          <w:sz w:val="28"/>
          <w:szCs w:val="28"/>
        </w:rPr>
      </w:pPr>
    </w:p>
    <w:p w14:paraId="62F8E7E5" w14:textId="77777777" w:rsidR="00DC41D9" w:rsidRPr="00771FC6" w:rsidRDefault="00DC41D9" w:rsidP="00771FC6">
      <w:pPr>
        <w:shd w:val="clear" w:color="auto" w:fill="FFFFFF" w:themeFill="background1"/>
        <w:spacing w:line="360" w:lineRule="auto"/>
        <w:ind w:right="49"/>
        <w:jc w:val="both"/>
        <w:textAlignment w:val="baseline"/>
        <w:rPr>
          <w:rFonts w:ascii="Palatino Linotype" w:hAnsi="Palatino Linotype"/>
        </w:rPr>
      </w:pPr>
      <w:r w:rsidRPr="00771FC6">
        <w:rPr>
          <w:rFonts w:ascii="Palatino Linotype" w:hAnsi="Palatino Linotype"/>
        </w:rPr>
        <w:t xml:space="preserve">Adjunto a la interposición del presente medio de defensa </w:t>
      </w:r>
      <w:r w:rsidRPr="00771FC6">
        <w:rPr>
          <w:rFonts w:ascii="Palatino Linotype" w:hAnsi="Palatino Linotype"/>
          <w:b/>
        </w:rPr>
        <w:t>EL RECURRENTE</w:t>
      </w:r>
      <w:r w:rsidRPr="00771FC6">
        <w:rPr>
          <w:rFonts w:ascii="Palatino Linotype" w:hAnsi="Palatino Linotype"/>
        </w:rPr>
        <w:t xml:space="preserve"> remitió la imagen denominada </w:t>
      </w:r>
      <w:r w:rsidRPr="00771FC6">
        <w:rPr>
          <w:rFonts w:ascii="Palatino Linotype" w:hAnsi="Palatino Linotype"/>
          <w:i/>
        </w:rPr>
        <w:t>“</w:t>
      </w:r>
      <w:r w:rsidRPr="00771FC6">
        <w:rPr>
          <w:rFonts w:ascii="Palatino Linotype" w:hAnsi="Palatino Linotype"/>
        </w:rPr>
        <w:t>C3CBB054-1EE6-40A4-9067-B84F0D8BA1C3.png</w:t>
      </w:r>
      <w:r w:rsidRPr="00771FC6">
        <w:rPr>
          <w:rFonts w:ascii="Palatino Linotype" w:hAnsi="Palatino Linotype"/>
          <w:i/>
        </w:rPr>
        <w:t>”</w:t>
      </w:r>
      <w:r w:rsidRPr="00771FC6">
        <w:rPr>
          <w:rFonts w:ascii="Palatino Linotype" w:hAnsi="Palatino Linotype"/>
        </w:rPr>
        <w:t xml:space="preserve"> misma que se inserta a continuación:</w:t>
      </w:r>
    </w:p>
    <w:p w14:paraId="01E52E29" w14:textId="77777777" w:rsidR="00DC41D9" w:rsidRPr="00771FC6" w:rsidRDefault="00DC41D9" w:rsidP="00771FC6">
      <w:pPr>
        <w:shd w:val="clear" w:color="auto" w:fill="FFFFFF" w:themeFill="background1"/>
        <w:spacing w:line="360" w:lineRule="auto"/>
        <w:ind w:right="49"/>
        <w:jc w:val="both"/>
        <w:textAlignment w:val="baseline"/>
        <w:rPr>
          <w:rFonts w:ascii="Palatino Linotype" w:hAnsi="Palatino Linotype"/>
        </w:rPr>
      </w:pPr>
    </w:p>
    <w:p w14:paraId="502898EF" w14:textId="77777777" w:rsidR="00DC41D9" w:rsidRPr="00771FC6" w:rsidRDefault="00DC41D9" w:rsidP="00771FC6">
      <w:pPr>
        <w:shd w:val="clear" w:color="auto" w:fill="FFFFFF" w:themeFill="background1"/>
        <w:spacing w:line="360" w:lineRule="auto"/>
        <w:ind w:right="49"/>
        <w:jc w:val="both"/>
        <w:textAlignment w:val="baseline"/>
        <w:rPr>
          <w:rFonts w:ascii="Palatino Linotype" w:hAnsi="Palatino Linotype"/>
        </w:rPr>
      </w:pPr>
      <w:r w:rsidRPr="00771FC6">
        <w:rPr>
          <w:rFonts w:ascii="Palatino Linotype" w:hAnsi="Palatino Linotype"/>
          <w:noProof/>
        </w:rPr>
        <w:lastRenderedPageBreak/>
        <w:drawing>
          <wp:inline distT="0" distB="0" distL="0" distR="0" wp14:anchorId="127B5808" wp14:editId="20ECE50E">
            <wp:extent cx="5743575" cy="52482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0418" cy="5254528"/>
                    </a:xfrm>
                    <a:prstGeom prst="rect">
                      <a:avLst/>
                    </a:prstGeom>
                  </pic:spPr>
                </pic:pic>
              </a:graphicData>
            </a:graphic>
          </wp:inline>
        </w:drawing>
      </w:r>
    </w:p>
    <w:p w14:paraId="407FF1F4" w14:textId="77777777" w:rsidR="00DC41D9" w:rsidRPr="00771FC6" w:rsidRDefault="00DC41D9" w:rsidP="00771FC6">
      <w:pPr>
        <w:shd w:val="clear" w:color="auto" w:fill="FFFFFF" w:themeFill="background1"/>
        <w:spacing w:line="360" w:lineRule="auto"/>
        <w:jc w:val="both"/>
        <w:rPr>
          <w:rFonts w:ascii="Palatino Linotype" w:eastAsia="Palatino Linotype" w:hAnsi="Palatino Linotype" w:cs="Palatino Linotype"/>
          <w:b/>
          <w:sz w:val="28"/>
          <w:szCs w:val="28"/>
        </w:rPr>
      </w:pPr>
    </w:p>
    <w:p w14:paraId="0771E20E" w14:textId="77777777" w:rsidR="001A58C1" w:rsidRPr="00771FC6" w:rsidRDefault="003F4201" w:rsidP="00771FC6">
      <w:pPr>
        <w:shd w:val="clear" w:color="auto" w:fill="FFFFFF" w:themeFill="background1"/>
        <w:spacing w:line="360" w:lineRule="auto"/>
        <w:jc w:val="both"/>
        <w:rPr>
          <w:rFonts w:ascii="Palatino Linotype" w:eastAsia="Palatino Linotype" w:hAnsi="Palatino Linotype" w:cs="Palatino Linotype"/>
          <w:b/>
          <w:sz w:val="28"/>
          <w:szCs w:val="28"/>
        </w:rPr>
      </w:pPr>
      <w:r w:rsidRPr="00771FC6">
        <w:rPr>
          <w:rFonts w:ascii="Palatino Linotype" w:eastAsia="Palatino Linotype" w:hAnsi="Palatino Linotype" w:cs="Palatino Linotype"/>
          <w:b/>
          <w:sz w:val="28"/>
          <w:szCs w:val="28"/>
        </w:rPr>
        <w:t>V</w:t>
      </w:r>
      <w:r w:rsidR="00DC41D9" w:rsidRPr="00771FC6">
        <w:rPr>
          <w:rFonts w:ascii="Palatino Linotype" w:eastAsia="Palatino Linotype" w:hAnsi="Palatino Linotype" w:cs="Palatino Linotype"/>
          <w:b/>
          <w:sz w:val="28"/>
          <w:szCs w:val="28"/>
        </w:rPr>
        <w:t>I</w:t>
      </w:r>
      <w:r w:rsidR="00594609" w:rsidRPr="00771FC6">
        <w:rPr>
          <w:rFonts w:ascii="Palatino Linotype" w:eastAsia="Palatino Linotype" w:hAnsi="Palatino Linotype" w:cs="Palatino Linotype"/>
          <w:b/>
          <w:sz w:val="28"/>
          <w:szCs w:val="28"/>
        </w:rPr>
        <w:t>. Del turno del Recurso Revisión</w:t>
      </w:r>
    </w:p>
    <w:p w14:paraId="36F9E058" w14:textId="77777777" w:rsidR="001A58C1" w:rsidRPr="00771FC6" w:rsidRDefault="00BC066D"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 xml:space="preserve">El </w:t>
      </w:r>
      <w:r w:rsidR="00DC41D9" w:rsidRPr="00771FC6">
        <w:rPr>
          <w:rFonts w:ascii="Palatino Linotype" w:eastAsia="Palatino Linotype" w:hAnsi="Palatino Linotype" w:cs="Palatino Linotype"/>
          <w:b/>
        </w:rPr>
        <w:t>veinticuatro</w:t>
      </w:r>
      <w:r w:rsidRPr="00771FC6">
        <w:rPr>
          <w:rFonts w:ascii="Palatino Linotype" w:eastAsia="Palatino Linotype" w:hAnsi="Palatino Linotype" w:cs="Palatino Linotype"/>
          <w:b/>
        </w:rPr>
        <w:t xml:space="preserve"> de </w:t>
      </w:r>
      <w:r w:rsidR="003E4B4D" w:rsidRPr="00771FC6">
        <w:rPr>
          <w:rFonts w:ascii="Palatino Linotype" w:eastAsia="Palatino Linotype" w:hAnsi="Palatino Linotype" w:cs="Palatino Linotype"/>
          <w:b/>
        </w:rPr>
        <w:t>noviembre</w:t>
      </w:r>
      <w:r w:rsidRPr="00771FC6">
        <w:rPr>
          <w:rFonts w:ascii="Palatino Linotype" w:eastAsia="Palatino Linotype" w:hAnsi="Palatino Linotype" w:cs="Palatino Linotype"/>
          <w:b/>
        </w:rPr>
        <w:t xml:space="preserve"> </w:t>
      </w:r>
      <w:r w:rsidR="00594609" w:rsidRPr="00771FC6">
        <w:rPr>
          <w:rFonts w:ascii="Palatino Linotype" w:eastAsia="Palatino Linotype" w:hAnsi="Palatino Linotype" w:cs="Palatino Linotype"/>
          <w:b/>
        </w:rPr>
        <w:t>de dos mil veintidós</w:t>
      </w:r>
      <w:r w:rsidR="00594609" w:rsidRPr="00771FC6">
        <w:rPr>
          <w:rFonts w:ascii="Palatino Linotype" w:eastAsia="Palatino Linotype" w:hAnsi="Palatino Linotype" w:cs="Palatino Linotype"/>
        </w:rPr>
        <w:t xml:space="preserve">,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w:t>
      </w:r>
      <w:r w:rsidR="00594609" w:rsidRPr="00771FC6">
        <w:rPr>
          <w:rFonts w:ascii="Palatino Linotype" w:eastAsia="Palatino Linotype" w:hAnsi="Palatino Linotype" w:cs="Palatino Linotype"/>
        </w:rPr>
        <w:lastRenderedPageBreak/>
        <w:t xml:space="preserve">Información Pública del Estado de México y Municipios, se turnó mediante </w:t>
      </w:r>
      <w:r w:rsidR="00594609" w:rsidRPr="00771FC6">
        <w:rPr>
          <w:rFonts w:ascii="Palatino Linotype" w:eastAsia="Palatino Linotype" w:hAnsi="Palatino Linotype" w:cs="Palatino Linotype"/>
          <w:b/>
        </w:rPr>
        <w:t>EL SAIMEX</w:t>
      </w:r>
      <w:r w:rsidR="00594609" w:rsidRPr="00771FC6">
        <w:rPr>
          <w:rFonts w:ascii="Palatino Linotype" w:eastAsia="Palatino Linotype" w:hAnsi="Palatino Linotype" w:cs="Palatino Linotype"/>
        </w:rPr>
        <w:t xml:space="preserve">, a la </w:t>
      </w:r>
      <w:r w:rsidR="00594609" w:rsidRPr="00771FC6">
        <w:rPr>
          <w:rFonts w:ascii="Palatino Linotype" w:eastAsia="Palatino Linotype" w:hAnsi="Palatino Linotype" w:cs="Palatino Linotype"/>
          <w:b/>
        </w:rPr>
        <w:t xml:space="preserve">Comisionada Sharon Cristina Morales Martínez </w:t>
      </w:r>
      <w:r w:rsidR="00594609" w:rsidRPr="00771FC6">
        <w:rPr>
          <w:rFonts w:ascii="Palatino Linotype" w:eastAsia="Palatino Linotype" w:hAnsi="Palatino Linotype" w:cs="Palatino Linotype"/>
        </w:rPr>
        <w:t>a efecto de decretar su admisión o desechamiento.</w:t>
      </w:r>
    </w:p>
    <w:p w14:paraId="2B205EB8"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13DE8F04" w14:textId="77777777" w:rsidR="001A58C1" w:rsidRPr="00771FC6" w:rsidRDefault="00594609" w:rsidP="00771FC6">
      <w:pPr>
        <w:shd w:val="clear" w:color="auto" w:fill="FFFFFF" w:themeFill="background1"/>
        <w:tabs>
          <w:tab w:val="center" w:pos="4252"/>
          <w:tab w:val="right" w:pos="8504"/>
        </w:tabs>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b/>
        </w:rPr>
        <w:t>a) Admisión del Recurso Revisión</w:t>
      </w:r>
    </w:p>
    <w:p w14:paraId="5C213B95" w14:textId="77777777" w:rsidR="001A58C1" w:rsidRPr="00771FC6" w:rsidRDefault="00594609" w:rsidP="00771FC6">
      <w:pPr>
        <w:shd w:val="clear" w:color="auto" w:fill="FFFFFF" w:themeFill="background1"/>
        <w:tabs>
          <w:tab w:val="center" w:pos="4252"/>
          <w:tab w:val="right" w:pos="8504"/>
        </w:tabs>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De las constancias del expediente electrónico del</w:t>
      </w:r>
      <w:r w:rsidRPr="00771FC6">
        <w:rPr>
          <w:rFonts w:ascii="Palatino Linotype" w:eastAsia="Palatino Linotype" w:hAnsi="Palatino Linotype" w:cs="Palatino Linotype"/>
          <w:b/>
        </w:rPr>
        <w:t xml:space="preserve"> SAIMEX</w:t>
      </w:r>
      <w:r w:rsidRPr="00771FC6">
        <w:rPr>
          <w:rFonts w:ascii="Palatino Linotype" w:eastAsia="Palatino Linotype" w:hAnsi="Palatino Linotype" w:cs="Palatino Linotype"/>
        </w:rPr>
        <w:t xml:space="preserve">, se advierte que el </w:t>
      </w:r>
      <w:r w:rsidR="00F25D6C" w:rsidRPr="00771FC6">
        <w:rPr>
          <w:rFonts w:ascii="Palatino Linotype" w:eastAsia="Palatino Linotype" w:hAnsi="Palatino Linotype" w:cs="Palatino Linotype"/>
          <w:b/>
        </w:rPr>
        <w:t>veintinueve</w:t>
      </w:r>
      <w:r w:rsidR="003E4B4D" w:rsidRPr="00771FC6">
        <w:rPr>
          <w:rFonts w:ascii="Palatino Linotype" w:eastAsia="Palatino Linotype" w:hAnsi="Palatino Linotype" w:cs="Palatino Linotype"/>
          <w:b/>
        </w:rPr>
        <w:t xml:space="preserve"> de noviembre de dos mil veintidós</w:t>
      </w:r>
      <w:r w:rsidRPr="00771FC6">
        <w:rPr>
          <w:rFonts w:ascii="Palatino Linotype" w:eastAsia="Palatino Linotype" w:hAnsi="Palatino Linotype" w:cs="Palatino Linotype"/>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BD1089" w:rsidRPr="00771FC6">
        <w:rPr>
          <w:rFonts w:ascii="Palatino Linotype" w:eastAsia="Palatino Linotype" w:hAnsi="Palatino Linotype" w:cs="Palatino Linotype"/>
          <w:b/>
        </w:rPr>
        <w:t>EL RECURRENTE</w:t>
      </w:r>
      <w:r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rPr>
        <w:t xml:space="preserve">manifestara lo que a su derecho conviniera, a efecto de presentar pruebas o alegatos y, en su caso, </w:t>
      </w:r>
      <w:r w:rsidRPr="00771FC6">
        <w:rPr>
          <w:rFonts w:ascii="Palatino Linotype" w:eastAsia="Palatino Linotype" w:hAnsi="Palatino Linotype" w:cs="Palatino Linotype"/>
          <w:b/>
        </w:rPr>
        <w:t xml:space="preserve">EL SUJETO OBLIGADO </w:t>
      </w:r>
      <w:r w:rsidRPr="00771FC6">
        <w:rPr>
          <w:rFonts w:ascii="Palatino Linotype" w:eastAsia="Palatino Linotype" w:hAnsi="Palatino Linotype" w:cs="Palatino Linotype"/>
        </w:rPr>
        <w:t>rindiera su correspondiente Informe Justificado.</w:t>
      </w:r>
    </w:p>
    <w:p w14:paraId="01F7A6A3" w14:textId="77777777" w:rsidR="001A58C1" w:rsidRPr="00771FC6" w:rsidRDefault="001A58C1" w:rsidP="00771FC6">
      <w:pPr>
        <w:shd w:val="clear" w:color="auto" w:fill="FFFFFF" w:themeFill="background1"/>
        <w:tabs>
          <w:tab w:val="center" w:pos="4252"/>
          <w:tab w:val="right" w:pos="8504"/>
        </w:tabs>
        <w:spacing w:line="360" w:lineRule="auto"/>
        <w:jc w:val="both"/>
        <w:rPr>
          <w:rFonts w:ascii="Palatino Linotype" w:eastAsia="Palatino Linotype" w:hAnsi="Palatino Linotype" w:cs="Palatino Linotype"/>
        </w:rPr>
      </w:pPr>
    </w:p>
    <w:p w14:paraId="14C07716"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b/>
        </w:rPr>
        <w:t xml:space="preserve">b) Manifestaciones </w:t>
      </w:r>
    </w:p>
    <w:p w14:paraId="36A53F7E"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 xml:space="preserve">De acuerdo a las constancias digitales que obran en </w:t>
      </w:r>
      <w:r w:rsidRPr="00771FC6">
        <w:rPr>
          <w:rFonts w:ascii="Palatino Linotype" w:eastAsia="Palatino Linotype" w:hAnsi="Palatino Linotype" w:cs="Palatino Linotype"/>
          <w:b/>
        </w:rPr>
        <w:t>EL</w:t>
      </w:r>
      <w:r w:rsidRPr="00771FC6">
        <w:rPr>
          <w:rFonts w:ascii="Palatino Linotype" w:eastAsia="Palatino Linotype" w:hAnsi="Palatino Linotype" w:cs="Palatino Linotype"/>
        </w:rPr>
        <w:t xml:space="preserve"> </w:t>
      </w:r>
      <w:r w:rsidRPr="00771FC6">
        <w:rPr>
          <w:rFonts w:ascii="Palatino Linotype" w:eastAsia="Palatino Linotype" w:hAnsi="Palatino Linotype" w:cs="Palatino Linotype"/>
          <w:b/>
        </w:rPr>
        <w:t>SAIMEX</w:t>
      </w:r>
      <w:r w:rsidRPr="00771FC6">
        <w:rPr>
          <w:rFonts w:ascii="Palatino Linotype" w:eastAsia="Palatino Linotype" w:hAnsi="Palatino Linotype" w:cs="Palatino Linotype"/>
        </w:rPr>
        <w:t xml:space="preserve"> se desprende que conforme a lo dispuesto en el artículo 185 de la Ley de Transparencia y Acceso a la Información Pública del Estado de México y Municipios, dentro del término legalmente concedido al </w:t>
      </w:r>
      <w:r w:rsidRPr="00771FC6">
        <w:rPr>
          <w:rFonts w:ascii="Palatino Linotype" w:eastAsia="Palatino Linotype" w:hAnsi="Palatino Linotype" w:cs="Palatino Linotype"/>
          <w:b/>
        </w:rPr>
        <w:t>RECURRENTE</w:t>
      </w:r>
      <w:r w:rsidRPr="00771FC6">
        <w:rPr>
          <w:rFonts w:ascii="Palatino Linotype" w:eastAsia="Palatino Linotype" w:hAnsi="Palatino Linotype" w:cs="Palatino Linotype"/>
        </w:rPr>
        <w:t>, éste no realizó manifestación alguna</w:t>
      </w:r>
      <w:r w:rsidR="00654C05" w:rsidRPr="00771FC6">
        <w:rPr>
          <w:rFonts w:ascii="Palatino Linotype" w:eastAsia="Palatino Linotype" w:hAnsi="Palatino Linotype" w:cs="Palatino Linotype"/>
        </w:rPr>
        <w:t>.</w:t>
      </w:r>
    </w:p>
    <w:p w14:paraId="7C818D9A"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11223C11" w14:textId="77777777" w:rsidR="00F25D6C"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 xml:space="preserve">Por su parte </w:t>
      </w:r>
      <w:r w:rsidRPr="00771FC6">
        <w:rPr>
          <w:rFonts w:ascii="Palatino Linotype" w:eastAsia="Palatino Linotype" w:hAnsi="Palatino Linotype" w:cs="Palatino Linotype"/>
          <w:b/>
        </w:rPr>
        <w:t xml:space="preserve">EL SUJETO OBLIGADO </w:t>
      </w:r>
      <w:r w:rsidR="00BC066D" w:rsidRPr="00771FC6">
        <w:rPr>
          <w:rFonts w:ascii="Palatino Linotype" w:eastAsia="Palatino Linotype" w:hAnsi="Palatino Linotype" w:cs="Palatino Linotype"/>
        </w:rPr>
        <w:t xml:space="preserve">remitió </w:t>
      </w:r>
      <w:r w:rsidR="005B1CEB" w:rsidRPr="00771FC6">
        <w:rPr>
          <w:rFonts w:ascii="Palatino Linotype" w:eastAsia="Palatino Linotype" w:hAnsi="Palatino Linotype" w:cs="Palatino Linotype"/>
        </w:rPr>
        <w:t xml:space="preserve">su </w:t>
      </w:r>
      <w:r w:rsidR="00BC066D" w:rsidRPr="00771FC6">
        <w:rPr>
          <w:rFonts w:ascii="Palatino Linotype" w:eastAsia="Palatino Linotype" w:hAnsi="Palatino Linotype" w:cs="Palatino Linotype"/>
        </w:rPr>
        <w:t>informe</w:t>
      </w:r>
      <w:r w:rsidR="005F243D" w:rsidRPr="00771FC6">
        <w:rPr>
          <w:rFonts w:ascii="Palatino Linotype" w:eastAsia="Palatino Linotype" w:hAnsi="Palatino Linotype" w:cs="Palatino Linotype"/>
        </w:rPr>
        <w:t xml:space="preserve"> justificado</w:t>
      </w:r>
      <w:r w:rsidR="005B1CEB" w:rsidRPr="00771FC6">
        <w:rPr>
          <w:rFonts w:ascii="Palatino Linotype" w:eastAsia="Palatino Linotype" w:hAnsi="Palatino Linotype" w:cs="Palatino Linotype"/>
        </w:rPr>
        <w:t xml:space="preserve"> mediante </w:t>
      </w:r>
      <w:r w:rsidR="003E4B4D" w:rsidRPr="00771FC6">
        <w:rPr>
          <w:rFonts w:ascii="Palatino Linotype" w:eastAsia="Palatino Linotype" w:hAnsi="Palatino Linotype" w:cs="Palatino Linotype"/>
        </w:rPr>
        <w:t xml:space="preserve">el archivo denominado </w:t>
      </w:r>
      <w:r w:rsidR="00E84620" w:rsidRPr="00771FC6">
        <w:rPr>
          <w:rFonts w:ascii="Palatino Linotype" w:eastAsia="Palatino Linotype" w:hAnsi="Palatino Linotype" w:cs="Palatino Linotype"/>
          <w:b/>
        </w:rPr>
        <w:t>“</w:t>
      </w:r>
      <w:r w:rsidR="00F25D6C" w:rsidRPr="00771FC6">
        <w:rPr>
          <w:rFonts w:ascii="Palatino Linotype" w:hAnsi="Palatino Linotype"/>
          <w:b/>
        </w:rPr>
        <w:t>CS-116-2022.pdf</w:t>
      </w:r>
      <w:r w:rsidR="00E84620" w:rsidRPr="00771FC6">
        <w:rPr>
          <w:rFonts w:ascii="Palatino Linotype" w:hAnsi="Palatino Linotype"/>
          <w:b/>
        </w:rPr>
        <w:t>”</w:t>
      </w:r>
      <w:r w:rsidR="005B1CEB" w:rsidRPr="00771FC6">
        <w:rPr>
          <w:rFonts w:ascii="Palatino Linotype" w:eastAsia="Palatino Linotype" w:hAnsi="Palatino Linotype" w:cs="Palatino Linotype"/>
        </w:rPr>
        <w:t xml:space="preserve"> </w:t>
      </w:r>
      <w:r w:rsidR="00F25D6C" w:rsidRPr="00771FC6">
        <w:rPr>
          <w:rFonts w:ascii="Palatino Linotype" w:eastAsia="Palatino Linotype" w:hAnsi="Palatino Linotype" w:cs="Palatino Linotype"/>
        </w:rPr>
        <w:t xml:space="preserve">el cual de manera medular ratifica que después de una segunda búsqueda no se tiene bloqueada a persona alguna en la página </w:t>
      </w:r>
      <w:r w:rsidR="00F25D6C" w:rsidRPr="00771FC6">
        <w:rPr>
          <w:rFonts w:ascii="Palatino Linotype" w:eastAsia="Palatino Linotype" w:hAnsi="Palatino Linotype" w:cs="Palatino Linotype"/>
        </w:rPr>
        <w:lastRenderedPageBreak/>
        <w:t>de Facebook del Ayuntamiento y lo refuerza con la captura de pantalla que se inserta a continuación.</w:t>
      </w:r>
    </w:p>
    <w:p w14:paraId="69671A09" w14:textId="77777777" w:rsidR="00F25D6C" w:rsidRPr="00771FC6" w:rsidRDefault="00F25D6C" w:rsidP="00771FC6">
      <w:pPr>
        <w:shd w:val="clear" w:color="auto" w:fill="FFFFFF" w:themeFill="background1"/>
        <w:spacing w:line="360" w:lineRule="auto"/>
        <w:jc w:val="both"/>
        <w:rPr>
          <w:rFonts w:ascii="Palatino Linotype" w:eastAsia="Palatino Linotype" w:hAnsi="Palatino Linotype" w:cs="Palatino Linotype"/>
        </w:rPr>
      </w:pPr>
    </w:p>
    <w:p w14:paraId="335EBE83" w14:textId="77777777" w:rsidR="003E4B4D" w:rsidRPr="00771FC6" w:rsidRDefault="00F25D6C"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noProof/>
        </w:rPr>
        <w:drawing>
          <wp:inline distT="0" distB="0" distL="0" distR="0" wp14:anchorId="3B1BFBC4" wp14:editId="3B965217">
            <wp:extent cx="5791835" cy="32442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44215"/>
                    </a:xfrm>
                    <a:prstGeom prst="rect">
                      <a:avLst/>
                    </a:prstGeom>
                  </pic:spPr>
                </pic:pic>
              </a:graphicData>
            </a:graphic>
          </wp:inline>
        </w:drawing>
      </w:r>
      <w:r w:rsidR="003E4B4D" w:rsidRPr="00771FC6">
        <w:rPr>
          <w:rFonts w:ascii="Palatino Linotype" w:eastAsia="Palatino Linotype" w:hAnsi="Palatino Linotype" w:cs="Palatino Linotype"/>
        </w:rPr>
        <w:t xml:space="preserve"> </w:t>
      </w:r>
    </w:p>
    <w:p w14:paraId="54BF6900" w14:textId="77777777" w:rsidR="003E4B4D" w:rsidRPr="00771FC6" w:rsidRDefault="003E4B4D" w:rsidP="00771FC6">
      <w:pPr>
        <w:shd w:val="clear" w:color="auto" w:fill="FFFFFF" w:themeFill="background1"/>
        <w:spacing w:line="360" w:lineRule="auto"/>
        <w:jc w:val="both"/>
        <w:rPr>
          <w:rFonts w:ascii="Palatino Linotype" w:eastAsia="Palatino Linotype" w:hAnsi="Palatino Linotype" w:cs="Palatino Linotype"/>
        </w:rPr>
      </w:pPr>
    </w:p>
    <w:p w14:paraId="4E2C14CB"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b/>
        </w:rPr>
        <w:t xml:space="preserve">c) De la ampliación </w:t>
      </w:r>
    </w:p>
    <w:p w14:paraId="0C2689E3" w14:textId="77777777" w:rsidR="001A58C1" w:rsidRPr="00771FC6" w:rsidRDefault="002D7404" w:rsidP="00771FC6">
      <w:pPr>
        <w:pBdr>
          <w:top w:val="nil"/>
          <w:left w:val="nil"/>
          <w:bottom w:val="nil"/>
          <w:right w:val="nil"/>
          <w:between w:val="nil"/>
        </w:pBdr>
        <w:shd w:val="clear" w:color="auto" w:fill="FFFFFF" w:themeFill="background1"/>
        <w:spacing w:before="240" w:after="240"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 xml:space="preserve">El </w:t>
      </w:r>
      <w:r w:rsidR="00F25D6C" w:rsidRPr="00771FC6">
        <w:rPr>
          <w:rFonts w:ascii="Palatino Linotype" w:eastAsia="Palatino Linotype" w:hAnsi="Palatino Linotype" w:cs="Palatino Linotype"/>
          <w:b/>
        </w:rPr>
        <w:t xml:space="preserve">ocho </w:t>
      </w:r>
      <w:r w:rsidR="00594609" w:rsidRPr="00771FC6">
        <w:rPr>
          <w:rFonts w:ascii="Palatino Linotype" w:eastAsia="Palatino Linotype" w:hAnsi="Palatino Linotype" w:cs="Palatino Linotype"/>
          <w:b/>
        </w:rPr>
        <w:t xml:space="preserve">de </w:t>
      </w:r>
      <w:r w:rsidR="00F25D6C" w:rsidRPr="00771FC6">
        <w:rPr>
          <w:rFonts w:ascii="Palatino Linotype" w:eastAsia="Palatino Linotype" w:hAnsi="Palatino Linotype" w:cs="Palatino Linotype"/>
          <w:b/>
        </w:rPr>
        <w:t>febrero</w:t>
      </w:r>
      <w:r w:rsidR="008856EE" w:rsidRPr="00771FC6">
        <w:rPr>
          <w:rFonts w:ascii="Palatino Linotype" w:eastAsia="Palatino Linotype" w:hAnsi="Palatino Linotype" w:cs="Palatino Linotype"/>
          <w:b/>
        </w:rPr>
        <w:t xml:space="preserve"> </w:t>
      </w:r>
      <w:r w:rsidR="00594609" w:rsidRPr="00771FC6">
        <w:rPr>
          <w:rFonts w:ascii="Palatino Linotype" w:eastAsia="Palatino Linotype" w:hAnsi="Palatino Linotype" w:cs="Palatino Linotype"/>
          <w:b/>
        </w:rPr>
        <w:t xml:space="preserve">de dos mil </w:t>
      </w:r>
      <w:r w:rsidR="003E4B4D" w:rsidRPr="00771FC6">
        <w:rPr>
          <w:rFonts w:ascii="Palatino Linotype" w:eastAsia="Palatino Linotype" w:hAnsi="Palatino Linotype" w:cs="Palatino Linotype"/>
          <w:b/>
        </w:rPr>
        <w:t>veintitrés</w:t>
      </w:r>
      <w:r w:rsidR="00594609" w:rsidRPr="00771FC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D8490A6"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771FC6">
        <w:rPr>
          <w:rFonts w:ascii="Palatino Linotype" w:eastAsia="Palatino Linotype" w:hAnsi="Palatino Linotype" w:cs="Palatino Linotype"/>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1ADF936"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2A3E5C58"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56959A3"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25A08880"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A15884"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3ACD7467"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F772F3"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0E01C4D3"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4E87F88"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16717D0B" w14:textId="77777777" w:rsidR="001A58C1" w:rsidRPr="00771FC6" w:rsidRDefault="00594609" w:rsidP="00771FC6">
      <w:pPr>
        <w:numPr>
          <w:ilvl w:val="0"/>
          <w:numId w:val="1"/>
        </w:num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1AD6D38F" w14:textId="77777777" w:rsidR="001A58C1" w:rsidRPr="00771FC6" w:rsidRDefault="00594609" w:rsidP="00771FC6">
      <w:pPr>
        <w:numPr>
          <w:ilvl w:val="0"/>
          <w:numId w:val="1"/>
        </w:num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Actividad Procesal del interesado: Acciones u omisiones del interesado.</w:t>
      </w:r>
    </w:p>
    <w:p w14:paraId="3E7ED025" w14:textId="77777777" w:rsidR="001A58C1" w:rsidRPr="00771FC6" w:rsidRDefault="00594609" w:rsidP="00771FC6">
      <w:pPr>
        <w:numPr>
          <w:ilvl w:val="0"/>
          <w:numId w:val="1"/>
        </w:num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Conducta de la Autoridad: Las Acciones u omisiones realizadas en el procedimiento. Así como si la autoridad actuó con la debida diligencia.</w:t>
      </w:r>
    </w:p>
    <w:p w14:paraId="2203E1F3" w14:textId="77777777" w:rsidR="001A58C1" w:rsidRPr="00771FC6" w:rsidRDefault="00594609" w:rsidP="00771FC6">
      <w:pPr>
        <w:numPr>
          <w:ilvl w:val="0"/>
          <w:numId w:val="1"/>
        </w:num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La afectación generada en la situación jurídica de la persona involucrada en el proceso: Violación a sus derechos humanos.</w:t>
      </w:r>
    </w:p>
    <w:p w14:paraId="09FFFE33" w14:textId="77777777" w:rsidR="001A58C1" w:rsidRPr="00771FC6" w:rsidRDefault="001A58C1" w:rsidP="00771FC6">
      <w:pPr>
        <w:shd w:val="clear" w:color="auto" w:fill="FFFFFF" w:themeFill="background1"/>
        <w:spacing w:line="360" w:lineRule="auto"/>
        <w:ind w:left="360"/>
        <w:jc w:val="both"/>
        <w:rPr>
          <w:rFonts w:ascii="Palatino Linotype" w:eastAsia="Palatino Linotype" w:hAnsi="Palatino Linotype" w:cs="Palatino Linotype"/>
        </w:rPr>
      </w:pPr>
    </w:p>
    <w:p w14:paraId="3CC7929D"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F5071B1"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5C267947"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Argumento que encuentra sustento en la jurisprudencia P</w:t>
      </w:r>
      <w:proofErr w:type="gramStart"/>
      <w:r w:rsidRPr="00771FC6">
        <w:rPr>
          <w:rFonts w:ascii="Palatino Linotype" w:eastAsia="Palatino Linotype" w:hAnsi="Palatino Linotype" w:cs="Palatino Linotype"/>
        </w:rPr>
        <w:t>./</w:t>
      </w:r>
      <w:proofErr w:type="gramEnd"/>
      <w:r w:rsidRPr="00771FC6">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8FED46C"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3283E26"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19E52F05"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4985EC"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07A35D91"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1494B4F" w14:textId="77777777" w:rsidR="001A58C1" w:rsidRPr="00771FC6" w:rsidRDefault="001A58C1" w:rsidP="00771FC6">
      <w:pPr>
        <w:shd w:val="clear" w:color="auto" w:fill="FFFFFF" w:themeFill="background1"/>
        <w:spacing w:line="360" w:lineRule="auto"/>
        <w:jc w:val="both"/>
        <w:rPr>
          <w:rFonts w:ascii="Palatino Linotype" w:eastAsia="Palatino Linotype" w:hAnsi="Palatino Linotype" w:cs="Palatino Linotype"/>
        </w:rPr>
      </w:pPr>
    </w:p>
    <w:p w14:paraId="13DAE20E"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4F1EEA15" w14:textId="77777777" w:rsidR="001A58C1" w:rsidRPr="00771FC6" w:rsidRDefault="001A58C1" w:rsidP="00771FC6">
      <w:p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rPr>
      </w:pPr>
    </w:p>
    <w:p w14:paraId="70070DE7" w14:textId="77777777" w:rsidR="001A58C1" w:rsidRPr="00771FC6" w:rsidRDefault="00594609" w:rsidP="00771FC6">
      <w:p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59AD54CC" w14:textId="77777777" w:rsidR="001A58C1" w:rsidRPr="00771FC6" w:rsidRDefault="001A58C1" w:rsidP="00771FC6">
      <w:p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b/>
        </w:rPr>
      </w:pPr>
    </w:p>
    <w:p w14:paraId="699AF5F1" w14:textId="77777777" w:rsidR="001A58C1" w:rsidRPr="00771FC6" w:rsidRDefault="00594609" w:rsidP="00771FC6">
      <w:p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b/>
        </w:rPr>
      </w:pPr>
      <w:r w:rsidRPr="00771FC6">
        <w:rPr>
          <w:rFonts w:ascii="Palatino Linotype" w:eastAsia="Palatino Linotype" w:hAnsi="Palatino Linotype" w:cs="Palatino Linotype"/>
          <w:b/>
        </w:rPr>
        <w:t>d) Cierre de Instrucción</w:t>
      </w:r>
    </w:p>
    <w:p w14:paraId="78DA049A" w14:textId="77777777" w:rsidR="001A58C1" w:rsidRPr="00771FC6" w:rsidRDefault="00594609"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rPr>
        <w:t xml:space="preserve">Una vez analizado el estado procesal que guarda el expediente, el </w:t>
      </w:r>
      <w:r w:rsidR="00165AD0" w:rsidRPr="00771FC6">
        <w:rPr>
          <w:rFonts w:ascii="Palatino Linotype" w:eastAsia="Palatino Linotype" w:hAnsi="Palatino Linotype" w:cs="Palatino Linotype"/>
          <w:b/>
        </w:rPr>
        <w:t>veinticinco</w:t>
      </w:r>
      <w:r w:rsidR="00840B9B" w:rsidRPr="00771FC6">
        <w:rPr>
          <w:rFonts w:ascii="Palatino Linotype" w:eastAsia="Palatino Linotype" w:hAnsi="Palatino Linotype" w:cs="Palatino Linotype"/>
          <w:b/>
        </w:rPr>
        <w:t xml:space="preserve"> </w:t>
      </w:r>
      <w:r w:rsidRPr="00771FC6">
        <w:rPr>
          <w:rFonts w:ascii="Palatino Linotype" w:eastAsia="Palatino Linotype" w:hAnsi="Palatino Linotype" w:cs="Palatino Linotype"/>
          <w:b/>
        </w:rPr>
        <w:t xml:space="preserve">de </w:t>
      </w:r>
      <w:r w:rsidR="00F25D6C" w:rsidRPr="00771FC6">
        <w:rPr>
          <w:rFonts w:ascii="Palatino Linotype" w:eastAsia="Palatino Linotype" w:hAnsi="Palatino Linotype" w:cs="Palatino Linotype"/>
          <w:b/>
        </w:rPr>
        <w:t>abril</w:t>
      </w:r>
      <w:r w:rsidRPr="00771FC6">
        <w:rPr>
          <w:rFonts w:ascii="Palatino Linotype" w:eastAsia="Palatino Linotype" w:hAnsi="Palatino Linotype" w:cs="Palatino Linotype"/>
          <w:b/>
        </w:rPr>
        <w:t xml:space="preserve"> de dos mil </w:t>
      </w:r>
      <w:r w:rsidR="004451CD" w:rsidRPr="00771FC6">
        <w:rPr>
          <w:rFonts w:ascii="Palatino Linotype" w:eastAsia="Palatino Linotype" w:hAnsi="Palatino Linotype" w:cs="Palatino Linotype"/>
          <w:b/>
        </w:rPr>
        <w:t>veintitrés</w:t>
      </w:r>
      <w:r w:rsidRPr="00771FC6">
        <w:rPr>
          <w:rFonts w:ascii="Palatino Linotype" w:eastAsia="Palatino Linotype" w:hAnsi="Palatino Linotype" w:cs="Palatino Linotype"/>
        </w:rPr>
        <w:t xml:space="preserve">, la </w:t>
      </w:r>
      <w:r w:rsidRPr="00771FC6">
        <w:rPr>
          <w:rFonts w:ascii="Palatino Linotype" w:eastAsia="Palatino Linotype" w:hAnsi="Palatino Linotype" w:cs="Palatino Linotype"/>
          <w:b/>
        </w:rPr>
        <w:t>Comisionada Sharon Cristina Morales Martínez</w:t>
      </w:r>
      <w:r w:rsidRPr="00771FC6">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 y, </w:t>
      </w:r>
    </w:p>
    <w:p w14:paraId="5EEF70EB" w14:textId="77777777" w:rsidR="00840B9B" w:rsidRPr="00771FC6" w:rsidRDefault="00840B9B" w:rsidP="00771FC6">
      <w:pPr>
        <w:shd w:val="clear" w:color="auto" w:fill="FFFFFF" w:themeFill="background1"/>
        <w:jc w:val="center"/>
        <w:rPr>
          <w:rFonts w:ascii="Palatino Linotype" w:eastAsia="Palatino Linotype" w:hAnsi="Palatino Linotype" w:cs="Palatino Linotype"/>
          <w:b/>
          <w:sz w:val="28"/>
          <w:szCs w:val="28"/>
        </w:rPr>
      </w:pPr>
    </w:p>
    <w:p w14:paraId="22CBD3A5" w14:textId="77777777" w:rsidR="001A58C1" w:rsidRPr="00771FC6" w:rsidRDefault="00594609" w:rsidP="00771FC6">
      <w:pPr>
        <w:shd w:val="clear" w:color="auto" w:fill="FFFFFF" w:themeFill="background1"/>
        <w:jc w:val="center"/>
        <w:rPr>
          <w:rFonts w:ascii="Palatino Linotype" w:eastAsia="Palatino Linotype" w:hAnsi="Palatino Linotype" w:cs="Palatino Linotype"/>
          <w:b/>
          <w:sz w:val="28"/>
          <w:szCs w:val="28"/>
        </w:rPr>
      </w:pPr>
      <w:r w:rsidRPr="00771FC6">
        <w:rPr>
          <w:rFonts w:ascii="Palatino Linotype" w:eastAsia="Palatino Linotype" w:hAnsi="Palatino Linotype" w:cs="Palatino Linotype"/>
          <w:b/>
          <w:sz w:val="28"/>
          <w:szCs w:val="28"/>
        </w:rPr>
        <w:t>CONSIDERANDO</w:t>
      </w:r>
    </w:p>
    <w:p w14:paraId="0083267B" w14:textId="77777777" w:rsidR="001A58C1" w:rsidRPr="00771FC6" w:rsidRDefault="00594609" w:rsidP="00771FC6">
      <w:pPr>
        <w:shd w:val="clear" w:color="auto" w:fill="FFFFFF" w:themeFill="background1"/>
        <w:spacing w:line="360" w:lineRule="auto"/>
        <w:ind w:right="50"/>
        <w:jc w:val="both"/>
        <w:rPr>
          <w:rFonts w:ascii="Palatino Linotype" w:eastAsia="Palatino Linotype" w:hAnsi="Palatino Linotype" w:cs="Palatino Linotype"/>
          <w:b/>
        </w:rPr>
      </w:pPr>
      <w:r w:rsidRPr="00771FC6">
        <w:rPr>
          <w:rFonts w:ascii="Palatino Linotype" w:eastAsia="Palatino Linotype" w:hAnsi="Palatino Linotype" w:cs="Palatino Linotype"/>
          <w:b/>
          <w:sz w:val="28"/>
          <w:szCs w:val="28"/>
        </w:rPr>
        <w:t>PRIMERO</w:t>
      </w:r>
      <w:r w:rsidRPr="00771FC6">
        <w:rPr>
          <w:rFonts w:ascii="Palatino Linotype" w:eastAsia="Palatino Linotype" w:hAnsi="Palatino Linotype" w:cs="Palatino Linotype"/>
          <w:b/>
        </w:rPr>
        <w:t>.</w:t>
      </w:r>
      <w:r w:rsidRPr="00771FC6">
        <w:rPr>
          <w:rFonts w:ascii="Palatino Linotype" w:eastAsia="Palatino Linotype" w:hAnsi="Palatino Linotype" w:cs="Palatino Linotype"/>
        </w:rPr>
        <w:t xml:space="preserve"> </w:t>
      </w:r>
      <w:r w:rsidRPr="00771FC6">
        <w:rPr>
          <w:rFonts w:ascii="Palatino Linotype" w:eastAsia="Palatino Linotype" w:hAnsi="Palatino Linotype" w:cs="Palatino Linotype"/>
          <w:b/>
        </w:rPr>
        <w:t>Competencia</w:t>
      </w:r>
      <w:r w:rsidRPr="00771FC6">
        <w:rPr>
          <w:rFonts w:ascii="Palatino Linotype" w:eastAsia="Palatino Linotype" w:hAnsi="Palatino Linotype" w:cs="Palatino Linotype"/>
        </w:rPr>
        <w:t>.</w:t>
      </w:r>
      <w:r w:rsidRPr="00771FC6">
        <w:rPr>
          <w:rFonts w:ascii="Palatino Linotype" w:eastAsia="Palatino Linotype" w:hAnsi="Palatino Linotype" w:cs="Palatino Linotype"/>
          <w:b/>
        </w:rPr>
        <w:t xml:space="preserve"> </w:t>
      </w:r>
    </w:p>
    <w:p w14:paraId="4267DF60" w14:textId="670448D3" w:rsidR="001A58C1" w:rsidRPr="00771FC6" w:rsidRDefault="00594609" w:rsidP="00771FC6">
      <w:pPr>
        <w:shd w:val="clear" w:color="auto" w:fill="FFFFFF" w:themeFill="background1"/>
        <w:spacing w:line="360" w:lineRule="auto"/>
        <w:ind w:right="50"/>
        <w:jc w:val="both"/>
        <w:rPr>
          <w:rFonts w:ascii="Palatino Linotype" w:eastAsia="Palatino Linotype" w:hAnsi="Palatino Linotype" w:cs="Palatino Linotype"/>
        </w:rPr>
      </w:pPr>
      <w:r w:rsidRPr="00771FC6">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w:t>
      </w:r>
      <w:r w:rsidR="00D61317" w:rsidRPr="00771FC6">
        <w:rPr>
          <w:rFonts w:ascii="Palatino Linotype" w:eastAsia="Palatino Linotype" w:hAnsi="Palatino Linotype" w:cs="Palatino Linotype"/>
        </w:rPr>
        <w:t>III</w:t>
      </w:r>
      <w:r w:rsidRPr="00771FC6">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3B8C606" w14:textId="77777777" w:rsidR="00990825" w:rsidRPr="00771FC6" w:rsidRDefault="00990825" w:rsidP="00771FC6">
      <w:pPr>
        <w:shd w:val="clear" w:color="auto" w:fill="FFFFFF" w:themeFill="background1"/>
        <w:spacing w:line="360" w:lineRule="auto"/>
        <w:jc w:val="both"/>
        <w:rPr>
          <w:rFonts w:ascii="Palatino Linotype" w:hAnsi="Palatino Linotype" w:cs="Arial"/>
          <w:b/>
        </w:rPr>
      </w:pPr>
      <w:r w:rsidRPr="00771FC6">
        <w:rPr>
          <w:rFonts w:ascii="Palatino Linotype" w:hAnsi="Palatino Linotype" w:cs="Arial"/>
          <w:b/>
          <w:sz w:val="28"/>
        </w:rPr>
        <w:lastRenderedPageBreak/>
        <w:t>SEGUNDO</w:t>
      </w:r>
      <w:r w:rsidRPr="00771FC6">
        <w:rPr>
          <w:rFonts w:ascii="Palatino Linotype" w:hAnsi="Palatino Linotype" w:cs="Arial"/>
          <w:b/>
        </w:rPr>
        <w:t xml:space="preserve">. Interés. </w:t>
      </w:r>
    </w:p>
    <w:p w14:paraId="52919332" w14:textId="77777777" w:rsidR="006A23FB" w:rsidRPr="00771FC6" w:rsidRDefault="00990825" w:rsidP="00771FC6">
      <w:pPr>
        <w:shd w:val="clear" w:color="auto" w:fill="FFFFFF" w:themeFill="background1"/>
        <w:spacing w:line="360" w:lineRule="auto"/>
        <w:jc w:val="both"/>
        <w:rPr>
          <w:rFonts w:ascii="Palatino Linotype" w:hAnsi="Palatino Linotype" w:cs="Arial"/>
        </w:rPr>
      </w:pPr>
      <w:r w:rsidRPr="00771FC6">
        <w:rPr>
          <w:rFonts w:ascii="Palatino Linotype" w:hAnsi="Palatino Linotype" w:cs="Arial"/>
          <w:bCs/>
        </w:rPr>
        <w:t xml:space="preserve">Los Recursos Revisión fueron interpuestos por parte legítima, en atención a que se presentaron por </w:t>
      </w:r>
      <w:r w:rsidR="00BD1089" w:rsidRPr="00771FC6">
        <w:rPr>
          <w:rFonts w:ascii="Palatino Linotype" w:hAnsi="Palatino Linotype" w:cs="Arial"/>
          <w:b/>
          <w:lang w:val="es-ES"/>
        </w:rPr>
        <w:t>EL RECURRENTE</w:t>
      </w:r>
      <w:r w:rsidRPr="00771FC6">
        <w:rPr>
          <w:rFonts w:ascii="Palatino Linotype" w:hAnsi="Palatino Linotype" w:cs="Arial"/>
          <w:b/>
          <w:bCs/>
        </w:rPr>
        <w:t>,</w:t>
      </w:r>
      <w:r w:rsidRPr="00771FC6">
        <w:rPr>
          <w:rFonts w:ascii="Palatino Linotype" w:hAnsi="Palatino Linotype" w:cs="Arial"/>
          <w:bCs/>
        </w:rPr>
        <w:t xml:space="preserve"> quien es la misma persona que formuló las solicitudes de acceso a la Información Pública al </w:t>
      </w:r>
      <w:r w:rsidRPr="00771FC6">
        <w:rPr>
          <w:rFonts w:ascii="Palatino Linotype" w:hAnsi="Palatino Linotype" w:cs="Arial"/>
          <w:b/>
          <w:bCs/>
        </w:rPr>
        <w:t xml:space="preserve">SUJETO OBLIGADO, </w:t>
      </w:r>
      <w:r w:rsidRPr="00771FC6">
        <w:rPr>
          <w:rFonts w:ascii="Palatino Linotype" w:hAnsi="Palatino Linotype" w:cs="Arial"/>
          <w:bCs/>
        </w:rPr>
        <w:t xml:space="preserve">pues para ello, es </w:t>
      </w:r>
      <w:r w:rsidRPr="00771FC6">
        <w:rPr>
          <w:rFonts w:ascii="Palatino Linotype" w:hAnsi="Palatino Linotype" w:cs="Arial"/>
        </w:rPr>
        <w:t xml:space="preserve">necesario que el particular ingrese al </w:t>
      </w:r>
      <w:r w:rsidRPr="00771FC6">
        <w:rPr>
          <w:rFonts w:ascii="Palatino Linotype" w:hAnsi="Palatino Linotype" w:cs="Arial"/>
          <w:b/>
        </w:rPr>
        <w:t xml:space="preserve">SAIMEX </w:t>
      </w:r>
      <w:r w:rsidRPr="00771FC6">
        <w:rPr>
          <w:rFonts w:ascii="Palatino Linotype" w:hAnsi="Palatino Linotype" w:cs="Arial"/>
        </w:rPr>
        <w:t>mediante la utilización de su clave de usuario y contraseña.</w:t>
      </w:r>
    </w:p>
    <w:p w14:paraId="35C8B5CA" w14:textId="77777777" w:rsidR="00990825" w:rsidRPr="00771FC6" w:rsidRDefault="00990825" w:rsidP="00771FC6">
      <w:pPr>
        <w:shd w:val="clear" w:color="auto" w:fill="FFFFFF" w:themeFill="background1"/>
        <w:spacing w:line="360" w:lineRule="auto"/>
        <w:jc w:val="both"/>
        <w:rPr>
          <w:rFonts w:ascii="Palatino Linotype" w:hAnsi="Palatino Linotype" w:cs="Arial"/>
        </w:rPr>
      </w:pPr>
    </w:p>
    <w:p w14:paraId="6FF2CAF1" w14:textId="77777777" w:rsidR="00F25D6C" w:rsidRPr="00771FC6" w:rsidRDefault="00F25D6C" w:rsidP="00771FC6">
      <w:pPr>
        <w:pStyle w:val="Prrafodelista"/>
        <w:widowControl w:val="0"/>
        <w:shd w:val="clear" w:color="auto" w:fill="FFFFFF" w:themeFill="background1"/>
        <w:tabs>
          <w:tab w:val="left" w:pos="1701"/>
        </w:tabs>
        <w:autoSpaceDE w:val="0"/>
        <w:autoSpaceDN w:val="0"/>
        <w:adjustRightInd w:val="0"/>
        <w:spacing w:line="360" w:lineRule="auto"/>
        <w:ind w:left="0"/>
        <w:jc w:val="both"/>
        <w:rPr>
          <w:rFonts w:ascii="Palatino Linotype" w:hAnsi="Palatino Linotype" w:cs="Arial"/>
          <w:b/>
        </w:rPr>
      </w:pPr>
      <w:r w:rsidRPr="00771FC6">
        <w:rPr>
          <w:rFonts w:ascii="Palatino Linotype" w:hAnsi="Palatino Linotype"/>
          <w:b/>
        </w:rPr>
        <w:t>TERCERO</w:t>
      </w:r>
      <w:r w:rsidRPr="00771FC6">
        <w:rPr>
          <w:rFonts w:ascii="Palatino Linotype" w:hAnsi="Palatino Linotype" w:cs="Arial"/>
          <w:b/>
        </w:rPr>
        <w:t xml:space="preserve">. Oportunidad. </w:t>
      </w:r>
    </w:p>
    <w:p w14:paraId="5060611B" w14:textId="77777777" w:rsidR="00F25D6C" w:rsidRPr="00771FC6" w:rsidRDefault="00F25D6C" w:rsidP="00771FC6">
      <w:pPr>
        <w:pStyle w:val="Prrafodelista"/>
        <w:widowControl w:val="0"/>
        <w:shd w:val="clear" w:color="auto" w:fill="FFFFFF" w:themeFill="background1"/>
        <w:tabs>
          <w:tab w:val="left" w:pos="1701"/>
        </w:tabs>
        <w:autoSpaceDE w:val="0"/>
        <w:autoSpaceDN w:val="0"/>
        <w:adjustRightInd w:val="0"/>
        <w:spacing w:line="360" w:lineRule="auto"/>
        <w:ind w:left="0"/>
        <w:jc w:val="both"/>
        <w:rPr>
          <w:rFonts w:ascii="Palatino Linotype" w:hAnsi="Palatino Linotype"/>
          <w:b/>
        </w:rPr>
      </w:pPr>
      <w:r w:rsidRPr="00771FC6">
        <w:rPr>
          <w:rFonts w:ascii="Palatino Linotype" w:hAnsi="Palatino Linotype" w:cs="Arial"/>
        </w:rPr>
        <w:t xml:space="preserve">El Recurso de Revisión se interpuso dentro del plazo de quince días hábiles contados a partir del día siguiente en que </w:t>
      </w:r>
      <w:r w:rsidRPr="00771FC6">
        <w:rPr>
          <w:rFonts w:ascii="Palatino Linotype" w:hAnsi="Palatino Linotype" w:cs="Arial"/>
          <w:b/>
        </w:rPr>
        <w:t xml:space="preserve">EL RECURRENTE </w:t>
      </w:r>
      <w:r w:rsidRPr="00771FC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1C7A35D5" w14:textId="77777777" w:rsidR="00F25D6C" w:rsidRPr="00771FC6" w:rsidRDefault="00F25D6C" w:rsidP="00771FC6">
      <w:pPr>
        <w:shd w:val="clear" w:color="auto" w:fill="FFFFFF" w:themeFill="background1"/>
        <w:spacing w:line="360" w:lineRule="auto"/>
        <w:ind w:left="851" w:right="902"/>
        <w:jc w:val="both"/>
        <w:rPr>
          <w:rFonts w:ascii="Palatino Linotype" w:eastAsiaTheme="minorEastAsia" w:hAnsi="Palatino Linotype" w:cs="Arial"/>
        </w:rPr>
      </w:pPr>
    </w:p>
    <w:p w14:paraId="176FEADF"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eastAsiaTheme="minorEastAsia" w:hAnsi="Palatino Linotype" w:cs="Arial"/>
          <w:i/>
        </w:rPr>
      </w:pPr>
      <w:r w:rsidRPr="00771FC6">
        <w:rPr>
          <w:rFonts w:ascii="Palatino Linotype" w:eastAsiaTheme="minorEastAsia" w:hAnsi="Palatino Linotype" w:cs="Arial"/>
          <w:b/>
          <w:i/>
        </w:rPr>
        <w:t>“Artículo 178.</w:t>
      </w:r>
      <w:r w:rsidRPr="00771FC6">
        <w:rPr>
          <w:rFonts w:ascii="Palatino Linotype" w:eastAsiaTheme="minorEastAsia"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B923338"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eastAsiaTheme="minorEastAsia" w:hAnsi="Palatino Linotype" w:cs="Arial"/>
          <w:i/>
        </w:rPr>
      </w:pPr>
    </w:p>
    <w:p w14:paraId="72C3CCBF"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eastAsiaTheme="minorEastAsia" w:hAnsi="Palatino Linotype" w:cs="Arial"/>
          <w:i/>
        </w:rPr>
      </w:pPr>
      <w:r w:rsidRPr="00771FC6">
        <w:rPr>
          <w:rFonts w:ascii="Palatino Linotype" w:eastAsiaTheme="minorEastAsia"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C92C0AF"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eastAsiaTheme="minorEastAsia" w:hAnsi="Palatino Linotype" w:cs="Arial"/>
          <w:i/>
        </w:rPr>
      </w:pPr>
    </w:p>
    <w:p w14:paraId="04F6D8D0"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eastAsiaTheme="minorEastAsia" w:hAnsi="Palatino Linotype" w:cs="Arial"/>
          <w:i/>
        </w:rPr>
      </w:pPr>
      <w:r w:rsidRPr="00771FC6">
        <w:rPr>
          <w:rFonts w:ascii="Palatino Linotype" w:eastAsiaTheme="minorEastAsia" w:hAnsi="Palatino Linotype" w:cs="Arial"/>
          <w:i/>
        </w:rPr>
        <w:lastRenderedPageBreak/>
        <w:t>En el caso de que se interponga ante la Unidad de Transparencia, ésta deberá remitir el Recurso de Revisión al Instituto a más tardar al día siguiente de haberlo recibido.</w:t>
      </w:r>
      <w:r w:rsidRPr="00771FC6">
        <w:rPr>
          <w:rFonts w:ascii="Palatino Linotype" w:eastAsiaTheme="minorEastAsia" w:hAnsi="Palatino Linotype" w:cs="Arial"/>
          <w:b/>
          <w:i/>
        </w:rPr>
        <w:t>”</w:t>
      </w:r>
    </w:p>
    <w:p w14:paraId="0CE851DF" w14:textId="77777777" w:rsidR="00F25D6C" w:rsidRPr="00771FC6" w:rsidRDefault="00F25D6C" w:rsidP="00771FC6">
      <w:pPr>
        <w:shd w:val="clear" w:color="auto" w:fill="FFFFFF" w:themeFill="background1"/>
        <w:spacing w:line="360" w:lineRule="auto"/>
        <w:ind w:left="851" w:right="902"/>
        <w:jc w:val="both"/>
        <w:rPr>
          <w:rFonts w:ascii="Palatino Linotype" w:eastAsiaTheme="minorEastAsia" w:hAnsi="Palatino Linotype" w:cs="Arial"/>
        </w:rPr>
      </w:pPr>
    </w:p>
    <w:p w14:paraId="4799953A" w14:textId="77777777" w:rsidR="00F25D6C" w:rsidRPr="00771FC6" w:rsidRDefault="00F25D6C" w:rsidP="00771FC6">
      <w:pPr>
        <w:shd w:val="clear" w:color="auto" w:fill="FFFFFF" w:themeFill="background1"/>
        <w:spacing w:line="360" w:lineRule="auto"/>
        <w:jc w:val="both"/>
        <w:rPr>
          <w:rFonts w:ascii="Palatino Linotype" w:hAnsi="Palatino Linotype"/>
        </w:rPr>
      </w:pPr>
      <w:r w:rsidRPr="00771FC6">
        <w:rPr>
          <w:rFonts w:ascii="Palatino Linotype" w:eastAsiaTheme="minorEastAsia" w:hAnsi="Palatino Linotype" w:cs="Arial"/>
        </w:rPr>
        <w:t xml:space="preserve">En esa tesitura, atendiendo a que </w:t>
      </w:r>
      <w:r w:rsidRPr="00771FC6">
        <w:rPr>
          <w:rFonts w:ascii="Palatino Linotype" w:eastAsiaTheme="minorEastAsia" w:hAnsi="Palatino Linotype" w:cs="Arial"/>
          <w:b/>
        </w:rPr>
        <w:t>EL SUJETO OBLIGADO</w:t>
      </w:r>
      <w:r w:rsidRPr="00771FC6">
        <w:rPr>
          <w:rFonts w:ascii="Palatino Linotype" w:eastAsiaTheme="minorEastAsia" w:hAnsi="Palatino Linotype" w:cs="Arial"/>
        </w:rPr>
        <w:t xml:space="preserve"> notificó la respuesta a la solicitud de información pública el </w:t>
      </w:r>
      <w:r w:rsidRPr="00771FC6">
        <w:rPr>
          <w:rFonts w:ascii="Palatino Linotype" w:eastAsiaTheme="minorEastAsia" w:hAnsi="Palatino Linotype" w:cs="Arial"/>
          <w:b/>
        </w:rPr>
        <w:t>diez de noviembre de dos mil veintidós</w:t>
      </w:r>
      <w:r w:rsidRPr="00771FC6">
        <w:rPr>
          <w:rFonts w:ascii="Palatino Linotype" w:eastAsiaTheme="minorEastAsia" w:hAnsi="Palatino Linotype" w:cs="Arial"/>
        </w:rPr>
        <w:t>;</w:t>
      </w:r>
      <w:r w:rsidRPr="00771FC6">
        <w:rPr>
          <w:rFonts w:ascii="Palatino Linotype" w:eastAsiaTheme="minorEastAsia" w:hAnsi="Palatino Linotype" w:cs="Arial"/>
          <w:b/>
        </w:rPr>
        <w:t xml:space="preserve"> </w:t>
      </w:r>
      <w:r w:rsidRPr="00771FC6">
        <w:rPr>
          <w:rFonts w:ascii="Palatino Linotype" w:eastAsiaTheme="minorEastAsia" w:hAnsi="Palatino Linotype" w:cs="Arial"/>
        </w:rPr>
        <w:t xml:space="preserve">el plazo de quince días hábiles que prevé el artículo 178 de la Ley de la materia el cual otorga al </w:t>
      </w:r>
      <w:r w:rsidRPr="00771FC6">
        <w:rPr>
          <w:rFonts w:ascii="Palatino Linotype" w:eastAsiaTheme="minorEastAsia" w:hAnsi="Palatino Linotype" w:cs="Arial"/>
          <w:b/>
        </w:rPr>
        <w:t>RECURRENTE</w:t>
      </w:r>
      <w:r w:rsidRPr="00771FC6">
        <w:rPr>
          <w:rFonts w:ascii="Palatino Linotype" w:eastAsiaTheme="minorEastAsia" w:hAnsi="Palatino Linotype" w:cs="Arial"/>
        </w:rPr>
        <w:t xml:space="preserve"> para presentar el Recurso de Revisión, transcurrió del </w:t>
      </w:r>
      <w:r w:rsidRPr="00771FC6">
        <w:rPr>
          <w:rFonts w:ascii="Palatino Linotype" w:eastAsiaTheme="minorEastAsia" w:hAnsi="Palatino Linotype" w:cs="Arial"/>
          <w:b/>
        </w:rPr>
        <w:t>once de noviembre al dos de diciembre de dos mil veintidós</w:t>
      </w:r>
      <w:r w:rsidRPr="00771FC6">
        <w:rPr>
          <w:rFonts w:ascii="Palatino Linotype" w:eastAsiaTheme="minorEastAsia" w:hAnsi="Palatino Linotype" w:cs="Arial"/>
        </w:rPr>
        <w:t xml:space="preserve">, </w:t>
      </w:r>
      <w:r w:rsidRPr="00771FC6">
        <w:rPr>
          <w:rFonts w:ascii="Palatino Linotype" w:hAnsi="Palatino Linotype" w:cs="Arial"/>
        </w:rPr>
        <w:t xml:space="preserve">sin contemplar en el cómputo los días doce, trece, diecinueve, veinte, veintiséis y veintisiete de noviembre de dos mil veintidós, por corresponder a sábados y domingos, considerados como días inhábiles; en términos del artículo 3, fracción X de la </w:t>
      </w:r>
      <w:r w:rsidRPr="00771FC6">
        <w:rPr>
          <w:rFonts w:ascii="Palatino Linotype" w:hAnsi="Palatino Linotype"/>
        </w:rPr>
        <w:t xml:space="preserve">Ley de Transparencia y Acceso a la Información Pública del Estado de México y Municipios. </w:t>
      </w:r>
    </w:p>
    <w:p w14:paraId="69FEBB44" w14:textId="77777777" w:rsidR="00F25D6C" w:rsidRPr="00771FC6" w:rsidRDefault="00F25D6C" w:rsidP="00771FC6">
      <w:pPr>
        <w:shd w:val="clear" w:color="auto" w:fill="FFFFFF" w:themeFill="background1"/>
        <w:spacing w:line="360" w:lineRule="auto"/>
        <w:jc w:val="both"/>
        <w:rPr>
          <w:rFonts w:ascii="Palatino Linotype" w:eastAsiaTheme="minorEastAsia" w:hAnsi="Palatino Linotype" w:cs="Arial"/>
        </w:rPr>
      </w:pPr>
    </w:p>
    <w:p w14:paraId="6C6320CD" w14:textId="77777777" w:rsidR="00F25D6C" w:rsidRPr="00771FC6" w:rsidRDefault="00F25D6C" w:rsidP="00771FC6">
      <w:pPr>
        <w:shd w:val="clear" w:color="auto" w:fill="FFFFFF" w:themeFill="background1"/>
        <w:spacing w:line="360" w:lineRule="auto"/>
        <w:jc w:val="both"/>
        <w:rPr>
          <w:rFonts w:ascii="Palatino Linotype" w:eastAsiaTheme="minorEastAsia" w:hAnsi="Palatino Linotype" w:cs="Arial"/>
        </w:rPr>
      </w:pPr>
      <w:r w:rsidRPr="00771FC6">
        <w:rPr>
          <w:rFonts w:ascii="Palatino Linotype" w:eastAsiaTheme="minorEastAsia" w:hAnsi="Palatino Linotype" w:cs="Arial"/>
        </w:rPr>
        <w:t xml:space="preserve">En ese tenor, si el Recurso de Revisión materia del presente estudio, se tuvo por interpuesto el </w:t>
      </w:r>
      <w:r w:rsidR="00CA6EA5" w:rsidRPr="00771FC6">
        <w:rPr>
          <w:rFonts w:ascii="Palatino Linotype" w:eastAsiaTheme="minorEastAsia" w:hAnsi="Palatino Linotype" w:cs="Arial"/>
          <w:b/>
        </w:rPr>
        <w:t>veinticuatro</w:t>
      </w:r>
      <w:r w:rsidRPr="00771FC6">
        <w:rPr>
          <w:rFonts w:ascii="Palatino Linotype" w:eastAsiaTheme="minorEastAsia" w:hAnsi="Palatino Linotype" w:cs="Arial"/>
          <w:b/>
        </w:rPr>
        <w:t xml:space="preserve"> de noviembre de dos mil veintidós</w:t>
      </w:r>
      <w:r w:rsidRPr="00771FC6">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31EE5767" w14:textId="77777777" w:rsidR="00F25D6C" w:rsidRPr="00771FC6" w:rsidRDefault="00F25D6C" w:rsidP="00771FC6">
      <w:pPr>
        <w:shd w:val="clear" w:color="auto" w:fill="FFFFFF" w:themeFill="background1"/>
        <w:spacing w:line="360" w:lineRule="auto"/>
        <w:jc w:val="both"/>
        <w:rPr>
          <w:rFonts w:ascii="Palatino Linotype" w:eastAsiaTheme="minorEastAsia" w:hAnsi="Palatino Linotype" w:cs="Arial"/>
        </w:rPr>
      </w:pPr>
    </w:p>
    <w:p w14:paraId="1F9BD8DF" w14:textId="77777777" w:rsidR="00F25D6C" w:rsidRPr="00771FC6" w:rsidRDefault="00F25D6C" w:rsidP="00771FC6">
      <w:pPr>
        <w:shd w:val="clear" w:color="auto" w:fill="FFFFFF" w:themeFill="background1"/>
        <w:autoSpaceDE w:val="0"/>
        <w:autoSpaceDN w:val="0"/>
        <w:adjustRightInd w:val="0"/>
        <w:spacing w:line="360" w:lineRule="auto"/>
        <w:ind w:right="49"/>
        <w:jc w:val="both"/>
        <w:rPr>
          <w:rFonts w:ascii="Palatino Linotype" w:hAnsi="Palatino Linotype"/>
          <w:b/>
        </w:rPr>
      </w:pPr>
      <w:r w:rsidRPr="00771FC6">
        <w:rPr>
          <w:rFonts w:ascii="Palatino Linotype" w:hAnsi="Palatino Linotype" w:cs="Arial"/>
          <w:b/>
        </w:rPr>
        <w:t>CUARTO</w:t>
      </w:r>
      <w:r w:rsidRPr="00771FC6">
        <w:rPr>
          <w:rFonts w:ascii="Palatino Linotype" w:hAnsi="Palatino Linotype"/>
          <w:b/>
        </w:rPr>
        <w:t xml:space="preserve">. Procedibilidad. </w:t>
      </w:r>
    </w:p>
    <w:p w14:paraId="38DB9D4F" w14:textId="77777777" w:rsidR="00F25D6C" w:rsidRPr="00771FC6" w:rsidRDefault="00F25D6C" w:rsidP="00771FC6">
      <w:pPr>
        <w:shd w:val="clear" w:color="auto" w:fill="FFFFFF" w:themeFill="background1"/>
        <w:autoSpaceDE w:val="0"/>
        <w:autoSpaceDN w:val="0"/>
        <w:adjustRightInd w:val="0"/>
        <w:spacing w:line="360" w:lineRule="auto"/>
        <w:ind w:right="49"/>
        <w:jc w:val="both"/>
        <w:rPr>
          <w:rFonts w:ascii="Palatino Linotype" w:hAnsi="Palatino Linotype" w:cs="Arial"/>
        </w:rPr>
      </w:pPr>
      <w:r w:rsidRPr="00771FC6">
        <w:rPr>
          <w:rFonts w:ascii="Palatino Linotype" w:hAnsi="Palatino Linotype" w:cs="Arial"/>
        </w:rPr>
        <w:t xml:space="preserve">Esta Ponencia considera importante precisar que conforme al artículo 180, fracción II, último párrafo de la Ley de Transparencia y Acceso a la Información Pública del Estado de México y Municipios, que prevé cuando las solicitudes se presenten de </w:t>
      </w:r>
      <w:r w:rsidRPr="00771FC6">
        <w:rPr>
          <w:rFonts w:ascii="Palatino Linotype" w:hAnsi="Palatino Linotype" w:cs="Arial"/>
        </w:rPr>
        <w:lastRenderedPageBreak/>
        <w:t xml:space="preserve">manera electrónica no es requisito indispensable el proporcionar el nombre, tal como se muestra a continuación: </w:t>
      </w:r>
    </w:p>
    <w:p w14:paraId="5C2E9F50" w14:textId="77777777" w:rsidR="00F25D6C" w:rsidRPr="00771FC6" w:rsidRDefault="00F25D6C" w:rsidP="00771FC6">
      <w:pPr>
        <w:shd w:val="clear" w:color="auto" w:fill="FFFFFF" w:themeFill="background1"/>
        <w:autoSpaceDE w:val="0"/>
        <w:autoSpaceDN w:val="0"/>
        <w:adjustRightInd w:val="0"/>
        <w:spacing w:line="360" w:lineRule="auto"/>
        <w:ind w:right="49"/>
        <w:jc w:val="both"/>
        <w:rPr>
          <w:rFonts w:ascii="Palatino Linotype" w:hAnsi="Palatino Linotype" w:cs="Arial"/>
        </w:rPr>
      </w:pPr>
    </w:p>
    <w:p w14:paraId="03A2A213"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hAnsi="Palatino Linotype"/>
          <w:b/>
          <w:i/>
        </w:rPr>
      </w:pPr>
      <w:r w:rsidRPr="00771FC6">
        <w:rPr>
          <w:rFonts w:ascii="Palatino Linotype" w:hAnsi="Palatino Linotype"/>
          <w:b/>
          <w:i/>
        </w:rPr>
        <w:t xml:space="preserve">“Artículo 180. </w:t>
      </w:r>
      <w:r w:rsidRPr="00771FC6">
        <w:rPr>
          <w:rFonts w:ascii="Palatino Linotype" w:hAnsi="Palatino Linotype"/>
          <w:i/>
        </w:rPr>
        <w:t xml:space="preserve">El </w:t>
      </w:r>
      <w:r w:rsidRPr="00771FC6">
        <w:rPr>
          <w:rFonts w:ascii="Palatino Linotype" w:hAnsi="Palatino Linotype" w:cs="Arial"/>
          <w:i/>
        </w:rPr>
        <w:t>Recurso de Revisión</w:t>
      </w:r>
      <w:r w:rsidRPr="00771FC6">
        <w:rPr>
          <w:rFonts w:ascii="Palatino Linotype" w:hAnsi="Palatino Linotype"/>
          <w:i/>
        </w:rPr>
        <w:t xml:space="preserve"> contendrá:</w:t>
      </w:r>
      <w:r w:rsidRPr="00771FC6">
        <w:rPr>
          <w:rFonts w:ascii="Palatino Linotype" w:hAnsi="Palatino Linotype"/>
          <w:b/>
          <w:i/>
        </w:rPr>
        <w:t xml:space="preserve"> </w:t>
      </w:r>
    </w:p>
    <w:p w14:paraId="1130567F"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hAnsi="Palatino Linotype"/>
          <w:b/>
          <w:i/>
        </w:rPr>
      </w:pPr>
      <w:r w:rsidRPr="00771FC6">
        <w:rPr>
          <w:rFonts w:ascii="Palatino Linotype" w:hAnsi="Palatino Linotype"/>
          <w:b/>
          <w:i/>
        </w:rPr>
        <w:t>…</w:t>
      </w:r>
    </w:p>
    <w:p w14:paraId="06730455"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hAnsi="Palatino Linotype"/>
          <w:i/>
        </w:rPr>
      </w:pPr>
      <w:r w:rsidRPr="00771FC6">
        <w:rPr>
          <w:rFonts w:ascii="Palatino Linotype" w:hAnsi="Palatino Linotype"/>
          <w:b/>
          <w:i/>
        </w:rPr>
        <w:t xml:space="preserve">II. El nombre del solicitante </w:t>
      </w:r>
      <w:r w:rsidRPr="00771FC6">
        <w:rPr>
          <w:rFonts w:ascii="Palatino Linotype" w:hAnsi="Palatino Linotype" w:cs="Arial"/>
          <w:b/>
          <w:i/>
        </w:rPr>
        <w:t>que</w:t>
      </w:r>
      <w:r w:rsidRPr="00771FC6">
        <w:rPr>
          <w:rFonts w:ascii="Palatino Linotype" w:hAnsi="Palatino Linotype"/>
          <w:b/>
          <w:i/>
        </w:rPr>
        <w:t xml:space="preserve"> recurre </w:t>
      </w:r>
      <w:r w:rsidRPr="00771FC6">
        <w:rPr>
          <w:rFonts w:ascii="Palatino Linotype" w:hAnsi="Palatino Linotype"/>
          <w:i/>
        </w:rPr>
        <w:t>o de su representante y, en su caso</w:t>
      </w:r>
      <w:proofErr w:type="gramStart"/>
      <w:r w:rsidRPr="00771FC6">
        <w:rPr>
          <w:rFonts w:ascii="Palatino Linotype" w:hAnsi="Palatino Linotype"/>
          <w:i/>
        </w:rPr>
        <w:t>, …</w:t>
      </w:r>
      <w:proofErr w:type="gramEnd"/>
    </w:p>
    <w:p w14:paraId="0579DB38"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hAnsi="Palatino Linotype"/>
          <w:b/>
          <w:i/>
        </w:rPr>
      </w:pPr>
      <w:r w:rsidRPr="00771FC6">
        <w:rPr>
          <w:rFonts w:ascii="Palatino Linotype" w:hAnsi="Palatino Linotype"/>
          <w:b/>
          <w:i/>
        </w:rPr>
        <w:t xml:space="preserve">En caso de </w:t>
      </w:r>
      <w:r w:rsidRPr="00771FC6">
        <w:rPr>
          <w:rFonts w:ascii="Palatino Linotype" w:hAnsi="Palatino Linotype" w:cs="Arial"/>
          <w:b/>
          <w:i/>
        </w:rPr>
        <w:t>que</w:t>
      </w:r>
      <w:r w:rsidRPr="00771FC6">
        <w:rPr>
          <w:rFonts w:ascii="Palatino Linotype" w:hAnsi="Palatino Linotype"/>
          <w:b/>
          <w:i/>
        </w:rPr>
        <w:t xml:space="preserve"> el recurso se interponga de manera electrónica no será indispensable que contengan los requisitos establecidos en las fracciones II</w:t>
      </w:r>
      <w:r w:rsidRPr="00771FC6">
        <w:rPr>
          <w:rFonts w:ascii="Palatino Linotype" w:hAnsi="Palatino Linotype"/>
          <w:i/>
        </w:rPr>
        <w:t>, IV, VII y VIII.</w:t>
      </w:r>
      <w:r w:rsidRPr="00771FC6">
        <w:rPr>
          <w:rFonts w:ascii="Palatino Linotype" w:hAnsi="Palatino Linotype"/>
          <w:b/>
          <w:i/>
        </w:rPr>
        <w:t>”</w:t>
      </w:r>
    </w:p>
    <w:p w14:paraId="2EDB9882"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hAnsi="Palatino Linotype"/>
          <w:i/>
        </w:rPr>
      </w:pPr>
      <w:r w:rsidRPr="00771FC6">
        <w:rPr>
          <w:rFonts w:ascii="Palatino Linotype" w:hAnsi="Palatino Linotype"/>
          <w:i/>
        </w:rPr>
        <w:t>(Énfasis añadido)</w:t>
      </w:r>
    </w:p>
    <w:p w14:paraId="397690AA" w14:textId="77777777" w:rsidR="00F25D6C" w:rsidRPr="00771FC6" w:rsidRDefault="00F25D6C" w:rsidP="00771FC6">
      <w:pPr>
        <w:shd w:val="clear" w:color="auto" w:fill="FFFFFF" w:themeFill="background1"/>
        <w:tabs>
          <w:tab w:val="left" w:pos="851"/>
        </w:tabs>
        <w:spacing w:line="360" w:lineRule="auto"/>
        <w:ind w:right="901"/>
        <w:jc w:val="both"/>
        <w:rPr>
          <w:rFonts w:ascii="Palatino Linotype" w:hAnsi="Palatino Linotype"/>
          <w:i/>
        </w:rPr>
      </w:pPr>
    </w:p>
    <w:p w14:paraId="149890A5" w14:textId="77777777" w:rsidR="00F25D6C" w:rsidRPr="00771FC6" w:rsidRDefault="00F25D6C" w:rsidP="00771FC6">
      <w:pPr>
        <w:shd w:val="clear" w:color="auto" w:fill="FFFFFF" w:themeFill="background1"/>
        <w:spacing w:line="360" w:lineRule="auto"/>
        <w:jc w:val="both"/>
        <w:rPr>
          <w:rFonts w:ascii="Palatino Linotype" w:hAnsi="Palatino Linotype"/>
          <w:b/>
        </w:rPr>
      </w:pPr>
      <w:r w:rsidRPr="00771FC6">
        <w:rPr>
          <w:rFonts w:ascii="Palatino Linotype" w:hAnsi="Palatino Linotype"/>
        </w:rPr>
        <w:t>Por lo que, derivado que el Recurso de Revisión materia del presente asunto, se interpuso de manera electrónica, no es necesario que contenga determinados requisitos, entre ellos, el nombre del</w:t>
      </w:r>
      <w:r w:rsidRPr="00771FC6">
        <w:rPr>
          <w:rFonts w:ascii="Palatino Linotype" w:hAnsi="Palatino Linotype" w:cs="Arial"/>
          <w:b/>
        </w:rPr>
        <w:t xml:space="preserve"> RECURRENTE;</w:t>
      </w:r>
      <w:r w:rsidRPr="00771FC6">
        <w:rPr>
          <w:rFonts w:ascii="Palatino Linotype" w:hAnsi="Palatino Linotype"/>
        </w:rPr>
        <w:t xml:space="preserve"> por lo que, en el presente caso, al haber sido presentado el Recurso de Revisión vía </w:t>
      </w:r>
      <w:r w:rsidRPr="00771FC6">
        <w:rPr>
          <w:rFonts w:ascii="Palatino Linotype" w:hAnsi="Palatino Linotype"/>
          <w:b/>
        </w:rPr>
        <w:t>SAIMEX</w:t>
      </w:r>
      <w:r w:rsidRPr="00771FC6">
        <w:rPr>
          <w:rFonts w:ascii="Palatino Linotype" w:hAnsi="Palatino Linotype"/>
        </w:rPr>
        <w:t>, dicho requisito resulta innecesario.</w:t>
      </w:r>
    </w:p>
    <w:p w14:paraId="3BF1B6F9" w14:textId="77777777" w:rsidR="00F25D6C" w:rsidRPr="00771FC6" w:rsidRDefault="00F25D6C" w:rsidP="00771FC6">
      <w:pPr>
        <w:shd w:val="clear" w:color="auto" w:fill="FFFFFF" w:themeFill="background1"/>
        <w:spacing w:line="360" w:lineRule="auto"/>
        <w:jc w:val="both"/>
        <w:rPr>
          <w:rFonts w:ascii="Palatino Linotype" w:hAnsi="Palatino Linotype"/>
        </w:rPr>
      </w:pPr>
    </w:p>
    <w:p w14:paraId="43054EAA" w14:textId="77777777" w:rsidR="00F25D6C" w:rsidRPr="00771FC6" w:rsidRDefault="00F25D6C" w:rsidP="00771FC6">
      <w:pPr>
        <w:shd w:val="clear" w:color="auto" w:fill="FFFFFF" w:themeFill="background1"/>
        <w:spacing w:line="360" w:lineRule="auto"/>
        <w:jc w:val="both"/>
        <w:rPr>
          <w:rFonts w:ascii="Palatino Linotype" w:hAnsi="Palatino Linotype" w:cs="Arial"/>
        </w:rPr>
      </w:pPr>
      <w:r w:rsidRPr="00771FC6">
        <w:rPr>
          <w:rFonts w:ascii="Palatino Linotype" w:hAnsi="Palatino Linotype"/>
        </w:rPr>
        <w:t xml:space="preserve">Lo anterior es así, pues el artículo 15 de </w:t>
      </w:r>
      <w:r w:rsidRPr="00771FC6">
        <w:rPr>
          <w:rFonts w:ascii="Palatino Linotype" w:hAnsi="Palatino Linotype" w:cs="Arial"/>
        </w:rPr>
        <w:t xml:space="preserve">Ley de Transparencia y Acceso a la Información Pública del Estado de México y Municipios </w:t>
      </w:r>
      <w:r w:rsidRPr="00771FC6">
        <w:rPr>
          <w:rFonts w:ascii="Palatino Linotype" w:hAnsi="Palatino Linotype" w:cs="Arial"/>
          <w:iCs/>
        </w:rPr>
        <w:t xml:space="preserve">prevé que, </w:t>
      </w:r>
      <w:r w:rsidRPr="00771FC6">
        <w:rPr>
          <w:rFonts w:ascii="Palatino Linotype" w:hAnsi="Palatino Linotype"/>
        </w:rPr>
        <w:t xml:space="preserve">toda persona tendrá acceso a la información </w:t>
      </w:r>
      <w:r w:rsidRPr="00771FC6">
        <w:rPr>
          <w:rFonts w:ascii="Palatino Linotype" w:hAnsi="Palatino Linotype" w:cs="Arial"/>
        </w:rPr>
        <w:t xml:space="preserve">sin necesidad de acreditar interés alguno o justificar su utilización, de lo que se infiere que para el </w:t>
      </w:r>
      <w:r w:rsidRPr="00771FC6">
        <w:rPr>
          <w:rFonts w:ascii="Palatino Linotype" w:hAnsi="Palatino Linotype"/>
        </w:rPr>
        <w:t>ejercicio</w:t>
      </w:r>
      <w:r w:rsidRPr="00771FC6">
        <w:rPr>
          <w:rFonts w:ascii="Palatino Linotype" w:hAnsi="Palatino Linotype" w:cs="Arial"/>
        </w:rPr>
        <w:t xml:space="preserve"> del derecho de acceso a la información pública, </w:t>
      </w:r>
      <w:r w:rsidRPr="00771FC6">
        <w:rPr>
          <w:rFonts w:ascii="Palatino Linotype" w:hAnsi="Palatino Linotype" w:cs="Arial"/>
          <w:b/>
          <w:u w:val="single"/>
        </w:rPr>
        <w:t xml:space="preserve">el nombre no es un requisito </w:t>
      </w:r>
      <w:r w:rsidRPr="00771FC6">
        <w:rPr>
          <w:rFonts w:ascii="Palatino Linotype" w:hAnsi="Palatino Linotype" w:cs="Arial"/>
          <w:b/>
          <w:i/>
          <w:u w:val="single"/>
        </w:rPr>
        <w:t>sine qua non</w:t>
      </w:r>
      <w:r w:rsidRPr="00771FC6">
        <w:rPr>
          <w:rFonts w:ascii="Palatino Linotype" w:hAnsi="Palatino Linotype" w:cs="Arial"/>
        </w:rPr>
        <w:t xml:space="preserve"> para que los particulares ejerzan el derecho de acceso a la información pública, pues por el contrario la Ley de la materia prevé en </w:t>
      </w:r>
      <w:r w:rsidRPr="00771FC6">
        <w:rPr>
          <w:rFonts w:ascii="Palatino Linotype" w:hAnsi="Palatino Linotype" w:cs="Arial"/>
        </w:rPr>
        <w:lastRenderedPageBreak/>
        <w:t>su artículo 155, párrafo segundo la posibilidad de que las solicitudes de información sean anónimas, al utilizar un nombre incompleto o, inclusive un seudónimo.</w:t>
      </w:r>
    </w:p>
    <w:p w14:paraId="3DA7B24A" w14:textId="77777777" w:rsidR="00F25D6C" w:rsidRPr="00771FC6" w:rsidRDefault="00F25D6C" w:rsidP="00771FC6">
      <w:pPr>
        <w:shd w:val="clear" w:color="auto" w:fill="FFFFFF" w:themeFill="background1"/>
        <w:spacing w:line="360" w:lineRule="auto"/>
        <w:jc w:val="both"/>
        <w:rPr>
          <w:rFonts w:ascii="Palatino Linotype" w:hAnsi="Palatino Linotype" w:cs="Arial"/>
        </w:rPr>
      </w:pPr>
    </w:p>
    <w:p w14:paraId="656F9540" w14:textId="77777777" w:rsidR="00F25D6C" w:rsidRPr="00771FC6" w:rsidRDefault="00F25D6C" w:rsidP="00771FC6">
      <w:pPr>
        <w:shd w:val="clear" w:color="auto" w:fill="FFFFFF" w:themeFill="background1"/>
        <w:spacing w:line="360" w:lineRule="auto"/>
        <w:jc w:val="both"/>
        <w:rPr>
          <w:rFonts w:ascii="Palatino Linotype" w:hAnsi="Palatino Linotype"/>
        </w:rPr>
      </w:pPr>
      <w:r w:rsidRPr="00771FC6">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4BDA653"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hAnsi="Palatino Linotype"/>
        </w:rPr>
      </w:pPr>
    </w:p>
    <w:p w14:paraId="7AA26B1B" w14:textId="77777777" w:rsidR="00F25D6C" w:rsidRPr="00771FC6" w:rsidRDefault="00F25D6C" w:rsidP="00771FC6">
      <w:pPr>
        <w:shd w:val="clear" w:color="auto" w:fill="FFFFFF" w:themeFill="background1"/>
        <w:spacing w:line="360" w:lineRule="auto"/>
        <w:jc w:val="both"/>
        <w:rPr>
          <w:rFonts w:ascii="Palatino Linotype" w:hAnsi="Palatino Linotype"/>
        </w:rPr>
      </w:pPr>
      <w:r w:rsidRPr="00771FC6">
        <w:rPr>
          <w:rFonts w:ascii="Palatino Linotype" w:hAnsi="Palatino Linotype"/>
        </w:rPr>
        <w:t xml:space="preserve">Asimismo, se estima que el requisito relativo al nombre del </w:t>
      </w:r>
      <w:r w:rsidRPr="00771FC6">
        <w:rPr>
          <w:rFonts w:ascii="Palatino Linotype" w:hAnsi="Palatino Linotype" w:cs="Arial"/>
          <w:b/>
        </w:rPr>
        <w:t>RECURRENTE</w:t>
      </w:r>
      <w:r w:rsidRPr="00771FC6">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71FC6">
        <w:rPr>
          <w:rFonts w:ascii="Palatino Linotype" w:hAnsi="Palatino Linotype" w:cs="Arial"/>
          <w:b/>
        </w:rPr>
        <w:t>EL RECURRENTE</w:t>
      </w:r>
      <w:r w:rsidRPr="00771FC6">
        <w:rPr>
          <w:rFonts w:ascii="Palatino Linotype" w:hAnsi="Palatino Linotype"/>
        </w:rPr>
        <w:t xml:space="preserve"> es la misma persona que realizó la solicitud de acceso a la información pública que ahora se impugna.</w:t>
      </w:r>
    </w:p>
    <w:p w14:paraId="43F3EA69" w14:textId="77777777" w:rsidR="00F25D6C" w:rsidRPr="00771FC6" w:rsidRDefault="00F25D6C" w:rsidP="00771FC6">
      <w:pPr>
        <w:shd w:val="clear" w:color="auto" w:fill="FFFFFF" w:themeFill="background1"/>
        <w:tabs>
          <w:tab w:val="left" w:pos="851"/>
        </w:tabs>
        <w:spacing w:line="360" w:lineRule="auto"/>
        <w:ind w:left="851" w:right="901"/>
        <w:jc w:val="both"/>
        <w:rPr>
          <w:rFonts w:ascii="Palatino Linotype" w:hAnsi="Palatino Linotype"/>
        </w:rPr>
      </w:pPr>
    </w:p>
    <w:p w14:paraId="7F74A4DE" w14:textId="77777777" w:rsidR="00F25D6C" w:rsidRPr="00771FC6" w:rsidRDefault="00F25D6C" w:rsidP="00771FC6">
      <w:pPr>
        <w:shd w:val="clear" w:color="auto" w:fill="FFFFFF" w:themeFill="background1"/>
        <w:spacing w:line="360" w:lineRule="auto"/>
        <w:jc w:val="both"/>
        <w:rPr>
          <w:rFonts w:ascii="Palatino Linotype" w:hAnsi="Palatino Linotype"/>
        </w:rPr>
      </w:pPr>
      <w:r w:rsidRPr="00771FC6">
        <w:rPr>
          <w:rFonts w:ascii="Palatino Linotype" w:hAnsi="Palatino Linotype"/>
        </w:rPr>
        <w:lastRenderedPageBreak/>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8E5D9FA" w14:textId="77777777" w:rsidR="00F25D6C" w:rsidRPr="00771FC6" w:rsidRDefault="00F25D6C" w:rsidP="00771FC6">
      <w:pPr>
        <w:shd w:val="clear" w:color="auto" w:fill="FFFFFF" w:themeFill="background1"/>
        <w:spacing w:line="360" w:lineRule="auto"/>
        <w:jc w:val="both"/>
        <w:textAlignment w:val="baseline"/>
        <w:rPr>
          <w:rFonts w:ascii="Palatino Linotype" w:hAnsi="Palatino Linotype"/>
          <w:b/>
        </w:rPr>
      </w:pPr>
    </w:p>
    <w:p w14:paraId="64E81313" w14:textId="77777777" w:rsidR="00F25D6C" w:rsidRPr="00771FC6" w:rsidRDefault="00F25D6C" w:rsidP="00771FC6">
      <w:pPr>
        <w:pStyle w:val="Prrafodelista"/>
        <w:widowControl w:val="0"/>
        <w:shd w:val="clear" w:color="auto" w:fill="FFFFFF" w:themeFill="background1"/>
        <w:autoSpaceDE w:val="0"/>
        <w:autoSpaceDN w:val="0"/>
        <w:adjustRightInd w:val="0"/>
        <w:spacing w:line="360" w:lineRule="auto"/>
        <w:ind w:left="0"/>
        <w:jc w:val="both"/>
        <w:rPr>
          <w:rFonts w:ascii="Palatino Linotype" w:hAnsi="Palatino Linotype" w:cs="Arial"/>
          <w:b/>
        </w:rPr>
      </w:pPr>
      <w:r w:rsidRPr="00771FC6">
        <w:rPr>
          <w:rFonts w:ascii="Palatino Linotype" w:hAnsi="Palatino Linotype" w:cs="Arial"/>
          <w:b/>
        </w:rPr>
        <w:t xml:space="preserve">QUINTO. Estudio y Resolución del Recurso. </w:t>
      </w:r>
    </w:p>
    <w:p w14:paraId="3630B624" w14:textId="77777777" w:rsidR="00F25D6C" w:rsidRPr="00771FC6" w:rsidRDefault="00F25D6C" w:rsidP="00771FC6">
      <w:pPr>
        <w:pStyle w:val="Prrafodelista"/>
        <w:widowControl w:val="0"/>
        <w:shd w:val="clear" w:color="auto" w:fill="FFFFFF" w:themeFill="background1"/>
        <w:autoSpaceDE w:val="0"/>
        <w:autoSpaceDN w:val="0"/>
        <w:adjustRightInd w:val="0"/>
        <w:spacing w:line="360" w:lineRule="auto"/>
        <w:ind w:left="0"/>
        <w:jc w:val="both"/>
        <w:rPr>
          <w:rFonts w:ascii="Palatino Linotype" w:hAnsi="Palatino Linotype" w:cs="Arial"/>
          <w:b/>
        </w:rPr>
      </w:pPr>
    </w:p>
    <w:p w14:paraId="05C84EAF" w14:textId="77777777" w:rsidR="008856EE" w:rsidRPr="00771FC6" w:rsidRDefault="008856EE" w:rsidP="00771FC6">
      <w:pPr>
        <w:shd w:val="clear" w:color="auto" w:fill="FFFFFF" w:themeFill="background1"/>
        <w:spacing w:line="360" w:lineRule="auto"/>
        <w:jc w:val="both"/>
        <w:rPr>
          <w:rFonts w:ascii="Palatino Linotype" w:hAnsi="Palatino Linotype" w:cs="Arial"/>
          <w:lang w:val="es-ES"/>
        </w:rPr>
      </w:pPr>
      <w:r w:rsidRPr="00771FC6">
        <w:rPr>
          <w:rFonts w:ascii="Palatino Linotype" w:hAnsi="Palatino Linotype" w:cs="Arial"/>
        </w:rPr>
        <w:t xml:space="preserve">Una vez determinada la vía sobre la que versará el presente recurso, y previa revisión del expediente electrónico formado en </w:t>
      </w:r>
      <w:r w:rsidRPr="00771FC6">
        <w:rPr>
          <w:rFonts w:ascii="Palatino Linotype" w:hAnsi="Palatino Linotype" w:cs="Arial"/>
          <w:b/>
        </w:rPr>
        <w:t>EL SAIMEX</w:t>
      </w:r>
      <w:r w:rsidRPr="00771FC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771FC6">
        <w:rPr>
          <w:rFonts w:ascii="Palatino Linotype" w:hAnsi="Palatino Linotype"/>
          <w:lang w:val="es-ES"/>
        </w:rPr>
        <w:t>Constitución Política de los Estados Unidos Mexicanos, en la Constitución Política del Estado Libre y Soberano de México</w:t>
      </w:r>
      <w:r w:rsidRPr="00771FC6">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71FC6">
        <w:rPr>
          <w:rFonts w:ascii="Palatino Linotype" w:hAnsi="Palatino Linotype"/>
          <w:lang w:val="es-ES"/>
        </w:rPr>
        <w:t>Constitución Política de los Estados Unidos Mexicanos</w:t>
      </w:r>
      <w:r w:rsidRPr="00771FC6">
        <w:rPr>
          <w:rFonts w:ascii="Palatino Linotype" w:hAnsi="Palatino Linotype" w:cs="Arial"/>
        </w:rPr>
        <w:t xml:space="preserve"> y los numerales 8 y 9 de la </w:t>
      </w:r>
      <w:r w:rsidRPr="00771FC6">
        <w:rPr>
          <w:rFonts w:ascii="Palatino Linotype" w:hAnsi="Palatino Linotype" w:cs="Arial"/>
          <w:lang w:val="es-ES"/>
        </w:rPr>
        <w:t xml:space="preserve">Ley </w:t>
      </w:r>
      <w:r w:rsidRPr="00771FC6">
        <w:rPr>
          <w:rFonts w:ascii="Palatino Linotype" w:hAnsi="Palatino Linotype" w:cs="Arial"/>
          <w:lang w:val="es-ES"/>
        </w:rPr>
        <w:lastRenderedPageBreak/>
        <w:t>de Transparencia y Acceso a la Información Pública del Estado de México y Municipios.</w:t>
      </w:r>
    </w:p>
    <w:p w14:paraId="707F4D9D" w14:textId="77777777" w:rsidR="008856EE" w:rsidRPr="00771FC6" w:rsidRDefault="008856EE" w:rsidP="00771FC6">
      <w:pPr>
        <w:shd w:val="clear" w:color="auto" w:fill="FFFFFF" w:themeFill="background1"/>
        <w:spacing w:line="360" w:lineRule="auto"/>
        <w:jc w:val="both"/>
        <w:rPr>
          <w:rFonts w:ascii="Palatino Linotype" w:hAnsi="Palatino Linotype" w:cs="Arial"/>
          <w:lang w:val="es-ES"/>
        </w:rPr>
      </w:pPr>
    </w:p>
    <w:p w14:paraId="5ED16928" w14:textId="77777777" w:rsidR="008856EE" w:rsidRPr="00771FC6" w:rsidRDefault="008856EE" w:rsidP="00771FC6">
      <w:pPr>
        <w:shd w:val="clear" w:color="auto" w:fill="FFFFFF" w:themeFill="background1"/>
        <w:spacing w:line="360" w:lineRule="auto"/>
        <w:jc w:val="both"/>
        <w:rPr>
          <w:rFonts w:ascii="Palatino Linotype" w:hAnsi="Palatino Linotype"/>
        </w:rPr>
      </w:pPr>
      <w:r w:rsidRPr="00771FC6">
        <w:rPr>
          <w:rFonts w:ascii="Palatino Linotype" w:eastAsia="Arial Unicode MS" w:hAnsi="Palatino Linotype" w:cs="Arial"/>
        </w:rPr>
        <w:t>Es</w:t>
      </w:r>
      <w:r w:rsidRPr="00771FC6">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22BC1DBE" w14:textId="77777777" w:rsidR="008856EE" w:rsidRPr="00771FC6" w:rsidRDefault="008856EE" w:rsidP="00771FC6">
      <w:pPr>
        <w:shd w:val="clear" w:color="auto" w:fill="FFFFFF" w:themeFill="background1"/>
        <w:spacing w:line="360" w:lineRule="auto"/>
        <w:jc w:val="both"/>
        <w:rPr>
          <w:rFonts w:ascii="Palatino Linotype" w:hAnsi="Palatino Linotype"/>
        </w:rPr>
      </w:pPr>
    </w:p>
    <w:p w14:paraId="25CDBF51"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 xml:space="preserve"> “</w:t>
      </w:r>
      <w:r w:rsidRPr="00771FC6">
        <w:rPr>
          <w:rFonts w:ascii="Palatino Linotype" w:hAnsi="Palatino Linotype" w:cs="Arial"/>
          <w:b/>
          <w:i/>
          <w:sz w:val="22"/>
        </w:rPr>
        <w:t>Artículo 6o…</w:t>
      </w:r>
    </w:p>
    <w:p w14:paraId="6131503A"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b/>
          <w:bCs/>
          <w:i/>
          <w:sz w:val="22"/>
        </w:rPr>
        <w:t>A.</w:t>
      </w:r>
      <w:r w:rsidRPr="00771FC6">
        <w:rPr>
          <w:rFonts w:ascii="Palatino Linotype" w:hAnsi="Palatino Linotype" w:cs="Arial"/>
          <w:i/>
          <w:sz w:val="22"/>
        </w:rPr>
        <w:t xml:space="preserve"> Para el ejercicio del </w:t>
      </w:r>
      <w:r w:rsidRPr="00771FC6">
        <w:rPr>
          <w:rFonts w:ascii="Palatino Linotype" w:hAnsi="Palatino Linotype" w:cs="Arial"/>
          <w:bCs/>
          <w:i/>
          <w:sz w:val="22"/>
        </w:rPr>
        <w:t>derecho</w:t>
      </w:r>
      <w:r w:rsidRPr="00771FC6">
        <w:rPr>
          <w:rFonts w:ascii="Palatino Linotype" w:hAnsi="Palatino Linotype" w:cs="Arial"/>
          <w:i/>
          <w:sz w:val="22"/>
        </w:rPr>
        <w:t xml:space="preserve"> de acceso a la información, la Federación y las entidades federativas, en el ámbito de sus respectivas competencias, se regirán por los siguientes principios y bases:</w:t>
      </w:r>
    </w:p>
    <w:p w14:paraId="3BDFBE0D"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b/>
          <w:bCs/>
          <w:i/>
          <w:sz w:val="22"/>
        </w:rPr>
        <w:t xml:space="preserve">I. </w:t>
      </w:r>
      <w:r w:rsidRPr="00771FC6">
        <w:rPr>
          <w:rFonts w:ascii="Palatino Linotype" w:hAnsi="Palatino Linotype" w:cs="Arial"/>
          <w:i/>
          <w:sz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18AD1AA"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b/>
          <w:bCs/>
          <w:i/>
          <w:sz w:val="22"/>
        </w:rPr>
        <w:t xml:space="preserve">II. </w:t>
      </w:r>
      <w:r w:rsidRPr="00771FC6">
        <w:rPr>
          <w:rFonts w:ascii="Palatino Linotype" w:hAnsi="Palatino Linotype" w:cs="Arial"/>
          <w:i/>
          <w:sz w:val="22"/>
        </w:rPr>
        <w:t xml:space="preserve">La información que se refiere a la vida privada y los datos personales será protegida en los términos y con las excepciones que fijen las leyes. </w:t>
      </w:r>
    </w:p>
    <w:p w14:paraId="159A318A"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b/>
          <w:bCs/>
          <w:i/>
          <w:sz w:val="22"/>
        </w:rPr>
        <w:t xml:space="preserve">III. </w:t>
      </w:r>
      <w:r w:rsidRPr="00771FC6">
        <w:rPr>
          <w:rFonts w:ascii="Palatino Linotype" w:hAnsi="Palatino Linotype" w:cs="Arial"/>
          <w:i/>
          <w:sz w:val="22"/>
        </w:rPr>
        <w:t>Toda persona, sin necesidad de acreditar interés alguno o justificar su utilización, tendrá acceso gratuito a la Información Pública, a sus datos personales o a la rectificación de éstos.</w:t>
      </w:r>
    </w:p>
    <w:p w14:paraId="576B393F"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b/>
          <w:bCs/>
          <w:i/>
          <w:sz w:val="22"/>
        </w:rPr>
        <w:t xml:space="preserve">IV. </w:t>
      </w:r>
      <w:r w:rsidRPr="00771FC6">
        <w:rPr>
          <w:rFonts w:ascii="Palatino Linotype" w:hAnsi="Palatino Linotype" w:cs="Arial"/>
          <w:i/>
          <w:sz w:val="22"/>
        </w:rPr>
        <w:t xml:space="preserve">Se establecerán mecanismos de acceso a la información y procedimientos de revisión expeditos que se sustanciarán ante los organismos autónomos especializados e imparciales que establece esta Constitución. </w:t>
      </w:r>
    </w:p>
    <w:p w14:paraId="478015FB"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b/>
          <w:bCs/>
          <w:i/>
          <w:sz w:val="22"/>
        </w:rPr>
        <w:t xml:space="preserve">V. </w:t>
      </w:r>
      <w:r w:rsidRPr="00771FC6">
        <w:rPr>
          <w:rFonts w:ascii="Palatino Linotype" w:hAnsi="Palatino Linotype" w:cs="Arial"/>
          <w:i/>
          <w:sz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71FC6">
        <w:rPr>
          <w:rFonts w:ascii="Palatino Linotype" w:hAnsi="Palatino Linotype" w:cs="Arial"/>
          <w:i/>
          <w:sz w:val="22"/>
        </w:rPr>
        <w:lastRenderedPageBreak/>
        <w:t xml:space="preserve">públicos y los indicadores que permitan rendir cuenta del cumplimiento de sus objetivos y de los resultados obtenidos. </w:t>
      </w:r>
    </w:p>
    <w:p w14:paraId="17D80DD6"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b/>
          <w:bCs/>
          <w:i/>
          <w:sz w:val="22"/>
        </w:rPr>
        <w:t xml:space="preserve">VI. </w:t>
      </w:r>
      <w:r w:rsidRPr="00771FC6">
        <w:rPr>
          <w:rFonts w:ascii="Palatino Linotype" w:hAnsi="Palatino Linotype" w:cs="Arial"/>
          <w:i/>
          <w:sz w:val="22"/>
        </w:rPr>
        <w:t xml:space="preserve">Las leyes determinarán la manera en que los sujetos obligados deberán hacer pública la información relativa a los recursos públicos que entreguen a personas físicas o morales. </w:t>
      </w:r>
    </w:p>
    <w:p w14:paraId="56978170"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b/>
          <w:bCs/>
          <w:i/>
          <w:sz w:val="22"/>
        </w:rPr>
        <w:t xml:space="preserve">VII. </w:t>
      </w:r>
      <w:r w:rsidRPr="00771FC6">
        <w:rPr>
          <w:rFonts w:ascii="Palatino Linotype" w:hAnsi="Palatino Linotype" w:cs="Arial"/>
          <w:i/>
          <w:sz w:val="22"/>
        </w:rPr>
        <w:t xml:space="preserve">La inobservancia a las disposiciones en materia de acceso a la Información Pública será sancionada en los términos que dispongan las leyes.” </w:t>
      </w:r>
    </w:p>
    <w:p w14:paraId="0D4D9675" w14:textId="77777777" w:rsidR="008856EE" w:rsidRPr="00771FC6" w:rsidRDefault="008856EE" w:rsidP="00771FC6">
      <w:pPr>
        <w:shd w:val="clear" w:color="auto" w:fill="FFFFFF" w:themeFill="background1"/>
        <w:ind w:left="851" w:right="901"/>
        <w:jc w:val="both"/>
        <w:rPr>
          <w:rFonts w:ascii="Palatino Linotype" w:hAnsi="Palatino Linotype"/>
          <w:i/>
          <w:sz w:val="22"/>
        </w:rPr>
      </w:pPr>
    </w:p>
    <w:p w14:paraId="7491C823" w14:textId="77777777" w:rsidR="008856EE" w:rsidRPr="00771FC6" w:rsidRDefault="008856EE" w:rsidP="00771FC6">
      <w:pPr>
        <w:shd w:val="clear" w:color="auto" w:fill="FFFFFF" w:themeFill="background1"/>
        <w:spacing w:before="100" w:beforeAutospacing="1" w:line="360" w:lineRule="auto"/>
        <w:jc w:val="both"/>
        <w:rPr>
          <w:rFonts w:ascii="Palatino Linotype" w:hAnsi="Palatino Linotype"/>
        </w:rPr>
      </w:pPr>
      <w:r w:rsidRPr="00771FC6">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17B7EB6A" w14:textId="77777777" w:rsidR="008856EE" w:rsidRPr="00771FC6" w:rsidRDefault="008856EE" w:rsidP="00771FC6">
      <w:pPr>
        <w:shd w:val="clear" w:color="auto" w:fill="FFFFFF" w:themeFill="background1"/>
        <w:ind w:left="851" w:right="901"/>
        <w:jc w:val="both"/>
        <w:rPr>
          <w:rFonts w:ascii="Palatino Linotype" w:hAnsi="Palatino Linotype" w:cs="Arial"/>
          <w:b/>
          <w:i/>
          <w:sz w:val="22"/>
          <w:szCs w:val="22"/>
        </w:rPr>
      </w:pPr>
      <w:r w:rsidRPr="00771FC6">
        <w:rPr>
          <w:rFonts w:ascii="Palatino Linotype" w:hAnsi="Palatino Linotype" w:cs="Arial"/>
          <w:i/>
          <w:sz w:val="22"/>
          <w:szCs w:val="22"/>
        </w:rPr>
        <w:t>“</w:t>
      </w:r>
      <w:r w:rsidRPr="00771FC6">
        <w:rPr>
          <w:rFonts w:ascii="Palatino Linotype" w:hAnsi="Palatino Linotype" w:cs="Arial"/>
          <w:b/>
          <w:i/>
          <w:sz w:val="22"/>
          <w:szCs w:val="22"/>
        </w:rPr>
        <w:t>Artículo 5…</w:t>
      </w:r>
    </w:p>
    <w:p w14:paraId="05CF0F5D" w14:textId="77777777" w:rsidR="008856EE" w:rsidRPr="00771FC6" w:rsidRDefault="008856EE" w:rsidP="00771FC6">
      <w:pPr>
        <w:shd w:val="clear" w:color="auto" w:fill="FFFFFF" w:themeFill="background1"/>
        <w:ind w:left="851" w:right="901"/>
        <w:jc w:val="both"/>
        <w:rPr>
          <w:rFonts w:ascii="Palatino Linotype" w:hAnsi="Palatino Linotype" w:cs="Arial"/>
          <w:i/>
          <w:sz w:val="22"/>
          <w:szCs w:val="22"/>
        </w:rPr>
      </w:pPr>
      <w:r w:rsidRPr="00771FC6">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38D0BB1" w14:textId="77777777" w:rsidR="008856EE" w:rsidRPr="00771FC6" w:rsidRDefault="008856EE" w:rsidP="00771FC6">
      <w:pPr>
        <w:shd w:val="clear" w:color="auto" w:fill="FFFFFF" w:themeFill="background1"/>
        <w:ind w:left="851" w:right="901"/>
        <w:jc w:val="both"/>
        <w:rPr>
          <w:rFonts w:ascii="Palatino Linotype" w:hAnsi="Palatino Linotype" w:cs="Arial"/>
          <w:i/>
          <w:sz w:val="22"/>
          <w:szCs w:val="22"/>
        </w:rPr>
      </w:pPr>
    </w:p>
    <w:p w14:paraId="05068C40" w14:textId="77777777" w:rsidR="008856EE" w:rsidRPr="00771FC6" w:rsidRDefault="008856EE" w:rsidP="00771FC6">
      <w:pPr>
        <w:shd w:val="clear" w:color="auto" w:fill="FFFFFF" w:themeFill="background1"/>
        <w:ind w:left="851" w:right="901"/>
        <w:jc w:val="both"/>
        <w:rPr>
          <w:rFonts w:ascii="Palatino Linotype" w:hAnsi="Palatino Linotype" w:cs="Arial"/>
          <w:i/>
          <w:sz w:val="22"/>
          <w:szCs w:val="22"/>
        </w:rPr>
      </w:pPr>
      <w:r w:rsidRPr="00771FC6">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73F2BF8" w14:textId="77777777" w:rsidR="008856EE" w:rsidRPr="00771FC6" w:rsidRDefault="008856EE" w:rsidP="00771FC6">
      <w:pPr>
        <w:shd w:val="clear" w:color="auto" w:fill="FFFFFF" w:themeFill="background1"/>
        <w:ind w:left="851" w:right="901"/>
        <w:jc w:val="both"/>
        <w:rPr>
          <w:rFonts w:ascii="Palatino Linotype" w:hAnsi="Palatino Linotype" w:cs="Arial"/>
          <w:i/>
          <w:sz w:val="22"/>
          <w:szCs w:val="22"/>
        </w:rPr>
      </w:pPr>
      <w:r w:rsidRPr="00771FC6">
        <w:rPr>
          <w:rFonts w:ascii="Palatino Linotype" w:hAnsi="Palatino Linotype" w:cs="Arial"/>
          <w:i/>
          <w:sz w:val="22"/>
          <w:szCs w:val="22"/>
        </w:rPr>
        <w:t>Este derecho se regirá por los principios y bases siguientes:</w:t>
      </w:r>
    </w:p>
    <w:p w14:paraId="7D86B630" w14:textId="77777777" w:rsidR="008856EE" w:rsidRPr="00771FC6" w:rsidRDefault="008856EE" w:rsidP="00771FC6">
      <w:pPr>
        <w:shd w:val="clear" w:color="auto" w:fill="FFFFFF" w:themeFill="background1"/>
        <w:ind w:left="851" w:right="901"/>
        <w:jc w:val="both"/>
        <w:rPr>
          <w:rFonts w:ascii="Palatino Linotype" w:hAnsi="Palatino Linotype" w:cs="Arial"/>
          <w:i/>
          <w:sz w:val="22"/>
          <w:szCs w:val="22"/>
        </w:rPr>
      </w:pPr>
    </w:p>
    <w:p w14:paraId="34083B43" w14:textId="77777777" w:rsidR="008856EE" w:rsidRPr="00771FC6" w:rsidRDefault="008856EE" w:rsidP="00771FC6">
      <w:pPr>
        <w:shd w:val="clear" w:color="auto" w:fill="FFFFFF" w:themeFill="background1"/>
        <w:ind w:left="851" w:right="901"/>
        <w:jc w:val="both"/>
        <w:rPr>
          <w:rFonts w:ascii="Palatino Linotype" w:hAnsi="Palatino Linotype"/>
          <w:sz w:val="22"/>
          <w:szCs w:val="22"/>
        </w:rPr>
      </w:pPr>
      <w:r w:rsidRPr="00771FC6">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771FC6">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71FC6">
        <w:rPr>
          <w:rFonts w:ascii="Palatino Linotype" w:hAnsi="Palatino Linotype"/>
          <w:sz w:val="22"/>
          <w:szCs w:val="22"/>
        </w:rPr>
        <w:t xml:space="preserve"> </w:t>
      </w:r>
    </w:p>
    <w:p w14:paraId="3AD63B81" w14:textId="77777777" w:rsidR="008856EE" w:rsidRPr="00771FC6" w:rsidRDefault="008856EE" w:rsidP="00771FC6">
      <w:pPr>
        <w:pStyle w:val="Prrafodelista"/>
        <w:shd w:val="clear" w:color="auto" w:fill="FFFFFF" w:themeFill="background1"/>
        <w:ind w:left="1571" w:right="901"/>
        <w:jc w:val="both"/>
        <w:rPr>
          <w:rFonts w:ascii="Palatino Linotype" w:hAnsi="Palatino Linotype"/>
          <w:sz w:val="22"/>
          <w:szCs w:val="22"/>
        </w:rPr>
      </w:pPr>
    </w:p>
    <w:p w14:paraId="47B58640" w14:textId="77777777" w:rsidR="008856EE" w:rsidRPr="00771FC6" w:rsidRDefault="008856EE" w:rsidP="00771FC6">
      <w:pPr>
        <w:shd w:val="clear" w:color="auto" w:fill="FFFFFF" w:themeFill="background1"/>
        <w:spacing w:line="360" w:lineRule="auto"/>
        <w:jc w:val="both"/>
        <w:rPr>
          <w:rFonts w:ascii="Palatino Linotype" w:hAnsi="Palatino Linotype"/>
        </w:rPr>
      </w:pPr>
      <w:r w:rsidRPr="00771FC6">
        <w:rPr>
          <w:rFonts w:ascii="Palatino Linotype" w:hAnsi="Palatino Linotype"/>
        </w:rPr>
        <w:lastRenderedPageBreak/>
        <w:t>Así mismo, se tiene que la Ley de Transparencia y Acceso a la Información Pública del Estado de México y Municipios, prevé en su artículo 23, lo siguiente:</w:t>
      </w:r>
    </w:p>
    <w:p w14:paraId="19EC1C8B" w14:textId="77777777" w:rsidR="008856EE" w:rsidRPr="00771FC6" w:rsidRDefault="008856EE" w:rsidP="00771FC6">
      <w:pPr>
        <w:shd w:val="clear" w:color="auto" w:fill="FFFFFF" w:themeFill="background1"/>
        <w:spacing w:line="360" w:lineRule="auto"/>
        <w:jc w:val="both"/>
        <w:rPr>
          <w:rFonts w:ascii="Palatino Linotype" w:hAnsi="Palatino Linotype"/>
        </w:rPr>
      </w:pPr>
    </w:p>
    <w:p w14:paraId="120FCB6D"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w:t>
      </w:r>
      <w:r w:rsidRPr="00771FC6">
        <w:rPr>
          <w:rFonts w:ascii="Palatino Linotype" w:hAnsi="Palatino Linotype" w:cs="Arial"/>
          <w:b/>
          <w:i/>
          <w:sz w:val="22"/>
        </w:rPr>
        <w:t>Artículo 23.</w:t>
      </w:r>
      <w:r w:rsidRPr="00771FC6">
        <w:rPr>
          <w:rFonts w:ascii="Palatino Linotype" w:hAnsi="Palatino Linotype" w:cs="Arial"/>
          <w:i/>
          <w:sz w:val="22"/>
        </w:rPr>
        <w:t xml:space="preserve"> Son sujetos obligados a transparentar y permitir el acceso a su información y proteger los datos personales que obren en su poder:</w:t>
      </w:r>
    </w:p>
    <w:p w14:paraId="02FBE0A7"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p>
    <w:p w14:paraId="13E62829"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7F9F56EE"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II. El Poder Legislativo del Estado, los organismos, órganos y entidades de la Legislatura y sus dependencias;</w:t>
      </w:r>
    </w:p>
    <w:p w14:paraId="1ED6D57C"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III. El Poder Judicial, sus organismos, órganos y entidades, así como el Consejo de la Judicatura del Estado;</w:t>
      </w:r>
    </w:p>
    <w:p w14:paraId="32C8B49D" w14:textId="77777777" w:rsidR="008856EE" w:rsidRPr="00771FC6" w:rsidRDefault="008856EE" w:rsidP="00771FC6">
      <w:pPr>
        <w:shd w:val="clear" w:color="auto" w:fill="FFFFFF" w:themeFill="background1"/>
        <w:ind w:left="851" w:right="901"/>
        <w:jc w:val="both"/>
        <w:rPr>
          <w:rFonts w:ascii="Palatino Linotype" w:hAnsi="Palatino Linotype" w:cs="Arial"/>
          <w:b/>
          <w:i/>
          <w:sz w:val="22"/>
        </w:rPr>
      </w:pPr>
      <w:r w:rsidRPr="00771FC6">
        <w:rPr>
          <w:rFonts w:ascii="Palatino Linotype" w:hAnsi="Palatino Linotype" w:cs="Arial"/>
          <w:b/>
          <w:i/>
          <w:sz w:val="22"/>
        </w:rPr>
        <w:t>IV. Los ayuntamientos y las dependencias, organismos, órganos y entidades de la administración municipal;</w:t>
      </w:r>
    </w:p>
    <w:p w14:paraId="58C5B836"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V. Los órganos autónomos;</w:t>
      </w:r>
    </w:p>
    <w:p w14:paraId="3438CCE7"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VI. Los tribunales administrativos y autoridades jurisdiccionales en materia laboral;</w:t>
      </w:r>
    </w:p>
    <w:p w14:paraId="0219993B"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VII. Los partidos políticos y agrupaciones políticas, en los términos de las disposiciones aplicables;</w:t>
      </w:r>
    </w:p>
    <w:p w14:paraId="2B1821B6"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VIII. Los fideicomisos y fondos públicos que cuenten con financiamiento público, parcial o total, o con participación de entidades de gobierno;</w:t>
      </w:r>
    </w:p>
    <w:p w14:paraId="57D1FC37"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IX. Los sindicatos que reciban y/o ejerzan recursos públicos en el ámbito estatal y municipal;</w:t>
      </w:r>
    </w:p>
    <w:p w14:paraId="2DC5A432"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X. Cualquier persona física o jurídico colectiva que reciba y ejerza recursos públicos en el ámbito estatal o municipal; y</w:t>
      </w:r>
    </w:p>
    <w:p w14:paraId="1238E051" w14:textId="77777777" w:rsidR="008856EE" w:rsidRPr="00771FC6" w:rsidRDefault="008856EE" w:rsidP="00771FC6">
      <w:pPr>
        <w:shd w:val="clear" w:color="auto" w:fill="FFFFFF" w:themeFill="background1"/>
        <w:ind w:left="851" w:right="901"/>
        <w:jc w:val="both"/>
        <w:rPr>
          <w:rFonts w:ascii="Palatino Linotype" w:hAnsi="Palatino Linotype" w:cs="Arial"/>
          <w:i/>
          <w:sz w:val="22"/>
        </w:rPr>
      </w:pPr>
      <w:r w:rsidRPr="00771FC6">
        <w:rPr>
          <w:rFonts w:ascii="Palatino Linotype" w:hAnsi="Palatino Linotype" w:cs="Arial"/>
          <w:i/>
          <w:sz w:val="22"/>
        </w:rPr>
        <w:t>XI. Cualquier otra autoridad, entidad, órgano u organismo de los poderes estatal o municipal, que reciba recursos públicos.</w:t>
      </w:r>
    </w:p>
    <w:p w14:paraId="2B024836" w14:textId="77777777" w:rsidR="008856EE" w:rsidRPr="00771FC6" w:rsidRDefault="008856EE" w:rsidP="00771FC6">
      <w:pPr>
        <w:shd w:val="clear" w:color="auto" w:fill="FFFFFF" w:themeFill="background1"/>
        <w:ind w:left="851" w:right="901"/>
        <w:jc w:val="both"/>
        <w:rPr>
          <w:rFonts w:ascii="Palatino Linotype" w:hAnsi="Palatino Linotype" w:cs="Arial"/>
          <w:b/>
          <w:i/>
          <w:sz w:val="22"/>
        </w:rPr>
      </w:pPr>
      <w:r w:rsidRPr="00771FC6">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1990FB8" w14:textId="77777777" w:rsidR="008856EE" w:rsidRPr="00771FC6" w:rsidRDefault="008856EE" w:rsidP="00771FC6">
      <w:pPr>
        <w:shd w:val="clear" w:color="auto" w:fill="FFFFFF" w:themeFill="background1"/>
        <w:ind w:left="851" w:right="901"/>
        <w:jc w:val="both"/>
        <w:rPr>
          <w:rFonts w:ascii="Palatino Linotype" w:hAnsi="Palatino Linotype" w:cs="Arial"/>
          <w:b/>
          <w:i/>
          <w:sz w:val="22"/>
        </w:rPr>
      </w:pPr>
      <w:r w:rsidRPr="00771FC6">
        <w:rPr>
          <w:rFonts w:ascii="Palatino Linotype" w:hAnsi="Palatino Linotype" w:cs="Arial"/>
          <w:b/>
          <w:i/>
          <w:sz w:val="22"/>
        </w:rPr>
        <w:t>Los servidores públicos deberán transparentar sus acciones así como garantizar y respetar el derecho de acceso a la Información Pública.</w:t>
      </w:r>
    </w:p>
    <w:p w14:paraId="37FCBFFD" w14:textId="77777777" w:rsidR="008856EE" w:rsidRPr="00771FC6" w:rsidRDefault="008856EE" w:rsidP="00771FC6">
      <w:pPr>
        <w:shd w:val="clear" w:color="auto" w:fill="FFFFFF" w:themeFill="background1"/>
        <w:ind w:left="851" w:right="901"/>
        <w:jc w:val="both"/>
        <w:rPr>
          <w:rFonts w:ascii="Palatino Linotype" w:hAnsi="Palatino Linotype" w:cs="Arial"/>
          <w:i/>
        </w:rPr>
      </w:pPr>
    </w:p>
    <w:p w14:paraId="765E24F3" w14:textId="77777777" w:rsidR="008856EE" w:rsidRPr="00771FC6" w:rsidRDefault="008856EE" w:rsidP="00771FC6">
      <w:pPr>
        <w:shd w:val="clear" w:color="auto" w:fill="FFFFFF" w:themeFill="background1"/>
        <w:spacing w:line="360" w:lineRule="auto"/>
        <w:ind w:right="49"/>
        <w:jc w:val="both"/>
        <w:rPr>
          <w:rFonts w:ascii="Palatino Linotype" w:hAnsi="Palatino Linotype" w:cs="Arial"/>
        </w:rPr>
      </w:pPr>
      <w:r w:rsidRPr="00771FC6">
        <w:rPr>
          <w:rFonts w:ascii="Palatino Linotype" w:hAnsi="Palatino Linotype" w:cs="Arial"/>
        </w:rPr>
        <w:lastRenderedPageBreak/>
        <w:t>Ahora bien, atendiendo a los preceptos legales a los cuales se hizo referencia, es preciso mencionar que, el</w:t>
      </w:r>
      <w:r w:rsidRPr="00771FC6">
        <w:rPr>
          <w:rFonts w:ascii="Palatino Linotype" w:hAnsi="Palatino Linotype" w:cs="Arial"/>
          <w:u w:val="single"/>
        </w:rPr>
        <w:t xml:space="preserve"> Ayuntamiento de Tepotzotlán</w:t>
      </w:r>
      <w:r w:rsidRPr="00771FC6">
        <w:rPr>
          <w:rFonts w:ascii="Palatino Linotype" w:hAnsi="Palatino Linotype" w:cs="Arial"/>
        </w:rPr>
        <w:t>, se encuentra dentro de los supuestos de obligatoriedad a transparentar y garantizar el Acceso a la Información Pública.</w:t>
      </w:r>
    </w:p>
    <w:p w14:paraId="14BC6887" w14:textId="77777777" w:rsidR="008856EE" w:rsidRPr="00771FC6" w:rsidRDefault="008856EE" w:rsidP="00771FC6">
      <w:pPr>
        <w:shd w:val="clear" w:color="auto" w:fill="FFFFFF" w:themeFill="background1"/>
        <w:spacing w:line="360" w:lineRule="auto"/>
        <w:ind w:right="49"/>
        <w:jc w:val="both"/>
        <w:rPr>
          <w:rFonts w:ascii="Palatino Linotype" w:hAnsi="Palatino Linotype" w:cs="Arial"/>
          <w:sz w:val="18"/>
          <w:szCs w:val="18"/>
        </w:rPr>
      </w:pPr>
    </w:p>
    <w:p w14:paraId="1B02CC66" w14:textId="77777777" w:rsidR="008856EE" w:rsidRPr="00771FC6" w:rsidRDefault="008856EE" w:rsidP="00771FC6">
      <w:pPr>
        <w:shd w:val="clear" w:color="auto" w:fill="FFFFFF" w:themeFill="background1"/>
        <w:spacing w:line="360" w:lineRule="auto"/>
        <w:ind w:right="49"/>
        <w:jc w:val="both"/>
        <w:rPr>
          <w:rFonts w:ascii="Palatino Linotype" w:hAnsi="Palatino Linotype" w:cs="Arial"/>
        </w:rPr>
      </w:pPr>
      <w:r w:rsidRPr="00771FC6">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5683839" w14:textId="77777777" w:rsidR="00F25D6C" w:rsidRPr="00771FC6" w:rsidRDefault="00F25D6C" w:rsidP="00771FC6">
      <w:pPr>
        <w:pStyle w:val="Prrafodelista"/>
        <w:widowControl w:val="0"/>
        <w:shd w:val="clear" w:color="auto" w:fill="FFFFFF" w:themeFill="background1"/>
        <w:autoSpaceDE w:val="0"/>
        <w:autoSpaceDN w:val="0"/>
        <w:adjustRightInd w:val="0"/>
        <w:spacing w:line="360" w:lineRule="auto"/>
        <w:ind w:left="0"/>
        <w:jc w:val="both"/>
        <w:rPr>
          <w:rFonts w:ascii="Palatino Linotype" w:hAnsi="Palatino Linotype" w:cs="Arial"/>
          <w:sz w:val="16"/>
          <w:szCs w:val="16"/>
        </w:rPr>
      </w:pPr>
    </w:p>
    <w:p w14:paraId="6A7D2F67" w14:textId="722FAE2D" w:rsidR="00F25D6C" w:rsidRPr="00771FC6" w:rsidRDefault="00F25D6C" w:rsidP="00771FC6">
      <w:pPr>
        <w:pStyle w:val="Prrafodelista"/>
        <w:widowControl w:val="0"/>
        <w:shd w:val="clear" w:color="auto" w:fill="FFFFFF" w:themeFill="background1"/>
        <w:autoSpaceDE w:val="0"/>
        <w:autoSpaceDN w:val="0"/>
        <w:adjustRightInd w:val="0"/>
        <w:spacing w:line="360" w:lineRule="auto"/>
        <w:ind w:left="0"/>
        <w:jc w:val="both"/>
        <w:rPr>
          <w:rFonts w:ascii="Palatino Linotype" w:hAnsi="Palatino Linotype" w:cs="Arial"/>
        </w:rPr>
      </w:pPr>
      <w:r w:rsidRPr="00771FC6">
        <w:rPr>
          <w:rFonts w:ascii="Palatino Linotype" w:hAnsi="Palatino Linotype" w:cs="Arial"/>
        </w:rPr>
        <w:t xml:space="preserve">Es así que, una vez determinada la vía sobre la que versará el presente Recurso y previa revisión del expediente </w:t>
      </w:r>
      <w:r w:rsidRPr="00771FC6">
        <w:rPr>
          <w:rFonts w:ascii="Palatino Linotype" w:hAnsi="Palatino Linotype"/>
        </w:rPr>
        <w:t>electrónico</w:t>
      </w:r>
      <w:r w:rsidRPr="00771FC6">
        <w:rPr>
          <w:rFonts w:ascii="Palatino Linotype" w:hAnsi="Palatino Linotype" w:cs="Arial"/>
        </w:rPr>
        <w:t xml:space="preserve"> formado en el</w:t>
      </w:r>
      <w:r w:rsidRPr="00771FC6">
        <w:rPr>
          <w:rFonts w:ascii="Palatino Linotype" w:hAnsi="Palatino Linotype" w:cs="Arial"/>
          <w:b/>
        </w:rPr>
        <w:t xml:space="preserve"> SAIMEX</w:t>
      </w:r>
      <w:r w:rsidRPr="00771FC6">
        <w:rPr>
          <w:rFonts w:ascii="Palatino Linotype" w:hAnsi="Palatino Linotype" w:cs="Arial"/>
        </w:rPr>
        <w:t xml:space="preserve">, del Recurso de Revisión materia del presente estudio, es conveniente analizar si la respuesta del </w:t>
      </w:r>
      <w:r w:rsidRPr="00771FC6">
        <w:rPr>
          <w:rFonts w:ascii="Palatino Linotype" w:hAnsi="Palatino Linotype" w:cs="Arial"/>
          <w:b/>
        </w:rPr>
        <w:t>SUJETO OBLIGADO</w:t>
      </w:r>
      <w:r w:rsidRPr="00771FC6">
        <w:rPr>
          <w:rFonts w:ascii="Palatino Linotype" w:hAnsi="Palatino Linotype" w:cs="Arial"/>
        </w:rPr>
        <w:t xml:space="preserve"> cumple con los requisitos del derecho de Acceso a la Información Pública, por lo que en primer término debemos recordar que </w:t>
      </w:r>
      <w:r w:rsidRPr="00771FC6">
        <w:rPr>
          <w:rFonts w:ascii="Palatino Linotype" w:hAnsi="Palatino Linotype" w:cs="Arial"/>
          <w:b/>
        </w:rPr>
        <w:t xml:space="preserve">EL RECURRENTE </w:t>
      </w:r>
      <w:r w:rsidRPr="00771FC6">
        <w:rPr>
          <w:rFonts w:ascii="Palatino Linotype" w:hAnsi="Palatino Linotype" w:cs="Arial"/>
        </w:rPr>
        <w:t>en el ejercicio de su derecho de Acceso a la Información solicitó</w:t>
      </w:r>
      <w:r w:rsidRPr="00771FC6">
        <w:rPr>
          <w:rFonts w:ascii="Palatino Linotype" w:hAnsi="Palatino Linotype"/>
        </w:rPr>
        <w:t xml:space="preserve"> </w:t>
      </w:r>
      <w:r w:rsidRPr="00771FC6">
        <w:rPr>
          <w:rFonts w:ascii="Palatino Linotype" w:hAnsi="Palatino Linotype" w:cs="Arial"/>
          <w:i/>
        </w:rPr>
        <w:t>“</w:t>
      </w:r>
      <w:r w:rsidR="00CA6EA5" w:rsidRPr="00771FC6">
        <w:rPr>
          <w:rFonts w:ascii="Palatino Linotype" w:hAnsi="Palatino Linotype" w:cs="Arial"/>
          <w:i/>
        </w:rPr>
        <w:t xml:space="preserve">Cantidad de usuarios a los que se les ha restringido la opción de realizar comentarios en la página oficial del Ayuntamiento en la red social Facebook y de ser posible la lista con los nombres de estos usuarios. En el mismo sentido, se le solicita al sujeto obligado el fundamento legal bajo el que la jefatura de comunicación social restringe a los usuarios de comentar en las publicaciones de la </w:t>
      </w:r>
      <w:proofErr w:type="spellStart"/>
      <w:r w:rsidR="00CA6EA5" w:rsidRPr="00771FC6">
        <w:rPr>
          <w:rFonts w:ascii="Palatino Linotype" w:hAnsi="Palatino Linotype" w:cs="Arial"/>
          <w:i/>
        </w:rPr>
        <w:t>pa+gina</w:t>
      </w:r>
      <w:proofErr w:type="spellEnd"/>
      <w:r w:rsidR="00CA6EA5" w:rsidRPr="00771FC6">
        <w:rPr>
          <w:rFonts w:ascii="Palatino Linotype" w:hAnsi="Palatino Linotype" w:cs="Arial"/>
          <w:i/>
        </w:rPr>
        <w:t xml:space="preserve"> del ayuntamiento</w:t>
      </w:r>
      <w:r w:rsidRPr="00771FC6">
        <w:rPr>
          <w:rFonts w:ascii="Palatino Linotype" w:hAnsi="Palatino Linotype" w:cs="Arial"/>
          <w:i/>
        </w:rPr>
        <w:t>”.</w:t>
      </w:r>
      <w:r w:rsidR="008856EE" w:rsidRPr="00771FC6">
        <w:rPr>
          <w:rFonts w:ascii="Palatino Linotype" w:hAnsi="Palatino Linotype" w:cs="Arial"/>
          <w:i/>
        </w:rPr>
        <w:t xml:space="preserve"> </w:t>
      </w:r>
      <w:r w:rsidRPr="00771FC6">
        <w:rPr>
          <w:rFonts w:ascii="Palatino Linotype" w:hAnsi="Palatino Linotype" w:cs="Arial"/>
          <w:i/>
        </w:rPr>
        <w:t xml:space="preserve">(Sic) </w:t>
      </w:r>
      <w:r w:rsidRPr="00771FC6">
        <w:rPr>
          <w:rFonts w:ascii="Palatino Linotype" w:hAnsi="Palatino Linotype" w:cs="Arial"/>
        </w:rPr>
        <w:t xml:space="preserve"> </w:t>
      </w:r>
    </w:p>
    <w:p w14:paraId="5F907C06" w14:textId="77777777" w:rsidR="00CA6EA5" w:rsidRPr="00771FC6" w:rsidRDefault="00F25D6C" w:rsidP="00771FC6">
      <w:pPr>
        <w:shd w:val="clear" w:color="auto" w:fill="FFFFFF" w:themeFill="background1"/>
        <w:spacing w:line="360" w:lineRule="auto"/>
        <w:ind w:right="49"/>
        <w:jc w:val="both"/>
        <w:textAlignment w:val="baseline"/>
        <w:rPr>
          <w:rFonts w:ascii="Palatino Linotype" w:hAnsi="Palatino Linotype"/>
        </w:rPr>
      </w:pPr>
      <w:r w:rsidRPr="00771FC6">
        <w:rPr>
          <w:rFonts w:ascii="Palatino Linotype" w:hAnsi="Palatino Linotype" w:cs="Arial"/>
        </w:rPr>
        <w:lastRenderedPageBreak/>
        <w:t xml:space="preserve">Al respecto, </w:t>
      </w:r>
      <w:r w:rsidRPr="00771FC6">
        <w:rPr>
          <w:rFonts w:ascii="Palatino Linotype" w:hAnsi="Palatino Linotype" w:cs="Arial"/>
          <w:b/>
        </w:rPr>
        <w:t xml:space="preserve">EL SUJETO OBLIGADO </w:t>
      </w:r>
      <w:r w:rsidRPr="00771FC6">
        <w:rPr>
          <w:rFonts w:ascii="Palatino Linotype" w:hAnsi="Palatino Linotype" w:cs="Arial"/>
        </w:rPr>
        <w:t xml:space="preserve">a través de los servidores públicos habilitados competentes para dar atención a la solicitud </w:t>
      </w:r>
      <w:r w:rsidRPr="00771FC6">
        <w:rPr>
          <w:rFonts w:ascii="Palatino Linotype" w:hAnsi="Palatino Linotype"/>
        </w:rPr>
        <w:t xml:space="preserve">acompañó </w:t>
      </w:r>
      <w:r w:rsidR="00CA6EA5" w:rsidRPr="00771FC6">
        <w:rPr>
          <w:rFonts w:ascii="Palatino Linotype" w:hAnsi="Palatino Linotype"/>
        </w:rPr>
        <w:t xml:space="preserve">el archivo denominado </w:t>
      </w:r>
      <w:r w:rsidR="00CA6EA5" w:rsidRPr="00771FC6">
        <w:rPr>
          <w:rFonts w:ascii="Palatino Linotype" w:hAnsi="Palatino Linotype"/>
          <w:i/>
        </w:rPr>
        <w:t>“</w:t>
      </w:r>
      <w:r w:rsidR="00CA6EA5" w:rsidRPr="00771FC6">
        <w:rPr>
          <w:rFonts w:ascii="Palatino Linotype" w:hAnsi="Palatino Linotype"/>
        </w:rPr>
        <w:t>CS-096-2022.pdf</w:t>
      </w:r>
      <w:r w:rsidR="00CA6EA5" w:rsidRPr="00771FC6">
        <w:rPr>
          <w:rFonts w:ascii="Palatino Linotype" w:hAnsi="Palatino Linotype"/>
          <w:i/>
        </w:rPr>
        <w:t>”</w:t>
      </w:r>
      <w:r w:rsidR="00CA6EA5" w:rsidRPr="00771FC6">
        <w:rPr>
          <w:rFonts w:ascii="Palatino Linotype" w:hAnsi="Palatino Linotype"/>
        </w:rPr>
        <w:t xml:space="preserve"> mismo que se inserta a continuación:</w:t>
      </w:r>
    </w:p>
    <w:p w14:paraId="44F2EAD0" w14:textId="77777777" w:rsidR="00CA6EA5" w:rsidRPr="00771FC6" w:rsidRDefault="00CA6EA5" w:rsidP="00771FC6">
      <w:pPr>
        <w:shd w:val="clear" w:color="auto" w:fill="FFFFFF" w:themeFill="background1"/>
        <w:spacing w:line="360" w:lineRule="auto"/>
        <w:ind w:right="49"/>
        <w:jc w:val="both"/>
        <w:textAlignment w:val="baseline"/>
        <w:rPr>
          <w:rFonts w:ascii="Palatino Linotype" w:hAnsi="Palatino Linotype"/>
        </w:rPr>
      </w:pPr>
      <w:r w:rsidRPr="00771FC6">
        <w:rPr>
          <w:rFonts w:ascii="Palatino Linotype" w:hAnsi="Palatino Linotype"/>
          <w:noProof/>
        </w:rPr>
        <w:drawing>
          <wp:inline distT="0" distB="0" distL="0" distR="0" wp14:anchorId="10D80590" wp14:editId="4A5A2A8C">
            <wp:extent cx="5781675" cy="492503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7504" cy="4930002"/>
                    </a:xfrm>
                    <a:prstGeom prst="rect">
                      <a:avLst/>
                    </a:prstGeom>
                  </pic:spPr>
                </pic:pic>
              </a:graphicData>
            </a:graphic>
          </wp:inline>
        </w:drawing>
      </w:r>
    </w:p>
    <w:p w14:paraId="36271856" w14:textId="5D1FA39D" w:rsidR="00F25D6C" w:rsidRPr="00771FC6" w:rsidRDefault="00F25D6C" w:rsidP="00771FC6">
      <w:pPr>
        <w:shd w:val="clear" w:color="auto" w:fill="FFFFFF" w:themeFill="background1"/>
        <w:spacing w:line="360" w:lineRule="auto"/>
        <w:jc w:val="both"/>
        <w:rPr>
          <w:rFonts w:ascii="Palatino Linotype" w:hAnsi="Palatino Linotype"/>
        </w:rPr>
      </w:pPr>
      <w:r w:rsidRPr="00771FC6">
        <w:rPr>
          <w:rFonts w:ascii="Palatino Linotype" w:hAnsi="Palatino Linotype"/>
        </w:rPr>
        <w:t xml:space="preserve">Ante tal situación, el particular interpuso el Recurso de Revisión materia del presente asunto, inconformándose medularmente </w:t>
      </w:r>
      <w:r w:rsidR="00CA6EA5" w:rsidRPr="00771FC6">
        <w:rPr>
          <w:rFonts w:ascii="Palatino Linotype" w:hAnsi="Palatino Linotype"/>
        </w:rPr>
        <w:t xml:space="preserve">que la información remitida por el </w:t>
      </w:r>
      <w:r w:rsidR="00CA6EA5" w:rsidRPr="00771FC6">
        <w:rPr>
          <w:rFonts w:ascii="Palatino Linotype" w:hAnsi="Palatino Linotype"/>
          <w:b/>
        </w:rPr>
        <w:t xml:space="preserve">SUJETO OBLIGADO </w:t>
      </w:r>
      <w:r w:rsidR="00CA6EA5" w:rsidRPr="00771FC6">
        <w:rPr>
          <w:rFonts w:ascii="Palatino Linotype" w:hAnsi="Palatino Linotype"/>
        </w:rPr>
        <w:t>es mentira.</w:t>
      </w:r>
    </w:p>
    <w:p w14:paraId="14DD6EDD" w14:textId="77777777" w:rsidR="00F25D6C" w:rsidRPr="00771FC6" w:rsidRDefault="00F25D6C" w:rsidP="00771FC6">
      <w:pPr>
        <w:pStyle w:val="Prrafodelista"/>
        <w:widowControl w:val="0"/>
        <w:shd w:val="clear" w:color="auto" w:fill="FFFFFF" w:themeFill="background1"/>
        <w:autoSpaceDE w:val="0"/>
        <w:autoSpaceDN w:val="0"/>
        <w:adjustRightInd w:val="0"/>
        <w:spacing w:line="360" w:lineRule="auto"/>
        <w:ind w:left="0"/>
        <w:jc w:val="both"/>
        <w:rPr>
          <w:rFonts w:ascii="Palatino Linotype" w:hAnsi="Palatino Linotype"/>
        </w:rPr>
      </w:pPr>
    </w:p>
    <w:p w14:paraId="0DF2E30A" w14:textId="77777777" w:rsidR="00CA6EA5" w:rsidRPr="00771FC6" w:rsidRDefault="00F25D6C"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hAnsi="Palatino Linotype"/>
        </w:rPr>
        <w:lastRenderedPageBreak/>
        <w:t xml:space="preserve">Ahora bien, es importante señalar que </w:t>
      </w:r>
      <w:r w:rsidRPr="00771FC6">
        <w:rPr>
          <w:rFonts w:ascii="Palatino Linotype" w:hAnsi="Palatino Linotype" w:cs="Arial"/>
          <w:b/>
        </w:rPr>
        <w:t>EL RECURRENTE</w:t>
      </w:r>
      <w:r w:rsidRPr="00771FC6">
        <w:rPr>
          <w:rFonts w:ascii="Palatino Linotype" w:hAnsi="Palatino Linotype" w:cs="Arial"/>
        </w:rPr>
        <w:t xml:space="preserve"> no realizó manifestaciones, alegatos o pruebas y por su parte </w:t>
      </w:r>
      <w:r w:rsidRPr="00771FC6">
        <w:rPr>
          <w:rFonts w:ascii="Palatino Linotype" w:hAnsi="Palatino Linotype" w:cs="Arial"/>
          <w:b/>
        </w:rPr>
        <w:t xml:space="preserve">EL SUJETO OBLIGADO </w:t>
      </w:r>
      <w:r w:rsidRPr="00771FC6">
        <w:rPr>
          <w:rFonts w:ascii="Palatino Linotype" w:hAnsi="Palatino Linotype" w:cs="Arial"/>
        </w:rPr>
        <w:t xml:space="preserve">mediante </w:t>
      </w:r>
      <w:r w:rsidRPr="00771FC6">
        <w:rPr>
          <w:rFonts w:ascii="Palatino Linotype" w:hAnsi="Palatino Linotype"/>
        </w:rPr>
        <w:t xml:space="preserve">Informe Justificado, </w:t>
      </w:r>
      <w:r w:rsidR="00CA6EA5" w:rsidRPr="00771FC6">
        <w:rPr>
          <w:rFonts w:ascii="Palatino Linotype" w:eastAsia="Palatino Linotype" w:hAnsi="Palatino Linotype" w:cs="Palatino Linotype"/>
        </w:rPr>
        <w:t xml:space="preserve">mediante el archivo denominado </w:t>
      </w:r>
      <w:r w:rsidR="00CA6EA5" w:rsidRPr="00771FC6">
        <w:rPr>
          <w:rFonts w:ascii="Palatino Linotype" w:eastAsia="Palatino Linotype" w:hAnsi="Palatino Linotype" w:cs="Palatino Linotype"/>
          <w:b/>
        </w:rPr>
        <w:t>“</w:t>
      </w:r>
      <w:r w:rsidR="00CA6EA5" w:rsidRPr="00771FC6">
        <w:rPr>
          <w:rFonts w:ascii="Palatino Linotype" w:hAnsi="Palatino Linotype"/>
          <w:b/>
        </w:rPr>
        <w:t>CS-116-2022.pdf”</w:t>
      </w:r>
      <w:r w:rsidR="00CA6EA5" w:rsidRPr="00771FC6">
        <w:rPr>
          <w:rFonts w:ascii="Palatino Linotype" w:eastAsia="Palatino Linotype" w:hAnsi="Palatino Linotype" w:cs="Palatino Linotype"/>
        </w:rPr>
        <w:t xml:space="preserve"> el cual de manera medular ratifica que después de una segunda búsqueda no se tiene bloqueada a persona alguna en la página de Facebook del Ayuntamiento y lo refuerza con la captura de pantalla que se inserta a continuación.</w:t>
      </w:r>
    </w:p>
    <w:p w14:paraId="39FCA670" w14:textId="77777777" w:rsidR="00CA6EA5" w:rsidRPr="00771FC6" w:rsidRDefault="00CA6EA5" w:rsidP="00771FC6">
      <w:pPr>
        <w:shd w:val="clear" w:color="auto" w:fill="FFFFFF" w:themeFill="background1"/>
        <w:spacing w:line="360" w:lineRule="auto"/>
        <w:jc w:val="both"/>
        <w:rPr>
          <w:rFonts w:ascii="Palatino Linotype" w:eastAsia="Palatino Linotype" w:hAnsi="Palatino Linotype" w:cs="Palatino Linotype"/>
        </w:rPr>
      </w:pPr>
    </w:p>
    <w:p w14:paraId="2C89EC2F" w14:textId="77777777" w:rsidR="00CA6EA5" w:rsidRPr="00771FC6" w:rsidRDefault="00CA6EA5" w:rsidP="00771FC6">
      <w:pPr>
        <w:shd w:val="clear" w:color="auto" w:fill="FFFFFF" w:themeFill="background1"/>
        <w:spacing w:line="360" w:lineRule="auto"/>
        <w:jc w:val="both"/>
        <w:rPr>
          <w:rFonts w:ascii="Palatino Linotype" w:eastAsia="Palatino Linotype" w:hAnsi="Palatino Linotype" w:cs="Palatino Linotype"/>
        </w:rPr>
      </w:pPr>
      <w:r w:rsidRPr="00771FC6">
        <w:rPr>
          <w:rFonts w:ascii="Palatino Linotype" w:eastAsia="Palatino Linotype" w:hAnsi="Palatino Linotype" w:cs="Palatino Linotype"/>
          <w:noProof/>
        </w:rPr>
        <w:drawing>
          <wp:inline distT="0" distB="0" distL="0" distR="0" wp14:anchorId="001F1069" wp14:editId="42C52D90">
            <wp:extent cx="5791835" cy="32442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44215"/>
                    </a:xfrm>
                    <a:prstGeom prst="rect">
                      <a:avLst/>
                    </a:prstGeom>
                  </pic:spPr>
                </pic:pic>
              </a:graphicData>
            </a:graphic>
          </wp:inline>
        </w:drawing>
      </w:r>
      <w:r w:rsidRPr="00771FC6">
        <w:rPr>
          <w:rFonts w:ascii="Palatino Linotype" w:eastAsia="Palatino Linotype" w:hAnsi="Palatino Linotype" w:cs="Palatino Linotype"/>
        </w:rPr>
        <w:t xml:space="preserve"> </w:t>
      </w:r>
    </w:p>
    <w:p w14:paraId="42368437" w14:textId="77777777" w:rsidR="00CA6EA5" w:rsidRPr="00771FC6" w:rsidRDefault="00CA6EA5" w:rsidP="00771FC6">
      <w:pPr>
        <w:shd w:val="clear" w:color="auto" w:fill="FFFFFF" w:themeFill="background1"/>
        <w:spacing w:line="360" w:lineRule="auto"/>
        <w:jc w:val="both"/>
        <w:rPr>
          <w:rFonts w:ascii="Palatino Linotype" w:hAnsi="Palatino Linotype"/>
        </w:rPr>
      </w:pPr>
    </w:p>
    <w:p w14:paraId="620C1342" w14:textId="77777777" w:rsidR="004565D5" w:rsidRPr="00771FC6" w:rsidRDefault="004565D5" w:rsidP="00771FC6">
      <w:pPr>
        <w:shd w:val="clear" w:color="auto" w:fill="FFFFFF" w:themeFill="background1"/>
        <w:spacing w:line="360" w:lineRule="auto"/>
        <w:jc w:val="both"/>
        <w:rPr>
          <w:rFonts w:ascii="Palatino Linotype" w:hAnsi="Palatino Linotype"/>
        </w:rPr>
      </w:pPr>
      <w:r w:rsidRPr="00771FC6">
        <w:rPr>
          <w:rFonts w:ascii="Palatino Linotype" w:hAnsi="Palatino Linotype"/>
        </w:rPr>
        <w:t xml:space="preserve">Por lo anterior, es necesario señalar que al haber existido un pronunciamiento por parte del </w:t>
      </w:r>
      <w:r w:rsidRPr="00771FC6">
        <w:rPr>
          <w:rFonts w:ascii="Palatino Linotype" w:hAnsi="Palatino Linotype"/>
          <w:b/>
        </w:rPr>
        <w:t>SUJETO OBLIGADO</w:t>
      </w:r>
      <w:r w:rsidRPr="00771FC6">
        <w:rPr>
          <w:rFonts w:ascii="Palatino Linotype" w:hAnsi="Palatino Linotype"/>
        </w:rPr>
        <w:t xml:space="preserve">, a fin de dar respuesta a la solicitud planteada, este Órgano Garante no está facultado para manifestarse sobre la veracidad de la información proporcionada, pues, de conformidad con el artículo 36 de la Ley de la Materia, no se encuentra facultado para pronunciarse acerca de la autenticidad de dicho </w:t>
      </w:r>
      <w:r w:rsidRPr="00771FC6">
        <w:rPr>
          <w:rFonts w:ascii="Palatino Linotype" w:hAnsi="Palatino Linotype"/>
        </w:rPr>
        <w:lastRenderedPageBreak/>
        <w:t xml:space="preserve">pronunciamiento, aunado al análisis de la normatividad en la materia aplicable al presente caso, se logra acreditar que el </w:t>
      </w:r>
      <w:r w:rsidRPr="00771FC6">
        <w:rPr>
          <w:rFonts w:ascii="Palatino Linotype" w:hAnsi="Palatino Linotype"/>
          <w:b/>
        </w:rPr>
        <w:t xml:space="preserve">SUJETO OBLIGADO </w:t>
      </w:r>
      <w:r w:rsidRPr="00771FC6">
        <w:rPr>
          <w:rFonts w:ascii="Palatino Linotype" w:hAnsi="Palatino Linotype"/>
        </w:rPr>
        <w:t>cumplió con lo regulado en la misma puesto que remite la información solicitada.</w:t>
      </w:r>
    </w:p>
    <w:p w14:paraId="044BB767" w14:textId="77777777" w:rsidR="004565D5" w:rsidRPr="00771FC6" w:rsidRDefault="004565D5" w:rsidP="00771FC6">
      <w:pPr>
        <w:shd w:val="clear" w:color="auto" w:fill="FFFFFF" w:themeFill="background1"/>
        <w:spacing w:line="360" w:lineRule="auto"/>
        <w:jc w:val="both"/>
        <w:rPr>
          <w:rFonts w:ascii="Palatino Linotype" w:hAnsi="Palatino Linotype"/>
        </w:rPr>
      </w:pPr>
    </w:p>
    <w:p w14:paraId="67C79786" w14:textId="77777777" w:rsidR="004565D5" w:rsidRPr="00771FC6" w:rsidRDefault="004565D5" w:rsidP="00771FC6">
      <w:pPr>
        <w:shd w:val="clear" w:color="auto" w:fill="FFFFFF" w:themeFill="background1"/>
        <w:spacing w:line="360" w:lineRule="auto"/>
        <w:jc w:val="both"/>
        <w:rPr>
          <w:rFonts w:ascii="Palatino Linotype" w:hAnsi="Palatino Linotype"/>
          <w:lang w:val="es-ES"/>
        </w:rPr>
      </w:pPr>
      <w:r w:rsidRPr="00771FC6">
        <w:rPr>
          <w:rFonts w:ascii="Palatino Linotype" w:hAnsi="Palatino Linotype" w:cs="Arial"/>
        </w:rPr>
        <w:t>Es así que, d</w:t>
      </w:r>
      <w:r w:rsidRPr="00771FC6">
        <w:rPr>
          <w:rFonts w:ascii="Palatino Linotype" w:hAnsi="Palatino Linotype"/>
          <w:lang w:val="es-ES"/>
        </w:rPr>
        <w:t xml:space="preserve">el análisis a las documentales que integran el expediente electrónico conformado en el </w:t>
      </w:r>
      <w:r w:rsidRPr="00771FC6">
        <w:rPr>
          <w:rFonts w:ascii="Palatino Linotype" w:hAnsi="Palatino Linotype"/>
          <w:b/>
          <w:bCs/>
          <w:lang w:val="es-ES"/>
        </w:rPr>
        <w:t>SAIMEX</w:t>
      </w:r>
      <w:r w:rsidRPr="00771FC6">
        <w:rPr>
          <w:rFonts w:ascii="Palatino Linotype" w:hAnsi="Palatino Linotype"/>
          <w:lang w:val="es-ES"/>
        </w:rPr>
        <w:t xml:space="preserve">, este Órgano Garante determina que resultan </w:t>
      </w:r>
      <w:r w:rsidRPr="00771FC6">
        <w:rPr>
          <w:rFonts w:ascii="Palatino Linotype" w:hAnsi="Palatino Linotype"/>
          <w:bCs/>
          <w:lang w:val="es-ES"/>
        </w:rPr>
        <w:t>infundadas</w:t>
      </w:r>
      <w:r w:rsidRPr="00771FC6">
        <w:rPr>
          <w:rFonts w:ascii="Palatino Linotype" w:hAnsi="Palatino Linotype"/>
          <w:b/>
          <w:bCs/>
          <w:lang w:val="es-ES"/>
        </w:rPr>
        <w:t xml:space="preserve"> las</w:t>
      </w:r>
      <w:r w:rsidRPr="00771FC6">
        <w:rPr>
          <w:rFonts w:ascii="Palatino Linotype" w:hAnsi="Palatino Linotype"/>
          <w:lang w:val="es-ES"/>
        </w:rPr>
        <w:t xml:space="preserve"> razones o motivos de inconformidad, ello en razón de que la información entregada en respuesta colma la solicitud de información. </w:t>
      </w:r>
    </w:p>
    <w:p w14:paraId="6F0CD6DA" w14:textId="77777777" w:rsidR="004565D5" w:rsidRPr="00771FC6" w:rsidRDefault="004565D5" w:rsidP="00771FC6">
      <w:pPr>
        <w:shd w:val="clear" w:color="auto" w:fill="FFFFFF" w:themeFill="background1"/>
        <w:suppressAutoHyphens/>
        <w:spacing w:line="360" w:lineRule="auto"/>
        <w:jc w:val="both"/>
        <w:rPr>
          <w:rFonts w:ascii="Palatino Linotype" w:hAnsi="Palatino Linotype"/>
          <w:lang w:val="es-ES"/>
        </w:rPr>
      </w:pPr>
    </w:p>
    <w:p w14:paraId="5A9B6DF8" w14:textId="77777777" w:rsidR="004565D5" w:rsidRPr="00771FC6" w:rsidRDefault="004565D5" w:rsidP="00771FC6">
      <w:pPr>
        <w:shd w:val="clear" w:color="auto" w:fill="FFFFFF" w:themeFill="background1"/>
        <w:suppressAutoHyphens/>
        <w:spacing w:line="360" w:lineRule="auto"/>
        <w:jc w:val="both"/>
        <w:rPr>
          <w:rFonts w:ascii="Palatino Linotype" w:hAnsi="Palatino Linotype"/>
          <w:lang w:val="es-ES_tradnl"/>
        </w:rPr>
      </w:pPr>
      <w:r w:rsidRPr="00771FC6">
        <w:rPr>
          <w:rFonts w:ascii="Palatino Linotype" w:hAnsi="Palatino Linotype" w:cs="Arial"/>
          <w:lang w:val="es-ES"/>
        </w:rPr>
        <w:t xml:space="preserve">Por lo anterior, es necesario precisar que conforme a lo establecido en los artículos </w:t>
      </w:r>
      <w:r w:rsidRPr="00771FC6">
        <w:rPr>
          <w:rFonts w:ascii="Palatino Linotype" w:hAnsi="Palatino Linotype" w:cs="Arial"/>
        </w:rPr>
        <w:t xml:space="preserve">176 y 179 de la Ley de Transparencia y Acceso a la Información Pública del Estado de México y Municipios, el </w:t>
      </w:r>
      <w:r w:rsidRPr="00771FC6">
        <w:rPr>
          <w:rFonts w:ascii="Palatino Linotype" w:hAnsi="Palatino Linotype" w:cs="Arial"/>
          <w:lang w:val="es-ES"/>
        </w:rPr>
        <w:t>Recurso de Revisión</w:t>
      </w:r>
      <w:r w:rsidRPr="00771FC6">
        <w:rPr>
          <w:rFonts w:ascii="Palatino Linotype" w:hAnsi="Palatino Linotype" w:cs="Arial"/>
        </w:rPr>
        <w:t xml:space="preserve"> es la garantía secundaria que la Ley otorga a los particulares para reparar cualquier posible afectación a su derecho de Acceso a la Información Pública; siendo éste el medio a través del cual, este Órgano Garante después de realizar el</w:t>
      </w:r>
      <w:r w:rsidRPr="00771FC6">
        <w:rPr>
          <w:rFonts w:ascii="Palatino Linotype" w:hAnsi="Palatino Linotype"/>
          <w:lang w:val="es-ES_tradnl"/>
        </w:rPr>
        <w:t xml:space="preserve"> análisis al procedimiento de Acceso a la Información, podrá determinar la posible afectación y de ser el caso ordenar la reparación a la violación del derecho en cuestión.</w:t>
      </w:r>
    </w:p>
    <w:p w14:paraId="17D697D7" w14:textId="77777777" w:rsidR="004565D5" w:rsidRPr="00771FC6" w:rsidRDefault="004565D5" w:rsidP="00771FC6">
      <w:pPr>
        <w:shd w:val="clear" w:color="auto" w:fill="FFFFFF" w:themeFill="background1"/>
        <w:spacing w:line="360" w:lineRule="auto"/>
        <w:jc w:val="both"/>
        <w:rPr>
          <w:rFonts w:ascii="Palatino Linotype" w:hAnsi="Palatino Linotype"/>
          <w:lang w:val="es-ES_tradnl"/>
        </w:rPr>
      </w:pPr>
    </w:p>
    <w:p w14:paraId="1E8BD74B" w14:textId="77777777" w:rsidR="004565D5" w:rsidRPr="00771FC6" w:rsidRDefault="004565D5" w:rsidP="00771FC6">
      <w:pPr>
        <w:shd w:val="clear" w:color="auto" w:fill="FFFFFF" w:themeFill="background1"/>
        <w:spacing w:line="360" w:lineRule="auto"/>
        <w:jc w:val="both"/>
        <w:rPr>
          <w:rFonts w:ascii="Palatino Linotype" w:hAnsi="Palatino Linotype"/>
          <w:bCs/>
        </w:rPr>
      </w:pPr>
      <w:r w:rsidRPr="00771FC6">
        <w:rPr>
          <w:rFonts w:ascii="Palatino Linotype" w:hAnsi="Palatino Linotype"/>
          <w:bCs/>
        </w:rPr>
        <w:t>Es así que, la legislación adjetiva establece medios de impugnación o recursos a través de los cuales los particulares o las personas que se consideren afectados en la emisión de un acto de autoridad, cuentan con la posibilidad de impugnar aquél, con el objeto de que la misma autoridad que emitió el acto, o bien, un órgano superior, realice un nuevo análisis del asunto a efecto de determinar la legalidad o ilegalidad del acto que se combate.</w:t>
      </w:r>
    </w:p>
    <w:p w14:paraId="24B0B67B" w14:textId="77777777" w:rsidR="004565D5" w:rsidRPr="00771FC6" w:rsidRDefault="004565D5" w:rsidP="00771FC6">
      <w:pPr>
        <w:shd w:val="clear" w:color="auto" w:fill="FFFFFF" w:themeFill="background1"/>
        <w:spacing w:line="360" w:lineRule="auto"/>
        <w:jc w:val="both"/>
        <w:rPr>
          <w:rFonts w:ascii="Palatino Linotype" w:hAnsi="Palatino Linotype"/>
          <w:bCs/>
        </w:rPr>
      </w:pPr>
      <w:r w:rsidRPr="00771FC6">
        <w:rPr>
          <w:rFonts w:ascii="Palatino Linotype" w:hAnsi="Palatino Linotype"/>
          <w:bCs/>
        </w:rPr>
        <w:lastRenderedPageBreak/>
        <w:t>También, es necesario precisar que los medios de impugnación constituyen recursos legales a través de los cuales se corrigen los errores cometidos tanto en el curso del procedimiento, como en el dictado de la resolución.</w:t>
      </w:r>
    </w:p>
    <w:p w14:paraId="2A5561BB" w14:textId="77777777" w:rsidR="004565D5" w:rsidRPr="00771FC6" w:rsidRDefault="004565D5" w:rsidP="00771FC6">
      <w:pPr>
        <w:shd w:val="clear" w:color="auto" w:fill="FFFFFF" w:themeFill="background1"/>
        <w:spacing w:line="360" w:lineRule="auto"/>
        <w:jc w:val="both"/>
        <w:rPr>
          <w:rFonts w:ascii="Palatino Linotype" w:hAnsi="Palatino Linotype"/>
          <w:bCs/>
        </w:rPr>
      </w:pPr>
    </w:p>
    <w:p w14:paraId="2892FCA1" w14:textId="77777777" w:rsidR="004565D5" w:rsidRPr="00771FC6" w:rsidRDefault="004565D5" w:rsidP="00771FC6">
      <w:pPr>
        <w:shd w:val="clear" w:color="auto" w:fill="FFFFFF" w:themeFill="background1"/>
        <w:spacing w:line="360" w:lineRule="auto"/>
        <w:jc w:val="both"/>
        <w:rPr>
          <w:rFonts w:ascii="Palatino Linotype" w:hAnsi="Palatino Linotype"/>
          <w:bCs/>
        </w:rPr>
      </w:pPr>
      <w:r w:rsidRPr="00771FC6">
        <w:rPr>
          <w:rFonts w:ascii="Palatino Linotype" w:hAnsi="Palatino Linotype"/>
          <w:bCs/>
        </w:rPr>
        <w:t>Derivado de todo lo antes descrito, podemos señalar que la finalidad de los recursos o medios de impugnación tienen como finalidad revocar, confirmar o modificar el acto que se impugna.</w:t>
      </w:r>
    </w:p>
    <w:p w14:paraId="29F28116" w14:textId="77777777" w:rsidR="004565D5" w:rsidRPr="00771FC6" w:rsidRDefault="004565D5" w:rsidP="00771FC6">
      <w:pPr>
        <w:shd w:val="clear" w:color="auto" w:fill="FFFFFF" w:themeFill="background1"/>
        <w:spacing w:line="360" w:lineRule="auto"/>
        <w:jc w:val="both"/>
        <w:rPr>
          <w:rFonts w:ascii="Palatino Linotype" w:hAnsi="Palatino Linotype"/>
          <w:bCs/>
        </w:rPr>
      </w:pPr>
    </w:p>
    <w:p w14:paraId="574EDF3D" w14:textId="77777777" w:rsidR="004565D5" w:rsidRPr="00771FC6" w:rsidRDefault="004565D5" w:rsidP="00771FC6">
      <w:pPr>
        <w:shd w:val="clear" w:color="auto" w:fill="FFFFFF" w:themeFill="background1"/>
        <w:spacing w:line="360" w:lineRule="auto"/>
        <w:jc w:val="both"/>
        <w:rPr>
          <w:rFonts w:ascii="Palatino Linotype" w:hAnsi="Palatino Linotype"/>
          <w:bCs/>
        </w:rPr>
      </w:pPr>
      <w:r w:rsidRPr="00771FC6">
        <w:rPr>
          <w:rFonts w:ascii="Palatino Linotype" w:hAnsi="Palatino Linotype"/>
          <w:bCs/>
        </w:rPr>
        <w:t xml:space="preserve">Conforme a los argumentos anteriormente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indispensable que </w:t>
      </w:r>
      <w:r w:rsidRPr="00771FC6">
        <w:rPr>
          <w:rFonts w:ascii="Palatino Linotype" w:hAnsi="Palatino Linotype"/>
          <w:b/>
        </w:rPr>
        <w:t>EL RECURRENTE</w:t>
      </w:r>
      <w:r w:rsidRPr="00771FC6">
        <w:rPr>
          <w:rFonts w:ascii="Palatino Linotype" w:hAnsi="Palatino Linotype"/>
          <w:bCs/>
        </w:rPr>
        <w:t>, señale la causa, motivo o circunstancia por la que considera que el acto que impugna le causa perjuicio o lesión a sus intereses.</w:t>
      </w:r>
    </w:p>
    <w:p w14:paraId="07D7147C" w14:textId="77777777" w:rsidR="004565D5" w:rsidRPr="00771FC6" w:rsidRDefault="004565D5" w:rsidP="00771FC6">
      <w:pPr>
        <w:shd w:val="clear" w:color="auto" w:fill="FFFFFF" w:themeFill="background1"/>
        <w:spacing w:line="360" w:lineRule="auto"/>
        <w:jc w:val="both"/>
        <w:rPr>
          <w:rFonts w:ascii="Palatino Linotype" w:hAnsi="Palatino Linotype"/>
          <w:bCs/>
        </w:rPr>
      </w:pPr>
    </w:p>
    <w:p w14:paraId="61398D0C" w14:textId="77777777" w:rsidR="004565D5" w:rsidRPr="00771FC6" w:rsidRDefault="004565D5" w:rsidP="00771FC6">
      <w:pPr>
        <w:shd w:val="clear" w:color="auto" w:fill="FFFFFF" w:themeFill="background1"/>
        <w:spacing w:line="360" w:lineRule="auto"/>
        <w:jc w:val="both"/>
        <w:rPr>
          <w:rFonts w:ascii="Palatino Linotype" w:hAnsi="Palatino Linotype"/>
          <w:bCs/>
        </w:rPr>
      </w:pPr>
      <w:r w:rsidRPr="00771FC6">
        <w:rPr>
          <w:rFonts w:ascii="Palatino Linotype" w:hAnsi="Palatino Linotype"/>
          <w:bCs/>
        </w:rPr>
        <w:t>Asimismo, es importante destacar que los motivos de inconformidad o agravios expresados en un Recurso de Revisión deben tener por objeto combatir los argumentos sustentados en la respuesta impugnada, lo que implica que el límite de un recurso es el estudio efectuado a los motivos de inconformidad que deben necesariamente tener relación directa con la materia del acto combatido.</w:t>
      </w:r>
    </w:p>
    <w:p w14:paraId="77E4E171" w14:textId="77777777" w:rsidR="004565D5" w:rsidRPr="00771FC6" w:rsidRDefault="004565D5" w:rsidP="00771FC6">
      <w:pPr>
        <w:shd w:val="clear" w:color="auto" w:fill="FFFFFF" w:themeFill="background1"/>
        <w:spacing w:line="360" w:lineRule="auto"/>
        <w:jc w:val="both"/>
        <w:rPr>
          <w:rFonts w:ascii="Palatino Linotype" w:hAnsi="Palatino Linotype"/>
          <w:bCs/>
        </w:rPr>
      </w:pPr>
    </w:p>
    <w:p w14:paraId="22A9B552" w14:textId="77777777" w:rsidR="004565D5" w:rsidRPr="00771FC6" w:rsidRDefault="004565D5" w:rsidP="00771FC6">
      <w:pPr>
        <w:shd w:val="clear" w:color="auto" w:fill="FFFFFF" w:themeFill="background1"/>
        <w:spacing w:line="360" w:lineRule="auto"/>
        <w:jc w:val="both"/>
        <w:rPr>
          <w:rFonts w:ascii="Palatino Linotype" w:hAnsi="Palatino Linotype"/>
          <w:bCs/>
        </w:rPr>
      </w:pPr>
      <w:r w:rsidRPr="00771FC6">
        <w:rPr>
          <w:rFonts w:ascii="Palatino Linotype" w:hAnsi="Palatino Linotype"/>
          <w:bCs/>
        </w:rPr>
        <w:t xml:space="preserve">Lo anterior es así, en atención a que como se ha expuesto, las manifestaciones de las que se duele el </w:t>
      </w:r>
      <w:r w:rsidRPr="00771FC6">
        <w:rPr>
          <w:rFonts w:ascii="Palatino Linotype" w:hAnsi="Palatino Linotype"/>
          <w:b/>
        </w:rPr>
        <w:t>RECURRENTE</w:t>
      </w:r>
      <w:r w:rsidRPr="00771FC6">
        <w:rPr>
          <w:rFonts w:ascii="Palatino Linotype" w:hAnsi="Palatino Linotype"/>
          <w:bCs/>
        </w:rPr>
        <w:t xml:space="preserve"> deben llevar un perjuicio o motivo de inconformidad, </w:t>
      </w:r>
      <w:r w:rsidRPr="00771FC6">
        <w:rPr>
          <w:rFonts w:ascii="Palatino Linotype" w:hAnsi="Palatino Linotype"/>
          <w:bCs/>
        </w:rPr>
        <w:lastRenderedPageBreak/>
        <w:t xml:space="preserve">que constituya una la lesión, menoscabo o afectación que una persona sufre en sus derechos en virtud de la emisión de un acto de autoridad. </w:t>
      </w:r>
    </w:p>
    <w:p w14:paraId="639DDBA3" w14:textId="77777777" w:rsidR="004565D5" w:rsidRPr="00771FC6" w:rsidRDefault="004565D5" w:rsidP="00771FC6">
      <w:pPr>
        <w:shd w:val="clear" w:color="auto" w:fill="FFFFFF" w:themeFill="background1"/>
        <w:spacing w:line="360" w:lineRule="auto"/>
        <w:jc w:val="both"/>
        <w:rPr>
          <w:rFonts w:ascii="Palatino Linotype" w:hAnsi="Palatino Linotype"/>
          <w:bCs/>
        </w:rPr>
      </w:pPr>
    </w:p>
    <w:p w14:paraId="39FFD5AE" w14:textId="77777777" w:rsidR="004565D5" w:rsidRPr="00771FC6" w:rsidRDefault="004565D5" w:rsidP="00771FC6">
      <w:pPr>
        <w:shd w:val="clear" w:color="auto" w:fill="FFFFFF" w:themeFill="background1"/>
        <w:spacing w:line="360" w:lineRule="auto"/>
        <w:jc w:val="both"/>
        <w:rPr>
          <w:rFonts w:ascii="Palatino Linotype" w:hAnsi="Palatino Linotype" w:cs="Arial"/>
        </w:rPr>
      </w:pPr>
      <w:r w:rsidRPr="00771FC6">
        <w:rPr>
          <w:rFonts w:ascii="Palatino Linotype" w:hAnsi="Palatino Linotype" w:cs="Arial"/>
        </w:rPr>
        <w:t>Por lo que, del análisis realizado a las manifestaciones vertidas por el particular como acto impugnado; así como razones o motivos de inconformidad, este Órgano Garante advierte que impugna la veracidad de la información proporcionada</w:t>
      </w:r>
      <w:r w:rsidRPr="00771FC6">
        <w:rPr>
          <w:rFonts w:ascii="Palatino Linotype" w:eastAsia="Arial Unicode MS" w:hAnsi="Palatino Linotype" w:cs="Arial"/>
        </w:rPr>
        <w:t xml:space="preserve">, situación que actualiza las causales de improcedencia establecidas en el artículo 191, fracción V, de la </w:t>
      </w:r>
      <w:r w:rsidRPr="00771FC6">
        <w:rPr>
          <w:rFonts w:ascii="Palatino Linotype" w:hAnsi="Palatino Linotype" w:cs="Arial"/>
        </w:rPr>
        <w:t>Ley de Transparencia y Acceso a la Información Pública del Estado de México y Municipios; que a la letra dice:</w:t>
      </w:r>
    </w:p>
    <w:p w14:paraId="26B54968" w14:textId="77777777" w:rsidR="004565D5" w:rsidRPr="00771FC6" w:rsidRDefault="004565D5" w:rsidP="00771FC6">
      <w:pPr>
        <w:shd w:val="clear" w:color="auto" w:fill="FFFFFF" w:themeFill="background1"/>
        <w:autoSpaceDE w:val="0"/>
        <w:autoSpaceDN w:val="0"/>
        <w:adjustRightInd w:val="0"/>
        <w:ind w:right="49"/>
        <w:jc w:val="both"/>
        <w:rPr>
          <w:rFonts w:ascii="Palatino Linotype" w:hAnsi="Palatino Linotype" w:cs="Arial"/>
        </w:rPr>
      </w:pPr>
    </w:p>
    <w:p w14:paraId="13CDE26A" w14:textId="77777777" w:rsidR="004565D5" w:rsidRPr="00771FC6" w:rsidRDefault="004565D5" w:rsidP="00771FC6">
      <w:pPr>
        <w:shd w:val="clear" w:color="auto" w:fill="FFFFFF" w:themeFill="background1"/>
        <w:ind w:left="851" w:right="901"/>
        <w:jc w:val="both"/>
        <w:rPr>
          <w:rFonts w:ascii="Palatino Linotype" w:hAnsi="Palatino Linotype" w:cs="Arial"/>
          <w:i/>
          <w:sz w:val="22"/>
          <w:szCs w:val="22"/>
        </w:rPr>
      </w:pPr>
      <w:r w:rsidRPr="00771FC6">
        <w:rPr>
          <w:rFonts w:ascii="Palatino Linotype" w:hAnsi="Palatino Linotype" w:cs="Arial"/>
          <w:i/>
          <w:sz w:val="22"/>
          <w:szCs w:val="22"/>
        </w:rPr>
        <w:t>“</w:t>
      </w:r>
      <w:r w:rsidRPr="00771FC6">
        <w:rPr>
          <w:rFonts w:ascii="Palatino Linotype" w:hAnsi="Palatino Linotype" w:cs="Arial"/>
          <w:b/>
          <w:i/>
          <w:sz w:val="22"/>
          <w:szCs w:val="22"/>
        </w:rPr>
        <w:t xml:space="preserve">Artículo 191. </w:t>
      </w:r>
      <w:r w:rsidRPr="00771FC6">
        <w:rPr>
          <w:rFonts w:ascii="Palatino Linotype" w:hAnsi="Palatino Linotype" w:cs="Arial"/>
          <w:i/>
          <w:sz w:val="22"/>
          <w:szCs w:val="22"/>
        </w:rPr>
        <w:t>El recurso será desechado por improcedente cuando:</w:t>
      </w:r>
    </w:p>
    <w:p w14:paraId="5C73C8DC" w14:textId="77777777" w:rsidR="004565D5" w:rsidRPr="00771FC6" w:rsidRDefault="004565D5" w:rsidP="00771FC6">
      <w:pPr>
        <w:shd w:val="clear" w:color="auto" w:fill="FFFFFF" w:themeFill="background1"/>
        <w:ind w:left="851" w:right="901"/>
        <w:jc w:val="both"/>
        <w:rPr>
          <w:rFonts w:ascii="Palatino Linotype" w:hAnsi="Palatino Linotype" w:cs="Arial"/>
          <w:i/>
          <w:sz w:val="22"/>
          <w:szCs w:val="22"/>
        </w:rPr>
      </w:pPr>
      <w:r w:rsidRPr="00771FC6">
        <w:rPr>
          <w:rFonts w:ascii="Palatino Linotype" w:hAnsi="Palatino Linotype" w:cs="Arial"/>
          <w:i/>
          <w:sz w:val="22"/>
          <w:szCs w:val="22"/>
        </w:rPr>
        <w:t>(…)</w:t>
      </w:r>
    </w:p>
    <w:p w14:paraId="60ED7D48" w14:textId="77777777" w:rsidR="004565D5" w:rsidRPr="00771FC6" w:rsidRDefault="004565D5" w:rsidP="00771FC6">
      <w:pPr>
        <w:shd w:val="clear" w:color="auto" w:fill="FFFFFF" w:themeFill="background1"/>
        <w:ind w:left="851" w:right="901"/>
        <w:jc w:val="both"/>
        <w:rPr>
          <w:rFonts w:ascii="Palatino Linotype" w:hAnsi="Palatino Linotype" w:cs="Arial"/>
          <w:b/>
          <w:i/>
          <w:sz w:val="22"/>
          <w:szCs w:val="22"/>
        </w:rPr>
      </w:pPr>
      <w:r w:rsidRPr="00771FC6">
        <w:rPr>
          <w:rFonts w:ascii="Palatino Linotype" w:hAnsi="Palatino Linotype" w:cs="Arial"/>
          <w:b/>
          <w:i/>
          <w:sz w:val="22"/>
          <w:szCs w:val="22"/>
        </w:rPr>
        <w:t>V. Se impugne la veracidad de la información proporcionada;</w:t>
      </w:r>
    </w:p>
    <w:p w14:paraId="11EC1970" w14:textId="77777777" w:rsidR="004565D5" w:rsidRPr="00771FC6" w:rsidRDefault="004565D5" w:rsidP="00771FC6">
      <w:pPr>
        <w:shd w:val="clear" w:color="auto" w:fill="FFFFFF" w:themeFill="background1"/>
        <w:ind w:left="851" w:right="901"/>
        <w:jc w:val="both"/>
        <w:rPr>
          <w:rFonts w:ascii="Palatino Linotype" w:hAnsi="Palatino Linotype" w:cs="Arial"/>
          <w:b/>
          <w:i/>
          <w:sz w:val="22"/>
          <w:szCs w:val="22"/>
        </w:rPr>
      </w:pPr>
      <w:r w:rsidRPr="00771FC6">
        <w:rPr>
          <w:rFonts w:ascii="Palatino Linotype" w:hAnsi="Palatino Linotype" w:cs="Arial"/>
          <w:i/>
          <w:sz w:val="22"/>
          <w:szCs w:val="22"/>
        </w:rPr>
        <w:t xml:space="preserve"> (…)</w:t>
      </w:r>
    </w:p>
    <w:p w14:paraId="29988ED8" w14:textId="77777777" w:rsidR="004565D5" w:rsidRPr="00771FC6" w:rsidRDefault="004565D5" w:rsidP="00771FC6">
      <w:pPr>
        <w:shd w:val="clear" w:color="auto" w:fill="FFFFFF" w:themeFill="background1"/>
        <w:jc w:val="both"/>
        <w:rPr>
          <w:rFonts w:ascii="Palatino Linotype" w:hAnsi="Palatino Linotype" w:cs="Arial"/>
        </w:rPr>
      </w:pPr>
    </w:p>
    <w:p w14:paraId="5CACADF0" w14:textId="77777777" w:rsidR="004565D5" w:rsidRPr="00771FC6" w:rsidRDefault="004565D5" w:rsidP="00771FC6">
      <w:pPr>
        <w:shd w:val="clear" w:color="auto" w:fill="FFFFFF" w:themeFill="background1"/>
        <w:spacing w:line="360" w:lineRule="auto"/>
        <w:jc w:val="both"/>
        <w:rPr>
          <w:rFonts w:ascii="Palatino Linotype" w:eastAsia="Calibri" w:hAnsi="Palatino Linotype" w:cs="Arial"/>
        </w:rPr>
      </w:pPr>
      <w:r w:rsidRPr="00771FC6">
        <w:rPr>
          <w:rFonts w:ascii="Palatino Linotype" w:hAnsi="Palatino Linotype" w:cs="Arial"/>
        </w:rPr>
        <w:t xml:space="preserve">Lo anterior es así, pues de las razones o motivos de inconformidad, el particular refiere que la plantilla no viene rubricada por los responsables de las delegaciones; atento a ello, es necesario precisar que </w:t>
      </w:r>
      <w:r w:rsidRPr="00771FC6">
        <w:rPr>
          <w:rFonts w:ascii="Palatino Linotype" w:eastAsia="Calibri" w:hAnsi="Palatino Linotype" w:cs="Arial"/>
        </w:rPr>
        <w:t xml:space="preserve">las respuestas otorgadas mediante </w:t>
      </w:r>
      <w:r w:rsidRPr="00771FC6">
        <w:rPr>
          <w:rFonts w:ascii="Palatino Linotype" w:eastAsia="Arial Unicode MS" w:hAnsi="Palatino Linotype" w:cs="Arial"/>
          <w:b/>
        </w:rPr>
        <w:t>EL SAIMEX</w:t>
      </w:r>
      <w:r w:rsidRPr="00771FC6">
        <w:rPr>
          <w:rFonts w:ascii="Palatino Linotype" w:eastAsia="Calibri" w:hAnsi="Palatino Linotype" w:cs="Arial"/>
        </w:rPr>
        <w:t>, tienen plena validez sin necesidad de que contengan firma del Servidor Público que la emite o cualquier tipo de sello o membrete de la Dependencia, al ser dicha acción de respuesta un acto administrativo realizado por un Servidor Público en ejercicio de sus funciones de derecho público.</w:t>
      </w:r>
    </w:p>
    <w:p w14:paraId="6799B63D" w14:textId="77777777" w:rsidR="004565D5" w:rsidRPr="00771FC6" w:rsidRDefault="004565D5" w:rsidP="00771FC6">
      <w:pPr>
        <w:shd w:val="clear" w:color="auto" w:fill="FFFFFF" w:themeFill="background1"/>
        <w:spacing w:line="360" w:lineRule="auto"/>
        <w:jc w:val="both"/>
        <w:rPr>
          <w:rFonts w:ascii="Palatino Linotype" w:eastAsia="Calibri" w:hAnsi="Palatino Linotype" w:cs="Arial"/>
        </w:rPr>
      </w:pPr>
    </w:p>
    <w:p w14:paraId="0EF12B23" w14:textId="77777777" w:rsidR="004565D5" w:rsidRPr="00771FC6" w:rsidRDefault="004565D5" w:rsidP="00771FC6">
      <w:pPr>
        <w:shd w:val="clear" w:color="auto" w:fill="FFFFFF" w:themeFill="background1"/>
        <w:spacing w:line="360" w:lineRule="auto"/>
        <w:jc w:val="both"/>
        <w:rPr>
          <w:rFonts w:ascii="Palatino Linotype" w:eastAsia="Arial Unicode MS" w:hAnsi="Palatino Linotype" w:cs="Arial"/>
        </w:rPr>
      </w:pPr>
      <w:r w:rsidRPr="00771FC6">
        <w:rPr>
          <w:rFonts w:ascii="Palatino Linotype" w:hAnsi="Palatino Linotype" w:cs="Arial"/>
        </w:rPr>
        <w:t xml:space="preserve">Lo anterior encuentra sustento en el Criterio 7/09 del </w:t>
      </w:r>
      <w:r w:rsidRPr="00771FC6">
        <w:rPr>
          <w:rFonts w:ascii="Palatino Linotype" w:eastAsia="Arial Unicode MS" w:hAnsi="Palatino Linotype" w:cs="Arial"/>
        </w:rPr>
        <w:t xml:space="preserve">Pleno del </w:t>
      </w:r>
      <w:r w:rsidRPr="00771FC6">
        <w:rPr>
          <w:rFonts w:ascii="Palatino Linotype" w:eastAsia="Arial Unicode MS" w:hAnsi="Palatino Linotype" w:cs="Arial"/>
          <w:bCs/>
        </w:rPr>
        <w:t xml:space="preserve">Instituto Federal de Acceso a la Información y Protección de Datos, </w:t>
      </w:r>
      <w:r w:rsidRPr="00771FC6">
        <w:rPr>
          <w:rFonts w:ascii="Palatino Linotype" w:eastAsia="Arial Unicode MS" w:hAnsi="Palatino Linotype" w:cs="Arial"/>
        </w:rPr>
        <w:t xml:space="preserve">ahora Instituto Nacional de </w:t>
      </w:r>
      <w:r w:rsidRPr="00771FC6">
        <w:rPr>
          <w:rFonts w:ascii="Palatino Linotype" w:eastAsia="Arial Unicode MS" w:hAnsi="Palatino Linotype" w:cs="Arial"/>
        </w:rPr>
        <w:lastRenderedPageBreak/>
        <w:t>Transparencia, Acceso a la Información y Protección de Datos Personales, que literalmente establece:</w:t>
      </w:r>
    </w:p>
    <w:p w14:paraId="5510A38C" w14:textId="77777777" w:rsidR="004565D5" w:rsidRPr="00771FC6" w:rsidRDefault="004565D5" w:rsidP="00771FC6">
      <w:pPr>
        <w:shd w:val="clear" w:color="auto" w:fill="FFFFFF" w:themeFill="background1"/>
        <w:jc w:val="both"/>
        <w:rPr>
          <w:rFonts w:ascii="Palatino Linotype" w:eastAsia="Calibri" w:hAnsi="Palatino Linotype" w:cs="Arial"/>
        </w:rPr>
      </w:pPr>
    </w:p>
    <w:p w14:paraId="7A5F16C9" w14:textId="77777777" w:rsidR="004565D5" w:rsidRPr="00771FC6" w:rsidRDefault="004565D5" w:rsidP="00771FC6">
      <w:pPr>
        <w:shd w:val="clear" w:color="auto" w:fill="FFFFFF" w:themeFill="background1"/>
        <w:ind w:left="851" w:right="900"/>
        <w:jc w:val="both"/>
        <w:rPr>
          <w:rFonts w:ascii="Palatino Linotype" w:eastAsia="Calibri" w:hAnsi="Palatino Linotype" w:cs="Arial"/>
          <w:b/>
          <w:i/>
          <w:sz w:val="22"/>
          <w:szCs w:val="22"/>
        </w:rPr>
      </w:pPr>
      <w:r w:rsidRPr="00771FC6">
        <w:rPr>
          <w:rFonts w:ascii="Palatino Linotype" w:hAnsi="Palatino Linotype"/>
          <w:b/>
          <w:i/>
          <w:sz w:val="22"/>
          <w:szCs w:val="22"/>
        </w:rPr>
        <w:t>“</w:t>
      </w:r>
      <w:r w:rsidRPr="00771FC6">
        <w:rPr>
          <w:rFonts w:ascii="Palatino Linotype" w:hAnsi="Palatino Linotype"/>
          <w:i/>
          <w:sz w:val="22"/>
          <w:szCs w:val="22"/>
        </w:rPr>
        <w:t xml:space="preserve">Los documentos sin firma o membrete emitidos y/o notificados por las Unidades de Enlace de las dependencias o entidades son válidos en el ámbito de la Ley Federal de Transparencia y Acceso a la Información Pública Gubernamental cuando se proporcionan a través del sistema </w:t>
      </w:r>
      <w:proofErr w:type="spellStart"/>
      <w:r w:rsidRPr="00771FC6">
        <w:rPr>
          <w:rFonts w:ascii="Palatino Linotype" w:hAnsi="Palatino Linotype"/>
          <w:i/>
          <w:sz w:val="22"/>
          <w:szCs w:val="22"/>
        </w:rPr>
        <w:t>Infomex</w:t>
      </w:r>
      <w:proofErr w:type="spellEnd"/>
      <w:r w:rsidRPr="00771FC6">
        <w:rPr>
          <w:rFonts w:ascii="Palatino Linotype" w:hAnsi="Palatino Linotype"/>
          <w:i/>
          <w:sz w:val="22"/>
          <w:szCs w:val="22"/>
        </w:rPr>
        <w:t xml:space="preserve">. La validez de las respuestas de las dependencias y entidades es intrínseca al uso del sistema </w:t>
      </w:r>
      <w:proofErr w:type="spellStart"/>
      <w:r w:rsidRPr="00771FC6">
        <w:rPr>
          <w:rFonts w:ascii="Palatino Linotype" w:hAnsi="Palatino Linotype"/>
          <w:i/>
          <w:sz w:val="22"/>
          <w:szCs w:val="22"/>
        </w:rPr>
        <w:t>Infomex</w:t>
      </w:r>
      <w:proofErr w:type="spellEnd"/>
      <w:r w:rsidRPr="00771FC6">
        <w:rPr>
          <w:rFonts w:ascii="Palatino Linotype" w:hAnsi="Palatino Linotype"/>
          <w:i/>
          <w:sz w:val="22"/>
          <w:szCs w:val="22"/>
        </w:rPr>
        <w:t>, ya que al presentar el particular su solicitud por este medio electrónico, acepta que se le hagan las notificaciones por el mismo sistema, lo que incluye la respuesta. Lo anterior, de conformidad con lo señalado en el artículo 68, antepenúltimo párrafo del Reglamento de la Ley Federal de Transparencia y Acceso a la Información Pública Gubernamental, el cual establece que cuando el particular presente su solicitud de información por medios electrónicos a través del sistema que establezca el Instituto, se entenderá que acepta que las notificaciones, incluyendo la respuesta, le sean efectuadas por dicho sistema. Asimismo, la Ley Federal de Transparencia y Acceso a la Información Pública Gubernamental y demás marco normativo aplicable no establece la obligación de que las dependencias y entidades, al dar respuesta a una solicitud de acceso, deban emitirlas en papel membretado o firmado por servidor público alguno, toda vez que dicha respuesta se entiende emitida y/o notificada por la Unidad de Enlace de la dependencia o entidad a la que el particular remitió su solicitud. Lo anterior, tiene fundamento en el artículo 41 de la Ley Federal de Transparencia y Acceso a la Información Pública Gubernamental.</w:t>
      </w:r>
      <w:r w:rsidRPr="00771FC6">
        <w:rPr>
          <w:rFonts w:ascii="Palatino Linotype" w:hAnsi="Palatino Linotype"/>
          <w:b/>
          <w:i/>
          <w:sz w:val="22"/>
          <w:szCs w:val="22"/>
        </w:rPr>
        <w:t>”</w:t>
      </w:r>
    </w:p>
    <w:p w14:paraId="2CFA108F" w14:textId="77777777" w:rsidR="004565D5" w:rsidRPr="00771FC6" w:rsidRDefault="004565D5" w:rsidP="00771FC6">
      <w:pPr>
        <w:shd w:val="clear" w:color="auto" w:fill="FFFFFF" w:themeFill="background1"/>
        <w:jc w:val="both"/>
        <w:rPr>
          <w:rFonts w:ascii="Palatino Linotype" w:hAnsi="Palatino Linotype" w:cs="Arial"/>
        </w:rPr>
      </w:pPr>
    </w:p>
    <w:p w14:paraId="105A1B63" w14:textId="77777777" w:rsidR="004565D5" w:rsidRPr="00771FC6" w:rsidRDefault="004565D5" w:rsidP="00771FC6">
      <w:pPr>
        <w:shd w:val="clear" w:color="auto" w:fill="FFFFFF" w:themeFill="background1"/>
        <w:spacing w:line="360" w:lineRule="auto"/>
        <w:jc w:val="both"/>
        <w:rPr>
          <w:rFonts w:ascii="Palatino Linotype" w:hAnsi="Palatino Linotype"/>
          <w:shd w:val="clear" w:color="auto" w:fill="FFFFFF"/>
        </w:rPr>
      </w:pPr>
      <w:r w:rsidRPr="00771FC6">
        <w:rPr>
          <w:rFonts w:ascii="Palatino Linotype" w:hAnsi="Palatino Linotype"/>
          <w:shd w:val="clear" w:color="auto" w:fill="FFFFFF"/>
        </w:rPr>
        <w:t xml:space="preserve">Ahora bien, no se omite comentar que no puede realizarse la suplencia en el presente Recurso de Revisión, dado que no señaló ningún tipo de agravio al momento de presentar el recurso que nos ocupa, específicamente en el acto reclamado o impugnado; por lo que, este Órgano Garante debe actuar con apego al principio de objetividad, el cual no es otra cosa, que la autoridad garante, adecue un criterio objetivo, velando la correcta aplicación del derecho, lo anterior de conformidad con lo dispuesto por el artículo 9 de la Ley de la materia, para lo cual es importante citar la siguiente tesis aislada I. 4o.A41 K (10a), la cual señala: </w:t>
      </w:r>
    </w:p>
    <w:p w14:paraId="0F0B373B" w14:textId="77777777" w:rsidR="004565D5" w:rsidRPr="00771FC6" w:rsidRDefault="004565D5" w:rsidP="00771FC6">
      <w:pPr>
        <w:shd w:val="clear" w:color="auto" w:fill="FFFFFF" w:themeFill="background1"/>
        <w:ind w:left="851" w:right="899"/>
        <w:jc w:val="both"/>
        <w:rPr>
          <w:rFonts w:ascii="Palatino Linotype" w:hAnsi="Palatino Linotype" w:cs="Calibri"/>
          <w:b/>
          <w:bCs/>
          <w:i/>
          <w:iCs/>
          <w:sz w:val="22"/>
          <w:szCs w:val="22"/>
        </w:rPr>
      </w:pPr>
      <w:r w:rsidRPr="00771FC6">
        <w:rPr>
          <w:rFonts w:ascii="Palatino Linotype" w:hAnsi="Palatino Linotype" w:cs="Calibri"/>
          <w:b/>
          <w:bCs/>
          <w:i/>
          <w:iCs/>
          <w:sz w:val="22"/>
          <w:szCs w:val="22"/>
        </w:rPr>
        <w:lastRenderedPageBreak/>
        <w:t>“SUPLENCIA DE LA QUEJA DEFICIENTE EN EL AMPARO. NO TIENE EL ALCANCE DE QUE EL JUZGADOR CONSIDERE COMO ACTOS RECLAMADOS, AQUELLOS QUE EL QUEJOSO NO SEÑALÓ.</w:t>
      </w:r>
    </w:p>
    <w:p w14:paraId="3C528C5B" w14:textId="77777777" w:rsidR="004565D5" w:rsidRPr="00771FC6" w:rsidRDefault="004565D5" w:rsidP="00771FC6">
      <w:pPr>
        <w:shd w:val="clear" w:color="auto" w:fill="FFFFFF" w:themeFill="background1"/>
        <w:ind w:left="851" w:right="899"/>
        <w:jc w:val="both"/>
        <w:rPr>
          <w:rFonts w:ascii="Palatino Linotype" w:hAnsi="Palatino Linotype" w:cs="Calibri"/>
          <w:i/>
          <w:iCs/>
          <w:sz w:val="22"/>
          <w:szCs w:val="22"/>
        </w:rPr>
      </w:pPr>
      <w:r w:rsidRPr="00771FC6">
        <w:rPr>
          <w:rFonts w:ascii="Palatino Linotype" w:hAnsi="Palatino Linotype" w:cs="Calibri"/>
          <w:i/>
          <w:iCs/>
          <w:sz w:val="22"/>
          <w:szCs w:val="22"/>
        </w:rPr>
        <w:t>De conformidad con el artículo </w:t>
      </w:r>
      <w:hyperlink r:id="rId12" w:history="1">
        <w:r w:rsidRPr="00771FC6">
          <w:rPr>
            <w:rFonts w:ascii="Palatino Linotype" w:hAnsi="Palatino Linotype" w:cs="Calibri"/>
            <w:i/>
            <w:iCs/>
            <w:sz w:val="22"/>
            <w:szCs w:val="22"/>
          </w:rPr>
          <w:t>79 de la Ley de Amparo</w:t>
        </w:r>
      </w:hyperlink>
      <w:r w:rsidRPr="00771FC6">
        <w:rPr>
          <w:rFonts w:ascii="Palatino Linotype" w:hAnsi="Palatino Linotype" w:cs="Calibri"/>
          <w:i/>
          <w:iCs/>
          <w:sz w:val="22"/>
          <w:szCs w:val="22"/>
        </w:rPr>
        <w:t> y la jurisprudencia P</w:t>
      </w:r>
      <w:proofErr w:type="gramStart"/>
      <w:r w:rsidRPr="00771FC6">
        <w:rPr>
          <w:rFonts w:ascii="Palatino Linotype" w:hAnsi="Palatino Linotype" w:cs="Calibri"/>
          <w:i/>
          <w:iCs/>
          <w:sz w:val="22"/>
          <w:szCs w:val="22"/>
        </w:rPr>
        <w:t>./</w:t>
      </w:r>
      <w:proofErr w:type="gramEnd"/>
      <w:r w:rsidRPr="00771FC6">
        <w:rPr>
          <w:rFonts w:ascii="Palatino Linotype" w:hAnsi="Palatino Linotype" w:cs="Calibri"/>
          <w:i/>
          <w:iCs/>
          <w:sz w:val="22"/>
          <w:szCs w:val="22"/>
        </w:rPr>
        <w:t>J. 7/2017 (10a.), sustentada por el Pleno de la Suprema Corte de Justicia de la Nación, de título y subtítulo: "</w:t>
      </w:r>
      <w:hyperlink r:id="rId13" w:tgtFrame="_blank" w:history="1">
        <w:r w:rsidRPr="00771FC6">
          <w:rPr>
            <w:rFonts w:ascii="Palatino Linotype" w:hAnsi="Palatino Linotype" w:cs="Calibri"/>
            <w:i/>
            <w:iCs/>
            <w:sz w:val="22"/>
            <w:szCs w:val="22"/>
          </w:rPr>
          <w:t>SUPLENCIA DE LA DEFICIENCIA DE LOS CONCEPTOS DE VIOLACIÓN O AGRAVIOS PREVISTA EN EL ARTÍCULO 79, FRACCIÓN V, DE LA LEY DE AMPARO. OPERA EN FAVOR DE LOS MIEMBROS DE LOS CUERPOS DE SEGURIDAD PÚBLICA, EN LOS PROCEDIMIENTOS ADMINISTRATIVOS DE SEPARACIÓN POR INCUMPLIMIENTO DE LOS REQUISITOS DE INGRESO Y PERMANENCIA</w:t>
        </w:r>
      </w:hyperlink>
      <w:r w:rsidRPr="00771FC6">
        <w:rPr>
          <w:rFonts w:ascii="Palatino Linotype" w:hAnsi="Palatino Linotype" w:cs="Calibri"/>
          <w:i/>
          <w:iCs/>
          <w:sz w:val="22"/>
          <w:szCs w:val="22"/>
        </w:rPr>
        <w:t xml:space="preserve">.", la suplencia de la queja deficiente en el juicio constitucional se </w:t>
      </w:r>
      <w:r w:rsidRPr="00771FC6">
        <w:rPr>
          <w:rFonts w:ascii="Palatino Linotype" w:hAnsi="Palatino Linotype" w:cs="Calibri"/>
          <w:b/>
          <w:bCs/>
          <w:i/>
          <w:iCs/>
          <w:sz w:val="22"/>
          <w:szCs w:val="22"/>
        </w:rPr>
        <w:t xml:space="preserve">limita a mejorar, subsanar e invocar los conceptos de violación o agravios, entendidos como las lesiones que irroguen los actos </w:t>
      </w:r>
      <w:r w:rsidRPr="00771FC6">
        <w:rPr>
          <w:rFonts w:ascii="Palatino Linotype" w:hAnsi="Palatino Linotype" w:cs="Calibri"/>
          <w:i/>
          <w:iCs/>
          <w:sz w:val="22"/>
          <w:szCs w:val="22"/>
        </w:rPr>
        <w:t xml:space="preserve">reclamados o la sentencia. Por tanto, esa </w:t>
      </w:r>
      <w:r w:rsidRPr="00771FC6">
        <w:rPr>
          <w:rFonts w:ascii="Palatino Linotype" w:hAnsi="Palatino Linotype" w:cs="Calibri"/>
          <w:b/>
          <w:bCs/>
          <w:i/>
          <w:iCs/>
          <w:sz w:val="22"/>
          <w:szCs w:val="22"/>
        </w:rPr>
        <w:t>institución no tiene el alcance de que el juzgador considere como actos reclamados, aquellos que el quejoso no señaló</w:t>
      </w:r>
      <w:r w:rsidRPr="00771FC6">
        <w:rPr>
          <w:rFonts w:ascii="Palatino Linotype" w:hAnsi="Palatino Linotype" w:cs="Calibri"/>
          <w:i/>
          <w:iCs/>
          <w:sz w:val="22"/>
          <w:szCs w:val="22"/>
        </w:rPr>
        <w:t>, pues incluso el artículo </w:t>
      </w:r>
      <w:hyperlink r:id="rId14" w:history="1">
        <w:r w:rsidRPr="00771FC6">
          <w:rPr>
            <w:rFonts w:ascii="Palatino Linotype" w:hAnsi="Palatino Linotype" w:cs="Calibri"/>
            <w:i/>
            <w:iCs/>
            <w:sz w:val="22"/>
            <w:szCs w:val="22"/>
          </w:rPr>
          <w:t>114, fracción II</w:t>
        </w:r>
      </w:hyperlink>
      <w:r w:rsidRPr="00771FC6">
        <w:rPr>
          <w:rFonts w:ascii="Palatino Linotype" w:hAnsi="Palatino Linotype" w:cs="Calibri"/>
          <w:i/>
          <w:iCs/>
          <w:sz w:val="22"/>
          <w:szCs w:val="22"/>
        </w:rPr>
        <w:t>, en relación con el diverso </w:t>
      </w:r>
      <w:hyperlink r:id="rId15" w:history="1">
        <w:r w:rsidRPr="00771FC6">
          <w:rPr>
            <w:rFonts w:ascii="Palatino Linotype" w:hAnsi="Palatino Linotype" w:cs="Calibri"/>
            <w:i/>
            <w:iCs/>
            <w:sz w:val="22"/>
            <w:szCs w:val="22"/>
          </w:rPr>
          <w:t>108, fracción IV</w:t>
        </w:r>
      </w:hyperlink>
      <w:r w:rsidRPr="00771FC6">
        <w:rPr>
          <w:rFonts w:ascii="Palatino Linotype" w:hAnsi="Palatino Linotype" w:cs="Calibri"/>
          <w:i/>
          <w:iCs/>
          <w:sz w:val="22"/>
          <w:szCs w:val="22"/>
        </w:rPr>
        <w:t xml:space="preserve">, ambos de la propia ley, dispone que el órgano jurisdiccional debe requerir al </w:t>
      </w:r>
      <w:proofErr w:type="spellStart"/>
      <w:r w:rsidRPr="00771FC6">
        <w:rPr>
          <w:rFonts w:ascii="Palatino Linotype" w:hAnsi="Palatino Linotype" w:cs="Calibri"/>
          <w:i/>
          <w:iCs/>
          <w:sz w:val="22"/>
          <w:szCs w:val="22"/>
        </w:rPr>
        <w:t>promovente</w:t>
      </w:r>
      <w:proofErr w:type="spellEnd"/>
      <w:r w:rsidRPr="00771FC6">
        <w:rPr>
          <w:rFonts w:ascii="Palatino Linotype" w:hAnsi="Palatino Linotype" w:cs="Calibri"/>
          <w:i/>
          <w:iCs/>
          <w:sz w:val="22"/>
          <w:szCs w:val="22"/>
        </w:rPr>
        <w:t xml:space="preserve"> para que aclare su demanda cuando omita expresar los actos que de cada autoridad reclame y, si no cumple la prevención, no puede subsanarse esa deficiencia.”</w:t>
      </w:r>
    </w:p>
    <w:p w14:paraId="45DF4232" w14:textId="77777777" w:rsidR="004565D5" w:rsidRPr="00771FC6" w:rsidRDefault="004565D5" w:rsidP="00771FC6">
      <w:pPr>
        <w:shd w:val="clear" w:color="auto" w:fill="FFFFFF" w:themeFill="background1"/>
        <w:ind w:left="851" w:right="902"/>
        <w:jc w:val="both"/>
        <w:rPr>
          <w:rFonts w:ascii="Palatino Linotype" w:hAnsi="Palatino Linotype" w:cs="Calibri"/>
          <w:b/>
          <w:bCs/>
          <w:i/>
          <w:iCs/>
          <w:sz w:val="22"/>
          <w:szCs w:val="22"/>
        </w:rPr>
      </w:pPr>
      <w:r w:rsidRPr="00771FC6">
        <w:rPr>
          <w:rFonts w:ascii="Palatino Linotype" w:hAnsi="Palatino Linotype" w:cs="Calibri"/>
          <w:b/>
          <w:bCs/>
          <w:i/>
          <w:iCs/>
          <w:sz w:val="22"/>
          <w:szCs w:val="22"/>
        </w:rPr>
        <w:t>(Énfasis añadido)</w:t>
      </w:r>
    </w:p>
    <w:p w14:paraId="20FB486A" w14:textId="77777777" w:rsidR="004565D5" w:rsidRPr="00771FC6" w:rsidRDefault="004565D5" w:rsidP="00771FC6">
      <w:pPr>
        <w:shd w:val="clear" w:color="auto" w:fill="FFFFFF" w:themeFill="background1"/>
        <w:ind w:left="851" w:right="902"/>
        <w:jc w:val="both"/>
        <w:rPr>
          <w:rFonts w:ascii="Palatino Linotype" w:hAnsi="Palatino Linotype" w:cs="Calibri"/>
          <w:b/>
          <w:bCs/>
          <w:i/>
          <w:iCs/>
          <w:sz w:val="22"/>
          <w:szCs w:val="22"/>
        </w:rPr>
      </w:pPr>
    </w:p>
    <w:p w14:paraId="6315D296" w14:textId="77777777" w:rsidR="004565D5" w:rsidRPr="00771FC6" w:rsidRDefault="004565D5" w:rsidP="00771FC6">
      <w:pPr>
        <w:shd w:val="clear" w:color="auto" w:fill="FFFFFF" w:themeFill="background1"/>
        <w:spacing w:line="360" w:lineRule="auto"/>
        <w:jc w:val="both"/>
        <w:rPr>
          <w:rFonts w:ascii="Palatino Linotype" w:hAnsi="Palatino Linotype"/>
          <w:b/>
        </w:rPr>
      </w:pPr>
      <w:r w:rsidRPr="00771FC6">
        <w:rPr>
          <w:rFonts w:ascii="Palatino Linotype" w:hAnsi="Palatino Linotype"/>
          <w:bCs/>
        </w:rPr>
        <w:t xml:space="preserve">Es importante referir que no se debe perder de vista que la materia del Recurso de Revisión versa sobre los motivos de inconformidad que ha de señalar </w:t>
      </w:r>
      <w:r w:rsidRPr="00771FC6">
        <w:rPr>
          <w:rFonts w:ascii="Palatino Linotype" w:hAnsi="Palatino Linotype"/>
          <w:b/>
        </w:rPr>
        <w:t>EL RECURRENTE</w:t>
      </w:r>
      <w:r w:rsidRPr="00771FC6">
        <w:rPr>
          <w:rFonts w:ascii="Palatino Linotype" w:hAnsi="Palatino Linotype"/>
          <w:bCs/>
        </w:rPr>
        <w:t xml:space="preserve">, los cuales tendrán por objeto desvirtuar o demostrar la ilegalidad de la respuesta impugnada; situación que en el presente caso no aconteció, toda vez que </w:t>
      </w:r>
      <w:r w:rsidRPr="00771FC6">
        <w:rPr>
          <w:rFonts w:ascii="Palatino Linotype" w:hAnsi="Palatino Linotype"/>
          <w:b/>
        </w:rPr>
        <w:t>EL RECURRENTE</w:t>
      </w:r>
      <w:r w:rsidRPr="00771FC6">
        <w:rPr>
          <w:rFonts w:ascii="Palatino Linotype" w:hAnsi="Palatino Linotype"/>
          <w:bCs/>
        </w:rPr>
        <w:t xml:space="preserve"> impugnó la veracidad de la información proporcionada por </w:t>
      </w:r>
      <w:r w:rsidRPr="00771FC6">
        <w:rPr>
          <w:rFonts w:ascii="Palatino Linotype" w:hAnsi="Palatino Linotype"/>
          <w:b/>
        </w:rPr>
        <w:t xml:space="preserve">EL SUJETO OBLIGADO. </w:t>
      </w:r>
    </w:p>
    <w:p w14:paraId="573CBAA7" w14:textId="77777777" w:rsidR="004565D5" w:rsidRPr="00771FC6" w:rsidRDefault="004565D5" w:rsidP="00771FC6">
      <w:pPr>
        <w:shd w:val="clear" w:color="auto" w:fill="FFFFFF" w:themeFill="background1"/>
        <w:spacing w:line="360" w:lineRule="auto"/>
        <w:jc w:val="both"/>
        <w:rPr>
          <w:rFonts w:ascii="Palatino Linotype" w:hAnsi="Palatino Linotype" w:cs="Arial"/>
        </w:rPr>
      </w:pPr>
    </w:p>
    <w:p w14:paraId="4FD183AA" w14:textId="77777777" w:rsidR="004565D5" w:rsidRPr="00771FC6" w:rsidRDefault="004565D5" w:rsidP="00771FC6">
      <w:pPr>
        <w:shd w:val="clear" w:color="auto" w:fill="FFFFFF" w:themeFill="background1"/>
        <w:spacing w:line="360" w:lineRule="auto"/>
        <w:jc w:val="both"/>
        <w:rPr>
          <w:rFonts w:ascii="Palatino Linotype" w:hAnsi="Palatino Linotype" w:cs="Arial"/>
        </w:rPr>
      </w:pPr>
      <w:r w:rsidRPr="00771FC6">
        <w:rPr>
          <w:rFonts w:ascii="Palatino Linotype" w:hAnsi="Palatino Linotype" w:cs="Arial"/>
        </w:rPr>
        <w:t xml:space="preserve">Ahora bien, es importante precisar que en atención a lo previsto en el artículo 179 de la Ley de Transparencia y Acceso a la Información Pública del Estado de México y Municipios, el </w:t>
      </w:r>
      <w:r w:rsidRPr="00771FC6">
        <w:rPr>
          <w:rFonts w:ascii="Palatino Linotype" w:hAnsi="Palatino Linotype"/>
        </w:rPr>
        <w:t xml:space="preserve">Instituto de Transparencia, Acceso a la Información Pública y Protección </w:t>
      </w:r>
      <w:r w:rsidRPr="00771FC6">
        <w:rPr>
          <w:rFonts w:ascii="Palatino Linotype" w:hAnsi="Palatino Linotype"/>
        </w:rPr>
        <w:lastRenderedPageBreak/>
        <w:t xml:space="preserve">de Datos Personales del Estado de México y Municipios, funge </w:t>
      </w:r>
      <w:r w:rsidRPr="00771FC6">
        <w:rPr>
          <w:rFonts w:ascii="Palatino Linotype" w:hAnsi="Palatino Linotype" w:cs="Arial"/>
        </w:rPr>
        <w:t>como Órgano Garante de la difusión, protección y respeto al derecho de acceso a la Información Pública y a la protección de datos personales, conforme a su naturaleza jurídica y es competente para resolver los recursos de revisión, cuando se actualice cualquiera de las siguientes causas:</w:t>
      </w:r>
    </w:p>
    <w:p w14:paraId="33B4F949" w14:textId="77777777" w:rsidR="004565D5" w:rsidRPr="00771FC6" w:rsidRDefault="004565D5" w:rsidP="00771FC6">
      <w:pPr>
        <w:shd w:val="clear" w:color="auto" w:fill="FFFFFF" w:themeFill="background1"/>
        <w:jc w:val="both"/>
        <w:rPr>
          <w:rFonts w:ascii="Palatino Linotype" w:hAnsi="Palatino Linotype" w:cs="Arial"/>
        </w:rPr>
      </w:pPr>
    </w:p>
    <w:p w14:paraId="40CC27E8" w14:textId="77777777" w:rsidR="004565D5" w:rsidRPr="00771FC6" w:rsidRDefault="004565D5" w:rsidP="00771FC6">
      <w:pPr>
        <w:shd w:val="clear" w:color="auto" w:fill="FFFFFF" w:themeFill="background1"/>
        <w:tabs>
          <w:tab w:val="left" w:pos="8222"/>
        </w:tabs>
        <w:ind w:left="851" w:right="992"/>
        <w:jc w:val="both"/>
        <w:rPr>
          <w:rFonts w:ascii="Palatino Linotype" w:hAnsi="Palatino Linotype" w:cs="Arial"/>
          <w:i/>
          <w:sz w:val="22"/>
        </w:rPr>
      </w:pPr>
      <w:r w:rsidRPr="00771FC6">
        <w:rPr>
          <w:rFonts w:ascii="Palatino Linotype" w:hAnsi="Palatino Linotype" w:cs="Arial"/>
          <w:i/>
          <w:sz w:val="22"/>
        </w:rPr>
        <w:t>“</w:t>
      </w:r>
      <w:r w:rsidRPr="00771FC6">
        <w:rPr>
          <w:rFonts w:ascii="Palatino Linotype" w:hAnsi="Palatino Linotype" w:cs="Arial"/>
          <w:b/>
          <w:i/>
          <w:sz w:val="22"/>
        </w:rPr>
        <w:t>Artículo 179</w:t>
      </w:r>
      <w:r w:rsidRPr="00771FC6">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14:paraId="7323C692"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I. La negativa a la información solicitada;</w:t>
      </w:r>
    </w:p>
    <w:p w14:paraId="3E85C055"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II. La clasificación de la información;</w:t>
      </w:r>
    </w:p>
    <w:p w14:paraId="2C3048EF"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III. La declaración de inexistencia de la información;</w:t>
      </w:r>
    </w:p>
    <w:p w14:paraId="536ABA50"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IV. La declaración de incompetencia por el sujeto obligado;</w:t>
      </w:r>
    </w:p>
    <w:p w14:paraId="407A5F76"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V. La entrega de información incompleta;</w:t>
      </w:r>
    </w:p>
    <w:p w14:paraId="31AD07E3"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VI. La entrega de información que no corresponda con lo solicitado;</w:t>
      </w:r>
    </w:p>
    <w:p w14:paraId="56145705"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VII. La falta de respuesta a una solicitud de acceso a la información;</w:t>
      </w:r>
    </w:p>
    <w:p w14:paraId="655B4690" w14:textId="77777777" w:rsidR="004565D5" w:rsidRPr="00771FC6" w:rsidRDefault="004565D5" w:rsidP="00771FC6">
      <w:pPr>
        <w:shd w:val="clear" w:color="auto" w:fill="FFFFFF" w:themeFill="background1"/>
        <w:tabs>
          <w:tab w:val="left" w:pos="8222"/>
        </w:tabs>
        <w:ind w:left="851" w:right="992"/>
        <w:jc w:val="both"/>
        <w:rPr>
          <w:rFonts w:ascii="Palatino Linotype" w:hAnsi="Palatino Linotype" w:cs="Arial"/>
          <w:i/>
          <w:sz w:val="22"/>
        </w:rPr>
      </w:pPr>
      <w:r w:rsidRPr="00771FC6">
        <w:rPr>
          <w:rFonts w:ascii="Palatino Linotype" w:hAnsi="Palatino Linotype" w:cs="Arial"/>
          <w:i/>
          <w:sz w:val="22"/>
        </w:rPr>
        <w:t>VIII. La notificación, entrega o puesta a disposición de información en una modalidad o formato distinto al solicitado;</w:t>
      </w:r>
    </w:p>
    <w:p w14:paraId="79AEE3CA" w14:textId="77777777" w:rsidR="004565D5" w:rsidRPr="00771FC6" w:rsidRDefault="004565D5" w:rsidP="00771FC6">
      <w:pPr>
        <w:shd w:val="clear" w:color="auto" w:fill="FFFFFF" w:themeFill="background1"/>
        <w:tabs>
          <w:tab w:val="left" w:pos="8222"/>
        </w:tabs>
        <w:ind w:left="851" w:right="992"/>
        <w:jc w:val="both"/>
        <w:rPr>
          <w:rFonts w:ascii="Palatino Linotype" w:hAnsi="Palatino Linotype" w:cs="Arial"/>
          <w:i/>
          <w:sz w:val="22"/>
        </w:rPr>
      </w:pPr>
      <w:r w:rsidRPr="00771FC6">
        <w:rPr>
          <w:rFonts w:ascii="Palatino Linotype" w:hAnsi="Palatino Linotype" w:cs="Arial"/>
          <w:i/>
          <w:sz w:val="22"/>
        </w:rPr>
        <w:t>IX. La entrega o puesta a disposición de información en un formato incomprensible y/o no accesible para el solicitante;</w:t>
      </w:r>
    </w:p>
    <w:p w14:paraId="4565C8A6"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X. Los costos o tiempos de entrega de la información;</w:t>
      </w:r>
    </w:p>
    <w:p w14:paraId="6CCF6357"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XI. La falta de trámite a una solicitud;</w:t>
      </w:r>
    </w:p>
    <w:p w14:paraId="6B22F50B"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XII. La negativa a permitir la consulta directa de la información;</w:t>
      </w:r>
    </w:p>
    <w:p w14:paraId="371F8B53" w14:textId="77777777" w:rsidR="004565D5" w:rsidRPr="00771FC6" w:rsidRDefault="004565D5" w:rsidP="00771FC6">
      <w:pPr>
        <w:shd w:val="clear" w:color="auto" w:fill="FFFFFF" w:themeFill="background1"/>
        <w:tabs>
          <w:tab w:val="left" w:pos="8222"/>
        </w:tabs>
        <w:ind w:left="851" w:right="992"/>
        <w:jc w:val="both"/>
        <w:rPr>
          <w:rFonts w:ascii="Palatino Linotype" w:hAnsi="Palatino Linotype" w:cs="Arial"/>
          <w:i/>
          <w:sz w:val="22"/>
        </w:rPr>
      </w:pPr>
      <w:r w:rsidRPr="00771FC6">
        <w:rPr>
          <w:rFonts w:ascii="Palatino Linotype" w:hAnsi="Palatino Linotype" w:cs="Arial"/>
          <w:i/>
          <w:sz w:val="22"/>
        </w:rPr>
        <w:t>XIII. La falta, deficiencia o insuficiencia de la fundamentación y/o motivación en la respuesta; y</w:t>
      </w:r>
    </w:p>
    <w:p w14:paraId="5030D162"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r w:rsidRPr="00771FC6">
        <w:rPr>
          <w:rFonts w:ascii="Palatino Linotype" w:hAnsi="Palatino Linotype" w:cs="Arial"/>
          <w:i/>
          <w:sz w:val="22"/>
        </w:rPr>
        <w:t>XIV. La orientación a un trámite específico.</w:t>
      </w:r>
    </w:p>
    <w:p w14:paraId="7BDD7B75" w14:textId="77777777" w:rsidR="004565D5" w:rsidRPr="00771FC6" w:rsidRDefault="004565D5" w:rsidP="00771FC6">
      <w:pPr>
        <w:shd w:val="clear" w:color="auto" w:fill="FFFFFF" w:themeFill="background1"/>
        <w:ind w:left="851" w:right="992"/>
        <w:jc w:val="both"/>
        <w:rPr>
          <w:rFonts w:ascii="Palatino Linotype" w:hAnsi="Palatino Linotype" w:cs="Arial"/>
          <w:i/>
          <w:sz w:val="22"/>
        </w:rPr>
      </w:pPr>
    </w:p>
    <w:p w14:paraId="7AD6360E" w14:textId="77777777" w:rsidR="004565D5" w:rsidRPr="00771FC6" w:rsidRDefault="004565D5" w:rsidP="00771FC6">
      <w:pPr>
        <w:shd w:val="clear" w:color="auto" w:fill="FFFFFF" w:themeFill="background1"/>
        <w:tabs>
          <w:tab w:val="left" w:pos="8222"/>
        </w:tabs>
        <w:ind w:left="851" w:right="992"/>
        <w:jc w:val="both"/>
        <w:rPr>
          <w:rFonts w:ascii="Palatino Linotype" w:hAnsi="Palatino Linotype" w:cs="Arial"/>
          <w:i/>
          <w:sz w:val="22"/>
        </w:rPr>
      </w:pPr>
      <w:r w:rsidRPr="00771FC6">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14:paraId="06E4AF5A" w14:textId="77777777" w:rsidR="004565D5" w:rsidRPr="00771FC6" w:rsidRDefault="004565D5" w:rsidP="00771FC6">
      <w:pPr>
        <w:shd w:val="clear" w:color="auto" w:fill="FFFFFF" w:themeFill="background1"/>
        <w:jc w:val="both"/>
        <w:rPr>
          <w:rFonts w:ascii="Palatino Linotype" w:hAnsi="Palatino Linotype" w:cs="Arial"/>
        </w:rPr>
      </w:pPr>
    </w:p>
    <w:p w14:paraId="0E27B157" w14:textId="77777777" w:rsidR="004565D5" w:rsidRPr="00771FC6" w:rsidRDefault="004565D5" w:rsidP="00771FC6">
      <w:pPr>
        <w:shd w:val="clear" w:color="auto" w:fill="FFFFFF" w:themeFill="background1"/>
        <w:spacing w:line="360" w:lineRule="auto"/>
        <w:jc w:val="both"/>
        <w:rPr>
          <w:rFonts w:ascii="Palatino Linotype" w:hAnsi="Palatino Linotype" w:cs="Arial"/>
        </w:rPr>
      </w:pPr>
      <w:r w:rsidRPr="00771FC6">
        <w:rPr>
          <w:rFonts w:ascii="Palatino Linotype" w:hAnsi="Palatino Linotype" w:cs="Arial"/>
        </w:rPr>
        <w:lastRenderedPageBreak/>
        <w:t xml:space="preserve">Derivado del contenido del numeral citado en el párrafo que antecede, se advierte que no se encuentran dentro de citadas causales, alguna hipótesis que prevea la veracidad de la información. </w:t>
      </w:r>
    </w:p>
    <w:p w14:paraId="23CB1F70" w14:textId="77777777" w:rsidR="004565D5" w:rsidRPr="00771FC6" w:rsidRDefault="004565D5" w:rsidP="00771FC6">
      <w:pPr>
        <w:shd w:val="clear" w:color="auto" w:fill="FFFFFF" w:themeFill="background1"/>
        <w:spacing w:line="360" w:lineRule="auto"/>
        <w:jc w:val="both"/>
        <w:rPr>
          <w:rFonts w:ascii="Palatino Linotype" w:hAnsi="Palatino Linotype" w:cs="Arial"/>
        </w:rPr>
      </w:pPr>
    </w:p>
    <w:p w14:paraId="4281D471" w14:textId="77777777" w:rsidR="004565D5" w:rsidRPr="00771FC6" w:rsidRDefault="004565D5" w:rsidP="00771FC6">
      <w:pPr>
        <w:shd w:val="clear" w:color="auto" w:fill="FFFFFF" w:themeFill="background1"/>
        <w:spacing w:line="360" w:lineRule="auto"/>
        <w:jc w:val="both"/>
        <w:rPr>
          <w:rFonts w:ascii="Palatino Linotype" w:hAnsi="Palatino Linotype" w:cs="Arial"/>
        </w:rPr>
      </w:pPr>
      <w:r w:rsidRPr="00771FC6">
        <w:rPr>
          <w:rFonts w:ascii="Palatino Linotype" w:hAnsi="Palatino Linotype" w:cs="Arial"/>
        </w:rPr>
        <w:t>Derivado de lo anterior, es importante traer a contexto lo dispuesto en los artículos 186, 191 y 192 de la Ley de Transparencia y Acceso a la Información Pública del Estado de México y Municipios, los cuales disponen lo siguiente:</w:t>
      </w:r>
    </w:p>
    <w:p w14:paraId="09BFDB34" w14:textId="77777777" w:rsidR="004565D5" w:rsidRPr="00771FC6" w:rsidRDefault="004565D5" w:rsidP="00771FC6">
      <w:pPr>
        <w:shd w:val="clear" w:color="auto" w:fill="FFFFFF" w:themeFill="background1"/>
        <w:jc w:val="both"/>
        <w:rPr>
          <w:rFonts w:ascii="Palatino Linotype" w:hAnsi="Palatino Linotype" w:cs="Arial"/>
        </w:rPr>
      </w:pPr>
    </w:p>
    <w:p w14:paraId="20491FCD"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“Artículo 186. </w:t>
      </w:r>
      <w:r w:rsidRPr="00771FC6">
        <w:rPr>
          <w:rFonts w:ascii="Palatino Linotype" w:eastAsiaTheme="minorEastAsia" w:hAnsi="Palatino Linotype" w:cs="Bookman Old Style"/>
          <w:i/>
          <w:sz w:val="22"/>
          <w:szCs w:val="22"/>
        </w:rPr>
        <w:t>Las resoluciones del Instituto podrán:</w:t>
      </w:r>
    </w:p>
    <w:p w14:paraId="3055C102"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 </w:t>
      </w:r>
      <w:r w:rsidRPr="00771FC6">
        <w:rPr>
          <w:rFonts w:ascii="Palatino Linotype" w:eastAsiaTheme="minorEastAsia" w:hAnsi="Palatino Linotype" w:cs="Bookman Old Style"/>
          <w:i/>
          <w:sz w:val="22"/>
          <w:szCs w:val="22"/>
        </w:rPr>
        <w:t>Desechar o sobreseer el recurso;</w:t>
      </w:r>
    </w:p>
    <w:p w14:paraId="64DA32C8"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II. </w:t>
      </w:r>
      <w:r w:rsidRPr="00771FC6">
        <w:rPr>
          <w:rFonts w:ascii="Palatino Linotype" w:eastAsiaTheme="minorEastAsia" w:hAnsi="Palatino Linotype" w:cs="Bookman Old Style"/>
          <w:i/>
          <w:sz w:val="22"/>
          <w:szCs w:val="22"/>
        </w:rPr>
        <w:t>Confirmar la respuesta del sujeto obligado;</w:t>
      </w:r>
    </w:p>
    <w:p w14:paraId="21DB0052"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III. </w:t>
      </w:r>
      <w:r w:rsidRPr="00771FC6">
        <w:rPr>
          <w:rFonts w:ascii="Palatino Linotype" w:eastAsiaTheme="minorEastAsia" w:hAnsi="Palatino Linotype" w:cs="Bookman Old Style"/>
          <w:i/>
          <w:sz w:val="22"/>
          <w:szCs w:val="22"/>
        </w:rPr>
        <w:t>Revocar o modificar la respuesta del sujeto obligado; y</w:t>
      </w:r>
    </w:p>
    <w:p w14:paraId="69A7FF36" w14:textId="77777777" w:rsidR="004565D5" w:rsidRPr="00771FC6" w:rsidRDefault="004565D5" w:rsidP="00771FC6">
      <w:pPr>
        <w:shd w:val="clear" w:color="auto" w:fill="FFFFFF" w:themeFill="background1"/>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IV. </w:t>
      </w:r>
      <w:r w:rsidRPr="00771FC6">
        <w:rPr>
          <w:rFonts w:ascii="Palatino Linotype" w:eastAsiaTheme="minorEastAsia" w:hAnsi="Palatino Linotype" w:cs="Bookman Old Style"/>
          <w:i/>
          <w:sz w:val="22"/>
          <w:szCs w:val="22"/>
        </w:rPr>
        <w:t>Ordenar la entrega de la información</w:t>
      </w:r>
    </w:p>
    <w:p w14:paraId="6CF6A803" w14:textId="77777777" w:rsidR="004565D5" w:rsidRPr="00771FC6" w:rsidRDefault="004565D5" w:rsidP="00771FC6">
      <w:pPr>
        <w:shd w:val="clear" w:color="auto" w:fill="FFFFFF" w:themeFill="background1"/>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w:t>
      </w:r>
    </w:p>
    <w:p w14:paraId="4D985C6C"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Bold"/>
          <w:b/>
          <w:bCs/>
          <w:i/>
          <w:sz w:val="22"/>
          <w:szCs w:val="22"/>
        </w:rPr>
      </w:pPr>
    </w:p>
    <w:p w14:paraId="691E7346"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Artículo 191. </w:t>
      </w:r>
      <w:r w:rsidRPr="00771FC6">
        <w:rPr>
          <w:rFonts w:ascii="Palatino Linotype" w:eastAsiaTheme="minorEastAsia" w:hAnsi="Palatino Linotype" w:cs="Bookman Old Style"/>
          <w:i/>
          <w:sz w:val="22"/>
          <w:szCs w:val="22"/>
        </w:rPr>
        <w:t>El recurso será desechado por improcedente cuando:</w:t>
      </w:r>
    </w:p>
    <w:p w14:paraId="50392EAD"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 </w:t>
      </w:r>
      <w:r w:rsidRPr="00771FC6">
        <w:rPr>
          <w:rFonts w:ascii="Palatino Linotype" w:eastAsiaTheme="minorEastAsia" w:hAnsi="Palatino Linotype" w:cs="Bookman Old Style"/>
          <w:i/>
          <w:sz w:val="22"/>
          <w:szCs w:val="22"/>
        </w:rPr>
        <w:t>Sea extemporáneo por haber transcurrido el plazo establecido en la presente Ley, a partir de la respuesta;</w:t>
      </w:r>
    </w:p>
    <w:p w14:paraId="3CC0926B"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II. </w:t>
      </w:r>
      <w:r w:rsidRPr="00771FC6">
        <w:rPr>
          <w:rFonts w:ascii="Palatino Linotype" w:eastAsiaTheme="minorEastAsia" w:hAnsi="Palatino Linotype" w:cs="Bookman Old Style"/>
          <w:i/>
          <w:sz w:val="22"/>
          <w:szCs w:val="22"/>
        </w:rPr>
        <w:t>Se esté tramitando ante el Poder Judicial de la Federación algún recurso o medio de defensa interpuesto por el recurrente;</w:t>
      </w:r>
    </w:p>
    <w:p w14:paraId="42BDD81B"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III. </w:t>
      </w:r>
      <w:r w:rsidRPr="00771FC6">
        <w:rPr>
          <w:rFonts w:ascii="Palatino Linotype" w:eastAsiaTheme="minorEastAsia" w:hAnsi="Palatino Linotype" w:cs="Bookman Old Style"/>
          <w:i/>
          <w:sz w:val="22"/>
          <w:szCs w:val="22"/>
        </w:rPr>
        <w:t>No actualice alguno de los supuestos previstos en la presente Ley;</w:t>
      </w:r>
    </w:p>
    <w:p w14:paraId="0818575B"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IV. </w:t>
      </w:r>
      <w:r w:rsidRPr="00771FC6">
        <w:rPr>
          <w:rFonts w:ascii="Palatino Linotype" w:eastAsiaTheme="minorEastAsia" w:hAnsi="Palatino Linotype" w:cs="Bookman Old Style"/>
          <w:i/>
          <w:sz w:val="22"/>
          <w:szCs w:val="22"/>
        </w:rPr>
        <w:t>No se haya desahogado la prevención en los términos establecidos en la presente Ley;</w:t>
      </w:r>
    </w:p>
    <w:p w14:paraId="28DC05D7"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V. </w:t>
      </w:r>
      <w:r w:rsidRPr="00771FC6">
        <w:rPr>
          <w:rFonts w:ascii="Palatino Linotype" w:eastAsiaTheme="minorEastAsia" w:hAnsi="Palatino Linotype" w:cs="Bookman Old Style"/>
          <w:b/>
          <w:i/>
          <w:sz w:val="22"/>
          <w:szCs w:val="22"/>
        </w:rPr>
        <w:t>Se impugne la veracidad de la información proporcionada</w:t>
      </w:r>
      <w:r w:rsidRPr="00771FC6">
        <w:rPr>
          <w:rFonts w:ascii="Palatino Linotype" w:eastAsiaTheme="minorEastAsia" w:hAnsi="Palatino Linotype" w:cs="Bookman Old Style"/>
          <w:i/>
          <w:sz w:val="22"/>
          <w:szCs w:val="22"/>
        </w:rPr>
        <w:t>;</w:t>
      </w:r>
    </w:p>
    <w:p w14:paraId="1BD8E366"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VI. </w:t>
      </w:r>
      <w:r w:rsidRPr="00771FC6">
        <w:rPr>
          <w:rFonts w:ascii="Palatino Linotype" w:eastAsiaTheme="minorEastAsia" w:hAnsi="Palatino Linotype" w:cs="Bookman Old Style"/>
          <w:i/>
          <w:sz w:val="22"/>
          <w:szCs w:val="22"/>
        </w:rPr>
        <w:t>Se trate de una consulta, o trámite en específico; y</w:t>
      </w:r>
    </w:p>
    <w:p w14:paraId="6A986ECF"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Cs/>
          <w:i/>
          <w:sz w:val="22"/>
          <w:szCs w:val="22"/>
        </w:rPr>
        <w:t xml:space="preserve">VII. </w:t>
      </w:r>
      <w:r w:rsidRPr="00771FC6">
        <w:rPr>
          <w:rFonts w:ascii="Palatino Linotype" w:eastAsiaTheme="minorEastAsia" w:hAnsi="Palatino Linotype" w:cs="Bookman Old Style"/>
          <w:i/>
          <w:sz w:val="22"/>
          <w:szCs w:val="22"/>
        </w:rPr>
        <w:t>El recurrente amplíe su solicitud en el Recurso de Revisión, únicamente respecto de los nuevos contenidos.</w:t>
      </w:r>
    </w:p>
    <w:p w14:paraId="74DFE239"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p>
    <w:p w14:paraId="4BF69B8B"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Artículo 192. </w:t>
      </w:r>
      <w:r w:rsidRPr="00771FC6">
        <w:rPr>
          <w:rFonts w:ascii="Palatino Linotype" w:eastAsiaTheme="minorEastAsia" w:hAnsi="Palatino Linotype" w:cs="Bookman Old Style"/>
          <w:i/>
          <w:sz w:val="22"/>
          <w:szCs w:val="22"/>
        </w:rPr>
        <w:t>El recurso será sobreseído, en todo o en parte, cuando una vez admitido, se actualicen alguno de los siguientes supuestos:</w:t>
      </w:r>
    </w:p>
    <w:p w14:paraId="4EBA00A2"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 </w:t>
      </w:r>
      <w:r w:rsidRPr="00771FC6">
        <w:rPr>
          <w:rFonts w:ascii="Palatino Linotype" w:eastAsiaTheme="minorEastAsia" w:hAnsi="Palatino Linotype" w:cs="Bookman Old Style"/>
          <w:i/>
          <w:sz w:val="22"/>
          <w:szCs w:val="22"/>
        </w:rPr>
        <w:t>El recurrente se desista expresamente del recurso;</w:t>
      </w:r>
    </w:p>
    <w:p w14:paraId="50B71839"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II. </w:t>
      </w:r>
      <w:r w:rsidRPr="00771FC6">
        <w:rPr>
          <w:rFonts w:ascii="Palatino Linotype" w:eastAsiaTheme="minorEastAsia" w:hAnsi="Palatino Linotype" w:cs="Bookman Old Style"/>
          <w:i/>
          <w:sz w:val="22"/>
          <w:szCs w:val="22"/>
        </w:rPr>
        <w:t>El recurrente fallezca o, tratándose de personas jurídicas colectivas, se disuelva;</w:t>
      </w:r>
    </w:p>
    <w:p w14:paraId="1B292697"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i/>
          <w:sz w:val="22"/>
          <w:szCs w:val="22"/>
        </w:rPr>
      </w:pPr>
      <w:r w:rsidRPr="00771FC6">
        <w:rPr>
          <w:rFonts w:ascii="Palatino Linotype" w:eastAsiaTheme="minorEastAsia" w:hAnsi="Palatino Linotype" w:cs="Bookman Old Style,Bold"/>
          <w:b/>
          <w:bCs/>
          <w:i/>
          <w:sz w:val="22"/>
          <w:szCs w:val="22"/>
        </w:rPr>
        <w:t xml:space="preserve">III. </w:t>
      </w:r>
      <w:r w:rsidRPr="00771FC6">
        <w:rPr>
          <w:rFonts w:ascii="Palatino Linotype" w:eastAsiaTheme="minorEastAsia" w:hAnsi="Palatino Linotype" w:cs="Bookman Old Style"/>
          <w:i/>
          <w:sz w:val="22"/>
          <w:szCs w:val="22"/>
        </w:rPr>
        <w:t>El sujeto obligado responsable del acto lo modifique o revoque de tal manera que el Recurso de Revisión quede sin materia;</w:t>
      </w:r>
    </w:p>
    <w:p w14:paraId="14BA2734"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b/>
          <w:i/>
          <w:sz w:val="22"/>
          <w:szCs w:val="22"/>
        </w:rPr>
      </w:pPr>
      <w:r w:rsidRPr="00771FC6">
        <w:rPr>
          <w:rFonts w:ascii="Palatino Linotype" w:eastAsiaTheme="minorEastAsia" w:hAnsi="Palatino Linotype" w:cs="Bookman Old Style,Bold"/>
          <w:b/>
          <w:bCs/>
          <w:i/>
          <w:sz w:val="22"/>
          <w:szCs w:val="22"/>
        </w:rPr>
        <w:lastRenderedPageBreak/>
        <w:t xml:space="preserve">IV. </w:t>
      </w:r>
      <w:r w:rsidRPr="00771FC6">
        <w:rPr>
          <w:rFonts w:ascii="Palatino Linotype" w:eastAsiaTheme="minorEastAsia" w:hAnsi="Palatino Linotype" w:cs="Bookman Old Style"/>
          <w:b/>
          <w:i/>
          <w:sz w:val="22"/>
          <w:szCs w:val="22"/>
        </w:rPr>
        <w:t>Admitido el Recurso de Revisión, aparezca alguna causal de improcedencia en los términos de la presente Ley; y</w:t>
      </w:r>
    </w:p>
    <w:p w14:paraId="447EC025"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sz w:val="22"/>
          <w:szCs w:val="22"/>
        </w:rPr>
      </w:pPr>
      <w:r w:rsidRPr="00771FC6">
        <w:rPr>
          <w:rFonts w:ascii="Palatino Linotype" w:eastAsiaTheme="minorEastAsia" w:hAnsi="Palatino Linotype" w:cs="Bookman Old Style,Bold"/>
          <w:b/>
          <w:bCs/>
          <w:i/>
          <w:sz w:val="22"/>
          <w:szCs w:val="22"/>
        </w:rPr>
        <w:t xml:space="preserve">V. </w:t>
      </w:r>
      <w:r w:rsidRPr="00771FC6">
        <w:rPr>
          <w:rFonts w:ascii="Palatino Linotype" w:eastAsiaTheme="minorEastAsia" w:hAnsi="Palatino Linotype" w:cs="Bookman Old Style"/>
          <w:i/>
          <w:sz w:val="22"/>
          <w:szCs w:val="22"/>
        </w:rPr>
        <w:t>Cuando por cualquier motivo quede sin materia el recurso</w:t>
      </w:r>
      <w:r w:rsidRPr="00771FC6">
        <w:rPr>
          <w:rFonts w:ascii="Palatino Linotype" w:eastAsiaTheme="minorEastAsia" w:hAnsi="Palatino Linotype" w:cs="Bookman Old Style"/>
          <w:sz w:val="22"/>
          <w:szCs w:val="22"/>
        </w:rPr>
        <w:t>.”</w:t>
      </w:r>
    </w:p>
    <w:p w14:paraId="4D9E2581"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sz w:val="22"/>
          <w:szCs w:val="22"/>
        </w:rPr>
      </w:pPr>
      <w:r w:rsidRPr="00771FC6">
        <w:rPr>
          <w:rFonts w:ascii="Palatino Linotype" w:eastAsiaTheme="minorEastAsia" w:hAnsi="Palatino Linotype" w:cs="Bookman Old Style,Bold"/>
          <w:bCs/>
          <w:i/>
          <w:sz w:val="22"/>
          <w:szCs w:val="22"/>
        </w:rPr>
        <w:t>(Énfasis añadido)</w:t>
      </w:r>
    </w:p>
    <w:p w14:paraId="4711AC71"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eastAsiaTheme="minorEastAsia" w:hAnsi="Palatino Linotype" w:cs="Bookman Old Style"/>
          <w:sz w:val="22"/>
          <w:szCs w:val="22"/>
        </w:rPr>
      </w:pPr>
    </w:p>
    <w:p w14:paraId="0C113815" w14:textId="77777777" w:rsidR="004565D5" w:rsidRPr="00771FC6" w:rsidRDefault="004565D5" w:rsidP="00771FC6">
      <w:pPr>
        <w:shd w:val="clear" w:color="auto" w:fill="FFFFFF" w:themeFill="background1"/>
        <w:spacing w:line="360" w:lineRule="auto"/>
        <w:ind w:right="49"/>
        <w:jc w:val="both"/>
        <w:rPr>
          <w:rFonts w:ascii="Palatino Linotype" w:hAnsi="Palatino Linotype" w:cs="Arial"/>
        </w:rPr>
      </w:pPr>
      <w:r w:rsidRPr="00771FC6">
        <w:rPr>
          <w:rFonts w:ascii="Palatino Linotype" w:hAnsi="Palatino Linotype" w:cs="Arial"/>
        </w:rPr>
        <w:t>Por lo que al analizar el contenido de los numerales citados previamente, podemos señalar que la Ley de Transparencia y Acceso a la Información Pública del Estado de México y Municipios,  contempla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0BA1269E" w14:textId="77777777" w:rsidR="004565D5" w:rsidRPr="00771FC6" w:rsidRDefault="004565D5" w:rsidP="00771FC6">
      <w:pPr>
        <w:shd w:val="clear" w:color="auto" w:fill="FFFFFF" w:themeFill="background1"/>
        <w:spacing w:line="360" w:lineRule="auto"/>
        <w:ind w:right="49"/>
        <w:jc w:val="both"/>
        <w:rPr>
          <w:rFonts w:ascii="Palatino Linotype" w:hAnsi="Palatino Linotype" w:cs="Arial"/>
        </w:rPr>
      </w:pPr>
    </w:p>
    <w:p w14:paraId="40533C96" w14:textId="77777777" w:rsidR="004565D5" w:rsidRPr="00771FC6" w:rsidRDefault="004565D5" w:rsidP="00771FC6">
      <w:pPr>
        <w:shd w:val="clear" w:color="auto" w:fill="FFFFFF" w:themeFill="background1"/>
        <w:spacing w:line="360" w:lineRule="auto"/>
        <w:ind w:right="49"/>
        <w:jc w:val="both"/>
        <w:rPr>
          <w:rFonts w:ascii="Palatino Linotype" w:hAnsi="Palatino Linotype" w:cs="Arial"/>
        </w:rPr>
      </w:pPr>
      <w:r w:rsidRPr="00771FC6">
        <w:rPr>
          <w:rFonts w:ascii="Palatino Linotype" w:hAnsi="Palatino Linotype" w:cs="Arial"/>
        </w:rPr>
        <w:t>Dentro de este orden de ideas, es evidente que no se puede invocar el precepto legal 191 de la Ley de Transparencia y Acceso a la Información Pública del Estado de México y Municipios, posterior a que ha sido admitido, determinando la actualización la impugnación de la veracidad de información y ampliación de solicitud.</w:t>
      </w:r>
    </w:p>
    <w:p w14:paraId="54482161" w14:textId="77777777" w:rsidR="004565D5" w:rsidRPr="00771FC6" w:rsidRDefault="004565D5" w:rsidP="00771FC6">
      <w:pPr>
        <w:shd w:val="clear" w:color="auto" w:fill="FFFFFF" w:themeFill="background1"/>
        <w:spacing w:line="360" w:lineRule="auto"/>
        <w:ind w:right="49"/>
        <w:jc w:val="both"/>
        <w:rPr>
          <w:rFonts w:ascii="Palatino Linotype" w:hAnsi="Palatino Linotype" w:cs="Arial"/>
        </w:rPr>
      </w:pPr>
    </w:p>
    <w:p w14:paraId="6E356CBD" w14:textId="77777777" w:rsidR="004565D5" w:rsidRPr="00771FC6" w:rsidRDefault="004565D5" w:rsidP="00771FC6">
      <w:pPr>
        <w:shd w:val="clear" w:color="auto" w:fill="FFFFFF" w:themeFill="background1"/>
        <w:spacing w:line="360" w:lineRule="auto"/>
        <w:ind w:right="49"/>
        <w:jc w:val="both"/>
        <w:rPr>
          <w:rFonts w:ascii="Palatino Linotype" w:hAnsi="Palatino Linotype" w:cs="Arial"/>
        </w:rPr>
      </w:pPr>
      <w:r w:rsidRPr="00771FC6">
        <w:rPr>
          <w:rFonts w:ascii="Palatino Linotype" w:hAnsi="Palatino Linotype" w:cs="Arial"/>
        </w:rPr>
        <w:t xml:space="preserve">Cobrando aplicación lo previsto en el artículo 192 fracción IV de la Ley de Transparencia y Acceso a la Información Pública del Estado de México y Municipios, que señala las posibilidades en el que el Recurso de Revisión será sobreseído, actualizándose para el caso en concreto una causal de improcedencia en los términos de la presente ley. </w:t>
      </w:r>
    </w:p>
    <w:p w14:paraId="12997B16" w14:textId="77777777" w:rsidR="004565D5" w:rsidRPr="00771FC6" w:rsidRDefault="004565D5" w:rsidP="00771FC6">
      <w:pPr>
        <w:shd w:val="clear" w:color="auto" w:fill="FFFFFF" w:themeFill="background1"/>
        <w:spacing w:line="360" w:lineRule="auto"/>
        <w:ind w:right="49"/>
        <w:jc w:val="both"/>
        <w:rPr>
          <w:rFonts w:ascii="Palatino Linotype" w:hAnsi="Palatino Linotype" w:cs="Arial"/>
        </w:rPr>
      </w:pPr>
    </w:p>
    <w:p w14:paraId="2513A82D" w14:textId="77777777" w:rsidR="004565D5" w:rsidRPr="00771FC6" w:rsidRDefault="004565D5" w:rsidP="00771FC6">
      <w:pPr>
        <w:shd w:val="clear" w:color="auto" w:fill="FFFFFF" w:themeFill="background1"/>
        <w:spacing w:line="360" w:lineRule="auto"/>
        <w:ind w:right="49"/>
        <w:jc w:val="both"/>
        <w:rPr>
          <w:rFonts w:ascii="Palatino Linotype" w:hAnsi="Palatino Linotype" w:cs="Arial"/>
        </w:rPr>
      </w:pPr>
      <w:r w:rsidRPr="00771FC6">
        <w:rPr>
          <w:rFonts w:ascii="Palatino Linotype" w:hAnsi="Palatino Linotype" w:cs="Arial"/>
        </w:rPr>
        <w:t xml:space="preserve">Del análisis de las constancias que obran en el expediente electrónico formado en el </w:t>
      </w:r>
      <w:r w:rsidRPr="00771FC6">
        <w:rPr>
          <w:rFonts w:ascii="Palatino Linotype" w:hAnsi="Palatino Linotype" w:cs="Arial"/>
          <w:b/>
          <w:bCs/>
        </w:rPr>
        <w:t xml:space="preserve">SAIMEX </w:t>
      </w:r>
      <w:r w:rsidRPr="00771FC6">
        <w:rPr>
          <w:rFonts w:ascii="Palatino Linotype" w:hAnsi="Palatino Linotype" w:cs="Arial"/>
        </w:rPr>
        <w:t xml:space="preserve">del Recurso de Revisión materia del presente estudio, se advierte que se </w:t>
      </w:r>
      <w:r w:rsidRPr="00771FC6">
        <w:rPr>
          <w:rFonts w:ascii="Palatino Linotype" w:hAnsi="Palatino Linotype" w:cs="Arial"/>
        </w:rPr>
        <w:lastRenderedPageBreak/>
        <w:t xml:space="preserve">actualiza la causal de </w:t>
      </w:r>
      <w:r w:rsidRPr="00771FC6">
        <w:rPr>
          <w:rFonts w:ascii="Palatino Linotype" w:hAnsi="Palatino Linotype" w:cs="Arial"/>
          <w:b/>
          <w:bCs/>
        </w:rPr>
        <w:t xml:space="preserve">sobreseimiento </w:t>
      </w:r>
      <w:r w:rsidRPr="00771FC6">
        <w:rPr>
          <w:rFonts w:ascii="Palatino Linotype" w:hAnsi="Palatino Linotype" w:cs="Arial"/>
        </w:rPr>
        <w:t>prevista en el artículo 192 fracción IV en relación con el artículo 191, fracción V de la Ley de Transparencia y Acceso a la Información Pública del Estado de México y Municipios,  lo anterior, por cómo se ha analizado en el presente estudio, no existen elementos de procedencia.</w:t>
      </w:r>
    </w:p>
    <w:p w14:paraId="7E278E20" w14:textId="77777777" w:rsidR="004565D5" w:rsidRPr="00771FC6" w:rsidRDefault="004565D5" w:rsidP="00771FC6">
      <w:pPr>
        <w:shd w:val="clear" w:color="auto" w:fill="FFFFFF" w:themeFill="background1"/>
        <w:spacing w:line="360" w:lineRule="auto"/>
        <w:jc w:val="both"/>
        <w:rPr>
          <w:rFonts w:ascii="Palatino Linotype" w:hAnsi="Palatino Linotype" w:cs="Arial"/>
        </w:rPr>
      </w:pPr>
    </w:p>
    <w:p w14:paraId="4E846247" w14:textId="77777777" w:rsidR="004565D5" w:rsidRPr="00771FC6" w:rsidRDefault="004565D5" w:rsidP="00771FC6">
      <w:pPr>
        <w:shd w:val="clear" w:color="auto" w:fill="FFFFFF" w:themeFill="background1"/>
        <w:spacing w:line="360" w:lineRule="auto"/>
        <w:ind w:right="49"/>
        <w:jc w:val="both"/>
        <w:rPr>
          <w:rFonts w:ascii="Palatino Linotype" w:hAnsi="Palatino Linotype" w:cs="Arial"/>
        </w:rPr>
      </w:pPr>
      <w:r w:rsidRPr="00771FC6">
        <w:rPr>
          <w:rFonts w:ascii="Palatino Linotype" w:hAnsi="Palatino Linotype" w:cs="Arial"/>
        </w:rPr>
        <w:t>Sirve como criterio orientador, lo establecido en la Jurisprudencia 1ª./J 3/99 de la Novena Época, emitida por la Primera Sala de la Suprema Corte de Justicia de la Nación, publicada en el Semanario Judicial de la Federación y su Gaceta, que en lo conducente dispone:</w:t>
      </w:r>
    </w:p>
    <w:p w14:paraId="47BB12FC" w14:textId="77777777" w:rsidR="004565D5" w:rsidRPr="00771FC6" w:rsidRDefault="004565D5" w:rsidP="00771FC6">
      <w:pPr>
        <w:shd w:val="clear" w:color="auto" w:fill="FFFFFF" w:themeFill="background1"/>
        <w:ind w:right="49"/>
        <w:jc w:val="both"/>
        <w:rPr>
          <w:rFonts w:ascii="Palatino Linotype" w:hAnsi="Palatino Linotype" w:cs="Arial"/>
          <w:sz w:val="22"/>
          <w:szCs w:val="22"/>
        </w:rPr>
      </w:pPr>
    </w:p>
    <w:p w14:paraId="6ED43B8A"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hAnsi="Palatino Linotype" w:cs="Arial"/>
          <w:i/>
          <w:sz w:val="22"/>
          <w:szCs w:val="22"/>
        </w:rPr>
      </w:pPr>
      <w:r w:rsidRPr="00771FC6">
        <w:rPr>
          <w:rFonts w:ascii="Palatino Linotype" w:hAnsi="Palatino Linotype" w:cs="Arial"/>
          <w:b/>
          <w:i/>
          <w:sz w:val="22"/>
          <w:szCs w:val="22"/>
        </w:rPr>
        <w:t xml:space="preserve">“IMPROCEDENCIA. ESTUDIO PREFERENCIAL DE LAS CAUSALES PREVISTAS EN EL ARTÍCULO 73 DE LA LEY DE AMPARO. </w:t>
      </w:r>
      <w:r w:rsidRPr="00771FC6">
        <w:rPr>
          <w:rFonts w:ascii="Palatino Linotype" w:hAnsi="Palatino Linotype" w:cs="Arial"/>
          <w:i/>
          <w:sz w:val="22"/>
          <w:szCs w:val="22"/>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5EFD0FD9" w14:textId="77777777" w:rsidR="004565D5" w:rsidRPr="00771FC6" w:rsidRDefault="004565D5" w:rsidP="00771FC6">
      <w:pPr>
        <w:shd w:val="clear" w:color="auto" w:fill="FFFFFF" w:themeFill="background1"/>
        <w:autoSpaceDE w:val="0"/>
        <w:autoSpaceDN w:val="0"/>
        <w:adjustRightInd w:val="0"/>
        <w:ind w:left="851" w:right="899"/>
        <w:jc w:val="both"/>
        <w:rPr>
          <w:rFonts w:ascii="Palatino Linotype" w:hAnsi="Palatino Linotype" w:cs="Arial"/>
          <w:i/>
          <w:sz w:val="22"/>
          <w:szCs w:val="22"/>
        </w:rPr>
      </w:pPr>
    </w:p>
    <w:p w14:paraId="2D55D545" w14:textId="77777777" w:rsidR="004565D5" w:rsidRPr="00771FC6" w:rsidRDefault="004565D5" w:rsidP="00771FC6">
      <w:pPr>
        <w:shd w:val="clear" w:color="auto" w:fill="FFFFFF" w:themeFill="background1"/>
        <w:spacing w:line="360" w:lineRule="auto"/>
        <w:ind w:right="49"/>
        <w:jc w:val="both"/>
        <w:rPr>
          <w:rFonts w:ascii="Palatino Linotype" w:hAnsi="Palatino Linotype"/>
        </w:rPr>
      </w:pPr>
      <w:r w:rsidRPr="00771FC6">
        <w:rPr>
          <w:rFonts w:ascii="Palatino Linotype" w:hAnsi="Palatino Linotype"/>
        </w:rPr>
        <w:t xml:space="preserve">Por ello, en términos del artículo 191, fracción V de la Ley de Transparencia y Acceso a la Información Pública del Estado de México y Municipios, este Órgano Garante considera procedente </w:t>
      </w:r>
      <w:r w:rsidRPr="00771FC6">
        <w:rPr>
          <w:rFonts w:ascii="Palatino Linotype" w:hAnsi="Palatino Linotype"/>
          <w:b/>
        </w:rPr>
        <w:t xml:space="preserve">SOBRESEER </w:t>
      </w:r>
      <w:r w:rsidRPr="00771FC6">
        <w:rPr>
          <w:rFonts w:ascii="Palatino Linotype" w:hAnsi="Palatino Linotype"/>
        </w:rPr>
        <w:t>el presente Recurso de Revisión, toda vez que se actualiza la fracción IV del artículo 192 del citado ordenamiento legal.</w:t>
      </w:r>
    </w:p>
    <w:p w14:paraId="50E37EF3" w14:textId="77777777" w:rsidR="004565D5" w:rsidRPr="00771FC6" w:rsidRDefault="004565D5" w:rsidP="00771FC6">
      <w:pPr>
        <w:shd w:val="clear" w:color="auto" w:fill="FFFFFF" w:themeFill="background1"/>
        <w:spacing w:line="360" w:lineRule="auto"/>
        <w:ind w:right="49"/>
        <w:jc w:val="both"/>
        <w:rPr>
          <w:rFonts w:ascii="Palatino Linotype" w:hAnsi="Palatino Linotype"/>
        </w:rPr>
      </w:pPr>
    </w:p>
    <w:p w14:paraId="428A03AC" w14:textId="77777777" w:rsidR="004565D5" w:rsidRPr="00771FC6" w:rsidRDefault="004565D5" w:rsidP="00771FC6">
      <w:pPr>
        <w:shd w:val="clear" w:color="auto" w:fill="FFFFFF" w:themeFill="background1"/>
        <w:spacing w:line="360" w:lineRule="auto"/>
        <w:jc w:val="both"/>
        <w:rPr>
          <w:rFonts w:ascii="Palatino Linotype" w:hAnsi="Palatino Linotype"/>
        </w:rPr>
      </w:pPr>
      <w:r w:rsidRPr="00771FC6">
        <w:rPr>
          <w:rFonts w:ascii="Palatino Linotype" w:hAnsi="Palatino Linotype" w:cs="Arial"/>
          <w:lang w:val="es-ES"/>
        </w:rPr>
        <w:t xml:space="preserve">Ahora bien, </w:t>
      </w:r>
      <w:r w:rsidRPr="00771FC6">
        <w:rPr>
          <w:rFonts w:ascii="Palatino Linotype" w:hAnsi="Palatino Linotype"/>
        </w:rPr>
        <w:t xml:space="preserve">es importante referir que respecto de las documentales remitidas por parte del </w:t>
      </w:r>
      <w:r w:rsidRPr="00771FC6">
        <w:rPr>
          <w:rFonts w:ascii="Palatino Linotype" w:hAnsi="Palatino Linotype"/>
          <w:b/>
        </w:rPr>
        <w:t>SUJETO OBLIGADO</w:t>
      </w:r>
      <w:r w:rsidRPr="00771FC6">
        <w:rPr>
          <w:rFonts w:ascii="Palatino Linotype" w:hAnsi="Palatino Linotype"/>
        </w:rPr>
        <w:t xml:space="preserve">, a fin de dar respuesta a la solicitud planteada, este Instituto no está facultado para manifestarse sobre la veracidad de la información </w:t>
      </w:r>
      <w:r w:rsidRPr="00771FC6">
        <w:rPr>
          <w:rFonts w:ascii="Palatino Linotype" w:hAnsi="Palatino Linotype"/>
        </w:rPr>
        <w:lastRenderedPageBreak/>
        <w:t xml:space="preserve">proporcionada, pues este Órgano Garante conforme al artículo 36 de la </w:t>
      </w:r>
      <w:r w:rsidRPr="00771FC6">
        <w:rPr>
          <w:rFonts w:ascii="Palatino Linotype" w:hAnsi="Palatino Linotype" w:cs="Arial"/>
        </w:rPr>
        <w:t>de la Ley de Transparencia y Acceso a la Información Pública del Estado de México y Municipios</w:t>
      </w:r>
      <w:r w:rsidRPr="00771FC6">
        <w:rPr>
          <w:rFonts w:ascii="Palatino Linotype" w:hAnsi="Palatino Linotype"/>
        </w:rPr>
        <w:t>.</w:t>
      </w:r>
    </w:p>
    <w:p w14:paraId="43BBBDB1" w14:textId="77777777" w:rsidR="004565D5" w:rsidRPr="00771FC6" w:rsidRDefault="004565D5" w:rsidP="00771FC6">
      <w:pPr>
        <w:shd w:val="clear" w:color="auto" w:fill="FFFFFF" w:themeFill="background1"/>
        <w:spacing w:line="360" w:lineRule="auto"/>
        <w:jc w:val="both"/>
        <w:rPr>
          <w:rFonts w:ascii="Palatino Linotype" w:hAnsi="Palatino Linotype" w:cs="Arial"/>
          <w:sz w:val="20"/>
          <w:szCs w:val="20"/>
        </w:rPr>
      </w:pPr>
    </w:p>
    <w:p w14:paraId="146911D6" w14:textId="77777777" w:rsidR="004565D5" w:rsidRPr="00771FC6" w:rsidRDefault="004565D5" w:rsidP="00771FC6">
      <w:pPr>
        <w:shd w:val="clear" w:color="auto" w:fill="FFFFFF" w:themeFill="background1"/>
        <w:spacing w:line="360" w:lineRule="auto"/>
        <w:jc w:val="both"/>
        <w:rPr>
          <w:rFonts w:ascii="Palatino Linotype" w:hAnsi="Palatino Linotype" w:cs="Arial"/>
        </w:rPr>
      </w:pPr>
      <w:r w:rsidRPr="00771FC6">
        <w:rPr>
          <w:rFonts w:ascii="Palatino Linotype" w:hAnsi="Palatino Linotype" w:cs="Arial"/>
        </w:rPr>
        <w:t xml:space="preserve">Para ello, sirve de sustento el criterio 31/10 emitido por el entonces Instituto Federal de Acceso a la Información y Protección de Datos, ahora Instituto Nacional de Acceso a la Información y Protección de Datos, el cual refiere: </w:t>
      </w:r>
    </w:p>
    <w:p w14:paraId="1DDDECC0" w14:textId="77777777" w:rsidR="004565D5" w:rsidRPr="00771FC6" w:rsidRDefault="004565D5" w:rsidP="00771FC6">
      <w:pPr>
        <w:shd w:val="clear" w:color="auto" w:fill="FFFFFF" w:themeFill="background1"/>
        <w:jc w:val="both"/>
        <w:rPr>
          <w:rFonts w:ascii="Palatino Linotype" w:hAnsi="Palatino Linotype" w:cs="Arial"/>
          <w:sz w:val="20"/>
          <w:szCs w:val="20"/>
        </w:rPr>
      </w:pPr>
    </w:p>
    <w:p w14:paraId="65D04974" w14:textId="77777777" w:rsidR="004565D5" w:rsidRPr="00771FC6" w:rsidRDefault="004565D5" w:rsidP="00771FC6">
      <w:pPr>
        <w:shd w:val="clear" w:color="auto" w:fill="FFFFFF" w:themeFill="background1"/>
        <w:tabs>
          <w:tab w:val="left" w:pos="8222"/>
        </w:tabs>
        <w:ind w:left="709" w:right="899"/>
        <w:jc w:val="both"/>
        <w:rPr>
          <w:rFonts w:ascii="Palatino Linotype" w:hAnsi="Palatino Linotype" w:cs="Arial"/>
          <w:b/>
          <w:i/>
          <w:sz w:val="22"/>
        </w:rPr>
      </w:pPr>
      <w:r w:rsidRPr="00771FC6">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71FC6">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71FC6">
        <w:rPr>
          <w:rFonts w:ascii="Palatino Linotype" w:hAnsi="Palatino Linotype" w:cs="Arial"/>
          <w:b/>
          <w:i/>
          <w:sz w:val="22"/>
        </w:rPr>
        <w:t>”</w:t>
      </w:r>
      <w:r w:rsidRPr="00771FC6">
        <w:rPr>
          <w:rFonts w:ascii="Palatino Linotype" w:hAnsi="Palatino Linotype" w:cs="Arial"/>
          <w:i/>
          <w:sz w:val="22"/>
        </w:rPr>
        <w:t xml:space="preserve"> (</w:t>
      </w:r>
      <w:proofErr w:type="gramStart"/>
      <w:r w:rsidRPr="00771FC6">
        <w:rPr>
          <w:rFonts w:ascii="Palatino Linotype" w:hAnsi="Palatino Linotype" w:cs="Arial"/>
          <w:i/>
          <w:sz w:val="22"/>
        </w:rPr>
        <w:t>sic</w:t>
      </w:r>
      <w:proofErr w:type="gramEnd"/>
      <w:r w:rsidRPr="00771FC6">
        <w:rPr>
          <w:rFonts w:ascii="Palatino Linotype" w:hAnsi="Palatino Linotype" w:cs="Arial"/>
          <w:i/>
          <w:sz w:val="22"/>
        </w:rPr>
        <w:t>)</w:t>
      </w:r>
    </w:p>
    <w:p w14:paraId="2423D7E5" w14:textId="77777777" w:rsidR="004565D5" w:rsidRPr="00771FC6" w:rsidRDefault="004565D5" w:rsidP="00771FC6">
      <w:pPr>
        <w:widowControl w:val="0"/>
        <w:shd w:val="clear" w:color="auto" w:fill="FFFFFF" w:themeFill="background1"/>
        <w:autoSpaceDE w:val="0"/>
        <w:autoSpaceDN w:val="0"/>
        <w:adjustRightInd w:val="0"/>
        <w:spacing w:line="360" w:lineRule="auto"/>
        <w:jc w:val="both"/>
        <w:rPr>
          <w:rFonts w:ascii="Palatino Linotype" w:eastAsia="Calibri" w:hAnsi="Palatino Linotype" w:cs="Arial"/>
        </w:rPr>
      </w:pPr>
      <w:r w:rsidRPr="00771FC6">
        <w:rPr>
          <w:rFonts w:ascii="Palatino Linotype" w:eastAsia="Calibri" w:hAnsi="Palatino Linotype" w:cs="Arial"/>
        </w:rPr>
        <w:t xml:space="preserve">Así, con </w:t>
      </w:r>
      <w:r w:rsidRPr="00771FC6">
        <w:rPr>
          <w:rFonts w:ascii="Palatino Linotype" w:hAnsi="Palatino Linotype" w:cs="Arial"/>
        </w:rPr>
        <w:t>fundamento</w:t>
      </w:r>
      <w:r w:rsidRPr="00771FC6">
        <w:rPr>
          <w:rFonts w:ascii="Palatino Linotype" w:eastAsia="Calibri" w:hAnsi="Palatino Linotype" w:cs="Arial"/>
        </w:rPr>
        <w:t xml:space="preserve"> en lo prescrito en los artículos 5, párrafos</w:t>
      </w:r>
      <w:r w:rsidRPr="00771FC6">
        <w:rPr>
          <w:rFonts w:ascii="Palatino Linotype" w:hAnsi="Palatino Linotype"/>
        </w:rPr>
        <w:t xml:space="preserve"> trigésimo, trigésimo primero y trigésimo segundo</w:t>
      </w:r>
      <w:r w:rsidRPr="00771FC6">
        <w:rPr>
          <w:rFonts w:ascii="Palatino Linotype" w:hAnsi="Palatino Linotype" w:cs="Arial"/>
        </w:rPr>
        <w:t>,</w:t>
      </w:r>
      <w:r w:rsidRPr="00771FC6">
        <w:rPr>
          <w:rFonts w:ascii="Palatino Linotype" w:hAnsi="Palatino Linotype"/>
        </w:rPr>
        <w:t xml:space="preserve"> fracciones IV y V,</w:t>
      </w:r>
      <w:r w:rsidRPr="00771FC6">
        <w:rPr>
          <w:rFonts w:ascii="Palatino Linotype" w:eastAsia="Calibri" w:hAnsi="Palatino Linotype" w:cs="Arial"/>
        </w:rPr>
        <w:t xml:space="preserve"> de la Constitución Política del Estado Libre y Soberano de </w:t>
      </w:r>
      <w:r w:rsidRPr="00771FC6">
        <w:rPr>
          <w:rFonts w:ascii="Palatino Linotype" w:hAnsi="Palatino Linotype" w:cs="Arial"/>
          <w:lang w:val="es-ES_tradnl"/>
        </w:rPr>
        <w:t>México</w:t>
      </w:r>
      <w:r w:rsidRPr="00771FC6">
        <w:rPr>
          <w:rFonts w:ascii="Palatino Linotype" w:eastAsia="Calibri" w:hAnsi="Palatino Linotype" w:cs="Arial"/>
        </w:rPr>
        <w:t xml:space="preserve">, y los artículos </w:t>
      </w:r>
      <w:r w:rsidRPr="00771FC6">
        <w:rPr>
          <w:rFonts w:ascii="Palatino Linotype" w:hAnsi="Palatino Linotype"/>
        </w:rPr>
        <w:t xml:space="preserve">2, </w:t>
      </w:r>
      <w:r w:rsidRPr="00771FC6">
        <w:rPr>
          <w:rFonts w:ascii="Palatino Linotype" w:hAnsi="Palatino Linotype" w:cs="Arial"/>
        </w:rPr>
        <w:t>fracción</w:t>
      </w:r>
      <w:r w:rsidRPr="00771FC6">
        <w:rPr>
          <w:rFonts w:ascii="Palatino Linotype" w:hAnsi="Palatino Linotype"/>
        </w:rPr>
        <w:t xml:space="preserve"> II, 9, </w:t>
      </w:r>
      <w:r w:rsidRPr="00771FC6">
        <w:rPr>
          <w:rFonts w:ascii="Palatino Linotype" w:hAnsi="Palatino Linotype" w:cs="Arial"/>
          <w:lang w:val="es-ES_tradnl"/>
        </w:rPr>
        <w:t>29</w:t>
      </w:r>
      <w:r w:rsidRPr="00771FC6">
        <w:rPr>
          <w:rFonts w:ascii="Palatino Linotype" w:hAnsi="Palatino Linotype"/>
        </w:rPr>
        <w:t>, 36, fracciones I y II, 176, 178, 179, 181, 185, fracción I, 186 y 188,</w:t>
      </w:r>
      <w:r w:rsidRPr="00771FC6">
        <w:rPr>
          <w:rFonts w:ascii="Palatino Linotype" w:eastAsia="Calibri" w:hAnsi="Palatino Linotype" w:cs="Arial"/>
        </w:rPr>
        <w:t xml:space="preserve"> de la Ley de Transparencia y Acceso a la Información Pública del Estado de México y </w:t>
      </w:r>
      <w:r w:rsidRPr="00771FC6">
        <w:rPr>
          <w:rFonts w:ascii="Palatino Linotype" w:hAnsi="Palatino Linotype" w:cs="Arial"/>
        </w:rPr>
        <w:t>Municipios</w:t>
      </w:r>
      <w:r w:rsidRPr="00771FC6">
        <w:rPr>
          <w:rFonts w:ascii="Palatino Linotype" w:eastAsia="Calibri" w:hAnsi="Palatino Linotype" w:cs="Arial"/>
        </w:rPr>
        <w:t xml:space="preserve">, </w:t>
      </w:r>
      <w:r w:rsidRPr="00771FC6">
        <w:rPr>
          <w:rFonts w:ascii="Palatino Linotype" w:hAnsi="Palatino Linotype"/>
        </w:rPr>
        <w:t>este</w:t>
      </w:r>
      <w:r w:rsidRPr="00771FC6">
        <w:rPr>
          <w:rFonts w:ascii="Palatino Linotype" w:eastAsia="Calibri" w:hAnsi="Palatino Linotype" w:cs="Arial"/>
        </w:rPr>
        <w:t xml:space="preserve"> Pleno:</w:t>
      </w:r>
    </w:p>
    <w:p w14:paraId="0E1E2C7C" w14:textId="77777777" w:rsidR="004565D5" w:rsidRDefault="004565D5" w:rsidP="00771FC6">
      <w:pPr>
        <w:widowControl w:val="0"/>
        <w:shd w:val="clear" w:color="auto" w:fill="FFFFFF" w:themeFill="background1"/>
        <w:autoSpaceDE w:val="0"/>
        <w:autoSpaceDN w:val="0"/>
        <w:adjustRightInd w:val="0"/>
        <w:jc w:val="both"/>
        <w:rPr>
          <w:rFonts w:ascii="Palatino Linotype" w:eastAsiaTheme="minorHAnsi" w:hAnsi="Palatino Linotype"/>
          <w:lang w:eastAsia="es-ES_tradnl"/>
        </w:rPr>
      </w:pPr>
    </w:p>
    <w:p w14:paraId="2A39D6F5" w14:textId="77777777" w:rsidR="00771FC6" w:rsidRDefault="00771FC6" w:rsidP="00771FC6">
      <w:pPr>
        <w:widowControl w:val="0"/>
        <w:shd w:val="clear" w:color="auto" w:fill="FFFFFF" w:themeFill="background1"/>
        <w:autoSpaceDE w:val="0"/>
        <w:autoSpaceDN w:val="0"/>
        <w:adjustRightInd w:val="0"/>
        <w:jc w:val="both"/>
        <w:rPr>
          <w:rFonts w:ascii="Palatino Linotype" w:eastAsiaTheme="minorHAnsi" w:hAnsi="Palatino Linotype"/>
          <w:lang w:eastAsia="es-ES_tradnl"/>
        </w:rPr>
      </w:pPr>
    </w:p>
    <w:p w14:paraId="07F8410F" w14:textId="77777777" w:rsidR="00771FC6" w:rsidRDefault="00771FC6" w:rsidP="00771FC6">
      <w:pPr>
        <w:widowControl w:val="0"/>
        <w:shd w:val="clear" w:color="auto" w:fill="FFFFFF" w:themeFill="background1"/>
        <w:autoSpaceDE w:val="0"/>
        <w:autoSpaceDN w:val="0"/>
        <w:adjustRightInd w:val="0"/>
        <w:jc w:val="both"/>
        <w:rPr>
          <w:rFonts w:ascii="Palatino Linotype" w:eastAsiaTheme="minorHAnsi" w:hAnsi="Palatino Linotype"/>
          <w:lang w:eastAsia="es-ES_tradnl"/>
        </w:rPr>
      </w:pPr>
    </w:p>
    <w:p w14:paraId="59E49DEF" w14:textId="77777777" w:rsidR="00771FC6" w:rsidRDefault="00771FC6" w:rsidP="00771FC6">
      <w:pPr>
        <w:widowControl w:val="0"/>
        <w:shd w:val="clear" w:color="auto" w:fill="FFFFFF" w:themeFill="background1"/>
        <w:autoSpaceDE w:val="0"/>
        <w:autoSpaceDN w:val="0"/>
        <w:adjustRightInd w:val="0"/>
        <w:jc w:val="both"/>
        <w:rPr>
          <w:rFonts w:ascii="Palatino Linotype" w:eastAsiaTheme="minorHAnsi" w:hAnsi="Palatino Linotype"/>
          <w:lang w:eastAsia="es-ES_tradnl"/>
        </w:rPr>
      </w:pPr>
    </w:p>
    <w:p w14:paraId="328BD096" w14:textId="77777777" w:rsidR="00771FC6" w:rsidRPr="00771FC6" w:rsidRDefault="00771FC6" w:rsidP="00771FC6">
      <w:pPr>
        <w:widowControl w:val="0"/>
        <w:shd w:val="clear" w:color="auto" w:fill="FFFFFF" w:themeFill="background1"/>
        <w:autoSpaceDE w:val="0"/>
        <w:autoSpaceDN w:val="0"/>
        <w:adjustRightInd w:val="0"/>
        <w:jc w:val="both"/>
        <w:rPr>
          <w:rFonts w:ascii="Palatino Linotype" w:eastAsiaTheme="minorHAnsi" w:hAnsi="Palatino Linotype"/>
          <w:lang w:eastAsia="es-ES_tradnl"/>
        </w:rPr>
      </w:pPr>
    </w:p>
    <w:p w14:paraId="369D55AF" w14:textId="77777777" w:rsidR="004565D5" w:rsidRPr="00771FC6" w:rsidRDefault="004565D5" w:rsidP="00771FC6">
      <w:pPr>
        <w:shd w:val="clear" w:color="auto" w:fill="FFFFFF" w:themeFill="background1"/>
        <w:jc w:val="center"/>
        <w:rPr>
          <w:rFonts w:ascii="Palatino Linotype" w:hAnsi="Palatino Linotype"/>
          <w:b/>
          <w:sz w:val="28"/>
        </w:rPr>
      </w:pPr>
      <w:r w:rsidRPr="00771FC6">
        <w:rPr>
          <w:rFonts w:ascii="Palatino Linotype" w:hAnsi="Palatino Linotype"/>
          <w:b/>
          <w:sz w:val="28"/>
        </w:rPr>
        <w:lastRenderedPageBreak/>
        <w:t>R E S U E L V E</w:t>
      </w:r>
    </w:p>
    <w:p w14:paraId="4CECDCBC" w14:textId="77777777" w:rsidR="004565D5" w:rsidRPr="00771FC6" w:rsidRDefault="004565D5" w:rsidP="00771FC6">
      <w:pPr>
        <w:shd w:val="clear" w:color="auto" w:fill="FFFFFF" w:themeFill="background1"/>
        <w:jc w:val="center"/>
        <w:rPr>
          <w:rFonts w:ascii="Palatino Linotype" w:hAnsi="Palatino Linotype"/>
          <w:b/>
          <w:sz w:val="28"/>
        </w:rPr>
      </w:pPr>
    </w:p>
    <w:p w14:paraId="35DD010C" w14:textId="7880127F" w:rsidR="004565D5" w:rsidRPr="00771FC6" w:rsidRDefault="004565D5" w:rsidP="00771FC6">
      <w:pPr>
        <w:widowControl w:val="0"/>
        <w:shd w:val="clear" w:color="auto" w:fill="FFFFFF" w:themeFill="background1"/>
        <w:autoSpaceDE w:val="0"/>
        <w:autoSpaceDN w:val="0"/>
        <w:adjustRightInd w:val="0"/>
        <w:spacing w:line="360" w:lineRule="auto"/>
        <w:jc w:val="both"/>
        <w:rPr>
          <w:rFonts w:ascii="Palatino Linotype" w:hAnsi="Palatino Linotype" w:cs="Arial"/>
          <w:szCs w:val="28"/>
          <w:lang w:val="es-ES"/>
        </w:rPr>
      </w:pPr>
      <w:r w:rsidRPr="00771FC6">
        <w:rPr>
          <w:rFonts w:ascii="Palatino Linotype" w:hAnsi="Palatino Linotype" w:cs="Arial"/>
          <w:b/>
          <w:sz w:val="28"/>
        </w:rPr>
        <w:t xml:space="preserve">PRIMERO. </w:t>
      </w:r>
      <w:r w:rsidRPr="00771FC6">
        <w:rPr>
          <w:rFonts w:ascii="Palatino Linotype" w:hAnsi="Palatino Linotype" w:cs="Arial"/>
          <w:szCs w:val="28"/>
        </w:rPr>
        <w:t xml:space="preserve">Se </w:t>
      </w:r>
      <w:r w:rsidRPr="00771FC6">
        <w:rPr>
          <w:rFonts w:ascii="Palatino Linotype" w:hAnsi="Palatino Linotype" w:cs="Arial"/>
          <w:b/>
          <w:szCs w:val="28"/>
        </w:rPr>
        <w:t>SOBRESEE</w:t>
      </w:r>
      <w:r w:rsidRPr="00771FC6">
        <w:rPr>
          <w:rFonts w:ascii="Palatino Linotype" w:hAnsi="Palatino Linotype" w:cs="Arial"/>
          <w:szCs w:val="28"/>
        </w:rPr>
        <w:t xml:space="preserve"> el Recurso de Revisión número </w:t>
      </w:r>
      <w:r w:rsidRPr="00771FC6">
        <w:rPr>
          <w:rFonts w:ascii="Palatino Linotype" w:hAnsi="Palatino Linotype"/>
          <w:b/>
        </w:rPr>
        <w:t xml:space="preserve">16892/INFOEM/IP/RR/2022 </w:t>
      </w:r>
      <w:r w:rsidRPr="00771FC6">
        <w:rPr>
          <w:rFonts w:ascii="Palatino Linotype" w:hAnsi="Palatino Linotype" w:cs="Arial"/>
          <w:szCs w:val="28"/>
          <w:lang w:val="es-ES"/>
        </w:rPr>
        <w:t>porque una vez admitido se actualizó la causal establecida en el artículo 192</w:t>
      </w:r>
      <w:r w:rsidR="001A4055" w:rsidRPr="00771FC6">
        <w:rPr>
          <w:rFonts w:ascii="Palatino Linotype" w:hAnsi="Palatino Linotype" w:cs="Arial"/>
          <w:szCs w:val="28"/>
          <w:lang w:val="es-ES"/>
        </w:rPr>
        <w:t>,</w:t>
      </w:r>
      <w:r w:rsidRPr="00771FC6">
        <w:rPr>
          <w:rFonts w:ascii="Palatino Linotype" w:hAnsi="Palatino Linotype" w:cs="Arial"/>
          <w:szCs w:val="28"/>
          <w:lang w:val="es-ES"/>
        </w:rPr>
        <w:t xml:space="preserve"> fracción IV, </w:t>
      </w:r>
      <w:r w:rsidR="001A4055" w:rsidRPr="00771FC6">
        <w:rPr>
          <w:rFonts w:ascii="Palatino Linotype" w:hAnsi="Palatino Linotype" w:cs="Arial"/>
          <w:szCs w:val="28"/>
          <w:lang w:val="es-ES"/>
        </w:rPr>
        <w:t xml:space="preserve">de </w:t>
      </w:r>
      <w:r w:rsidRPr="00771FC6">
        <w:rPr>
          <w:rFonts w:ascii="Palatino Linotype" w:hAnsi="Palatino Linotype" w:cs="Arial"/>
          <w:szCs w:val="28"/>
          <w:lang w:val="es-ES"/>
        </w:rPr>
        <w:t xml:space="preserve">la </w:t>
      </w:r>
      <w:r w:rsidRPr="00771FC6">
        <w:rPr>
          <w:rFonts w:ascii="Palatino Linotype" w:hAnsi="Palatino Linotype"/>
          <w:lang w:eastAsia="es-ES_tradnl"/>
        </w:rPr>
        <w:t>Ley de Transparencia y Acceso a la Información Pública del Estado de México y Municipios</w:t>
      </w:r>
      <w:r w:rsidRPr="00771FC6">
        <w:rPr>
          <w:rFonts w:ascii="Palatino Linotype" w:hAnsi="Palatino Linotype" w:cs="Arial"/>
          <w:szCs w:val="28"/>
          <w:lang w:val="es-ES"/>
        </w:rPr>
        <w:t>,</w:t>
      </w:r>
      <w:r w:rsidR="001A4055" w:rsidRPr="00771FC6">
        <w:rPr>
          <w:rFonts w:ascii="Palatino Linotype" w:hAnsi="Palatino Linotype" w:cs="Arial"/>
          <w:szCs w:val="28"/>
          <w:lang w:val="es-ES"/>
        </w:rPr>
        <w:t xml:space="preserve"> ya que admitido el recurso de revisión, aparezca alguna causal de improcedencia</w:t>
      </w:r>
      <w:r w:rsidRPr="00771FC6">
        <w:rPr>
          <w:rFonts w:ascii="Palatino Linotype" w:hAnsi="Palatino Linotype" w:cs="Arial"/>
          <w:szCs w:val="28"/>
          <w:lang w:val="es-ES"/>
        </w:rPr>
        <w:t xml:space="preserve"> en términos </w:t>
      </w:r>
      <w:r w:rsidR="001A4055" w:rsidRPr="00771FC6">
        <w:rPr>
          <w:rFonts w:ascii="Palatino Linotype" w:hAnsi="Palatino Linotype" w:cs="Arial"/>
          <w:szCs w:val="28"/>
          <w:lang w:val="es-ES"/>
        </w:rPr>
        <w:t xml:space="preserve">de la Ley y </w:t>
      </w:r>
      <w:r w:rsidRPr="00771FC6">
        <w:rPr>
          <w:rFonts w:ascii="Palatino Linotype" w:hAnsi="Palatino Linotype" w:cs="Arial"/>
          <w:szCs w:val="28"/>
          <w:lang w:val="es-ES"/>
        </w:rPr>
        <w:t xml:space="preserve">del Considerando </w:t>
      </w:r>
      <w:r w:rsidRPr="00771FC6">
        <w:rPr>
          <w:rFonts w:ascii="Palatino Linotype" w:hAnsi="Palatino Linotype" w:cs="Arial"/>
          <w:b/>
          <w:szCs w:val="28"/>
          <w:lang w:val="es-ES"/>
        </w:rPr>
        <w:t>QUINTO</w:t>
      </w:r>
      <w:r w:rsidRPr="00771FC6">
        <w:rPr>
          <w:rFonts w:ascii="Palatino Linotype" w:hAnsi="Palatino Linotype" w:cs="Arial"/>
          <w:szCs w:val="28"/>
          <w:lang w:val="es-ES"/>
        </w:rPr>
        <w:t xml:space="preserve"> de la presente resolución.</w:t>
      </w:r>
    </w:p>
    <w:p w14:paraId="7A7E00A6" w14:textId="77777777" w:rsidR="004565D5" w:rsidRPr="00771FC6" w:rsidRDefault="004565D5" w:rsidP="00771FC6">
      <w:pPr>
        <w:widowControl w:val="0"/>
        <w:shd w:val="clear" w:color="auto" w:fill="FFFFFF" w:themeFill="background1"/>
        <w:autoSpaceDE w:val="0"/>
        <w:autoSpaceDN w:val="0"/>
        <w:adjustRightInd w:val="0"/>
        <w:spacing w:line="360" w:lineRule="auto"/>
        <w:jc w:val="both"/>
        <w:rPr>
          <w:rFonts w:ascii="Palatino Linotype" w:hAnsi="Palatino Linotype" w:cs="Arial"/>
          <w:szCs w:val="28"/>
        </w:rPr>
      </w:pPr>
    </w:p>
    <w:p w14:paraId="4EEBD198" w14:textId="77777777" w:rsidR="004565D5" w:rsidRPr="00771FC6" w:rsidRDefault="004565D5" w:rsidP="00771FC6">
      <w:pPr>
        <w:widowControl w:val="0"/>
        <w:shd w:val="clear" w:color="auto" w:fill="FFFFFF" w:themeFill="background1"/>
        <w:autoSpaceDE w:val="0"/>
        <w:autoSpaceDN w:val="0"/>
        <w:adjustRightInd w:val="0"/>
        <w:spacing w:line="360" w:lineRule="auto"/>
        <w:jc w:val="both"/>
        <w:rPr>
          <w:rFonts w:ascii="Palatino Linotype" w:hAnsi="Palatino Linotype"/>
        </w:rPr>
      </w:pPr>
      <w:r w:rsidRPr="00771FC6">
        <w:rPr>
          <w:rFonts w:ascii="Palatino Linotype" w:hAnsi="Palatino Linotype" w:cs="Arial"/>
          <w:b/>
          <w:sz w:val="28"/>
        </w:rPr>
        <w:t xml:space="preserve">SEGUNDO. </w:t>
      </w:r>
      <w:r w:rsidRPr="00771FC6">
        <w:rPr>
          <w:rFonts w:ascii="Palatino Linotype" w:hAnsi="Palatino Linotype"/>
          <w:b/>
        </w:rPr>
        <w:t>Notifíquese</w:t>
      </w:r>
      <w:r w:rsidRPr="00771FC6">
        <w:rPr>
          <w:rFonts w:ascii="Palatino Linotype" w:hAnsi="Palatino Linotype"/>
        </w:rPr>
        <w:t xml:space="preserve"> la presente resolución al Titular de la Unidad de Transparencia del </w:t>
      </w:r>
      <w:r w:rsidRPr="00771FC6">
        <w:rPr>
          <w:rFonts w:ascii="Palatino Linotype" w:hAnsi="Palatino Linotype"/>
          <w:b/>
        </w:rPr>
        <w:t>SUJETO OBLIGADO</w:t>
      </w:r>
      <w:r w:rsidRPr="00771FC6">
        <w:rPr>
          <w:rFonts w:ascii="Palatino Linotype" w:hAnsi="Palatino Linotype"/>
        </w:rPr>
        <w:t xml:space="preserve"> para su conocimiento.</w:t>
      </w:r>
    </w:p>
    <w:p w14:paraId="47D4A6A2" w14:textId="77777777" w:rsidR="004565D5" w:rsidRPr="00771FC6" w:rsidRDefault="004565D5" w:rsidP="00771FC6">
      <w:pPr>
        <w:widowControl w:val="0"/>
        <w:shd w:val="clear" w:color="auto" w:fill="FFFFFF" w:themeFill="background1"/>
        <w:autoSpaceDE w:val="0"/>
        <w:autoSpaceDN w:val="0"/>
        <w:adjustRightInd w:val="0"/>
        <w:spacing w:line="360" w:lineRule="auto"/>
        <w:jc w:val="both"/>
        <w:rPr>
          <w:rFonts w:ascii="Palatino Linotype" w:hAnsi="Palatino Linotype" w:cs="Arial"/>
          <w:szCs w:val="28"/>
        </w:rPr>
      </w:pPr>
    </w:p>
    <w:p w14:paraId="44097CB4" w14:textId="77777777" w:rsidR="004565D5" w:rsidRPr="00771FC6" w:rsidRDefault="004565D5" w:rsidP="00771FC6">
      <w:pPr>
        <w:pStyle w:val="Prrafodelista"/>
        <w:shd w:val="clear" w:color="auto" w:fill="FFFFFF" w:themeFill="background1"/>
        <w:spacing w:line="360" w:lineRule="auto"/>
        <w:ind w:left="0"/>
        <w:jc w:val="both"/>
        <w:rPr>
          <w:rFonts w:ascii="Palatino Linotype" w:hAnsi="Palatino Linotype" w:cs="Arial"/>
        </w:rPr>
      </w:pPr>
      <w:r w:rsidRPr="00771FC6">
        <w:rPr>
          <w:rFonts w:ascii="Palatino Linotype" w:hAnsi="Palatino Linotype" w:cs="Arial"/>
          <w:b/>
          <w:sz w:val="28"/>
        </w:rPr>
        <w:t xml:space="preserve">TERCERO. </w:t>
      </w:r>
      <w:r w:rsidRPr="00771FC6">
        <w:rPr>
          <w:rFonts w:ascii="Palatino Linotype" w:hAnsi="Palatino Linotype"/>
          <w:b/>
          <w:szCs w:val="17"/>
          <w:lang w:eastAsia="es-ES_tradnl"/>
        </w:rPr>
        <w:t>Notifíquese</w:t>
      </w:r>
      <w:r w:rsidRPr="00771FC6">
        <w:rPr>
          <w:rFonts w:ascii="Palatino Linotype" w:hAnsi="Palatino Linotype"/>
          <w:szCs w:val="17"/>
          <w:lang w:eastAsia="es-ES_tradnl"/>
        </w:rPr>
        <w:t xml:space="preserve"> al </w:t>
      </w:r>
      <w:r w:rsidRPr="00771FC6">
        <w:rPr>
          <w:rFonts w:ascii="Palatino Linotype" w:hAnsi="Palatino Linotype"/>
          <w:b/>
          <w:szCs w:val="17"/>
          <w:lang w:eastAsia="es-ES_tradnl"/>
        </w:rPr>
        <w:t>RECURRENTE</w:t>
      </w:r>
      <w:r w:rsidRPr="00771FC6">
        <w:rPr>
          <w:rFonts w:ascii="Palatino Linotype" w:hAnsi="Palatino Linotype"/>
          <w:szCs w:val="17"/>
          <w:lang w:eastAsia="es-ES_tradnl"/>
        </w:rPr>
        <w:t xml:space="preserve"> la presente resolución vía </w:t>
      </w:r>
      <w:r w:rsidRPr="00771FC6">
        <w:rPr>
          <w:rFonts w:ascii="Palatino Linotype" w:hAnsi="Palatino Linotype" w:cs="Arial"/>
        </w:rPr>
        <w:t xml:space="preserve">Sistema de Acceso a la Información Mexiquense </w:t>
      </w:r>
      <w:r w:rsidRPr="00771FC6">
        <w:rPr>
          <w:rFonts w:ascii="Palatino Linotype" w:hAnsi="Palatino Linotype" w:cs="Arial"/>
          <w:b/>
          <w:bCs/>
        </w:rPr>
        <w:t>SAIMEX</w:t>
      </w:r>
      <w:r w:rsidRPr="00771FC6">
        <w:rPr>
          <w:rFonts w:ascii="Palatino Linotype" w:hAnsi="Palatino Linotype" w:cs="Arial"/>
        </w:rPr>
        <w:t>.</w:t>
      </w:r>
    </w:p>
    <w:p w14:paraId="3B01D5CA" w14:textId="77777777" w:rsidR="004565D5" w:rsidRPr="00771FC6" w:rsidRDefault="004565D5" w:rsidP="00771FC6">
      <w:pPr>
        <w:pStyle w:val="Prrafodelista"/>
        <w:shd w:val="clear" w:color="auto" w:fill="FFFFFF" w:themeFill="background1"/>
        <w:spacing w:line="360" w:lineRule="auto"/>
        <w:ind w:left="0"/>
        <w:jc w:val="both"/>
        <w:rPr>
          <w:rFonts w:ascii="Palatino Linotype" w:hAnsi="Palatino Linotype"/>
          <w:b/>
          <w:lang w:eastAsia="es-ES_tradnl"/>
        </w:rPr>
      </w:pPr>
    </w:p>
    <w:p w14:paraId="50737C66" w14:textId="77777777" w:rsidR="004565D5" w:rsidRPr="00771FC6" w:rsidRDefault="004565D5" w:rsidP="00771FC6">
      <w:pPr>
        <w:pStyle w:val="Prrafodelista"/>
        <w:shd w:val="clear" w:color="auto" w:fill="FFFFFF" w:themeFill="background1"/>
        <w:spacing w:line="360" w:lineRule="auto"/>
        <w:ind w:left="0"/>
        <w:jc w:val="both"/>
        <w:rPr>
          <w:rFonts w:ascii="Palatino Linotype" w:hAnsi="Palatino Linotype" w:cs="Arial"/>
          <w:szCs w:val="28"/>
        </w:rPr>
      </w:pPr>
      <w:r w:rsidRPr="00771FC6">
        <w:rPr>
          <w:rFonts w:ascii="Palatino Linotype" w:hAnsi="Palatino Linotype" w:cs="Arial"/>
          <w:b/>
          <w:sz w:val="28"/>
        </w:rPr>
        <w:t xml:space="preserve">CUARTO. </w:t>
      </w:r>
      <w:r w:rsidRPr="00771FC6">
        <w:rPr>
          <w:rFonts w:ascii="Palatino Linotype" w:hAnsi="Palatino Linotype"/>
          <w:b/>
          <w:lang w:eastAsia="es-ES_tradnl"/>
        </w:rPr>
        <w:t>Hágase</w:t>
      </w:r>
      <w:r w:rsidRPr="00771FC6">
        <w:rPr>
          <w:rFonts w:ascii="Palatino Linotype" w:hAnsi="Palatino Linotype"/>
          <w:lang w:eastAsia="es-ES_tradnl"/>
        </w:rPr>
        <w:t xml:space="preserve"> </w:t>
      </w:r>
      <w:r w:rsidRPr="00771FC6">
        <w:rPr>
          <w:rFonts w:ascii="Palatino Linotype" w:hAnsi="Palatino Linotype"/>
          <w:b/>
          <w:lang w:eastAsia="es-ES_tradnl"/>
        </w:rPr>
        <w:t xml:space="preserve">del </w:t>
      </w:r>
      <w:r w:rsidRPr="00771FC6">
        <w:rPr>
          <w:rFonts w:ascii="Palatino Linotype" w:hAnsi="Palatino Linotype"/>
          <w:b/>
        </w:rPr>
        <w:t>conocimiento</w:t>
      </w:r>
      <w:r w:rsidRPr="00771FC6">
        <w:rPr>
          <w:rFonts w:ascii="Palatino Linotype" w:hAnsi="Palatino Linotype"/>
          <w:b/>
          <w:lang w:eastAsia="es-ES_tradnl"/>
        </w:rPr>
        <w:t xml:space="preserve"> </w:t>
      </w:r>
      <w:r w:rsidRPr="00771FC6">
        <w:rPr>
          <w:rFonts w:ascii="Palatino Linotype" w:hAnsi="Palatino Linotype"/>
          <w:lang w:eastAsia="es-ES_tradnl"/>
        </w:rPr>
        <w:t xml:space="preserve">del </w:t>
      </w:r>
      <w:r w:rsidRPr="00771FC6">
        <w:rPr>
          <w:rFonts w:ascii="Palatino Linotype" w:hAnsi="Palatino Linotype"/>
          <w:b/>
          <w:lang w:eastAsia="es-ES_tradnl"/>
        </w:rPr>
        <w:t>RECURRENTE</w:t>
      </w:r>
      <w:r w:rsidRPr="00771FC6">
        <w:rPr>
          <w:rFonts w:ascii="Palatino Linotype" w:hAnsi="Palatino Linotype"/>
          <w:lang w:eastAsia="es-ES_tradnl"/>
        </w:rPr>
        <w:t xml:space="preserve">, que de </w:t>
      </w:r>
      <w:r w:rsidRPr="00771FC6">
        <w:rPr>
          <w:rFonts w:ascii="Palatino Linotype" w:hAnsi="Palatino Linotype"/>
        </w:rPr>
        <w:t>conformidad</w:t>
      </w:r>
      <w:r w:rsidRPr="00771FC6">
        <w:rPr>
          <w:rFonts w:ascii="Palatino Linotype" w:hAnsi="Palatino Linotype"/>
          <w:lang w:eastAsia="es-ES_tradnl"/>
        </w:rPr>
        <w:t xml:space="preserve"> </w:t>
      </w:r>
      <w:r w:rsidRPr="00771FC6">
        <w:rPr>
          <w:rFonts w:ascii="Palatino Linotype" w:hAnsi="Palatino Linotype" w:cs="Arial"/>
        </w:rPr>
        <w:t>con</w:t>
      </w:r>
      <w:r w:rsidRPr="00771FC6">
        <w:rPr>
          <w:rFonts w:ascii="Palatino Linotype" w:hAnsi="Palatino Linotype"/>
          <w:lang w:eastAsia="es-ES_tradnl"/>
        </w:rPr>
        <w:t xml:space="preserve"> lo </w:t>
      </w:r>
      <w:r w:rsidRPr="00771FC6">
        <w:rPr>
          <w:rFonts w:ascii="Palatino Linotype" w:hAnsi="Palatino Linotype" w:cs="Arial"/>
        </w:rPr>
        <w:t>establecido</w:t>
      </w:r>
      <w:r w:rsidRPr="00771FC6">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3248AB45" w14:textId="77777777" w:rsidR="00F25D6C" w:rsidRDefault="00F25D6C" w:rsidP="00771FC6">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38CDE083" w14:textId="77777777" w:rsidR="00771FC6" w:rsidRDefault="00771FC6" w:rsidP="00771FC6">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4D2AC925" w14:textId="77777777" w:rsidR="00771FC6" w:rsidRDefault="00771FC6" w:rsidP="00771FC6">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7D737C2F" w14:textId="77777777" w:rsidR="00771FC6" w:rsidRDefault="00771FC6" w:rsidP="00771FC6">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52701EEB" w14:textId="77777777" w:rsidR="00771FC6" w:rsidRPr="00771FC6" w:rsidRDefault="00771FC6" w:rsidP="00771FC6">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28DF4066" w14:textId="24CC99F6" w:rsidR="00F25D6C" w:rsidRPr="00771FC6" w:rsidRDefault="00F25D6C" w:rsidP="00771FC6">
      <w:pPr>
        <w:widowControl w:val="0"/>
        <w:shd w:val="clear" w:color="auto" w:fill="FFFFFF" w:themeFill="background1"/>
        <w:autoSpaceDE w:val="0"/>
        <w:autoSpaceDN w:val="0"/>
        <w:adjustRightInd w:val="0"/>
        <w:spacing w:line="360" w:lineRule="auto"/>
        <w:jc w:val="both"/>
        <w:rPr>
          <w:rFonts w:ascii="Palatino Linotype" w:hAnsi="Palatino Linotype" w:cs="Arial"/>
        </w:rPr>
      </w:pPr>
      <w:r w:rsidRPr="00771FC6">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EE532A" w:rsidRPr="00771FC6">
        <w:rPr>
          <w:rFonts w:ascii="Palatino Linotype" w:hAnsi="Palatino Linotype" w:cs="Arial"/>
        </w:rPr>
        <w:t>SEXTA</w:t>
      </w:r>
      <w:r w:rsidRPr="00771FC6">
        <w:rPr>
          <w:rFonts w:ascii="Palatino Linotype" w:hAnsi="Palatino Linotype" w:cs="Arial"/>
        </w:rPr>
        <w:t xml:space="preserve"> SESIÓN ORDINARIA CELEBRADA EL </w:t>
      </w:r>
      <w:r w:rsidR="00EE532A" w:rsidRPr="00771FC6">
        <w:rPr>
          <w:rFonts w:ascii="Palatino Linotype" w:hAnsi="Palatino Linotype" w:cs="Arial"/>
        </w:rPr>
        <w:t>CUATRO DE MAYO</w:t>
      </w:r>
      <w:r w:rsidRPr="00771FC6">
        <w:rPr>
          <w:rFonts w:ascii="Palatino Linotype" w:hAnsi="Palatino Linotype" w:cs="Arial"/>
        </w:rPr>
        <w:t xml:space="preserve"> DE DOS MIL VEINTITRÉS, ANTE EL SECRETARIO TÉCNICO DEL PLENO, ALEXIS TAPIA RAMÍREZ. </w:t>
      </w:r>
    </w:p>
    <w:p w14:paraId="17B643BA" w14:textId="77777777" w:rsidR="00F25D6C" w:rsidRPr="00771FC6" w:rsidRDefault="00F25D6C" w:rsidP="00771FC6">
      <w:pPr>
        <w:widowControl w:val="0"/>
        <w:shd w:val="clear" w:color="auto" w:fill="FFFFFF" w:themeFill="background1"/>
        <w:autoSpaceDE w:val="0"/>
        <w:autoSpaceDN w:val="0"/>
        <w:adjustRightInd w:val="0"/>
        <w:spacing w:line="360" w:lineRule="auto"/>
        <w:jc w:val="both"/>
        <w:rPr>
          <w:rFonts w:ascii="Palatino Linotype" w:hAnsi="Palatino Linotype"/>
          <w:sz w:val="20"/>
        </w:rPr>
      </w:pPr>
      <w:r w:rsidRPr="00771FC6">
        <w:rPr>
          <w:rFonts w:ascii="Palatino Linotype" w:hAnsi="Palatino Linotype"/>
          <w:sz w:val="20"/>
        </w:rPr>
        <w:t>SCMM/BLA/DEMF/JMMO</w:t>
      </w:r>
    </w:p>
    <w:p w14:paraId="4650F2AA" w14:textId="77777777" w:rsidR="001A58C1" w:rsidRPr="00771FC6" w:rsidRDefault="001A58C1"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2A7A3129"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2CBCBDB9"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5FC73527"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784EF5ED"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083D805C"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3A71F541"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40DAA26B"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1E95BA9D"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7124E768"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2FCE80D6"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2031558E"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1FABEAD3"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215C6A02"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715BA1E5" w14:textId="77777777" w:rsidR="008A1E68" w:rsidRPr="00771FC6" w:rsidRDefault="008A1E68" w:rsidP="00771FC6">
      <w:pPr>
        <w:shd w:val="clear" w:color="auto" w:fill="FFFFFF" w:themeFill="background1"/>
        <w:autoSpaceDE w:val="0"/>
        <w:autoSpaceDN w:val="0"/>
        <w:adjustRightInd w:val="0"/>
        <w:spacing w:line="360" w:lineRule="auto"/>
        <w:ind w:right="49"/>
        <w:jc w:val="both"/>
        <w:rPr>
          <w:rFonts w:ascii="Palatino Linotype" w:eastAsia="Palatino Linotype" w:hAnsi="Palatino Linotype" w:cs="Palatino Linotype"/>
          <w:b/>
          <w:sz w:val="28"/>
          <w:szCs w:val="28"/>
        </w:rPr>
      </w:pPr>
    </w:p>
    <w:p w14:paraId="635EBFDB" w14:textId="77777777" w:rsidR="008A1E68" w:rsidRPr="00771FC6" w:rsidRDefault="008A1E68" w:rsidP="00771FC6">
      <w:pPr>
        <w:shd w:val="clear" w:color="auto" w:fill="FFFFFF" w:themeFill="background1"/>
        <w:rPr>
          <w:rFonts w:ascii="Palatino Linotype" w:eastAsia="Palatino Linotype" w:hAnsi="Palatino Linotype" w:cs="Palatino Linotype"/>
          <w:b/>
          <w:sz w:val="28"/>
          <w:szCs w:val="28"/>
        </w:rPr>
      </w:pPr>
    </w:p>
    <w:sectPr w:rsidR="008A1E68" w:rsidRPr="00771FC6">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AF934" w14:textId="77777777" w:rsidR="00D8168E" w:rsidRDefault="00D8168E">
      <w:r>
        <w:separator/>
      </w:r>
    </w:p>
  </w:endnote>
  <w:endnote w:type="continuationSeparator" w:id="0">
    <w:p w14:paraId="411AEA7B" w14:textId="77777777" w:rsidR="00D8168E" w:rsidRDefault="00D8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BA73D" w14:textId="46BFFF8E" w:rsidR="003F4201" w:rsidRDefault="003F42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92C4E">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92C4E">
      <w:rPr>
        <w:rFonts w:ascii="Palatino Linotype" w:eastAsia="Palatino Linotype" w:hAnsi="Palatino Linotype" w:cs="Palatino Linotype"/>
        <w:noProof/>
        <w:color w:val="000000"/>
        <w:sz w:val="22"/>
        <w:szCs w:val="22"/>
      </w:rPr>
      <w:t>35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43DF" w14:textId="1A40A84A" w:rsidR="003F4201" w:rsidRDefault="003F4201">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92C4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92C4E">
      <w:rPr>
        <w:rFonts w:ascii="Palatino Linotype" w:eastAsia="Palatino Linotype" w:hAnsi="Palatino Linotype" w:cs="Palatino Linotype"/>
        <w:noProof/>
        <w:color w:val="000000"/>
        <w:sz w:val="22"/>
        <w:szCs w:val="22"/>
      </w:rPr>
      <w:t>35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14587" w14:textId="77777777" w:rsidR="00D8168E" w:rsidRDefault="00D8168E">
      <w:r>
        <w:separator/>
      </w:r>
    </w:p>
  </w:footnote>
  <w:footnote w:type="continuationSeparator" w:id="0">
    <w:p w14:paraId="52D0A49A" w14:textId="77777777" w:rsidR="00D8168E" w:rsidRDefault="00D816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7B991" w14:textId="77777777" w:rsidR="003F4201" w:rsidRDefault="00D8168E">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3725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6DBB8" w14:textId="77777777" w:rsidR="003F4201" w:rsidRDefault="00D8168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3B69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42pt;margin-top:-92.35pt;width:540pt;height:10in;z-index:-251659776;mso-position-horizontal:absolute;mso-position-horizontal-relative:margin;mso-position-vertical:absolute;mso-position-vertical-relative:margin">
          <v:imagedata r:id="rId1" o:title="image1"/>
          <w10:wrap anchorx="margin" anchory="margin"/>
        </v:shape>
      </w:pict>
    </w:r>
  </w:p>
  <w:tbl>
    <w:tblPr>
      <w:tblStyle w:val="ad"/>
      <w:tblW w:w="9534" w:type="dxa"/>
      <w:tblInd w:w="-142" w:type="dxa"/>
      <w:tblLayout w:type="fixed"/>
      <w:tblLook w:val="0400" w:firstRow="0" w:lastRow="0" w:firstColumn="0" w:lastColumn="0" w:noHBand="0" w:noVBand="1"/>
    </w:tblPr>
    <w:tblGrid>
      <w:gridCol w:w="3261"/>
      <w:gridCol w:w="2551"/>
      <w:gridCol w:w="3722"/>
    </w:tblGrid>
    <w:tr w:rsidR="003F4201" w14:paraId="1038A643" w14:textId="77777777">
      <w:tc>
        <w:tcPr>
          <w:tcW w:w="3261" w:type="dxa"/>
          <w:vMerge w:val="restart"/>
        </w:tcPr>
        <w:p w14:paraId="5748281D" w14:textId="77777777"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50174A91" wp14:editId="28947D69">
                <wp:extent cx="1692162" cy="852673"/>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0637CD8F" w14:textId="77777777"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25D5A571" w14:textId="77777777" w:rsidR="003F4201" w:rsidRDefault="00BD10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16892</w:t>
          </w:r>
          <w:r w:rsidR="003F4201">
            <w:rPr>
              <w:rFonts w:ascii="Palatino Linotype" w:eastAsia="Palatino Linotype" w:hAnsi="Palatino Linotype" w:cs="Palatino Linotype"/>
              <w:b/>
              <w:sz w:val="22"/>
              <w:szCs w:val="22"/>
            </w:rPr>
            <w:t>/INFOEM/IP/RR/2022</w:t>
          </w:r>
        </w:p>
      </w:tc>
    </w:tr>
    <w:tr w:rsidR="003F4201" w14:paraId="77526329" w14:textId="77777777">
      <w:tc>
        <w:tcPr>
          <w:tcW w:w="3261" w:type="dxa"/>
          <w:vMerge/>
        </w:tcPr>
        <w:p w14:paraId="684F1362" w14:textId="77777777"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3CA77589" w14:textId="77777777" w:rsidR="003F4201" w:rsidRDefault="003F4201">
          <w:pPr>
            <w:pBdr>
              <w:top w:val="nil"/>
              <w:left w:val="nil"/>
              <w:bottom w:val="nil"/>
              <w:right w:val="nil"/>
              <w:between w:val="nil"/>
            </w:pBd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tcBorders>
            <w:top w:val="nil"/>
            <w:left w:val="nil"/>
            <w:bottom w:val="nil"/>
            <w:right w:val="nil"/>
          </w:tcBorders>
          <w:tcMar>
            <w:top w:w="100" w:type="dxa"/>
            <w:left w:w="100" w:type="dxa"/>
            <w:bottom w:w="100" w:type="dxa"/>
            <w:right w:w="100" w:type="dxa"/>
          </w:tcMar>
        </w:tcPr>
        <w:p w14:paraId="7F54E7ED" w14:textId="77777777" w:rsidR="003F4201" w:rsidRDefault="003F4201" w:rsidP="00BD1089">
          <w:pPr>
            <w:pBdr>
              <w:top w:val="nil"/>
              <w:left w:val="nil"/>
              <w:bottom w:val="nil"/>
              <w:right w:val="nil"/>
              <w:between w:val="nil"/>
            </w:pBd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BD1089">
            <w:rPr>
              <w:rFonts w:ascii="Palatino Linotype" w:eastAsia="Palatino Linotype" w:hAnsi="Palatino Linotype" w:cs="Palatino Linotype"/>
              <w:b/>
              <w:sz w:val="22"/>
              <w:szCs w:val="22"/>
            </w:rPr>
            <w:t>Tepotzotlán</w:t>
          </w:r>
        </w:p>
      </w:tc>
    </w:tr>
    <w:tr w:rsidR="003F4201" w14:paraId="3D5397E1" w14:textId="77777777">
      <w:trPr>
        <w:trHeight w:val="228"/>
      </w:trPr>
      <w:tc>
        <w:tcPr>
          <w:tcW w:w="3261" w:type="dxa"/>
          <w:vMerge/>
        </w:tcPr>
        <w:p w14:paraId="2EB303AC" w14:textId="77777777"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24A0A6FE" w14:textId="77777777"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42331904" w14:textId="77777777" w:rsidR="003F4201" w:rsidRDefault="003F420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4AF65C05" w14:textId="77777777" w:rsidR="003F4201" w:rsidRDefault="003F420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92F9" w14:textId="77777777" w:rsidR="003F4201" w:rsidRDefault="00D8168E">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639BE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4.85pt;margin-top:-91.05pt;width:540pt;height:10in;z-index:-251658752;mso-position-horizontal:absolute;mso-position-horizontal-relative:margin;mso-position-vertical:absolute;mso-position-vertical-relative:margin">
          <v:imagedata r:id="rId1" o:title="image1"/>
          <w10:wrap anchorx="margin" anchory="margin"/>
        </v:shape>
      </w:pict>
    </w:r>
  </w:p>
  <w:tbl>
    <w:tblPr>
      <w:tblStyle w:val="ac"/>
      <w:tblW w:w="10490" w:type="dxa"/>
      <w:tblInd w:w="-1276" w:type="dxa"/>
      <w:tblLayout w:type="fixed"/>
      <w:tblLook w:val="0400" w:firstRow="0" w:lastRow="0" w:firstColumn="0" w:lastColumn="0" w:noHBand="0" w:noVBand="1"/>
    </w:tblPr>
    <w:tblGrid>
      <w:gridCol w:w="4253"/>
      <w:gridCol w:w="2552"/>
      <w:gridCol w:w="3685"/>
    </w:tblGrid>
    <w:tr w:rsidR="003F4201" w14:paraId="1029F614" w14:textId="77777777">
      <w:tc>
        <w:tcPr>
          <w:tcW w:w="4253" w:type="dxa"/>
          <w:vMerge w:val="restart"/>
          <w:shd w:val="clear" w:color="auto" w:fill="auto"/>
        </w:tcPr>
        <w:p w14:paraId="1B8B67B3" w14:textId="77777777"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6FAF1C74" wp14:editId="2BE37ED6">
                <wp:extent cx="1692162" cy="852673"/>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4E1600A3" w14:textId="77777777"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3D235969" w14:textId="77777777" w:rsidR="003F4201" w:rsidRDefault="00BD10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16892</w:t>
          </w:r>
          <w:r w:rsidR="003F4201">
            <w:rPr>
              <w:rFonts w:ascii="Palatino Linotype" w:eastAsia="Palatino Linotype" w:hAnsi="Palatino Linotype" w:cs="Palatino Linotype"/>
              <w:b/>
              <w:sz w:val="22"/>
              <w:szCs w:val="22"/>
            </w:rPr>
            <w:t>/INFOEM/IP/RR/2022</w:t>
          </w:r>
        </w:p>
      </w:tc>
    </w:tr>
    <w:tr w:rsidR="003F4201" w14:paraId="02950D0C" w14:textId="77777777">
      <w:trPr>
        <w:trHeight w:val="251"/>
      </w:trPr>
      <w:tc>
        <w:tcPr>
          <w:tcW w:w="4253" w:type="dxa"/>
          <w:vMerge/>
          <w:shd w:val="clear" w:color="auto" w:fill="auto"/>
        </w:tcPr>
        <w:p w14:paraId="34D20414" w14:textId="77777777"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7F3508C" w14:textId="77777777"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4C661088" w14:textId="54F559B0" w:rsidR="003F4201" w:rsidRDefault="00692C4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w:t>
          </w:r>
          <w:proofErr w:type="spellStart"/>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XXXXXXX</w:t>
          </w:r>
        </w:p>
      </w:tc>
    </w:tr>
    <w:tr w:rsidR="003F4201" w14:paraId="456F7F49" w14:textId="77777777">
      <w:trPr>
        <w:trHeight w:val="251"/>
      </w:trPr>
      <w:tc>
        <w:tcPr>
          <w:tcW w:w="4253" w:type="dxa"/>
          <w:vMerge/>
          <w:shd w:val="clear" w:color="auto" w:fill="auto"/>
        </w:tcPr>
        <w:p w14:paraId="2B223E75" w14:textId="77777777"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BC2D1B7" w14:textId="77777777"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5BF447B3" w14:textId="77777777" w:rsidR="003F4201" w:rsidRDefault="003F4201" w:rsidP="00BD10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sidR="00BD1089">
            <w:rPr>
              <w:rFonts w:ascii="Palatino Linotype" w:eastAsia="Palatino Linotype" w:hAnsi="Palatino Linotype" w:cs="Palatino Linotype"/>
              <w:b/>
              <w:sz w:val="22"/>
              <w:szCs w:val="22"/>
            </w:rPr>
            <w:t>Tepotzoltán</w:t>
          </w:r>
          <w:proofErr w:type="spellEnd"/>
        </w:p>
      </w:tc>
    </w:tr>
    <w:tr w:rsidR="003F4201" w14:paraId="7482C678" w14:textId="77777777">
      <w:tc>
        <w:tcPr>
          <w:tcW w:w="4253" w:type="dxa"/>
          <w:vMerge/>
          <w:shd w:val="clear" w:color="auto" w:fill="auto"/>
        </w:tcPr>
        <w:p w14:paraId="6172E484" w14:textId="77777777"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FB5835C" w14:textId="77777777"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417D0703" w14:textId="77777777" w:rsidR="003F4201" w:rsidRDefault="003F420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5804D544" w14:textId="77777777" w:rsidR="003F4201" w:rsidRDefault="003F4201">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392F04"/>
    <w:multiLevelType w:val="multilevel"/>
    <w:tmpl w:val="AEFA1B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8723ED"/>
    <w:multiLevelType w:val="multilevel"/>
    <w:tmpl w:val="0D1EB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D90374"/>
    <w:multiLevelType w:val="multilevel"/>
    <w:tmpl w:val="32C4F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E262354"/>
    <w:multiLevelType w:val="hybridMultilevel"/>
    <w:tmpl w:val="0DE09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D301DC6"/>
    <w:multiLevelType w:val="hybridMultilevel"/>
    <w:tmpl w:val="596E46CA"/>
    <w:lvl w:ilvl="0" w:tplc="C1D826AE">
      <w:start w:val="1"/>
      <w:numFmt w:val="upperRoman"/>
      <w:lvlText w:val="%1."/>
      <w:lvlJc w:val="left"/>
      <w:pPr>
        <w:ind w:left="1570" w:hanging="72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6" w15:restartNumberingAfterBreak="0">
    <w:nsid w:val="6E6601D3"/>
    <w:multiLevelType w:val="multilevel"/>
    <w:tmpl w:val="3CBAF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2"/>
  </w:num>
  <w:num w:numId="4">
    <w:abstractNumId w:val="6"/>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C1"/>
    <w:rsid w:val="00005547"/>
    <w:rsid w:val="00010935"/>
    <w:rsid w:val="00015024"/>
    <w:rsid w:val="00020D87"/>
    <w:rsid w:val="00025357"/>
    <w:rsid w:val="000338C8"/>
    <w:rsid w:val="0003579A"/>
    <w:rsid w:val="00043719"/>
    <w:rsid w:val="00076833"/>
    <w:rsid w:val="000A2B4E"/>
    <w:rsid w:val="000A660C"/>
    <w:rsid w:val="000C23EC"/>
    <w:rsid w:val="000D0D7A"/>
    <w:rsid w:val="000D3969"/>
    <w:rsid w:val="000E2BD1"/>
    <w:rsid w:val="000E7A62"/>
    <w:rsid w:val="0013006A"/>
    <w:rsid w:val="00165AD0"/>
    <w:rsid w:val="001662B5"/>
    <w:rsid w:val="00197D97"/>
    <w:rsid w:val="001A4055"/>
    <w:rsid w:val="001A58C1"/>
    <w:rsid w:val="001E3E7A"/>
    <w:rsid w:val="001E70F6"/>
    <w:rsid w:val="00202EFB"/>
    <w:rsid w:val="00216AC3"/>
    <w:rsid w:val="00225879"/>
    <w:rsid w:val="0023259F"/>
    <w:rsid w:val="00287A7D"/>
    <w:rsid w:val="002941F8"/>
    <w:rsid w:val="00296A30"/>
    <w:rsid w:val="002C18D6"/>
    <w:rsid w:val="002D41F4"/>
    <w:rsid w:val="002D7404"/>
    <w:rsid w:val="002F5D97"/>
    <w:rsid w:val="002F7C0C"/>
    <w:rsid w:val="00300ED6"/>
    <w:rsid w:val="00303ED5"/>
    <w:rsid w:val="00313849"/>
    <w:rsid w:val="00362940"/>
    <w:rsid w:val="00374521"/>
    <w:rsid w:val="00390154"/>
    <w:rsid w:val="003A1E33"/>
    <w:rsid w:val="003A3676"/>
    <w:rsid w:val="003A70B1"/>
    <w:rsid w:val="003B1F15"/>
    <w:rsid w:val="003B4311"/>
    <w:rsid w:val="003E4B4D"/>
    <w:rsid w:val="003F4201"/>
    <w:rsid w:val="003F457D"/>
    <w:rsid w:val="003F7894"/>
    <w:rsid w:val="00406971"/>
    <w:rsid w:val="004451CD"/>
    <w:rsid w:val="00445CF5"/>
    <w:rsid w:val="004511A7"/>
    <w:rsid w:val="0045347C"/>
    <w:rsid w:val="004565D5"/>
    <w:rsid w:val="0048082B"/>
    <w:rsid w:val="004873DD"/>
    <w:rsid w:val="004A5ED8"/>
    <w:rsid w:val="004B7C06"/>
    <w:rsid w:val="004C53AB"/>
    <w:rsid w:val="004E3712"/>
    <w:rsid w:val="004E52D9"/>
    <w:rsid w:val="004F6036"/>
    <w:rsid w:val="00504C0A"/>
    <w:rsid w:val="00505885"/>
    <w:rsid w:val="00505CAC"/>
    <w:rsid w:val="00507F26"/>
    <w:rsid w:val="005347BE"/>
    <w:rsid w:val="00566A7C"/>
    <w:rsid w:val="00576DC8"/>
    <w:rsid w:val="00594609"/>
    <w:rsid w:val="005A04C5"/>
    <w:rsid w:val="005B1CEB"/>
    <w:rsid w:val="005B3FD8"/>
    <w:rsid w:val="005C7E2F"/>
    <w:rsid w:val="005E446E"/>
    <w:rsid w:val="005F243D"/>
    <w:rsid w:val="00603CF2"/>
    <w:rsid w:val="00607183"/>
    <w:rsid w:val="00616605"/>
    <w:rsid w:val="0063649E"/>
    <w:rsid w:val="00640ADF"/>
    <w:rsid w:val="0064462D"/>
    <w:rsid w:val="00654C05"/>
    <w:rsid w:val="00664E09"/>
    <w:rsid w:val="00666C97"/>
    <w:rsid w:val="0067076E"/>
    <w:rsid w:val="00692C4E"/>
    <w:rsid w:val="006A23FB"/>
    <w:rsid w:val="006A255D"/>
    <w:rsid w:val="006B47EC"/>
    <w:rsid w:val="006C03E4"/>
    <w:rsid w:val="007057FF"/>
    <w:rsid w:val="00771FC6"/>
    <w:rsid w:val="007A307D"/>
    <w:rsid w:val="007A5660"/>
    <w:rsid w:val="007A7BE4"/>
    <w:rsid w:val="008152B1"/>
    <w:rsid w:val="00840B9B"/>
    <w:rsid w:val="00876076"/>
    <w:rsid w:val="008856EE"/>
    <w:rsid w:val="008871A4"/>
    <w:rsid w:val="008A1E68"/>
    <w:rsid w:val="008B4B18"/>
    <w:rsid w:val="0090494C"/>
    <w:rsid w:val="009364E5"/>
    <w:rsid w:val="00941F06"/>
    <w:rsid w:val="00990825"/>
    <w:rsid w:val="009A5D1D"/>
    <w:rsid w:val="00A04218"/>
    <w:rsid w:val="00A16C0E"/>
    <w:rsid w:val="00A25674"/>
    <w:rsid w:val="00A40043"/>
    <w:rsid w:val="00A6193C"/>
    <w:rsid w:val="00A7414A"/>
    <w:rsid w:val="00AC13B2"/>
    <w:rsid w:val="00AC3F66"/>
    <w:rsid w:val="00AC5CC3"/>
    <w:rsid w:val="00AC6367"/>
    <w:rsid w:val="00AF553C"/>
    <w:rsid w:val="00B11888"/>
    <w:rsid w:val="00B50008"/>
    <w:rsid w:val="00B809B7"/>
    <w:rsid w:val="00BB157C"/>
    <w:rsid w:val="00BB69CD"/>
    <w:rsid w:val="00BC066D"/>
    <w:rsid w:val="00BD1089"/>
    <w:rsid w:val="00BF5FFC"/>
    <w:rsid w:val="00C003DF"/>
    <w:rsid w:val="00C014EC"/>
    <w:rsid w:val="00C20984"/>
    <w:rsid w:val="00C34B24"/>
    <w:rsid w:val="00C63098"/>
    <w:rsid w:val="00C70CE1"/>
    <w:rsid w:val="00C9244F"/>
    <w:rsid w:val="00C964D1"/>
    <w:rsid w:val="00CA1102"/>
    <w:rsid w:val="00CA1A2A"/>
    <w:rsid w:val="00CA6EA5"/>
    <w:rsid w:val="00CB535D"/>
    <w:rsid w:val="00CD2BE7"/>
    <w:rsid w:val="00CE70E2"/>
    <w:rsid w:val="00CF5EC7"/>
    <w:rsid w:val="00D0513F"/>
    <w:rsid w:val="00D07A3A"/>
    <w:rsid w:val="00D33998"/>
    <w:rsid w:val="00D61317"/>
    <w:rsid w:val="00D721C0"/>
    <w:rsid w:val="00D80BC5"/>
    <w:rsid w:val="00D8168E"/>
    <w:rsid w:val="00D8364B"/>
    <w:rsid w:val="00DC41D9"/>
    <w:rsid w:val="00DD32A9"/>
    <w:rsid w:val="00DE6CD4"/>
    <w:rsid w:val="00E037A0"/>
    <w:rsid w:val="00E14FF2"/>
    <w:rsid w:val="00E26CCD"/>
    <w:rsid w:val="00E30B68"/>
    <w:rsid w:val="00E40E61"/>
    <w:rsid w:val="00E43ADA"/>
    <w:rsid w:val="00E467B0"/>
    <w:rsid w:val="00E47C63"/>
    <w:rsid w:val="00E562AE"/>
    <w:rsid w:val="00E83A8E"/>
    <w:rsid w:val="00E84620"/>
    <w:rsid w:val="00EC3D9B"/>
    <w:rsid w:val="00EE532A"/>
    <w:rsid w:val="00F16898"/>
    <w:rsid w:val="00F25D6C"/>
    <w:rsid w:val="00F35EA4"/>
    <w:rsid w:val="00F43AFC"/>
    <w:rsid w:val="00F43D6B"/>
    <w:rsid w:val="00F46C2D"/>
    <w:rsid w:val="00F607F1"/>
    <w:rsid w:val="00F720DC"/>
    <w:rsid w:val="00FA6437"/>
    <w:rsid w:val="00FF088F"/>
    <w:rsid w:val="00FF4AFD"/>
    <w:rsid w:val="00FF4F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4EA89B"/>
  <w15:docId w15:val="{60C4E19E-2533-4E5C-8DE5-F956A3FF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EA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6">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9791">
      <w:bodyDiv w:val="1"/>
      <w:marLeft w:val="0"/>
      <w:marRight w:val="0"/>
      <w:marTop w:val="0"/>
      <w:marBottom w:val="0"/>
      <w:divBdr>
        <w:top w:val="none" w:sz="0" w:space="0" w:color="auto"/>
        <w:left w:val="none" w:sz="0" w:space="0" w:color="auto"/>
        <w:bottom w:val="none" w:sz="0" w:space="0" w:color="auto"/>
        <w:right w:val="none" w:sz="0" w:space="0" w:color="auto"/>
      </w:divBdr>
    </w:div>
    <w:div w:id="266280170">
      <w:bodyDiv w:val="1"/>
      <w:marLeft w:val="0"/>
      <w:marRight w:val="0"/>
      <w:marTop w:val="0"/>
      <w:marBottom w:val="0"/>
      <w:divBdr>
        <w:top w:val="none" w:sz="0" w:space="0" w:color="auto"/>
        <w:left w:val="none" w:sz="0" w:space="0" w:color="auto"/>
        <w:bottom w:val="none" w:sz="0" w:space="0" w:color="auto"/>
        <w:right w:val="none" w:sz="0" w:space="0" w:color="auto"/>
      </w:divBdr>
    </w:div>
    <w:div w:id="311642849">
      <w:bodyDiv w:val="1"/>
      <w:marLeft w:val="0"/>
      <w:marRight w:val="0"/>
      <w:marTop w:val="0"/>
      <w:marBottom w:val="0"/>
      <w:divBdr>
        <w:top w:val="none" w:sz="0" w:space="0" w:color="auto"/>
        <w:left w:val="none" w:sz="0" w:space="0" w:color="auto"/>
        <w:bottom w:val="none" w:sz="0" w:space="0" w:color="auto"/>
        <w:right w:val="none" w:sz="0" w:space="0" w:color="auto"/>
      </w:divBdr>
    </w:div>
    <w:div w:id="469858011">
      <w:bodyDiv w:val="1"/>
      <w:marLeft w:val="0"/>
      <w:marRight w:val="0"/>
      <w:marTop w:val="0"/>
      <w:marBottom w:val="0"/>
      <w:divBdr>
        <w:top w:val="none" w:sz="0" w:space="0" w:color="auto"/>
        <w:left w:val="none" w:sz="0" w:space="0" w:color="auto"/>
        <w:bottom w:val="none" w:sz="0" w:space="0" w:color="auto"/>
        <w:right w:val="none" w:sz="0" w:space="0" w:color="auto"/>
      </w:divBdr>
    </w:div>
    <w:div w:id="190147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f2.scjn.gob.mx/detalle/tesis/2014203"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javascript:void(0)"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void(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jgKjPWwU5THwdHG70EefyTetUg==">AMUW2mUhhWqynfYTb2XA8uSielD93U1lNj0ZMCvhkZJfK8O7SiosWaWRJptb904DaboG4P9Gegb9qgU0Z5B2b48TnaVAS0GoeuAJEyWMk0E1tbW7RF1yDu7ohFXH0SRuPYeHpQvTJjSpoGjN8c1nACQk/cTC/FTEl7P2dFO+xC+GCmjz9OC5evGHgdeNEJZsJbc42sFwENRf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35</Pages>
  <Words>7480</Words>
  <Characters>41146</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8</cp:revision>
  <cp:lastPrinted>2023-05-02T18:37:00Z</cp:lastPrinted>
  <dcterms:created xsi:type="dcterms:W3CDTF">2023-04-20T20:47:00Z</dcterms:created>
  <dcterms:modified xsi:type="dcterms:W3CDTF">2023-05-11T18:24:00Z</dcterms:modified>
</cp:coreProperties>
</file>