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D0B29" w14:textId="19B4D122"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8662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6127E">
        <w:rPr>
          <w:rFonts w:ascii="Palatino Linotype" w:eastAsia="Times New Roman" w:hAnsi="Palatino Linotype" w:cs="Arial"/>
          <w:color w:val="000000"/>
          <w:sz w:val="24"/>
          <w:szCs w:val="24"/>
          <w:lang w:val="es-419" w:eastAsia="es-MX"/>
        </w:rPr>
        <w:t>doce</w:t>
      </w:r>
      <w:r w:rsidR="00673109">
        <w:rPr>
          <w:rFonts w:ascii="Palatino Linotype" w:eastAsia="Times New Roman" w:hAnsi="Palatino Linotype" w:cs="Arial"/>
          <w:color w:val="000000"/>
          <w:sz w:val="24"/>
          <w:szCs w:val="24"/>
          <w:lang w:val="es-419" w:eastAsia="es-MX"/>
        </w:rPr>
        <w:t xml:space="preserve"> </w:t>
      </w:r>
      <w:r w:rsidRPr="008662E4">
        <w:rPr>
          <w:rFonts w:ascii="Palatino Linotype" w:eastAsia="Times New Roman" w:hAnsi="Palatino Linotype" w:cs="Arial"/>
          <w:color w:val="000000"/>
          <w:sz w:val="24"/>
          <w:szCs w:val="24"/>
          <w:lang w:eastAsia="es-MX"/>
        </w:rPr>
        <w:t xml:space="preserve">de </w:t>
      </w:r>
      <w:r w:rsidR="0056127E">
        <w:rPr>
          <w:rFonts w:ascii="Palatino Linotype" w:eastAsia="Times New Roman" w:hAnsi="Palatino Linotype" w:cs="Arial"/>
          <w:color w:val="000000"/>
          <w:sz w:val="24"/>
          <w:szCs w:val="24"/>
          <w:lang w:val="es-419" w:eastAsia="es-MX"/>
        </w:rPr>
        <w:t>julio</w:t>
      </w:r>
      <w:r w:rsidR="00A305D6">
        <w:rPr>
          <w:rFonts w:ascii="Palatino Linotype" w:eastAsia="Times New Roman" w:hAnsi="Palatino Linotype" w:cs="Arial"/>
          <w:color w:val="000000"/>
          <w:sz w:val="24"/>
          <w:szCs w:val="24"/>
          <w:lang w:eastAsia="es-MX"/>
        </w:rPr>
        <w:t xml:space="preserve"> de dos mil veintitrés</w:t>
      </w:r>
      <w:bookmarkStart w:id="0" w:name="_GoBack"/>
      <w:bookmarkEnd w:id="0"/>
      <w:r w:rsidRPr="008662E4">
        <w:rPr>
          <w:rFonts w:ascii="Palatino Linotype" w:eastAsia="Times New Roman" w:hAnsi="Palatino Linotype" w:cs="Arial"/>
          <w:color w:val="000000"/>
          <w:sz w:val="24"/>
          <w:szCs w:val="24"/>
          <w:lang w:eastAsia="es-MX"/>
        </w:rPr>
        <w:t>.</w:t>
      </w:r>
    </w:p>
    <w:p w14:paraId="14A214D0" w14:textId="77777777"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053F23" w14:textId="76AE3192" w:rsidR="00BC3531" w:rsidRPr="008662E4" w:rsidRDefault="00BC3531" w:rsidP="008662E4">
      <w:pPr>
        <w:tabs>
          <w:tab w:val="left" w:pos="1701"/>
        </w:tabs>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VISTO</w:t>
      </w:r>
      <w:r w:rsidR="008662E4" w:rsidRPr="008662E4">
        <w:rPr>
          <w:rFonts w:ascii="Palatino Linotype" w:hAnsi="Palatino Linotype" w:cs="Arial"/>
          <w:sz w:val="24"/>
          <w:szCs w:val="24"/>
        </w:rPr>
        <w:t xml:space="preserve"> </w:t>
      </w:r>
      <w:r w:rsidR="00721642">
        <w:rPr>
          <w:rFonts w:ascii="Palatino Linotype" w:hAnsi="Palatino Linotype" w:cs="Arial"/>
          <w:sz w:val="24"/>
          <w:szCs w:val="24"/>
          <w:lang w:val="es-419"/>
        </w:rPr>
        <w:t>los</w:t>
      </w:r>
      <w:r w:rsidRPr="008662E4">
        <w:rPr>
          <w:rFonts w:ascii="Palatino Linotype" w:hAnsi="Palatino Linotype" w:cs="Arial"/>
          <w:sz w:val="24"/>
          <w:szCs w:val="24"/>
        </w:rPr>
        <w:t xml:space="preserve"> expediente</w:t>
      </w:r>
      <w:r w:rsidR="00721642">
        <w:rPr>
          <w:rFonts w:ascii="Palatino Linotype" w:hAnsi="Palatino Linotype" w:cs="Arial"/>
          <w:sz w:val="24"/>
          <w:szCs w:val="24"/>
          <w:lang w:val="es-419"/>
        </w:rPr>
        <w:t>s</w:t>
      </w:r>
      <w:r w:rsidRPr="008662E4">
        <w:rPr>
          <w:rFonts w:ascii="Palatino Linotype" w:hAnsi="Palatino Linotype" w:cs="Arial"/>
          <w:sz w:val="24"/>
          <w:szCs w:val="24"/>
        </w:rPr>
        <w:t xml:space="preserve"> electrónico</w:t>
      </w:r>
      <w:r w:rsidR="00721642">
        <w:rPr>
          <w:rFonts w:ascii="Palatino Linotype" w:hAnsi="Palatino Linotype" w:cs="Arial"/>
          <w:sz w:val="24"/>
          <w:szCs w:val="24"/>
          <w:lang w:val="es-419"/>
        </w:rPr>
        <w:t>s</w:t>
      </w:r>
      <w:r w:rsidRPr="008662E4">
        <w:rPr>
          <w:rFonts w:ascii="Palatino Linotype" w:hAnsi="Palatino Linotype" w:cs="Arial"/>
          <w:sz w:val="24"/>
          <w:szCs w:val="24"/>
        </w:rPr>
        <w:t xml:space="preserve"> formado</w:t>
      </w:r>
      <w:r w:rsidR="00721642">
        <w:rPr>
          <w:rFonts w:ascii="Palatino Linotype" w:hAnsi="Palatino Linotype" w:cs="Arial"/>
          <w:sz w:val="24"/>
          <w:szCs w:val="24"/>
          <w:lang w:val="es-419"/>
        </w:rPr>
        <w:t>s</w:t>
      </w:r>
      <w:r w:rsidRPr="008662E4">
        <w:rPr>
          <w:rFonts w:ascii="Palatino Linotype" w:hAnsi="Palatino Linotype" w:cs="Arial"/>
          <w:sz w:val="24"/>
          <w:szCs w:val="24"/>
        </w:rPr>
        <w:t xml:space="preserve"> con motivo de</w:t>
      </w:r>
      <w:r w:rsidR="00721642">
        <w:rPr>
          <w:rFonts w:ascii="Palatino Linotype" w:hAnsi="Palatino Linotype" w:cs="Arial"/>
          <w:sz w:val="24"/>
          <w:szCs w:val="24"/>
          <w:lang w:val="es-419"/>
        </w:rPr>
        <w:t xml:space="preserve"> </w:t>
      </w:r>
      <w:r w:rsidRPr="008662E4">
        <w:rPr>
          <w:rFonts w:ascii="Palatino Linotype" w:hAnsi="Palatino Linotype" w:cs="Arial"/>
          <w:sz w:val="24"/>
          <w:szCs w:val="24"/>
        </w:rPr>
        <w:t>l</w:t>
      </w:r>
      <w:r w:rsidR="00721642">
        <w:rPr>
          <w:rFonts w:ascii="Palatino Linotype" w:hAnsi="Palatino Linotype" w:cs="Arial"/>
          <w:sz w:val="24"/>
          <w:szCs w:val="24"/>
          <w:lang w:val="es-419"/>
        </w:rPr>
        <w:t>os</w:t>
      </w:r>
      <w:r w:rsidRPr="008662E4">
        <w:rPr>
          <w:rFonts w:ascii="Palatino Linotype" w:hAnsi="Palatino Linotype" w:cs="Arial"/>
          <w:sz w:val="24"/>
          <w:szCs w:val="24"/>
        </w:rPr>
        <w:t xml:space="preserve"> recurso</w:t>
      </w:r>
      <w:r w:rsidR="00721642">
        <w:rPr>
          <w:rFonts w:ascii="Palatino Linotype" w:hAnsi="Palatino Linotype" w:cs="Arial"/>
          <w:sz w:val="24"/>
          <w:szCs w:val="24"/>
          <w:lang w:val="es-419"/>
        </w:rPr>
        <w:t>s</w:t>
      </w:r>
      <w:r w:rsidRPr="008662E4">
        <w:rPr>
          <w:rFonts w:ascii="Palatino Linotype" w:hAnsi="Palatino Linotype" w:cs="Arial"/>
          <w:sz w:val="24"/>
          <w:szCs w:val="24"/>
        </w:rPr>
        <w:t xml:space="preserve"> de revisión con número </w:t>
      </w:r>
      <w:r w:rsidR="009006F6">
        <w:rPr>
          <w:rFonts w:ascii="Palatino Linotype" w:hAnsi="Palatino Linotype" w:cs="Arial"/>
          <w:b/>
          <w:bCs/>
          <w:sz w:val="24"/>
          <w:szCs w:val="24"/>
          <w:lang w:val="es-419" w:eastAsia="es-MX"/>
        </w:rPr>
        <w:t>16470</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xml:space="preserve"> </w:t>
      </w:r>
      <w:r w:rsidR="009006F6">
        <w:rPr>
          <w:rFonts w:ascii="Palatino Linotype" w:hAnsi="Palatino Linotype" w:cs="Arial"/>
          <w:sz w:val="24"/>
          <w:szCs w:val="24"/>
          <w:lang w:val="es-419"/>
        </w:rPr>
        <w:t xml:space="preserve">y acumulado </w:t>
      </w:r>
      <w:r w:rsidR="009006F6">
        <w:rPr>
          <w:rFonts w:ascii="Palatino Linotype" w:hAnsi="Palatino Linotype" w:cs="Arial"/>
          <w:b/>
          <w:bCs/>
          <w:sz w:val="24"/>
          <w:szCs w:val="24"/>
          <w:lang w:val="es-419" w:eastAsia="es-MX"/>
        </w:rPr>
        <w:t>16606</w:t>
      </w:r>
      <w:r w:rsidR="009006F6" w:rsidRPr="008662E4">
        <w:rPr>
          <w:rFonts w:ascii="Palatino Linotype" w:hAnsi="Palatino Linotype" w:cs="Arial"/>
          <w:b/>
          <w:bCs/>
          <w:sz w:val="24"/>
          <w:szCs w:val="24"/>
          <w:lang w:eastAsia="es-MX"/>
        </w:rPr>
        <w:t>/INFOEM/IP/RR/2022</w:t>
      </w:r>
      <w:r w:rsidR="009006F6">
        <w:rPr>
          <w:rFonts w:ascii="Palatino Linotype" w:hAnsi="Palatino Linotype" w:cs="Arial"/>
          <w:b/>
          <w:bCs/>
          <w:sz w:val="24"/>
          <w:szCs w:val="24"/>
          <w:lang w:val="es-419" w:eastAsia="es-MX"/>
        </w:rPr>
        <w:t xml:space="preserve"> </w:t>
      </w:r>
      <w:r w:rsidRPr="008662E4">
        <w:rPr>
          <w:rFonts w:ascii="Palatino Linotype" w:hAnsi="Palatino Linotype" w:cs="Arial"/>
          <w:sz w:val="24"/>
          <w:szCs w:val="24"/>
        </w:rPr>
        <w:t>promovido</w:t>
      </w:r>
      <w:r w:rsidR="00721642">
        <w:rPr>
          <w:rFonts w:ascii="Palatino Linotype" w:hAnsi="Palatino Linotype" w:cs="Arial"/>
          <w:sz w:val="24"/>
          <w:szCs w:val="24"/>
          <w:lang w:val="es-419"/>
        </w:rPr>
        <w:t>s</w:t>
      </w:r>
      <w:r w:rsidR="008662E4" w:rsidRPr="008662E4">
        <w:rPr>
          <w:rFonts w:ascii="Palatino Linotype" w:hAnsi="Palatino Linotype" w:cs="Arial"/>
          <w:sz w:val="24"/>
          <w:szCs w:val="24"/>
        </w:rPr>
        <w:t xml:space="preserve"> por </w:t>
      </w:r>
      <w:r w:rsidR="009006F6">
        <w:rPr>
          <w:rFonts w:ascii="Palatino Linotype" w:hAnsi="Palatino Linotype" w:cs="Arial"/>
          <w:sz w:val="24"/>
          <w:szCs w:val="24"/>
          <w:lang w:val="es-419"/>
        </w:rPr>
        <w:t xml:space="preserve">el </w:t>
      </w:r>
      <w:r w:rsidR="009006F6" w:rsidRPr="009006F6">
        <w:rPr>
          <w:rFonts w:ascii="Palatino Linotype" w:hAnsi="Palatino Linotype" w:cs="Arial"/>
          <w:b/>
          <w:sz w:val="24"/>
          <w:szCs w:val="24"/>
          <w:lang w:val="es-419"/>
        </w:rPr>
        <w:t xml:space="preserve">C. </w:t>
      </w:r>
      <w:r w:rsidR="00053DD5">
        <w:rPr>
          <w:rFonts w:ascii="Palatino Linotype" w:hAnsi="Palatino Linotype" w:cs="Arial"/>
          <w:b/>
          <w:bCs/>
          <w:sz w:val="24"/>
          <w:lang w:val="es-419" w:eastAsia="es-MX"/>
        </w:rPr>
        <w:t>XXXXXXXXXXXXXXXXX</w:t>
      </w:r>
      <w:r w:rsidR="009006F6" w:rsidRPr="009006F6">
        <w:rPr>
          <w:rFonts w:ascii="Palatino Linotype" w:hAnsi="Palatino Linotype" w:cs="Arial"/>
          <w:b/>
          <w:bCs/>
          <w:sz w:val="24"/>
          <w:lang w:val="es-419" w:eastAsia="es-MX"/>
        </w:rPr>
        <w:t xml:space="preserve"> </w:t>
      </w:r>
      <w:r w:rsidRPr="008662E4">
        <w:rPr>
          <w:rFonts w:ascii="Palatino Linotype" w:hAnsi="Palatino Linotype"/>
          <w:sz w:val="24"/>
          <w:szCs w:val="24"/>
        </w:rPr>
        <w:t>que en lo sucesivo se le denominar</w:t>
      </w:r>
      <w:r w:rsidR="00721642">
        <w:rPr>
          <w:rFonts w:ascii="Palatino Linotype" w:hAnsi="Palatino Linotype"/>
          <w:sz w:val="24"/>
          <w:szCs w:val="24"/>
          <w:lang w:val="es-419"/>
        </w:rPr>
        <w:t xml:space="preserve">á </w:t>
      </w:r>
      <w:r w:rsidRPr="008662E4">
        <w:rPr>
          <w:rFonts w:ascii="Palatino Linotype" w:hAnsi="Palatino Linotype"/>
          <w:sz w:val="24"/>
          <w:szCs w:val="24"/>
        </w:rPr>
        <w:t xml:space="preserve">como </w:t>
      </w:r>
      <w:r w:rsidRPr="008662E4">
        <w:rPr>
          <w:rFonts w:ascii="Palatino Linotype" w:hAnsi="Palatino Linotype"/>
          <w:b/>
          <w:sz w:val="24"/>
          <w:szCs w:val="24"/>
        </w:rPr>
        <w:t>l</w:t>
      </w:r>
      <w:r w:rsidR="00523964">
        <w:rPr>
          <w:rFonts w:ascii="Palatino Linotype" w:hAnsi="Palatino Linotype"/>
          <w:b/>
          <w:sz w:val="24"/>
          <w:szCs w:val="24"/>
          <w:lang w:val="es-419"/>
        </w:rPr>
        <w:t>a</w:t>
      </w:r>
      <w:r w:rsidRPr="008662E4">
        <w:rPr>
          <w:rFonts w:ascii="Palatino Linotype" w:hAnsi="Palatino Linotype"/>
          <w:b/>
          <w:sz w:val="24"/>
          <w:szCs w:val="24"/>
        </w:rPr>
        <w:t xml:space="preserve"> </w:t>
      </w:r>
      <w:r w:rsidR="00673109">
        <w:rPr>
          <w:rFonts w:ascii="Palatino Linotype" w:hAnsi="Palatino Linotype"/>
          <w:b/>
          <w:sz w:val="24"/>
          <w:szCs w:val="24"/>
          <w:lang w:val="es-419"/>
        </w:rPr>
        <w:t xml:space="preserve">parte </w:t>
      </w:r>
      <w:r w:rsidRPr="008662E4">
        <w:rPr>
          <w:rFonts w:ascii="Palatino Linotype" w:hAnsi="Palatino Linotype"/>
          <w:b/>
          <w:sz w:val="24"/>
          <w:szCs w:val="24"/>
        </w:rPr>
        <w:t>Recurrente</w:t>
      </w:r>
      <w:r w:rsidRPr="008662E4">
        <w:rPr>
          <w:rFonts w:ascii="Palatino Linotype" w:hAnsi="Palatino Linotype" w:cs="Arial"/>
          <w:sz w:val="24"/>
          <w:szCs w:val="24"/>
        </w:rPr>
        <w:t>, en contra de la falta de respuesta</w:t>
      </w:r>
      <w:r w:rsidR="00721642">
        <w:rPr>
          <w:rFonts w:ascii="Palatino Linotype" w:hAnsi="Palatino Linotype" w:cs="Arial"/>
          <w:sz w:val="24"/>
          <w:szCs w:val="24"/>
          <w:lang w:val="es-419"/>
        </w:rPr>
        <w:t>s</w:t>
      </w:r>
      <w:r w:rsidRPr="008662E4">
        <w:rPr>
          <w:rFonts w:ascii="Palatino Linotype" w:hAnsi="Palatino Linotype" w:cs="Arial"/>
          <w:sz w:val="24"/>
          <w:szCs w:val="24"/>
        </w:rPr>
        <w:t xml:space="preserve"> del </w:t>
      </w:r>
      <w:r w:rsidR="00721642" w:rsidRPr="009006F6">
        <w:rPr>
          <w:rFonts w:ascii="Palatino Linotype" w:hAnsi="Palatino Linotype" w:cs="Arial"/>
          <w:b/>
          <w:bCs/>
          <w:sz w:val="24"/>
          <w:lang w:val="es-419" w:eastAsia="es-MX"/>
        </w:rPr>
        <w:t>Ayuntamiento de Naucalpan de Juárez</w:t>
      </w:r>
      <w:r w:rsidRPr="008662E4">
        <w:rPr>
          <w:rFonts w:ascii="Palatino Linotype" w:hAnsi="Palatino Linotype" w:cs="Arial"/>
          <w:b/>
          <w:sz w:val="24"/>
          <w:szCs w:val="24"/>
        </w:rPr>
        <w:t xml:space="preserve">, </w:t>
      </w:r>
      <w:r w:rsidRPr="008662E4">
        <w:rPr>
          <w:rFonts w:ascii="Palatino Linotype" w:hAnsi="Palatino Linotype" w:cs="Arial"/>
          <w:sz w:val="24"/>
          <w:szCs w:val="24"/>
        </w:rPr>
        <w:t>en lo subsecuente</w:t>
      </w:r>
      <w:r w:rsidRPr="008662E4">
        <w:rPr>
          <w:rFonts w:ascii="Palatino Linotype" w:hAnsi="Palatino Linotype" w:cs="Arial"/>
          <w:b/>
          <w:sz w:val="24"/>
          <w:szCs w:val="24"/>
        </w:rPr>
        <w:t xml:space="preserve"> el Sujeto Obligado, </w:t>
      </w:r>
      <w:r w:rsidRPr="008662E4">
        <w:rPr>
          <w:rFonts w:ascii="Palatino Linotype" w:hAnsi="Palatino Linotype" w:cs="Arial"/>
          <w:sz w:val="24"/>
          <w:szCs w:val="24"/>
        </w:rPr>
        <w:t>se procede a dictar la presente resolución.</w:t>
      </w:r>
    </w:p>
    <w:p w14:paraId="4953F7CF" w14:textId="77777777" w:rsidR="00BC3531" w:rsidRPr="008662E4" w:rsidRDefault="00BC3531" w:rsidP="008662E4">
      <w:pPr>
        <w:tabs>
          <w:tab w:val="left" w:pos="6960"/>
        </w:tabs>
        <w:spacing w:after="0" w:line="360" w:lineRule="auto"/>
        <w:jc w:val="both"/>
        <w:rPr>
          <w:rFonts w:ascii="Palatino Linotype" w:hAnsi="Palatino Linotype" w:cs="Arial"/>
          <w:sz w:val="24"/>
          <w:szCs w:val="24"/>
        </w:rPr>
      </w:pPr>
    </w:p>
    <w:p w14:paraId="35568EBA" w14:textId="77777777" w:rsidR="00BC3531" w:rsidRPr="008662E4" w:rsidRDefault="00BC3531" w:rsidP="008662E4">
      <w:pPr>
        <w:spacing w:after="0" w:line="360" w:lineRule="auto"/>
        <w:jc w:val="center"/>
        <w:rPr>
          <w:rFonts w:ascii="Palatino Linotype" w:hAnsi="Palatino Linotype" w:cs="Arial"/>
          <w:b/>
          <w:sz w:val="24"/>
          <w:szCs w:val="24"/>
        </w:rPr>
      </w:pPr>
      <w:r w:rsidRPr="008662E4">
        <w:rPr>
          <w:rFonts w:ascii="Palatino Linotype" w:hAnsi="Palatino Linotype" w:cs="Arial"/>
          <w:b/>
          <w:sz w:val="24"/>
          <w:szCs w:val="24"/>
        </w:rPr>
        <w:t>A N T E C E D E N T E S</w:t>
      </w:r>
    </w:p>
    <w:p w14:paraId="54AE36D5" w14:textId="77777777" w:rsidR="00BC3531" w:rsidRPr="008662E4" w:rsidRDefault="00BC3531" w:rsidP="008662E4">
      <w:pPr>
        <w:spacing w:after="0" w:line="360" w:lineRule="auto"/>
        <w:rPr>
          <w:rFonts w:ascii="Palatino Linotype" w:hAnsi="Palatino Linotype" w:cs="Arial"/>
          <w:b/>
          <w:sz w:val="24"/>
          <w:szCs w:val="24"/>
        </w:rPr>
      </w:pPr>
    </w:p>
    <w:p w14:paraId="3A7A6B3C" w14:textId="77777777"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PRIMERO. </w:t>
      </w:r>
      <w:r w:rsidRPr="008662E4">
        <w:rPr>
          <w:rFonts w:ascii="Palatino Linotype" w:hAnsi="Palatino Linotype" w:cs="Arial"/>
          <w:sz w:val="24"/>
          <w:szCs w:val="24"/>
        </w:rPr>
        <w:t>Con fecha</w:t>
      </w:r>
      <w:r w:rsidR="00721642">
        <w:rPr>
          <w:rFonts w:ascii="Palatino Linotype" w:hAnsi="Palatino Linotype" w:cs="Arial"/>
          <w:sz w:val="24"/>
          <w:szCs w:val="24"/>
          <w:lang w:val="es-419"/>
        </w:rPr>
        <w:t>s diez y</w:t>
      </w:r>
      <w:r w:rsidRPr="008662E4">
        <w:rPr>
          <w:rFonts w:ascii="Palatino Linotype" w:hAnsi="Palatino Linotype" w:cs="Arial"/>
          <w:sz w:val="24"/>
          <w:szCs w:val="24"/>
        </w:rPr>
        <w:t xml:space="preserve"> </w:t>
      </w:r>
      <w:r w:rsidR="00673109">
        <w:rPr>
          <w:rFonts w:ascii="Palatino Linotype" w:hAnsi="Palatino Linotype" w:cs="Arial"/>
          <w:sz w:val="24"/>
          <w:szCs w:val="24"/>
          <w:lang w:val="es-419"/>
        </w:rPr>
        <w:t>trece</w:t>
      </w:r>
      <w:r w:rsidRPr="008662E4">
        <w:rPr>
          <w:rFonts w:ascii="Palatino Linotype" w:hAnsi="Palatino Linotype" w:cs="Arial"/>
          <w:sz w:val="24"/>
          <w:szCs w:val="24"/>
        </w:rPr>
        <w:t xml:space="preserve"> de </w:t>
      </w:r>
      <w:r w:rsidR="00721642">
        <w:rPr>
          <w:rFonts w:ascii="Palatino Linotype" w:hAnsi="Palatino Linotype" w:cs="Arial"/>
          <w:sz w:val="24"/>
          <w:szCs w:val="24"/>
          <w:lang w:val="es-419"/>
        </w:rPr>
        <w:t>octubre</w:t>
      </w:r>
      <w:r w:rsidRPr="008662E4">
        <w:rPr>
          <w:rFonts w:ascii="Palatino Linotype" w:hAnsi="Palatino Linotype" w:cs="Arial"/>
          <w:sz w:val="24"/>
          <w:szCs w:val="24"/>
        </w:rPr>
        <w:t xml:space="preserve"> de dos mil veintidós, </w:t>
      </w:r>
      <w:r w:rsidR="0004525A">
        <w:rPr>
          <w:rFonts w:ascii="Palatino Linotype" w:hAnsi="Palatino Linotype" w:cs="Arial"/>
          <w:sz w:val="24"/>
          <w:szCs w:val="24"/>
          <w:lang w:val="es-419"/>
        </w:rPr>
        <w:t>e</w:t>
      </w:r>
      <w:r w:rsidRPr="008662E4">
        <w:rPr>
          <w:rFonts w:ascii="Palatino Linotype" w:hAnsi="Palatino Linotype" w:cs="Arial"/>
          <w:sz w:val="24"/>
          <w:szCs w:val="24"/>
        </w:rPr>
        <w:t>l</w:t>
      </w:r>
      <w:r w:rsidRPr="008662E4">
        <w:rPr>
          <w:rFonts w:ascii="Palatino Linotype" w:hAnsi="Palatino Linotype" w:cs="Arial"/>
          <w:b/>
          <w:sz w:val="24"/>
          <w:szCs w:val="24"/>
        </w:rPr>
        <w:t xml:space="preserve"> Recurrente</w:t>
      </w:r>
      <w:r w:rsidRPr="008662E4">
        <w:rPr>
          <w:rFonts w:ascii="Palatino Linotype" w:hAnsi="Palatino Linotype" w:cs="Arial"/>
          <w:sz w:val="24"/>
          <w:szCs w:val="24"/>
        </w:rPr>
        <w:t xml:space="preserve"> presentó a través del Sistema de Acceso a la Información Mexiquense, en lo posterior el </w:t>
      </w:r>
      <w:r w:rsidRPr="008662E4">
        <w:rPr>
          <w:rFonts w:ascii="Palatino Linotype" w:hAnsi="Palatino Linotype" w:cs="Arial"/>
          <w:b/>
          <w:sz w:val="24"/>
          <w:szCs w:val="24"/>
        </w:rPr>
        <w:t>SAIMEX</w:t>
      </w:r>
      <w:r w:rsidRPr="008662E4">
        <w:rPr>
          <w:rFonts w:ascii="Palatino Linotype" w:hAnsi="Palatino Linotype" w:cs="Arial"/>
          <w:sz w:val="24"/>
          <w:szCs w:val="24"/>
        </w:rPr>
        <w:t xml:space="preserve">, ante </w:t>
      </w:r>
      <w:r w:rsidRPr="008662E4">
        <w:rPr>
          <w:rFonts w:ascii="Palatino Linotype" w:hAnsi="Palatino Linotype" w:cs="Arial"/>
          <w:b/>
          <w:sz w:val="24"/>
          <w:szCs w:val="24"/>
        </w:rPr>
        <w:t>el Sujeto Obligado</w:t>
      </w:r>
      <w:r w:rsidRPr="008662E4">
        <w:rPr>
          <w:rFonts w:ascii="Palatino Linotype" w:hAnsi="Palatino Linotype" w:cs="Arial"/>
          <w:sz w:val="24"/>
          <w:szCs w:val="24"/>
        </w:rPr>
        <w:t xml:space="preserve">, </w:t>
      </w:r>
      <w:r w:rsidR="00433E1F">
        <w:rPr>
          <w:rFonts w:ascii="Palatino Linotype" w:hAnsi="Palatino Linotype" w:cs="Arial"/>
          <w:sz w:val="24"/>
          <w:szCs w:val="24"/>
          <w:lang w:val="es-419"/>
        </w:rPr>
        <w:t>la</w:t>
      </w:r>
      <w:r w:rsidR="00721642">
        <w:rPr>
          <w:rFonts w:ascii="Palatino Linotype" w:hAnsi="Palatino Linotype" w:cs="Arial"/>
          <w:sz w:val="24"/>
          <w:szCs w:val="24"/>
          <w:lang w:val="es-419"/>
        </w:rPr>
        <w:t>s</w:t>
      </w:r>
      <w:r w:rsidR="00433E1F">
        <w:rPr>
          <w:rFonts w:ascii="Palatino Linotype" w:hAnsi="Palatino Linotype" w:cs="Arial"/>
          <w:sz w:val="24"/>
          <w:szCs w:val="24"/>
          <w:lang w:val="es-419"/>
        </w:rPr>
        <w:t xml:space="preserve"> </w:t>
      </w:r>
      <w:r w:rsidRPr="008662E4">
        <w:rPr>
          <w:rFonts w:ascii="Palatino Linotype" w:hAnsi="Palatino Linotype" w:cs="Arial"/>
          <w:sz w:val="24"/>
          <w:szCs w:val="24"/>
        </w:rPr>
        <w:t>solicitud</w:t>
      </w:r>
      <w:r w:rsidR="00721642">
        <w:rPr>
          <w:rFonts w:ascii="Palatino Linotype" w:hAnsi="Palatino Linotype" w:cs="Arial"/>
          <w:sz w:val="24"/>
          <w:szCs w:val="24"/>
          <w:lang w:val="es-419"/>
        </w:rPr>
        <w:t>es</w:t>
      </w:r>
      <w:r w:rsidRPr="008662E4">
        <w:rPr>
          <w:rFonts w:ascii="Palatino Linotype" w:hAnsi="Palatino Linotype" w:cs="Arial"/>
          <w:sz w:val="24"/>
          <w:szCs w:val="24"/>
        </w:rPr>
        <w:t xml:space="preserve"> de acceso a la información pública, registrada</w:t>
      </w:r>
      <w:r w:rsidR="00721642">
        <w:rPr>
          <w:rFonts w:ascii="Palatino Linotype" w:hAnsi="Palatino Linotype" w:cs="Arial"/>
          <w:sz w:val="24"/>
          <w:szCs w:val="24"/>
          <w:lang w:val="es-419"/>
        </w:rPr>
        <w:t>s</w:t>
      </w:r>
      <w:r w:rsidRPr="008662E4">
        <w:rPr>
          <w:rFonts w:ascii="Palatino Linotype" w:hAnsi="Palatino Linotype" w:cs="Arial"/>
          <w:sz w:val="24"/>
          <w:szCs w:val="24"/>
        </w:rPr>
        <w:t xml:space="preserve"> bajo </w:t>
      </w:r>
      <w:r w:rsidR="00721642">
        <w:rPr>
          <w:rFonts w:ascii="Palatino Linotype" w:hAnsi="Palatino Linotype" w:cs="Arial"/>
          <w:sz w:val="24"/>
          <w:szCs w:val="24"/>
          <w:lang w:val="es-419"/>
        </w:rPr>
        <w:t>los</w:t>
      </w:r>
      <w:r w:rsidRPr="008662E4">
        <w:rPr>
          <w:rFonts w:ascii="Palatino Linotype" w:hAnsi="Palatino Linotype" w:cs="Arial"/>
          <w:sz w:val="24"/>
          <w:szCs w:val="24"/>
        </w:rPr>
        <w:t xml:space="preserve"> número</w:t>
      </w:r>
      <w:r w:rsidR="00721642">
        <w:rPr>
          <w:rFonts w:ascii="Palatino Linotype" w:hAnsi="Palatino Linotype" w:cs="Arial"/>
          <w:sz w:val="24"/>
          <w:szCs w:val="24"/>
          <w:lang w:val="es-419"/>
        </w:rPr>
        <w:t>s</w:t>
      </w:r>
      <w:r w:rsidRPr="008662E4">
        <w:rPr>
          <w:rFonts w:ascii="Palatino Linotype" w:hAnsi="Palatino Linotype" w:cs="Arial"/>
          <w:sz w:val="24"/>
          <w:szCs w:val="24"/>
        </w:rPr>
        <w:t xml:space="preserve"> de expediente</w:t>
      </w:r>
      <w:r w:rsidR="00721642">
        <w:rPr>
          <w:rFonts w:ascii="Palatino Linotype" w:hAnsi="Palatino Linotype" w:cs="Arial"/>
          <w:sz w:val="24"/>
          <w:szCs w:val="24"/>
          <w:lang w:val="es-419"/>
        </w:rPr>
        <w:t>s</w:t>
      </w:r>
      <w:r w:rsidRPr="008662E4">
        <w:rPr>
          <w:rFonts w:ascii="Palatino Linotype" w:hAnsi="Palatino Linotype"/>
          <w:sz w:val="24"/>
          <w:szCs w:val="24"/>
        </w:rPr>
        <w:t xml:space="preserve"> </w:t>
      </w:r>
      <w:r w:rsidR="00A23C24">
        <w:rPr>
          <w:rFonts w:ascii="Palatino Linotype" w:hAnsi="Palatino Linotype" w:cs="Arial"/>
          <w:b/>
          <w:sz w:val="24"/>
          <w:szCs w:val="24"/>
          <w:lang w:val="es-419"/>
        </w:rPr>
        <w:t>0089</w:t>
      </w:r>
      <w:r w:rsidR="00721642">
        <w:rPr>
          <w:rFonts w:ascii="Palatino Linotype" w:hAnsi="Palatino Linotype" w:cs="Arial"/>
          <w:b/>
          <w:sz w:val="24"/>
          <w:szCs w:val="24"/>
          <w:lang w:val="es-419"/>
        </w:rPr>
        <w:t>1</w:t>
      </w:r>
      <w:r w:rsidR="00A23C24" w:rsidRPr="008662E4">
        <w:rPr>
          <w:rFonts w:ascii="Palatino Linotype" w:hAnsi="Palatino Linotype" w:cs="Arial"/>
          <w:b/>
          <w:sz w:val="24"/>
          <w:szCs w:val="24"/>
        </w:rPr>
        <w:t>/</w:t>
      </w:r>
      <w:r w:rsidR="00721642">
        <w:rPr>
          <w:rFonts w:ascii="Palatino Linotype" w:hAnsi="Palatino Linotype" w:cs="Arial"/>
          <w:b/>
          <w:sz w:val="24"/>
          <w:szCs w:val="24"/>
          <w:lang w:val="es-419"/>
        </w:rPr>
        <w:t>NAUCALPA</w:t>
      </w:r>
      <w:r w:rsidR="00A23C24" w:rsidRPr="008662E4">
        <w:rPr>
          <w:rFonts w:ascii="Palatino Linotype" w:hAnsi="Palatino Linotype" w:cs="Arial"/>
          <w:b/>
          <w:sz w:val="24"/>
          <w:szCs w:val="24"/>
        </w:rPr>
        <w:t>/IP/2022</w:t>
      </w:r>
      <w:r w:rsidR="00721642">
        <w:rPr>
          <w:rFonts w:ascii="Palatino Linotype" w:hAnsi="Palatino Linotype" w:cs="Arial"/>
          <w:b/>
          <w:sz w:val="24"/>
          <w:szCs w:val="24"/>
          <w:lang w:val="es-419"/>
        </w:rPr>
        <w:t xml:space="preserve"> y 00909</w:t>
      </w:r>
      <w:r w:rsidR="00721642" w:rsidRPr="008662E4">
        <w:rPr>
          <w:rFonts w:ascii="Palatino Linotype" w:hAnsi="Palatino Linotype" w:cs="Arial"/>
          <w:b/>
          <w:sz w:val="24"/>
          <w:szCs w:val="24"/>
        </w:rPr>
        <w:t>/</w:t>
      </w:r>
      <w:r w:rsidR="00721642">
        <w:rPr>
          <w:rFonts w:ascii="Palatino Linotype" w:hAnsi="Palatino Linotype" w:cs="Arial"/>
          <w:b/>
          <w:sz w:val="24"/>
          <w:szCs w:val="24"/>
          <w:lang w:val="es-419"/>
        </w:rPr>
        <w:t>NAUCALPA</w:t>
      </w:r>
      <w:r w:rsidR="00721642" w:rsidRPr="008662E4">
        <w:rPr>
          <w:rFonts w:ascii="Palatino Linotype" w:hAnsi="Palatino Linotype" w:cs="Arial"/>
          <w:b/>
          <w:sz w:val="24"/>
          <w:szCs w:val="24"/>
        </w:rPr>
        <w:t>/IP/2022</w:t>
      </w:r>
      <w:r w:rsidRPr="008662E4">
        <w:rPr>
          <w:rFonts w:ascii="Palatino Linotype" w:hAnsi="Palatino Linotype" w:cs="Arial"/>
          <w:sz w:val="24"/>
          <w:szCs w:val="24"/>
          <w:lang w:eastAsia="es-MX"/>
        </w:rPr>
        <w:t>,</w:t>
      </w:r>
      <w:r w:rsidRPr="008662E4">
        <w:rPr>
          <w:rFonts w:ascii="Palatino Linotype" w:hAnsi="Palatino Linotype" w:cs="Arial"/>
          <w:b/>
          <w:sz w:val="24"/>
          <w:szCs w:val="24"/>
          <w:lang w:eastAsia="es-MX"/>
        </w:rPr>
        <w:t xml:space="preserve"> </w:t>
      </w:r>
      <w:r w:rsidRPr="008662E4">
        <w:rPr>
          <w:rFonts w:ascii="Palatino Linotype" w:hAnsi="Palatino Linotype" w:cs="Arial"/>
          <w:sz w:val="24"/>
          <w:szCs w:val="24"/>
        </w:rPr>
        <w:t>mediante la</w:t>
      </w:r>
      <w:r w:rsidR="00885968">
        <w:rPr>
          <w:rFonts w:ascii="Palatino Linotype" w:hAnsi="Palatino Linotype" w:cs="Arial"/>
          <w:sz w:val="24"/>
          <w:szCs w:val="24"/>
          <w:lang w:val="es-419"/>
        </w:rPr>
        <w:t>s</w:t>
      </w:r>
      <w:r w:rsidRPr="008662E4">
        <w:rPr>
          <w:rFonts w:ascii="Palatino Linotype" w:hAnsi="Palatino Linotype" w:cs="Arial"/>
          <w:sz w:val="24"/>
          <w:szCs w:val="24"/>
        </w:rPr>
        <w:t xml:space="preserve"> cual</w:t>
      </w:r>
      <w:r w:rsidR="00885968">
        <w:rPr>
          <w:rFonts w:ascii="Palatino Linotype" w:hAnsi="Palatino Linotype" w:cs="Arial"/>
          <w:sz w:val="24"/>
          <w:szCs w:val="24"/>
          <w:lang w:val="es-419"/>
        </w:rPr>
        <w:t>es</w:t>
      </w:r>
      <w:r w:rsidRPr="008662E4">
        <w:rPr>
          <w:rFonts w:ascii="Palatino Linotype" w:hAnsi="Palatino Linotype" w:cs="Arial"/>
          <w:sz w:val="24"/>
          <w:szCs w:val="24"/>
        </w:rPr>
        <w:t xml:space="preserve"> solicitó </w:t>
      </w:r>
      <w:r w:rsidR="00885968">
        <w:rPr>
          <w:rFonts w:ascii="Palatino Linotype" w:hAnsi="Palatino Linotype" w:cs="Arial"/>
          <w:sz w:val="24"/>
          <w:szCs w:val="24"/>
          <w:lang w:val="es-419"/>
        </w:rPr>
        <w:t>la siguiente información:</w:t>
      </w:r>
    </w:p>
    <w:p w14:paraId="0570BF2E" w14:textId="77777777" w:rsidR="00BC3531"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51630E25" w14:textId="77777777" w:rsidR="00885968" w:rsidRDefault="00885968" w:rsidP="008662E4">
      <w:pPr>
        <w:tabs>
          <w:tab w:val="left" w:pos="5647"/>
        </w:tabs>
        <w:spacing w:after="0" w:line="360" w:lineRule="auto"/>
        <w:ind w:right="850"/>
        <w:jc w:val="both"/>
        <w:rPr>
          <w:rFonts w:ascii="Palatino Linotype" w:hAnsi="Palatino Linotype" w:cs="Arial"/>
          <w:b/>
          <w:sz w:val="24"/>
          <w:szCs w:val="24"/>
          <w:lang w:val="es-419"/>
        </w:rPr>
      </w:pPr>
      <w:r>
        <w:rPr>
          <w:rFonts w:ascii="Palatino Linotype" w:hAnsi="Palatino Linotype" w:cs="Arial"/>
          <w:b/>
          <w:sz w:val="24"/>
          <w:szCs w:val="24"/>
          <w:lang w:val="es-419"/>
        </w:rPr>
        <w:t>00891</w:t>
      </w:r>
      <w:r w:rsidRPr="008662E4">
        <w:rPr>
          <w:rFonts w:ascii="Palatino Linotype" w:hAnsi="Palatino Linotype" w:cs="Arial"/>
          <w:b/>
          <w:sz w:val="24"/>
          <w:szCs w:val="24"/>
        </w:rPr>
        <w:t>/</w:t>
      </w:r>
      <w:r>
        <w:rPr>
          <w:rFonts w:ascii="Palatino Linotype" w:hAnsi="Palatino Linotype" w:cs="Arial"/>
          <w:b/>
          <w:sz w:val="24"/>
          <w:szCs w:val="24"/>
          <w:lang w:val="es-419"/>
        </w:rPr>
        <w:t>NAUCALPA</w:t>
      </w:r>
      <w:r w:rsidRPr="008662E4">
        <w:rPr>
          <w:rFonts w:ascii="Palatino Linotype" w:hAnsi="Palatino Linotype" w:cs="Arial"/>
          <w:b/>
          <w:sz w:val="24"/>
          <w:szCs w:val="24"/>
        </w:rPr>
        <w:t>/IP/2022</w:t>
      </w:r>
      <w:r>
        <w:rPr>
          <w:rFonts w:ascii="Palatino Linotype" w:hAnsi="Palatino Linotype" w:cs="Arial"/>
          <w:b/>
          <w:sz w:val="24"/>
          <w:szCs w:val="24"/>
          <w:lang w:val="es-419"/>
        </w:rPr>
        <w:t xml:space="preserve"> </w:t>
      </w:r>
    </w:p>
    <w:p w14:paraId="60227163" w14:textId="77777777" w:rsidR="00885968" w:rsidRPr="00885968" w:rsidRDefault="00885968" w:rsidP="00885968">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885968">
        <w:rPr>
          <w:rFonts w:ascii="Palatino Linotype" w:eastAsia="Times New Roman" w:hAnsi="Palatino Linotype" w:cs="Times New Roman"/>
          <w:i/>
          <w:sz w:val="24"/>
          <w:szCs w:val="24"/>
          <w:lang w:val="es-ES_tradnl" w:eastAsia="es-ES"/>
        </w:rPr>
        <w:t>Se solicita en términos de los artículos 1 y 8 constitucionales, la cédula informativa de zonificación del predio ubicado en calle fuente de pirámides 124, lomas de tecamachalco, Naucalpan de Juarez, Estado de México</w:t>
      </w:r>
      <w:r>
        <w:rPr>
          <w:rFonts w:ascii="Palatino Linotype" w:eastAsia="Times New Roman" w:hAnsi="Palatino Linotype" w:cs="Times New Roman"/>
          <w:i/>
          <w:sz w:val="24"/>
          <w:szCs w:val="24"/>
          <w:lang w:val="es-419" w:eastAsia="es-ES"/>
        </w:rPr>
        <w:t>.”</w:t>
      </w:r>
    </w:p>
    <w:p w14:paraId="2464DBE7" w14:textId="77777777" w:rsidR="00885968" w:rsidRDefault="00885968" w:rsidP="008662E4">
      <w:pPr>
        <w:tabs>
          <w:tab w:val="left" w:pos="5647"/>
        </w:tabs>
        <w:spacing w:after="0" w:line="360" w:lineRule="auto"/>
        <w:ind w:right="850"/>
        <w:jc w:val="both"/>
        <w:rPr>
          <w:rFonts w:ascii="Palatino Linotype" w:hAnsi="Palatino Linotype" w:cs="Arial"/>
          <w:b/>
          <w:sz w:val="24"/>
          <w:szCs w:val="24"/>
          <w:lang w:val="es-419"/>
        </w:rPr>
      </w:pPr>
    </w:p>
    <w:p w14:paraId="4C54E6D6" w14:textId="77777777" w:rsidR="00885968" w:rsidRDefault="00885968"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r>
        <w:rPr>
          <w:rFonts w:ascii="Palatino Linotype" w:hAnsi="Palatino Linotype" w:cs="Arial"/>
          <w:b/>
          <w:sz w:val="24"/>
          <w:szCs w:val="24"/>
          <w:lang w:val="es-419"/>
        </w:rPr>
        <w:lastRenderedPageBreak/>
        <w:t>00909</w:t>
      </w:r>
      <w:r w:rsidRPr="008662E4">
        <w:rPr>
          <w:rFonts w:ascii="Palatino Linotype" w:hAnsi="Palatino Linotype" w:cs="Arial"/>
          <w:b/>
          <w:sz w:val="24"/>
          <w:szCs w:val="24"/>
        </w:rPr>
        <w:t>/</w:t>
      </w:r>
      <w:r>
        <w:rPr>
          <w:rFonts w:ascii="Palatino Linotype" w:hAnsi="Palatino Linotype" w:cs="Arial"/>
          <w:b/>
          <w:sz w:val="24"/>
          <w:szCs w:val="24"/>
          <w:lang w:val="es-419"/>
        </w:rPr>
        <w:t>NAUCALPA</w:t>
      </w:r>
      <w:r w:rsidRPr="008662E4">
        <w:rPr>
          <w:rFonts w:ascii="Palatino Linotype" w:hAnsi="Palatino Linotype" w:cs="Arial"/>
          <w:b/>
          <w:sz w:val="24"/>
          <w:szCs w:val="24"/>
        </w:rPr>
        <w:t>/IP/2022</w:t>
      </w:r>
    </w:p>
    <w:p w14:paraId="7028893D" w14:textId="77777777" w:rsidR="00885968" w:rsidRPr="00885968" w:rsidRDefault="00885968" w:rsidP="00885968">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885968">
        <w:rPr>
          <w:rFonts w:ascii="Palatino Linotype" w:eastAsia="Times New Roman" w:hAnsi="Palatino Linotype" w:cs="Times New Roman"/>
          <w:i/>
          <w:sz w:val="24"/>
          <w:szCs w:val="24"/>
          <w:lang w:val="es-ES_tradnl" w:eastAsia="es-ES"/>
        </w:rPr>
        <w:t>En términos de los artículos 1, 6 y 8 de la Constitución Política de los estados unidos mexicanos en relación con los relativos y aplicables de la Ley de Transparencia y Acceso a la Información Pública del Estado de México y Municipios, se solicita nos proporcione por esta vía lo siguiente; el dictamen de riesgo, la autorización de cambio de uso de suelo y la licencia de construcción vigente, de las siguientes construcciones realizadas en los siguientes domicilios: 1.- Avenida de las Fuentes 126, Lomas de Tecamachalco, Naucalpan de Juárez 2.- Fuente del Salvador No. 22, Lomas de Tecamachalco, Naucalpan de Juárez 3.- Calle Ahuehuetes No. 393, Lomas de Tecamachalco, Naucalpan de Juárez 4.- Fuente de Pirámides 212, Lomas de Tecamachalco, Naucalpan de Juárez 5.- Ahuehuetes No. 581, Lomas de Tecamachalco, Naucalpan de Juárez 6.- Fuente de Diana No. 57, Lomas de Tecamachalco, Naucalpan de Juárez 7.- Fuente de Lilas No. 65, Lomas de Tecamachalco, Naucalpan de Juárez Reiterándose que es importante una respuesta expresa de si dichas construcciones cuentan si o no con los documentos solicitados vigentes</w:t>
      </w:r>
      <w:r>
        <w:rPr>
          <w:rFonts w:ascii="Palatino Linotype" w:eastAsia="Times New Roman" w:hAnsi="Palatino Linotype" w:cs="Times New Roman"/>
          <w:i/>
          <w:sz w:val="24"/>
          <w:szCs w:val="24"/>
          <w:lang w:val="es-419" w:eastAsia="es-ES"/>
        </w:rPr>
        <w:t>.”</w:t>
      </w:r>
    </w:p>
    <w:p w14:paraId="5E25DFC5" w14:textId="77777777" w:rsidR="00885968" w:rsidRDefault="00885968"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E067715" w14:textId="77777777"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8662E4">
        <w:rPr>
          <w:rFonts w:ascii="Palatino Linotype" w:eastAsia="Times New Roman" w:hAnsi="Palatino Linotype" w:cs="Times New Roman"/>
          <w:b/>
          <w:sz w:val="24"/>
          <w:szCs w:val="24"/>
          <w:lang w:val="es-ES_tradnl" w:eastAsia="es-ES"/>
        </w:rPr>
        <w:t>Modalidad de entrega:</w:t>
      </w:r>
      <w:r w:rsidRPr="008662E4">
        <w:rPr>
          <w:rFonts w:ascii="Palatino Linotype" w:eastAsia="Times New Roman" w:hAnsi="Palatino Linotype" w:cs="Times New Roman"/>
          <w:sz w:val="24"/>
          <w:szCs w:val="24"/>
          <w:lang w:val="es-ES_tradnl" w:eastAsia="es-ES"/>
        </w:rPr>
        <w:t xml:space="preserve"> A través del SAIMEX</w:t>
      </w:r>
    </w:p>
    <w:p w14:paraId="09135DC3" w14:textId="77777777"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p>
    <w:p w14:paraId="4700C281" w14:textId="77777777"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SEGUNDO. </w:t>
      </w:r>
      <w:r w:rsidRPr="008662E4">
        <w:rPr>
          <w:rFonts w:ascii="Palatino Linotype" w:hAnsi="Palatino Linotype" w:cs="Arial"/>
          <w:sz w:val="24"/>
          <w:szCs w:val="24"/>
        </w:rPr>
        <w:t xml:space="preserve">En </w:t>
      </w:r>
      <w:r w:rsidR="00BA228E">
        <w:rPr>
          <w:rFonts w:ascii="Palatino Linotype" w:hAnsi="Palatino Linotype" w:cs="Arial"/>
          <w:sz w:val="24"/>
          <w:szCs w:val="24"/>
          <w:lang w:val="es-419"/>
        </w:rPr>
        <w:t>e</w:t>
      </w:r>
      <w:r w:rsid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w:t>
      </w:r>
      <w:r w:rsidR="008662E4">
        <w:rPr>
          <w:rFonts w:ascii="Palatino Linotype" w:hAnsi="Palatino Linotype" w:cs="Arial"/>
          <w:sz w:val="24"/>
          <w:szCs w:val="24"/>
        </w:rPr>
        <w:t xml:space="preserve"> del</w:t>
      </w:r>
      <w:r w:rsidRPr="008662E4">
        <w:rPr>
          <w:rFonts w:ascii="Palatino Linotype" w:hAnsi="Palatino Linotype" w:cs="Arial"/>
          <w:sz w:val="24"/>
          <w:szCs w:val="24"/>
        </w:rPr>
        <w:t xml:space="preserve"> SAIMEX, se aprecia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dar respuesta a la</w:t>
      </w:r>
      <w:r w:rsidR="00885968">
        <w:rPr>
          <w:rFonts w:ascii="Palatino Linotype" w:hAnsi="Palatino Linotype" w:cs="Arial"/>
          <w:sz w:val="24"/>
          <w:szCs w:val="24"/>
          <w:lang w:val="es-419"/>
        </w:rPr>
        <w:t>s</w:t>
      </w:r>
      <w:r w:rsidRPr="008662E4">
        <w:rPr>
          <w:rFonts w:ascii="Palatino Linotype" w:hAnsi="Palatino Linotype" w:cs="Arial"/>
          <w:sz w:val="24"/>
          <w:szCs w:val="24"/>
        </w:rPr>
        <w:t xml:space="preserve"> solicitud</w:t>
      </w:r>
      <w:r w:rsidR="00885968">
        <w:rPr>
          <w:rFonts w:ascii="Palatino Linotype" w:hAnsi="Palatino Linotype" w:cs="Arial"/>
          <w:sz w:val="24"/>
          <w:szCs w:val="24"/>
          <w:lang w:val="es-419"/>
        </w:rPr>
        <w:t>es</w:t>
      </w:r>
      <w:r w:rsidRPr="008662E4">
        <w:rPr>
          <w:rFonts w:ascii="Palatino Linotype" w:hAnsi="Palatino Linotype" w:cs="Arial"/>
          <w:sz w:val="24"/>
          <w:szCs w:val="24"/>
        </w:rPr>
        <w:t xml:space="preserve"> de información presentada</w:t>
      </w:r>
      <w:r w:rsidR="00885968">
        <w:rPr>
          <w:rFonts w:ascii="Palatino Linotype" w:hAnsi="Palatino Linotype" w:cs="Arial"/>
          <w:sz w:val="24"/>
          <w:szCs w:val="24"/>
          <w:lang w:val="es-419"/>
        </w:rPr>
        <w:t>s</w:t>
      </w:r>
      <w:r w:rsidRPr="008662E4">
        <w:rPr>
          <w:rFonts w:ascii="Palatino Linotype" w:hAnsi="Palatino Linotype" w:cs="Arial"/>
          <w:sz w:val="24"/>
          <w:szCs w:val="24"/>
        </w:rPr>
        <w:t xml:space="preserve">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03329F57" w14:textId="77777777" w:rsidR="00BC3531" w:rsidRPr="008662E4" w:rsidRDefault="00BC3531" w:rsidP="008662E4">
      <w:pPr>
        <w:spacing w:after="0" w:line="360" w:lineRule="auto"/>
        <w:jc w:val="both"/>
        <w:rPr>
          <w:rFonts w:ascii="Palatino Linotype" w:hAnsi="Palatino Linotype" w:cs="Arial"/>
          <w:sz w:val="24"/>
          <w:szCs w:val="24"/>
        </w:rPr>
      </w:pPr>
    </w:p>
    <w:p w14:paraId="4817833A" w14:textId="77777777"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eastAsia="es-ES"/>
        </w:rPr>
        <w:t>TERCERO</w:t>
      </w:r>
      <w:r w:rsidRPr="008662E4">
        <w:rPr>
          <w:rFonts w:ascii="Palatino Linotype" w:hAnsi="Palatino Linotype" w:cs="Arial"/>
          <w:sz w:val="24"/>
          <w:szCs w:val="24"/>
        </w:rPr>
        <w:t>. Inconforme ante la falta de respuesta</w:t>
      </w:r>
      <w:r w:rsidR="00C70309">
        <w:rPr>
          <w:rFonts w:ascii="Palatino Linotype" w:hAnsi="Palatino Linotype" w:cs="Arial"/>
          <w:sz w:val="24"/>
          <w:szCs w:val="24"/>
          <w:lang w:val="es-419"/>
        </w:rPr>
        <w:t>s</w:t>
      </w:r>
      <w:r w:rsidRPr="008662E4">
        <w:rPr>
          <w:rFonts w:ascii="Palatino Linotype" w:hAnsi="Palatino Linotype" w:cs="Arial"/>
          <w:sz w:val="24"/>
          <w:szCs w:val="24"/>
        </w:rPr>
        <w:t xml:space="preserve">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la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fecha</w:t>
      </w:r>
      <w:r w:rsidR="00C70309">
        <w:rPr>
          <w:rFonts w:ascii="Palatino Linotype" w:hAnsi="Palatino Linotype" w:cs="Arial"/>
          <w:sz w:val="24"/>
          <w:szCs w:val="24"/>
          <w:lang w:val="es-419"/>
        </w:rPr>
        <w:t>s</w:t>
      </w:r>
      <w:r w:rsidRPr="008662E4">
        <w:rPr>
          <w:rFonts w:ascii="Palatino Linotype" w:hAnsi="Palatino Linotype" w:cs="Arial"/>
          <w:sz w:val="24"/>
          <w:szCs w:val="24"/>
        </w:rPr>
        <w:t xml:space="preserve"> </w:t>
      </w:r>
      <w:r w:rsidR="00C70309">
        <w:rPr>
          <w:rFonts w:ascii="Palatino Linotype" w:hAnsi="Palatino Linotype" w:cs="Arial"/>
          <w:b/>
          <w:sz w:val="24"/>
          <w:szCs w:val="24"/>
          <w:lang w:val="es-419"/>
        </w:rPr>
        <w:t xml:space="preserve">catorce y dieciséis </w:t>
      </w:r>
      <w:r w:rsidRPr="008662E4">
        <w:rPr>
          <w:rFonts w:ascii="Palatino Linotype" w:hAnsi="Palatino Linotype" w:cs="Arial"/>
          <w:b/>
          <w:sz w:val="24"/>
          <w:szCs w:val="24"/>
        </w:rPr>
        <w:t xml:space="preserve">de </w:t>
      </w:r>
      <w:r w:rsidR="00C70309">
        <w:rPr>
          <w:rFonts w:ascii="Palatino Linotype" w:hAnsi="Palatino Linotype" w:cs="Arial"/>
          <w:b/>
          <w:sz w:val="24"/>
          <w:szCs w:val="24"/>
          <w:lang w:val="es-419"/>
        </w:rPr>
        <w:t>noviembre</w:t>
      </w:r>
      <w:r w:rsidR="00673109">
        <w:rPr>
          <w:rFonts w:ascii="Palatino Linotype" w:hAnsi="Palatino Linotype" w:cs="Arial"/>
          <w:b/>
          <w:sz w:val="24"/>
          <w:szCs w:val="24"/>
          <w:lang w:val="es-419"/>
        </w:rPr>
        <w:t xml:space="preserve"> </w:t>
      </w:r>
      <w:r w:rsidRPr="008662E4">
        <w:rPr>
          <w:rFonts w:ascii="Palatino Linotype" w:hAnsi="Palatino Linotype" w:cs="Arial"/>
          <w:b/>
          <w:sz w:val="24"/>
          <w:szCs w:val="24"/>
        </w:rPr>
        <w:t>de dos mil veintidós</w:t>
      </w:r>
      <w:r w:rsidRPr="008662E4">
        <w:rPr>
          <w:rFonts w:ascii="Palatino Linotype" w:hAnsi="Palatino Linotype" w:cs="Arial"/>
          <w:sz w:val="24"/>
          <w:szCs w:val="24"/>
        </w:rPr>
        <w:t>, interpuso recurso</w:t>
      </w:r>
      <w:r w:rsidR="00C70309">
        <w:rPr>
          <w:rFonts w:ascii="Palatino Linotype" w:hAnsi="Palatino Linotype" w:cs="Arial"/>
          <w:sz w:val="24"/>
          <w:szCs w:val="24"/>
          <w:lang w:val="es-419"/>
        </w:rPr>
        <w:t>s</w:t>
      </w:r>
      <w:r w:rsidRPr="008662E4">
        <w:rPr>
          <w:rFonts w:ascii="Palatino Linotype" w:hAnsi="Palatino Linotype" w:cs="Arial"/>
          <w:sz w:val="24"/>
          <w:szCs w:val="24"/>
        </w:rPr>
        <w:t xml:space="preserve"> de revisión, que fue</w:t>
      </w:r>
      <w:r w:rsidR="00C70309">
        <w:rPr>
          <w:rFonts w:ascii="Palatino Linotype" w:hAnsi="Palatino Linotype" w:cs="Arial"/>
          <w:sz w:val="24"/>
          <w:szCs w:val="24"/>
          <w:lang w:val="es-419"/>
        </w:rPr>
        <w:t>ron</w:t>
      </w:r>
      <w:r w:rsidRPr="008662E4">
        <w:rPr>
          <w:rFonts w:ascii="Palatino Linotype" w:hAnsi="Palatino Linotype" w:cs="Arial"/>
          <w:sz w:val="24"/>
          <w:szCs w:val="24"/>
        </w:rPr>
        <w:t xml:space="preserve"> registrado</w:t>
      </w:r>
      <w:r w:rsidR="00C70309">
        <w:rPr>
          <w:rFonts w:ascii="Palatino Linotype" w:hAnsi="Palatino Linotype" w:cs="Arial"/>
          <w:sz w:val="24"/>
          <w:szCs w:val="24"/>
          <w:lang w:val="es-419"/>
        </w:rPr>
        <w:t>s</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en el sistema electrónico con número de expediente </w:t>
      </w:r>
      <w:r w:rsidR="00C70309">
        <w:rPr>
          <w:rFonts w:ascii="Palatino Linotype" w:hAnsi="Palatino Linotype" w:cs="Arial"/>
          <w:b/>
          <w:bCs/>
          <w:sz w:val="24"/>
          <w:szCs w:val="24"/>
          <w:lang w:val="es-419" w:eastAsia="es-MX"/>
        </w:rPr>
        <w:t>16470</w:t>
      </w:r>
      <w:r w:rsidRPr="008662E4">
        <w:rPr>
          <w:rFonts w:ascii="Palatino Linotype" w:hAnsi="Palatino Linotype" w:cs="Arial"/>
          <w:b/>
          <w:bCs/>
          <w:sz w:val="24"/>
          <w:szCs w:val="24"/>
          <w:lang w:eastAsia="es-MX"/>
        </w:rPr>
        <w:t>/INFOEM/IP/RR/2022</w:t>
      </w:r>
      <w:r w:rsidR="00C70309">
        <w:rPr>
          <w:rFonts w:ascii="Palatino Linotype" w:hAnsi="Palatino Linotype" w:cs="Arial"/>
          <w:b/>
          <w:bCs/>
          <w:sz w:val="24"/>
          <w:szCs w:val="24"/>
          <w:lang w:val="es-419" w:eastAsia="es-MX"/>
        </w:rPr>
        <w:t xml:space="preserve"> y 16606</w:t>
      </w:r>
      <w:r w:rsidR="00C70309"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aduciendo</w:t>
      </w:r>
      <w:r w:rsidR="00156EAB">
        <w:rPr>
          <w:rFonts w:ascii="Palatino Linotype" w:hAnsi="Palatino Linotype" w:cs="Arial"/>
          <w:sz w:val="24"/>
          <w:szCs w:val="24"/>
          <w:lang w:val="es-419"/>
        </w:rPr>
        <w:t>, respectivamente las siguientes manifestaciones</w:t>
      </w:r>
      <w:r w:rsidRPr="008662E4">
        <w:rPr>
          <w:rFonts w:ascii="Palatino Linotype" w:hAnsi="Palatino Linotype" w:cs="Arial"/>
          <w:sz w:val="24"/>
          <w:szCs w:val="24"/>
        </w:rPr>
        <w:t>:</w:t>
      </w:r>
    </w:p>
    <w:p w14:paraId="491231DF" w14:textId="77777777" w:rsidR="00BC3531" w:rsidRDefault="00BC3531" w:rsidP="008662E4">
      <w:pPr>
        <w:spacing w:after="0" w:line="360" w:lineRule="auto"/>
        <w:jc w:val="both"/>
        <w:rPr>
          <w:rFonts w:ascii="Palatino Linotype" w:hAnsi="Palatino Linotype" w:cs="Arial"/>
          <w:b/>
          <w:sz w:val="24"/>
          <w:szCs w:val="24"/>
        </w:rPr>
      </w:pPr>
    </w:p>
    <w:p w14:paraId="5A1014C6" w14:textId="77777777" w:rsidR="00BC3531" w:rsidRDefault="00BC3531" w:rsidP="008662E4">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14:paraId="35F9C4D3" w14:textId="77777777" w:rsidR="00BC3531" w:rsidRPr="00BA228E" w:rsidRDefault="00BC3531" w:rsidP="00C4537F">
      <w:pPr>
        <w:spacing w:after="0" w:line="24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326991" w:rsidRPr="00326991">
        <w:rPr>
          <w:rFonts w:ascii="Palatino Linotype" w:hAnsi="Palatino Linotype" w:cs="Arial"/>
          <w:i/>
          <w:sz w:val="24"/>
          <w:szCs w:val="24"/>
        </w:rPr>
        <w:t>La falta de respuesta y omisión por parte dela autoridad en el tiempo previsto en ley para proporcionarme la información y documentación solicitada, con lo que viola en mi perjuicio lo dispuesto en el artículo 8 Constitucional y demás relativos y aplicables de las ley de transparencia y acceso a la información.</w:t>
      </w:r>
      <w:r w:rsidRPr="00BA228E">
        <w:rPr>
          <w:rFonts w:ascii="Palatino Linotype" w:hAnsi="Palatino Linotype" w:cs="Arial"/>
          <w:i/>
          <w:sz w:val="24"/>
          <w:szCs w:val="24"/>
        </w:rPr>
        <w:t>” (sic)</w:t>
      </w:r>
    </w:p>
    <w:p w14:paraId="4A00A4C6" w14:textId="77777777" w:rsidR="00BC3531" w:rsidRPr="00326991" w:rsidRDefault="00BC3531" w:rsidP="00326991">
      <w:pPr>
        <w:spacing w:after="0" w:line="240" w:lineRule="auto"/>
        <w:ind w:left="567" w:right="567"/>
        <w:jc w:val="both"/>
        <w:rPr>
          <w:rFonts w:ascii="Palatino Linotype" w:hAnsi="Palatino Linotype" w:cs="Arial"/>
          <w:i/>
          <w:sz w:val="24"/>
          <w:szCs w:val="24"/>
        </w:rPr>
      </w:pPr>
    </w:p>
    <w:p w14:paraId="15BE1CC5" w14:textId="77777777" w:rsidR="00326991" w:rsidRPr="00326991" w:rsidRDefault="00326991" w:rsidP="00326991">
      <w:pPr>
        <w:spacing w:after="0" w:line="240" w:lineRule="auto"/>
        <w:ind w:left="567" w:right="567"/>
        <w:jc w:val="both"/>
        <w:rPr>
          <w:rFonts w:ascii="Palatino Linotype" w:hAnsi="Palatino Linotype" w:cs="Arial"/>
          <w:i/>
          <w:sz w:val="24"/>
          <w:szCs w:val="24"/>
          <w:lang w:val="es-419"/>
        </w:rPr>
      </w:pPr>
      <w:r>
        <w:rPr>
          <w:rFonts w:ascii="Palatino Linotype" w:hAnsi="Palatino Linotype" w:cs="Arial"/>
          <w:i/>
          <w:sz w:val="24"/>
          <w:szCs w:val="24"/>
          <w:lang w:val="es-419"/>
        </w:rPr>
        <w:t>“</w:t>
      </w:r>
      <w:r w:rsidRPr="00326991">
        <w:rPr>
          <w:rFonts w:ascii="Palatino Linotype" w:hAnsi="Palatino Linotype" w:cs="Arial"/>
          <w:i/>
          <w:sz w:val="24"/>
          <w:szCs w:val="24"/>
        </w:rPr>
        <w:t>La falta de respuesta y omisión por parte dela autoridad en el tiempo previsto en ley para proporcionarme la información y documentación solicitada, por esta vía, y que que señalaba como fecha de vencimiento con ampliación del plazo el día 15 de noviembre de 2022, sin embargo no se me ha notificado, es decir el sujeto obligado fue omiso de manera arbitraria en proporcionar la información y documentación solicitada, con lo que viola en mi perjuicio lo dispuesto en el artículo 8 Constitucional y demás relativos y aplicables de las ley de transparencia y acceso a la información.</w:t>
      </w:r>
      <w:r>
        <w:rPr>
          <w:rFonts w:ascii="Palatino Linotype" w:hAnsi="Palatino Linotype" w:cs="Arial"/>
          <w:i/>
          <w:sz w:val="24"/>
          <w:szCs w:val="24"/>
          <w:lang w:val="es-419"/>
        </w:rPr>
        <w:t>” (sic)</w:t>
      </w:r>
    </w:p>
    <w:p w14:paraId="39626711" w14:textId="77777777" w:rsidR="00326991" w:rsidRPr="008662E4" w:rsidRDefault="00326991" w:rsidP="008662E4">
      <w:pPr>
        <w:spacing w:after="0" w:line="360" w:lineRule="auto"/>
        <w:jc w:val="both"/>
        <w:rPr>
          <w:rFonts w:ascii="Palatino Linotype" w:hAnsi="Palatino Linotype" w:cs="Arial"/>
          <w:sz w:val="24"/>
          <w:szCs w:val="24"/>
        </w:rPr>
      </w:pPr>
    </w:p>
    <w:p w14:paraId="0F18C52E" w14:textId="77777777" w:rsidR="00BC3531" w:rsidRDefault="00BC3531" w:rsidP="008662E4">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14:paraId="44512C8F" w14:textId="77777777" w:rsidR="00BC3531" w:rsidRPr="00326991" w:rsidRDefault="00BC3531" w:rsidP="00C4537F">
      <w:pPr>
        <w:spacing w:after="0" w:line="24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326991" w:rsidRPr="00326991">
        <w:rPr>
          <w:rFonts w:ascii="Palatino Linotype" w:hAnsi="Palatino Linotype" w:cs="Arial"/>
          <w:i/>
          <w:sz w:val="24"/>
          <w:szCs w:val="24"/>
        </w:rPr>
        <w:t>La falta de respuesta y omisión por parte dela autoridad en el tiempo previsto en ley para proporcionarme la información y documentación solicitada, con lo que viola en mi perjuicio lo dispuesto en el artículo 8 Constitucional y demás relativos y aplicables de las ley de transparencia y acceso a la información.</w:t>
      </w:r>
      <w:r w:rsidRPr="008662E4">
        <w:rPr>
          <w:rFonts w:ascii="Palatino Linotype" w:hAnsi="Palatino Linotype" w:cs="Arial"/>
          <w:i/>
          <w:sz w:val="24"/>
          <w:szCs w:val="24"/>
        </w:rPr>
        <w:t>”</w:t>
      </w:r>
      <w:r w:rsidR="006205C6" w:rsidRPr="00326991">
        <w:rPr>
          <w:rFonts w:ascii="Palatino Linotype" w:hAnsi="Palatino Linotype" w:cs="Arial"/>
          <w:i/>
          <w:sz w:val="24"/>
          <w:szCs w:val="24"/>
        </w:rPr>
        <w:t xml:space="preserve"> (sic)</w:t>
      </w:r>
    </w:p>
    <w:p w14:paraId="79274249" w14:textId="77777777" w:rsidR="00BC3531" w:rsidRDefault="00BC3531" w:rsidP="008662E4">
      <w:pPr>
        <w:pStyle w:val="Citas"/>
        <w:spacing w:before="0" w:after="0"/>
        <w:ind w:left="0" w:right="72"/>
        <w:rPr>
          <w:i w:val="0"/>
          <w:sz w:val="24"/>
          <w:szCs w:val="24"/>
        </w:rPr>
      </w:pPr>
    </w:p>
    <w:p w14:paraId="7226F0A3" w14:textId="77777777" w:rsidR="00326991" w:rsidRPr="00326991" w:rsidRDefault="00326991" w:rsidP="00326991">
      <w:pPr>
        <w:spacing w:after="0" w:line="240" w:lineRule="auto"/>
        <w:ind w:left="567" w:right="567"/>
        <w:jc w:val="both"/>
        <w:rPr>
          <w:rFonts w:ascii="Palatino Linotype" w:hAnsi="Palatino Linotype" w:cs="Arial"/>
          <w:i/>
          <w:sz w:val="24"/>
          <w:szCs w:val="24"/>
          <w:lang w:val="es-419"/>
        </w:rPr>
      </w:pPr>
      <w:r>
        <w:rPr>
          <w:rFonts w:ascii="Palatino Linotype" w:hAnsi="Palatino Linotype" w:cs="Arial"/>
          <w:i/>
          <w:sz w:val="24"/>
          <w:szCs w:val="24"/>
          <w:lang w:val="es-419"/>
        </w:rPr>
        <w:t>“</w:t>
      </w:r>
      <w:r w:rsidRPr="00326991">
        <w:rPr>
          <w:rFonts w:ascii="Palatino Linotype" w:hAnsi="Palatino Linotype" w:cs="Arial"/>
          <w:i/>
          <w:sz w:val="24"/>
          <w:szCs w:val="24"/>
        </w:rPr>
        <w:t xml:space="preserve">La falta de respuesta y omisión por parte dela autoridad en el tiempo previsto en ley para proporcionarme la información y documentación solicitada, por esta vía, y que que señalaba como fecha de vencimiento con ampliación del plazo el día 15 de </w:t>
      </w:r>
      <w:r w:rsidRPr="00326991">
        <w:rPr>
          <w:rFonts w:ascii="Palatino Linotype" w:hAnsi="Palatino Linotype" w:cs="Arial"/>
          <w:i/>
          <w:sz w:val="24"/>
          <w:szCs w:val="24"/>
        </w:rPr>
        <w:lastRenderedPageBreak/>
        <w:t>noviembre de 2022, sin embargo no se me ha notificado, es decir el sujeto obligado fue omiso de manera arbitraria en proporcionar la información y documentación solicitada, con lo que viola en mi perjuicio lo dispuesto en el artículo 8 Constitucional y demás relativos y aplicables de las ley de transparencia y acceso a la información.</w:t>
      </w:r>
      <w:r>
        <w:rPr>
          <w:rFonts w:ascii="Palatino Linotype" w:hAnsi="Palatino Linotype" w:cs="Arial"/>
          <w:i/>
          <w:sz w:val="24"/>
          <w:szCs w:val="24"/>
          <w:lang w:val="es-419"/>
        </w:rPr>
        <w:t>” (sic)</w:t>
      </w:r>
    </w:p>
    <w:p w14:paraId="5AEAA2D0" w14:textId="77777777" w:rsidR="00326991" w:rsidRPr="008662E4" w:rsidRDefault="00326991" w:rsidP="008662E4">
      <w:pPr>
        <w:pStyle w:val="Citas"/>
        <w:spacing w:before="0" w:after="0"/>
        <w:ind w:left="0" w:right="72"/>
        <w:rPr>
          <w:i w:val="0"/>
          <w:sz w:val="24"/>
          <w:szCs w:val="24"/>
        </w:rPr>
      </w:pPr>
    </w:p>
    <w:p w14:paraId="7674DA4E" w14:textId="77777777" w:rsidR="00326991" w:rsidRPr="006F5062" w:rsidRDefault="00326991" w:rsidP="00326991">
      <w:pPr>
        <w:spacing w:after="0" w:line="360" w:lineRule="auto"/>
        <w:jc w:val="both"/>
        <w:rPr>
          <w:rFonts w:ascii="Palatino Linotype" w:hAnsi="Palatino Linotype" w:cs="Arial"/>
          <w:sz w:val="24"/>
          <w:szCs w:val="24"/>
        </w:rPr>
      </w:pPr>
      <w:r w:rsidRPr="006F5062">
        <w:rPr>
          <w:rFonts w:ascii="Palatino Linotype" w:hAnsi="Palatino Linotype" w:cs="Arial"/>
          <w:b/>
          <w:sz w:val="28"/>
          <w:szCs w:val="24"/>
        </w:rPr>
        <w:t>CUARTO.</w:t>
      </w:r>
      <w:r w:rsidRPr="006F5062">
        <w:rPr>
          <w:rFonts w:ascii="Palatino Linotype" w:hAnsi="Palatino Linotype" w:cs="Arial"/>
          <w:b/>
          <w:sz w:val="24"/>
          <w:szCs w:val="24"/>
        </w:rPr>
        <w:t xml:space="preserve"> Del turno de los recursos de revisión.</w:t>
      </w:r>
      <w:r w:rsidRPr="006F5062">
        <w:rPr>
          <w:rFonts w:ascii="Palatino Linotype" w:hAnsi="Palatino Linotype" w:cs="Arial"/>
          <w:sz w:val="24"/>
          <w:szCs w:val="24"/>
        </w:rPr>
        <w:t xml:space="preserve"> </w:t>
      </w:r>
    </w:p>
    <w:p w14:paraId="7BE7CCE1" w14:textId="77777777" w:rsidR="00326991" w:rsidRPr="006F5062" w:rsidRDefault="00326991" w:rsidP="00326991">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El medio de impugnación presentado mediante el recurso de revisión número </w:t>
      </w:r>
      <w:r>
        <w:rPr>
          <w:rFonts w:ascii="Palatino Linotype" w:hAnsi="Palatino Linotype" w:cs="Arial"/>
          <w:b/>
          <w:sz w:val="24"/>
          <w:szCs w:val="24"/>
          <w:lang w:val="es-419"/>
        </w:rPr>
        <w:t>16470</w:t>
      </w:r>
      <w:r w:rsidRPr="006F5062">
        <w:rPr>
          <w:rFonts w:ascii="Palatino Linotype" w:hAnsi="Palatino Linotype" w:cs="Arial"/>
          <w:b/>
          <w:sz w:val="24"/>
          <w:szCs w:val="24"/>
        </w:rPr>
        <w:t>/INFOEM/IP/RR/2022</w:t>
      </w:r>
      <w:r w:rsidRPr="006F5062">
        <w:rPr>
          <w:rFonts w:ascii="Palatino Linotype" w:hAnsi="Palatino Linotype" w:cs="Arial"/>
          <w:sz w:val="24"/>
          <w:szCs w:val="24"/>
        </w:rPr>
        <w:t xml:space="preserve">, le fue turnado al </w:t>
      </w:r>
      <w:r w:rsidRPr="006F5062">
        <w:rPr>
          <w:rFonts w:ascii="Palatino Linotype" w:hAnsi="Palatino Linotype" w:cs="Arial"/>
          <w:b/>
          <w:sz w:val="24"/>
          <w:szCs w:val="24"/>
        </w:rPr>
        <w:t>Comisionado Presidente José Martínez Vilchis</w:t>
      </w:r>
      <w:r w:rsidRPr="006F5062">
        <w:rPr>
          <w:rFonts w:ascii="Palatino Linotype" w:hAnsi="Palatino Linotype" w:cs="Arial"/>
          <w:sz w:val="24"/>
          <w:szCs w:val="24"/>
        </w:rPr>
        <w:t xml:space="preserve">; y </w:t>
      </w:r>
      <w:r w:rsidRPr="006F5062">
        <w:rPr>
          <w:rFonts w:ascii="Palatino Linotype" w:hAnsi="Palatino Linotype" w:cs="Arial"/>
          <w:sz w:val="24"/>
          <w:szCs w:val="24"/>
          <w:lang w:val="es-419"/>
        </w:rPr>
        <w:t>e</w:t>
      </w:r>
      <w:r w:rsidRPr="006F5062">
        <w:rPr>
          <w:rFonts w:ascii="Palatino Linotype" w:hAnsi="Palatino Linotype" w:cs="Arial"/>
          <w:sz w:val="24"/>
          <w:szCs w:val="24"/>
        </w:rPr>
        <w:t xml:space="preserve">l recurso de revisión </w:t>
      </w:r>
      <w:r>
        <w:rPr>
          <w:rFonts w:ascii="Palatino Linotype" w:hAnsi="Palatino Linotype" w:cs="Arial"/>
          <w:b/>
          <w:sz w:val="24"/>
          <w:szCs w:val="24"/>
          <w:lang w:val="es-419"/>
        </w:rPr>
        <w:t>16606</w:t>
      </w:r>
      <w:r w:rsidRPr="006F5062">
        <w:rPr>
          <w:rFonts w:ascii="Palatino Linotype" w:hAnsi="Palatino Linotype" w:cs="Arial"/>
          <w:b/>
          <w:sz w:val="24"/>
          <w:szCs w:val="24"/>
        </w:rPr>
        <w:t>/INFOEM/IP/RR/2022</w:t>
      </w:r>
      <w:r w:rsidRPr="006F5062">
        <w:rPr>
          <w:rFonts w:ascii="Palatino Linotype" w:hAnsi="Palatino Linotype" w:cs="Arial"/>
          <w:sz w:val="24"/>
          <w:szCs w:val="24"/>
        </w:rPr>
        <w:t xml:space="preserve"> fue turnado a la ponencia del </w:t>
      </w:r>
      <w:r w:rsidRPr="006F5062">
        <w:rPr>
          <w:rFonts w:ascii="Palatino Linotype" w:hAnsi="Palatino Linotype" w:cs="Arial"/>
          <w:b/>
          <w:sz w:val="24"/>
          <w:szCs w:val="24"/>
        </w:rPr>
        <w:t>Comisionad</w:t>
      </w:r>
      <w:r>
        <w:rPr>
          <w:rFonts w:ascii="Palatino Linotype" w:hAnsi="Palatino Linotype" w:cs="Arial"/>
          <w:b/>
          <w:sz w:val="24"/>
          <w:szCs w:val="24"/>
          <w:lang w:val="es-419"/>
        </w:rPr>
        <w:t>o Luis Gustavo Parra Noriega</w:t>
      </w:r>
      <w:r w:rsidRPr="006F5062">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6F5062">
        <w:rPr>
          <w:rFonts w:ascii="Palatino Linotype" w:hAnsi="Palatino Linotype" w:cs="Arial"/>
          <w:b/>
          <w:sz w:val="24"/>
          <w:szCs w:val="24"/>
        </w:rPr>
        <w:t>a los cuales recayeron los respectivos acuerdos de admisión</w:t>
      </w:r>
      <w:r w:rsidRPr="006F5062">
        <w:rPr>
          <w:rFonts w:ascii="Palatino Linotype" w:hAnsi="Palatino Linotype" w:cs="Arial"/>
          <w:b/>
          <w:sz w:val="24"/>
          <w:szCs w:val="24"/>
          <w:lang w:val="es-419"/>
        </w:rPr>
        <w:t xml:space="preserve"> en fecha </w:t>
      </w:r>
      <w:r>
        <w:rPr>
          <w:rFonts w:ascii="Palatino Linotype" w:hAnsi="Palatino Linotype" w:cs="Arial"/>
          <w:b/>
          <w:sz w:val="24"/>
          <w:szCs w:val="24"/>
          <w:lang w:val="es-419"/>
        </w:rPr>
        <w:t xml:space="preserve">veintidós </w:t>
      </w:r>
      <w:r w:rsidRPr="006F5062">
        <w:rPr>
          <w:rFonts w:ascii="Palatino Linotype" w:hAnsi="Palatino Linotype" w:cs="Arial"/>
          <w:b/>
          <w:sz w:val="24"/>
          <w:szCs w:val="24"/>
          <w:lang w:val="es-419"/>
        </w:rPr>
        <w:t xml:space="preserve">de </w:t>
      </w:r>
      <w:r>
        <w:rPr>
          <w:rFonts w:ascii="Palatino Linotype" w:hAnsi="Palatino Linotype" w:cs="Arial"/>
          <w:b/>
          <w:sz w:val="24"/>
          <w:szCs w:val="24"/>
          <w:lang w:val="es-419"/>
        </w:rPr>
        <w:t>noviembre</w:t>
      </w:r>
      <w:r w:rsidRPr="006F5062">
        <w:rPr>
          <w:rFonts w:ascii="Palatino Linotype" w:hAnsi="Palatino Linotype" w:cs="Arial"/>
          <w:b/>
          <w:sz w:val="24"/>
          <w:szCs w:val="24"/>
          <w:lang w:val="es-419"/>
        </w:rPr>
        <w:t xml:space="preserve"> de dos mil veintidós </w:t>
      </w:r>
      <w:r w:rsidRPr="006F5062">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06ABDF55" w14:textId="77777777" w:rsidR="00326991" w:rsidRPr="006F5062" w:rsidRDefault="00326991" w:rsidP="00326991">
      <w:pPr>
        <w:spacing w:after="0" w:line="360" w:lineRule="auto"/>
        <w:jc w:val="both"/>
        <w:rPr>
          <w:rFonts w:ascii="Palatino Linotype" w:hAnsi="Palatino Linotype" w:cs="Arial"/>
          <w:sz w:val="24"/>
          <w:szCs w:val="24"/>
        </w:rPr>
      </w:pPr>
    </w:p>
    <w:p w14:paraId="0AA382A5" w14:textId="77777777" w:rsidR="00326991" w:rsidRPr="006F5062" w:rsidRDefault="00326991" w:rsidP="00326991">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En la </w:t>
      </w:r>
      <w:r w:rsidRPr="00326991">
        <w:rPr>
          <w:rFonts w:ascii="Palatino Linotype" w:hAnsi="Palatino Linotype" w:cs="Arial"/>
          <w:b/>
          <w:sz w:val="24"/>
          <w:szCs w:val="24"/>
        </w:rPr>
        <w:t>Cuadragésima Tercera Sesión Ordinaria celebrada el 30 de noviembre de 2022</w:t>
      </w:r>
      <w:r w:rsidRPr="006F5062">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3DD7A159" w14:textId="77777777" w:rsidR="00326991" w:rsidRPr="006F5062" w:rsidRDefault="00326991" w:rsidP="00326991">
      <w:pPr>
        <w:spacing w:after="0" w:line="360" w:lineRule="auto"/>
        <w:jc w:val="both"/>
        <w:rPr>
          <w:rFonts w:ascii="Palatino Linotype" w:hAnsi="Palatino Linotype" w:cs="Arial"/>
          <w:sz w:val="24"/>
          <w:szCs w:val="24"/>
        </w:rPr>
      </w:pPr>
    </w:p>
    <w:p w14:paraId="1455B005" w14:textId="77777777" w:rsidR="00326991" w:rsidRPr="006F5062" w:rsidRDefault="00326991" w:rsidP="00326991">
      <w:pPr>
        <w:spacing w:after="0" w:line="360" w:lineRule="auto"/>
        <w:ind w:left="851" w:right="425"/>
        <w:jc w:val="both"/>
        <w:rPr>
          <w:rFonts w:ascii="Palatino Linotype" w:hAnsi="Palatino Linotype" w:cs="Arial"/>
          <w:b/>
          <w:i/>
          <w:sz w:val="24"/>
          <w:szCs w:val="24"/>
        </w:rPr>
      </w:pPr>
      <w:r w:rsidRPr="006F5062">
        <w:rPr>
          <w:rFonts w:ascii="Palatino Linotype" w:hAnsi="Palatino Linotype" w:cs="Arial"/>
          <w:b/>
          <w:i/>
          <w:sz w:val="24"/>
          <w:szCs w:val="24"/>
        </w:rPr>
        <w:t>Código de Procedimientos Administrativos del Estado de México</w:t>
      </w:r>
    </w:p>
    <w:p w14:paraId="364E7DBE" w14:textId="77777777" w:rsidR="00326991" w:rsidRPr="006F5062" w:rsidRDefault="00326991" w:rsidP="00326991">
      <w:pPr>
        <w:spacing w:after="0" w:line="360" w:lineRule="auto"/>
        <w:ind w:left="851" w:right="425"/>
        <w:jc w:val="both"/>
        <w:rPr>
          <w:rFonts w:ascii="Palatino Linotype" w:hAnsi="Palatino Linotype" w:cs="Arial"/>
          <w:b/>
          <w:i/>
          <w:sz w:val="24"/>
          <w:szCs w:val="24"/>
        </w:rPr>
      </w:pPr>
    </w:p>
    <w:p w14:paraId="7C3AB843" w14:textId="77777777" w:rsidR="00326991" w:rsidRPr="006F5062" w:rsidRDefault="00326991" w:rsidP="00326991">
      <w:pPr>
        <w:spacing w:after="0" w:line="360" w:lineRule="auto"/>
        <w:ind w:left="851" w:right="425"/>
        <w:jc w:val="both"/>
        <w:rPr>
          <w:rFonts w:ascii="Palatino Linotype" w:hAnsi="Palatino Linotype" w:cs="Arial"/>
          <w:i/>
          <w:sz w:val="24"/>
          <w:szCs w:val="24"/>
        </w:rPr>
      </w:pPr>
      <w:r w:rsidRPr="006F5062">
        <w:rPr>
          <w:rFonts w:ascii="Palatino Linotype" w:hAnsi="Palatino Linotype" w:cs="Arial"/>
          <w:b/>
          <w:i/>
          <w:sz w:val="24"/>
          <w:szCs w:val="24"/>
        </w:rPr>
        <w:t>Artículo 18.-</w:t>
      </w:r>
      <w:r w:rsidRPr="006F5062">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73BBE529" w14:textId="77777777" w:rsidR="00326991" w:rsidRPr="006F5062" w:rsidRDefault="00326991" w:rsidP="00326991">
      <w:pPr>
        <w:spacing w:after="0" w:line="360" w:lineRule="auto"/>
        <w:ind w:left="851" w:right="425"/>
        <w:jc w:val="both"/>
        <w:rPr>
          <w:rFonts w:ascii="Palatino Linotype" w:hAnsi="Palatino Linotype" w:cs="Arial"/>
          <w:i/>
          <w:sz w:val="24"/>
          <w:szCs w:val="24"/>
        </w:rPr>
      </w:pPr>
    </w:p>
    <w:p w14:paraId="0A535BCC" w14:textId="77777777" w:rsidR="00326991" w:rsidRPr="006F5062" w:rsidRDefault="00326991" w:rsidP="00326991">
      <w:pPr>
        <w:spacing w:after="0" w:line="360" w:lineRule="auto"/>
        <w:ind w:left="851" w:right="425"/>
        <w:jc w:val="both"/>
        <w:rPr>
          <w:rFonts w:ascii="Palatino Linotype" w:hAnsi="Palatino Linotype" w:cs="Arial"/>
          <w:b/>
          <w:i/>
          <w:sz w:val="24"/>
          <w:szCs w:val="24"/>
        </w:rPr>
      </w:pPr>
      <w:r w:rsidRPr="006F5062">
        <w:rPr>
          <w:rFonts w:ascii="Palatino Linotype" w:hAnsi="Palatino Linotype" w:cs="Arial"/>
          <w:b/>
          <w:i/>
          <w:sz w:val="24"/>
          <w:szCs w:val="24"/>
        </w:rPr>
        <w:t>Ley de Transparencia y Acceso a la Información Pública del Estado de México y Municipios.</w:t>
      </w:r>
    </w:p>
    <w:p w14:paraId="3AF54500" w14:textId="77777777" w:rsidR="00326991" w:rsidRPr="006F5062" w:rsidRDefault="00326991" w:rsidP="00326991">
      <w:pPr>
        <w:spacing w:after="0" w:line="360" w:lineRule="auto"/>
        <w:ind w:left="851" w:right="425"/>
        <w:jc w:val="both"/>
        <w:rPr>
          <w:rFonts w:ascii="Palatino Linotype" w:hAnsi="Palatino Linotype" w:cs="Arial"/>
          <w:b/>
          <w:i/>
          <w:sz w:val="24"/>
          <w:szCs w:val="24"/>
        </w:rPr>
      </w:pPr>
    </w:p>
    <w:p w14:paraId="6E64EB10" w14:textId="77777777" w:rsidR="00326991" w:rsidRPr="006F5062" w:rsidRDefault="00326991" w:rsidP="00326991">
      <w:pPr>
        <w:spacing w:after="0" w:line="360" w:lineRule="auto"/>
        <w:ind w:left="851" w:right="425"/>
        <w:jc w:val="both"/>
        <w:rPr>
          <w:rFonts w:ascii="Palatino Linotype" w:hAnsi="Palatino Linotype" w:cs="Arial"/>
          <w:i/>
          <w:sz w:val="24"/>
          <w:szCs w:val="24"/>
        </w:rPr>
      </w:pPr>
      <w:r w:rsidRPr="006F5062">
        <w:rPr>
          <w:rFonts w:ascii="Palatino Linotype" w:hAnsi="Palatino Linotype" w:cs="Arial"/>
          <w:b/>
          <w:i/>
          <w:sz w:val="24"/>
          <w:szCs w:val="24"/>
        </w:rPr>
        <w:t>Artículo 195.</w:t>
      </w:r>
      <w:r w:rsidRPr="006F5062">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309AAB64" w14:textId="77777777" w:rsidR="00326991" w:rsidRPr="006F5062" w:rsidRDefault="00326991" w:rsidP="003269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ADE86E" w14:textId="77777777" w:rsidR="000613EF" w:rsidRDefault="00BC3531" w:rsidP="008662E4">
      <w:pPr>
        <w:spacing w:after="0" w:line="360" w:lineRule="auto"/>
        <w:ind w:right="49"/>
        <w:jc w:val="both"/>
        <w:rPr>
          <w:rFonts w:ascii="Palatino Linotype" w:eastAsia="Times New Roman" w:hAnsi="Palatino Linotype"/>
          <w:sz w:val="24"/>
          <w:szCs w:val="24"/>
          <w:lang w:val="es-ES" w:eastAsia="es-ES"/>
        </w:rPr>
      </w:pPr>
      <w:r w:rsidRPr="008662E4">
        <w:rPr>
          <w:rFonts w:ascii="Palatino Linotype" w:eastAsia="Times New Roman" w:hAnsi="Palatino Linotype" w:cs="Arial"/>
          <w:b/>
          <w:sz w:val="24"/>
          <w:szCs w:val="24"/>
          <w:lang w:val="es-ES_tradnl" w:eastAsia="es-ES"/>
        </w:rPr>
        <w:t xml:space="preserve">QUINTO. </w:t>
      </w:r>
      <w:r w:rsidRPr="008662E4">
        <w:rPr>
          <w:rFonts w:ascii="Palatino Linotype" w:eastAsia="Times New Roman" w:hAnsi="Palatino Linotype" w:cs="Arial"/>
          <w:sz w:val="24"/>
          <w:szCs w:val="24"/>
          <w:lang w:val="es-ES_tradnl" w:eastAsia="es-ES"/>
        </w:rPr>
        <w:t>E</w:t>
      </w:r>
      <w:r w:rsidRPr="008662E4">
        <w:rPr>
          <w:rFonts w:ascii="Palatino Linotype" w:eastAsia="Times New Roman" w:hAnsi="Palatino Linotype" w:cs="Arial"/>
          <w:sz w:val="24"/>
          <w:szCs w:val="24"/>
          <w:lang w:val="es-ES" w:eastAsia="es-ES"/>
        </w:rPr>
        <w:t xml:space="preserve">n fecha </w:t>
      </w:r>
      <w:r w:rsidR="003B5528">
        <w:rPr>
          <w:rFonts w:ascii="Palatino Linotype" w:eastAsia="Times New Roman" w:hAnsi="Palatino Linotype" w:cs="Arial"/>
          <w:b/>
          <w:sz w:val="24"/>
          <w:szCs w:val="24"/>
          <w:lang w:val="es-419" w:eastAsia="es-ES"/>
        </w:rPr>
        <w:t>doce</w:t>
      </w:r>
      <w:r w:rsidR="00E172E3" w:rsidRPr="00E172E3">
        <w:rPr>
          <w:rFonts w:ascii="Palatino Linotype" w:eastAsia="Times New Roman" w:hAnsi="Palatino Linotype" w:cs="Arial"/>
          <w:b/>
          <w:sz w:val="24"/>
          <w:szCs w:val="24"/>
          <w:lang w:val="es-419" w:eastAsia="es-ES"/>
        </w:rPr>
        <w:t xml:space="preserve"> </w:t>
      </w:r>
      <w:r w:rsidRPr="00E172E3">
        <w:rPr>
          <w:rFonts w:ascii="Palatino Linotype" w:eastAsia="Times New Roman" w:hAnsi="Palatino Linotype" w:cs="Arial"/>
          <w:b/>
          <w:sz w:val="24"/>
          <w:szCs w:val="24"/>
          <w:lang w:val="es-ES" w:eastAsia="es-ES"/>
        </w:rPr>
        <w:t xml:space="preserve">de </w:t>
      </w:r>
      <w:r w:rsidR="006205C6">
        <w:rPr>
          <w:rFonts w:ascii="Palatino Linotype" w:eastAsia="Times New Roman" w:hAnsi="Palatino Linotype" w:cs="Arial"/>
          <w:b/>
          <w:sz w:val="24"/>
          <w:szCs w:val="24"/>
          <w:lang w:val="es-419" w:eastAsia="es-ES"/>
        </w:rPr>
        <w:t>octubre</w:t>
      </w:r>
      <w:r w:rsidR="00CF121F">
        <w:rPr>
          <w:rFonts w:ascii="Palatino Linotype" w:eastAsia="Times New Roman" w:hAnsi="Palatino Linotype" w:cs="Arial"/>
          <w:b/>
          <w:sz w:val="24"/>
          <w:szCs w:val="24"/>
          <w:lang w:val="es-419" w:eastAsia="es-ES"/>
        </w:rPr>
        <w:t xml:space="preserve"> </w:t>
      </w:r>
      <w:r w:rsidRPr="00E172E3">
        <w:rPr>
          <w:rFonts w:ascii="Palatino Linotype" w:eastAsia="Times New Roman" w:hAnsi="Palatino Linotype" w:cs="Arial"/>
          <w:b/>
          <w:sz w:val="24"/>
          <w:szCs w:val="24"/>
          <w:lang w:val="es-ES" w:eastAsia="es-ES"/>
        </w:rPr>
        <w:t>de dos mil veintidós</w:t>
      </w:r>
      <w:r w:rsidRPr="008662E4">
        <w:rPr>
          <w:rFonts w:ascii="Palatino Linotype" w:eastAsia="Times New Roman" w:hAnsi="Palatino Linotype" w:cs="Arial"/>
          <w:sz w:val="24"/>
          <w:szCs w:val="24"/>
          <w:lang w:val="es-ES" w:eastAsia="es-ES"/>
        </w:rPr>
        <w:t xml:space="preserve">, atento a lo dispuesto en el </w:t>
      </w:r>
      <w:r w:rsidRPr="008662E4">
        <w:rPr>
          <w:rFonts w:ascii="Palatino Linotype" w:eastAsia="Times New Roman" w:hAnsi="Palatino Linotype" w:cs="Arial"/>
          <w:sz w:val="24"/>
          <w:szCs w:val="24"/>
          <w:lang w:val="es-ES_tradnl" w:eastAsia="es-ES"/>
        </w:rPr>
        <w:t>artículo</w:t>
      </w:r>
      <w:r w:rsidRPr="008662E4">
        <w:rPr>
          <w:rFonts w:ascii="Palatino Linotype" w:eastAsia="Times New Roman" w:hAnsi="Palatino Linotype" w:cs="Arial"/>
          <w:sz w:val="24"/>
          <w:szCs w:val="24"/>
          <w:lang w:val="es-ES" w:eastAsia="es-ES"/>
        </w:rPr>
        <w:t xml:space="preserve"> 185 fracciones I, II y IV </w:t>
      </w:r>
      <w:r w:rsidRPr="008662E4">
        <w:rPr>
          <w:rFonts w:ascii="Palatino Linotype" w:eastAsia="Times New Roman" w:hAnsi="Palatino Linotype" w:cs="Arial"/>
          <w:sz w:val="24"/>
          <w:szCs w:val="24"/>
          <w:lang w:val="es-ES_tradnl" w:eastAsia="es-ES"/>
        </w:rPr>
        <w:t xml:space="preserve">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662E4">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Pr>
          <w:rFonts w:ascii="Palatino Linotype" w:eastAsia="Times New Roman" w:hAnsi="Palatino Linotype" w:cs="Arial"/>
          <w:sz w:val="24"/>
          <w:szCs w:val="24"/>
          <w:lang w:val="es-419" w:eastAsia="es-ES"/>
        </w:rPr>
        <w:t>o</w:t>
      </w:r>
      <w:r w:rsidRPr="008662E4">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w:t>
      </w:r>
      <w:r w:rsidRPr="0056127E">
        <w:rPr>
          <w:rFonts w:ascii="Palatino Linotype" w:eastAsia="Times New Roman" w:hAnsi="Palatino Linotype" w:cs="Arial"/>
          <w:sz w:val="24"/>
          <w:szCs w:val="24"/>
          <w:lang w:val="es-ES" w:eastAsia="es-ES"/>
        </w:rPr>
        <w:t>xhibiera el informe j</w:t>
      </w:r>
      <w:r w:rsidR="0056127E" w:rsidRPr="0056127E">
        <w:rPr>
          <w:rFonts w:ascii="Palatino Linotype" w:eastAsia="Times New Roman" w:hAnsi="Palatino Linotype" w:cs="Arial"/>
          <w:sz w:val="24"/>
          <w:szCs w:val="24"/>
          <w:lang w:val="es-ES" w:eastAsia="es-ES"/>
        </w:rPr>
        <w:t>ustificado, según fuera el caso, por lo que el recurrente</w:t>
      </w:r>
      <w:r w:rsidR="0056127E">
        <w:rPr>
          <w:rFonts w:ascii="Palatino Linotype" w:eastAsia="Times New Roman" w:hAnsi="Palatino Linotype" w:cs="Arial"/>
          <w:sz w:val="24"/>
          <w:szCs w:val="24"/>
          <w:lang w:val="es-ES" w:eastAsia="es-ES"/>
        </w:rPr>
        <w:t xml:space="preserve"> </w:t>
      </w:r>
      <w:r w:rsidR="000613EF">
        <w:rPr>
          <w:rFonts w:ascii="Palatino Linotype" w:eastAsia="Times New Roman" w:hAnsi="Palatino Linotype" w:cs="Arial"/>
          <w:sz w:val="24"/>
          <w:szCs w:val="24"/>
          <w:lang w:val="es-ES" w:eastAsia="es-ES"/>
        </w:rPr>
        <w:t xml:space="preserve">en ambos recursos de revisión llevó a cabo sus alegatos, contenidos en el </w:t>
      </w:r>
      <w:r w:rsidR="000613EF">
        <w:rPr>
          <w:rFonts w:ascii="Palatino Linotype" w:eastAsia="Times New Roman" w:hAnsi="Palatino Linotype" w:cs="Arial"/>
          <w:sz w:val="24"/>
          <w:szCs w:val="24"/>
          <w:lang w:val="es-ES" w:eastAsia="es-ES"/>
        </w:rPr>
        <w:lastRenderedPageBreak/>
        <w:t>documento electrónico denominado “</w:t>
      </w:r>
      <w:r w:rsidR="000613EF" w:rsidRPr="000613EF">
        <w:rPr>
          <w:rFonts w:ascii="Palatino Linotype" w:eastAsia="Times New Roman" w:hAnsi="Palatino Linotype"/>
          <w:b/>
          <w:i/>
          <w:sz w:val="24"/>
          <w:szCs w:val="24"/>
          <w:lang w:val="es-ES" w:eastAsia="es-ES"/>
        </w:rPr>
        <w:t>ALEGATOS- SAIMEX-.docx</w:t>
      </w:r>
      <w:r w:rsidR="000613EF">
        <w:rPr>
          <w:rFonts w:ascii="Palatino Linotype" w:eastAsia="Times New Roman" w:hAnsi="Palatino Linotype"/>
          <w:sz w:val="24"/>
          <w:szCs w:val="24"/>
          <w:lang w:val="es-ES" w:eastAsia="es-ES"/>
        </w:rPr>
        <w:t>”, en el cual esgrime lo siguiente:</w:t>
      </w:r>
    </w:p>
    <w:p w14:paraId="02BA9A48" w14:textId="77777777" w:rsidR="000613EF" w:rsidRDefault="000613EF" w:rsidP="008662E4">
      <w:pPr>
        <w:spacing w:after="0" w:line="360" w:lineRule="auto"/>
        <w:ind w:right="49"/>
        <w:jc w:val="both"/>
        <w:rPr>
          <w:rFonts w:ascii="Palatino Linotype" w:eastAsia="Times New Roman" w:hAnsi="Palatino Linotype"/>
          <w:sz w:val="24"/>
          <w:szCs w:val="24"/>
          <w:lang w:val="es-ES" w:eastAsia="es-ES"/>
        </w:rPr>
      </w:pPr>
    </w:p>
    <w:p w14:paraId="4BBD7939" w14:textId="77777777" w:rsidR="00A833D2" w:rsidRPr="00BE44A0" w:rsidRDefault="00A833D2" w:rsidP="00A833D2">
      <w:pPr>
        <w:spacing w:after="0" w:line="240" w:lineRule="auto"/>
        <w:ind w:left="851" w:right="567"/>
        <w:jc w:val="center"/>
        <w:rPr>
          <w:rFonts w:ascii="Palatino Linotype" w:hAnsi="Palatino Linotype" w:cs="Times New Roman"/>
          <w:b/>
          <w:bCs/>
          <w:i/>
        </w:rPr>
      </w:pPr>
      <w:r>
        <w:rPr>
          <w:rFonts w:ascii="Palatino Linotype" w:hAnsi="Palatino Linotype" w:cs="Times New Roman"/>
          <w:b/>
          <w:bCs/>
          <w:i/>
        </w:rPr>
        <w:t>“</w:t>
      </w:r>
      <w:r w:rsidRPr="00BE44A0">
        <w:rPr>
          <w:rFonts w:ascii="Palatino Linotype" w:hAnsi="Palatino Linotype" w:cs="Times New Roman"/>
          <w:b/>
          <w:bCs/>
          <w:i/>
        </w:rPr>
        <w:t>ALEGATOS</w:t>
      </w:r>
    </w:p>
    <w:p w14:paraId="3EE05AF9" w14:textId="77777777" w:rsidR="00A833D2" w:rsidRPr="00BE44A0" w:rsidRDefault="00A833D2" w:rsidP="00A833D2">
      <w:pPr>
        <w:spacing w:after="0" w:line="240" w:lineRule="auto"/>
        <w:ind w:left="851" w:right="567"/>
        <w:jc w:val="both"/>
        <w:rPr>
          <w:rFonts w:ascii="Palatino Linotype" w:hAnsi="Palatino Linotype" w:cs="Times New Roman"/>
          <w:i/>
        </w:rPr>
      </w:pPr>
    </w:p>
    <w:p w14:paraId="400ED614" w14:textId="77777777" w:rsidR="00A833D2" w:rsidRPr="00BE44A0" w:rsidRDefault="00A833D2" w:rsidP="00A833D2">
      <w:pPr>
        <w:spacing w:after="0" w:line="240" w:lineRule="auto"/>
        <w:ind w:left="851" w:right="567"/>
        <w:jc w:val="both"/>
        <w:rPr>
          <w:rFonts w:ascii="Palatino Linotype" w:hAnsi="Palatino Linotype" w:cs="Times New Roman"/>
          <w:i/>
        </w:rPr>
      </w:pPr>
      <w:r w:rsidRPr="00BE44A0">
        <w:rPr>
          <w:rFonts w:ascii="Palatino Linotype" w:hAnsi="Palatino Linotype" w:cs="Times New Roman"/>
          <w:i/>
        </w:rPr>
        <w:t>Los presentes alegatos se presentan en contra de un acto negativo de carácter continuo o de tracto sucesivo, en el caso se ha excedido el plazo pertinente para actualizar la violación al derecho de petición. En ese tenor, resulta aplicable el siguiente criterio sustentado por el Poder Judicial de la Federación:</w:t>
      </w:r>
    </w:p>
    <w:p w14:paraId="14378C05" w14:textId="77777777" w:rsidR="00A833D2" w:rsidRPr="00BE44A0" w:rsidRDefault="00A833D2" w:rsidP="00A833D2">
      <w:pPr>
        <w:spacing w:after="0" w:line="240" w:lineRule="auto"/>
        <w:ind w:left="851" w:right="567"/>
        <w:jc w:val="both"/>
        <w:rPr>
          <w:rFonts w:ascii="Palatino Linotype" w:hAnsi="Palatino Linotype" w:cs="Times New Roman"/>
          <w:i/>
        </w:rPr>
      </w:pPr>
    </w:p>
    <w:p w14:paraId="32034B9F" w14:textId="77777777" w:rsidR="00A833D2" w:rsidRPr="00BE44A0" w:rsidRDefault="00A833D2" w:rsidP="00A833D2">
      <w:pPr>
        <w:spacing w:after="0" w:line="240" w:lineRule="auto"/>
        <w:ind w:left="851" w:right="567"/>
        <w:jc w:val="both"/>
        <w:rPr>
          <w:rFonts w:ascii="Palatino Linotype" w:hAnsi="Palatino Linotype" w:cs="Times New Roman"/>
          <w:i/>
        </w:rPr>
      </w:pPr>
      <w:r w:rsidRPr="00BE44A0">
        <w:rPr>
          <w:rFonts w:ascii="Palatino Linotype" w:hAnsi="Palatino Linotype" w:cs="Times New Roman"/>
          <w:b/>
          <w:i/>
        </w:rPr>
        <w:t>ACTO DE CARÁCTER NEGATIVO. LO CONSTITUYE LA OMISIÓN DE RESOLVER SOBRE LA ADMISIÓN DE PRUEBAS, POR LO QUE NO ESTÁ SUJETO AL PLAZO QUE PARA INTERPONER LA DEMANDA DE GARANTÍAS PREVÉ EL ARTÍCULO 21 DE LA LEY DE AMPARO.</w:t>
      </w:r>
      <w:r w:rsidRPr="00BE44A0">
        <w:rPr>
          <w:rFonts w:ascii="Palatino Linotype" w:hAnsi="Palatino Linotype" w:cs="Times New Roman"/>
          <w:i/>
        </w:rPr>
        <w:t xml:space="preserve"> El acto reclamado que se hace consistir en la omisión de resolver lo conducente respecto a la admisión de pruebas ofrecidas por las partes, tiene el carácter de acto negativo y, como tal, es de tracto sucesivo porque la violación se actualiza de momento a momento, por tratarse de un hecho continuo que no se agota una vez producido, sino hasta en tanto cese la negativa u omisión de que se trata. Por tanto, no está sujeto al término de quince días a que alude el artículo 21 de la Ley de Amparo, sino que puede reclamarse en cualquier momento</w:t>
      </w:r>
    </w:p>
    <w:p w14:paraId="4378E841" w14:textId="77777777" w:rsidR="00A833D2" w:rsidRPr="00BE44A0" w:rsidRDefault="00A833D2" w:rsidP="00A833D2">
      <w:pPr>
        <w:spacing w:after="0" w:line="240" w:lineRule="auto"/>
        <w:ind w:left="851" w:right="567"/>
        <w:jc w:val="both"/>
        <w:rPr>
          <w:rFonts w:ascii="Palatino Linotype" w:hAnsi="Palatino Linotype" w:cs="Times New Roman"/>
          <w:i/>
        </w:rPr>
      </w:pPr>
    </w:p>
    <w:p w14:paraId="1072E91F" w14:textId="77777777" w:rsidR="00A833D2" w:rsidRPr="00BE44A0" w:rsidRDefault="00A833D2" w:rsidP="00A833D2">
      <w:pPr>
        <w:spacing w:after="0" w:line="240" w:lineRule="auto"/>
        <w:ind w:left="851" w:right="567"/>
        <w:jc w:val="both"/>
        <w:rPr>
          <w:rFonts w:ascii="Palatino Linotype" w:hAnsi="Palatino Linotype" w:cs="Times New Roman"/>
          <w:b/>
          <w:bCs/>
          <w:i/>
        </w:rPr>
      </w:pPr>
      <w:r w:rsidRPr="00BE44A0">
        <w:rPr>
          <w:rFonts w:ascii="Palatino Linotype" w:hAnsi="Palatino Linotype" w:cs="Times New Roman"/>
          <w:b/>
          <w:bCs/>
          <w:i/>
        </w:rPr>
        <w:t xml:space="preserve">DERECHOS FUNDAMENTALES, PRINCIPIOS Y GARANTÍAS VIOLADAS. </w:t>
      </w:r>
    </w:p>
    <w:p w14:paraId="23660622" w14:textId="77777777" w:rsidR="00A833D2" w:rsidRPr="00BE44A0" w:rsidRDefault="00A833D2" w:rsidP="00A833D2">
      <w:pPr>
        <w:spacing w:after="0" w:line="240" w:lineRule="auto"/>
        <w:ind w:left="851" w:right="567"/>
        <w:jc w:val="both"/>
        <w:rPr>
          <w:rFonts w:ascii="Palatino Linotype" w:hAnsi="Palatino Linotype" w:cs="Times New Roman"/>
          <w:b/>
          <w:bCs/>
          <w:i/>
        </w:rPr>
      </w:pPr>
    </w:p>
    <w:p w14:paraId="1C05FEDA" w14:textId="77777777" w:rsidR="00A833D2" w:rsidRPr="00BE44A0" w:rsidRDefault="00A833D2" w:rsidP="00A833D2">
      <w:pPr>
        <w:spacing w:after="0" w:line="240" w:lineRule="auto"/>
        <w:ind w:left="851" w:right="567"/>
        <w:jc w:val="both"/>
        <w:rPr>
          <w:rFonts w:ascii="Palatino Linotype" w:hAnsi="Palatino Linotype" w:cs="Times New Roman"/>
          <w:i/>
        </w:rPr>
      </w:pPr>
      <w:r w:rsidRPr="00BE44A0">
        <w:rPr>
          <w:rFonts w:ascii="Palatino Linotype" w:hAnsi="Palatino Linotype" w:cs="Times New Roman"/>
          <w:i/>
        </w:rPr>
        <w:t>Los derechos, garantías y principios contenidos en los artículos 1, 8 y 14 de la Constitución Política de los Estados Unidos Mexicanos, así como el artículo 7.5 de la Convención Americana sobre Derechos Humanos, en concreto el derecho de petición.</w:t>
      </w:r>
    </w:p>
    <w:p w14:paraId="2D0EA306" w14:textId="77777777" w:rsidR="00A833D2" w:rsidRPr="00BE44A0" w:rsidRDefault="00A833D2" w:rsidP="00A833D2">
      <w:pPr>
        <w:spacing w:after="0" w:line="240" w:lineRule="auto"/>
        <w:ind w:left="851" w:right="567"/>
        <w:jc w:val="both"/>
        <w:rPr>
          <w:rFonts w:ascii="Palatino Linotype" w:hAnsi="Palatino Linotype" w:cs="Times New Roman"/>
          <w:b/>
          <w:bCs/>
          <w:i/>
        </w:rPr>
      </w:pPr>
    </w:p>
    <w:p w14:paraId="2590EF01" w14:textId="77777777" w:rsidR="00A833D2" w:rsidRPr="00BE44A0" w:rsidRDefault="00A833D2" w:rsidP="00A833D2">
      <w:pPr>
        <w:spacing w:after="0" w:line="240" w:lineRule="auto"/>
        <w:ind w:left="851" w:right="567"/>
        <w:jc w:val="both"/>
        <w:rPr>
          <w:rFonts w:ascii="Palatino Linotype" w:hAnsi="Palatino Linotype" w:cs="Times New Roman"/>
          <w:b/>
          <w:bCs/>
          <w:i/>
        </w:rPr>
      </w:pPr>
      <w:r w:rsidRPr="00BE44A0">
        <w:rPr>
          <w:rFonts w:ascii="Palatino Linotype" w:hAnsi="Palatino Linotype" w:cs="Times New Roman"/>
          <w:b/>
          <w:bCs/>
          <w:i/>
        </w:rPr>
        <w:t>ARGUMENTOS:</w:t>
      </w:r>
    </w:p>
    <w:p w14:paraId="442DBA54" w14:textId="77777777" w:rsidR="00A833D2" w:rsidRPr="00BE44A0" w:rsidRDefault="00A833D2" w:rsidP="00A833D2">
      <w:pPr>
        <w:spacing w:after="0" w:line="240" w:lineRule="auto"/>
        <w:ind w:left="851" w:right="567"/>
        <w:jc w:val="both"/>
        <w:rPr>
          <w:rFonts w:ascii="Palatino Linotype" w:hAnsi="Palatino Linotype" w:cs="Times New Roman"/>
          <w:b/>
          <w:bCs/>
          <w:i/>
        </w:rPr>
      </w:pPr>
    </w:p>
    <w:p w14:paraId="2951EE80"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En el presente alegato se desarrollarán los argumentos que acreditan que la omisión de la autoridad responsable de dar respuesta a la solicitud presentada el 02 de septiembre de 2022, vía SAIMEX,  constituye una </w:t>
      </w:r>
      <w:r w:rsidRPr="00BE44A0">
        <w:rPr>
          <w:rFonts w:ascii="Palatino Linotype" w:hAnsi="Palatino Linotype" w:cs="Arial"/>
          <w:b/>
          <w:bCs/>
          <w:i/>
          <w:u w:val="single"/>
        </w:rPr>
        <w:t>violación al derecho de petición</w:t>
      </w:r>
      <w:r w:rsidRPr="00BE44A0">
        <w:rPr>
          <w:rFonts w:ascii="Palatino Linotype" w:hAnsi="Palatino Linotype" w:cs="Arial"/>
          <w:i/>
        </w:rPr>
        <w:t xml:space="preserve"> consagrado en el artículo 8° de la Constitución Federal, así como a la obligación contenida en el artículo 1° constitucional de respetar, proteger y garantizar los derechos fundamentales de conformidad con el principio de progresividad. </w:t>
      </w:r>
    </w:p>
    <w:p w14:paraId="47377100" w14:textId="77777777" w:rsidR="00A833D2" w:rsidRPr="00BE44A0" w:rsidRDefault="00A833D2" w:rsidP="00A833D2">
      <w:pPr>
        <w:spacing w:after="0" w:line="240" w:lineRule="auto"/>
        <w:ind w:left="851" w:right="567"/>
        <w:jc w:val="both"/>
        <w:rPr>
          <w:rFonts w:ascii="Palatino Linotype" w:hAnsi="Palatino Linotype" w:cs="Arial"/>
          <w:i/>
        </w:rPr>
      </w:pPr>
    </w:p>
    <w:p w14:paraId="34F6F84C"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lastRenderedPageBreak/>
        <w:t>Ello atendiendo a los criterios interpretativos en lo relativo al “plazo razonable” desarrollados por la Corte Interamericana de Derechos Humanos a partir de los artículos 7, numeral 5 y 8, numeral 1, de la Convención Americana sobre Derechos Humanos y al estándar de “breve término” desarrollado por el Poder Judicial de la Federación, aplicables al caso.</w:t>
      </w:r>
    </w:p>
    <w:p w14:paraId="01A059A6" w14:textId="77777777" w:rsidR="00A833D2" w:rsidRPr="00BE44A0" w:rsidRDefault="00A833D2" w:rsidP="00A833D2">
      <w:pPr>
        <w:spacing w:after="0" w:line="240" w:lineRule="auto"/>
        <w:ind w:left="851" w:right="567"/>
        <w:jc w:val="both"/>
        <w:rPr>
          <w:rFonts w:ascii="Palatino Linotype" w:hAnsi="Palatino Linotype" w:cs="Arial"/>
          <w:i/>
        </w:rPr>
      </w:pPr>
    </w:p>
    <w:p w14:paraId="7F9BE734"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Para ello, primero se delimitará el contenido y alcance del derecho de petición, posteriormente se llevará a cabo un análisis del desarrollo interpretativo que ha realizado el Poder Judicial de la Federación y la Corte Interamericana de Derechos Humanos acerca del “plazo razonable” y como este guarda estrecha relación con el derecho de petición y la obligación de las autoridades de dar respuesta en “breve término”.</w:t>
      </w:r>
    </w:p>
    <w:p w14:paraId="1B01B50C" w14:textId="77777777" w:rsidR="00A833D2" w:rsidRPr="00BE44A0" w:rsidRDefault="00A833D2" w:rsidP="00A833D2">
      <w:pPr>
        <w:spacing w:after="0" w:line="240" w:lineRule="auto"/>
        <w:ind w:left="851" w:right="567"/>
        <w:jc w:val="both"/>
        <w:rPr>
          <w:rFonts w:ascii="Palatino Linotype" w:hAnsi="Palatino Linotype" w:cs="Arial"/>
          <w:i/>
        </w:rPr>
      </w:pPr>
    </w:p>
    <w:p w14:paraId="2B8B55D1"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Luego se hará un análisis de la violación en concreto y con ello se acreditará que en la especie efectivamente las autoridades responsables no han cumplido con sus obligaciones constitucionales en materia de derecho de petición, violentando así los derechos fundamentales de la quejosa.</w:t>
      </w:r>
    </w:p>
    <w:p w14:paraId="1B67FF35" w14:textId="77777777" w:rsidR="00A833D2" w:rsidRPr="00BE44A0" w:rsidRDefault="00A833D2" w:rsidP="00A833D2">
      <w:pPr>
        <w:spacing w:after="0" w:line="240" w:lineRule="auto"/>
        <w:ind w:left="851" w:right="567"/>
        <w:jc w:val="both"/>
        <w:rPr>
          <w:rFonts w:ascii="Palatino Linotype" w:hAnsi="Palatino Linotype" w:cs="Arial"/>
          <w:i/>
        </w:rPr>
      </w:pPr>
    </w:p>
    <w:p w14:paraId="7FB64448" w14:textId="77777777" w:rsidR="00A833D2" w:rsidRPr="00BE44A0" w:rsidRDefault="00A833D2" w:rsidP="00A833D2">
      <w:pPr>
        <w:spacing w:after="0" w:line="240" w:lineRule="auto"/>
        <w:ind w:left="851" w:right="567"/>
        <w:jc w:val="both"/>
        <w:rPr>
          <w:rFonts w:ascii="Palatino Linotype" w:hAnsi="Palatino Linotype" w:cs="Arial"/>
          <w:b/>
          <w:bCs/>
          <w:i/>
        </w:rPr>
      </w:pPr>
      <w:r w:rsidRPr="00BE44A0">
        <w:rPr>
          <w:rFonts w:ascii="Palatino Linotype" w:hAnsi="Palatino Linotype" w:cs="Arial"/>
          <w:b/>
          <w:bCs/>
          <w:i/>
        </w:rPr>
        <w:t xml:space="preserve">a. Del derecho de petición </w:t>
      </w:r>
    </w:p>
    <w:p w14:paraId="0E66688F"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Como punto de partida resulta pertinente traer a colación el texto del artículo 8 de la Constitución Federal, el cual reconoce el derecho de petición como derecho fundamental: </w:t>
      </w:r>
    </w:p>
    <w:p w14:paraId="09C5E6BB" w14:textId="77777777" w:rsidR="00A833D2" w:rsidRPr="00BE44A0" w:rsidRDefault="00A833D2" w:rsidP="00A833D2">
      <w:pPr>
        <w:spacing w:after="0" w:line="240" w:lineRule="auto"/>
        <w:ind w:left="851" w:right="567"/>
        <w:jc w:val="both"/>
        <w:rPr>
          <w:rFonts w:ascii="Palatino Linotype" w:hAnsi="Palatino Linotype" w:cs="Arial"/>
          <w:i/>
        </w:rPr>
      </w:pPr>
    </w:p>
    <w:p w14:paraId="083150EE" w14:textId="77777777" w:rsidR="00A833D2" w:rsidRPr="00BE44A0" w:rsidRDefault="00A833D2" w:rsidP="00A833D2">
      <w:pPr>
        <w:pStyle w:val="bSCCLCita"/>
        <w:spacing w:before="0" w:after="0"/>
        <w:ind w:left="851" w:right="567"/>
        <w:rPr>
          <w:rFonts w:ascii="Palatino Linotype" w:hAnsi="Palatino Linotype"/>
          <w:i/>
          <w:sz w:val="22"/>
        </w:rPr>
      </w:pPr>
      <w:r w:rsidRPr="00BE44A0">
        <w:rPr>
          <w:rFonts w:ascii="Palatino Linotype" w:hAnsi="Palatino Linotype"/>
          <w:b/>
          <w:bCs/>
          <w:i/>
          <w:sz w:val="22"/>
        </w:rPr>
        <w:t>Artículo 8o.</w:t>
      </w:r>
      <w:r w:rsidRPr="00BE44A0">
        <w:rPr>
          <w:rFonts w:ascii="Palatino Linotype" w:hAnsi="Palatino Linotype"/>
          <w:i/>
          <w:sz w:val="22"/>
        </w:rPr>
        <w:t xml:space="preserve">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66FA6864" w14:textId="77777777" w:rsidR="00A833D2" w:rsidRPr="00BE44A0" w:rsidRDefault="00A833D2" w:rsidP="00A833D2">
      <w:pPr>
        <w:pStyle w:val="bSCCLCita"/>
        <w:spacing w:before="0" w:after="0"/>
        <w:ind w:left="851" w:right="567"/>
        <w:rPr>
          <w:rFonts w:ascii="Palatino Linotype" w:hAnsi="Palatino Linotype"/>
          <w:i/>
          <w:sz w:val="22"/>
        </w:rPr>
      </w:pPr>
      <w:r w:rsidRPr="00BE44A0">
        <w:rPr>
          <w:rFonts w:ascii="Palatino Linotype" w:hAnsi="Palatino Linotype"/>
          <w:i/>
          <w:sz w:val="22"/>
        </w:rPr>
        <w:t>A toda petición deberá recaer un acuerdo escrito de la autoridad a quien se haya dirigido, la cual tiene obligación de hacerlo conocer en breve término al peticionario.</w:t>
      </w:r>
    </w:p>
    <w:p w14:paraId="2F83AB6E" w14:textId="77777777" w:rsidR="00A833D2" w:rsidRPr="00BE44A0" w:rsidRDefault="00A833D2" w:rsidP="00A833D2">
      <w:pPr>
        <w:pStyle w:val="bSCCLCita"/>
        <w:spacing w:before="0" w:after="0"/>
        <w:ind w:left="851" w:right="567"/>
        <w:rPr>
          <w:rFonts w:ascii="Palatino Linotype" w:hAnsi="Palatino Linotype"/>
          <w:i/>
          <w:sz w:val="22"/>
        </w:rPr>
      </w:pPr>
    </w:p>
    <w:p w14:paraId="69547266"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Es así, que debemos de entender al derecho de petición como aquel derecho fundamental que surge de la petición formulada por un particular, por escrito de forma pacífica y respetuosa a una autoridad que a su vez deberá de dar una contestación por escrito, congruente con lo solicitado y deberá de hacerse saber al peticionario en un breve término. </w:t>
      </w:r>
    </w:p>
    <w:p w14:paraId="67B5B248" w14:textId="77777777" w:rsidR="00A833D2" w:rsidRPr="00BE44A0" w:rsidRDefault="00A833D2" w:rsidP="00A833D2">
      <w:pPr>
        <w:spacing w:after="0" w:line="240" w:lineRule="auto"/>
        <w:ind w:left="851" w:right="567"/>
        <w:jc w:val="both"/>
        <w:rPr>
          <w:rFonts w:ascii="Palatino Linotype" w:hAnsi="Palatino Linotype" w:cs="Arial"/>
          <w:i/>
        </w:rPr>
      </w:pPr>
    </w:p>
    <w:p w14:paraId="40855E54"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De dicha definición y de la lectura del artículo podemos determinar tres elementos esenciales que conforman al derecho de petición: (i)la petición formulada por escrito, (ii) esta debe de ser formulada de manera pacífica y respetuosa, (iii) a ella debe de recaer respuesta de la autoridad por escrito y en breve término. </w:t>
      </w:r>
    </w:p>
    <w:p w14:paraId="5780A51D" w14:textId="77777777" w:rsidR="00A833D2" w:rsidRPr="00BE44A0" w:rsidRDefault="00A833D2" w:rsidP="00A833D2">
      <w:pPr>
        <w:spacing w:after="0" w:line="240" w:lineRule="auto"/>
        <w:ind w:left="851" w:right="567"/>
        <w:jc w:val="both"/>
        <w:rPr>
          <w:rFonts w:ascii="Palatino Linotype" w:hAnsi="Palatino Linotype" w:cs="Arial"/>
          <w:i/>
        </w:rPr>
      </w:pPr>
    </w:p>
    <w:p w14:paraId="7D4B3940"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lastRenderedPageBreak/>
        <w:t>Para dar más claridad al alcance del derecho de petición a continuación se transcribe un criterio jurisprudencial que en el presente caso es aplicable:</w:t>
      </w:r>
    </w:p>
    <w:p w14:paraId="49E045C9" w14:textId="77777777" w:rsidR="00A833D2" w:rsidRPr="00BE44A0" w:rsidRDefault="00A833D2" w:rsidP="00A833D2">
      <w:pPr>
        <w:spacing w:after="0" w:line="240" w:lineRule="auto"/>
        <w:ind w:left="851" w:right="567"/>
        <w:jc w:val="both"/>
        <w:rPr>
          <w:rFonts w:ascii="Palatino Linotype" w:hAnsi="Palatino Linotype" w:cs="Arial"/>
          <w:i/>
        </w:rPr>
      </w:pPr>
    </w:p>
    <w:p w14:paraId="3BE1FB79" w14:textId="77777777" w:rsidR="00A833D2" w:rsidRPr="00BE44A0" w:rsidRDefault="00A833D2" w:rsidP="00A833D2">
      <w:pPr>
        <w:pStyle w:val="bSCCLCita"/>
        <w:spacing w:before="0" w:after="0"/>
        <w:ind w:left="851" w:right="567"/>
        <w:rPr>
          <w:rFonts w:ascii="Palatino Linotype" w:hAnsi="Palatino Linotype"/>
          <w:i/>
          <w:sz w:val="22"/>
        </w:rPr>
      </w:pPr>
      <w:r w:rsidRPr="00BE44A0">
        <w:rPr>
          <w:rFonts w:ascii="Palatino Linotype" w:hAnsi="Palatino Linotype"/>
          <w:b/>
          <w:bCs/>
          <w:i/>
          <w:sz w:val="22"/>
        </w:rPr>
        <w:t>DERECHO DE PETICIÓN. SUS ELEMENTOS.</w:t>
      </w:r>
      <w:r w:rsidRPr="00BE44A0">
        <w:rPr>
          <w:rFonts w:ascii="Palatino Linotype" w:hAnsi="Palatino Linotype"/>
          <w:i/>
          <w:sz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 </w:t>
      </w:r>
      <w:r w:rsidRPr="00BE44A0">
        <w:rPr>
          <w:rStyle w:val="Refdenotaalpie"/>
          <w:rFonts w:ascii="Palatino Linotype" w:hAnsi="Palatino Linotype"/>
          <w:i/>
          <w:sz w:val="22"/>
        </w:rPr>
        <w:footnoteReference w:id="1"/>
      </w:r>
    </w:p>
    <w:p w14:paraId="6779276C" w14:textId="77777777" w:rsidR="00A833D2" w:rsidRPr="00BE44A0" w:rsidRDefault="00A833D2" w:rsidP="00A833D2">
      <w:pPr>
        <w:spacing w:after="0" w:line="240" w:lineRule="auto"/>
        <w:ind w:left="851" w:right="567"/>
        <w:jc w:val="both"/>
        <w:rPr>
          <w:rFonts w:ascii="Palatino Linotype" w:hAnsi="Palatino Linotype" w:cs="Arial"/>
          <w:i/>
        </w:rPr>
      </w:pPr>
    </w:p>
    <w:p w14:paraId="2DEA4B9A"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Aunado a lo anterior, el derecho en cuestión se conforma de diversas subgarantías que le dan contenido y que derivan de las diferentes conductas que las autoridades deben acatar cuando se presente ante ellas una petición por escrito en forma pacífica y respetuosa. Dentro de las citadas subgarantías, para efectos de la presente demanda, es relevante la consistente en dar respuesta en breve término a la petición formulada por el gobernado. </w:t>
      </w:r>
    </w:p>
    <w:p w14:paraId="106325F8" w14:textId="77777777" w:rsidR="00A833D2" w:rsidRPr="00BE44A0" w:rsidRDefault="00A833D2" w:rsidP="00A833D2">
      <w:pPr>
        <w:spacing w:after="0" w:line="240" w:lineRule="auto"/>
        <w:ind w:left="851" w:right="567"/>
        <w:jc w:val="both"/>
        <w:rPr>
          <w:rFonts w:ascii="Palatino Linotype" w:hAnsi="Palatino Linotype" w:cs="Arial"/>
          <w:i/>
        </w:rPr>
      </w:pPr>
    </w:p>
    <w:p w14:paraId="46B45876"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La Suprema Corte de Justicia de la Nación ha referido que el juicio de amparo que se promueva por violación al derecho de petición versará sobre un acto de naturaleza omisiva, y que la pretensión del quejoso consistirá en obligar a la autoridad responsable a que actúe en el sentido de contestar lo solicitado, es decir, a que emita un acto positivo subsanando la omisión reclamada. A saber:</w:t>
      </w:r>
    </w:p>
    <w:p w14:paraId="0FB277A5" w14:textId="77777777" w:rsidR="00A833D2" w:rsidRPr="00BE44A0" w:rsidRDefault="00A833D2" w:rsidP="00A833D2">
      <w:pPr>
        <w:spacing w:after="0" w:line="240" w:lineRule="auto"/>
        <w:ind w:left="851" w:right="567"/>
        <w:jc w:val="both"/>
        <w:rPr>
          <w:rFonts w:ascii="Palatino Linotype" w:hAnsi="Palatino Linotype" w:cs="Arial"/>
          <w:i/>
        </w:rPr>
      </w:pPr>
    </w:p>
    <w:p w14:paraId="4CA4A113" w14:textId="77777777" w:rsidR="00A833D2" w:rsidRPr="00BE44A0" w:rsidRDefault="00A833D2" w:rsidP="00A833D2">
      <w:pPr>
        <w:pStyle w:val="bSCCLCita"/>
        <w:spacing w:before="0" w:after="0"/>
        <w:ind w:left="851" w:right="567"/>
        <w:rPr>
          <w:rFonts w:ascii="Palatino Linotype" w:hAnsi="Palatino Linotype"/>
          <w:i/>
          <w:sz w:val="22"/>
        </w:rPr>
      </w:pPr>
      <w:r w:rsidRPr="00BE44A0">
        <w:rPr>
          <w:rFonts w:ascii="Palatino Linotype" w:hAnsi="Palatino Linotype"/>
          <w:b/>
          <w:bCs/>
          <w:i/>
          <w:sz w:val="22"/>
        </w:rPr>
        <w:t xml:space="preserve">PETICIÓN. LA GARANTÍA CONTENIDA EN EL ARTÍCULO 8o. CONSTITUCIONAL SE CONFORMA DE DIVERSAS SUBGARANTÍAS QUE </w:t>
      </w:r>
      <w:r w:rsidRPr="00BE44A0">
        <w:rPr>
          <w:rFonts w:ascii="Palatino Linotype" w:hAnsi="Palatino Linotype"/>
          <w:b/>
          <w:bCs/>
          <w:i/>
          <w:sz w:val="22"/>
        </w:rPr>
        <w:lastRenderedPageBreak/>
        <w:t>LE DAN CONTENIDO, Y QUE DEBEN CONSIDERASE POR EL JUEZ DE DISTRITO EN EL JUICIO DE AMPARO PROMOVIDO POR VIOLACIÓN A DICHO DERECHO</w:t>
      </w:r>
      <w:r w:rsidRPr="00BE44A0">
        <w:rPr>
          <w:rFonts w:ascii="Palatino Linotype" w:hAnsi="Palatino Linotype"/>
          <w:i/>
          <w:sz w:val="22"/>
        </w:rPr>
        <w:t xml:space="preserve">. La garantía del derecho de petición contenida en el artículo 8o. constitucional, se conforma a su vez de diversas subgarantías que le dan contenido, y que derivan de las diferentes conductas que deben acatar las autoridades ante quienes se presente una petición por escrito, en forma pacífica y respetuosa. Las diversas subgarantías derivadas del derecho de petición son las siguientes: 1. De dar respuesta por escrito a la petición formulada por el gobernado, de tal modo que el juicio de amparo que se promueva al respecto versará sobre un acto de naturaleza omisiva, y la pretensión del quejoso consistirá en obligar a la autoridad responsable a que actúe en el sentido de contestar lo solicitado, es decir, a que emita un acto positivo subsanando la omisión reclamada. 2. De que la respuesta sea congruente con lo solicitado por el gobernado, de tal forma que el juicio de amparo que se promueva en este caso, parte del supuesto de que el quejoso conoce el fondo de la contestación recaída a su solicitud, ya sea porque se impuso de ella con anterioridad a la presentación de la demanda de amparo y formuló conceptos de violación en su contra, o porque se le dio a conocer durante el trámite del juicio de garantías, dando lugar a la oportunidad de ampliar el ocurso inicial en contra de la respuesta o a la promoción de un nuevo juicio de amparo, por lo que el acto reclamado en esta hipótesis será de naturaleza positiva, con la pretensión del quejoso de obligar a que la responsable emita una nueva contestación que sea congruente con lo pedido; y 3. De dar a conocer la respuesta recaída a la petición del gobernado en breve término, por lo que la promoción del juicio de garantías en este supuesto versará sobre un acto de naturaleza omisiva, con la pretensión de obligar a la responsable a que notifique en breve término la respuesta recaída a la petición que aduce desconocer el quejoso, con la posibilidad de que en el propio juicio de amparo el impetrante pueda ampliar la demanda inicial en su contra, o de ser conforme a sus intereses, promueva un diverso juicio constitucional en contra del fondo de lo respondido. </w:t>
      </w:r>
      <w:r w:rsidRPr="00BE44A0">
        <w:rPr>
          <w:rStyle w:val="Refdenotaalpie"/>
          <w:rFonts w:ascii="Palatino Linotype" w:hAnsi="Palatino Linotype"/>
          <w:i/>
          <w:sz w:val="22"/>
        </w:rPr>
        <w:footnoteReference w:id="2"/>
      </w:r>
    </w:p>
    <w:p w14:paraId="62C42F37" w14:textId="77777777" w:rsidR="00A833D2" w:rsidRPr="00BE44A0" w:rsidRDefault="00A833D2" w:rsidP="00A833D2">
      <w:pPr>
        <w:spacing w:after="0" w:line="240" w:lineRule="auto"/>
        <w:ind w:left="851" w:right="567"/>
        <w:jc w:val="both"/>
        <w:rPr>
          <w:rFonts w:ascii="Palatino Linotype" w:hAnsi="Palatino Linotype" w:cs="Arial"/>
          <w:b/>
          <w:bCs/>
          <w:i/>
        </w:rPr>
      </w:pPr>
    </w:p>
    <w:p w14:paraId="1B543E9A" w14:textId="77777777" w:rsidR="00A833D2" w:rsidRPr="00BE44A0" w:rsidRDefault="00A833D2" w:rsidP="00A833D2">
      <w:pPr>
        <w:spacing w:after="0" w:line="240" w:lineRule="auto"/>
        <w:ind w:left="851" w:right="567"/>
        <w:jc w:val="both"/>
        <w:rPr>
          <w:rFonts w:ascii="Palatino Linotype" w:hAnsi="Palatino Linotype" w:cs="Arial"/>
          <w:b/>
          <w:bCs/>
          <w:i/>
        </w:rPr>
      </w:pPr>
      <w:r w:rsidRPr="00BE44A0">
        <w:rPr>
          <w:rFonts w:ascii="Palatino Linotype" w:hAnsi="Palatino Linotype" w:cs="Arial"/>
          <w:b/>
          <w:bCs/>
          <w:i/>
        </w:rPr>
        <w:t xml:space="preserve">b. Del principio de plazo razonable </w:t>
      </w:r>
    </w:p>
    <w:p w14:paraId="09F269D3"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En el presente apartado se desarrollará la interpretación construida por la Corte Interamericana de Derechos Humanos y el Poder Judicial de la Federación respecto al principio de plazo razonable y como este guarda una relación directa con el concepto de “breve término” que se encuentra en el artículo 8 de la Constitución Federal, lo anterior con base en una interpretación sistemática del bloque de constitucionalidad entendiendo a los derechos humanos como indivisibles e interdependientes entre sí. </w:t>
      </w:r>
    </w:p>
    <w:p w14:paraId="33D268E5"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Como punto de partida, es importante mencionar que el principio de plazo razonable tiene como finalidad establecer pautas de razonabilidad que deben de desarrollarse en los </w:t>
      </w:r>
      <w:r w:rsidRPr="00BE44A0">
        <w:rPr>
          <w:rFonts w:ascii="Palatino Linotype" w:hAnsi="Palatino Linotype" w:cs="Arial"/>
          <w:i/>
        </w:rPr>
        <w:lastRenderedPageBreak/>
        <w:t xml:space="preserve">procesos jurisdiccionales, dicha razonabilidad se encuentra determinada por los siguientes factores: </w:t>
      </w:r>
    </w:p>
    <w:p w14:paraId="2A0ED73C" w14:textId="77777777" w:rsidR="00A833D2" w:rsidRPr="00BE44A0" w:rsidRDefault="00A833D2" w:rsidP="00A833D2">
      <w:pPr>
        <w:pStyle w:val="Prrafodelista"/>
        <w:numPr>
          <w:ilvl w:val="0"/>
          <w:numId w:val="6"/>
        </w:numPr>
        <w:ind w:left="851" w:right="567"/>
        <w:contextualSpacing/>
        <w:jc w:val="both"/>
        <w:rPr>
          <w:rFonts w:ascii="Palatino Linotype" w:hAnsi="Palatino Linotype" w:cs="Arial"/>
          <w:i/>
          <w:sz w:val="22"/>
          <w:szCs w:val="22"/>
        </w:rPr>
      </w:pPr>
      <w:r w:rsidRPr="00BE44A0">
        <w:rPr>
          <w:rFonts w:ascii="Palatino Linotype" w:hAnsi="Palatino Linotype" w:cs="Arial"/>
          <w:i/>
          <w:sz w:val="22"/>
          <w:szCs w:val="22"/>
        </w:rPr>
        <w:t>La complejidad del asunto.</w:t>
      </w:r>
    </w:p>
    <w:p w14:paraId="1663DB90" w14:textId="77777777" w:rsidR="00A833D2" w:rsidRPr="00BE44A0" w:rsidRDefault="00A833D2" w:rsidP="00A833D2">
      <w:pPr>
        <w:pStyle w:val="Prrafodelista"/>
        <w:numPr>
          <w:ilvl w:val="0"/>
          <w:numId w:val="6"/>
        </w:numPr>
        <w:ind w:left="851" w:right="567"/>
        <w:contextualSpacing/>
        <w:jc w:val="both"/>
        <w:rPr>
          <w:rFonts w:ascii="Palatino Linotype" w:hAnsi="Palatino Linotype" w:cs="Arial"/>
          <w:i/>
          <w:sz w:val="22"/>
          <w:szCs w:val="22"/>
        </w:rPr>
      </w:pPr>
      <w:r w:rsidRPr="00BE44A0">
        <w:rPr>
          <w:rFonts w:ascii="Palatino Linotype" w:hAnsi="Palatino Linotype" w:cs="Arial"/>
          <w:i/>
          <w:sz w:val="22"/>
          <w:szCs w:val="22"/>
        </w:rPr>
        <w:t>La actividad procesal del interesado.</w:t>
      </w:r>
    </w:p>
    <w:p w14:paraId="0FEAD0B9" w14:textId="77777777" w:rsidR="00A833D2" w:rsidRPr="00BE44A0" w:rsidRDefault="00A833D2" w:rsidP="00A833D2">
      <w:pPr>
        <w:pStyle w:val="Prrafodelista"/>
        <w:numPr>
          <w:ilvl w:val="0"/>
          <w:numId w:val="6"/>
        </w:numPr>
        <w:ind w:left="851" w:right="567"/>
        <w:contextualSpacing/>
        <w:jc w:val="both"/>
        <w:rPr>
          <w:rFonts w:ascii="Palatino Linotype" w:hAnsi="Palatino Linotype" w:cs="Arial"/>
          <w:i/>
          <w:sz w:val="22"/>
          <w:szCs w:val="22"/>
        </w:rPr>
      </w:pPr>
      <w:r w:rsidRPr="00BE44A0">
        <w:rPr>
          <w:rFonts w:ascii="Palatino Linotype" w:hAnsi="Palatino Linotype" w:cs="Arial"/>
          <w:i/>
          <w:sz w:val="22"/>
          <w:szCs w:val="22"/>
        </w:rPr>
        <w:t xml:space="preserve">La conducta de las autoridades. </w:t>
      </w:r>
    </w:p>
    <w:p w14:paraId="3E55FF88" w14:textId="77777777" w:rsidR="00A833D2" w:rsidRPr="00BE44A0" w:rsidRDefault="00A833D2" w:rsidP="00A833D2">
      <w:pPr>
        <w:pStyle w:val="Prrafodelista"/>
        <w:ind w:left="851" w:right="567"/>
        <w:jc w:val="both"/>
        <w:rPr>
          <w:rFonts w:ascii="Palatino Linotype" w:hAnsi="Palatino Linotype" w:cs="Arial"/>
          <w:i/>
          <w:sz w:val="22"/>
          <w:szCs w:val="22"/>
        </w:rPr>
      </w:pPr>
    </w:p>
    <w:p w14:paraId="0438D256"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Por su parte, ha sido reconocido por el Poder Judicial de la Federación que el principio de plazo razonable y sus elementos le son aplicables al derecho de petición, en tanto que no es posible fijar un plazo genérico para el cumplimiento de la obligación de las autoridades de dar respuesta a los particulares y por lo tanto el derecho de petición se constriñe a los tres requisitos del principio de plazo razonable anteriormente señalado, en concreto nos referimos a la tesis que a continuación se transcribe: </w:t>
      </w:r>
    </w:p>
    <w:p w14:paraId="12E9DD20" w14:textId="77777777" w:rsidR="00A833D2" w:rsidRPr="00BE44A0" w:rsidRDefault="00A833D2" w:rsidP="00A833D2">
      <w:pPr>
        <w:pStyle w:val="bSCCLCita"/>
        <w:spacing w:before="0" w:after="0"/>
        <w:ind w:left="851" w:right="567"/>
        <w:rPr>
          <w:rFonts w:ascii="Palatino Linotype" w:hAnsi="Palatino Linotype"/>
          <w:b/>
          <w:bCs/>
          <w:i/>
          <w:sz w:val="22"/>
        </w:rPr>
      </w:pPr>
    </w:p>
    <w:p w14:paraId="30D4CAB9" w14:textId="77777777" w:rsidR="00A833D2" w:rsidRPr="00BE44A0" w:rsidRDefault="00A833D2" w:rsidP="00A833D2">
      <w:pPr>
        <w:pStyle w:val="bSCCLCita"/>
        <w:spacing w:before="0" w:after="0"/>
        <w:ind w:left="851" w:right="567"/>
        <w:rPr>
          <w:rFonts w:ascii="Palatino Linotype" w:hAnsi="Palatino Linotype"/>
          <w:i/>
          <w:sz w:val="22"/>
        </w:rPr>
      </w:pPr>
      <w:r w:rsidRPr="00BE44A0">
        <w:rPr>
          <w:rFonts w:ascii="Palatino Linotype" w:hAnsi="Palatino Linotype"/>
          <w:b/>
          <w:bCs/>
          <w:i/>
          <w:sz w:val="22"/>
        </w:rPr>
        <w:t xml:space="preserve">DERECHO FUNDAMENTAL DE PETICIÓN. LAS CONDICIONES QUE DETERMINAN LA RAZONABILIDAD DE LOS PLAZOS EN LOS QUE DEBEN DESARROLLARSE LOS PROCESOS JUDICIALES, SOSTENIDAS POR LA CORTE INTERAMERICANA DE DERECHOS HUMANOS, SON APLICABLES AL "BREVE TÉRMINO" A QUE SE REFIERE EL ARTÍCULO 8o. DE LA CONSTITUCIÓN FEDERAL QUE LO PREVÉ. </w:t>
      </w:r>
      <w:r w:rsidRPr="00BE44A0">
        <w:rPr>
          <w:rFonts w:ascii="Palatino Linotype" w:hAnsi="Palatino Linotype"/>
          <w:i/>
          <w:sz w:val="22"/>
        </w:rPr>
        <w:t xml:space="preserve">La Corte Interamericana de Derechos Humanos sostiene, consistentemente, que la razonabilidad de los plazos en los que deben desarrollarse los procesos judiciales, en términos de los artículos 7, numeral 5 y 8, numeral 1, de la Convención Americana sobre Derechos Humanos, está determinada por: la complejidad del asunto, la actividad procesal del interesado y la conducta de las autoridades, de manera que la justificación de la dilación de una decisión judicial depende de las circunstancias concretas que concurran en el asunto de que se trate. Por su parte, la situación que regula el artículo 8o. de la Constitución Política de los Estados Unidos Mexicanos, en torno al derecho fundamental que tiene un gobernado de que la autoridad a la que formule una petición en las condiciones establecidas en dicho precepto, le dé respuesta en "breve término", guarda similitud con la referida al tiempo de resolución de un proceso judicial. Consecuentemente, las condiciones que determinan la razonabilidad indicada le son aplicables, en tanto que no es dable fijar un plazo genérico para el cumplimiento de la obligación de dar respuesta al gobernado, sino que debe atenderse a las circunstancias específicas de cada caso, como pueden ser las relacionadas con su complejidad técnica, jurídica y material, con la actividad que el solicitante hubiera desplegado en seguimiento a su petición, con la que las autoridades hayan llevado a cabo para dar respuesta y sus cargas de trabajo, lo cual corresponde al concepto de "plazo razonable" descrito. </w:t>
      </w:r>
    </w:p>
    <w:p w14:paraId="6E71FA97" w14:textId="77777777" w:rsidR="00A833D2" w:rsidRPr="00BE44A0" w:rsidRDefault="00A833D2" w:rsidP="00A833D2">
      <w:pPr>
        <w:spacing w:after="0" w:line="240" w:lineRule="auto"/>
        <w:ind w:left="851" w:right="567"/>
        <w:jc w:val="both"/>
        <w:rPr>
          <w:rFonts w:ascii="Palatino Linotype" w:hAnsi="Palatino Linotype" w:cs="Arial"/>
          <w:i/>
        </w:rPr>
      </w:pPr>
    </w:p>
    <w:p w14:paraId="25A75577"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lastRenderedPageBreak/>
        <w:t xml:space="preserve">Dicho lo anterior, es aplicable el principio de plazo razonable en virtud de una interpretación del derecho de petición a la luz del principio de progresividad previsto en el artículo 1° párrafo tercero de la Constitución Federal, esto ha sido reiterado en el siguiente criterio:  </w:t>
      </w:r>
    </w:p>
    <w:p w14:paraId="1F866B35" w14:textId="77777777" w:rsidR="00A833D2" w:rsidRPr="00BE44A0" w:rsidRDefault="00A833D2" w:rsidP="00A833D2">
      <w:pPr>
        <w:spacing w:after="0" w:line="240" w:lineRule="auto"/>
        <w:ind w:left="851" w:right="567"/>
        <w:jc w:val="both"/>
        <w:rPr>
          <w:rFonts w:ascii="Palatino Linotype" w:hAnsi="Palatino Linotype" w:cs="Arial"/>
          <w:i/>
        </w:rPr>
      </w:pPr>
    </w:p>
    <w:p w14:paraId="02CB93D8" w14:textId="77777777" w:rsidR="00A833D2" w:rsidRPr="00BE44A0" w:rsidRDefault="00A833D2" w:rsidP="00A833D2">
      <w:pPr>
        <w:pStyle w:val="bSCCLCita"/>
        <w:spacing w:before="0" w:after="0"/>
        <w:ind w:left="851" w:right="567"/>
        <w:rPr>
          <w:rFonts w:ascii="Palatino Linotype" w:hAnsi="Palatino Linotype"/>
          <w:i/>
          <w:sz w:val="22"/>
        </w:rPr>
      </w:pPr>
      <w:r w:rsidRPr="00BE44A0">
        <w:rPr>
          <w:rFonts w:ascii="Palatino Linotype" w:hAnsi="Palatino Linotype"/>
          <w:b/>
          <w:bCs/>
          <w:i/>
          <w:sz w:val="22"/>
        </w:rPr>
        <w:t>DERECHO FUNDAMENTAL DE PETICIÓN. PARA DETERMINAR SU ALCANCE Y CONTENIDO, PUEDE ATENDERSE AL CONCEPTO DE "PLAZO RAZONABLE" DESARROLLADO POR LA CORTE INTERAMERICANA DE DERECHOS HUMANOS, EN APLICACIÓN DEL PRINCIPIO DE PROGRESIVIDAD.</w:t>
      </w:r>
      <w:r w:rsidRPr="00BE44A0">
        <w:rPr>
          <w:rFonts w:ascii="Palatino Linotype" w:hAnsi="Palatino Linotype"/>
          <w:i/>
          <w:sz w:val="22"/>
        </w:rPr>
        <w:t xml:space="preserve"> En la tesis 1a. CDV/2014 (10a.), publicada en el Semanario Judicial de la Federación del viernes 21 de noviembre de 2014 a las 9:20 horas y en la Gaceta del Semanario Judicial de la Federación, Décima Época, Libro 12, Tomo I, noviembre de 2014, página 714, de título y subtítulo: "DERECHOS HUMANOS. SU CONTENIDO NO SE LIMITA AL TEXTO EXPRESO DE LA NORMA QUE LO PREVÉ, SINO QUE SE EXTIENDE A LA INTERPRETACIÓN QUE LOS ÓRGANOS AUTORIZADOS HAGAN AL RESPECTO.", la Primera Sala de la Suprema Corte de Justicia de la Nación sostuvo el criterio consistente en que el contenido de los derechos humanos no se limita al texto expreso de las normas que los reconocen, sino que se robustece con la interpretación evolutiva o progresiva que al respecto realicen tanto los tribunales de constitucionalidad nacionales, como los organismos internacionales autorizados en la materia. Así, en nuestro sistema jurídico, el derecho fundamental de petición se reconoce en el artículo 8o. de la Constitución Política de los Estados Unidos Mexicanos, cuyo texto no dispone un plazo determinado para que las autoridades den respuesta a las solicitudes formuladas por los gobernados, pues su segundo párrafo se limita a señalar que el acuerdo recaído a la petición deberá hacerse del conocimiento del solicitante en "breve término", sin que establezca un referente temporal concreto. Ante esa indefinición, en aplicación del principio de progresividad previsto en el artículo 1o., párrafo tercero, de la Constitución Federal, válidamente puede atenderse al concepto de "plazo razonable" desarrollado por la Corte Interamericana de Derechos Humanos a partir de los artículos 7, numeral 5 y 8, numeral 1, de la Convención Americana sobre Derechos Humanos, con la finalidad de determinar el alcance y contenido del derecho mencionado. </w:t>
      </w:r>
      <w:r w:rsidRPr="00BE44A0">
        <w:rPr>
          <w:rStyle w:val="Refdenotaalpie"/>
          <w:rFonts w:ascii="Palatino Linotype" w:hAnsi="Palatino Linotype"/>
          <w:i/>
          <w:sz w:val="22"/>
        </w:rPr>
        <w:footnoteReference w:id="3"/>
      </w:r>
    </w:p>
    <w:p w14:paraId="56F372CD" w14:textId="77777777" w:rsidR="00A833D2" w:rsidRPr="00BE44A0" w:rsidRDefault="00A833D2" w:rsidP="00A833D2">
      <w:pPr>
        <w:spacing w:after="0" w:line="240" w:lineRule="auto"/>
        <w:ind w:left="851" w:right="567"/>
        <w:jc w:val="both"/>
        <w:rPr>
          <w:rFonts w:ascii="Palatino Linotype" w:hAnsi="Palatino Linotype" w:cs="Arial"/>
          <w:i/>
        </w:rPr>
      </w:pPr>
    </w:p>
    <w:p w14:paraId="5487F831"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Por lo anterior, podemos afirmar que el principio de plazo razonable es aplicable no solo en procedimientos jurisdiccionales, sino que puede aplicarse al derecho de petición, como en la especie ocurre, analizándose este con los tres elementos que lo constituyen. </w:t>
      </w:r>
    </w:p>
    <w:p w14:paraId="7F4958D9" w14:textId="77777777" w:rsidR="00A833D2" w:rsidRPr="00BE44A0" w:rsidRDefault="00A833D2" w:rsidP="00A833D2">
      <w:pPr>
        <w:spacing w:after="0" w:line="240" w:lineRule="auto"/>
        <w:ind w:left="851" w:right="567"/>
        <w:jc w:val="both"/>
        <w:rPr>
          <w:rFonts w:ascii="Palatino Linotype" w:hAnsi="Palatino Linotype" w:cs="Arial"/>
          <w:i/>
        </w:rPr>
      </w:pPr>
    </w:p>
    <w:p w14:paraId="3BE26FFF"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lastRenderedPageBreak/>
        <w:t xml:space="preserve">Derivado de los hechos podemos entender que las autoridades responsables al día de hoy, </w:t>
      </w:r>
      <w:r w:rsidRPr="00BE44A0">
        <w:rPr>
          <w:rFonts w:ascii="Palatino Linotype" w:hAnsi="Palatino Linotype" w:cs="Arial"/>
          <w:b/>
          <w:bCs/>
          <w:i/>
        </w:rPr>
        <w:t>al ser omisas en dar respuesta congruente a la solicitud planteada</w:t>
      </w:r>
      <w:r w:rsidRPr="00BE44A0">
        <w:rPr>
          <w:rFonts w:ascii="Palatino Linotype" w:hAnsi="Palatino Linotype" w:cs="Arial"/>
          <w:i/>
        </w:rPr>
        <w:t xml:space="preserve">, están violentado el derecho de petición de la quejosa, toda vez que el breve término al que están constitucionalmente constreñidas para ello- entendido a la luz de los elementos del principio de plazo razonable – ha transcurrido ya de manera excesiva. </w:t>
      </w:r>
    </w:p>
    <w:p w14:paraId="78EF6A84" w14:textId="77777777" w:rsidR="00A833D2" w:rsidRPr="00BE44A0" w:rsidRDefault="00A833D2" w:rsidP="00A833D2">
      <w:pPr>
        <w:spacing w:after="0" w:line="240" w:lineRule="auto"/>
        <w:ind w:left="851" w:right="567"/>
        <w:jc w:val="both"/>
        <w:rPr>
          <w:rFonts w:ascii="Palatino Linotype" w:hAnsi="Palatino Linotype" w:cs="Arial"/>
          <w:i/>
        </w:rPr>
      </w:pPr>
    </w:p>
    <w:p w14:paraId="13D644D7" w14:textId="77777777" w:rsidR="00A833D2" w:rsidRPr="00BE44A0" w:rsidRDefault="00A833D2" w:rsidP="00A833D2">
      <w:pPr>
        <w:spacing w:after="0" w:line="240" w:lineRule="auto"/>
        <w:ind w:left="851" w:right="567"/>
        <w:jc w:val="both"/>
        <w:rPr>
          <w:rFonts w:ascii="Palatino Linotype" w:hAnsi="Palatino Linotype" w:cs="Arial"/>
          <w:b/>
          <w:bCs/>
          <w:i/>
        </w:rPr>
      </w:pPr>
      <w:r w:rsidRPr="00BE44A0">
        <w:rPr>
          <w:rFonts w:ascii="Palatino Linotype" w:hAnsi="Palatino Linotype" w:cs="Arial"/>
          <w:b/>
          <w:bCs/>
          <w:i/>
        </w:rPr>
        <w:t xml:space="preserve">c. De la violación en el caso concreto </w:t>
      </w:r>
    </w:p>
    <w:p w14:paraId="1E1B9B63"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Mediante solicitud de fecha 02 de septiembre de 2022</w:t>
      </w:r>
      <w:r w:rsidRPr="00BE44A0">
        <w:rPr>
          <w:rFonts w:ascii="Palatino Linotype" w:hAnsi="Palatino Linotype" w:cs="Times New Roman"/>
          <w:i/>
        </w:rPr>
        <w:t xml:space="preserve"> </w:t>
      </w:r>
      <w:r w:rsidRPr="00BE44A0">
        <w:rPr>
          <w:rFonts w:ascii="Palatino Linotype" w:hAnsi="Palatino Linotype" w:cs="Arial"/>
          <w:i/>
        </w:rPr>
        <w:t xml:space="preserve">se presentó ante la autoridad responsable un escrito ejerciendo el derecho de petición consagrado en el artículo 8° de la Constitución Federal, con la finalidad de que se me informara respecto del cambio de uso de suelo y la licencia de construcción vigente de la construcción realizada en la calle fuente de las pirámides numero24, del fraccionamiento de lomas de Tecamachalco, lo que no ha contestado hasta el momento. </w:t>
      </w:r>
    </w:p>
    <w:p w14:paraId="2424F00C" w14:textId="77777777" w:rsidR="00A833D2" w:rsidRPr="00BE44A0" w:rsidRDefault="00A833D2" w:rsidP="00A833D2">
      <w:pPr>
        <w:spacing w:after="0" w:line="240" w:lineRule="auto"/>
        <w:ind w:left="851" w:right="567"/>
        <w:jc w:val="both"/>
        <w:rPr>
          <w:rFonts w:ascii="Palatino Linotype" w:hAnsi="Palatino Linotype" w:cs="Arial"/>
          <w:i/>
        </w:rPr>
      </w:pPr>
    </w:p>
    <w:p w14:paraId="3819AFFC"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Escrito al cual, a la fecha de la presentación de la demanda no le ha recaído respuesta por parte de la autoridad responsable, vulnerando así el derecho fundamental de petición consagrado en nuestra Constitución Federal. </w:t>
      </w:r>
    </w:p>
    <w:p w14:paraId="4C813628" w14:textId="77777777" w:rsidR="00A833D2" w:rsidRPr="00BE44A0" w:rsidRDefault="00A833D2" w:rsidP="00A833D2">
      <w:pPr>
        <w:spacing w:after="0" w:line="240" w:lineRule="auto"/>
        <w:ind w:left="851" w:right="567"/>
        <w:jc w:val="both"/>
        <w:rPr>
          <w:rFonts w:ascii="Palatino Linotype" w:hAnsi="Palatino Linotype" w:cs="Arial"/>
          <w:i/>
        </w:rPr>
      </w:pPr>
    </w:p>
    <w:p w14:paraId="14076DAE"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 xml:space="preserve">Dicho lo anterior, podemos rescatar que se satisficieron plenamente los requisitos que el artículo 8 de la Constitución Federal establece al particular para ejercer dicho derecho, como a continuación se demuestra: </w:t>
      </w:r>
    </w:p>
    <w:p w14:paraId="7C077B2F" w14:textId="77777777" w:rsidR="00A833D2" w:rsidRPr="00BE44A0" w:rsidRDefault="00A833D2" w:rsidP="00A833D2">
      <w:pPr>
        <w:spacing w:after="0" w:line="240" w:lineRule="auto"/>
        <w:ind w:left="851" w:right="567"/>
        <w:jc w:val="both"/>
        <w:rPr>
          <w:rFonts w:ascii="Palatino Linotype" w:hAnsi="Palatino Linotype" w:cs="Arial"/>
          <w:i/>
        </w:rPr>
      </w:pPr>
    </w:p>
    <w:p w14:paraId="460DA526"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b/>
          <w:bCs/>
          <w:i/>
        </w:rPr>
        <w:t xml:space="preserve">(i) Formulada por escrito de manera pacífica y respetuosa: </w:t>
      </w:r>
      <w:r w:rsidRPr="00BE44A0">
        <w:rPr>
          <w:rFonts w:ascii="Palatino Linotype" w:hAnsi="Palatino Linotype" w:cs="Arial"/>
          <w:i/>
        </w:rPr>
        <w:t>en la especie se satisface este requisito toda vez que la consulta fue presentada el 16</w:t>
      </w:r>
      <w:r w:rsidRPr="00BE44A0">
        <w:rPr>
          <w:rFonts w:ascii="Palatino Linotype" w:hAnsi="Palatino Linotype" w:cs="Times New Roman"/>
          <w:i/>
        </w:rPr>
        <w:t xml:space="preserve"> de mayo de 2022 </w:t>
      </w:r>
      <w:r w:rsidRPr="00BE44A0">
        <w:rPr>
          <w:rFonts w:ascii="Palatino Linotype" w:hAnsi="Palatino Linotype" w:cs="Arial"/>
          <w:i/>
        </w:rPr>
        <w:t xml:space="preserve">por escrito ante las autoridades responsables, misma que se acompaña el presente 3 ANEXOS. </w:t>
      </w:r>
    </w:p>
    <w:p w14:paraId="14856C03"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b/>
          <w:bCs/>
          <w:i/>
        </w:rPr>
        <w:t>(ii) A dicha petición debe de recaer acuerdo por escrito en breve término:</w:t>
      </w:r>
      <w:r w:rsidRPr="00BE44A0">
        <w:rPr>
          <w:rFonts w:ascii="Palatino Linotype" w:hAnsi="Palatino Linotype" w:cs="Arial"/>
          <w:i/>
        </w:rPr>
        <w:t xml:space="preserve"> en la especie esta carga a la autoridad no se actualiza en virtud de que la petición planteada no ha sido respondida ni notificada a la quejosa, a pesar de que hoy han transcurrido más de treinta días hábiles desde la presentación de la consulta, por lo que queda sobreentendido que el termino breve al que se constriñen las autoridades ya transcurrió. </w:t>
      </w:r>
    </w:p>
    <w:p w14:paraId="5D8D7452"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Es así, que la autoridad responsable no ha dado respuesta a la solicitud planteada por la quejosa, incumpliendo así con su obligación constitucional de hacerlo en breve término.</w:t>
      </w:r>
    </w:p>
    <w:p w14:paraId="16B467B3"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En otro orden de ideas como hemos desarrollado en líneas anteriores el principio de plazo razonable estipulado en la Convención Americana sobre Derechos Humanos es aplicable a la omisión que se reclama en el presente, ello porque derivado de una interpretación armónica del marco Constitucional y Convencional que han realizado los tribunales federales se entiende que el derecho petición a pesar de no ser un procedimiento jurisdiccional, le son aplicables los elementos que rigen al principio de plazo razonable.</w:t>
      </w:r>
    </w:p>
    <w:p w14:paraId="21FB05D0" w14:textId="77777777" w:rsidR="00A833D2" w:rsidRPr="00BE44A0" w:rsidRDefault="00A833D2" w:rsidP="00A833D2">
      <w:pPr>
        <w:spacing w:after="0" w:line="240" w:lineRule="auto"/>
        <w:ind w:left="851" w:right="567"/>
        <w:jc w:val="both"/>
        <w:rPr>
          <w:rFonts w:ascii="Palatino Linotype" w:hAnsi="Palatino Linotype" w:cs="Arial"/>
          <w:i/>
        </w:rPr>
      </w:pPr>
    </w:p>
    <w:p w14:paraId="361AB07D"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Dichos elementos son: (i) la complejidad del asunto, (ii) la actividad procesal del interesado y (iii) la conducta de las autoridades; A continuación, se realizará un análisis de los elementos del principio de plazo razonable para demostrar que las autoridades responsables han inobservado dicho principio en detrimento de mis derechos fundamentales:</w:t>
      </w:r>
    </w:p>
    <w:p w14:paraId="38F18088" w14:textId="77777777" w:rsidR="00A833D2" w:rsidRPr="00BE44A0" w:rsidRDefault="00A833D2" w:rsidP="00A833D2">
      <w:pPr>
        <w:spacing w:after="0" w:line="240" w:lineRule="auto"/>
        <w:ind w:left="851" w:right="567"/>
        <w:jc w:val="both"/>
        <w:rPr>
          <w:rFonts w:ascii="Palatino Linotype" w:hAnsi="Palatino Linotype" w:cs="Arial"/>
          <w:i/>
        </w:rPr>
      </w:pPr>
    </w:p>
    <w:p w14:paraId="23DCA212" w14:textId="77777777" w:rsidR="00A833D2" w:rsidRPr="00BE44A0" w:rsidRDefault="00A833D2" w:rsidP="00A833D2">
      <w:pPr>
        <w:spacing w:after="0" w:line="240" w:lineRule="auto"/>
        <w:ind w:left="851" w:right="567"/>
        <w:jc w:val="both"/>
        <w:rPr>
          <w:rFonts w:ascii="Palatino Linotype" w:hAnsi="Palatino Linotype" w:cs="Arial"/>
          <w:i/>
          <w:highlight w:val="yellow"/>
        </w:rPr>
      </w:pPr>
      <w:r w:rsidRPr="00BE44A0">
        <w:rPr>
          <w:rFonts w:ascii="Palatino Linotype" w:hAnsi="Palatino Linotype" w:cs="Arial"/>
          <w:b/>
          <w:bCs/>
          <w:i/>
        </w:rPr>
        <w:t>(i) La complejidad del asunto:</w:t>
      </w:r>
      <w:r w:rsidRPr="00BE44A0">
        <w:rPr>
          <w:rFonts w:ascii="Palatino Linotype" w:hAnsi="Palatino Linotype" w:cs="Arial"/>
          <w:i/>
        </w:rPr>
        <w:t xml:space="preserve"> la petición únicamente versa sobre los motivos por los cuales el salario de esta parte quejosa fue reducido de manera injustificada y sin previa notificación de conformidad con el mandato constitucional.</w:t>
      </w:r>
    </w:p>
    <w:p w14:paraId="62425D03"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b/>
          <w:bCs/>
          <w:i/>
        </w:rPr>
        <w:t xml:space="preserve">(ii)La actividad procesal del interesado: </w:t>
      </w:r>
      <w:r w:rsidRPr="00BE44A0">
        <w:rPr>
          <w:rFonts w:ascii="Palatino Linotype" w:hAnsi="Palatino Linotype" w:cs="Arial"/>
          <w:i/>
        </w:rPr>
        <w:t xml:space="preserve">en la especie al tratarse de derecho de petición, la actividad de la quejosa se encuentra limitada por la simple presentación de la petición, lo cual sucedió el </w:t>
      </w:r>
      <w:r w:rsidRPr="00BE44A0">
        <w:rPr>
          <w:rFonts w:ascii="Palatino Linotype" w:hAnsi="Palatino Linotype" w:cs="Times New Roman"/>
          <w:i/>
        </w:rPr>
        <w:t>16 de mayo de 2022</w:t>
      </w:r>
      <w:r w:rsidRPr="00BE44A0">
        <w:rPr>
          <w:rFonts w:ascii="Palatino Linotype" w:hAnsi="Palatino Linotype" w:cs="Arial"/>
          <w:i/>
        </w:rPr>
        <w:t>.</w:t>
      </w:r>
    </w:p>
    <w:p w14:paraId="26F71914"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b/>
          <w:bCs/>
          <w:i/>
        </w:rPr>
        <w:t>(iii)La conducta de las autoridades:</w:t>
      </w:r>
      <w:r w:rsidRPr="00BE44A0">
        <w:rPr>
          <w:rFonts w:ascii="Palatino Linotype" w:hAnsi="Palatino Linotype" w:cs="Arial"/>
          <w:i/>
        </w:rPr>
        <w:t xml:space="preserve"> como puede concluirse lógicamente la autoridad responsable no ha dado respuesta a la consulta planteada, a pesar de que esta carece de complejidad jurídica, técnica y material, por lo que esta omisión constituye un perjuicio hacia los derechos fundamentales del quejoso. </w:t>
      </w:r>
    </w:p>
    <w:p w14:paraId="7089D7B3" w14:textId="77777777" w:rsidR="00A833D2" w:rsidRPr="00BE44A0" w:rsidRDefault="00A833D2" w:rsidP="00A833D2">
      <w:pPr>
        <w:spacing w:after="0" w:line="240" w:lineRule="auto"/>
        <w:ind w:left="851" w:right="567"/>
        <w:jc w:val="both"/>
        <w:rPr>
          <w:rFonts w:ascii="Palatino Linotype" w:hAnsi="Palatino Linotype" w:cs="Arial"/>
          <w:i/>
        </w:rPr>
      </w:pPr>
    </w:p>
    <w:p w14:paraId="7324DA25"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Es así como del análisis de los elementos que constituyen al principio de plazo razonable podemos concluir que en la especie la autoridad responsable ha dejado de observar dicho principio en relación con su obligación de dar respuesta en “breve término” a la petición formulada.</w:t>
      </w:r>
    </w:p>
    <w:p w14:paraId="67D1C1D6" w14:textId="77777777" w:rsidR="00A833D2" w:rsidRPr="00BE44A0" w:rsidRDefault="00A833D2" w:rsidP="00A833D2">
      <w:pPr>
        <w:spacing w:after="0" w:line="240" w:lineRule="auto"/>
        <w:ind w:left="851" w:right="567"/>
        <w:jc w:val="both"/>
        <w:rPr>
          <w:rFonts w:ascii="Palatino Linotype" w:hAnsi="Palatino Linotype" w:cs="Arial"/>
          <w:i/>
        </w:rPr>
      </w:pPr>
    </w:p>
    <w:p w14:paraId="75062D71" w14:textId="77777777" w:rsidR="00A833D2" w:rsidRPr="00BE44A0" w:rsidRDefault="00A833D2" w:rsidP="00A833D2">
      <w:pPr>
        <w:spacing w:after="0" w:line="240" w:lineRule="auto"/>
        <w:ind w:left="851" w:right="567"/>
        <w:jc w:val="both"/>
        <w:rPr>
          <w:rFonts w:ascii="Palatino Linotype" w:hAnsi="Palatino Linotype" w:cs="Arial"/>
          <w:i/>
        </w:rPr>
      </w:pPr>
      <w:r w:rsidRPr="00BE44A0">
        <w:rPr>
          <w:rFonts w:ascii="Palatino Linotype" w:hAnsi="Palatino Linotype" w:cs="Arial"/>
          <w:i/>
        </w:rPr>
        <w:t>Por lo tanto, en la especie se incurre en una violación al derecho de petición consagrado en el artículo 8° de la Constitución Federal, por lo que es dable que su Señoría conceda el amparo y protección de la Justicia Federal a efecto de salvaguardar los derechos funda</w:t>
      </w:r>
      <w:r>
        <w:rPr>
          <w:rFonts w:ascii="Palatino Linotype" w:hAnsi="Palatino Linotype" w:cs="Arial"/>
          <w:i/>
        </w:rPr>
        <w:t>mentales de esta parte quejosa.”</w:t>
      </w:r>
    </w:p>
    <w:p w14:paraId="090A4E2D" w14:textId="77777777" w:rsidR="003B5528" w:rsidRPr="000613EF" w:rsidRDefault="003B5528" w:rsidP="000613EF">
      <w:pPr>
        <w:spacing w:after="0" w:line="360" w:lineRule="auto"/>
        <w:ind w:right="49"/>
        <w:jc w:val="both"/>
        <w:rPr>
          <w:rFonts w:ascii="Palatino Linotype" w:eastAsia="Times New Roman" w:hAnsi="Palatino Linotype" w:cs="Arial"/>
          <w:sz w:val="24"/>
          <w:szCs w:val="24"/>
          <w:lang w:val="es-ES" w:eastAsia="es-ES"/>
        </w:rPr>
      </w:pPr>
    </w:p>
    <w:p w14:paraId="6B65CD37" w14:textId="77777777" w:rsidR="003B5528" w:rsidRPr="003B5528" w:rsidRDefault="00326991" w:rsidP="003B5528">
      <w:pPr>
        <w:spacing w:after="0" w:line="360" w:lineRule="auto"/>
        <w:jc w:val="both"/>
        <w:rPr>
          <w:rFonts w:ascii="Palatino Linotype" w:hAnsi="Palatino Linotype" w:cs="Arial"/>
          <w:sz w:val="24"/>
          <w:szCs w:val="24"/>
        </w:rPr>
      </w:pPr>
      <w:r w:rsidRPr="00A833D2">
        <w:rPr>
          <w:rFonts w:ascii="Palatino Linotype" w:eastAsia="Times New Roman" w:hAnsi="Palatino Linotype" w:cs="Arial"/>
          <w:b/>
          <w:sz w:val="24"/>
          <w:szCs w:val="24"/>
          <w:lang w:val="es-419" w:eastAsia="es-ES"/>
        </w:rPr>
        <w:t>SEXTO</w:t>
      </w:r>
      <w:r w:rsidR="003B5528" w:rsidRPr="00A833D2">
        <w:rPr>
          <w:rFonts w:ascii="Palatino Linotype" w:eastAsia="Times New Roman" w:hAnsi="Palatino Linotype" w:cs="Arial"/>
          <w:b/>
          <w:sz w:val="24"/>
          <w:szCs w:val="24"/>
          <w:lang w:val="es-ES_tradnl" w:eastAsia="es-ES"/>
        </w:rPr>
        <w:t xml:space="preserve">. </w:t>
      </w:r>
      <w:r w:rsidR="006205C6" w:rsidRPr="00A833D2">
        <w:rPr>
          <w:rFonts w:ascii="Palatino Linotype" w:hAnsi="Palatino Linotype" w:cs="Arial"/>
          <w:sz w:val="24"/>
          <w:szCs w:val="24"/>
          <w:lang w:val="es-419"/>
        </w:rPr>
        <w:t>E</w:t>
      </w:r>
      <w:r w:rsidR="003B5528" w:rsidRPr="00A833D2">
        <w:rPr>
          <w:rFonts w:ascii="Palatino Linotype" w:hAnsi="Palatino Linotype" w:cs="Arial"/>
          <w:sz w:val="24"/>
          <w:szCs w:val="24"/>
        </w:rPr>
        <w:t xml:space="preserve">n fecha </w:t>
      </w:r>
      <w:r w:rsidRPr="00A833D2">
        <w:rPr>
          <w:rFonts w:ascii="Palatino Linotype" w:hAnsi="Palatino Linotype" w:cs="Arial"/>
          <w:sz w:val="24"/>
          <w:szCs w:val="24"/>
          <w:lang w:val="es-419"/>
        </w:rPr>
        <w:t>treinta y uno</w:t>
      </w:r>
      <w:r w:rsidR="003B5528" w:rsidRPr="00A833D2">
        <w:rPr>
          <w:rFonts w:ascii="Palatino Linotype" w:hAnsi="Palatino Linotype" w:cs="Arial"/>
          <w:sz w:val="24"/>
          <w:szCs w:val="24"/>
        </w:rPr>
        <w:t xml:space="preserve"> de </w:t>
      </w:r>
      <w:r w:rsidRPr="00A833D2">
        <w:rPr>
          <w:rFonts w:ascii="Palatino Linotype" w:hAnsi="Palatino Linotype" w:cs="Arial"/>
          <w:sz w:val="24"/>
          <w:szCs w:val="24"/>
          <w:lang w:val="es-419"/>
        </w:rPr>
        <w:t>enero</w:t>
      </w:r>
      <w:r w:rsidR="003B5528" w:rsidRPr="00A833D2">
        <w:rPr>
          <w:rFonts w:ascii="Palatino Linotype" w:hAnsi="Palatino Linotype" w:cs="Arial"/>
          <w:sz w:val="24"/>
          <w:szCs w:val="24"/>
        </w:rPr>
        <w:t xml:space="preserve"> del año dos mil </w:t>
      </w:r>
      <w:r w:rsidRPr="00A833D2">
        <w:rPr>
          <w:rFonts w:ascii="Palatino Linotype" w:hAnsi="Palatino Linotype" w:cs="Arial"/>
          <w:sz w:val="24"/>
          <w:szCs w:val="24"/>
          <w:lang w:val="es-419"/>
        </w:rPr>
        <w:t>veintitrés</w:t>
      </w:r>
      <w:r w:rsidR="003B5528" w:rsidRPr="00A833D2">
        <w:rPr>
          <w:rFonts w:ascii="Palatino Linotype" w:hAnsi="Palatino Linotype" w:cs="Arial"/>
          <w:sz w:val="24"/>
          <w:szCs w:val="24"/>
        </w:rPr>
        <w:t>, se emitió acuerdo mediante el cual se amplío el plazo para emitir la resolución que en derecho proceda.</w:t>
      </w:r>
    </w:p>
    <w:p w14:paraId="3B7EB203" w14:textId="77777777" w:rsidR="003B5528" w:rsidRPr="003B5528" w:rsidRDefault="003B5528" w:rsidP="003B5528">
      <w:pPr>
        <w:spacing w:after="0" w:line="360" w:lineRule="auto"/>
        <w:jc w:val="both"/>
        <w:rPr>
          <w:rFonts w:ascii="Palatino Linotype" w:hAnsi="Palatino Linotype" w:cs="Arial"/>
          <w:sz w:val="24"/>
          <w:szCs w:val="24"/>
        </w:rPr>
      </w:pPr>
    </w:p>
    <w:p w14:paraId="068000D3"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3B5528">
        <w:rPr>
          <w:rFonts w:ascii="Palatino Linotype" w:hAnsi="Palatino Linotype"/>
          <w:sz w:val="24"/>
          <w:szCs w:val="24"/>
        </w:rPr>
        <w:t xml:space="preserve"> del año dos mil veintidós, que, en comparación con los recibidos el año pasado dentro del mismo periodo, se ha incrementado </w:t>
      </w:r>
      <w:r w:rsidRPr="003B5528">
        <w:rPr>
          <w:rFonts w:ascii="Palatino Linotype" w:hAnsi="Palatino Linotype"/>
          <w:sz w:val="24"/>
          <w:szCs w:val="24"/>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7AC490F" w14:textId="77777777" w:rsidR="003B5528" w:rsidRPr="003B5528" w:rsidRDefault="003B5528" w:rsidP="003B5528">
      <w:pPr>
        <w:spacing w:after="0" w:line="360" w:lineRule="auto"/>
        <w:jc w:val="both"/>
        <w:rPr>
          <w:rFonts w:ascii="Palatino Linotype" w:hAnsi="Palatino Linotype"/>
          <w:sz w:val="24"/>
          <w:szCs w:val="24"/>
        </w:rPr>
      </w:pPr>
    </w:p>
    <w:p w14:paraId="277BBD4F"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11A5917" w14:textId="77777777" w:rsidR="003B5528" w:rsidRPr="003B5528" w:rsidRDefault="003B5528" w:rsidP="003B5528">
      <w:pPr>
        <w:spacing w:after="0" w:line="360" w:lineRule="auto"/>
        <w:jc w:val="both"/>
        <w:rPr>
          <w:rFonts w:ascii="Palatino Linotype" w:hAnsi="Palatino Linotype"/>
          <w:sz w:val="24"/>
          <w:szCs w:val="24"/>
        </w:rPr>
      </w:pPr>
    </w:p>
    <w:p w14:paraId="7AD89594"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EF40E1" w14:textId="77777777" w:rsidR="003B5528" w:rsidRPr="003B5528" w:rsidRDefault="003B5528" w:rsidP="003B5528">
      <w:pPr>
        <w:spacing w:after="0" w:line="360" w:lineRule="auto"/>
        <w:jc w:val="both"/>
        <w:rPr>
          <w:rFonts w:ascii="Palatino Linotype" w:hAnsi="Palatino Linotype"/>
          <w:sz w:val="24"/>
          <w:szCs w:val="24"/>
        </w:rPr>
      </w:pPr>
    </w:p>
    <w:p w14:paraId="3298EA28"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F5BC205" w14:textId="77777777" w:rsidR="003B5528" w:rsidRPr="003B5528" w:rsidRDefault="003B5528" w:rsidP="003B5528">
      <w:pPr>
        <w:spacing w:after="0" w:line="360" w:lineRule="auto"/>
        <w:jc w:val="both"/>
        <w:rPr>
          <w:rFonts w:ascii="Palatino Linotype" w:hAnsi="Palatino Linotype"/>
          <w:sz w:val="24"/>
          <w:szCs w:val="24"/>
        </w:rPr>
      </w:pPr>
    </w:p>
    <w:p w14:paraId="6E2F0A36"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lastRenderedPageBreak/>
        <w:t xml:space="preserve">Por ello, excepcionalmente, si un asunto es resuelto con posterioridad a los plazos señalados por la norma debe analizarse la razonabilidad de dicha dilación atendiendo a los siguientes criterios:   </w:t>
      </w:r>
    </w:p>
    <w:p w14:paraId="1DA7B600" w14:textId="77777777" w:rsidR="003B5528" w:rsidRPr="003B5528" w:rsidRDefault="003B5528" w:rsidP="003B5528">
      <w:pPr>
        <w:spacing w:after="0" w:line="360" w:lineRule="auto"/>
        <w:jc w:val="both"/>
        <w:rPr>
          <w:rFonts w:ascii="Palatino Linotype" w:hAnsi="Palatino Linotype"/>
          <w:sz w:val="24"/>
          <w:szCs w:val="24"/>
        </w:rPr>
      </w:pPr>
    </w:p>
    <w:p w14:paraId="45FDE58E" w14:textId="77777777" w:rsidR="003B552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3B5528">
        <w:rPr>
          <w:rFonts w:ascii="Palatino Linotype" w:hAnsi="Palatino Linotype"/>
          <w:b/>
        </w:rPr>
        <w:t>Complejidad del Asunto:</w:t>
      </w:r>
      <w:r w:rsidRPr="003B5528">
        <w:rPr>
          <w:rFonts w:ascii="Palatino Linotype" w:hAnsi="Palatino Linotype"/>
        </w:rPr>
        <w:t xml:space="preserve"> La complejidad de la prueba, la pluralidad de sujetos procesales, el tiempo transcurrido, las caracter</w:t>
      </w:r>
      <w:r w:rsidR="0086697F">
        <w:rPr>
          <w:rFonts w:ascii="Palatino Linotype" w:hAnsi="Palatino Linotype"/>
        </w:rPr>
        <w:t>ísticas y contexto del recurso.</w:t>
      </w:r>
    </w:p>
    <w:p w14:paraId="385C6455" w14:textId="77777777" w:rsidR="0086697F" w:rsidRPr="003B5528" w:rsidRDefault="0086697F" w:rsidP="0086697F">
      <w:pPr>
        <w:pStyle w:val="Prrafodelista"/>
        <w:spacing w:line="360" w:lineRule="auto"/>
        <w:ind w:left="426" w:right="850"/>
        <w:contextualSpacing/>
        <w:jc w:val="both"/>
        <w:rPr>
          <w:rFonts w:ascii="Palatino Linotype" w:hAnsi="Palatino Linotype"/>
        </w:rPr>
      </w:pPr>
    </w:p>
    <w:p w14:paraId="4B81F25C" w14:textId="77777777" w:rsidR="003B552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3B5528">
        <w:rPr>
          <w:rFonts w:ascii="Palatino Linotype" w:hAnsi="Palatino Linotype"/>
          <w:b/>
        </w:rPr>
        <w:t>Actividad Procesal del interesado</w:t>
      </w:r>
      <w:r w:rsidRPr="003B5528">
        <w:rPr>
          <w:rFonts w:ascii="Palatino Linotype" w:hAnsi="Palatino Linotype"/>
          <w:b/>
          <w:lang w:val="es-419"/>
        </w:rPr>
        <w:t>:</w:t>
      </w:r>
      <w:r w:rsidRPr="003B5528">
        <w:rPr>
          <w:rFonts w:ascii="Palatino Linotype" w:hAnsi="Palatino Linotype"/>
        </w:rPr>
        <w:t xml:space="preserve"> Acciones u omisiones del interesado.</w:t>
      </w:r>
    </w:p>
    <w:p w14:paraId="533B9953" w14:textId="77777777" w:rsidR="0086697F" w:rsidRPr="003B5528" w:rsidRDefault="0086697F" w:rsidP="0086697F">
      <w:pPr>
        <w:pStyle w:val="Prrafodelista"/>
        <w:spacing w:line="360" w:lineRule="auto"/>
        <w:ind w:left="426" w:right="850"/>
        <w:contextualSpacing/>
        <w:jc w:val="both"/>
        <w:rPr>
          <w:rFonts w:ascii="Palatino Linotype" w:hAnsi="Palatino Linotype"/>
        </w:rPr>
      </w:pPr>
    </w:p>
    <w:p w14:paraId="3075E031" w14:textId="77777777" w:rsidR="003B552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3B5528">
        <w:rPr>
          <w:rFonts w:ascii="Palatino Linotype" w:hAnsi="Palatino Linotype"/>
          <w:b/>
        </w:rPr>
        <w:t>Conducta de la Autoridad:</w:t>
      </w:r>
      <w:r w:rsidRPr="003B5528">
        <w:rPr>
          <w:rFonts w:ascii="Palatino Linotype" w:hAnsi="Palatino Linotype"/>
        </w:rPr>
        <w:t xml:space="preserve"> Las Acciones u omisiones realizadas en el procedimiento. Así como si la autoridad actuó con la debida diligencia.</w:t>
      </w:r>
    </w:p>
    <w:p w14:paraId="352685E1" w14:textId="77777777" w:rsidR="0086697F" w:rsidRPr="003B5528" w:rsidRDefault="0086697F" w:rsidP="0086697F">
      <w:pPr>
        <w:pStyle w:val="Prrafodelista"/>
        <w:spacing w:line="360" w:lineRule="auto"/>
        <w:ind w:left="426" w:right="850"/>
        <w:contextualSpacing/>
        <w:jc w:val="both"/>
        <w:rPr>
          <w:rFonts w:ascii="Palatino Linotype" w:hAnsi="Palatino Linotype"/>
        </w:rPr>
      </w:pPr>
    </w:p>
    <w:p w14:paraId="21EAC68E" w14:textId="77777777" w:rsidR="003B5528" w:rsidRPr="003B552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3B5528">
        <w:rPr>
          <w:rFonts w:ascii="Palatino Linotype" w:hAnsi="Palatino Linotype"/>
          <w:b/>
        </w:rPr>
        <w:t>La afectación generada en la situación jurídica de la persona involucrada en el proceso:</w:t>
      </w:r>
      <w:r w:rsidRPr="003B5528">
        <w:rPr>
          <w:rFonts w:ascii="Palatino Linotype" w:hAnsi="Palatino Linotype"/>
        </w:rPr>
        <w:t xml:space="preserve"> Violación a sus derechos humanos.</w:t>
      </w:r>
    </w:p>
    <w:p w14:paraId="46D009CE" w14:textId="77777777" w:rsidR="003B5528" w:rsidRPr="003B5528" w:rsidRDefault="003B5528" w:rsidP="003B5528">
      <w:pPr>
        <w:spacing w:after="0" w:line="360" w:lineRule="auto"/>
        <w:jc w:val="both"/>
        <w:rPr>
          <w:rFonts w:ascii="Palatino Linotype" w:hAnsi="Palatino Linotype"/>
          <w:sz w:val="24"/>
          <w:szCs w:val="24"/>
        </w:rPr>
      </w:pPr>
    </w:p>
    <w:p w14:paraId="361503F8"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461CA8" w14:textId="77777777" w:rsidR="003B5528" w:rsidRPr="003B5528" w:rsidRDefault="003B5528" w:rsidP="003B5528">
      <w:pPr>
        <w:spacing w:after="0" w:line="360" w:lineRule="auto"/>
        <w:jc w:val="both"/>
        <w:rPr>
          <w:rFonts w:ascii="Palatino Linotype" w:hAnsi="Palatino Linotype"/>
          <w:sz w:val="24"/>
          <w:szCs w:val="24"/>
        </w:rPr>
      </w:pPr>
    </w:p>
    <w:p w14:paraId="1FC63186" w14:textId="77777777" w:rsidR="003B5528" w:rsidRPr="003B5528" w:rsidRDefault="003B5528" w:rsidP="003B5528">
      <w:pPr>
        <w:spacing w:after="0" w:line="360" w:lineRule="auto"/>
        <w:jc w:val="both"/>
        <w:rPr>
          <w:rFonts w:ascii="Palatino Linotype" w:hAnsi="Palatino Linotype"/>
          <w:b/>
          <w:sz w:val="24"/>
          <w:szCs w:val="24"/>
        </w:rPr>
      </w:pPr>
      <w:r w:rsidRPr="003B5528">
        <w:rPr>
          <w:rFonts w:ascii="Palatino Linotype" w:hAnsi="Palatino Linotype"/>
          <w:sz w:val="24"/>
          <w:szCs w:val="24"/>
        </w:rPr>
        <w:t xml:space="preserve">Argumento que encuentra sustento en la jurisprudencia P./J. 32/92 emitida por el Pleno de la Suprema Corte de Justicia de la Nación de rubro </w:t>
      </w:r>
      <w:r w:rsidRPr="003B5528">
        <w:rPr>
          <w:rFonts w:ascii="Palatino Linotype" w:hAnsi="Palatino Linotype"/>
          <w:i/>
          <w:sz w:val="24"/>
          <w:szCs w:val="24"/>
        </w:rPr>
        <w:t xml:space="preserve">“TÉRMINOS PROCESALES. </w:t>
      </w:r>
      <w:r w:rsidRPr="003B5528">
        <w:rPr>
          <w:rFonts w:ascii="Palatino Linotype" w:hAnsi="Palatino Linotype"/>
          <w:i/>
          <w:sz w:val="24"/>
          <w:szCs w:val="24"/>
        </w:rPr>
        <w:lastRenderedPageBreak/>
        <w:t>PARA DETERMINAR SI UN FUNCIONARIO JUDICIAL ACTUÓ INDEBIDAMENTE POR NO RESPETARLOS SE DEBE ATENDER AL PRESUPUESTO QUE CONSIDERÓ EL LEGISLADOR AL FIJARLOS Y LAS CARACTERÍSTICAS DEL CASO.”</w:t>
      </w:r>
      <w:r w:rsidRPr="003B5528">
        <w:rPr>
          <w:rFonts w:ascii="Palatino Linotype" w:hAnsi="Palatino Linotype"/>
          <w:sz w:val="24"/>
          <w:szCs w:val="24"/>
        </w:rPr>
        <w:t>, visible en la Gaceta del Seminario Judicial de la Federación con el registro digital 205635.</w:t>
      </w:r>
    </w:p>
    <w:p w14:paraId="1166A904" w14:textId="77777777" w:rsidR="003B5528" w:rsidRPr="003B5528" w:rsidRDefault="003B5528" w:rsidP="003B5528">
      <w:pPr>
        <w:spacing w:after="0" w:line="360" w:lineRule="auto"/>
        <w:jc w:val="both"/>
        <w:rPr>
          <w:rFonts w:ascii="Palatino Linotype" w:hAnsi="Palatino Linotype"/>
          <w:sz w:val="24"/>
          <w:szCs w:val="24"/>
        </w:rPr>
      </w:pPr>
    </w:p>
    <w:p w14:paraId="2A6EAEEF"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39CE4E" w14:textId="77777777" w:rsidR="003B5528" w:rsidRPr="003B5528" w:rsidRDefault="003B5528" w:rsidP="003B5528">
      <w:pPr>
        <w:spacing w:after="0" w:line="360" w:lineRule="auto"/>
        <w:jc w:val="both"/>
        <w:rPr>
          <w:rFonts w:ascii="Palatino Linotype" w:hAnsi="Palatino Linotype"/>
          <w:sz w:val="24"/>
          <w:szCs w:val="24"/>
        </w:rPr>
      </w:pPr>
    </w:p>
    <w:p w14:paraId="0BAC6B1E"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0961D36" w14:textId="77777777" w:rsidR="003B5528" w:rsidRPr="003B5528" w:rsidRDefault="003B5528" w:rsidP="003B5528">
      <w:pPr>
        <w:spacing w:after="0" w:line="360" w:lineRule="auto"/>
        <w:jc w:val="both"/>
        <w:rPr>
          <w:rFonts w:ascii="Palatino Linotype" w:hAnsi="Palatino Linotype"/>
          <w:sz w:val="24"/>
          <w:szCs w:val="24"/>
        </w:rPr>
      </w:pPr>
    </w:p>
    <w:p w14:paraId="49EB8D1D"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C916BF9" w14:textId="77777777" w:rsidR="003B5528" w:rsidRPr="003B5528" w:rsidRDefault="003B5528" w:rsidP="003B5528">
      <w:pPr>
        <w:spacing w:after="0" w:line="360" w:lineRule="auto"/>
        <w:jc w:val="both"/>
        <w:rPr>
          <w:rFonts w:ascii="Palatino Linotype" w:hAnsi="Palatino Linotype"/>
          <w:sz w:val="24"/>
          <w:szCs w:val="24"/>
        </w:rPr>
      </w:pPr>
    </w:p>
    <w:p w14:paraId="21E81284" w14:textId="77777777"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i/>
          <w:sz w:val="24"/>
          <w:szCs w:val="24"/>
        </w:rPr>
        <w:lastRenderedPageBreak/>
        <w:t>“PLAZO RAZONABLE PARA RESOLVER. DIMENSIÓN Y EFECTOS DE ESTE CONCEPTO CUANDO SE ADUCE EXCESIVA CARGA DE TRABAJO.”</w:t>
      </w:r>
      <w:r w:rsidRPr="003B5528">
        <w:rPr>
          <w:rFonts w:ascii="Palatino Linotype" w:hAnsi="Palatino Linotype"/>
          <w:sz w:val="24"/>
          <w:szCs w:val="24"/>
        </w:rPr>
        <w:t xml:space="preserve"> consultable en el Seminario Judicial de la Federación y su gaceta, con el registro digital 2002351.</w:t>
      </w:r>
    </w:p>
    <w:p w14:paraId="5F1B0A86" w14:textId="77777777" w:rsidR="003B5528" w:rsidRPr="003B5528" w:rsidRDefault="003B5528" w:rsidP="003B5528">
      <w:pPr>
        <w:spacing w:after="0" w:line="360" w:lineRule="auto"/>
        <w:jc w:val="both"/>
        <w:rPr>
          <w:rFonts w:ascii="Palatino Linotype" w:hAnsi="Palatino Linotype"/>
          <w:b/>
          <w:sz w:val="24"/>
          <w:szCs w:val="24"/>
        </w:rPr>
      </w:pPr>
    </w:p>
    <w:p w14:paraId="2B6F95D7" w14:textId="77777777" w:rsid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i/>
          <w:sz w:val="24"/>
          <w:szCs w:val="24"/>
        </w:rPr>
        <w:t>“PLAZO RAZONABLE PARA RESOLVER. CONCEPTO Y ELEMENTOS QUE LO INTEGRAN A LA LUZ DEL DERECHO INTERNACIONAL DE LOS DERECHOS HUMANOS.”</w:t>
      </w:r>
      <w:r w:rsidRPr="003B5528">
        <w:rPr>
          <w:rFonts w:ascii="Palatino Linotype" w:hAnsi="Palatino Linotype"/>
          <w:sz w:val="24"/>
          <w:szCs w:val="24"/>
        </w:rPr>
        <w:t>, visible en el Seminario Judicial de la Federación y su gaceta, con</w:t>
      </w:r>
      <w:r w:rsidR="00326991">
        <w:rPr>
          <w:rFonts w:ascii="Palatino Linotype" w:hAnsi="Palatino Linotype"/>
          <w:sz w:val="24"/>
          <w:szCs w:val="24"/>
        </w:rPr>
        <w:t xml:space="preserve"> el registro digital 2002350.</w:t>
      </w:r>
    </w:p>
    <w:p w14:paraId="72D426CE" w14:textId="77777777" w:rsidR="00326991" w:rsidRDefault="00326991" w:rsidP="003B5528">
      <w:pPr>
        <w:spacing w:after="0" w:line="360" w:lineRule="auto"/>
        <w:jc w:val="both"/>
        <w:rPr>
          <w:rFonts w:ascii="Palatino Linotype" w:hAnsi="Palatino Linotype"/>
          <w:sz w:val="24"/>
          <w:szCs w:val="24"/>
        </w:rPr>
      </w:pPr>
    </w:p>
    <w:p w14:paraId="4FE19489" w14:textId="77777777" w:rsidR="00326991" w:rsidRPr="00B93DE8" w:rsidRDefault="00326991" w:rsidP="00326991">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SÉPTIMO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14:paraId="1C0C3499" w14:textId="77777777" w:rsidR="00326991" w:rsidRPr="003B5528" w:rsidRDefault="00326991" w:rsidP="00326991">
      <w:pPr>
        <w:spacing w:after="0" w:line="360" w:lineRule="auto"/>
        <w:jc w:val="both"/>
        <w:rPr>
          <w:rFonts w:ascii="Palatino Linotype" w:hAnsi="Palatino Linotype" w:cs="Arial"/>
          <w:sz w:val="24"/>
          <w:szCs w:val="24"/>
          <w:lang w:val="es-419"/>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Pr>
          <w:rFonts w:ascii="Palatino Linotype" w:hAnsi="Palatino Linotype" w:cs="Arial"/>
          <w:sz w:val="24"/>
          <w:szCs w:val="24"/>
        </w:rPr>
        <w:t xml:space="preserve"> </w:t>
      </w:r>
      <w:r w:rsidRPr="00B93DE8">
        <w:rPr>
          <w:rFonts w:ascii="Palatino Linotype" w:hAnsi="Palatino Linotype" w:cs="Arial"/>
          <w:sz w:val="24"/>
          <w:szCs w:val="24"/>
        </w:rPr>
        <w:t>l</w:t>
      </w:r>
      <w:r>
        <w:rPr>
          <w:rFonts w:ascii="Palatino Linotype" w:hAnsi="Palatino Linotype" w:cs="Arial"/>
          <w:sz w:val="24"/>
          <w:szCs w:val="24"/>
        </w:rPr>
        <w:t>os</w:t>
      </w:r>
      <w:r w:rsidRPr="00B93DE8">
        <w:rPr>
          <w:rFonts w:ascii="Palatino Linotype" w:hAnsi="Palatino Linotype" w:cs="Arial"/>
          <w:sz w:val="24"/>
          <w:szCs w:val="24"/>
        </w:rPr>
        <w:t xml:space="preserve"> recursos de revisión </w:t>
      </w:r>
      <w:r w:rsidRPr="00B16CB3">
        <w:rPr>
          <w:rFonts w:ascii="Palatino Linotype" w:hAnsi="Palatino Linotype" w:cs="Arial"/>
          <w:sz w:val="24"/>
          <w:szCs w:val="24"/>
        </w:rPr>
        <w:t xml:space="preserve">en fecha </w:t>
      </w:r>
      <w:r>
        <w:rPr>
          <w:rFonts w:ascii="Palatino Linotype" w:hAnsi="Palatino Linotype" w:cs="Arial"/>
          <w:sz w:val="24"/>
          <w:szCs w:val="24"/>
          <w:lang w:val="es-419"/>
        </w:rPr>
        <w:t>dos</w:t>
      </w:r>
      <w:r w:rsidRPr="00B16CB3">
        <w:rPr>
          <w:rFonts w:ascii="Palatino Linotype" w:hAnsi="Palatino Linotype" w:cs="Arial"/>
          <w:sz w:val="24"/>
          <w:szCs w:val="24"/>
          <w:lang w:val="es-419"/>
        </w:rPr>
        <w:t xml:space="preserve"> </w:t>
      </w:r>
      <w:r w:rsidRPr="00B16CB3">
        <w:rPr>
          <w:rFonts w:ascii="Palatino Linotype" w:hAnsi="Palatino Linotype" w:cs="Arial"/>
          <w:sz w:val="24"/>
          <w:szCs w:val="24"/>
        </w:rPr>
        <w:t xml:space="preserve">de </w:t>
      </w:r>
      <w:r>
        <w:rPr>
          <w:rFonts w:ascii="Palatino Linotype" w:hAnsi="Palatino Linotype" w:cs="Arial"/>
          <w:sz w:val="24"/>
          <w:szCs w:val="24"/>
          <w:lang w:val="es-419"/>
        </w:rPr>
        <w:t>diciembre</w:t>
      </w:r>
      <w:r w:rsidRPr="00B16CB3">
        <w:rPr>
          <w:rFonts w:ascii="Palatino Linotype" w:hAnsi="Palatino Linotype" w:cs="Arial"/>
          <w:sz w:val="24"/>
          <w:szCs w:val="24"/>
        </w:rPr>
        <w:t xml:space="preserve"> de dos mil </w:t>
      </w:r>
      <w:r>
        <w:rPr>
          <w:rFonts w:ascii="Palatino Linotype" w:hAnsi="Palatino Linotype" w:cs="Arial"/>
          <w:sz w:val="24"/>
          <w:szCs w:val="24"/>
          <w:lang w:val="es-419"/>
        </w:rPr>
        <w:t>veintidós</w:t>
      </w:r>
      <w:r w:rsidRPr="00B16CB3">
        <w:rPr>
          <w:rFonts w:ascii="Palatino Linotype" w:hAnsi="Palatino Linotype" w:cs="Arial"/>
          <w:sz w:val="24"/>
          <w:szCs w:val="24"/>
        </w:rPr>
        <w:t>, en términos del artículo 185 Fracción VI de la Ley de Transparencia y Acceso a la Información Pública del Estado de Méxic</w:t>
      </w:r>
      <w:r w:rsidRPr="00B93DE8">
        <w:rPr>
          <w:rFonts w:ascii="Palatino Linotype" w:hAnsi="Palatino Linotype" w:cs="Arial"/>
          <w:sz w:val="24"/>
          <w:szCs w:val="24"/>
        </w:rPr>
        <w:t>o y Municipios, iniciando el término legal para dictar r</w:t>
      </w:r>
      <w:r w:rsidR="000178DD">
        <w:rPr>
          <w:rFonts w:ascii="Palatino Linotype" w:hAnsi="Palatino Linotype" w:cs="Arial"/>
          <w:sz w:val="24"/>
          <w:szCs w:val="24"/>
        </w:rPr>
        <w:t xml:space="preserve">esolución definitiva del asunto, y, </w:t>
      </w:r>
    </w:p>
    <w:p w14:paraId="1B4A897B" w14:textId="77777777" w:rsidR="00BC3531" w:rsidRPr="003B5528" w:rsidRDefault="00BC3531" w:rsidP="003B5528">
      <w:pPr>
        <w:spacing w:after="0" w:line="360" w:lineRule="auto"/>
        <w:jc w:val="both"/>
        <w:rPr>
          <w:rFonts w:ascii="Palatino Linotype" w:hAnsi="Palatino Linotype" w:cs="Arial"/>
          <w:sz w:val="24"/>
          <w:szCs w:val="24"/>
        </w:rPr>
      </w:pPr>
    </w:p>
    <w:p w14:paraId="1588FA7E" w14:textId="77777777" w:rsidR="0086697F" w:rsidRDefault="0086697F" w:rsidP="008662E4">
      <w:pPr>
        <w:spacing w:after="0" w:line="360" w:lineRule="auto"/>
        <w:jc w:val="center"/>
        <w:rPr>
          <w:rFonts w:ascii="Palatino Linotype" w:hAnsi="Palatino Linotype" w:cs="Arial"/>
          <w:b/>
          <w:sz w:val="24"/>
          <w:szCs w:val="24"/>
        </w:rPr>
      </w:pPr>
    </w:p>
    <w:p w14:paraId="42FE8033" w14:textId="77777777" w:rsidR="00BC3531" w:rsidRPr="008662E4" w:rsidRDefault="00BC3531" w:rsidP="008662E4">
      <w:pPr>
        <w:spacing w:after="0" w:line="360" w:lineRule="auto"/>
        <w:jc w:val="center"/>
        <w:rPr>
          <w:rFonts w:ascii="Palatino Linotype" w:hAnsi="Palatino Linotype" w:cs="Arial"/>
          <w:sz w:val="24"/>
          <w:szCs w:val="24"/>
        </w:rPr>
      </w:pPr>
      <w:r w:rsidRPr="008662E4">
        <w:rPr>
          <w:rFonts w:ascii="Palatino Linotype" w:hAnsi="Palatino Linotype" w:cs="Arial"/>
          <w:b/>
          <w:sz w:val="24"/>
          <w:szCs w:val="24"/>
        </w:rPr>
        <w:t xml:space="preserve">C O N S I D E R A N D O </w:t>
      </w:r>
    </w:p>
    <w:p w14:paraId="388908DB" w14:textId="77777777" w:rsidR="00BC3531" w:rsidRPr="008662E4" w:rsidRDefault="00BC3531" w:rsidP="008662E4">
      <w:pPr>
        <w:spacing w:after="0" w:line="360" w:lineRule="auto"/>
        <w:jc w:val="center"/>
        <w:rPr>
          <w:rFonts w:ascii="Palatino Linotype" w:hAnsi="Palatino Linotype" w:cs="Arial"/>
          <w:sz w:val="24"/>
          <w:szCs w:val="24"/>
        </w:rPr>
      </w:pPr>
    </w:p>
    <w:p w14:paraId="7C259BB6" w14:textId="77777777"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PRIMERO. De la competencia</w:t>
      </w:r>
      <w:r w:rsidRPr="008662E4">
        <w:rPr>
          <w:rFonts w:ascii="Palatino Linotype" w:hAnsi="Palatino Linotype" w:cs="Arial"/>
          <w:sz w:val="24"/>
          <w:szCs w:val="24"/>
        </w:rPr>
        <w:t>.</w:t>
      </w:r>
    </w:p>
    <w:p w14:paraId="49D3935F" w14:textId="77777777" w:rsidR="00BC3531" w:rsidRPr="008662E4" w:rsidRDefault="00982578" w:rsidP="008662E4">
      <w:pPr>
        <w:spacing w:after="0" w:line="360" w:lineRule="auto"/>
        <w:jc w:val="both"/>
        <w:rPr>
          <w:rFonts w:ascii="Palatino Linotype" w:hAnsi="Palatino Linotype" w:cs="Arial"/>
          <w:sz w:val="24"/>
          <w:szCs w:val="24"/>
        </w:rPr>
      </w:pPr>
      <w:r w:rsidRPr="00E5176D">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E5176D">
        <w:rPr>
          <w:rFonts w:ascii="Palatino Linotype" w:eastAsia="Times New Roman" w:hAnsi="Palatino Linotype" w:cs="Arial"/>
          <w:sz w:val="24"/>
          <w:szCs w:val="24"/>
          <w:lang w:val="es-ES" w:eastAsia="es-ES"/>
        </w:rPr>
        <w:lastRenderedPageBreak/>
        <w:t xml:space="preserve">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eastAsia="Times New Roman" w:hAnsi="Palatino Linotype" w:cs="Arial"/>
          <w:sz w:val="24"/>
          <w:szCs w:val="24"/>
          <w:lang w:val="es-ES" w:eastAsia="es-ES"/>
        </w:rPr>
        <w:t>México y Municipios.</w:t>
      </w:r>
    </w:p>
    <w:p w14:paraId="54C97FE6" w14:textId="77777777" w:rsidR="00BC3531" w:rsidRPr="008662E4" w:rsidRDefault="00BC3531" w:rsidP="008662E4">
      <w:pPr>
        <w:spacing w:after="0" w:line="360" w:lineRule="auto"/>
        <w:jc w:val="both"/>
        <w:rPr>
          <w:rFonts w:ascii="Palatino Linotype" w:hAnsi="Palatino Linotype" w:cs="Arial"/>
          <w:sz w:val="24"/>
          <w:szCs w:val="24"/>
        </w:rPr>
      </w:pPr>
    </w:p>
    <w:p w14:paraId="513C72F8" w14:textId="77777777" w:rsidR="00BC3531" w:rsidRPr="008662E4" w:rsidRDefault="00BC3531" w:rsidP="008662E4">
      <w:pPr>
        <w:autoSpaceDE w:val="0"/>
        <w:autoSpaceDN w:val="0"/>
        <w:adjustRightInd w:val="0"/>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SEGUNDO. Alcance de</w:t>
      </w:r>
      <w:r w:rsidR="00053D57">
        <w:rPr>
          <w:rFonts w:ascii="Palatino Linotype" w:hAnsi="Palatino Linotype" w:cs="Arial"/>
          <w:b/>
          <w:sz w:val="24"/>
          <w:szCs w:val="24"/>
        </w:rPr>
        <w:t xml:space="preserve"> </w:t>
      </w:r>
      <w:r w:rsidRPr="008662E4">
        <w:rPr>
          <w:rFonts w:ascii="Palatino Linotype" w:hAnsi="Palatino Linotype" w:cs="Arial"/>
          <w:b/>
          <w:sz w:val="24"/>
          <w:szCs w:val="24"/>
        </w:rPr>
        <w:t>l</w:t>
      </w:r>
      <w:r w:rsidR="00053D57">
        <w:rPr>
          <w:rFonts w:ascii="Palatino Linotype" w:hAnsi="Palatino Linotype" w:cs="Arial"/>
          <w:b/>
          <w:sz w:val="24"/>
          <w:szCs w:val="24"/>
        </w:rPr>
        <w:t>os</w:t>
      </w:r>
      <w:r w:rsidRPr="008662E4">
        <w:rPr>
          <w:rFonts w:ascii="Palatino Linotype" w:hAnsi="Palatino Linotype" w:cs="Arial"/>
          <w:b/>
          <w:sz w:val="24"/>
          <w:szCs w:val="24"/>
        </w:rPr>
        <w:t xml:space="preserve"> recurso</w:t>
      </w:r>
      <w:r w:rsidR="00053D57">
        <w:rPr>
          <w:rFonts w:ascii="Palatino Linotype" w:hAnsi="Palatino Linotype" w:cs="Arial"/>
          <w:b/>
          <w:sz w:val="24"/>
          <w:szCs w:val="24"/>
        </w:rPr>
        <w:t>s</w:t>
      </w:r>
      <w:r w:rsidRPr="008662E4">
        <w:rPr>
          <w:rFonts w:ascii="Palatino Linotype" w:hAnsi="Palatino Linotype" w:cs="Arial"/>
          <w:b/>
          <w:sz w:val="24"/>
          <w:szCs w:val="24"/>
        </w:rPr>
        <w:t xml:space="preserve"> de revisión. </w:t>
      </w:r>
    </w:p>
    <w:p w14:paraId="17137AD3"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15BA540"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DF75B9"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EB3FC24"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14:paraId="59DCEB49" w14:textId="77777777"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163.</w:t>
      </w:r>
      <w:r w:rsidRPr="008662E4">
        <w:rPr>
          <w:rFonts w:ascii="Palatino Linotype" w:eastAsia="Times New Roman" w:hAnsi="Palatino Linotype" w:cs="Arial"/>
          <w:i/>
          <w:sz w:val="24"/>
          <w:szCs w:val="24"/>
          <w:lang w:val="es-ES" w:eastAsia="es-ES"/>
        </w:rPr>
        <w:t xml:space="preserve"> </w:t>
      </w:r>
      <w:r w:rsidRPr="008662E4">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0B3B3341" w14:textId="77777777"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929EF05" w14:textId="77777777"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14:paraId="58C38BAD"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14:paraId="60D2453C"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la interpretación al precepto legal inserto, se advierte que el plazo que les asiste a los </w:t>
      </w:r>
      <w:r w:rsidRPr="008662E4">
        <w:rPr>
          <w:rFonts w:ascii="Palatino Linotype" w:hAnsi="Palatino Linotype" w:cs="Arial"/>
          <w:b/>
          <w:sz w:val="24"/>
          <w:szCs w:val="24"/>
        </w:rPr>
        <w:t>sujetos</w:t>
      </w:r>
      <w:r w:rsidRPr="008662E4">
        <w:rPr>
          <w:rFonts w:ascii="Palatino Linotype" w:hAnsi="Palatino Linotype" w:cs="Arial"/>
          <w:sz w:val="24"/>
          <w:szCs w:val="24"/>
        </w:rPr>
        <w:t xml:space="preserve"> </w:t>
      </w:r>
      <w:r w:rsidRPr="008662E4">
        <w:rPr>
          <w:rFonts w:ascii="Palatino Linotype" w:hAnsi="Palatino Linotype" w:cs="Arial"/>
          <w:b/>
          <w:sz w:val="24"/>
          <w:szCs w:val="24"/>
        </w:rPr>
        <w:t>obligados</w:t>
      </w:r>
      <w:r w:rsidRPr="008662E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DB70362"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14:paraId="7109B8B7"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Se constituye la figura jurídica de la </w:t>
      </w:r>
      <w:r w:rsidRPr="008662E4">
        <w:rPr>
          <w:rFonts w:ascii="Palatino Linotype" w:hAnsi="Palatino Linotype" w:cs="Arial"/>
          <w:b/>
          <w:i/>
          <w:sz w:val="24"/>
          <w:szCs w:val="24"/>
        </w:rPr>
        <w:t>NEGATIVA FICTA</w:t>
      </w:r>
      <w:r w:rsidRPr="008662E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D0036E6" w14:textId="77777777" w:rsidR="00BC3531" w:rsidRPr="008662E4" w:rsidRDefault="00BC3531" w:rsidP="008662E4">
      <w:pPr>
        <w:spacing w:after="0" w:line="360" w:lineRule="auto"/>
        <w:rPr>
          <w:rFonts w:ascii="Palatino Linotype" w:hAnsi="Palatino Linotype"/>
          <w:sz w:val="24"/>
          <w:szCs w:val="24"/>
        </w:rPr>
      </w:pPr>
    </w:p>
    <w:p w14:paraId="2C46D71E" w14:textId="77777777"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178.</w:t>
      </w:r>
      <w:r w:rsidRPr="008662E4">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w:t>
      </w:r>
      <w:r w:rsidRPr="008662E4">
        <w:rPr>
          <w:rFonts w:ascii="Palatino Linotype" w:eastAsia="Times New Roman" w:hAnsi="Palatino Linotype" w:cs="Arial"/>
          <w:i/>
          <w:sz w:val="24"/>
          <w:szCs w:val="24"/>
          <w:lang w:val="es-ES" w:eastAsia="es-ES"/>
        </w:rPr>
        <w:lastRenderedPageBreak/>
        <w:t>el Instituto o ante la Unidad de Transparencia que haya conocido de la solicitud dentro de los quince días hábiles, siguientes a la fecha de la notificación de la respuesta.</w:t>
      </w:r>
    </w:p>
    <w:p w14:paraId="34B77144" w14:textId="77777777"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14:paraId="7C810F99" w14:textId="77777777"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662E4">
        <w:rPr>
          <w:rFonts w:ascii="Palatino Linotype" w:eastAsia="Times New Roman" w:hAnsi="Palatino Linotype" w:cs="Arial"/>
          <w:i/>
          <w:sz w:val="24"/>
          <w:szCs w:val="24"/>
          <w:lang w:val="es-ES" w:eastAsia="es-ES"/>
        </w:rPr>
        <w:t>, acompañado con el documento que pruebe la fecha en que presentó la solicitud.</w:t>
      </w:r>
    </w:p>
    <w:p w14:paraId="7E404EDF" w14:textId="77777777"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14:paraId="041ECF9B" w14:textId="77777777"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2D0F13E6" w14:textId="77777777"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14:paraId="367B26F0"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14:paraId="2D918A7F"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37B04A6" w14:textId="77777777" w:rsidR="00BC3531" w:rsidRDefault="00BC3531" w:rsidP="008662E4">
      <w:pPr>
        <w:pStyle w:val="Prrafodelista"/>
        <w:autoSpaceDE w:val="0"/>
        <w:autoSpaceDN w:val="0"/>
        <w:adjustRightInd w:val="0"/>
        <w:spacing w:line="360" w:lineRule="auto"/>
        <w:ind w:left="0"/>
        <w:jc w:val="both"/>
        <w:rPr>
          <w:rFonts w:ascii="Palatino Linotype" w:hAnsi="Palatino Linotype" w:cs="Arial"/>
        </w:rPr>
      </w:pPr>
    </w:p>
    <w:p w14:paraId="616E3E54" w14:textId="77777777" w:rsidR="00A833D2" w:rsidRDefault="00A833D2" w:rsidP="008662E4">
      <w:pPr>
        <w:pStyle w:val="Prrafodelista"/>
        <w:autoSpaceDE w:val="0"/>
        <w:autoSpaceDN w:val="0"/>
        <w:adjustRightInd w:val="0"/>
        <w:spacing w:line="360" w:lineRule="auto"/>
        <w:ind w:left="0"/>
        <w:jc w:val="both"/>
        <w:rPr>
          <w:rFonts w:ascii="Palatino Linotype" w:hAnsi="Palatino Linotype" w:cs="Arial"/>
        </w:rPr>
      </w:pPr>
    </w:p>
    <w:p w14:paraId="5D59F72D" w14:textId="77777777" w:rsidR="00A833D2" w:rsidRDefault="00A833D2" w:rsidP="008662E4">
      <w:pPr>
        <w:pStyle w:val="Prrafodelista"/>
        <w:autoSpaceDE w:val="0"/>
        <w:autoSpaceDN w:val="0"/>
        <w:adjustRightInd w:val="0"/>
        <w:spacing w:line="360" w:lineRule="auto"/>
        <w:ind w:left="0"/>
        <w:jc w:val="both"/>
        <w:rPr>
          <w:rFonts w:ascii="Palatino Linotype" w:hAnsi="Palatino Linotype" w:cs="Arial"/>
        </w:rPr>
      </w:pPr>
    </w:p>
    <w:p w14:paraId="5F6C714E" w14:textId="77777777" w:rsidR="00BC3531" w:rsidRPr="008662E4" w:rsidRDefault="00982578" w:rsidP="008662E4">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419" w:eastAsia="es-ES"/>
        </w:rPr>
        <w:lastRenderedPageBreak/>
        <w:t>TERCERO</w:t>
      </w:r>
      <w:r w:rsidR="00BC3531" w:rsidRPr="008662E4">
        <w:rPr>
          <w:rFonts w:ascii="Palatino Linotype" w:eastAsia="Times New Roman" w:hAnsi="Palatino Linotype" w:cs="Arial"/>
          <w:b/>
          <w:sz w:val="24"/>
          <w:szCs w:val="24"/>
          <w:lang w:val="es-ES" w:eastAsia="es-ES"/>
        </w:rPr>
        <w:t>.</w:t>
      </w:r>
      <w:r w:rsidR="00BC3531" w:rsidRPr="008662E4">
        <w:rPr>
          <w:rFonts w:ascii="Palatino Linotype" w:eastAsia="Times New Roman" w:hAnsi="Palatino Linotype" w:cs="Arial"/>
          <w:sz w:val="24"/>
          <w:szCs w:val="24"/>
          <w:lang w:val="es-ES" w:eastAsia="es-ES"/>
        </w:rPr>
        <w:t xml:space="preserve"> </w:t>
      </w:r>
      <w:r w:rsidR="00BC3531" w:rsidRPr="008662E4">
        <w:rPr>
          <w:rFonts w:ascii="Palatino Linotype" w:eastAsia="Times New Roman" w:hAnsi="Palatino Linotype" w:cs="Arial"/>
          <w:b/>
          <w:sz w:val="24"/>
          <w:szCs w:val="24"/>
          <w:lang w:val="es-ES" w:eastAsia="es-ES"/>
        </w:rPr>
        <w:t xml:space="preserve">De las causas de improcedencia. </w:t>
      </w:r>
    </w:p>
    <w:p w14:paraId="5E43B61E" w14:textId="77777777"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662E4">
        <w:rPr>
          <w:rFonts w:ascii="Palatino Linotype" w:eastAsia="Times New Roman" w:hAnsi="Palatino Linotype" w:cs="Arial"/>
          <w:sz w:val="24"/>
          <w:szCs w:val="24"/>
          <w:vertAlign w:val="superscript"/>
          <w:lang w:val="es-ES" w:eastAsia="es-ES"/>
        </w:rPr>
        <w:footnoteReference w:id="4"/>
      </w:r>
      <w:r w:rsidRPr="008662E4">
        <w:rPr>
          <w:rFonts w:ascii="Palatino Linotype" w:eastAsia="Times New Roman" w:hAnsi="Palatino Linotype" w:cs="Arial"/>
          <w:sz w:val="24"/>
          <w:szCs w:val="24"/>
          <w:lang w:val="es-ES" w:eastAsia="es-ES"/>
        </w:rPr>
        <w:t>.</w:t>
      </w:r>
    </w:p>
    <w:p w14:paraId="66AE959B" w14:textId="77777777" w:rsidR="00833694" w:rsidRPr="008662E4" w:rsidRDefault="00833694" w:rsidP="008662E4">
      <w:pPr>
        <w:spacing w:after="0" w:line="360" w:lineRule="auto"/>
        <w:ind w:right="49"/>
        <w:jc w:val="both"/>
        <w:rPr>
          <w:rFonts w:ascii="Palatino Linotype" w:eastAsia="Times New Roman" w:hAnsi="Palatino Linotype" w:cs="Arial"/>
          <w:sz w:val="24"/>
          <w:szCs w:val="24"/>
          <w:lang w:val="es-ES" w:eastAsia="es-ES"/>
        </w:rPr>
      </w:pPr>
    </w:p>
    <w:p w14:paraId="52AE4D0D"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w:t>
      </w:r>
      <w:r w:rsidRPr="008662E4">
        <w:rPr>
          <w:rFonts w:ascii="Palatino Linotype" w:eastAsia="Times New Roman" w:hAnsi="Palatino Linotype" w:cs="Arial"/>
          <w:sz w:val="24"/>
          <w:szCs w:val="24"/>
          <w:lang w:val="es-ES" w:eastAsia="es-ES"/>
        </w:rPr>
        <w:lastRenderedPageBreak/>
        <w:t>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3CEBB3A"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F148D5" w14:textId="77777777" w:rsidR="00BC3531" w:rsidRPr="00C00592" w:rsidRDefault="00982578"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419" w:eastAsia="es-ES"/>
        </w:rPr>
        <w:t>CUARTO</w:t>
      </w:r>
      <w:r w:rsidR="00BC3531" w:rsidRPr="00C00592">
        <w:rPr>
          <w:rFonts w:ascii="Palatino Linotype" w:eastAsia="Times New Roman" w:hAnsi="Palatino Linotype" w:cs="Arial"/>
          <w:b/>
          <w:sz w:val="24"/>
          <w:szCs w:val="24"/>
          <w:lang w:val="es-ES" w:eastAsia="es-ES"/>
        </w:rPr>
        <w:t>. Estudio y resolución del asunto</w:t>
      </w:r>
      <w:r w:rsidR="00BC3531" w:rsidRPr="00C00592">
        <w:rPr>
          <w:rFonts w:ascii="Palatino Linotype" w:eastAsia="Times New Roman" w:hAnsi="Palatino Linotype" w:cs="Times New Roman"/>
          <w:b/>
          <w:sz w:val="24"/>
          <w:szCs w:val="24"/>
          <w:lang w:val="es-ES" w:eastAsia="es-ES"/>
        </w:rPr>
        <w:t xml:space="preserve">. </w:t>
      </w:r>
    </w:p>
    <w:p w14:paraId="3F83E606"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059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w:t>
      </w:r>
      <w:r w:rsidRPr="008662E4">
        <w:rPr>
          <w:rFonts w:ascii="Palatino Linotype" w:eastAsia="Times New Roman" w:hAnsi="Palatino Linotype" w:cs="Arial"/>
          <w:sz w:val="24"/>
          <w:szCs w:val="24"/>
          <w:lang w:val="es-ES" w:eastAsia="es-ES"/>
        </w:rPr>
        <w:t xml:space="preserve">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21C5B6E"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EC7057"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En primera instancia, al referirnos a los actos impugnados por el </w:t>
      </w:r>
      <w:r w:rsidRPr="008662E4">
        <w:rPr>
          <w:rFonts w:ascii="Palatino Linotype" w:eastAsia="Times New Roman" w:hAnsi="Palatino Linotype" w:cs="Arial"/>
          <w:b/>
          <w:sz w:val="24"/>
          <w:szCs w:val="24"/>
          <w:lang w:val="es-ES" w:eastAsia="es-ES"/>
        </w:rPr>
        <w:t>Recurrente</w:t>
      </w:r>
      <w:r w:rsidRPr="008662E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8662E4">
        <w:rPr>
          <w:rFonts w:ascii="Palatino Linotype" w:eastAsia="Calibri" w:hAnsi="Palatino Linotype" w:cs="Arial"/>
          <w:color w:val="000000" w:themeColor="text1"/>
          <w:sz w:val="24"/>
          <w:szCs w:val="24"/>
          <w:lang w:val="es-ES" w:eastAsia="es-ES"/>
        </w:rPr>
        <w:t xml:space="preserve">establecido en la fracción VII del artículo 179 de la </w:t>
      </w:r>
      <w:r w:rsidRPr="008662E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662E4">
        <w:rPr>
          <w:rFonts w:ascii="Palatino Linotype" w:eastAsia="Calibri" w:hAnsi="Palatino Linotype" w:cs="Arial"/>
          <w:color w:val="000000" w:themeColor="text1"/>
          <w:sz w:val="24"/>
          <w:szCs w:val="24"/>
          <w:lang w:val="es-ES" w:eastAsia="es-ES"/>
        </w:rPr>
        <w:t>,</w:t>
      </w:r>
      <w:r w:rsidRPr="008662E4">
        <w:rPr>
          <w:rFonts w:ascii="Palatino Linotype" w:eastAsia="Calibri" w:hAnsi="Palatino Linotype" w:cs="Arial"/>
          <w:b/>
          <w:color w:val="000000" w:themeColor="text1"/>
          <w:sz w:val="24"/>
          <w:szCs w:val="24"/>
          <w:lang w:val="es-ES" w:eastAsia="es-ES"/>
        </w:rPr>
        <w:t xml:space="preserve"> </w:t>
      </w:r>
      <w:r w:rsidRPr="008662E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D9E8A3B"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29BDFF"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8662E4">
        <w:rPr>
          <w:rFonts w:ascii="Palatino Linotype" w:eastAsia="Times New Roman" w:hAnsi="Palatino Linotype" w:cs="Times New Roman"/>
          <w:sz w:val="24"/>
          <w:szCs w:val="24"/>
          <w:lang w:val="es-ES" w:eastAsia="es-ES"/>
        </w:rPr>
        <w:t xml:space="preserve">inconformidad hechos valer, resultan </w:t>
      </w:r>
      <w:r w:rsidRPr="008662E4">
        <w:rPr>
          <w:rFonts w:ascii="Palatino Linotype" w:eastAsia="Times New Roman" w:hAnsi="Palatino Linotype" w:cs="Times New Roman"/>
          <w:b/>
          <w:sz w:val="24"/>
          <w:szCs w:val="24"/>
          <w:lang w:val="es-ES" w:eastAsia="es-ES"/>
        </w:rPr>
        <w:t>fundadas y procedentes</w:t>
      </w:r>
      <w:r w:rsidRPr="008662E4">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662E4">
        <w:rPr>
          <w:rFonts w:ascii="Palatino Linotype" w:eastAsia="Times New Roman" w:hAnsi="Palatino Linotype" w:cs="Arial"/>
          <w:b/>
          <w:sz w:val="24"/>
          <w:szCs w:val="24"/>
          <w:lang w:val="es-ES" w:eastAsia="es-MX"/>
        </w:rPr>
        <w:t>Sujeto Obligado</w:t>
      </w:r>
      <w:r w:rsidRPr="008662E4">
        <w:rPr>
          <w:rFonts w:ascii="Palatino Linotype" w:eastAsia="Times New Roman" w:hAnsi="Palatino Linotype" w:cs="Arial"/>
          <w:sz w:val="24"/>
          <w:szCs w:val="24"/>
          <w:lang w:val="es-ES" w:eastAsia="es-MX"/>
        </w:rPr>
        <w:t xml:space="preserve"> fue omiso en responder la solicitud de información hecha por la </w:t>
      </w:r>
      <w:r w:rsidRPr="008662E4">
        <w:rPr>
          <w:rFonts w:ascii="Palatino Linotype" w:eastAsia="Times New Roman" w:hAnsi="Palatino Linotype" w:cs="Arial"/>
          <w:b/>
          <w:sz w:val="24"/>
          <w:szCs w:val="24"/>
          <w:lang w:val="es-ES" w:eastAsia="es-MX"/>
        </w:rPr>
        <w:t>Recurrente</w:t>
      </w:r>
      <w:r w:rsidRPr="008662E4">
        <w:rPr>
          <w:rFonts w:ascii="Palatino Linotype" w:eastAsia="Times New Roman" w:hAnsi="Palatino Linotype" w:cs="Arial"/>
          <w:sz w:val="24"/>
          <w:szCs w:val="24"/>
          <w:lang w:val="es-ES" w:eastAsia="es-MX"/>
        </w:rPr>
        <w:t>.</w:t>
      </w:r>
    </w:p>
    <w:p w14:paraId="5A6A9AD4"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C2A3E3" w14:textId="77777777"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8662E4">
        <w:rPr>
          <w:rFonts w:ascii="Palatino Linotype" w:eastAsia="Times New Roman" w:hAnsi="Palatino Linotype" w:cs="Times New Roman"/>
          <w:sz w:val="24"/>
          <w:szCs w:val="24"/>
          <w:lang w:val="es-ES" w:eastAsia="es-MX"/>
        </w:rPr>
        <w:t xml:space="preserve">De tal manera que se hace patente que la falta de respuesta del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34161262" w14:textId="77777777"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14:paraId="4DCC080D"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Artículo 4.</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El derecho humano de acceso a la información pública</w:t>
      </w:r>
      <w:r w:rsidRPr="008662E4">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14:paraId="275DBB62"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8662E4">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8662E4">
        <w:rPr>
          <w:rFonts w:ascii="Palatino Linotype" w:hAnsi="Palatino Linotype" w:cs="Arial"/>
          <w:bCs/>
          <w:i/>
          <w:sz w:val="24"/>
          <w:szCs w:val="24"/>
        </w:rPr>
        <w:lastRenderedPageBreak/>
        <w:t>en los términos de las causas legítimas y estrictamente necesarias previstas por esta Ley.</w:t>
      </w:r>
    </w:p>
    <w:p w14:paraId="51EA5E37"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14:paraId="272D45FD"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12.</w:t>
      </w:r>
      <w:r w:rsidRPr="008662E4">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14:paraId="0EE2C4DE"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8662E4">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CA736D7"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14:paraId="25EFA6CE"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23</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Son sujetos obligados</w:t>
      </w:r>
      <w:r w:rsidRPr="008662E4">
        <w:rPr>
          <w:rFonts w:ascii="Palatino Linotype" w:hAnsi="Palatino Linotype" w:cs="Arial"/>
          <w:bCs/>
          <w:i/>
          <w:sz w:val="24"/>
          <w:szCs w:val="24"/>
        </w:rPr>
        <w:t xml:space="preserve"> a transparentar y permitir el acceso a su información y proteger los datos personales que obren en su poder: </w:t>
      </w:r>
    </w:p>
    <w:p w14:paraId="75DEF85C"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14:paraId="05EAE53A"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IV. </w:t>
      </w:r>
      <w:r w:rsidRPr="008662E4">
        <w:rPr>
          <w:rFonts w:ascii="Palatino Linotype" w:hAnsi="Palatino Linotype" w:cs="Arial"/>
          <w:bCs/>
          <w:i/>
          <w:sz w:val="24"/>
          <w:szCs w:val="24"/>
        </w:rPr>
        <w:t>Los ayuntamientos y las dependencias, organismos,</w:t>
      </w:r>
      <w:r w:rsidRPr="008662E4">
        <w:rPr>
          <w:rFonts w:ascii="Palatino Linotype" w:hAnsi="Palatino Linotype" w:cs="Arial"/>
          <w:b/>
          <w:bCs/>
          <w:i/>
          <w:sz w:val="24"/>
          <w:szCs w:val="24"/>
          <w:u w:val="single"/>
        </w:rPr>
        <w:t xml:space="preserve"> órganos y entidades de la administración municipal;</w:t>
      </w:r>
    </w:p>
    <w:p w14:paraId="1F6882AB"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p>
    <w:p w14:paraId="07698E20" w14:textId="77777777" w:rsidR="00BC3531" w:rsidRPr="008662E4" w:rsidRDefault="00BC3531" w:rsidP="008662E4">
      <w:pPr>
        <w:spacing w:after="0" w:line="360" w:lineRule="auto"/>
        <w:ind w:left="709" w:right="567"/>
        <w:jc w:val="both"/>
        <w:rPr>
          <w:rFonts w:ascii="Palatino Linotype" w:hAnsi="Palatino Linotype" w:cs="Arial"/>
          <w:b/>
          <w:bCs/>
          <w:i/>
          <w:sz w:val="24"/>
          <w:szCs w:val="24"/>
        </w:rPr>
      </w:pPr>
      <w:r w:rsidRPr="008662E4">
        <w:rPr>
          <w:rFonts w:ascii="Palatino Linotype" w:hAnsi="Palatino Linotype" w:cs="Arial"/>
          <w:b/>
          <w:bCs/>
          <w:i/>
          <w:sz w:val="24"/>
          <w:szCs w:val="24"/>
        </w:rPr>
        <w:t xml:space="preserve">Artículo 24. </w:t>
      </w:r>
    </w:p>
    <w:p w14:paraId="777E1758"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14:paraId="3B52943D"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solo proporcionarán la información pública que generen, administren o posean en el ejercicio de sus atribuciones.”</w:t>
      </w:r>
    </w:p>
    <w:p w14:paraId="6A0DB901"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lastRenderedPageBreak/>
        <w:t>(…)</w:t>
      </w:r>
    </w:p>
    <w:p w14:paraId="2B7F5B31"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160.</w:t>
      </w:r>
      <w:r w:rsidRPr="008662E4">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FDA3BFE"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p>
    <w:p w14:paraId="023C6D46" w14:textId="77777777"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En caso que la información solicitada consista en bases de datos se deberá privilegiar la entrega de la misma en formatos abiertos.</w:t>
      </w:r>
    </w:p>
    <w:p w14:paraId="6338BC6B" w14:textId="77777777" w:rsidR="00BC3531" w:rsidRPr="008662E4" w:rsidRDefault="00BC3531" w:rsidP="008662E4">
      <w:pPr>
        <w:spacing w:after="0" w:line="360" w:lineRule="auto"/>
        <w:ind w:left="709" w:right="567"/>
        <w:jc w:val="right"/>
        <w:rPr>
          <w:rFonts w:ascii="Palatino Linotype" w:hAnsi="Palatino Linotype" w:cs="Arial"/>
          <w:sz w:val="24"/>
          <w:szCs w:val="24"/>
        </w:rPr>
      </w:pPr>
      <w:r w:rsidRPr="008662E4">
        <w:rPr>
          <w:rFonts w:ascii="Palatino Linotype" w:hAnsi="Palatino Linotype" w:cs="Arial"/>
          <w:bCs/>
          <w:sz w:val="24"/>
          <w:szCs w:val="24"/>
        </w:rPr>
        <w:t>(Énfasis añadido)</w:t>
      </w:r>
    </w:p>
    <w:p w14:paraId="12A1323D" w14:textId="77777777"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14:paraId="4D10FEB7" w14:textId="77777777"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662E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Sujeto Obligado</w:t>
      </w:r>
      <w:r w:rsidRPr="008662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62E4">
        <w:rPr>
          <w:rFonts w:ascii="Palatino Linotype" w:eastAsia="Times New Roman" w:hAnsi="Palatino Linotype" w:cs="Arial"/>
          <w:b/>
          <w:color w:val="000000"/>
          <w:sz w:val="24"/>
          <w:szCs w:val="24"/>
          <w:lang w:val="es-ES_tradnl" w:eastAsia="es-ES"/>
        </w:rPr>
        <w:t xml:space="preserve">Constitución Política de los Estados Unidos Mexicanos </w:t>
      </w:r>
      <w:r w:rsidRPr="008662E4">
        <w:rPr>
          <w:rFonts w:ascii="Palatino Linotype" w:eastAsia="Times New Roman" w:hAnsi="Palatino Linotype" w:cs="Arial"/>
          <w:color w:val="000000"/>
          <w:sz w:val="24"/>
          <w:szCs w:val="24"/>
          <w:lang w:val="es-ES_tradnl" w:eastAsia="es-ES"/>
        </w:rPr>
        <w:t xml:space="preserve">al señalar la obligación de “promover, </w:t>
      </w:r>
      <w:r w:rsidRPr="008662E4">
        <w:rPr>
          <w:rFonts w:ascii="Palatino Linotype" w:eastAsia="Times New Roman" w:hAnsi="Palatino Linotype" w:cs="Arial"/>
          <w:b/>
          <w:color w:val="000000"/>
          <w:sz w:val="24"/>
          <w:szCs w:val="24"/>
          <w:lang w:val="es-ES_tradnl" w:eastAsia="es-ES"/>
        </w:rPr>
        <w:t>respetar</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proteger</w:t>
      </w:r>
      <w:r w:rsidRPr="008662E4">
        <w:rPr>
          <w:rFonts w:ascii="Palatino Linotype" w:eastAsia="Times New Roman" w:hAnsi="Palatino Linotype" w:cs="Arial"/>
          <w:color w:val="000000"/>
          <w:sz w:val="24"/>
          <w:szCs w:val="24"/>
          <w:lang w:val="es-ES_tradnl" w:eastAsia="es-ES"/>
        </w:rPr>
        <w:t xml:space="preserve"> y </w:t>
      </w:r>
      <w:r w:rsidRPr="008662E4">
        <w:rPr>
          <w:rFonts w:ascii="Palatino Linotype" w:eastAsia="Times New Roman" w:hAnsi="Palatino Linotype" w:cs="Arial"/>
          <w:b/>
          <w:color w:val="000000"/>
          <w:sz w:val="24"/>
          <w:szCs w:val="24"/>
          <w:lang w:val="es-ES_tradnl" w:eastAsia="es-ES"/>
        </w:rPr>
        <w:t>garantizar</w:t>
      </w:r>
      <w:r w:rsidRPr="008662E4">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200880EF" w14:textId="77777777"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14:paraId="01470B1F" w14:textId="77777777"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D8263E1" w14:textId="77777777"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14:paraId="2E3E6A62" w14:textId="77777777"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8662E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662E4">
        <w:rPr>
          <w:rFonts w:ascii="Palatino Linotype" w:eastAsia="MS Mincho" w:hAnsi="Palatino Linotype" w:cs="Times New Roman"/>
          <w:b/>
          <w:sz w:val="24"/>
          <w:szCs w:val="24"/>
          <w:lang w:val="es-ES_tradnl" w:eastAsia="es-ES"/>
        </w:rPr>
        <w:t>Sujeto Obligado</w:t>
      </w:r>
      <w:r w:rsidRPr="008662E4">
        <w:rPr>
          <w:rFonts w:ascii="Palatino Linotype" w:eastAsia="MS Mincho" w:hAnsi="Palatino Linotype" w:cs="Times New Roman"/>
          <w:sz w:val="24"/>
          <w:szCs w:val="24"/>
          <w:lang w:val="es-ES_tradnl" w:eastAsia="es-ES"/>
        </w:rPr>
        <w:t>s.</w:t>
      </w:r>
    </w:p>
    <w:p w14:paraId="2B84070F" w14:textId="77777777"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14:paraId="030F974B" w14:textId="77777777"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82BC2FF" w14:textId="77777777"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14:paraId="11E468F3"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fue omiso en dar respuesta a la solicitud.</w:t>
      </w:r>
    </w:p>
    <w:p w14:paraId="029AFCDD"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E35AEB"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323986E"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9B8123" w14:textId="77777777" w:rsidR="00BC3531" w:rsidRPr="008662E4"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662E4">
        <w:rPr>
          <w:rFonts w:ascii="Palatino Linotype" w:eastAsia="Calibri" w:hAnsi="Palatino Linotype" w:cs="Times New Roman"/>
          <w:sz w:val="24"/>
          <w:szCs w:val="24"/>
          <w:lang w:val="es-ES" w:eastAsia="es-ES"/>
        </w:rPr>
        <w:t xml:space="preserve">No sobra decir que, al actuar de esta forma, 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662E4">
        <w:rPr>
          <w:rFonts w:ascii="Palatino Linotype" w:eastAsia="Calibri" w:hAnsi="Palatino Linotype" w:cs="Times New Roman"/>
          <w:i/>
          <w:sz w:val="24"/>
          <w:szCs w:val="24"/>
          <w:lang w:val="es-ES" w:eastAsia="es-ES"/>
        </w:rPr>
        <w:t xml:space="preserve">en el ámbito de sus atribuciones, de promover, respetar, proteger y </w:t>
      </w:r>
      <w:r w:rsidRPr="008662E4">
        <w:rPr>
          <w:rFonts w:ascii="Palatino Linotype" w:eastAsia="Calibri" w:hAnsi="Palatino Linotype" w:cs="Times New Roman"/>
          <w:b/>
          <w:i/>
          <w:sz w:val="24"/>
          <w:szCs w:val="24"/>
          <w:lang w:val="es-ES" w:eastAsia="es-ES"/>
        </w:rPr>
        <w:t>garantizar</w:t>
      </w:r>
      <w:r w:rsidRPr="008662E4">
        <w:rPr>
          <w:rFonts w:ascii="Palatino Linotype" w:eastAsia="Calibri" w:hAnsi="Palatino Linotype" w:cs="Times New Roman"/>
          <w:i/>
          <w:sz w:val="24"/>
          <w:szCs w:val="24"/>
          <w:lang w:val="es-ES" w:eastAsia="es-ES"/>
        </w:rPr>
        <w:t xml:space="preserve"> los derechos humanos</w:t>
      </w:r>
      <w:r w:rsidRPr="008662E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8662E4">
        <w:rPr>
          <w:rFonts w:ascii="Palatino Linotype" w:eastAsia="Calibri" w:hAnsi="Palatino Linotype" w:cs="Times New Roman"/>
          <w:i/>
          <w:sz w:val="24"/>
          <w:szCs w:val="24"/>
          <w:lang w:val="es-ES" w:eastAsia="es-ES"/>
        </w:rPr>
        <w:t>procedimiento de acceso a la información es la garantía primaria del derecho en cuestión.</w:t>
      </w:r>
      <w:r w:rsidRPr="008662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a su deber de </w:t>
      </w:r>
      <w:r w:rsidRPr="008662E4">
        <w:rPr>
          <w:rFonts w:ascii="Palatino Linotype" w:eastAsia="Calibri" w:hAnsi="Palatino Linotype" w:cs="Times New Roman"/>
          <w:sz w:val="24"/>
          <w:szCs w:val="24"/>
          <w:lang w:val="es-ES" w:eastAsia="es-ES"/>
        </w:rPr>
        <w:lastRenderedPageBreak/>
        <w:t xml:space="preserve">garantizar el derecho, lo que constituye una vulneración al mismo y resulta, totalmente aplicable, el último mandato del mismo párrafo del artículo constitucional antes citado que establece la obligación del Estado Mexicano, de </w:t>
      </w:r>
      <w:r w:rsidRPr="008662E4">
        <w:rPr>
          <w:rFonts w:ascii="Palatino Linotype" w:eastAsia="Calibri" w:hAnsi="Palatino Linotype" w:cs="Times New Roman"/>
          <w:i/>
          <w:sz w:val="24"/>
          <w:szCs w:val="24"/>
          <w:lang w:val="es-ES" w:eastAsia="es-ES"/>
        </w:rPr>
        <w:t>investigar, sancionar y reparar las violaciones a los derechos humanos.</w:t>
      </w:r>
    </w:p>
    <w:p w14:paraId="33B5F900" w14:textId="77777777"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1E544F" w14:textId="77777777" w:rsidR="00BC3531"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esta resolución, el </w:t>
      </w:r>
      <w:r w:rsidRPr="008662E4">
        <w:rPr>
          <w:rFonts w:ascii="Palatino Linotype" w:eastAsia="Times New Roman" w:hAnsi="Palatino Linotype" w:cs="Arial"/>
          <w:b/>
          <w:sz w:val="24"/>
          <w:szCs w:val="24"/>
          <w:lang w:val="es-ES" w:eastAsia="es-ES"/>
        </w:rPr>
        <w:t xml:space="preserve">Sujeto Obligado </w:t>
      </w:r>
      <w:r w:rsidRPr="008662E4">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1953657" w14:textId="77777777" w:rsidR="0073193B"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5260B4" w14:textId="77777777" w:rsidR="00A833D2" w:rsidRPr="006544D5" w:rsidRDefault="00A833D2" w:rsidP="00A833D2">
      <w:pPr>
        <w:pStyle w:val="Prrafodelista"/>
        <w:numPr>
          <w:ilvl w:val="0"/>
          <w:numId w:val="7"/>
        </w:numPr>
        <w:autoSpaceDE w:val="0"/>
        <w:autoSpaceDN w:val="0"/>
        <w:adjustRightInd w:val="0"/>
        <w:spacing w:line="360" w:lineRule="auto"/>
        <w:jc w:val="both"/>
        <w:rPr>
          <w:rFonts w:ascii="Palatino Linotype" w:hAnsi="Palatino Linotype"/>
          <w:b/>
          <w:iCs/>
        </w:rPr>
      </w:pPr>
      <w:r w:rsidRPr="006544D5">
        <w:rPr>
          <w:rFonts w:ascii="Palatino Linotype" w:hAnsi="Palatino Linotype"/>
          <w:b/>
          <w:iCs/>
        </w:rPr>
        <w:t xml:space="preserve">Vista a los órganos de control interno competentes </w:t>
      </w:r>
    </w:p>
    <w:p w14:paraId="07549C9B" w14:textId="77777777" w:rsidR="00A833D2" w:rsidRPr="006544D5" w:rsidRDefault="00A833D2" w:rsidP="00A833D2">
      <w:pPr>
        <w:pStyle w:val="Prrafodelista"/>
        <w:autoSpaceDE w:val="0"/>
        <w:autoSpaceDN w:val="0"/>
        <w:adjustRightInd w:val="0"/>
        <w:spacing w:line="360" w:lineRule="auto"/>
        <w:ind w:left="720"/>
        <w:jc w:val="both"/>
        <w:rPr>
          <w:rFonts w:ascii="Palatino Linotype" w:hAnsi="Palatino Linotype"/>
          <w:b/>
          <w:iCs/>
        </w:rPr>
      </w:pPr>
    </w:p>
    <w:p w14:paraId="54089729" w14:textId="77777777" w:rsidR="00A833D2" w:rsidRPr="006544D5" w:rsidRDefault="00A833D2" w:rsidP="00A833D2">
      <w:pPr>
        <w:spacing w:line="360" w:lineRule="auto"/>
        <w:contextualSpacing/>
        <w:jc w:val="both"/>
        <w:rPr>
          <w:rFonts w:ascii="Palatino Linotype" w:eastAsia="MS Mincho" w:hAnsi="Palatino Linotype"/>
          <w:sz w:val="24"/>
          <w:szCs w:val="24"/>
          <w:lang w:val="es-ES_tradnl"/>
        </w:rPr>
      </w:pPr>
      <w:r w:rsidRPr="006544D5">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Pr>
          <w:rFonts w:ascii="Palatino Linotype" w:eastAsia="MS Mincho" w:hAnsi="Palatino Linotype"/>
          <w:sz w:val="24"/>
          <w:szCs w:val="24"/>
          <w:lang w:val="es-ES_tradnl"/>
        </w:rPr>
        <w:t xml:space="preserve">competente, </w:t>
      </w:r>
      <w:r w:rsidRPr="006544D5">
        <w:rPr>
          <w:rFonts w:ascii="Palatino Linotype" w:eastAsia="MS Mincho" w:hAnsi="Palatino Linotype"/>
          <w:sz w:val="24"/>
          <w:szCs w:val="24"/>
          <w:lang w:val="es-ES_tradnl"/>
        </w:rPr>
        <w:t xml:space="preserve">un expediente formado con motivo de las presuntas infracciones de carácter omisivo cometidas en detrimento al derecho de acceso a la información.  </w:t>
      </w:r>
    </w:p>
    <w:p w14:paraId="689BEA37" w14:textId="77777777" w:rsidR="00A833D2" w:rsidRPr="006544D5" w:rsidRDefault="00A833D2" w:rsidP="00A833D2">
      <w:pPr>
        <w:spacing w:line="360" w:lineRule="auto"/>
        <w:contextualSpacing/>
        <w:jc w:val="both"/>
        <w:rPr>
          <w:rFonts w:ascii="Palatino Linotype" w:eastAsia="MS Mincho" w:hAnsi="Palatino Linotype"/>
          <w:sz w:val="24"/>
          <w:szCs w:val="24"/>
          <w:lang w:val="es-ES_tradnl"/>
        </w:rPr>
      </w:pPr>
    </w:p>
    <w:p w14:paraId="40753684" w14:textId="77777777" w:rsidR="00A833D2" w:rsidRPr="006544D5" w:rsidRDefault="00A833D2" w:rsidP="00A833D2">
      <w:pPr>
        <w:spacing w:line="360" w:lineRule="auto"/>
        <w:contextualSpacing/>
        <w:jc w:val="both"/>
        <w:rPr>
          <w:rFonts w:ascii="Palatino Linotype" w:eastAsia="MS Mincho" w:hAnsi="Palatino Linotype" w:cs="Arial"/>
          <w:sz w:val="24"/>
          <w:szCs w:val="24"/>
        </w:rPr>
      </w:pPr>
      <w:r>
        <w:rPr>
          <w:rFonts w:ascii="Palatino Linotype" w:eastAsia="MS Mincho" w:hAnsi="Palatino Linotype"/>
          <w:sz w:val="24"/>
          <w:szCs w:val="24"/>
          <w:lang w:val="es-ES_tradnl"/>
        </w:rPr>
        <w:lastRenderedPageBreak/>
        <w:t>En efecto, la Secretaría T</w:t>
      </w:r>
      <w:r w:rsidRPr="006544D5">
        <w:rPr>
          <w:rFonts w:ascii="Palatino Linotype" w:eastAsia="MS Mincho" w:hAnsi="Palatino Linotype"/>
          <w:sz w:val="24"/>
          <w:szCs w:val="24"/>
          <w:lang w:val="es-ES_tradnl"/>
        </w:rPr>
        <w:t xml:space="preserve">écnica del Pleno hará del conocimiento del </w:t>
      </w:r>
      <w:r w:rsidRPr="006544D5">
        <w:rPr>
          <w:rFonts w:ascii="Palatino Linotype" w:eastAsia="MS Mincho" w:hAnsi="Palatino Linotype"/>
          <w:sz w:val="24"/>
          <w:szCs w:val="24"/>
        </w:rPr>
        <w:t xml:space="preserve">órgano </w:t>
      </w:r>
      <w:r>
        <w:rPr>
          <w:rFonts w:ascii="Palatino Linotype" w:eastAsia="MS Mincho" w:hAnsi="Palatino Linotype"/>
          <w:sz w:val="24"/>
          <w:szCs w:val="24"/>
        </w:rPr>
        <w:t xml:space="preserve">interno </w:t>
      </w:r>
      <w:r w:rsidRPr="006544D5">
        <w:rPr>
          <w:rFonts w:ascii="Palatino Linotype" w:eastAsia="MS Mincho" w:hAnsi="Palatino Linotype"/>
          <w:sz w:val="24"/>
          <w:szCs w:val="24"/>
        </w:rPr>
        <w:t xml:space="preserve">de control </w:t>
      </w:r>
      <w:r>
        <w:rPr>
          <w:rFonts w:ascii="Palatino Linotype" w:eastAsia="MS Mincho" w:hAnsi="Palatino Linotype"/>
          <w:sz w:val="24"/>
          <w:szCs w:val="24"/>
        </w:rPr>
        <w:t xml:space="preserve">competente </w:t>
      </w:r>
      <w:r w:rsidRPr="006544D5">
        <w:rPr>
          <w:rFonts w:ascii="Palatino Linotype" w:eastAsia="MS Mincho" w:hAnsi="Palatino Linotype"/>
          <w:sz w:val="24"/>
          <w:szCs w:val="24"/>
        </w:rPr>
        <w:t xml:space="preserve">de las infracciones en que el </w:t>
      </w:r>
      <w:r w:rsidRPr="006544D5">
        <w:rPr>
          <w:rFonts w:ascii="Palatino Linotype" w:eastAsia="MS Mincho" w:hAnsi="Palatino Linotype"/>
          <w:b/>
          <w:sz w:val="24"/>
          <w:szCs w:val="24"/>
        </w:rPr>
        <w:t>Sujeto Obligado</w:t>
      </w:r>
      <w:r w:rsidRPr="006544D5">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544D5">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6BB94D6D" w14:textId="77777777" w:rsidR="00A833D2" w:rsidRPr="006544D5" w:rsidRDefault="00A833D2" w:rsidP="00A833D2">
      <w:pPr>
        <w:pStyle w:val="Citas"/>
      </w:pPr>
      <w:r w:rsidRPr="006544D5">
        <w:rPr>
          <w:b/>
        </w:rPr>
        <w:t>“Artículo 190.</w:t>
      </w:r>
      <w:r w:rsidRPr="006544D5">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DC48E2" w14:textId="77777777" w:rsidR="00A833D2" w:rsidRPr="006544D5" w:rsidRDefault="00A833D2" w:rsidP="00A833D2">
      <w:pPr>
        <w:pStyle w:val="Citas"/>
      </w:pPr>
      <w:r w:rsidRPr="006544D5">
        <w:rPr>
          <w:b/>
        </w:rPr>
        <w:t>Artículo 222.</w:t>
      </w:r>
      <w:r w:rsidRPr="006544D5">
        <w:t xml:space="preserve"> Son causas de responsabilidad administrativa de los servidores públicos de los sujetos obligados, por incumplimiento de las obligaciones establecidas en la materia de la presente Ley, las siguientes:</w:t>
      </w:r>
    </w:p>
    <w:p w14:paraId="23E4CA5D" w14:textId="77777777" w:rsidR="00A833D2" w:rsidRPr="006544D5" w:rsidRDefault="00A833D2" w:rsidP="00A833D2">
      <w:pPr>
        <w:pStyle w:val="Citas"/>
      </w:pPr>
      <w:r w:rsidRPr="006544D5">
        <w:t>(…)</w:t>
      </w:r>
    </w:p>
    <w:p w14:paraId="1B341779" w14:textId="77777777" w:rsidR="00A833D2" w:rsidRPr="006544D5" w:rsidRDefault="00A833D2" w:rsidP="00A833D2">
      <w:pPr>
        <w:pStyle w:val="Citas"/>
        <w:rPr>
          <w:b/>
        </w:rPr>
      </w:pPr>
      <w:r w:rsidRPr="006544D5">
        <w:rPr>
          <w:b/>
        </w:rPr>
        <w:t xml:space="preserve">I. Cualquier acto u </w:t>
      </w:r>
      <w:r w:rsidRPr="006544D5">
        <w:rPr>
          <w:b/>
          <w:u w:val="single"/>
        </w:rPr>
        <w:t>omisión</w:t>
      </w:r>
      <w:r w:rsidRPr="006544D5">
        <w:rPr>
          <w:b/>
        </w:rPr>
        <w:t xml:space="preserve"> que provoque la suspensión o deficiencia en la atención de las solicitudes de información;</w:t>
      </w:r>
    </w:p>
    <w:p w14:paraId="38752D96" w14:textId="77777777" w:rsidR="00A833D2" w:rsidRPr="006544D5" w:rsidRDefault="00A833D2" w:rsidP="00A833D2">
      <w:pPr>
        <w:pStyle w:val="Citas"/>
      </w:pPr>
      <w:r w:rsidRPr="006544D5">
        <w:rPr>
          <w:b/>
          <w:u w:val="single"/>
        </w:rPr>
        <w:t>II. La falta de respuesta a las solicitudes de información en los plazos señalados en la normatividad aplicable</w:t>
      </w:r>
      <w:r w:rsidRPr="006544D5">
        <w:t>;</w:t>
      </w:r>
    </w:p>
    <w:p w14:paraId="0262A8EA" w14:textId="77777777" w:rsidR="00A833D2" w:rsidRPr="006544D5" w:rsidRDefault="00A833D2" w:rsidP="00A833D2">
      <w:pPr>
        <w:pStyle w:val="Citas"/>
        <w:rPr>
          <w:b/>
          <w:bCs/>
        </w:rPr>
      </w:pPr>
      <w:r w:rsidRPr="006544D5">
        <w:t xml:space="preserve">(…)” </w:t>
      </w:r>
      <w:r w:rsidRPr="006544D5">
        <w:rPr>
          <w:b/>
          <w:bCs/>
        </w:rPr>
        <w:t>(Sic)</w:t>
      </w:r>
    </w:p>
    <w:p w14:paraId="1DF6CF2F" w14:textId="77777777" w:rsidR="00A833D2" w:rsidRDefault="00A833D2" w:rsidP="00A833D2">
      <w:pPr>
        <w:spacing w:line="360" w:lineRule="auto"/>
        <w:contextualSpacing/>
        <w:jc w:val="both"/>
        <w:rPr>
          <w:rFonts w:ascii="Palatino Linotype" w:eastAsia="MS Mincho" w:hAnsi="Palatino Linotype"/>
          <w:sz w:val="24"/>
          <w:szCs w:val="24"/>
          <w:lang w:val="es-ES_tradnl"/>
        </w:rPr>
      </w:pPr>
    </w:p>
    <w:p w14:paraId="2076FE11" w14:textId="77777777" w:rsidR="00A833D2" w:rsidRPr="006544D5" w:rsidRDefault="00A833D2" w:rsidP="00A833D2">
      <w:pPr>
        <w:spacing w:line="360" w:lineRule="auto"/>
        <w:contextualSpacing/>
        <w:jc w:val="both"/>
        <w:rPr>
          <w:rFonts w:ascii="Palatino Linotype" w:eastAsia="MS Mincho" w:hAnsi="Palatino Linotype"/>
          <w:sz w:val="24"/>
          <w:szCs w:val="24"/>
          <w:lang w:val="es-ES_tradnl"/>
        </w:rPr>
      </w:pPr>
      <w:r w:rsidRPr="006544D5">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0FFDA14E" w14:textId="77777777" w:rsidR="00A833D2" w:rsidRPr="006544D5" w:rsidRDefault="00A833D2" w:rsidP="00A833D2">
      <w:pPr>
        <w:pStyle w:val="Citas"/>
      </w:pPr>
      <w:r w:rsidRPr="006544D5">
        <w:t>“Artículo 19. Corresponde a la Secretaría Técnica del Pleno ejercer las atribuciones siguientes:</w:t>
      </w:r>
    </w:p>
    <w:p w14:paraId="1021D99F" w14:textId="77777777" w:rsidR="00A833D2" w:rsidRPr="006544D5" w:rsidRDefault="00A833D2" w:rsidP="00A833D2">
      <w:pPr>
        <w:pStyle w:val="Citas"/>
      </w:pPr>
      <w:r w:rsidRPr="006544D5">
        <w:t>(…)</w:t>
      </w:r>
    </w:p>
    <w:p w14:paraId="7DA669A5" w14:textId="77777777" w:rsidR="00A833D2" w:rsidRPr="006544D5" w:rsidRDefault="00A833D2" w:rsidP="00A833D2">
      <w:pPr>
        <w:pStyle w:val="Citas"/>
        <w:rPr>
          <w:rFonts w:eastAsia="MS Mincho"/>
          <w:b/>
          <w:bCs/>
          <w:sz w:val="24"/>
          <w:szCs w:val="24"/>
          <w:lang w:val="es-ES_tradnl"/>
        </w:rPr>
      </w:pPr>
      <w:r w:rsidRPr="006544D5">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6544D5">
        <w:rPr>
          <w:b/>
          <w:bCs/>
        </w:rPr>
        <w:t>(Sic)</w:t>
      </w:r>
    </w:p>
    <w:p w14:paraId="742FEAAE" w14:textId="77777777" w:rsidR="00A833D2" w:rsidRPr="006544D5" w:rsidRDefault="00A833D2" w:rsidP="00A833D2">
      <w:pPr>
        <w:spacing w:line="360" w:lineRule="auto"/>
        <w:contextualSpacing/>
        <w:jc w:val="both"/>
        <w:rPr>
          <w:rFonts w:ascii="Palatino Linotype" w:eastAsia="MS Mincho" w:hAnsi="Palatino Linotype"/>
          <w:sz w:val="24"/>
          <w:szCs w:val="24"/>
          <w:lang w:val="es-ES_tradnl"/>
        </w:rPr>
      </w:pPr>
    </w:p>
    <w:p w14:paraId="6D4B0C45" w14:textId="77777777" w:rsidR="00A833D2" w:rsidRDefault="00A833D2" w:rsidP="00A833D2">
      <w:pPr>
        <w:spacing w:line="360" w:lineRule="auto"/>
        <w:contextualSpacing/>
        <w:jc w:val="both"/>
        <w:rPr>
          <w:rFonts w:ascii="Palatino Linotype" w:hAnsi="Palatino Linotype" w:cs="Arial"/>
          <w:color w:val="222222"/>
          <w:sz w:val="24"/>
          <w:szCs w:val="24"/>
        </w:rPr>
      </w:pPr>
      <w:r w:rsidRPr="006544D5">
        <w:rPr>
          <w:rFonts w:ascii="Palatino Linotype" w:hAnsi="Palatino Linotype" w:cs="Arial"/>
          <w:color w:val="000000"/>
          <w:sz w:val="24"/>
          <w:szCs w:val="24"/>
        </w:rPr>
        <w:t xml:space="preserve">Por lo que es menester en este asunto, </w:t>
      </w:r>
      <w:r w:rsidRPr="006544D5">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Interno </w:t>
      </w:r>
      <w:r w:rsidR="0037384E" w:rsidRPr="006544D5">
        <w:rPr>
          <w:rFonts w:ascii="Palatino Linotype" w:hAnsi="Palatino Linotype" w:cs="Arial"/>
          <w:color w:val="222222"/>
          <w:sz w:val="24"/>
          <w:szCs w:val="24"/>
        </w:rPr>
        <w:t xml:space="preserve">de Control </w:t>
      </w:r>
      <w:r>
        <w:rPr>
          <w:rFonts w:ascii="Palatino Linotype" w:hAnsi="Palatino Linotype" w:cs="Arial"/>
          <w:color w:val="222222"/>
          <w:sz w:val="24"/>
          <w:szCs w:val="24"/>
        </w:rPr>
        <w:t xml:space="preserve">competente </w:t>
      </w:r>
      <w:r w:rsidRPr="006544D5">
        <w:rPr>
          <w:rFonts w:ascii="Palatino Linotype" w:hAnsi="Palatino Linotype" w:cs="Arial"/>
          <w:color w:val="222222"/>
          <w:sz w:val="24"/>
          <w:szCs w:val="24"/>
        </w:rPr>
        <w:t xml:space="preserve">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6544D5">
        <w:rPr>
          <w:rFonts w:ascii="Palatino Linotype" w:hAnsi="Palatino Linotype" w:cs="Arial"/>
          <w:color w:val="222222"/>
          <w:sz w:val="24"/>
          <w:szCs w:val="24"/>
        </w:rPr>
        <w:lastRenderedPageBreak/>
        <w:t>competente para que éste inicie, en su caso, el procedimiento de responsabilidad respectivo, cuyo resultado deberá de ser informado al Instituto.</w:t>
      </w:r>
    </w:p>
    <w:p w14:paraId="7322A508" w14:textId="77777777" w:rsidR="00A833D2" w:rsidRPr="00A720C4" w:rsidRDefault="00A833D2" w:rsidP="00A833D2">
      <w:pPr>
        <w:pStyle w:val="Prrafodelista"/>
        <w:numPr>
          <w:ilvl w:val="0"/>
          <w:numId w:val="7"/>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13220863" w14:textId="77777777" w:rsidR="00A833D2" w:rsidRDefault="00A833D2" w:rsidP="00A833D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BA887C6" w14:textId="77777777" w:rsidR="00A833D2" w:rsidRPr="00E60DEF" w:rsidRDefault="00A833D2" w:rsidP="00A833D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B6D672F" w14:textId="77777777" w:rsidR="00A833D2" w:rsidRPr="00E60DEF" w:rsidRDefault="00A833D2" w:rsidP="00A833D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F1C4F04" w14:textId="77777777" w:rsidR="00A833D2" w:rsidRPr="001571EB" w:rsidRDefault="00A833D2" w:rsidP="00A833D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C10173C" w14:textId="77777777" w:rsidR="00A833D2" w:rsidRPr="001571EB" w:rsidRDefault="00A833D2" w:rsidP="00A833D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05816EA" w14:textId="77777777" w:rsidR="00A833D2" w:rsidRPr="001571EB" w:rsidRDefault="00A833D2" w:rsidP="00A833D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E73D8BD" w14:textId="77777777" w:rsidR="00A833D2" w:rsidRPr="001571EB" w:rsidRDefault="00A833D2" w:rsidP="00A833D2">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D4E9A4E" w14:textId="77777777" w:rsidR="00A833D2" w:rsidRPr="001571EB" w:rsidRDefault="00A833D2" w:rsidP="00A833D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B82A5C3" w14:textId="77777777" w:rsidR="00A833D2" w:rsidRPr="001571EB" w:rsidRDefault="00A833D2" w:rsidP="00A833D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E1DF464" w14:textId="77777777" w:rsidR="00A833D2" w:rsidRPr="001571EB" w:rsidRDefault="00A833D2" w:rsidP="00A833D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E359645" w14:textId="77777777" w:rsidR="00A833D2" w:rsidRPr="00E60DEF" w:rsidRDefault="00A833D2" w:rsidP="00A833D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8D284F2" w14:textId="77777777" w:rsidR="00A833D2" w:rsidRPr="001571EB" w:rsidRDefault="00A833D2" w:rsidP="00A833D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F43145F" w14:textId="77777777" w:rsidR="00A833D2" w:rsidRDefault="00A833D2" w:rsidP="00A833D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B718642" w14:textId="77777777" w:rsidR="00A833D2" w:rsidRDefault="00A833D2" w:rsidP="00A833D2">
      <w:pPr>
        <w:spacing w:after="0" w:line="360" w:lineRule="auto"/>
        <w:ind w:right="51"/>
        <w:jc w:val="both"/>
        <w:rPr>
          <w:rFonts w:ascii="Palatino Linotype" w:eastAsia="Arial Unicode MS" w:hAnsi="Palatino Linotype" w:cs="Arial"/>
          <w:sz w:val="24"/>
          <w:szCs w:val="24"/>
        </w:rPr>
      </w:pPr>
    </w:p>
    <w:p w14:paraId="5D3874A8" w14:textId="77777777" w:rsidR="00A833D2" w:rsidRPr="001571EB" w:rsidRDefault="00A833D2" w:rsidP="00A833D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59E03356" w14:textId="77777777" w:rsidR="00A833D2" w:rsidRPr="001571EB" w:rsidRDefault="00A833D2" w:rsidP="00A833D2">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91E5013" w14:textId="77777777" w:rsidR="00A833D2" w:rsidRPr="001571EB" w:rsidRDefault="00A833D2" w:rsidP="00A833D2">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AF2969B" w14:textId="77777777" w:rsidR="00A833D2" w:rsidRDefault="00A833D2" w:rsidP="00A833D2">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7788B0DD" w14:textId="77777777" w:rsidR="00A833D2" w:rsidRDefault="00A833D2" w:rsidP="00A833D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1F61887" w14:textId="77777777" w:rsidR="00A833D2" w:rsidRPr="001571EB" w:rsidRDefault="00A833D2" w:rsidP="00A833D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917D1D3" w14:textId="77777777" w:rsidR="00A833D2" w:rsidRPr="001571EB" w:rsidRDefault="00A833D2" w:rsidP="00A833D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D9833D" w14:textId="77777777" w:rsidR="00A833D2" w:rsidRPr="001571EB" w:rsidRDefault="00A833D2" w:rsidP="00A833D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08C911B" w14:textId="77777777" w:rsidR="00A833D2" w:rsidRPr="001571EB" w:rsidRDefault="00A833D2" w:rsidP="00A833D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BA77965" w14:textId="77777777" w:rsidR="00A833D2" w:rsidRPr="00EE0180" w:rsidRDefault="00A833D2" w:rsidP="00A833D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2E9078E" w14:textId="77777777" w:rsidR="00A833D2" w:rsidRPr="001571EB" w:rsidRDefault="00A833D2" w:rsidP="00A833D2">
      <w:pPr>
        <w:autoSpaceDE w:val="0"/>
        <w:autoSpaceDN w:val="0"/>
        <w:adjustRightInd w:val="0"/>
        <w:spacing w:before="120" w:after="120"/>
        <w:ind w:left="567" w:right="850"/>
        <w:jc w:val="both"/>
        <w:rPr>
          <w:rFonts w:ascii="Palatino Linotype" w:eastAsia="Times New Roman" w:hAnsi="Palatino Linotype" w:cs="Arial"/>
          <w:i/>
        </w:rPr>
      </w:pPr>
    </w:p>
    <w:p w14:paraId="70D3DA0E" w14:textId="77777777" w:rsidR="00A833D2" w:rsidRPr="001571EB" w:rsidRDefault="00A833D2" w:rsidP="00A833D2">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A613483" w14:textId="77777777" w:rsidR="00A833D2" w:rsidRPr="001571EB" w:rsidRDefault="00A833D2" w:rsidP="00A833D2">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E284EF2" w14:textId="77777777" w:rsidR="00A833D2" w:rsidRDefault="00A833D2" w:rsidP="00A833D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B696D15" w14:textId="77777777" w:rsidR="00A833D2" w:rsidRDefault="00A833D2" w:rsidP="00A833D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168AB04C" w14:textId="77777777" w:rsidR="00A833D2" w:rsidRPr="001571EB" w:rsidRDefault="00A833D2" w:rsidP="00A833D2">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rPr>
        <w:lastRenderedPageBreak/>
        <w:t xml:space="preserve">que distingue plenamente a una persona física del resto de los habitantes del país, por lo que la CURP está considerada como información confidencial”. </w:t>
      </w:r>
    </w:p>
    <w:p w14:paraId="619A1C37" w14:textId="77777777" w:rsidR="00A833D2" w:rsidRPr="001571EB" w:rsidRDefault="00A833D2" w:rsidP="00A833D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70394431" w14:textId="77777777" w:rsidR="00A833D2" w:rsidRPr="001571EB" w:rsidRDefault="00A833D2" w:rsidP="00A833D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5FFA0050" w14:textId="77777777" w:rsidR="00A833D2" w:rsidRPr="001571EB" w:rsidRDefault="00A833D2" w:rsidP="00A833D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14EAE84A" w14:textId="77777777" w:rsidR="00A833D2" w:rsidRDefault="00A833D2" w:rsidP="00A833D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12DE0F97" w14:textId="77777777" w:rsidR="00A833D2" w:rsidRDefault="00A833D2" w:rsidP="00A833D2">
      <w:pPr>
        <w:spacing w:after="0" w:line="360" w:lineRule="auto"/>
        <w:ind w:right="51"/>
        <w:jc w:val="both"/>
        <w:rPr>
          <w:rFonts w:ascii="Palatino Linotype" w:hAnsi="Palatino Linotype" w:cs="Arial"/>
          <w:sz w:val="24"/>
          <w:szCs w:val="24"/>
        </w:rPr>
      </w:pPr>
    </w:p>
    <w:p w14:paraId="6C08C9E0" w14:textId="77777777" w:rsidR="00A833D2" w:rsidRDefault="00A833D2" w:rsidP="00A833D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8359528" w14:textId="77777777" w:rsidR="00A833D2" w:rsidRDefault="00A833D2" w:rsidP="00A833D2">
      <w:pPr>
        <w:spacing w:after="0" w:line="360" w:lineRule="auto"/>
        <w:ind w:right="51"/>
        <w:jc w:val="both"/>
        <w:rPr>
          <w:rFonts w:ascii="Palatino Linotype" w:hAnsi="Palatino Linotype" w:cs="Arial"/>
          <w:sz w:val="24"/>
          <w:szCs w:val="24"/>
        </w:rPr>
      </w:pPr>
    </w:p>
    <w:p w14:paraId="2AA7DFE5"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atienda la</w:t>
      </w:r>
      <w:r w:rsidR="003923E9">
        <w:rPr>
          <w:rFonts w:ascii="Palatino Linotype" w:hAnsi="Palatino Linotype" w:cs="Arial"/>
          <w:sz w:val="24"/>
          <w:szCs w:val="24"/>
          <w:lang w:val="es-419"/>
        </w:rPr>
        <w:t>s</w:t>
      </w:r>
      <w:r w:rsidRPr="008662E4">
        <w:rPr>
          <w:rFonts w:ascii="Palatino Linotype" w:hAnsi="Palatino Linotype" w:cs="Arial"/>
          <w:sz w:val="24"/>
          <w:szCs w:val="24"/>
        </w:rPr>
        <w:t xml:space="preserve"> solicitud</w:t>
      </w:r>
      <w:r w:rsidR="003923E9">
        <w:rPr>
          <w:rFonts w:ascii="Palatino Linotype" w:hAnsi="Palatino Linotype" w:cs="Arial"/>
          <w:sz w:val="24"/>
          <w:szCs w:val="24"/>
          <w:lang w:val="es-419"/>
        </w:rPr>
        <w:t>es</w:t>
      </w:r>
      <w:r w:rsidRPr="008662E4">
        <w:rPr>
          <w:rFonts w:ascii="Palatino Linotype" w:hAnsi="Palatino Linotype" w:cs="Arial"/>
          <w:sz w:val="24"/>
          <w:szCs w:val="24"/>
        </w:rPr>
        <w:t xml:space="preserve"> de información </w:t>
      </w:r>
      <w:r w:rsidR="003923E9" w:rsidRPr="003923E9">
        <w:rPr>
          <w:rFonts w:ascii="Palatino Linotype" w:hAnsi="Palatino Linotype" w:cs="Arial"/>
          <w:b/>
          <w:sz w:val="24"/>
          <w:szCs w:val="24"/>
        </w:rPr>
        <w:t>00891/NAUCALPA/IP/2022 y 009</w:t>
      </w:r>
      <w:r w:rsidR="003923E9" w:rsidRPr="003923E9">
        <w:rPr>
          <w:rFonts w:ascii="Palatino Linotype" w:hAnsi="Palatino Linotype" w:cs="Arial"/>
          <w:b/>
          <w:sz w:val="24"/>
          <w:szCs w:val="24"/>
          <w:lang w:val="es-419"/>
        </w:rPr>
        <w:t>09</w:t>
      </w:r>
      <w:r w:rsidR="003923E9" w:rsidRPr="003923E9">
        <w:rPr>
          <w:rFonts w:ascii="Palatino Linotype" w:hAnsi="Palatino Linotype" w:cs="Arial"/>
          <w:b/>
          <w:sz w:val="24"/>
          <w:szCs w:val="24"/>
        </w:rPr>
        <w:t>/NAUCALPA/IP/2022</w:t>
      </w:r>
      <w:r w:rsidRPr="003923E9">
        <w:rPr>
          <w:rFonts w:ascii="Palatino Linotype" w:hAnsi="Palatino Linotype" w:cs="Arial"/>
          <w:sz w:val="24"/>
          <w:szCs w:val="24"/>
        </w:rPr>
        <w:t>,</w:t>
      </w:r>
      <w:r w:rsidRPr="008662E4">
        <w:rPr>
          <w:rFonts w:ascii="Palatino Linotype" w:hAnsi="Palatino Linotype" w:cs="Arial"/>
          <w:sz w:val="24"/>
          <w:szCs w:val="24"/>
        </w:rPr>
        <w:t xml:space="preserve"> que ha</w:t>
      </w:r>
      <w:r w:rsidR="003923E9">
        <w:rPr>
          <w:rFonts w:ascii="Palatino Linotype" w:hAnsi="Palatino Linotype" w:cs="Arial"/>
          <w:sz w:val="24"/>
          <w:szCs w:val="24"/>
          <w:lang w:val="es-419"/>
        </w:rPr>
        <w:t>n</w:t>
      </w:r>
      <w:r w:rsidRPr="008662E4">
        <w:rPr>
          <w:rFonts w:ascii="Palatino Linotype" w:hAnsi="Palatino Linotype" w:cs="Arial"/>
          <w:sz w:val="24"/>
          <w:szCs w:val="24"/>
        </w:rPr>
        <w:t xml:space="preserve"> sido materia del presente fallo.</w:t>
      </w:r>
    </w:p>
    <w:p w14:paraId="05452F29" w14:textId="77777777" w:rsidR="00053D57" w:rsidRDefault="00053D57" w:rsidP="008662E4">
      <w:pPr>
        <w:autoSpaceDE w:val="0"/>
        <w:autoSpaceDN w:val="0"/>
        <w:adjustRightInd w:val="0"/>
        <w:spacing w:after="0" w:line="360" w:lineRule="auto"/>
        <w:jc w:val="both"/>
        <w:rPr>
          <w:rFonts w:ascii="Palatino Linotype" w:hAnsi="Palatino Linotype" w:cs="Arial"/>
          <w:sz w:val="24"/>
          <w:szCs w:val="24"/>
        </w:rPr>
      </w:pPr>
    </w:p>
    <w:p w14:paraId="4A2ED8A3" w14:textId="77777777"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Por lo antes expuesto y fundado es de resolverse y,</w:t>
      </w:r>
    </w:p>
    <w:p w14:paraId="0239CD85" w14:textId="77777777" w:rsidR="00930C64" w:rsidRDefault="00930C64"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p>
    <w:p w14:paraId="7E8E14CB" w14:textId="77777777" w:rsidR="00BC3531" w:rsidRPr="008662E4"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8662E4">
        <w:rPr>
          <w:rFonts w:ascii="Palatino Linotype" w:eastAsia="Times New Roman" w:hAnsi="Palatino Linotype" w:cs="Times New Roman"/>
          <w:b/>
          <w:color w:val="000000"/>
          <w:sz w:val="24"/>
          <w:szCs w:val="24"/>
          <w:lang w:val="es-ES" w:eastAsia="es-ES"/>
        </w:rPr>
        <w:t>SE    RESUELVE</w:t>
      </w:r>
    </w:p>
    <w:p w14:paraId="2BC0B9C5" w14:textId="77777777"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14:paraId="1BA37517" w14:textId="77777777"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PRIMERO.</w:t>
      </w:r>
      <w:r w:rsidRPr="008662E4">
        <w:rPr>
          <w:rFonts w:ascii="Palatino Linotype" w:hAnsi="Palatino Linotype" w:cs="Arial"/>
          <w:sz w:val="24"/>
          <w:szCs w:val="24"/>
        </w:rPr>
        <w:t xml:space="preserve"> Resultan fundadas las razones o motivos de inconformidad hechos valer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términos del considerando </w:t>
      </w:r>
      <w:r w:rsidR="003923E9">
        <w:rPr>
          <w:rFonts w:ascii="Palatino Linotype" w:hAnsi="Palatino Linotype" w:cs="Arial"/>
          <w:b/>
          <w:sz w:val="24"/>
          <w:szCs w:val="24"/>
          <w:lang w:val="es-419"/>
        </w:rPr>
        <w:t>CUARTO</w:t>
      </w:r>
      <w:r w:rsidRPr="008662E4">
        <w:rPr>
          <w:rFonts w:ascii="Palatino Linotype" w:hAnsi="Palatino Linotype" w:cs="Arial"/>
          <w:sz w:val="24"/>
          <w:szCs w:val="24"/>
        </w:rPr>
        <w:t>, de la presente resolución.</w:t>
      </w:r>
    </w:p>
    <w:p w14:paraId="68CFA182" w14:textId="77777777" w:rsidR="00BC3531" w:rsidRPr="008662E4" w:rsidRDefault="00BC3531" w:rsidP="003923E9">
      <w:pPr>
        <w:tabs>
          <w:tab w:val="left" w:pos="8647"/>
        </w:tabs>
        <w:spacing w:after="0" w:line="360" w:lineRule="auto"/>
        <w:ind w:right="51"/>
        <w:jc w:val="both"/>
        <w:rPr>
          <w:rFonts w:ascii="Palatino Linotype" w:hAnsi="Palatino Linotype" w:cs="Arial"/>
          <w:sz w:val="24"/>
          <w:szCs w:val="24"/>
        </w:rPr>
      </w:pPr>
    </w:p>
    <w:p w14:paraId="0073F43D" w14:textId="77777777" w:rsidR="00BC3531" w:rsidRPr="008662E4" w:rsidRDefault="00BC3531" w:rsidP="003923E9">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SEGUNDO.</w:t>
      </w:r>
      <w:r w:rsidRPr="008662E4">
        <w:rPr>
          <w:rFonts w:ascii="Palatino Linotype" w:hAnsi="Palatino Linotype" w:cs="Arial"/>
          <w:sz w:val="24"/>
          <w:szCs w:val="24"/>
        </w:rPr>
        <w:t xml:space="preserve">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w:t>
      </w:r>
      <w:r w:rsidR="003923E9">
        <w:rPr>
          <w:rFonts w:ascii="Palatino Linotype" w:hAnsi="Palatino Linotype" w:cs="Arial"/>
          <w:sz w:val="24"/>
          <w:szCs w:val="24"/>
          <w:lang w:val="es-419"/>
        </w:rPr>
        <w:t>s</w:t>
      </w:r>
      <w:r w:rsidRPr="008662E4">
        <w:rPr>
          <w:rFonts w:ascii="Palatino Linotype" w:hAnsi="Palatino Linotype" w:cs="Arial"/>
          <w:sz w:val="24"/>
          <w:szCs w:val="24"/>
        </w:rPr>
        <w:t xml:space="preserve"> solicitud</w:t>
      </w:r>
      <w:r w:rsidR="003923E9">
        <w:rPr>
          <w:rFonts w:ascii="Palatino Linotype" w:hAnsi="Palatino Linotype" w:cs="Arial"/>
          <w:sz w:val="24"/>
          <w:szCs w:val="24"/>
          <w:lang w:val="es-419"/>
        </w:rPr>
        <w:t>es</w:t>
      </w:r>
      <w:r w:rsidRPr="008662E4">
        <w:rPr>
          <w:rFonts w:ascii="Palatino Linotype" w:hAnsi="Palatino Linotype" w:cs="Arial"/>
          <w:sz w:val="24"/>
          <w:szCs w:val="24"/>
        </w:rPr>
        <w:t xml:space="preserve"> de información </w:t>
      </w:r>
      <w:r w:rsidR="003923E9" w:rsidRPr="003923E9">
        <w:rPr>
          <w:rFonts w:ascii="Palatino Linotype" w:hAnsi="Palatino Linotype" w:cs="Arial"/>
          <w:b/>
          <w:sz w:val="24"/>
          <w:szCs w:val="24"/>
        </w:rPr>
        <w:t>00891/NAUCALPA/IP/2022 y 009</w:t>
      </w:r>
      <w:r w:rsidR="003923E9" w:rsidRPr="003923E9">
        <w:rPr>
          <w:rFonts w:ascii="Palatino Linotype" w:hAnsi="Palatino Linotype" w:cs="Arial"/>
          <w:b/>
          <w:sz w:val="24"/>
          <w:szCs w:val="24"/>
          <w:lang w:val="es-419"/>
        </w:rPr>
        <w:t>09</w:t>
      </w:r>
      <w:r w:rsidR="003923E9" w:rsidRPr="003923E9">
        <w:rPr>
          <w:rFonts w:ascii="Palatino Linotype" w:hAnsi="Palatino Linotype" w:cs="Arial"/>
          <w:b/>
          <w:sz w:val="24"/>
          <w:szCs w:val="24"/>
        </w:rPr>
        <w:t>/NAUCALPA/IP/2022</w:t>
      </w:r>
      <w:r w:rsidRPr="008662E4">
        <w:rPr>
          <w:rFonts w:ascii="Palatino Linotype" w:hAnsi="Palatino Linotype" w:cs="Arial"/>
          <w:sz w:val="24"/>
          <w:szCs w:val="24"/>
        </w:rPr>
        <w:t xml:space="preserve">, en términos del Considerando </w:t>
      </w:r>
      <w:r w:rsidR="003923E9">
        <w:rPr>
          <w:rFonts w:ascii="Palatino Linotype" w:hAnsi="Palatino Linotype" w:cs="Arial"/>
          <w:b/>
          <w:sz w:val="24"/>
          <w:szCs w:val="24"/>
          <w:lang w:val="es-419"/>
        </w:rPr>
        <w:t>CUARTO</w:t>
      </w:r>
      <w:r w:rsidRPr="008662E4">
        <w:rPr>
          <w:rFonts w:ascii="Palatino Linotype" w:hAnsi="Palatino Linotype" w:cs="Arial"/>
          <w:b/>
          <w:sz w:val="24"/>
          <w:szCs w:val="24"/>
        </w:rPr>
        <w:t xml:space="preserve"> </w:t>
      </w:r>
      <w:r w:rsidRPr="008662E4">
        <w:rPr>
          <w:rFonts w:ascii="Palatino Linotype" w:hAnsi="Palatino Linotype" w:cs="Arial"/>
          <w:sz w:val="24"/>
          <w:szCs w:val="24"/>
        </w:rPr>
        <w:t>de esta resolución</w:t>
      </w:r>
      <w:r w:rsidRPr="008662E4">
        <w:rPr>
          <w:rFonts w:ascii="Palatino Linotype" w:hAnsi="Palatino Linotype" w:cs="Arial"/>
          <w:b/>
          <w:sz w:val="24"/>
          <w:szCs w:val="24"/>
        </w:rPr>
        <w:t>,</w:t>
      </w:r>
      <w:r w:rsidRPr="008662E4">
        <w:rPr>
          <w:rFonts w:ascii="Palatino Linotype" w:hAnsi="Palatino Linotype" w:cs="Arial"/>
          <w:sz w:val="24"/>
          <w:szCs w:val="24"/>
        </w:rPr>
        <w:t xml:space="preserve"> vía Sistema de Acceso a la Información Mexiquense (SAIMEX).</w:t>
      </w:r>
    </w:p>
    <w:p w14:paraId="7B6D6CDF" w14:textId="77777777" w:rsidR="00BC3531" w:rsidRPr="008662E4" w:rsidRDefault="00BC3531" w:rsidP="003923E9">
      <w:pPr>
        <w:tabs>
          <w:tab w:val="left" w:pos="8647"/>
        </w:tabs>
        <w:spacing w:after="0" w:line="360" w:lineRule="auto"/>
        <w:ind w:right="51"/>
        <w:jc w:val="both"/>
        <w:rPr>
          <w:rFonts w:ascii="Palatino Linotype" w:hAnsi="Palatino Linotype" w:cs="Arial"/>
          <w:sz w:val="24"/>
          <w:szCs w:val="24"/>
        </w:rPr>
      </w:pPr>
    </w:p>
    <w:p w14:paraId="2FF6A75E" w14:textId="77777777" w:rsidR="003923E9" w:rsidRPr="003923E9" w:rsidRDefault="003923E9" w:rsidP="003923E9">
      <w:pPr>
        <w:autoSpaceDE w:val="0"/>
        <w:autoSpaceDN w:val="0"/>
        <w:adjustRightInd w:val="0"/>
        <w:spacing w:after="0" w:line="360" w:lineRule="auto"/>
        <w:jc w:val="both"/>
        <w:rPr>
          <w:rFonts w:ascii="Palatino Linotype" w:hAnsi="Palatino Linotype"/>
          <w:color w:val="222222"/>
          <w:sz w:val="24"/>
          <w:szCs w:val="24"/>
          <w:shd w:val="clear" w:color="auto" w:fill="FFFFFF"/>
        </w:rPr>
      </w:pPr>
      <w:r w:rsidRPr="007C77FA">
        <w:rPr>
          <w:rFonts w:ascii="Palatino Linotype" w:hAnsi="Palatino Linotype" w:cs="Arial"/>
          <w:b/>
          <w:sz w:val="28"/>
        </w:rPr>
        <w:t>TERCERO</w:t>
      </w:r>
      <w:r w:rsidRPr="003923E9">
        <w:rPr>
          <w:rFonts w:ascii="Palatino Linotype" w:hAnsi="Palatino Linotype" w:cs="Arial"/>
          <w:b/>
          <w:sz w:val="24"/>
          <w:szCs w:val="24"/>
        </w:rPr>
        <w:t xml:space="preserve">. </w:t>
      </w:r>
      <w:r w:rsidRPr="003923E9">
        <w:rPr>
          <w:rFonts w:ascii="Palatino Linotype" w:hAnsi="Palatino Linotype" w:cs="Arial"/>
          <w:b/>
          <w:sz w:val="24"/>
          <w:szCs w:val="24"/>
          <w:lang w:val="es-ES" w:eastAsia="es-ES"/>
        </w:rPr>
        <w:t>Notifíquese</w:t>
      </w:r>
      <w:r w:rsidRPr="003923E9">
        <w:rPr>
          <w:rFonts w:ascii="Palatino Linotype" w:hAnsi="Palatino Linotype" w:cs="Arial"/>
          <w:sz w:val="24"/>
          <w:szCs w:val="24"/>
          <w:lang w:val="es-ES" w:eastAsia="es-ES"/>
        </w:rPr>
        <w:t xml:space="preserve"> </w:t>
      </w:r>
      <w:r w:rsidRPr="003923E9">
        <w:rPr>
          <w:rFonts w:ascii="Palatino Linotype" w:hAnsi="Palatino Linotype"/>
          <w:color w:val="222222"/>
          <w:sz w:val="24"/>
          <w:szCs w:val="24"/>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w:t>
      </w:r>
      <w:r w:rsidRPr="003923E9">
        <w:rPr>
          <w:rFonts w:ascii="Palatino Linotype" w:hAnsi="Palatino Linotype"/>
          <w:color w:val="222222"/>
          <w:sz w:val="24"/>
          <w:szCs w:val="24"/>
          <w:shd w:val="clear" w:color="auto" w:fill="FFFFFF"/>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7F8602" w14:textId="77777777" w:rsidR="003923E9" w:rsidRPr="003923E9" w:rsidRDefault="003923E9" w:rsidP="003923E9">
      <w:pPr>
        <w:autoSpaceDE w:val="0"/>
        <w:autoSpaceDN w:val="0"/>
        <w:adjustRightInd w:val="0"/>
        <w:spacing w:after="0" w:line="360" w:lineRule="auto"/>
        <w:jc w:val="both"/>
        <w:rPr>
          <w:rFonts w:ascii="Palatino Linotype" w:hAnsi="Palatino Linotype" w:cs="Arial"/>
          <w:sz w:val="24"/>
          <w:szCs w:val="24"/>
        </w:rPr>
      </w:pPr>
    </w:p>
    <w:p w14:paraId="4B44D1CB" w14:textId="77777777" w:rsidR="003923E9" w:rsidRPr="003923E9" w:rsidRDefault="003923E9" w:rsidP="003923E9">
      <w:pPr>
        <w:autoSpaceDE w:val="0"/>
        <w:autoSpaceDN w:val="0"/>
        <w:adjustRightInd w:val="0"/>
        <w:spacing w:after="0" w:line="360" w:lineRule="auto"/>
        <w:jc w:val="both"/>
        <w:rPr>
          <w:rFonts w:ascii="Palatino Linotype" w:hAnsi="Palatino Linotype" w:cs="Arial"/>
          <w:sz w:val="24"/>
          <w:szCs w:val="24"/>
        </w:rPr>
      </w:pPr>
      <w:r w:rsidRPr="007C77FA">
        <w:rPr>
          <w:rFonts w:ascii="Palatino Linotype" w:hAnsi="Palatino Linotype" w:cs="Arial"/>
          <w:b/>
          <w:sz w:val="28"/>
        </w:rPr>
        <w:t>CUARTO</w:t>
      </w:r>
      <w:r w:rsidRPr="003923E9">
        <w:rPr>
          <w:rFonts w:ascii="Palatino Linotype" w:hAnsi="Palatino Linotype" w:cs="Arial"/>
          <w:b/>
          <w:sz w:val="24"/>
          <w:szCs w:val="24"/>
        </w:rPr>
        <w:t xml:space="preserve">. NOTIFÍQUESE </w:t>
      </w:r>
      <w:r w:rsidRPr="003923E9">
        <w:rPr>
          <w:rFonts w:ascii="Palatino Linotype" w:hAnsi="Palatino Linotype"/>
          <w:color w:val="222222"/>
          <w:sz w:val="24"/>
          <w:szCs w:val="24"/>
          <w:shd w:val="clear" w:color="auto" w:fill="FFFFFF"/>
        </w:rPr>
        <w:t xml:space="preserve">vía Sistema de Acceso a la Información Mexiquense </w:t>
      </w:r>
      <w:r w:rsidRPr="003923E9">
        <w:rPr>
          <w:rFonts w:ascii="Palatino Linotype" w:hAnsi="Palatino Linotype"/>
          <w:b/>
          <w:color w:val="222222"/>
          <w:sz w:val="24"/>
          <w:szCs w:val="24"/>
          <w:shd w:val="clear" w:color="auto" w:fill="FFFFFF"/>
        </w:rPr>
        <w:t xml:space="preserve">(SAIMEX) </w:t>
      </w:r>
      <w:r w:rsidRPr="003923E9">
        <w:rPr>
          <w:rFonts w:ascii="Palatino Linotype" w:hAnsi="Palatino Linotype" w:cs="Arial"/>
          <w:sz w:val="24"/>
          <w:szCs w:val="24"/>
        </w:rPr>
        <w:t xml:space="preserve">al </w:t>
      </w:r>
      <w:r w:rsidRPr="003923E9">
        <w:rPr>
          <w:rFonts w:ascii="Palatino Linotype" w:hAnsi="Palatino Linotype" w:cs="Arial"/>
          <w:b/>
          <w:sz w:val="24"/>
          <w:szCs w:val="24"/>
        </w:rPr>
        <w:t xml:space="preserve">RECURRENTE </w:t>
      </w:r>
      <w:r w:rsidRPr="003923E9">
        <w:rPr>
          <w:rFonts w:ascii="Palatino Linotype" w:hAnsi="Palatino Linotype" w:cs="Arial"/>
          <w:sz w:val="24"/>
          <w:szCs w:val="24"/>
        </w:rPr>
        <w:t xml:space="preserve">la presente resolución y hágase de su conocimiento que en caso de considerar que le causa algún perjuicio, podrá promover el Juicio de Amparo en los términos de las leyes aplicables, de acuerdo </w:t>
      </w:r>
      <w:r w:rsidR="00A833D2">
        <w:rPr>
          <w:rFonts w:ascii="Palatino Linotype" w:hAnsi="Palatino Linotype" w:cs="Arial"/>
          <w:sz w:val="24"/>
          <w:szCs w:val="24"/>
        </w:rPr>
        <w:t>con</w:t>
      </w:r>
      <w:r w:rsidRPr="003923E9">
        <w:rPr>
          <w:rFonts w:ascii="Palatino Linotype" w:hAnsi="Palatino Linotype" w:cs="Arial"/>
          <w:sz w:val="24"/>
          <w:szCs w:val="24"/>
        </w:rPr>
        <w:t xml:space="preserve"> lo estipulado por el artículo 196, de la Ley de Transparencia y Acceso a la Información Pública del Estado de México y Municipios.</w:t>
      </w:r>
    </w:p>
    <w:p w14:paraId="2A313522" w14:textId="77777777" w:rsidR="003923E9" w:rsidRPr="003923E9" w:rsidRDefault="003923E9" w:rsidP="003923E9">
      <w:pPr>
        <w:autoSpaceDE w:val="0"/>
        <w:autoSpaceDN w:val="0"/>
        <w:adjustRightInd w:val="0"/>
        <w:spacing w:after="0" w:line="360" w:lineRule="auto"/>
        <w:jc w:val="both"/>
        <w:rPr>
          <w:rFonts w:ascii="Palatino Linotype" w:hAnsi="Palatino Linotype" w:cs="Arial"/>
          <w:b/>
          <w:sz w:val="24"/>
          <w:szCs w:val="24"/>
          <w:lang w:eastAsia="es-ES"/>
        </w:rPr>
      </w:pPr>
    </w:p>
    <w:p w14:paraId="3CD031C4" w14:textId="77777777" w:rsidR="003923E9" w:rsidRPr="003923E9" w:rsidRDefault="003923E9" w:rsidP="003923E9">
      <w:pPr>
        <w:autoSpaceDE w:val="0"/>
        <w:autoSpaceDN w:val="0"/>
        <w:adjustRightInd w:val="0"/>
        <w:spacing w:after="0" w:line="360" w:lineRule="auto"/>
        <w:jc w:val="both"/>
        <w:rPr>
          <w:rFonts w:ascii="Palatino Linotype" w:hAnsi="Palatino Linotype" w:cs="AngsanaUPC"/>
          <w:sz w:val="24"/>
          <w:szCs w:val="24"/>
        </w:rPr>
      </w:pPr>
      <w:r>
        <w:rPr>
          <w:rFonts w:ascii="Palatino Linotype" w:eastAsia="Calibri" w:hAnsi="Palatino Linotype" w:cs="Tahoma"/>
          <w:b/>
          <w:bCs/>
          <w:iCs/>
          <w:sz w:val="28"/>
          <w:lang w:val="es-419" w:eastAsia="es-ES_tradnl"/>
        </w:rPr>
        <w:t>QUINTO</w:t>
      </w:r>
      <w:r w:rsidRPr="007C77FA">
        <w:rPr>
          <w:rFonts w:ascii="Palatino Linotype" w:eastAsia="Calibri" w:hAnsi="Palatino Linotype" w:cs="Tahoma"/>
          <w:b/>
          <w:bCs/>
          <w:iCs/>
          <w:lang w:eastAsia="es-ES_tradnl"/>
        </w:rPr>
        <w:t>.</w:t>
      </w:r>
      <w:r w:rsidRPr="007C77FA">
        <w:rPr>
          <w:rFonts w:ascii="Palatino Linotype" w:eastAsia="Calibri" w:hAnsi="Palatino Linotype" w:cs="Tahoma"/>
          <w:bCs/>
          <w:iCs/>
          <w:lang w:eastAsia="es-ES_tradnl"/>
        </w:rPr>
        <w:t xml:space="preserve"> </w:t>
      </w:r>
      <w:r w:rsidRPr="003923E9">
        <w:rPr>
          <w:rFonts w:ascii="Palatino Linotype" w:eastAsia="Calibri" w:hAnsi="Palatino Linotype" w:cs="Tahoma"/>
          <w:bCs/>
          <w:iCs/>
          <w:sz w:val="24"/>
          <w:szCs w:val="24"/>
          <w:lang w:eastAsia="es-ES_tradnl"/>
        </w:rPr>
        <w:t xml:space="preserve">Se hace del conocimiento del </w:t>
      </w:r>
      <w:r w:rsidRPr="003923E9">
        <w:rPr>
          <w:rFonts w:ascii="Palatino Linotype" w:eastAsia="Calibri" w:hAnsi="Palatino Linotype" w:cs="Tahoma"/>
          <w:b/>
          <w:bCs/>
          <w:iCs/>
          <w:sz w:val="24"/>
          <w:szCs w:val="24"/>
          <w:lang w:eastAsia="es-ES_tradnl"/>
        </w:rPr>
        <w:t xml:space="preserve">RECURRENTE </w:t>
      </w:r>
      <w:r w:rsidRPr="003923E9">
        <w:rPr>
          <w:rFonts w:ascii="Palatino Linotype" w:eastAsia="Calibri" w:hAnsi="Palatino Linotype" w:cs="Tahoma"/>
          <w:bCs/>
          <w:iCs/>
          <w:sz w:val="24"/>
          <w:szCs w:val="24"/>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Pr="003923E9">
        <w:rPr>
          <w:rFonts w:ascii="Palatino Linotype" w:eastAsia="Calibri" w:hAnsi="Palatino Linotype" w:cs="AngsanaUPC"/>
          <w:bCs/>
          <w:iCs/>
          <w:sz w:val="24"/>
          <w:szCs w:val="24"/>
          <w:lang w:eastAsia="es-ES_tradnl"/>
        </w:rPr>
        <w:t xml:space="preserve">Revisión ante este Instituto, por la respuesta que proporcione el </w:t>
      </w:r>
      <w:r w:rsidRPr="003923E9">
        <w:rPr>
          <w:rFonts w:ascii="Palatino Linotype" w:eastAsia="Calibri" w:hAnsi="Palatino Linotype" w:cs="AngsanaUPC"/>
          <w:b/>
          <w:bCs/>
          <w:iCs/>
          <w:sz w:val="24"/>
          <w:szCs w:val="24"/>
          <w:lang w:eastAsia="es-ES_tradnl"/>
        </w:rPr>
        <w:t>SUJETO OBLIGADO</w:t>
      </w:r>
      <w:r w:rsidRPr="003923E9">
        <w:rPr>
          <w:rFonts w:ascii="Palatino Linotype" w:eastAsia="Calibri" w:hAnsi="Palatino Linotype" w:cs="AngsanaUPC"/>
          <w:bCs/>
          <w:iCs/>
          <w:sz w:val="24"/>
          <w:szCs w:val="24"/>
          <w:lang w:eastAsia="es-ES_tradnl"/>
        </w:rPr>
        <w:t>, en cumplimiento a esta Resolución.</w:t>
      </w:r>
      <w:r w:rsidRPr="003923E9">
        <w:rPr>
          <w:rFonts w:ascii="Palatino Linotype" w:hAnsi="Palatino Linotype" w:cs="AngsanaUPC"/>
          <w:sz w:val="24"/>
          <w:szCs w:val="24"/>
        </w:rPr>
        <w:t xml:space="preserve"> </w:t>
      </w:r>
    </w:p>
    <w:p w14:paraId="1A1212EF" w14:textId="77777777" w:rsidR="003923E9" w:rsidRPr="003923E9" w:rsidRDefault="003923E9" w:rsidP="003923E9">
      <w:pPr>
        <w:autoSpaceDE w:val="0"/>
        <w:autoSpaceDN w:val="0"/>
        <w:adjustRightInd w:val="0"/>
        <w:spacing w:after="0" w:line="360" w:lineRule="auto"/>
        <w:jc w:val="both"/>
        <w:rPr>
          <w:rFonts w:ascii="Palatino Linotype" w:hAnsi="Palatino Linotype" w:cs="AngsanaUPC"/>
          <w:sz w:val="24"/>
          <w:szCs w:val="24"/>
        </w:rPr>
      </w:pPr>
    </w:p>
    <w:p w14:paraId="426D0F6D" w14:textId="77777777" w:rsidR="003923E9" w:rsidRPr="003923E9" w:rsidRDefault="003923E9" w:rsidP="003923E9">
      <w:pPr>
        <w:autoSpaceDE w:val="0"/>
        <w:autoSpaceDN w:val="0"/>
        <w:adjustRightInd w:val="0"/>
        <w:spacing w:after="0" w:line="360" w:lineRule="auto"/>
        <w:jc w:val="both"/>
        <w:rPr>
          <w:rFonts w:ascii="Palatino Linotype" w:eastAsia="Calibri" w:hAnsi="Palatino Linotype" w:cs="AngsanaUPC"/>
          <w:bCs/>
          <w:iCs/>
          <w:sz w:val="24"/>
          <w:szCs w:val="24"/>
          <w:lang w:val="es-419" w:eastAsia="es-ES_tradnl"/>
        </w:rPr>
      </w:pPr>
      <w:r>
        <w:rPr>
          <w:rFonts w:ascii="Palatino Linotype" w:eastAsia="Calibri" w:hAnsi="Palatino Linotype" w:cs="AngsanaUPC"/>
          <w:b/>
          <w:bCs/>
          <w:iCs/>
          <w:sz w:val="28"/>
          <w:lang w:val="es-419" w:eastAsia="es-ES_tradnl"/>
        </w:rPr>
        <w:t>SEXTO</w:t>
      </w:r>
      <w:r w:rsidRPr="007C77FA">
        <w:rPr>
          <w:rFonts w:ascii="Palatino Linotype" w:eastAsia="Calibri" w:hAnsi="Palatino Linotype" w:cs="AngsanaUPC"/>
          <w:b/>
          <w:bCs/>
          <w:iCs/>
          <w:lang w:eastAsia="es-ES_tradnl"/>
        </w:rPr>
        <w:t>.</w:t>
      </w:r>
      <w:r w:rsidRPr="007C77FA">
        <w:rPr>
          <w:rFonts w:ascii="Palatino Linotype" w:eastAsia="Calibri" w:hAnsi="Palatino Linotype" w:cs="AngsanaUPC"/>
          <w:bCs/>
          <w:iCs/>
          <w:lang w:eastAsia="es-ES_tradnl"/>
        </w:rPr>
        <w:t xml:space="preserve"> </w:t>
      </w:r>
      <w:r w:rsidRPr="003923E9">
        <w:rPr>
          <w:rFonts w:ascii="Palatino Linotype" w:eastAsia="Calibri" w:hAnsi="Palatino Linotype" w:cs="AngsanaUPC"/>
          <w:b/>
          <w:bCs/>
          <w:iCs/>
          <w:sz w:val="24"/>
          <w:szCs w:val="24"/>
          <w:lang w:val="es-419" w:eastAsia="es-ES_tradnl"/>
        </w:rPr>
        <w:t>GÍRESE</w:t>
      </w:r>
      <w:r w:rsidRPr="003923E9">
        <w:rPr>
          <w:rFonts w:ascii="Palatino Linotype" w:eastAsia="Calibri" w:hAnsi="Palatino Linotype" w:cs="AngsanaUPC"/>
          <w:bCs/>
          <w:iCs/>
          <w:sz w:val="24"/>
          <w:szCs w:val="24"/>
          <w:lang w:val="es-419" w:eastAsia="es-ES_tradnl"/>
        </w:rPr>
        <w:t xml:space="preserve"> </w:t>
      </w:r>
      <w:r w:rsidRPr="003923E9">
        <w:rPr>
          <w:rFonts w:ascii="Palatino Linotype" w:eastAsia="Calibri" w:hAnsi="Palatino Linotype" w:cs="AngsanaUPC"/>
          <w:bCs/>
          <w:iCs/>
          <w:sz w:val="24"/>
          <w:szCs w:val="24"/>
          <w:lang w:eastAsia="es-ES_tradnl"/>
        </w:rPr>
        <w:t xml:space="preserve">oficio a la Secretaría Técnica del Pleno de este Instituto </w:t>
      </w:r>
      <w:r w:rsidRPr="003923E9">
        <w:rPr>
          <w:rFonts w:ascii="Palatino Linotype" w:eastAsia="Calibri" w:hAnsi="Palatino Linotype" w:cs="AngsanaUPC"/>
          <w:bCs/>
          <w:iCs/>
          <w:sz w:val="24"/>
          <w:szCs w:val="24"/>
          <w:lang w:val="es-419" w:eastAsia="es-ES_tradnl"/>
        </w:rPr>
        <w:t xml:space="preserve">para hacer del conocimiento del Órgano Interno de Control competente la presente resolución, a fin de que de conformidad con el artículo 190, de la </w:t>
      </w:r>
      <w:r w:rsidRPr="003923E9">
        <w:rPr>
          <w:rFonts w:ascii="Palatino Linotype" w:eastAsia="Calibri" w:hAnsi="Palatino Linotype" w:cs="Tahoma"/>
          <w:bCs/>
          <w:iCs/>
          <w:sz w:val="24"/>
          <w:szCs w:val="24"/>
          <w:lang w:eastAsia="es-ES_tradnl"/>
        </w:rPr>
        <w:t>Ley de Transparencia y Acceso a la Información Pública del Estado de México y Municipios</w:t>
      </w:r>
      <w:r w:rsidRPr="003923E9">
        <w:rPr>
          <w:rFonts w:ascii="Palatino Linotype" w:eastAsia="Calibri" w:hAnsi="Palatino Linotype" w:cs="Tahoma"/>
          <w:bCs/>
          <w:iCs/>
          <w:sz w:val="24"/>
          <w:szCs w:val="24"/>
          <w:lang w:val="es-419" w:eastAsia="es-ES_tradnl"/>
        </w:rPr>
        <w:t xml:space="preserve"> se determine lo conducente, en términos de lo señalado en el Considerando </w:t>
      </w:r>
      <w:r w:rsidR="00730D99">
        <w:rPr>
          <w:rFonts w:ascii="Palatino Linotype" w:eastAsia="Calibri" w:hAnsi="Palatino Linotype" w:cs="Tahoma"/>
          <w:b/>
          <w:bCs/>
          <w:iCs/>
          <w:sz w:val="24"/>
          <w:szCs w:val="24"/>
          <w:lang w:val="es-419" w:eastAsia="es-ES_tradnl"/>
        </w:rPr>
        <w:t xml:space="preserve">CUARTO </w:t>
      </w:r>
      <w:r w:rsidRPr="003923E9">
        <w:rPr>
          <w:rFonts w:ascii="Palatino Linotype" w:eastAsia="Calibri" w:hAnsi="Palatino Linotype" w:cs="Tahoma"/>
          <w:bCs/>
          <w:iCs/>
          <w:sz w:val="24"/>
          <w:szCs w:val="24"/>
          <w:lang w:val="es-419" w:eastAsia="es-ES_tradnl"/>
        </w:rPr>
        <w:t>de la presente resolución.</w:t>
      </w:r>
    </w:p>
    <w:p w14:paraId="6CF58FB4" w14:textId="77777777" w:rsidR="00BC3531" w:rsidRPr="008662E4" w:rsidRDefault="00BC3531" w:rsidP="003923E9">
      <w:pPr>
        <w:spacing w:after="0" w:line="360" w:lineRule="auto"/>
        <w:jc w:val="both"/>
        <w:rPr>
          <w:rFonts w:ascii="Palatino Linotype" w:hAnsi="Palatino Linotype"/>
          <w:sz w:val="24"/>
          <w:szCs w:val="24"/>
          <w:lang w:eastAsia="es-ES_tradnl"/>
        </w:rPr>
      </w:pPr>
    </w:p>
    <w:p w14:paraId="2396D4B1" w14:textId="77777777" w:rsidR="00930C64" w:rsidRPr="00237823" w:rsidRDefault="00BC3531" w:rsidP="008662E4">
      <w:pPr>
        <w:spacing w:after="0" w:line="360" w:lineRule="auto"/>
        <w:jc w:val="both"/>
        <w:rPr>
          <w:rFonts w:ascii="Palatino Linotype" w:hAnsi="Palatino Linotype" w:cs="Arial"/>
          <w:sz w:val="24"/>
          <w:szCs w:val="24"/>
          <w:lang w:val="es-419"/>
        </w:rPr>
      </w:pPr>
      <w:r w:rsidRPr="008662E4">
        <w:rPr>
          <w:rFonts w:ascii="Palatino Linotype" w:hAnsi="Palatino Linotype" w:cs="Arial"/>
          <w:sz w:val="24"/>
          <w:szCs w:val="24"/>
        </w:rPr>
        <w:lastRenderedPageBreak/>
        <w:t>ASÍ LO RESUELVE, POR UNANIMIDAD DE VOTOS EL PLENO DEL</w:t>
      </w:r>
      <w:r w:rsidRPr="008662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62E4">
        <w:rPr>
          <w:rFonts w:ascii="Palatino Linotype" w:hAnsi="Palatino Linotype" w:cs="Arial"/>
          <w:sz w:val="24"/>
          <w:szCs w:val="24"/>
        </w:rPr>
        <w:t xml:space="preserve">, CONFORMADO POR </w:t>
      </w:r>
      <w:r w:rsidR="00A4482F" w:rsidRPr="00C45081">
        <w:rPr>
          <w:rFonts w:ascii="Palatino Linotype" w:hAnsi="Palatino Linotype" w:cs="Arial"/>
          <w:sz w:val="24"/>
          <w:szCs w:val="24"/>
        </w:rPr>
        <w:t xml:space="preserve">LOS COMISIONADOS JOSÉ MARTÍNEZ VILCHIS, MARÍA DEL ROSARIO MEJÍA AYALA, SHARON CRISTINA MORALES MARTÍNEZ, LUIS GUSTAVO PARRA NORIEGA Y GUADALUPE RAMÍREZ PEÑA, </w:t>
      </w:r>
      <w:r w:rsidR="00A4482F">
        <w:rPr>
          <w:rFonts w:ascii="Palatino Linotype" w:hAnsi="Palatino Linotype" w:cs="Arial"/>
          <w:sz w:val="24"/>
          <w:szCs w:val="24"/>
        </w:rPr>
        <w:t xml:space="preserve">EN LA </w:t>
      </w:r>
      <w:r w:rsidR="00A4482F">
        <w:rPr>
          <w:rFonts w:ascii="Palatino Linotype" w:hAnsi="Palatino Linotype" w:cs="Arial"/>
          <w:sz w:val="24"/>
          <w:szCs w:val="24"/>
          <w:lang w:val="es-419"/>
        </w:rPr>
        <w:t xml:space="preserve">VIGÉSIMA SEXTA </w:t>
      </w:r>
      <w:r w:rsidR="00A4482F">
        <w:rPr>
          <w:rFonts w:ascii="Palatino Linotype" w:hAnsi="Palatino Linotype" w:cs="Arial"/>
          <w:sz w:val="24"/>
          <w:szCs w:val="24"/>
        </w:rPr>
        <w:t xml:space="preserve">SESIÓN ORDINARIA CELEBRADA EL </w:t>
      </w:r>
      <w:r w:rsidR="00A4482F">
        <w:rPr>
          <w:rFonts w:ascii="Palatino Linotype" w:eastAsia="Times New Roman" w:hAnsi="Palatino Linotype" w:cs="Arial"/>
          <w:color w:val="000000"/>
          <w:sz w:val="24"/>
          <w:szCs w:val="24"/>
          <w:lang w:val="es-419" w:eastAsia="es-MX"/>
        </w:rPr>
        <w:t>DOCE DE JULIO</w:t>
      </w:r>
      <w:r w:rsidR="00A4482F">
        <w:rPr>
          <w:rFonts w:ascii="Palatino Linotype" w:hAnsi="Palatino Linotype" w:cs="Arial"/>
          <w:sz w:val="24"/>
          <w:szCs w:val="24"/>
        </w:rPr>
        <w:t xml:space="preserve"> DE DOS MIL </w:t>
      </w:r>
      <w:r w:rsidR="00A4482F">
        <w:rPr>
          <w:rFonts w:ascii="Palatino Linotype" w:hAnsi="Palatino Linotype" w:cs="Arial"/>
          <w:sz w:val="24"/>
          <w:szCs w:val="24"/>
          <w:lang w:val="es-419"/>
        </w:rPr>
        <w:t>VEINTITRÉS</w:t>
      </w:r>
      <w:r w:rsidR="00A4482F" w:rsidRPr="00C45081">
        <w:rPr>
          <w:rFonts w:ascii="Palatino Linotype" w:hAnsi="Palatino Linotype" w:cs="Arial"/>
          <w:sz w:val="24"/>
          <w:szCs w:val="24"/>
        </w:rPr>
        <w:t>, ANTE EL ANTE EL SECRETARIO TÉCNICO DEL PLENO, ALEXIS TAPIA RAMÍREZ. -----------</w:t>
      </w:r>
      <w:r w:rsidR="00A4482F">
        <w:rPr>
          <w:rFonts w:ascii="Palatino Linotype" w:hAnsi="Palatino Linotype" w:cs="Arial"/>
          <w:sz w:val="24"/>
          <w:szCs w:val="24"/>
        </w:rPr>
        <w:t>---------------------------------------------------------------------------</w:t>
      </w:r>
      <w:r w:rsidR="00930C64">
        <w:rPr>
          <w:rFonts w:ascii="Palatino Linotype" w:hAnsi="Palatino Linotype" w:cs="Arial"/>
          <w:sz w:val="24"/>
          <w:szCs w:val="24"/>
        </w:rPr>
        <w:t>-----------------------------------------------------------------------------------------------------------------</w:t>
      </w:r>
      <w:r w:rsidR="0037384E">
        <w:rPr>
          <w:rFonts w:ascii="Palatino Linotype" w:hAnsi="Palatino Linotype" w:cs="Arial"/>
        </w:rPr>
        <w:t>-----------------------------------------------------------------------------------------------------------------------------------------------------------------------------------------------------------------------------------------------------------------------------------------------------------------------------------------------------------------------------------------------------------------------------------------------------------------------------------------------------------------------------------------------------------------------------------------------------------------------------------------------------------------------------------------------------------------------------------------------------------------------------------------------------------------------------------------------------------------------------------------------------------------------------------------------------------------------------------------------------------------------------------------------------------------------------------------------------------------------------------------------------------------------------------------------------------------------------------------------------------------------------------------------------------------------------------------------------------------------------------------------------------------------------------------------------------------------------------------------------------------------------------------------------------------------------------------------------------------------------------------------------------------------------------------------------------------------------------------------------------------------------------------------------------------------------------------------------------------------------------------------------------------------</w:t>
      </w:r>
    </w:p>
    <w:p w14:paraId="6C6A5E25" w14:textId="77777777" w:rsidR="00BC3531" w:rsidRPr="001F55AB" w:rsidRDefault="001F55AB" w:rsidP="008662E4">
      <w:pPr>
        <w:spacing w:after="0" w:line="360" w:lineRule="auto"/>
        <w:jc w:val="both"/>
        <w:rPr>
          <w:rFonts w:ascii="Palatino Linotype" w:hAnsi="Palatino Linotype" w:cs="Arial"/>
          <w:szCs w:val="24"/>
        </w:rPr>
      </w:pPr>
      <w:r w:rsidRPr="001F55AB">
        <w:rPr>
          <w:rFonts w:ascii="Palatino Linotype" w:hAnsi="Palatino Linotype" w:cs="Arial"/>
          <w:szCs w:val="24"/>
        </w:rPr>
        <w:t>JMV/</w:t>
      </w:r>
      <w:r w:rsidR="00E3638D">
        <w:rPr>
          <w:rFonts w:ascii="Palatino Linotype" w:hAnsi="Palatino Linotype" w:cs="Arial"/>
          <w:szCs w:val="24"/>
        </w:rPr>
        <w:t>CCR/ROA</w:t>
      </w:r>
    </w:p>
    <w:p w14:paraId="47AA9519" w14:textId="77777777" w:rsidR="00BC3531" w:rsidRPr="008662E4" w:rsidRDefault="00BC3531" w:rsidP="008662E4">
      <w:pPr>
        <w:spacing w:after="0" w:line="360" w:lineRule="auto"/>
        <w:jc w:val="both"/>
        <w:rPr>
          <w:rFonts w:ascii="Palatino Linotype" w:hAnsi="Palatino Linotype" w:cs="Arial"/>
          <w:sz w:val="24"/>
          <w:szCs w:val="24"/>
        </w:rPr>
      </w:pPr>
    </w:p>
    <w:p w14:paraId="7626AA09" w14:textId="77777777" w:rsidR="00BC3531" w:rsidRPr="008662E4" w:rsidRDefault="00BC3531" w:rsidP="008662E4">
      <w:pPr>
        <w:spacing w:after="0" w:line="360" w:lineRule="auto"/>
        <w:jc w:val="both"/>
        <w:rPr>
          <w:rFonts w:ascii="Palatino Linotype" w:hAnsi="Palatino Linotype" w:cs="Arial"/>
          <w:sz w:val="24"/>
          <w:szCs w:val="24"/>
        </w:rPr>
      </w:pPr>
    </w:p>
    <w:p w14:paraId="4455FFD3" w14:textId="77777777" w:rsidR="00BC3531" w:rsidRDefault="00BC3531" w:rsidP="008662E4">
      <w:pPr>
        <w:spacing w:after="0" w:line="360" w:lineRule="auto"/>
        <w:jc w:val="both"/>
        <w:rPr>
          <w:rFonts w:ascii="Palatino Linotype" w:hAnsi="Palatino Linotype" w:cs="Arial"/>
          <w:sz w:val="24"/>
          <w:szCs w:val="24"/>
        </w:rPr>
      </w:pPr>
    </w:p>
    <w:p w14:paraId="32441280" w14:textId="77777777" w:rsidR="00237823" w:rsidRDefault="00237823" w:rsidP="008662E4">
      <w:pPr>
        <w:spacing w:after="0" w:line="360" w:lineRule="auto"/>
        <w:jc w:val="both"/>
        <w:rPr>
          <w:rFonts w:ascii="Palatino Linotype" w:hAnsi="Palatino Linotype" w:cs="Arial"/>
          <w:sz w:val="24"/>
          <w:szCs w:val="24"/>
        </w:rPr>
      </w:pPr>
    </w:p>
    <w:p w14:paraId="788691F6" w14:textId="77777777" w:rsidR="00237823" w:rsidRDefault="00237823" w:rsidP="008662E4">
      <w:pPr>
        <w:spacing w:after="0" w:line="360" w:lineRule="auto"/>
        <w:jc w:val="both"/>
        <w:rPr>
          <w:rFonts w:ascii="Palatino Linotype" w:hAnsi="Palatino Linotype" w:cs="Arial"/>
          <w:sz w:val="24"/>
          <w:szCs w:val="24"/>
        </w:rPr>
      </w:pPr>
    </w:p>
    <w:p w14:paraId="5D9A85EC" w14:textId="77777777" w:rsidR="00237823" w:rsidRDefault="00237823" w:rsidP="008662E4">
      <w:pPr>
        <w:spacing w:after="0" w:line="360" w:lineRule="auto"/>
        <w:jc w:val="both"/>
        <w:rPr>
          <w:rFonts w:ascii="Palatino Linotype" w:hAnsi="Palatino Linotype" w:cs="Arial"/>
          <w:sz w:val="24"/>
          <w:szCs w:val="24"/>
        </w:rPr>
      </w:pPr>
    </w:p>
    <w:p w14:paraId="0C109CCF" w14:textId="77777777" w:rsidR="00237823" w:rsidRDefault="00237823" w:rsidP="008662E4">
      <w:pPr>
        <w:spacing w:after="0" w:line="360" w:lineRule="auto"/>
        <w:jc w:val="both"/>
        <w:rPr>
          <w:rFonts w:ascii="Palatino Linotype" w:hAnsi="Palatino Linotype" w:cs="Arial"/>
          <w:sz w:val="24"/>
          <w:szCs w:val="24"/>
        </w:rPr>
      </w:pPr>
    </w:p>
    <w:p w14:paraId="745C5E27" w14:textId="77777777" w:rsidR="00237823" w:rsidRDefault="00237823" w:rsidP="008662E4">
      <w:pPr>
        <w:spacing w:after="0" w:line="360" w:lineRule="auto"/>
        <w:jc w:val="both"/>
        <w:rPr>
          <w:rFonts w:ascii="Palatino Linotype" w:hAnsi="Palatino Linotype" w:cs="Arial"/>
          <w:sz w:val="24"/>
          <w:szCs w:val="24"/>
        </w:rPr>
      </w:pPr>
    </w:p>
    <w:p w14:paraId="1694FDC6" w14:textId="77777777" w:rsidR="00237823" w:rsidRPr="008662E4" w:rsidRDefault="00237823" w:rsidP="008662E4">
      <w:pPr>
        <w:spacing w:after="0" w:line="360" w:lineRule="auto"/>
        <w:jc w:val="both"/>
        <w:rPr>
          <w:rFonts w:ascii="Palatino Linotype" w:hAnsi="Palatino Linotype" w:cs="Arial"/>
          <w:sz w:val="24"/>
          <w:szCs w:val="24"/>
        </w:rPr>
      </w:pPr>
    </w:p>
    <w:p w14:paraId="6CD8554A" w14:textId="77777777" w:rsidR="00BC3531" w:rsidRPr="008662E4" w:rsidRDefault="00BC3531" w:rsidP="008662E4">
      <w:pPr>
        <w:spacing w:after="0" w:line="360" w:lineRule="auto"/>
        <w:rPr>
          <w:rFonts w:ascii="Palatino Linotype" w:hAnsi="Palatino Linotype"/>
          <w:sz w:val="24"/>
          <w:szCs w:val="24"/>
        </w:rPr>
      </w:pPr>
    </w:p>
    <w:p w14:paraId="424CF936" w14:textId="77777777" w:rsidR="00BC3531" w:rsidRPr="008662E4" w:rsidRDefault="00BC3531" w:rsidP="008662E4">
      <w:pPr>
        <w:spacing w:after="0" w:line="360" w:lineRule="auto"/>
        <w:rPr>
          <w:rFonts w:ascii="Palatino Linotype" w:hAnsi="Palatino Linotype"/>
          <w:sz w:val="24"/>
          <w:szCs w:val="24"/>
        </w:rPr>
      </w:pPr>
    </w:p>
    <w:p w14:paraId="1E0153E0" w14:textId="77777777" w:rsidR="00BC3531" w:rsidRPr="008662E4" w:rsidRDefault="00BC3531" w:rsidP="008662E4">
      <w:pPr>
        <w:spacing w:after="0" w:line="360" w:lineRule="auto"/>
        <w:rPr>
          <w:rFonts w:ascii="Palatino Linotype" w:hAnsi="Palatino Linotype"/>
          <w:sz w:val="24"/>
          <w:szCs w:val="24"/>
        </w:rPr>
      </w:pPr>
    </w:p>
    <w:p w14:paraId="33FB8840" w14:textId="77777777" w:rsidR="00BC3531" w:rsidRPr="008662E4" w:rsidRDefault="00BC3531" w:rsidP="008662E4">
      <w:pPr>
        <w:spacing w:after="0" w:line="360" w:lineRule="auto"/>
        <w:rPr>
          <w:rFonts w:ascii="Palatino Linotype" w:hAnsi="Palatino Linotype"/>
          <w:sz w:val="24"/>
          <w:szCs w:val="24"/>
        </w:rPr>
      </w:pPr>
    </w:p>
    <w:p w14:paraId="53A6CADA" w14:textId="77777777" w:rsidR="00BC3531" w:rsidRPr="008662E4" w:rsidRDefault="00BC3531" w:rsidP="008662E4">
      <w:pPr>
        <w:spacing w:after="0" w:line="360" w:lineRule="auto"/>
        <w:rPr>
          <w:rFonts w:ascii="Palatino Linotype" w:hAnsi="Palatino Linotype"/>
          <w:sz w:val="24"/>
          <w:szCs w:val="24"/>
        </w:rPr>
      </w:pPr>
    </w:p>
    <w:p w14:paraId="40C0F199" w14:textId="77777777" w:rsidR="00BC3531" w:rsidRPr="008662E4" w:rsidRDefault="00BC3531" w:rsidP="008662E4">
      <w:pPr>
        <w:spacing w:after="0" w:line="360" w:lineRule="auto"/>
        <w:rPr>
          <w:rFonts w:ascii="Palatino Linotype" w:hAnsi="Palatino Linotype"/>
          <w:sz w:val="24"/>
          <w:szCs w:val="24"/>
        </w:rPr>
      </w:pPr>
    </w:p>
    <w:p w14:paraId="450163B5" w14:textId="77777777" w:rsidR="00BC3531" w:rsidRPr="008662E4" w:rsidRDefault="00BC3531" w:rsidP="008662E4">
      <w:pPr>
        <w:spacing w:after="0" w:line="360" w:lineRule="auto"/>
        <w:rPr>
          <w:rFonts w:ascii="Palatino Linotype" w:hAnsi="Palatino Linotype"/>
          <w:sz w:val="24"/>
          <w:szCs w:val="24"/>
        </w:rPr>
      </w:pPr>
    </w:p>
    <w:p w14:paraId="615AEA86" w14:textId="77777777" w:rsidR="00BC3531" w:rsidRPr="008662E4" w:rsidRDefault="00BC3531" w:rsidP="008662E4">
      <w:pPr>
        <w:spacing w:after="0" w:line="360" w:lineRule="auto"/>
        <w:rPr>
          <w:rFonts w:ascii="Palatino Linotype" w:hAnsi="Palatino Linotype"/>
          <w:sz w:val="24"/>
          <w:szCs w:val="24"/>
        </w:rPr>
      </w:pPr>
    </w:p>
    <w:p w14:paraId="77E3F35D" w14:textId="77777777" w:rsidR="00BC3531" w:rsidRPr="008662E4" w:rsidRDefault="00BC3531" w:rsidP="008662E4">
      <w:pPr>
        <w:spacing w:after="0" w:line="360" w:lineRule="auto"/>
        <w:rPr>
          <w:rFonts w:ascii="Palatino Linotype" w:hAnsi="Palatino Linotype"/>
          <w:sz w:val="24"/>
          <w:szCs w:val="24"/>
        </w:rPr>
      </w:pPr>
    </w:p>
    <w:p w14:paraId="7EFC2B12" w14:textId="77777777" w:rsidR="00EF5006" w:rsidRPr="008662E4" w:rsidRDefault="00A305D6" w:rsidP="008662E4">
      <w:pPr>
        <w:spacing w:after="0" w:line="360" w:lineRule="auto"/>
        <w:rPr>
          <w:rFonts w:ascii="Palatino Linotype" w:hAnsi="Palatino Linotype"/>
          <w:sz w:val="24"/>
          <w:szCs w:val="24"/>
        </w:rPr>
      </w:pPr>
    </w:p>
    <w:sectPr w:rsidR="00EF5006" w:rsidRPr="008662E4"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B6B61" w14:textId="77777777" w:rsidR="00B528AD" w:rsidRDefault="00B528AD" w:rsidP="00BC3531">
      <w:pPr>
        <w:spacing w:after="0" w:line="240" w:lineRule="auto"/>
      </w:pPr>
      <w:r>
        <w:separator/>
      </w:r>
    </w:p>
  </w:endnote>
  <w:endnote w:type="continuationSeparator" w:id="0">
    <w:p w14:paraId="3509092F" w14:textId="77777777" w:rsidR="00B528AD" w:rsidRDefault="00B528AD"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51E6B2C" w14:textId="77777777"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05D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05D6">
              <w:rPr>
                <w:rFonts w:ascii="Palatino Linotype" w:hAnsi="Palatino Linotype"/>
                <w:bCs/>
                <w:noProof/>
                <w:sz w:val="20"/>
              </w:rPr>
              <w:t>39</w:t>
            </w:r>
            <w:r>
              <w:rPr>
                <w:rFonts w:ascii="Palatino Linotype" w:hAnsi="Palatino Linotype"/>
                <w:bCs/>
                <w:noProof/>
                <w:sz w:val="20"/>
              </w:rPr>
              <w:fldChar w:fldCharType="end"/>
            </w:r>
          </w:p>
        </w:sdtContent>
      </w:sdt>
    </w:sdtContent>
  </w:sdt>
  <w:p w14:paraId="5B025205" w14:textId="77777777" w:rsidR="002C0311" w:rsidRDefault="00A305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6926" w14:textId="77777777"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05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05D6">
      <w:rPr>
        <w:rFonts w:ascii="Palatino Linotype" w:hAnsi="Palatino Linotype"/>
        <w:bCs/>
        <w:noProof/>
        <w:sz w:val="20"/>
      </w:rPr>
      <w:t>39</w:t>
    </w:r>
    <w:r>
      <w:rPr>
        <w:rFonts w:ascii="Palatino Linotype" w:hAnsi="Palatino Linotype"/>
        <w:bCs/>
        <w:noProof/>
        <w:sz w:val="20"/>
      </w:rPr>
      <w:fldChar w:fldCharType="end"/>
    </w:r>
  </w:p>
  <w:p w14:paraId="056DCAB9" w14:textId="77777777" w:rsidR="002C0311" w:rsidRDefault="00A305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D4E25" w14:textId="77777777" w:rsidR="00B528AD" w:rsidRDefault="00B528AD" w:rsidP="00BC3531">
      <w:pPr>
        <w:spacing w:after="0" w:line="240" w:lineRule="auto"/>
      </w:pPr>
      <w:r>
        <w:separator/>
      </w:r>
    </w:p>
  </w:footnote>
  <w:footnote w:type="continuationSeparator" w:id="0">
    <w:p w14:paraId="7E34062B" w14:textId="77777777" w:rsidR="00B528AD" w:rsidRDefault="00B528AD" w:rsidP="00BC3531">
      <w:pPr>
        <w:spacing w:after="0" w:line="240" w:lineRule="auto"/>
      </w:pPr>
      <w:r>
        <w:continuationSeparator/>
      </w:r>
    </w:p>
  </w:footnote>
  <w:footnote w:id="1">
    <w:p w14:paraId="1E25D258" w14:textId="77777777" w:rsidR="00A833D2" w:rsidRPr="00597C9F" w:rsidRDefault="00A833D2" w:rsidP="00A833D2">
      <w:pPr>
        <w:pStyle w:val="Textonotapie"/>
      </w:pPr>
      <w:r>
        <w:rPr>
          <w:rStyle w:val="Refdenotaalpie"/>
        </w:rPr>
        <w:footnoteRef/>
      </w:r>
      <w:r w:rsidRPr="004F5A42">
        <w:t xml:space="preserve">   [J]; 9a. Época; T.C.C.; S.J.F. y su Gaceta; Tomo XXXIII, marzo de 2011; Pág. 2167. XXI.1o.P.A. J/27.</w:t>
      </w:r>
    </w:p>
  </w:footnote>
  <w:footnote w:id="2">
    <w:p w14:paraId="2C0349B2" w14:textId="77777777" w:rsidR="00A833D2" w:rsidRPr="00597C9F" w:rsidRDefault="00A833D2" w:rsidP="00A833D2">
      <w:pPr>
        <w:pStyle w:val="Textonotapie"/>
      </w:pPr>
      <w:r>
        <w:rPr>
          <w:rStyle w:val="Refdenotaalpie"/>
        </w:rPr>
        <w:footnoteRef/>
      </w:r>
      <w:r w:rsidRPr="004F5A42">
        <w:t xml:space="preserve"> [J]; 10a. Época; T.C.C.; S.J.F. y su Gaceta; Libro VI, Marzo de 2012; Tomo 2; Pág. 931. VI.1o.A. J/54 (9a.).</w:t>
      </w:r>
    </w:p>
  </w:footnote>
  <w:footnote w:id="3">
    <w:p w14:paraId="152EEF55" w14:textId="77777777" w:rsidR="00A833D2" w:rsidRPr="00A833D2" w:rsidRDefault="00A833D2" w:rsidP="00A833D2">
      <w:pPr>
        <w:pStyle w:val="Textonotapie"/>
        <w:rPr>
          <w:rFonts w:ascii="Palatino Linotype" w:hAnsi="Palatino Linotype"/>
        </w:rPr>
      </w:pPr>
      <w:r w:rsidRPr="00A833D2">
        <w:rPr>
          <w:rStyle w:val="Refdenotaalpie"/>
          <w:rFonts w:ascii="Palatino Linotype" w:hAnsi="Palatino Linotype"/>
        </w:rPr>
        <w:footnoteRef/>
      </w:r>
      <w:r w:rsidRPr="00A833D2">
        <w:rPr>
          <w:rFonts w:ascii="Palatino Linotype" w:hAnsi="Palatino Linotype"/>
        </w:rPr>
        <w:t xml:space="preserve"> [TA]; 10a. Época; T.C.C.; Gaceta S.J.F.; Libro 19, Junio de 2015; Tomo III; Pág. 2004. I.1o.A.E.63 A (10a.).</w:t>
      </w:r>
    </w:p>
  </w:footnote>
  <w:footnote w:id="4">
    <w:p w14:paraId="44A05629" w14:textId="77777777"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49D1081A" w14:textId="77777777" w:rsidTr="00EC57DF">
      <w:trPr>
        <w:trHeight w:val="227"/>
      </w:trPr>
      <w:tc>
        <w:tcPr>
          <w:tcW w:w="5246" w:type="dxa"/>
          <w:hideMark/>
        </w:tcPr>
        <w:p w14:paraId="6BB6EAE9" w14:textId="77777777"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35EE055" w14:textId="77777777" w:rsidR="002C0311" w:rsidRPr="009006F6" w:rsidRDefault="009006F6" w:rsidP="00216212">
          <w:pPr>
            <w:spacing w:after="120" w:line="256" w:lineRule="auto"/>
            <w:ind w:left="-486" w:right="214" w:firstLine="1585"/>
            <w:jc w:val="right"/>
            <w:rPr>
              <w:rFonts w:ascii="Palatino Linotype" w:hAnsi="Palatino Linotype" w:cs="Arial"/>
              <w:b/>
              <w:szCs w:val="20"/>
              <w:lang w:val="es-419"/>
            </w:rPr>
          </w:pPr>
          <w:r>
            <w:rPr>
              <w:rFonts w:ascii="Palatino Linotype" w:hAnsi="Palatino Linotype" w:cs="Arial"/>
              <w:b/>
              <w:bCs/>
              <w:sz w:val="24"/>
              <w:lang w:val="es-419" w:eastAsia="es-MX"/>
            </w:rPr>
            <w:t>16470</w:t>
          </w:r>
          <w:r w:rsidR="00AE60A8">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w:t>
          </w:r>
          <w:r>
            <w:rPr>
              <w:rFonts w:ascii="Palatino Linotype" w:hAnsi="Palatino Linotype" w:cs="Arial"/>
              <w:b/>
              <w:bCs/>
              <w:sz w:val="24"/>
              <w:lang w:val="es-419" w:eastAsia="es-MX"/>
            </w:rPr>
            <w:t>y Acumulado</w:t>
          </w:r>
        </w:p>
      </w:tc>
    </w:tr>
    <w:tr w:rsidR="002C0311" w14:paraId="7ED27C4F" w14:textId="77777777" w:rsidTr="00EC57DF">
      <w:trPr>
        <w:trHeight w:val="242"/>
      </w:trPr>
      <w:tc>
        <w:tcPr>
          <w:tcW w:w="5246" w:type="dxa"/>
          <w:hideMark/>
        </w:tcPr>
        <w:p w14:paraId="7330A482" w14:textId="77777777"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C2411FA" w14:textId="77777777" w:rsidR="002C0311" w:rsidRPr="00D54B00" w:rsidRDefault="009006F6" w:rsidP="00673109">
          <w:pPr>
            <w:spacing w:after="120" w:line="256" w:lineRule="auto"/>
            <w:ind w:left="-486" w:right="214" w:firstLine="284"/>
            <w:jc w:val="right"/>
            <w:rPr>
              <w:rFonts w:ascii="Palatino Linotype" w:hAnsi="Palatino Linotype" w:cs="Arial"/>
              <w:b/>
              <w:szCs w:val="20"/>
              <w:lang w:val="es-419"/>
            </w:rPr>
          </w:pPr>
          <w:r w:rsidRPr="009006F6">
            <w:rPr>
              <w:rFonts w:ascii="Palatino Linotype" w:hAnsi="Palatino Linotype" w:cs="Arial"/>
              <w:b/>
              <w:bCs/>
              <w:sz w:val="24"/>
              <w:lang w:val="es-419" w:eastAsia="es-MX"/>
            </w:rPr>
            <w:t>Ayuntamiento de Naucalpan de Juárez</w:t>
          </w:r>
        </w:p>
      </w:tc>
    </w:tr>
    <w:tr w:rsidR="002C0311" w14:paraId="05631454" w14:textId="77777777" w:rsidTr="00EC57DF">
      <w:trPr>
        <w:trHeight w:val="342"/>
      </w:trPr>
      <w:tc>
        <w:tcPr>
          <w:tcW w:w="5246" w:type="dxa"/>
          <w:hideMark/>
        </w:tcPr>
        <w:p w14:paraId="6BF7D064" w14:textId="77777777"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D028989" w14:textId="77777777"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50F9FE6" w14:textId="77777777"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550746" wp14:editId="1604FD06">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104"/>
      <w:gridCol w:w="5103"/>
    </w:tblGrid>
    <w:tr w:rsidR="002C0311" w14:paraId="11AABCDF" w14:textId="77777777" w:rsidTr="009006F6">
      <w:trPr>
        <w:trHeight w:val="227"/>
      </w:trPr>
      <w:tc>
        <w:tcPr>
          <w:tcW w:w="5104" w:type="dxa"/>
          <w:hideMark/>
        </w:tcPr>
        <w:p w14:paraId="512567CB" w14:textId="77777777" w:rsidR="002C0311" w:rsidRPr="00641471" w:rsidRDefault="00AE60A8" w:rsidP="001D56E7">
          <w:pPr>
            <w:spacing w:after="120" w:line="256" w:lineRule="auto"/>
            <w:ind w:right="72"/>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230BAAF8" w14:textId="77777777" w:rsidR="002C0311" w:rsidRPr="009006F6" w:rsidRDefault="009006F6" w:rsidP="009006F6">
          <w:pPr>
            <w:spacing w:after="120" w:line="256" w:lineRule="auto"/>
            <w:ind w:left="72" w:right="71"/>
            <w:jc w:val="right"/>
            <w:rPr>
              <w:rFonts w:ascii="Palatino Linotype" w:hAnsi="Palatino Linotype" w:cs="Arial"/>
              <w:b/>
              <w:szCs w:val="20"/>
              <w:lang w:val="es-419"/>
            </w:rPr>
          </w:pPr>
          <w:r>
            <w:rPr>
              <w:rFonts w:ascii="Palatino Linotype" w:hAnsi="Palatino Linotype" w:cs="Arial"/>
              <w:b/>
              <w:bCs/>
              <w:sz w:val="24"/>
              <w:lang w:val="es-419" w:eastAsia="es-MX"/>
            </w:rPr>
            <w:t>16470</w:t>
          </w:r>
          <w:r w:rsidR="00AE60A8">
            <w:rPr>
              <w:rFonts w:ascii="Palatino Linotype" w:hAnsi="Palatino Linotype" w:cs="Arial"/>
              <w:b/>
              <w:bCs/>
              <w:sz w:val="24"/>
              <w:lang w:eastAsia="es-MX"/>
            </w:rPr>
            <w:t>/INFOEM/IP/RR/2022</w:t>
          </w:r>
          <w:r>
            <w:rPr>
              <w:rFonts w:ascii="Palatino Linotype" w:hAnsi="Palatino Linotype" w:cs="Arial"/>
              <w:b/>
              <w:bCs/>
              <w:sz w:val="24"/>
              <w:lang w:val="es-419" w:eastAsia="es-MX"/>
            </w:rPr>
            <w:t xml:space="preserve"> y Acumulado</w:t>
          </w:r>
        </w:p>
      </w:tc>
    </w:tr>
    <w:tr w:rsidR="002C0311" w14:paraId="6210E8BB" w14:textId="77777777" w:rsidTr="009006F6">
      <w:trPr>
        <w:trHeight w:val="242"/>
      </w:trPr>
      <w:tc>
        <w:tcPr>
          <w:tcW w:w="5104" w:type="dxa"/>
          <w:hideMark/>
        </w:tcPr>
        <w:p w14:paraId="5E1C6325" w14:textId="77777777" w:rsidR="002C0311" w:rsidRPr="00641471" w:rsidRDefault="00AE60A8" w:rsidP="001D56E7">
          <w:pPr>
            <w:spacing w:after="120" w:line="256" w:lineRule="auto"/>
            <w:ind w:right="72"/>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02145BC3" w14:textId="77777777" w:rsidR="002C0311" w:rsidRPr="009006F6" w:rsidRDefault="009006F6" w:rsidP="009006F6">
          <w:pPr>
            <w:spacing w:after="120" w:line="256" w:lineRule="auto"/>
            <w:ind w:left="72" w:right="71"/>
            <w:jc w:val="right"/>
            <w:rPr>
              <w:rFonts w:ascii="Palatino Linotype" w:hAnsi="Palatino Linotype" w:cs="Arial"/>
              <w:b/>
              <w:bCs/>
              <w:sz w:val="24"/>
              <w:lang w:val="es-419" w:eastAsia="es-MX"/>
            </w:rPr>
          </w:pPr>
          <w:r w:rsidRPr="009006F6">
            <w:rPr>
              <w:rFonts w:ascii="Palatino Linotype" w:hAnsi="Palatino Linotype" w:cs="Arial"/>
              <w:b/>
              <w:bCs/>
              <w:sz w:val="24"/>
              <w:lang w:val="es-419" w:eastAsia="es-MX"/>
            </w:rPr>
            <w:t>Ayuntamiento de Naucalpan de Juárez</w:t>
          </w:r>
        </w:p>
      </w:tc>
    </w:tr>
    <w:tr w:rsidR="002C0311" w:rsidRPr="009006F6" w14:paraId="46213231" w14:textId="77777777" w:rsidTr="009006F6">
      <w:trPr>
        <w:trHeight w:val="342"/>
      </w:trPr>
      <w:tc>
        <w:tcPr>
          <w:tcW w:w="5104" w:type="dxa"/>
        </w:tcPr>
        <w:p w14:paraId="3DBD442C" w14:textId="77777777"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20ED2E98" w14:textId="143519C1" w:rsidR="002C0311" w:rsidRPr="009006F6" w:rsidRDefault="00053DD5" w:rsidP="009006F6">
          <w:pPr>
            <w:spacing w:after="120" w:line="256" w:lineRule="auto"/>
            <w:ind w:left="72" w:right="71"/>
            <w:jc w:val="right"/>
            <w:rPr>
              <w:rFonts w:ascii="Palatino Linotype" w:hAnsi="Palatino Linotype" w:cs="Arial"/>
              <w:b/>
              <w:bCs/>
              <w:sz w:val="24"/>
              <w:lang w:val="es-419" w:eastAsia="es-MX"/>
            </w:rPr>
          </w:pPr>
          <w:r>
            <w:rPr>
              <w:rFonts w:ascii="Palatino Linotype" w:hAnsi="Palatino Linotype" w:cs="Arial"/>
              <w:b/>
              <w:bCs/>
              <w:sz w:val="24"/>
              <w:lang w:val="es-419" w:eastAsia="es-MX"/>
            </w:rPr>
            <w:t>XXXXXXXXXXXXXXXX</w:t>
          </w:r>
          <w:r w:rsidR="009006F6" w:rsidRPr="009006F6">
            <w:rPr>
              <w:rFonts w:ascii="Palatino Linotype" w:hAnsi="Palatino Linotype" w:cs="Arial"/>
              <w:b/>
              <w:bCs/>
              <w:sz w:val="24"/>
              <w:lang w:val="es-419" w:eastAsia="es-MX"/>
            </w:rPr>
            <w:t xml:space="preserve"> </w:t>
          </w:r>
          <w:r w:rsidR="00AE60A8" w:rsidRPr="009006F6">
            <w:rPr>
              <w:rFonts w:ascii="Palatino Linotype" w:hAnsi="Palatino Linotype" w:cs="Arial"/>
              <w:b/>
              <w:bCs/>
              <w:noProof/>
              <w:sz w:val="24"/>
              <w:lang w:eastAsia="es-MX"/>
            </w:rPr>
            <w:drawing>
              <wp:anchor distT="0" distB="0" distL="114300" distR="114300" simplePos="0" relativeHeight="251659264" behindDoc="1" locked="0" layoutInCell="0" allowOverlap="1" wp14:anchorId="586B82F4" wp14:editId="2F8BB83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2C0311" w14:paraId="5F8A8322" w14:textId="77777777" w:rsidTr="009006F6">
      <w:trPr>
        <w:trHeight w:val="342"/>
      </w:trPr>
      <w:tc>
        <w:tcPr>
          <w:tcW w:w="5104" w:type="dxa"/>
        </w:tcPr>
        <w:p w14:paraId="028F6BC1" w14:textId="77777777"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53257872" w14:textId="77777777" w:rsidR="002C0311" w:rsidRPr="00641471" w:rsidRDefault="00AE60A8" w:rsidP="009006F6">
          <w:pPr>
            <w:spacing w:after="120" w:line="256" w:lineRule="auto"/>
            <w:ind w:left="-486" w:right="71"/>
            <w:jc w:val="right"/>
            <w:rPr>
              <w:rFonts w:ascii="Palatino Linotype" w:hAnsi="Palatino Linotype" w:cs="Arial"/>
              <w:b/>
              <w:szCs w:val="20"/>
            </w:rPr>
          </w:pPr>
          <w:r>
            <w:rPr>
              <w:rFonts w:ascii="Palatino Linotype" w:hAnsi="Palatino Linotype" w:cs="Arial"/>
              <w:b/>
              <w:szCs w:val="20"/>
            </w:rPr>
            <w:t>José Martínez Vilchis</w:t>
          </w:r>
        </w:p>
      </w:tc>
    </w:tr>
  </w:tbl>
  <w:p w14:paraId="5FD59866" w14:textId="77777777" w:rsidR="002C0311" w:rsidRPr="00C222C0" w:rsidRDefault="00A305D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6369FB"/>
    <w:multiLevelType w:val="hybridMultilevel"/>
    <w:tmpl w:val="CFF6CCD2"/>
    <w:lvl w:ilvl="0" w:tplc="080A0017">
      <w:start w:val="1"/>
      <w:numFmt w:val="lowerLetter"/>
      <w:lvlText w:val="%1)"/>
      <w:lvlJc w:val="left"/>
      <w:pPr>
        <w:tabs>
          <w:tab w:val="num" w:pos="360"/>
        </w:tabs>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178DD"/>
    <w:rsid w:val="0002776A"/>
    <w:rsid w:val="00035804"/>
    <w:rsid w:val="00036F8B"/>
    <w:rsid w:val="0004525A"/>
    <w:rsid w:val="00053D57"/>
    <w:rsid w:val="00053DD5"/>
    <w:rsid w:val="000613EF"/>
    <w:rsid w:val="00073F65"/>
    <w:rsid w:val="00082376"/>
    <w:rsid w:val="000C6066"/>
    <w:rsid w:val="000D378E"/>
    <w:rsid w:val="000E4E90"/>
    <w:rsid w:val="000E6C79"/>
    <w:rsid w:val="001027A6"/>
    <w:rsid w:val="00123996"/>
    <w:rsid w:val="0013538A"/>
    <w:rsid w:val="00156EAB"/>
    <w:rsid w:val="001D2D3F"/>
    <w:rsid w:val="001D3CC1"/>
    <w:rsid w:val="001D56E7"/>
    <w:rsid w:val="001F0833"/>
    <w:rsid w:val="001F55AB"/>
    <w:rsid w:val="001F6535"/>
    <w:rsid w:val="00213849"/>
    <w:rsid w:val="00216212"/>
    <w:rsid w:val="00237823"/>
    <w:rsid w:val="002A038A"/>
    <w:rsid w:val="002E7239"/>
    <w:rsid w:val="00326991"/>
    <w:rsid w:val="003437D0"/>
    <w:rsid w:val="00355451"/>
    <w:rsid w:val="0037384E"/>
    <w:rsid w:val="003923E9"/>
    <w:rsid w:val="003B5528"/>
    <w:rsid w:val="003C3FCA"/>
    <w:rsid w:val="003C4D93"/>
    <w:rsid w:val="00433E1F"/>
    <w:rsid w:val="0045090B"/>
    <w:rsid w:val="00493C19"/>
    <w:rsid w:val="00520426"/>
    <w:rsid w:val="00523964"/>
    <w:rsid w:val="0053525F"/>
    <w:rsid w:val="0056127E"/>
    <w:rsid w:val="00574C7A"/>
    <w:rsid w:val="006205C6"/>
    <w:rsid w:val="00673109"/>
    <w:rsid w:val="00696B11"/>
    <w:rsid w:val="006C0718"/>
    <w:rsid w:val="00721642"/>
    <w:rsid w:val="00730D99"/>
    <w:rsid w:val="0073193B"/>
    <w:rsid w:val="007D446D"/>
    <w:rsid w:val="007F1B5C"/>
    <w:rsid w:val="00833694"/>
    <w:rsid w:val="008662E4"/>
    <w:rsid w:val="0086697F"/>
    <w:rsid w:val="00885968"/>
    <w:rsid w:val="009006F6"/>
    <w:rsid w:val="0091560B"/>
    <w:rsid w:val="00930C64"/>
    <w:rsid w:val="00982578"/>
    <w:rsid w:val="009B14E0"/>
    <w:rsid w:val="009F756D"/>
    <w:rsid w:val="00A036F8"/>
    <w:rsid w:val="00A23C24"/>
    <w:rsid w:val="00A305D6"/>
    <w:rsid w:val="00A36301"/>
    <w:rsid w:val="00A4482F"/>
    <w:rsid w:val="00A7124A"/>
    <w:rsid w:val="00A747B8"/>
    <w:rsid w:val="00A833D2"/>
    <w:rsid w:val="00AE60A8"/>
    <w:rsid w:val="00AF56B5"/>
    <w:rsid w:val="00B528AD"/>
    <w:rsid w:val="00B86579"/>
    <w:rsid w:val="00BA228E"/>
    <w:rsid w:val="00BC3531"/>
    <w:rsid w:val="00BF2A50"/>
    <w:rsid w:val="00C00592"/>
    <w:rsid w:val="00C10B0D"/>
    <w:rsid w:val="00C4537F"/>
    <w:rsid w:val="00C510C5"/>
    <w:rsid w:val="00C70309"/>
    <w:rsid w:val="00C759F1"/>
    <w:rsid w:val="00C77A17"/>
    <w:rsid w:val="00CF121F"/>
    <w:rsid w:val="00D03D42"/>
    <w:rsid w:val="00D54B00"/>
    <w:rsid w:val="00D84678"/>
    <w:rsid w:val="00D93074"/>
    <w:rsid w:val="00E172E3"/>
    <w:rsid w:val="00E3638D"/>
    <w:rsid w:val="00EC2685"/>
    <w:rsid w:val="00F17A5D"/>
    <w:rsid w:val="00FC3C48"/>
    <w:rsid w:val="00FD7F86"/>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5C14745"/>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C3531"/>
    <w:rPr>
      <w:vertAlign w:val="superscript"/>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Car Car Car,fn"/>
    <w:basedOn w:val="Normal"/>
    <w:link w:val="TextonotapieCar"/>
    <w:uiPriority w:val="99"/>
    <w:unhideWhenUsed/>
    <w:qFormat/>
    <w:rsid w:val="00BC35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notentext Car,Ca Car,fn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 w:type="paragraph" w:styleId="Textoindependiente">
    <w:name w:val="Body Text"/>
    <w:basedOn w:val="Normal"/>
    <w:link w:val="TextoindependienteCar1"/>
    <w:uiPriority w:val="1"/>
    <w:qFormat/>
    <w:rsid w:val="00035804"/>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035804"/>
  </w:style>
  <w:style w:type="character" w:customStyle="1" w:styleId="TextoindependienteCar1">
    <w:name w:val="Texto independiente Car1"/>
    <w:basedOn w:val="Fuentedeprrafopredeter"/>
    <w:link w:val="Textoindependiente"/>
    <w:uiPriority w:val="1"/>
    <w:locked/>
    <w:rsid w:val="00035804"/>
    <w:rPr>
      <w:rFonts w:ascii="Arial" w:eastAsia="Arial" w:hAnsi="Arial" w:cs="Times New Roman"/>
      <w:sz w:val="19"/>
      <w:szCs w:val="19"/>
      <w:lang w:val="en-US"/>
    </w:rPr>
  </w:style>
  <w:style w:type="paragraph" w:customStyle="1" w:styleId="bSCCLCita">
    <w:name w:val="b. SCCL Cita"/>
    <w:basedOn w:val="Normal"/>
    <w:link w:val="bSCCLCitaCar"/>
    <w:qFormat/>
    <w:rsid w:val="00A833D2"/>
    <w:pPr>
      <w:spacing w:before="140" w:after="140" w:line="240" w:lineRule="auto"/>
      <w:ind w:left="720" w:right="720"/>
      <w:jc w:val="both"/>
    </w:pPr>
    <w:rPr>
      <w:rFonts w:ascii="Book Antiqua" w:hAnsi="Book Antiqua"/>
      <w:sz w:val="24"/>
      <w:lang w:val="es-ES"/>
    </w:rPr>
  </w:style>
  <w:style w:type="character" w:customStyle="1" w:styleId="bSCCLCitaCar">
    <w:name w:val="b. SCCL Cita Car"/>
    <w:basedOn w:val="Fuentedeprrafopredeter"/>
    <w:link w:val="bSCCLCita"/>
    <w:rsid w:val="00A833D2"/>
    <w:rPr>
      <w:rFonts w:ascii="Book Antiqua" w:hAnsi="Book Antiqua"/>
      <w:sz w:val="24"/>
      <w:lang w:val="es-ES"/>
    </w:rPr>
  </w:style>
  <w:style w:type="character" w:styleId="Textoennegrita">
    <w:name w:val="Strong"/>
    <w:uiPriority w:val="22"/>
    <w:qFormat/>
    <w:rsid w:val="00A83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8B9E-4F10-406C-A8D2-4F2ED4BB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39</Pages>
  <Words>9975</Words>
  <Characters>54867</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73</cp:revision>
  <dcterms:created xsi:type="dcterms:W3CDTF">2022-07-02T03:50:00Z</dcterms:created>
  <dcterms:modified xsi:type="dcterms:W3CDTF">2023-08-04T17:51:00Z</dcterms:modified>
</cp:coreProperties>
</file>