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C4" w:rsidRDefault="003617C4" w:rsidP="003B5CE8">
      <w:pPr>
        <w:widowControl w:val="0"/>
        <w:pBdr>
          <w:top w:val="nil"/>
          <w:left w:val="nil"/>
          <w:bottom w:val="nil"/>
          <w:right w:val="nil"/>
          <w:between w:val="nil"/>
        </w:pBdr>
        <w:spacing w:line="276" w:lineRule="auto"/>
      </w:pPr>
    </w:p>
    <w:p w:rsidR="003617C4" w:rsidRPr="003B5CE8" w:rsidRDefault="003F5539" w:rsidP="003B5CE8">
      <w:pPr>
        <w:spacing w:line="360" w:lineRule="auto"/>
        <w:jc w:val="both"/>
        <w:rPr>
          <w:rFonts w:ascii="Palatino Linotype" w:eastAsia="Palatino Linotype" w:hAnsi="Palatino Linotype" w:cs="Palatino Linotype"/>
        </w:rPr>
      </w:pPr>
      <w:bookmarkStart w:id="0" w:name="_heading=h.gjdgxs" w:colFirst="0" w:colLast="0"/>
      <w:bookmarkEnd w:id="0"/>
      <w:r w:rsidRPr="003B5CE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febrero de dos mil veintitrés. </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b/>
          <w:sz w:val="28"/>
          <w:szCs w:val="28"/>
        </w:rPr>
        <w:t>VISTO</w:t>
      </w:r>
      <w:r w:rsidRPr="003B5CE8">
        <w:rPr>
          <w:rFonts w:ascii="Palatino Linotype" w:eastAsia="Palatino Linotype" w:hAnsi="Palatino Linotype" w:cs="Palatino Linotype"/>
        </w:rPr>
        <w:t xml:space="preserve"> el expediente formado con motivo del Recurso de Revisión </w:t>
      </w:r>
      <w:r w:rsidRPr="003B5CE8">
        <w:rPr>
          <w:rFonts w:ascii="Palatino Linotype" w:eastAsia="Palatino Linotype" w:hAnsi="Palatino Linotype" w:cs="Palatino Linotype"/>
          <w:b/>
        </w:rPr>
        <w:t xml:space="preserve">13317/INFOEM/IP/RR/2022, </w:t>
      </w:r>
      <w:r w:rsidRPr="003B5CE8">
        <w:rPr>
          <w:rFonts w:ascii="Palatino Linotype" w:eastAsia="Palatino Linotype" w:hAnsi="Palatino Linotype" w:cs="Palatino Linotype"/>
        </w:rPr>
        <w:t xml:space="preserve">promovido por </w:t>
      </w:r>
      <w:bookmarkStart w:id="1" w:name="_GoBack"/>
      <w:r w:rsidR="000C3100">
        <w:rPr>
          <w:rFonts w:ascii="Palatino Linotype" w:eastAsia="Palatino Linotype" w:hAnsi="Palatino Linotype" w:cs="Palatino Linotype"/>
          <w:b/>
        </w:rPr>
        <w:t xml:space="preserve">XXXX XXXXXX </w:t>
      </w:r>
      <w:proofErr w:type="spellStart"/>
      <w:r w:rsidR="000C3100">
        <w:rPr>
          <w:rFonts w:ascii="Palatino Linotype" w:eastAsia="Palatino Linotype" w:hAnsi="Palatino Linotype" w:cs="Palatino Linotype"/>
          <w:b/>
        </w:rPr>
        <w:t>XXXXXX</w:t>
      </w:r>
      <w:bookmarkEnd w:id="1"/>
      <w:proofErr w:type="spellEnd"/>
      <w:r w:rsidRPr="003B5CE8">
        <w:rPr>
          <w:rFonts w:ascii="Palatino Linotype" w:eastAsia="Palatino Linotype" w:hAnsi="Palatino Linotype" w:cs="Palatino Linotype"/>
        </w:rPr>
        <w:t xml:space="preserve">, a quien en lo sucesivo se le denominara como </w:t>
      </w:r>
      <w:r w:rsidRPr="003B5CE8">
        <w:rPr>
          <w:rFonts w:ascii="Palatino Linotype" w:eastAsia="Palatino Linotype" w:hAnsi="Palatino Linotype" w:cs="Palatino Linotype"/>
          <w:b/>
        </w:rPr>
        <w:t>EL RECURRENTE,</w:t>
      </w:r>
      <w:r w:rsidRPr="003B5CE8">
        <w:rPr>
          <w:rFonts w:ascii="Palatino Linotype" w:eastAsia="Palatino Linotype" w:hAnsi="Palatino Linotype" w:cs="Palatino Linotype"/>
        </w:rPr>
        <w:t xml:space="preserve"> en contra de la respuesta del </w:t>
      </w:r>
      <w:r w:rsidRPr="003B5CE8">
        <w:rPr>
          <w:rFonts w:ascii="Palatino Linotype" w:eastAsia="Palatino Linotype" w:hAnsi="Palatino Linotype" w:cs="Palatino Linotype"/>
          <w:b/>
        </w:rPr>
        <w:t xml:space="preserve">Ayuntamiento de Almoloya del Río </w:t>
      </w:r>
      <w:r w:rsidRPr="003B5CE8">
        <w:rPr>
          <w:rFonts w:ascii="Palatino Linotype" w:eastAsia="Palatino Linotype" w:hAnsi="Palatino Linotype" w:cs="Palatino Linotype"/>
        </w:rPr>
        <w:t xml:space="preserve">en lo subsecuente se le denominará </w:t>
      </w:r>
      <w:r w:rsidRPr="003B5CE8">
        <w:rPr>
          <w:rFonts w:ascii="Palatino Linotype" w:eastAsia="Palatino Linotype" w:hAnsi="Palatino Linotype" w:cs="Palatino Linotype"/>
          <w:b/>
        </w:rPr>
        <w:t xml:space="preserve">EL SUJETO OBLIGADO, </w:t>
      </w:r>
      <w:r w:rsidRPr="003B5CE8">
        <w:rPr>
          <w:rFonts w:ascii="Palatino Linotype" w:eastAsia="Palatino Linotype" w:hAnsi="Palatino Linotype" w:cs="Palatino Linotype"/>
        </w:rPr>
        <w:t>se procede a dictar la presente resolución con base en lo siguiente:</w:t>
      </w:r>
    </w:p>
    <w:p w:rsidR="003617C4" w:rsidRPr="003B5CE8" w:rsidRDefault="003617C4" w:rsidP="003B5CE8">
      <w:pPr>
        <w:spacing w:line="360" w:lineRule="auto"/>
        <w:jc w:val="both"/>
        <w:rPr>
          <w:rFonts w:ascii="Palatino Linotype" w:eastAsia="Palatino Linotype" w:hAnsi="Palatino Linotype" w:cs="Palatino Linotype"/>
          <w:b/>
        </w:rPr>
      </w:pPr>
    </w:p>
    <w:p w:rsidR="003617C4" w:rsidRPr="003B5CE8" w:rsidRDefault="003F5539" w:rsidP="003B5CE8">
      <w:pPr>
        <w:jc w:val="center"/>
        <w:rPr>
          <w:rFonts w:ascii="Palatino Linotype" w:eastAsia="Palatino Linotype" w:hAnsi="Palatino Linotype" w:cs="Palatino Linotype"/>
          <w:b/>
          <w:sz w:val="28"/>
          <w:szCs w:val="28"/>
        </w:rPr>
      </w:pPr>
      <w:r w:rsidRPr="003B5CE8">
        <w:rPr>
          <w:rFonts w:ascii="Palatino Linotype" w:eastAsia="Palatino Linotype" w:hAnsi="Palatino Linotype" w:cs="Palatino Linotype"/>
          <w:b/>
          <w:sz w:val="28"/>
          <w:szCs w:val="28"/>
        </w:rPr>
        <w:t>ANTECEDENTES</w:t>
      </w:r>
    </w:p>
    <w:p w:rsidR="003617C4" w:rsidRPr="003B5CE8" w:rsidRDefault="003617C4" w:rsidP="003B5CE8">
      <w:pPr>
        <w:rPr>
          <w:rFonts w:ascii="Palatino Linotype" w:eastAsia="Palatino Linotype" w:hAnsi="Palatino Linotype" w:cs="Palatino Linotype"/>
          <w:b/>
        </w:rPr>
      </w:pPr>
    </w:p>
    <w:p w:rsidR="003617C4" w:rsidRPr="003B5CE8" w:rsidRDefault="003F5539" w:rsidP="003B5CE8">
      <w:pPr>
        <w:spacing w:line="360" w:lineRule="auto"/>
        <w:jc w:val="both"/>
        <w:rPr>
          <w:rFonts w:ascii="Palatino Linotype" w:eastAsia="Palatino Linotype" w:hAnsi="Palatino Linotype" w:cs="Palatino Linotype"/>
          <w:b/>
          <w:sz w:val="28"/>
          <w:szCs w:val="28"/>
        </w:rPr>
      </w:pPr>
      <w:r w:rsidRPr="003B5CE8">
        <w:rPr>
          <w:rFonts w:ascii="Palatino Linotype" w:eastAsia="Palatino Linotype" w:hAnsi="Palatino Linotype" w:cs="Palatino Linotype"/>
          <w:b/>
          <w:sz w:val="28"/>
          <w:szCs w:val="28"/>
        </w:rPr>
        <w:t>I.</w:t>
      </w:r>
      <w:r w:rsidRPr="003B5CE8">
        <w:rPr>
          <w:rFonts w:ascii="Palatino Linotype" w:eastAsia="Palatino Linotype" w:hAnsi="Palatino Linotype" w:cs="Palatino Linotype"/>
          <w:b/>
        </w:rPr>
        <w:t xml:space="preserve"> </w:t>
      </w:r>
      <w:r w:rsidRPr="003B5CE8">
        <w:rPr>
          <w:rFonts w:ascii="Palatino Linotype" w:eastAsia="Palatino Linotype" w:hAnsi="Palatino Linotype" w:cs="Palatino Linotype"/>
          <w:b/>
          <w:sz w:val="28"/>
          <w:szCs w:val="28"/>
        </w:rPr>
        <w:t>De la Solicitud de Información</w:t>
      </w:r>
    </w:p>
    <w:p w:rsidR="003617C4" w:rsidRPr="003B5CE8" w:rsidRDefault="003F5539" w:rsidP="003B5CE8">
      <w:pPr>
        <w:spacing w:line="360" w:lineRule="auto"/>
        <w:jc w:val="both"/>
        <w:rPr>
          <w:rFonts w:ascii="Palatino Linotype" w:eastAsia="Palatino Linotype" w:hAnsi="Palatino Linotype" w:cs="Palatino Linotype"/>
        </w:rPr>
      </w:pPr>
      <w:bookmarkStart w:id="2" w:name="_heading=h.ifuj3wtxm21l" w:colFirst="0" w:colLast="0"/>
      <w:bookmarkEnd w:id="2"/>
      <w:r w:rsidRPr="003B5CE8">
        <w:rPr>
          <w:rFonts w:ascii="Palatino Linotype" w:eastAsia="Palatino Linotype" w:hAnsi="Palatino Linotype" w:cs="Palatino Linotype"/>
        </w:rPr>
        <w:t xml:space="preserve">El </w:t>
      </w:r>
      <w:r w:rsidRPr="003B5CE8">
        <w:rPr>
          <w:rFonts w:ascii="Palatino Linotype" w:eastAsia="Palatino Linotype" w:hAnsi="Palatino Linotype" w:cs="Palatino Linotype"/>
          <w:b/>
        </w:rPr>
        <w:t>uno de agosto de dos mil veintidós</w:t>
      </w:r>
      <w:r w:rsidRPr="003B5CE8">
        <w:rPr>
          <w:rFonts w:ascii="Palatino Linotype" w:eastAsia="Palatino Linotype" w:hAnsi="Palatino Linotype" w:cs="Palatino Linotype"/>
        </w:rPr>
        <w:t xml:space="preserve">, </w:t>
      </w:r>
      <w:r w:rsidRPr="003B5CE8">
        <w:rPr>
          <w:rFonts w:ascii="Palatino Linotype" w:eastAsia="Palatino Linotype" w:hAnsi="Palatino Linotype" w:cs="Palatino Linotype"/>
          <w:b/>
        </w:rPr>
        <w:t>EL RECURRENTE</w:t>
      </w:r>
      <w:r w:rsidRPr="003B5CE8">
        <w:rPr>
          <w:rFonts w:ascii="Palatino Linotype" w:eastAsia="Palatino Linotype" w:hAnsi="Palatino Linotype" w:cs="Palatino Linotype"/>
        </w:rPr>
        <w:t xml:space="preserve"> presentó a través del Sistema de Acceso a la Información Mexiquense, en lo subsecuente </w:t>
      </w:r>
      <w:r w:rsidRPr="003B5CE8">
        <w:rPr>
          <w:rFonts w:ascii="Palatino Linotype" w:eastAsia="Palatino Linotype" w:hAnsi="Palatino Linotype" w:cs="Palatino Linotype"/>
          <w:b/>
        </w:rPr>
        <w:t>EL SAIMEX</w:t>
      </w:r>
      <w:r w:rsidRPr="003B5CE8">
        <w:rPr>
          <w:rFonts w:ascii="Palatino Linotype" w:eastAsia="Palatino Linotype" w:hAnsi="Palatino Linotype" w:cs="Palatino Linotype"/>
        </w:rPr>
        <w:t xml:space="preserve"> ante </w:t>
      </w:r>
      <w:r w:rsidRPr="003B5CE8">
        <w:rPr>
          <w:rFonts w:ascii="Palatino Linotype" w:eastAsia="Palatino Linotype" w:hAnsi="Palatino Linotype" w:cs="Palatino Linotype"/>
          <w:b/>
        </w:rPr>
        <w:t>EL SUJETO OBLIGADO</w:t>
      </w:r>
      <w:r w:rsidRPr="003B5CE8">
        <w:rPr>
          <w:rFonts w:ascii="Palatino Linotype" w:eastAsia="Palatino Linotype" w:hAnsi="Palatino Linotype" w:cs="Palatino Linotype"/>
        </w:rPr>
        <w:t xml:space="preserve">, la solicitud de acceso a la información pública, a la que se le asignó el número de expediente </w:t>
      </w:r>
      <w:r w:rsidRPr="003B5CE8">
        <w:rPr>
          <w:rFonts w:ascii="Palatino Linotype" w:eastAsia="Palatino Linotype" w:hAnsi="Palatino Linotype" w:cs="Palatino Linotype"/>
          <w:b/>
        </w:rPr>
        <w:t xml:space="preserve">00124/ALMORI/IP/2022, </w:t>
      </w:r>
      <w:r w:rsidRPr="003B5CE8">
        <w:rPr>
          <w:rFonts w:ascii="Palatino Linotype" w:eastAsia="Palatino Linotype" w:hAnsi="Palatino Linotype" w:cs="Palatino Linotype"/>
        </w:rPr>
        <w:t>requirió, lo siguiente:</w:t>
      </w:r>
    </w:p>
    <w:p w:rsidR="003617C4" w:rsidRPr="003B5CE8" w:rsidRDefault="003F5539" w:rsidP="003B5CE8">
      <w:pPr>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w:t>
      </w:r>
    </w:p>
    <w:p w:rsidR="003617C4" w:rsidRPr="003B5CE8" w:rsidRDefault="003F5539" w:rsidP="003B5CE8">
      <w:pPr>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Solicito conocer el estado que guarda el centro de monitoreo y vigilancia del Municipio de Almoloya del rio y características técnicas de los equipos instalados (Modelo, Marca, Tipo de Antena, Capacidad de Disco Duro, Resolución y temporalidad de Grabación), así como el contrato de adquisición de dicho sistema y póliza de mantenimiento o revisión si cuenta con ello.” (</w:t>
      </w:r>
      <w:proofErr w:type="gramStart"/>
      <w:r w:rsidRPr="003B5CE8">
        <w:rPr>
          <w:rFonts w:ascii="Palatino Linotype" w:eastAsia="Palatino Linotype" w:hAnsi="Palatino Linotype" w:cs="Palatino Linotype"/>
          <w:i/>
          <w:sz w:val="22"/>
          <w:szCs w:val="22"/>
        </w:rPr>
        <w:t>sic</w:t>
      </w:r>
      <w:proofErr w:type="gramEnd"/>
      <w:r w:rsidRPr="003B5CE8">
        <w:rPr>
          <w:rFonts w:ascii="Palatino Linotype" w:eastAsia="Palatino Linotype" w:hAnsi="Palatino Linotype" w:cs="Palatino Linotype"/>
          <w:i/>
          <w:sz w:val="22"/>
          <w:szCs w:val="22"/>
        </w:rPr>
        <w:t>)</w:t>
      </w:r>
    </w:p>
    <w:p w:rsidR="003617C4" w:rsidRPr="003B5CE8" w:rsidRDefault="003617C4" w:rsidP="003B5CE8">
      <w:pPr>
        <w:tabs>
          <w:tab w:val="left" w:pos="851"/>
        </w:tabs>
        <w:ind w:right="901"/>
        <w:jc w:val="both"/>
        <w:rPr>
          <w:rFonts w:ascii="Palatino Linotype" w:eastAsia="Palatino Linotype" w:hAnsi="Palatino Linotype" w:cs="Palatino Linotype"/>
          <w:sz w:val="22"/>
          <w:szCs w:val="22"/>
        </w:rPr>
      </w:pPr>
    </w:p>
    <w:p w:rsidR="003617C4" w:rsidRPr="003B5CE8" w:rsidRDefault="003F5539" w:rsidP="003B5CE8">
      <w:pPr>
        <w:widowControl w:val="0"/>
        <w:spacing w:line="360" w:lineRule="auto"/>
        <w:jc w:val="both"/>
        <w:rPr>
          <w:rFonts w:ascii="Palatino Linotype" w:eastAsia="Palatino Linotype" w:hAnsi="Palatino Linotype" w:cs="Palatino Linotype"/>
          <w:b/>
        </w:rPr>
      </w:pPr>
      <w:r w:rsidRPr="003B5CE8">
        <w:rPr>
          <w:rFonts w:ascii="Palatino Linotype" w:eastAsia="Palatino Linotype" w:hAnsi="Palatino Linotype" w:cs="Palatino Linotype"/>
          <w:b/>
        </w:rPr>
        <w:t xml:space="preserve">MODALIDAD DE ENTREGA: </w:t>
      </w:r>
      <w:r w:rsidRPr="003B5CE8">
        <w:rPr>
          <w:rFonts w:ascii="Palatino Linotype" w:eastAsia="Palatino Linotype" w:hAnsi="Palatino Linotype" w:cs="Palatino Linotype"/>
        </w:rPr>
        <w:t xml:space="preserve">vía </w:t>
      </w:r>
      <w:r w:rsidRPr="003B5CE8">
        <w:rPr>
          <w:rFonts w:ascii="Palatino Linotype" w:eastAsia="Palatino Linotype" w:hAnsi="Palatino Linotype" w:cs="Palatino Linotype"/>
          <w:b/>
        </w:rPr>
        <w:t xml:space="preserve">SAIMEX </w:t>
      </w:r>
    </w:p>
    <w:p w:rsidR="003617C4" w:rsidRPr="003B5CE8" w:rsidRDefault="003617C4" w:rsidP="003B5CE8">
      <w:pPr>
        <w:widowControl w:val="0"/>
        <w:spacing w:line="360" w:lineRule="auto"/>
        <w:jc w:val="both"/>
        <w:rPr>
          <w:rFonts w:ascii="Palatino Linotype" w:eastAsia="Palatino Linotype" w:hAnsi="Palatino Linotype" w:cs="Palatino Linotype"/>
          <w:b/>
        </w:rPr>
      </w:pPr>
    </w:p>
    <w:p w:rsidR="003617C4" w:rsidRPr="003B5CE8" w:rsidRDefault="003F5539" w:rsidP="003B5CE8">
      <w:pPr>
        <w:widowControl w:val="0"/>
        <w:spacing w:line="360" w:lineRule="auto"/>
        <w:jc w:val="both"/>
        <w:rPr>
          <w:rFonts w:ascii="Palatino Linotype" w:eastAsia="Palatino Linotype" w:hAnsi="Palatino Linotype" w:cs="Palatino Linotype"/>
          <w:b/>
          <w:sz w:val="28"/>
          <w:szCs w:val="28"/>
        </w:rPr>
      </w:pPr>
      <w:r w:rsidRPr="003B5CE8">
        <w:rPr>
          <w:rFonts w:ascii="Palatino Linotype" w:eastAsia="Palatino Linotype" w:hAnsi="Palatino Linotype" w:cs="Palatino Linotype"/>
          <w:b/>
          <w:sz w:val="28"/>
          <w:szCs w:val="28"/>
        </w:rPr>
        <w:t>II. Turno de requerimiento del Sujeto Obligado</w:t>
      </w:r>
    </w:p>
    <w:p w:rsidR="003617C4" w:rsidRPr="003B5CE8" w:rsidRDefault="003F5539" w:rsidP="003B5CE8">
      <w:pPr>
        <w:spacing w:line="360" w:lineRule="auto"/>
        <w:jc w:val="both"/>
        <w:rPr>
          <w:rFonts w:ascii="Palatino Linotype" w:eastAsia="Palatino Linotype" w:hAnsi="Palatino Linotype" w:cs="Palatino Linotype"/>
          <w:b/>
          <w:sz w:val="28"/>
          <w:szCs w:val="28"/>
        </w:rPr>
      </w:pPr>
      <w:r w:rsidRPr="003B5CE8">
        <w:rPr>
          <w:rFonts w:ascii="Palatino Linotype" w:eastAsia="Palatino Linotype" w:hAnsi="Palatino Linotype" w:cs="Palatino Linotype"/>
        </w:rPr>
        <w:t>De las constancias que obran en los expedientes electrónicos del SAIMEX no se advierte turno de requerimiento a ningún sujeto habilitado competente, por parte del Titular de la Unidad de Transparencia, en términos de lo establecido por el artículo 162 de la Ley de Transparencia y Acceso a la Información Pública del Estado de México y Municipios.</w:t>
      </w:r>
    </w:p>
    <w:p w:rsidR="003617C4" w:rsidRPr="003B5CE8" w:rsidRDefault="003617C4" w:rsidP="003B5CE8">
      <w:pPr>
        <w:spacing w:line="360" w:lineRule="auto"/>
        <w:jc w:val="both"/>
        <w:rPr>
          <w:rFonts w:ascii="Palatino Linotype" w:eastAsia="Palatino Linotype" w:hAnsi="Palatino Linotype" w:cs="Palatino Linotype"/>
          <w:b/>
          <w:sz w:val="28"/>
          <w:szCs w:val="28"/>
        </w:rPr>
      </w:pPr>
    </w:p>
    <w:p w:rsidR="003617C4" w:rsidRPr="003B5CE8" w:rsidRDefault="003F5539" w:rsidP="003B5CE8">
      <w:pPr>
        <w:spacing w:line="360" w:lineRule="auto"/>
        <w:jc w:val="both"/>
        <w:rPr>
          <w:rFonts w:ascii="Palatino Linotype" w:eastAsia="Palatino Linotype" w:hAnsi="Palatino Linotype" w:cs="Palatino Linotype"/>
          <w:b/>
          <w:sz w:val="28"/>
          <w:szCs w:val="28"/>
        </w:rPr>
      </w:pPr>
      <w:r w:rsidRPr="003B5CE8">
        <w:rPr>
          <w:rFonts w:ascii="Palatino Linotype" w:eastAsia="Palatino Linotype" w:hAnsi="Palatino Linotype" w:cs="Palatino Linotype"/>
          <w:b/>
          <w:sz w:val="28"/>
          <w:szCs w:val="28"/>
        </w:rPr>
        <w:t>III. Respuesta del Sujeto Obligado</w:t>
      </w: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De las constancias que obran en el expediente electrónico del SAIMEX se observa que el</w:t>
      </w:r>
      <w:r w:rsidRPr="003B5CE8">
        <w:rPr>
          <w:rFonts w:ascii="Palatino Linotype" w:eastAsia="Palatino Linotype" w:hAnsi="Palatino Linotype" w:cs="Palatino Linotype"/>
          <w:b/>
        </w:rPr>
        <w:t xml:space="preserve"> once de agosto de dos mil veintidós</w:t>
      </w:r>
      <w:r w:rsidRPr="003B5CE8">
        <w:rPr>
          <w:rFonts w:ascii="Palatino Linotype" w:eastAsia="Palatino Linotype" w:hAnsi="Palatino Linotype" w:cs="Palatino Linotype"/>
        </w:rPr>
        <w:t xml:space="preserve">, </w:t>
      </w:r>
      <w:r w:rsidRPr="003B5CE8">
        <w:rPr>
          <w:rFonts w:ascii="Palatino Linotype" w:eastAsia="Palatino Linotype" w:hAnsi="Palatino Linotype" w:cs="Palatino Linotype"/>
          <w:b/>
        </w:rPr>
        <w:t>EL SUJETO OBLIGADO</w:t>
      </w:r>
      <w:r w:rsidRPr="003B5CE8">
        <w:rPr>
          <w:rFonts w:ascii="Palatino Linotype" w:eastAsia="Palatino Linotype" w:hAnsi="Palatino Linotype" w:cs="Palatino Linotype"/>
        </w:rPr>
        <w:t xml:space="preserve"> dio respuesta en los términos siguientes: </w:t>
      </w:r>
    </w:p>
    <w:p w:rsidR="003617C4" w:rsidRPr="003B5CE8" w:rsidRDefault="003F5539" w:rsidP="003B5CE8">
      <w:pPr>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“En contestación a su solicitud vía SAIMEX con Número de folio 00124/ALMORI/IP/2022 le informo que esta unidad hizo lo consiguiente enviando la solicitud al área correspondiente teniendo como Respuesta lo Siguiente Anexando los Archivos de la solicitud </w:t>
      </w:r>
      <w:proofErr w:type="spellStart"/>
      <w:r w:rsidRPr="003B5CE8">
        <w:rPr>
          <w:rFonts w:ascii="Palatino Linotype" w:eastAsia="Palatino Linotype" w:hAnsi="Palatino Linotype" w:cs="Palatino Linotype"/>
          <w:i/>
          <w:sz w:val="22"/>
          <w:szCs w:val="22"/>
        </w:rPr>
        <w:t>Anuado</w:t>
      </w:r>
      <w:proofErr w:type="spellEnd"/>
      <w:r w:rsidRPr="003B5CE8">
        <w:rPr>
          <w:rFonts w:ascii="Palatino Linotype" w:eastAsia="Palatino Linotype" w:hAnsi="Palatino Linotype" w:cs="Palatino Linotype"/>
          <w:i/>
          <w:sz w:val="22"/>
          <w:szCs w:val="22"/>
        </w:rPr>
        <w:t xml:space="preserve"> a lo Anterior y con fundamento en lo estipulado en los Artículos 140 fracciones 1 XI y 143 fracción I de la Ley de Transparencia y Acceso a la Información Pública del Estado de México y sus Municipios. </w:t>
      </w:r>
      <w:proofErr w:type="gramStart"/>
      <w:r w:rsidRPr="003B5CE8">
        <w:rPr>
          <w:rFonts w:ascii="Palatino Linotype" w:eastAsia="Palatino Linotype" w:hAnsi="Palatino Linotype" w:cs="Palatino Linotype"/>
          <w:i/>
          <w:sz w:val="22"/>
          <w:szCs w:val="22"/>
        </w:rPr>
        <w:t>y</w:t>
      </w:r>
      <w:proofErr w:type="gramEnd"/>
      <w:r w:rsidRPr="003B5CE8">
        <w:rPr>
          <w:rFonts w:ascii="Palatino Linotype" w:eastAsia="Palatino Linotype" w:hAnsi="Palatino Linotype" w:cs="Palatino Linotype"/>
          <w:i/>
          <w:sz w:val="22"/>
          <w:szCs w:val="22"/>
        </w:rPr>
        <w:t xml:space="preserve"> en Respuesta al oficio y la solicitud antes descritos, no es posible proporcionar la información requerida. Cabe mencionar que se Testearon algunos datos mencionados a continuación como lo estipula el Articulo 143 fracciones I II III Firma.” (Sic)</w:t>
      </w:r>
    </w:p>
    <w:p w:rsidR="003617C4" w:rsidRPr="003B5CE8" w:rsidRDefault="003617C4" w:rsidP="003B5CE8">
      <w:pPr>
        <w:ind w:right="899"/>
        <w:jc w:val="both"/>
        <w:rPr>
          <w:rFonts w:ascii="Palatino Linotype" w:eastAsia="Palatino Linotype" w:hAnsi="Palatino Linotype" w:cs="Palatino Linotype"/>
          <w:i/>
          <w:sz w:val="22"/>
          <w:szCs w:val="22"/>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Adjuntando a su respuesta el archivo denominado </w:t>
      </w:r>
      <w:r w:rsidRPr="003B5CE8">
        <w:rPr>
          <w:rFonts w:ascii="Palatino Linotype" w:eastAsia="Palatino Linotype" w:hAnsi="Palatino Linotype" w:cs="Palatino Linotype"/>
          <w:b/>
          <w:i/>
        </w:rPr>
        <w:t xml:space="preserve">Folio t 124.pdf </w:t>
      </w:r>
      <w:r w:rsidRPr="003B5CE8">
        <w:rPr>
          <w:rFonts w:ascii="Palatino Linotype" w:eastAsia="Palatino Linotype" w:hAnsi="Palatino Linotype" w:cs="Palatino Linotype"/>
        </w:rPr>
        <w:t xml:space="preserve">del cual se advierten dos oficios, el primero de número TAIP/0016/2022 de dos de agosto de dos mil </w:t>
      </w:r>
      <w:r w:rsidRPr="003B5CE8">
        <w:rPr>
          <w:rFonts w:ascii="Palatino Linotype" w:eastAsia="Palatino Linotype" w:hAnsi="Palatino Linotype" w:cs="Palatino Linotype"/>
        </w:rPr>
        <w:lastRenderedPageBreak/>
        <w:t>veintidós firmado por el Encargado de despacho de la Unidad de Transparencia y Acceso a la Información Pública Municipal, mediante se aprecia el requerimiento al Director de Seguridad Pública a fin de que dé respuesta a la solicitud de información.</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El segundo oficio número PM/DSPM/OG/268/08/2022 de fecha cinco de agosto de dos mil veintidós, contiene la respuesta del Director de Seguridad Pública, Protección Civil y Bomberos de Almoloya del Río, quien refiere que no es posible proporcionar la información requerida al tratarse de información reservada en términos de los artículos 140 fracciones I y XI y 143 fracción I de la Ley de Transparencia y Acceso a la Información Pública del Estado de México y Municipios.</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b/>
        </w:rPr>
      </w:pPr>
      <w:r w:rsidRPr="003B5CE8">
        <w:rPr>
          <w:rFonts w:ascii="Palatino Linotype" w:eastAsia="Palatino Linotype" w:hAnsi="Palatino Linotype" w:cs="Palatino Linotype"/>
          <w:b/>
          <w:sz w:val="28"/>
          <w:szCs w:val="28"/>
        </w:rPr>
        <w:t>IV. Del Recurso de Revisión</w:t>
      </w:r>
      <w:r w:rsidRPr="003B5CE8">
        <w:rPr>
          <w:rFonts w:ascii="Palatino Linotype" w:eastAsia="Palatino Linotype" w:hAnsi="Palatino Linotype" w:cs="Palatino Linotype"/>
          <w:b/>
        </w:rPr>
        <w:t>.</w:t>
      </w:r>
    </w:p>
    <w:p w:rsidR="003617C4" w:rsidRPr="003B5CE8" w:rsidRDefault="003F5539" w:rsidP="003B5CE8">
      <w:pPr>
        <w:widowControl w:val="0"/>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Inconforme con la respuesta del</w:t>
      </w:r>
      <w:r w:rsidRPr="003B5CE8">
        <w:rPr>
          <w:rFonts w:ascii="Palatino Linotype" w:eastAsia="Palatino Linotype" w:hAnsi="Palatino Linotype" w:cs="Palatino Linotype"/>
          <w:b/>
        </w:rPr>
        <w:t xml:space="preserve"> SUJETO OBLIGADO</w:t>
      </w:r>
      <w:r w:rsidRPr="003B5CE8">
        <w:rPr>
          <w:rFonts w:ascii="Palatino Linotype" w:eastAsia="Palatino Linotype" w:hAnsi="Palatino Linotype" w:cs="Palatino Linotype"/>
        </w:rPr>
        <w:t xml:space="preserve">, el quince de agosto de dos mil veintidós, </w:t>
      </w:r>
      <w:r w:rsidRPr="003B5CE8">
        <w:rPr>
          <w:rFonts w:ascii="Palatino Linotype" w:eastAsia="Palatino Linotype" w:hAnsi="Palatino Linotype" w:cs="Palatino Linotype"/>
          <w:b/>
        </w:rPr>
        <w:t>EL RECURRENTE</w:t>
      </w:r>
      <w:r w:rsidRPr="003B5CE8">
        <w:rPr>
          <w:rFonts w:ascii="Palatino Linotype" w:eastAsia="Palatino Linotype" w:hAnsi="Palatino Linotype" w:cs="Palatino Linotype"/>
        </w:rPr>
        <w:t xml:space="preserve"> interpuso el Recurso de Revisión, mismo que al corresponder a un día inhábil por periodo vacacional se tuvo por presentado hasta el día hábil siguiente siendo este el primero de agosto de la anualidad, registrado en </w:t>
      </w:r>
      <w:r w:rsidRPr="003B5CE8">
        <w:rPr>
          <w:rFonts w:ascii="Palatino Linotype" w:eastAsia="Palatino Linotype" w:hAnsi="Palatino Linotype" w:cs="Palatino Linotype"/>
          <w:b/>
        </w:rPr>
        <w:t>EL SAIMEX</w:t>
      </w:r>
      <w:r w:rsidRPr="003B5CE8">
        <w:rPr>
          <w:rFonts w:ascii="Palatino Linotype" w:eastAsia="Palatino Linotype" w:hAnsi="Palatino Linotype" w:cs="Palatino Linotype"/>
        </w:rPr>
        <w:t xml:space="preserve"> y se le asignó el número de expediente </w:t>
      </w:r>
      <w:r w:rsidRPr="003B5CE8">
        <w:rPr>
          <w:rFonts w:ascii="Palatino Linotype" w:eastAsia="Palatino Linotype" w:hAnsi="Palatino Linotype" w:cs="Palatino Linotype"/>
          <w:b/>
        </w:rPr>
        <w:t xml:space="preserve">13317/INFOEM/IP/RR/2022, </w:t>
      </w:r>
      <w:r w:rsidRPr="003B5CE8">
        <w:rPr>
          <w:rFonts w:ascii="Palatino Linotype" w:eastAsia="Palatino Linotype" w:hAnsi="Palatino Linotype" w:cs="Palatino Linotype"/>
        </w:rPr>
        <w:t>donde los motivos de agravio del</w:t>
      </w:r>
      <w:r w:rsidRPr="003B5CE8">
        <w:rPr>
          <w:rFonts w:ascii="Palatino Linotype" w:eastAsia="Palatino Linotype" w:hAnsi="Palatino Linotype" w:cs="Palatino Linotype"/>
          <w:b/>
        </w:rPr>
        <w:t xml:space="preserve"> RECURRENTE </w:t>
      </w:r>
      <w:r w:rsidRPr="003B5CE8">
        <w:rPr>
          <w:rFonts w:ascii="Palatino Linotype" w:eastAsia="Palatino Linotype" w:hAnsi="Palatino Linotype" w:cs="Palatino Linotype"/>
        </w:rPr>
        <w:t>fueron los siguientes:</w:t>
      </w:r>
    </w:p>
    <w:p w:rsidR="003617C4" w:rsidRPr="003B5CE8" w:rsidRDefault="003617C4" w:rsidP="003B5CE8">
      <w:pPr>
        <w:widowControl w:val="0"/>
        <w:spacing w:line="360" w:lineRule="auto"/>
        <w:jc w:val="both"/>
        <w:rPr>
          <w:rFonts w:ascii="Palatino Linotype" w:eastAsia="Palatino Linotype" w:hAnsi="Palatino Linotype" w:cs="Palatino Linotype"/>
        </w:rPr>
      </w:pPr>
    </w:p>
    <w:p w:rsidR="003617C4" w:rsidRPr="003B5CE8" w:rsidRDefault="003617C4" w:rsidP="003B5CE8">
      <w:pPr>
        <w:widowControl w:val="0"/>
        <w:spacing w:line="360" w:lineRule="auto"/>
        <w:jc w:val="both"/>
        <w:rPr>
          <w:rFonts w:ascii="Palatino Linotype" w:eastAsia="Palatino Linotype" w:hAnsi="Palatino Linotype" w:cs="Palatino Linotype"/>
        </w:rPr>
      </w:pPr>
    </w:p>
    <w:p w:rsidR="003617C4" w:rsidRPr="003B5CE8" w:rsidRDefault="003F5539" w:rsidP="003B5CE8">
      <w:pPr>
        <w:spacing w:line="360" w:lineRule="auto"/>
        <w:ind w:left="-57" w:right="-57"/>
        <w:jc w:val="both"/>
        <w:rPr>
          <w:rFonts w:ascii="Palatino Linotype" w:eastAsia="Palatino Linotype" w:hAnsi="Palatino Linotype" w:cs="Palatino Linotype"/>
          <w:b/>
          <w:u w:val="single"/>
        </w:rPr>
      </w:pPr>
      <w:r w:rsidRPr="003B5CE8">
        <w:rPr>
          <w:rFonts w:ascii="Palatino Linotype" w:eastAsia="Palatino Linotype" w:hAnsi="Palatino Linotype" w:cs="Palatino Linotype"/>
          <w:b/>
          <w:u w:val="single"/>
        </w:rPr>
        <w:t>Acto Impugnado:</w:t>
      </w:r>
      <w:r w:rsidRPr="003B5CE8">
        <w:rPr>
          <w:b/>
          <w:u w:val="single"/>
        </w:rPr>
        <w:t xml:space="preserve"> </w:t>
      </w:r>
    </w:p>
    <w:p w:rsidR="003617C4" w:rsidRPr="003B5CE8" w:rsidRDefault="003F5539" w:rsidP="003B5CE8">
      <w:pPr>
        <w:tabs>
          <w:tab w:val="left" w:pos="709"/>
        </w:tabs>
        <w:spacing w:before="66"/>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“Negación a la información Solicitada” (Sic)</w:t>
      </w:r>
    </w:p>
    <w:p w:rsidR="003617C4" w:rsidRPr="003B5CE8" w:rsidRDefault="003617C4" w:rsidP="003B5CE8">
      <w:pPr>
        <w:ind w:right="899"/>
        <w:jc w:val="both"/>
        <w:rPr>
          <w:rFonts w:ascii="Palatino Linotype" w:eastAsia="Palatino Linotype" w:hAnsi="Palatino Linotype" w:cs="Palatino Linotype"/>
        </w:rPr>
      </w:pPr>
    </w:p>
    <w:p w:rsidR="003617C4" w:rsidRPr="003B5CE8" w:rsidRDefault="003F5539" w:rsidP="003B5CE8">
      <w:pPr>
        <w:spacing w:line="360" w:lineRule="auto"/>
        <w:ind w:right="49"/>
        <w:jc w:val="both"/>
        <w:rPr>
          <w:rFonts w:ascii="Palatino Linotype" w:eastAsia="Palatino Linotype" w:hAnsi="Palatino Linotype" w:cs="Palatino Linotype"/>
          <w:b/>
          <w:u w:val="single"/>
        </w:rPr>
      </w:pPr>
      <w:r w:rsidRPr="003B5CE8">
        <w:rPr>
          <w:rFonts w:ascii="Palatino Linotype" w:eastAsia="Palatino Linotype" w:hAnsi="Palatino Linotype" w:cs="Palatino Linotype"/>
          <w:b/>
          <w:u w:val="single"/>
        </w:rPr>
        <w:t>Razones o motivos de inconformidad:</w:t>
      </w:r>
    </w:p>
    <w:p w:rsidR="003617C4" w:rsidRPr="003B5CE8" w:rsidRDefault="003F5539" w:rsidP="003B5CE8">
      <w:pPr>
        <w:tabs>
          <w:tab w:val="left" w:pos="709"/>
        </w:tabs>
        <w:spacing w:before="66"/>
        <w:ind w:left="850" w:right="899"/>
        <w:jc w:val="both"/>
        <w:rPr>
          <w:rFonts w:ascii="Palatino Linotype" w:eastAsia="Palatino Linotype" w:hAnsi="Palatino Linotype" w:cs="Palatino Linotype"/>
        </w:rPr>
      </w:pPr>
      <w:r w:rsidRPr="003B5CE8">
        <w:rPr>
          <w:rFonts w:ascii="Palatino Linotype" w:eastAsia="Palatino Linotype" w:hAnsi="Palatino Linotype" w:cs="Palatino Linotype"/>
          <w:i/>
          <w:sz w:val="22"/>
          <w:szCs w:val="22"/>
        </w:rPr>
        <w:t>“No se motiva o fundamenta la negativa de proporcionar la información solicitada.” (Sic)</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b/>
          <w:sz w:val="28"/>
          <w:szCs w:val="28"/>
        </w:rPr>
      </w:pPr>
      <w:r w:rsidRPr="003B5CE8">
        <w:rPr>
          <w:rFonts w:ascii="Palatino Linotype" w:eastAsia="Palatino Linotype" w:hAnsi="Palatino Linotype" w:cs="Palatino Linotype"/>
          <w:b/>
          <w:sz w:val="28"/>
          <w:szCs w:val="28"/>
        </w:rPr>
        <w:t xml:space="preserve">V. Del turno del Recurso de Revisión. </w:t>
      </w: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El </w:t>
      </w:r>
      <w:r w:rsidRPr="003B5CE8">
        <w:rPr>
          <w:rFonts w:ascii="Palatino Linotype" w:eastAsia="Palatino Linotype" w:hAnsi="Palatino Linotype" w:cs="Palatino Linotype"/>
          <w:b/>
        </w:rPr>
        <w:t>quince de agosto de dos mil veintidós</w:t>
      </w:r>
      <w:r w:rsidRPr="003B5CE8">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3B5CE8">
        <w:rPr>
          <w:rFonts w:ascii="Palatino Linotype" w:eastAsia="Palatino Linotype" w:hAnsi="Palatino Linotype" w:cs="Palatino Linotype"/>
          <w:b/>
        </w:rPr>
        <w:t>Comisionada Sharon Cristina Morales Martínez</w:t>
      </w:r>
      <w:r w:rsidRPr="003B5CE8">
        <w:rPr>
          <w:rFonts w:ascii="Palatino Linotype" w:eastAsia="Palatino Linotype" w:hAnsi="Palatino Linotype" w:cs="Palatino Linotype"/>
        </w:rPr>
        <w:t xml:space="preserve">; a efecto de decretar su admisión o </w:t>
      </w:r>
      <w:proofErr w:type="spellStart"/>
      <w:r w:rsidRPr="003B5CE8">
        <w:rPr>
          <w:rFonts w:ascii="Palatino Linotype" w:eastAsia="Palatino Linotype" w:hAnsi="Palatino Linotype" w:cs="Palatino Linotype"/>
        </w:rPr>
        <w:t>desechamiento</w:t>
      </w:r>
      <w:proofErr w:type="spellEnd"/>
      <w:r w:rsidRPr="003B5CE8">
        <w:rPr>
          <w:rFonts w:ascii="Palatino Linotype" w:eastAsia="Palatino Linotype" w:hAnsi="Palatino Linotype" w:cs="Palatino Linotype"/>
        </w:rPr>
        <w:t>.</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tabs>
          <w:tab w:val="center" w:pos="4252"/>
          <w:tab w:val="right" w:pos="8504"/>
        </w:tabs>
        <w:spacing w:line="360" w:lineRule="auto"/>
        <w:jc w:val="both"/>
        <w:rPr>
          <w:rFonts w:ascii="Palatino Linotype" w:eastAsia="Palatino Linotype" w:hAnsi="Palatino Linotype" w:cs="Palatino Linotype"/>
          <w:b/>
        </w:rPr>
      </w:pPr>
      <w:r w:rsidRPr="003B5CE8">
        <w:rPr>
          <w:rFonts w:ascii="Palatino Linotype" w:eastAsia="Palatino Linotype" w:hAnsi="Palatino Linotype" w:cs="Palatino Linotype"/>
          <w:b/>
        </w:rPr>
        <w:t>a) Admisión del Recurso de Revisión</w:t>
      </w:r>
    </w:p>
    <w:p w:rsidR="003617C4" w:rsidRPr="003B5CE8" w:rsidRDefault="003F5539" w:rsidP="003B5CE8">
      <w:pPr>
        <w:tabs>
          <w:tab w:val="center" w:pos="4252"/>
          <w:tab w:val="right" w:pos="8504"/>
        </w:tabs>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De las constancias que obran en el expediente electrónico del</w:t>
      </w:r>
      <w:r w:rsidRPr="003B5CE8">
        <w:rPr>
          <w:rFonts w:ascii="Palatino Linotype" w:eastAsia="Palatino Linotype" w:hAnsi="Palatino Linotype" w:cs="Palatino Linotype"/>
          <w:b/>
        </w:rPr>
        <w:t xml:space="preserve"> SAIMEX</w:t>
      </w:r>
      <w:r w:rsidRPr="003B5CE8">
        <w:rPr>
          <w:rFonts w:ascii="Palatino Linotype" w:eastAsia="Palatino Linotype" w:hAnsi="Palatino Linotype" w:cs="Palatino Linotype"/>
        </w:rPr>
        <w:t xml:space="preserve">, relacionado con el asunto materia del presente estudio, se advierte que el </w:t>
      </w:r>
      <w:r w:rsidRPr="003B5CE8">
        <w:rPr>
          <w:rFonts w:ascii="Palatino Linotype" w:eastAsia="Palatino Linotype" w:hAnsi="Palatino Linotype" w:cs="Palatino Linotype"/>
          <w:b/>
        </w:rPr>
        <w:t>dieciséis de agosto de dos mil veintidós</w:t>
      </w:r>
      <w:r w:rsidRPr="003B5CE8">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3B5CE8">
        <w:rPr>
          <w:rFonts w:ascii="Palatino Linotype" w:eastAsia="Palatino Linotype" w:hAnsi="Palatino Linotype" w:cs="Palatino Linotype"/>
          <w:b/>
        </w:rPr>
        <w:t xml:space="preserve"> </w:t>
      </w:r>
      <w:r w:rsidRPr="003B5CE8">
        <w:rPr>
          <w:rFonts w:ascii="Palatino Linotype" w:eastAsia="Palatino Linotype" w:hAnsi="Palatino Linotype" w:cs="Palatino Linotype"/>
        </w:rPr>
        <w:t>al</w:t>
      </w:r>
      <w:r w:rsidRPr="003B5CE8">
        <w:rPr>
          <w:rFonts w:ascii="Palatino Linotype" w:eastAsia="Palatino Linotype" w:hAnsi="Palatino Linotype" w:cs="Palatino Linotype"/>
          <w:b/>
        </w:rPr>
        <w:t xml:space="preserve"> RECURRENTE </w:t>
      </w:r>
      <w:r w:rsidRPr="003B5CE8">
        <w:rPr>
          <w:rFonts w:ascii="Palatino Linotype" w:eastAsia="Palatino Linotype" w:hAnsi="Palatino Linotype" w:cs="Palatino Linotype"/>
        </w:rPr>
        <w:t xml:space="preserve">manifestara lo que a su derecho conviniera, a efecto de presentar pruebas y alegatos; así como, para que </w:t>
      </w:r>
      <w:r w:rsidRPr="003B5CE8">
        <w:rPr>
          <w:rFonts w:ascii="Palatino Linotype" w:eastAsia="Palatino Linotype" w:hAnsi="Palatino Linotype" w:cs="Palatino Linotype"/>
          <w:b/>
        </w:rPr>
        <w:t xml:space="preserve">EL SUJETO OBLIGADO </w:t>
      </w:r>
      <w:r w:rsidRPr="003B5CE8">
        <w:rPr>
          <w:rFonts w:ascii="Palatino Linotype" w:eastAsia="Palatino Linotype" w:hAnsi="Palatino Linotype" w:cs="Palatino Linotype"/>
        </w:rPr>
        <w:t>rindiera el correspondiente</w:t>
      </w:r>
      <w:r w:rsidRPr="003B5CE8">
        <w:rPr>
          <w:rFonts w:ascii="Palatino Linotype" w:eastAsia="Palatino Linotype" w:hAnsi="Palatino Linotype" w:cs="Palatino Linotype"/>
          <w:b/>
        </w:rPr>
        <w:t xml:space="preserve"> </w:t>
      </w:r>
      <w:r w:rsidRPr="003B5CE8">
        <w:rPr>
          <w:rFonts w:ascii="Palatino Linotype" w:eastAsia="Palatino Linotype" w:hAnsi="Palatino Linotype" w:cs="Palatino Linotype"/>
        </w:rPr>
        <w:t xml:space="preserve">Informe Justificado; lo anterior, conforme a lo dispuesto por el artículo </w:t>
      </w:r>
      <w:r w:rsidRPr="003B5CE8">
        <w:rPr>
          <w:rFonts w:ascii="Palatino Linotype" w:eastAsia="Palatino Linotype" w:hAnsi="Palatino Linotype" w:cs="Palatino Linotype"/>
        </w:rPr>
        <w:lastRenderedPageBreak/>
        <w:t>185 de la Ley de Transparencia y Acceso a la Información Pública del Estado de México y Municipios.</w:t>
      </w:r>
    </w:p>
    <w:p w:rsidR="003617C4" w:rsidRPr="003B5CE8" w:rsidRDefault="003617C4" w:rsidP="003B5CE8">
      <w:pPr>
        <w:tabs>
          <w:tab w:val="center" w:pos="4252"/>
          <w:tab w:val="right" w:pos="8504"/>
        </w:tabs>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b/>
        </w:rPr>
      </w:pPr>
      <w:r w:rsidRPr="003B5CE8">
        <w:rPr>
          <w:rFonts w:ascii="Palatino Linotype" w:eastAsia="Palatino Linotype" w:hAnsi="Palatino Linotype" w:cs="Palatino Linotype"/>
          <w:b/>
        </w:rPr>
        <w:t>b) Informe Justificado</w:t>
      </w:r>
    </w:p>
    <w:p w:rsidR="003617C4" w:rsidRPr="003B5CE8" w:rsidRDefault="003F5539" w:rsidP="003B5CE8">
      <w:pPr>
        <w:widowControl w:val="0"/>
        <w:tabs>
          <w:tab w:val="left" w:pos="0"/>
        </w:tabs>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Conforme a las constancias que obran en el expediente del </w:t>
      </w:r>
      <w:r w:rsidRPr="003B5CE8">
        <w:rPr>
          <w:rFonts w:ascii="Palatino Linotype" w:eastAsia="Palatino Linotype" w:hAnsi="Palatino Linotype" w:cs="Palatino Linotype"/>
          <w:b/>
        </w:rPr>
        <w:t>SAIMEX,</w:t>
      </w:r>
      <w:r w:rsidRPr="003B5CE8">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3B5CE8">
        <w:rPr>
          <w:rFonts w:ascii="Palatino Linotype" w:eastAsia="Palatino Linotype" w:hAnsi="Palatino Linotype" w:cs="Palatino Linotype"/>
          <w:b/>
        </w:rPr>
        <w:t>RECURRENTE</w:t>
      </w:r>
      <w:r w:rsidRPr="003B5CE8">
        <w:rPr>
          <w:rFonts w:ascii="Palatino Linotype" w:eastAsia="Palatino Linotype" w:hAnsi="Palatino Linotype" w:cs="Palatino Linotype"/>
        </w:rPr>
        <w:t xml:space="preserve"> este no presentó alegatos que a su derecho convinieran. Por su parte, </w:t>
      </w:r>
      <w:r w:rsidRPr="003B5CE8">
        <w:rPr>
          <w:rFonts w:ascii="Palatino Linotype" w:eastAsia="Palatino Linotype" w:hAnsi="Palatino Linotype" w:cs="Palatino Linotype"/>
          <w:b/>
        </w:rPr>
        <w:t>EL SUJETO OBLIGADO</w:t>
      </w:r>
      <w:r w:rsidRPr="003B5CE8">
        <w:rPr>
          <w:rFonts w:ascii="Palatino Linotype" w:eastAsia="Palatino Linotype" w:hAnsi="Palatino Linotype" w:cs="Palatino Linotype"/>
        </w:rPr>
        <w:t xml:space="preserve"> fue omiso en remitir su Informe Justificado. </w:t>
      </w:r>
    </w:p>
    <w:p w:rsidR="003617C4" w:rsidRPr="003B5CE8" w:rsidRDefault="003617C4" w:rsidP="003B5CE8">
      <w:pPr>
        <w:widowControl w:val="0"/>
        <w:tabs>
          <w:tab w:val="left" w:pos="0"/>
        </w:tabs>
        <w:spacing w:line="360" w:lineRule="auto"/>
        <w:jc w:val="both"/>
        <w:rPr>
          <w:rFonts w:ascii="Palatino Linotype" w:eastAsia="Palatino Linotype" w:hAnsi="Palatino Linotype" w:cs="Palatino Linotype"/>
        </w:rPr>
      </w:pPr>
    </w:p>
    <w:p w:rsidR="003617C4" w:rsidRPr="003B5CE8" w:rsidRDefault="003F5539" w:rsidP="003B5CE8">
      <w:pPr>
        <w:widowControl w:val="0"/>
        <w:tabs>
          <w:tab w:val="left" w:pos="0"/>
        </w:tabs>
        <w:spacing w:line="360" w:lineRule="auto"/>
        <w:jc w:val="both"/>
        <w:rPr>
          <w:rFonts w:ascii="Palatino Linotype" w:eastAsia="Palatino Linotype" w:hAnsi="Palatino Linotype" w:cs="Palatino Linotype"/>
          <w:b/>
        </w:rPr>
      </w:pPr>
      <w:r w:rsidRPr="003B5CE8">
        <w:rPr>
          <w:rFonts w:ascii="Palatino Linotype" w:eastAsia="Palatino Linotype" w:hAnsi="Palatino Linotype" w:cs="Palatino Linotype"/>
          <w:b/>
        </w:rPr>
        <w:t xml:space="preserve">c) De la ampliación </w:t>
      </w:r>
    </w:p>
    <w:p w:rsidR="003617C4" w:rsidRPr="003B5CE8" w:rsidRDefault="003F5539" w:rsidP="003B5CE8">
      <w:pPr>
        <w:spacing w:line="360" w:lineRule="auto"/>
        <w:jc w:val="both"/>
        <w:rPr>
          <w:rFonts w:ascii="Palatino Linotype" w:eastAsia="Palatino Linotype" w:hAnsi="Palatino Linotype" w:cs="Palatino Linotype"/>
        </w:rPr>
      </w:pPr>
      <w:bookmarkStart w:id="3" w:name="_heading=h.1fob9te" w:colFirst="0" w:colLast="0"/>
      <w:bookmarkEnd w:id="3"/>
      <w:r w:rsidRPr="003B5CE8">
        <w:rPr>
          <w:rFonts w:ascii="Palatino Linotype" w:eastAsia="Palatino Linotype" w:hAnsi="Palatino Linotype" w:cs="Palatino Linotype"/>
        </w:rPr>
        <w:t>El veintinueve de septiembre de dos mil veintidós, se notificó el acuerdo de ampliación de plazo para resolver el presente Recurso de Revisión, previsto en el artículo 181, tercer párrafo de la Ley de Transparencia y Acceso a la Información Pública del Estado de México y Municipios.</w:t>
      </w:r>
    </w:p>
    <w:p w:rsidR="003617C4" w:rsidRPr="003B5CE8" w:rsidRDefault="003617C4" w:rsidP="003B5CE8">
      <w:pPr>
        <w:spacing w:line="360" w:lineRule="auto"/>
        <w:jc w:val="both"/>
        <w:rPr>
          <w:rFonts w:ascii="Palatino Linotype" w:eastAsia="Palatino Linotype" w:hAnsi="Palatino Linotype" w:cs="Palatino Linotype"/>
        </w:rPr>
      </w:pPr>
      <w:bookmarkStart w:id="4" w:name="_heading=h.vk1hlboevp3r" w:colFirst="0" w:colLast="0"/>
      <w:bookmarkEnd w:id="4"/>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3B5CE8">
        <w:rPr>
          <w:rFonts w:ascii="Palatino Linotype" w:eastAsia="Palatino Linotype" w:hAnsi="Palatino Linotype" w:cs="Palatino Linotype"/>
        </w:rPr>
        <w:lastRenderedPageBreak/>
        <w:t>técnicas y humanas del personal encargado de la proyección de las resoluciones a dichos medios de impugnación.</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ind w:left="720"/>
        <w:jc w:val="both"/>
        <w:rPr>
          <w:rFonts w:ascii="Palatino Linotype" w:eastAsia="Palatino Linotype" w:hAnsi="Palatino Linotype" w:cs="Palatino Linotype"/>
        </w:rPr>
      </w:pPr>
      <w:r w:rsidRPr="003B5CE8">
        <w:rPr>
          <w:rFonts w:ascii="Palatino Linotype" w:eastAsia="Palatino Linotype" w:hAnsi="Palatino Linotype" w:cs="Palatino Linotype"/>
          <w:b/>
        </w:rPr>
        <w:t>a)</w:t>
      </w:r>
      <w:r w:rsidRPr="003B5CE8">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3617C4" w:rsidRPr="003B5CE8" w:rsidRDefault="003F5539" w:rsidP="003B5CE8">
      <w:pPr>
        <w:spacing w:line="360" w:lineRule="auto"/>
        <w:ind w:left="720"/>
        <w:jc w:val="both"/>
        <w:rPr>
          <w:rFonts w:ascii="Palatino Linotype" w:eastAsia="Palatino Linotype" w:hAnsi="Palatino Linotype" w:cs="Palatino Linotype"/>
        </w:rPr>
      </w:pPr>
      <w:r w:rsidRPr="003B5CE8">
        <w:rPr>
          <w:rFonts w:ascii="Palatino Linotype" w:eastAsia="Palatino Linotype" w:hAnsi="Palatino Linotype" w:cs="Palatino Linotype"/>
          <w:b/>
        </w:rPr>
        <w:t>b)</w:t>
      </w:r>
      <w:r w:rsidRPr="003B5CE8">
        <w:rPr>
          <w:rFonts w:ascii="Palatino Linotype" w:eastAsia="Palatino Linotype" w:hAnsi="Palatino Linotype" w:cs="Palatino Linotype"/>
        </w:rPr>
        <w:t xml:space="preserve"> Actividad Procesal del interesado: Acciones u omisiones del interesado.</w:t>
      </w:r>
    </w:p>
    <w:p w:rsidR="003617C4" w:rsidRPr="003B5CE8" w:rsidRDefault="003F5539" w:rsidP="003B5CE8">
      <w:pPr>
        <w:spacing w:line="360" w:lineRule="auto"/>
        <w:ind w:left="720"/>
        <w:jc w:val="both"/>
        <w:rPr>
          <w:rFonts w:ascii="Palatino Linotype" w:eastAsia="Palatino Linotype" w:hAnsi="Palatino Linotype" w:cs="Palatino Linotype"/>
        </w:rPr>
      </w:pPr>
      <w:r w:rsidRPr="003B5CE8">
        <w:rPr>
          <w:rFonts w:ascii="Palatino Linotype" w:eastAsia="Palatino Linotype" w:hAnsi="Palatino Linotype" w:cs="Palatino Linotype"/>
          <w:b/>
        </w:rPr>
        <w:t>c)</w:t>
      </w:r>
      <w:r w:rsidRPr="003B5CE8">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3617C4" w:rsidRPr="003B5CE8" w:rsidRDefault="003F5539" w:rsidP="003B5CE8">
      <w:pPr>
        <w:spacing w:line="360" w:lineRule="auto"/>
        <w:ind w:left="720"/>
        <w:jc w:val="both"/>
        <w:rPr>
          <w:rFonts w:ascii="Palatino Linotype" w:eastAsia="Palatino Linotype" w:hAnsi="Palatino Linotype" w:cs="Palatino Linotype"/>
        </w:rPr>
      </w:pPr>
      <w:r w:rsidRPr="003B5CE8">
        <w:rPr>
          <w:rFonts w:ascii="Palatino Linotype" w:eastAsia="Palatino Linotype" w:hAnsi="Palatino Linotype" w:cs="Palatino Linotype"/>
          <w:b/>
        </w:rPr>
        <w:t>d)</w:t>
      </w:r>
      <w:r w:rsidRPr="003B5CE8">
        <w:rPr>
          <w:rFonts w:ascii="Palatino Linotype" w:eastAsia="Palatino Linotype" w:hAnsi="Palatino Linotype" w:cs="Palatino Linotype"/>
        </w:rPr>
        <w:t xml:space="preserve"> La afectación generada en la situación jurídica de la persona involucrada en el proceso: Violación a sus derechos humanos.</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Argumento que encuentra sustento en la jurisprudencia P</w:t>
      </w:r>
      <w:proofErr w:type="gramStart"/>
      <w:r w:rsidRPr="003B5CE8">
        <w:rPr>
          <w:rFonts w:ascii="Palatino Linotype" w:eastAsia="Palatino Linotype" w:hAnsi="Palatino Linotype" w:cs="Palatino Linotype"/>
        </w:rPr>
        <w:t>./</w:t>
      </w:r>
      <w:proofErr w:type="gramEnd"/>
      <w:r w:rsidRPr="003B5CE8">
        <w:rPr>
          <w:rFonts w:ascii="Palatino Linotype" w:eastAsia="Palatino Linotype" w:hAnsi="Palatino Linotype" w:cs="Palatino Linotype"/>
        </w:rPr>
        <w:t>J. 32/92 emitida por el Pleno de la Suprema Corte de Justicia de la Nación de rubro “</w:t>
      </w:r>
      <w:r w:rsidRPr="003B5CE8">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3B5CE8">
        <w:rPr>
          <w:rFonts w:ascii="Palatino Linotype" w:eastAsia="Palatino Linotype" w:hAnsi="Palatino Linotype" w:cs="Palatino Linotype"/>
          <w:i/>
        </w:rPr>
        <w:lastRenderedPageBreak/>
        <w:t>EL LEGISLADOR AL FIJARLOS Y LAS CARACTERÍSTICAS DEL CASO.”</w:t>
      </w:r>
      <w:r w:rsidRPr="003B5CE8">
        <w:rPr>
          <w:rFonts w:ascii="Palatino Linotype" w:eastAsia="Palatino Linotype" w:hAnsi="Palatino Linotype" w:cs="Palatino Linotype"/>
        </w:rPr>
        <w:t>, visible en la Gaceta del Seminario Judicial de la Federación con el registro digital 205635.</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i/>
        </w:rPr>
        <w:t>“PLAZO RAZONABLE PARA RESOLVER. DIMENSIÓN Y EFECTOS DE ESTE CONCEPTO CUANDO SE ADUCE EXCESIVA CARGA DE TRABAJO.”</w:t>
      </w:r>
      <w:r w:rsidRPr="003B5CE8">
        <w:rPr>
          <w:rFonts w:ascii="Palatino Linotype" w:eastAsia="Palatino Linotype" w:hAnsi="Palatino Linotype" w:cs="Palatino Linotype"/>
        </w:rPr>
        <w:t xml:space="preserve"> consultable en el Seminario Judicial de la Federación y su gaceta, con el registro digital 2002351.</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3B5CE8">
        <w:rPr>
          <w:rFonts w:ascii="Palatino Linotype" w:eastAsia="Palatino Linotype" w:hAnsi="Palatino Linotype" w:cs="Palatino Linotype"/>
        </w:rPr>
        <w:t>, visible en el Seminario Judicial de la Federación y su gaceta, con el registro digital 2002350.</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b/>
        </w:rPr>
      </w:pPr>
      <w:r w:rsidRPr="003B5CE8">
        <w:rPr>
          <w:rFonts w:ascii="Palatino Linotype" w:eastAsia="Palatino Linotype" w:hAnsi="Palatino Linotype" w:cs="Palatino Linotype"/>
          <w:b/>
        </w:rPr>
        <w:t>d) Cierre de Instrucción</w:t>
      </w: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Por lo que, una vez analizado el estado procesal que guarda el expediente, el </w:t>
      </w:r>
      <w:r w:rsidRPr="003B5CE8">
        <w:rPr>
          <w:rFonts w:ascii="Palatino Linotype" w:eastAsia="Palatino Linotype" w:hAnsi="Palatino Linotype" w:cs="Palatino Linotype"/>
          <w:b/>
        </w:rPr>
        <w:t xml:space="preserve">catorce de febrero de dos mil veintitrés </w:t>
      </w:r>
      <w:r w:rsidRPr="003B5CE8">
        <w:rPr>
          <w:rFonts w:ascii="Palatino Linotype" w:eastAsia="Palatino Linotype" w:hAnsi="Palatino Linotype" w:cs="Palatino Linotype"/>
        </w:rPr>
        <w:t xml:space="preserve">la </w:t>
      </w:r>
      <w:r w:rsidRPr="003B5CE8">
        <w:rPr>
          <w:rFonts w:ascii="Palatino Linotype" w:eastAsia="Palatino Linotype" w:hAnsi="Palatino Linotype" w:cs="Palatino Linotype"/>
          <w:b/>
        </w:rPr>
        <w:t xml:space="preserve">Comisionada Sharon Cristina Morales Martínez </w:t>
      </w:r>
      <w:r w:rsidRPr="003B5CE8">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3617C4" w:rsidRPr="003B5CE8" w:rsidRDefault="003617C4" w:rsidP="003B5CE8">
      <w:pPr>
        <w:rPr>
          <w:rFonts w:ascii="Palatino Linotype" w:eastAsia="Palatino Linotype" w:hAnsi="Palatino Linotype" w:cs="Palatino Linotype"/>
          <w:b/>
          <w:sz w:val="28"/>
          <w:szCs w:val="28"/>
        </w:rPr>
      </w:pPr>
    </w:p>
    <w:p w:rsidR="003617C4" w:rsidRPr="003B5CE8" w:rsidRDefault="003617C4" w:rsidP="003B5CE8">
      <w:pPr>
        <w:jc w:val="center"/>
        <w:rPr>
          <w:rFonts w:ascii="Palatino Linotype" w:eastAsia="Palatino Linotype" w:hAnsi="Palatino Linotype" w:cs="Palatino Linotype"/>
          <w:b/>
          <w:sz w:val="28"/>
          <w:szCs w:val="28"/>
        </w:rPr>
      </w:pPr>
    </w:p>
    <w:p w:rsidR="003617C4" w:rsidRPr="003B5CE8" w:rsidRDefault="003F5539" w:rsidP="003B5CE8">
      <w:pPr>
        <w:jc w:val="center"/>
        <w:rPr>
          <w:rFonts w:ascii="Palatino Linotype" w:eastAsia="Palatino Linotype" w:hAnsi="Palatino Linotype" w:cs="Palatino Linotype"/>
          <w:b/>
          <w:sz w:val="28"/>
          <w:szCs w:val="28"/>
        </w:rPr>
      </w:pPr>
      <w:r w:rsidRPr="003B5CE8">
        <w:rPr>
          <w:rFonts w:ascii="Palatino Linotype" w:eastAsia="Palatino Linotype" w:hAnsi="Palatino Linotype" w:cs="Palatino Linotype"/>
          <w:b/>
          <w:sz w:val="28"/>
          <w:szCs w:val="28"/>
        </w:rPr>
        <w:t>CONSIDERANDO</w:t>
      </w:r>
    </w:p>
    <w:p w:rsidR="003617C4" w:rsidRPr="003B5CE8" w:rsidRDefault="003617C4" w:rsidP="003B5CE8">
      <w:pPr>
        <w:jc w:val="center"/>
        <w:rPr>
          <w:rFonts w:ascii="Palatino Linotype" w:eastAsia="Palatino Linotype" w:hAnsi="Palatino Linotype" w:cs="Palatino Linotype"/>
          <w:b/>
          <w:sz w:val="28"/>
          <w:szCs w:val="28"/>
        </w:rPr>
      </w:pPr>
    </w:p>
    <w:p w:rsidR="003617C4" w:rsidRPr="003B5CE8" w:rsidRDefault="003F5539" w:rsidP="003B5CE8">
      <w:pPr>
        <w:widowControl w:val="0"/>
        <w:tabs>
          <w:tab w:val="left" w:pos="1701"/>
        </w:tabs>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b/>
          <w:sz w:val="28"/>
          <w:szCs w:val="28"/>
        </w:rPr>
        <w:t>PRIMERO.</w:t>
      </w:r>
      <w:r w:rsidRPr="003B5CE8">
        <w:rPr>
          <w:rFonts w:ascii="Palatino Linotype" w:eastAsia="Palatino Linotype" w:hAnsi="Palatino Linotype" w:cs="Palatino Linotype"/>
          <w:b/>
        </w:rPr>
        <w:t xml:space="preserve"> Competencia</w:t>
      </w:r>
      <w:r w:rsidRPr="003B5CE8">
        <w:rPr>
          <w:rFonts w:ascii="Palatino Linotype" w:eastAsia="Palatino Linotype" w:hAnsi="Palatino Linotype" w:cs="Palatino Linotype"/>
        </w:rPr>
        <w:t>.</w:t>
      </w:r>
      <w:r w:rsidRPr="003B5CE8">
        <w:rPr>
          <w:rFonts w:ascii="Palatino Linotype" w:eastAsia="Palatino Linotype" w:hAnsi="Palatino Linotype" w:cs="Palatino Linotype"/>
          <w:b/>
        </w:rPr>
        <w:t xml:space="preserve"> </w:t>
      </w:r>
    </w:p>
    <w:p w:rsidR="003617C4" w:rsidRPr="003B5CE8" w:rsidRDefault="003F5539" w:rsidP="003B5CE8">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3B5CE8">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3B5CE8">
        <w:rPr>
          <w:rFonts w:ascii="Palatino Linotype" w:eastAsia="Palatino Linotype" w:hAnsi="Palatino Linotype" w:cs="Palatino Linotype"/>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3617C4" w:rsidRPr="003B5CE8" w:rsidRDefault="003617C4" w:rsidP="003B5CE8">
      <w:pPr>
        <w:spacing w:line="360" w:lineRule="auto"/>
        <w:jc w:val="both"/>
        <w:rPr>
          <w:rFonts w:ascii="Palatino Linotype" w:eastAsia="Palatino Linotype" w:hAnsi="Palatino Linotype" w:cs="Palatino Linotype"/>
          <w:b/>
          <w:sz w:val="28"/>
          <w:szCs w:val="28"/>
        </w:rPr>
      </w:pPr>
    </w:p>
    <w:p w:rsidR="003617C4" w:rsidRPr="003B5CE8" w:rsidRDefault="003F5539" w:rsidP="003B5CE8">
      <w:pPr>
        <w:spacing w:line="360" w:lineRule="auto"/>
        <w:jc w:val="both"/>
        <w:rPr>
          <w:rFonts w:ascii="Palatino Linotype" w:eastAsia="Palatino Linotype" w:hAnsi="Palatino Linotype" w:cs="Palatino Linotype"/>
          <w:b/>
        </w:rPr>
      </w:pPr>
      <w:r w:rsidRPr="003B5CE8">
        <w:rPr>
          <w:rFonts w:ascii="Palatino Linotype" w:eastAsia="Palatino Linotype" w:hAnsi="Palatino Linotype" w:cs="Palatino Linotype"/>
          <w:b/>
          <w:sz w:val="28"/>
          <w:szCs w:val="28"/>
        </w:rPr>
        <w:t>SEGUNDO</w:t>
      </w:r>
      <w:r w:rsidRPr="003B5CE8">
        <w:rPr>
          <w:rFonts w:ascii="Palatino Linotype" w:eastAsia="Palatino Linotype" w:hAnsi="Palatino Linotype" w:cs="Palatino Linotype"/>
          <w:b/>
        </w:rPr>
        <w:t xml:space="preserve">. Interés. </w:t>
      </w:r>
    </w:p>
    <w:p w:rsidR="003617C4" w:rsidRPr="003B5CE8" w:rsidRDefault="003F5539" w:rsidP="003B5CE8">
      <w:pPr>
        <w:spacing w:line="360" w:lineRule="auto"/>
        <w:jc w:val="both"/>
        <w:rPr>
          <w:rFonts w:ascii="Palatino Linotype" w:eastAsia="Palatino Linotype" w:hAnsi="Palatino Linotype" w:cs="Palatino Linotype"/>
          <w:b/>
          <w:color w:val="000000"/>
        </w:rPr>
      </w:pPr>
      <w:r w:rsidRPr="003B5CE8">
        <w:rPr>
          <w:rFonts w:ascii="Palatino Linotype" w:eastAsia="Palatino Linotype" w:hAnsi="Palatino Linotype" w:cs="Palatino Linotype"/>
        </w:rPr>
        <w:t>El</w:t>
      </w:r>
      <w:r w:rsidRPr="003B5CE8">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3B5CE8">
        <w:rPr>
          <w:rFonts w:ascii="Palatino Linotype" w:eastAsia="Palatino Linotype" w:hAnsi="Palatino Linotype" w:cs="Palatino Linotype"/>
          <w:b/>
        </w:rPr>
        <w:t>EL</w:t>
      </w:r>
      <w:r w:rsidRPr="003B5CE8">
        <w:rPr>
          <w:rFonts w:ascii="Palatino Linotype" w:eastAsia="Palatino Linotype" w:hAnsi="Palatino Linotype" w:cs="Palatino Linotype"/>
          <w:b/>
          <w:color w:val="000000"/>
        </w:rPr>
        <w:t xml:space="preserve"> RECURRENTE,</w:t>
      </w:r>
      <w:r w:rsidRPr="003B5CE8">
        <w:rPr>
          <w:rFonts w:ascii="Palatino Linotype" w:eastAsia="Palatino Linotype" w:hAnsi="Palatino Linotype" w:cs="Palatino Linotype"/>
          <w:color w:val="000000"/>
        </w:rPr>
        <w:t xml:space="preserve"> quien es la misma persona que formuló la solicitud de acceso a la información pública al </w:t>
      </w:r>
      <w:r w:rsidRPr="003B5CE8">
        <w:rPr>
          <w:rFonts w:ascii="Palatino Linotype" w:eastAsia="Palatino Linotype" w:hAnsi="Palatino Linotype" w:cs="Palatino Linotype"/>
          <w:b/>
          <w:color w:val="000000"/>
        </w:rPr>
        <w:t xml:space="preserve">SUJETO OBLIGADO, </w:t>
      </w:r>
      <w:r w:rsidRPr="003B5CE8">
        <w:rPr>
          <w:rFonts w:ascii="Palatino Linotype" w:eastAsia="Palatino Linotype" w:hAnsi="Palatino Linotype" w:cs="Palatino Linotype"/>
          <w:color w:val="000000"/>
        </w:rPr>
        <w:t xml:space="preserve">pues para ello, es necesario que el particular ingrese al </w:t>
      </w:r>
      <w:r w:rsidRPr="003B5CE8">
        <w:rPr>
          <w:rFonts w:ascii="Palatino Linotype" w:eastAsia="Palatino Linotype" w:hAnsi="Palatino Linotype" w:cs="Palatino Linotype"/>
          <w:b/>
          <w:color w:val="000000"/>
        </w:rPr>
        <w:t xml:space="preserve">SAIMEX </w:t>
      </w:r>
      <w:r w:rsidRPr="003B5CE8">
        <w:rPr>
          <w:rFonts w:ascii="Palatino Linotype" w:eastAsia="Palatino Linotype" w:hAnsi="Palatino Linotype" w:cs="Palatino Linotype"/>
          <w:color w:val="000000"/>
        </w:rPr>
        <w:t>mediante la utilización de su clave de usuario y contraseña.</w:t>
      </w:r>
    </w:p>
    <w:p w:rsidR="003617C4" w:rsidRPr="003B5CE8" w:rsidRDefault="003617C4" w:rsidP="003B5CE8">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3617C4" w:rsidRPr="003B5CE8" w:rsidRDefault="003F5539" w:rsidP="003B5CE8">
      <w:pPr>
        <w:tabs>
          <w:tab w:val="center" w:pos="4252"/>
          <w:tab w:val="right" w:pos="8504"/>
        </w:tabs>
        <w:spacing w:line="360" w:lineRule="auto"/>
        <w:ind w:left="-57"/>
        <w:jc w:val="both"/>
        <w:rPr>
          <w:rFonts w:ascii="Palatino Linotype" w:eastAsia="Palatino Linotype" w:hAnsi="Palatino Linotype" w:cs="Palatino Linotype"/>
          <w:color w:val="000000"/>
        </w:rPr>
      </w:pPr>
      <w:r w:rsidRPr="003B5CE8">
        <w:rPr>
          <w:rFonts w:ascii="Palatino Linotype" w:eastAsia="Palatino Linotype" w:hAnsi="Palatino Linotype" w:cs="Palatino Linotype"/>
          <w:b/>
          <w:sz w:val="28"/>
          <w:szCs w:val="28"/>
        </w:rPr>
        <w:t>TERCERO.</w:t>
      </w:r>
      <w:r w:rsidRPr="003B5CE8">
        <w:rPr>
          <w:rFonts w:ascii="Palatino Linotype" w:eastAsia="Palatino Linotype" w:hAnsi="Palatino Linotype" w:cs="Palatino Linotype"/>
        </w:rPr>
        <w:t xml:space="preserve"> </w:t>
      </w:r>
      <w:r w:rsidRPr="003B5CE8">
        <w:rPr>
          <w:rFonts w:ascii="Palatino Linotype" w:eastAsia="Palatino Linotype" w:hAnsi="Palatino Linotype" w:cs="Palatino Linotype"/>
          <w:b/>
          <w:color w:val="000000"/>
        </w:rPr>
        <w:t>Oportunidad</w:t>
      </w:r>
      <w:r w:rsidRPr="003B5CE8">
        <w:rPr>
          <w:rFonts w:ascii="Palatino Linotype" w:eastAsia="Palatino Linotype" w:hAnsi="Palatino Linotype" w:cs="Palatino Linotype"/>
          <w:color w:val="000000"/>
        </w:rPr>
        <w:t xml:space="preserve">. </w:t>
      </w:r>
    </w:p>
    <w:p w:rsidR="003617C4" w:rsidRPr="003B5CE8" w:rsidRDefault="003F5539" w:rsidP="003B5CE8">
      <w:pPr>
        <w:widowControl w:val="0"/>
        <w:tabs>
          <w:tab w:val="left" w:pos="1701"/>
        </w:tabs>
        <w:spacing w:line="360" w:lineRule="auto"/>
        <w:ind w:right="49"/>
        <w:jc w:val="both"/>
        <w:rPr>
          <w:rFonts w:ascii="Palatino Linotype" w:eastAsia="Palatino Linotype" w:hAnsi="Palatino Linotype" w:cs="Palatino Linotype"/>
          <w:b/>
        </w:rPr>
      </w:pPr>
      <w:r w:rsidRPr="003B5CE8">
        <w:rPr>
          <w:rFonts w:ascii="Palatino Linotype" w:eastAsia="Palatino Linotype" w:hAnsi="Palatino Linotype" w:cs="Palatino Linotype"/>
        </w:rPr>
        <w:t xml:space="preserve">El Recurso de Revisión fue interpuesto dentro del plazo de quince días hábiles, contados a partir del día siguiente al que </w:t>
      </w:r>
      <w:r w:rsidRPr="003B5CE8">
        <w:rPr>
          <w:rFonts w:ascii="Palatino Linotype" w:eastAsia="Palatino Linotype" w:hAnsi="Palatino Linotype" w:cs="Palatino Linotype"/>
          <w:b/>
        </w:rPr>
        <w:t xml:space="preserve">EL RECURRENTE </w:t>
      </w:r>
      <w:r w:rsidRPr="003B5CE8">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3617C4" w:rsidRPr="003B5CE8" w:rsidRDefault="003617C4" w:rsidP="003B5CE8">
      <w:pPr>
        <w:ind w:left="720" w:right="709"/>
        <w:jc w:val="both"/>
        <w:rPr>
          <w:rFonts w:ascii="Palatino Linotype" w:eastAsia="Palatino Linotype" w:hAnsi="Palatino Linotype" w:cs="Palatino Linotype"/>
          <w:i/>
          <w:sz w:val="22"/>
          <w:szCs w:val="22"/>
        </w:rPr>
      </w:pPr>
    </w:p>
    <w:p w:rsidR="003617C4" w:rsidRPr="003B5CE8" w:rsidRDefault="003F5539" w:rsidP="003B5CE8">
      <w:pPr>
        <w:ind w:left="851"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lastRenderedPageBreak/>
        <w:t>“</w:t>
      </w:r>
      <w:r w:rsidRPr="003B5CE8">
        <w:rPr>
          <w:rFonts w:ascii="Palatino Linotype" w:eastAsia="Palatino Linotype" w:hAnsi="Palatino Linotype" w:cs="Palatino Linotype"/>
          <w:b/>
          <w:i/>
          <w:sz w:val="22"/>
          <w:szCs w:val="22"/>
        </w:rPr>
        <w:t>Artículo 178.</w:t>
      </w:r>
      <w:r w:rsidRPr="003B5CE8">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617C4" w:rsidRPr="003B5CE8" w:rsidRDefault="003617C4" w:rsidP="003B5CE8">
      <w:pPr>
        <w:ind w:left="851" w:right="899"/>
        <w:jc w:val="both"/>
        <w:rPr>
          <w:rFonts w:ascii="Palatino Linotype" w:eastAsia="Palatino Linotype" w:hAnsi="Palatino Linotype" w:cs="Palatino Linotype"/>
          <w:i/>
          <w:sz w:val="22"/>
          <w:szCs w:val="22"/>
        </w:rPr>
      </w:pPr>
    </w:p>
    <w:p w:rsidR="003617C4" w:rsidRPr="003B5CE8" w:rsidRDefault="003F5539" w:rsidP="003B5CE8">
      <w:pPr>
        <w:ind w:left="851"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3617C4" w:rsidRPr="003B5CE8" w:rsidRDefault="003617C4" w:rsidP="003B5CE8">
      <w:pPr>
        <w:ind w:left="851" w:right="899"/>
        <w:jc w:val="both"/>
        <w:rPr>
          <w:rFonts w:ascii="Palatino Linotype" w:eastAsia="Palatino Linotype" w:hAnsi="Palatino Linotype" w:cs="Palatino Linotype"/>
          <w:i/>
          <w:sz w:val="22"/>
          <w:szCs w:val="22"/>
        </w:rPr>
      </w:pPr>
    </w:p>
    <w:p w:rsidR="003617C4" w:rsidRPr="003B5CE8" w:rsidRDefault="003F5539" w:rsidP="003B5CE8">
      <w:pPr>
        <w:ind w:left="851"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3617C4" w:rsidRPr="003B5CE8" w:rsidRDefault="003617C4" w:rsidP="003B5CE8">
      <w:pPr>
        <w:ind w:left="720" w:right="709"/>
        <w:jc w:val="both"/>
        <w:rPr>
          <w:rFonts w:ascii="Palatino Linotype" w:eastAsia="Palatino Linotype" w:hAnsi="Palatino Linotype" w:cs="Palatino Linotype"/>
          <w:i/>
          <w:sz w:val="22"/>
          <w:szCs w:val="22"/>
        </w:rPr>
      </w:pPr>
    </w:p>
    <w:p w:rsidR="003617C4" w:rsidRPr="003B5CE8" w:rsidRDefault="003F5539" w:rsidP="003B5CE8">
      <w:pPr>
        <w:spacing w:line="360" w:lineRule="auto"/>
        <w:jc w:val="both"/>
        <w:rPr>
          <w:rFonts w:ascii="Palatino Linotype" w:eastAsia="Palatino Linotype" w:hAnsi="Palatino Linotype" w:cs="Palatino Linotype"/>
        </w:rPr>
      </w:pPr>
      <w:bookmarkStart w:id="6" w:name="_heading=h.2et92p0" w:colFirst="0" w:colLast="0"/>
      <w:bookmarkEnd w:id="6"/>
      <w:r w:rsidRPr="003B5CE8">
        <w:rPr>
          <w:rFonts w:ascii="Palatino Linotype" w:eastAsia="Palatino Linotype" w:hAnsi="Palatino Linotype" w:cs="Palatino Linotype"/>
        </w:rPr>
        <w:t xml:space="preserve">En esa tesitura, atendiendo a que </w:t>
      </w:r>
      <w:r w:rsidRPr="003B5CE8">
        <w:rPr>
          <w:rFonts w:ascii="Palatino Linotype" w:eastAsia="Palatino Linotype" w:hAnsi="Palatino Linotype" w:cs="Palatino Linotype"/>
          <w:b/>
        </w:rPr>
        <w:t>EL SUJETO OBLIGADO</w:t>
      </w:r>
      <w:r w:rsidRPr="003B5CE8">
        <w:rPr>
          <w:rFonts w:ascii="Palatino Linotype" w:eastAsia="Palatino Linotype" w:hAnsi="Palatino Linotype" w:cs="Palatino Linotype"/>
        </w:rPr>
        <w:t xml:space="preserve"> notificó la respuesta a la solicitud de acceso a la información pública el día</w:t>
      </w:r>
      <w:r w:rsidRPr="003B5CE8">
        <w:rPr>
          <w:rFonts w:ascii="Palatino Linotype" w:eastAsia="Palatino Linotype" w:hAnsi="Palatino Linotype" w:cs="Palatino Linotype"/>
          <w:b/>
        </w:rPr>
        <w:t xml:space="preserve"> once de agosto de dos mil veintidós</w:t>
      </w:r>
      <w:r w:rsidRPr="003B5CE8">
        <w:rPr>
          <w:rFonts w:ascii="Palatino Linotype" w:eastAsia="Palatino Linotype" w:hAnsi="Palatino Linotype" w:cs="Palatino Linotype"/>
        </w:rPr>
        <w:t>, así el plazo de quince días hábiles que el artículo 178 de la Ley de la materia otorga al</w:t>
      </w:r>
      <w:r w:rsidRPr="003B5CE8">
        <w:rPr>
          <w:rFonts w:ascii="Palatino Linotype" w:eastAsia="Palatino Linotype" w:hAnsi="Palatino Linotype" w:cs="Palatino Linotype"/>
          <w:b/>
        </w:rPr>
        <w:t xml:space="preserve"> RECURRENTE</w:t>
      </w:r>
      <w:r w:rsidRPr="003B5CE8">
        <w:rPr>
          <w:rFonts w:ascii="Palatino Linotype" w:eastAsia="Palatino Linotype" w:hAnsi="Palatino Linotype" w:cs="Palatino Linotype"/>
        </w:rPr>
        <w:t xml:space="preserve"> para presentar el respectivo Recurso de Revisión, transcurrió del</w:t>
      </w:r>
      <w:r w:rsidRPr="003B5CE8">
        <w:rPr>
          <w:rFonts w:ascii="Palatino Linotype" w:eastAsia="Palatino Linotype" w:hAnsi="Palatino Linotype" w:cs="Palatino Linotype"/>
          <w:b/>
        </w:rPr>
        <w:t xml:space="preserve"> doce de agosto  al uno de septiembre de dos mil veintidós, </w:t>
      </w:r>
      <w:r w:rsidRPr="003B5CE8">
        <w:rPr>
          <w:rFonts w:ascii="Palatino Linotype" w:eastAsia="Palatino Linotype" w:hAnsi="Palatino Linotype" w:cs="Palatino Linotype"/>
        </w:rPr>
        <w:t>sin contemplar en el cómputo los días trece, catorce, veinte, veintiuno, veintisiete y veintiocho de agosto  de dos mil veintidós, por corresponder a sábados y domingos, considerados como días inhábiles, en términos del artículo 3, fracción X de la Ley de Transparencia y Acceso a la Información Pública del Estado de México y Municipios.</w:t>
      </w:r>
    </w:p>
    <w:p w:rsidR="003617C4" w:rsidRPr="003B5CE8" w:rsidRDefault="003617C4" w:rsidP="003B5CE8">
      <w:pPr>
        <w:spacing w:line="360" w:lineRule="auto"/>
        <w:jc w:val="both"/>
        <w:rPr>
          <w:rFonts w:ascii="Palatino Linotype" w:eastAsia="Palatino Linotype" w:hAnsi="Palatino Linotype" w:cs="Palatino Linotype"/>
        </w:rPr>
      </w:pPr>
      <w:bookmarkStart w:id="7" w:name="_heading=h.1j5r03d45pmh" w:colFirst="0" w:colLast="0"/>
      <w:bookmarkEnd w:id="7"/>
    </w:p>
    <w:p w:rsidR="003617C4" w:rsidRPr="003B5CE8" w:rsidRDefault="003F5539" w:rsidP="003B5CE8">
      <w:pPr>
        <w:spacing w:line="360" w:lineRule="auto"/>
        <w:jc w:val="both"/>
        <w:rPr>
          <w:rFonts w:ascii="Palatino Linotype" w:eastAsia="Palatino Linotype" w:hAnsi="Palatino Linotype" w:cs="Palatino Linotype"/>
        </w:rPr>
      </w:pPr>
      <w:bookmarkStart w:id="8" w:name="_heading=h.5rr2st44stcm" w:colFirst="0" w:colLast="0"/>
      <w:bookmarkEnd w:id="8"/>
      <w:r w:rsidRPr="003B5CE8">
        <w:rPr>
          <w:rFonts w:ascii="Palatino Linotype" w:eastAsia="Palatino Linotype" w:hAnsi="Palatino Linotype" w:cs="Palatino Linotype"/>
        </w:rPr>
        <w:t xml:space="preserve">En ese tenor, se advierte que </w:t>
      </w:r>
      <w:r w:rsidRPr="003B5CE8">
        <w:rPr>
          <w:rFonts w:ascii="Palatino Linotype" w:eastAsia="Palatino Linotype" w:hAnsi="Palatino Linotype" w:cs="Palatino Linotype"/>
          <w:b/>
        </w:rPr>
        <w:t>EL RECURRENTE</w:t>
      </w:r>
      <w:r w:rsidRPr="003B5CE8">
        <w:rPr>
          <w:rFonts w:ascii="Palatino Linotype" w:eastAsia="Palatino Linotype" w:hAnsi="Palatino Linotype" w:cs="Palatino Linotype"/>
        </w:rPr>
        <w:t xml:space="preserve"> presentó el medio de impugnación al rubro anotado el día quince de agosto de dos mil veintidós y por lo tanto su interposición se considera oportuna. </w:t>
      </w:r>
    </w:p>
    <w:p w:rsidR="003617C4" w:rsidRPr="003B5CE8" w:rsidRDefault="003617C4" w:rsidP="003B5CE8">
      <w:pPr>
        <w:spacing w:line="360" w:lineRule="auto"/>
        <w:ind w:right="49"/>
        <w:jc w:val="both"/>
        <w:rPr>
          <w:rFonts w:ascii="Palatino Linotype" w:eastAsia="Palatino Linotype" w:hAnsi="Palatino Linotype" w:cs="Palatino Linotype"/>
          <w:b/>
          <w:sz w:val="28"/>
          <w:szCs w:val="28"/>
        </w:rPr>
      </w:pPr>
    </w:p>
    <w:p w:rsidR="003617C4" w:rsidRPr="003B5CE8" w:rsidRDefault="003F5539" w:rsidP="003B5CE8">
      <w:pPr>
        <w:spacing w:line="360" w:lineRule="auto"/>
        <w:ind w:right="49"/>
        <w:jc w:val="both"/>
        <w:rPr>
          <w:rFonts w:ascii="Palatino Linotype" w:eastAsia="Palatino Linotype" w:hAnsi="Palatino Linotype" w:cs="Palatino Linotype"/>
          <w:b/>
        </w:rPr>
      </w:pPr>
      <w:r w:rsidRPr="003B5CE8">
        <w:rPr>
          <w:rFonts w:ascii="Palatino Linotype" w:eastAsia="Palatino Linotype" w:hAnsi="Palatino Linotype" w:cs="Palatino Linotype"/>
          <w:b/>
          <w:sz w:val="28"/>
          <w:szCs w:val="28"/>
        </w:rPr>
        <w:t>CUARTO</w:t>
      </w:r>
      <w:r w:rsidRPr="003B5CE8">
        <w:rPr>
          <w:rFonts w:ascii="Palatino Linotype" w:eastAsia="Palatino Linotype" w:hAnsi="Palatino Linotype" w:cs="Palatino Linotype"/>
          <w:b/>
        </w:rPr>
        <w:t xml:space="preserve">. </w:t>
      </w:r>
      <w:proofErr w:type="spellStart"/>
      <w:r w:rsidRPr="003B5CE8">
        <w:rPr>
          <w:rFonts w:ascii="Palatino Linotype" w:eastAsia="Palatino Linotype" w:hAnsi="Palatino Linotype" w:cs="Palatino Linotype"/>
          <w:b/>
        </w:rPr>
        <w:t>Procedibilidad</w:t>
      </w:r>
      <w:proofErr w:type="spellEnd"/>
      <w:r w:rsidRPr="003B5CE8">
        <w:rPr>
          <w:rFonts w:ascii="Palatino Linotype" w:eastAsia="Palatino Linotype" w:hAnsi="Palatino Linotype" w:cs="Palatino Linotype"/>
          <w:b/>
        </w:rPr>
        <w:t xml:space="preserve">. </w:t>
      </w:r>
    </w:p>
    <w:p w:rsidR="003617C4" w:rsidRPr="003B5CE8" w:rsidRDefault="003F5539" w:rsidP="003B5CE8">
      <w:pPr>
        <w:spacing w:line="360" w:lineRule="auto"/>
        <w:ind w:right="49"/>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Esta Ponencia considera importante precisar que conforme al artículo 180 de la Ley de Transparencia y Acceso a la Información Pública del Estado de México y Municipios el presente Recurso de Revisión cuenta con todos los requisitos de </w:t>
      </w:r>
      <w:proofErr w:type="spellStart"/>
      <w:r w:rsidRPr="003B5CE8">
        <w:rPr>
          <w:rFonts w:ascii="Palatino Linotype" w:eastAsia="Palatino Linotype" w:hAnsi="Palatino Linotype" w:cs="Palatino Linotype"/>
        </w:rPr>
        <w:t>procedibilidad</w:t>
      </w:r>
      <w:proofErr w:type="spellEnd"/>
      <w:r w:rsidRPr="003B5CE8">
        <w:rPr>
          <w:rFonts w:ascii="Palatino Linotype" w:eastAsia="Palatino Linotype" w:hAnsi="Palatino Linotype" w:cs="Palatino Linotype"/>
        </w:rPr>
        <w:t xml:space="preserve"> contemplados en las fracciones de dicho precepto legal.  </w:t>
      </w:r>
    </w:p>
    <w:p w:rsidR="003617C4" w:rsidRPr="003B5CE8" w:rsidRDefault="003617C4" w:rsidP="003B5CE8">
      <w:pPr>
        <w:spacing w:line="360" w:lineRule="auto"/>
        <w:ind w:right="49"/>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b/>
        </w:rPr>
      </w:pPr>
      <w:r w:rsidRPr="003B5CE8">
        <w:rPr>
          <w:rFonts w:ascii="Palatino Linotype" w:eastAsia="Palatino Linotype" w:hAnsi="Palatino Linotype" w:cs="Palatino Linotype"/>
          <w:b/>
          <w:sz w:val="28"/>
          <w:szCs w:val="28"/>
        </w:rPr>
        <w:t>QUINTO</w:t>
      </w:r>
      <w:r w:rsidRPr="003B5CE8">
        <w:rPr>
          <w:rFonts w:ascii="Palatino Linotype" w:eastAsia="Palatino Linotype" w:hAnsi="Palatino Linotype" w:cs="Palatino Linotype"/>
          <w:b/>
        </w:rPr>
        <w:t xml:space="preserve">. Estudio y resolución del asunto. </w:t>
      </w:r>
    </w:p>
    <w:p w:rsidR="003617C4" w:rsidRPr="003B5CE8" w:rsidRDefault="003F5539" w:rsidP="003B5CE8">
      <w:pPr>
        <w:tabs>
          <w:tab w:val="left" w:pos="709"/>
        </w:tabs>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En primera instancia es importante recordar que, </w:t>
      </w:r>
      <w:r w:rsidRPr="003B5CE8">
        <w:rPr>
          <w:rFonts w:ascii="Palatino Linotype" w:eastAsia="Palatino Linotype" w:hAnsi="Palatino Linotype" w:cs="Palatino Linotype"/>
          <w:b/>
        </w:rPr>
        <w:t>EL RECURRENTE</w:t>
      </w:r>
      <w:r w:rsidRPr="003B5CE8">
        <w:rPr>
          <w:rFonts w:ascii="Palatino Linotype" w:eastAsia="Palatino Linotype" w:hAnsi="Palatino Linotype" w:cs="Palatino Linotype"/>
        </w:rPr>
        <w:t xml:space="preserve"> solicitó al </w:t>
      </w:r>
      <w:r w:rsidRPr="003B5CE8">
        <w:rPr>
          <w:rFonts w:ascii="Palatino Linotype" w:eastAsia="Palatino Linotype" w:hAnsi="Palatino Linotype" w:cs="Palatino Linotype"/>
          <w:b/>
        </w:rPr>
        <w:t>SUJETO OBLIGADO</w:t>
      </w:r>
      <w:r w:rsidRPr="003B5CE8">
        <w:rPr>
          <w:rFonts w:ascii="Palatino Linotype" w:eastAsia="Palatino Linotype" w:hAnsi="Palatino Linotype" w:cs="Palatino Linotype"/>
        </w:rPr>
        <w:t xml:space="preserve"> lo siguiente: </w:t>
      </w:r>
    </w:p>
    <w:p w:rsidR="003617C4" w:rsidRPr="003B5CE8" w:rsidRDefault="003F5539" w:rsidP="003B5CE8">
      <w:pPr>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“Solicito conocer el estado que guarda el centro de monitoreo y vigilancia del Municipio de Almoloya del rio y características técnicas de los equipos instalados (Modelo, Marca, Tipo de Antena, Capacidad de Disco Duro, Resolución y temporalidad de Grabación), así como el contrato de adquisición de dicho sistema y póliza de mantenimiento o revisión si cuenta con ello..” (</w:t>
      </w:r>
      <w:proofErr w:type="gramStart"/>
      <w:r w:rsidRPr="003B5CE8">
        <w:rPr>
          <w:rFonts w:ascii="Palatino Linotype" w:eastAsia="Palatino Linotype" w:hAnsi="Palatino Linotype" w:cs="Palatino Linotype"/>
          <w:i/>
          <w:sz w:val="22"/>
          <w:szCs w:val="22"/>
        </w:rPr>
        <w:t>sic</w:t>
      </w:r>
      <w:proofErr w:type="gramEnd"/>
      <w:r w:rsidRPr="003B5CE8">
        <w:rPr>
          <w:rFonts w:ascii="Palatino Linotype" w:eastAsia="Palatino Linotype" w:hAnsi="Palatino Linotype" w:cs="Palatino Linotype"/>
          <w:i/>
          <w:sz w:val="22"/>
          <w:szCs w:val="22"/>
        </w:rPr>
        <w:t>)</w:t>
      </w:r>
    </w:p>
    <w:p w:rsidR="003617C4" w:rsidRPr="003B5CE8" w:rsidRDefault="003617C4" w:rsidP="003B5CE8">
      <w:pPr>
        <w:ind w:left="850" w:right="899"/>
        <w:jc w:val="both"/>
        <w:rPr>
          <w:rFonts w:ascii="Palatino Linotype" w:eastAsia="Palatino Linotype" w:hAnsi="Palatino Linotype" w:cs="Palatino Linotype"/>
        </w:rPr>
      </w:pPr>
    </w:p>
    <w:p w:rsidR="003617C4" w:rsidRPr="003B5CE8" w:rsidRDefault="003F5539" w:rsidP="003B5CE8">
      <w:pPr>
        <w:tabs>
          <w:tab w:val="left" w:pos="2422"/>
        </w:tabs>
        <w:spacing w:before="280" w:after="280" w:line="360" w:lineRule="auto"/>
        <w:ind w:right="49"/>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A lo que, </w:t>
      </w:r>
      <w:r w:rsidRPr="003B5CE8">
        <w:rPr>
          <w:rFonts w:ascii="Palatino Linotype" w:eastAsia="Palatino Linotype" w:hAnsi="Palatino Linotype" w:cs="Palatino Linotype"/>
          <w:b/>
        </w:rPr>
        <w:t>EL SUJETO OBLIGADO</w:t>
      </w:r>
      <w:r w:rsidRPr="003B5CE8">
        <w:rPr>
          <w:rFonts w:ascii="Palatino Linotype" w:eastAsia="Palatino Linotype" w:hAnsi="Palatino Linotype" w:cs="Palatino Linotype"/>
        </w:rPr>
        <w:t xml:space="preserve"> en respuesta refirió la clasificación de la información, motivo por el cual el particular se inconforma refiriendo que no se fundamentó y ni motivo de forma correcta dicha clasificación lo que en consecuencia actualiza las causales de procedencia previstas por la Ley de Transparencia y Acceso a la Información Pública del Estado de México y Municipios en su artículo 179 fracciones II y XIII  que establecen lo siguiente:  </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lastRenderedPageBreak/>
        <w:t>“</w:t>
      </w:r>
      <w:r w:rsidRPr="003B5CE8">
        <w:rPr>
          <w:rFonts w:ascii="Palatino Linotype" w:eastAsia="Palatino Linotype" w:hAnsi="Palatino Linotype" w:cs="Palatino Linotype"/>
          <w:b/>
          <w:i/>
          <w:sz w:val="22"/>
          <w:szCs w:val="22"/>
        </w:rPr>
        <w:t xml:space="preserve">Artículo 179. </w:t>
      </w:r>
      <w:r w:rsidRPr="003B5CE8">
        <w:rPr>
          <w:rFonts w:ascii="Palatino Linotype" w:eastAsia="Palatino Linotype" w:hAnsi="Palatino Linotype" w:cs="Palatino Linotype"/>
          <w:i/>
          <w:sz w:val="22"/>
          <w:szCs w:val="22"/>
        </w:rPr>
        <w:t>El recurso de revisión es un medio de protección que la Ley otorga a los particulares,</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proofErr w:type="gramStart"/>
      <w:r w:rsidRPr="003B5CE8">
        <w:rPr>
          <w:rFonts w:ascii="Palatino Linotype" w:eastAsia="Palatino Linotype" w:hAnsi="Palatino Linotype" w:cs="Palatino Linotype"/>
          <w:i/>
          <w:sz w:val="22"/>
          <w:szCs w:val="22"/>
        </w:rPr>
        <w:t>para</w:t>
      </w:r>
      <w:proofErr w:type="gramEnd"/>
      <w:r w:rsidRPr="003B5CE8">
        <w:rPr>
          <w:rFonts w:ascii="Palatino Linotype" w:eastAsia="Palatino Linotype" w:hAnsi="Palatino Linotype" w:cs="Palatino Linotype"/>
          <w:i/>
          <w:sz w:val="22"/>
          <w:szCs w:val="22"/>
        </w:rPr>
        <w:t xml:space="preserve"> hacer valer su derecho de acceso a la información pública, y procederá en contra de las siguientes</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proofErr w:type="gramStart"/>
      <w:r w:rsidRPr="003B5CE8">
        <w:rPr>
          <w:rFonts w:ascii="Palatino Linotype" w:eastAsia="Palatino Linotype" w:hAnsi="Palatino Linotype" w:cs="Palatino Linotype"/>
          <w:i/>
          <w:sz w:val="22"/>
          <w:szCs w:val="22"/>
        </w:rPr>
        <w:t>causas</w:t>
      </w:r>
      <w:proofErr w:type="gramEnd"/>
      <w:r w:rsidRPr="003B5CE8">
        <w:rPr>
          <w:rFonts w:ascii="Palatino Linotype" w:eastAsia="Palatino Linotype" w:hAnsi="Palatino Linotype" w:cs="Palatino Linotype"/>
          <w:i/>
          <w:sz w:val="22"/>
          <w:szCs w:val="22"/>
        </w:rPr>
        <w:t>:</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I. La negativa a la información solicitada;</w:t>
      </w:r>
    </w:p>
    <w:p w:rsidR="003617C4" w:rsidRPr="003B5CE8" w:rsidRDefault="003F5539" w:rsidP="003B5CE8">
      <w:pPr>
        <w:tabs>
          <w:tab w:val="left" w:pos="2422"/>
        </w:tabs>
        <w:ind w:left="855" w:right="899"/>
        <w:jc w:val="both"/>
        <w:rPr>
          <w:rFonts w:ascii="Palatino Linotype" w:eastAsia="Palatino Linotype" w:hAnsi="Palatino Linotype" w:cs="Palatino Linotype"/>
          <w:b/>
          <w:i/>
          <w:sz w:val="22"/>
          <w:szCs w:val="22"/>
        </w:rPr>
      </w:pPr>
      <w:r w:rsidRPr="003B5CE8">
        <w:rPr>
          <w:rFonts w:ascii="Palatino Linotype" w:eastAsia="Palatino Linotype" w:hAnsi="Palatino Linotype" w:cs="Palatino Linotype"/>
          <w:b/>
          <w:i/>
          <w:sz w:val="22"/>
          <w:szCs w:val="22"/>
        </w:rPr>
        <w:t>II. La clasificación de la información;</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III. La declaración de inexistencia de la información;</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IV. La declaración de incompetencia por el sujeto obligado;</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V. La entrega de información incompleta;</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VI. La entrega de información que no corresponda con lo solicitado;</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VII. La falta de respuesta a una solicitud de acceso a la información;</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VIII. La notificación, entrega o puesta a disposición de información en una modalidad o formato distinto al solicitado;</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IX. La entrega o puesta a disposición de información en un formato incomprensible y/o no accesible para el solicitante;</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X. Los costos o tiempos de entrega de la información;</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XI. La falta de trámite a una solicitud;</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XII. La negativa a permitir la consulta directa de la información;</w:t>
      </w:r>
    </w:p>
    <w:p w:rsidR="003617C4" w:rsidRPr="003B5CE8" w:rsidRDefault="003F5539" w:rsidP="003B5CE8">
      <w:pPr>
        <w:tabs>
          <w:tab w:val="left" w:pos="2422"/>
        </w:tabs>
        <w:ind w:left="855" w:right="899"/>
        <w:jc w:val="both"/>
        <w:rPr>
          <w:rFonts w:ascii="Palatino Linotype" w:eastAsia="Palatino Linotype" w:hAnsi="Palatino Linotype" w:cs="Palatino Linotype"/>
          <w:b/>
          <w:i/>
          <w:sz w:val="22"/>
          <w:szCs w:val="22"/>
        </w:rPr>
      </w:pPr>
      <w:r w:rsidRPr="003B5CE8">
        <w:rPr>
          <w:rFonts w:ascii="Palatino Linotype" w:eastAsia="Palatino Linotype" w:hAnsi="Palatino Linotype" w:cs="Palatino Linotype"/>
          <w:b/>
          <w:i/>
          <w:sz w:val="22"/>
          <w:szCs w:val="22"/>
        </w:rPr>
        <w:t>XIII. La falta, deficiencia o insuficiencia de la fundamentación y/o motivación en la respuesta; y</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XIV. La orientación a un trámite específico.</w:t>
      </w:r>
    </w:p>
    <w:p w:rsidR="003617C4" w:rsidRPr="003B5CE8" w:rsidRDefault="003F5539" w:rsidP="003B5CE8">
      <w:pPr>
        <w:tabs>
          <w:tab w:val="left" w:pos="2422"/>
        </w:tabs>
        <w:ind w:left="855"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3B5CE8">
        <w:rPr>
          <w:rFonts w:ascii="Palatino Linotype" w:eastAsia="Palatino Linotype" w:hAnsi="Palatino Linotype" w:cs="Palatino Linotype"/>
          <w:i/>
          <w:sz w:val="22"/>
          <w:szCs w:val="22"/>
        </w:rPr>
        <w:br/>
        <w:t>(</w:t>
      </w:r>
      <w:proofErr w:type="gramStart"/>
      <w:r w:rsidRPr="003B5CE8">
        <w:rPr>
          <w:rFonts w:ascii="Palatino Linotype" w:eastAsia="Palatino Linotype" w:hAnsi="Palatino Linotype" w:cs="Palatino Linotype"/>
          <w:i/>
          <w:sz w:val="22"/>
          <w:szCs w:val="22"/>
        </w:rPr>
        <w:t>énfasis</w:t>
      </w:r>
      <w:proofErr w:type="gramEnd"/>
      <w:r w:rsidRPr="003B5CE8">
        <w:rPr>
          <w:rFonts w:ascii="Palatino Linotype" w:eastAsia="Palatino Linotype" w:hAnsi="Palatino Linotype" w:cs="Palatino Linotype"/>
          <w:i/>
          <w:sz w:val="22"/>
          <w:szCs w:val="22"/>
        </w:rPr>
        <w:t xml:space="preserve"> añadido)</w:t>
      </w:r>
    </w:p>
    <w:p w:rsidR="003617C4" w:rsidRPr="003B5CE8" w:rsidRDefault="003F5539" w:rsidP="003B5CE8">
      <w:pPr>
        <w:tabs>
          <w:tab w:val="left" w:pos="2422"/>
        </w:tabs>
        <w:spacing w:before="280" w:after="280" w:line="360" w:lineRule="auto"/>
        <w:ind w:right="49"/>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Por lo que, lo procedente es analizar la totalidad de las constancias que obran en el expediente electrónico del SAIMEX del presente asunto, para determinar si con las mismas se puede tener por satisfecho el derecho de acceso a la información del particular. </w:t>
      </w:r>
    </w:p>
    <w:p w:rsidR="003617C4" w:rsidRPr="003B5CE8" w:rsidRDefault="003F5539" w:rsidP="003B5CE8">
      <w:pPr>
        <w:tabs>
          <w:tab w:val="left" w:pos="709"/>
        </w:tabs>
        <w:spacing w:line="360" w:lineRule="auto"/>
        <w:ind w:right="49"/>
        <w:jc w:val="both"/>
        <w:rPr>
          <w:rFonts w:ascii="Palatino Linotype" w:eastAsia="Palatino Linotype" w:hAnsi="Palatino Linotype" w:cs="Palatino Linotype"/>
        </w:rPr>
      </w:pPr>
      <w:r w:rsidRPr="003B5CE8">
        <w:rPr>
          <w:rFonts w:ascii="Palatino Linotype" w:eastAsia="Palatino Linotype" w:hAnsi="Palatino Linotype" w:cs="Palatino Linotype"/>
        </w:rPr>
        <w:lastRenderedPageBreak/>
        <w:t>En tal sentido, la Ley de Transparencia y Acceso a la Información Pública del Estado de México y Municipios que en su artículo 4, refiere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3617C4" w:rsidRPr="003B5CE8" w:rsidRDefault="003F5539" w:rsidP="003B5CE8">
      <w:pPr>
        <w:spacing w:before="240"/>
        <w:ind w:left="709" w:right="76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w:t>
      </w:r>
      <w:r w:rsidRPr="003B5CE8">
        <w:rPr>
          <w:rFonts w:ascii="Palatino Linotype" w:eastAsia="Palatino Linotype" w:hAnsi="Palatino Linotype" w:cs="Palatino Linotype"/>
          <w:b/>
          <w:i/>
          <w:sz w:val="22"/>
          <w:szCs w:val="22"/>
        </w:rPr>
        <w:t>Artículo 4</w:t>
      </w:r>
      <w:r w:rsidRPr="003B5CE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617C4" w:rsidRPr="003B5CE8" w:rsidRDefault="003F5539" w:rsidP="003B5CE8">
      <w:pPr>
        <w:ind w:left="709" w:right="76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B5CE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617C4" w:rsidRPr="003B5CE8" w:rsidRDefault="003F5539" w:rsidP="003B5CE8">
      <w:pPr>
        <w:ind w:left="709" w:right="76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B5CE8">
        <w:rPr>
          <w:rFonts w:ascii="Palatino Linotype" w:eastAsia="Palatino Linotype" w:hAnsi="Palatino Linotype" w:cs="Palatino Linotype"/>
          <w:i/>
          <w:sz w:val="22"/>
          <w:szCs w:val="22"/>
        </w:rPr>
        <w:t>.”(Sic)</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w:t>
      </w:r>
      <w:r w:rsidRPr="003B5CE8">
        <w:rPr>
          <w:rFonts w:ascii="Palatino Linotype" w:eastAsia="Palatino Linotype" w:hAnsi="Palatino Linotype" w:cs="Palatino Linotype"/>
        </w:rPr>
        <w:lastRenderedPageBreak/>
        <w:t>solicitante; como así lo establece el artículo 12 de la Ley de Transparencia y Acceso a la Información Pública del Estado de México y Municipios, que a la letra dice:</w:t>
      </w:r>
    </w:p>
    <w:p w:rsidR="003617C4" w:rsidRPr="003B5CE8" w:rsidRDefault="003F5539" w:rsidP="003B5CE8">
      <w:pPr>
        <w:ind w:left="567" w:right="758"/>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“Artículo 12.-</w:t>
      </w:r>
      <w:r w:rsidRPr="003B5CE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617C4" w:rsidRPr="003B5CE8" w:rsidRDefault="003617C4" w:rsidP="003B5CE8">
      <w:pPr>
        <w:ind w:left="567" w:right="758"/>
        <w:jc w:val="both"/>
        <w:rPr>
          <w:rFonts w:ascii="Palatino Linotype" w:eastAsia="Palatino Linotype" w:hAnsi="Palatino Linotype" w:cs="Palatino Linotype"/>
          <w:i/>
          <w:sz w:val="22"/>
          <w:szCs w:val="22"/>
        </w:rPr>
      </w:pPr>
    </w:p>
    <w:p w:rsidR="003617C4" w:rsidRPr="003B5CE8" w:rsidRDefault="003F5539" w:rsidP="003B5CE8">
      <w:pPr>
        <w:ind w:left="567" w:right="758"/>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B5CE8">
        <w:rPr>
          <w:rFonts w:ascii="Palatino Linotype" w:eastAsia="Palatino Linotype" w:hAnsi="Palatino Linotype" w:cs="Palatino Linotype"/>
          <w:i/>
          <w:sz w:val="22"/>
          <w:szCs w:val="22"/>
        </w:rPr>
        <w:t xml:space="preserve">. </w:t>
      </w:r>
      <w:r w:rsidRPr="003B5CE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3617C4" w:rsidRPr="003B5CE8" w:rsidRDefault="003617C4" w:rsidP="003B5CE8">
      <w:pPr>
        <w:spacing w:line="360" w:lineRule="auto"/>
        <w:ind w:right="-93"/>
        <w:jc w:val="both"/>
        <w:rPr>
          <w:rFonts w:ascii="Palatino Linotype" w:eastAsia="Palatino Linotype" w:hAnsi="Palatino Linotype" w:cs="Palatino Linotype"/>
        </w:rPr>
      </w:pPr>
    </w:p>
    <w:p w:rsidR="003617C4" w:rsidRPr="003B5CE8" w:rsidRDefault="003F5539" w:rsidP="003B5CE8">
      <w:pPr>
        <w:spacing w:line="360" w:lineRule="auto"/>
        <w:ind w:right="-93"/>
        <w:jc w:val="both"/>
        <w:rPr>
          <w:rFonts w:ascii="Palatino Linotype" w:eastAsia="Palatino Linotype" w:hAnsi="Palatino Linotype" w:cs="Palatino Linotype"/>
        </w:rPr>
      </w:pPr>
      <w:r w:rsidRPr="003B5CE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3617C4" w:rsidRPr="003B5CE8" w:rsidRDefault="003617C4" w:rsidP="003B5CE8">
      <w:pPr>
        <w:spacing w:line="360" w:lineRule="auto"/>
        <w:ind w:right="-93"/>
        <w:jc w:val="both"/>
        <w:rPr>
          <w:rFonts w:ascii="Palatino Linotype" w:eastAsia="Palatino Linotype" w:hAnsi="Palatino Linotype" w:cs="Palatino Linotype"/>
        </w:rPr>
      </w:pPr>
    </w:p>
    <w:p w:rsidR="003617C4" w:rsidRPr="003B5CE8" w:rsidRDefault="003F5539" w:rsidP="003B5CE8">
      <w:pPr>
        <w:tabs>
          <w:tab w:val="left" w:pos="709"/>
        </w:tabs>
        <w:spacing w:line="360" w:lineRule="auto"/>
        <w:ind w:right="49"/>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Por lo que se debe resaltar que con las manifestaciones hechas valer por el </w:t>
      </w:r>
      <w:r w:rsidRPr="003B5CE8">
        <w:rPr>
          <w:rFonts w:ascii="Palatino Linotype" w:eastAsia="Palatino Linotype" w:hAnsi="Palatino Linotype" w:cs="Palatino Linotype"/>
          <w:b/>
        </w:rPr>
        <w:t>SUJETO OBLIGADO</w:t>
      </w:r>
      <w:r w:rsidRPr="003B5CE8">
        <w:rPr>
          <w:rFonts w:ascii="Palatino Linotype" w:eastAsia="Palatino Linotype" w:hAnsi="Palatino Linotype" w:cs="Palatino Linotype"/>
        </w:rPr>
        <w:t xml:space="preserve"> en su respuesta proporcionada en el SAIMEX, éste no niega contar con la información solicitada por el recurrente, sino por el contrario, asume que la tiene al hacer la reserva de la información solicitada, por lo cual, la competencia del </w:t>
      </w:r>
      <w:r w:rsidRPr="003B5CE8">
        <w:rPr>
          <w:rFonts w:ascii="Palatino Linotype" w:eastAsia="Palatino Linotype" w:hAnsi="Palatino Linotype" w:cs="Palatino Linotype"/>
        </w:rPr>
        <w:lastRenderedPageBreak/>
        <w:t>Ayuntamiento de Almoloya del Río para generar la información solicitada, en el caso concreto, se obvia.</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widowControl w:val="0"/>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Lo anterior es así, ya que el estudio enunciado tiene por objeto determinar si el </w:t>
      </w:r>
      <w:r w:rsidRPr="003B5CE8">
        <w:rPr>
          <w:rFonts w:ascii="Palatino Linotype" w:eastAsia="Palatino Linotype" w:hAnsi="Palatino Linotype" w:cs="Palatino Linotype"/>
          <w:b/>
        </w:rPr>
        <w:t>SUJETO OBLIGADO</w:t>
      </w:r>
      <w:r w:rsidRPr="003B5CE8">
        <w:rPr>
          <w:rFonts w:ascii="Palatino Linotype" w:eastAsia="Palatino Linotype" w:hAnsi="Palatino Linotype" w:cs="Palatino Linotype"/>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3B5CE8">
        <w:rPr>
          <w:rFonts w:ascii="Palatino Linotype" w:eastAsia="Palatino Linotype" w:hAnsi="Palatino Linotype" w:cs="Palatino Linotype"/>
          <w:b/>
        </w:rPr>
        <w:t xml:space="preserve">SUJETO OBLIGADO, </w:t>
      </w:r>
      <w:r w:rsidRPr="003B5CE8">
        <w:rPr>
          <w:rFonts w:ascii="Palatino Linotype" w:eastAsia="Palatino Linotype" w:hAnsi="Palatino Linotype" w:cs="Palatino Linotype"/>
        </w:rPr>
        <w:t>lo anterior conforme al criterio 29/2010 del Instituto Nacional de Transparencia, Acceso a la Información Pública y Protección de Datos Personales, que señala:</w:t>
      </w:r>
    </w:p>
    <w:p w:rsidR="003617C4" w:rsidRPr="003B5CE8" w:rsidRDefault="003F5539" w:rsidP="003B5CE8">
      <w:pPr>
        <w:ind w:left="851" w:right="90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“La clasificación y la inexistencia de información son conceptos que no pueden coexistir.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w:t>
      </w:r>
      <w:proofErr w:type="spellStart"/>
      <w:r w:rsidRPr="003B5CE8">
        <w:rPr>
          <w:rFonts w:ascii="Palatino Linotype" w:eastAsia="Palatino Linotype" w:hAnsi="Palatino Linotype" w:cs="Palatino Linotype"/>
          <w:i/>
          <w:sz w:val="22"/>
          <w:szCs w:val="22"/>
        </w:rPr>
        <w:t>trate.l</w:t>
      </w:r>
      <w:proofErr w:type="spellEnd"/>
      <w:r w:rsidRPr="003B5CE8">
        <w:rPr>
          <w:rFonts w:ascii="Palatino Linotype" w:eastAsia="Palatino Linotype" w:hAnsi="Palatino Linotype" w:cs="Palatino Linotype"/>
          <w:i/>
          <w:sz w:val="22"/>
          <w:szCs w:val="22"/>
        </w:rPr>
        <w:t>” (Sic)</w:t>
      </w:r>
    </w:p>
    <w:p w:rsidR="003617C4" w:rsidRPr="003B5CE8" w:rsidRDefault="003617C4" w:rsidP="003B5CE8">
      <w:pPr>
        <w:spacing w:after="280"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lastRenderedPageBreak/>
        <w:t xml:space="preserve">Una vez referido lo anterior, toda vez que se trata de la clasificación de información,  es importante referir que la Ley de Transparencia y Acceso a la Información pública del Estado de México y Municipios en cita, define como información de interés público, a aquella que resulta relevante o beneficiosa para la sociedad y no simplemente de interés individual, cuya divulgación resulta útil para que el público comprenda las actividades que llevan a cabo los sujetos obligados, definiendo también como </w:t>
      </w:r>
      <w:r w:rsidRPr="003B5CE8">
        <w:rPr>
          <w:rFonts w:ascii="Palatino Linotype" w:eastAsia="Palatino Linotype" w:hAnsi="Palatino Linotype" w:cs="Palatino Linotype"/>
          <w:b/>
        </w:rPr>
        <w:t>información reservada a la información pública clasificada con este carácter de manera temporal por las disposiciones de la Ley de la Materia, cuya divulgación puede causar daños a la seguridad pública</w:t>
      </w:r>
      <w:r w:rsidRPr="003B5CE8">
        <w:rPr>
          <w:rFonts w:ascii="Palatino Linotype" w:eastAsia="Palatino Linotype" w:hAnsi="Palatino Linotype" w:cs="Palatino Linotype"/>
        </w:rPr>
        <w:t>, y como información confidencial, los secretos bancario, fiduciario, industrial, comercial, fiscal, bursátil y postal, cuya titularidad corresponda a particulares, sujetos de derecho internacional o sujetos obligados cuando no involucren el ejercicio de recursos públicos.</w:t>
      </w:r>
    </w:p>
    <w:p w:rsidR="003617C4" w:rsidRPr="003B5CE8" w:rsidRDefault="003F5539" w:rsidP="003B5CE8">
      <w:pPr>
        <w:spacing w:before="240"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La misma norma referida, considera en su artículo 140 que el acceso a la información pública será restringido excepcionalmente por razones de interés público, cuando esta sea clasificada </w:t>
      </w:r>
      <w:r w:rsidRPr="003B5CE8">
        <w:rPr>
          <w:rFonts w:ascii="Palatino Linotype" w:eastAsia="Palatino Linotype" w:hAnsi="Palatino Linotype" w:cs="Palatino Linotype"/>
          <w:b/>
        </w:rPr>
        <w:t>como reservada porque se comprometa la seguridad pública</w:t>
      </w:r>
      <w:r w:rsidRPr="003B5CE8">
        <w:rPr>
          <w:rFonts w:ascii="Palatino Linotype" w:eastAsia="Palatino Linotype" w:hAnsi="Palatino Linotype" w:cs="Palatino Linotype"/>
        </w:rPr>
        <w:t>, así como aquella que pueda causar daño u obstruya la prevención o persecución de los delitos, la impartición de justicia, se ponga en riesgo la vida o la seguridad de una persona, entre otras.</w:t>
      </w:r>
    </w:p>
    <w:p w:rsidR="003617C4" w:rsidRPr="003B5CE8" w:rsidRDefault="003F5539" w:rsidP="003B5CE8">
      <w:pPr>
        <w:spacing w:before="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En relación con las implicaciones anteriores, cabe considerar que la </w:t>
      </w:r>
      <w:r w:rsidRPr="003B5CE8">
        <w:rPr>
          <w:rFonts w:ascii="Palatino Linotype" w:eastAsia="Palatino Linotype" w:hAnsi="Palatino Linotype" w:cs="Palatino Linotype"/>
          <w:i/>
        </w:rPr>
        <w:t>clasificación</w:t>
      </w:r>
      <w:r w:rsidRPr="003B5CE8">
        <w:rPr>
          <w:rFonts w:ascii="Palatino Linotype" w:eastAsia="Palatino Linotype" w:hAnsi="Palatino Linotype" w:cs="Palatino Linotype"/>
        </w:rPr>
        <w:t xml:space="preserve"> es el proceso mediante el cual los sujetos obligados determinan si respecto de la información que obra en su poder se actualiza alguno de los supuestos de reserva o </w:t>
      </w:r>
      <w:r w:rsidRPr="003B5CE8">
        <w:rPr>
          <w:rFonts w:ascii="Palatino Linotype" w:eastAsia="Palatino Linotype" w:hAnsi="Palatino Linotype" w:cs="Palatino Linotype"/>
        </w:rPr>
        <w:lastRenderedPageBreak/>
        <w:t>confidencialidad, y para ello, los titulares de las áreas son los responsables de clasificar la información mediante el Comité de Transparencia por ser la autoridad máxima al interior de los sujetos obligados, siendo éste un Cuerpo Colegiado que se integra para resolver sobre la información que debe clasificarse, así como para atender y resolver los requerimientos de las Unidades de Transparencia y del Instituto.</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Asimismo, la Ley de la Materia establece que la clasificación de la información como reservada permanecerá con tal carácter hasta por un periodo de cinco años contados a partir de su clasificación, salvo que antes de su cumplimiento dejaran de existir los motivos de su reserva, pero excepcionalmente y con aprobación del Comité de Transparencia los sujetos obligados podrán ampliar el periodo de reserva hasta por un periodo de cinco años adicionales y por una sola vez, siempre y cuando justifiquen que subsistente las causas que dieron origen a su clasificación, mediante la aplicación de una prueba de daño, lo que implica que cada área deba elaborar un índice de los expedientes clasificados como reservados, el cual deberá elaborarse semestralmente y publicarse en formatos abiertos al día siguiente de su elaboración, en virtud de que tienen el carácter de información pública.</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Ahora bien, para motivar la clasificación de la información o en su caso, la ampliación del plazo de reserva, se deberán señalar las razones, motivos o circunstancias especiales que llevaron al sujeto obligado a concluir que el caso particular se ajusta a los supuestos previstos en el artículo 140 de la Ley de Transparencia en la entidad, debiendo en todo </w:t>
      </w:r>
      <w:r w:rsidRPr="003B5CE8">
        <w:rPr>
          <w:rFonts w:ascii="Palatino Linotype" w:eastAsia="Palatino Linotype" w:hAnsi="Palatino Linotype" w:cs="Palatino Linotype"/>
        </w:rPr>
        <w:lastRenderedPageBreak/>
        <w:t>momento aplicar la prueba de daño</w:t>
      </w:r>
      <w:r w:rsidRPr="003B5CE8">
        <w:rPr>
          <w:rFonts w:ascii="Palatino Linotype" w:eastAsia="Palatino Linotype" w:hAnsi="Palatino Linotype" w:cs="Palatino Linotype"/>
          <w:vertAlign w:val="superscript"/>
        </w:rPr>
        <w:footnoteReference w:id="1"/>
      </w:r>
      <w:r w:rsidRPr="003B5CE8">
        <w:rPr>
          <w:rFonts w:ascii="Palatino Linotype" w:eastAsia="Palatino Linotype" w:hAnsi="Palatino Linotype" w:cs="Palatino Linotype"/>
        </w:rPr>
        <w:t xml:space="preserve"> y hacer mención del plazo al que estará sujeto la reserva.</w:t>
      </w:r>
    </w:p>
    <w:p w:rsidR="003617C4" w:rsidRPr="003B5CE8" w:rsidRDefault="003F5539" w:rsidP="003B5CE8">
      <w:pPr>
        <w:spacing w:before="240"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Así,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la materia como información clasificada, en ningún caso se podrán clasificar documentos antes de que se genere la información.</w:t>
      </w:r>
    </w:p>
    <w:p w:rsidR="003617C4" w:rsidRPr="003B5CE8" w:rsidRDefault="003F5539" w:rsidP="003B5CE8">
      <w:pPr>
        <w:spacing w:before="240"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En los casos en que la información solicitada por los particulares actualice algún supuesto de información reservada, les corresponde a los sujetos obligados la carga de la prueba para justificar la negativa de acceso a la información.</w:t>
      </w: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Finalmente,</w:t>
      </w:r>
      <w:r w:rsidRPr="003B5CE8">
        <w:rPr>
          <w:rFonts w:ascii="Palatino Linotype" w:eastAsia="Palatino Linotype" w:hAnsi="Palatino Linotype" w:cs="Palatino Linotype"/>
          <w:b/>
        </w:rPr>
        <w:t xml:space="preserve"> </w:t>
      </w:r>
      <w:r w:rsidRPr="003B5CE8">
        <w:rPr>
          <w:rFonts w:ascii="Palatino Linotype" w:eastAsia="Palatino Linotype" w:hAnsi="Palatino Linotype" w:cs="Palatino Linotype"/>
        </w:rPr>
        <w:t xml:space="preserve">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w:t>
      </w:r>
      <w:r w:rsidRPr="003B5CE8">
        <w:rPr>
          <w:rFonts w:ascii="Palatino Linotype" w:eastAsia="Palatino Linotype" w:hAnsi="Palatino Linotype" w:cs="Palatino Linotype"/>
        </w:rPr>
        <w:lastRenderedPageBreak/>
        <w:t xml:space="preserve">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rsidR="003617C4" w:rsidRPr="003B5CE8" w:rsidRDefault="003F5539" w:rsidP="003B5CE8">
      <w:pPr>
        <w:spacing w:before="240"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Lo anterior es de suma importancia, ya que dichas consideraciones no fueron tomadas en cuenta por el </w:t>
      </w:r>
      <w:r w:rsidRPr="003B5CE8">
        <w:rPr>
          <w:rFonts w:ascii="Palatino Linotype" w:eastAsia="Palatino Linotype" w:hAnsi="Palatino Linotype" w:cs="Palatino Linotype"/>
          <w:b/>
        </w:rPr>
        <w:t>SUJETO OBLIGADO</w:t>
      </w:r>
      <w:r w:rsidRPr="003B5CE8">
        <w:rPr>
          <w:rFonts w:ascii="Palatino Linotype" w:eastAsia="Palatino Linotype" w:hAnsi="Palatino Linotype" w:cs="Palatino Linotype"/>
        </w:rPr>
        <w:t xml:space="preserve">, en al momento determinar la clasificación de la información reservada la relacionada a la solicitud número 00124/ALMORI/IP/2022; toda vez que únicamente se trata del pronunciamiento del Director de Seguridad Pública y Protección Civil, sin que se advierta acuerdo emitido por el Comité de Transparencia debidamente fundado y motivado de acuerdo con lo establecido por el artículo 113 de la Ley General de Transparencia y Acceso a la Información Pública, numeral trigésimo fracción I de los Lineamientos Generales en Materia de Clasificación y Desclasificación de la Información, así como para la Elaboración de Versiones Públicas, así como los artículos 91, 128, 129, 140, fracción I y 141, de la Ley de Transparencia y Acceso a la Información Pública del Estado de México y Municipios. </w:t>
      </w:r>
    </w:p>
    <w:p w:rsidR="003617C4" w:rsidRPr="003B5CE8" w:rsidRDefault="003F5539" w:rsidP="003B5CE8">
      <w:pPr>
        <w:spacing w:before="240" w:after="240" w:line="360" w:lineRule="auto"/>
        <w:jc w:val="both"/>
        <w:rPr>
          <w:rFonts w:ascii="Palatino Linotype" w:eastAsia="Palatino Linotype" w:hAnsi="Palatino Linotype" w:cs="Palatino Linotype"/>
          <w:sz w:val="22"/>
          <w:szCs w:val="22"/>
        </w:rPr>
      </w:pPr>
      <w:r w:rsidRPr="003B5CE8">
        <w:rPr>
          <w:rFonts w:ascii="Palatino Linotype" w:eastAsia="Palatino Linotype" w:hAnsi="Palatino Linotype" w:cs="Palatino Linotype"/>
        </w:rPr>
        <w:t xml:space="preserve">Aunado a ello, este Instituto, considera que la información solicitada por el particular es pública y puede ser entregada en versión pública, por las consideraciones siguientes: </w:t>
      </w: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Los contratos derivados de adquisiciones o adjudicaciones son información que este Organismo Garante considera como pública y puede ser entregada en versión pública; </w:t>
      </w:r>
      <w:r w:rsidRPr="003B5CE8">
        <w:rPr>
          <w:rFonts w:ascii="Palatino Linotype" w:eastAsia="Palatino Linotype" w:hAnsi="Palatino Linotype" w:cs="Palatino Linotype"/>
        </w:rPr>
        <w:lastRenderedPageBreak/>
        <w:t xml:space="preserve">de ahí que, el </w:t>
      </w:r>
      <w:r w:rsidRPr="003B5CE8">
        <w:rPr>
          <w:rFonts w:ascii="Palatino Linotype" w:eastAsia="Palatino Linotype" w:hAnsi="Palatino Linotype" w:cs="Palatino Linotype"/>
          <w:b/>
        </w:rPr>
        <w:t>SUJETO OBLIGADO</w:t>
      </w:r>
      <w:r w:rsidRPr="003B5CE8">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pública, la cual se relaciona con aquella que se genere de acuerdo con sus facultades, atribuciones y obligaciones señaladas por la Ley en la materia</w:t>
      </w:r>
      <w:r w:rsidRPr="003B5CE8">
        <w:rPr>
          <w:rFonts w:ascii="Palatino Linotype" w:eastAsia="Palatino Linotype" w:hAnsi="Palatino Linotype" w:cs="Palatino Linotype"/>
          <w:vertAlign w:val="superscript"/>
        </w:rPr>
        <w:footnoteReference w:id="2"/>
      </w:r>
      <w:r w:rsidRPr="003B5CE8">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B5CE8">
        <w:rPr>
          <w:rFonts w:ascii="Palatino Linotype" w:eastAsia="Palatino Linotype" w:hAnsi="Palatino Linotype" w:cs="Palatino Linotype"/>
          <w:vertAlign w:val="superscript"/>
        </w:rPr>
        <w:footnoteReference w:id="3"/>
      </w:r>
      <w:r w:rsidRPr="003B5CE8">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En ese sentido, sobre los procedimientos de licitación pública, o bien, de manera excepcional, mediante los procedimientos de invitación restringida y adjudicación directa, se trata de una obligación de transparencia que se debe pública en el IPOMEX (Información pública de oficio mexiquense), de la cual se debe generar expediente respectivo, donde podemos encontrar, el contrato y anexos, conforme a lo señalado por el artículo 92, fracción XXIX, de la Ley de la Materia, que señala:</w:t>
      </w:r>
    </w:p>
    <w:p w:rsidR="003617C4" w:rsidRPr="003B5CE8" w:rsidRDefault="003617C4" w:rsidP="003B5CE8">
      <w:pPr>
        <w:ind w:left="992" w:right="1043"/>
        <w:jc w:val="both"/>
        <w:rPr>
          <w:rFonts w:ascii="Palatino Linotype" w:eastAsia="Palatino Linotype" w:hAnsi="Palatino Linotype" w:cs="Palatino Linotype"/>
          <w:i/>
          <w:sz w:val="22"/>
          <w:szCs w:val="22"/>
        </w:rPr>
      </w:pP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lastRenderedPageBreak/>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 xml:space="preserve">XXIX. La información sobre los procesos y resultados sobre procedimientos de </w:t>
      </w:r>
      <w:r w:rsidRPr="003B5CE8">
        <w:rPr>
          <w:rFonts w:ascii="Palatino Linotype" w:eastAsia="Palatino Linotype" w:hAnsi="Palatino Linotype" w:cs="Palatino Linotype"/>
          <w:b/>
          <w:i/>
          <w:sz w:val="22"/>
          <w:szCs w:val="22"/>
          <w:u w:val="single"/>
        </w:rPr>
        <w:t>adjudicación directa, invitación restringida y licitación de cualquier naturaleza</w:t>
      </w:r>
      <w:r w:rsidRPr="003B5CE8">
        <w:rPr>
          <w:rFonts w:ascii="Palatino Linotype" w:eastAsia="Palatino Linotype" w:hAnsi="Palatino Linotype" w:cs="Palatino Linotype"/>
          <w:b/>
          <w:i/>
          <w:sz w:val="22"/>
          <w:szCs w:val="22"/>
        </w:rPr>
        <w:t>, incluyendo la versión pública</w:t>
      </w:r>
      <w:r w:rsidRPr="003B5CE8">
        <w:rPr>
          <w:rFonts w:ascii="Palatino Linotype" w:eastAsia="Palatino Linotype" w:hAnsi="Palatino Linotype" w:cs="Palatino Linotype"/>
          <w:i/>
          <w:sz w:val="22"/>
          <w:szCs w:val="22"/>
        </w:rPr>
        <w:t xml:space="preserve"> del </w:t>
      </w:r>
      <w:r w:rsidRPr="003B5CE8">
        <w:rPr>
          <w:rFonts w:ascii="Palatino Linotype" w:eastAsia="Palatino Linotype" w:hAnsi="Palatino Linotype" w:cs="Palatino Linotype"/>
          <w:b/>
          <w:i/>
          <w:sz w:val="22"/>
          <w:szCs w:val="22"/>
          <w:u w:val="single"/>
        </w:rPr>
        <w:t>expediente respectivo y de los contratos celebrados</w:t>
      </w:r>
      <w:r w:rsidRPr="003B5CE8">
        <w:rPr>
          <w:rFonts w:ascii="Palatino Linotype" w:eastAsia="Palatino Linotype" w:hAnsi="Palatino Linotype" w:cs="Palatino Linotype"/>
          <w:i/>
          <w:sz w:val="22"/>
          <w:szCs w:val="22"/>
        </w:rPr>
        <w:t xml:space="preserve">, que </w:t>
      </w:r>
      <w:r w:rsidRPr="003B5CE8">
        <w:rPr>
          <w:rFonts w:ascii="Palatino Linotype" w:eastAsia="Palatino Linotype" w:hAnsi="Palatino Linotype" w:cs="Palatino Linotype"/>
          <w:b/>
          <w:i/>
          <w:sz w:val="22"/>
          <w:szCs w:val="22"/>
        </w:rPr>
        <w:t>deberán contener, por los menos</w:t>
      </w:r>
      <w:r w:rsidRPr="003B5CE8">
        <w:rPr>
          <w:rFonts w:ascii="Palatino Linotype" w:eastAsia="Palatino Linotype" w:hAnsi="Palatino Linotype" w:cs="Palatino Linotype"/>
          <w:i/>
          <w:sz w:val="22"/>
          <w:szCs w:val="22"/>
        </w:rPr>
        <w:t xml:space="preserve">, lo siguiente: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a) De licitaciones públicas o procedimientos de invitación restringida: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 La convocatoria o invitación emitida, así como los fundamentos legales aplicados para llevarla a cabo;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2) Los nombres de los participantes o invitados;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3) El nombre del ganador y las razones que lo justifican;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4) El área solicitante y la responsable de su ejecución;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5) Las convocatorias e invitaciones emitidas;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6) Los dictámenes y fallo de adjudicación; </w:t>
      </w:r>
    </w:p>
    <w:p w:rsidR="003617C4" w:rsidRPr="003B5CE8" w:rsidRDefault="003F5539" w:rsidP="003B5CE8">
      <w:pPr>
        <w:ind w:left="992" w:right="1043"/>
        <w:jc w:val="both"/>
        <w:rPr>
          <w:rFonts w:ascii="Palatino Linotype" w:eastAsia="Palatino Linotype" w:hAnsi="Palatino Linotype" w:cs="Palatino Linotype"/>
          <w:b/>
          <w:i/>
          <w:sz w:val="22"/>
          <w:szCs w:val="22"/>
          <w:u w:val="single"/>
        </w:rPr>
      </w:pPr>
      <w:r w:rsidRPr="003B5CE8">
        <w:rPr>
          <w:rFonts w:ascii="Palatino Linotype" w:eastAsia="Palatino Linotype" w:hAnsi="Palatino Linotype" w:cs="Palatino Linotype"/>
          <w:b/>
          <w:i/>
          <w:sz w:val="22"/>
          <w:szCs w:val="22"/>
          <w:u w:val="single"/>
        </w:rPr>
        <w:t xml:space="preserve">7) El contrato y, en su caso, sus anexos;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9) La partida presupuestal, de conformidad con el clasificador por objeto del gasto, en el caso de ser aplicable;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rsidR="003617C4" w:rsidRPr="003B5CE8" w:rsidRDefault="003F5539" w:rsidP="003B5CE8">
      <w:pPr>
        <w:ind w:left="992" w:right="1043"/>
        <w:jc w:val="both"/>
      </w:pPr>
      <w:r w:rsidRPr="003B5CE8">
        <w:rPr>
          <w:rFonts w:ascii="Palatino Linotype" w:eastAsia="Palatino Linotype" w:hAnsi="Palatino Linotype" w:cs="Palatino Linotype"/>
          <w:i/>
          <w:sz w:val="22"/>
          <w:szCs w:val="22"/>
        </w:rPr>
        <w:t>11) Los convenios modificatorios que, en su caso, sean firmados, precisando el objeto y la fecha de celebración;</w:t>
      </w:r>
      <w:r w:rsidRPr="003B5CE8">
        <w:t xml:space="preserve">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12) Los informes de avance físico y financiero sobre las obras o servicios contratados;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13) El convenio de terminación; y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14) El finiquito.</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 b) De las adjudicaciones directas: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 La propuesta enviada por el participante;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2) Los motivos y fundamentos legales aplicados para llevarla a cabo;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3) La autorización del ejercicio de la opción;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lastRenderedPageBreak/>
        <w:t xml:space="preserve">4) En su caso, las cotizaciones consideradas, especificando los nombres de los proveedores y sus montos;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5) El nombre de la persona física o jurídica colectiva adjudicada;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6) La unidad administrativa solicitante y la responsable de su ejecución;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7) El número, fecha, el monto del contrato y el plazo de entrega o de ejecución de los servicios u obra;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9) Los informes de avance sobre las obras o servicios contratados;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10) El convenio de terminación; y </w:t>
      </w:r>
    </w:p>
    <w:p w:rsidR="003617C4" w:rsidRPr="003B5CE8" w:rsidRDefault="003F5539" w:rsidP="003B5CE8">
      <w:pPr>
        <w:ind w:left="992" w:right="1043"/>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11) El finiquito.” (Sic) </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Asimismo, al respecto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señalan la forma, temporalidad y criterios (véase </w:t>
      </w:r>
      <w:hyperlink r:id="rId7">
        <w:r w:rsidRPr="003B5CE8">
          <w:rPr>
            <w:rFonts w:ascii="Palatino Linotype" w:eastAsia="Palatino Linotype" w:hAnsi="Palatino Linotype" w:cs="Palatino Linotype"/>
            <w:color w:val="0563C1"/>
            <w:u w:val="single"/>
          </w:rPr>
          <w:t>https://www.transparencia.ipn.mx/Apoyo/SIPOT/LTG_DOF28122020.pdf</w:t>
        </w:r>
      </w:hyperlink>
      <w:r w:rsidRPr="003B5CE8">
        <w:rPr>
          <w:rFonts w:ascii="Palatino Linotype" w:eastAsia="Palatino Linotype" w:hAnsi="Palatino Linotype" w:cs="Palatino Linotype"/>
        </w:rPr>
        <w:t xml:space="preserve">) para publicar la información de los procedimientos </w:t>
      </w:r>
      <w:r w:rsidRPr="003B5CE8">
        <w:t xml:space="preserve">de </w:t>
      </w:r>
      <w:r w:rsidRPr="003B5CE8">
        <w:rPr>
          <w:rFonts w:ascii="Palatino Linotype" w:eastAsia="Palatino Linotype" w:hAnsi="Palatino Linotype" w:cs="Palatino Linotype"/>
        </w:rPr>
        <w:t>adjudicación directa, invitación restringida y licitación de cualquier naturaleza, incluyendo la Versión Pública del Expediente respectivo y de los contratos celebrados, que deberá contener por lo menos lo siguiente:</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“XXVIII. La información sobre los resultados sobre procedimientos de adjudicación directa, invitación restringida y licitación de cualquier naturaleza, incluyendo la </w:t>
      </w:r>
      <w:r w:rsidRPr="003B5CE8">
        <w:rPr>
          <w:rFonts w:ascii="Palatino Linotype" w:eastAsia="Palatino Linotype" w:hAnsi="Palatino Linotype" w:cs="Palatino Linotype"/>
          <w:i/>
          <w:sz w:val="22"/>
          <w:szCs w:val="22"/>
        </w:rPr>
        <w:lastRenderedPageBreak/>
        <w:t xml:space="preserve">Versión Pública del Expediente respectivo y de los contratos celebrados, que deberá contener por lo menos lo siguiente: </w:t>
      </w:r>
    </w:p>
    <w:p w:rsidR="003617C4" w:rsidRPr="003B5CE8" w:rsidRDefault="003F5539" w:rsidP="003B5CE8">
      <w:pPr>
        <w:ind w:left="851" w:right="851"/>
        <w:jc w:val="both"/>
        <w:rPr>
          <w:rFonts w:ascii="Palatino Linotype" w:eastAsia="Palatino Linotype" w:hAnsi="Palatino Linotype" w:cs="Palatino Linotype"/>
          <w:b/>
          <w:i/>
          <w:sz w:val="22"/>
          <w:szCs w:val="22"/>
          <w:u w:val="single"/>
        </w:rPr>
      </w:pPr>
      <w:r w:rsidRPr="003B5CE8">
        <w:rPr>
          <w:rFonts w:ascii="Palatino Linotype" w:eastAsia="Palatino Linotype" w:hAnsi="Palatino Linotype" w:cs="Palatino Linotype"/>
          <w:b/>
          <w:i/>
          <w:sz w:val="22"/>
          <w:szCs w:val="22"/>
          <w:u w:val="single"/>
        </w:rPr>
        <w:t xml:space="preserve">a) De licitaciones públicas o procedimientos de invitación restringida: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 La convocatoria o invitación emitida, así como los fundamentos legales aplicados para llevarla a cabo;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2. Los nombres de los participantes o invitados;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3. El nombre del ganador y las razones que lo justifican;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4. El área solicitante y la responsable de su ejecución;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5. Las convocatorias e invitaciones emitidas;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6. Los dictámenes y fallo de adjudicación; </w:t>
      </w:r>
    </w:p>
    <w:p w:rsidR="003617C4" w:rsidRPr="003B5CE8" w:rsidRDefault="003F5539" w:rsidP="003B5CE8">
      <w:pPr>
        <w:ind w:left="851" w:right="851"/>
        <w:jc w:val="both"/>
        <w:rPr>
          <w:rFonts w:ascii="Palatino Linotype" w:eastAsia="Palatino Linotype" w:hAnsi="Palatino Linotype" w:cs="Palatino Linotype"/>
          <w:b/>
          <w:i/>
          <w:sz w:val="22"/>
          <w:szCs w:val="22"/>
        </w:rPr>
      </w:pPr>
      <w:r w:rsidRPr="003B5CE8">
        <w:rPr>
          <w:rFonts w:ascii="Palatino Linotype" w:eastAsia="Palatino Linotype" w:hAnsi="Palatino Linotype" w:cs="Palatino Linotype"/>
          <w:b/>
          <w:i/>
          <w:sz w:val="22"/>
          <w:szCs w:val="22"/>
        </w:rPr>
        <w:t xml:space="preserve">7. El contrato y, en su caso, sus anexos;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9. La partida presupuestal de conformidad con el clasificador por objeto del gasto, en el caso de ser aplicable;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11. Los convenios modificatorios que, en su caso, sean firmados, precisando el objeto y la fecha de celebración;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12. Los informes de avance físico y financiero sobre las obras o servicios contratados;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13. El convenio de terminación; y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14. El finiquito.</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 b) De las adjudicaciones directas: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1. La propuesta enviada por el participante;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2. Los motivos y fundamentos legales aplicados para llevarla a cabo;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3. La autorización del ejercicio de la opción;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4. En su caso, las cotizaciones consideradas, especificando los nombres de los proveedores y los montos;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5. El nombre de la persona física o moral adjudicada;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6. La unidad administrativa solicitante y la responsable de su ejecución;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7. El número, fecha, el monto del contrato y el plazo de entrega o de ejecución de los servicios u obra;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9. Los informes de avance sobre las obras o servicios contratados;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lastRenderedPageBreak/>
        <w:t xml:space="preserve">10. El convenio de terminación; y </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11. El finiquito. ” (Sic)</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after="28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También sobre los contratos, de igual forma se trata de una obligación de transparencia en términos del artículo 92 previamente señalado en la fracción XXXII, que señala:</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“XXXII. Las concesiones, </w:t>
      </w:r>
      <w:r w:rsidRPr="003B5CE8">
        <w:rPr>
          <w:rFonts w:ascii="Palatino Linotype" w:eastAsia="Palatino Linotype" w:hAnsi="Palatino Linotype" w:cs="Palatino Linotype"/>
          <w:b/>
          <w:i/>
          <w:sz w:val="22"/>
          <w:szCs w:val="22"/>
        </w:rPr>
        <w:t>contratos</w:t>
      </w:r>
      <w:r w:rsidRPr="003B5CE8">
        <w:rPr>
          <w:rFonts w:ascii="Palatino Linotype" w:eastAsia="Palatino Linotype" w:hAnsi="Palatino Linotype" w:cs="Palatino Linotype"/>
          <w:i/>
          <w:sz w:val="22"/>
          <w:szCs w:val="22"/>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3617C4" w:rsidRPr="003B5CE8" w:rsidRDefault="003F5539" w:rsidP="003B5CE8">
      <w:pPr>
        <w:ind w:left="851" w:right="85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w:t>
      </w:r>
      <w:proofErr w:type="gramStart"/>
      <w:r w:rsidRPr="003B5CE8">
        <w:rPr>
          <w:rFonts w:ascii="Palatino Linotype" w:eastAsia="Palatino Linotype" w:hAnsi="Palatino Linotype" w:cs="Palatino Linotype"/>
          <w:i/>
          <w:sz w:val="22"/>
          <w:szCs w:val="22"/>
        </w:rPr>
        <w:t>énfasis</w:t>
      </w:r>
      <w:proofErr w:type="gramEnd"/>
      <w:r w:rsidRPr="003B5CE8">
        <w:rPr>
          <w:rFonts w:ascii="Palatino Linotype" w:eastAsia="Palatino Linotype" w:hAnsi="Palatino Linotype" w:cs="Palatino Linotype"/>
          <w:i/>
          <w:sz w:val="22"/>
          <w:szCs w:val="22"/>
        </w:rPr>
        <w:t xml:space="preserve"> añadido)</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Precisado lo anterior, en cuanto a que dar a conocer la información relacionada con el contrato de adquisición del sistema de monitoreo y vigilancia, no se considera que encuadre en el supuesto de clasificación, debido a que se requiere información que es considerada como pública como así fue referido por el particular, resultando que el derecho de acceso a la información del particular se viera afectado por el </w:t>
      </w:r>
      <w:r w:rsidRPr="003B5CE8">
        <w:rPr>
          <w:rFonts w:ascii="Palatino Linotype" w:eastAsia="Palatino Linotype" w:hAnsi="Palatino Linotype" w:cs="Palatino Linotype"/>
          <w:b/>
        </w:rPr>
        <w:t>SUJETO OBLIGADO</w:t>
      </w:r>
      <w:r w:rsidRPr="003B5CE8">
        <w:rPr>
          <w:rFonts w:ascii="Palatino Linotype" w:eastAsia="Palatino Linotype" w:hAnsi="Palatino Linotype" w:cs="Palatino Linotype"/>
        </w:rPr>
        <w:t>.</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after="28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Lo anterior es así, por lo que la información solicitada no actualizaría un supuesto de reserva en términos del diverso artículo 110 de la Ley en comento, del que se lee, que se clasifica como reservada la información contenida en todas y cada una de las Bases de Datos del Sistema Nacional de Información, así como los Registros Nacionales y la información contenida en ellos, en materia de detenciones, información criminal, </w:t>
      </w:r>
      <w:r w:rsidRPr="003B5CE8">
        <w:rPr>
          <w:rFonts w:ascii="Palatino Linotype" w:eastAsia="Palatino Linotype" w:hAnsi="Palatino Linotype" w:cs="Palatino Linotype"/>
        </w:rPr>
        <w:lastRenderedPageBreak/>
        <w:t xml:space="preserve">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estos contengan, sin que dicho precepto legal se advierta la reserva de la información de los documentos comprobatorios de  la adquisición de bienes muebles destinados a la seguridad pública del </w:t>
      </w:r>
      <w:r w:rsidRPr="003B5CE8">
        <w:rPr>
          <w:rFonts w:ascii="Palatino Linotype" w:eastAsia="Palatino Linotype" w:hAnsi="Palatino Linotype" w:cs="Palatino Linotype"/>
          <w:b/>
        </w:rPr>
        <w:t xml:space="preserve">SUJETO OBLIGADO, </w:t>
      </w:r>
      <w:r w:rsidRPr="003B5CE8">
        <w:rPr>
          <w:rFonts w:ascii="Palatino Linotype" w:eastAsia="Palatino Linotype" w:hAnsi="Palatino Linotype" w:cs="Palatino Linotype"/>
        </w:rPr>
        <w:t xml:space="preserve">este caso los centros de monitoreo. </w:t>
      </w:r>
    </w:p>
    <w:p w:rsidR="003617C4" w:rsidRPr="003B5CE8" w:rsidRDefault="003F5539" w:rsidP="003B5CE8">
      <w:pPr>
        <w:spacing w:after="28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Conforme a lo anterior, si bien es cierto la información solicitada puede contener  información técnica de los equipos utilizados por los elementos de seguridad pública, lo cierto también es que la Ley de Transparencia y Acceso a la Información Pública del Estado de México y Municipios permite la posibilidad de generar versiones públicas de la información, como lo es el contrato donde consta dicha información; en donde se puede revelar la información derivada de una adquisición de bienes, sin precisar información específica de sus estrategias, actividades, habilidades o en este caso equipo  para combatir la delincuencia </w:t>
      </w:r>
    </w:p>
    <w:p w:rsidR="003617C4" w:rsidRPr="003B5CE8" w:rsidRDefault="003F5539" w:rsidP="003B5CE8">
      <w:pPr>
        <w:spacing w:after="28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En tal sentido, las características técnicas de los equipos instalados tales como Modelo, Marca, Tipo de Antena, Capacidad de Disco Duro, Resolución y temporalidad de Grabación podría en determinados revelar el estado de la fuerza, por lo que, el </w:t>
      </w:r>
      <w:r w:rsidRPr="003B5CE8">
        <w:rPr>
          <w:rFonts w:ascii="Palatino Linotype" w:eastAsia="Palatino Linotype" w:hAnsi="Palatino Linotype" w:cs="Palatino Linotype"/>
          <w:b/>
        </w:rPr>
        <w:t xml:space="preserve">SUJETO </w:t>
      </w:r>
      <w:r w:rsidRPr="003B5CE8">
        <w:rPr>
          <w:rFonts w:ascii="Palatino Linotype" w:eastAsia="Palatino Linotype" w:hAnsi="Palatino Linotype" w:cs="Palatino Linotype"/>
          <w:b/>
        </w:rPr>
        <w:lastRenderedPageBreak/>
        <w:t>OBLIGADO</w:t>
      </w:r>
      <w:r w:rsidRPr="003B5CE8">
        <w:rPr>
          <w:rFonts w:ascii="Palatino Linotype" w:eastAsia="Palatino Linotype" w:hAnsi="Palatino Linotype" w:cs="Palatino Linotype"/>
        </w:rPr>
        <w:t xml:space="preserve"> deberá analizar cada uno de los elementos adquiridos a efecto de ponderar entre, hacer pública o clasificar parcial la información.</w:t>
      </w:r>
    </w:p>
    <w:p w:rsidR="003617C4" w:rsidRPr="003B5CE8" w:rsidRDefault="003F5539" w:rsidP="003B5CE8">
      <w:pPr>
        <w:spacing w:after="28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En tal sentido la LEY QUE REGULA EL USO DE TECNOLOGÍAS DE LA INFORMACIÓN Y COMUNICACIÓN PARA LA SEGURIDAD PÚBLICA DEL ESTADO DE MÉXICO define en su </w:t>
      </w:r>
      <w:r w:rsidR="00AB3D2F" w:rsidRPr="003B5CE8">
        <w:rPr>
          <w:rFonts w:ascii="Palatino Linotype" w:eastAsia="Palatino Linotype" w:hAnsi="Palatino Linotype" w:cs="Palatino Linotype"/>
        </w:rPr>
        <w:t>artículo</w:t>
      </w:r>
      <w:r w:rsidRPr="003B5CE8">
        <w:rPr>
          <w:rFonts w:ascii="Palatino Linotype" w:eastAsia="Palatino Linotype" w:hAnsi="Palatino Linotype" w:cs="Palatino Linotype"/>
        </w:rPr>
        <w:t xml:space="preserve"> 2</w:t>
      </w:r>
      <w:r w:rsidR="00AB3D2F" w:rsidRPr="003B5CE8">
        <w:rPr>
          <w:rFonts w:ascii="Palatino Linotype" w:eastAsia="Palatino Linotype" w:hAnsi="Palatino Linotype" w:cs="Palatino Linotype"/>
        </w:rPr>
        <w:t>,</w:t>
      </w:r>
      <w:r w:rsidRPr="003B5CE8">
        <w:rPr>
          <w:rFonts w:ascii="Palatino Linotype" w:eastAsia="Palatino Linotype" w:hAnsi="Palatino Linotype" w:cs="Palatino Linotype"/>
        </w:rPr>
        <w:t xml:space="preserve"> fracción V</w:t>
      </w:r>
      <w:r w:rsidR="00AB3D2F" w:rsidRPr="003B5CE8">
        <w:rPr>
          <w:rFonts w:ascii="Palatino Linotype" w:eastAsia="Palatino Linotype" w:hAnsi="Palatino Linotype" w:cs="Palatino Linotype"/>
        </w:rPr>
        <w:t>,</w:t>
      </w:r>
      <w:r w:rsidRPr="003B5CE8">
        <w:rPr>
          <w:rFonts w:ascii="Palatino Linotype" w:eastAsia="Palatino Linotype" w:hAnsi="Palatino Linotype" w:cs="Palatino Linotype"/>
        </w:rPr>
        <w:t xml:space="preserve"> a los equipos y sistemas tecnológicos como: </w:t>
      </w:r>
    </w:p>
    <w:p w:rsidR="003617C4" w:rsidRPr="003B5CE8" w:rsidRDefault="003F5539" w:rsidP="003B5CE8">
      <w:pPr>
        <w:spacing w:after="280"/>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“Artículo 2. Para los efectos de esta Ley, se entenderá por:</w:t>
      </w:r>
    </w:p>
    <w:p w:rsidR="003617C4" w:rsidRPr="003B5CE8" w:rsidRDefault="003F5539" w:rsidP="003B5CE8">
      <w:pPr>
        <w:spacing w:after="280"/>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V. Equipos y Sistemas Tecnológicos: Conjunto de aparatos y dispositivos dentro de la categoría de tecnologías de la información y comunicación para la seguridad pública, adecuados para el tratamiento de voz e imagen.”</w:t>
      </w:r>
    </w:p>
    <w:p w:rsidR="003617C4" w:rsidRPr="003B5CE8" w:rsidRDefault="003617C4" w:rsidP="003B5CE8">
      <w:pPr>
        <w:spacing w:after="280"/>
        <w:ind w:right="899"/>
        <w:jc w:val="both"/>
        <w:rPr>
          <w:rFonts w:ascii="Palatino Linotype" w:eastAsia="Palatino Linotype" w:hAnsi="Palatino Linotype" w:cs="Palatino Linotype"/>
          <w:i/>
          <w:sz w:val="22"/>
          <w:szCs w:val="22"/>
        </w:rPr>
      </w:pPr>
    </w:p>
    <w:p w:rsidR="003617C4" w:rsidRPr="003B5CE8" w:rsidRDefault="003F5539" w:rsidP="003B5CE8">
      <w:pPr>
        <w:spacing w:after="18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Dicha ley </w:t>
      </w:r>
      <w:r w:rsidR="00AB3D2F" w:rsidRPr="003B5CE8">
        <w:rPr>
          <w:rFonts w:ascii="Palatino Linotype" w:eastAsia="Palatino Linotype" w:hAnsi="Palatino Linotype" w:cs="Palatino Linotype"/>
        </w:rPr>
        <w:t>refiere</w:t>
      </w:r>
      <w:r w:rsidRPr="003B5CE8">
        <w:rPr>
          <w:rFonts w:ascii="Palatino Linotype" w:eastAsia="Palatino Linotype" w:hAnsi="Palatino Linotype" w:cs="Palatino Linotype"/>
        </w:rPr>
        <w:t xml:space="preserve"> que toda la información recabada por las instituciones de seguridad pública, se considera como reservada, en los siguientes casos:</w:t>
      </w:r>
    </w:p>
    <w:p w:rsidR="003617C4" w:rsidRPr="003B5CE8" w:rsidRDefault="003F5539" w:rsidP="003B5CE8">
      <w:pPr>
        <w:spacing w:after="180" w:line="360" w:lineRule="auto"/>
        <w:ind w:left="320"/>
        <w:jc w:val="both"/>
        <w:rPr>
          <w:rFonts w:ascii="Palatino Linotype" w:eastAsia="Palatino Linotype" w:hAnsi="Palatino Linotype" w:cs="Palatino Linotype"/>
        </w:rPr>
      </w:pPr>
      <w:r w:rsidRPr="003B5CE8">
        <w:rPr>
          <w:rFonts w:ascii="Palatino Linotype" w:eastAsia="Palatino Linotype" w:hAnsi="Palatino Linotype" w:cs="Palatino Linotype"/>
          <w:b/>
        </w:rPr>
        <w:t>I</w:t>
      </w:r>
      <w:r w:rsidRPr="003B5CE8">
        <w:rPr>
          <w:rFonts w:ascii="Palatino Linotype" w:eastAsia="Palatino Linotype" w:hAnsi="Palatino Linotype" w:cs="Palatino Linotype"/>
        </w:rPr>
        <w:t xml:space="preserve">. Cuando su divulgación implique la revelación de normas, procedimientos, métodos, fuentes, especificaciones técnicas, sistemas, tecnología o equipos útiles para la prevención o el combate a la delincuencia. </w:t>
      </w:r>
    </w:p>
    <w:p w:rsidR="003617C4" w:rsidRPr="003B5CE8" w:rsidRDefault="003F5539" w:rsidP="003B5CE8">
      <w:pPr>
        <w:spacing w:after="180" w:line="360" w:lineRule="auto"/>
        <w:ind w:left="320"/>
        <w:jc w:val="both"/>
        <w:rPr>
          <w:rFonts w:ascii="Palatino Linotype" w:eastAsia="Palatino Linotype" w:hAnsi="Palatino Linotype" w:cs="Palatino Linotype"/>
        </w:rPr>
      </w:pPr>
      <w:r w:rsidRPr="003B5CE8">
        <w:rPr>
          <w:rFonts w:ascii="Palatino Linotype" w:eastAsia="Palatino Linotype" w:hAnsi="Palatino Linotype" w:cs="Palatino Linotype"/>
          <w:b/>
        </w:rPr>
        <w:t>II.</w:t>
      </w:r>
      <w:r w:rsidRPr="003B5CE8">
        <w:rPr>
          <w:rFonts w:ascii="Palatino Linotype" w:eastAsia="Palatino Linotype" w:hAnsi="Palatino Linotype" w:cs="Palatino Linotype"/>
        </w:rPr>
        <w:t xml:space="preserve"> Cuya revelación pueda ser utilizada para actualizar o potenciar una amenaza a la seguridad pública o a las instituciones del Estado de México.</w:t>
      </w:r>
    </w:p>
    <w:p w:rsidR="003617C4" w:rsidRPr="003B5CE8" w:rsidRDefault="003F5539" w:rsidP="003B5CE8">
      <w:pPr>
        <w:spacing w:before="240" w:after="240" w:line="360" w:lineRule="auto"/>
        <w:ind w:right="49"/>
        <w:jc w:val="both"/>
        <w:rPr>
          <w:rFonts w:ascii="Palatino Linotype" w:eastAsia="Palatino Linotype" w:hAnsi="Palatino Linotype" w:cs="Palatino Linotype"/>
        </w:rPr>
      </w:pPr>
      <w:r w:rsidRPr="003B5CE8">
        <w:rPr>
          <w:rFonts w:ascii="Palatino Linotype" w:eastAsia="Palatino Linotype" w:hAnsi="Palatino Linotype" w:cs="Palatino Linotype"/>
        </w:rPr>
        <w:lastRenderedPageBreak/>
        <w:t>Adicional a lo expuesto, se señala que la información que en su caso encuadra en la clasificación como reservada, es de acuerdo al artículo 81 de la Ley de Seguridad del Estado de México, la siguiente:</w:t>
      </w:r>
    </w:p>
    <w:p w:rsidR="003617C4" w:rsidRPr="003B5CE8" w:rsidRDefault="003F5539" w:rsidP="003B5CE8">
      <w:pPr>
        <w:spacing w:before="240"/>
        <w:ind w:left="851" w:right="90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w:t>
      </w:r>
      <w:r w:rsidRPr="003B5CE8">
        <w:rPr>
          <w:rFonts w:ascii="Palatino Linotype" w:eastAsia="Palatino Linotype" w:hAnsi="Palatino Linotype" w:cs="Palatino Linotype"/>
          <w:b/>
          <w:i/>
          <w:sz w:val="22"/>
          <w:szCs w:val="22"/>
        </w:rPr>
        <w:t>Artículo 81.-</w:t>
      </w:r>
      <w:r w:rsidRPr="003B5CE8">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w:t>
      </w:r>
    </w:p>
    <w:p w:rsidR="003617C4" w:rsidRPr="003B5CE8" w:rsidRDefault="003F5539" w:rsidP="003B5CE8">
      <w:pPr>
        <w:ind w:left="851" w:right="90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No obstante, lo anterior, esta información </w:t>
      </w:r>
      <w:r w:rsidRPr="003B5CE8">
        <w:rPr>
          <w:rFonts w:ascii="Palatino Linotype" w:eastAsia="Palatino Linotype" w:hAnsi="Palatino Linotype" w:cs="Palatino Linotype"/>
          <w:b/>
          <w:i/>
          <w:sz w:val="22"/>
          <w:szCs w:val="22"/>
        </w:rPr>
        <w:t>se considerará reservada en los casos siguientes:</w:t>
      </w:r>
    </w:p>
    <w:p w:rsidR="003617C4" w:rsidRPr="003B5CE8" w:rsidRDefault="003F5539" w:rsidP="003B5CE8">
      <w:pPr>
        <w:ind w:left="851" w:right="90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I.</w:t>
      </w:r>
      <w:r w:rsidRPr="003B5CE8">
        <w:rPr>
          <w:rFonts w:ascii="Palatino Linotype" w:eastAsia="Palatino Linotype" w:hAnsi="Palatino Linotype" w:cs="Palatino Linotype"/>
          <w:i/>
          <w:sz w:val="22"/>
          <w:szCs w:val="22"/>
        </w:rPr>
        <w:t xml:space="preserve"> </w:t>
      </w:r>
      <w:r w:rsidRPr="003B5CE8">
        <w:rPr>
          <w:rFonts w:ascii="Palatino Linotype" w:eastAsia="Palatino Linotype" w:hAnsi="Palatino Linotype" w:cs="Palatino Linotype"/>
          <w:b/>
          <w:i/>
          <w:sz w:val="22"/>
          <w:szCs w:val="22"/>
        </w:rPr>
        <w:t xml:space="preserve">Aquella cuya divulgación implique la revelación de </w:t>
      </w:r>
      <w:r w:rsidRPr="003B5CE8">
        <w:rPr>
          <w:rFonts w:ascii="Palatino Linotype" w:eastAsia="Palatino Linotype" w:hAnsi="Palatino Linotype" w:cs="Palatino Linotype"/>
          <w:i/>
          <w:sz w:val="22"/>
          <w:szCs w:val="22"/>
        </w:rPr>
        <w:t xml:space="preserve">normas, procedimientos, métodos, fuentes, </w:t>
      </w:r>
      <w:r w:rsidRPr="003B5CE8">
        <w:rPr>
          <w:rFonts w:ascii="Palatino Linotype" w:eastAsia="Palatino Linotype" w:hAnsi="Palatino Linotype" w:cs="Palatino Linotype"/>
          <w:b/>
          <w:i/>
          <w:sz w:val="22"/>
          <w:szCs w:val="22"/>
        </w:rPr>
        <w:t>especificaciones técnicas</w:t>
      </w:r>
      <w:r w:rsidRPr="003B5CE8">
        <w:rPr>
          <w:rFonts w:ascii="Palatino Linotype" w:eastAsia="Palatino Linotype" w:hAnsi="Palatino Linotype" w:cs="Palatino Linotype"/>
          <w:i/>
          <w:sz w:val="22"/>
          <w:szCs w:val="22"/>
        </w:rPr>
        <w:t xml:space="preserve">, </w:t>
      </w:r>
      <w:r w:rsidRPr="003B5CE8">
        <w:rPr>
          <w:rFonts w:ascii="Palatino Linotype" w:eastAsia="Palatino Linotype" w:hAnsi="Palatino Linotype" w:cs="Palatino Linotype"/>
          <w:b/>
          <w:i/>
          <w:sz w:val="22"/>
          <w:szCs w:val="22"/>
        </w:rPr>
        <w:t>sistemas, tecnología o equipos útiles a la generación de inteligencia para la seguridad pública o el combate a la delincuencia en el Estado de México;</w:t>
      </w:r>
    </w:p>
    <w:p w:rsidR="003617C4" w:rsidRPr="003B5CE8" w:rsidRDefault="003F5539" w:rsidP="003B5CE8">
      <w:pPr>
        <w:ind w:left="851" w:right="90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II.</w:t>
      </w:r>
      <w:r w:rsidRPr="003B5CE8">
        <w:rPr>
          <w:rFonts w:ascii="Palatino Linotype" w:eastAsia="Palatino Linotype" w:hAnsi="Palatino Linotype" w:cs="Palatino Linotype"/>
          <w:i/>
          <w:sz w:val="22"/>
          <w:szCs w:val="22"/>
        </w:rPr>
        <w:t xml:space="preserve"> Aquella cuya revelación pueda ser utilizada para actualizar o potenciar una amenaza a la seguridad pública o a las instituciones del Estado de México;</w:t>
      </w:r>
    </w:p>
    <w:p w:rsidR="003617C4" w:rsidRPr="003B5CE8" w:rsidRDefault="003F5539" w:rsidP="003B5CE8">
      <w:pPr>
        <w:ind w:left="851" w:right="90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III.</w:t>
      </w:r>
      <w:r w:rsidRPr="003B5CE8">
        <w:rPr>
          <w:rFonts w:ascii="Palatino Linotype" w:eastAsia="Palatino Linotype" w:hAnsi="Palatino Linotype" w:cs="Palatino Linotype"/>
          <w:i/>
          <w:sz w:val="22"/>
          <w:szCs w:val="22"/>
        </w:rPr>
        <w:t xml:space="preserve"> La relativa a los servidores públicos integrantes de las instituciones de seguridad pública, cuya revelación pueda poner en riesgo su vida e integridad física con motivo de sus funciones;</w:t>
      </w:r>
    </w:p>
    <w:p w:rsidR="003617C4" w:rsidRPr="003B5CE8" w:rsidRDefault="003F5539" w:rsidP="003B5CE8">
      <w:pPr>
        <w:ind w:left="851" w:right="90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IV.</w:t>
      </w:r>
      <w:r w:rsidRPr="003B5CE8">
        <w:rPr>
          <w:rFonts w:ascii="Palatino Linotype" w:eastAsia="Palatino Linotype" w:hAnsi="Palatino Linotype" w:cs="Palatino Linotype"/>
          <w:i/>
          <w:sz w:val="22"/>
          <w:szCs w:val="22"/>
        </w:rPr>
        <w:t xml:space="preserve"> La que sea producto de una intervención de comunicaciones privadas autorizadas conforme a la Constitución Federal y las disposiciones legales correspondientes; y</w:t>
      </w:r>
    </w:p>
    <w:p w:rsidR="003617C4" w:rsidRPr="003B5CE8" w:rsidRDefault="003F5539" w:rsidP="003B5CE8">
      <w:pPr>
        <w:ind w:left="851" w:right="90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V.</w:t>
      </w:r>
      <w:r w:rsidRPr="003B5CE8">
        <w:rPr>
          <w:rFonts w:ascii="Palatino Linotype" w:eastAsia="Palatino Linotype" w:hAnsi="Palatino Linotype" w:cs="Palatino Linotype"/>
          <w:i/>
          <w:sz w:val="22"/>
          <w:szCs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La inobservancia a lo anterior se sancionará de conformidad con las disposiciones aplicables.” (Sic)</w:t>
      </w:r>
    </w:p>
    <w:p w:rsidR="003617C4" w:rsidRPr="003B5CE8" w:rsidRDefault="003617C4" w:rsidP="003B5CE8">
      <w:pPr>
        <w:ind w:left="851" w:right="900"/>
        <w:jc w:val="both"/>
        <w:rPr>
          <w:rFonts w:ascii="Palatino Linotype" w:eastAsia="Palatino Linotype" w:hAnsi="Palatino Linotype" w:cs="Palatino Linotype"/>
          <w:i/>
          <w:sz w:val="22"/>
          <w:szCs w:val="22"/>
        </w:rPr>
      </w:pPr>
    </w:p>
    <w:p w:rsidR="003617C4" w:rsidRPr="003B5CE8" w:rsidRDefault="003617C4" w:rsidP="003B5CE8">
      <w:pPr>
        <w:ind w:left="851" w:right="900"/>
        <w:jc w:val="both"/>
        <w:rPr>
          <w:rFonts w:ascii="Palatino Linotype" w:eastAsia="Palatino Linotype" w:hAnsi="Palatino Linotype" w:cs="Palatino Linotype"/>
          <w:i/>
          <w:sz w:val="22"/>
          <w:szCs w:val="22"/>
        </w:rPr>
      </w:pPr>
    </w:p>
    <w:p w:rsidR="00803F61" w:rsidRPr="003B5CE8" w:rsidRDefault="003F5539"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Dentro de las cuales se advierte como información reservada las especificaciones técnicas, sistemas de tecnología o equipos útiles a la generación de inteligencia para la seguridad pública; luego entonces en los documentos que se deban entregar al </w:t>
      </w:r>
      <w:r w:rsidRPr="003B5CE8">
        <w:rPr>
          <w:rFonts w:ascii="Palatino Linotype" w:eastAsia="Palatino Linotype" w:hAnsi="Palatino Linotype" w:cs="Palatino Linotype"/>
          <w:b/>
        </w:rPr>
        <w:t>RECURRENTE</w:t>
      </w:r>
      <w:r w:rsidRPr="003B5CE8">
        <w:rPr>
          <w:rFonts w:ascii="Palatino Linotype" w:eastAsia="Palatino Linotype" w:hAnsi="Palatino Linotype" w:cs="Palatino Linotype"/>
        </w:rPr>
        <w:t xml:space="preserve">, se encuentran contenidas las especificaciones de las unidades, se </w:t>
      </w:r>
      <w:r w:rsidRPr="003B5CE8">
        <w:rPr>
          <w:rFonts w:ascii="Palatino Linotype" w:eastAsia="Palatino Linotype" w:hAnsi="Palatino Linotype" w:cs="Palatino Linotype"/>
        </w:rPr>
        <w:lastRenderedPageBreak/>
        <w:t xml:space="preserve">deberá remitir en versión pública, clasificando la </w:t>
      </w:r>
      <w:r w:rsidR="00AB3D2F" w:rsidRPr="003B5CE8">
        <w:rPr>
          <w:rFonts w:ascii="Palatino Linotype" w:eastAsia="Palatino Linotype" w:hAnsi="Palatino Linotype" w:cs="Palatino Linotype"/>
        </w:rPr>
        <w:t>información</w:t>
      </w:r>
      <w:r w:rsidRPr="003B5CE8">
        <w:rPr>
          <w:rFonts w:ascii="Palatino Linotype" w:eastAsia="Palatino Linotype" w:hAnsi="Palatino Linotype" w:cs="Palatino Linotype"/>
        </w:rPr>
        <w:t xml:space="preserve"> técnica de los equipos que deberá </w:t>
      </w:r>
      <w:r w:rsidR="00AB3D2F" w:rsidRPr="003B5CE8">
        <w:rPr>
          <w:rFonts w:ascii="Palatino Linotype" w:eastAsia="Palatino Linotype" w:hAnsi="Palatino Linotype" w:cs="Palatino Linotype"/>
        </w:rPr>
        <w:t>será</w:t>
      </w:r>
      <w:r w:rsidRPr="003B5CE8">
        <w:rPr>
          <w:rFonts w:ascii="Palatino Linotype" w:eastAsia="Palatino Linotype" w:hAnsi="Palatino Linotype" w:cs="Palatino Linotype"/>
        </w:rPr>
        <w:t xml:space="preserve"> analizada de forma específica por </w:t>
      </w:r>
      <w:r w:rsidRPr="003B5CE8">
        <w:rPr>
          <w:rFonts w:ascii="Palatino Linotype" w:eastAsia="Palatino Linotype" w:hAnsi="Palatino Linotype" w:cs="Palatino Linotype"/>
          <w:b/>
        </w:rPr>
        <w:t>EL SUEJTO OBLIGADO</w:t>
      </w:r>
      <w:r w:rsidRPr="003B5CE8">
        <w:rPr>
          <w:rFonts w:ascii="Palatino Linotype" w:eastAsia="Palatino Linotype" w:hAnsi="Palatino Linotype" w:cs="Palatino Linotype"/>
        </w:rPr>
        <w:t xml:space="preserve">. </w:t>
      </w:r>
    </w:p>
    <w:p w:rsidR="00803F61" w:rsidRPr="003B5CE8" w:rsidRDefault="00803F61" w:rsidP="003B5CE8">
      <w:pPr>
        <w:spacing w:after="240" w:line="360" w:lineRule="auto"/>
        <w:jc w:val="both"/>
        <w:rPr>
          <w:rFonts w:ascii="Palatino Linotype" w:eastAsia="Palatino Linotype" w:hAnsi="Palatino Linotype" w:cs="Palatino Linotype"/>
        </w:rPr>
      </w:pPr>
    </w:p>
    <w:p w:rsidR="00803F61" w:rsidRPr="003B5CE8" w:rsidRDefault="00803F61"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Aunado a lo anterior, los </w:t>
      </w:r>
      <w:r w:rsidR="00AB3D2F" w:rsidRPr="003B5CE8">
        <w:rPr>
          <w:rFonts w:ascii="Palatino Linotype" w:eastAsia="Palatino Linotype" w:hAnsi="Palatino Linotype" w:cs="Palatino Linotype"/>
        </w:rPr>
        <w:t>Lineamientos Generales en Materia de Clasificación</w:t>
      </w:r>
      <w:r w:rsidRPr="003B5CE8">
        <w:rPr>
          <w:rFonts w:ascii="Palatino Linotype" w:eastAsia="Palatino Linotype" w:hAnsi="Palatino Linotype" w:cs="Palatino Linotype"/>
        </w:rPr>
        <w:t xml:space="preserve"> y Desclasificación de la Información, así como para la Elaboración de Versiones Públicas -Lineamientos Generales-, los cuales establecen lo siguiente:</w:t>
      </w:r>
    </w:p>
    <w:p w:rsidR="00803F61" w:rsidRPr="003B5CE8" w:rsidRDefault="00803F61" w:rsidP="003B5CE8">
      <w:pPr>
        <w:spacing w:after="240" w:line="360" w:lineRule="auto"/>
        <w:jc w:val="both"/>
        <w:rPr>
          <w:rFonts w:ascii="Palatino Linotype" w:eastAsia="Palatino Linotype" w:hAnsi="Palatino Linotype" w:cs="Palatino Linotype"/>
        </w:rPr>
      </w:pPr>
    </w:p>
    <w:p w:rsidR="00803F61" w:rsidRPr="003B5CE8" w:rsidRDefault="00803F61"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“Décimo séptimo. De conformidad con el artículo 113, fracción I de la Ley General, podrá considerarse como información reservada, aquella que de difundirse actualice o potencialice un riesgo o amenaza a la seguridad nacional cuando:</w:t>
      </w:r>
    </w:p>
    <w:p w:rsidR="00803F61" w:rsidRPr="003B5CE8" w:rsidRDefault="00803F61"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w:t>
      </w:r>
    </w:p>
    <w:p w:rsidR="00803F61" w:rsidRPr="003B5CE8" w:rsidRDefault="00803F61"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VII. Se puedan menoscabar, obstaculizar o dificultar las estrategias o acciones para combatir la delincuencia organizada, la comisión de los delitos contra la seguridad de la nación, entendiéndose estos últimos como traición a la patria, espionaje, sedición, motín, rebelión, terrorismo, sabotaje, conspiración, el tráfico ilegal de materiales nucleares, de armas químicas, biológicas y convencionales de destrucción masiva;</w:t>
      </w:r>
    </w:p>
    <w:p w:rsidR="00803F61" w:rsidRPr="003B5CE8" w:rsidRDefault="00803F61"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w:t>
      </w:r>
    </w:p>
    <w:p w:rsidR="00803F61" w:rsidRPr="003B5CE8" w:rsidRDefault="00803F61"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lastRenderedPageBreak/>
        <w:t>Asimismo, podrá considerarse como reservada aquella que revele datos que pudieran ser aprovechados para conocer la capacidad de reacción de las instituciones encargadas de la seguridad nacional; sus normas, procedimientos, métodos, fuentes, especificaciones técnicas, tecnología o equipo útiles a la generación de inteligencia para la Seguridad Nacional, sin importar la naturaleza o el origen de los documentos que la consignen.</w:t>
      </w:r>
    </w:p>
    <w:p w:rsidR="00803F61" w:rsidRPr="003B5CE8" w:rsidRDefault="00803F61"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rsidR="00803F61" w:rsidRPr="003B5CE8" w:rsidRDefault="00803F61"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rsidR="00803F61" w:rsidRPr="003B5CE8" w:rsidRDefault="00803F61"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lastRenderedPageBreak/>
        <w:t>Décimo noveno. De conformidad con el artículo 113, fracción I de la Ley General, podrá considerarse como información reservada que compromete la defensa nacional, aquella que difunda, actualice o potencialice un riesgo o amenaza que ponga en peligro las misiones generales del Ejército, Fuerza Aérea Mexicana o Armada de México, relacionadas con la defensa del Estado mexicano, para salvaguardar la soberanía y defender la integridad, y permanencia del territorio nacional. Asimismo, podrá considerarse como reservada aquella que revele datos que pudieran ser aprovechados para conocer la capacidad de reacción del Estado, sus planes, o uso de tecnología, información y producción de los sistemas de armamento y otros sistemas militares incluidos los sistemas de comunicaciones.” (Sic)</w:t>
      </w:r>
    </w:p>
    <w:p w:rsidR="00AB3D2F" w:rsidRPr="003B5CE8" w:rsidRDefault="00803F61"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Del Lineamiento referido, se desprende que para clasificar la información como reservada, será aquella que revele datos que pudieran ser aprovechados para conocer la capacidad de reacción de las instituciones encargadas de la seguridad pública y que pongan en peligro la seguridad pública y funciones de los Municipios, tendientes a preservar y resguardar la vida e integridad física de los gobernados.</w:t>
      </w:r>
      <w:r w:rsidRPr="003B5CE8">
        <w:rPr>
          <w:rFonts w:ascii="Palatino Linotype" w:eastAsia="Palatino Linotype" w:hAnsi="Palatino Linotype" w:cs="Palatino Linotype"/>
        </w:rPr>
        <w:cr/>
      </w:r>
    </w:p>
    <w:p w:rsidR="003617C4" w:rsidRPr="003B5CE8" w:rsidRDefault="003F5539" w:rsidP="003B5CE8">
      <w:pPr>
        <w:spacing w:after="240" w:line="360" w:lineRule="auto"/>
        <w:jc w:val="both"/>
        <w:rPr>
          <w:rFonts w:ascii="Palatino Linotype" w:eastAsia="Palatino Linotype" w:hAnsi="Palatino Linotype" w:cs="Palatino Linotype"/>
          <w:i/>
        </w:rPr>
      </w:pPr>
      <w:r w:rsidRPr="003B5CE8">
        <w:rPr>
          <w:rFonts w:ascii="Palatino Linotype" w:eastAsia="Palatino Linotype" w:hAnsi="Palatino Linotype" w:cs="Palatino Linotype"/>
        </w:rPr>
        <w:t xml:space="preserve">Por lo que hace a la póliza de mantenimiento o </w:t>
      </w:r>
      <w:r w:rsidR="00AB3D2F" w:rsidRPr="003B5CE8">
        <w:rPr>
          <w:rFonts w:ascii="Palatino Linotype" w:eastAsia="Palatino Linotype" w:hAnsi="Palatino Linotype" w:cs="Palatino Linotype"/>
        </w:rPr>
        <w:t>documento</w:t>
      </w:r>
      <w:r w:rsidRPr="003B5CE8">
        <w:rPr>
          <w:rFonts w:ascii="Palatino Linotype" w:eastAsia="Palatino Linotype" w:hAnsi="Palatino Linotype" w:cs="Palatino Linotype"/>
        </w:rPr>
        <w:t xml:space="preserve"> que ampare la revisión, este Instituto advierte que los LINEAMIENTOS PARA EL REGISTRO Y CONTROL DEL INVENTARIO Y LA CONCILIACIÓN Y DESINCORPORACIÓN DE BIENES MUEBLES E INMUEBLES PARA LAS ENTIDADES FISCALIZABLES MUNICIPALES DEL ESTADO DE MÉXICO prevén la obligación de dar mantenimiento a los bienes </w:t>
      </w:r>
      <w:r w:rsidRPr="003B5CE8">
        <w:rPr>
          <w:rFonts w:ascii="Palatino Linotype" w:eastAsia="Palatino Linotype" w:hAnsi="Palatino Linotype" w:cs="Palatino Linotype"/>
        </w:rPr>
        <w:lastRenderedPageBreak/>
        <w:t>muebles de los Ayuntamientos, siendo importante referir que en su lineamiento 125 dispone que</w:t>
      </w:r>
      <w:r w:rsidRPr="003B5CE8">
        <w:rPr>
          <w:rFonts w:ascii="Palatino Linotype" w:eastAsia="Palatino Linotype" w:hAnsi="Palatino Linotype" w:cs="Palatino Linotype"/>
          <w:i/>
        </w:rPr>
        <w:t xml:space="preserve"> “El titular del área administrativa en el municipio, organismos públicos descentralizados y fideicomisos públicos, deberá elaborar el programa anual de servicios de mantenimiento. Anexo 4A. “</w:t>
      </w:r>
    </w:p>
    <w:p w:rsidR="003617C4" w:rsidRPr="003B5CE8" w:rsidRDefault="003F5539"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Asimismo, dichos lineamientos contienen un formato de Bitácora de reparación y mantenimiento, como se aprecia de la captura de pantalla que se inserta a continuación:</w:t>
      </w:r>
    </w:p>
    <w:p w:rsidR="003617C4" w:rsidRPr="003B5CE8" w:rsidRDefault="003F5539"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noProof/>
          <w:lang w:val="es-419" w:eastAsia="es-419"/>
        </w:rPr>
        <w:drawing>
          <wp:inline distT="114300" distB="114300" distL="114300" distR="114300">
            <wp:extent cx="5791835" cy="3619500"/>
            <wp:effectExtent l="0" t="0" r="0" b="0"/>
            <wp:docPr id="4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91835" cy="3619500"/>
                    </a:xfrm>
                    <a:prstGeom prst="rect">
                      <a:avLst/>
                    </a:prstGeom>
                    <a:ln/>
                  </pic:spPr>
                </pic:pic>
              </a:graphicData>
            </a:graphic>
          </wp:inline>
        </w:drawing>
      </w:r>
    </w:p>
    <w:p w:rsidR="003617C4" w:rsidRPr="003B5CE8" w:rsidRDefault="003F5539"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Por otra </w:t>
      </w:r>
      <w:r w:rsidR="00AB3D2F" w:rsidRPr="003B5CE8">
        <w:rPr>
          <w:rFonts w:ascii="Palatino Linotype" w:eastAsia="Palatino Linotype" w:hAnsi="Palatino Linotype" w:cs="Palatino Linotype"/>
        </w:rPr>
        <w:t>parte,</w:t>
      </w:r>
      <w:r w:rsidRPr="003B5CE8">
        <w:rPr>
          <w:rFonts w:ascii="Palatino Linotype" w:eastAsia="Palatino Linotype" w:hAnsi="Palatino Linotype" w:cs="Palatino Linotype"/>
        </w:rPr>
        <w:t xml:space="preserve"> respecto de la póliza de mantenimiento, los mismos </w:t>
      </w:r>
      <w:r w:rsidR="00AB3D2F" w:rsidRPr="003B5CE8">
        <w:rPr>
          <w:rFonts w:ascii="Palatino Linotype" w:eastAsia="Palatino Linotype" w:hAnsi="Palatino Linotype" w:cs="Palatino Linotype"/>
        </w:rPr>
        <w:t>Lineamientos</w:t>
      </w:r>
      <w:r w:rsidRPr="003B5CE8">
        <w:rPr>
          <w:rFonts w:ascii="Palatino Linotype" w:eastAsia="Palatino Linotype" w:hAnsi="Palatino Linotype" w:cs="Palatino Linotype"/>
        </w:rPr>
        <w:t xml:space="preserve"> señalan la obligación del Titular del área administrativa de contratar compañías </w:t>
      </w:r>
      <w:r w:rsidRPr="003B5CE8">
        <w:rPr>
          <w:rFonts w:ascii="Palatino Linotype" w:eastAsia="Palatino Linotype" w:hAnsi="Palatino Linotype" w:cs="Palatino Linotype"/>
        </w:rPr>
        <w:lastRenderedPageBreak/>
        <w:t xml:space="preserve">aseguradoras dependiendo de la necesidad del bien, que pueda </w:t>
      </w:r>
      <w:r w:rsidR="00AB3D2F" w:rsidRPr="003B5CE8">
        <w:rPr>
          <w:rFonts w:ascii="Palatino Linotype" w:eastAsia="Palatino Linotype" w:hAnsi="Palatino Linotype" w:cs="Palatino Linotype"/>
        </w:rPr>
        <w:t>amparar</w:t>
      </w:r>
      <w:r w:rsidRPr="003B5CE8">
        <w:rPr>
          <w:rFonts w:ascii="Palatino Linotype" w:eastAsia="Palatino Linotype" w:hAnsi="Palatino Linotype" w:cs="Palatino Linotype"/>
        </w:rPr>
        <w:t xml:space="preserve"> diversos servicios, como se aprecia a </w:t>
      </w:r>
      <w:r w:rsidR="00AB3D2F" w:rsidRPr="003B5CE8">
        <w:rPr>
          <w:rFonts w:ascii="Palatino Linotype" w:eastAsia="Palatino Linotype" w:hAnsi="Palatino Linotype" w:cs="Palatino Linotype"/>
        </w:rPr>
        <w:t>continuación</w:t>
      </w:r>
      <w:r w:rsidRPr="003B5CE8">
        <w:rPr>
          <w:rFonts w:ascii="Palatino Linotype" w:eastAsia="Palatino Linotype" w:hAnsi="Palatino Linotype" w:cs="Palatino Linotype"/>
        </w:rPr>
        <w:t xml:space="preserve"> del capítulo V fracción XII: </w:t>
      </w:r>
    </w:p>
    <w:p w:rsidR="003617C4" w:rsidRPr="003B5CE8" w:rsidRDefault="003F5539" w:rsidP="003B5CE8">
      <w:pPr>
        <w:spacing w:after="240"/>
        <w:ind w:left="850" w:right="899"/>
        <w:jc w:val="both"/>
        <w:rPr>
          <w:rFonts w:ascii="Palatino Linotype" w:eastAsia="Palatino Linotype" w:hAnsi="Palatino Linotype" w:cs="Palatino Linotype"/>
          <w:b/>
          <w:i/>
          <w:sz w:val="22"/>
          <w:szCs w:val="22"/>
        </w:rPr>
      </w:pPr>
      <w:r w:rsidRPr="003B5CE8">
        <w:rPr>
          <w:rFonts w:ascii="Palatino Linotype" w:eastAsia="Palatino Linotype" w:hAnsi="Palatino Linotype" w:cs="Palatino Linotype"/>
          <w:b/>
          <w:i/>
          <w:sz w:val="22"/>
          <w:szCs w:val="22"/>
        </w:rPr>
        <w:t xml:space="preserve">“CAPÍTULO V </w:t>
      </w:r>
    </w:p>
    <w:p w:rsidR="003617C4" w:rsidRPr="003B5CE8" w:rsidRDefault="003F5539" w:rsidP="003B5CE8">
      <w:pPr>
        <w:spacing w:after="240"/>
        <w:ind w:left="850" w:right="899"/>
        <w:jc w:val="both"/>
        <w:rPr>
          <w:rFonts w:ascii="Palatino Linotype" w:eastAsia="Palatino Linotype" w:hAnsi="Palatino Linotype" w:cs="Palatino Linotype"/>
          <w:b/>
          <w:i/>
          <w:sz w:val="22"/>
          <w:szCs w:val="22"/>
        </w:rPr>
      </w:pPr>
      <w:r w:rsidRPr="003B5CE8">
        <w:rPr>
          <w:rFonts w:ascii="Palatino Linotype" w:eastAsia="Palatino Linotype" w:hAnsi="Palatino Linotype" w:cs="Palatino Linotype"/>
          <w:b/>
          <w:i/>
          <w:sz w:val="22"/>
          <w:szCs w:val="22"/>
        </w:rPr>
        <w:t xml:space="preserve">DE LAS OBLIGACIONES </w:t>
      </w:r>
    </w:p>
    <w:p w:rsidR="003617C4" w:rsidRPr="003B5CE8" w:rsidRDefault="003F5539" w:rsidP="003B5CE8">
      <w:pPr>
        <w:spacing w:after="240"/>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DÉCIMO PRIMERO</w:t>
      </w:r>
      <w:r w:rsidRPr="003B5CE8">
        <w:rPr>
          <w:rFonts w:ascii="Palatino Linotype" w:eastAsia="Palatino Linotype" w:hAnsi="Palatino Linotype" w:cs="Palatino Linotype"/>
          <w:i/>
          <w:sz w:val="22"/>
          <w:szCs w:val="22"/>
        </w:rPr>
        <w:t xml:space="preserve">: Los servidores públicos municipales, tendrán en el ámbito de su competencia, respecto de los presentes Lineamientos, las obligaciones siguientes: </w:t>
      </w:r>
    </w:p>
    <w:p w:rsidR="003617C4" w:rsidRPr="003B5CE8" w:rsidRDefault="003F5539" w:rsidP="003B5CE8">
      <w:pPr>
        <w:spacing w:after="240"/>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XII. El titular del área administrativa en los municipios, organismos públicos descentralizados y fideicomisos públicos de carácter municipal, deberá contratar con compañía aseguradora con base en las disposiciones legales, reglamentarias y normativas aplicables; las pólizas de seguros y la cobertura adecuada, para que ampare los bienes de propiedad municipal o el patrimonio de los organismos públicos descentralizados y fideicomisos públicos de carácter municipal, de acuerdo a los riesgos y necesidades de la entidad fiscalizable municipal de que se trate”</w:t>
      </w:r>
    </w:p>
    <w:p w:rsidR="003617C4" w:rsidRPr="003B5CE8" w:rsidRDefault="003F5539" w:rsidP="003B5CE8">
      <w:pPr>
        <w:spacing w:after="240"/>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w:t>
      </w:r>
      <w:proofErr w:type="gramStart"/>
      <w:r w:rsidRPr="003B5CE8">
        <w:rPr>
          <w:rFonts w:ascii="Palatino Linotype" w:eastAsia="Palatino Linotype" w:hAnsi="Palatino Linotype" w:cs="Palatino Linotype"/>
          <w:i/>
          <w:sz w:val="22"/>
          <w:szCs w:val="22"/>
        </w:rPr>
        <w:t>énfasis</w:t>
      </w:r>
      <w:proofErr w:type="gramEnd"/>
      <w:r w:rsidRPr="003B5CE8">
        <w:rPr>
          <w:rFonts w:ascii="Palatino Linotype" w:eastAsia="Palatino Linotype" w:hAnsi="Palatino Linotype" w:cs="Palatino Linotype"/>
          <w:i/>
          <w:sz w:val="22"/>
          <w:szCs w:val="22"/>
        </w:rPr>
        <w:t xml:space="preserve"> añadido). </w:t>
      </w:r>
    </w:p>
    <w:p w:rsidR="003617C4" w:rsidRPr="003B5CE8" w:rsidRDefault="003F5539"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Aunado a ello, el Reglamento de la Ley que Regula el Uso de Tecnologías de la Información y Comunicación para la Seguridad Pública del Estado de México refiere en su </w:t>
      </w:r>
      <w:r w:rsidR="00AB3D2F" w:rsidRPr="003B5CE8">
        <w:rPr>
          <w:rFonts w:ascii="Palatino Linotype" w:eastAsia="Palatino Linotype" w:hAnsi="Palatino Linotype" w:cs="Palatino Linotype"/>
        </w:rPr>
        <w:t>artículo</w:t>
      </w:r>
      <w:r w:rsidRPr="003B5CE8">
        <w:rPr>
          <w:rFonts w:ascii="Palatino Linotype" w:eastAsia="Palatino Linotype" w:hAnsi="Palatino Linotype" w:cs="Palatino Linotype"/>
        </w:rPr>
        <w:t xml:space="preserve"> 62 lo siguiente:</w:t>
      </w:r>
    </w:p>
    <w:p w:rsidR="003617C4" w:rsidRPr="003B5CE8" w:rsidRDefault="003F5539" w:rsidP="003B5CE8">
      <w:pPr>
        <w:spacing w:after="240"/>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Artículo 62. El mantenimiento preventivo y correctivo del sistema de </w:t>
      </w:r>
      <w:proofErr w:type="spellStart"/>
      <w:r w:rsidRPr="003B5CE8">
        <w:rPr>
          <w:rFonts w:ascii="Palatino Linotype" w:eastAsia="Palatino Linotype" w:hAnsi="Palatino Linotype" w:cs="Palatino Linotype"/>
          <w:i/>
          <w:sz w:val="22"/>
          <w:szCs w:val="22"/>
        </w:rPr>
        <w:t>videovigilancia</w:t>
      </w:r>
      <w:proofErr w:type="spellEnd"/>
      <w:r w:rsidRPr="003B5CE8">
        <w:rPr>
          <w:rFonts w:ascii="Palatino Linotype" w:eastAsia="Palatino Linotype" w:hAnsi="Palatino Linotype" w:cs="Palatino Linotype"/>
          <w:i/>
          <w:sz w:val="22"/>
          <w:szCs w:val="22"/>
        </w:rPr>
        <w:t xml:space="preserve"> a cargo de instituciones de seguridad pública, una vez concluidas las pólizas de garantía presentadas por la empresa encargada de su implementación, será a cargo del municipio donde se encuentren instaladas, por lo que deberá proveer lo necesario para que el sistema de </w:t>
      </w:r>
      <w:proofErr w:type="spellStart"/>
      <w:r w:rsidRPr="003B5CE8">
        <w:rPr>
          <w:rFonts w:ascii="Palatino Linotype" w:eastAsia="Palatino Linotype" w:hAnsi="Palatino Linotype" w:cs="Palatino Linotype"/>
          <w:i/>
          <w:sz w:val="22"/>
          <w:szCs w:val="22"/>
        </w:rPr>
        <w:t>videovigilancia</w:t>
      </w:r>
      <w:proofErr w:type="spellEnd"/>
      <w:r w:rsidRPr="003B5CE8">
        <w:rPr>
          <w:rFonts w:ascii="Palatino Linotype" w:eastAsia="Palatino Linotype" w:hAnsi="Palatino Linotype" w:cs="Palatino Linotype"/>
          <w:i/>
          <w:sz w:val="22"/>
          <w:szCs w:val="22"/>
        </w:rPr>
        <w:t xml:space="preserve"> cuente con dichas pólizas permanentemente.</w:t>
      </w:r>
    </w:p>
    <w:p w:rsidR="003617C4" w:rsidRPr="003B5CE8" w:rsidRDefault="003F5539" w:rsidP="003B5CE8">
      <w:pPr>
        <w:spacing w:after="240"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lastRenderedPageBreak/>
        <w:t xml:space="preserve">Por lo que, es posible señala que el </w:t>
      </w:r>
      <w:r w:rsidRPr="003B5CE8">
        <w:rPr>
          <w:rFonts w:ascii="Palatino Linotype" w:eastAsia="Palatino Linotype" w:hAnsi="Palatino Linotype" w:cs="Palatino Linotype"/>
          <w:b/>
        </w:rPr>
        <w:t>SUJETO OBLIGADO</w:t>
      </w:r>
      <w:r w:rsidRPr="003B5CE8">
        <w:rPr>
          <w:rFonts w:ascii="Palatino Linotype" w:eastAsia="Palatino Linotype" w:hAnsi="Palatino Linotype" w:cs="Palatino Linotype"/>
        </w:rPr>
        <w:t xml:space="preserve"> cuenta con documentos que pudieran colmar la petición del particular y lo procedente es que haga entrega de los mismos en versión pública de ser procedente. </w:t>
      </w:r>
    </w:p>
    <w:p w:rsidR="003617C4" w:rsidRPr="003B5CE8" w:rsidRDefault="003617C4" w:rsidP="003B5CE8">
      <w:pPr>
        <w:spacing w:after="240" w:line="360" w:lineRule="auto"/>
        <w:jc w:val="both"/>
        <w:rPr>
          <w:rFonts w:ascii="Palatino Linotype" w:eastAsia="Palatino Linotype" w:hAnsi="Palatino Linotype" w:cs="Palatino Linotype"/>
        </w:rPr>
      </w:pPr>
    </w:p>
    <w:p w:rsidR="003617C4" w:rsidRPr="003B5CE8" w:rsidRDefault="003F5539" w:rsidP="003B5CE8">
      <w:pPr>
        <w:tabs>
          <w:tab w:val="left" w:pos="709"/>
        </w:tabs>
        <w:spacing w:line="360" w:lineRule="auto"/>
        <w:ind w:right="49"/>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3B5CE8">
        <w:rPr>
          <w:rFonts w:ascii="Palatino Linotype" w:eastAsia="Palatino Linotype" w:hAnsi="Palatino Linotype" w:cs="Palatino Linotype"/>
          <w:b/>
        </w:rPr>
        <w:t>SUJETO OBLIGADO</w:t>
      </w:r>
      <w:r w:rsidRPr="003B5CE8">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Por ende, </w:t>
      </w:r>
      <w:r w:rsidRPr="003B5CE8">
        <w:rPr>
          <w:rFonts w:ascii="Palatino Linotype" w:eastAsia="Palatino Linotype" w:hAnsi="Palatino Linotype" w:cs="Palatino Linotype"/>
          <w:b/>
        </w:rPr>
        <w:t>EL SUJETO OBLIGADO</w:t>
      </w:r>
      <w:r w:rsidRPr="003B5CE8">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w:t>
      </w:r>
      <w:r w:rsidRPr="003B5CE8">
        <w:rPr>
          <w:rFonts w:ascii="Palatino Linotype" w:eastAsia="Palatino Linotype" w:hAnsi="Palatino Linotype" w:cs="Palatino Linotype"/>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3617C4" w:rsidRPr="003B5CE8" w:rsidRDefault="003F5539" w:rsidP="003B5CE8">
      <w:pPr>
        <w:ind w:left="851" w:right="902"/>
        <w:jc w:val="center"/>
        <w:rPr>
          <w:rFonts w:ascii="Palatino Linotype" w:eastAsia="Palatino Linotype" w:hAnsi="Palatino Linotype" w:cs="Palatino Linotype"/>
          <w:b/>
          <w:i/>
          <w:sz w:val="22"/>
          <w:szCs w:val="22"/>
        </w:rPr>
      </w:pPr>
      <w:r w:rsidRPr="003B5CE8">
        <w:rPr>
          <w:rFonts w:ascii="Palatino Linotype" w:eastAsia="Palatino Linotype" w:hAnsi="Palatino Linotype" w:cs="Palatino Linotype"/>
          <w:b/>
          <w:i/>
          <w:sz w:val="22"/>
          <w:szCs w:val="22"/>
        </w:rPr>
        <w:t>Ley de Transparencia y Acceso a la Información Pública del Estado de México y Municipios</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w:t>
      </w:r>
      <w:r w:rsidRPr="003B5CE8">
        <w:rPr>
          <w:rFonts w:ascii="Palatino Linotype" w:eastAsia="Palatino Linotype" w:hAnsi="Palatino Linotype" w:cs="Palatino Linotype"/>
          <w:b/>
          <w:i/>
          <w:sz w:val="22"/>
          <w:szCs w:val="22"/>
        </w:rPr>
        <w:t xml:space="preserve">Artículo 49. </w:t>
      </w:r>
      <w:r w:rsidRPr="003B5CE8">
        <w:rPr>
          <w:rFonts w:ascii="Palatino Linotype" w:eastAsia="Palatino Linotype" w:hAnsi="Palatino Linotype" w:cs="Palatino Linotype"/>
          <w:i/>
          <w:sz w:val="22"/>
          <w:szCs w:val="22"/>
        </w:rPr>
        <w:t>Los Comités de Transparencia tendrán las siguientes atribuciones:</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VIII.</w:t>
      </w:r>
      <w:r w:rsidRPr="003B5CE8">
        <w:rPr>
          <w:rFonts w:ascii="Palatino Linotype" w:eastAsia="Palatino Linotype" w:hAnsi="Palatino Linotype" w:cs="Palatino Linotype"/>
          <w:i/>
          <w:sz w:val="22"/>
          <w:szCs w:val="22"/>
        </w:rPr>
        <w:t xml:space="preserve"> </w:t>
      </w:r>
      <w:r w:rsidRPr="003B5CE8">
        <w:rPr>
          <w:rFonts w:ascii="Palatino Linotype" w:eastAsia="Palatino Linotype" w:hAnsi="Palatino Linotype" w:cs="Palatino Linotype"/>
          <w:b/>
          <w:i/>
          <w:sz w:val="22"/>
          <w:szCs w:val="22"/>
        </w:rPr>
        <w:t>Aprobar</w:t>
      </w:r>
      <w:r w:rsidRPr="003B5CE8">
        <w:rPr>
          <w:rFonts w:ascii="Palatino Linotype" w:eastAsia="Palatino Linotype" w:hAnsi="Palatino Linotype" w:cs="Palatino Linotype"/>
          <w:i/>
          <w:sz w:val="22"/>
          <w:szCs w:val="22"/>
        </w:rPr>
        <w:t>, modificar o revocar la clasificación de la información;</w:t>
      </w:r>
    </w:p>
    <w:p w:rsidR="003617C4" w:rsidRPr="003B5CE8" w:rsidRDefault="003F5539" w:rsidP="003B5CE8">
      <w:pPr>
        <w:ind w:left="851" w:right="902"/>
        <w:jc w:val="both"/>
        <w:rPr>
          <w:rFonts w:ascii="Palatino Linotype" w:eastAsia="Palatino Linotype" w:hAnsi="Palatino Linotype" w:cs="Palatino Linotype"/>
          <w:b/>
          <w:i/>
          <w:sz w:val="22"/>
          <w:szCs w:val="22"/>
        </w:rPr>
      </w:pPr>
      <w:r w:rsidRPr="003B5CE8">
        <w:rPr>
          <w:rFonts w:ascii="Palatino Linotype" w:eastAsia="Palatino Linotype" w:hAnsi="Palatino Linotype" w:cs="Palatino Linotype"/>
          <w:b/>
          <w:i/>
          <w:sz w:val="22"/>
          <w:szCs w:val="22"/>
        </w:rPr>
        <w:t>Artículo 132.</w:t>
      </w:r>
      <w:r w:rsidRPr="003B5CE8">
        <w:rPr>
          <w:rFonts w:ascii="Palatino Linotype" w:eastAsia="Palatino Linotype" w:hAnsi="Palatino Linotype" w:cs="Palatino Linotype"/>
          <w:i/>
          <w:sz w:val="22"/>
          <w:szCs w:val="22"/>
        </w:rPr>
        <w:t xml:space="preserve"> </w:t>
      </w:r>
      <w:r w:rsidRPr="003B5CE8">
        <w:rPr>
          <w:rFonts w:ascii="Palatino Linotype" w:eastAsia="Palatino Linotype" w:hAnsi="Palatino Linotype" w:cs="Palatino Linotype"/>
          <w:b/>
          <w:i/>
          <w:sz w:val="22"/>
          <w:szCs w:val="22"/>
        </w:rPr>
        <w:t>La clasificación de la información se llevará a cabo en el momento en que:</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II.</w:t>
      </w:r>
      <w:r w:rsidRPr="003B5CE8">
        <w:rPr>
          <w:rFonts w:ascii="Palatino Linotype" w:eastAsia="Palatino Linotype" w:hAnsi="Palatino Linotype" w:cs="Palatino Linotype"/>
          <w:i/>
          <w:sz w:val="22"/>
          <w:szCs w:val="22"/>
        </w:rPr>
        <w:t xml:space="preserve"> Se determine mediante resolución de autoridad competente; o</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III</w:t>
      </w:r>
      <w:r w:rsidRPr="003B5CE8">
        <w:rPr>
          <w:rFonts w:ascii="Palatino Linotype" w:eastAsia="Palatino Linotype" w:hAnsi="Palatino Linotype" w:cs="Palatino Linotype"/>
          <w:i/>
          <w:sz w:val="22"/>
          <w:szCs w:val="22"/>
        </w:rPr>
        <w:t xml:space="preserve">. </w:t>
      </w:r>
      <w:r w:rsidRPr="003B5CE8">
        <w:rPr>
          <w:rFonts w:ascii="Palatino Linotype" w:eastAsia="Palatino Linotype" w:hAnsi="Palatino Linotype" w:cs="Palatino Linotype"/>
          <w:b/>
          <w:i/>
          <w:sz w:val="22"/>
          <w:szCs w:val="22"/>
        </w:rPr>
        <w:t>Se generen versiones públicas para dar cumplimiento a las obligaciones de transparencia previstas en esta Ley</w:t>
      </w:r>
      <w:r w:rsidRPr="003B5CE8">
        <w:rPr>
          <w:rFonts w:ascii="Palatino Linotype" w:eastAsia="Palatino Linotype" w:hAnsi="Palatino Linotype" w:cs="Palatino Linotype"/>
          <w:i/>
          <w:sz w:val="22"/>
          <w:szCs w:val="22"/>
        </w:rPr>
        <w:t>.”</w:t>
      </w:r>
    </w:p>
    <w:p w:rsidR="003617C4" w:rsidRPr="003B5CE8" w:rsidRDefault="003F5539" w:rsidP="003B5CE8">
      <w:pPr>
        <w:ind w:left="851" w:right="902"/>
        <w:jc w:val="center"/>
        <w:rPr>
          <w:rFonts w:ascii="Palatino Linotype" w:eastAsia="Palatino Linotype" w:hAnsi="Palatino Linotype" w:cs="Palatino Linotype"/>
          <w:b/>
          <w:i/>
          <w:sz w:val="22"/>
          <w:szCs w:val="22"/>
        </w:rPr>
      </w:pPr>
      <w:r w:rsidRPr="003B5CE8">
        <w:rPr>
          <w:rFonts w:ascii="Palatino Linotype" w:eastAsia="Palatino Linotype" w:hAnsi="Palatino Linotype" w:cs="Palatino Linotype"/>
          <w:b/>
          <w:i/>
          <w:sz w:val="22"/>
          <w:szCs w:val="22"/>
        </w:rPr>
        <w:t>Lineamientos Generales en materia de Clasificación y Desclasificación de la Información</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w:t>
      </w:r>
      <w:r w:rsidRPr="003B5CE8">
        <w:rPr>
          <w:rFonts w:ascii="Palatino Linotype" w:eastAsia="Palatino Linotype" w:hAnsi="Palatino Linotype" w:cs="Palatino Linotype"/>
          <w:b/>
          <w:i/>
          <w:sz w:val="22"/>
          <w:szCs w:val="22"/>
        </w:rPr>
        <w:t>Segundo.-</w:t>
      </w:r>
      <w:r w:rsidRPr="003B5CE8">
        <w:rPr>
          <w:rFonts w:ascii="Palatino Linotype" w:eastAsia="Palatino Linotype" w:hAnsi="Palatino Linotype" w:cs="Palatino Linotype"/>
          <w:i/>
          <w:sz w:val="22"/>
          <w:szCs w:val="22"/>
        </w:rPr>
        <w:t xml:space="preserve"> Para efectos de los presentes Lineamientos Generales, se entenderá por:</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XVIII.</w:t>
      </w:r>
      <w:r w:rsidRPr="003B5CE8">
        <w:rPr>
          <w:rFonts w:ascii="Palatino Linotype" w:eastAsia="Palatino Linotype" w:hAnsi="Palatino Linotype" w:cs="Palatino Linotype"/>
          <w:i/>
          <w:sz w:val="22"/>
          <w:szCs w:val="22"/>
        </w:rPr>
        <w:t xml:space="preserve"> </w:t>
      </w:r>
      <w:r w:rsidRPr="003B5CE8">
        <w:rPr>
          <w:rFonts w:ascii="Palatino Linotype" w:eastAsia="Palatino Linotype" w:hAnsi="Palatino Linotype" w:cs="Palatino Linotype"/>
          <w:b/>
          <w:i/>
          <w:sz w:val="22"/>
          <w:szCs w:val="22"/>
        </w:rPr>
        <w:t>Versión pública:</w:t>
      </w:r>
      <w:r w:rsidRPr="003B5CE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B5CE8">
        <w:rPr>
          <w:rFonts w:ascii="Palatino Linotype" w:eastAsia="Palatino Linotype" w:hAnsi="Palatino Linotype" w:cs="Palatino Linotype"/>
          <w:b/>
          <w:i/>
          <w:sz w:val="22"/>
          <w:szCs w:val="22"/>
        </w:rPr>
        <w:t>fundando y motivando la</w:t>
      </w:r>
      <w:r w:rsidRPr="003B5CE8">
        <w:rPr>
          <w:rFonts w:ascii="Palatino Linotype" w:eastAsia="Palatino Linotype" w:hAnsi="Palatino Linotype" w:cs="Palatino Linotype"/>
          <w:i/>
          <w:sz w:val="22"/>
          <w:szCs w:val="22"/>
        </w:rPr>
        <w:t xml:space="preserve"> reserva o </w:t>
      </w:r>
      <w:r w:rsidRPr="003B5CE8">
        <w:rPr>
          <w:rFonts w:ascii="Palatino Linotype" w:eastAsia="Palatino Linotype" w:hAnsi="Palatino Linotype" w:cs="Palatino Linotype"/>
          <w:b/>
          <w:i/>
          <w:sz w:val="22"/>
          <w:szCs w:val="22"/>
        </w:rPr>
        <w:t>confidencialidad</w:t>
      </w:r>
      <w:r w:rsidRPr="003B5CE8">
        <w:rPr>
          <w:rFonts w:ascii="Palatino Linotype" w:eastAsia="Palatino Linotype" w:hAnsi="Palatino Linotype" w:cs="Palatino Linotype"/>
          <w:i/>
          <w:sz w:val="22"/>
          <w:szCs w:val="22"/>
        </w:rPr>
        <w:t>, a través de la resolución que para tal efecto emita el Comité de Transparencia.</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Cuarto.</w:t>
      </w:r>
      <w:r w:rsidRPr="003B5CE8">
        <w:rPr>
          <w:rFonts w:ascii="Palatino Linotype" w:eastAsia="Palatino Linotype" w:hAnsi="Palatino Linotype" w:cs="Palatino Linotype"/>
          <w:i/>
          <w:sz w:val="22"/>
          <w:szCs w:val="22"/>
        </w:rPr>
        <w:t xml:space="preserve"> </w:t>
      </w:r>
      <w:r w:rsidRPr="003B5CE8">
        <w:rPr>
          <w:rFonts w:ascii="Palatino Linotype" w:eastAsia="Palatino Linotype" w:hAnsi="Palatino Linotype" w:cs="Palatino Linotype"/>
          <w:b/>
          <w:i/>
          <w:sz w:val="22"/>
          <w:szCs w:val="22"/>
        </w:rPr>
        <w:t>Para clasificar la información como</w:t>
      </w:r>
      <w:r w:rsidRPr="003B5CE8">
        <w:rPr>
          <w:rFonts w:ascii="Palatino Linotype" w:eastAsia="Palatino Linotype" w:hAnsi="Palatino Linotype" w:cs="Palatino Linotype"/>
          <w:i/>
          <w:sz w:val="22"/>
          <w:szCs w:val="22"/>
        </w:rPr>
        <w:t xml:space="preserve"> reservada o </w:t>
      </w:r>
      <w:r w:rsidRPr="003B5CE8">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3B5CE8">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lastRenderedPageBreak/>
        <w:t>Quinto.</w:t>
      </w:r>
      <w:r w:rsidRPr="003B5CE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Sexto.</w:t>
      </w:r>
      <w:r w:rsidRPr="003B5CE8">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Séptimo.</w:t>
      </w:r>
      <w:r w:rsidRPr="003B5CE8">
        <w:rPr>
          <w:rFonts w:ascii="Palatino Linotype" w:eastAsia="Palatino Linotype" w:hAnsi="Palatino Linotype" w:cs="Palatino Linotype"/>
          <w:i/>
          <w:sz w:val="22"/>
          <w:szCs w:val="22"/>
        </w:rPr>
        <w:t xml:space="preserve"> La clasificación de la información se llevará a cabo en el momento en que:</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I.</w:t>
      </w:r>
      <w:r w:rsidRPr="003B5CE8">
        <w:rPr>
          <w:rFonts w:ascii="Palatino Linotype" w:eastAsia="Palatino Linotype" w:hAnsi="Palatino Linotype" w:cs="Palatino Linotype"/>
          <w:i/>
          <w:sz w:val="22"/>
          <w:szCs w:val="22"/>
        </w:rPr>
        <w:t xml:space="preserve"> Se reciba una solicitud de acceso a la información;</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II.</w:t>
      </w:r>
      <w:r w:rsidRPr="003B5CE8">
        <w:rPr>
          <w:rFonts w:ascii="Palatino Linotype" w:eastAsia="Palatino Linotype" w:hAnsi="Palatino Linotype" w:cs="Palatino Linotype"/>
          <w:i/>
          <w:sz w:val="22"/>
          <w:szCs w:val="22"/>
        </w:rPr>
        <w:t xml:space="preserve"> Se determine mediante resolución de autoridad competente, o</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III.</w:t>
      </w:r>
      <w:r w:rsidRPr="003B5CE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Octavo.</w:t>
      </w:r>
      <w:r w:rsidRPr="003B5CE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lastRenderedPageBreak/>
        <w:t>Los documentos contenidos en los archivos históricos y los identificados como históricos confidenciales no serán susceptibles de clasificación como reservados.</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Noveno.</w:t>
      </w:r>
      <w:r w:rsidRPr="003B5CE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Décimo.</w:t>
      </w:r>
      <w:r w:rsidRPr="003B5CE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3617C4" w:rsidRPr="003B5CE8" w:rsidRDefault="003F5539" w:rsidP="003B5CE8">
      <w:pPr>
        <w:ind w:left="851" w:right="902"/>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Décimo primero.</w:t>
      </w:r>
      <w:r w:rsidRPr="003B5CE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617C4" w:rsidRPr="003B5CE8" w:rsidRDefault="003617C4" w:rsidP="003B5CE8">
      <w:pPr>
        <w:ind w:left="851" w:right="902"/>
        <w:jc w:val="both"/>
        <w:rPr>
          <w:rFonts w:ascii="Palatino Linotype" w:eastAsia="Palatino Linotype" w:hAnsi="Palatino Linotype" w:cs="Palatino Linotype"/>
          <w:i/>
          <w:sz w:val="22"/>
          <w:szCs w:val="22"/>
        </w:rPr>
      </w:pPr>
    </w:p>
    <w:p w:rsidR="003617C4" w:rsidRPr="003B5CE8" w:rsidRDefault="003F5539" w:rsidP="003B5CE8">
      <w:pPr>
        <w:ind w:left="850" w:right="901"/>
        <w:jc w:val="center"/>
        <w:rPr>
          <w:rFonts w:ascii="Palatino Linotype" w:eastAsia="Palatino Linotype" w:hAnsi="Palatino Linotype" w:cs="Palatino Linotype"/>
          <w:b/>
          <w:i/>
          <w:sz w:val="22"/>
          <w:szCs w:val="22"/>
        </w:rPr>
      </w:pPr>
      <w:r w:rsidRPr="003B5CE8">
        <w:rPr>
          <w:rFonts w:ascii="Palatino Linotype" w:eastAsia="Palatino Linotype" w:hAnsi="Palatino Linotype" w:cs="Palatino Linotype"/>
          <w:b/>
          <w:i/>
          <w:sz w:val="22"/>
          <w:szCs w:val="22"/>
        </w:rPr>
        <w:t>CAPÍTULO VIII</w:t>
      </w:r>
    </w:p>
    <w:p w:rsidR="003617C4" w:rsidRPr="003B5CE8" w:rsidRDefault="003F5539" w:rsidP="003B5CE8">
      <w:pPr>
        <w:ind w:left="850" w:right="901"/>
        <w:jc w:val="center"/>
        <w:rPr>
          <w:rFonts w:ascii="Palatino Linotype" w:eastAsia="Palatino Linotype" w:hAnsi="Palatino Linotype" w:cs="Palatino Linotype"/>
          <w:b/>
          <w:i/>
          <w:sz w:val="22"/>
          <w:szCs w:val="22"/>
        </w:rPr>
      </w:pPr>
      <w:r w:rsidRPr="003B5CE8">
        <w:rPr>
          <w:rFonts w:ascii="Palatino Linotype" w:eastAsia="Palatino Linotype" w:hAnsi="Palatino Linotype" w:cs="Palatino Linotype"/>
          <w:b/>
          <w:i/>
          <w:sz w:val="22"/>
          <w:szCs w:val="22"/>
        </w:rPr>
        <w:t>DE LA LEYENDA DE CLASIFICACIÓN</w:t>
      </w:r>
    </w:p>
    <w:p w:rsidR="003617C4" w:rsidRPr="003B5CE8" w:rsidRDefault="003F5539" w:rsidP="003B5CE8">
      <w:pPr>
        <w:ind w:left="850" w:right="90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 xml:space="preserve">Quincuagésimo. </w:t>
      </w:r>
      <w:r w:rsidRPr="003B5CE8">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3B5CE8">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3617C4" w:rsidRPr="003B5CE8" w:rsidRDefault="003F5539" w:rsidP="003B5CE8">
      <w:pPr>
        <w:ind w:left="850" w:right="90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w:t>
      </w:r>
    </w:p>
    <w:p w:rsidR="003617C4" w:rsidRPr="003B5CE8" w:rsidRDefault="003F5539" w:rsidP="003B5CE8">
      <w:pPr>
        <w:ind w:left="850" w:right="901"/>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b/>
          <w:i/>
          <w:sz w:val="22"/>
          <w:szCs w:val="22"/>
        </w:rPr>
        <w:t xml:space="preserve">Quincuagésimo tercero. </w:t>
      </w:r>
      <w:r w:rsidRPr="003B5CE8">
        <w:rPr>
          <w:rFonts w:ascii="Palatino Linotype" w:eastAsia="Palatino Linotype" w:hAnsi="Palatino Linotype" w:cs="Palatino Linotype"/>
          <w:b/>
          <w:i/>
          <w:sz w:val="22"/>
          <w:szCs w:val="22"/>
          <w:u w:val="single"/>
        </w:rPr>
        <w:t>El formato para señalar la clasificación parcial de un documento</w:t>
      </w:r>
      <w:r w:rsidRPr="003B5CE8">
        <w:rPr>
          <w:rFonts w:ascii="Palatino Linotype" w:eastAsia="Palatino Linotype" w:hAnsi="Palatino Linotype" w:cs="Palatino Linotype"/>
          <w:i/>
          <w:sz w:val="22"/>
          <w:szCs w:val="22"/>
        </w:rPr>
        <w:t>, es el siguiente:</w:t>
      </w:r>
    </w:p>
    <w:p w:rsidR="003617C4" w:rsidRPr="003B5CE8" w:rsidRDefault="003617C4" w:rsidP="003B5CE8">
      <w:pPr>
        <w:ind w:left="850" w:right="901"/>
        <w:jc w:val="both"/>
        <w:rPr>
          <w:rFonts w:ascii="Palatino Linotype" w:eastAsia="Palatino Linotype" w:hAnsi="Palatino Linotype" w:cs="Palatino Linotype"/>
          <w:i/>
          <w:sz w:val="22"/>
          <w:szCs w:val="22"/>
        </w:rPr>
      </w:pPr>
    </w:p>
    <w:tbl>
      <w:tblPr>
        <w:tblStyle w:val="affffffffff2"/>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3617C4" w:rsidRPr="003B5CE8">
        <w:trPr>
          <w:jc w:val="center"/>
        </w:trPr>
        <w:tc>
          <w:tcPr>
            <w:tcW w:w="1129" w:type="dxa"/>
            <w:tcBorders>
              <w:top w:val="single" w:sz="4" w:space="0" w:color="000000"/>
              <w:left w:val="single" w:sz="4" w:space="0" w:color="000000"/>
              <w:bottom w:val="single" w:sz="4" w:space="0" w:color="000000"/>
              <w:right w:val="single" w:sz="4" w:space="0" w:color="000000"/>
            </w:tcBorders>
          </w:tcPr>
          <w:p w:rsidR="003617C4" w:rsidRPr="003B5CE8" w:rsidRDefault="003617C4" w:rsidP="003B5CE8">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b/>
                <w:i/>
              </w:rPr>
            </w:pPr>
            <w:r w:rsidRPr="003B5CE8">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b/>
                <w:i/>
              </w:rPr>
            </w:pPr>
            <w:r w:rsidRPr="003B5CE8">
              <w:rPr>
                <w:rFonts w:ascii="Palatino Linotype" w:eastAsia="Palatino Linotype" w:hAnsi="Palatino Linotype" w:cs="Palatino Linotype"/>
                <w:b/>
                <w:i/>
              </w:rPr>
              <w:t>Dónde:</w:t>
            </w:r>
          </w:p>
        </w:tc>
      </w:tr>
      <w:tr w:rsidR="003617C4" w:rsidRPr="003B5CE8">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3617C4" w:rsidRPr="003B5CE8" w:rsidRDefault="003F5539" w:rsidP="003B5CE8">
            <w:pPr>
              <w:jc w:val="center"/>
              <w:rPr>
                <w:rFonts w:ascii="Palatino Linotype" w:eastAsia="Palatino Linotype" w:hAnsi="Palatino Linotype" w:cs="Palatino Linotype"/>
                <w:b/>
                <w:i/>
              </w:rPr>
            </w:pPr>
            <w:r w:rsidRPr="003B5CE8">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i/>
              </w:rPr>
            </w:pPr>
            <w:r w:rsidRPr="003B5CE8">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both"/>
              <w:rPr>
                <w:rFonts w:ascii="Palatino Linotype" w:eastAsia="Palatino Linotype" w:hAnsi="Palatino Linotype" w:cs="Palatino Linotype"/>
                <w:i/>
              </w:rPr>
            </w:pPr>
            <w:r w:rsidRPr="003B5CE8">
              <w:rPr>
                <w:rFonts w:ascii="Palatino Linotype" w:eastAsia="Palatino Linotype" w:hAnsi="Palatino Linotype" w:cs="Palatino Linotype"/>
                <w:i/>
              </w:rPr>
              <w:t>Se anotará la fecha en la que el Comité de Transparencia confirmó la clasificación del documento, en su caso.</w:t>
            </w:r>
          </w:p>
        </w:tc>
      </w:tr>
      <w:tr w:rsidR="003617C4" w:rsidRPr="003B5CE8">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617C4" w:rsidRPr="003B5CE8" w:rsidRDefault="003617C4" w:rsidP="003B5CE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i/>
              </w:rPr>
            </w:pPr>
            <w:r w:rsidRPr="003B5CE8">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both"/>
              <w:rPr>
                <w:rFonts w:ascii="Palatino Linotype" w:eastAsia="Palatino Linotype" w:hAnsi="Palatino Linotype" w:cs="Palatino Linotype"/>
                <w:i/>
              </w:rPr>
            </w:pPr>
            <w:r w:rsidRPr="003B5CE8">
              <w:rPr>
                <w:rFonts w:ascii="Palatino Linotype" w:eastAsia="Palatino Linotype" w:hAnsi="Palatino Linotype" w:cs="Palatino Linotype"/>
                <w:i/>
              </w:rPr>
              <w:t>Se señalará el nombre del área del cual es titular quien clasifica.</w:t>
            </w:r>
          </w:p>
        </w:tc>
      </w:tr>
      <w:tr w:rsidR="003617C4" w:rsidRPr="003B5CE8">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617C4" w:rsidRPr="003B5CE8" w:rsidRDefault="003617C4" w:rsidP="003B5CE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i/>
              </w:rPr>
            </w:pPr>
            <w:r w:rsidRPr="003B5CE8">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both"/>
              <w:rPr>
                <w:rFonts w:ascii="Palatino Linotype" w:eastAsia="Palatino Linotype" w:hAnsi="Palatino Linotype" w:cs="Palatino Linotype"/>
                <w:i/>
              </w:rPr>
            </w:pPr>
            <w:r w:rsidRPr="003B5CE8">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3B5CE8">
              <w:rPr>
                <w:rFonts w:ascii="Palatino Linotype" w:eastAsia="Palatino Linotype" w:hAnsi="Palatino Linotype" w:cs="Palatino Linotype"/>
                <w:i/>
              </w:rPr>
              <w:t>anotarán</w:t>
            </w:r>
            <w:proofErr w:type="gramEnd"/>
            <w:r w:rsidRPr="003B5CE8">
              <w:rPr>
                <w:rFonts w:ascii="Palatino Linotype" w:eastAsia="Palatino Linotype" w:hAnsi="Palatino Linotype" w:cs="Palatino Linotype"/>
                <w:i/>
              </w:rPr>
              <w:t xml:space="preserve"> todas las páginas que lo conforman. Si el documento no contiene información reservada, se tachará este apartado.</w:t>
            </w:r>
          </w:p>
        </w:tc>
      </w:tr>
      <w:tr w:rsidR="003617C4" w:rsidRPr="003B5CE8">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617C4" w:rsidRPr="003B5CE8" w:rsidRDefault="003617C4" w:rsidP="003B5CE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i/>
              </w:rPr>
            </w:pPr>
            <w:r w:rsidRPr="003B5CE8">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both"/>
              <w:rPr>
                <w:rFonts w:ascii="Palatino Linotype" w:eastAsia="Palatino Linotype" w:hAnsi="Palatino Linotype" w:cs="Palatino Linotype"/>
                <w:i/>
              </w:rPr>
            </w:pPr>
            <w:r w:rsidRPr="003B5CE8">
              <w:rPr>
                <w:rFonts w:ascii="Palatino Linotype" w:eastAsia="Palatino Linotype" w:hAnsi="Palatino Linotype" w:cs="Palatino Linotype"/>
                <w:i/>
              </w:rPr>
              <w:t>Se anotará el número de años o meses por los que se mantendrá el documento o las partes del mismo como reservado.</w:t>
            </w:r>
          </w:p>
        </w:tc>
      </w:tr>
      <w:tr w:rsidR="003617C4" w:rsidRPr="003B5CE8">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617C4" w:rsidRPr="003B5CE8" w:rsidRDefault="003617C4" w:rsidP="003B5CE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i/>
              </w:rPr>
            </w:pPr>
            <w:r w:rsidRPr="003B5CE8">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both"/>
              <w:rPr>
                <w:rFonts w:ascii="Palatino Linotype" w:eastAsia="Palatino Linotype" w:hAnsi="Palatino Linotype" w:cs="Palatino Linotype"/>
                <w:i/>
              </w:rPr>
            </w:pPr>
            <w:r w:rsidRPr="003B5CE8">
              <w:rPr>
                <w:rFonts w:ascii="Palatino Linotype" w:eastAsia="Palatino Linotype" w:hAnsi="Palatino Linotype" w:cs="Palatino Linotype"/>
                <w:i/>
              </w:rPr>
              <w:t>Se señalará el nombre del ordenamiento, el o los artículos, fracción(es), párrafo(s) con base en los cuales se sustente la reserva.</w:t>
            </w:r>
          </w:p>
        </w:tc>
      </w:tr>
      <w:tr w:rsidR="003617C4" w:rsidRPr="003B5CE8">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617C4" w:rsidRPr="003B5CE8" w:rsidRDefault="003617C4" w:rsidP="003B5CE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i/>
              </w:rPr>
            </w:pPr>
            <w:r w:rsidRPr="003B5CE8">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both"/>
              <w:rPr>
                <w:rFonts w:ascii="Palatino Linotype" w:eastAsia="Palatino Linotype" w:hAnsi="Palatino Linotype" w:cs="Palatino Linotype"/>
                <w:i/>
              </w:rPr>
            </w:pPr>
            <w:r w:rsidRPr="003B5CE8">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3617C4" w:rsidRPr="003B5CE8">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617C4" w:rsidRPr="003B5CE8" w:rsidRDefault="003617C4" w:rsidP="003B5CE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b/>
                <w:i/>
                <w:u w:val="single"/>
              </w:rPr>
            </w:pPr>
            <w:r w:rsidRPr="003B5CE8">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both"/>
              <w:rPr>
                <w:rFonts w:ascii="Palatino Linotype" w:eastAsia="Palatino Linotype" w:hAnsi="Palatino Linotype" w:cs="Palatino Linotype"/>
                <w:i/>
              </w:rPr>
            </w:pPr>
            <w:r w:rsidRPr="003B5CE8">
              <w:rPr>
                <w:rFonts w:ascii="Palatino Linotype" w:eastAsia="Palatino Linotype" w:hAnsi="Palatino Linotype" w:cs="Palatino Linotype"/>
                <w:i/>
              </w:rPr>
              <w:t xml:space="preserve">Se indicarán, en su caso, </w:t>
            </w:r>
            <w:r w:rsidRPr="003B5CE8">
              <w:rPr>
                <w:rFonts w:ascii="Palatino Linotype" w:eastAsia="Palatino Linotype" w:hAnsi="Palatino Linotype" w:cs="Palatino Linotype"/>
                <w:b/>
                <w:i/>
                <w:u w:val="single"/>
              </w:rPr>
              <w:t>las partes o páginas del documento que se clasifica como confidencial</w:t>
            </w:r>
            <w:r w:rsidRPr="003B5CE8">
              <w:rPr>
                <w:rFonts w:ascii="Palatino Linotype" w:eastAsia="Palatino Linotype" w:hAnsi="Palatino Linotype" w:cs="Palatino Linotype"/>
                <w:i/>
              </w:rPr>
              <w:t xml:space="preserve">. </w:t>
            </w:r>
            <w:r w:rsidRPr="003B5CE8">
              <w:rPr>
                <w:rFonts w:ascii="Palatino Linotype" w:eastAsia="Palatino Linotype" w:hAnsi="Palatino Linotype" w:cs="Palatino Linotype"/>
                <w:b/>
                <w:i/>
                <w:u w:val="single"/>
              </w:rPr>
              <w:t>Si el documento fuera confidencial en su totalidad, se anotarán todas las páginas que lo conforman</w:t>
            </w:r>
            <w:r w:rsidRPr="003B5CE8">
              <w:rPr>
                <w:rFonts w:ascii="Palatino Linotype" w:eastAsia="Palatino Linotype" w:hAnsi="Palatino Linotype" w:cs="Palatino Linotype"/>
                <w:i/>
              </w:rPr>
              <w:t>. Si el documento no contiene información confidencial, se tachará este apartado.</w:t>
            </w:r>
          </w:p>
        </w:tc>
      </w:tr>
      <w:tr w:rsidR="003617C4" w:rsidRPr="003B5CE8">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617C4" w:rsidRPr="003B5CE8" w:rsidRDefault="003617C4" w:rsidP="003B5CE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i/>
              </w:rPr>
            </w:pPr>
            <w:r w:rsidRPr="003B5CE8">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both"/>
              <w:rPr>
                <w:rFonts w:ascii="Palatino Linotype" w:eastAsia="Palatino Linotype" w:hAnsi="Palatino Linotype" w:cs="Palatino Linotype"/>
                <w:i/>
              </w:rPr>
            </w:pPr>
            <w:r w:rsidRPr="003B5CE8">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3617C4" w:rsidRPr="003B5CE8">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617C4" w:rsidRPr="003B5CE8" w:rsidRDefault="003617C4" w:rsidP="003B5CE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i/>
              </w:rPr>
            </w:pPr>
            <w:r w:rsidRPr="003B5CE8">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both"/>
              <w:rPr>
                <w:rFonts w:ascii="Palatino Linotype" w:eastAsia="Palatino Linotype" w:hAnsi="Palatino Linotype" w:cs="Palatino Linotype"/>
                <w:i/>
              </w:rPr>
            </w:pPr>
            <w:r w:rsidRPr="003B5CE8">
              <w:rPr>
                <w:rFonts w:ascii="Palatino Linotype" w:eastAsia="Palatino Linotype" w:hAnsi="Palatino Linotype" w:cs="Palatino Linotype"/>
                <w:i/>
              </w:rPr>
              <w:t>Rúbrica autógrafa de quien clasifica.</w:t>
            </w:r>
          </w:p>
        </w:tc>
      </w:tr>
      <w:tr w:rsidR="003617C4" w:rsidRPr="003B5CE8">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617C4" w:rsidRPr="003B5CE8" w:rsidRDefault="003617C4" w:rsidP="003B5CE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i/>
              </w:rPr>
            </w:pPr>
            <w:r w:rsidRPr="003B5CE8">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both"/>
              <w:rPr>
                <w:rFonts w:ascii="Palatino Linotype" w:eastAsia="Palatino Linotype" w:hAnsi="Palatino Linotype" w:cs="Palatino Linotype"/>
                <w:i/>
              </w:rPr>
            </w:pPr>
            <w:r w:rsidRPr="003B5CE8">
              <w:rPr>
                <w:rFonts w:ascii="Palatino Linotype" w:eastAsia="Palatino Linotype" w:hAnsi="Palatino Linotype" w:cs="Palatino Linotype"/>
                <w:i/>
              </w:rPr>
              <w:t>Se anotará la fecha en que se desclasifica el documento.</w:t>
            </w:r>
          </w:p>
        </w:tc>
      </w:tr>
      <w:tr w:rsidR="003617C4" w:rsidRPr="003B5CE8">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617C4" w:rsidRPr="003B5CE8" w:rsidRDefault="003617C4" w:rsidP="003B5CE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3617C4" w:rsidRPr="003B5CE8" w:rsidRDefault="003F5539" w:rsidP="003B5CE8">
            <w:pPr>
              <w:jc w:val="center"/>
              <w:rPr>
                <w:rFonts w:ascii="Palatino Linotype" w:eastAsia="Palatino Linotype" w:hAnsi="Palatino Linotype" w:cs="Palatino Linotype"/>
                <w:i/>
              </w:rPr>
            </w:pPr>
            <w:r w:rsidRPr="003B5CE8">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3617C4" w:rsidRPr="003B5CE8" w:rsidRDefault="003F5539" w:rsidP="003B5CE8">
            <w:pPr>
              <w:rPr>
                <w:rFonts w:ascii="Palatino Linotype" w:eastAsia="Palatino Linotype" w:hAnsi="Palatino Linotype" w:cs="Palatino Linotype"/>
                <w:i/>
              </w:rPr>
            </w:pPr>
            <w:r w:rsidRPr="003B5CE8">
              <w:rPr>
                <w:rFonts w:ascii="Palatino Linotype" w:eastAsia="Palatino Linotype" w:hAnsi="Palatino Linotype" w:cs="Palatino Linotype"/>
                <w:i/>
              </w:rPr>
              <w:t>Rúbrica autógrafa de quien desclasifica.</w:t>
            </w:r>
          </w:p>
        </w:tc>
      </w:tr>
    </w:tbl>
    <w:p w:rsidR="003617C4" w:rsidRPr="003B5CE8" w:rsidRDefault="003F5539" w:rsidP="003B5CE8">
      <w:pPr>
        <w:ind w:left="709" w:right="709"/>
        <w:jc w:val="both"/>
        <w:rPr>
          <w:rFonts w:ascii="Palatino Linotype" w:eastAsia="Palatino Linotype" w:hAnsi="Palatino Linotype" w:cs="Palatino Linotype"/>
          <w:sz w:val="22"/>
          <w:szCs w:val="22"/>
        </w:rPr>
      </w:pPr>
      <w:r w:rsidRPr="003B5CE8">
        <w:rPr>
          <w:rFonts w:ascii="Palatino Linotype" w:eastAsia="Palatino Linotype" w:hAnsi="Palatino Linotype" w:cs="Palatino Linotype"/>
          <w:sz w:val="22"/>
          <w:szCs w:val="22"/>
        </w:rPr>
        <w:t>(Énfasis Añadido)</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Es importante referir que, </w:t>
      </w:r>
      <w:r w:rsidRPr="003B5CE8">
        <w:rPr>
          <w:rFonts w:ascii="Palatino Linotype" w:eastAsia="Palatino Linotype" w:hAnsi="Palatino Linotype" w:cs="Palatino Linotype"/>
          <w:b/>
        </w:rPr>
        <w:t>EL SUJETO OBLIGADO</w:t>
      </w:r>
      <w:r w:rsidRPr="003B5CE8">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3B5CE8">
        <w:rPr>
          <w:rFonts w:ascii="Palatino Linotype" w:eastAsia="Palatino Linotype" w:hAnsi="Palatino Linotype" w:cs="Palatino Linotype"/>
          <w:b/>
        </w:rPr>
        <w:t xml:space="preserve"> </w:t>
      </w:r>
      <w:r w:rsidRPr="003B5CE8">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617C4" w:rsidRPr="003B5CE8" w:rsidRDefault="003617C4" w:rsidP="003B5CE8">
      <w:pPr>
        <w:tabs>
          <w:tab w:val="left" w:pos="709"/>
        </w:tabs>
        <w:spacing w:line="360" w:lineRule="auto"/>
        <w:ind w:right="49"/>
        <w:jc w:val="both"/>
        <w:rPr>
          <w:rFonts w:ascii="Palatino Linotype" w:eastAsia="Palatino Linotype" w:hAnsi="Palatino Linotype" w:cs="Palatino Linotype"/>
        </w:rPr>
      </w:pPr>
    </w:p>
    <w:p w:rsidR="003617C4" w:rsidRPr="003B5CE8" w:rsidRDefault="003F5539" w:rsidP="003B5CE8">
      <w:pPr>
        <w:spacing w:line="360" w:lineRule="auto"/>
        <w:ind w:right="49"/>
        <w:jc w:val="both"/>
      </w:pPr>
      <w:r w:rsidRPr="003B5CE8">
        <w:rPr>
          <w:rFonts w:ascii="Palatino Linotype" w:eastAsia="Palatino Linotype" w:hAnsi="Palatino Linotype" w:cs="Palatino Linotype"/>
        </w:rPr>
        <w:lastRenderedPageBreak/>
        <w:t xml:space="preserve">Por último, debe </w:t>
      </w:r>
      <w:r w:rsidRPr="003B5CE8">
        <w:rPr>
          <w:rFonts w:ascii="Palatino Linotype" w:eastAsia="Palatino Linotype" w:hAnsi="Palatino Linotype" w:cs="Palatino Linotype"/>
          <w:color w:val="222222"/>
        </w:rPr>
        <w:t xml:space="preserve">precisarse </w:t>
      </w:r>
      <w:r w:rsidRPr="003B5CE8">
        <w:rPr>
          <w:rFonts w:ascii="Palatino Linotype" w:eastAsia="Palatino Linotype" w:hAnsi="Palatino Linotype" w:cs="Palatino Linotype"/>
        </w:rPr>
        <w:t>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la solicitud, se determina que la información requerida es la vigente a la solicitud de información; es decir, al primero de agosto del año dos mil veintidós, discernimiento que encuentra apoyado en los Criterios 1/2010 y 2/2010,  emitidos por el “Comité de Acceso a la Información y Protección de Datos personales” de la Suprema Corte de Justicia de la Nación, que disponen: </w:t>
      </w:r>
    </w:p>
    <w:p w:rsidR="003617C4" w:rsidRPr="003B5CE8" w:rsidRDefault="003617C4" w:rsidP="003B5CE8"/>
    <w:p w:rsidR="003617C4" w:rsidRPr="003B5CE8" w:rsidRDefault="003F5539" w:rsidP="003B5CE8">
      <w:pPr>
        <w:ind w:left="851" w:right="900"/>
      </w:pPr>
      <w:r w:rsidRPr="003B5CE8">
        <w:rPr>
          <w:rFonts w:ascii="Palatino Linotype" w:eastAsia="Palatino Linotype" w:hAnsi="Palatino Linotype" w:cs="Palatino Linotype"/>
          <w:i/>
          <w:sz w:val="22"/>
          <w:szCs w:val="22"/>
        </w:rPr>
        <w:t> “</w:t>
      </w:r>
      <w:r w:rsidRPr="003B5CE8">
        <w:rPr>
          <w:rFonts w:ascii="Palatino Linotype" w:eastAsia="Palatino Linotype" w:hAnsi="Palatino Linotype" w:cs="Palatino Linotype"/>
          <w:b/>
          <w:i/>
          <w:sz w:val="22"/>
          <w:szCs w:val="22"/>
        </w:rPr>
        <w:t>Criterio 1/2010</w:t>
      </w:r>
    </w:p>
    <w:p w:rsidR="003617C4" w:rsidRPr="003B5CE8" w:rsidRDefault="003F5539" w:rsidP="003B5CE8">
      <w:pPr>
        <w:ind w:left="851" w:right="900"/>
        <w:jc w:val="both"/>
      </w:pPr>
      <w:r w:rsidRPr="003B5CE8">
        <w:rPr>
          <w:rFonts w:ascii="Palatino Linotype" w:eastAsia="Palatino Linotype" w:hAnsi="Palatino Linotype" w:cs="Palatino Linotype"/>
          <w:b/>
          <w:i/>
          <w:sz w:val="22"/>
          <w:szCs w:val="22"/>
        </w:rPr>
        <w:t>SOLICITUD DE ACCESO A LA INFORMACIÓN. SU OTORGAMIENTO ES RESPECTO DE AQUELLA QUE EXISTA Y SE HUBIESE GENERADO AL MOMENTO DE LA PETICIÓN.</w:t>
      </w:r>
    </w:p>
    <w:p w:rsidR="003617C4" w:rsidRPr="003B5CE8" w:rsidRDefault="003F5539" w:rsidP="003B5CE8">
      <w:pPr>
        <w:ind w:left="851" w:right="900"/>
        <w:jc w:val="both"/>
      </w:pPr>
      <w:r w:rsidRPr="003B5CE8">
        <w:rPr>
          <w:rFonts w:ascii="Palatino Linotype" w:eastAsia="Palatino Linotype" w:hAnsi="Palatino Linotype" w:cs="Palatino Linotype"/>
          <w:i/>
          <w:sz w:val="22"/>
          <w:szCs w:val="22"/>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3617C4" w:rsidRPr="003B5CE8" w:rsidRDefault="003F5539" w:rsidP="003B5CE8">
      <w:pPr>
        <w:ind w:left="851" w:right="900"/>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Clasificación de Información 69/2009-A. 30 de septiembre de 2009. Unanimidad de votos.”</w:t>
      </w:r>
    </w:p>
    <w:p w:rsidR="003617C4" w:rsidRPr="003B5CE8" w:rsidRDefault="003617C4" w:rsidP="003B5CE8">
      <w:pPr>
        <w:ind w:left="851" w:right="900"/>
        <w:jc w:val="both"/>
        <w:rPr>
          <w:rFonts w:ascii="Palatino Linotype" w:eastAsia="Palatino Linotype" w:hAnsi="Palatino Linotype" w:cs="Palatino Linotype"/>
          <w:i/>
          <w:sz w:val="22"/>
          <w:szCs w:val="22"/>
        </w:rPr>
      </w:pPr>
    </w:p>
    <w:p w:rsidR="003617C4" w:rsidRPr="003B5CE8" w:rsidRDefault="003F5539" w:rsidP="003B5CE8">
      <w:pPr>
        <w:ind w:left="851" w:right="900"/>
      </w:pPr>
      <w:r w:rsidRPr="003B5CE8">
        <w:rPr>
          <w:rFonts w:ascii="Palatino Linotype" w:eastAsia="Palatino Linotype" w:hAnsi="Palatino Linotype" w:cs="Palatino Linotype"/>
          <w:i/>
          <w:sz w:val="22"/>
          <w:szCs w:val="22"/>
        </w:rPr>
        <w:t>“</w:t>
      </w:r>
      <w:r w:rsidRPr="003B5CE8">
        <w:rPr>
          <w:rFonts w:ascii="Palatino Linotype" w:eastAsia="Palatino Linotype" w:hAnsi="Palatino Linotype" w:cs="Palatino Linotype"/>
          <w:b/>
          <w:i/>
          <w:sz w:val="22"/>
          <w:szCs w:val="22"/>
        </w:rPr>
        <w:t>Criterio 2/2010.</w:t>
      </w:r>
    </w:p>
    <w:p w:rsidR="003617C4" w:rsidRPr="003B5CE8" w:rsidRDefault="003F5539" w:rsidP="003B5CE8">
      <w:pPr>
        <w:ind w:left="851" w:right="900"/>
        <w:jc w:val="both"/>
      </w:pPr>
      <w:r w:rsidRPr="003B5CE8">
        <w:rPr>
          <w:rFonts w:ascii="Palatino Linotype" w:eastAsia="Palatino Linotype" w:hAnsi="Palatino Linotype" w:cs="Palatino Linotype"/>
          <w:b/>
          <w:i/>
          <w:sz w:val="22"/>
          <w:szCs w:val="22"/>
        </w:rPr>
        <w:lastRenderedPageBreak/>
        <w:t>SOLICITUD DE ACCESO A LA INFORMACIÓN. ES MATERIA DE ANÁLISIS Y OTORGAMIENTO LA GENERADA HASTA LA FECHA DE LA SOLICITUD EN CASO DE IMPRECISIÓN TEMPORAL. </w:t>
      </w:r>
    </w:p>
    <w:p w:rsidR="003617C4" w:rsidRPr="003B5CE8" w:rsidRDefault="003F5539" w:rsidP="003B5CE8">
      <w:pPr>
        <w:ind w:left="851" w:right="900"/>
        <w:jc w:val="both"/>
      </w:pPr>
      <w:r w:rsidRPr="003B5CE8">
        <w:rPr>
          <w:rFonts w:ascii="Palatino Linotype" w:eastAsia="Palatino Linotype" w:hAnsi="Palatino Linotype" w:cs="Palatino Linotype"/>
          <w:i/>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3617C4" w:rsidRPr="003B5CE8" w:rsidRDefault="003F5539" w:rsidP="003B5CE8">
      <w:pPr>
        <w:ind w:left="851" w:right="900"/>
        <w:jc w:val="both"/>
      </w:pPr>
      <w:r w:rsidRPr="003B5CE8">
        <w:rPr>
          <w:rFonts w:ascii="Palatino Linotype" w:eastAsia="Palatino Linotype" w:hAnsi="Palatino Linotype" w:cs="Palatino Linotype"/>
          <w:i/>
          <w:sz w:val="22"/>
          <w:szCs w:val="22"/>
        </w:rPr>
        <w:t>Clasificación de Información 69/2009-A. 30 de septiembre de 2009. Unanimidad de votos.”(Sic)</w:t>
      </w:r>
    </w:p>
    <w:p w:rsidR="003617C4" w:rsidRPr="003B5CE8" w:rsidRDefault="003617C4" w:rsidP="003B5CE8">
      <w:pPr>
        <w:tabs>
          <w:tab w:val="left" w:pos="709"/>
        </w:tabs>
        <w:spacing w:line="360" w:lineRule="auto"/>
        <w:ind w:right="49"/>
        <w:jc w:val="both"/>
        <w:rPr>
          <w:rFonts w:ascii="Palatino Linotype" w:eastAsia="Palatino Linotype" w:hAnsi="Palatino Linotype" w:cs="Palatino Linotype"/>
        </w:rPr>
      </w:pPr>
    </w:p>
    <w:p w:rsidR="003617C4" w:rsidRPr="003B5CE8" w:rsidRDefault="003F5539" w:rsidP="003B5CE8">
      <w:pPr>
        <w:tabs>
          <w:tab w:val="left" w:pos="709"/>
        </w:tabs>
        <w:spacing w:line="360" w:lineRule="auto"/>
        <w:ind w:right="51"/>
        <w:jc w:val="both"/>
        <w:rPr>
          <w:rFonts w:ascii="Palatino Linotype" w:eastAsia="Palatino Linotype" w:hAnsi="Palatino Linotype" w:cs="Palatino Linotype"/>
        </w:rPr>
      </w:pPr>
      <w:r w:rsidRPr="003B5CE8">
        <w:rPr>
          <w:rFonts w:ascii="Palatino Linotype" w:eastAsia="Palatino Linotype" w:hAnsi="Palatino Linotype" w:cs="Palatino Linotype"/>
        </w:rPr>
        <w:t xml:space="preserve">En mérito de lo expuesto en líneas anteriores, resultan fundados los motivos de inconformidad vertidos por </w:t>
      </w:r>
      <w:r w:rsidRPr="003B5CE8">
        <w:rPr>
          <w:rFonts w:ascii="Palatino Linotype" w:eastAsia="Palatino Linotype" w:hAnsi="Palatino Linotype" w:cs="Palatino Linotype"/>
          <w:b/>
        </w:rPr>
        <w:t xml:space="preserve">EL RECURRENTE, </w:t>
      </w:r>
      <w:r w:rsidRPr="003B5CE8">
        <w:rPr>
          <w:rFonts w:ascii="Palatino Linotype" w:eastAsia="Palatino Linotype" w:hAnsi="Palatino Linotype" w:cs="Palatino Linotype"/>
        </w:rPr>
        <w:t>por ello con fundamento en el artículo 186 fracción III de la Ley de Transparencia y Acceso a la Información Pública del Estado de México y Municipios, se</w:t>
      </w:r>
      <w:r w:rsidRPr="003B5CE8">
        <w:rPr>
          <w:rFonts w:ascii="Palatino Linotype" w:eastAsia="Palatino Linotype" w:hAnsi="Palatino Linotype" w:cs="Palatino Linotype"/>
          <w:b/>
        </w:rPr>
        <w:t xml:space="preserve"> REVOCA l</w:t>
      </w:r>
      <w:r w:rsidRPr="003B5CE8">
        <w:rPr>
          <w:rFonts w:ascii="Palatino Linotype" w:eastAsia="Palatino Linotype" w:hAnsi="Palatino Linotype" w:cs="Palatino Linotype"/>
        </w:rPr>
        <w:t xml:space="preserve">a respuesta a la solicitud de información </w:t>
      </w:r>
      <w:r w:rsidRPr="003B5CE8">
        <w:rPr>
          <w:rFonts w:ascii="Palatino Linotype" w:eastAsia="Palatino Linotype" w:hAnsi="Palatino Linotype" w:cs="Palatino Linotype"/>
          <w:b/>
        </w:rPr>
        <w:t xml:space="preserve">00124/ALMORI/IP/2022 </w:t>
      </w:r>
      <w:r w:rsidRPr="003B5CE8">
        <w:rPr>
          <w:rFonts w:ascii="Palatino Linotype" w:eastAsia="Palatino Linotype" w:hAnsi="Palatino Linotype" w:cs="Palatino Linotype"/>
        </w:rPr>
        <w:t xml:space="preserve">que ha sido materia del presente fallo. </w:t>
      </w:r>
    </w:p>
    <w:p w:rsidR="003617C4" w:rsidRPr="003B5CE8" w:rsidRDefault="003617C4" w:rsidP="003B5CE8">
      <w:pPr>
        <w:tabs>
          <w:tab w:val="left" w:pos="709"/>
        </w:tabs>
        <w:spacing w:line="360" w:lineRule="auto"/>
        <w:ind w:right="49"/>
        <w:jc w:val="both"/>
        <w:rPr>
          <w:rFonts w:ascii="Palatino Linotype" w:eastAsia="Palatino Linotype" w:hAnsi="Palatino Linotype" w:cs="Palatino Linotype"/>
        </w:rPr>
      </w:pPr>
    </w:p>
    <w:p w:rsidR="003617C4" w:rsidRPr="003B5CE8" w:rsidRDefault="003F5539" w:rsidP="003B5CE8">
      <w:pPr>
        <w:tabs>
          <w:tab w:val="left" w:pos="709"/>
        </w:tabs>
        <w:spacing w:line="360" w:lineRule="auto"/>
        <w:ind w:right="49"/>
        <w:jc w:val="both"/>
        <w:rPr>
          <w:rFonts w:ascii="Palatino Linotype" w:eastAsia="Palatino Linotype" w:hAnsi="Palatino Linotype" w:cs="Palatino Linotype"/>
        </w:rPr>
      </w:pPr>
      <w:r w:rsidRPr="003B5CE8">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3617C4" w:rsidRPr="003B5CE8" w:rsidRDefault="003617C4" w:rsidP="003B5CE8">
      <w:pPr>
        <w:spacing w:line="360" w:lineRule="auto"/>
        <w:jc w:val="center"/>
        <w:rPr>
          <w:rFonts w:ascii="Palatino Linotype" w:eastAsia="Palatino Linotype" w:hAnsi="Palatino Linotype" w:cs="Palatino Linotype"/>
          <w:b/>
          <w:sz w:val="26"/>
          <w:szCs w:val="26"/>
        </w:rPr>
      </w:pPr>
    </w:p>
    <w:p w:rsidR="003617C4" w:rsidRPr="003B5CE8" w:rsidRDefault="003F5539" w:rsidP="003B5CE8">
      <w:pPr>
        <w:spacing w:line="360" w:lineRule="auto"/>
        <w:jc w:val="center"/>
        <w:rPr>
          <w:rFonts w:ascii="Palatino Linotype" w:eastAsia="Palatino Linotype" w:hAnsi="Palatino Linotype" w:cs="Palatino Linotype"/>
          <w:b/>
          <w:sz w:val="26"/>
          <w:szCs w:val="26"/>
        </w:rPr>
      </w:pPr>
      <w:r w:rsidRPr="003B5CE8">
        <w:rPr>
          <w:rFonts w:ascii="Palatino Linotype" w:eastAsia="Palatino Linotype" w:hAnsi="Palatino Linotype" w:cs="Palatino Linotype"/>
          <w:b/>
          <w:sz w:val="26"/>
          <w:szCs w:val="26"/>
        </w:rPr>
        <w:t>RESUELVE</w:t>
      </w:r>
    </w:p>
    <w:p w:rsidR="003617C4" w:rsidRPr="003B5CE8" w:rsidRDefault="003F5539" w:rsidP="003B5CE8">
      <w:pPr>
        <w:spacing w:line="360" w:lineRule="auto"/>
        <w:jc w:val="both"/>
        <w:rPr>
          <w:rFonts w:ascii="Palatino Linotype" w:eastAsia="Palatino Linotype" w:hAnsi="Palatino Linotype" w:cs="Palatino Linotype"/>
        </w:rPr>
      </w:pPr>
      <w:bookmarkStart w:id="9" w:name="_heading=h.1ksv4uv" w:colFirst="0" w:colLast="0"/>
      <w:bookmarkEnd w:id="9"/>
      <w:r w:rsidRPr="003B5CE8">
        <w:rPr>
          <w:rFonts w:ascii="Palatino Linotype" w:eastAsia="Palatino Linotype" w:hAnsi="Palatino Linotype" w:cs="Palatino Linotype"/>
          <w:b/>
          <w:sz w:val="28"/>
          <w:szCs w:val="28"/>
        </w:rPr>
        <w:lastRenderedPageBreak/>
        <w:t>PRIMERO</w:t>
      </w:r>
      <w:r w:rsidRPr="003B5CE8">
        <w:rPr>
          <w:rFonts w:ascii="Palatino Linotype" w:eastAsia="Palatino Linotype" w:hAnsi="Palatino Linotype" w:cs="Palatino Linotype"/>
          <w:sz w:val="28"/>
          <w:szCs w:val="28"/>
        </w:rPr>
        <w:t>.</w:t>
      </w:r>
      <w:r w:rsidRPr="003B5CE8">
        <w:rPr>
          <w:rFonts w:ascii="Palatino Linotype" w:eastAsia="Palatino Linotype" w:hAnsi="Palatino Linotype" w:cs="Palatino Linotype"/>
        </w:rPr>
        <w:t xml:space="preserve"> Resultan </w:t>
      </w:r>
      <w:r w:rsidRPr="003B5CE8">
        <w:rPr>
          <w:rFonts w:ascii="Palatino Linotype" w:eastAsia="Palatino Linotype" w:hAnsi="Palatino Linotype" w:cs="Palatino Linotype"/>
          <w:b/>
        </w:rPr>
        <w:t>fundadas</w:t>
      </w:r>
      <w:r w:rsidRPr="003B5CE8">
        <w:rPr>
          <w:rFonts w:ascii="Palatino Linotype" w:eastAsia="Palatino Linotype" w:hAnsi="Palatino Linotype" w:cs="Palatino Linotype"/>
        </w:rPr>
        <w:t xml:space="preserve"> las</w:t>
      </w:r>
      <w:r w:rsidRPr="003B5CE8">
        <w:rPr>
          <w:rFonts w:ascii="Palatino Linotype" w:eastAsia="Palatino Linotype" w:hAnsi="Palatino Linotype" w:cs="Palatino Linotype"/>
          <w:b/>
        </w:rPr>
        <w:t xml:space="preserve"> </w:t>
      </w:r>
      <w:r w:rsidRPr="003B5CE8">
        <w:rPr>
          <w:rFonts w:ascii="Palatino Linotype" w:eastAsia="Palatino Linotype" w:hAnsi="Palatino Linotype" w:cs="Palatino Linotype"/>
        </w:rPr>
        <w:t xml:space="preserve">razones o motivos de inconformidad hechos valer en el Recurso de Revisión </w:t>
      </w:r>
      <w:r w:rsidRPr="003B5CE8">
        <w:rPr>
          <w:rFonts w:ascii="Palatino Linotype" w:eastAsia="Palatino Linotype" w:hAnsi="Palatino Linotype" w:cs="Palatino Linotype"/>
          <w:b/>
        </w:rPr>
        <w:t xml:space="preserve">13317/INFOEM/IP/RR/2022, </w:t>
      </w:r>
      <w:r w:rsidRPr="003B5CE8">
        <w:rPr>
          <w:rFonts w:ascii="Palatino Linotype" w:eastAsia="Palatino Linotype" w:hAnsi="Palatino Linotype" w:cs="Palatino Linotype"/>
        </w:rPr>
        <w:t xml:space="preserve">en términos del Considerando </w:t>
      </w:r>
      <w:r w:rsidRPr="003B5CE8">
        <w:rPr>
          <w:rFonts w:ascii="Palatino Linotype" w:eastAsia="Palatino Linotype" w:hAnsi="Palatino Linotype" w:cs="Palatino Linotype"/>
          <w:b/>
        </w:rPr>
        <w:t>QUINTO de</w:t>
      </w:r>
      <w:r w:rsidRPr="003B5CE8">
        <w:rPr>
          <w:rFonts w:ascii="Palatino Linotype" w:eastAsia="Palatino Linotype" w:hAnsi="Palatino Linotype" w:cs="Palatino Linotype"/>
        </w:rPr>
        <w:t xml:space="preserve"> la presente resolución.</w:t>
      </w:r>
    </w:p>
    <w:p w:rsidR="003617C4" w:rsidRPr="003B5CE8" w:rsidRDefault="003617C4" w:rsidP="003B5CE8">
      <w:pPr>
        <w:spacing w:before="240" w:line="360" w:lineRule="auto"/>
        <w:jc w:val="both"/>
        <w:rPr>
          <w:rFonts w:ascii="Palatino Linotype" w:eastAsia="Palatino Linotype" w:hAnsi="Palatino Linotype" w:cs="Palatino Linotype"/>
          <w:sz w:val="6"/>
          <w:szCs w:val="6"/>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b/>
          <w:sz w:val="28"/>
          <w:szCs w:val="28"/>
        </w:rPr>
        <w:t>SEGUNDO</w:t>
      </w:r>
      <w:r w:rsidRPr="003B5CE8">
        <w:rPr>
          <w:rFonts w:ascii="Palatino Linotype" w:eastAsia="Palatino Linotype" w:hAnsi="Palatino Linotype" w:cs="Palatino Linotype"/>
        </w:rPr>
        <w:t xml:space="preserve">. Se </w:t>
      </w:r>
      <w:r w:rsidRPr="003B5CE8">
        <w:rPr>
          <w:rFonts w:ascii="Palatino Linotype" w:eastAsia="Palatino Linotype" w:hAnsi="Palatino Linotype" w:cs="Palatino Linotype"/>
          <w:b/>
        </w:rPr>
        <w:t xml:space="preserve">REVOCA </w:t>
      </w:r>
      <w:r w:rsidRPr="003B5CE8">
        <w:rPr>
          <w:rFonts w:ascii="Palatino Linotype" w:eastAsia="Palatino Linotype" w:hAnsi="Palatino Linotype" w:cs="Palatino Linotype"/>
        </w:rPr>
        <w:t>la respuesta otorgada por</w:t>
      </w:r>
      <w:r w:rsidRPr="003B5CE8">
        <w:rPr>
          <w:rFonts w:ascii="Palatino Linotype" w:eastAsia="Palatino Linotype" w:hAnsi="Palatino Linotype" w:cs="Palatino Linotype"/>
          <w:b/>
        </w:rPr>
        <w:t xml:space="preserve"> EL SUJETO OBLIGADO</w:t>
      </w:r>
      <w:r w:rsidRPr="003B5CE8">
        <w:rPr>
          <w:rFonts w:ascii="Palatino Linotype" w:eastAsia="Palatino Linotype" w:hAnsi="Palatino Linotype" w:cs="Palatino Linotype"/>
        </w:rPr>
        <w:t xml:space="preserve">, y se le ordena entregue al </w:t>
      </w:r>
      <w:r w:rsidRPr="003B5CE8">
        <w:rPr>
          <w:rFonts w:ascii="Palatino Linotype" w:eastAsia="Palatino Linotype" w:hAnsi="Palatino Linotype" w:cs="Palatino Linotype"/>
          <w:b/>
        </w:rPr>
        <w:t>RECURRENTE</w:t>
      </w:r>
      <w:r w:rsidRPr="003B5CE8">
        <w:rPr>
          <w:rFonts w:ascii="Palatino Linotype" w:eastAsia="Palatino Linotype" w:hAnsi="Palatino Linotype" w:cs="Palatino Linotype"/>
        </w:rPr>
        <w:t xml:space="preserve"> en términos del Considerando </w:t>
      </w:r>
      <w:r w:rsidRPr="003B5CE8">
        <w:rPr>
          <w:rFonts w:ascii="Palatino Linotype" w:eastAsia="Palatino Linotype" w:hAnsi="Palatino Linotype" w:cs="Palatino Linotype"/>
          <w:b/>
        </w:rPr>
        <w:t xml:space="preserve">QUINTO </w:t>
      </w:r>
      <w:r w:rsidRPr="003B5CE8">
        <w:rPr>
          <w:rFonts w:ascii="Palatino Linotype" w:eastAsia="Palatino Linotype" w:hAnsi="Palatino Linotype" w:cs="Palatino Linotype"/>
        </w:rPr>
        <w:t>de la presente resolución, vía Sistema de Acceso a la Información Mexiquense (</w:t>
      </w:r>
      <w:r w:rsidRPr="003B5CE8">
        <w:rPr>
          <w:rFonts w:ascii="Palatino Linotype" w:eastAsia="Palatino Linotype" w:hAnsi="Palatino Linotype" w:cs="Palatino Linotype"/>
          <w:b/>
        </w:rPr>
        <w:t>SAIMEX)</w:t>
      </w:r>
      <w:r w:rsidR="00AB3D2F" w:rsidRPr="003B5CE8">
        <w:rPr>
          <w:rFonts w:ascii="Palatino Linotype" w:eastAsia="Palatino Linotype" w:hAnsi="Palatino Linotype" w:cs="Palatino Linotype"/>
          <w:b/>
        </w:rPr>
        <w:t xml:space="preserve">, </w:t>
      </w:r>
      <w:r w:rsidR="00AB3D2F" w:rsidRPr="003B5CE8">
        <w:rPr>
          <w:rFonts w:ascii="Palatino Linotype" w:eastAsia="Palatino Linotype" w:hAnsi="Palatino Linotype" w:cs="Palatino Linotype"/>
        </w:rPr>
        <w:t>en versión pública de lo siguiente</w:t>
      </w:r>
      <w:r w:rsidRPr="003B5CE8">
        <w:rPr>
          <w:rFonts w:ascii="Palatino Linotype" w:eastAsia="Palatino Linotype" w:hAnsi="Palatino Linotype" w:cs="Palatino Linotype"/>
        </w:rPr>
        <w:t xml:space="preserve">: </w:t>
      </w:r>
    </w:p>
    <w:p w:rsidR="003617C4" w:rsidRPr="003B5CE8" w:rsidRDefault="003617C4" w:rsidP="003B5CE8">
      <w:pPr>
        <w:spacing w:line="360" w:lineRule="auto"/>
        <w:jc w:val="both"/>
        <w:rPr>
          <w:rFonts w:ascii="Palatino Linotype" w:eastAsia="Palatino Linotype" w:hAnsi="Palatino Linotype" w:cs="Palatino Linotype"/>
        </w:rPr>
      </w:pPr>
    </w:p>
    <w:p w:rsidR="003617C4" w:rsidRPr="003B5CE8" w:rsidRDefault="00AB3D2F" w:rsidP="003B5CE8">
      <w:pPr>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 xml:space="preserve">El </w:t>
      </w:r>
      <w:r w:rsidR="003F5539" w:rsidRPr="003B5CE8">
        <w:rPr>
          <w:rFonts w:ascii="Palatino Linotype" w:eastAsia="Palatino Linotype" w:hAnsi="Palatino Linotype" w:cs="Palatino Linotype"/>
          <w:i/>
          <w:sz w:val="22"/>
          <w:szCs w:val="22"/>
        </w:rPr>
        <w:t>contrato de adquisición de los equipos del centro de monitoreo y vigilancia, póliza de mantenimiento o revisión, así como el estado en que se encuentra</w:t>
      </w:r>
      <w:r w:rsidRPr="003B5CE8">
        <w:rPr>
          <w:rFonts w:ascii="Palatino Linotype" w:eastAsia="Palatino Linotype" w:hAnsi="Palatino Linotype" w:cs="Palatino Linotype"/>
          <w:i/>
          <w:sz w:val="22"/>
          <w:szCs w:val="22"/>
        </w:rPr>
        <w:t xml:space="preserve"> el centro de monitoreo y vigilancia del Municipio de Almoloya del Rio </w:t>
      </w:r>
      <w:r w:rsidR="003F5539" w:rsidRPr="003B5CE8">
        <w:rPr>
          <w:rFonts w:ascii="Palatino Linotype" w:eastAsia="Palatino Linotype" w:hAnsi="Palatino Linotype" w:cs="Palatino Linotype"/>
          <w:i/>
          <w:sz w:val="22"/>
          <w:szCs w:val="22"/>
        </w:rPr>
        <w:t xml:space="preserve">vigentes al primero de agosto de dos mil veintidós.  </w:t>
      </w:r>
    </w:p>
    <w:p w:rsidR="003617C4" w:rsidRPr="003B5CE8" w:rsidRDefault="003617C4" w:rsidP="003B5CE8">
      <w:pPr>
        <w:ind w:left="850" w:right="899"/>
        <w:jc w:val="both"/>
        <w:rPr>
          <w:rFonts w:ascii="Palatino Linotype" w:eastAsia="Palatino Linotype" w:hAnsi="Palatino Linotype" w:cs="Palatino Linotype"/>
          <w:i/>
          <w:sz w:val="22"/>
          <w:szCs w:val="22"/>
        </w:rPr>
      </w:pPr>
    </w:p>
    <w:p w:rsidR="003617C4" w:rsidRPr="003B5CE8" w:rsidRDefault="003F5539" w:rsidP="003B5CE8">
      <w:pPr>
        <w:ind w:left="850" w:right="899"/>
        <w:jc w:val="both"/>
        <w:rPr>
          <w:rFonts w:ascii="Palatino Linotype" w:eastAsia="Palatino Linotype" w:hAnsi="Palatino Linotype" w:cs="Palatino Linotype"/>
          <w:i/>
          <w:sz w:val="22"/>
          <w:szCs w:val="22"/>
        </w:rPr>
      </w:pPr>
      <w:r w:rsidRPr="003B5CE8">
        <w:rPr>
          <w:rFonts w:ascii="Palatino Linotype" w:eastAsia="Palatino Linotype" w:hAnsi="Palatino Linotype" w:cs="Palatino Linotype"/>
          <w:i/>
          <w:sz w:val="22"/>
          <w:szCs w:val="22"/>
        </w:rPr>
        <w:t>Debiendo notificar al Recurrente el Acuerdo de Clasificación de la información que apruebe su Comité de Transparencia con motivo de la versión pública.</w:t>
      </w:r>
    </w:p>
    <w:p w:rsidR="003617C4" w:rsidRPr="003B5CE8" w:rsidRDefault="003617C4" w:rsidP="003B5CE8">
      <w:pPr>
        <w:spacing w:line="360" w:lineRule="auto"/>
        <w:jc w:val="both"/>
        <w:rPr>
          <w:rFonts w:ascii="Palatino Linotype" w:eastAsia="Palatino Linotype" w:hAnsi="Palatino Linotype" w:cs="Palatino Linotype"/>
          <w:b/>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b/>
        </w:rPr>
        <w:t>TERCERO.</w:t>
      </w:r>
      <w:r w:rsidRPr="003B5CE8">
        <w:rPr>
          <w:rFonts w:ascii="Palatino Linotype" w:eastAsia="Palatino Linotype" w:hAnsi="Palatino Linotype" w:cs="Palatino Linotype"/>
        </w:rPr>
        <w:t xml:space="preserve"> </w:t>
      </w:r>
      <w:r w:rsidRPr="003B5CE8">
        <w:rPr>
          <w:rFonts w:ascii="Palatino Linotype" w:eastAsia="Palatino Linotype" w:hAnsi="Palatino Linotype" w:cs="Palatino Linotype"/>
          <w:b/>
        </w:rPr>
        <w:t xml:space="preserve">NOTIFÍQUESE </w:t>
      </w:r>
      <w:r w:rsidRPr="003B5CE8">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3617C4" w:rsidRPr="003B5CE8" w:rsidRDefault="003617C4" w:rsidP="003B5CE8">
      <w:pPr>
        <w:spacing w:line="360" w:lineRule="auto"/>
        <w:jc w:val="both"/>
        <w:rPr>
          <w:rFonts w:ascii="Palatino Linotype" w:eastAsia="Palatino Linotype" w:hAnsi="Palatino Linotype" w:cs="Palatino Linotype"/>
          <w:sz w:val="22"/>
          <w:szCs w:val="22"/>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b/>
        </w:rPr>
        <w:lastRenderedPageBreak/>
        <w:t xml:space="preserve">CUARTO. </w:t>
      </w:r>
      <w:r w:rsidRPr="003B5CE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617C4" w:rsidRPr="003B5CE8" w:rsidRDefault="003617C4" w:rsidP="003B5CE8">
      <w:pPr>
        <w:spacing w:line="360" w:lineRule="auto"/>
        <w:jc w:val="both"/>
        <w:rPr>
          <w:rFonts w:ascii="Palatino Linotype" w:eastAsia="Palatino Linotype" w:hAnsi="Palatino Linotype" w:cs="Palatino Linotype"/>
          <w:sz w:val="22"/>
          <w:szCs w:val="22"/>
        </w:rPr>
      </w:pPr>
    </w:p>
    <w:p w:rsidR="003617C4" w:rsidRPr="003B5CE8" w:rsidRDefault="003F5539" w:rsidP="003B5CE8">
      <w:pPr>
        <w:spacing w:line="360" w:lineRule="auto"/>
        <w:jc w:val="both"/>
        <w:rPr>
          <w:rFonts w:ascii="Palatino Linotype" w:eastAsia="Palatino Linotype" w:hAnsi="Palatino Linotype" w:cs="Palatino Linotype"/>
          <w:b/>
        </w:rPr>
      </w:pPr>
      <w:r w:rsidRPr="003B5CE8">
        <w:rPr>
          <w:rFonts w:ascii="Palatino Linotype" w:eastAsia="Palatino Linotype" w:hAnsi="Palatino Linotype" w:cs="Palatino Linotype"/>
          <w:b/>
        </w:rPr>
        <w:t>QUINTO.</w:t>
      </w:r>
      <w:r w:rsidRPr="003B5CE8">
        <w:rPr>
          <w:rFonts w:ascii="Palatino Linotype" w:eastAsia="Palatino Linotype" w:hAnsi="Palatino Linotype" w:cs="Palatino Linotype"/>
        </w:rPr>
        <w:t xml:space="preserve"> </w:t>
      </w:r>
      <w:r w:rsidRPr="003B5CE8">
        <w:rPr>
          <w:rFonts w:ascii="Palatino Linotype" w:eastAsia="Palatino Linotype" w:hAnsi="Palatino Linotype" w:cs="Palatino Linotype"/>
          <w:b/>
        </w:rPr>
        <w:t>NOTIFÍQUESE</w:t>
      </w:r>
      <w:r w:rsidRPr="003B5CE8">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3617C4" w:rsidRPr="003B5CE8" w:rsidRDefault="003617C4" w:rsidP="003B5CE8">
      <w:pPr>
        <w:spacing w:line="360" w:lineRule="auto"/>
        <w:jc w:val="both"/>
        <w:rPr>
          <w:rFonts w:ascii="Palatino Linotype" w:eastAsia="Palatino Linotype" w:hAnsi="Palatino Linotype" w:cs="Palatino Linotype"/>
          <w:sz w:val="22"/>
          <w:szCs w:val="22"/>
        </w:rPr>
      </w:pPr>
    </w:p>
    <w:p w:rsidR="003617C4" w:rsidRPr="003B5CE8" w:rsidRDefault="003F5539" w:rsidP="003B5CE8">
      <w:pPr>
        <w:spacing w:line="360" w:lineRule="auto"/>
        <w:jc w:val="both"/>
        <w:rPr>
          <w:rFonts w:ascii="Palatino Linotype" w:eastAsia="Palatino Linotype" w:hAnsi="Palatino Linotype" w:cs="Palatino Linotype"/>
        </w:rPr>
      </w:pPr>
      <w:r w:rsidRPr="003B5CE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346A9">
        <w:rPr>
          <w:rFonts w:ascii="Palatino Linotype" w:eastAsia="Palatino Linotype" w:hAnsi="Palatino Linotype" w:cs="Palatino Linotype"/>
        </w:rPr>
        <w:t xml:space="preserve"> EMITIENDO VOTO PARTICULAR</w:t>
      </w:r>
      <w:r w:rsidR="005346A9" w:rsidRPr="003B5CE8">
        <w:rPr>
          <w:rFonts w:ascii="Palatino Linotype" w:eastAsia="Palatino Linotype" w:hAnsi="Palatino Linotype" w:cs="Palatino Linotype"/>
        </w:rPr>
        <w:t xml:space="preserve"> </w:t>
      </w:r>
      <w:r w:rsidRPr="003B5CE8">
        <w:rPr>
          <w:rFonts w:ascii="Palatino Linotype" w:eastAsia="Palatino Linotype" w:hAnsi="Palatino Linotype" w:cs="Palatino Linotype"/>
        </w:rPr>
        <w:t>Y GUADALUPE RAMÍREZ PEÑA; EN LA SEXTA SESIÓN ORDINARIA CELEBRADA EL QUINCE DE FEBRERO DE DOS MIL VEINTITRÉS ANTE EL SECRETARIO TÉCNICO DEL PLENO, ALEXIS TAPIA RAMÍREZ.</w:t>
      </w:r>
    </w:p>
    <w:p w:rsidR="003617C4" w:rsidRDefault="003F5539" w:rsidP="003B5CE8">
      <w:pPr>
        <w:spacing w:line="360" w:lineRule="auto"/>
        <w:jc w:val="both"/>
        <w:rPr>
          <w:rFonts w:ascii="Palatino Linotype" w:eastAsia="Palatino Linotype" w:hAnsi="Palatino Linotype" w:cs="Palatino Linotype"/>
          <w:sz w:val="14"/>
          <w:szCs w:val="14"/>
        </w:rPr>
      </w:pPr>
      <w:r w:rsidRPr="003B5CE8">
        <w:rPr>
          <w:rFonts w:ascii="Palatino Linotype" w:eastAsia="Palatino Linotype" w:hAnsi="Palatino Linotype" w:cs="Palatino Linotype"/>
          <w:sz w:val="14"/>
          <w:szCs w:val="14"/>
        </w:rPr>
        <w:t>SCMM/BLA/DEMF/PMRE</w:t>
      </w:r>
    </w:p>
    <w:p w:rsidR="003617C4" w:rsidRDefault="003F5539" w:rsidP="003B5CE8">
      <w:pPr>
        <w:rPr>
          <w:rFonts w:ascii="Palatino Linotype" w:eastAsia="Palatino Linotype" w:hAnsi="Palatino Linotype" w:cs="Palatino Linotype"/>
        </w:rPr>
      </w:pPr>
      <w:r>
        <w:br w:type="page"/>
      </w: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bookmarkStart w:id="10" w:name="_heading=h.30j0zll" w:colFirst="0" w:colLast="0"/>
      <w:bookmarkEnd w:id="10"/>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p w:rsidR="003617C4" w:rsidRDefault="003617C4" w:rsidP="003B5CE8">
      <w:pPr>
        <w:spacing w:line="360" w:lineRule="auto"/>
        <w:jc w:val="both"/>
        <w:rPr>
          <w:rFonts w:ascii="Palatino Linotype" w:eastAsia="Palatino Linotype" w:hAnsi="Palatino Linotype" w:cs="Palatino Linotype"/>
        </w:rPr>
      </w:pPr>
    </w:p>
    <w:sectPr w:rsidR="003617C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5FC" w:rsidRDefault="006D75FC">
      <w:r>
        <w:separator/>
      </w:r>
    </w:p>
  </w:endnote>
  <w:endnote w:type="continuationSeparator" w:id="0">
    <w:p w:rsidR="006D75FC" w:rsidRDefault="006D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C4" w:rsidRDefault="003F55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C3100">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C3100">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C4" w:rsidRDefault="003F553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C310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C3100">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5FC" w:rsidRDefault="006D75FC">
      <w:r>
        <w:separator/>
      </w:r>
    </w:p>
  </w:footnote>
  <w:footnote w:type="continuationSeparator" w:id="0">
    <w:p w:rsidR="006D75FC" w:rsidRDefault="006D75FC">
      <w:r>
        <w:continuationSeparator/>
      </w:r>
    </w:p>
  </w:footnote>
  <w:footnote w:id="1">
    <w:p w:rsidR="003617C4" w:rsidRDefault="003F5539">
      <w:pPr>
        <w:jc w:val="both"/>
        <w:rPr>
          <w:rFonts w:ascii="Palatino Linotype" w:eastAsia="Palatino Linotype" w:hAnsi="Palatino Linotype" w:cs="Palatino Linotype"/>
          <w:i/>
          <w:sz w:val="16"/>
          <w:szCs w:val="16"/>
        </w:rPr>
      </w:pPr>
      <w:r>
        <w:rPr>
          <w:vertAlign w:val="superscript"/>
        </w:rPr>
        <w:footnoteRef/>
      </w:r>
      <w:r>
        <w:rPr>
          <w:rFonts w:ascii="Calibri" w:eastAsia="Calibri" w:hAnsi="Calibri" w:cs="Calibri"/>
          <w:sz w:val="20"/>
          <w:szCs w:val="20"/>
        </w:rPr>
        <w:t xml:space="preserve"> </w:t>
      </w:r>
      <w:r>
        <w:rPr>
          <w:rFonts w:ascii="Palatino Linotype" w:eastAsia="Palatino Linotype" w:hAnsi="Palatino Linotype" w:cs="Palatino Linotype"/>
          <w:i/>
          <w:sz w:val="16"/>
          <w:szCs w:val="16"/>
        </w:rPr>
        <w:t xml:space="preserve">Artículo 129. En la aplicación de la prueba de daño, el sujeto obligado deberá precisar las razones objetivas por las que la apertura de la información generaría una afectación, justificando que:  </w:t>
      </w:r>
    </w:p>
    <w:p w:rsidR="003617C4" w:rsidRDefault="003F5539">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xml:space="preserve">I. La divulgación de la información representa un riesgo real, demostrable e identificable del perjuicio significativo al interés público o a la seguridad pública;  </w:t>
      </w:r>
    </w:p>
    <w:p w:rsidR="003617C4" w:rsidRDefault="003F5539">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xml:space="preserve">II. El riesgo de perjuicio que supondría la divulgación supera el interés público general de que se difunda; y  </w:t>
      </w:r>
    </w:p>
    <w:p w:rsidR="003617C4" w:rsidRDefault="003F5539">
      <w:pPr>
        <w:jc w:val="both"/>
        <w:rPr>
          <w:rFonts w:ascii="Palatino Linotype" w:eastAsia="Palatino Linotype" w:hAnsi="Palatino Linotype" w:cs="Palatino Linotype"/>
          <w:sz w:val="16"/>
          <w:szCs w:val="16"/>
        </w:rPr>
      </w:pPr>
      <w:r>
        <w:rPr>
          <w:rFonts w:ascii="Palatino Linotype" w:eastAsia="Palatino Linotype" w:hAnsi="Palatino Linotype" w:cs="Palatino Linotype"/>
          <w:i/>
          <w:sz w:val="16"/>
          <w:szCs w:val="16"/>
        </w:rPr>
        <w:t>III. La limitación se adecua al principio de proporcionalidad y representa el medio menos restrictivo disponible representa el medio menos restrictivo disponible para evitar el perjuicio.</w:t>
      </w:r>
      <w:r>
        <w:rPr>
          <w:rFonts w:ascii="Palatino Linotype" w:eastAsia="Palatino Linotype" w:hAnsi="Palatino Linotype" w:cs="Palatino Linotype"/>
          <w:sz w:val="16"/>
          <w:szCs w:val="16"/>
        </w:rPr>
        <w:t xml:space="preserve"> Ley de Transparencia y Acceso a la Información Pública del Estado de México y Municipios.</w:t>
      </w:r>
    </w:p>
  </w:footnote>
  <w:footnote w:id="2">
    <w:p w:rsidR="003617C4" w:rsidRDefault="003F5539">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sz w:val="20"/>
          <w:szCs w:val="20"/>
        </w:rPr>
        <w:t xml:space="preserve"> (…)</w:t>
      </w:r>
    </w:p>
  </w:footnote>
  <w:footnote w:id="3">
    <w:p w:rsidR="003617C4" w:rsidRDefault="003F5539">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C4" w:rsidRDefault="006D75F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C4" w:rsidRDefault="006D75F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3"/>
      <w:tblW w:w="9534" w:type="dxa"/>
      <w:tblInd w:w="-142" w:type="dxa"/>
      <w:tblLayout w:type="fixed"/>
      <w:tblLook w:val="0400" w:firstRow="0" w:lastRow="0" w:firstColumn="0" w:lastColumn="0" w:noHBand="0" w:noVBand="1"/>
    </w:tblPr>
    <w:tblGrid>
      <w:gridCol w:w="3261"/>
      <w:gridCol w:w="2551"/>
      <w:gridCol w:w="3722"/>
    </w:tblGrid>
    <w:tr w:rsidR="003617C4">
      <w:tc>
        <w:tcPr>
          <w:tcW w:w="3261" w:type="dxa"/>
          <w:vMerge w:val="restart"/>
        </w:tcPr>
        <w:p w:rsidR="003617C4" w:rsidRDefault="003F5539">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3617C4" w:rsidRDefault="003F553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3617C4" w:rsidRDefault="003F5539">
          <w:pPr>
            <w:jc w:val="both"/>
            <w:rPr>
              <w:rFonts w:ascii="Palatino Linotype" w:eastAsia="Palatino Linotype" w:hAnsi="Palatino Linotype" w:cs="Palatino Linotype"/>
              <w:b/>
            </w:rPr>
          </w:pPr>
          <w:r>
            <w:rPr>
              <w:rFonts w:ascii="Palatino Linotype" w:eastAsia="Palatino Linotype" w:hAnsi="Palatino Linotype" w:cs="Palatino Linotype"/>
              <w:b/>
            </w:rPr>
            <w:t>13317/INFOEM/IP/RR/2022</w:t>
          </w:r>
        </w:p>
      </w:tc>
    </w:tr>
    <w:tr w:rsidR="003617C4">
      <w:tc>
        <w:tcPr>
          <w:tcW w:w="3261" w:type="dxa"/>
          <w:vMerge/>
        </w:tcPr>
        <w:p w:rsidR="003617C4" w:rsidRDefault="003617C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3617C4" w:rsidRDefault="003F553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3617C4" w:rsidRDefault="003F553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Almoloya del Río</w:t>
          </w:r>
        </w:p>
      </w:tc>
    </w:tr>
    <w:tr w:rsidR="003617C4">
      <w:trPr>
        <w:trHeight w:val="790"/>
      </w:trPr>
      <w:tc>
        <w:tcPr>
          <w:tcW w:w="3261" w:type="dxa"/>
          <w:vMerge/>
        </w:tcPr>
        <w:p w:rsidR="003617C4" w:rsidRDefault="003617C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3617C4" w:rsidRDefault="003F553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3617C4" w:rsidRDefault="003F5539">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3617C4" w:rsidRDefault="003617C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C4" w:rsidRDefault="006D75F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4"/>
      <w:tblW w:w="9900" w:type="dxa"/>
      <w:tblInd w:w="-833" w:type="dxa"/>
      <w:tblLayout w:type="fixed"/>
      <w:tblLook w:val="0400" w:firstRow="0" w:lastRow="0" w:firstColumn="0" w:lastColumn="0" w:noHBand="0" w:noVBand="1"/>
    </w:tblPr>
    <w:tblGrid>
      <w:gridCol w:w="3805"/>
      <w:gridCol w:w="3000"/>
      <w:gridCol w:w="3095"/>
    </w:tblGrid>
    <w:tr w:rsidR="003617C4">
      <w:tc>
        <w:tcPr>
          <w:tcW w:w="3805" w:type="dxa"/>
          <w:vMerge w:val="restart"/>
          <w:shd w:val="clear" w:color="auto" w:fill="auto"/>
        </w:tcPr>
        <w:p w:rsidR="003617C4" w:rsidRDefault="003F5539">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3617C4" w:rsidRDefault="003F553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3617C4" w:rsidRDefault="003F553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13317/INFOEM/IP/RR/2022 </w:t>
          </w:r>
        </w:p>
      </w:tc>
    </w:tr>
    <w:tr w:rsidR="003617C4">
      <w:tc>
        <w:tcPr>
          <w:tcW w:w="3805" w:type="dxa"/>
          <w:vMerge/>
          <w:shd w:val="clear" w:color="auto" w:fill="auto"/>
        </w:tcPr>
        <w:p w:rsidR="003617C4" w:rsidRDefault="003617C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617C4" w:rsidRDefault="003F5539">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3617C4" w:rsidRDefault="000C310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XXXXXX </w:t>
          </w:r>
          <w:proofErr w:type="spellStart"/>
          <w:r>
            <w:rPr>
              <w:rFonts w:ascii="Palatino Linotype" w:eastAsia="Palatino Linotype" w:hAnsi="Palatino Linotype" w:cs="Palatino Linotype"/>
              <w:b/>
            </w:rPr>
            <w:t>XXXXXX</w:t>
          </w:r>
          <w:proofErr w:type="spellEnd"/>
        </w:p>
      </w:tc>
    </w:tr>
    <w:tr w:rsidR="003617C4">
      <w:trPr>
        <w:trHeight w:val="228"/>
      </w:trPr>
      <w:tc>
        <w:tcPr>
          <w:tcW w:w="3805" w:type="dxa"/>
          <w:vMerge/>
          <w:shd w:val="clear" w:color="auto" w:fill="auto"/>
        </w:tcPr>
        <w:p w:rsidR="003617C4" w:rsidRDefault="003617C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617C4" w:rsidRDefault="003F553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3617C4" w:rsidRDefault="003F553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Almoloya del Río</w:t>
          </w:r>
        </w:p>
      </w:tc>
    </w:tr>
    <w:tr w:rsidR="003617C4">
      <w:tc>
        <w:tcPr>
          <w:tcW w:w="3805" w:type="dxa"/>
          <w:vMerge/>
          <w:shd w:val="clear" w:color="auto" w:fill="auto"/>
        </w:tcPr>
        <w:p w:rsidR="003617C4" w:rsidRDefault="003617C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617C4" w:rsidRDefault="003F553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3617C4" w:rsidRDefault="003F553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3617C4" w:rsidRDefault="003617C4">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C4"/>
    <w:rsid w:val="000C3100"/>
    <w:rsid w:val="002015DF"/>
    <w:rsid w:val="002575CD"/>
    <w:rsid w:val="003617C4"/>
    <w:rsid w:val="003B5CE8"/>
    <w:rsid w:val="003F5539"/>
    <w:rsid w:val="005346A9"/>
    <w:rsid w:val="006D75FC"/>
    <w:rsid w:val="00803F61"/>
    <w:rsid w:val="00AB3D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E4C6F83-47B8-41E4-A60E-ADDA82EB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c"/>
    <w:tblPr>
      <w:tblStyleRowBandSize w:val="1"/>
      <w:tblStyleColBandSize w:val="1"/>
      <w:tblCellMar>
        <w:top w:w="100" w:type="dxa"/>
        <w:left w:w="100" w:type="dxa"/>
        <w:bottom w:w="100" w:type="dxa"/>
        <w:right w:w="100" w:type="dxa"/>
      </w:tblCellMar>
    </w:tblPr>
  </w:style>
  <w:style w:type="table" w:customStyle="1" w:styleId="a0">
    <w:basedOn w:val="TableNormalfffc"/>
    <w:tblPr>
      <w:tblStyleRowBandSize w:val="1"/>
      <w:tblStyleColBandSize w:val="1"/>
      <w:tblCellMar>
        <w:left w:w="115" w:type="dxa"/>
        <w:right w:w="115" w:type="dxa"/>
      </w:tblCellMar>
    </w:tblPr>
  </w:style>
  <w:style w:type="table" w:customStyle="1" w:styleId="a1">
    <w:basedOn w:val="TableNormalfffc"/>
    <w:tblPr>
      <w:tblStyleRowBandSize w:val="1"/>
      <w:tblStyleColBandSize w:val="1"/>
      <w:tblCellMar>
        <w:left w:w="115" w:type="dxa"/>
        <w:right w:w="115" w:type="dxa"/>
      </w:tblCellMar>
    </w:tblPr>
  </w:style>
  <w:style w:type="table" w:customStyle="1" w:styleId="a2">
    <w:basedOn w:val="TableNormalfffc"/>
    <w:tblPr>
      <w:tblStyleRowBandSize w:val="1"/>
      <w:tblStyleColBandSize w:val="1"/>
      <w:tblCellMar>
        <w:left w:w="115" w:type="dxa"/>
        <w:right w:w="115" w:type="dxa"/>
      </w:tblCellMar>
    </w:tblPr>
  </w:style>
  <w:style w:type="table" w:customStyle="1" w:styleId="a3">
    <w:basedOn w:val="TableNormalfffc"/>
    <w:tblPr>
      <w:tblStyleRowBandSize w:val="1"/>
      <w:tblStyleColBandSize w:val="1"/>
      <w:tblCellMar>
        <w:left w:w="115" w:type="dxa"/>
        <w:right w:w="115" w:type="dxa"/>
      </w:tblCellMar>
    </w:tblPr>
  </w:style>
  <w:style w:type="table" w:customStyle="1" w:styleId="a4">
    <w:basedOn w:val="TableNormalfffc"/>
    <w:tblPr>
      <w:tblStyleRowBandSize w:val="1"/>
      <w:tblStyleColBandSize w:val="1"/>
      <w:tblCellMar>
        <w:left w:w="115" w:type="dxa"/>
        <w:right w:w="115" w:type="dxa"/>
      </w:tblCellMar>
    </w:tblPr>
  </w:style>
  <w:style w:type="table" w:customStyle="1" w:styleId="a5">
    <w:basedOn w:val="TableNormalfffc"/>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c"/>
    <w:tblPr>
      <w:tblStyleRowBandSize w:val="1"/>
      <w:tblStyleColBandSize w:val="1"/>
      <w:tblCellMar>
        <w:left w:w="115" w:type="dxa"/>
        <w:right w:w="115" w:type="dxa"/>
      </w:tblCellMar>
    </w:tblPr>
  </w:style>
  <w:style w:type="table" w:customStyle="1" w:styleId="a7">
    <w:basedOn w:val="TableNormalfffc"/>
    <w:tblPr>
      <w:tblStyleRowBandSize w:val="1"/>
      <w:tblStyleColBandSize w:val="1"/>
      <w:tblCellMar>
        <w:left w:w="115" w:type="dxa"/>
        <w:right w:w="115" w:type="dxa"/>
      </w:tblCellMar>
    </w:tblPr>
  </w:style>
  <w:style w:type="table" w:customStyle="1" w:styleId="a8">
    <w:basedOn w:val="TableNormalfffc"/>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c"/>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9"/>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b"/>
    <w:tblPr>
      <w:tblStyleRowBandSize w:val="1"/>
      <w:tblStyleColBandSize w:val="1"/>
      <w:tblCellMar>
        <w:left w:w="115" w:type="dxa"/>
        <w:right w:w="115" w:type="dxa"/>
      </w:tblCellMar>
    </w:tblPr>
  </w:style>
  <w:style w:type="table" w:customStyle="1" w:styleId="afff3">
    <w:basedOn w:val="TableNormalffb"/>
    <w:tblPr>
      <w:tblStyleRowBandSize w:val="1"/>
      <w:tblStyleColBandSize w:val="1"/>
      <w:tblCellMar>
        <w:top w:w="100" w:type="dxa"/>
        <w:left w:w="100" w:type="dxa"/>
        <w:bottom w:w="100" w:type="dxa"/>
        <w:right w:w="100" w:type="dxa"/>
      </w:tblCellMar>
    </w:tblPr>
  </w:style>
  <w:style w:type="table" w:customStyle="1" w:styleId="afff4">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b"/>
    <w:tblPr>
      <w:tblStyleRowBandSize w:val="1"/>
      <w:tblStyleColBandSize w:val="1"/>
      <w:tblCellMar>
        <w:top w:w="100" w:type="dxa"/>
        <w:left w:w="100" w:type="dxa"/>
        <w:bottom w:w="100" w:type="dxa"/>
        <w:right w:w="100" w:type="dxa"/>
      </w:tblCellMar>
    </w:tblPr>
  </w:style>
  <w:style w:type="table" w:customStyle="1" w:styleId="afff7">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b"/>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b"/>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ransparencia.ipn.mx/Apoyo/SIPOT/LTG_DOF28122020.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7smSacqGsGkN9uN0oA+LbFaeAA==">AMUW2mVvCMxGB0xBzvC68GMbZSAlTalFPY/qH9XrvrNUDdFu7P5E1I2zquhGus5znoNZtIVoJnQQLZ0ls6PLW9gZQEdVjXeBx3tQ7R2Msp5QmOjc6VgELz0uc1GoCTY6/7+rspO2G3rbomPdJrOJwg0z0BLnLpBp2J6chZGhezuPHnx6hYoTeUw6Lb8JRnsF0PqmfyokR7PLEermMofaoDfNulfxEBfFYdnhMtnxFuQt1tZ+eSwkgdPeyUUG1CRB0jLeWbreoz9GQtGlzBBnnPVb31FWWJ3C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44</Pages>
  <Words>10097</Words>
  <Characters>55534</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2023-02-17T16:44:00Z</cp:lastPrinted>
  <dcterms:created xsi:type="dcterms:W3CDTF">2023-02-09T23:04:00Z</dcterms:created>
  <dcterms:modified xsi:type="dcterms:W3CDTF">2023-03-06T20:26:00Z</dcterms:modified>
</cp:coreProperties>
</file>