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B350" w14:textId="5C5A6AF3" w:rsidR="009F09BC" w:rsidRPr="000650DD" w:rsidRDefault="009F09BC" w:rsidP="00E37F0A">
      <w:pPr>
        <w:tabs>
          <w:tab w:val="left" w:pos="3465"/>
        </w:tabs>
        <w:spacing w:before="240" w:after="360" w:line="360" w:lineRule="auto"/>
        <w:jc w:val="both"/>
        <w:rPr>
          <w:rFonts w:ascii="Palatino Linotype" w:hAnsi="Palatino Linotype"/>
        </w:rPr>
      </w:pPr>
      <w:r w:rsidRPr="000650D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D6DBC" w:rsidRPr="000650DD">
        <w:rPr>
          <w:rFonts w:ascii="Palatino Linotype" w:hAnsi="Palatino Linotype"/>
        </w:rPr>
        <w:t>ocho (08</w:t>
      </w:r>
      <w:r w:rsidR="0058610C" w:rsidRPr="000650DD">
        <w:rPr>
          <w:rFonts w:ascii="Palatino Linotype" w:hAnsi="Palatino Linotype"/>
        </w:rPr>
        <w:t xml:space="preserve">) </w:t>
      </w:r>
      <w:r w:rsidR="005D6DBC" w:rsidRPr="000650DD">
        <w:rPr>
          <w:rFonts w:ascii="Palatino Linotype" w:hAnsi="Palatino Linotype"/>
        </w:rPr>
        <w:t xml:space="preserve">de noviembre </w:t>
      </w:r>
      <w:r w:rsidR="00B05C22" w:rsidRPr="000650DD">
        <w:rPr>
          <w:rFonts w:ascii="Palatino Linotype" w:hAnsi="Palatino Linotype"/>
        </w:rPr>
        <w:t>de dos mil veintitrés</w:t>
      </w:r>
      <w:r w:rsidRPr="000650DD">
        <w:rPr>
          <w:rFonts w:ascii="Palatino Linotype" w:hAnsi="Palatino Linotype"/>
        </w:rPr>
        <w:t>.</w:t>
      </w:r>
    </w:p>
    <w:p w14:paraId="3704CD32" w14:textId="2FAE7A38" w:rsidR="009F09BC" w:rsidRPr="000650DD" w:rsidRDefault="009F09BC" w:rsidP="00E37F0A">
      <w:pPr>
        <w:spacing w:before="240" w:after="360" w:line="360" w:lineRule="auto"/>
        <w:jc w:val="both"/>
        <w:rPr>
          <w:rFonts w:ascii="Palatino Linotype" w:hAnsi="Palatino Linotype" w:cs="Arial"/>
          <w:b/>
        </w:rPr>
      </w:pPr>
      <w:r w:rsidRPr="000650DD">
        <w:rPr>
          <w:rFonts w:ascii="Palatino Linotype" w:hAnsi="Palatino Linotype"/>
          <w:b/>
        </w:rPr>
        <w:t>VISTO</w:t>
      </w:r>
      <w:r w:rsidRPr="000650DD">
        <w:rPr>
          <w:rFonts w:ascii="Palatino Linotype" w:hAnsi="Palatino Linotype"/>
        </w:rPr>
        <w:t xml:space="preserve"> </w:t>
      </w:r>
      <w:r w:rsidR="008A699B" w:rsidRPr="000650DD">
        <w:rPr>
          <w:rFonts w:ascii="Palatino Linotype" w:hAnsi="Palatino Linotype"/>
        </w:rPr>
        <w:t>e</w:t>
      </w:r>
      <w:r w:rsidRPr="000650DD">
        <w:rPr>
          <w:rFonts w:ascii="Palatino Linotype" w:hAnsi="Palatino Linotype"/>
        </w:rPr>
        <w:t>l expediente electrónico formado con</w:t>
      </w:r>
      <w:r w:rsidR="00162221" w:rsidRPr="000650DD">
        <w:rPr>
          <w:rFonts w:ascii="Palatino Linotype" w:hAnsi="Palatino Linotype"/>
        </w:rPr>
        <w:t xml:space="preserve"> motivo del recurso de revisión </w:t>
      </w:r>
      <w:r w:rsidR="005D6DBC" w:rsidRPr="000650DD">
        <w:rPr>
          <w:rFonts w:ascii="Palatino Linotype" w:hAnsi="Palatino Linotype"/>
          <w:b/>
          <w:bCs/>
        </w:rPr>
        <w:t>15508/INFOEM/IP/RR/2022</w:t>
      </w:r>
      <w:r w:rsidRPr="000650DD">
        <w:rPr>
          <w:rFonts w:ascii="Palatino Linotype" w:hAnsi="Palatino Linotype"/>
        </w:rPr>
        <w:t>,</w:t>
      </w:r>
      <w:r w:rsidR="00B05C22" w:rsidRPr="000650DD">
        <w:rPr>
          <w:rFonts w:ascii="Palatino Linotype" w:hAnsi="Palatino Linotype" w:cs="Arial"/>
          <w:b/>
          <w:bCs/>
        </w:rPr>
        <w:t xml:space="preserve"> </w:t>
      </w:r>
      <w:r w:rsidR="00B00FB8" w:rsidRPr="000650DD">
        <w:rPr>
          <w:rFonts w:ascii="Palatino Linotype" w:hAnsi="Palatino Linotype" w:cs="Arial"/>
          <w:bCs/>
          <w:lang w:val="es-MX"/>
        </w:rPr>
        <w:t xml:space="preserve">promovido por </w:t>
      </w:r>
      <w:r w:rsidR="007836A0">
        <w:rPr>
          <w:rFonts w:ascii="Palatino Linotype" w:hAnsi="Palatino Linotype" w:cs="Arial"/>
          <w:b/>
          <w:bCs/>
          <w:lang w:val="es-MX"/>
        </w:rPr>
        <w:t>XXX XXX XXX</w:t>
      </w:r>
      <w:bookmarkStart w:id="0" w:name="_GoBack"/>
      <w:bookmarkEnd w:id="0"/>
      <w:r w:rsidR="00B05C22" w:rsidRPr="000650DD">
        <w:rPr>
          <w:rFonts w:ascii="Palatino Linotype" w:hAnsi="Palatino Linotype" w:cs="Arial"/>
          <w:bCs/>
          <w:lang w:val="es-MX"/>
        </w:rPr>
        <w:t xml:space="preserve">, en su calidad de </w:t>
      </w:r>
      <w:r w:rsidR="00B05C22" w:rsidRPr="000650DD">
        <w:rPr>
          <w:rFonts w:ascii="Palatino Linotype" w:hAnsi="Palatino Linotype" w:cs="Arial"/>
          <w:b/>
          <w:bCs/>
          <w:lang w:val="es-MX"/>
        </w:rPr>
        <w:t>RECURRENTE</w:t>
      </w:r>
      <w:r w:rsidRPr="000650DD">
        <w:rPr>
          <w:rFonts w:ascii="Palatino Linotype" w:hAnsi="Palatino Linotype" w:cs="Arial"/>
        </w:rPr>
        <w:t xml:space="preserve">, en contra de </w:t>
      </w:r>
      <w:r w:rsidR="00861A01" w:rsidRPr="000650DD">
        <w:rPr>
          <w:rFonts w:ascii="Palatino Linotype" w:hAnsi="Palatino Linotype" w:cs="Arial"/>
        </w:rPr>
        <w:t xml:space="preserve">la respuesta </w:t>
      </w:r>
      <w:r w:rsidR="005D6DBC" w:rsidRPr="000650DD">
        <w:rPr>
          <w:rFonts w:ascii="Palatino Linotype" w:hAnsi="Palatino Linotype" w:cs="Arial"/>
        </w:rPr>
        <w:t xml:space="preserve">de la </w:t>
      </w:r>
      <w:r w:rsidR="005D6DBC" w:rsidRPr="000650DD">
        <w:rPr>
          <w:rFonts w:ascii="Palatino Linotype" w:hAnsi="Palatino Linotype" w:cs="Arial"/>
          <w:b/>
          <w:bCs/>
        </w:rPr>
        <w:t>Junta Local de Conciliación y Arbitraje Valle de Toluca</w:t>
      </w:r>
      <w:r w:rsidRPr="000650DD">
        <w:rPr>
          <w:rFonts w:ascii="Palatino Linotype" w:hAnsi="Palatino Linotype" w:cs="Arial"/>
          <w:b/>
        </w:rPr>
        <w:t>,</w:t>
      </w:r>
      <w:r w:rsidRPr="000650DD">
        <w:rPr>
          <w:rFonts w:ascii="Palatino Linotype" w:hAnsi="Palatino Linotype"/>
          <w:b/>
        </w:rPr>
        <w:t xml:space="preserve"> </w:t>
      </w:r>
      <w:r w:rsidRPr="000650DD">
        <w:rPr>
          <w:rFonts w:ascii="Palatino Linotype" w:hAnsi="Palatino Linotype"/>
        </w:rPr>
        <w:t>en lo sucesivo el</w:t>
      </w:r>
      <w:r w:rsidRPr="000650DD">
        <w:rPr>
          <w:rFonts w:ascii="Palatino Linotype" w:hAnsi="Palatino Linotype"/>
          <w:b/>
        </w:rPr>
        <w:t xml:space="preserve"> SUJETO OBLIGADO</w:t>
      </w:r>
      <w:r w:rsidRPr="000650DD">
        <w:rPr>
          <w:rFonts w:ascii="Palatino Linotype" w:hAnsi="Palatino Linotype"/>
        </w:rPr>
        <w:t>, se procede a dictar la presente resolución, con base en los siguientes:</w:t>
      </w:r>
    </w:p>
    <w:p w14:paraId="4E40B56E" w14:textId="77777777" w:rsidR="009F09BC" w:rsidRPr="000650DD" w:rsidRDefault="009F09BC" w:rsidP="00E37F0A">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0650DD">
        <w:rPr>
          <w:rFonts w:ascii="Palatino Linotype" w:hAnsi="Palatino Linotype"/>
          <w:b/>
          <w:color w:val="000000" w:themeColor="text1"/>
          <w:sz w:val="24"/>
          <w:szCs w:val="24"/>
        </w:rPr>
        <w:t>ANTECEDENTES</w:t>
      </w:r>
      <w:bookmarkEnd w:id="1"/>
      <w:bookmarkEnd w:id="2"/>
      <w:bookmarkEnd w:id="3"/>
    </w:p>
    <w:p w14:paraId="237D14A1" w14:textId="294B73EA" w:rsidR="009F09BC" w:rsidRPr="000650DD" w:rsidRDefault="001F4D06" w:rsidP="001F4D06">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0650DD">
        <w:rPr>
          <w:rFonts w:ascii="Palatino Linotype" w:eastAsia="Calibri" w:hAnsi="Palatino Linotype" w:cs="Arial"/>
          <w:lang w:val="es-ES"/>
        </w:rPr>
        <w:t>El veintidós</w:t>
      </w:r>
      <w:r w:rsidR="00B00FB8" w:rsidRPr="000650DD">
        <w:rPr>
          <w:rFonts w:ascii="Palatino Linotype" w:eastAsia="Calibri" w:hAnsi="Palatino Linotype" w:cs="Arial"/>
          <w:lang w:val="es-ES"/>
        </w:rPr>
        <w:t xml:space="preserve"> </w:t>
      </w:r>
      <w:r w:rsidR="009F09BC" w:rsidRPr="000650DD">
        <w:rPr>
          <w:rFonts w:ascii="Palatino Linotype" w:eastAsia="Calibri" w:hAnsi="Palatino Linotype" w:cs="Arial"/>
          <w:lang w:val="es-ES"/>
        </w:rPr>
        <w:t>(</w:t>
      </w:r>
      <w:r w:rsidRPr="000650DD">
        <w:rPr>
          <w:rFonts w:ascii="Palatino Linotype" w:eastAsia="Calibri" w:hAnsi="Palatino Linotype" w:cs="Arial"/>
          <w:lang w:val="es-ES"/>
        </w:rPr>
        <w:t>22) de septiembre</w:t>
      </w:r>
      <w:r w:rsidR="00162221" w:rsidRPr="000650DD">
        <w:rPr>
          <w:rFonts w:ascii="Palatino Linotype" w:eastAsia="Calibri" w:hAnsi="Palatino Linotype" w:cs="Arial"/>
          <w:lang w:val="es-ES"/>
        </w:rPr>
        <w:t xml:space="preserve"> </w:t>
      </w:r>
      <w:r w:rsidR="00C22D79" w:rsidRPr="000650DD">
        <w:rPr>
          <w:rFonts w:ascii="Palatino Linotype" w:eastAsia="Calibri" w:hAnsi="Palatino Linotype" w:cs="Arial"/>
          <w:lang w:val="es-ES"/>
        </w:rPr>
        <w:t>de dos mil veintidós</w:t>
      </w:r>
      <w:r w:rsidR="009F09BC" w:rsidRPr="000650DD">
        <w:rPr>
          <w:rFonts w:ascii="Palatino Linotype" w:hAnsi="Palatino Linotype"/>
          <w:b/>
        </w:rPr>
        <w:t xml:space="preserve">, </w:t>
      </w:r>
      <w:r w:rsidR="009F09BC" w:rsidRPr="000650DD">
        <w:rPr>
          <w:rFonts w:ascii="Palatino Linotype" w:eastAsia="Calibri" w:hAnsi="Palatino Linotype" w:cs="Arial"/>
          <w:lang w:val="es-ES"/>
        </w:rPr>
        <w:t xml:space="preserve">se presentó ante el </w:t>
      </w:r>
      <w:r w:rsidR="009F09BC" w:rsidRPr="000650DD">
        <w:rPr>
          <w:rFonts w:ascii="Palatino Linotype" w:eastAsia="Calibri" w:hAnsi="Palatino Linotype" w:cs="Arial"/>
          <w:b/>
          <w:lang w:val="es-ES"/>
        </w:rPr>
        <w:t>SUJETO OBLIGADO</w:t>
      </w:r>
      <w:r w:rsidR="009F09BC" w:rsidRPr="000650DD">
        <w:rPr>
          <w:rFonts w:ascii="Palatino Linotype" w:eastAsia="Calibri" w:hAnsi="Palatino Linotype" w:cs="Arial"/>
        </w:rPr>
        <w:t xml:space="preserve"> vía </w:t>
      </w:r>
      <w:r w:rsidR="008A699B" w:rsidRPr="000650DD">
        <w:rPr>
          <w:rFonts w:ascii="Palatino Linotype" w:eastAsia="Calibri" w:hAnsi="Palatino Linotype" w:cs="Arial"/>
          <w:lang w:val="es-ES"/>
        </w:rPr>
        <w:t>SAIMEX, la solicitud</w:t>
      </w:r>
      <w:r w:rsidR="009F09BC" w:rsidRPr="000650DD">
        <w:rPr>
          <w:rFonts w:ascii="Palatino Linotype" w:eastAsia="Calibri" w:hAnsi="Palatino Linotype" w:cs="Arial"/>
          <w:lang w:val="es-ES"/>
        </w:rPr>
        <w:t xml:space="preserve"> de información pública</w:t>
      </w:r>
      <w:r w:rsidR="008A699B" w:rsidRPr="000650DD">
        <w:rPr>
          <w:rFonts w:ascii="Palatino Linotype" w:eastAsia="Calibri" w:hAnsi="Palatino Linotype" w:cs="Arial"/>
          <w:lang w:val="es-ES"/>
        </w:rPr>
        <w:t xml:space="preserve"> registrada</w:t>
      </w:r>
      <w:r w:rsidR="009F09BC" w:rsidRPr="000650DD">
        <w:rPr>
          <w:rFonts w:ascii="Palatino Linotype" w:eastAsia="Calibri" w:hAnsi="Palatino Linotype" w:cs="Arial"/>
          <w:lang w:val="es-ES"/>
        </w:rPr>
        <w:t xml:space="preserve"> con </w:t>
      </w:r>
      <w:r w:rsidR="008A699B" w:rsidRPr="000650DD">
        <w:rPr>
          <w:rFonts w:ascii="Palatino Linotype" w:eastAsia="Calibri" w:hAnsi="Palatino Linotype" w:cs="Arial"/>
          <w:lang w:val="es-ES"/>
        </w:rPr>
        <w:t xml:space="preserve">el </w:t>
      </w:r>
      <w:r w:rsidR="009F09BC" w:rsidRPr="000650DD">
        <w:rPr>
          <w:rFonts w:ascii="Palatino Linotype" w:eastAsia="Calibri" w:hAnsi="Palatino Linotype" w:cs="Arial"/>
          <w:lang w:val="es-ES"/>
        </w:rPr>
        <w:t>número</w:t>
      </w:r>
      <w:r w:rsidRPr="000650DD">
        <w:rPr>
          <w:rFonts w:ascii="Palatino Linotype" w:hAnsi="Palatino Linotype"/>
          <w:b/>
          <w:bCs/>
          <w:color w:val="000000" w:themeColor="text1"/>
        </w:rPr>
        <w:t xml:space="preserve"> 00035/JLCAVT/IP/2022</w:t>
      </w:r>
      <w:r w:rsidR="009F09BC" w:rsidRPr="000650DD">
        <w:rPr>
          <w:rFonts w:ascii="Palatino Linotype" w:hAnsi="Palatino Linotype"/>
          <w:b/>
          <w:bCs/>
          <w:color w:val="000000" w:themeColor="text1"/>
        </w:rPr>
        <w:t xml:space="preserve">; </w:t>
      </w:r>
      <w:r w:rsidR="009E2B29" w:rsidRPr="000650DD">
        <w:rPr>
          <w:rFonts w:ascii="Palatino Linotype" w:eastAsia="Calibri" w:hAnsi="Palatino Linotype" w:cs="Arial"/>
          <w:lang w:val="es-ES"/>
        </w:rPr>
        <w:t xml:space="preserve">mediante la cual se requirió </w:t>
      </w:r>
      <w:r w:rsidR="009F09BC" w:rsidRPr="000650DD">
        <w:rPr>
          <w:rFonts w:ascii="Palatino Linotype" w:eastAsia="Calibri" w:hAnsi="Palatino Linotype" w:cs="Arial"/>
          <w:lang w:val="es-ES"/>
        </w:rPr>
        <w:t>la siguiente información:</w:t>
      </w:r>
    </w:p>
    <w:p w14:paraId="108D2BE6" w14:textId="77777777" w:rsidR="008A699B" w:rsidRPr="000650DD"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52A84115" w:rsidR="009F09BC" w:rsidRPr="005A7ACC" w:rsidRDefault="008A699B" w:rsidP="001F4D06">
      <w:pPr>
        <w:pStyle w:val="Prrafodelista"/>
        <w:tabs>
          <w:tab w:val="left" w:pos="567"/>
        </w:tabs>
        <w:spacing w:line="276" w:lineRule="auto"/>
        <w:ind w:left="567" w:right="900"/>
        <w:jc w:val="both"/>
        <w:rPr>
          <w:rFonts w:ascii="Palatino Linotype" w:hAnsi="Palatino Linotype"/>
          <w:i/>
        </w:rPr>
      </w:pPr>
      <w:r w:rsidRPr="005A7ACC">
        <w:rPr>
          <w:rFonts w:ascii="Palatino Linotype" w:hAnsi="Palatino Linotype"/>
          <w:i/>
        </w:rPr>
        <w:t>“</w:t>
      </w:r>
      <w:r w:rsidR="001F4D06" w:rsidRPr="005A7ACC">
        <w:rPr>
          <w:rFonts w:ascii="Palatino Linotype" w:hAnsi="Palatino Linotype"/>
          <w:i/>
        </w:rPr>
        <w:t>Las personas NO SINDICALIZADAS pueden gozar de las prestaciones de un contrato colectivo si, no ¿Por qué? Fundamento legal donde determine que las personas no sindicalizadas no pueden tener acceso a lo establecido en un contrato colectivo de trabajo. Fundamento legal donde determine que las personas no sindicalizadas si pueden tener acceso a lo establecido en un contrato colectivo de trabajo.</w:t>
      </w:r>
      <w:r w:rsidRPr="005A7ACC">
        <w:rPr>
          <w:rFonts w:ascii="Palatino Linotype" w:hAnsi="Palatino Linotype"/>
          <w:i/>
        </w:rPr>
        <w:t>”</w:t>
      </w:r>
      <w:r w:rsidR="00B170E1" w:rsidRPr="005A7ACC">
        <w:rPr>
          <w:rFonts w:ascii="Palatino Linotype" w:hAnsi="Palatino Linotype"/>
        </w:rPr>
        <w:t xml:space="preserve"> (Sic).</w:t>
      </w:r>
    </w:p>
    <w:p w14:paraId="48C0BFB9" w14:textId="77777777" w:rsidR="008A699B" w:rsidRPr="005A7ACC" w:rsidRDefault="008A699B" w:rsidP="00C27AE3">
      <w:pPr>
        <w:spacing w:line="276" w:lineRule="auto"/>
        <w:ind w:right="34"/>
        <w:jc w:val="both"/>
        <w:rPr>
          <w:rFonts w:ascii="Palatino Linotype" w:hAnsi="Palatino Linotype"/>
          <w:sz w:val="28"/>
        </w:rPr>
      </w:pPr>
    </w:p>
    <w:p w14:paraId="2588015D" w14:textId="77777777" w:rsidR="009F09BC" w:rsidRPr="005A7ACC" w:rsidRDefault="009F09BC" w:rsidP="00762CFF">
      <w:pPr>
        <w:spacing w:line="360" w:lineRule="auto"/>
        <w:ind w:right="34"/>
        <w:jc w:val="both"/>
        <w:rPr>
          <w:rFonts w:ascii="Palatino Linotype" w:hAnsi="Palatino Linotype"/>
        </w:rPr>
      </w:pPr>
      <w:r w:rsidRPr="005A7ACC">
        <w:rPr>
          <w:rFonts w:ascii="Palatino Linotype" w:eastAsia="Times New Roman" w:hAnsi="Palatino Linotype" w:cs="Arial"/>
          <w:lang w:val="es-ES"/>
        </w:rPr>
        <w:t>Se eligió como modalidad de entrega de la información</w:t>
      </w:r>
      <w:r w:rsidRPr="005A7ACC">
        <w:rPr>
          <w:rFonts w:ascii="Palatino Linotype" w:hAnsi="Palatino Linotype"/>
        </w:rPr>
        <w:t xml:space="preserve">: A través del </w:t>
      </w:r>
      <w:r w:rsidRPr="005A7ACC">
        <w:rPr>
          <w:rFonts w:ascii="Palatino Linotype" w:hAnsi="Palatino Linotype"/>
          <w:b/>
        </w:rPr>
        <w:t>SAIMEX</w:t>
      </w:r>
      <w:r w:rsidR="00762CFF" w:rsidRPr="005A7ACC">
        <w:rPr>
          <w:rFonts w:ascii="Palatino Linotype" w:hAnsi="Palatino Linotype"/>
          <w:b/>
        </w:rPr>
        <w:t>.</w:t>
      </w:r>
    </w:p>
    <w:p w14:paraId="08B80DCA" w14:textId="004DAC1F" w:rsidR="004B2C98" w:rsidRPr="000650DD"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0650DD">
        <w:rPr>
          <w:rFonts w:ascii="Palatino Linotype" w:eastAsia="MS Mincho" w:hAnsi="Palatino Linotype"/>
          <w:color w:val="000000" w:themeColor="text1"/>
        </w:rPr>
        <w:lastRenderedPageBreak/>
        <w:t xml:space="preserve">El </w:t>
      </w:r>
      <w:r w:rsidR="001F4D06" w:rsidRPr="000650DD">
        <w:rPr>
          <w:rFonts w:ascii="Palatino Linotype" w:eastAsia="MS Mincho" w:hAnsi="Palatino Linotype"/>
          <w:color w:val="000000" w:themeColor="text1"/>
        </w:rPr>
        <w:t>diez (10) de octubre</w:t>
      </w:r>
      <w:r w:rsidR="00B00FB8" w:rsidRPr="000650DD">
        <w:rPr>
          <w:rFonts w:ascii="Palatino Linotype" w:eastAsia="MS Mincho" w:hAnsi="Palatino Linotype"/>
          <w:color w:val="000000" w:themeColor="text1"/>
        </w:rPr>
        <w:t xml:space="preserve"> </w:t>
      </w:r>
      <w:r w:rsidRPr="000650DD">
        <w:rPr>
          <w:rFonts w:ascii="Palatino Linotype" w:eastAsia="MS Mincho" w:hAnsi="Palatino Linotype"/>
          <w:color w:val="000000" w:themeColor="text1"/>
        </w:rPr>
        <w:t xml:space="preserve">de dos mil veintidós, el </w:t>
      </w:r>
      <w:r w:rsidRPr="000650DD">
        <w:rPr>
          <w:rFonts w:ascii="Palatino Linotype" w:hAnsi="Palatino Linotype"/>
          <w:b/>
          <w:color w:val="000000" w:themeColor="text1"/>
        </w:rPr>
        <w:t>SUJETO OBLIGADO</w:t>
      </w:r>
      <w:r w:rsidR="00674792" w:rsidRPr="000650DD">
        <w:rPr>
          <w:rFonts w:ascii="Palatino Linotype" w:hAnsi="Palatino Linotype"/>
          <w:color w:val="000000" w:themeColor="text1"/>
        </w:rPr>
        <w:t xml:space="preserve"> dio respuesta</w:t>
      </w:r>
      <w:r w:rsidRPr="000650DD">
        <w:rPr>
          <w:rFonts w:ascii="Palatino Linotype" w:hAnsi="Palatino Linotype"/>
          <w:color w:val="000000" w:themeColor="text1"/>
        </w:rPr>
        <w:t xml:space="preserve"> a </w:t>
      </w:r>
      <w:r w:rsidR="00861A01" w:rsidRPr="000650DD">
        <w:rPr>
          <w:rFonts w:ascii="Palatino Linotype" w:hAnsi="Palatino Linotype"/>
          <w:color w:val="000000" w:themeColor="text1"/>
        </w:rPr>
        <w:t>la solicitud</w:t>
      </w:r>
      <w:r w:rsidRPr="000650DD">
        <w:rPr>
          <w:rFonts w:ascii="Palatino Linotype" w:hAnsi="Palatino Linotype"/>
          <w:color w:val="000000" w:themeColor="text1"/>
        </w:rPr>
        <w:t xml:space="preserve"> de información en los siguientes términos:</w:t>
      </w:r>
    </w:p>
    <w:p w14:paraId="17F5B874" w14:textId="77777777" w:rsidR="004B2C98" w:rsidRPr="000650DD"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14:paraId="4D2733F1" w14:textId="77777777" w:rsidR="001F4D06" w:rsidRPr="000650DD" w:rsidRDefault="004B2C98" w:rsidP="001F4D06">
      <w:pPr>
        <w:pStyle w:val="Prrafodelista"/>
        <w:tabs>
          <w:tab w:val="left" w:pos="0"/>
        </w:tabs>
        <w:spacing w:line="276" w:lineRule="auto"/>
        <w:ind w:left="567" w:right="900"/>
        <w:jc w:val="right"/>
        <w:rPr>
          <w:rFonts w:ascii="Palatino Linotype" w:hAnsi="Palatino Linotype" w:cs="Arial"/>
          <w:i/>
          <w:color w:val="000000" w:themeColor="text1"/>
          <w:sz w:val="22"/>
        </w:rPr>
      </w:pPr>
      <w:r w:rsidRPr="000650DD">
        <w:rPr>
          <w:rFonts w:ascii="Palatino Linotype" w:hAnsi="Palatino Linotype" w:cs="Arial"/>
          <w:i/>
          <w:color w:val="000000" w:themeColor="text1"/>
          <w:sz w:val="22"/>
        </w:rPr>
        <w:t>“</w:t>
      </w:r>
      <w:r w:rsidR="001F4D06" w:rsidRPr="000650DD">
        <w:rPr>
          <w:rFonts w:ascii="Palatino Linotype" w:hAnsi="Palatino Linotype" w:cs="Arial"/>
          <w:i/>
          <w:color w:val="000000" w:themeColor="text1"/>
          <w:sz w:val="22"/>
        </w:rPr>
        <w:t>Metepec, México a 10 de Octubre de 2022</w:t>
      </w:r>
    </w:p>
    <w:p w14:paraId="740072A0" w14:textId="77777777" w:rsidR="001F4D06" w:rsidRPr="000650DD" w:rsidRDefault="001F4D06" w:rsidP="001F4D06">
      <w:pPr>
        <w:pStyle w:val="Prrafodelista"/>
        <w:tabs>
          <w:tab w:val="left" w:pos="0"/>
        </w:tabs>
        <w:spacing w:line="276" w:lineRule="auto"/>
        <w:ind w:left="567" w:right="900"/>
        <w:jc w:val="right"/>
        <w:rPr>
          <w:rFonts w:ascii="Palatino Linotype" w:hAnsi="Palatino Linotype" w:cs="Arial"/>
          <w:i/>
          <w:color w:val="000000" w:themeColor="text1"/>
          <w:sz w:val="22"/>
        </w:rPr>
      </w:pPr>
      <w:r w:rsidRPr="000650DD">
        <w:rPr>
          <w:rFonts w:ascii="Palatino Linotype" w:hAnsi="Palatino Linotype" w:cs="Arial"/>
          <w:i/>
          <w:color w:val="000000" w:themeColor="text1"/>
          <w:sz w:val="22"/>
        </w:rPr>
        <w:t>Nombre del solicitante: C. Solicitante</w:t>
      </w:r>
    </w:p>
    <w:p w14:paraId="503A484E" w14:textId="77777777" w:rsidR="001F4D06" w:rsidRPr="000650DD" w:rsidRDefault="001F4D06" w:rsidP="001F4D06">
      <w:pPr>
        <w:pStyle w:val="Prrafodelista"/>
        <w:tabs>
          <w:tab w:val="left" w:pos="0"/>
        </w:tabs>
        <w:spacing w:line="276" w:lineRule="auto"/>
        <w:ind w:left="567" w:right="900"/>
        <w:jc w:val="right"/>
        <w:rPr>
          <w:rFonts w:ascii="Palatino Linotype" w:hAnsi="Palatino Linotype" w:cs="Arial"/>
          <w:i/>
          <w:color w:val="000000" w:themeColor="text1"/>
          <w:sz w:val="22"/>
        </w:rPr>
      </w:pPr>
      <w:r w:rsidRPr="000650DD">
        <w:rPr>
          <w:rFonts w:ascii="Palatino Linotype" w:hAnsi="Palatino Linotype" w:cs="Arial"/>
          <w:i/>
          <w:color w:val="000000" w:themeColor="text1"/>
          <w:sz w:val="22"/>
        </w:rPr>
        <w:t>Folio de la solicitud: 00035/JLCAVT/IP/2022</w:t>
      </w:r>
    </w:p>
    <w:p w14:paraId="072FAF7A" w14:textId="77777777" w:rsidR="001F4D06" w:rsidRPr="000650DD" w:rsidRDefault="001F4D06" w:rsidP="001F4D06">
      <w:pPr>
        <w:pStyle w:val="Prrafodelista"/>
        <w:tabs>
          <w:tab w:val="left" w:pos="0"/>
        </w:tabs>
        <w:spacing w:line="276" w:lineRule="auto"/>
        <w:ind w:left="567" w:right="900"/>
        <w:jc w:val="right"/>
        <w:rPr>
          <w:rFonts w:ascii="Palatino Linotype" w:hAnsi="Palatino Linotype" w:cs="Arial"/>
          <w:i/>
          <w:color w:val="000000" w:themeColor="text1"/>
          <w:sz w:val="22"/>
        </w:rPr>
      </w:pPr>
    </w:p>
    <w:p w14:paraId="66F4ACA1" w14:textId="77777777" w:rsidR="001F4D06" w:rsidRPr="000650DD" w:rsidRDefault="001F4D06" w:rsidP="001F4D06">
      <w:pPr>
        <w:pStyle w:val="Prrafodelista"/>
        <w:tabs>
          <w:tab w:val="left" w:pos="0"/>
        </w:tabs>
        <w:spacing w:line="276" w:lineRule="auto"/>
        <w:ind w:left="567" w:right="900"/>
        <w:jc w:val="both"/>
        <w:rPr>
          <w:rFonts w:ascii="Palatino Linotype" w:hAnsi="Palatino Linotype" w:cs="Arial"/>
          <w:i/>
          <w:color w:val="000000" w:themeColor="text1"/>
          <w:sz w:val="22"/>
        </w:rPr>
      </w:pPr>
      <w:r w:rsidRPr="000650DD">
        <w:rPr>
          <w:rFonts w:ascii="Palatino Linotype" w:hAnsi="Palatino Linotype" w:cs="Arial"/>
          <w:i/>
          <w:color w:val="000000" w:themeColor="text1"/>
          <w:sz w:val="22"/>
        </w:rPr>
        <w:t xml:space="preserve">EL (LA) SOLICITANTE PRESENTE En atención a su solicitud de información número 00035/JLCAVT/IP/2022, de fecha veintidós de septiembre de dos mil veintidós, que a la letra dice: “la persona NO SONDICALIZADAS pueden gozar de las prestaciones de un contrato colectivo, si, no, ¿Por qué? Fundamento legal donde determine que las personas no sindicalizadas no pueden tener acceso a lo establecido en un contrato colectivo de trabajo. Fundamento legal donde determine que las personas no sindicalizadas si pueden tener acceso a lo establecido en un contrato colectivo de trabajo .” (Sic). Al respecto, hago de su conocimiento que en fecha 7 de octubre del año en curso, el Comité de Transparencia de la Junta Local de Conciliación y Arbitraje del Valle de Toluca, sesionó, y mediante acuerdo CT/JLCAVT/EXT37/03/2022, determinó informar a la o el peticionario lo siguiente: Derivado del análisis de la solicitud de información y con fundamento en lo dispuesto en el Artículo 167 de la Ley de Transparencia y Acceso a la Información Pública del Estado de México y Municipios, es preciso hacer notar que la Junta Local de Conciliación y Arbitraje del Valle de Toluca, tiene a su cargo la conciliación tramitación y decisión sobre conflictos de trabajo que se susciten entre trabajadores y patrones, sólo entre aquéllos y sólo entre éstos, derivado de las relaciones de trabajo de hechos ligados con ellas, así como generar condiciones generales de trabajo cuando se sometan a su decisión los conflictos de naturaleza económica, registrar sindicatos, recibir en depósito contratos colectivos de trabajo, reglamentos interiores de trabajo, avisos u otra documentación de acuerdo a su competencia legal. Por lo anterior y con fundamento en lo dispuesto en los artículos 19, 47, 49 fracciones XII y XVIII, 167, 169 fracción II Y 170 de la Ley de Transparencia y Acceso a la Información Pública del Estado de México y Municipios, por unanimidad de votos aprobó la Incompetencia de la Junta Local de Conciliación y Arbitraje del Valle de Toluca, al no ser la autoridad que pueda generar, transformar, adquirir, administrar, obtener, o poseer en el ejercicio de sus funciones como sujeto obligado la información </w:t>
      </w:r>
      <w:r w:rsidRPr="000650DD">
        <w:rPr>
          <w:rFonts w:ascii="Palatino Linotype" w:hAnsi="Palatino Linotype" w:cs="Arial"/>
          <w:i/>
          <w:color w:val="000000" w:themeColor="text1"/>
          <w:sz w:val="22"/>
        </w:rPr>
        <w:lastRenderedPageBreak/>
        <w:t>solicitada. Asimismo y, en aras de privilegiar el Derecho de Acceso a la Información Pública, y en atención a los datos referidos en la solicitud de información, se le sugiere dirigir su solicitud a la Procuraduría de la Defensa del Trabajo, Institución que brinda asesoría y representación a las y los trabajadores que lo soliciten en forma individual o colectiva, en relación a sus derechos y obligaciones que se establecen en la Ley Federal del Trabajo; con domicilio en Rafael M. Hidalgo Oriente No. Ext. 301, No. Int. Segundo Piso, Col. Cuauhtémoc, C.P. 50130, Toluca, México, con números de teléfonos (722) 276 09 50, (722) 2760951 y (722) 276 09 52 al 58. Sin otro particular, reciba un cordial saludo.</w:t>
      </w:r>
    </w:p>
    <w:p w14:paraId="4B6B9F21" w14:textId="77777777" w:rsidR="001F4D06" w:rsidRPr="000650DD" w:rsidRDefault="001F4D06" w:rsidP="001F4D06">
      <w:pPr>
        <w:pStyle w:val="Prrafodelista"/>
        <w:tabs>
          <w:tab w:val="left" w:pos="0"/>
        </w:tabs>
        <w:spacing w:line="276" w:lineRule="auto"/>
        <w:ind w:left="567" w:right="900"/>
        <w:jc w:val="both"/>
        <w:rPr>
          <w:rFonts w:ascii="Palatino Linotype" w:hAnsi="Palatino Linotype" w:cs="Arial"/>
          <w:i/>
          <w:color w:val="000000" w:themeColor="text1"/>
          <w:sz w:val="22"/>
        </w:rPr>
      </w:pPr>
    </w:p>
    <w:p w14:paraId="538F8397" w14:textId="77777777" w:rsidR="001F4D06" w:rsidRPr="000650DD" w:rsidRDefault="001F4D06" w:rsidP="001F4D06">
      <w:pPr>
        <w:pStyle w:val="Prrafodelista"/>
        <w:tabs>
          <w:tab w:val="left" w:pos="0"/>
        </w:tabs>
        <w:spacing w:line="276" w:lineRule="auto"/>
        <w:ind w:left="567" w:right="900"/>
        <w:rPr>
          <w:rFonts w:ascii="Palatino Linotype" w:hAnsi="Palatino Linotype" w:cs="Arial"/>
          <w:i/>
          <w:color w:val="000000" w:themeColor="text1"/>
          <w:sz w:val="22"/>
        </w:rPr>
      </w:pPr>
      <w:r w:rsidRPr="000650DD">
        <w:rPr>
          <w:rFonts w:ascii="Palatino Linotype" w:hAnsi="Palatino Linotype" w:cs="Arial"/>
          <w:i/>
          <w:color w:val="000000" w:themeColor="text1"/>
          <w:sz w:val="22"/>
        </w:rPr>
        <w:t>ATENTAMENTE</w:t>
      </w:r>
    </w:p>
    <w:p w14:paraId="1BB316F0" w14:textId="43B80F4C" w:rsidR="004B2C98" w:rsidRPr="000650DD" w:rsidRDefault="001F4D06" w:rsidP="001F4D06">
      <w:pPr>
        <w:pStyle w:val="Prrafodelista"/>
        <w:tabs>
          <w:tab w:val="left" w:pos="0"/>
        </w:tabs>
        <w:spacing w:line="276" w:lineRule="auto"/>
        <w:ind w:left="567" w:right="900"/>
        <w:rPr>
          <w:rFonts w:ascii="Palatino Linotype" w:hAnsi="Palatino Linotype" w:cs="Arial"/>
          <w:i/>
          <w:color w:val="000000" w:themeColor="text1"/>
          <w:sz w:val="22"/>
        </w:rPr>
      </w:pPr>
      <w:r w:rsidRPr="000650DD">
        <w:rPr>
          <w:rFonts w:ascii="Palatino Linotype" w:hAnsi="Palatino Linotype" w:cs="Arial"/>
          <w:i/>
          <w:color w:val="000000" w:themeColor="text1"/>
          <w:sz w:val="22"/>
        </w:rPr>
        <w:t>Lic. Seguridad Ciudadana José Alberto Flores Hernández</w:t>
      </w:r>
      <w:r w:rsidR="004B2C98" w:rsidRPr="000650DD">
        <w:rPr>
          <w:rFonts w:ascii="Palatino Linotype" w:hAnsi="Palatino Linotype" w:cs="Arial"/>
          <w:i/>
          <w:color w:val="000000" w:themeColor="text1"/>
          <w:sz w:val="22"/>
        </w:rPr>
        <w:t>”</w:t>
      </w:r>
      <w:r w:rsidR="004B2C98" w:rsidRPr="000650DD">
        <w:rPr>
          <w:rFonts w:ascii="Palatino Linotype" w:hAnsi="Palatino Linotype" w:cs="Arial"/>
          <w:color w:val="000000" w:themeColor="text1"/>
          <w:sz w:val="22"/>
        </w:rPr>
        <w:t xml:space="preserve"> (Sic). </w:t>
      </w:r>
    </w:p>
    <w:p w14:paraId="4083AA9D" w14:textId="77777777" w:rsidR="00593D87" w:rsidRPr="000650DD" w:rsidRDefault="00593D87" w:rsidP="001F4D06">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7360D126" w:rsidR="00593D87" w:rsidRPr="000650DD" w:rsidRDefault="00593D87" w:rsidP="00C77986">
      <w:pPr>
        <w:pStyle w:val="Prrafodelista"/>
        <w:numPr>
          <w:ilvl w:val="0"/>
          <w:numId w:val="1"/>
        </w:numPr>
        <w:tabs>
          <w:tab w:val="left" w:pos="567"/>
        </w:tabs>
        <w:spacing w:line="360" w:lineRule="auto"/>
        <w:ind w:left="0" w:firstLine="0"/>
        <w:jc w:val="both"/>
        <w:rPr>
          <w:rFonts w:ascii="Palatino Linotype" w:hAnsi="Palatino Linotype"/>
          <w:b/>
          <w:i/>
          <w:szCs w:val="22"/>
        </w:rPr>
      </w:pPr>
      <w:r w:rsidRPr="000650DD">
        <w:rPr>
          <w:rFonts w:ascii="Palatino Linotype" w:eastAsia="Times New Roman" w:hAnsi="Palatino Linotype" w:cs="Arial"/>
        </w:rPr>
        <w:t xml:space="preserve">Adjunto a la notificación anterior, el </w:t>
      </w:r>
      <w:r w:rsidRPr="000650DD">
        <w:rPr>
          <w:rFonts w:ascii="Palatino Linotype" w:eastAsia="Times New Roman" w:hAnsi="Palatino Linotype" w:cs="Arial"/>
          <w:b/>
          <w:bCs/>
        </w:rPr>
        <w:t>SUJETO OBLIGADO</w:t>
      </w:r>
      <w:r w:rsidRPr="000650DD">
        <w:rPr>
          <w:rFonts w:ascii="Palatino Linotype" w:eastAsia="Times New Roman" w:hAnsi="Palatino Linotype" w:cs="Arial"/>
        </w:rPr>
        <w:t xml:space="preserve"> presentó el archivo electrónico </w:t>
      </w:r>
      <w:r w:rsidR="00C77986" w:rsidRPr="000650DD">
        <w:rPr>
          <w:rFonts w:ascii="Palatino Linotype" w:hAnsi="Palatino Linotype" w:cs="Arial"/>
          <w:b/>
          <w:color w:val="000000" w:themeColor="text1"/>
          <w:sz w:val="22"/>
        </w:rPr>
        <w:t>00035-JLCAVT-IP-2022.pdf</w:t>
      </w:r>
      <w:r w:rsidRPr="000650DD">
        <w:rPr>
          <w:rFonts w:ascii="Palatino Linotype" w:hAnsi="Palatino Linotype" w:cs="Arial"/>
          <w:b/>
          <w:color w:val="000000" w:themeColor="text1"/>
          <w:sz w:val="22"/>
        </w:rPr>
        <w:t>,</w:t>
      </w:r>
      <w:r w:rsidRPr="000650DD">
        <w:rPr>
          <w:rFonts w:ascii="Palatino Linotype" w:eastAsia="Times New Roman" w:hAnsi="Palatino Linotype" w:cs="Arial"/>
        </w:rPr>
        <w:t xml:space="preserve"> cuyo contenido se describe a continuación:</w:t>
      </w:r>
    </w:p>
    <w:p w14:paraId="0CB63D83" w14:textId="77777777" w:rsidR="00593D87" w:rsidRPr="000650DD" w:rsidRDefault="00593D87" w:rsidP="002C58DE">
      <w:pPr>
        <w:pStyle w:val="Prrafodelista"/>
        <w:tabs>
          <w:tab w:val="left" w:pos="284"/>
          <w:tab w:val="left" w:pos="567"/>
        </w:tabs>
        <w:spacing w:line="276" w:lineRule="auto"/>
        <w:ind w:left="0"/>
        <w:jc w:val="both"/>
        <w:rPr>
          <w:rFonts w:ascii="Palatino Linotype" w:hAnsi="Palatino Linotype"/>
          <w:b/>
          <w:i/>
          <w:szCs w:val="22"/>
        </w:rPr>
      </w:pPr>
    </w:p>
    <w:p w14:paraId="0204F8FF" w14:textId="54AC5DB5" w:rsidR="00E432F9" w:rsidRPr="000650DD" w:rsidRDefault="00E432F9" w:rsidP="002C58DE">
      <w:pPr>
        <w:pStyle w:val="Prrafodelista"/>
        <w:tabs>
          <w:tab w:val="left" w:pos="567"/>
        </w:tabs>
        <w:spacing w:line="276" w:lineRule="auto"/>
        <w:ind w:left="567" w:right="900"/>
        <w:jc w:val="both"/>
        <w:rPr>
          <w:rFonts w:ascii="Palatino Linotype" w:hAnsi="Palatino Linotype" w:cs="Arial"/>
          <w:color w:val="000000" w:themeColor="text1"/>
          <w:sz w:val="22"/>
          <w:szCs w:val="22"/>
        </w:rPr>
      </w:pPr>
      <w:r w:rsidRPr="000650DD">
        <w:rPr>
          <w:rFonts w:ascii="Palatino Linotype" w:hAnsi="Palatino Linotype" w:cs="Arial"/>
          <w:b/>
          <w:i/>
          <w:color w:val="000000" w:themeColor="text1"/>
          <w:sz w:val="22"/>
          <w:szCs w:val="22"/>
        </w:rPr>
        <w:t>“</w:t>
      </w:r>
      <w:r w:rsidRPr="000650DD">
        <w:rPr>
          <w:rFonts w:ascii="Palatino Linotype" w:hAnsi="Palatino Linotype" w:cs="Arial"/>
          <w:b/>
          <w:color w:val="000000" w:themeColor="text1"/>
          <w:sz w:val="22"/>
        </w:rPr>
        <w:t>00035-JLCAVT-IP-2022.pdf”</w:t>
      </w:r>
      <w:r w:rsidR="00593D87" w:rsidRPr="000650DD">
        <w:rPr>
          <w:rFonts w:ascii="Palatino Linotype" w:hAnsi="Palatino Linotype" w:cs="Arial"/>
          <w:b/>
          <w:i/>
          <w:color w:val="000000" w:themeColor="text1"/>
          <w:sz w:val="22"/>
          <w:szCs w:val="22"/>
        </w:rPr>
        <w:t xml:space="preserve">: </w:t>
      </w:r>
      <w:r w:rsidRPr="000650DD">
        <w:rPr>
          <w:rFonts w:ascii="Palatino Linotype" w:hAnsi="Palatino Linotype" w:cs="Arial"/>
          <w:color w:val="000000" w:themeColor="text1"/>
          <w:sz w:val="22"/>
          <w:szCs w:val="22"/>
        </w:rPr>
        <w:t>Documento de una foja consistente en el</w:t>
      </w:r>
      <w:r w:rsidR="0089008F" w:rsidRPr="000650DD">
        <w:rPr>
          <w:rFonts w:ascii="Palatino Linotype" w:hAnsi="Palatino Linotype" w:cs="Arial"/>
          <w:color w:val="000000" w:themeColor="text1"/>
          <w:sz w:val="22"/>
          <w:szCs w:val="22"/>
        </w:rPr>
        <w:t xml:space="preserve"> oficio </w:t>
      </w:r>
      <w:r w:rsidRPr="000650DD">
        <w:rPr>
          <w:rFonts w:ascii="Palatino Linotype" w:hAnsi="Palatino Linotype" w:cs="Arial"/>
          <w:color w:val="000000" w:themeColor="text1"/>
          <w:sz w:val="22"/>
          <w:szCs w:val="22"/>
        </w:rPr>
        <w:t xml:space="preserve">número </w:t>
      </w:r>
      <w:r w:rsidRPr="000650DD">
        <w:rPr>
          <w:rFonts w:ascii="Palatino Linotype" w:hAnsi="Palatino Linotype" w:cs="Arial"/>
          <w:b/>
          <w:color w:val="000000" w:themeColor="text1"/>
          <w:sz w:val="22"/>
          <w:szCs w:val="22"/>
        </w:rPr>
        <w:t xml:space="preserve">00035/JLCAVT/IP/2022, </w:t>
      </w:r>
      <w:r w:rsidRPr="000650DD">
        <w:rPr>
          <w:rFonts w:ascii="Palatino Linotype" w:hAnsi="Palatino Linotype" w:cs="Arial"/>
          <w:color w:val="000000" w:themeColor="text1"/>
          <w:sz w:val="22"/>
          <w:szCs w:val="22"/>
        </w:rPr>
        <w:t>de siete (07) de octubre de 2022, signado por Titular de la Unidad de Transparencia, mediante el cual informa que el Comité de Transparencia determino la incompetencia al no ser la autoridad que pueda generar, transformar, adquirir</w:t>
      </w:r>
      <w:r w:rsidR="00230E6F" w:rsidRPr="000650DD">
        <w:rPr>
          <w:rFonts w:ascii="Palatino Linotype" w:hAnsi="Palatino Linotype" w:cs="Arial"/>
          <w:color w:val="000000" w:themeColor="text1"/>
          <w:sz w:val="22"/>
          <w:szCs w:val="22"/>
        </w:rPr>
        <w:t xml:space="preserve">, administrar, obtener o poseer en el ejercicio de sus funciones, así mimo en aras de privilegiar el Derecho de Acceso a la Información Pública sugiere dirigir la solicitud a la Procuraduría de la Defensa del Trabajo. </w:t>
      </w:r>
    </w:p>
    <w:p w14:paraId="4B434715" w14:textId="77777777" w:rsidR="00593D87" w:rsidRPr="000650DD" w:rsidRDefault="00593D87" w:rsidP="002C58DE">
      <w:pPr>
        <w:pStyle w:val="Prrafodelista"/>
        <w:tabs>
          <w:tab w:val="left" w:pos="567"/>
        </w:tabs>
        <w:spacing w:line="276" w:lineRule="auto"/>
        <w:ind w:left="567" w:right="900"/>
        <w:jc w:val="both"/>
        <w:rPr>
          <w:rFonts w:ascii="Palatino Linotype" w:hAnsi="Palatino Linotype" w:cs="Arial"/>
          <w:b/>
          <w:i/>
          <w:color w:val="000000" w:themeColor="text1"/>
          <w:sz w:val="22"/>
          <w:szCs w:val="22"/>
        </w:rPr>
      </w:pPr>
    </w:p>
    <w:p w14:paraId="6F0ABDF4" w14:textId="2AF81368" w:rsidR="009F09BC" w:rsidRPr="000650DD"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0650DD">
        <w:rPr>
          <w:rFonts w:ascii="Palatino Linotype" w:eastAsia="Times New Roman" w:hAnsi="Palatino Linotype" w:cs="Arial"/>
          <w:color w:val="000000" w:themeColor="text1"/>
          <w:lang w:val="es-ES"/>
        </w:rPr>
        <w:t>E</w:t>
      </w:r>
      <w:r w:rsidR="00593D87" w:rsidRPr="000650DD">
        <w:rPr>
          <w:rFonts w:ascii="Palatino Linotype" w:eastAsia="Times New Roman" w:hAnsi="Palatino Linotype" w:cs="Arial"/>
          <w:color w:val="000000" w:themeColor="text1"/>
          <w:lang w:val="es-ES"/>
        </w:rPr>
        <w:t xml:space="preserve">l </w:t>
      </w:r>
      <w:r w:rsidR="006921BE" w:rsidRPr="000650DD">
        <w:rPr>
          <w:rFonts w:ascii="Palatino Linotype" w:eastAsia="Times New Roman" w:hAnsi="Palatino Linotype" w:cs="Arial"/>
          <w:color w:val="000000" w:themeColor="text1"/>
          <w:lang w:val="es-ES"/>
        </w:rPr>
        <w:t>once</w:t>
      </w:r>
      <w:r w:rsidR="0089008F" w:rsidRPr="000650DD">
        <w:rPr>
          <w:rFonts w:ascii="Palatino Linotype" w:eastAsia="Times New Roman" w:hAnsi="Palatino Linotype" w:cs="Arial"/>
          <w:color w:val="000000" w:themeColor="text1"/>
          <w:lang w:val="es-ES"/>
        </w:rPr>
        <w:t xml:space="preserve"> </w:t>
      </w:r>
      <w:r w:rsidRPr="000650DD">
        <w:rPr>
          <w:rFonts w:ascii="Palatino Linotype" w:eastAsia="Times New Roman" w:hAnsi="Palatino Linotype" w:cs="Arial"/>
          <w:color w:val="000000" w:themeColor="text1"/>
          <w:lang w:val="es-ES"/>
        </w:rPr>
        <w:t>(</w:t>
      </w:r>
      <w:r w:rsidR="006921BE" w:rsidRPr="000650DD">
        <w:rPr>
          <w:rFonts w:ascii="Palatino Linotype" w:eastAsia="Times New Roman" w:hAnsi="Palatino Linotype" w:cs="Arial"/>
          <w:color w:val="000000" w:themeColor="text1"/>
          <w:lang w:val="es-ES"/>
        </w:rPr>
        <w:t>11) de noviembre</w:t>
      </w:r>
      <w:r w:rsidR="00B170E1" w:rsidRPr="000650DD">
        <w:rPr>
          <w:rFonts w:ascii="Palatino Linotype" w:eastAsia="Times New Roman" w:hAnsi="Palatino Linotype" w:cs="Arial"/>
          <w:color w:val="000000" w:themeColor="text1"/>
          <w:lang w:val="es-ES"/>
        </w:rPr>
        <w:t xml:space="preserve"> </w:t>
      </w:r>
      <w:r w:rsidRPr="000650DD">
        <w:rPr>
          <w:rFonts w:ascii="Palatino Linotype" w:eastAsia="Times New Roman" w:hAnsi="Palatino Linotype" w:cs="Arial"/>
          <w:color w:val="000000" w:themeColor="text1"/>
          <w:lang w:val="es-ES"/>
        </w:rPr>
        <w:t xml:space="preserve">de </w:t>
      </w:r>
      <w:r w:rsidR="004A6EA2" w:rsidRPr="000650DD">
        <w:rPr>
          <w:rFonts w:ascii="Palatino Linotype" w:eastAsia="Times New Roman" w:hAnsi="Palatino Linotype" w:cs="Arial"/>
          <w:color w:val="000000" w:themeColor="text1"/>
          <w:lang w:val="es-ES"/>
        </w:rPr>
        <w:t>dos mil veintidós</w:t>
      </w:r>
      <w:r w:rsidR="00FA5CDD" w:rsidRPr="000650DD">
        <w:rPr>
          <w:rFonts w:ascii="Palatino Linotype" w:eastAsia="Times New Roman" w:hAnsi="Palatino Linotype" w:cs="Arial"/>
          <w:color w:val="000000" w:themeColor="text1"/>
          <w:lang w:val="es-ES"/>
        </w:rPr>
        <w:t>, el</w:t>
      </w:r>
      <w:r w:rsidR="00FA5CDD" w:rsidRPr="000650DD">
        <w:rPr>
          <w:rFonts w:ascii="Palatino Linotype" w:eastAsia="Times New Roman" w:hAnsi="Palatino Linotype" w:cs="Arial"/>
          <w:b/>
          <w:color w:val="000000" w:themeColor="text1"/>
          <w:lang w:val="es-ES"/>
        </w:rPr>
        <w:t xml:space="preserve"> </w:t>
      </w:r>
      <w:r w:rsidR="00844A2B" w:rsidRPr="000650DD">
        <w:rPr>
          <w:rFonts w:ascii="Palatino Linotype" w:eastAsia="Times New Roman" w:hAnsi="Palatino Linotype" w:cs="Arial"/>
          <w:b/>
          <w:color w:val="000000" w:themeColor="text1"/>
          <w:lang w:val="es-ES"/>
        </w:rPr>
        <w:t>RECURRENTE</w:t>
      </w:r>
      <w:r w:rsidRPr="000650DD">
        <w:rPr>
          <w:rFonts w:ascii="Palatino Linotype" w:eastAsia="Times New Roman" w:hAnsi="Palatino Linotype" w:cs="Arial"/>
          <w:b/>
          <w:color w:val="000000" w:themeColor="text1"/>
          <w:lang w:val="es-ES"/>
        </w:rPr>
        <w:t xml:space="preserve"> </w:t>
      </w:r>
      <w:r w:rsidRPr="000650DD">
        <w:rPr>
          <w:rFonts w:ascii="Palatino Linotype" w:eastAsia="Times New Roman" w:hAnsi="Palatino Linotype" w:cs="Arial"/>
          <w:color w:val="000000" w:themeColor="text1"/>
          <w:lang w:val="es-ES"/>
        </w:rPr>
        <w:t xml:space="preserve">interpuso </w:t>
      </w:r>
      <w:r w:rsidR="002C4997" w:rsidRPr="000650DD">
        <w:rPr>
          <w:rFonts w:ascii="Palatino Linotype" w:eastAsia="Times New Roman" w:hAnsi="Palatino Linotype" w:cs="Arial"/>
          <w:color w:val="000000" w:themeColor="text1"/>
          <w:lang w:val="es-ES"/>
        </w:rPr>
        <w:t>e</w:t>
      </w:r>
      <w:r w:rsidRPr="000650DD">
        <w:rPr>
          <w:rFonts w:ascii="Palatino Linotype" w:eastAsia="Times New Roman" w:hAnsi="Palatino Linotype" w:cs="Arial"/>
          <w:color w:val="000000" w:themeColor="text1"/>
          <w:lang w:val="es-ES"/>
        </w:rPr>
        <w:t>l recurso de revisión en contra de la respuesta, manifestando l</w:t>
      </w:r>
      <w:r w:rsidR="002C4997" w:rsidRPr="000650DD">
        <w:rPr>
          <w:rFonts w:ascii="Palatino Linotype" w:eastAsia="Times New Roman" w:hAnsi="Palatino Linotype" w:cs="Arial"/>
          <w:color w:val="000000" w:themeColor="text1"/>
          <w:lang w:val="es-ES"/>
        </w:rPr>
        <w:t>a</w:t>
      </w:r>
      <w:r w:rsidRPr="000650DD">
        <w:rPr>
          <w:rFonts w:ascii="Palatino Linotype" w:eastAsia="Times New Roman" w:hAnsi="Palatino Linotype" w:cs="Arial"/>
          <w:color w:val="000000" w:themeColor="text1"/>
          <w:lang w:val="es-ES"/>
        </w:rPr>
        <w:t xml:space="preserve">s </w:t>
      </w:r>
      <w:r w:rsidR="002C4997" w:rsidRPr="000650DD">
        <w:rPr>
          <w:rFonts w:ascii="Palatino Linotype" w:eastAsia="Times New Roman" w:hAnsi="Palatino Linotype" w:cs="Arial"/>
          <w:color w:val="000000" w:themeColor="text1"/>
          <w:lang w:val="es-ES"/>
        </w:rPr>
        <w:t>siguientes</w:t>
      </w:r>
      <w:r w:rsidRPr="000650DD">
        <w:rPr>
          <w:rFonts w:ascii="Palatino Linotype" w:eastAsia="Times New Roman" w:hAnsi="Palatino Linotype" w:cs="Arial"/>
          <w:color w:val="000000" w:themeColor="text1"/>
          <w:lang w:val="es-ES"/>
        </w:rPr>
        <w:t xml:space="preserve"> razones o motivos de inconformidad:</w:t>
      </w:r>
    </w:p>
    <w:p w14:paraId="0A2624DE" w14:textId="77777777" w:rsidR="009F09BC" w:rsidRPr="000650DD" w:rsidRDefault="009F09BC" w:rsidP="00C27AE3">
      <w:pPr>
        <w:pStyle w:val="Prrafodelista"/>
        <w:tabs>
          <w:tab w:val="left" w:pos="0"/>
        </w:tabs>
        <w:spacing w:line="276" w:lineRule="auto"/>
        <w:ind w:left="0" w:right="49"/>
        <w:jc w:val="both"/>
        <w:rPr>
          <w:rFonts w:ascii="Palatino Linotype" w:hAnsi="Palatino Linotype" w:cs="Arial"/>
          <w:i/>
          <w:color w:val="000000" w:themeColor="text1"/>
        </w:rPr>
      </w:pPr>
    </w:p>
    <w:p w14:paraId="7461096D" w14:textId="7071DC97" w:rsidR="009F09BC" w:rsidRPr="000650DD" w:rsidRDefault="009F09BC" w:rsidP="00C27AE3">
      <w:pPr>
        <w:spacing w:line="276" w:lineRule="auto"/>
        <w:ind w:left="567" w:right="900"/>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0650DD">
        <w:rPr>
          <w:rStyle w:val="Ttulo2Car"/>
          <w:rFonts w:ascii="Palatino Linotype" w:hAnsi="Palatino Linotype"/>
          <w:b/>
          <w:color w:val="auto"/>
          <w:sz w:val="22"/>
          <w:szCs w:val="24"/>
        </w:rPr>
        <w:t>Acto impugnado</w:t>
      </w:r>
      <w:bookmarkEnd w:id="4"/>
      <w:r w:rsidRPr="000650DD">
        <w:rPr>
          <w:rStyle w:val="Ttulo2Car"/>
          <w:rFonts w:ascii="Palatino Linotype" w:hAnsi="Palatino Linotype"/>
          <w:b/>
          <w:color w:val="000000" w:themeColor="text1"/>
          <w:sz w:val="22"/>
          <w:szCs w:val="24"/>
        </w:rPr>
        <w:t xml:space="preserve">: </w:t>
      </w:r>
      <w:r w:rsidRPr="000650DD">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6921BE" w:rsidRPr="000650DD">
        <w:rPr>
          <w:rStyle w:val="Ttulo2Car"/>
          <w:rFonts w:ascii="Palatino Linotype" w:hAnsi="Palatino Linotype"/>
          <w:i/>
          <w:color w:val="000000" w:themeColor="text1"/>
          <w:sz w:val="22"/>
          <w:szCs w:val="24"/>
        </w:rPr>
        <w:t xml:space="preserve">La fundamentación no siento que responda mi cuestionamiento, ya que son instituciones que deben responder este tipo de preguntas laborales, ya que es es injerencia de patron-teabajador. Favor de otorgar la respuesta a: Las personas NO SINDICALIZADAS pueden gozar de las prestaciones de un </w:t>
      </w:r>
      <w:r w:rsidR="006921BE" w:rsidRPr="000650DD">
        <w:rPr>
          <w:rStyle w:val="Ttulo2Car"/>
          <w:rFonts w:ascii="Palatino Linotype" w:hAnsi="Palatino Linotype"/>
          <w:i/>
          <w:color w:val="000000" w:themeColor="text1"/>
          <w:sz w:val="22"/>
          <w:szCs w:val="24"/>
        </w:rPr>
        <w:lastRenderedPageBreak/>
        <w:t>contrato colectivo si, no ¿Por qué? Fundamento legal donde determine que las personas no sindicalizadas no pueden tener acceso a lo establecido en un contrato colectivo de trabajo. Fundamento legal donde determine que las personas no sindicalizadas si pueden tener acceso a lo establecido en un contrato colectivo de trabajo.</w:t>
      </w:r>
      <w:r w:rsidRPr="000650DD">
        <w:rPr>
          <w:rFonts w:ascii="Palatino Linotype" w:hAnsi="Palatino Linotype"/>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170E1" w:rsidRPr="000650DD">
        <w:rPr>
          <w:rFonts w:ascii="Palatino Linotype" w:hAnsi="Palatino Linotype"/>
          <w:sz w:val="22"/>
        </w:rPr>
        <w:t xml:space="preserve"> (Sic).</w:t>
      </w:r>
    </w:p>
    <w:p w14:paraId="49B37DF4" w14:textId="77777777" w:rsidR="009F09BC" w:rsidRPr="000650DD" w:rsidRDefault="009F09BC" w:rsidP="00C27AE3">
      <w:pPr>
        <w:spacing w:line="276" w:lineRule="auto"/>
        <w:ind w:right="900"/>
        <w:jc w:val="both"/>
        <w:rPr>
          <w:rFonts w:ascii="Palatino Linotype" w:hAnsi="Palatino Linotype"/>
          <w:i/>
          <w:color w:val="000000" w:themeColor="text1"/>
          <w:sz w:val="22"/>
        </w:rPr>
      </w:pPr>
    </w:p>
    <w:p w14:paraId="05F3CDF0" w14:textId="43EC15F3" w:rsidR="009F09BC" w:rsidRPr="000650DD" w:rsidRDefault="009F09BC" w:rsidP="00C27AE3">
      <w:pPr>
        <w:spacing w:line="276" w:lineRule="auto"/>
        <w:ind w:left="567" w:right="900"/>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0650DD">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0650DD">
        <w:rPr>
          <w:rFonts w:ascii="Palatino Linotype" w:hAnsi="Palatino Linotype"/>
          <w:b/>
          <w:color w:val="000000" w:themeColor="text1"/>
          <w:sz w:val="22"/>
        </w:rPr>
        <w:t xml:space="preserve"> </w:t>
      </w:r>
      <w:r w:rsidRPr="000650DD">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6921BE" w:rsidRPr="000650DD">
        <w:rPr>
          <w:rFonts w:ascii="Palatino Linotype" w:hAnsi="Palatino Linotype"/>
          <w:i/>
          <w:color w:val="000000" w:themeColor="text1"/>
          <w:sz w:val="22"/>
        </w:rPr>
        <w:t>No responden mis cuestionamientos en términos laborales</w:t>
      </w:r>
      <w:r w:rsidR="00B170E1" w:rsidRPr="000650DD">
        <w:rPr>
          <w:rFonts w:ascii="Palatino Linotype" w:hAnsi="Palatino Linotype"/>
          <w:i/>
          <w:color w:val="000000" w:themeColor="text1"/>
          <w:sz w:val="22"/>
        </w:rPr>
        <w:t>”</w:t>
      </w:r>
      <w:r w:rsidR="00B170E1" w:rsidRPr="000650DD">
        <w:rPr>
          <w:rFonts w:ascii="Palatino Linotype" w:hAnsi="Palatino Linotype"/>
          <w:color w:val="000000" w:themeColor="text1"/>
          <w:sz w:val="22"/>
        </w:rPr>
        <w:t xml:space="preserve"> (Sic).</w:t>
      </w:r>
    </w:p>
    <w:p w14:paraId="753030EC" w14:textId="77777777" w:rsidR="009F09BC" w:rsidRPr="000650DD" w:rsidRDefault="009F09BC" w:rsidP="00844A2B">
      <w:pPr>
        <w:spacing w:line="360" w:lineRule="auto"/>
        <w:jc w:val="both"/>
        <w:rPr>
          <w:rFonts w:ascii="Palatino Linotype" w:hAnsi="Palatino Linotype"/>
          <w:i/>
          <w:color w:val="000000" w:themeColor="text1"/>
        </w:rPr>
      </w:pPr>
    </w:p>
    <w:p w14:paraId="0460FC80" w14:textId="5B4D2645" w:rsidR="004208A9" w:rsidRPr="000650DD"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0650DD">
        <w:rPr>
          <w:rFonts w:ascii="Palatino Linotype" w:eastAsia="Calibri" w:hAnsi="Palatino Linotype" w:cs="Arial"/>
          <w:lang w:val="es-ES"/>
        </w:rPr>
        <w:t>La Comisionada</w:t>
      </w:r>
      <w:r w:rsidR="009F09BC" w:rsidRPr="000650DD">
        <w:rPr>
          <w:rFonts w:ascii="Palatino Linotype" w:eastAsia="Calibri" w:hAnsi="Palatino Linotype" w:cs="Arial"/>
          <w:lang w:val="es-ES"/>
        </w:rPr>
        <w:t xml:space="preserve"> Ponente con fundamento en lo dispuesto por el artículo 185 fracción II de la ley de la materia, a través del acuerdo de admisión de </w:t>
      </w:r>
      <w:r w:rsidR="006921BE" w:rsidRPr="000650DD">
        <w:rPr>
          <w:rFonts w:ascii="Palatino Linotype" w:eastAsia="Calibri" w:hAnsi="Palatino Linotype" w:cs="Arial"/>
          <w:lang w:val="es-ES"/>
        </w:rPr>
        <w:t>diecinueve</w:t>
      </w:r>
      <w:r w:rsidR="009469F0" w:rsidRPr="000650DD">
        <w:rPr>
          <w:rFonts w:ascii="Palatino Linotype" w:eastAsia="Calibri" w:hAnsi="Palatino Linotype" w:cs="Arial"/>
          <w:lang w:val="es-ES"/>
        </w:rPr>
        <w:t xml:space="preserve"> </w:t>
      </w:r>
      <w:r w:rsidR="009F09BC" w:rsidRPr="000650DD">
        <w:rPr>
          <w:rFonts w:ascii="Palatino Linotype" w:eastAsia="Calibri" w:hAnsi="Palatino Linotype" w:cs="Arial"/>
          <w:lang w:val="es-ES"/>
        </w:rPr>
        <w:t>(</w:t>
      </w:r>
      <w:r w:rsidR="006921BE" w:rsidRPr="000650DD">
        <w:rPr>
          <w:rFonts w:ascii="Palatino Linotype" w:eastAsia="Calibri" w:hAnsi="Palatino Linotype" w:cs="Arial"/>
          <w:lang w:val="es-ES"/>
        </w:rPr>
        <w:t>19) de octubre</w:t>
      </w:r>
      <w:r w:rsidR="00B170E1" w:rsidRPr="000650DD">
        <w:rPr>
          <w:rFonts w:ascii="Palatino Linotype" w:eastAsia="Calibri" w:hAnsi="Palatino Linotype" w:cs="Arial"/>
          <w:lang w:val="es-ES"/>
        </w:rPr>
        <w:t xml:space="preserve"> </w:t>
      </w:r>
      <w:r w:rsidR="004A6EA2" w:rsidRPr="000650DD">
        <w:rPr>
          <w:rFonts w:ascii="Palatino Linotype" w:eastAsia="Calibri" w:hAnsi="Palatino Linotype" w:cs="Arial"/>
          <w:lang w:val="es-ES"/>
        </w:rPr>
        <w:t>del dos mil veintidós</w:t>
      </w:r>
      <w:r w:rsidR="009F09BC" w:rsidRPr="000650DD">
        <w:rPr>
          <w:rFonts w:ascii="Palatino Linotype" w:eastAsia="Calibri" w:hAnsi="Palatino Linotype" w:cs="Arial"/>
          <w:lang w:val="es-ES"/>
        </w:rPr>
        <w:t xml:space="preserve">, puso a disposición de las partes el expediente electrónico </w:t>
      </w:r>
      <w:r w:rsidR="009F09BC" w:rsidRPr="000650DD">
        <w:rPr>
          <w:rFonts w:ascii="Palatino Linotype" w:eastAsia="Calibri" w:hAnsi="Palatino Linotype" w:cs="Arial"/>
        </w:rPr>
        <w:t xml:space="preserve">vía </w:t>
      </w:r>
      <w:r w:rsidR="009F09BC" w:rsidRPr="000650DD">
        <w:rPr>
          <w:rFonts w:ascii="Palatino Linotype" w:eastAsia="Calibri" w:hAnsi="Palatino Linotype" w:cs="Arial"/>
          <w:b/>
          <w:lang w:val="es-ES"/>
        </w:rPr>
        <w:t xml:space="preserve">SAIMEX </w:t>
      </w:r>
      <w:r w:rsidR="009F09BC" w:rsidRPr="000650D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0650DD">
        <w:rPr>
          <w:rFonts w:ascii="Palatino Linotype" w:eastAsia="Calibri" w:hAnsi="Palatino Linotype" w:cs="Arial"/>
          <w:b/>
          <w:lang w:val="es-ES"/>
        </w:rPr>
        <w:t>SUJETO OBLIGADO</w:t>
      </w:r>
      <w:r w:rsidR="009F09BC" w:rsidRPr="000650DD">
        <w:rPr>
          <w:rFonts w:ascii="Palatino Linotype" w:eastAsia="Calibri" w:hAnsi="Palatino Linotype" w:cs="Arial"/>
          <w:lang w:val="es-ES"/>
        </w:rPr>
        <w:t xml:space="preserve"> </w:t>
      </w:r>
      <w:r w:rsidR="004B6A35" w:rsidRPr="000650DD">
        <w:rPr>
          <w:rFonts w:ascii="Palatino Linotype" w:eastAsia="Calibri" w:hAnsi="Palatino Linotype" w:cs="Arial"/>
          <w:lang w:val="es-ES"/>
        </w:rPr>
        <w:t>presentara</w:t>
      </w:r>
      <w:r w:rsidR="009F09BC" w:rsidRPr="000650DD">
        <w:rPr>
          <w:rFonts w:ascii="Palatino Linotype" w:eastAsia="Calibri" w:hAnsi="Palatino Linotype" w:cs="Arial"/>
          <w:lang w:val="es-ES"/>
        </w:rPr>
        <w:t xml:space="preserve"> el</w:t>
      </w:r>
      <w:r w:rsidR="00E532FE" w:rsidRPr="000650DD">
        <w:rPr>
          <w:rFonts w:ascii="Palatino Linotype" w:eastAsia="Calibri" w:hAnsi="Palatino Linotype" w:cs="Arial"/>
          <w:lang w:val="es-ES"/>
        </w:rPr>
        <w:t xml:space="preserve"> </w:t>
      </w:r>
      <w:r w:rsidR="004208A9" w:rsidRPr="000650DD">
        <w:rPr>
          <w:rFonts w:ascii="Palatino Linotype" w:eastAsia="Calibri" w:hAnsi="Palatino Linotype" w:cs="Arial"/>
          <w:lang w:val="es-ES"/>
        </w:rPr>
        <w:t>Informe Justificado procedente.</w:t>
      </w:r>
    </w:p>
    <w:p w14:paraId="76F0EA31" w14:textId="77777777" w:rsidR="004208A9" w:rsidRPr="000650DD" w:rsidRDefault="004208A9" w:rsidP="004208A9">
      <w:pPr>
        <w:pStyle w:val="Prrafodelista"/>
        <w:tabs>
          <w:tab w:val="left" w:pos="567"/>
        </w:tabs>
        <w:spacing w:before="240" w:after="240" w:line="360" w:lineRule="auto"/>
        <w:ind w:left="0"/>
        <w:jc w:val="both"/>
        <w:rPr>
          <w:rFonts w:ascii="Palatino Linotype" w:hAnsi="Palatino Linotype"/>
          <w:i/>
        </w:rPr>
      </w:pPr>
    </w:p>
    <w:p w14:paraId="5027B4AD" w14:textId="5CCFF20C" w:rsidR="004208A9" w:rsidRPr="000650DD" w:rsidRDefault="004208A9" w:rsidP="00DD67D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0650DD">
        <w:rPr>
          <w:rFonts w:ascii="Palatino Linotype" w:eastAsia="Calibri" w:hAnsi="Palatino Linotype" w:cs="Arial"/>
          <w:color w:val="000000" w:themeColor="text1"/>
        </w:rPr>
        <w:t xml:space="preserve">De </w:t>
      </w:r>
      <w:r w:rsidRPr="000650DD">
        <w:rPr>
          <w:rFonts w:ascii="Palatino Linotype" w:hAnsi="Palatino Linotype"/>
          <w:color w:val="000000"/>
        </w:rPr>
        <w:t xml:space="preserve">las constancias que obran en el expediente digital del recurso de revisión que hoy se resuelve, se aprecia que el </w:t>
      </w:r>
      <w:r w:rsidRPr="000650DD">
        <w:rPr>
          <w:rFonts w:ascii="Palatino Linotype" w:hAnsi="Palatino Linotype"/>
          <w:b/>
          <w:color w:val="000000"/>
        </w:rPr>
        <w:t>SUJETO OBLIGADO</w:t>
      </w:r>
      <w:r w:rsidRPr="000650DD">
        <w:rPr>
          <w:rFonts w:ascii="Palatino Linotype" w:hAnsi="Palatino Linotype"/>
          <w:color w:val="000000"/>
        </w:rPr>
        <w:t xml:space="preserve"> rindi</w:t>
      </w:r>
      <w:r w:rsidR="006921BE" w:rsidRPr="000650DD">
        <w:rPr>
          <w:rFonts w:ascii="Palatino Linotype" w:hAnsi="Palatino Linotype"/>
          <w:color w:val="000000"/>
        </w:rPr>
        <w:t>ó informe justificado, el treinta y uno (31) de noviembre</w:t>
      </w:r>
      <w:r w:rsidRPr="000650DD">
        <w:rPr>
          <w:rFonts w:ascii="Palatino Linotype" w:hAnsi="Palatino Linotype"/>
          <w:color w:val="000000"/>
        </w:rPr>
        <w:t xml:space="preserve"> de dos mil veintidós, mismo que a continuación se describe:</w:t>
      </w:r>
    </w:p>
    <w:p w14:paraId="6B0FB5BE" w14:textId="50AB7252" w:rsidR="006921BE" w:rsidRPr="000650DD" w:rsidRDefault="006921BE" w:rsidP="00DD67DB">
      <w:pPr>
        <w:tabs>
          <w:tab w:val="left" w:pos="567"/>
        </w:tabs>
        <w:spacing w:before="240" w:after="240" w:line="276" w:lineRule="auto"/>
        <w:ind w:left="567" w:right="616"/>
        <w:jc w:val="both"/>
        <w:rPr>
          <w:rFonts w:ascii="Palatino Linotype" w:eastAsia="Calibri" w:hAnsi="Palatino Linotype" w:cs="Arial"/>
          <w:color w:val="000000" w:themeColor="text1"/>
          <w:sz w:val="22"/>
          <w:szCs w:val="22"/>
        </w:rPr>
      </w:pPr>
      <w:r w:rsidRPr="000650DD">
        <w:rPr>
          <w:rFonts w:ascii="Palatino Linotype" w:eastAsia="Calibri" w:hAnsi="Palatino Linotype" w:cs="Arial"/>
          <w:color w:val="000000" w:themeColor="text1"/>
          <w:sz w:val="22"/>
          <w:szCs w:val="22"/>
        </w:rPr>
        <w:t>“</w:t>
      </w:r>
      <w:r w:rsidRPr="000650DD">
        <w:rPr>
          <w:rFonts w:ascii="Palatino Linotype" w:eastAsia="Calibri" w:hAnsi="Palatino Linotype" w:cs="Arial"/>
          <w:b/>
          <w:i/>
          <w:color w:val="000000" w:themeColor="text1"/>
          <w:sz w:val="22"/>
          <w:szCs w:val="22"/>
        </w:rPr>
        <w:t>MANIFESTACIONES 15508-INFOEM-IP-PR-2022.pdf</w:t>
      </w:r>
      <w:r w:rsidRPr="000650DD">
        <w:rPr>
          <w:rFonts w:ascii="Palatino Linotype" w:eastAsia="Calibri" w:hAnsi="Palatino Linotype" w:cs="Arial"/>
          <w:color w:val="000000" w:themeColor="text1"/>
          <w:sz w:val="22"/>
          <w:szCs w:val="22"/>
        </w:rPr>
        <w:t>”</w:t>
      </w:r>
    </w:p>
    <w:p w14:paraId="7F6F4E13" w14:textId="280B3713" w:rsidR="00245465" w:rsidRPr="000650DD" w:rsidRDefault="00245465" w:rsidP="00245465">
      <w:pPr>
        <w:tabs>
          <w:tab w:val="left" w:pos="567"/>
        </w:tabs>
        <w:spacing w:before="240" w:after="240" w:line="276" w:lineRule="auto"/>
        <w:ind w:left="567" w:right="616"/>
        <w:jc w:val="both"/>
        <w:rPr>
          <w:rFonts w:ascii="Palatino Linotype" w:hAnsi="Palatino Linotype"/>
          <w:sz w:val="22"/>
          <w:szCs w:val="22"/>
        </w:rPr>
      </w:pPr>
      <w:r w:rsidRPr="000650DD">
        <w:rPr>
          <w:rFonts w:ascii="Palatino Linotype" w:eastAsia="Calibri" w:hAnsi="Palatino Linotype" w:cs="Arial"/>
          <w:color w:val="000000" w:themeColor="text1"/>
          <w:sz w:val="22"/>
          <w:szCs w:val="22"/>
        </w:rPr>
        <w:t>-</w:t>
      </w:r>
      <w:r w:rsidR="005A7ACC">
        <w:rPr>
          <w:rFonts w:ascii="Palatino Linotype" w:eastAsia="Calibri" w:hAnsi="Palatino Linotype" w:cs="Arial"/>
          <w:color w:val="000000" w:themeColor="text1"/>
          <w:sz w:val="22"/>
          <w:szCs w:val="22"/>
        </w:rPr>
        <w:t xml:space="preserve"> </w:t>
      </w:r>
      <w:r w:rsidRPr="000650DD">
        <w:rPr>
          <w:rFonts w:ascii="Palatino Linotype" w:hAnsi="Palatino Linotype"/>
          <w:sz w:val="22"/>
          <w:szCs w:val="22"/>
        </w:rPr>
        <w:t xml:space="preserve">Documento de dos fojas consistente en un oficio sin folio único de identificación, del treinta y uno (31) de octubre de 2022, mediante el cual reitera la respuesta inicial, así mismo señala las funciones de la Procuraduría de la Defensa del Trabajo. </w:t>
      </w:r>
    </w:p>
    <w:p w14:paraId="0F7A4613" w14:textId="514C93E4" w:rsidR="00844A2B" w:rsidRPr="000650DD" w:rsidRDefault="00245465" w:rsidP="001159B4">
      <w:pPr>
        <w:tabs>
          <w:tab w:val="left" w:pos="567"/>
        </w:tabs>
        <w:spacing w:before="240" w:after="240" w:line="276" w:lineRule="auto"/>
        <w:ind w:left="567" w:right="616"/>
        <w:jc w:val="both"/>
        <w:rPr>
          <w:rFonts w:ascii="Palatino Linotype" w:hAnsi="Palatino Linotype"/>
          <w:sz w:val="22"/>
          <w:szCs w:val="22"/>
        </w:rPr>
      </w:pPr>
      <w:r w:rsidRPr="000650DD">
        <w:rPr>
          <w:rFonts w:ascii="Palatino Linotype" w:hAnsi="Palatino Linotype"/>
          <w:sz w:val="22"/>
          <w:szCs w:val="22"/>
        </w:rPr>
        <w:lastRenderedPageBreak/>
        <w:t>-</w:t>
      </w:r>
      <w:r w:rsidR="005A7ACC">
        <w:rPr>
          <w:rFonts w:ascii="Palatino Linotype" w:hAnsi="Palatino Linotype"/>
          <w:sz w:val="22"/>
          <w:szCs w:val="22"/>
        </w:rPr>
        <w:t xml:space="preserve"> </w:t>
      </w:r>
      <w:r w:rsidRPr="000650DD">
        <w:rPr>
          <w:rFonts w:ascii="Palatino Linotype" w:hAnsi="Palatino Linotype"/>
          <w:sz w:val="22"/>
          <w:szCs w:val="22"/>
        </w:rPr>
        <w:t xml:space="preserve">Acta de la Cuadragésima Segunda Sesión Extraordinaria </w:t>
      </w:r>
      <w:r w:rsidR="001159B4" w:rsidRPr="000650DD">
        <w:rPr>
          <w:rFonts w:ascii="Palatino Linotype" w:hAnsi="Palatino Linotype"/>
          <w:sz w:val="22"/>
          <w:szCs w:val="22"/>
        </w:rPr>
        <w:t xml:space="preserve">2022 del Comité de Transparencia de la Junta Local de Conciliación y Arbitraje del Valle de Toluca. </w:t>
      </w:r>
    </w:p>
    <w:p w14:paraId="215172A4" w14:textId="77777777" w:rsidR="001159B4" w:rsidRPr="000650DD" w:rsidRDefault="001159B4" w:rsidP="001159B4">
      <w:pPr>
        <w:tabs>
          <w:tab w:val="left" w:pos="567"/>
        </w:tabs>
        <w:spacing w:before="240" w:after="240" w:line="276" w:lineRule="auto"/>
        <w:ind w:right="616"/>
        <w:jc w:val="both"/>
        <w:rPr>
          <w:rFonts w:ascii="Palatino Linotype" w:hAnsi="Palatino Linotype"/>
          <w:sz w:val="22"/>
          <w:szCs w:val="22"/>
        </w:rPr>
      </w:pPr>
    </w:p>
    <w:p w14:paraId="611C3E8D" w14:textId="4A665C98" w:rsidR="00844A2B" w:rsidRPr="005A7ACC" w:rsidRDefault="001159B4" w:rsidP="005A7ACC">
      <w:pPr>
        <w:pStyle w:val="Prrafodelista"/>
        <w:numPr>
          <w:ilvl w:val="0"/>
          <w:numId w:val="1"/>
        </w:numPr>
        <w:tabs>
          <w:tab w:val="left" w:pos="567"/>
        </w:tabs>
        <w:spacing w:after="240" w:line="360" w:lineRule="auto"/>
        <w:ind w:left="0" w:firstLine="0"/>
        <w:jc w:val="both"/>
        <w:rPr>
          <w:rFonts w:ascii="Palatino Linotype" w:hAnsi="Palatino Linotype"/>
        </w:rPr>
      </w:pPr>
      <w:r w:rsidRPr="005A7ACC">
        <w:rPr>
          <w:rFonts w:ascii="Palatino Linotype" w:hAnsi="Palatino Linotype"/>
        </w:rPr>
        <w:t>El dieciséis</w:t>
      </w:r>
      <w:r w:rsidR="004208A9" w:rsidRPr="005A7ACC">
        <w:rPr>
          <w:rFonts w:ascii="Palatino Linotype" w:hAnsi="Palatino Linotype"/>
        </w:rPr>
        <w:t xml:space="preserve"> </w:t>
      </w:r>
      <w:r w:rsidRPr="005A7ACC">
        <w:rPr>
          <w:rFonts w:ascii="Palatino Linotype" w:hAnsi="Palatino Linotype"/>
        </w:rPr>
        <w:t>(16) de junio</w:t>
      </w:r>
      <w:r w:rsidR="00BB1976" w:rsidRPr="005A7ACC">
        <w:rPr>
          <w:rFonts w:ascii="Palatino Linotype" w:hAnsi="Palatino Linotype"/>
        </w:rPr>
        <w:t xml:space="preserve"> </w:t>
      </w:r>
      <w:r w:rsidRPr="005A7ACC">
        <w:rPr>
          <w:rFonts w:ascii="Palatino Linotype" w:hAnsi="Palatino Linotype"/>
        </w:rPr>
        <w:t>de dos mil veintitrés,</w:t>
      </w:r>
      <w:r w:rsidR="00BA2B14" w:rsidRPr="005A7ACC">
        <w:rPr>
          <w:rFonts w:ascii="Palatino Linotype" w:hAnsi="Palatino Linotype"/>
        </w:rPr>
        <w:t xml:space="preserve"> </w:t>
      </w:r>
      <w:r w:rsidR="00316ACD" w:rsidRPr="005A7ACC">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0650DD"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0650DD" w:rsidRDefault="009E2B29" w:rsidP="005A7ACC">
      <w:pPr>
        <w:pStyle w:val="Prrafodelista"/>
        <w:numPr>
          <w:ilvl w:val="0"/>
          <w:numId w:val="1"/>
        </w:numPr>
        <w:tabs>
          <w:tab w:val="left" w:pos="567"/>
        </w:tabs>
        <w:spacing w:after="240" w:line="360" w:lineRule="auto"/>
        <w:ind w:left="0" w:firstLine="0"/>
        <w:jc w:val="both"/>
        <w:rPr>
          <w:rFonts w:ascii="Palatino Linotype" w:hAnsi="Palatino Linotype"/>
        </w:rPr>
      </w:pPr>
      <w:r w:rsidRPr="000650DD">
        <w:rPr>
          <w:rFonts w:ascii="Palatino Linotype" w:eastAsia="MS Mincho" w:hAnsi="Palatino Linotype"/>
        </w:rPr>
        <w:t>Este Organismo G</w:t>
      </w:r>
      <w:r w:rsidR="00316ACD" w:rsidRPr="000650DD">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0650DD"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0650DD" w:rsidRDefault="00316ACD" w:rsidP="005A7AC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650DD">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0650DD"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0650DD" w:rsidRDefault="00316ACD" w:rsidP="005A7AC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650DD">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0650DD"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0650DD" w:rsidRDefault="009E2B29" w:rsidP="005A7AC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650DD">
        <w:rPr>
          <w:rFonts w:ascii="Palatino Linotype" w:eastAsia="MS Mincho" w:hAnsi="Palatino Linotype"/>
        </w:rPr>
        <w:t>En ese sentido, el L</w:t>
      </w:r>
      <w:r w:rsidR="00316ACD" w:rsidRPr="000650DD">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0650DD"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0650DD" w:rsidRDefault="00316ACD" w:rsidP="005A7AC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650DD">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0650DD">
        <w:rPr>
          <w:rFonts w:ascii="Palatino Linotype" w:eastAsia="MS Mincho" w:hAnsi="Palatino Linotype"/>
        </w:rPr>
        <w:t>os a los siguientes criterios:</w:t>
      </w:r>
    </w:p>
    <w:p w14:paraId="4BF5121B" w14:textId="77777777" w:rsidR="00844A2B" w:rsidRPr="000650DD" w:rsidRDefault="00844A2B" w:rsidP="00844A2B">
      <w:pPr>
        <w:pStyle w:val="Prrafodelista"/>
        <w:tabs>
          <w:tab w:val="left" w:pos="567"/>
        </w:tabs>
        <w:spacing w:before="240" w:after="240"/>
        <w:ind w:left="0"/>
        <w:jc w:val="both"/>
        <w:rPr>
          <w:rFonts w:ascii="Palatino Linotype" w:hAnsi="Palatino Linotype"/>
        </w:rPr>
      </w:pPr>
    </w:p>
    <w:p w14:paraId="13C478DE" w14:textId="77777777" w:rsidR="00316ACD" w:rsidRPr="000650D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b/>
          <w:sz w:val="22"/>
        </w:rPr>
        <w:t>a)</w:t>
      </w:r>
      <w:r w:rsidR="00316ACD" w:rsidRPr="000650DD">
        <w:rPr>
          <w:rFonts w:ascii="Palatino Linotype" w:eastAsia="MS Mincho" w:hAnsi="Palatino Linotype"/>
          <w:b/>
          <w:sz w:val="22"/>
        </w:rPr>
        <w:t xml:space="preserve"> Complejidad del asunto:</w:t>
      </w:r>
      <w:r w:rsidR="00316ACD" w:rsidRPr="000650DD">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0650D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b/>
          <w:sz w:val="22"/>
        </w:rPr>
        <w:t xml:space="preserve">b) </w:t>
      </w:r>
      <w:r w:rsidR="00316ACD" w:rsidRPr="000650DD">
        <w:rPr>
          <w:rFonts w:ascii="Palatino Linotype" w:eastAsia="MS Mincho" w:hAnsi="Palatino Linotype"/>
          <w:b/>
          <w:sz w:val="22"/>
        </w:rPr>
        <w:t>Actividad Procesal del interesado:</w:t>
      </w:r>
      <w:r w:rsidR="00316ACD" w:rsidRPr="000650DD">
        <w:rPr>
          <w:rFonts w:ascii="Palatino Linotype" w:eastAsia="MS Mincho" w:hAnsi="Palatino Linotype"/>
          <w:sz w:val="22"/>
        </w:rPr>
        <w:t xml:space="preserve"> Acciones u omisiones del interesado.</w:t>
      </w:r>
    </w:p>
    <w:p w14:paraId="682CA4C2" w14:textId="77777777" w:rsidR="00316ACD" w:rsidRPr="000650DD"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b/>
          <w:sz w:val="22"/>
        </w:rPr>
        <w:t>c)</w:t>
      </w:r>
      <w:r w:rsidR="00316ACD" w:rsidRPr="000650DD">
        <w:rPr>
          <w:rFonts w:ascii="Palatino Linotype" w:eastAsia="MS Mincho" w:hAnsi="Palatino Linotype"/>
          <w:b/>
          <w:sz w:val="22"/>
        </w:rPr>
        <w:t xml:space="preserve"> Conducta de la Autoridad:</w:t>
      </w:r>
      <w:r w:rsidR="00316ACD" w:rsidRPr="000650DD">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0650DD"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b/>
          <w:sz w:val="22"/>
        </w:rPr>
        <w:t>d) La afectación generada en la situación jurídica de la persona involucrada en el proceso:</w:t>
      </w:r>
      <w:r w:rsidRPr="000650DD">
        <w:rPr>
          <w:rFonts w:ascii="Palatino Linotype" w:eastAsia="MS Mincho" w:hAnsi="Palatino Linotype"/>
          <w:sz w:val="22"/>
        </w:rPr>
        <w:t xml:space="preserve"> Violación a sus derechos humanos.</w:t>
      </w:r>
    </w:p>
    <w:p w14:paraId="53A6B99B" w14:textId="77777777" w:rsidR="00316ACD" w:rsidRPr="000650D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0650DD" w:rsidRDefault="00316ACD" w:rsidP="005A7ACC">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650DD">
        <w:rPr>
          <w:rFonts w:ascii="Palatino Linotype" w:eastAsia="MS Mincho" w:hAnsi="Palatino Linotype"/>
        </w:rPr>
        <w:lastRenderedPageBreak/>
        <w:t>relación con la actuación del funcionario, como ha acontecido en el caso que nos ocupa.</w:t>
      </w:r>
    </w:p>
    <w:p w14:paraId="20EF2275" w14:textId="77777777" w:rsidR="00316ACD" w:rsidRPr="000650D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0650DD" w:rsidRDefault="00316ACD"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0650DD"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0650DD" w:rsidRDefault="00316ACD"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0650DD">
        <w:rPr>
          <w:rFonts w:ascii="Palatino Linotype" w:eastAsia="MS Mincho" w:hAnsi="Palatino Linotype"/>
        </w:rPr>
        <w:t>se les garantice su Derecho de Acceso a la I</w:t>
      </w:r>
      <w:r w:rsidRPr="000650DD">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0650DD" w:rsidRDefault="00844A2B" w:rsidP="00844A2B">
      <w:pPr>
        <w:rPr>
          <w:rFonts w:ascii="Palatino Linotype" w:eastAsia="MS Mincho" w:hAnsi="Palatino Linotype"/>
        </w:rPr>
      </w:pPr>
    </w:p>
    <w:p w14:paraId="0C0EBA5F" w14:textId="77777777" w:rsidR="00316ACD" w:rsidRPr="000650DD" w:rsidRDefault="00316ACD"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0650DD"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0650D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sz w:val="22"/>
        </w:rPr>
        <w:t>“</w:t>
      </w:r>
      <w:r w:rsidRPr="000650DD">
        <w:rPr>
          <w:rFonts w:ascii="Palatino Linotype" w:eastAsia="MS Mincho" w:hAnsi="Palatino Linotype"/>
          <w:b/>
          <w:sz w:val="22"/>
        </w:rPr>
        <w:t>PLAZO RAZONABLE PARA RESOLVER. DIMENSIÓN Y EFECTOS DE ESTE CONCEPTO CUANDO SE ADUCE EXCESIVA CARGA DE TRABAJO.</w:t>
      </w:r>
      <w:r w:rsidRPr="000650DD">
        <w:rPr>
          <w:rFonts w:ascii="Palatino Linotype" w:eastAsia="MS Mincho" w:hAnsi="Palatino Linotype"/>
          <w:sz w:val="22"/>
        </w:rPr>
        <w:t>” consultable en el Seminario Judicial de la Federación y su gaceta, con el registro digital 2002351.</w:t>
      </w:r>
    </w:p>
    <w:p w14:paraId="623E7000" w14:textId="77777777" w:rsidR="00316ACD" w:rsidRPr="000650D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sz w:val="22"/>
        </w:rPr>
        <w:t xml:space="preserve"> </w:t>
      </w:r>
    </w:p>
    <w:p w14:paraId="105B953B" w14:textId="77777777" w:rsidR="00316ACD" w:rsidRPr="000650DD"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650DD">
        <w:rPr>
          <w:rFonts w:ascii="Palatino Linotype" w:eastAsia="MS Mincho" w:hAnsi="Palatino Linotype"/>
          <w:sz w:val="22"/>
        </w:rPr>
        <w:t>“</w:t>
      </w:r>
      <w:r w:rsidRPr="000650DD">
        <w:rPr>
          <w:rFonts w:ascii="Palatino Linotype" w:eastAsia="MS Mincho" w:hAnsi="Palatino Linotype"/>
          <w:b/>
          <w:sz w:val="22"/>
        </w:rPr>
        <w:t>PLAZO RAZONABLE PARA RESOLVER. CONCEPTO Y ELEMENTOS QUE LO INTEGRAN A LA LUZ DEL DERECHO INTERNACIONAL DE LOS DERECHOS HUMANOS.</w:t>
      </w:r>
      <w:r w:rsidRPr="000650DD">
        <w:rPr>
          <w:rFonts w:ascii="Palatino Linotype" w:eastAsia="MS Mincho" w:hAnsi="Palatino Linotype"/>
          <w:sz w:val="22"/>
        </w:rPr>
        <w:t>”, visible en el Seminario Judicial de la Federación y su gaceta, con el registro digital 2002350.</w:t>
      </w:r>
    </w:p>
    <w:p w14:paraId="2478BB1F" w14:textId="77777777" w:rsidR="00316ACD" w:rsidRPr="000650DD"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2F7D768" w14:textId="0DB1AF9C" w:rsidR="004208A9" w:rsidRPr="000650DD" w:rsidRDefault="00844A2B"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Por ello, este Organismo G</w:t>
      </w:r>
      <w:r w:rsidR="00316ACD" w:rsidRPr="000650DD">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30EC0A3" w14:textId="77777777" w:rsidR="00840D1C" w:rsidRPr="000650DD"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66782733" w14:textId="57B395D0" w:rsidR="00840D1C" w:rsidRPr="000650DD" w:rsidRDefault="001159B4"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hAnsi="Palatino Linotype"/>
        </w:rPr>
        <w:t>El treinta y uno (31) de octubre de dos mil veintitrés</w:t>
      </w:r>
      <w:r w:rsidR="00840D1C" w:rsidRPr="000650DD">
        <w:rPr>
          <w:rFonts w:ascii="Palatino Linotype" w:hAnsi="Palatino Linotype"/>
        </w:rPr>
        <w:t xml:space="preserve">, este Organismo Garante puso a la vista del </w:t>
      </w:r>
      <w:r w:rsidR="00840D1C" w:rsidRPr="000650DD">
        <w:rPr>
          <w:rFonts w:ascii="Palatino Linotype" w:hAnsi="Palatino Linotype"/>
          <w:b/>
        </w:rPr>
        <w:t>RECURRENTE</w:t>
      </w:r>
      <w:r w:rsidR="00840D1C" w:rsidRPr="000650DD">
        <w:rPr>
          <w:rFonts w:ascii="Palatino Linotype" w:hAnsi="Palatino Linotype"/>
        </w:rPr>
        <w:t xml:space="preserve"> el informe justificado presentado por el </w:t>
      </w:r>
      <w:r w:rsidR="00840D1C" w:rsidRPr="000650DD">
        <w:rPr>
          <w:rFonts w:ascii="Palatino Linotype" w:hAnsi="Palatino Linotype"/>
          <w:b/>
        </w:rPr>
        <w:t>SUJETO OBLIGADO</w:t>
      </w:r>
      <w:r w:rsidR="00840D1C" w:rsidRPr="000650DD">
        <w:rPr>
          <w:rFonts w:ascii="Palatino Linotype" w:hAnsi="Palatino Linotype"/>
        </w:rPr>
        <w:t>, concediéndole un plazo de tres días hábiles para que manifestara lo que a su derecho convenga. No obstante, se hace constar que el particular no ejerció su derecho de réplica sobre los nuevos contenidos.</w:t>
      </w:r>
    </w:p>
    <w:p w14:paraId="78011A15" w14:textId="77777777" w:rsidR="00840D1C" w:rsidRPr="000650DD"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59C5E59D" w:rsidR="00844A2B" w:rsidRPr="000650DD" w:rsidRDefault="004208A9" w:rsidP="005A7A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650DD">
        <w:rPr>
          <w:rFonts w:ascii="Palatino Linotype" w:eastAsia="MS Mincho" w:hAnsi="Palatino Linotype"/>
        </w:rPr>
        <w:t xml:space="preserve">Finalmente, </w:t>
      </w:r>
      <w:r w:rsidR="00316ACD" w:rsidRPr="000650DD">
        <w:rPr>
          <w:rFonts w:ascii="Palatino Linotype" w:hAnsi="Palatino Linotype"/>
          <w:color w:val="000000" w:themeColor="text1"/>
        </w:rPr>
        <w:t>la</w:t>
      </w:r>
      <w:r w:rsidR="00316ACD" w:rsidRPr="000650DD">
        <w:rPr>
          <w:rFonts w:ascii="Palatino Linotype" w:hAnsi="Palatino Linotype"/>
          <w:b/>
          <w:color w:val="000000" w:themeColor="text1"/>
        </w:rPr>
        <w:t xml:space="preserve"> Comisionada María del Rosario Mejía Ayala</w:t>
      </w:r>
      <w:r w:rsidR="005A7ACC">
        <w:rPr>
          <w:rFonts w:ascii="Palatino Linotype" w:hAnsi="Palatino Linotype"/>
          <w:b/>
          <w:color w:val="000000" w:themeColor="text1"/>
        </w:rPr>
        <w:t>,</w:t>
      </w:r>
      <w:r w:rsidR="00316ACD" w:rsidRPr="000650DD">
        <w:rPr>
          <w:rFonts w:ascii="Palatino Linotype" w:hAnsi="Palatino Linotype"/>
          <w:color w:val="000000" w:themeColor="text1"/>
        </w:rPr>
        <w:t xml:space="preserve"> decretó el cierre de </w:t>
      </w:r>
      <w:r w:rsidR="00844A2B" w:rsidRPr="000650DD">
        <w:rPr>
          <w:rFonts w:ascii="Palatino Linotype" w:hAnsi="Palatino Linotype"/>
          <w:color w:val="000000" w:themeColor="text1"/>
        </w:rPr>
        <w:t xml:space="preserve">instrucción mediante acuerdo del </w:t>
      </w:r>
      <w:r w:rsidRPr="000650DD">
        <w:rPr>
          <w:rFonts w:ascii="Palatino Linotype" w:hAnsi="Palatino Linotype"/>
          <w:color w:val="000000" w:themeColor="text1"/>
        </w:rPr>
        <w:t>siete (07</w:t>
      </w:r>
      <w:r w:rsidR="00316ACD" w:rsidRPr="000650DD">
        <w:rPr>
          <w:rFonts w:ascii="Palatino Linotype" w:hAnsi="Palatino Linotype"/>
          <w:color w:val="000000" w:themeColor="text1"/>
        </w:rPr>
        <w:t xml:space="preserve">) de </w:t>
      </w:r>
      <w:r w:rsidR="001159B4" w:rsidRPr="000650DD">
        <w:rPr>
          <w:rFonts w:ascii="Palatino Linotype" w:hAnsi="Palatino Linotype"/>
          <w:color w:val="000000" w:themeColor="text1"/>
        </w:rPr>
        <w:t>noviembre</w:t>
      </w:r>
      <w:r w:rsidR="00BB1976" w:rsidRPr="000650DD">
        <w:rPr>
          <w:rFonts w:ascii="Palatino Linotype" w:hAnsi="Palatino Linotype"/>
          <w:color w:val="000000" w:themeColor="text1"/>
        </w:rPr>
        <w:t xml:space="preserve"> </w:t>
      </w:r>
      <w:r w:rsidR="001159B4" w:rsidRPr="000650DD">
        <w:rPr>
          <w:rFonts w:ascii="Palatino Linotype" w:hAnsi="Palatino Linotype"/>
          <w:color w:val="000000" w:themeColor="text1"/>
        </w:rPr>
        <w:t xml:space="preserve">de dos mil </w:t>
      </w:r>
      <w:r w:rsidR="000650DD" w:rsidRPr="000650DD">
        <w:rPr>
          <w:rFonts w:ascii="Palatino Linotype" w:hAnsi="Palatino Linotype"/>
          <w:color w:val="000000" w:themeColor="text1"/>
        </w:rPr>
        <w:t>veintitrés</w:t>
      </w:r>
      <w:r w:rsidRPr="000650DD">
        <w:rPr>
          <w:rFonts w:ascii="Palatino Linotype" w:hAnsi="Palatino Linotype"/>
          <w:color w:val="000000" w:themeColor="text1"/>
        </w:rPr>
        <w:t>.</w:t>
      </w:r>
      <w:r w:rsidR="00316ACD" w:rsidRPr="000650DD">
        <w:rPr>
          <w:rFonts w:ascii="Palatino Linotype" w:hAnsi="Palatino Linotype"/>
          <w:color w:val="000000" w:themeColor="text1"/>
        </w:rPr>
        <w:t xml:space="preserve"> </w:t>
      </w:r>
      <w:r w:rsidR="00844A2B" w:rsidRPr="000650DD">
        <w:rPr>
          <w:rFonts w:ascii="Palatino Linotype" w:hAnsi="Palatino Linotype"/>
          <w:color w:val="000000" w:themeColor="text1"/>
        </w:rPr>
        <w:t>---------</w:t>
      </w:r>
      <w:bookmarkStart w:id="134" w:name="_Toc491791302"/>
      <w:bookmarkStart w:id="135" w:name="_Toc83128578"/>
      <w:r w:rsidR="000650DD" w:rsidRPr="000650DD">
        <w:rPr>
          <w:rFonts w:ascii="Palatino Linotype" w:hAnsi="Palatino Linotype"/>
          <w:color w:val="000000" w:themeColor="text1"/>
        </w:rPr>
        <w:t>--------------------------------------------------------------------------------------------------------------------------------------------------------------------------------------------------------------</w:t>
      </w:r>
    </w:p>
    <w:p w14:paraId="21E7B787" w14:textId="77777777" w:rsidR="00A806D0" w:rsidRPr="000650DD"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77777777" w:rsidR="009F09BC" w:rsidRPr="000650DD" w:rsidRDefault="009F09BC" w:rsidP="00E37F0A">
      <w:pPr>
        <w:pStyle w:val="Ttulo1"/>
        <w:spacing w:line="360" w:lineRule="auto"/>
        <w:jc w:val="center"/>
        <w:rPr>
          <w:rFonts w:ascii="Palatino Linotype" w:hAnsi="Palatino Linotype"/>
          <w:b/>
          <w:color w:val="000000" w:themeColor="text1"/>
          <w:sz w:val="24"/>
          <w:szCs w:val="24"/>
        </w:rPr>
      </w:pPr>
      <w:r w:rsidRPr="000650DD">
        <w:rPr>
          <w:rFonts w:ascii="Palatino Linotype" w:hAnsi="Palatino Linotype"/>
          <w:b/>
          <w:color w:val="000000" w:themeColor="text1"/>
          <w:sz w:val="24"/>
          <w:szCs w:val="24"/>
        </w:rPr>
        <w:lastRenderedPageBreak/>
        <w:t>CONSIDERANDO</w:t>
      </w:r>
      <w:bookmarkEnd w:id="134"/>
      <w:bookmarkEnd w:id="135"/>
    </w:p>
    <w:p w14:paraId="29C745B9" w14:textId="77777777" w:rsidR="009F09BC" w:rsidRPr="000650DD" w:rsidRDefault="009F09BC" w:rsidP="00E37F0A">
      <w:pPr>
        <w:spacing w:line="360" w:lineRule="auto"/>
        <w:rPr>
          <w:rFonts w:ascii="Palatino Linotype" w:hAnsi="Palatino Linotype"/>
          <w:lang w:val="es-MX" w:eastAsia="en-US"/>
        </w:rPr>
      </w:pPr>
    </w:p>
    <w:p w14:paraId="5CCA816E" w14:textId="77777777" w:rsidR="009F09BC" w:rsidRPr="000650DD" w:rsidRDefault="009F09BC" w:rsidP="00E37F0A">
      <w:pPr>
        <w:pStyle w:val="Ttulo2"/>
        <w:spacing w:line="360" w:lineRule="auto"/>
        <w:rPr>
          <w:rFonts w:ascii="Palatino Linotype" w:hAnsi="Palatino Linotype"/>
          <w:b/>
          <w:color w:val="auto"/>
          <w:sz w:val="24"/>
          <w:szCs w:val="24"/>
        </w:rPr>
      </w:pPr>
      <w:bookmarkStart w:id="136" w:name="_Toc491791303"/>
      <w:bookmarkStart w:id="137" w:name="_Toc83128579"/>
      <w:r w:rsidRPr="000650DD">
        <w:rPr>
          <w:rFonts w:ascii="Palatino Linotype" w:hAnsi="Palatino Linotype"/>
          <w:b/>
          <w:color w:val="auto"/>
          <w:sz w:val="24"/>
          <w:szCs w:val="24"/>
        </w:rPr>
        <w:t>PRIMERO. De la competencia</w:t>
      </w:r>
      <w:bookmarkEnd w:id="136"/>
      <w:bookmarkEnd w:id="137"/>
    </w:p>
    <w:p w14:paraId="69ED1CCF" w14:textId="77777777" w:rsidR="00AA1E3F" w:rsidRPr="000650DD" w:rsidRDefault="00AA1E3F" w:rsidP="005A7ACC">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0650DD">
        <w:rPr>
          <w:rFonts w:ascii="Palatino Linotype" w:hAnsi="Palatino Linotype"/>
          <w:color w:val="000000" w:themeColor="text1"/>
        </w:rPr>
        <w:t xml:space="preserve">Este </w:t>
      </w:r>
      <w:r w:rsidR="00E61E1E" w:rsidRPr="000650DD">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0650DD"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0650DD" w:rsidRDefault="009F09BC" w:rsidP="00E37F0A">
      <w:pPr>
        <w:pStyle w:val="Ttulo2"/>
        <w:spacing w:line="360" w:lineRule="auto"/>
        <w:rPr>
          <w:rFonts w:ascii="Palatino Linotype" w:hAnsi="Palatino Linotype"/>
          <w:b/>
          <w:color w:val="auto"/>
          <w:sz w:val="24"/>
          <w:szCs w:val="24"/>
        </w:rPr>
      </w:pPr>
      <w:bookmarkStart w:id="138" w:name="_Toc491791304"/>
      <w:bookmarkStart w:id="139" w:name="_Toc83128580"/>
      <w:r w:rsidRPr="000650DD">
        <w:rPr>
          <w:rFonts w:ascii="Palatino Linotype" w:hAnsi="Palatino Linotype"/>
          <w:b/>
          <w:color w:val="auto"/>
          <w:sz w:val="24"/>
          <w:szCs w:val="24"/>
        </w:rPr>
        <w:t>SEGUNDO. De la oportunidad y procedencia.</w:t>
      </w:r>
      <w:bookmarkEnd w:id="138"/>
      <w:bookmarkEnd w:id="139"/>
    </w:p>
    <w:p w14:paraId="0BB00610" w14:textId="30430A86" w:rsidR="00E101E2" w:rsidRPr="000650DD" w:rsidRDefault="00425842" w:rsidP="005A7ACC">
      <w:pPr>
        <w:pStyle w:val="Prrafodelista"/>
        <w:numPr>
          <w:ilvl w:val="0"/>
          <w:numId w:val="1"/>
        </w:numPr>
        <w:tabs>
          <w:tab w:val="left" w:pos="567"/>
        </w:tabs>
        <w:spacing w:line="360" w:lineRule="auto"/>
        <w:ind w:left="0" w:firstLine="0"/>
        <w:jc w:val="both"/>
        <w:rPr>
          <w:rFonts w:ascii="Palatino Linotype" w:hAnsi="Palatino Linotype"/>
        </w:rPr>
      </w:pPr>
      <w:r w:rsidRPr="000650DD">
        <w:rPr>
          <w:rFonts w:ascii="Palatino Linotype" w:eastAsia="Calibri" w:hAnsi="Palatino Linotype" w:cs="Arial"/>
        </w:rPr>
        <w:t>El</w:t>
      </w:r>
      <w:r w:rsidR="00AD63B4" w:rsidRPr="000650DD">
        <w:rPr>
          <w:rFonts w:ascii="Palatino Linotype" w:eastAsia="Calibri" w:hAnsi="Palatino Linotype" w:cs="Arial"/>
        </w:rPr>
        <w:t xml:space="preserve"> </w:t>
      </w:r>
      <w:r w:rsidR="009F09BC" w:rsidRPr="000650DD">
        <w:rPr>
          <w:rFonts w:ascii="Palatino Linotype" w:eastAsia="Calibri" w:hAnsi="Palatino Linotype" w:cs="Arial"/>
        </w:rPr>
        <w:t xml:space="preserve">medio de impugnación fue presentado a través del </w:t>
      </w:r>
      <w:r w:rsidR="009F09BC" w:rsidRPr="000650DD">
        <w:rPr>
          <w:rFonts w:ascii="Palatino Linotype" w:eastAsia="Calibri" w:hAnsi="Palatino Linotype" w:cs="Arial"/>
          <w:b/>
        </w:rPr>
        <w:t>SAIMEX,</w:t>
      </w:r>
      <w:r w:rsidR="009F09BC" w:rsidRPr="000650D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0650DD">
        <w:rPr>
          <w:rFonts w:ascii="Palatino Linotype" w:eastAsia="Calibri" w:hAnsi="Palatino Linotype" w:cs="Arial"/>
          <w:b/>
        </w:rPr>
        <w:t>SUJETO OBLIGADO</w:t>
      </w:r>
      <w:r w:rsidRPr="000650DD">
        <w:rPr>
          <w:rFonts w:ascii="Palatino Linotype" w:eastAsia="Calibri" w:hAnsi="Palatino Linotype" w:cs="Arial"/>
        </w:rPr>
        <w:t xml:space="preserve"> entregó su</w:t>
      </w:r>
      <w:r w:rsidR="009F09BC" w:rsidRPr="000650DD">
        <w:rPr>
          <w:rFonts w:ascii="Palatino Linotype" w:eastAsia="Calibri" w:hAnsi="Palatino Linotype" w:cs="Arial"/>
        </w:rPr>
        <w:t xml:space="preserve"> respuesta </w:t>
      </w:r>
      <w:r w:rsidRPr="000650DD">
        <w:rPr>
          <w:rFonts w:ascii="Palatino Linotype" w:eastAsia="Calibri" w:hAnsi="Palatino Linotype" w:cs="Arial"/>
        </w:rPr>
        <w:t>e</w:t>
      </w:r>
      <w:r w:rsidR="001159B4" w:rsidRPr="000650DD">
        <w:rPr>
          <w:rFonts w:ascii="Palatino Linotype" w:eastAsia="Calibri" w:hAnsi="Palatino Linotype" w:cs="Arial"/>
        </w:rPr>
        <w:t>l diez</w:t>
      </w:r>
      <w:r w:rsidR="004208A9" w:rsidRPr="000650DD">
        <w:rPr>
          <w:rFonts w:ascii="Palatino Linotype" w:eastAsia="Calibri" w:hAnsi="Palatino Linotype" w:cs="Arial"/>
        </w:rPr>
        <w:t xml:space="preserve"> </w:t>
      </w:r>
      <w:r w:rsidRPr="000650DD">
        <w:rPr>
          <w:rFonts w:ascii="Palatino Linotype" w:eastAsia="Calibri" w:hAnsi="Palatino Linotype" w:cs="Arial"/>
        </w:rPr>
        <w:t>(</w:t>
      </w:r>
      <w:r w:rsidR="001159B4" w:rsidRPr="000650DD">
        <w:rPr>
          <w:rFonts w:ascii="Palatino Linotype" w:eastAsia="Calibri" w:hAnsi="Palatino Linotype" w:cs="Arial"/>
        </w:rPr>
        <w:t>10) de octubre</w:t>
      </w:r>
      <w:r w:rsidR="00502A6A" w:rsidRPr="000650DD">
        <w:rPr>
          <w:rFonts w:ascii="Palatino Linotype" w:eastAsia="Calibri" w:hAnsi="Palatino Linotype" w:cs="Arial"/>
        </w:rPr>
        <w:t xml:space="preserve"> </w:t>
      </w:r>
      <w:r w:rsidRPr="000650DD">
        <w:rPr>
          <w:rFonts w:ascii="Palatino Linotype" w:eastAsia="Calibri" w:hAnsi="Palatino Linotype" w:cs="Arial"/>
        </w:rPr>
        <w:t>de dos mil veintidós</w:t>
      </w:r>
      <w:r w:rsidR="009F09BC" w:rsidRPr="000650DD">
        <w:rPr>
          <w:rFonts w:ascii="Palatino Linotype" w:eastAsia="Calibri" w:hAnsi="Palatino Linotype" w:cs="Arial"/>
        </w:rPr>
        <w:t xml:space="preserve">, </w:t>
      </w:r>
      <w:r w:rsidR="009F09BC" w:rsidRPr="000650DD">
        <w:rPr>
          <w:rFonts w:ascii="Palatino Linotype" w:hAnsi="Palatino Linotype" w:cs="Arial"/>
        </w:rPr>
        <w:t xml:space="preserve">de tal forma que </w:t>
      </w:r>
      <w:r w:rsidRPr="000650DD">
        <w:rPr>
          <w:rFonts w:ascii="Palatino Linotype" w:hAnsi="Palatino Linotype" w:cs="Arial"/>
        </w:rPr>
        <w:t>e</w:t>
      </w:r>
      <w:r w:rsidR="009F09BC" w:rsidRPr="000650DD">
        <w:rPr>
          <w:rFonts w:ascii="Palatino Linotype" w:hAnsi="Palatino Linotype" w:cs="Arial"/>
        </w:rPr>
        <w:t xml:space="preserve">l plazo para interponer </w:t>
      </w:r>
      <w:r w:rsidRPr="000650DD">
        <w:rPr>
          <w:rFonts w:ascii="Palatino Linotype" w:hAnsi="Palatino Linotype" w:cs="Arial"/>
        </w:rPr>
        <w:t>e</w:t>
      </w:r>
      <w:r w:rsidR="009F09BC" w:rsidRPr="000650DD">
        <w:rPr>
          <w:rFonts w:ascii="Palatino Linotype" w:hAnsi="Palatino Linotype" w:cs="Arial"/>
        </w:rPr>
        <w:t xml:space="preserve">l recurso de revisión </w:t>
      </w:r>
      <w:r w:rsidRPr="000650DD">
        <w:rPr>
          <w:rFonts w:ascii="Palatino Linotype" w:hAnsi="Palatino Linotype" w:cs="Arial"/>
        </w:rPr>
        <w:t>transcurrió</w:t>
      </w:r>
      <w:r w:rsidR="001159B4" w:rsidRPr="000650DD">
        <w:rPr>
          <w:rFonts w:ascii="Palatino Linotype" w:hAnsi="Palatino Linotype" w:cs="Arial"/>
        </w:rPr>
        <w:t xml:space="preserve"> del once</w:t>
      </w:r>
      <w:r w:rsidR="00626AC3" w:rsidRPr="000650DD">
        <w:rPr>
          <w:rFonts w:ascii="Palatino Linotype" w:hAnsi="Palatino Linotype" w:cs="Arial"/>
        </w:rPr>
        <w:t xml:space="preserve"> </w:t>
      </w:r>
      <w:r w:rsidRPr="000650DD">
        <w:rPr>
          <w:rFonts w:ascii="Palatino Linotype" w:hAnsi="Palatino Linotype" w:cs="Arial"/>
        </w:rPr>
        <w:t>(</w:t>
      </w:r>
      <w:r w:rsidR="001159B4" w:rsidRPr="000650DD">
        <w:rPr>
          <w:rFonts w:ascii="Palatino Linotype" w:hAnsi="Palatino Linotype" w:cs="Arial"/>
        </w:rPr>
        <w:t>11</w:t>
      </w:r>
      <w:r w:rsidR="009469F0" w:rsidRPr="000650DD">
        <w:rPr>
          <w:rFonts w:ascii="Palatino Linotype" w:hAnsi="Palatino Linotype" w:cs="Arial"/>
        </w:rPr>
        <w:t>)</w:t>
      </w:r>
      <w:r w:rsidR="000F4046" w:rsidRPr="000650DD">
        <w:rPr>
          <w:rFonts w:ascii="Palatino Linotype" w:hAnsi="Palatino Linotype" w:cs="Arial"/>
        </w:rPr>
        <w:t xml:space="preserve"> </w:t>
      </w:r>
      <w:r w:rsidR="001159B4" w:rsidRPr="000650DD">
        <w:rPr>
          <w:rFonts w:ascii="Palatino Linotype" w:hAnsi="Palatino Linotype" w:cs="Arial"/>
        </w:rPr>
        <w:t>al treinta y uno (31) de octubre</w:t>
      </w:r>
      <w:r w:rsidR="003839E9" w:rsidRPr="000650DD">
        <w:rPr>
          <w:rFonts w:ascii="Palatino Linotype" w:hAnsi="Palatino Linotype" w:cs="Arial"/>
        </w:rPr>
        <w:t xml:space="preserve"> </w:t>
      </w:r>
      <w:r w:rsidR="0001674C" w:rsidRPr="000650DD">
        <w:rPr>
          <w:rFonts w:ascii="Palatino Linotype" w:hAnsi="Palatino Linotype" w:cs="Arial"/>
        </w:rPr>
        <w:t xml:space="preserve">de dos mil </w:t>
      </w:r>
      <w:r w:rsidRPr="000650DD">
        <w:rPr>
          <w:rFonts w:ascii="Palatino Linotype" w:hAnsi="Palatino Linotype" w:cs="Arial"/>
        </w:rPr>
        <w:t>veintidós</w:t>
      </w:r>
      <w:r w:rsidR="0001674C" w:rsidRPr="000650DD">
        <w:rPr>
          <w:rFonts w:ascii="Palatino Linotype" w:hAnsi="Palatino Linotype" w:cs="Arial"/>
        </w:rPr>
        <w:t>; e</w:t>
      </w:r>
      <w:r w:rsidR="009F09BC" w:rsidRPr="000650DD">
        <w:rPr>
          <w:rFonts w:ascii="Palatino Linotype" w:hAnsi="Palatino Linotype" w:cs="Arial"/>
        </w:rPr>
        <w:t xml:space="preserve">n consecuencia, el ahora </w:t>
      </w:r>
      <w:r w:rsidR="009F09BC" w:rsidRPr="000650DD">
        <w:rPr>
          <w:rFonts w:ascii="Palatino Linotype" w:hAnsi="Palatino Linotype" w:cs="Arial"/>
          <w:b/>
        </w:rPr>
        <w:t>RECURRENTE</w:t>
      </w:r>
      <w:r w:rsidR="009F09BC" w:rsidRPr="000650DD">
        <w:rPr>
          <w:rFonts w:ascii="Palatino Linotype" w:hAnsi="Palatino Linotype" w:cs="Arial"/>
        </w:rPr>
        <w:t xml:space="preserve"> presentó </w:t>
      </w:r>
      <w:r w:rsidR="003839E9" w:rsidRPr="000650DD">
        <w:rPr>
          <w:rFonts w:ascii="Palatino Linotype" w:hAnsi="Palatino Linotype" w:cs="Arial"/>
        </w:rPr>
        <w:t>su inconformidad el once</w:t>
      </w:r>
      <w:r w:rsidR="004208A9" w:rsidRPr="000650DD">
        <w:rPr>
          <w:rFonts w:ascii="Palatino Linotype" w:hAnsi="Palatino Linotype" w:cs="Arial"/>
        </w:rPr>
        <w:t xml:space="preserve"> </w:t>
      </w:r>
      <w:r w:rsidR="009F09BC" w:rsidRPr="000650DD">
        <w:rPr>
          <w:rFonts w:ascii="Palatino Linotype" w:hAnsi="Palatino Linotype" w:cs="Arial"/>
        </w:rPr>
        <w:t>(</w:t>
      </w:r>
      <w:r w:rsidR="003839E9" w:rsidRPr="000650DD">
        <w:rPr>
          <w:rFonts w:ascii="Palatino Linotype" w:hAnsi="Palatino Linotype" w:cs="Arial"/>
        </w:rPr>
        <w:t>11) de octubre</w:t>
      </w:r>
      <w:r w:rsidR="00502A6A" w:rsidRPr="000650DD">
        <w:rPr>
          <w:rFonts w:ascii="Palatino Linotype" w:hAnsi="Palatino Linotype" w:cs="Arial"/>
        </w:rPr>
        <w:t xml:space="preserve"> </w:t>
      </w:r>
      <w:r w:rsidR="006F3EF7" w:rsidRPr="000650DD">
        <w:rPr>
          <w:rFonts w:ascii="Palatino Linotype" w:hAnsi="Palatino Linotype" w:cs="Arial"/>
        </w:rPr>
        <w:t>de dos mil veintidós</w:t>
      </w:r>
      <w:r w:rsidR="009F09BC" w:rsidRPr="000650DD">
        <w:rPr>
          <w:rFonts w:ascii="Palatino Linotype" w:hAnsi="Palatino Linotype" w:cs="Arial"/>
        </w:rPr>
        <w:t>; por lo que el medio de impugnación se encuentran dentro del lapso legalme</w:t>
      </w:r>
      <w:r w:rsidR="00E101E2" w:rsidRPr="000650DD">
        <w:rPr>
          <w:rFonts w:ascii="Palatino Linotype" w:hAnsi="Palatino Linotype" w:cs="Arial"/>
        </w:rPr>
        <w:t>nte establecido para tal efecto.</w:t>
      </w:r>
    </w:p>
    <w:p w14:paraId="486E393F" w14:textId="77777777" w:rsidR="000F4046" w:rsidRPr="000650DD" w:rsidRDefault="00E101E2" w:rsidP="005A7ACC">
      <w:pPr>
        <w:pStyle w:val="Prrafodelista"/>
        <w:numPr>
          <w:ilvl w:val="0"/>
          <w:numId w:val="1"/>
        </w:numPr>
        <w:tabs>
          <w:tab w:val="left" w:pos="567"/>
        </w:tabs>
        <w:spacing w:after="160" w:line="360" w:lineRule="auto"/>
        <w:ind w:left="0" w:right="49" w:firstLine="0"/>
        <w:jc w:val="both"/>
        <w:rPr>
          <w:rFonts w:ascii="Palatino Linotype" w:hAnsi="Palatino Linotype"/>
        </w:rPr>
      </w:pPr>
      <w:r w:rsidRPr="000650DD">
        <w:rPr>
          <w:rFonts w:ascii="Palatino Linotype" w:eastAsia="Calibri" w:hAnsi="Palatino Linotype" w:cs="Arial"/>
        </w:rPr>
        <w:lastRenderedPageBreak/>
        <w:t>En consecuencia, el escrito contiene</w:t>
      </w:r>
      <w:r w:rsidR="000F4046" w:rsidRPr="000650DD">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96F4C9" w14:textId="77777777" w:rsidR="00FA5CDD" w:rsidRPr="000650DD" w:rsidRDefault="00FA5CDD" w:rsidP="00E37F0A">
      <w:pPr>
        <w:spacing w:line="360" w:lineRule="auto"/>
        <w:rPr>
          <w:rFonts w:ascii="Palatino Linotype" w:hAnsi="Palatino Linotype"/>
        </w:rPr>
      </w:pPr>
    </w:p>
    <w:p w14:paraId="656545DF" w14:textId="77777777" w:rsidR="00203797" w:rsidRPr="000650DD" w:rsidRDefault="00203797" w:rsidP="00203797">
      <w:pPr>
        <w:pStyle w:val="Ttulo1"/>
        <w:tabs>
          <w:tab w:val="left" w:pos="284"/>
          <w:tab w:val="left" w:pos="426"/>
        </w:tabs>
        <w:spacing w:line="360" w:lineRule="auto"/>
        <w:rPr>
          <w:rFonts w:ascii="Palatino Linotype" w:hAnsi="Palatino Linotype"/>
          <w:b/>
          <w:color w:val="auto"/>
          <w:sz w:val="24"/>
          <w:szCs w:val="24"/>
        </w:rPr>
      </w:pPr>
      <w:bookmarkStart w:id="140" w:name="_Toc500360400"/>
      <w:bookmarkStart w:id="141" w:name="_Toc81233127"/>
      <w:bookmarkStart w:id="142" w:name="_Toc459174366"/>
      <w:bookmarkStart w:id="143" w:name="_Toc459659884"/>
      <w:bookmarkStart w:id="144" w:name="_Toc461687280"/>
      <w:bookmarkStart w:id="145" w:name="_Toc462771051"/>
      <w:bookmarkStart w:id="146" w:name="_Toc464139201"/>
      <w:bookmarkStart w:id="147" w:name="_Toc499296549"/>
      <w:bookmarkStart w:id="148" w:name="_Toc473799824"/>
      <w:bookmarkStart w:id="149" w:name="_Toc487025370"/>
      <w:bookmarkStart w:id="150" w:name="_Toc493790438"/>
      <w:bookmarkStart w:id="151" w:name="_Toc495606558"/>
      <w:bookmarkStart w:id="152" w:name="_Toc497297048"/>
      <w:bookmarkStart w:id="153" w:name="_Toc498503756"/>
      <w:bookmarkStart w:id="154" w:name="_Toc499201876"/>
      <w:bookmarkStart w:id="155" w:name="_Toc524000321"/>
      <w:bookmarkStart w:id="156" w:name="_Toc531859120"/>
      <w:bookmarkStart w:id="157" w:name="_Toc2871952"/>
      <w:bookmarkStart w:id="158" w:name="_Toc20246253"/>
      <w:bookmarkStart w:id="159" w:name="_Toc24023250"/>
      <w:bookmarkStart w:id="160" w:name="_Toc26461369"/>
      <w:bookmarkStart w:id="161" w:name="_Toc29481474"/>
      <w:bookmarkStart w:id="162" w:name="_Toc36648201"/>
      <w:bookmarkStart w:id="163" w:name="_Toc36732268"/>
      <w:bookmarkStart w:id="164" w:name="_Toc38560292"/>
      <w:r w:rsidRPr="000650DD">
        <w:rPr>
          <w:rFonts w:ascii="Palatino Linotype" w:hAnsi="Palatino Linotype"/>
          <w:b/>
          <w:color w:val="auto"/>
          <w:sz w:val="24"/>
          <w:szCs w:val="24"/>
        </w:rPr>
        <w:t>TERCERO. De las causales de improcedencia y sobreseimiento.</w:t>
      </w:r>
      <w:bookmarkEnd w:id="140"/>
      <w:bookmarkEnd w:id="141"/>
      <w:bookmarkEnd w:id="142"/>
      <w:bookmarkEnd w:id="143"/>
      <w:bookmarkEnd w:id="144"/>
      <w:bookmarkEnd w:id="145"/>
      <w:bookmarkEnd w:id="146"/>
      <w:bookmarkEnd w:id="147"/>
    </w:p>
    <w:p w14:paraId="361ACBC3" w14:textId="77777777" w:rsidR="00203797" w:rsidRPr="000650DD" w:rsidRDefault="00203797" w:rsidP="00203797">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0650D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07CFE2" w14:textId="77777777" w:rsidR="00203797" w:rsidRPr="000650DD" w:rsidRDefault="00203797" w:rsidP="00203797">
      <w:pPr>
        <w:spacing w:line="360" w:lineRule="auto"/>
        <w:rPr>
          <w:rFonts w:ascii="Palatino Linotype" w:hAnsi="Palatino Linotype"/>
        </w:rPr>
      </w:pPr>
    </w:p>
    <w:p w14:paraId="6FBED4FC" w14:textId="77777777" w:rsidR="00203797" w:rsidRPr="000650DD" w:rsidRDefault="00203797" w:rsidP="00203797">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0650DD">
        <w:rPr>
          <w:rFonts w:ascii="Palatino Linotype" w:eastAsia="MS Mincho" w:hAnsi="Palatino Linotype"/>
          <w:color w:val="000000"/>
        </w:rPr>
        <w:t xml:space="preserve">Siendo </w:t>
      </w:r>
      <w:r w:rsidRPr="000650DD">
        <w:rPr>
          <w:rFonts w:ascii="Palatino Linotype" w:hAnsi="Palatino Linotype" w:cs="Aria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0650DD">
        <w:rPr>
          <w:rFonts w:ascii="Palatino Linotype" w:eastAsia="MS Mincho" w:hAnsi="Palatino Linotype"/>
          <w:color w:val="000000"/>
        </w:rPr>
        <w:t xml:space="preserve"> Estudio </w:t>
      </w:r>
      <w:r w:rsidRPr="000650DD">
        <w:rPr>
          <w:rFonts w:ascii="Palatino Linotype" w:hAnsi="Palatino Linotype" w:cs="Arial"/>
        </w:rPr>
        <w:t xml:space="preserve">de causales de improcedencia que no son incompatibles con el </w:t>
      </w:r>
      <w:r w:rsidRPr="000650DD">
        <w:rPr>
          <w:rFonts w:ascii="Palatino Linotype" w:hAnsi="Palatino Linotype" w:cs="Arial"/>
        </w:rPr>
        <w:lastRenderedPageBreak/>
        <w:t>derecho de acceso a la justicia, ya que éste no se coarta por regular causas de improcedencia y sobreseimiento con tales fines</w:t>
      </w:r>
      <w:r w:rsidRPr="000650DD">
        <w:rPr>
          <w:rFonts w:ascii="Palatino Linotype" w:hAnsi="Palatino Linotype"/>
          <w:vertAlign w:val="superscript"/>
        </w:rPr>
        <w:footnoteReference w:id="1"/>
      </w:r>
      <w:r w:rsidRPr="000650DD">
        <w:rPr>
          <w:rFonts w:ascii="Palatino Linotype" w:hAnsi="Palatino Linotype" w:cs="Arial"/>
        </w:rPr>
        <w:t>.</w:t>
      </w:r>
    </w:p>
    <w:p w14:paraId="06FDB71E" w14:textId="77777777" w:rsidR="00203797" w:rsidRPr="000650DD" w:rsidRDefault="00203797" w:rsidP="00203797">
      <w:pPr>
        <w:tabs>
          <w:tab w:val="left" w:pos="426"/>
        </w:tabs>
        <w:spacing w:before="240" w:after="240" w:line="360" w:lineRule="auto"/>
        <w:contextualSpacing/>
        <w:jc w:val="both"/>
        <w:rPr>
          <w:rFonts w:ascii="Palatino Linotype" w:eastAsia="MS Mincho" w:hAnsi="Palatino Linotype"/>
          <w:lang w:eastAsia="en-US"/>
        </w:rPr>
      </w:pPr>
    </w:p>
    <w:p w14:paraId="4E66BF35" w14:textId="77777777" w:rsidR="00203797" w:rsidRPr="000650DD" w:rsidRDefault="00203797" w:rsidP="00203797">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0650DD">
        <w:rPr>
          <w:rFonts w:ascii="Palatino Linotype" w:eastAsia="MS Mincho" w:hAnsi="Palatino Linotype"/>
          <w:color w:val="000000"/>
        </w:rPr>
        <w:t xml:space="preserve">En </w:t>
      </w:r>
      <w:r w:rsidRPr="000650DD">
        <w:rPr>
          <w:rFonts w:ascii="Palatino Linotype" w:hAnsi="Palatino Linotype" w:cs="Aria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w:t>
      </w:r>
      <w:r w:rsidRPr="000650DD">
        <w:rPr>
          <w:rFonts w:ascii="Palatino Linotype" w:hAnsi="Palatino Linotype" w:cs="Arial"/>
        </w:rPr>
        <w:lastRenderedPageBreak/>
        <w:t>objetiva y material el sujeto obligado que se relacione con esa intención, respecto del presente asunto se realiza a continuación.</w:t>
      </w:r>
    </w:p>
    <w:p w14:paraId="56C22EC4" w14:textId="77777777" w:rsidR="00203797" w:rsidRPr="000650DD" w:rsidRDefault="00203797" w:rsidP="00203797">
      <w:pPr>
        <w:tabs>
          <w:tab w:val="left" w:pos="426"/>
        </w:tabs>
        <w:spacing w:before="240" w:after="240" w:line="360" w:lineRule="auto"/>
        <w:contextualSpacing/>
        <w:jc w:val="both"/>
        <w:rPr>
          <w:rFonts w:ascii="Palatino Linotype" w:eastAsia="MS Mincho" w:hAnsi="Palatino Linotype"/>
          <w:b/>
          <w:lang w:eastAsia="en-US"/>
        </w:rPr>
      </w:pPr>
    </w:p>
    <w:p w14:paraId="1A398C42" w14:textId="1C120367" w:rsidR="00614F38" w:rsidRPr="000650DD" w:rsidRDefault="00203797" w:rsidP="000650DD">
      <w:pPr>
        <w:tabs>
          <w:tab w:val="left" w:pos="426"/>
        </w:tabs>
        <w:spacing w:before="240" w:after="240" w:line="360" w:lineRule="auto"/>
        <w:contextualSpacing/>
        <w:jc w:val="both"/>
        <w:rPr>
          <w:rFonts w:ascii="Palatino Linotype" w:eastAsia="MS Mincho" w:hAnsi="Palatino Linotype"/>
          <w:b/>
          <w:lang w:eastAsia="en-US"/>
        </w:rPr>
      </w:pPr>
      <w:r w:rsidRPr="000650DD">
        <w:rPr>
          <w:rFonts w:ascii="Palatino Linotype" w:eastAsia="MS Mincho" w:hAnsi="Palatino Linotype"/>
          <w:b/>
          <w:lang w:eastAsia="en-US"/>
        </w:rPr>
        <w:t>De las actuaciones de las partes.</w:t>
      </w:r>
    </w:p>
    <w:p w14:paraId="2CC6860A" w14:textId="77777777" w:rsidR="00614F38" w:rsidRPr="000650DD" w:rsidRDefault="00614F38" w:rsidP="005A7ACC">
      <w:pPr>
        <w:pStyle w:val="Prrafodelista"/>
        <w:numPr>
          <w:ilvl w:val="0"/>
          <w:numId w:val="1"/>
        </w:numPr>
        <w:tabs>
          <w:tab w:val="left" w:pos="567"/>
        </w:tabs>
        <w:spacing w:line="360" w:lineRule="auto"/>
        <w:ind w:left="0" w:firstLine="0"/>
        <w:jc w:val="both"/>
        <w:rPr>
          <w:rFonts w:ascii="Palatino Linotype" w:hAnsi="Palatino Linotype" w:cs="Arial"/>
        </w:rPr>
      </w:pPr>
      <w:r w:rsidRPr="000650DD">
        <w:rPr>
          <w:rFonts w:ascii="Palatino Linotype" w:hAnsi="Palatino Linotype" w:cs="Arial"/>
        </w:rPr>
        <w:t xml:space="preserve">Derivado del Planteamiento de la </w:t>
      </w:r>
      <w:r w:rsidRPr="000650DD">
        <w:rPr>
          <w:rFonts w:ascii="Palatino Linotype" w:hAnsi="Palatino Linotype" w:cs="Arial"/>
          <w:i/>
          <w:iCs/>
        </w:rPr>
        <w:t>Litis</w:t>
      </w:r>
      <w:r w:rsidRPr="000650DD">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0650DD"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0650DD" w:rsidRDefault="00674792" w:rsidP="005A7ACC">
      <w:pPr>
        <w:pStyle w:val="Prrafodelista"/>
        <w:numPr>
          <w:ilvl w:val="0"/>
          <w:numId w:val="1"/>
        </w:numPr>
        <w:tabs>
          <w:tab w:val="left" w:pos="567"/>
        </w:tabs>
        <w:spacing w:line="360" w:lineRule="auto"/>
        <w:ind w:left="0" w:firstLine="0"/>
        <w:jc w:val="both"/>
        <w:rPr>
          <w:rFonts w:ascii="Palatino Linotype" w:hAnsi="Palatino Linotype" w:cs="Arial"/>
        </w:rPr>
      </w:pPr>
      <w:r w:rsidRPr="000650DD">
        <w:rPr>
          <w:rFonts w:ascii="Palatino Linotype" w:eastAsia="Calibri" w:hAnsi="Palatino Linotype"/>
          <w:lang w:val="es-ES"/>
        </w:rPr>
        <w:t>Así las cosas</w:t>
      </w:r>
      <w:r w:rsidR="003015FC" w:rsidRPr="000650DD">
        <w:rPr>
          <w:rFonts w:ascii="Palatino Linotype" w:eastAsia="Calibri" w:hAnsi="Palatino Linotype"/>
          <w:lang w:val="es-ES"/>
        </w:rPr>
        <w:t xml:space="preserve">, conviene recordar </w:t>
      </w:r>
      <w:r w:rsidR="00614F38" w:rsidRPr="000650DD">
        <w:rPr>
          <w:rFonts w:ascii="Palatino Linotype" w:hAnsi="Palatino Linotype" w:cs="Arial"/>
        </w:rPr>
        <w:t xml:space="preserve">que el </w:t>
      </w:r>
      <w:r w:rsidR="00614F38" w:rsidRPr="000650DD">
        <w:rPr>
          <w:rFonts w:ascii="Palatino Linotype" w:hAnsi="Palatino Linotype" w:cs="Arial"/>
          <w:b/>
        </w:rPr>
        <w:t>RECURRENTE</w:t>
      </w:r>
      <w:r w:rsidR="00614F38" w:rsidRPr="000650DD">
        <w:rPr>
          <w:rFonts w:ascii="Palatino Linotype" w:hAnsi="Palatino Linotype" w:cs="Arial"/>
        </w:rPr>
        <w:t xml:space="preserve"> solicitó lo siguiente:</w:t>
      </w:r>
    </w:p>
    <w:p w14:paraId="10A91E7A" w14:textId="77777777" w:rsidR="00E16B71" w:rsidRPr="005A7ACC" w:rsidRDefault="00E16B71" w:rsidP="00614F38">
      <w:pPr>
        <w:pStyle w:val="Prrafodelista"/>
        <w:tabs>
          <w:tab w:val="left" w:pos="567"/>
        </w:tabs>
        <w:spacing w:line="360" w:lineRule="auto"/>
        <w:ind w:left="0"/>
        <w:jc w:val="both"/>
        <w:rPr>
          <w:rFonts w:ascii="Palatino Linotype" w:hAnsi="Palatino Linotype" w:cs="Arial"/>
          <w:sz w:val="22"/>
        </w:rPr>
      </w:pPr>
    </w:p>
    <w:p w14:paraId="1FBEFDAA" w14:textId="77777777" w:rsidR="00F30EDF" w:rsidRPr="005A7ACC" w:rsidRDefault="00F30EDF" w:rsidP="00F30EDF">
      <w:pPr>
        <w:spacing w:line="276" w:lineRule="auto"/>
        <w:ind w:left="567" w:right="616"/>
        <w:contextualSpacing/>
        <w:jc w:val="both"/>
        <w:rPr>
          <w:rFonts w:ascii="Palatino Linotype" w:hAnsi="Palatino Linotype"/>
          <w:b/>
          <w:sz w:val="22"/>
          <w:szCs w:val="22"/>
        </w:rPr>
      </w:pPr>
      <w:r w:rsidRPr="005A7ACC">
        <w:rPr>
          <w:rFonts w:ascii="Palatino Linotype" w:hAnsi="Palatino Linotype"/>
          <w:b/>
          <w:sz w:val="22"/>
          <w:szCs w:val="22"/>
        </w:rPr>
        <w:t>Fundamento legal, en donde conste o se advierta que las personas no sindicalizadas pueden gozar de las prestaciones y lo establecido en un contrato colectivo de trabajo.</w:t>
      </w:r>
    </w:p>
    <w:p w14:paraId="7CCC7984" w14:textId="77777777" w:rsidR="00F30EDF" w:rsidRPr="005A7ACC" w:rsidRDefault="00F30EDF" w:rsidP="00614F38">
      <w:pPr>
        <w:pStyle w:val="Prrafodelista"/>
        <w:tabs>
          <w:tab w:val="left" w:pos="567"/>
        </w:tabs>
        <w:spacing w:line="360" w:lineRule="auto"/>
        <w:ind w:left="0"/>
        <w:jc w:val="both"/>
        <w:rPr>
          <w:rFonts w:ascii="Palatino Linotype" w:hAnsi="Palatino Linotype" w:cs="Arial"/>
          <w:sz w:val="22"/>
        </w:rPr>
      </w:pPr>
    </w:p>
    <w:p w14:paraId="2104FE8F" w14:textId="3295A456" w:rsidR="00F30EDF" w:rsidRPr="000650DD" w:rsidRDefault="00A17E25" w:rsidP="005A7ACC">
      <w:pPr>
        <w:pStyle w:val="Prrafodelista"/>
        <w:numPr>
          <w:ilvl w:val="0"/>
          <w:numId w:val="1"/>
        </w:numPr>
        <w:tabs>
          <w:tab w:val="left" w:pos="567"/>
        </w:tabs>
        <w:spacing w:line="360" w:lineRule="auto"/>
        <w:ind w:left="0" w:firstLine="0"/>
        <w:jc w:val="both"/>
        <w:rPr>
          <w:rFonts w:ascii="Palatino Linotype" w:hAnsi="Palatino Linotype" w:cs="Arial"/>
        </w:rPr>
      </w:pPr>
      <w:r w:rsidRPr="000650DD">
        <w:rPr>
          <w:rFonts w:ascii="Palatino Linotype" w:eastAsia="Calibri" w:hAnsi="Palatino Linotype"/>
          <w:lang w:val="es-ES"/>
        </w:rPr>
        <w:t xml:space="preserve">Como ha sido reiterado a lo largo de la presente resolución, el </w:t>
      </w:r>
      <w:r w:rsidRPr="000650DD">
        <w:rPr>
          <w:rFonts w:ascii="Palatino Linotype" w:eastAsia="Calibri" w:hAnsi="Palatino Linotype"/>
          <w:b/>
          <w:bCs/>
          <w:lang w:val="es-ES"/>
        </w:rPr>
        <w:t>SUJETO OBLIGADO</w:t>
      </w:r>
      <w:r w:rsidR="00B81A91" w:rsidRPr="000650DD">
        <w:rPr>
          <w:rFonts w:ascii="Palatino Linotype" w:eastAsia="Calibri" w:hAnsi="Palatino Linotype"/>
          <w:b/>
          <w:bCs/>
          <w:lang w:val="es-ES"/>
        </w:rPr>
        <w:t>,</w:t>
      </w:r>
      <w:r w:rsidRPr="000650DD">
        <w:rPr>
          <w:rFonts w:ascii="Palatino Linotype" w:eastAsia="Calibri" w:hAnsi="Palatino Linotype"/>
          <w:b/>
          <w:bCs/>
          <w:lang w:val="es-ES"/>
        </w:rPr>
        <w:t xml:space="preserve"> </w:t>
      </w:r>
      <w:r w:rsidR="00B81A91" w:rsidRPr="000650DD">
        <w:rPr>
          <w:rFonts w:ascii="Palatino Linotype" w:eastAsia="Calibri" w:hAnsi="Palatino Linotype"/>
          <w:bCs/>
          <w:lang w:val="es-ES"/>
        </w:rPr>
        <w:t xml:space="preserve">hizo del conocimiento </w:t>
      </w:r>
      <w:r w:rsidR="00F30EDF" w:rsidRPr="000650DD">
        <w:rPr>
          <w:rFonts w:ascii="Palatino Linotype" w:hAnsi="Palatino Linotype" w:cs="Arial"/>
          <w:color w:val="000000" w:themeColor="text1"/>
        </w:rPr>
        <w:t xml:space="preserve">que el Comité de Transparencia determino la incompetencia al no ser la autoridad que pueda generar, transformar, adquirir, administrar, obtener o poseer en el ejercicio de sus funciones, así mimo en aras de privilegiar el Derecho de Acceso a la Información Pública sugiere dirigir la solicitud a la Procuraduría de la Defensa del Trabajo. </w:t>
      </w:r>
    </w:p>
    <w:p w14:paraId="62ED4623" w14:textId="77777777" w:rsidR="00365CBA" w:rsidRPr="000650DD" w:rsidRDefault="00365CBA" w:rsidP="00C27AE3">
      <w:pPr>
        <w:pStyle w:val="Prrafodelista"/>
        <w:tabs>
          <w:tab w:val="left" w:pos="567"/>
        </w:tabs>
        <w:spacing w:line="276" w:lineRule="auto"/>
        <w:ind w:left="0"/>
        <w:jc w:val="both"/>
        <w:rPr>
          <w:rFonts w:ascii="Palatino Linotype" w:hAnsi="Palatino Linotype" w:cs="Arial"/>
          <w:sz w:val="22"/>
          <w:szCs w:val="22"/>
        </w:rPr>
      </w:pPr>
    </w:p>
    <w:p w14:paraId="07CAD914" w14:textId="398B7EBA" w:rsidR="006A48EA" w:rsidRPr="005A7ACC" w:rsidRDefault="00E50E72" w:rsidP="005A7ACC">
      <w:pPr>
        <w:pStyle w:val="Prrafodelista"/>
        <w:numPr>
          <w:ilvl w:val="0"/>
          <w:numId w:val="1"/>
        </w:numPr>
        <w:tabs>
          <w:tab w:val="left" w:pos="567"/>
        </w:tabs>
        <w:spacing w:line="360" w:lineRule="auto"/>
        <w:ind w:left="0" w:firstLine="0"/>
        <w:jc w:val="both"/>
        <w:rPr>
          <w:rFonts w:ascii="Palatino Linotype" w:hAnsi="Palatino Linotype" w:cs="Arial"/>
          <w:b/>
        </w:rPr>
      </w:pPr>
      <w:r w:rsidRPr="005A7ACC">
        <w:rPr>
          <w:rFonts w:ascii="Palatino Linotype" w:hAnsi="Palatino Linotype" w:cs="Arial"/>
        </w:rPr>
        <w:lastRenderedPageBreak/>
        <w:t xml:space="preserve">Inconforme </w:t>
      </w:r>
      <w:r w:rsidRPr="005A7ACC">
        <w:rPr>
          <w:rFonts w:ascii="Palatino Linotype" w:eastAsia="MS Gothic" w:hAnsi="Palatino Linotype" w:cstheme="majorBidi"/>
        </w:rPr>
        <w:t xml:space="preserve">con la respuesta, el </w:t>
      </w:r>
      <w:r w:rsidRPr="005A7ACC">
        <w:rPr>
          <w:rFonts w:ascii="Palatino Linotype" w:eastAsia="MS Gothic" w:hAnsi="Palatino Linotype" w:cstheme="majorBidi"/>
          <w:b/>
        </w:rPr>
        <w:t>RECURRENTE</w:t>
      </w:r>
      <w:r w:rsidRPr="005A7ACC">
        <w:rPr>
          <w:rFonts w:ascii="Palatino Linotype" w:eastAsia="MS Gothic" w:hAnsi="Palatino Linotype" w:cstheme="majorBidi"/>
        </w:rPr>
        <w:t xml:space="preserve"> interpuso recurso de revisión, por medio del cual, señaló de forma medular como motivos de inconformidad, </w:t>
      </w:r>
      <w:r w:rsidR="00F30EDF" w:rsidRPr="005A7ACC">
        <w:rPr>
          <w:rFonts w:ascii="Palatino Linotype" w:hAnsi="Palatino Linotype" w:cs="Arial"/>
          <w:b/>
        </w:rPr>
        <w:t xml:space="preserve">la falta de respuesta a </w:t>
      </w:r>
      <w:r w:rsidR="00363CE1" w:rsidRPr="005A7ACC">
        <w:rPr>
          <w:rFonts w:ascii="Palatino Linotype" w:hAnsi="Palatino Linotype" w:cs="Arial"/>
          <w:b/>
        </w:rPr>
        <w:t>la</w:t>
      </w:r>
      <w:r w:rsidR="00F30EDF" w:rsidRPr="005A7ACC">
        <w:rPr>
          <w:rFonts w:ascii="Palatino Linotype" w:hAnsi="Palatino Linotype" w:cs="Arial"/>
          <w:b/>
        </w:rPr>
        <w:t xml:space="preserve"> solicitud de</w:t>
      </w:r>
      <w:r w:rsidR="00363CE1" w:rsidRPr="005A7ACC">
        <w:rPr>
          <w:rFonts w:ascii="Palatino Linotype" w:hAnsi="Palatino Linotype" w:cs="Arial"/>
          <w:b/>
        </w:rPr>
        <w:t xml:space="preserve"> información. </w:t>
      </w:r>
    </w:p>
    <w:p w14:paraId="39D8462A" w14:textId="77777777" w:rsidR="00E21A07" w:rsidRPr="000650DD" w:rsidRDefault="00E21A07" w:rsidP="00E21A07">
      <w:pPr>
        <w:pStyle w:val="Prrafodelista"/>
        <w:tabs>
          <w:tab w:val="left" w:pos="567"/>
        </w:tabs>
        <w:spacing w:line="360" w:lineRule="auto"/>
        <w:ind w:left="0"/>
        <w:jc w:val="both"/>
        <w:rPr>
          <w:rFonts w:ascii="Palatino Linotype" w:hAnsi="Palatino Linotype" w:cs="Arial"/>
          <w:b/>
        </w:rPr>
      </w:pPr>
    </w:p>
    <w:p w14:paraId="360F3BEB" w14:textId="63F23341" w:rsidR="00203797" w:rsidRPr="000650DD" w:rsidRDefault="00E21A07" w:rsidP="005A7ACC">
      <w:pPr>
        <w:pStyle w:val="Prrafodelista"/>
        <w:numPr>
          <w:ilvl w:val="0"/>
          <w:numId w:val="1"/>
        </w:numPr>
        <w:tabs>
          <w:tab w:val="left" w:pos="567"/>
        </w:tabs>
        <w:spacing w:line="360" w:lineRule="auto"/>
        <w:ind w:left="0" w:firstLine="0"/>
        <w:jc w:val="both"/>
        <w:rPr>
          <w:rFonts w:ascii="Palatino Linotype" w:hAnsi="Palatino Linotype" w:cs="Arial"/>
          <w:b/>
        </w:rPr>
      </w:pPr>
      <w:r w:rsidRPr="000650DD">
        <w:rPr>
          <w:rFonts w:ascii="Palatino Linotype" w:hAnsi="Palatino Linotype" w:cs="Arial"/>
        </w:rPr>
        <w:t>En vía de informe justificado el</w:t>
      </w:r>
      <w:r w:rsidRPr="000650DD">
        <w:rPr>
          <w:rFonts w:ascii="Palatino Linotype" w:hAnsi="Palatino Linotype" w:cs="Arial"/>
          <w:b/>
        </w:rPr>
        <w:t xml:space="preserve"> SUJETO OBLIGADO </w:t>
      </w:r>
      <w:r w:rsidRPr="000650DD">
        <w:rPr>
          <w:rFonts w:ascii="Palatino Linotype" w:hAnsi="Palatino Linotype" w:cs="Arial"/>
        </w:rPr>
        <w:t xml:space="preserve">remitió el </w:t>
      </w:r>
      <w:r w:rsidRPr="000650DD">
        <w:rPr>
          <w:rFonts w:ascii="Palatino Linotype" w:hAnsi="Palatino Linotype"/>
          <w:sz w:val="22"/>
          <w:szCs w:val="22"/>
        </w:rPr>
        <w:t>Acta de la Cuadragésima Segunda Sesión Extraordinaria 2022 del Comité de Transparencia de la Junta Local de Conciliación y Arbitraje del Valle de Toluca</w:t>
      </w:r>
    </w:p>
    <w:p w14:paraId="5DA53BAC" w14:textId="77777777" w:rsidR="00E126F9" w:rsidRPr="000650DD" w:rsidRDefault="00E126F9" w:rsidP="00E126F9">
      <w:pPr>
        <w:pStyle w:val="Prrafodelista"/>
        <w:tabs>
          <w:tab w:val="left" w:pos="567"/>
        </w:tabs>
        <w:spacing w:line="360" w:lineRule="auto"/>
        <w:ind w:left="0"/>
        <w:jc w:val="both"/>
        <w:rPr>
          <w:rFonts w:ascii="Palatino Linotype" w:hAnsi="Palatino Linotype" w:cs="Arial"/>
          <w:b/>
        </w:rPr>
      </w:pPr>
    </w:p>
    <w:p w14:paraId="0C606E96" w14:textId="291C588A" w:rsidR="00B54DC5" w:rsidRPr="000650DD" w:rsidRDefault="00E126F9" w:rsidP="005A7ACC">
      <w:pPr>
        <w:pStyle w:val="Prrafodelista"/>
        <w:numPr>
          <w:ilvl w:val="0"/>
          <w:numId w:val="1"/>
        </w:numPr>
        <w:tabs>
          <w:tab w:val="left" w:pos="567"/>
        </w:tabs>
        <w:spacing w:line="360" w:lineRule="auto"/>
        <w:ind w:left="0" w:firstLine="0"/>
        <w:jc w:val="both"/>
        <w:rPr>
          <w:rFonts w:ascii="Palatino Linotype" w:hAnsi="Palatino Linotype" w:cs="Arial"/>
          <w:b/>
        </w:rPr>
      </w:pPr>
      <w:r w:rsidRPr="000650DD">
        <w:rPr>
          <w:rFonts w:ascii="Palatino Linotype" w:eastAsia="Calibri" w:hAnsi="Palatino Linotype"/>
          <w:lang w:val="es-ES"/>
        </w:rPr>
        <w:t>S</w:t>
      </w:r>
      <w:r w:rsidR="006A48EA" w:rsidRPr="000650DD">
        <w:rPr>
          <w:rFonts w:ascii="Palatino Linotype" w:eastAsia="Calibri" w:hAnsi="Palatino Linotype"/>
          <w:lang w:val="es-ES"/>
        </w:rPr>
        <w:t>e procederá a analizar el marco legal de lo solicitado, así como el contenido de la información remitida en respuesta</w:t>
      </w:r>
      <w:r w:rsidR="006A48EA" w:rsidRPr="000650DD">
        <w:rPr>
          <w:rFonts w:ascii="Palatino Linotype" w:hAnsi="Palatino Linotype" w:cs="Arial"/>
          <w:b/>
        </w:rPr>
        <w:t xml:space="preserve"> </w:t>
      </w:r>
      <w:r w:rsidR="006A48EA" w:rsidRPr="000650DD">
        <w:rPr>
          <w:rFonts w:ascii="Palatino Linotype" w:eastAsia="Calibri" w:hAnsi="Palatino Linotype"/>
          <w:lang w:val="es-ES"/>
        </w:rPr>
        <w:t xml:space="preserve">por el </w:t>
      </w:r>
      <w:r w:rsidR="006A48EA" w:rsidRPr="000650DD">
        <w:rPr>
          <w:rFonts w:ascii="Palatino Linotype" w:eastAsia="Calibri" w:hAnsi="Palatino Linotype"/>
          <w:b/>
          <w:lang w:val="es-ES"/>
        </w:rPr>
        <w:t>SUJETO OBLIGADO</w:t>
      </w:r>
      <w:r w:rsidR="006A48EA" w:rsidRPr="000650DD">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6A7F270A" w14:textId="77777777" w:rsidR="00B54DC5" w:rsidRPr="000650DD" w:rsidRDefault="00B54DC5" w:rsidP="00B54DC5">
      <w:pPr>
        <w:pStyle w:val="Prrafodelista"/>
        <w:rPr>
          <w:rFonts w:ascii="Palatino Linotype" w:hAnsi="Palatino Linotype" w:cs="Arial"/>
          <w:b/>
        </w:rPr>
      </w:pPr>
    </w:p>
    <w:p w14:paraId="17F2CD12" w14:textId="77777777" w:rsidR="00E126F9" w:rsidRPr="000650DD" w:rsidRDefault="00B54DC5" w:rsidP="005A7ACC">
      <w:pPr>
        <w:pStyle w:val="Prrafodelista"/>
        <w:numPr>
          <w:ilvl w:val="0"/>
          <w:numId w:val="1"/>
        </w:numPr>
        <w:tabs>
          <w:tab w:val="left" w:pos="567"/>
        </w:tabs>
        <w:spacing w:line="360" w:lineRule="auto"/>
        <w:ind w:left="0" w:firstLine="0"/>
        <w:jc w:val="both"/>
        <w:rPr>
          <w:rFonts w:ascii="Palatino Linotype" w:hAnsi="Palatino Linotype" w:cs="Arial"/>
          <w:b/>
        </w:rPr>
      </w:pPr>
      <w:r w:rsidRPr="000650DD">
        <w:rPr>
          <w:rFonts w:ascii="Palatino Linotype" w:hAnsi="Palatino Linotype" w:cs="Arial"/>
          <w:color w:val="000000"/>
        </w:rPr>
        <w:t>De acuerdo con lo establecido</w:t>
      </w:r>
      <w:r w:rsidR="00E126F9" w:rsidRPr="000650DD">
        <w:rPr>
          <w:rFonts w:ascii="Palatino Linotype" w:hAnsi="Palatino Linotype" w:cs="Arial"/>
          <w:color w:val="000000"/>
        </w:rPr>
        <w:t xml:space="preserve"> en el Reglamento Interno de la Junta Local de Conciliación y Arbitraje del Valle de Toluca </w:t>
      </w:r>
      <w:r w:rsidR="00E126F9" w:rsidRPr="000650DD">
        <w:rPr>
          <w:rFonts w:ascii="Palatino Linotype" w:hAnsi="Palatino Linotype" w:cs="Arial"/>
          <w:b/>
        </w:rPr>
        <w:t>l</w:t>
      </w:r>
      <w:r w:rsidR="00E126F9" w:rsidRPr="000650DD">
        <w:rPr>
          <w:rFonts w:ascii="Palatino Linotype" w:hAnsi="Palatino Linotype"/>
        </w:rPr>
        <w:t>a Junta observará los principios de legalidad, transparencia, certeza, gratuidad, inmediatez, imparcialidad y respeto a la libertad, autonomía, equidad y democracia sindical.</w:t>
      </w:r>
    </w:p>
    <w:p w14:paraId="3DE76A0B" w14:textId="77777777" w:rsidR="00E126F9" w:rsidRPr="000650DD" w:rsidRDefault="00E126F9" w:rsidP="00E126F9">
      <w:pPr>
        <w:pStyle w:val="Prrafodelista"/>
        <w:rPr>
          <w:rFonts w:ascii="Palatino Linotype" w:hAnsi="Palatino Linotype"/>
        </w:rPr>
      </w:pPr>
    </w:p>
    <w:p w14:paraId="727D5B73" w14:textId="198C930D" w:rsidR="00E126F9" w:rsidRPr="000650DD" w:rsidRDefault="00E126F9" w:rsidP="005A7ACC">
      <w:pPr>
        <w:pStyle w:val="Prrafodelista"/>
        <w:numPr>
          <w:ilvl w:val="0"/>
          <w:numId w:val="1"/>
        </w:numPr>
        <w:tabs>
          <w:tab w:val="left" w:pos="567"/>
        </w:tabs>
        <w:spacing w:line="360" w:lineRule="auto"/>
        <w:ind w:left="0" w:firstLine="0"/>
        <w:jc w:val="both"/>
        <w:rPr>
          <w:rFonts w:ascii="Palatino Linotype" w:hAnsi="Palatino Linotype" w:cs="Arial"/>
          <w:b/>
        </w:rPr>
      </w:pPr>
      <w:r w:rsidRPr="000650DD">
        <w:rPr>
          <w:rFonts w:ascii="Palatino Linotype" w:hAnsi="Palatino Linotype"/>
        </w:rPr>
        <w:t xml:space="preserve">Aunado a lo anterior, en el artículo 2 del Reglamento en comento determina que la Junta Local de Conciliación y Arbitraje del Valle de Toluca tiene a su cargo la conciliación, tramitación y decisión sobre los conflictos de trabajo que se susciten entre trabajadores y patrones, solo entre aquéllos y solo entre éstos, derivados de las relaciones de trabajo o de hechos ligados con ellas, así como crear condiciones generales de trabajo cuando se sometan a su decisión los conflictos de naturaleza económica, registrar sindicatos, recibir en depósito contratos colectivos de trabajo, </w:t>
      </w:r>
      <w:r w:rsidRPr="000650DD">
        <w:rPr>
          <w:rFonts w:ascii="Palatino Linotype" w:hAnsi="Palatino Linotype"/>
        </w:rPr>
        <w:lastRenderedPageBreak/>
        <w:t>reglamentos interiores de trabajo, avisos u otra documentación de acuerdo a su competencia legal.</w:t>
      </w:r>
    </w:p>
    <w:p w14:paraId="2FAE8007" w14:textId="77777777" w:rsidR="000650DD" w:rsidRPr="000650DD" w:rsidRDefault="000650DD" w:rsidP="000650DD">
      <w:pPr>
        <w:pStyle w:val="Prrafodelista"/>
        <w:rPr>
          <w:rFonts w:ascii="Palatino Linotype" w:hAnsi="Palatino Linotype" w:cs="Arial"/>
          <w:b/>
        </w:rPr>
      </w:pPr>
    </w:p>
    <w:p w14:paraId="7A73DE0C" w14:textId="002771B6" w:rsidR="00163EDB" w:rsidRPr="00D2437C" w:rsidRDefault="00163EDB"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En virtud de lo anterior, se desprende que su principal función de la </w:t>
      </w:r>
      <w:r w:rsidRPr="00163EDB">
        <w:rPr>
          <w:rFonts w:ascii="Palatino Linotype" w:hAnsi="Palatino Linotype"/>
          <w:bCs/>
          <w:color w:val="000000"/>
        </w:rPr>
        <w:t>Junta Local de Conciliación y Arbitraje Valle de Toluca</w:t>
      </w:r>
      <w:r>
        <w:rPr>
          <w:rFonts w:ascii="Palatino Linotype" w:hAnsi="Palatino Linotype"/>
          <w:bCs/>
          <w:color w:val="000000"/>
        </w:rPr>
        <w:t xml:space="preserve">, es la conciliación, tramitación y decisión sobre los conflictos de trabajo que se susciten entre trabajadores y patrones, así como revisar y tramitar las solicitudes de registro de sindicatos </w:t>
      </w:r>
      <w:r w:rsidR="00D2437C">
        <w:rPr>
          <w:rFonts w:ascii="Palatino Linotype" w:hAnsi="Palatino Linotype"/>
          <w:bCs/>
          <w:color w:val="000000"/>
        </w:rPr>
        <w:t xml:space="preserve">presentadas ante la junta. </w:t>
      </w:r>
    </w:p>
    <w:p w14:paraId="0F17CD85" w14:textId="77777777" w:rsidR="00D2437C" w:rsidRPr="00D2437C" w:rsidRDefault="00D2437C" w:rsidP="00D2437C">
      <w:pPr>
        <w:pStyle w:val="Prrafodelista"/>
        <w:rPr>
          <w:rFonts w:ascii="Palatino Linotype" w:hAnsi="Palatino Linotype" w:cs="Arial"/>
        </w:rPr>
      </w:pPr>
    </w:p>
    <w:p w14:paraId="274078D0" w14:textId="73382335" w:rsidR="008F5176" w:rsidRPr="00E37DDF" w:rsidRDefault="00D2437C" w:rsidP="005A7ACC">
      <w:pPr>
        <w:pStyle w:val="Prrafodelista"/>
        <w:numPr>
          <w:ilvl w:val="0"/>
          <w:numId w:val="1"/>
        </w:numPr>
        <w:tabs>
          <w:tab w:val="left" w:pos="567"/>
        </w:tabs>
        <w:spacing w:line="360" w:lineRule="auto"/>
        <w:ind w:left="0" w:firstLine="0"/>
        <w:jc w:val="both"/>
        <w:rPr>
          <w:rFonts w:ascii="Palatino Linotype" w:hAnsi="Palatino Linotype" w:cs="Arial"/>
        </w:rPr>
      </w:pPr>
      <w:r w:rsidRPr="000650DD">
        <w:rPr>
          <w:rFonts w:ascii="Palatino Linotype" w:hAnsi="Palatino Linotype" w:cs="Arial"/>
        </w:rPr>
        <w:t>Empero lo anterior,</w:t>
      </w:r>
      <w:r w:rsidR="001E41C3">
        <w:rPr>
          <w:rFonts w:ascii="Palatino Linotype" w:hAnsi="Palatino Linotype" w:cs="Arial"/>
        </w:rPr>
        <w:t xml:space="preserve"> la Ley Federal del Trabajo es el instrumento legislativo que regula las relaciones laborales entre patrones y trabajadores, así mismo establece que las </w:t>
      </w:r>
      <w:r w:rsidR="001E41C3" w:rsidRPr="001E41C3">
        <w:rPr>
          <w:rFonts w:ascii="Palatino Linotype" w:hAnsi="Palatino Linotype"/>
        </w:rPr>
        <w:t>condiciones de trabajo deben hacerse constar por escrito cuando no existan contratos colectivos aplicables. Se harán dos ejemplares, por lo menos, de los cuales que</w:t>
      </w:r>
      <w:r w:rsidR="001E41C3">
        <w:rPr>
          <w:rFonts w:ascii="Palatino Linotype" w:hAnsi="Palatino Linotype"/>
        </w:rPr>
        <w:t>dará uno en poder de cada parte</w:t>
      </w:r>
      <w:r w:rsidR="006A4056">
        <w:rPr>
          <w:rFonts w:ascii="Palatino Linotype" w:hAnsi="Palatino Linotype"/>
        </w:rPr>
        <w:t xml:space="preserve">, en el mismo sentir en el capítulo III “Contrato colectivo de trabajo” prevé lo relativo a la estructura de dichos contratos, como se debe celebrar, los términos, tiempos y formalidades. </w:t>
      </w:r>
    </w:p>
    <w:p w14:paraId="483F782D" w14:textId="77777777" w:rsidR="00E37DDF" w:rsidRPr="00E37DDF" w:rsidRDefault="00E37DDF" w:rsidP="00E37DDF">
      <w:pPr>
        <w:pStyle w:val="Prrafodelista"/>
        <w:rPr>
          <w:rFonts w:ascii="Palatino Linotype" w:hAnsi="Palatino Linotype" w:cs="Arial"/>
        </w:rPr>
      </w:pPr>
    </w:p>
    <w:p w14:paraId="2276FB61" w14:textId="29639332" w:rsidR="00AB2D1F" w:rsidRPr="00AB2D1F" w:rsidRDefault="00AB2D1F"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Ahora bien, l</w:t>
      </w:r>
      <w:r w:rsidRPr="00AB2D1F">
        <w:rPr>
          <w:rFonts w:ascii="Palatino Linotype" w:hAnsi="Palatino Linotype" w:cs="Arial"/>
          <w:color w:val="000000"/>
        </w:rPr>
        <w:t>a</w:t>
      </w:r>
      <w:r>
        <w:rPr>
          <w:rFonts w:ascii="Palatino Linotype" w:hAnsi="Palatino Linotype" w:cs="Arial"/>
          <w:color w:val="000000"/>
        </w:rPr>
        <w:t xml:space="preserve"> </w:t>
      </w:r>
      <w:r w:rsidRPr="00AB2D1F">
        <w:rPr>
          <w:rStyle w:val="Textoennegrita"/>
          <w:rFonts w:ascii="Palatino Linotype" w:hAnsi="Palatino Linotype" w:cs="Arial"/>
          <w:color w:val="000000"/>
        </w:rPr>
        <w:t>Secretaría del Trabajo</w:t>
      </w:r>
      <w:r>
        <w:rPr>
          <w:rFonts w:ascii="Palatino Linotype" w:hAnsi="Palatino Linotype" w:cs="Arial"/>
          <w:color w:val="000000"/>
        </w:rPr>
        <w:t xml:space="preserve"> </w:t>
      </w:r>
      <w:r w:rsidRPr="00AB2D1F">
        <w:rPr>
          <w:rFonts w:ascii="Palatino Linotype" w:hAnsi="Palatino Linotype" w:cs="Arial"/>
          <w:color w:val="000000"/>
        </w:rPr>
        <w:t xml:space="preserve">es el órgano encargado de ejercer las atribuciones que en materia de trabajo, corresponden al ejecutivo del Estado. A esta dependencia compete aplicar y vigilar el cumplimiento de las </w:t>
      </w:r>
      <w:r w:rsidRPr="00AB2D1F">
        <w:rPr>
          <w:rFonts w:ascii="Palatino Linotype" w:hAnsi="Palatino Linotype" w:cs="Arial"/>
          <w:b/>
          <w:color w:val="000000"/>
        </w:rPr>
        <w:t xml:space="preserve">normas relativas a condiciones generales </w:t>
      </w:r>
      <w:r w:rsidRPr="00AB2D1F">
        <w:rPr>
          <w:rFonts w:ascii="Palatino Linotype" w:hAnsi="Palatino Linotype" w:cs="Arial"/>
          <w:color w:val="000000"/>
        </w:rPr>
        <w:t xml:space="preserve">y de seguridad e higiene en los centros de trabajo, fomentar y apoyar la organización para el trabajo y el autoempleo, organizar y operar el servicio estatal de empleo, prestar asistencia jurídica gratuita a los trabajadores y </w:t>
      </w:r>
      <w:r w:rsidRPr="00AB2D1F">
        <w:rPr>
          <w:rFonts w:ascii="Palatino Linotype" w:hAnsi="Palatino Linotype" w:cs="Arial"/>
          <w:b/>
          <w:color w:val="000000"/>
        </w:rPr>
        <w:t xml:space="preserve">sindicatos </w:t>
      </w:r>
      <w:r w:rsidRPr="00AB2D1F">
        <w:rPr>
          <w:rFonts w:ascii="Palatino Linotype" w:hAnsi="Palatino Linotype" w:cs="Arial"/>
          <w:color w:val="000000"/>
        </w:rPr>
        <w:t>que lo soliciten y representarlos ante los Tribunales Laborales.</w:t>
      </w:r>
    </w:p>
    <w:p w14:paraId="33E4FD1A" w14:textId="77777777" w:rsidR="00AB2D1F" w:rsidRPr="00AB2D1F" w:rsidRDefault="00AB2D1F" w:rsidP="00AB2D1F">
      <w:pPr>
        <w:pStyle w:val="Prrafodelista"/>
        <w:rPr>
          <w:rFonts w:ascii="Palatino Linotype" w:hAnsi="Palatino Linotype" w:cs="Arial"/>
        </w:rPr>
      </w:pPr>
    </w:p>
    <w:p w14:paraId="19F6DED3" w14:textId="0A742019" w:rsidR="00484E96" w:rsidRPr="00AB2D1F" w:rsidRDefault="00AB2D1F"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Dado lo anterior, se desprende que </w:t>
      </w:r>
      <w:r w:rsidR="00E37DDF" w:rsidRPr="00AB2D1F">
        <w:rPr>
          <w:rFonts w:ascii="Palatino Linotype" w:hAnsi="Palatino Linotype" w:cs="Arial"/>
        </w:rPr>
        <w:t>del artículo 9 del Capítulo Tercero de las atribuciones administrativas de la Secretaria del Trabajo, a la Dirección General de Políticas e Inclusión laboral le corresponde:</w:t>
      </w:r>
    </w:p>
    <w:p w14:paraId="5374BF79" w14:textId="77777777" w:rsidR="00484E96" w:rsidRPr="00484E96" w:rsidRDefault="00484E96" w:rsidP="00484E96">
      <w:pPr>
        <w:pStyle w:val="Prrafodelista"/>
        <w:spacing w:line="276" w:lineRule="auto"/>
        <w:ind w:left="567" w:right="616"/>
        <w:rPr>
          <w:rFonts w:ascii="Palatino Linotype" w:hAnsi="Palatino Linotype" w:cs="Arial"/>
          <w:i/>
          <w:sz w:val="22"/>
          <w:szCs w:val="22"/>
        </w:rPr>
      </w:pPr>
    </w:p>
    <w:p w14:paraId="591BD8A5" w14:textId="7B3C9AAF" w:rsidR="00484E96" w:rsidRPr="00484E96" w:rsidRDefault="00484E96" w:rsidP="00484E96">
      <w:pPr>
        <w:pStyle w:val="Prrafodelista"/>
        <w:tabs>
          <w:tab w:val="left" w:pos="567"/>
        </w:tabs>
        <w:spacing w:line="276" w:lineRule="auto"/>
        <w:ind w:left="567" w:right="616"/>
        <w:jc w:val="center"/>
        <w:rPr>
          <w:rFonts w:ascii="Palatino Linotype" w:hAnsi="Palatino Linotype"/>
          <w:b/>
          <w:i/>
          <w:sz w:val="22"/>
          <w:szCs w:val="22"/>
        </w:rPr>
      </w:pPr>
      <w:r w:rsidRPr="00484E96">
        <w:rPr>
          <w:rFonts w:ascii="Palatino Linotype" w:hAnsi="Palatino Linotype"/>
          <w:b/>
          <w:i/>
          <w:sz w:val="22"/>
          <w:szCs w:val="22"/>
        </w:rPr>
        <w:t>“CAPÍTULO TERCERO</w:t>
      </w:r>
    </w:p>
    <w:p w14:paraId="3D3C182F" w14:textId="77777777" w:rsidR="00484E96" w:rsidRDefault="00484E96" w:rsidP="00484E96">
      <w:pPr>
        <w:pStyle w:val="Prrafodelista"/>
        <w:tabs>
          <w:tab w:val="left" w:pos="567"/>
        </w:tabs>
        <w:spacing w:line="276" w:lineRule="auto"/>
        <w:ind w:left="567" w:right="616"/>
        <w:jc w:val="both"/>
        <w:rPr>
          <w:rFonts w:ascii="Palatino Linotype" w:hAnsi="Palatino Linotype"/>
          <w:b/>
          <w:i/>
          <w:sz w:val="22"/>
          <w:szCs w:val="22"/>
        </w:rPr>
      </w:pPr>
      <w:r w:rsidRPr="00484E96">
        <w:rPr>
          <w:rFonts w:ascii="Palatino Linotype" w:hAnsi="Palatino Linotype"/>
          <w:b/>
          <w:i/>
          <w:sz w:val="22"/>
          <w:szCs w:val="22"/>
        </w:rPr>
        <w:t xml:space="preserve">DE LAS ATRIBUCIONES DE LAS UNIDADES ADMINISTRATIVAS DE LA SECRETARÍA DEL TRABAJO </w:t>
      </w:r>
    </w:p>
    <w:p w14:paraId="0A3FF080" w14:textId="77777777" w:rsidR="00461954" w:rsidRPr="00484E96" w:rsidRDefault="00461954" w:rsidP="00484E96">
      <w:pPr>
        <w:pStyle w:val="Prrafodelista"/>
        <w:tabs>
          <w:tab w:val="left" w:pos="567"/>
        </w:tabs>
        <w:spacing w:line="276" w:lineRule="auto"/>
        <w:ind w:left="567" w:right="616"/>
        <w:jc w:val="both"/>
        <w:rPr>
          <w:rFonts w:ascii="Palatino Linotype" w:hAnsi="Palatino Linotype"/>
          <w:b/>
          <w:i/>
          <w:sz w:val="22"/>
          <w:szCs w:val="22"/>
        </w:rPr>
      </w:pPr>
    </w:p>
    <w:p w14:paraId="7BED236B" w14:textId="4578A35B" w:rsidR="00484E96" w:rsidRPr="00484E96" w:rsidRDefault="00484E96" w:rsidP="00484E96">
      <w:pPr>
        <w:pStyle w:val="Prrafodelista"/>
        <w:tabs>
          <w:tab w:val="left" w:pos="567"/>
        </w:tabs>
        <w:spacing w:line="276" w:lineRule="auto"/>
        <w:ind w:left="567" w:right="616"/>
        <w:jc w:val="both"/>
        <w:rPr>
          <w:rFonts w:ascii="Palatino Linotype" w:hAnsi="Palatino Linotype"/>
          <w:i/>
          <w:sz w:val="22"/>
          <w:szCs w:val="22"/>
        </w:rPr>
      </w:pPr>
      <w:r w:rsidRPr="00484E96">
        <w:rPr>
          <w:rFonts w:ascii="Palatino Linotype" w:hAnsi="Palatino Linotype"/>
          <w:b/>
          <w:i/>
          <w:sz w:val="22"/>
          <w:szCs w:val="22"/>
        </w:rPr>
        <w:t>Artículo 9</w:t>
      </w:r>
      <w:r w:rsidRPr="00484E96">
        <w:rPr>
          <w:rFonts w:ascii="Palatino Linotype" w:hAnsi="Palatino Linotype"/>
          <w:i/>
          <w:sz w:val="22"/>
          <w:szCs w:val="22"/>
        </w:rPr>
        <w:t>. A la Dirección General de Política e Inclusión laboral le corresponde:</w:t>
      </w:r>
    </w:p>
    <w:p w14:paraId="4A9293E5" w14:textId="214A2396" w:rsidR="00484E96" w:rsidRPr="00484E96" w:rsidRDefault="00484E96" w:rsidP="00484E96">
      <w:pPr>
        <w:pStyle w:val="Prrafodelista"/>
        <w:tabs>
          <w:tab w:val="left" w:pos="567"/>
        </w:tabs>
        <w:spacing w:line="276" w:lineRule="auto"/>
        <w:ind w:left="567" w:right="616"/>
        <w:jc w:val="both"/>
        <w:rPr>
          <w:rFonts w:ascii="Palatino Linotype" w:hAnsi="Palatino Linotype"/>
          <w:i/>
          <w:sz w:val="22"/>
          <w:szCs w:val="22"/>
        </w:rPr>
      </w:pPr>
      <w:r w:rsidRPr="00484E96">
        <w:rPr>
          <w:rFonts w:ascii="Palatino Linotype" w:hAnsi="Palatino Linotype"/>
          <w:i/>
          <w:sz w:val="22"/>
          <w:szCs w:val="22"/>
        </w:rPr>
        <w:t>(…)</w:t>
      </w:r>
    </w:p>
    <w:p w14:paraId="401FC38F" w14:textId="75DA1633" w:rsidR="00484E96" w:rsidRPr="00484E96" w:rsidRDefault="00484E96" w:rsidP="00484E96">
      <w:pPr>
        <w:pStyle w:val="Prrafodelista"/>
        <w:tabs>
          <w:tab w:val="left" w:pos="567"/>
        </w:tabs>
        <w:spacing w:line="276" w:lineRule="auto"/>
        <w:ind w:left="567" w:right="616"/>
        <w:jc w:val="both"/>
        <w:rPr>
          <w:rFonts w:ascii="Palatino Linotype" w:hAnsi="Palatino Linotype"/>
          <w:i/>
          <w:sz w:val="22"/>
          <w:szCs w:val="22"/>
        </w:rPr>
      </w:pPr>
      <w:r w:rsidRPr="00484E96">
        <w:rPr>
          <w:rFonts w:ascii="Palatino Linotype" w:hAnsi="Palatino Linotype"/>
          <w:i/>
          <w:sz w:val="22"/>
          <w:szCs w:val="22"/>
        </w:rPr>
        <w:t>VIII. Asesorar a las trabajadoras, los trabajadores, los sindicatos y a las y los patrones del sector público y privado en sus derechos y obligaciones laborales, así como difundir los beneficios de la seguridad social y la inclusión laboral.</w:t>
      </w:r>
    </w:p>
    <w:p w14:paraId="3443E7E4" w14:textId="33C59488" w:rsidR="00484E96" w:rsidRPr="00484E96" w:rsidRDefault="00484E96" w:rsidP="00484E96">
      <w:pPr>
        <w:pStyle w:val="Prrafodelista"/>
        <w:tabs>
          <w:tab w:val="left" w:pos="567"/>
        </w:tabs>
        <w:spacing w:line="276" w:lineRule="auto"/>
        <w:ind w:left="567" w:right="616"/>
        <w:jc w:val="both"/>
        <w:rPr>
          <w:rFonts w:ascii="Palatino Linotype" w:hAnsi="Palatino Linotype" w:cs="Arial"/>
          <w:i/>
          <w:sz w:val="22"/>
          <w:szCs w:val="22"/>
        </w:rPr>
      </w:pPr>
      <w:r w:rsidRPr="00484E96">
        <w:rPr>
          <w:rFonts w:ascii="Palatino Linotype" w:hAnsi="Palatino Linotype"/>
          <w:i/>
          <w:sz w:val="22"/>
          <w:szCs w:val="22"/>
        </w:rPr>
        <w:t>(…)”</w:t>
      </w:r>
    </w:p>
    <w:p w14:paraId="559BD574" w14:textId="77777777" w:rsidR="00484E96" w:rsidRPr="00484E96" w:rsidRDefault="00484E96" w:rsidP="00484E96">
      <w:pPr>
        <w:pStyle w:val="Prrafodelista"/>
        <w:rPr>
          <w:rFonts w:ascii="Palatino Linotype" w:hAnsi="Palatino Linotype" w:cs="Arial"/>
        </w:rPr>
      </w:pPr>
    </w:p>
    <w:p w14:paraId="33CE5E71" w14:textId="31742B3D" w:rsidR="00291F69" w:rsidRDefault="00E37DDF"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 </w:t>
      </w:r>
      <w:r w:rsidR="00291F69">
        <w:rPr>
          <w:rFonts w:ascii="Palatino Linotype" w:hAnsi="Palatino Linotype" w:cs="Arial"/>
        </w:rPr>
        <w:t>Por su parte en el artículo 3 de la Ley en cita, se contempla que la Secretaria del Trabajo estará integrada de las siguientes unidades administrativas:</w:t>
      </w:r>
    </w:p>
    <w:p w14:paraId="3DCD4722" w14:textId="77777777" w:rsidR="00461954" w:rsidRDefault="00461954" w:rsidP="00461954">
      <w:pPr>
        <w:pStyle w:val="Prrafodelista"/>
        <w:tabs>
          <w:tab w:val="left" w:pos="567"/>
        </w:tabs>
        <w:spacing w:line="276" w:lineRule="auto"/>
        <w:ind w:left="0"/>
        <w:jc w:val="both"/>
        <w:rPr>
          <w:rFonts w:ascii="Palatino Linotype" w:hAnsi="Palatino Linotype" w:cs="Arial"/>
        </w:rPr>
      </w:pPr>
    </w:p>
    <w:p w14:paraId="6A40A7CC" w14:textId="0CB9CBD8" w:rsidR="00461954" w:rsidRPr="00A21565" w:rsidRDefault="00461954"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i/>
          <w:sz w:val="22"/>
          <w:szCs w:val="22"/>
        </w:rPr>
        <w:t>“</w:t>
      </w:r>
      <w:r w:rsidR="00291F69" w:rsidRPr="00A21565">
        <w:rPr>
          <w:rFonts w:ascii="Palatino Linotype" w:hAnsi="Palatino Linotype"/>
          <w:b/>
          <w:i/>
          <w:sz w:val="22"/>
          <w:szCs w:val="22"/>
        </w:rPr>
        <w:t xml:space="preserve">Artículo 3. </w:t>
      </w:r>
      <w:r w:rsidR="00291F69" w:rsidRPr="00A21565">
        <w:rPr>
          <w:rFonts w:ascii="Palatino Linotype" w:hAnsi="Palatino Linotype"/>
          <w:i/>
          <w:sz w:val="22"/>
          <w:szCs w:val="22"/>
        </w:rPr>
        <w:t xml:space="preserve">Para el estudio, planeación y despacho de los asuntos de su competencia, así como para atender las funciones de control y evaluación que le corresponden, la Secretaría contará con una Secretaria o un Secretario, quien se auxiliará de las unidades administrativas siguientes: </w:t>
      </w:r>
    </w:p>
    <w:p w14:paraId="072EBD7E" w14:textId="77777777" w:rsidR="00461954" w:rsidRPr="00A21565" w:rsidRDefault="00461954" w:rsidP="00461954">
      <w:pPr>
        <w:pStyle w:val="Prrafodelista"/>
        <w:tabs>
          <w:tab w:val="left" w:pos="567"/>
        </w:tabs>
        <w:spacing w:line="276" w:lineRule="auto"/>
        <w:ind w:left="567" w:right="616"/>
        <w:jc w:val="both"/>
        <w:rPr>
          <w:rFonts w:ascii="Palatino Linotype" w:hAnsi="Palatino Linotype"/>
          <w:i/>
          <w:sz w:val="22"/>
          <w:szCs w:val="22"/>
        </w:rPr>
      </w:pPr>
    </w:p>
    <w:p w14:paraId="511A6F03" w14:textId="4D721E24" w:rsidR="00461954" w:rsidRPr="00A21565" w:rsidRDefault="00291F69"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i/>
          <w:sz w:val="22"/>
          <w:szCs w:val="22"/>
        </w:rPr>
        <w:t xml:space="preserve">I. Dirección General de Política e Inclusión Laboral. </w:t>
      </w:r>
    </w:p>
    <w:p w14:paraId="2DFB2D89" w14:textId="77777777" w:rsidR="00461954" w:rsidRPr="00A21565" w:rsidRDefault="00291F69"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i/>
          <w:sz w:val="22"/>
          <w:szCs w:val="22"/>
        </w:rPr>
        <w:t xml:space="preserve">II. Dirección General de Empleo y Productividad. </w:t>
      </w:r>
    </w:p>
    <w:p w14:paraId="4B58BEFD" w14:textId="77777777" w:rsidR="00461954" w:rsidRPr="00A21565" w:rsidRDefault="00291F69"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b/>
          <w:i/>
          <w:sz w:val="22"/>
          <w:szCs w:val="22"/>
        </w:rPr>
        <w:t>III. Procuraduría de la Defensa del Trabajo</w:t>
      </w:r>
      <w:r w:rsidRPr="00A21565">
        <w:rPr>
          <w:rFonts w:ascii="Palatino Linotype" w:hAnsi="Palatino Linotype"/>
          <w:i/>
          <w:sz w:val="22"/>
          <w:szCs w:val="22"/>
        </w:rPr>
        <w:t xml:space="preserve">. </w:t>
      </w:r>
    </w:p>
    <w:p w14:paraId="063C99D1" w14:textId="26A3C4CE" w:rsidR="00461954" w:rsidRPr="00A21565" w:rsidRDefault="00291F69"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i/>
          <w:sz w:val="22"/>
          <w:szCs w:val="22"/>
        </w:rPr>
        <w:t xml:space="preserve">IV. Coordinación Administrativa. </w:t>
      </w:r>
    </w:p>
    <w:p w14:paraId="50AB8CAA" w14:textId="49AD3BE3" w:rsidR="00291F69" w:rsidRPr="00A21565" w:rsidRDefault="00291F69" w:rsidP="00461954">
      <w:pPr>
        <w:pStyle w:val="Prrafodelista"/>
        <w:tabs>
          <w:tab w:val="left" w:pos="567"/>
        </w:tabs>
        <w:spacing w:line="276" w:lineRule="auto"/>
        <w:ind w:left="567" w:right="616"/>
        <w:jc w:val="both"/>
        <w:rPr>
          <w:rFonts w:ascii="Palatino Linotype" w:hAnsi="Palatino Linotype"/>
          <w:i/>
          <w:sz w:val="22"/>
          <w:szCs w:val="22"/>
        </w:rPr>
      </w:pPr>
      <w:r w:rsidRPr="00A21565">
        <w:rPr>
          <w:rFonts w:ascii="Palatino Linotype" w:hAnsi="Palatino Linotype"/>
          <w:i/>
          <w:sz w:val="22"/>
          <w:szCs w:val="22"/>
        </w:rPr>
        <w:t>V. Contraloría Interna.</w:t>
      </w:r>
      <w:r w:rsidR="00461954" w:rsidRPr="00A21565">
        <w:rPr>
          <w:rFonts w:ascii="Palatino Linotype" w:hAnsi="Palatino Linotype"/>
          <w:i/>
          <w:sz w:val="22"/>
          <w:szCs w:val="22"/>
        </w:rPr>
        <w:t xml:space="preserve">” </w:t>
      </w:r>
    </w:p>
    <w:p w14:paraId="4ECDD690" w14:textId="3240DF89" w:rsidR="00461954" w:rsidRPr="00A21565" w:rsidRDefault="00461954" w:rsidP="00461954">
      <w:pPr>
        <w:pStyle w:val="Prrafodelista"/>
        <w:tabs>
          <w:tab w:val="left" w:pos="567"/>
        </w:tabs>
        <w:spacing w:line="276" w:lineRule="auto"/>
        <w:ind w:left="567" w:right="616"/>
        <w:jc w:val="both"/>
        <w:rPr>
          <w:rFonts w:ascii="Palatino Linotype" w:hAnsi="Palatino Linotype" w:cs="Arial"/>
          <w:sz w:val="22"/>
          <w:szCs w:val="22"/>
        </w:rPr>
      </w:pPr>
      <w:r w:rsidRPr="00A21565">
        <w:rPr>
          <w:rFonts w:ascii="Palatino Linotype" w:hAnsi="Palatino Linotype"/>
          <w:sz w:val="22"/>
          <w:szCs w:val="22"/>
        </w:rPr>
        <w:t>(Énfasis añadido).</w:t>
      </w:r>
    </w:p>
    <w:p w14:paraId="25BCC313" w14:textId="77777777" w:rsidR="00291F69" w:rsidRDefault="00291F69" w:rsidP="00291F69">
      <w:pPr>
        <w:pStyle w:val="Prrafodelista"/>
        <w:tabs>
          <w:tab w:val="left" w:pos="567"/>
        </w:tabs>
        <w:spacing w:line="360" w:lineRule="auto"/>
        <w:ind w:left="0"/>
        <w:jc w:val="both"/>
        <w:rPr>
          <w:rFonts w:ascii="Palatino Linotype" w:hAnsi="Palatino Linotype" w:cs="Arial"/>
        </w:rPr>
      </w:pPr>
    </w:p>
    <w:p w14:paraId="438C5C85" w14:textId="0F09E00F" w:rsidR="00AB2D1F" w:rsidRDefault="00AB2D1F"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Adicionalmente en el artículo 11 de dicha normatividad refiere lo siguiente:</w:t>
      </w:r>
    </w:p>
    <w:p w14:paraId="42FB0BF1" w14:textId="77777777" w:rsidR="00484E96" w:rsidRDefault="00484E96" w:rsidP="00484E96">
      <w:pPr>
        <w:pStyle w:val="Prrafodelista"/>
        <w:tabs>
          <w:tab w:val="left" w:pos="567"/>
        </w:tabs>
        <w:spacing w:line="360" w:lineRule="auto"/>
        <w:ind w:left="0"/>
        <w:jc w:val="both"/>
        <w:rPr>
          <w:rFonts w:ascii="Palatino Linotype" w:hAnsi="Palatino Linotype" w:cs="Arial"/>
        </w:rPr>
      </w:pPr>
    </w:p>
    <w:p w14:paraId="6CE11B61" w14:textId="15D180A6" w:rsidR="00AB2D1F" w:rsidRDefault="00AB2D1F" w:rsidP="00461954">
      <w:pPr>
        <w:pStyle w:val="Prrafodelista"/>
        <w:tabs>
          <w:tab w:val="left" w:pos="567"/>
        </w:tabs>
        <w:spacing w:line="276" w:lineRule="auto"/>
        <w:ind w:left="567" w:right="616"/>
        <w:jc w:val="both"/>
        <w:rPr>
          <w:rFonts w:ascii="Palatino Linotype" w:hAnsi="Palatino Linotype"/>
          <w:i/>
          <w:sz w:val="22"/>
          <w:szCs w:val="22"/>
        </w:rPr>
      </w:pPr>
      <w:r w:rsidRPr="00AB2D1F">
        <w:rPr>
          <w:rFonts w:ascii="Palatino Linotype" w:hAnsi="Palatino Linotype"/>
          <w:i/>
          <w:sz w:val="22"/>
          <w:szCs w:val="22"/>
        </w:rPr>
        <w:lastRenderedPageBreak/>
        <w:t>“</w:t>
      </w:r>
      <w:r w:rsidR="00484E96" w:rsidRPr="00AB2D1F">
        <w:rPr>
          <w:rFonts w:ascii="Palatino Linotype" w:hAnsi="Palatino Linotype"/>
          <w:b/>
          <w:i/>
          <w:sz w:val="22"/>
          <w:szCs w:val="22"/>
        </w:rPr>
        <w:t>Artículo 11</w:t>
      </w:r>
      <w:r w:rsidR="00484E96" w:rsidRPr="00AB2D1F">
        <w:rPr>
          <w:rFonts w:ascii="Palatino Linotype" w:hAnsi="Palatino Linotype"/>
          <w:i/>
          <w:sz w:val="22"/>
          <w:szCs w:val="22"/>
        </w:rPr>
        <w:t xml:space="preserve">. A la Procuraduría de la Defensa del Trabajo le corresponde: </w:t>
      </w:r>
    </w:p>
    <w:p w14:paraId="55932D5B" w14:textId="77777777" w:rsidR="00461954" w:rsidRPr="00AB2D1F" w:rsidRDefault="00461954" w:rsidP="00461954">
      <w:pPr>
        <w:pStyle w:val="Prrafodelista"/>
        <w:tabs>
          <w:tab w:val="left" w:pos="567"/>
        </w:tabs>
        <w:spacing w:line="276" w:lineRule="auto"/>
        <w:ind w:left="567" w:right="616"/>
        <w:jc w:val="both"/>
        <w:rPr>
          <w:rFonts w:ascii="Palatino Linotype" w:hAnsi="Palatino Linotype"/>
          <w:i/>
          <w:sz w:val="22"/>
          <w:szCs w:val="22"/>
        </w:rPr>
      </w:pPr>
    </w:p>
    <w:p w14:paraId="764287E3" w14:textId="67AF9279" w:rsidR="00484E96" w:rsidRPr="00AB2D1F" w:rsidRDefault="00461954" w:rsidP="00461954">
      <w:pPr>
        <w:pStyle w:val="Prrafodelista"/>
        <w:numPr>
          <w:ilvl w:val="0"/>
          <w:numId w:val="8"/>
        </w:numPr>
        <w:tabs>
          <w:tab w:val="left" w:pos="567"/>
        </w:tabs>
        <w:spacing w:line="276" w:lineRule="auto"/>
        <w:ind w:left="567" w:right="616" w:firstLine="0"/>
        <w:jc w:val="both"/>
        <w:rPr>
          <w:rFonts w:ascii="Palatino Linotype" w:hAnsi="Palatino Linotype"/>
          <w:i/>
          <w:sz w:val="22"/>
          <w:szCs w:val="22"/>
        </w:rPr>
      </w:pPr>
      <w:r>
        <w:rPr>
          <w:rFonts w:ascii="Palatino Linotype" w:hAnsi="Palatino Linotype"/>
          <w:i/>
          <w:sz w:val="22"/>
          <w:szCs w:val="22"/>
        </w:rPr>
        <w:t xml:space="preserve"> </w:t>
      </w:r>
      <w:r w:rsidR="00484E96" w:rsidRPr="00AB2D1F">
        <w:rPr>
          <w:rFonts w:ascii="Palatino Linotype" w:hAnsi="Palatino Linotype"/>
          <w:i/>
          <w:sz w:val="22"/>
          <w:szCs w:val="22"/>
        </w:rPr>
        <w:t>Asesorar y representar gratuitamente a las trabajadoras y los trabajadores, a sus personas beneficiarias y a las y los sindicatos, respecto de las controversias derivadas de la aplicación de las normas de trabajo y de seguridad social.</w:t>
      </w:r>
    </w:p>
    <w:p w14:paraId="40C4C9CA" w14:textId="04286C2A" w:rsidR="00484E96" w:rsidRPr="00AB2D1F" w:rsidRDefault="00484E96" w:rsidP="00461954">
      <w:pPr>
        <w:tabs>
          <w:tab w:val="left" w:pos="567"/>
        </w:tabs>
        <w:spacing w:line="276" w:lineRule="auto"/>
        <w:ind w:left="567" w:right="616"/>
        <w:jc w:val="both"/>
        <w:rPr>
          <w:rFonts w:ascii="Palatino Linotype" w:hAnsi="Palatino Linotype" w:cs="Arial"/>
          <w:i/>
          <w:sz w:val="22"/>
          <w:szCs w:val="22"/>
        </w:rPr>
      </w:pPr>
      <w:r w:rsidRPr="00AB2D1F">
        <w:rPr>
          <w:rFonts w:ascii="Palatino Linotype" w:hAnsi="Palatino Linotype" w:cs="Arial"/>
          <w:i/>
          <w:sz w:val="22"/>
          <w:szCs w:val="22"/>
        </w:rPr>
        <w:t>(…)</w:t>
      </w:r>
    </w:p>
    <w:p w14:paraId="1DCA3FD5" w14:textId="5852614B" w:rsidR="00484E96" w:rsidRPr="00AB2D1F" w:rsidRDefault="00484E96" w:rsidP="00461954">
      <w:pPr>
        <w:tabs>
          <w:tab w:val="left" w:pos="567"/>
        </w:tabs>
        <w:spacing w:line="276" w:lineRule="auto"/>
        <w:ind w:left="567" w:right="616"/>
        <w:jc w:val="both"/>
        <w:rPr>
          <w:rFonts w:ascii="Palatino Linotype" w:hAnsi="Palatino Linotype"/>
          <w:i/>
          <w:sz w:val="22"/>
          <w:szCs w:val="22"/>
        </w:rPr>
      </w:pPr>
      <w:r w:rsidRPr="00461954">
        <w:rPr>
          <w:rFonts w:ascii="Palatino Linotype" w:hAnsi="Palatino Linotype"/>
          <w:b/>
          <w:i/>
          <w:sz w:val="22"/>
          <w:szCs w:val="22"/>
        </w:rPr>
        <w:t>IV</w:t>
      </w:r>
      <w:r w:rsidRPr="00AB2D1F">
        <w:rPr>
          <w:rFonts w:ascii="Palatino Linotype" w:hAnsi="Palatino Linotype"/>
          <w:i/>
          <w:sz w:val="22"/>
          <w:szCs w:val="22"/>
        </w:rPr>
        <w:t>. Representar jurídicamente y de manera gratuita a las trabajadoras y los trabajadores, de la iniciativa privada y del servicio público del Estado y de los municipios, a sus personas beneficiarias y a los sindicatos, para la defensa de sus derechos en conflictos individuales o colectivos de trabajo.</w:t>
      </w:r>
      <w:r w:rsidR="00AB2D1F" w:rsidRPr="00AB2D1F">
        <w:rPr>
          <w:rFonts w:ascii="Palatino Linotype" w:hAnsi="Palatino Linotype"/>
          <w:i/>
          <w:sz w:val="22"/>
          <w:szCs w:val="22"/>
        </w:rPr>
        <w:t>”</w:t>
      </w:r>
    </w:p>
    <w:p w14:paraId="7AA89E3F" w14:textId="77777777" w:rsidR="00484E96" w:rsidRPr="00484E96" w:rsidRDefault="00484E96" w:rsidP="00484E96">
      <w:pPr>
        <w:tabs>
          <w:tab w:val="left" w:pos="567"/>
        </w:tabs>
        <w:spacing w:line="360" w:lineRule="auto"/>
        <w:ind w:left="360"/>
        <w:jc w:val="both"/>
        <w:rPr>
          <w:rFonts w:ascii="Palatino Linotype" w:hAnsi="Palatino Linotype" w:cs="Arial"/>
        </w:rPr>
      </w:pPr>
    </w:p>
    <w:p w14:paraId="707FADD9" w14:textId="60DF09A8" w:rsidR="00AB2D1F" w:rsidRPr="00461954" w:rsidRDefault="00AB2D1F"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De los prece</w:t>
      </w:r>
      <w:r w:rsidR="00291F69">
        <w:rPr>
          <w:rFonts w:ascii="Palatino Linotype" w:hAnsi="Palatino Linotype" w:cs="Arial"/>
        </w:rPr>
        <w:t xml:space="preserve">ptos citados se advierte que a la </w:t>
      </w:r>
      <w:r w:rsidRPr="00AB2D1F">
        <w:rPr>
          <w:rFonts w:ascii="Palatino Linotype" w:eastAsia="Times New Roman" w:hAnsi="Palatino Linotype" w:cs="Times New Roman"/>
          <w:color w:val="000000"/>
          <w:lang w:val="es-MX" w:eastAsia="es-MX"/>
        </w:rPr>
        <w:t>Secretaría</w:t>
      </w:r>
      <w:r>
        <w:rPr>
          <w:rFonts w:ascii="Palatino Linotype" w:eastAsia="Times New Roman" w:hAnsi="Palatino Linotype" w:cs="Times New Roman"/>
          <w:color w:val="000000"/>
          <w:lang w:val="es-MX" w:eastAsia="es-MX"/>
        </w:rPr>
        <w:t xml:space="preserve"> del Trabajo </w:t>
      </w:r>
      <w:r w:rsidR="00291F69">
        <w:rPr>
          <w:rFonts w:ascii="Palatino Linotype" w:eastAsia="Times New Roman" w:hAnsi="Palatino Linotype" w:cs="Times New Roman"/>
          <w:color w:val="000000"/>
          <w:lang w:val="es-MX" w:eastAsia="es-MX"/>
        </w:rPr>
        <w:t xml:space="preserve">le </w:t>
      </w:r>
      <w:r w:rsidR="00461954">
        <w:rPr>
          <w:rFonts w:ascii="Palatino Linotype" w:eastAsia="Times New Roman" w:hAnsi="Palatino Linotype" w:cs="Times New Roman"/>
          <w:color w:val="000000"/>
          <w:lang w:val="es-MX" w:eastAsia="es-MX"/>
        </w:rPr>
        <w:t>compete vigilar y aplicar el</w:t>
      </w:r>
      <w:r w:rsidRPr="00461954">
        <w:rPr>
          <w:rFonts w:ascii="Palatino Linotype" w:eastAsia="Times New Roman" w:hAnsi="Palatino Linotype" w:cs="Times New Roman"/>
          <w:color w:val="000000"/>
          <w:lang w:val="es-MX" w:eastAsia="es-MX"/>
        </w:rPr>
        <w:t xml:space="preserve"> cumplimiento de las normas relativas a condiciones generales </w:t>
      </w:r>
      <w:r w:rsidR="00461954">
        <w:rPr>
          <w:rFonts w:ascii="Palatino Linotype" w:eastAsia="Times New Roman" w:hAnsi="Palatino Linotype" w:cs="Times New Roman"/>
          <w:color w:val="000000"/>
          <w:lang w:val="es-MX" w:eastAsia="es-MX"/>
        </w:rPr>
        <w:t>en los centros de trabajo, así como p</w:t>
      </w:r>
      <w:r w:rsidRPr="00461954">
        <w:rPr>
          <w:rFonts w:ascii="Palatino Linotype" w:eastAsia="Times New Roman" w:hAnsi="Palatino Linotype" w:cs="Times New Roman"/>
          <w:color w:val="000000"/>
          <w:lang w:val="es-MX" w:eastAsia="es-MX"/>
        </w:rPr>
        <w:t xml:space="preserve">restar asistencia jurídica gratuita a los trabajadores y sindicatos que lo soliciten </w:t>
      </w:r>
      <w:r w:rsidR="00461954">
        <w:rPr>
          <w:rFonts w:ascii="Palatino Linotype" w:eastAsia="Times New Roman" w:hAnsi="Palatino Linotype" w:cs="Times New Roman"/>
          <w:color w:val="000000"/>
          <w:lang w:val="es-MX" w:eastAsia="es-MX"/>
        </w:rPr>
        <w:t xml:space="preserve"> a través de la Procuraduría de la Defensa del Trabajo.</w:t>
      </w:r>
    </w:p>
    <w:p w14:paraId="67825E3A" w14:textId="77777777" w:rsidR="00461954" w:rsidRPr="00461954" w:rsidRDefault="00461954" w:rsidP="00461954">
      <w:pPr>
        <w:pStyle w:val="Prrafodelista"/>
        <w:tabs>
          <w:tab w:val="left" w:pos="567"/>
        </w:tabs>
        <w:spacing w:line="360" w:lineRule="auto"/>
        <w:ind w:left="0"/>
        <w:jc w:val="both"/>
        <w:rPr>
          <w:rFonts w:ascii="Palatino Linotype" w:hAnsi="Palatino Linotype" w:cs="Arial"/>
        </w:rPr>
      </w:pPr>
    </w:p>
    <w:p w14:paraId="570A1F60" w14:textId="037788FA" w:rsidR="00125344" w:rsidRDefault="00461954"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Una vez mencionado lo anterior es oportuno recordar que el </w:t>
      </w:r>
      <w:r w:rsidRPr="00461954">
        <w:rPr>
          <w:rFonts w:ascii="Palatino Linotype" w:hAnsi="Palatino Linotype" w:cs="Arial"/>
          <w:b/>
        </w:rPr>
        <w:t xml:space="preserve">SUJETO OBLIGADO </w:t>
      </w:r>
      <w:r>
        <w:rPr>
          <w:rFonts w:ascii="Palatino Linotype" w:hAnsi="Palatino Linotype" w:cs="Arial"/>
        </w:rPr>
        <w:t xml:space="preserve">remitió en vía de informe justificado el </w:t>
      </w:r>
      <w:r w:rsidRPr="00461954">
        <w:rPr>
          <w:rFonts w:ascii="Palatino Linotype" w:hAnsi="Palatino Linotype" w:cs="Arial"/>
        </w:rPr>
        <w:t>Acta de la Cuadragésima Segunda Sesión Extraordinaria 2022 del Comité de</w:t>
      </w:r>
      <w:r>
        <w:rPr>
          <w:rFonts w:ascii="Palatino Linotype" w:hAnsi="Palatino Linotype" w:cs="Arial"/>
        </w:rPr>
        <w:t xml:space="preserve"> </w:t>
      </w:r>
      <w:r w:rsidRPr="00461954">
        <w:rPr>
          <w:rFonts w:ascii="Palatino Linotype" w:hAnsi="Palatino Linotype" w:cs="Arial"/>
        </w:rPr>
        <w:t>Transparencia de la Junta Local de Conciliación y Arbitraje del Valle de</w:t>
      </w:r>
      <w:r>
        <w:rPr>
          <w:rFonts w:ascii="Palatino Linotype" w:hAnsi="Palatino Linotype" w:cs="Arial"/>
        </w:rPr>
        <w:t xml:space="preserve"> Toluca, mediante la cu</w:t>
      </w:r>
      <w:r w:rsidR="00125344">
        <w:rPr>
          <w:rFonts w:ascii="Palatino Linotype" w:hAnsi="Palatino Linotype" w:cs="Arial"/>
        </w:rPr>
        <w:t xml:space="preserve">al declina incompetencia y </w:t>
      </w:r>
      <w:r w:rsidR="00125344" w:rsidRPr="00125344">
        <w:rPr>
          <w:rFonts w:ascii="Palatino Linotype" w:hAnsi="Palatino Linotype" w:cs="Arial"/>
        </w:rPr>
        <w:t>en aras de</w:t>
      </w:r>
      <w:r w:rsidR="00125344">
        <w:rPr>
          <w:rFonts w:ascii="Palatino Linotype" w:hAnsi="Palatino Linotype" w:cs="Arial"/>
        </w:rPr>
        <w:t xml:space="preserve"> </w:t>
      </w:r>
      <w:r w:rsidR="00125344" w:rsidRPr="00125344">
        <w:rPr>
          <w:rFonts w:ascii="Palatino Linotype" w:hAnsi="Palatino Linotype" w:cs="Arial"/>
        </w:rPr>
        <w:t>privilegiar el Derecho de Acceso a la Información Pública sugiere dirigir la</w:t>
      </w:r>
      <w:r w:rsidR="00125344">
        <w:rPr>
          <w:rFonts w:ascii="Palatino Linotype" w:hAnsi="Palatino Linotype" w:cs="Arial"/>
        </w:rPr>
        <w:t xml:space="preserve"> </w:t>
      </w:r>
      <w:r w:rsidR="00125344" w:rsidRPr="00125344">
        <w:rPr>
          <w:rFonts w:ascii="Palatino Linotype" w:hAnsi="Palatino Linotype" w:cs="Arial"/>
        </w:rPr>
        <w:t>solicitud a la Procuraduría de la Defensa del Trabajo.</w:t>
      </w:r>
    </w:p>
    <w:p w14:paraId="1BCE8244" w14:textId="77777777" w:rsidR="00125344" w:rsidRPr="00125344" w:rsidRDefault="00125344" w:rsidP="00125344">
      <w:pPr>
        <w:pStyle w:val="Prrafodelista"/>
        <w:tabs>
          <w:tab w:val="left" w:pos="567"/>
        </w:tabs>
        <w:spacing w:line="360" w:lineRule="auto"/>
        <w:ind w:left="0"/>
        <w:jc w:val="both"/>
        <w:rPr>
          <w:rFonts w:ascii="Palatino Linotype" w:hAnsi="Palatino Linotype" w:cs="Arial"/>
        </w:rPr>
      </w:pPr>
    </w:p>
    <w:p w14:paraId="04489E64" w14:textId="39853013" w:rsidR="00125344" w:rsidRPr="005565B9" w:rsidRDefault="00125344" w:rsidP="005A7ACC">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 lo anterior se concluye que </w:t>
      </w:r>
      <w:r w:rsidRPr="00125344">
        <w:rPr>
          <w:rFonts w:ascii="Palatino Linotype" w:hAnsi="Palatino Linotype" w:cs="Arial"/>
        </w:rPr>
        <w:t xml:space="preserve">la </w:t>
      </w:r>
      <w:r w:rsidRPr="00125344">
        <w:rPr>
          <w:rFonts w:ascii="Palatino Linotype" w:hAnsi="Palatino Linotype"/>
          <w:bCs/>
          <w:color w:val="000000"/>
          <w:sz w:val="22"/>
          <w:szCs w:val="22"/>
        </w:rPr>
        <w:t>Junta Local de Conciliación y Arbitraje Valle de Toluca</w:t>
      </w:r>
      <w:r>
        <w:rPr>
          <w:rFonts w:ascii="Palatino Linotype" w:hAnsi="Palatino Linotype"/>
          <w:bCs/>
          <w:color w:val="000000"/>
          <w:sz w:val="22"/>
          <w:szCs w:val="22"/>
        </w:rPr>
        <w:t xml:space="preserve"> </w:t>
      </w:r>
      <w:r>
        <w:rPr>
          <w:rFonts w:ascii="Palatino Linotype" w:eastAsia="Times New Roman" w:hAnsi="Palatino Linotype" w:cs="Arial"/>
          <w:color w:val="000000"/>
          <w:lang w:val="es-MX" w:eastAsia="es-MX"/>
        </w:rPr>
        <w:t>se encarga</w:t>
      </w:r>
      <w:r w:rsidRPr="00125344">
        <w:rPr>
          <w:rFonts w:ascii="Palatino Linotype" w:eastAsia="Times New Roman" w:hAnsi="Palatino Linotype" w:cs="Arial"/>
          <w:color w:val="000000"/>
          <w:lang w:val="es-MX" w:eastAsia="es-MX"/>
        </w:rPr>
        <w:t xml:space="preserve"> de resolver </w:t>
      </w:r>
      <w:r>
        <w:rPr>
          <w:rFonts w:ascii="Palatino Linotype" w:eastAsia="Times New Roman" w:hAnsi="Palatino Linotype" w:cs="Arial"/>
          <w:color w:val="000000"/>
          <w:lang w:val="es-MX" w:eastAsia="es-MX"/>
        </w:rPr>
        <w:t xml:space="preserve"> </w:t>
      </w:r>
      <w:r w:rsidRPr="00125344">
        <w:rPr>
          <w:rFonts w:ascii="Palatino Linotype" w:eastAsia="Times New Roman" w:hAnsi="Palatino Linotype" w:cs="Arial"/>
          <w:color w:val="000000"/>
          <w:lang w:val="es-MX" w:eastAsia="es-MX"/>
        </w:rPr>
        <w:t>los conflictos laborales de competencia estatal, que se susciten entre los factores de la producción, mediante la conciliación y el arbitraje, para mantener el equilibrio en las relaciones de tr</w:t>
      </w:r>
      <w:r>
        <w:rPr>
          <w:rFonts w:ascii="Palatino Linotype" w:eastAsia="Times New Roman" w:hAnsi="Palatino Linotype" w:cs="Arial"/>
          <w:color w:val="000000"/>
          <w:lang w:val="es-MX" w:eastAsia="es-MX"/>
        </w:rPr>
        <w:t xml:space="preserve">abajo y preservar la paz social, mas no regular o </w:t>
      </w:r>
      <w:r w:rsidR="005565B9">
        <w:rPr>
          <w:rFonts w:ascii="Palatino Linotype" w:eastAsia="Times New Roman" w:hAnsi="Palatino Linotype" w:cs="Times New Roman"/>
          <w:color w:val="000000"/>
          <w:lang w:val="es-MX" w:eastAsia="es-MX"/>
        </w:rPr>
        <w:t xml:space="preserve">vigilar </w:t>
      </w:r>
      <w:r w:rsidR="005565B9" w:rsidRPr="005565B9">
        <w:rPr>
          <w:rFonts w:ascii="Palatino Linotype" w:eastAsia="Times New Roman" w:hAnsi="Palatino Linotype" w:cs="Times New Roman"/>
          <w:color w:val="000000"/>
          <w:lang w:val="es-MX" w:eastAsia="es-MX"/>
        </w:rPr>
        <w:t xml:space="preserve">las normas relativas a condiciones generales </w:t>
      </w:r>
      <w:r w:rsidR="005565B9">
        <w:rPr>
          <w:rFonts w:ascii="Palatino Linotype" w:eastAsia="Times New Roman" w:hAnsi="Palatino Linotype" w:cs="Times New Roman"/>
          <w:color w:val="000000"/>
          <w:lang w:val="es-MX" w:eastAsia="es-MX"/>
        </w:rPr>
        <w:t xml:space="preserve"> de los sindicatos. </w:t>
      </w:r>
    </w:p>
    <w:p w14:paraId="10AC820D" w14:textId="69A744A6" w:rsidR="00766DE6" w:rsidRPr="00766DE6" w:rsidRDefault="00766DE6" w:rsidP="005A7ACC">
      <w:pPr>
        <w:pStyle w:val="Prrafodelista"/>
        <w:numPr>
          <w:ilvl w:val="0"/>
          <w:numId w:val="1"/>
        </w:numPr>
        <w:tabs>
          <w:tab w:val="left" w:pos="567"/>
        </w:tabs>
        <w:spacing w:line="360" w:lineRule="auto"/>
        <w:ind w:left="0" w:right="49" w:firstLine="0"/>
        <w:jc w:val="both"/>
        <w:rPr>
          <w:rFonts w:ascii="Palatino Linotype" w:hAnsi="Palatino Linotype"/>
        </w:rPr>
      </w:pPr>
      <w:r w:rsidRPr="00766DE6">
        <w:rPr>
          <w:rFonts w:ascii="Palatino Linotype" w:eastAsia="MS Mincho" w:hAnsi="Palatino Linotype"/>
          <w:color w:val="000000"/>
        </w:rPr>
        <w:lastRenderedPageBreak/>
        <w:t xml:space="preserve">Es </w:t>
      </w:r>
      <w:r w:rsidRPr="00766DE6">
        <w:rPr>
          <w:rFonts w:ascii="Palatino Linotype" w:eastAsia="Calibri" w:hAnsi="Palatino Linotype" w:cs="Arial"/>
        </w:rPr>
        <w:t xml:space="preserve">necesario señalar, que este Órgano Garante no se encuentra facultado para manifestarse sobre la veracidad de la información proporcionada por parte de los </w:t>
      </w:r>
      <w:r w:rsidRPr="00766DE6">
        <w:rPr>
          <w:rFonts w:ascii="Palatino Linotype" w:eastAsia="Calibri" w:hAnsi="Palatino Linotype" w:cs="Arial"/>
          <w:b/>
        </w:rPr>
        <w:t>SUJETOS OBLIGADOS</w:t>
      </w:r>
      <w:r w:rsidRPr="00766DE6">
        <w:rPr>
          <w:rFonts w:ascii="Palatino Linotype" w:eastAsia="Calibri" w:hAnsi="Palatino Linotype" w:cs="Arial"/>
        </w:rPr>
        <w:t>, conforme a lo establecido en el Criterio 31/10 emitido por el Instituto Nacional de Transparencia, Acceso a la Información Pública y Protección de Datos Personales INAI (anteriormente IFAI) que se procede a citar a continuación:</w:t>
      </w:r>
    </w:p>
    <w:p w14:paraId="4505E06C" w14:textId="77777777" w:rsidR="00766DE6" w:rsidRPr="00C43045" w:rsidRDefault="00766DE6" w:rsidP="00766DE6">
      <w:pPr>
        <w:spacing w:line="360" w:lineRule="auto"/>
        <w:ind w:right="49"/>
        <w:contextualSpacing/>
        <w:jc w:val="both"/>
        <w:rPr>
          <w:rFonts w:ascii="Palatino Linotype" w:hAnsi="Palatino Linotype"/>
        </w:rPr>
      </w:pPr>
    </w:p>
    <w:p w14:paraId="0D7F75D1" w14:textId="77777777" w:rsidR="00766DE6" w:rsidRPr="00A21565" w:rsidRDefault="00766DE6" w:rsidP="00A21565">
      <w:pPr>
        <w:tabs>
          <w:tab w:val="left" w:pos="8222"/>
        </w:tabs>
        <w:spacing w:line="276" w:lineRule="auto"/>
        <w:ind w:left="567" w:right="567"/>
        <w:contextualSpacing/>
        <w:jc w:val="both"/>
        <w:rPr>
          <w:rFonts w:ascii="Palatino Linotype" w:eastAsia="MS Mincho" w:hAnsi="Palatino Linotype" w:cs="Arial"/>
          <w:i/>
          <w:sz w:val="22"/>
          <w:szCs w:val="22"/>
        </w:rPr>
      </w:pPr>
      <w:r w:rsidRPr="00C43045">
        <w:rPr>
          <w:rFonts w:ascii="Palatino Linotype" w:eastAsia="MS Mincho" w:hAnsi="Palatino Linotype" w:cs="Arial"/>
          <w:b/>
          <w:i/>
        </w:rPr>
        <w:t>“</w:t>
      </w:r>
      <w:r w:rsidRPr="00A21565">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A21565">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D77996" w14:textId="77777777" w:rsidR="00766DE6" w:rsidRPr="00A21565" w:rsidRDefault="00766DE6" w:rsidP="00A21565">
      <w:pPr>
        <w:tabs>
          <w:tab w:val="left" w:pos="8222"/>
        </w:tabs>
        <w:spacing w:line="276" w:lineRule="auto"/>
        <w:ind w:left="567" w:right="567"/>
        <w:contextualSpacing/>
        <w:jc w:val="both"/>
        <w:rPr>
          <w:rFonts w:ascii="Palatino Linotype" w:eastAsia="MS Mincho" w:hAnsi="Palatino Linotype" w:cs="Arial"/>
          <w:i/>
          <w:sz w:val="22"/>
          <w:szCs w:val="22"/>
        </w:rPr>
      </w:pPr>
    </w:p>
    <w:p w14:paraId="7E606533" w14:textId="77777777" w:rsidR="00766DE6" w:rsidRPr="00A21565" w:rsidRDefault="00766DE6" w:rsidP="00A21565">
      <w:pPr>
        <w:tabs>
          <w:tab w:val="left" w:pos="8222"/>
        </w:tabs>
        <w:spacing w:line="276" w:lineRule="auto"/>
        <w:ind w:left="567" w:right="567"/>
        <w:contextualSpacing/>
        <w:jc w:val="both"/>
        <w:rPr>
          <w:rFonts w:ascii="Palatino Linotype" w:eastAsia="MS Mincho" w:hAnsi="Palatino Linotype" w:cs="Arial"/>
          <w:i/>
          <w:sz w:val="22"/>
          <w:szCs w:val="22"/>
        </w:rPr>
      </w:pPr>
      <w:r w:rsidRPr="00A21565">
        <w:rPr>
          <w:rFonts w:ascii="Palatino Linotype" w:eastAsia="MS Mincho" w:hAnsi="Palatino Linotype" w:cs="Arial"/>
          <w:i/>
          <w:sz w:val="22"/>
          <w:szCs w:val="22"/>
        </w:rPr>
        <w:t>Expedientes:</w:t>
      </w:r>
    </w:p>
    <w:p w14:paraId="53176384" w14:textId="77777777" w:rsidR="00766DE6" w:rsidRPr="00A21565" w:rsidRDefault="00766DE6" w:rsidP="00A21565">
      <w:pPr>
        <w:tabs>
          <w:tab w:val="left" w:pos="8222"/>
        </w:tabs>
        <w:spacing w:line="276" w:lineRule="auto"/>
        <w:ind w:left="567" w:right="567"/>
        <w:contextualSpacing/>
        <w:rPr>
          <w:rFonts w:ascii="Palatino Linotype" w:eastAsia="MS Mincho" w:hAnsi="Palatino Linotype" w:cs="Arial"/>
          <w:i/>
          <w:sz w:val="22"/>
          <w:szCs w:val="22"/>
        </w:rPr>
      </w:pPr>
      <w:r w:rsidRPr="00A21565">
        <w:rPr>
          <w:rFonts w:ascii="Palatino Linotype" w:eastAsia="MS Mincho" w:hAnsi="Palatino Linotype" w:cs="Arial"/>
          <w:i/>
          <w:sz w:val="22"/>
          <w:szCs w:val="22"/>
        </w:rPr>
        <w:t>2440/07 Comisión Federal de Electricidad - Alonso Lujambio Irazábal</w:t>
      </w:r>
    </w:p>
    <w:p w14:paraId="4351A0E2" w14:textId="77777777" w:rsidR="00766DE6" w:rsidRPr="00A21565" w:rsidRDefault="00766DE6" w:rsidP="00A21565">
      <w:pPr>
        <w:tabs>
          <w:tab w:val="left" w:pos="8222"/>
        </w:tabs>
        <w:spacing w:line="276" w:lineRule="auto"/>
        <w:ind w:left="567" w:right="567"/>
        <w:contextualSpacing/>
        <w:rPr>
          <w:rFonts w:ascii="Palatino Linotype" w:eastAsia="MS Mincho" w:hAnsi="Palatino Linotype" w:cs="Arial"/>
          <w:i/>
          <w:sz w:val="22"/>
          <w:szCs w:val="22"/>
        </w:rPr>
      </w:pPr>
      <w:r w:rsidRPr="00A21565">
        <w:rPr>
          <w:rFonts w:ascii="Palatino Linotype" w:eastAsia="MS Mincho" w:hAnsi="Palatino Linotype" w:cs="Arial"/>
          <w:i/>
          <w:sz w:val="22"/>
          <w:szCs w:val="22"/>
        </w:rPr>
        <w:t>0113/09 Instituto de Seguridad y Servicios Sociales de los Trabajadores del</w:t>
      </w:r>
    </w:p>
    <w:p w14:paraId="2D95E774" w14:textId="77777777" w:rsidR="00766DE6" w:rsidRPr="00A21565" w:rsidRDefault="00766DE6" w:rsidP="00A21565">
      <w:pPr>
        <w:tabs>
          <w:tab w:val="left" w:pos="8222"/>
        </w:tabs>
        <w:spacing w:line="276" w:lineRule="auto"/>
        <w:ind w:left="567" w:right="567"/>
        <w:contextualSpacing/>
        <w:rPr>
          <w:rFonts w:ascii="Palatino Linotype" w:eastAsia="MS Mincho" w:hAnsi="Palatino Linotype" w:cs="Arial"/>
          <w:i/>
          <w:sz w:val="22"/>
          <w:szCs w:val="22"/>
        </w:rPr>
      </w:pPr>
      <w:r w:rsidRPr="00A21565">
        <w:rPr>
          <w:rFonts w:ascii="Palatino Linotype" w:eastAsia="MS Mincho" w:hAnsi="Palatino Linotype" w:cs="Arial"/>
          <w:i/>
          <w:sz w:val="22"/>
          <w:szCs w:val="22"/>
        </w:rPr>
        <w:t>Estado – Alonso Lujambio Irazábal</w:t>
      </w:r>
    </w:p>
    <w:p w14:paraId="6ADD0F73" w14:textId="77777777" w:rsidR="00766DE6" w:rsidRPr="00A21565" w:rsidRDefault="00766DE6" w:rsidP="00A21565">
      <w:pPr>
        <w:tabs>
          <w:tab w:val="left" w:pos="8222"/>
        </w:tabs>
        <w:spacing w:line="276" w:lineRule="auto"/>
        <w:ind w:left="567" w:right="567"/>
        <w:contextualSpacing/>
        <w:rPr>
          <w:rFonts w:ascii="Palatino Linotype" w:eastAsia="MS Mincho" w:hAnsi="Palatino Linotype" w:cs="Arial"/>
          <w:i/>
          <w:sz w:val="22"/>
          <w:szCs w:val="22"/>
        </w:rPr>
      </w:pPr>
      <w:r w:rsidRPr="00A21565">
        <w:rPr>
          <w:rFonts w:ascii="Palatino Linotype" w:eastAsia="MS Mincho" w:hAnsi="Palatino Linotype" w:cs="Arial"/>
          <w:i/>
          <w:sz w:val="22"/>
          <w:szCs w:val="22"/>
        </w:rPr>
        <w:t>1624/09 Instituto Nacional para la Educación de los Adultos - María Marván Laborde</w:t>
      </w:r>
    </w:p>
    <w:p w14:paraId="3DA6A577" w14:textId="77777777" w:rsidR="00766DE6" w:rsidRPr="00A21565" w:rsidRDefault="00766DE6" w:rsidP="00A21565">
      <w:pPr>
        <w:tabs>
          <w:tab w:val="left" w:pos="8222"/>
        </w:tabs>
        <w:spacing w:line="276" w:lineRule="auto"/>
        <w:ind w:left="567" w:right="567"/>
        <w:contextualSpacing/>
        <w:rPr>
          <w:rFonts w:ascii="Palatino Linotype" w:eastAsia="MS Mincho" w:hAnsi="Palatino Linotype" w:cs="Arial"/>
          <w:i/>
          <w:sz w:val="22"/>
          <w:szCs w:val="22"/>
        </w:rPr>
      </w:pPr>
      <w:r w:rsidRPr="00A21565">
        <w:rPr>
          <w:rFonts w:ascii="Palatino Linotype" w:eastAsia="MS Mincho" w:hAnsi="Palatino Linotype" w:cs="Arial"/>
          <w:i/>
          <w:sz w:val="22"/>
          <w:szCs w:val="22"/>
        </w:rPr>
        <w:t>2395/09 Secretaría de Economía - María Marván Laborde</w:t>
      </w:r>
    </w:p>
    <w:p w14:paraId="3D269548" w14:textId="77777777" w:rsidR="00766DE6" w:rsidRPr="00C43045" w:rsidRDefault="00766DE6" w:rsidP="00A21565">
      <w:pPr>
        <w:tabs>
          <w:tab w:val="left" w:pos="8222"/>
        </w:tabs>
        <w:spacing w:line="276" w:lineRule="auto"/>
        <w:ind w:left="567" w:right="567"/>
        <w:contextualSpacing/>
        <w:rPr>
          <w:rFonts w:ascii="Palatino Linotype" w:eastAsia="MS Mincho" w:hAnsi="Palatino Linotype" w:cs="Arial"/>
          <w:i/>
        </w:rPr>
      </w:pPr>
      <w:r w:rsidRPr="00A21565">
        <w:rPr>
          <w:rFonts w:ascii="Palatino Linotype" w:eastAsia="MS Mincho" w:hAnsi="Palatino Linotype" w:cs="Arial"/>
          <w:i/>
          <w:sz w:val="22"/>
          <w:szCs w:val="22"/>
        </w:rPr>
        <w:t>0837/10 Administración Portuaria Integral de Veracruz, S.A. de C.V. – María Marván Laborde.</w:t>
      </w:r>
      <w:r w:rsidRPr="00C43045">
        <w:rPr>
          <w:rFonts w:ascii="Palatino Linotype" w:eastAsia="MS Mincho" w:hAnsi="Palatino Linotype" w:cs="Arial"/>
          <w:i/>
        </w:rPr>
        <w:t>”</w:t>
      </w:r>
    </w:p>
    <w:p w14:paraId="0C39B6D6" w14:textId="77777777" w:rsidR="00766DE6" w:rsidRPr="00C43045" w:rsidRDefault="00766DE6" w:rsidP="00766DE6">
      <w:pPr>
        <w:pStyle w:val="Prrafodelista"/>
        <w:spacing w:line="360" w:lineRule="auto"/>
        <w:ind w:left="0"/>
        <w:jc w:val="both"/>
        <w:rPr>
          <w:rFonts w:ascii="Palatino Linotype" w:hAnsi="Palatino Linotype" w:cs="Arial"/>
        </w:rPr>
      </w:pPr>
    </w:p>
    <w:p w14:paraId="1D27F4C1"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hAnsi="Palatino Linotype"/>
        </w:rPr>
        <w:lastRenderedPageBreak/>
        <w:t xml:space="preserve">Numerales que compelen al </w:t>
      </w:r>
      <w:r w:rsidRPr="00664E2D">
        <w:rPr>
          <w:rFonts w:ascii="Palatino Linotype" w:hAnsi="Palatino Linotype"/>
          <w:b/>
        </w:rPr>
        <w:t>SUJETO OBLIGADO</w:t>
      </w:r>
      <w:r w:rsidRPr="00C43045">
        <w:rPr>
          <w:rFonts w:ascii="Palatino Linotype" w:hAnsi="Palatino Linotype"/>
        </w:rPr>
        <w:t xml:space="preserve"> a apegarse en todo momento a los criterios ya expuestos, impidiendo a este Órgano Colegiado cuestionar la veracidad de la información.</w:t>
      </w:r>
    </w:p>
    <w:p w14:paraId="20E54EC1" w14:textId="77777777" w:rsidR="00766DE6" w:rsidRPr="00C43045" w:rsidRDefault="00766DE6" w:rsidP="00766DE6">
      <w:pPr>
        <w:spacing w:line="360" w:lineRule="auto"/>
        <w:ind w:right="49"/>
        <w:contextualSpacing/>
        <w:jc w:val="both"/>
        <w:rPr>
          <w:rFonts w:ascii="Palatino Linotype" w:hAnsi="Palatino Linotype"/>
        </w:rPr>
      </w:pPr>
    </w:p>
    <w:p w14:paraId="180B1643"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Así, por cuanto hace a las causas de sobreseimiento contenidas en la fracción III del artículo 192 de la </w:t>
      </w:r>
      <w:r w:rsidRPr="00C43045">
        <w:rPr>
          <w:rFonts w:ascii="Palatino Linotype" w:eastAsia="Calibri" w:hAnsi="Palatino Linotype"/>
          <w:b/>
        </w:rPr>
        <w:t>Ley de Transparencia y Acceso a la Información Pública del Estado de México y Municipios</w:t>
      </w:r>
      <w:r w:rsidRPr="00C43045">
        <w:rPr>
          <w:rFonts w:ascii="Palatino Linotype" w:eastAsia="Calibri" w:hAnsi="Palatino Linotype"/>
        </w:rPr>
        <w:t xml:space="preserve">, es oportuno señalar que estos requisitos privilegian la existencia de elementos de fondo, tales como el desistimiento o fallecimiento del </w:t>
      </w:r>
      <w:r w:rsidRPr="00C43045">
        <w:rPr>
          <w:rFonts w:ascii="Palatino Linotype" w:eastAsia="Calibri" w:hAnsi="Palatino Linotype"/>
          <w:b/>
        </w:rPr>
        <w:t>RECURRENTE</w:t>
      </w:r>
      <w:r w:rsidRPr="00C43045">
        <w:rPr>
          <w:rFonts w:ascii="Palatino Linotype" w:eastAsia="Calibri" w:hAnsi="Palatino Linotype"/>
        </w:rPr>
        <w:t xml:space="preserve"> o que el </w:t>
      </w:r>
      <w:r w:rsidRPr="00C43045">
        <w:rPr>
          <w:rFonts w:ascii="Palatino Linotype" w:eastAsia="Calibri" w:hAnsi="Palatino Linotype"/>
          <w:b/>
        </w:rPr>
        <w:t>SUJETO OBLIGADO</w:t>
      </w:r>
      <w:r w:rsidRPr="00C43045">
        <w:rPr>
          <w:rFonts w:ascii="Palatino Linotype" w:eastAsia="Calibri" w:hAnsi="Palatino Linotype"/>
        </w:rPr>
        <w:t xml:space="preserve"> </w:t>
      </w:r>
      <w:r w:rsidRPr="00C43045">
        <w:rPr>
          <w:rFonts w:ascii="Palatino Linotype" w:eastAsia="Calibri" w:hAnsi="Palatino Linotype"/>
          <w:b/>
          <w:u w:val="single"/>
        </w:rPr>
        <w:t>modifique o revoque el acto</w:t>
      </w:r>
      <w:r w:rsidRPr="00C43045">
        <w:rPr>
          <w:rFonts w:ascii="Palatino Linotype" w:eastAsia="Calibri" w:hAnsi="Palatino Linotype"/>
        </w:rPr>
        <w:t>; de ahí que la actualización de alguno de éstos trae como consecuencia que el medio de impugnación se concluya sin que se analice el objeto de estudio planteado, es decir se sobresea.</w:t>
      </w:r>
    </w:p>
    <w:p w14:paraId="7C61BB23" w14:textId="77777777" w:rsidR="00766DE6" w:rsidRPr="00C43045" w:rsidRDefault="00766DE6" w:rsidP="00766DE6">
      <w:pPr>
        <w:pStyle w:val="Prrafodelista"/>
        <w:spacing w:line="360" w:lineRule="auto"/>
        <w:rPr>
          <w:rFonts w:ascii="Palatino Linotype" w:eastAsia="Calibri" w:hAnsi="Palatino Linotype"/>
        </w:rPr>
      </w:pPr>
    </w:p>
    <w:p w14:paraId="4C5533C3"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C43045">
        <w:rPr>
          <w:rFonts w:ascii="Palatino Linotype" w:eastAsia="Calibri" w:hAnsi="Palatino Linotype"/>
          <w:b/>
        </w:rPr>
        <w:t>SUJETO OBLIGADO</w:t>
      </w:r>
      <w:r w:rsidRPr="00C43045">
        <w:rPr>
          <w:rFonts w:ascii="Palatino Linotype" w:eastAsia="Calibri" w:hAnsi="Palatino Linotype"/>
        </w:rPr>
        <w:t>:</w:t>
      </w:r>
    </w:p>
    <w:p w14:paraId="7BAF9807" w14:textId="77777777" w:rsidR="00766DE6" w:rsidRPr="005A7ACC" w:rsidRDefault="00766DE6" w:rsidP="00766DE6">
      <w:pPr>
        <w:spacing w:line="360" w:lineRule="auto"/>
        <w:ind w:right="49"/>
        <w:contextualSpacing/>
        <w:jc w:val="both"/>
        <w:rPr>
          <w:rFonts w:ascii="Palatino Linotype" w:hAnsi="Palatino Linotype"/>
          <w:sz w:val="22"/>
        </w:rPr>
      </w:pPr>
    </w:p>
    <w:p w14:paraId="1A683CBB" w14:textId="77777777" w:rsidR="00766DE6" w:rsidRPr="005A7ACC" w:rsidRDefault="00766DE6" w:rsidP="00766DE6">
      <w:pPr>
        <w:numPr>
          <w:ilvl w:val="0"/>
          <w:numId w:val="10"/>
        </w:numPr>
        <w:spacing w:line="360" w:lineRule="auto"/>
        <w:ind w:left="567" w:right="616"/>
        <w:contextualSpacing/>
        <w:jc w:val="both"/>
        <w:rPr>
          <w:rFonts w:ascii="Palatino Linotype" w:eastAsia="MS Mincho" w:hAnsi="Palatino Linotype" w:cs="Arial"/>
          <w:sz w:val="22"/>
        </w:rPr>
      </w:pPr>
      <w:r w:rsidRPr="005A7ACC">
        <w:rPr>
          <w:rFonts w:ascii="Palatino Linotype" w:eastAsia="MS Mincho" w:hAnsi="Palatino Linotype" w:cs="Arial"/>
          <w:b/>
          <w:sz w:val="22"/>
        </w:rPr>
        <w:t>Modifique el acto impugnado:</w:t>
      </w:r>
      <w:r w:rsidRPr="005A7ACC">
        <w:rPr>
          <w:rFonts w:ascii="Palatino Linotype" w:eastAsia="MS Mincho" w:hAnsi="Palatino Linotype" w:cs="Arial"/>
          <w:sz w:val="22"/>
        </w:rPr>
        <w:t xml:space="preserve"> Se actualiza cuando el </w:t>
      </w:r>
      <w:r w:rsidRPr="005A7ACC">
        <w:rPr>
          <w:rFonts w:ascii="Palatino Linotype" w:eastAsia="MS Mincho" w:hAnsi="Palatino Linotype" w:cs="Arial"/>
          <w:b/>
          <w:sz w:val="22"/>
        </w:rPr>
        <w:t>SUJETO OBLIGADO</w:t>
      </w:r>
      <w:r w:rsidRPr="005A7ACC">
        <w:rPr>
          <w:rFonts w:ascii="Palatino Linotype" w:eastAsia="MS Mincho" w:hAnsi="Palatino Linotype" w:cs="Arial"/>
          <w:sz w:val="22"/>
        </w:rPr>
        <w:t xml:space="preserve"> después de haber otorgado una respuesta y hasta antes de dictada la resolución del recurso de revisión, emite una diversa en la que subsane las deficiencias que hubiera tenido.</w:t>
      </w:r>
    </w:p>
    <w:p w14:paraId="7A864789" w14:textId="77777777" w:rsidR="00766DE6" w:rsidRPr="005A7ACC" w:rsidRDefault="00766DE6" w:rsidP="00766DE6">
      <w:pPr>
        <w:numPr>
          <w:ilvl w:val="0"/>
          <w:numId w:val="10"/>
        </w:numPr>
        <w:spacing w:line="360" w:lineRule="auto"/>
        <w:ind w:left="567" w:right="616"/>
        <w:contextualSpacing/>
        <w:jc w:val="both"/>
        <w:rPr>
          <w:rFonts w:ascii="Palatino Linotype" w:eastAsia="MS Mincho" w:hAnsi="Palatino Linotype" w:cs="Arial"/>
          <w:sz w:val="22"/>
        </w:rPr>
      </w:pPr>
      <w:r w:rsidRPr="005A7ACC">
        <w:rPr>
          <w:rFonts w:ascii="Palatino Linotype" w:eastAsia="MS Mincho" w:hAnsi="Palatino Linotype" w:cs="Arial"/>
          <w:b/>
          <w:sz w:val="22"/>
        </w:rPr>
        <w:t>Revoque el acto impugnado:</w:t>
      </w:r>
      <w:r w:rsidRPr="005A7ACC">
        <w:rPr>
          <w:rFonts w:ascii="Palatino Linotype" w:eastAsia="MS Mincho" w:hAnsi="Palatino Linotype" w:cs="Arial"/>
          <w:sz w:val="22"/>
        </w:rPr>
        <w:t xml:space="preserve"> En este supuesto, el </w:t>
      </w:r>
      <w:r w:rsidRPr="005A7ACC">
        <w:rPr>
          <w:rFonts w:ascii="Palatino Linotype" w:eastAsia="MS Mincho" w:hAnsi="Palatino Linotype" w:cs="Arial"/>
          <w:b/>
          <w:sz w:val="22"/>
        </w:rPr>
        <w:t>SUJETO OBLIGADO</w:t>
      </w:r>
      <w:r w:rsidRPr="005A7ACC">
        <w:rPr>
          <w:rFonts w:ascii="Palatino Linotype" w:eastAsia="MS Mincho" w:hAnsi="Palatino Linotype" w:cs="Arial"/>
          <w:sz w:val="22"/>
        </w:rPr>
        <w:t xml:space="preserve"> deja sin efectos la primera respuesta y en su lugar emite otra que satisfaga lo solicitado por el particular en un primer momento.</w:t>
      </w:r>
    </w:p>
    <w:p w14:paraId="0C7345A3" w14:textId="77777777" w:rsidR="00766DE6" w:rsidRPr="005A7ACC" w:rsidRDefault="00766DE6" w:rsidP="00766DE6">
      <w:pPr>
        <w:spacing w:line="360" w:lineRule="auto"/>
        <w:rPr>
          <w:rFonts w:ascii="Palatino Linotype" w:hAnsi="Palatino Linotype"/>
          <w:sz w:val="22"/>
        </w:rPr>
      </w:pPr>
    </w:p>
    <w:p w14:paraId="3D434339"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876C6B6" w14:textId="77777777" w:rsidR="00766DE6" w:rsidRPr="00C43045" w:rsidRDefault="00766DE6" w:rsidP="00766DE6">
      <w:pPr>
        <w:pStyle w:val="Prrafodelista"/>
        <w:spacing w:line="360" w:lineRule="auto"/>
        <w:rPr>
          <w:rFonts w:ascii="Palatino Linotype" w:hAnsi="Palatino Linotype"/>
        </w:rPr>
      </w:pPr>
    </w:p>
    <w:p w14:paraId="5FB20843"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En el presente asunto, este Pleno advierte que el </w:t>
      </w:r>
      <w:r w:rsidRPr="00C43045">
        <w:rPr>
          <w:rFonts w:ascii="Palatino Linotype" w:eastAsia="Calibri" w:hAnsi="Palatino Linotype"/>
          <w:b/>
        </w:rPr>
        <w:t>SUJETO OBLIGADO</w:t>
      </w:r>
      <w:r w:rsidRPr="00C43045">
        <w:rPr>
          <w:rFonts w:ascii="Palatino Linotype" w:eastAsia="Calibri" w:hAnsi="Palatino Linotype"/>
        </w:rPr>
        <w:t xml:space="preserve"> con la información enviada a través del informe de justificación, </w:t>
      </w:r>
      <w:r w:rsidRPr="00C43045">
        <w:rPr>
          <w:rFonts w:ascii="Palatino Linotype" w:eastAsia="Calibri" w:hAnsi="Palatino Linotype"/>
          <w:b/>
        </w:rPr>
        <w:t>modifica</w:t>
      </w:r>
      <w:r w:rsidRPr="00C43045">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14:paraId="4BF3CB81" w14:textId="77777777" w:rsidR="00766DE6" w:rsidRPr="00C43045" w:rsidRDefault="00766DE6" w:rsidP="00766DE6">
      <w:pPr>
        <w:pStyle w:val="Prrafodelista"/>
        <w:spacing w:line="360" w:lineRule="auto"/>
        <w:rPr>
          <w:rFonts w:ascii="Palatino Linotype" w:hAnsi="Palatino Linotype"/>
        </w:rPr>
      </w:pPr>
    </w:p>
    <w:p w14:paraId="62D2F38B"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43045">
        <w:rPr>
          <w:rFonts w:ascii="Palatino Linotype" w:eastAsia="Calibri" w:hAnsi="Palatino Linotype"/>
          <w:b/>
        </w:rPr>
        <w:t>SUJETOS OBLIGADOS</w:t>
      </w:r>
      <w:r w:rsidRPr="00C43045">
        <w:rPr>
          <w:rFonts w:ascii="Palatino Linotype" w:eastAsia="Calibri" w:hAnsi="Palatino Linotype"/>
        </w:rPr>
        <w:t xml:space="preserve"> o la negativa de entrega de la misma, derivada de la solicitud de información pública.</w:t>
      </w:r>
    </w:p>
    <w:p w14:paraId="51D619F9" w14:textId="77777777" w:rsidR="00766DE6" w:rsidRPr="00C43045" w:rsidRDefault="00766DE6" w:rsidP="00766DE6">
      <w:pPr>
        <w:pStyle w:val="Prrafodelista"/>
        <w:spacing w:line="360" w:lineRule="auto"/>
        <w:rPr>
          <w:rFonts w:ascii="Palatino Linotype" w:hAnsi="Palatino Linotype"/>
        </w:rPr>
      </w:pPr>
    </w:p>
    <w:p w14:paraId="1DAF56AD"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De este modo, cuando el </w:t>
      </w:r>
      <w:r w:rsidRPr="00C43045">
        <w:rPr>
          <w:rFonts w:ascii="Palatino Linotype" w:eastAsia="Calibri" w:hAnsi="Palatino Linotype"/>
          <w:b/>
        </w:rPr>
        <w:t xml:space="preserve">SUJETO OBLIGADO, </w:t>
      </w:r>
      <w:r w:rsidRPr="00C43045">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43045">
        <w:rPr>
          <w:rFonts w:ascii="Palatino Linotype" w:eastAsia="Calibri" w:hAnsi="Palatino Linotype"/>
          <w:i/>
        </w:rPr>
        <w:t>litis</w:t>
      </w:r>
      <w:r w:rsidRPr="00C43045">
        <w:rPr>
          <w:rFonts w:ascii="Palatino Linotype" w:eastAsia="Calibri" w:hAnsi="Palatino Linotype"/>
        </w:rPr>
        <w:t xml:space="preserve"> planteada, debido a que la afectación en </w:t>
      </w:r>
      <w:r w:rsidRPr="00C43045">
        <w:rPr>
          <w:rFonts w:ascii="Palatino Linotype" w:eastAsia="Calibri" w:hAnsi="Palatino Linotype"/>
        </w:rPr>
        <w:lastRenderedPageBreak/>
        <w:t>su esfera de derechos fue restituida por la propia autoridad que emitió el acto motivo de impugnación.</w:t>
      </w:r>
    </w:p>
    <w:p w14:paraId="6A9CEFEE" w14:textId="77777777" w:rsidR="00766DE6" w:rsidRPr="00C43045" w:rsidRDefault="00766DE6" w:rsidP="00766DE6">
      <w:pPr>
        <w:pStyle w:val="Prrafodelista"/>
        <w:spacing w:line="360" w:lineRule="auto"/>
        <w:rPr>
          <w:rFonts w:ascii="Palatino Linotype" w:hAnsi="Palatino Linotype"/>
        </w:rPr>
      </w:pPr>
    </w:p>
    <w:p w14:paraId="21AD696F"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Sirve de sustento a lo anterior la siguiente jurisprudencia por contradicción, cuyo rubro, texto y datos de identificación son los siguientes:</w:t>
      </w:r>
    </w:p>
    <w:p w14:paraId="22650AE0" w14:textId="77777777" w:rsidR="00766DE6" w:rsidRPr="00C43045" w:rsidRDefault="00766DE6" w:rsidP="00766DE6">
      <w:pPr>
        <w:spacing w:line="360" w:lineRule="auto"/>
        <w:ind w:right="49"/>
        <w:contextualSpacing/>
        <w:jc w:val="both"/>
        <w:rPr>
          <w:rFonts w:ascii="Palatino Linotype" w:hAnsi="Palatino Linotype"/>
        </w:rPr>
      </w:pPr>
    </w:p>
    <w:p w14:paraId="195EE92D" w14:textId="77777777" w:rsidR="00766DE6" w:rsidRPr="00A21565" w:rsidRDefault="00766DE6" w:rsidP="00A21565">
      <w:pPr>
        <w:spacing w:line="276" w:lineRule="auto"/>
        <w:ind w:left="567" w:right="616"/>
        <w:contextualSpacing/>
        <w:jc w:val="both"/>
        <w:rPr>
          <w:rFonts w:ascii="Palatino Linotype" w:eastAsia="Calibri" w:hAnsi="Palatino Linotype"/>
          <w:i/>
          <w:sz w:val="22"/>
          <w:szCs w:val="22"/>
        </w:rPr>
      </w:pPr>
      <w:r w:rsidRPr="00A21565">
        <w:rPr>
          <w:rFonts w:ascii="Palatino Linotype" w:eastAsia="Calibri" w:hAnsi="Palatino Linotype"/>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21565">
        <w:rPr>
          <w:rFonts w:ascii="Palatino Linotype" w:eastAsia="Calibri" w:hAnsi="Palatino Linotype"/>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92426DB" w14:textId="77777777" w:rsidR="00766DE6" w:rsidRPr="00A21565" w:rsidRDefault="00766DE6" w:rsidP="00A21565">
      <w:pPr>
        <w:pStyle w:val="Prrafodelista"/>
        <w:spacing w:line="276" w:lineRule="auto"/>
        <w:rPr>
          <w:rFonts w:ascii="Palatino Linotype" w:hAnsi="Palatino Linotype"/>
          <w:sz w:val="22"/>
          <w:szCs w:val="22"/>
        </w:rPr>
      </w:pPr>
    </w:p>
    <w:p w14:paraId="2AF392A6"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La anterior jurisprudencia resulta aplicable al presente asunto, en dos aspectos:</w:t>
      </w:r>
    </w:p>
    <w:p w14:paraId="5D4DC424" w14:textId="77777777" w:rsidR="00766DE6" w:rsidRPr="00C43045" w:rsidRDefault="00766DE6" w:rsidP="00766DE6">
      <w:pPr>
        <w:spacing w:line="360" w:lineRule="auto"/>
        <w:ind w:right="49"/>
        <w:contextualSpacing/>
        <w:jc w:val="both"/>
        <w:rPr>
          <w:rFonts w:ascii="Palatino Linotype" w:hAnsi="Palatino Linotype"/>
        </w:rPr>
      </w:pPr>
    </w:p>
    <w:p w14:paraId="0B6A911E" w14:textId="77777777" w:rsidR="00766DE6" w:rsidRPr="005A7ACC" w:rsidRDefault="00766DE6" w:rsidP="00766DE6">
      <w:pPr>
        <w:pStyle w:val="Prrafodelista"/>
        <w:numPr>
          <w:ilvl w:val="0"/>
          <w:numId w:val="11"/>
        </w:numPr>
        <w:spacing w:line="360" w:lineRule="auto"/>
        <w:ind w:right="616"/>
        <w:jc w:val="both"/>
        <w:rPr>
          <w:rFonts w:ascii="Palatino Linotype" w:eastAsia="Calibri" w:hAnsi="Palatino Linotype"/>
          <w:sz w:val="22"/>
        </w:rPr>
      </w:pPr>
      <w:r w:rsidRPr="005A7ACC">
        <w:rPr>
          <w:rFonts w:ascii="Palatino Linotype" w:eastAsia="Calibri" w:hAnsi="Palatino Linotype"/>
          <w:b/>
          <w:sz w:val="22"/>
        </w:rPr>
        <w:lastRenderedPageBreak/>
        <w:t>La cesación de los efectos perniciosos del acto de autoridad:</w:t>
      </w:r>
      <w:r w:rsidRPr="005A7ACC">
        <w:rPr>
          <w:rFonts w:ascii="Palatino Linotype" w:eastAsia="Calibri" w:hAnsi="Palatino Linotype"/>
          <w:sz w:val="22"/>
        </w:rPr>
        <w:t xml:space="preserve"> Al respecto, la Ley de Transparencia contempla la figura jurídica del sobreseimiento cuando el </w:t>
      </w:r>
      <w:r w:rsidRPr="005A7ACC">
        <w:rPr>
          <w:rFonts w:ascii="Palatino Linotype" w:eastAsia="Calibri" w:hAnsi="Palatino Linotype"/>
          <w:b/>
          <w:sz w:val="22"/>
        </w:rPr>
        <w:t>SUJETO OBLIGADO</w:t>
      </w:r>
      <w:r w:rsidRPr="005A7ACC">
        <w:rPr>
          <w:rFonts w:ascii="Palatino Linotype" w:eastAsia="Calibri" w:hAnsi="Palatino Linotype"/>
          <w:sz w:val="22"/>
        </w:rPr>
        <w:t xml:space="preserve"> de </w:t>
      </w:r>
      <w:r w:rsidRPr="005A7ACC">
        <w:rPr>
          <w:rFonts w:ascii="Palatino Linotype" w:eastAsia="Calibri" w:hAnsi="Palatino Linotype"/>
          <w:i/>
          <w:sz w:val="22"/>
        </w:rPr>
        <w:t>motu proprio</w:t>
      </w:r>
      <w:r w:rsidRPr="005A7ACC">
        <w:rPr>
          <w:rFonts w:ascii="Palatino Linotype" w:eastAsia="Calibri" w:hAnsi="Palatino Linotype"/>
          <w:sz w:val="22"/>
        </w:rPr>
        <w:t xml:space="preserve"> modifica o revoca de tal manera el acto motivo de la impugnación que lo deja sin materia; es decir, cesan los efectos de éste y el derecho de acceso a la información pública se encuentra satisfecho.</w:t>
      </w:r>
    </w:p>
    <w:p w14:paraId="506DF852" w14:textId="77777777" w:rsidR="00766DE6" w:rsidRPr="005A7ACC" w:rsidRDefault="00766DE6" w:rsidP="00766DE6">
      <w:pPr>
        <w:pStyle w:val="Prrafodelista"/>
        <w:numPr>
          <w:ilvl w:val="0"/>
          <w:numId w:val="11"/>
        </w:numPr>
        <w:spacing w:line="360" w:lineRule="auto"/>
        <w:ind w:right="616"/>
        <w:jc w:val="both"/>
        <w:rPr>
          <w:rFonts w:ascii="Palatino Linotype" w:eastAsia="Calibri" w:hAnsi="Palatino Linotype"/>
          <w:sz w:val="22"/>
        </w:rPr>
      </w:pPr>
      <w:r w:rsidRPr="005A7ACC">
        <w:rPr>
          <w:rFonts w:ascii="Palatino Linotype" w:eastAsia="Calibri" w:hAnsi="Palatino Linotype"/>
          <w:b/>
          <w:sz w:val="22"/>
        </w:rPr>
        <w:t>El momento procesal para modificar el acto impugnado:</w:t>
      </w:r>
      <w:r w:rsidRPr="005A7ACC">
        <w:rPr>
          <w:rFonts w:ascii="Palatino Linotype" w:eastAsia="Calibri" w:hAnsi="Palatino Linotype"/>
          <w:sz w:val="22"/>
        </w:rPr>
        <w:t xml:space="preserve"> Para que se actualice el sobreseimiento de un recurso de revisión, el </w:t>
      </w:r>
      <w:r w:rsidRPr="005A7ACC">
        <w:rPr>
          <w:rFonts w:ascii="Palatino Linotype" w:eastAsia="Calibri" w:hAnsi="Palatino Linotype"/>
          <w:b/>
          <w:sz w:val="22"/>
        </w:rPr>
        <w:t>SUJETO OBLIGADO</w:t>
      </w:r>
      <w:r w:rsidRPr="005A7ACC">
        <w:rPr>
          <w:rFonts w:ascii="Palatino Linotype" w:eastAsia="Calibri" w:hAnsi="Palatino Linotype"/>
          <w:sz w:val="22"/>
        </w:rPr>
        <w:t xml:space="preserve"> puede entregar o completar la información al momento de rendir su informe de justificación o </w:t>
      </w:r>
      <w:r w:rsidRPr="005A7ACC">
        <w:rPr>
          <w:rFonts w:ascii="Palatino Linotype" w:eastAsia="Calibri" w:hAnsi="Palatino Linotype"/>
          <w:b/>
          <w:sz w:val="22"/>
          <w:u w:val="single"/>
        </w:rPr>
        <w:t>posteriormente</w:t>
      </w:r>
      <w:r w:rsidRPr="005A7ACC">
        <w:rPr>
          <w:rFonts w:ascii="Palatino Linotype" w:eastAsia="Calibri" w:hAnsi="Palatino Linotype"/>
          <w:sz w:val="22"/>
        </w:rPr>
        <w:t xml:space="preserve"> a éste, siempre y cuando el Pleno del Instituto no haya dictado resolución definitiva.</w:t>
      </w:r>
    </w:p>
    <w:p w14:paraId="25DC53E8" w14:textId="77777777" w:rsidR="00766DE6" w:rsidRPr="00C43045" w:rsidRDefault="00766DE6" w:rsidP="00766DE6">
      <w:pPr>
        <w:spacing w:line="360" w:lineRule="auto"/>
        <w:ind w:right="49"/>
        <w:contextualSpacing/>
        <w:jc w:val="both"/>
        <w:rPr>
          <w:rFonts w:ascii="Palatino Linotype" w:hAnsi="Palatino Linotype"/>
        </w:rPr>
      </w:pPr>
    </w:p>
    <w:p w14:paraId="108BB743"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Además, de acuerdo con el procesalista Niceto Alcalá-Zamora y Castillo en su obra </w:t>
      </w:r>
      <w:r w:rsidRPr="00C43045">
        <w:rPr>
          <w:rFonts w:ascii="Palatino Linotype" w:eastAsia="Calibri" w:hAnsi="Palatino Linotype"/>
          <w:i/>
        </w:rPr>
        <w:t>“Cuestiones de Terminología Procesal”</w:t>
      </w:r>
      <w:r w:rsidRPr="00C43045">
        <w:rPr>
          <w:rFonts w:ascii="Palatino Linotype" w:eastAsia="Calibri" w:hAnsi="Palatino Linotype"/>
        </w:rPr>
        <w:t xml:space="preserve">, el sobreseimiento es </w:t>
      </w:r>
      <w:r w:rsidRPr="00C43045">
        <w:rPr>
          <w:rFonts w:ascii="Palatino Linotype" w:eastAsia="Calibri" w:hAnsi="Palatino Linotype"/>
          <w:i/>
        </w:rPr>
        <w:t>“... una resolución en forma de auto, que produce la suspensión indefinida del procedimiento penal, o que pone fin al proceso, impidiendo en ambos casos, mientras subsista, la apertura del plenario o que en él se pronuncie sentencia...”.</w:t>
      </w:r>
    </w:p>
    <w:p w14:paraId="5B023FDC" w14:textId="77777777" w:rsidR="00766DE6" w:rsidRPr="00C43045" w:rsidRDefault="00766DE6" w:rsidP="00766DE6">
      <w:pPr>
        <w:spacing w:line="360" w:lineRule="auto"/>
        <w:ind w:right="49"/>
        <w:contextualSpacing/>
        <w:jc w:val="both"/>
        <w:rPr>
          <w:rFonts w:ascii="Palatino Linotype" w:hAnsi="Palatino Linotype"/>
        </w:rPr>
      </w:pPr>
    </w:p>
    <w:p w14:paraId="0058AF72"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Eduardo Pallares, en su artículo </w:t>
      </w:r>
      <w:r w:rsidRPr="00C43045">
        <w:rPr>
          <w:rFonts w:ascii="Palatino Linotype" w:eastAsia="Calibri" w:hAnsi="Palatino Linotype"/>
          <w:i/>
        </w:rPr>
        <w:t>“La caducidad y el sobreseimiento en el amparo”</w:t>
      </w:r>
      <w:r w:rsidRPr="00C43045">
        <w:rPr>
          <w:rFonts w:ascii="Palatino Linotype" w:eastAsia="Calibri" w:hAnsi="Palatino Linotype"/>
        </w:rPr>
        <w:t xml:space="preserve">, cita la definición de Aguilera Paz, aduciendo que se </w:t>
      </w:r>
      <w:r w:rsidRPr="00C43045">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C43045">
        <w:rPr>
          <w:rFonts w:ascii="Palatino Linotype" w:eastAsia="Calibri" w:hAnsi="Palatino Linotype"/>
        </w:rPr>
        <w:t>. Asimismo señala que existe el sobreseimiento provisional y el definitivo</w:t>
      </w:r>
      <w:r w:rsidRPr="00C43045">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14:paraId="2FE412BF"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lastRenderedPageBreak/>
        <w:t xml:space="preserve">Así, para la doctrina el sobreseimiento provoca que un procedimiento se suspenda o se resuelva en definitiva </w:t>
      </w:r>
      <w:r w:rsidRPr="00C43045">
        <w:rPr>
          <w:rFonts w:ascii="Palatino Linotype" w:eastAsia="Calibri" w:hAnsi="Palatino Linotype"/>
          <w:b/>
          <w:u w:val="single"/>
        </w:rPr>
        <w:t xml:space="preserve">sin que se entre al estudio de los agravios o motivos de inconformidad. </w:t>
      </w:r>
      <w:r w:rsidRPr="00C43045">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5BAFEB66" w14:textId="77777777" w:rsidR="00766DE6" w:rsidRPr="00C43045" w:rsidRDefault="00766DE6" w:rsidP="00766DE6">
      <w:pPr>
        <w:spacing w:line="360" w:lineRule="auto"/>
        <w:rPr>
          <w:rFonts w:ascii="Palatino Linotype" w:hAnsi="Palatino Linotype"/>
        </w:rPr>
      </w:pPr>
    </w:p>
    <w:p w14:paraId="06E682DF" w14:textId="77777777" w:rsidR="00766DE6" w:rsidRPr="00A21565" w:rsidRDefault="00766DE6" w:rsidP="00A21565">
      <w:pPr>
        <w:spacing w:line="276" w:lineRule="auto"/>
        <w:ind w:left="567" w:right="616"/>
        <w:contextualSpacing/>
        <w:jc w:val="both"/>
        <w:rPr>
          <w:rFonts w:ascii="Palatino Linotype" w:eastAsia="Calibri" w:hAnsi="Palatino Linotype"/>
          <w:i/>
          <w:sz w:val="22"/>
          <w:szCs w:val="22"/>
          <w:lang w:val="es-AR"/>
        </w:rPr>
      </w:pPr>
      <w:r w:rsidRPr="00A21565">
        <w:rPr>
          <w:rFonts w:ascii="Palatino Linotype" w:eastAsia="Calibri" w:hAnsi="Palatino Linotype"/>
          <w:b/>
          <w:i/>
          <w:sz w:val="22"/>
          <w:szCs w:val="22"/>
          <w:lang w:val="es-AR"/>
        </w:rPr>
        <w:t>SOBRESEIMIENTO EN EL JUICIO DE AMPARO DIRECTO. IMPIDE EL ESTUDIO DE LAS VIOLACIONES PROCESALES PLANTEADAS EN LOS CONCEPTOS DE VIOLACIÓN. El sobreseimiento</w:t>
      </w:r>
      <w:r w:rsidRPr="00A21565">
        <w:rPr>
          <w:rFonts w:ascii="Palatino Linotype" w:eastAsia="Calibri" w:hAnsi="Palatino Linotype"/>
          <w:i/>
          <w:sz w:val="22"/>
          <w:szCs w:val="22"/>
          <w:lang w:val="es-AR"/>
        </w:rPr>
        <w:t xml:space="preserve"> en el juicio de amparo directo </w:t>
      </w:r>
      <w:r w:rsidRPr="00A21565">
        <w:rPr>
          <w:rFonts w:ascii="Palatino Linotype" w:eastAsia="Calibri" w:hAnsi="Palatino Linotype"/>
          <w:b/>
          <w:i/>
          <w:sz w:val="22"/>
          <w:szCs w:val="22"/>
          <w:lang w:val="es-AR"/>
        </w:rPr>
        <w:t>provoca la terminación de la controversia planteada</w:t>
      </w:r>
      <w:r w:rsidRPr="00A21565">
        <w:rPr>
          <w:rFonts w:ascii="Palatino Linotype" w:eastAsia="Calibri" w:hAnsi="Palatino Linotype"/>
          <w:i/>
          <w:sz w:val="22"/>
          <w:szCs w:val="22"/>
          <w:lang w:val="es-AR"/>
        </w:rPr>
        <w:t xml:space="preserve"> por el quejoso en la demanda de amparo</w:t>
      </w:r>
      <w:r w:rsidRPr="00A21565">
        <w:rPr>
          <w:rFonts w:ascii="Palatino Linotype" w:eastAsia="Calibri" w:hAnsi="Palatino Linotype"/>
          <w:b/>
          <w:i/>
          <w:sz w:val="22"/>
          <w:szCs w:val="22"/>
          <w:lang w:val="es-AR"/>
        </w:rPr>
        <w:t>, sin hacer un pronunciamiento de fondo sobre la legalidad o ilegalidad de la sentencia reclamada</w:t>
      </w:r>
      <w:r w:rsidRPr="00A21565">
        <w:rPr>
          <w:rFonts w:ascii="Palatino Linotype" w:eastAsia="Calibri" w:hAnsi="Palatino Linotype"/>
          <w:i/>
          <w:sz w:val="22"/>
          <w:szCs w:val="22"/>
          <w:lang w:val="es-AR"/>
        </w:rPr>
        <w:t xml:space="preserve">. </w:t>
      </w:r>
      <w:r w:rsidRPr="00A21565">
        <w:rPr>
          <w:rFonts w:ascii="Palatino Linotype" w:eastAsia="Calibri" w:hAnsi="Palatino Linotype"/>
          <w:b/>
          <w:i/>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21565">
        <w:rPr>
          <w:rFonts w:ascii="Palatino Linotype" w:eastAsia="Calibri" w:hAnsi="Palatino Linotype"/>
          <w:i/>
          <w:sz w:val="22"/>
          <w:szCs w:val="22"/>
          <w:lang w:val="es-AR"/>
        </w:rPr>
        <w:t>.</w:t>
      </w:r>
    </w:p>
    <w:p w14:paraId="54375E2E" w14:textId="77777777" w:rsidR="00766DE6" w:rsidRPr="00A21565" w:rsidRDefault="00766DE6" w:rsidP="00A21565">
      <w:pPr>
        <w:spacing w:line="276" w:lineRule="auto"/>
        <w:ind w:left="567" w:right="616"/>
        <w:contextualSpacing/>
        <w:jc w:val="both"/>
        <w:rPr>
          <w:rFonts w:ascii="Palatino Linotype" w:eastAsia="Calibri" w:hAnsi="Palatino Linotype"/>
          <w:i/>
          <w:sz w:val="22"/>
          <w:szCs w:val="22"/>
          <w:lang w:val="es-AR"/>
        </w:rPr>
      </w:pPr>
      <w:r w:rsidRPr="00A21565">
        <w:rPr>
          <w:rFonts w:ascii="Palatino Linotype" w:eastAsia="Calibri" w:hAnsi="Palatino Linotype"/>
          <w:i/>
          <w:sz w:val="22"/>
          <w:szCs w:val="22"/>
          <w:lang w:val="es-AR"/>
        </w:rPr>
        <w:t>SÉPTIMO TRIBUNAL COLEGIADO EN MATERIA CIVIL DEL PRIMER CIRCUITO.</w:t>
      </w:r>
    </w:p>
    <w:p w14:paraId="0086CC19" w14:textId="77777777" w:rsidR="00A21565" w:rsidRDefault="00766DE6" w:rsidP="00A21565">
      <w:pPr>
        <w:spacing w:line="276" w:lineRule="auto"/>
        <w:ind w:left="567" w:right="616"/>
        <w:contextualSpacing/>
        <w:jc w:val="both"/>
        <w:rPr>
          <w:rFonts w:ascii="Palatino Linotype" w:eastAsia="Calibri" w:hAnsi="Palatino Linotype"/>
          <w:b/>
          <w:i/>
          <w:sz w:val="22"/>
          <w:szCs w:val="22"/>
          <w:lang w:val="es-AR"/>
        </w:rPr>
      </w:pPr>
      <w:r w:rsidRPr="00A21565">
        <w:rPr>
          <w:rFonts w:ascii="Palatino Linotype" w:eastAsia="Calibri" w:hAnsi="Palatino Linotype"/>
          <w:i/>
          <w:sz w:val="22"/>
          <w:szCs w:val="22"/>
          <w:lang w:val="es-AR"/>
        </w:rPr>
        <w:t>Amparo directo 699/2008. Mariana Leticia González Steele. 13 de noviembre de 2008. Unanimidad de votos. Ponente: Sara Judith Montalvo Trejo. Secretario: Arnulfo Mateos García.</w:t>
      </w:r>
    </w:p>
    <w:p w14:paraId="7E126D86" w14:textId="4E508C9C" w:rsidR="00766DE6" w:rsidRPr="00A21565" w:rsidRDefault="00766DE6" w:rsidP="00A21565">
      <w:pPr>
        <w:spacing w:line="276" w:lineRule="auto"/>
        <w:ind w:left="567" w:right="616"/>
        <w:contextualSpacing/>
        <w:jc w:val="both"/>
        <w:rPr>
          <w:rFonts w:ascii="Palatino Linotype" w:eastAsia="Calibri" w:hAnsi="Palatino Linotype"/>
          <w:b/>
          <w:i/>
          <w:sz w:val="22"/>
          <w:szCs w:val="22"/>
          <w:lang w:val="es-AR"/>
        </w:rPr>
      </w:pPr>
      <w:r w:rsidRPr="00A21565">
        <w:rPr>
          <w:rFonts w:ascii="Palatino Linotype" w:eastAsia="Calibri" w:hAnsi="Palatino Linotype"/>
          <w:sz w:val="22"/>
          <w:szCs w:val="22"/>
          <w:lang w:val="es-AR"/>
        </w:rPr>
        <w:t>(Énfasis añadido)</w:t>
      </w:r>
    </w:p>
    <w:p w14:paraId="2400A7AA" w14:textId="77777777" w:rsidR="00766DE6" w:rsidRPr="00C43045" w:rsidRDefault="00766DE6" w:rsidP="00766DE6">
      <w:pPr>
        <w:spacing w:line="360" w:lineRule="auto"/>
        <w:ind w:right="49"/>
        <w:contextualSpacing/>
        <w:jc w:val="both"/>
        <w:rPr>
          <w:rFonts w:ascii="Palatino Linotype" w:hAnsi="Palatino Linotype"/>
        </w:rPr>
      </w:pPr>
    </w:p>
    <w:p w14:paraId="482CF382"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F869864" w14:textId="77777777" w:rsidR="00766DE6" w:rsidRPr="00C43045" w:rsidRDefault="00766DE6" w:rsidP="00766DE6">
      <w:pPr>
        <w:spacing w:line="360" w:lineRule="auto"/>
        <w:ind w:right="49"/>
        <w:contextualSpacing/>
        <w:jc w:val="both"/>
        <w:rPr>
          <w:rFonts w:ascii="Palatino Linotype" w:hAnsi="Palatino Linotype"/>
        </w:rPr>
      </w:pPr>
    </w:p>
    <w:p w14:paraId="6991302F"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lastRenderedPageBreak/>
        <w:t xml:space="preserve">Por lo que para que se actualice el sobreseimiento de un recurso de revisión, el </w:t>
      </w:r>
      <w:r w:rsidRPr="00C43045">
        <w:rPr>
          <w:rFonts w:ascii="Palatino Linotype" w:eastAsia="Calibri" w:hAnsi="Palatino Linotype"/>
          <w:b/>
        </w:rPr>
        <w:t>SUJETO OBLIGADO</w:t>
      </w:r>
      <w:r w:rsidRPr="00C43045">
        <w:rPr>
          <w:rFonts w:ascii="Palatino Linotype" w:eastAsia="Calibri"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01F25EA8" w14:textId="77777777" w:rsidR="00766DE6" w:rsidRPr="00C43045" w:rsidRDefault="00766DE6" w:rsidP="00766DE6">
      <w:pPr>
        <w:pStyle w:val="Prrafodelista"/>
        <w:spacing w:line="360" w:lineRule="auto"/>
        <w:rPr>
          <w:rFonts w:ascii="Palatino Linotype" w:hAnsi="Palatino Linotype"/>
        </w:rPr>
      </w:pPr>
    </w:p>
    <w:p w14:paraId="4A2615DE" w14:textId="77777777"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hAnsi="Palatino Linotype"/>
        </w:rPr>
        <w:t xml:space="preserve">Bajo ese tenor y en términos del artículo 186 fracción I este Pleno determina el </w:t>
      </w:r>
      <w:r w:rsidRPr="00C43045">
        <w:rPr>
          <w:rFonts w:ascii="Palatino Linotype" w:hAnsi="Palatino Linotype"/>
          <w:b/>
        </w:rPr>
        <w:t>SOBRESEIMIENTO</w:t>
      </w:r>
      <w:r w:rsidRPr="00C43045">
        <w:rPr>
          <w:rFonts w:ascii="Palatino Linotype" w:hAnsi="Palatino Linotype"/>
        </w:rPr>
        <w:t xml:space="preserve"> del presente recurso de revisión, toda vez que la afectación al derecho de acceso a la información pública establecido constitucionalmente a favor del particular, ha sido resarcida.</w:t>
      </w:r>
    </w:p>
    <w:p w14:paraId="3221C064" w14:textId="77777777" w:rsidR="00766DE6" w:rsidRPr="00C43045" w:rsidRDefault="00766DE6" w:rsidP="00766DE6">
      <w:pPr>
        <w:spacing w:line="360" w:lineRule="auto"/>
        <w:ind w:right="49"/>
        <w:contextualSpacing/>
        <w:jc w:val="both"/>
        <w:rPr>
          <w:rFonts w:ascii="Palatino Linotype" w:hAnsi="Palatino Linotype"/>
        </w:rPr>
      </w:pPr>
    </w:p>
    <w:p w14:paraId="53DE8588" w14:textId="032F18FD"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eastAsia="Calibri" w:hAnsi="Palatino Linotype"/>
        </w:rPr>
        <w:t xml:space="preserve">Por lo anteriormente expuesto y fundado, este </w:t>
      </w:r>
      <w:r w:rsidRPr="00C43045">
        <w:rPr>
          <w:rFonts w:ascii="Palatino Linotype" w:eastAsia="Calibri" w:hAnsi="Palatino Linotype"/>
          <w:b/>
          <w:bCs/>
        </w:rPr>
        <w:t>ÓRGANO GARANTE</w:t>
      </w:r>
      <w:r w:rsidRPr="00C43045">
        <w:rPr>
          <w:rFonts w:ascii="Palatino Linotype" w:eastAsia="Calibri" w:hAnsi="Palatino Linotype"/>
        </w:rPr>
        <w:t xml:space="preserve"> emite los siguientes:</w:t>
      </w:r>
      <w:r w:rsidR="00A21565">
        <w:rPr>
          <w:rFonts w:ascii="Palatino Linotype" w:eastAsia="Calibri" w:hAnsi="Palatino Linotype"/>
        </w:rPr>
        <w:t>--------------------------------------------------------------------------------------------------------------------------------------------------------------------------------------------------------</w:t>
      </w:r>
    </w:p>
    <w:p w14:paraId="1AB59E02" w14:textId="77777777" w:rsidR="00766DE6" w:rsidRPr="00C43045" w:rsidRDefault="00766DE6" w:rsidP="00766DE6">
      <w:pPr>
        <w:spacing w:line="360" w:lineRule="auto"/>
        <w:rPr>
          <w:rFonts w:ascii="Palatino Linotype" w:hAnsi="Palatino Linotype"/>
        </w:rPr>
      </w:pPr>
    </w:p>
    <w:p w14:paraId="447B5FE9" w14:textId="77777777" w:rsidR="00766DE6" w:rsidRPr="00C43045" w:rsidRDefault="00766DE6" w:rsidP="00766DE6">
      <w:pPr>
        <w:keepNext/>
        <w:keepLines/>
        <w:suppressAutoHyphens/>
        <w:spacing w:before="240" w:line="360" w:lineRule="auto"/>
        <w:outlineLvl w:val="0"/>
        <w:rPr>
          <w:rFonts w:ascii="Palatino Linotype" w:hAnsi="Palatino Linotype"/>
          <w:b/>
          <w:color w:val="000000"/>
        </w:rPr>
      </w:pPr>
      <w:bookmarkStart w:id="165" w:name="_Toc98350364"/>
      <w:r w:rsidRPr="00C43045">
        <w:rPr>
          <w:rFonts w:ascii="Palatino Linotype" w:hAnsi="Palatino Linotype"/>
          <w:b/>
          <w:color w:val="000000"/>
        </w:rPr>
        <w:t>CUARTO. De la decisión.</w:t>
      </w:r>
      <w:bookmarkEnd w:id="165"/>
      <w:r w:rsidRPr="00C43045">
        <w:rPr>
          <w:rFonts w:ascii="Palatino Linotype" w:hAnsi="Palatino Linotype"/>
          <w:b/>
          <w:color w:val="000000"/>
        </w:rPr>
        <w:t xml:space="preserve"> </w:t>
      </w:r>
    </w:p>
    <w:p w14:paraId="4ADD70E3" w14:textId="3E235E1F" w:rsidR="00766DE6" w:rsidRPr="00C43045"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hAnsi="Palatino Linotype" w:cs="Tahoma"/>
        </w:rPr>
        <w:t xml:space="preserve">Con base en todo lo expuesto, con fundamento en el artículo 186, fracción I, en relación con la fracción III del artículo 192 de la Ley de Transparencia y Acceso a la Información Pública del Estado de México y Municipios, este Instituto considera procedente </w:t>
      </w:r>
      <w:r w:rsidRPr="00C43045">
        <w:rPr>
          <w:rFonts w:ascii="Palatino Linotype" w:hAnsi="Palatino Linotype" w:cs="Tahoma"/>
          <w:b/>
        </w:rPr>
        <w:t xml:space="preserve">SOBRESEER </w:t>
      </w:r>
      <w:r w:rsidRPr="00C43045">
        <w:rPr>
          <w:rFonts w:ascii="Palatino Linotype" w:hAnsi="Palatino Linotype" w:cs="Tahoma"/>
        </w:rPr>
        <w:t>el presente recurso de revisión.</w:t>
      </w:r>
      <w:r w:rsidRPr="00C43045">
        <w:rPr>
          <w:rFonts w:ascii="Palatino Linotype" w:hAnsi="Palatino Linotype" w:cs="Tahoma"/>
          <w:b/>
        </w:rPr>
        <w:t xml:space="preserve"> </w:t>
      </w:r>
    </w:p>
    <w:p w14:paraId="2C408996" w14:textId="77777777" w:rsidR="00766DE6" w:rsidRPr="00C43045" w:rsidRDefault="00766DE6" w:rsidP="00766DE6">
      <w:pPr>
        <w:spacing w:line="360" w:lineRule="auto"/>
        <w:ind w:right="49"/>
        <w:contextualSpacing/>
        <w:jc w:val="both"/>
        <w:rPr>
          <w:rFonts w:ascii="Palatino Linotype" w:hAnsi="Palatino Linotype"/>
        </w:rPr>
      </w:pPr>
    </w:p>
    <w:p w14:paraId="42EB0028" w14:textId="387C3D05" w:rsidR="00766DE6" w:rsidRPr="00766DE6" w:rsidRDefault="00766DE6" w:rsidP="005A7ACC">
      <w:pPr>
        <w:numPr>
          <w:ilvl w:val="0"/>
          <w:numId w:val="1"/>
        </w:numPr>
        <w:tabs>
          <w:tab w:val="left" w:pos="567"/>
        </w:tabs>
        <w:spacing w:line="360" w:lineRule="auto"/>
        <w:ind w:left="0" w:right="49" w:firstLine="0"/>
        <w:contextualSpacing/>
        <w:jc w:val="both"/>
        <w:rPr>
          <w:rFonts w:ascii="Palatino Linotype" w:hAnsi="Palatino Linotype"/>
        </w:rPr>
      </w:pPr>
      <w:r w:rsidRPr="00C43045">
        <w:rPr>
          <w:rFonts w:ascii="Palatino Linotype" w:hAnsi="Palatino Linotype" w:cs="Arial"/>
          <w:color w:val="000000"/>
        </w:rPr>
        <w:t xml:space="preserve">Por lo anteriormente expuesto y fundado, este </w:t>
      </w:r>
      <w:r w:rsidRPr="00C43045">
        <w:rPr>
          <w:rFonts w:ascii="Palatino Linotype" w:hAnsi="Palatino Linotype" w:cs="Arial"/>
          <w:b/>
          <w:color w:val="000000"/>
        </w:rPr>
        <w:t>ÓRGANO GARANTE</w:t>
      </w:r>
      <w:r w:rsidRPr="00C43045">
        <w:rPr>
          <w:rFonts w:ascii="Palatino Linotype" w:hAnsi="Palatino Linotype" w:cs="Arial"/>
          <w:color w:val="000000"/>
        </w:rPr>
        <w:t xml:space="preserve"> emite los siguientes: </w:t>
      </w:r>
      <w:r>
        <w:rPr>
          <w:rFonts w:ascii="Palatino Linotype" w:hAnsi="Palatino Linotype" w:cs="Arial"/>
          <w:color w:val="000000"/>
        </w:rPr>
        <w:t>-------------------------------------------------------------------------------------------------------------------------------------------------------------------------------------------------------</w:t>
      </w:r>
    </w:p>
    <w:p w14:paraId="135DFAA7" w14:textId="77777777" w:rsidR="00766DE6" w:rsidRPr="00C43045" w:rsidRDefault="00766DE6" w:rsidP="00766DE6">
      <w:pPr>
        <w:tabs>
          <w:tab w:val="left" w:pos="567"/>
        </w:tabs>
        <w:spacing w:line="360" w:lineRule="auto"/>
        <w:ind w:right="49"/>
        <w:contextualSpacing/>
        <w:jc w:val="both"/>
        <w:rPr>
          <w:rFonts w:ascii="Palatino Linotype" w:hAnsi="Palatino Linotype"/>
        </w:rPr>
      </w:pPr>
    </w:p>
    <w:p w14:paraId="4C71CF01" w14:textId="77777777" w:rsidR="00766DE6" w:rsidRDefault="00766DE6" w:rsidP="00766DE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6" w:name="_Toc528153792"/>
      <w:bookmarkStart w:id="167" w:name="_Toc71158406"/>
      <w:bookmarkStart w:id="168" w:name="_Toc90654868"/>
      <w:r w:rsidRPr="00C43045">
        <w:rPr>
          <w:rFonts w:ascii="Palatino Linotype" w:eastAsiaTheme="majorEastAsia" w:hAnsi="Palatino Linotype" w:cstheme="majorBidi"/>
          <w:b/>
          <w:color w:val="000000" w:themeColor="text1"/>
          <w:lang w:eastAsia="en-US"/>
        </w:rPr>
        <w:t>R E S O L U T I V O S</w:t>
      </w:r>
      <w:bookmarkEnd w:id="166"/>
      <w:bookmarkEnd w:id="167"/>
      <w:bookmarkEnd w:id="168"/>
    </w:p>
    <w:p w14:paraId="451F3659" w14:textId="77777777" w:rsidR="00766DE6" w:rsidRPr="00C43045" w:rsidRDefault="00766DE6" w:rsidP="00766DE6">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5974DE21" w14:textId="4B4A7274" w:rsidR="00766DE6" w:rsidRPr="00C43045" w:rsidRDefault="00766DE6" w:rsidP="00766DE6">
      <w:pPr>
        <w:spacing w:line="360" w:lineRule="auto"/>
        <w:jc w:val="both"/>
        <w:rPr>
          <w:rFonts w:ascii="Palatino Linotype" w:eastAsia="Calibri" w:hAnsi="Palatino Linotype" w:cs="Tahoma"/>
          <w:b/>
          <w:bCs/>
          <w:lang w:val="es-ES" w:eastAsia="en-US"/>
        </w:rPr>
      </w:pPr>
      <w:bookmarkStart w:id="169" w:name="_Toc528153793"/>
      <w:bookmarkStart w:id="170" w:name="_Toc514231051"/>
      <w:bookmarkStart w:id="171" w:name="_Toc512329343"/>
      <w:bookmarkStart w:id="172" w:name="_Toc503290282"/>
      <w:bookmarkStart w:id="173" w:name="_Toc500264545"/>
      <w:bookmarkStart w:id="174" w:name="_Toc500245736"/>
      <w:bookmarkStart w:id="175" w:name="_Toc499757019"/>
      <w:bookmarkStart w:id="176" w:name="_Toc499756976"/>
      <w:bookmarkStart w:id="177" w:name="_Toc496100164"/>
      <w:bookmarkStart w:id="178" w:name="_Toc496099787"/>
      <w:bookmarkStart w:id="179" w:name="_Toc462228127"/>
      <w:bookmarkStart w:id="180" w:name="_Toc462228047"/>
      <w:bookmarkStart w:id="181" w:name="_Toc461648680"/>
      <w:bookmarkStart w:id="182" w:name="_Toc461648588"/>
      <w:r w:rsidRPr="00C43045">
        <w:rPr>
          <w:rFonts w:ascii="Palatino Linotype" w:eastAsia="MS Gothic" w:hAnsi="Palatino Linotype"/>
          <w:b/>
          <w:lang w:eastAsia="en-US"/>
        </w:rPr>
        <w:t xml:space="preserve">PRIMERO. </w:t>
      </w:r>
      <w:r w:rsidRPr="00C43045">
        <w:rPr>
          <w:rFonts w:ascii="Palatino Linotype" w:eastAsia="MS Gothic" w:hAnsi="Palatino Linotype"/>
          <w:lang w:eastAsia="en-US"/>
        </w:rPr>
        <w:t>Se</w:t>
      </w:r>
      <w:r w:rsidRPr="00C43045">
        <w:rPr>
          <w:rFonts w:ascii="Palatino Linotype" w:eastAsia="MS Gothic" w:hAnsi="Palatino Linotype"/>
          <w:b/>
          <w:lang w:eastAsia="en-US"/>
        </w:rPr>
        <w:t xml:space="preserve"> SOBRESEE </w:t>
      </w:r>
      <w:r w:rsidRPr="00C43045">
        <w:rPr>
          <w:rFonts w:ascii="Palatino Linotype" w:eastAsia="MS Gothic" w:hAnsi="Palatino Linotype"/>
          <w:lang w:eastAsia="en-US"/>
        </w:rPr>
        <w:t xml:space="preserve">el recurso de revisión número </w:t>
      </w:r>
      <w:r w:rsidRPr="00766DE6">
        <w:rPr>
          <w:rFonts w:ascii="Palatino Linotype" w:eastAsia="MS Gothic" w:hAnsi="Palatino Linotype"/>
          <w:b/>
          <w:lang w:eastAsia="en-US"/>
        </w:rPr>
        <w:t>15508/INFOEM/IP/RR/2022</w:t>
      </w:r>
      <w:r w:rsidR="000D4F64">
        <w:rPr>
          <w:rFonts w:ascii="Palatino Linotype" w:eastAsia="MS Gothic" w:hAnsi="Palatino Linotype"/>
          <w:b/>
          <w:lang w:eastAsia="en-US"/>
        </w:rPr>
        <w:t xml:space="preserve">, </w:t>
      </w:r>
      <w:r w:rsidR="000D4F64" w:rsidRPr="000D4F64">
        <w:rPr>
          <w:rFonts w:ascii="Palatino Linotype" w:eastAsia="MS Gothic" w:hAnsi="Palatino Linotype"/>
          <w:lang w:eastAsia="en-US"/>
        </w:rPr>
        <w:t xml:space="preserve">con fundamento en el </w:t>
      </w:r>
      <w:r w:rsidR="000D4F64" w:rsidRPr="000D4F64">
        <w:rPr>
          <w:rFonts w:ascii="Palatino Linotype" w:hAnsi="Palatino Linotype" w:cs="Tahoma"/>
        </w:rPr>
        <w:t>artículo</w:t>
      </w:r>
      <w:r w:rsidR="000D4F64" w:rsidRPr="00C43045">
        <w:rPr>
          <w:rFonts w:ascii="Palatino Linotype" w:hAnsi="Palatino Linotype" w:cs="Tahoma"/>
        </w:rPr>
        <w:t xml:space="preserve"> 192 de la Ley de Transparencia y Acceso a la Información Pública del Estado de México y Municipios</w:t>
      </w:r>
      <w:r w:rsidRPr="00C43045">
        <w:rPr>
          <w:rFonts w:ascii="Palatino Linotype" w:eastAsia="MS Gothic" w:hAnsi="Palatino Linotype"/>
          <w:lang w:eastAsia="en-US"/>
        </w:rPr>
        <w:t xml:space="preserve"> </w:t>
      </w:r>
      <w:r w:rsidR="000D4F64">
        <w:rPr>
          <w:rFonts w:ascii="Palatino Linotype" w:hAnsi="Palatino Linotype" w:cs="Tahoma"/>
        </w:rPr>
        <w:t xml:space="preserve">fracción III, </w:t>
      </w:r>
      <w:r w:rsidRPr="00C43045">
        <w:rPr>
          <w:rFonts w:ascii="Palatino Linotype" w:eastAsia="MS Gothic" w:hAnsi="Palatino Linotype"/>
          <w:lang w:eastAsia="en-US"/>
        </w:rPr>
        <w:t xml:space="preserve">en razón de que, al </w:t>
      </w:r>
      <w:r w:rsidRPr="00C43045">
        <w:rPr>
          <w:rFonts w:ascii="Palatino Linotype" w:eastAsia="MS Gothic" w:hAnsi="Palatino Linotype"/>
          <w:b/>
          <w:lang w:eastAsia="en-US"/>
        </w:rPr>
        <w:t>MODIFICAR</w:t>
      </w:r>
      <w:r w:rsidRPr="00C43045">
        <w:rPr>
          <w:rFonts w:ascii="Palatino Linotype" w:eastAsia="MS Gothic" w:hAnsi="Palatino Linotype"/>
          <w:lang w:eastAsia="en-US"/>
        </w:rPr>
        <w:t xml:space="preserve"> la respuesta inicial, el recurso de revisión quedó sin materia en términos del Considerando </w:t>
      </w:r>
      <w:r w:rsidRPr="00C43045">
        <w:rPr>
          <w:rFonts w:ascii="Palatino Linotype" w:eastAsia="MS Gothic" w:hAnsi="Palatino Linotype"/>
          <w:b/>
          <w:lang w:eastAsia="en-US"/>
        </w:rPr>
        <w:t>TERCERO</w:t>
      </w:r>
      <w:r w:rsidRPr="00C43045">
        <w:rPr>
          <w:rFonts w:ascii="Palatino Linotype" w:eastAsia="MS Gothic" w:hAnsi="Palatino Linotype"/>
          <w:lang w:eastAsia="en-US"/>
        </w:rPr>
        <w:t xml:space="preserve"> de la presente resolución.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37A841B" w14:textId="77777777" w:rsidR="00766DE6" w:rsidRPr="00C43045" w:rsidRDefault="00766DE6" w:rsidP="00766DE6">
      <w:pPr>
        <w:spacing w:line="360" w:lineRule="auto"/>
        <w:jc w:val="both"/>
        <w:rPr>
          <w:rFonts w:ascii="Palatino Linotype" w:eastAsia="MS Mincho" w:hAnsi="Palatino Linotype"/>
        </w:rPr>
      </w:pPr>
    </w:p>
    <w:p w14:paraId="3E2B0422" w14:textId="77777777" w:rsidR="00766DE6" w:rsidRPr="00C43045" w:rsidRDefault="00766DE6" w:rsidP="00766DE6">
      <w:pPr>
        <w:spacing w:line="360" w:lineRule="auto"/>
        <w:jc w:val="both"/>
        <w:rPr>
          <w:rFonts w:ascii="Palatino Linotype" w:eastAsia="Calibri" w:hAnsi="Palatino Linotype" w:cs="Arial"/>
          <w:b/>
          <w:bCs/>
        </w:rPr>
      </w:pPr>
      <w:r w:rsidRPr="00C43045">
        <w:rPr>
          <w:rFonts w:ascii="Palatino Linotype" w:eastAsia="Calibri" w:hAnsi="Palatino Linotype" w:cs="Arial"/>
          <w:b/>
          <w:bCs/>
        </w:rPr>
        <w:t xml:space="preserve">SEGUNDO. Notifíquese </w:t>
      </w:r>
      <w:r w:rsidRPr="00C43045">
        <w:rPr>
          <w:rFonts w:ascii="Palatino Linotype" w:eastAsia="Calibri" w:hAnsi="Palatino Linotype" w:cs="Arial"/>
          <w:bCs/>
        </w:rPr>
        <w:t xml:space="preserve">a través del Sistema de Acceso a la Información Mexiquense </w:t>
      </w:r>
      <w:r w:rsidRPr="00C43045">
        <w:rPr>
          <w:rFonts w:ascii="Palatino Linotype" w:eastAsia="Calibri" w:hAnsi="Palatino Linotype" w:cs="Arial"/>
          <w:b/>
          <w:bCs/>
        </w:rPr>
        <w:t xml:space="preserve">(SAIMEX) </w:t>
      </w:r>
      <w:r w:rsidRPr="00C43045">
        <w:rPr>
          <w:rFonts w:ascii="Palatino Linotype" w:eastAsia="Calibri" w:hAnsi="Palatino Linotype" w:cs="Arial"/>
          <w:bCs/>
        </w:rPr>
        <w:t>la presente resolución a la Titular de la Unidad de Transparencia del</w:t>
      </w:r>
      <w:r w:rsidRPr="00C43045">
        <w:rPr>
          <w:rFonts w:ascii="Palatino Linotype" w:eastAsia="Calibri" w:hAnsi="Palatino Linotype" w:cs="Arial"/>
          <w:b/>
          <w:bCs/>
        </w:rPr>
        <w:t xml:space="preserve"> SUJETO OBLIGADO. </w:t>
      </w:r>
    </w:p>
    <w:p w14:paraId="134A5DCD" w14:textId="77777777" w:rsidR="00766DE6" w:rsidRPr="00C43045" w:rsidRDefault="00766DE6" w:rsidP="00766DE6">
      <w:pPr>
        <w:spacing w:line="360" w:lineRule="auto"/>
        <w:jc w:val="both"/>
        <w:rPr>
          <w:rFonts w:ascii="Palatino Linotype" w:eastAsia="Calibri" w:hAnsi="Palatino Linotype" w:cs="Arial"/>
          <w:b/>
          <w:bCs/>
        </w:rPr>
      </w:pPr>
    </w:p>
    <w:p w14:paraId="26FD45F5" w14:textId="77777777" w:rsidR="00766DE6" w:rsidRPr="00C43045" w:rsidRDefault="00766DE6" w:rsidP="00766DE6">
      <w:pPr>
        <w:spacing w:line="360" w:lineRule="auto"/>
        <w:jc w:val="both"/>
        <w:rPr>
          <w:rFonts w:ascii="Palatino Linotype" w:hAnsi="Palatino Linotype"/>
          <w:color w:val="222222"/>
        </w:rPr>
      </w:pPr>
      <w:r w:rsidRPr="00C43045">
        <w:rPr>
          <w:rFonts w:ascii="Palatino Linotype" w:hAnsi="Palatino Linotype" w:cs="Arial"/>
          <w:b/>
        </w:rPr>
        <w:t xml:space="preserve">TERCERO. </w:t>
      </w:r>
      <w:r w:rsidRPr="00C43045">
        <w:rPr>
          <w:rFonts w:ascii="Palatino Linotype" w:hAnsi="Palatino Linotype"/>
          <w:b/>
          <w:bCs/>
          <w:color w:val="222222"/>
        </w:rPr>
        <w:t xml:space="preserve">Notifíquese </w:t>
      </w:r>
      <w:r w:rsidRPr="00C43045">
        <w:rPr>
          <w:rFonts w:ascii="Palatino Linotype" w:hAnsi="Palatino Linotype"/>
          <w:bCs/>
          <w:color w:val="222222"/>
        </w:rPr>
        <w:t xml:space="preserve">a la </w:t>
      </w:r>
      <w:r w:rsidRPr="00C43045">
        <w:rPr>
          <w:rFonts w:ascii="Palatino Linotype" w:eastAsia="MS Mincho" w:hAnsi="Palatino Linotype"/>
          <w:b/>
        </w:rPr>
        <w:t xml:space="preserve">RECURRENTE </w:t>
      </w:r>
      <w:r w:rsidRPr="00C43045">
        <w:rPr>
          <w:rFonts w:ascii="Palatino Linotype" w:eastAsia="Calibri" w:hAnsi="Palatino Linotype" w:cs="Arial"/>
          <w:bCs/>
        </w:rPr>
        <w:t xml:space="preserve">a través del Sistema de Acceso a la Información Mexiquense </w:t>
      </w:r>
      <w:r w:rsidRPr="00C43045">
        <w:rPr>
          <w:rFonts w:ascii="Palatino Linotype" w:eastAsia="Calibri" w:hAnsi="Palatino Linotype" w:cs="Arial"/>
          <w:b/>
          <w:bCs/>
        </w:rPr>
        <w:t xml:space="preserve">(SAIMEX) </w:t>
      </w:r>
      <w:r w:rsidRPr="00C43045">
        <w:rPr>
          <w:rFonts w:ascii="Palatino Linotype" w:hAnsi="Palatino Linotype"/>
          <w:color w:val="222222"/>
        </w:rPr>
        <w:t>la presente resolución.</w:t>
      </w:r>
    </w:p>
    <w:p w14:paraId="5D71A297" w14:textId="77777777" w:rsidR="00766DE6" w:rsidRPr="00C43045" w:rsidRDefault="00766DE6" w:rsidP="00766DE6">
      <w:pPr>
        <w:spacing w:line="360" w:lineRule="auto"/>
        <w:jc w:val="both"/>
        <w:rPr>
          <w:rFonts w:ascii="Palatino Linotype" w:hAnsi="Palatino Linotype"/>
          <w:color w:val="222222"/>
        </w:rPr>
      </w:pPr>
    </w:p>
    <w:p w14:paraId="6B776BD8" w14:textId="77777777" w:rsidR="00766DE6" w:rsidRPr="00C43045" w:rsidRDefault="00766DE6" w:rsidP="00766DE6">
      <w:pPr>
        <w:spacing w:line="360" w:lineRule="auto"/>
        <w:jc w:val="both"/>
        <w:rPr>
          <w:rFonts w:ascii="Palatino Linotype" w:eastAsia="MS Mincho" w:hAnsi="Palatino Linotype"/>
        </w:rPr>
      </w:pPr>
      <w:r w:rsidRPr="00C43045">
        <w:rPr>
          <w:rFonts w:ascii="Palatino Linotype" w:eastAsia="MS Mincho" w:hAnsi="Palatino Linotype"/>
          <w:b/>
        </w:rPr>
        <w:t>CUARTO.</w:t>
      </w:r>
      <w:r w:rsidRPr="00C43045">
        <w:rPr>
          <w:rFonts w:ascii="Palatino Linotype" w:eastAsia="MS Mincho" w:hAnsi="Palatino Linotype"/>
        </w:rPr>
        <w:t xml:space="preserve"> Se hace del conocimiento del </w:t>
      </w:r>
      <w:r w:rsidRPr="00C43045">
        <w:rPr>
          <w:rFonts w:ascii="Palatino Linotype" w:eastAsia="MS Mincho" w:hAnsi="Palatino Linotype"/>
          <w:b/>
        </w:rPr>
        <w:t xml:space="preserve">RECURRENTE </w:t>
      </w:r>
      <w:r w:rsidRPr="00C43045">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43045">
        <w:rPr>
          <w:rFonts w:ascii="Palatino Linotype" w:eastAsia="MS Mincho" w:hAnsi="Palatino Linotype"/>
          <w:bCs/>
        </w:rPr>
        <w:t xml:space="preserve">vía juicio de amparo </w:t>
      </w:r>
      <w:r w:rsidRPr="00C43045">
        <w:rPr>
          <w:rFonts w:ascii="Palatino Linotype" w:eastAsia="MS Mincho" w:hAnsi="Palatino Linotype"/>
        </w:rPr>
        <w:t>en los términos de las leyes aplicables.</w:t>
      </w:r>
    </w:p>
    <w:p w14:paraId="4BFF5FD0" w14:textId="77777777" w:rsidR="00766DE6" w:rsidRPr="00163EDB" w:rsidRDefault="00766DE6" w:rsidP="00D2437C">
      <w:pPr>
        <w:pStyle w:val="Prrafodelista"/>
        <w:tabs>
          <w:tab w:val="left" w:pos="567"/>
        </w:tabs>
        <w:spacing w:line="360" w:lineRule="auto"/>
        <w:ind w:left="0"/>
        <w:jc w:val="both"/>
        <w:rPr>
          <w:rFonts w:ascii="Palatino Linotype" w:hAnsi="Palatino Linotype" w:cs="Arial"/>
        </w:rPr>
      </w:pPr>
    </w:p>
    <w:p w14:paraId="23E75908" w14:textId="7254FDC7" w:rsidR="005A7ACC" w:rsidRPr="005A7ACC" w:rsidRDefault="005A7ACC" w:rsidP="005A7ACC">
      <w:pPr>
        <w:spacing w:before="240" w:after="240" w:line="360" w:lineRule="auto"/>
        <w:ind w:firstLine="1"/>
        <w:jc w:val="both"/>
        <w:rPr>
          <w:rStyle w:val="Referenciasutil"/>
          <w:rFonts w:ascii="Palatino Linotype" w:hAnsi="Palatino Linotype"/>
          <w:color w:val="auto"/>
        </w:rPr>
      </w:pPr>
      <w:bookmarkStart w:id="183" w:name="_Hlk12979299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A7ACC">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17774">
        <w:rPr>
          <w:rStyle w:val="Referenciasutil"/>
          <w:rFonts w:ascii="Palatino Linotype" w:hAnsi="Palatino Linotype"/>
          <w:color w:val="auto"/>
        </w:rPr>
        <w:t>CUADRAGÉSIMA</w:t>
      </w:r>
      <w:r w:rsidRPr="005A7ACC">
        <w:rPr>
          <w:rStyle w:val="Referenciasutil"/>
          <w:rFonts w:ascii="Palatino Linotype" w:hAnsi="Palatino Linotype"/>
          <w:color w:val="auto"/>
        </w:rPr>
        <w:t xml:space="preserve"> SESIÓN ORDINARIA CELEBRADA EL OCHO (08) DE NOVIEMBRE DE DOS MIL VEINTITRÉS, ANTE EL SECRETARIO TÉCNICO DEL PLENO ALEXIS TAPIA RAMÍREZ. </w:t>
      </w:r>
      <w:bookmarkEnd w:id="183"/>
    </w:p>
    <w:p w14:paraId="50197F12" w14:textId="14248EAF" w:rsidR="00674792" w:rsidRPr="000650DD" w:rsidRDefault="00674792" w:rsidP="00674792">
      <w:pPr>
        <w:spacing w:before="240" w:after="240" w:line="360" w:lineRule="auto"/>
        <w:jc w:val="both"/>
        <w:rPr>
          <w:rFonts w:ascii="Palatino Linotype" w:hAnsi="Palatino Linotype"/>
          <w:color w:val="000000" w:themeColor="text1"/>
        </w:rPr>
      </w:pPr>
      <w:r w:rsidRPr="000650DD">
        <w:rPr>
          <w:rFonts w:ascii="Palatino Linotype" w:hAnsi="Palatino Linotype"/>
        </w:rPr>
        <w:br w:type="page"/>
      </w:r>
    </w:p>
    <w:p w14:paraId="22EE70EF" w14:textId="77777777" w:rsidR="00674792" w:rsidRPr="000650DD" w:rsidRDefault="00674792" w:rsidP="00674792">
      <w:pPr>
        <w:spacing w:before="240" w:after="240" w:line="360" w:lineRule="auto"/>
        <w:jc w:val="both"/>
        <w:rPr>
          <w:rFonts w:ascii="Palatino Linotype" w:hAnsi="Palatino Linotype"/>
        </w:rPr>
      </w:pPr>
    </w:p>
    <w:p w14:paraId="1402B82C" w14:textId="77777777" w:rsidR="009E2B29" w:rsidRPr="000650DD" w:rsidRDefault="009E2B29">
      <w:pPr>
        <w:spacing w:before="240" w:after="240" w:line="360" w:lineRule="auto"/>
        <w:jc w:val="both"/>
        <w:rPr>
          <w:rFonts w:ascii="Palatino Linotype" w:hAnsi="Palatino Linotype"/>
        </w:rPr>
      </w:pPr>
    </w:p>
    <w:sectPr w:rsidR="009E2B29" w:rsidRPr="000650DD" w:rsidSect="00310233">
      <w:headerReference w:type="even" r:id="rId8"/>
      <w:headerReference w:type="default" r:id="rId9"/>
      <w:footerReference w:type="default" r:id="rId10"/>
      <w:headerReference w:type="first" r:id="rId11"/>
      <w:footerReference w:type="first" r:id="rId12"/>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33910" w14:textId="77777777" w:rsidR="00C356AA" w:rsidRDefault="00C356AA" w:rsidP="003B7751">
      <w:r>
        <w:separator/>
      </w:r>
    </w:p>
  </w:endnote>
  <w:endnote w:type="continuationSeparator" w:id="0">
    <w:p w14:paraId="54E94581" w14:textId="77777777" w:rsidR="00C356AA" w:rsidRDefault="00C356A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2C58DE" w:rsidRPr="002D6DD8"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36A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36A0">
              <w:rPr>
                <w:rFonts w:ascii="Palatino Linotype" w:hAnsi="Palatino Linotype"/>
                <w:bCs/>
                <w:noProof/>
                <w:sz w:val="20"/>
              </w:rPr>
              <w:t>26</w:t>
            </w:r>
            <w:r>
              <w:rPr>
                <w:rFonts w:ascii="Palatino Linotype" w:hAnsi="Palatino Linotype"/>
                <w:bCs/>
                <w:noProof/>
                <w:sz w:val="20"/>
              </w:rPr>
              <w:fldChar w:fldCharType="end"/>
            </w:r>
          </w:p>
        </w:sdtContent>
      </w:sdt>
    </w:sdtContent>
  </w:sdt>
  <w:p w14:paraId="3654209D" w14:textId="77777777" w:rsidR="002C58DE" w:rsidRDefault="002C58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2C58DE" w:rsidRPr="000B69FA"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36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36A0">
      <w:rPr>
        <w:rFonts w:ascii="Palatino Linotype" w:hAnsi="Palatino Linotype"/>
        <w:bCs/>
        <w:noProof/>
        <w:sz w:val="20"/>
      </w:rPr>
      <w:t>26</w:t>
    </w:r>
    <w:r>
      <w:rPr>
        <w:rFonts w:ascii="Palatino Linotype" w:hAnsi="Palatino Linotype"/>
        <w:bCs/>
        <w:noProof/>
        <w:sz w:val="20"/>
      </w:rPr>
      <w:fldChar w:fldCharType="end"/>
    </w:r>
  </w:p>
  <w:p w14:paraId="0FDACA07" w14:textId="77777777" w:rsidR="002C58DE" w:rsidRDefault="002C58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D3938" w14:textId="77777777" w:rsidR="00C356AA" w:rsidRDefault="00C356AA" w:rsidP="003B7751">
      <w:r>
        <w:separator/>
      </w:r>
    </w:p>
  </w:footnote>
  <w:footnote w:type="continuationSeparator" w:id="0">
    <w:p w14:paraId="7EF107A3" w14:textId="77777777" w:rsidR="00C356AA" w:rsidRDefault="00C356AA" w:rsidP="003B7751">
      <w:r>
        <w:continuationSeparator/>
      </w:r>
    </w:p>
  </w:footnote>
  <w:footnote w:id="1">
    <w:p w14:paraId="0CB42EBD" w14:textId="77777777" w:rsidR="00203797" w:rsidRPr="00911081" w:rsidRDefault="00203797" w:rsidP="00203797">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771B40A" w14:textId="77777777" w:rsidR="00203797" w:rsidRPr="00911081" w:rsidRDefault="00203797" w:rsidP="0020379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2C58DE" w:rsidRDefault="00C356AA">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2C58DE" w14:paraId="7DA66135" w14:textId="77777777" w:rsidTr="005A7ACC">
      <w:trPr>
        <w:trHeight w:val="227"/>
      </w:trPr>
      <w:tc>
        <w:tcPr>
          <w:tcW w:w="2976" w:type="dxa"/>
          <w:vAlign w:val="center"/>
          <w:hideMark/>
        </w:tcPr>
        <w:p w14:paraId="52A81BC8"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969" w:type="dxa"/>
          <w:vAlign w:val="center"/>
          <w:hideMark/>
        </w:tcPr>
        <w:p w14:paraId="163EAE03" w14:textId="58F5C4D8" w:rsidR="002C58DE" w:rsidRPr="005A7ACC" w:rsidRDefault="005D6DBC" w:rsidP="003E66D2">
          <w:pPr>
            <w:pStyle w:val="Encabezado"/>
            <w:rPr>
              <w:rFonts w:ascii="Palatino Linotype" w:hAnsi="Palatino Linotype" w:cs="Arial"/>
              <w:bCs/>
              <w:sz w:val="22"/>
              <w:szCs w:val="22"/>
              <w:lang w:eastAsia="es-MX"/>
            </w:rPr>
          </w:pPr>
          <w:r w:rsidRPr="005A7ACC">
            <w:rPr>
              <w:rFonts w:ascii="Palatino Linotype" w:hAnsi="Palatino Linotype" w:cs="Arial"/>
              <w:bCs/>
              <w:sz w:val="22"/>
              <w:szCs w:val="22"/>
              <w:lang w:eastAsia="es-MX"/>
            </w:rPr>
            <w:t>15508/INFOEM/IP/RR/2022</w:t>
          </w:r>
        </w:p>
      </w:tc>
    </w:tr>
    <w:tr w:rsidR="002C58DE" w14:paraId="26BCBF15" w14:textId="77777777" w:rsidTr="005A7ACC">
      <w:trPr>
        <w:trHeight w:val="242"/>
      </w:trPr>
      <w:tc>
        <w:tcPr>
          <w:tcW w:w="2976" w:type="dxa"/>
          <w:vAlign w:val="center"/>
          <w:hideMark/>
        </w:tcPr>
        <w:p w14:paraId="72EC305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hideMark/>
        </w:tcPr>
        <w:p w14:paraId="6A06ECF1" w14:textId="295607C1" w:rsidR="002C58DE" w:rsidRPr="005A7ACC" w:rsidRDefault="005D6DBC" w:rsidP="005D6DBC">
          <w:pPr>
            <w:pStyle w:val="Encabezado"/>
            <w:jc w:val="both"/>
            <w:rPr>
              <w:rFonts w:ascii="Palatino Linotype" w:hAnsi="Palatino Linotype"/>
              <w:bCs/>
              <w:color w:val="000000"/>
              <w:sz w:val="22"/>
              <w:szCs w:val="22"/>
            </w:rPr>
          </w:pPr>
          <w:r w:rsidRPr="005A7ACC">
            <w:rPr>
              <w:rFonts w:ascii="Palatino Linotype" w:hAnsi="Palatino Linotype"/>
              <w:bCs/>
              <w:color w:val="000000"/>
              <w:sz w:val="22"/>
              <w:szCs w:val="22"/>
            </w:rPr>
            <w:t>Junta Local de Conciliación y Arbitraje Valle de Toluca</w:t>
          </w:r>
        </w:p>
      </w:tc>
    </w:tr>
    <w:tr w:rsidR="002C58DE" w14:paraId="11EFBC30" w14:textId="77777777" w:rsidTr="005A7ACC">
      <w:trPr>
        <w:trHeight w:val="342"/>
      </w:trPr>
      <w:tc>
        <w:tcPr>
          <w:tcW w:w="2976" w:type="dxa"/>
          <w:vAlign w:val="center"/>
          <w:hideMark/>
        </w:tcPr>
        <w:p w14:paraId="31FB40D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hideMark/>
        </w:tcPr>
        <w:p w14:paraId="0EF2C156" w14:textId="77777777" w:rsidR="002C58DE" w:rsidRPr="005A7ACC" w:rsidRDefault="002C58DE" w:rsidP="009F09BC">
          <w:pPr>
            <w:pStyle w:val="Encabezado"/>
            <w:rPr>
              <w:rFonts w:ascii="Palatino Linotype" w:hAnsi="Palatino Linotype"/>
              <w:sz w:val="22"/>
              <w:szCs w:val="22"/>
            </w:rPr>
          </w:pPr>
          <w:r w:rsidRPr="005A7ACC">
            <w:rPr>
              <w:rFonts w:ascii="Palatino Linotype" w:hAnsi="Palatino Linotype"/>
              <w:sz w:val="22"/>
              <w:szCs w:val="22"/>
            </w:rPr>
            <w:t>María del Rosario Mejía Ayala</w:t>
          </w:r>
        </w:p>
      </w:tc>
    </w:tr>
  </w:tbl>
  <w:p w14:paraId="35133CE7" w14:textId="77777777" w:rsidR="002C58DE" w:rsidRPr="00AE046A" w:rsidRDefault="00C356AA"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9.75pt;margin-top:-110.8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119" w:type="dxa"/>
      <w:tblCellMar>
        <w:left w:w="70" w:type="dxa"/>
        <w:right w:w="70" w:type="dxa"/>
      </w:tblCellMar>
      <w:tblLook w:val="04A0" w:firstRow="1" w:lastRow="0" w:firstColumn="1" w:lastColumn="0" w:noHBand="0" w:noVBand="1"/>
    </w:tblPr>
    <w:tblGrid>
      <w:gridCol w:w="2977"/>
      <w:gridCol w:w="3969"/>
    </w:tblGrid>
    <w:tr w:rsidR="002C58DE" w14:paraId="79677A4C" w14:textId="77777777" w:rsidTr="005A7ACC">
      <w:trPr>
        <w:trHeight w:val="227"/>
      </w:trPr>
      <w:tc>
        <w:tcPr>
          <w:tcW w:w="2977" w:type="dxa"/>
          <w:vAlign w:val="center"/>
          <w:hideMark/>
        </w:tcPr>
        <w:p w14:paraId="0101E6AC" w14:textId="77777777" w:rsidR="002C58DE" w:rsidRPr="00674A46" w:rsidRDefault="002C58DE"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9" w:type="dxa"/>
          <w:vAlign w:val="center"/>
          <w:hideMark/>
        </w:tcPr>
        <w:p w14:paraId="40FB07CF" w14:textId="35F277EA" w:rsidR="002C58DE" w:rsidRPr="005A7ACC" w:rsidRDefault="005D6DBC" w:rsidP="005A7ACC">
          <w:pPr>
            <w:pStyle w:val="Encabezado"/>
            <w:rPr>
              <w:rFonts w:ascii="Palatino Linotype" w:hAnsi="Palatino Linotype"/>
              <w:sz w:val="22"/>
              <w:szCs w:val="22"/>
            </w:rPr>
          </w:pPr>
          <w:r w:rsidRPr="005A7ACC">
            <w:rPr>
              <w:rFonts w:ascii="Palatino Linotype" w:hAnsi="Palatino Linotype"/>
              <w:sz w:val="22"/>
              <w:szCs w:val="22"/>
            </w:rPr>
            <w:t>15508/INFOEM/IP/RR/2022</w:t>
          </w:r>
        </w:p>
      </w:tc>
    </w:tr>
    <w:tr w:rsidR="002C58DE" w14:paraId="120D6312" w14:textId="77777777" w:rsidTr="005A7ACC">
      <w:trPr>
        <w:trHeight w:val="242"/>
      </w:trPr>
      <w:tc>
        <w:tcPr>
          <w:tcW w:w="2977" w:type="dxa"/>
          <w:vAlign w:val="center"/>
          <w:hideMark/>
        </w:tcPr>
        <w:p w14:paraId="11CBA2B5" w14:textId="77777777" w:rsidR="002C58DE" w:rsidRPr="00674A46" w:rsidRDefault="002C58DE"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969" w:type="dxa"/>
          <w:hideMark/>
        </w:tcPr>
        <w:p w14:paraId="4C2DBF36" w14:textId="5BDAAC9A" w:rsidR="002C58DE" w:rsidRPr="005A7ACC" w:rsidRDefault="007836A0" w:rsidP="005A7ACC">
          <w:pPr>
            <w:pStyle w:val="Encabezado"/>
            <w:tabs>
              <w:tab w:val="left" w:pos="521"/>
            </w:tabs>
            <w:rPr>
              <w:rFonts w:ascii="Palatino Linotype" w:hAnsi="Palatino Linotype"/>
              <w:sz w:val="22"/>
              <w:szCs w:val="22"/>
            </w:rPr>
          </w:pPr>
          <w:r>
            <w:rPr>
              <w:rFonts w:ascii="Palatino Linotype" w:hAnsi="Palatino Linotype"/>
              <w:sz w:val="22"/>
              <w:szCs w:val="22"/>
            </w:rPr>
            <w:t>XXX XXX XXX</w:t>
          </w:r>
        </w:p>
      </w:tc>
    </w:tr>
    <w:tr w:rsidR="002C58DE" w14:paraId="35FB616D" w14:textId="77777777" w:rsidTr="005A7ACC">
      <w:trPr>
        <w:trHeight w:val="342"/>
      </w:trPr>
      <w:tc>
        <w:tcPr>
          <w:tcW w:w="2977" w:type="dxa"/>
          <w:vAlign w:val="center"/>
        </w:tcPr>
        <w:p w14:paraId="269E64F6" w14:textId="77777777" w:rsidR="002C58DE" w:rsidRPr="00674A46" w:rsidRDefault="002C58DE"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14:paraId="2593E66B" w14:textId="7E51FAE8" w:rsidR="002C58DE" w:rsidRPr="005A7ACC" w:rsidRDefault="005D6DBC" w:rsidP="005A7ACC">
          <w:pPr>
            <w:pStyle w:val="Encabezado"/>
            <w:rPr>
              <w:rFonts w:ascii="Palatino Linotype" w:hAnsi="Palatino Linotype"/>
              <w:sz w:val="22"/>
              <w:szCs w:val="22"/>
            </w:rPr>
          </w:pPr>
          <w:r w:rsidRPr="005A7ACC">
            <w:rPr>
              <w:rFonts w:ascii="Palatino Linotype" w:hAnsi="Palatino Linotype"/>
              <w:sz w:val="22"/>
              <w:szCs w:val="22"/>
            </w:rPr>
            <w:t>Junta Local de Conciliación y Arbitraje Valle de Toluca</w:t>
          </w:r>
        </w:p>
      </w:tc>
    </w:tr>
    <w:tr w:rsidR="002C58DE" w14:paraId="2156B5CB" w14:textId="77777777" w:rsidTr="005A7ACC">
      <w:trPr>
        <w:trHeight w:val="342"/>
      </w:trPr>
      <w:tc>
        <w:tcPr>
          <w:tcW w:w="2977" w:type="dxa"/>
          <w:vAlign w:val="center"/>
        </w:tcPr>
        <w:p w14:paraId="07D5622D" w14:textId="77777777" w:rsidR="002C58DE" w:rsidRPr="00674A46" w:rsidRDefault="002C58DE"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969" w:type="dxa"/>
          <w:vAlign w:val="center"/>
        </w:tcPr>
        <w:p w14:paraId="20240814" w14:textId="77777777" w:rsidR="002C58DE" w:rsidRPr="005A7ACC" w:rsidRDefault="002C58DE" w:rsidP="005A7ACC">
          <w:pPr>
            <w:pStyle w:val="Encabezado"/>
            <w:rPr>
              <w:rFonts w:ascii="Palatino Linotype" w:hAnsi="Palatino Linotype"/>
              <w:sz w:val="22"/>
              <w:szCs w:val="22"/>
            </w:rPr>
          </w:pPr>
          <w:r w:rsidRPr="005A7ACC">
            <w:rPr>
              <w:rFonts w:ascii="Palatino Linotype" w:hAnsi="Palatino Linotype"/>
              <w:sz w:val="21"/>
              <w:szCs w:val="21"/>
            </w:rPr>
            <w:t>María del Rosario Mejía Ayala</w:t>
          </w:r>
        </w:p>
      </w:tc>
    </w:tr>
  </w:tbl>
  <w:p w14:paraId="1688EE03" w14:textId="77777777" w:rsidR="002C58DE" w:rsidRPr="00C222C0" w:rsidRDefault="00C356AA">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F9F6EA5"/>
    <w:multiLevelType w:val="hybridMultilevel"/>
    <w:tmpl w:val="17A8FB9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1B719A"/>
    <w:multiLevelType w:val="hybridMultilevel"/>
    <w:tmpl w:val="E598B4CC"/>
    <w:lvl w:ilvl="0" w:tplc="080A000F">
      <w:start w:val="1"/>
      <w:numFmt w:val="decimal"/>
      <w:lvlText w:val="%1."/>
      <w:lvlJc w:val="left"/>
      <w:pPr>
        <w:ind w:left="36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680D17A3"/>
    <w:multiLevelType w:val="multilevel"/>
    <w:tmpl w:val="D7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A7696"/>
    <w:multiLevelType w:val="hybridMultilevel"/>
    <w:tmpl w:val="A5006E32"/>
    <w:lvl w:ilvl="0" w:tplc="E348FF40">
      <w:start w:val="39"/>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9557DE"/>
    <w:multiLevelType w:val="hybridMultilevel"/>
    <w:tmpl w:val="BF46752C"/>
    <w:lvl w:ilvl="0" w:tplc="A6DCF3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8"/>
  </w:num>
  <w:num w:numId="6">
    <w:abstractNumId w:val="0"/>
  </w:num>
  <w:num w:numId="7">
    <w:abstractNumId w:val="1"/>
  </w:num>
  <w:num w:numId="8">
    <w:abstractNumId w:val="9"/>
  </w:num>
  <w:num w:numId="9">
    <w:abstractNumId w:val="7"/>
  </w:num>
  <w:num w:numId="10">
    <w:abstractNumId w:val="10"/>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41BE4"/>
    <w:rsid w:val="00051287"/>
    <w:rsid w:val="000650DD"/>
    <w:rsid w:val="000670DF"/>
    <w:rsid w:val="00072B3F"/>
    <w:rsid w:val="00076A01"/>
    <w:rsid w:val="00081AAF"/>
    <w:rsid w:val="00081CFC"/>
    <w:rsid w:val="0008243D"/>
    <w:rsid w:val="00084977"/>
    <w:rsid w:val="00090B39"/>
    <w:rsid w:val="000930B0"/>
    <w:rsid w:val="00093646"/>
    <w:rsid w:val="000A77E7"/>
    <w:rsid w:val="000B147B"/>
    <w:rsid w:val="000B1EE1"/>
    <w:rsid w:val="000D4681"/>
    <w:rsid w:val="000D4F64"/>
    <w:rsid w:val="000D60C6"/>
    <w:rsid w:val="000D65F8"/>
    <w:rsid w:val="000D6E60"/>
    <w:rsid w:val="000E1A02"/>
    <w:rsid w:val="000E4891"/>
    <w:rsid w:val="000E4DE8"/>
    <w:rsid w:val="000E69D2"/>
    <w:rsid w:val="000E7B9F"/>
    <w:rsid w:val="000F4046"/>
    <w:rsid w:val="000F4F6F"/>
    <w:rsid w:val="000F551B"/>
    <w:rsid w:val="0010717E"/>
    <w:rsid w:val="00110CF2"/>
    <w:rsid w:val="00114502"/>
    <w:rsid w:val="001159B4"/>
    <w:rsid w:val="00122574"/>
    <w:rsid w:val="00125344"/>
    <w:rsid w:val="00125FE9"/>
    <w:rsid w:val="001352F5"/>
    <w:rsid w:val="00162221"/>
    <w:rsid w:val="00163EDB"/>
    <w:rsid w:val="00170BA3"/>
    <w:rsid w:val="001732E0"/>
    <w:rsid w:val="001A0DDE"/>
    <w:rsid w:val="001A18E7"/>
    <w:rsid w:val="001B372A"/>
    <w:rsid w:val="001C1784"/>
    <w:rsid w:val="001C4290"/>
    <w:rsid w:val="001C5CBB"/>
    <w:rsid w:val="001D23C1"/>
    <w:rsid w:val="001D373F"/>
    <w:rsid w:val="001D5404"/>
    <w:rsid w:val="001E25E6"/>
    <w:rsid w:val="001E41C3"/>
    <w:rsid w:val="001E6398"/>
    <w:rsid w:val="001E741B"/>
    <w:rsid w:val="001F4D06"/>
    <w:rsid w:val="00203797"/>
    <w:rsid w:val="0021441A"/>
    <w:rsid w:val="0022309F"/>
    <w:rsid w:val="00223C06"/>
    <w:rsid w:val="00230E6F"/>
    <w:rsid w:val="00236FC3"/>
    <w:rsid w:val="0024492A"/>
    <w:rsid w:val="00245465"/>
    <w:rsid w:val="00246A14"/>
    <w:rsid w:val="00253E3C"/>
    <w:rsid w:val="00260374"/>
    <w:rsid w:val="00262783"/>
    <w:rsid w:val="00272CA2"/>
    <w:rsid w:val="00277FAC"/>
    <w:rsid w:val="002901F4"/>
    <w:rsid w:val="00291500"/>
    <w:rsid w:val="00291F69"/>
    <w:rsid w:val="00296E8C"/>
    <w:rsid w:val="00297ABF"/>
    <w:rsid w:val="002A6FF9"/>
    <w:rsid w:val="002C0D3C"/>
    <w:rsid w:val="002C4997"/>
    <w:rsid w:val="002C58DE"/>
    <w:rsid w:val="002C6063"/>
    <w:rsid w:val="002D7153"/>
    <w:rsid w:val="002F0D84"/>
    <w:rsid w:val="002F3233"/>
    <w:rsid w:val="002F341A"/>
    <w:rsid w:val="0030094A"/>
    <w:rsid w:val="003015FC"/>
    <w:rsid w:val="00307E97"/>
    <w:rsid w:val="00310233"/>
    <w:rsid w:val="00312281"/>
    <w:rsid w:val="00312711"/>
    <w:rsid w:val="00315BA7"/>
    <w:rsid w:val="00316ACD"/>
    <w:rsid w:val="00323FFD"/>
    <w:rsid w:val="003416EA"/>
    <w:rsid w:val="003437D9"/>
    <w:rsid w:val="0035142F"/>
    <w:rsid w:val="003522EE"/>
    <w:rsid w:val="00353F1D"/>
    <w:rsid w:val="00363CE1"/>
    <w:rsid w:val="00365CBA"/>
    <w:rsid w:val="003833B3"/>
    <w:rsid w:val="003839E9"/>
    <w:rsid w:val="003A15C8"/>
    <w:rsid w:val="003A7A43"/>
    <w:rsid w:val="003B7751"/>
    <w:rsid w:val="003C13F1"/>
    <w:rsid w:val="003C1FDD"/>
    <w:rsid w:val="003E4715"/>
    <w:rsid w:val="003E66D2"/>
    <w:rsid w:val="003F1817"/>
    <w:rsid w:val="003F76B0"/>
    <w:rsid w:val="00402466"/>
    <w:rsid w:val="0040679F"/>
    <w:rsid w:val="00407FDA"/>
    <w:rsid w:val="004118FA"/>
    <w:rsid w:val="00414414"/>
    <w:rsid w:val="004167BE"/>
    <w:rsid w:val="004208A9"/>
    <w:rsid w:val="0042423F"/>
    <w:rsid w:val="00424333"/>
    <w:rsid w:val="00425842"/>
    <w:rsid w:val="00427C84"/>
    <w:rsid w:val="004336A5"/>
    <w:rsid w:val="00437672"/>
    <w:rsid w:val="004500F8"/>
    <w:rsid w:val="004525CB"/>
    <w:rsid w:val="00455041"/>
    <w:rsid w:val="004557F9"/>
    <w:rsid w:val="0045592A"/>
    <w:rsid w:val="00456CFF"/>
    <w:rsid w:val="00461954"/>
    <w:rsid w:val="00461A3D"/>
    <w:rsid w:val="00463332"/>
    <w:rsid w:val="0046395B"/>
    <w:rsid w:val="00477B49"/>
    <w:rsid w:val="0048124E"/>
    <w:rsid w:val="00484E96"/>
    <w:rsid w:val="004906B4"/>
    <w:rsid w:val="004A6005"/>
    <w:rsid w:val="004A642A"/>
    <w:rsid w:val="004A6EA2"/>
    <w:rsid w:val="004B2C98"/>
    <w:rsid w:val="004B6A35"/>
    <w:rsid w:val="004B748A"/>
    <w:rsid w:val="004C139A"/>
    <w:rsid w:val="004D73B3"/>
    <w:rsid w:val="004E4EE6"/>
    <w:rsid w:val="004E6CE4"/>
    <w:rsid w:val="004F2E5C"/>
    <w:rsid w:val="004F34D1"/>
    <w:rsid w:val="0050113D"/>
    <w:rsid w:val="00502A6A"/>
    <w:rsid w:val="005034A8"/>
    <w:rsid w:val="00516D8F"/>
    <w:rsid w:val="0052044E"/>
    <w:rsid w:val="00533B0D"/>
    <w:rsid w:val="005362B8"/>
    <w:rsid w:val="00540979"/>
    <w:rsid w:val="00542258"/>
    <w:rsid w:val="005432D0"/>
    <w:rsid w:val="00546076"/>
    <w:rsid w:val="005463B7"/>
    <w:rsid w:val="00547ACE"/>
    <w:rsid w:val="005507B0"/>
    <w:rsid w:val="00554A21"/>
    <w:rsid w:val="005565B9"/>
    <w:rsid w:val="00556E0A"/>
    <w:rsid w:val="0056016A"/>
    <w:rsid w:val="00563F2E"/>
    <w:rsid w:val="005712DD"/>
    <w:rsid w:val="0057514F"/>
    <w:rsid w:val="0058610C"/>
    <w:rsid w:val="00593D87"/>
    <w:rsid w:val="005A7ACC"/>
    <w:rsid w:val="005B076D"/>
    <w:rsid w:val="005B0B31"/>
    <w:rsid w:val="005B69A1"/>
    <w:rsid w:val="005C5021"/>
    <w:rsid w:val="005D1B6B"/>
    <w:rsid w:val="005D2F1C"/>
    <w:rsid w:val="005D44FC"/>
    <w:rsid w:val="005D4C57"/>
    <w:rsid w:val="005D5704"/>
    <w:rsid w:val="005D6DBC"/>
    <w:rsid w:val="005E60F1"/>
    <w:rsid w:val="00614B85"/>
    <w:rsid w:val="00614F38"/>
    <w:rsid w:val="00625AEC"/>
    <w:rsid w:val="00626AC3"/>
    <w:rsid w:val="006301E8"/>
    <w:rsid w:val="00647F7C"/>
    <w:rsid w:val="00650BFA"/>
    <w:rsid w:val="006543E2"/>
    <w:rsid w:val="00657639"/>
    <w:rsid w:val="00667C8F"/>
    <w:rsid w:val="0067366F"/>
    <w:rsid w:val="00674792"/>
    <w:rsid w:val="00681C08"/>
    <w:rsid w:val="00682771"/>
    <w:rsid w:val="006921BE"/>
    <w:rsid w:val="0069462C"/>
    <w:rsid w:val="006A04B6"/>
    <w:rsid w:val="006A4056"/>
    <w:rsid w:val="006A48EA"/>
    <w:rsid w:val="006A5CDE"/>
    <w:rsid w:val="006A6390"/>
    <w:rsid w:val="006A6442"/>
    <w:rsid w:val="006A6B0F"/>
    <w:rsid w:val="006A6EF2"/>
    <w:rsid w:val="006A7FF8"/>
    <w:rsid w:val="006B69DB"/>
    <w:rsid w:val="006B7ED3"/>
    <w:rsid w:val="006C3EF6"/>
    <w:rsid w:val="006C42EA"/>
    <w:rsid w:val="006D15D0"/>
    <w:rsid w:val="006D5CF0"/>
    <w:rsid w:val="006D6CC1"/>
    <w:rsid w:val="006E4E3E"/>
    <w:rsid w:val="006E636C"/>
    <w:rsid w:val="006E7397"/>
    <w:rsid w:val="006E7C94"/>
    <w:rsid w:val="006F3EF7"/>
    <w:rsid w:val="006F5DC5"/>
    <w:rsid w:val="006F70CF"/>
    <w:rsid w:val="00704B84"/>
    <w:rsid w:val="00705EFD"/>
    <w:rsid w:val="0070751E"/>
    <w:rsid w:val="00711062"/>
    <w:rsid w:val="00716BCA"/>
    <w:rsid w:val="00720371"/>
    <w:rsid w:val="0073654B"/>
    <w:rsid w:val="00742823"/>
    <w:rsid w:val="00747554"/>
    <w:rsid w:val="00750551"/>
    <w:rsid w:val="00751B3D"/>
    <w:rsid w:val="007617FE"/>
    <w:rsid w:val="00762CFF"/>
    <w:rsid w:val="00766DE6"/>
    <w:rsid w:val="00775EB2"/>
    <w:rsid w:val="00782A12"/>
    <w:rsid w:val="007836A0"/>
    <w:rsid w:val="007851DB"/>
    <w:rsid w:val="00790765"/>
    <w:rsid w:val="00796006"/>
    <w:rsid w:val="007A2809"/>
    <w:rsid w:val="007A3E3F"/>
    <w:rsid w:val="007A6A1A"/>
    <w:rsid w:val="007B762E"/>
    <w:rsid w:val="007D3E2B"/>
    <w:rsid w:val="007D5B8F"/>
    <w:rsid w:val="007F3187"/>
    <w:rsid w:val="00817774"/>
    <w:rsid w:val="00821662"/>
    <w:rsid w:val="008250AC"/>
    <w:rsid w:val="00840D1C"/>
    <w:rsid w:val="00844A2B"/>
    <w:rsid w:val="00851406"/>
    <w:rsid w:val="008526F4"/>
    <w:rsid w:val="008563C8"/>
    <w:rsid w:val="008573BF"/>
    <w:rsid w:val="00861A01"/>
    <w:rsid w:val="0086792A"/>
    <w:rsid w:val="00873EB6"/>
    <w:rsid w:val="00874475"/>
    <w:rsid w:val="00887ED3"/>
    <w:rsid w:val="0089008F"/>
    <w:rsid w:val="008A482A"/>
    <w:rsid w:val="008A699B"/>
    <w:rsid w:val="008B0637"/>
    <w:rsid w:val="008B1E72"/>
    <w:rsid w:val="008B4FFD"/>
    <w:rsid w:val="008C1ED7"/>
    <w:rsid w:val="008E145D"/>
    <w:rsid w:val="008E24E7"/>
    <w:rsid w:val="008E330F"/>
    <w:rsid w:val="008E6050"/>
    <w:rsid w:val="008E6574"/>
    <w:rsid w:val="008F5176"/>
    <w:rsid w:val="008F6D18"/>
    <w:rsid w:val="008F7981"/>
    <w:rsid w:val="0091113D"/>
    <w:rsid w:val="00911A75"/>
    <w:rsid w:val="009126F1"/>
    <w:rsid w:val="009335F9"/>
    <w:rsid w:val="0094092A"/>
    <w:rsid w:val="009441BB"/>
    <w:rsid w:val="00945135"/>
    <w:rsid w:val="009469F0"/>
    <w:rsid w:val="0096600C"/>
    <w:rsid w:val="009772CD"/>
    <w:rsid w:val="00984E7E"/>
    <w:rsid w:val="009938B5"/>
    <w:rsid w:val="00995661"/>
    <w:rsid w:val="00995679"/>
    <w:rsid w:val="00996E33"/>
    <w:rsid w:val="009A2251"/>
    <w:rsid w:val="009B5CFD"/>
    <w:rsid w:val="009D0F89"/>
    <w:rsid w:val="009D5A32"/>
    <w:rsid w:val="009D6074"/>
    <w:rsid w:val="009E1BF2"/>
    <w:rsid w:val="009E2B29"/>
    <w:rsid w:val="009E757F"/>
    <w:rsid w:val="009F09BC"/>
    <w:rsid w:val="00A12395"/>
    <w:rsid w:val="00A1447C"/>
    <w:rsid w:val="00A17E25"/>
    <w:rsid w:val="00A21565"/>
    <w:rsid w:val="00A23DCA"/>
    <w:rsid w:val="00A23E82"/>
    <w:rsid w:val="00A32EB8"/>
    <w:rsid w:val="00A330E3"/>
    <w:rsid w:val="00A3613C"/>
    <w:rsid w:val="00A41E56"/>
    <w:rsid w:val="00A473F0"/>
    <w:rsid w:val="00A55F1F"/>
    <w:rsid w:val="00A626EB"/>
    <w:rsid w:val="00A63DE3"/>
    <w:rsid w:val="00A6786B"/>
    <w:rsid w:val="00A806D0"/>
    <w:rsid w:val="00A84559"/>
    <w:rsid w:val="00A87D5E"/>
    <w:rsid w:val="00AA1E3F"/>
    <w:rsid w:val="00AB2D1F"/>
    <w:rsid w:val="00AB3F4B"/>
    <w:rsid w:val="00AB4330"/>
    <w:rsid w:val="00AB4EE9"/>
    <w:rsid w:val="00AC207E"/>
    <w:rsid w:val="00AD316E"/>
    <w:rsid w:val="00AD4563"/>
    <w:rsid w:val="00AD57A8"/>
    <w:rsid w:val="00AD63B4"/>
    <w:rsid w:val="00AE1ED3"/>
    <w:rsid w:val="00AE3514"/>
    <w:rsid w:val="00AF4BBC"/>
    <w:rsid w:val="00AF4EB9"/>
    <w:rsid w:val="00B00FB8"/>
    <w:rsid w:val="00B05C22"/>
    <w:rsid w:val="00B06F96"/>
    <w:rsid w:val="00B07BF8"/>
    <w:rsid w:val="00B1448F"/>
    <w:rsid w:val="00B170E1"/>
    <w:rsid w:val="00B242FA"/>
    <w:rsid w:val="00B33D8E"/>
    <w:rsid w:val="00B33F8E"/>
    <w:rsid w:val="00B43C10"/>
    <w:rsid w:val="00B45267"/>
    <w:rsid w:val="00B47955"/>
    <w:rsid w:val="00B53695"/>
    <w:rsid w:val="00B54047"/>
    <w:rsid w:val="00B54DC5"/>
    <w:rsid w:val="00B81A91"/>
    <w:rsid w:val="00B91539"/>
    <w:rsid w:val="00BA2B14"/>
    <w:rsid w:val="00BA2EB3"/>
    <w:rsid w:val="00BA3473"/>
    <w:rsid w:val="00BB1976"/>
    <w:rsid w:val="00BB1DE8"/>
    <w:rsid w:val="00BB5E25"/>
    <w:rsid w:val="00BC3328"/>
    <w:rsid w:val="00BC3EE3"/>
    <w:rsid w:val="00BD5F0C"/>
    <w:rsid w:val="00BF0E38"/>
    <w:rsid w:val="00BF3FB5"/>
    <w:rsid w:val="00C00954"/>
    <w:rsid w:val="00C0715F"/>
    <w:rsid w:val="00C07861"/>
    <w:rsid w:val="00C105CC"/>
    <w:rsid w:val="00C143F3"/>
    <w:rsid w:val="00C14F2A"/>
    <w:rsid w:val="00C14FDD"/>
    <w:rsid w:val="00C21FAE"/>
    <w:rsid w:val="00C22D79"/>
    <w:rsid w:val="00C24F99"/>
    <w:rsid w:val="00C27AE3"/>
    <w:rsid w:val="00C27EDA"/>
    <w:rsid w:val="00C3494C"/>
    <w:rsid w:val="00C356AA"/>
    <w:rsid w:val="00C41774"/>
    <w:rsid w:val="00C41B2B"/>
    <w:rsid w:val="00C54D99"/>
    <w:rsid w:val="00C62E91"/>
    <w:rsid w:val="00C67618"/>
    <w:rsid w:val="00C72735"/>
    <w:rsid w:val="00C742D4"/>
    <w:rsid w:val="00C77986"/>
    <w:rsid w:val="00C85E64"/>
    <w:rsid w:val="00C87396"/>
    <w:rsid w:val="00C90814"/>
    <w:rsid w:val="00C917AE"/>
    <w:rsid w:val="00C91F0F"/>
    <w:rsid w:val="00CA037D"/>
    <w:rsid w:val="00CA1063"/>
    <w:rsid w:val="00CA3A63"/>
    <w:rsid w:val="00CC3C6D"/>
    <w:rsid w:val="00CC426E"/>
    <w:rsid w:val="00CC5B2F"/>
    <w:rsid w:val="00CD1743"/>
    <w:rsid w:val="00CD73DE"/>
    <w:rsid w:val="00CE52F3"/>
    <w:rsid w:val="00CE602F"/>
    <w:rsid w:val="00CF0D2B"/>
    <w:rsid w:val="00CF1B6E"/>
    <w:rsid w:val="00D021A5"/>
    <w:rsid w:val="00D14447"/>
    <w:rsid w:val="00D16FC7"/>
    <w:rsid w:val="00D2437C"/>
    <w:rsid w:val="00D311E5"/>
    <w:rsid w:val="00D313A5"/>
    <w:rsid w:val="00D47231"/>
    <w:rsid w:val="00D5583F"/>
    <w:rsid w:val="00D6224B"/>
    <w:rsid w:val="00D632C7"/>
    <w:rsid w:val="00D67BD2"/>
    <w:rsid w:val="00D7443C"/>
    <w:rsid w:val="00D776F5"/>
    <w:rsid w:val="00D8065A"/>
    <w:rsid w:val="00D81329"/>
    <w:rsid w:val="00D81421"/>
    <w:rsid w:val="00D8172E"/>
    <w:rsid w:val="00DA6D37"/>
    <w:rsid w:val="00DB2ACE"/>
    <w:rsid w:val="00DB753F"/>
    <w:rsid w:val="00DC69FB"/>
    <w:rsid w:val="00DD4238"/>
    <w:rsid w:val="00DD4726"/>
    <w:rsid w:val="00DD67DB"/>
    <w:rsid w:val="00DF15C7"/>
    <w:rsid w:val="00E066DC"/>
    <w:rsid w:val="00E101E2"/>
    <w:rsid w:val="00E118BA"/>
    <w:rsid w:val="00E126F9"/>
    <w:rsid w:val="00E15677"/>
    <w:rsid w:val="00E16B71"/>
    <w:rsid w:val="00E17429"/>
    <w:rsid w:val="00E21A07"/>
    <w:rsid w:val="00E37DDF"/>
    <w:rsid w:val="00E37F0A"/>
    <w:rsid w:val="00E432F9"/>
    <w:rsid w:val="00E43FC8"/>
    <w:rsid w:val="00E50E72"/>
    <w:rsid w:val="00E532FE"/>
    <w:rsid w:val="00E53333"/>
    <w:rsid w:val="00E56172"/>
    <w:rsid w:val="00E5636B"/>
    <w:rsid w:val="00E566C9"/>
    <w:rsid w:val="00E60367"/>
    <w:rsid w:val="00E61DA9"/>
    <w:rsid w:val="00E61E1E"/>
    <w:rsid w:val="00E625D1"/>
    <w:rsid w:val="00E62A61"/>
    <w:rsid w:val="00E7458E"/>
    <w:rsid w:val="00E75656"/>
    <w:rsid w:val="00E819F3"/>
    <w:rsid w:val="00E81C22"/>
    <w:rsid w:val="00E8772F"/>
    <w:rsid w:val="00E9138A"/>
    <w:rsid w:val="00E92097"/>
    <w:rsid w:val="00E92E04"/>
    <w:rsid w:val="00E94F80"/>
    <w:rsid w:val="00EA7682"/>
    <w:rsid w:val="00EA79C7"/>
    <w:rsid w:val="00EA7AE1"/>
    <w:rsid w:val="00EB6DA5"/>
    <w:rsid w:val="00EC00B6"/>
    <w:rsid w:val="00ED1D6B"/>
    <w:rsid w:val="00ED3A35"/>
    <w:rsid w:val="00ED4579"/>
    <w:rsid w:val="00ED6E75"/>
    <w:rsid w:val="00EE7063"/>
    <w:rsid w:val="00EF4A1A"/>
    <w:rsid w:val="00EF50ED"/>
    <w:rsid w:val="00F0502A"/>
    <w:rsid w:val="00F21597"/>
    <w:rsid w:val="00F24A04"/>
    <w:rsid w:val="00F25E2D"/>
    <w:rsid w:val="00F2775F"/>
    <w:rsid w:val="00F30EDF"/>
    <w:rsid w:val="00F35B0C"/>
    <w:rsid w:val="00F408F8"/>
    <w:rsid w:val="00F41E2F"/>
    <w:rsid w:val="00F428AE"/>
    <w:rsid w:val="00F42ADB"/>
    <w:rsid w:val="00F51D93"/>
    <w:rsid w:val="00F61AF9"/>
    <w:rsid w:val="00F64221"/>
    <w:rsid w:val="00F7371C"/>
    <w:rsid w:val="00F765A3"/>
    <w:rsid w:val="00F816B0"/>
    <w:rsid w:val="00F871A3"/>
    <w:rsid w:val="00F9028F"/>
    <w:rsid w:val="00F92DEE"/>
    <w:rsid w:val="00F946B5"/>
    <w:rsid w:val="00FA15BA"/>
    <w:rsid w:val="00FA5CDD"/>
    <w:rsid w:val="00FC0A83"/>
    <w:rsid w:val="00FC21D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tejustify">
    <w:name w:val="rtejustify"/>
    <w:basedOn w:val="Normal"/>
    <w:rsid w:val="00AB2D1F"/>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5A7AC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403">
      <w:bodyDiv w:val="1"/>
      <w:marLeft w:val="0"/>
      <w:marRight w:val="0"/>
      <w:marTop w:val="0"/>
      <w:marBottom w:val="0"/>
      <w:divBdr>
        <w:top w:val="none" w:sz="0" w:space="0" w:color="auto"/>
        <w:left w:val="none" w:sz="0" w:space="0" w:color="auto"/>
        <w:bottom w:val="none" w:sz="0" w:space="0" w:color="auto"/>
        <w:right w:val="none" w:sz="0" w:space="0" w:color="auto"/>
      </w:divBdr>
    </w:div>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4879457">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 w:id="20439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C27C7-A6E9-4999-807A-4C64BEB9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5980</Words>
  <Characters>32894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2023-10-09T23:11:00Z</cp:lastPrinted>
  <dcterms:created xsi:type="dcterms:W3CDTF">2023-11-01T17:09:00Z</dcterms:created>
  <dcterms:modified xsi:type="dcterms:W3CDTF">2023-11-16T17:32:00Z</dcterms:modified>
</cp:coreProperties>
</file>