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5D0A" w:rsidRPr="005D3007" w:rsidRDefault="00C55D0A" w:rsidP="00C55D0A">
      <w:pPr>
        <w:spacing w:line="360" w:lineRule="auto"/>
        <w:jc w:val="both"/>
        <w:rPr>
          <w:rFonts w:ascii="Palatino Linotype" w:eastAsiaTheme="minorEastAsia" w:hAnsi="Palatino Linotype"/>
          <w:lang w:val="es-ES_tradnl" w:eastAsia="es-ES"/>
        </w:rPr>
      </w:pPr>
      <w:r w:rsidRPr="005D3007">
        <w:rPr>
          <w:rFonts w:ascii="Palatino Linotype" w:eastAsiaTheme="minorEastAsia" w:hAnsi="Palatino Linotype"/>
          <w:lang w:val="es-ES_tradnl" w:eastAsia="es-ES"/>
        </w:rPr>
        <w:t>Resolución del Pleno del Instituto de Transparencia, Acceso a la Información Pública y Protección de Datos Personales del Estado de México y Municipios, con domicilio en Metepec, Estado de México; de fecha trece (13) de septiembre  de dos mil veintitrés.</w:t>
      </w:r>
    </w:p>
    <w:p w:rsidR="00C55D0A" w:rsidRPr="005D3007" w:rsidRDefault="00C55D0A" w:rsidP="00C55D0A">
      <w:pPr>
        <w:spacing w:line="360" w:lineRule="auto"/>
        <w:jc w:val="both"/>
        <w:rPr>
          <w:rFonts w:ascii="Palatino Linotype" w:eastAsiaTheme="minorEastAsia" w:hAnsi="Palatino Linotype"/>
          <w:lang w:val="es-ES_tradnl" w:eastAsia="es-ES"/>
        </w:rPr>
      </w:pPr>
    </w:p>
    <w:p w:rsidR="00C55D0A" w:rsidRPr="005D3007" w:rsidRDefault="00C55D0A" w:rsidP="00C55D0A">
      <w:pPr>
        <w:spacing w:line="360" w:lineRule="auto"/>
        <w:jc w:val="both"/>
        <w:rPr>
          <w:rFonts w:ascii="Palatino Linotype" w:hAnsi="Palatino Linotype"/>
        </w:rPr>
      </w:pPr>
      <w:r w:rsidRPr="005D3007">
        <w:rPr>
          <w:rFonts w:ascii="Palatino Linotype" w:hAnsi="Palatino Linotype"/>
          <w:b/>
        </w:rPr>
        <w:t>VISTO</w:t>
      </w:r>
      <w:r w:rsidRPr="005D3007">
        <w:rPr>
          <w:rFonts w:ascii="Palatino Linotype" w:hAnsi="Palatino Linotype"/>
        </w:rPr>
        <w:t xml:space="preserve"> el expediente electrónico formado con motivo del recurso de revisión </w:t>
      </w:r>
      <w:r w:rsidRPr="005D3007">
        <w:rPr>
          <w:rFonts w:ascii="Palatino Linotype" w:hAnsi="Palatino Linotype"/>
          <w:b/>
        </w:rPr>
        <w:t>04718/INFOEM/IP/RR/2023,</w:t>
      </w:r>
      <w:r w:rsidRPr="005D3007">
        <w:rPr>
          <w:rFonts w:ascii="Palatino Linotype" w:hAnsi="Palatino Linotype" w:cs="Arial"/>
          <w:b/>
          <w:bCs/>
        </w:rPr>
        <w:t xml:space="preserve"> </w:t>
      </w:r>
      <w:r w:rsidRPr="005D3007">
        <w:rPr>
          <w:rFonts w:ascii="Palatino Linotype" w:eastAsiaTheme="minorEastAsia" w:hAnsi="Palatino Linotype"/>
          <w:lang w:val="es-ES_tradnl" w:eastAsia="es-ES"/>
        </w:rPr>
        <w:t>promovido por</w:t>
      </w:r>
      <w:r w:rsidRPr="005D3007">
        <w:rPr>
          <w:rFonts w:ascii="Palatino Linotype" w:eastAsiaTheme="minorEastAsia" w:hAnsi="Palatino Linotype"/>
          <w:b/>
          <w:bCs/>
          <w:lang w:eastAsia="es-ES"/>
        </w:rPr>
        <w:t xml:space="preserve"> un usuario del Sistema de Acceso a la Información Mexiquense (SAIMEX), </w:t>
      </w:r>
      <w:r w:rsidRPr="005D3007">
        <w:rPr>
          <w:rFonts w:ascii="Palatino Linotype" w:eastAsiaTheme="minorEastAsia" w:hAnsi="Palatino Linotype"/>
          <w:lang w:eastAsia="es-ES"/>
        </w:rPr>
        <w:t xml:space="preserve">quien </w:t>
      </w:r>
      <w:r w:rsidRPr="005D3007">
        <w:rPr>
          <w:rFonts w:ascii="Palatino Linotype" w:hAnsi="Palatino Linotype"/>
        </w:rPr>
        <w:t xml:space="preserve">en lo sucesivo se identificará como </w:t>
      </w:r>
      <w:r w:rsidRPr="005D3007">
        <w:rPr>
          <w:rFonts w:ascii="Palatino Linotype" w:hAnsi="Palatino Linotype"/>
          <w:b/>
        </w:rPr>
        <w:t xml:space="preserve">EL </w:t>
      </w:r>
      <w:r w:rsidRPr="005D3007">
        <w:rPr>
          <w:rFonts w:ascii="Palatino Linotype" w:hAnsi="Palatino Linotype" w:cs="Arial"/>
          <w:b/>
        </w:rPr>
        <w:t>RECURRENTE</w:t>
      </w:r>
      <w:r w:rsidRPr="005D3007">
        <w:rPr>
          <w:rFonts w:ascii="Palatino Linotype" w:hAnsi="Palatino Linotype" w:cs="Arial"/>
        </w:rPr>
        <w:t xml:space="preserve">, en contra de la respuesta del </w:t>
      </w:r>
      <w:r w:rsidRPr="005D3007">
        <w:rPr>
          <w:rFonts w:ascii="Palatino Linotype" w:hAnsi="Palatino Linotype" w:cs="Arial"/>
          <w:b/>
          <w:bCs/>
        </w:rPr>
        <w:t xml:space="preserve">Ayuntamiento de Chimalhuacán, </w:t>
      </w:r>
      <w:r w:rsidRPr="005D3007">
        <w:rPr>
          <w:rFonts w:ascii="Palatino Linotype" w:hAnsi="Palatino Linotype"/>
        </w:rPr>
        <w:t xml:space="preserve">en </w:t>
      </w:r>
      <w:r w:rsidR="00AA15BD" w:rsidRPr="005D3007">
        <w:rPr>
          <w:rFonts w:ascii="Palatino Linotype" w:hAnsi="Palatino Linotype"/>
        </w:rPr>
        <w:t>adelante</w:t>
      </w:r>
      <w:r w:rsidRPr="005D3007">
        <w:rPr>
          <w:rFonts w:ascii="Palatino Linotype" w:hAnsi="Palatino Linotype"/>
        </w:rPr>
        <w:t xml:space="preserve"> el</w:t>
      </w:r>
      <w:r w:rsidRPr="005D3007">
        <w:rPr>
          <w:rFonts w:ascii="Palatino Linotype" w:hAnsi="Palatino Linotype"/>
          <w:b/>
        </w:rPr>
        <w:t xml:space="preserve"> SUJETO OBLIGADO</w:t>
      </w:r>
      <w:r w:rsidRPr="005D3007">
        <w:rPr>
          <w:rFonts w:ascii="Palatino Linotype" w:hAnsi="Palatino Linotype"/>
        </w:rPr>
        <w:t>, por lo que se procede a dictar la presente resolución, con base en los siguientes:</w:t>
      </w:r>
    </w:p>
    <w:p w:rsidR="00C55D0A" w:rsidRPr="005D3007" w:rsidRDefault="00C55D0A" w:rsidP="00C55D0A">
      <w:pPr>
        <w:spacing w:line="360" w:lineRule="auto"/>
        <w:jc w:val="both"/>
        <w:rPr>
          <w:rFonts w:ascii="Palatino Linotype" w:hAnsi="Palatino Linotype"/>
        </w:rPr>
      </w:pPr>
    </w:p>
    <w:p w:rsidR="00C55D0A" w:rsidRPr="005D3007" w:rsidRDefault="00C55D0A" w:rsidP="00C55D0A">
      <w:pPr>
        <w:keepNext/>
        <w:keepLines/>
        <w:spacing w:line="360" w:lineRule="auto"/>
        <w:jc w:val="center"/>
        <w:outlineLvl w:val="0"/>
        <w:rPr>
          <w:rFonts w:ascii="Palatino Linotype" w:eastAsiaTheme="majorEastAsia" w:hAnsi="Palatino Linotype" w:cstheme="majorBidi"/>
          <w:b/>
          <w:szCs w:val="32"/>
        </w:rPr>
      </w:pPr>
      <w:bookmarkStart w:id="0" w:name="_Toc83301633"/>
      <w:r w:rsidRPr="005D3007">
        <w:rPr>
          <w:rFonts w:ascii="Palatino Linotype" w:eastAsiaTheme="majorEastAsia" w:hAnsi="Palatino Linotype" w:cstheme="majorBidi"/>
          <w:b/>
          <w:szCs w:val="32"/>
        </w:rPr>
        <w:t>ANTECEDENTES</w:t>
      </w:r>
      <w:bookmarkEnd w:id="0"/>
    </w:p>
    <w:p w:rsidR="00C55D0A" w:rsidRPr="005D3007" w:rsidRDefault="00C55D0A" w:rsidP="00C55D0A">
      <w:pPr>
        <w:spacing w:line="360" w:lineRule="auto"/>
        <w:rPr>
          <w:rFonts w:ascii="Palatino Linotype" w:eastAsiaTheme="minorEastAsia" w:hAnsi="Palatino Linotype"/>
        </w:rPr>
      </w:pPr>
    </w:p>
    <w:p w:rsidR="00C55D0A" w:rsidRPr="005D3007" w:rsidRDefault="00C55D0A" w:rsidP="00C55D0A">
      <w:pPr>
        <w:numPr>
          <w:ilvl w:val="0"/>
          <w:numId w:val="1"/>
        </w:numPr>
        <w:spacing w:line="360" w:lineRule="auto"/>
        <w:ind w:left="0" w:firstLine="0"/>
        <w:contextualSpacing/>
        <w:jc w:val="both"/>
        <w:rPr>
          <w:rFonts w:ascii="Palatino Linotype" w:hAnsi="Palatino Linotype" w:cs="Arial"/>
          <w:lang w:val="es-ES" w:eastAsia="es-ES"/>
        </w:rPr>
      </w:pPr>
      <w:r w:rsidRPr="005D3007">
        <w:rPr>
          <w:rFonts w:ascii="Palatino Linotype" w:eastAsia="Calibri" w:hAnsi="Palatino Linotype" w:cs="Arial"/>
          <w:lang w:val="es-ES" w:eastAsia="es-ES"/>
        </w:rPr>
        <w:t>El treinta y uno de julio  de dos mil veintitrés,</w:t>
      </w:r>
      <w:r w:rsidRPr="005D3007">
        <w:rPr>
          <w:rFonts w:ascii="Palatino Linotype" w:eastAsia="Calibri" w:hAnsi="Palatino Linotype"/>
          <w:lang w:val="es-ES" w:eastAsia="es-ES"/>
        </w:rPr>
        <w:t xml:space="preserve"> </w:t>
      </w:r>
      <w:r w:rsidRPr="005D3007">
        <w:rPr>
          <w:rFonts w:ascii="Palatino Linotype" w:eastAsia="Calibri" w:hAnsi="Palatino Linotype"/>
          <w:b/>
          <w:lang w:val="es-ES" w:eastAsia="es-ES"/>
        </w:rPr>
        <w:t>EL RECURRENTE</w:t>
      </w:r>
      <w:r w:rsidRPr="005D3007">
        <w:rPr>
          <w:rFonts w:ascii="Palatino Linotype" w:eastAsiaTheme="minorEastAsia" w:hAnsi="Palatino Linotype"/>
          <w:b/>
          <w:lang w:val="es-ES_tradnl" w:eastAsia="es-ES"/>
        </w:rPr>
        <w:t>,</w:t>
      </w:r>
      <w:r w:rsidRPr="005D3007">
        <w:rPr>
          <w:rFonts w:ascii="Palatino Linotype" w:eastAsia="Calibri" w:hAnsi="Palatino Linotype" w:cs="Arial"/>
          <w:lang w:val="es-ES" w:eastAsia="es-ES"/>
        </w:rPr>
        <w:t xml:space="preserve"> ante el </w:t>
      </w:r>
      <w:r w:rsidRPr="005D3007">
        <w:rPr>
          <w:rFonts w:ascii="Palatino Linotype" w:eastAsia="Calibri" w:hAnsi="Palatino Linotype" w:cs="Arial"/>
          <w:b/>
          <w:lang w:val="es-ES" w:eastAsia="es-ES"/>
        </w:rPr>
        <w:t>SUJETO OBLIGADO</w:t>
      </w:r>
      <w:r w:rsidRPr="005D3007">
        <w:rPr>
          <w:rFonts w:ascii="Palatino Linotype" w:eastAsia="Calibri" w:hAnsi="Palatino Linotype" w:cs="Arial"/>
          <w:lang w:val="es-ES_tradnl" w:eastAsia="es-ES"/>
        </w:rPr>
        <w:t xml:space="preserve"> vía </w:t>
      </w:r>
      <w:r w:rsidRPr="005D3007">
        <w:rPr>
          <w:rFonts w:ascii="Palatino Linotype" w:eastAsia="Calibri" w:hAnsi="Palatino Linotype" w:cs="Arial"/>
          <w:lang w:val="es-ES" w:eastAsia="es-ES"/>
        </w:rPr>
        <w:t>Sistema de Acceso a la Información Mexiquense (</w:t>
      </w:r>
      <w:r w:rsidRPr="005D3007">
        <w:rPr>
          <w:rFonts w:ascii="Palatino Linotype" w:eastAsia="Calibri" w:hAnsi="Palatino Linotype" w:cs="Arial"/>
          <w:b/>
          <w:lang w:val="es-ES" w:eastAsia="es-ES"/>
        </w:rPr>
        <w:t>SAIMEX)</w:t>
      </w:r>
      <w:r w:rsidRPr="005D3007">
        <w:rPr>
          <w:rFonts w:ascii="Palatino Linotype" w:eastAsia="Calibri" w:hAnsi="Palatino Linotype" w:cs="Arial"/>
          <w:lang w:val="es-ES" w:eastAsia="es-ES"/>
        </w:rPr>
        <w:t xml:space="preserve">, presentó una solicitud de información registrada con el número </w:t>
      </w:r>
      <w:r w:rsidRPr="005D3007">
        <w:rPr>
          <w:rFonts w:ascii="Palatino Linotype" w:hAnsi="Palatino Linotype"/>
          <w:b/>
          <w:bCs/>
        </w:rPr>
        <w:t>00292/CHIMALHU/IP/2023</w:t>
      </w:r>
      <w:r w:rsidRPr="005D3007">
        <w:rPr>
          <w:rFonts w:ascii="Palatino Linotype" w:eastAsiaTheme="minorEastAsia" w:hAnsi="Palatino Linotype"/>
          <w:b/>
          <w:lang w:val="es-ES_tradnl" w:eastAsia="es-ES"/>
        </w:rPr>
        <w:t xml:space="preserve">, </w:t>
      </w:r>
      <w:r w:rsidR="00AA15BD" w:rsidRPr="005D3007">
        <w:rPr>
          <w:rFonts w:ascii="Palatino Linotype" w:eastAsia="Calibri" w:hAnsi="Palatino Linotype" w:cs="Arial"/>
          <w:lang w:val="es-ES" w:eastAsia="es-ES"/>
        </w:rPr>
        <w:t>en la que</w:t>
      </w:r>
      <w:r w:rsidRPr="005D3007">
        <w:rPr>
          <w:rFonts w:ascii="Palatino Linotype" w:eastAsia="Calibri" w:hAnsi="Palatino Linotype" w:cs="Arial"/>
          <w:lang w:val="es-ES" w:eastAsia="es-ES"/>
        </w:rPr>
        <w:t xml:space="preserve"> solicitó lo siguiente:</w:t>
      </w:r>
    </w:p>
    <w:p w:rsidR="00C55D0A" w:rsidRPr="005D3007" w:rsidRDefault="00C55D0A" w:rsidP="00C55D0A">
      <w:pPr>
        <w:spacing w:line="360" w:lineRule="auto"/>
        <w:contextualSpacing/>
        <w:jc w:val="both"/>
        <w:rPr>
          <w:rFonts w:ascii="Palatino Linotype" w:hAnsi="Palatino Linotype" w:cs="Arial"/>
          <w:sz w:val="28"/>
          <w:lang w:val="es-ES" w:eastAsia="es-ES"/>
        </w:rPr>
      </w:pPr>
    </w:p>
    <w:p w:rsidR="00C55D0A" w:rsidRPr="005D3007" w:rsidRDefault="00C55D0A" w:rsidP="00C55D0A">
      <w:pPr>
        <w:pStyle w:val="Prrafodelista"/>
        <w:spacing w:line="360" w:lineRule="auto"/>
        <w:ind w:left="1069" w:right="567"/>
        <w:jc w:val="both"/>
        <w:rPr>
          <w:rFonts w:ascii="Palatino Linotype" w:hAnsi="Palatino Linotype"/>
          <w:i/>
          <w:color w:val="000000"/>
          <w:sz w:val="24"/>
        </w:rPr>
      </w:pPr>
      <w:r w:rsidRPr="005D3007">
        <w:rPr>
          <w:rFonts w:ascii="Palatino Linotype" w:hAnsi="Palatino Linotype"/>
          <w:i/>
          <w:color w:val="000000"/>
          <w:sz w:val="24"/>
        </w:rPr>
        <w:t xml:space="preserve"> “necesito saber cuantos vehiculos se compraron para las diferentes areas administrativas del ayuntamiento, asi como las facturas de todos los vehiculos para saber el monto de la compra y cual fue la partida presupuestal que se devengo por dicha adquisicion.” (Sic)</w:t>
      </w:r>
    </w:p>
    <w:p w:rsidR="00C55D0A" w:rsidRPr="005D3007" w:rsidRDefault="00C55D0A" w:rsidP="00C55D0A">
      <w:pPr>
        <w:spacing w:line="360" w:lineRule="auto"/>
        <w:ind w:right="567"/>
        <w:jc w:val="both"/>
        <w:rPr>
          <w:rFonts w:ascii="Palatino Linotype" w:hAnsi="Palatino Linotype"/>
          <w:i/>
          <w:color w:val="000000"/>
        </w:rPr>
      </w:pPr>
    </w:p>
    <w:p w:rsidR="00C55D0A" w:rsidRPr="005D3007" w:rsidRDefault="00C55D0A" w:rsidP="00C55D0A">
      <w:pPr>
        <w:numPr>
          <w:ilvl w:val="0"/>
          <w:numId w:val="1"/>
        </w:numPr>
        <w:spacing w:line="360" w:lineRule="auto"/>
        <w:ind w:left="0" w:firstLine="0"/>
        <w:contextualSpacing/>
        <w:jc w:val="both"/>
        <w:rPr>
          <w:rFonts w:ascii="Palatino Linotype" w:eastAsia="Calibri" w:hAnsi="Palatino Linotype"/>
          <w:lang w:val="es-ES" w:eastAsia="es-ES"/>
        </w:rPr>
      </w:pPr>
      <w:r w:rsidRPr="005D3007">
        <w:rPr>
          <w:rFonts w:ascii="Palatino Linotype" w:eastAsia="Calibri" w:hAnsi="Palatino Linotype"/>
          <w:lang w:val="es-ES" w:eastAsia="es-ES"/>
        </w:rPr>
        <w:t>Se eligió como modalidad de entrega a través de la plataforma digital Sistema de Acceso a la Información Mexiquense (SAIMEX).</w:t>
      </w:r>
    </w:p>
    <w:p w:rsidR="00C55D0A" w:rsidRPr="005D3007" w:rsidRDefault="002866BE" w:rsidP="00C55D0A">
      <w:pPr>
        <w:numPr>
          <w:ilvl w:val="0"/>
          <w:numId w:val="1"/>
        </w:numPr>
        <w:spacing w:line="360" w:lineRule="auto"/>
        <w:ind w:left="0" w:firstLine="0"/>
        <w:contextualSpacing/>
        <w:jc w:val="both"/>
        <w:rPr>
          <w:rFonts w:ascii="Palatino Linotype" w:hAnsi="Palatino Linotype" w:cs="Arial"/>
          <w:lang w:val="es-ES" w:eastAsia="es-ES"/>
        </w:rPr>
      </w:pPr>
      <w:r w:rsidRPr="005D3007">
        <w:rPr>
          <w:rFonts w:ascii="Palatino Linotype" w:hAnsi="Palatino Linotype" w:cs="Arial"/>
          <w:lang w:val="es-ES" w:eastAsia="es-ES"/>
        </w:rPr>
        <w:lastRenderedPageBreak/>
        <w:t>El dos (02) de agosto</w:t>
      </w:r>
      <w:r w:rsidR="00C55D0A" w:rsidRPr="005D3007">
        <w:rPr>
          <w:rFonts w:ascii="Palatino Linotype" w:hAnsi="Palatino Linotype" w:cs="Arial"/>
          <w:lang w:val="es-ES" w:eastAsia="es-ES"/>
        </w:rPr>
        <w:t xml:space="preserve"> de dos mil veintitrés, se realizó un requerimiento al servidor público habilitado.</w:t>
      </w:r>
    </w:p>
    <w:p w:rsidR="00C55D0A" w:rsidRPr="005D3007" w:rsidRDefault="00C55D0A" w:rsidP="00C55D0A">
      <w:pPr>
        <w:spacing w:line="360" w:lineRule="auto"/>
        <w:contextualSpacing/>
        <w:jc w:val="both"/>
        <w:rPr>
          <w:rFonts w:ascii="Palatino Linotype" w:hAnsi="Palatino Linotype" w:cs="Arial"/>
          <w:lang w:val="es-ES" w:eastAsia="es-ES"/>
        </w:rPr>
      </w:pPr>
    </w:p>
    <w:p w:rsidR="00C55D0A" w:rsidRPr="005D3007" w:rsidRDefault="00C55D0A" w:rsidP="00C55D0A">
      <w:pPr>
        <w:numPr>
          <w:ilvl w:val="0"/>
          <w:numId w:val="1"/>
        </w:numPr>
        <w:spacing w:line="360" w:lineRule="auto"/>
        <w:ind w:left="0" w:firstLine="0"/>
        <w:contextualSpacing/>
        <w:jc w:val="both"/>
        <w:rPr>
          <w:rFonts w:ascii="Palatino Linotype" w:hAnsi="Palatino Linotype" w:cs="Arial"/>
          <w:lang w:val="es-ES" w:eastAsia="es-ES"/>
        </w:rPr>
      </w:pPr>
      <w:r w:rsidRPr="005D3007">
        <w:rPr>
          <w:rFonts w:ascii="Palatino Linotype" w:eastAsia="Calibri" w:hAnsi="Palatino Linotype"/>
          <w:lang w:val="es-ES" w:eastAsia="es-ES"/>
        </w:rPr>
        <w:t xml:space="preserve">El </w:t>
      </w:r>
      <w:r w:rsidR="002866BE" w:rsidRPr="005D3007">
        <w:rPr>
          <w:rFonts w:ascii="Palatino Linotype" w:eastAsia="Calibri" w:hAnsi="Palatino Linotype"/>
          <w:lang w:val="es-ES" w:eastAsia="es-ES"/>
        </w:rPr>
        <w:t>veintiuno (21) de agosto</w:t>
      </w:r>
      <w:r w:rsidRPr="005D3007">
        <w:rPr>
          <w:rFonts w:ascii="Palatino Linotype" w:eastAsia="Calibri" w:hAnsi="Palatino Linotype"/>
          <w:lang w:val="es-ES" w:eastAsia="es-ES"/>
        </w:rPr>
        <w:t xml:space="preserve"> de dos mil veintitrés, el Sujeto Obligado </w:t>
      </w:r>
      <w:r w:rsidRPr="005D3007">
        <w:rPr>
          <w:rFonts w:ascii="Palatino Linotype" w:hAnsi="Palatino Linotype" w:cs="Arial"/>
          <w:lang w:val="es-ES" w:eastAsia="es-ES"/>
        </w:rPr>
        <w:t>dio respuesta a la solicitud de información en los siguientes términos:</w:t>
      </w:r>
    </w:p>
    <w:p w:rsidR="00C55D0A" w:rsidRPr="005D3007" w:rsidRDefault="00C55D0A" w:rsidP="00C55D0A">
      <w:pPr>
        <w:spacing w:line="360" w:lineRule="auto"/>
        <w:contextualSpacing/>
        <w:jc w:val="both"/>
        <w:rPr>
          <w:rFonts w:ascii="Palatino Linotype" w:eastAsia="Calibri" w:hAnsi="Palatino Linotype"/>
          <w:lang w:val="es-ES" w:eastAsia="es-ES"/>
        </w:rPr>
      </w:pPr>
    </w:p>
    <w:tbl>
      <w:tblPr>
        <w:tblW w:w="7151" w:type="dxa"/>
        <w:jc w:val="center"/>
        <w:tblCellSpacing w:w="0" w:type="dxa"/>
        <w:tblCellMar>
          <w:left w:w="0" w:type="dxa"/>
          <w:right w:w="0" w:type="dxa"/>
        </w:tblCellMar>
        <w:tblLook w:val="04A0" w:firstRow="1" w:lastRow="0" w:firstColumn="1" w:lastColumn="0" w:noHBand="0" w:noVBand="1"/>
      </w:tblPr>
      <w:tblGrid>
        <w:gridCol w:w="9044"/>
      </w:tblGrid>
      <w:tr w:rsidR="002866BE" w:rsidRPr="005D3007" w:rsidTr="002866BE">
        <w:trPr>
          <w:trHeight w:val="314"/>
          <w:tblCellSpacing w:w="0" w:type="dxa"/>
          <w:jc w:val="center"/>
        </w:trPr>
        <w:tc>
          <w:tcPr>
            <w:tcW w:w="0" w:type="auto"/>
            <w:vAlign w:val="center"/>
            <w:hideMark/>
          </w:tcPr>
          <w:p w:rsidR="002866BE" w:rsidRPr="005D3007" w:rsidRDefault="002866BE" w:rsidP="002866BE">
            <w:pPr>
              <w:ind w:left="851" w:right="822"/>
              <w:jc w:val="right"/>
              <w:rPr>
                <w:rFonts w:ascii="Palatino Linotype" w:hAnsi="Palatino Linotype"/>
                <w:i/>
                <w:sz w:val="22"/>
                <w:lang w:val="es-ES" w:eastAsia="es-ES"/>
              </w:rPr>
            </w:pPr>
            <w:r w:rsidRPr="005D3007">
              <w:rPr>
                <w:rFonts w:ascii="Palatino Linotype" w:hAnsi="Palatino Linotype"/>
                <w:i/>
                <w:sz w:val="22"/>
                <w:szCs w:val="18"/>
                <w:lang w:val="es-ES" w:eastAsia="es-ES"/>
              </w:rPr>
              <w:t>Chimalhuacán, México a 21 de Agosto de 2023</w:t>
            </w:r>
          </w:p>
        </w:tc>
      </w:tr>
      <w:tr w:rsidR="002866BE" w:rsidRPr="005D3007" w:rsidTr="002866BE">
        <w:trPr>
          <w:trHeight w:val="314"/>
          <w:tblCellSpacing w:w="0" w:type="dxa"/>
          <w:jc w:val="center"/>
        </w:trPr>
        <w:tc>
          <w:tcPr>
            <w:tcW w:w="0" w:type="auto"/>
            <w:vAlign w:val="center"/>
            <w:hideMark/>
          </w:tcPr>
          <w:p w:rsidR="002866BE" w:rsidRPr="005D3007" w:rsidRDefault="002866BE" w:rsidP="002866BE">
            <w:pPr>
              <w:ind w:left="851" w:right="822"/>
              <w:jc w:val="right"/>
              <w:rPr>
                <w:rFonts w:ascii="Palatino Linotype" w:hAnsi="Palatino Linotype"/>
                <w:i/>
                <w:sz w:val="22"/>
                <w:lang w:val="es-ES" w:eastAsia="es-ES"/>
              </w:rPr>
            </w:pPr>
            <w:r w:rsidRPr="005D3007">
              <w:rPr>
                <w:rFonts w:ascii="Palatino Linotype" w:hAnsi="Palatino Linotype"/>
                <w:i/>
                <w:sz w:val="22"/>
                <w:szCs w:val="18"/>
                <w:lang w:val="es-ES" w:eastAsia="es-ES"/>
              </w:rPr>
              <w:t>Nombre del solicitante: C. Solicitante</w:t>
            </w:r>
          </w:p>
        </w:tc>
      </w:tr>
      <w:tr w:rsidR="002866BE" w:rsidRPr="005D3007" w:rsidTr="002866BE">
        <w:trPr>
          <w:trHeight w:val="314"/>
          <w:tblCellSpacing w:w="0" w:type="dxa"/>
          <w:jc w:val="center"/>
        </w:trPr>
        <w:tc>
          <w:tcPr>
            <w:tcW w:w="0" w:type="auto"/>
            <w:vAlign w:val="center"/>
            <w:hideMark/>
          </w:tcPr>
          <w:p w:rsidR="002866BE" w:rsidRPr="005D3007" w:rsidRDefault="002866BE" w:rsidP="002866BE">
            <w:pPr>
              <w:ind w:left="851" w:right="822"/>
              <w:jc w:val="right"/>
              <w:rPr>
                <w:rFonts w:ascii="Palatino Linotype" w:hAnsi="Palatino Linotype"/>
                <w:i/>
                <w:sz w:val="22"/>
                <w:lang w:val="es-ES" w:eastAsia="es-ES"/>
              </w:rPr>
            </w:pPr>
            <w:r w:rsidRPr="005D3007">
              <w:rPr>
                <w:rFonts w:ascii="Palatino Linotype" w:hAnsi="Palatino Linotype"/>
                <w:i/>
                <w:sz w:val="22"/>
                <w:szCs w:val="18"/>
                <w:lang w:val="es-ES" w:eastAsia="es-ES"/>
              </w:rPr>
              <w:t>Folio de la solicitud: 00292/CHIMALHU/IP/2023</w:t>
            </w:r>
          </w:p>
        </w:tc>
      </w:tr>
      <w:tr w:rsidR="002866BE" w:rsidRPr="005D3007" w:rsidTr="002866BE">
        <w:trPr>
          <w:trHeight w:val="471"/>
          <w:tblCellSpacing w:w="0" w:type="dxa"/>
          <w:jc w:val="center"/>
        </w:trPr>
        <w:tc>
          <w:tcPr>
            <w:tcW w:w="0" w:type="auto"/>
            <w:vAlign w:val="center"/>
            <w:hideMark/>
          </w:tcPr>
          <w:p w:rsidR="002866BE" w:rsidRPr="005D3007" w:rsidRDefault="002866BE" w:rsidP="002866BE">
            <w:pPr>
              <w:ind w:left="851" w:right="822"/>
              <w:jc w:val="right"/>
              <w:rPr>
                <w:rFonts w:ascii="Palatino Linotype" w:hAnsi="Palatino Linotype"/>
                <w:i/>
                <w:sz w:val="22"/>
                <w:lang w:val="es-ES" w:eastAsia="es-ES"/>
              </w:rPr>
            </w:pPr>
          </w:p>
        </w:tc>
      </w:tr>
      <w:tr w:rsidR="002866BE" w:rsidRPr="005D3007" w:rsidTr="002866BE">
        <w:trPr>
          <w:trHeight w:val="471"/>
          <w:tblCellSpacing w:w="0" w:type="dxa"/>
          <w:jc w:val="center"/>
        </w:trPr>
        <w:tc>
          <w:tcPr>
            <w:tcW w:w="0" w:type="auto"/>
            <w:vAlign w:val="center"/>
          </w:tcPr>
          <w:p w:rsidR="002866BE" w:rsidRPr="005D3007" w:rsidRDefault="002866BE" w:rsidP="002866BE">
            <w:pPr>
              <w:ind w:left="851" w:right="822"/>
              <w:jc w:val="right"/>
              <w:rPr>
                <w:rFonts w:ascii="Palatino Linotype" w:hAnsi="Palatino Linotype"/>
                <w:i/>
                <w:sz w:val="22"/>
                <w:lang w:val="es-ES" w:eastAsia="es-ES"/>
              </w:rPr>
            </w:pPr>
          </w:p>
        </w:tc>
      </w:tr>
      <w:tr w:rsidR="002866BE" w:rsidRPr="005D3007" w:rsidTr="002866BE">
        <w:trPr>
          <w:trHeight w:val="156"/>
          <w:tblCellSpacing w:w="0" w:type="dxa"/>
          <w:jc w:val="center"/>
        </w:trPr>
        <w:tc>
          <w:tcPr>
            <w:tcW w:w="0" w:type="auto"/>
            <w:vAlign w:val="center"/>
            <w:hideMark/>
          </w:tcPr>
          <w:p w:rsidR="002866BE" w:rsidRPr="005D3007" w:rsidRDefault="002866BE" w:rsidP="002866BE">
            <w:pPr>
              <w:ind w:left="851" w:right="822"/>
              <w:jc w:val="both"/>
              <w:rPr>
                <w:rFonts w:ascii="Palatino Linotype" w:hAnsi="Palatino Linotype"/>
                <w:i/>
                <w:sz w:val="22"/>
                <w:lang w:val="es-ES" w:eastAsia="es-ES"/>
              </w:rPr>
            </w:pPr>
            <w:r w:rsidRPr="005D3007">
              <w:rPr>
                <w:rFonts w:ascii="Palatino Linotype" w:hAnsi="Palatino Linotype"/>
                <w:i/>
                <w:sz w:val="22"/>
                <w:szCs w:val="18"/>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2866BE" w:rsidRPr="005D3007" w:rsidTr="002866BE">
        <w:trPr>
          <w:trHeight w:val="393"/>
          <w:tblCellSpacing w:w="0" w:type="dxa"/>
          <w:jc w:val="center"/>
        </w:trPr>
        <w:tc>
          <w:tcPr>
            <w:tcW w:w="0" w:type="auto"/>
            <w:vAlign w:val="center"/>
            <w:hideMark/>
          </w:tcPr>
          <w:p w:rsidR="002866BE" w:rsidRPr="005D3007" w:rsidRDefault="002866BE" w:rsidP="002866BE">
            <w:pPr>
              <w:ind w:left="851" w:right="822"/>
              <w:jc w:val="both"/>
              <w:rPr>
                <w:rFonts w:ascii="Palatino Linotype" w:hAnsi="Palatino Linotype"/>
                <w:i/>
                <w:sz w:val="22"/>
                <w:lang w:val="es-ES" w:eastAsia="es-ES"/>
              </w:rPr>
            </w:pPr>
          </w:p>
        </w:tc>
      </w:tr>
      <w:tr w:rsidR="002866BE" w:rsidRPr="005D3007" w:rsidTr="002866BE">
        <w:trPr>
          <w:trHeight w:val="156"/>
          <w:tblCellSpacing w:w="0" w:type="dxa"/>
          <w:jc w:val="center"/>
        </w:trPr>
        <w:tc>
          <w:tcPr>
            <w:tcW w:w="0" w:type="auto"/>
            <w:vAlign w:val="center"/>
            <w:hideMark/>
          </w:tcPr>
          <w:p w:rsidR="002866BE" w:rsidRPr="005D3007" w:rsidRDefault="002866BE" w:rsidP="002866BE">
            <w:pPr>
              <w:ind w:left="851" w:right="822"/>
              <w:jc w:val="both"/>
              <w:rPr>
                <w:rFonts w:ascii="Palatino Linotype" w:hAnsi="Palatino Linotype"/>
                <w:i/>
                <w:sz w:val="22"/>
                <w:lang w:val="es-ES" w:eastAsia="es-ES"/>
              </w:rPr>
            </w:pPr>
            <w:r w:rsidRPr="005D3007">
              <w:rPr>
                <w:rFonts w:ascii="Palatino Linotype" w:hAnsi="Palatino Linotype"/>
                <w:i/>
                <w:sz w:val="22"/>
                <w:szCs w:val="18"/>
                <w:lang w:val="es-ES" w:eastAsia="es-ES"/>
              </w:rPr>
              <w:t xml:space="preserve">Por medio del presente reciba un cordial saludo, asimismo con fundamento con los artículos 3, fracción XXXIX y 59, fracciones I, II y III de la Ley de Transparencia y Acceso a la información Pública del Estado de México y Municipios; me permito comentar a Usted lo siguiente: En Atención al oficio número; CHIM/UTAIP/0666/2023, de fecha 02 de agosto del año dos mil veintitrés, y derivado de la solicitud de información a través del Sistema de Acceso a la información Mexiquense (SAIMEX) con número de folio: 00292/CHIMALHU/IP/2023, donde solicita: “…necesito saber cuántos vehículos se compraron para las diferentes áreas administrativas del ayuntamiento, así como las facturas de todos los vehículos para saber el monto de la compra y cuál fue la partida presupuestal que se devengo por dicha adquisición…” Previo cotejo de la información que se requiere con anterioridad, hago de su conocimiento que con fundamento en lo dispuesto por el artículo 161 de la Ley de Transparencia y Acceso a la Información Pública del Estado de México y Municipios, se advierte que la información solicitada correspondiente al presente ejercicio fiscal, se encuentra contenida en el criterio de; RESULTADOS DE PROCEDIMIENTOS DE LICITACIÓN PÚBLICA E INVITACIÓN A CUANDO MENOS TRES PERSONAS REALIZA FRACCIÓN XXIX A, en el ejercicio de las funciones por este Sujeto Obligado, por lo que se encuentra disponible al público de manera </w:t>
            </w:r>
            <w:r w:rsidRPr="005D3007">
              <w:rPr>
                <w:rFonts w:ascii="Palatino Linotype" w:hAnsi="Palatino Linotype"/>
                <w:i/>
                <w:sz w:val="22"/>
                <w:szCs w:val="18"/>
                <w:lang w:val="es-ES" w:eastAsia="es-ES"/>
              </w:rPr>
              <w:lastRenderedPageBreak/>
              <w:t>permanente, de forma sencilla, precisa y entendible en el Portal Oficial de Información Pública de Oficio Mexiquense de Chimalhuacán. En este sentido, es menester señalar que de conformidad con el artículo 12, segundo párrafo de la Ley de Transparencia y Acceso a la Información Pública del Estado de México y Municipios, el cual establece a los sujetos obligados proporcionar la información pública que se les requiera y que obre en sus archivos y en el estado que ésta se encuentre, sin que exista obligación de procesarla, ni a generarla, resumirla, efectuar cálculos o practicar investigaciones. Precisando lo anterior, se indica que la información solicitada a este Sujeto Obligado, se encuentra disponible para su consulta, en el Portal Oficial de Información Pública de Oficio Mexiquense de Chimalhuacán, en la siguiente dirección electrónica: https://www.ipomex.org.mx/ipo3/lgt/portal/3.web#SujetosO Asimismo, en: https://ipomex.org.mx/ipo3/lgt/indice/CHIMALHUACAN.web?token=03AKH6MRHBvusUkdK4C-0kHyWtN_SeFAVj5xXvTGfQKiXnf6TdUKqH_eMpsJpAs-Ux4foeaK7sY3mREgs4tDAHu874UvTkGNDmZZSVE-v_gi-2amn2s0jiW0GVgUEwzXBm7IKQjwsXhXHLNzZUmeFeEUP00mwuFgCyYw_MQq30Mz3CWJAmn46s4hTZ1BS-mnCtu6hdMw8u57FrjTgxvnewmuUBAjFdtOC-RvDYA5pCO-h93myMNDQ8VkjSGlSqnDeoxVyzy3OdIxh6Jt2ayO4xvbE3fy6SjVl6aX5w0h2MxuaJ0n9XzGgpJJcyYTd-mIc-5Tq2c5HMaLB1JrkrnpAs3RcnnO84ofAYaJHP0C41-n5G03rSKFojs00nMFL3jRsyw5C3cvnpZzT2HtnoSDIgMmU42O7RWC3ixYWjDw5gKeEDh2-y0y1ahWxgg_Ns-MArBRmCwRk-ME0TsXJROMu0vErbFDVxNpiqmZ7ygkincnXzv9IvFltiPtGjTIaOy-u5fMF030NMZjym Sin otro particular de momento y agradeciendo su apoyo, quedo a la orden para cualquier situación.</w:t>
            </w:r>
          </w:p>
        </w:tc>
      </w:tr>
      <w:tr w:rsidR="002866BE" w:rsidRPr="005D3007" w:rsidTr="002866BE">
        <w:trPr>
          <w:trHeight w:val="393"/>
          <w:tblCellSpacing w:w="0" w:type="dxa"/>
          <w:jc w:val="center"/>
        </w:trPr>
        <w:tc>
          <w:tcPr>
            <w:tcW w:w="0" w:type="auto"/>
            <w:vAlign w:val="center"/>
            <w:hideMark/>
          </w:tcPr>
          <w:p w:rsidR="002866BE" w:rsidRPr="005D3007" w:rsidRDefault="002866BE" w:rsidP="002866BE">
            <w:pPr>
              <w:ind w:left="851" w:right="822"/>
              <w:rPr>
                <w:rFonts w:ascii="Palatino Linotype" w:hAnsi="Palatino Linotype"/>
                <w:i/>
                <w:sz w:val="22"/>
                <w:lang w:val="es-ES" w:eastAsia="es-ES"/>
              </w:rPr>
            </w:pPr>
          </w:p>
        </w:tc>
      </w:tr>
      <w:tr w:rsidR="002866BE" w:rsidRPr="005D3007" w:rsidTr="002866BE">
        <w:trPr>
          <w:trHeight w:val="156"/>
          <w:tblCellSpacing w:w="0" w:type="dxa"/>
          <w:jc w:val="center"/>
        </w:trPr>
        <w:tc>
          <w:tcPr>
            <w:tcW w:w="0" w:type="auto"/>
            <w:vAlign w:val="center"/>
            <w:hideMark/>
          </w:tcPr>
          <w:p w:rsidR="002866BE" w:rsidRPr="005D3007" w:rsidRDefault="002866BE" w:rsidP="002866BE">
            <w:pPr>
              <w:ind w:left="851" w:right="822"/>
              <w:jc w:val="center"/>
              <w:rPr>
                <w:rFonts w:ascii="Palatino Linotype" w:hAnsi="Palatino Linotype"/>
                <w:i/>
                <w:sz w:val="22"/>
                <w:szCs w:val="20"/>
                <w:lang w:val="es-ES" w:eastAsia="es-ES"/>
              </w:rPr>
            </w:pPr>
          </w:p>
        </w:tc>
      </w:tr>
      <w:tr w:rsidR="002866BE" w:rsidRPr="005D3007" w:rsidTr="002866BE">
        <w:trPr>
          <w:trHeight w:val="156"/>
          <w:tblCellSpacing w:w="0" w:type="dxa"/>
          <w:jc w:val="center"/>
        </w:trPr>
        <w:tc>
          <w:tcPr>
            <w:tcW w:w="0" w:type="auto"/>
            <w:vAlign w:val="center"/>
            <w:hideMark/>
          </w:tcPr>
          <w:p w:rsidR="002866BE" w:rsidRPr="005D3007" w:rsidRDefault="002866BE" w:rsidP="002866BE">
            <w:pPr>
              <w:ind w:left="851" w:right="822"/>
              <w:rPr>
                <w:rFonts w:ascii="Palatino Linotype" w:hAnsi="Palatino Linotype"/>
                <w:i/>
                <w:sz w:val="22"/>
                <w:szCs w:val="20"/>
                <w:lang w:val="es-ES" w:eastAsia="es-ES"/>
              </w:rPr>
            </w:pPr>
          </w:p>
        </w:tc>
      </w:tr>
      <w:tr w:rsidR="002866BE" w:rsidRPr="005D3007" w:rsidTr="002866BE">
        <w:trPr>
          <w:trHeight w:val="156"/>
          <w:tblCellSpacing w:w="0" w:type="dxa"/>
          <w:jc w:val="center"/>
        </w:trPr>
        <w:tc>
          <w:tcPr>
            <w:tcW w:w="0" w:type="auto"/>
            <w:vAlign w:val="center"/>
            <w:hideMark/>
          </w:tcPr>
          <w:p w:rsidR="002866BE" w:rsidRPr="005D3007" w:rsidRDefault="002866BE" w:rsidP="002866BE">
            <w:pPr>
              <w:ind w:left="851" w:right="822"/>
              <w:rPr>
                <w:rFonts w:ascii="Palatino Linotype" w:hAnsi="Palatino Linotype"/>
                <w:i/>
                <w:sz w:val="22"/>
                <w:lang w:val="es-ES" w:eastAsia="es-ES"/>
              </w:rPr>
            </w:pPr>
            <w:r w:rsidRPr="005D3007">
              <w:rPr>
                <w:rFonts w:ascii="Palatino Linotype" w:hAnsi="Palatino Linotype"/>
                <w:i/>
                <w:sz w:val="22"/>
                <w:szCs w:val="18"/>
                <w:lang w:val="es-ES" w:eastAsia="es-ES"/>
              </w:rPr>
              <w:t>ATENTAMENTE</w:t>
            </w:r>
          </w:p>
        </w:tc>
      </w:tr>
      <w:tr w:rsidR="002866BE" w:rsidRPr="005D3007" w:rsidTr="002866BE">
        <w:trPr>
          <w:trHeight w:val="235"/>
          <w:tblCellSpacing w:w="0" w:type="dxa"/>
          <w:jc w:val="center"/>
        </w:trPr>
        <w:tc>
          <w:tcPr>
            <w:tcW w:w="0" w:type="auto"/>
            <w:vAlign w:val="center"/>
            <w:hideMark/>
          </w:tcPr>
          <w:p w:rsidR="002866BE" w:rsidRPr="005D3007" w:rsidRDefault="002866BE" w:rsidP="002866BE">
            <w:pPr>
              <w:ind w:left="851" w:right="822"/>
              <w:rPr>
                <w:rFonts w:ascii="Palatino Linotype" w:hAnsi="Palatino Linotype"/>
                <w:i/>
                <w:sz w:val="22"/>
                <w:lang w:val="es-ES" w:eastAsia="es-ES"/>
              </w:rPr>
            </w:pPr>
          </w:p>
        </w:tc>
      </w:tr>
      <w:tr w:rsidR="002866BE" w:rsidRPr="005D3007" w:rsidTr="002866BE">
        <w:trPr>
          <w:trHeight w:val="156"/>
          <w:tblCellSpacing w:w="0" w:type="dxa"/>
          <w:jc w:val="center"/>
        </w:trPr>
        <w:tc>
          <w:tcPr>
            <w:tcW w:w="0" w:type="auto"/>
            <w:vAlign w:val="center"/>
            <w:hideMark/>
          </w:tcPr>
          <w:p w:rsidR="002866BE" w:rsidRPr="005D3007" w:rsidRDefault="002866BE" w:rsidP="002866BE">
            <w:pPr>
              <w:ind w:left="851" w:right="822"/>
              <w:rPr>
                <w:rFonts w:ascii="Palatino Linotype" w:hAnsi="Palatino Linotype"/>
                <w:i/>
                <w:sz w:val="22"/>
                <w:lang w:val="es-ES" w:eastAsia="es-ES"/>
              </w:rPr>
            </w:pPr>
            <w:r w:rsidRPr="005D3007">
              <w:rPr>
                <w:rFonts w:ascii="Palatino Linotype" w:hAnsi="Palatino Linotype"/>
                <w:i/>
                <w:sz w:val="22"/>
                <w:szCs w:val="18"/>
                <w:lang w:val="es-ES" w:eastAsia="es-ES"/>
              </w:rPr>
              <w:t>C. DIANA KAREN GRACIA HERNANDEZ</w:t>
            </w:r>
          </w:p>
        </w:tc>
      </w:tr>
    </w:tbl>
    <w:p w:rsidR="00C55D0A" w:rsidRPr="005D3007" w:rsidRDefault="00C55D0A" w:rsidP="00C55D0A">
      <w:pPr>
        <w:spacing w:line="360" w:lineRule="auto"/>
        <w:ind w:right="567"/>
        <w:jc w:val="both"/>
        <w:rPr>
          <w:rFonts w:ascii="Palatino Linotype" w:hAnsi="Palatino Linotype"/>
          <w:szCs w:val="22"/>
        </w:rPr>
      </w:pPr>
    </w:p>
    <w:p w:rsidR="00C55D0A" w:rsidRPr="005D3007" w:rsidRDefault="00C55D0A" w:rsidP="00C55D0A">
      <w:pPr>
        <w:numPr>
          <w:ilvl w:val="0"/>
          <w:numId w:val="1"/>
        </w:numPr>
        <w:spacing w:line="360" w:lineRule="auto"/>
        <w:ind w:left="0" w:firstLine="0"/>
        <w:contextualSpacing/>
        <w:jc w:val="both"/>
        <w:rPr>
          <w:rFonts w:ascii="Palatino Linotype" w:eastAsiaTheme="minorEastAsia" w:hAnsi="Palatino Linotype" w:cs="Arial"/>
          <w:i/>
          <w:lang w:val="es-ES_tradnl" w:eastAsia="es-ES"/>
        </w:rPr>
      </w:pPr>
      <w:r w:rsidRPr="005D3007">
        <w:rPr>
          <w:rFonts w:ascii="Palatino Linotype" w:eastAsia="Calibri" w:hAnsi="Palatino Linotype" w:cs="Arial"/>
          <w:lang w:val="es-AR" w:eastAsia="es-ES"/>
        </w:rPr>
        <w:t xml:space="preserve">El </w:t>
      </w:r>
      <w:r w:rsidR="002866BE" w:rsidRPr="005D3007">
        <w:rPr>
          <w:rFonts w:ascii="Palatino Linotype" w:eastAsia="Calibri" w:hAnsi="Palatino Linotype" w:cs="Arial"/>
          <w:lang w:val="es-AR" w:eastAsia="es-ES"/>
        </w:rPr>
        <w:t>veintitrés (23) de agosto</w:t>
      </w:r>
      <w:r w:rsidRPr="005D3007">
        <w:rPr>
          <w:rFonts w:ascii="Palatino Linotype" w:eastAsia="Calibri" w:hAnsi="Palatino Linotype" w:cs="Arial"/>
          <w:lang w:val="es-AR" w:eastAsia="es-ES"/>
        </w:rPr>
        <w:t xml:space="preserve">  de dos mil veintitrés</w:t>
      </w:r>
      <w:r w:rsidRPr="005D3007">
        <w:rPr>
          <w:rFonts w:ascii="Palatino Linotype" w:hAnsi="Palatino Linotype" w:cs="Arial"/>
          <w:lang w:val="es-ES" w:eastAsia="es-ES"/>
        </w:rPr>
        <w:t xml:space="preserve">, </w:t>
      </w:r>
      <w:r w:rsidRPr="005D3007">
        <w:rPr>
          <w:rFonts w:ascii="Palatino Linotype" w:eastAsiaTheme="minorEastAsia" w:hAnsi="Palatino Linotype"/>
          <w:b/>
          <w:lang w:val="es-ES_tradnl" w:eastAsia="es-ES"/>
        </w:rPr>
        <w:t>EL RECURRENTE</w:t>
      </w:r>
      <w:r w:rsidRPr="005D3007">
        <w:rPr>
          <w:rFonts w:ascii="Palatino Linotype" w:hAnsi="Palatino Linotype" w:cs="Arial"/>
          <w:lang w:val="es-ES" w:eastAsia="es-ES"/>
        </w:rPr>
        <w:t xml:space="preserve"> interpuso el recurso de revisión, en contra de la respuesta, señalando como:</w:t>
      </w:r>
      <w:bookmarkStart w:id="1" w:name="_Toc462307683"/>
      <w:bookmarkStart w:id="2" w:name="_Toc472427085"/>
      <w:bookmarkStart w:id="3" w:name="_Toc472500652"/>
    </w:p>
    <w:p w:rsidR="00C55D0A" w:rsidRPr="005D3007" w:rsidRDefault="00C55D0A" w:rsidP="00C55D0A">
      <w:pPr>
        <w:spacing w:line="360" w:lineRule="auto"/>
        <w:ind w:left="567" w:right="567"/>
        <w:contextualSpacing/>
        <w:rPr>
          <w:rFonts w:ascii="Palatino Linotype" w:eastAsiaTheme="minorEastAsia" w:hAnsi="Palatino Linotype" w:cs="Arial"/>
          <w:i/>
          <w:lang w:val="es-ES_tradnl" w:eastAsia="es-ES"/>
        </w:rPr>
      </w:pPr>
    </w:p>
    <w:p w:rsidR="00C55D0A" w:rsidRPr="005D3007" w:rsidRDefault="00C55D0A" w:rsidP="00C55D0A">
      <w:pPr>
        <w:spacing w:line="360" w:lineRule="auto"/>
        <w:ind w:left="567" w:right="567"/>
        <w:contextualSpacing/>
        <w:jc w:val="both"/>
        <w:rPr>
          <w:rFonts w:ascii="Palatino Linotype" w:eastAsia="Calibri" w:hAnsi="Palatino Linotype" w:cs="Arial"/>
          <w:i/>
          <w:sz w:val="22"/>
          <w:lang w:val="es-ES" w:eastAsia="es-ES"/>
        </w:rPr>
      </w:pPr>
      <w:r w:rsidRPr="005D3007">
        <w:rPr>
          <w:rFonts w:ascii="Palatino Linotype" w:eastAsiaTheme="minorEastAsia" w:hAnsi="Palatino Linotype"/>
          <w:b/>
          <w:sz w:val="22"/>
          <w:lang w:val="es-ES_tradnl" w:eastAsia="es-ES"/>
        </w:rPr>
        <w:lastRenderedPageBreak/>
        <w:t>Acto impugnado</w:t>
      </w:r>
      <w:r w:rsidRPr="005D3007">
        <w:rPr>
          <w:rFonts w:ascii="Palatino Linotype" w:eastAsiaTheme="minorEastAsia" w:hAnsi="Palatino Linotype"/>
          <w:b/>
          <w:i/>
          <w:sz w:val="22"/>
          <w:lang w:val="es-ES_tradnl" w:eastAsia="es-ES"/>
        </w:rPr>
        <w:t>:</w:t>
      </w:r>
      <w:r w:rsidRPr="005D3007">
        <w:rPr>
          <w:rFonts w:ascii="Palatino Linotype" w:hAnsi="Palatino Linotype"/>
          <w:i/>
          <w:color w:val="000000"/>
          <w:sz w:val="22"/>
        </w:rPr>
        <w:t xml:space="preserve"> “</w:t>
      </w:r>
      <w:r w:rsidR="002866BE" w:rsidRPr="005D3007">
        <w:rPr>
          <w:rFonts w:ascii="Palatino Linotype" w:hAnsi="Palatino Linotype"/>
          <w:i/>
          <w:color w:val="000000"/>
          <w:sz w:val="22"/>
        </w:rPr>
        <w:t>la informacion que brindo con los hipervinculos no me da acceso a la informacion que le solicite</w:t>
      </w:r>
      <w:r w:rsidRPr="005D3007">
        <w:rPr>
          <w:rFonts w:ascii="Palatino Linotype" w:hAnsi="Palatino Linotype"/>
          <w:i/>
          <w:color w:val="000000"/>
          <w:sz w:val="22"/>
        </w:rPr>
        <w:t>” (Sic)</w:t>
      </w:r>
    </w:p>
    <w:p w:rsidR="00C55D0A" w:rsidRPr="005D3007" w:rsidRDefault="00C55D0A" w:rsidP="00C55D0A">
      <w:pPr>
        <w:spacing w:line="360" w:lineRule="auto"/>
        <w:ind w:left="567" w:right="567"/>
        <w:contextualSpacing/>
        <w:jc w:val="both"/>
        <w:rPr>
          <w:rFonts w:ascii="Palatino Linotype" w:eastAsia="Calibri" w:hAnsi="Palatino Linotype" w:cs="Arial"/>
          <w:sz w:val="22"/>
          <w:lang w:val="es-ES" w:eastAsia="es-ES"/>
        </w:rPr>
      </w:pPr>
    </w:p>
    <w:p w:rsidR="00C55D0A" w:rsidRPr="005D3007" w:rsidRDefault="00C55D0A" w:rsidP="00C55D0A">
      <w:pPr>
        <w:spacing w:line="360" w:lineRule="auto"/>
        <w:ind w:left="567" w:right="567"/>
        <w:contextualSpacing/>
        <w:jc w:val="both"/>
        <w:rPr>
          <w:rFonts w:ascii="Palatino Linotype" w:hAnsi="Palatino Linotype"/>
          <w:i/>
          <w:color w:val="000000"/>
          <w:sz w:val="22"/>
        </w:rPr>
      </w:pPr>
      <w:r w:rsidRPr="005D3007">
        <w:rPr>
          <w:rFonts w:ascii="Palatino Linotype" w:eastAsiaTheme="minorEastAsia" w:hAnsi="Palatino Linotype"/>
          <w:b/>
          <w:sz w:val="22"/>
          <w:lang w:val="es-ES_tradnl" w:eastAsia="es-ES"/>
        </w:rPr>
        <w:t>Razones o Motivos de inconformidad:</w:t>
      </w:r>
      <w:r w:rsidRPr="005D3007">
        <w:rPr>
          <w:rFonts w:ascii="Palatino Linotype" w:eastAsiaTheme="majorEastAsia" w:hAnsi="Palatino Linotype" w:cstheme="majorBidi"/>
          <w:b/>
          <w:color w:val="2E74B5" w:themeColor="accent1" w:themeShade="BF"/>
          <w:szCs w:val="26"/>
          <w:lang w:val="es-ES" w:eastAsia="es-ES"/>
        </w:rPr>
        <w:t xml:space="preserve"> </w:t>
      </w:r>
      <w:r w:rsidRPr="005D3007">
        <w:rPr>
          <w:rFonts w:ascii="Palatino Linotype" w:eastAsiaTheme="majorEastAsia" w:hAnsi="Palatino Linotype" w:cstheme="majorBidi"/>
          <w:i/>
          <w:sz w:val="22"/>
          <w:lang w:val="es-ES" w:eastAsia="es-ES"/>
        </w:rPr>
        <w:t>“</w:t>
      </w:r>
      <w:r w:rsidR="002866BE" w:rsidRPr="005D3007">
        <w:rPr>
          <w:rFonts w:ascii="Palatino Linotype" w:hAnsi="Palatino Linotype"/>
          <w:i/>
          <w:color w:val="000000"/>
          <w:sz w:val="22"/>
        </w:rPr>
        <w:t>no me proporciono las facturas de los vehiculos</w:t>
      </w:r>
      <w:r w:rsidRPr="005D3007">
        <w:rPr>
          <w:rFonts w:ascii="Palatino Linotype" w:hAnsi="Palatino Linotype"/>
          <w:i/>
          <w:color w:val="000000"/>
          <w:sz w:val="22"/>
        </w:rPr>
        <w:t>” (Sic).</w:t>
      </w:r>
    </w:p>
    <w:bookmarkEnd w:id="1"/>
    <w:bookmarkEnd w:id="2"/>
    <w:bookmarkEnd w:id="3"/>
    <w:p w:rsidR="00C55D0A" w:rsidRPr="005D3007" w:rsidRDefault="00C55D0A" w:rsidP="00C55D0A">
      <w:pPr>
        <w:spacing w:line="360" w:lineRule="auto"/>
        <w:jc w:val="both"/>
        <w:rPr>
          <w:rFonts w:ascii="Palatino Linotype" w:hAnsi="Palatino Linotype"/>
          <w:i/>
          <w:sz w:val="20"/>
          <w:szCs w:val="22"/>
        </w:rPr>
      </w:pPr>
      <w:r w:rsidRPr="005D3007">
        <w:rPr>
          <w:rFonts w:ascii="Palatino Linotype" w:eastAsia="Calibri" w:hAnsi="Palatino Linotype" w:cs="Arial"/>
          <w:sz w:val="22"/>
          <w:lang w:val="es-AR" w:eastAsia="es-ES"/>
        </w:rPr>
        <w:tab/>
      </w:r>
    </w:p>
    <w:p w:rsidR="00C55D0A" w:rsidRPr="005D3007" w:rsidRDefault="00C55D0A" w:rsidP="00C55D0A">
      <w:pPr>
        <w:numPr>
          <w:ilvl w:val="0"/>
          <w:numId w:val="1"/>
        </w:numPr>
        <w:spacing w:line="360" w:lineRule="auto"/>
        <w:ind w:left="0" w:firstLine="0"/>
        <w:contextualSpacing/>
        <w:jc w:val="both"/>
        <w:rPr>
          <w:rFonts w:ascii="Palatino Linotype" w:eastAsia="Calibri" w:hAnsi="Palatino Linotype" w:cs="Arial"/>
          <w:lang w:val="es-AR" w:eastAsia="es-ES"/>
        </w:rPr>
      </w:pPr>
      <w:r w:rsidRPr="005D3007">
        <w:rPr>
          <w:rFonts w:ascii="Palatino Linotype" w:hAnsi="Palatino Linotype" w:cs="Arial"/>
          <w:lang w:val="es-ES" w:eastAsia="es-ES"/>
        </w:rPr>
        <w:t xml:space="preserve">Se registró el recurso de revisión bajo el número de expediente </w:t>
      </w:r>
      <w:r w:rsidRPr="005D3007">
        <w:rPr>
          <w:rFonts w:ascii="Palatino Linotype" w:eastAsiaTheme="minorEastAsia" w:hAnsi="Palatino Linotype" w:cs="Arial"/>
          <w:bCs/>
          <w:lang w:val="es-ES_tradnl" w:eastAsia="es-ES"/>
        </w:rPr>
        <w:t xml:space="preserve">al rubro indicado, asimismo con fundamento en lo dispuesto por el </w:t>
      </w:r>
      <w:r w:rsidRPr="005D3007">
        <w:rPr>
          <w:rFonts w:ascii="Palatino Linotype" w:eastAsia="Calibri" w:hAnsi="Palatino Linotype" w:cs="Arial"/>
          <w:lang w:val="es-ES" w:eastAsia="es-ES"/>
        </w:rPr>
        <w:t xml:space="preserve">artículo 185 fracción I de la </w:t>
      </w:r>
      <w:r w:rsidRPr="005D3007">
        <w:rPr>
          <w:rFonts w:ascii="Palatino Linotype" w:eastAsia="Calibri" w:hAnsi="Palatino Linotype" w:cs="Arial"/>
          <w:b/>
          <w:lang w:val="es-ES" w:eastAsia="es-ES"/>
        </w:rPr>
        <w:t xml:space="preserve">Ley de Transparencia y Acceso a la Información Pública del Estado de México y Municipios </w:t>
      </w:r>
      <w:r w:rsidRPr="005D3007">
        <w:rPr>
          <w:rFonts w:ascii="Palatino Linotype" w:hAnsi="Palatino Linotype" w:cs="Arial"/>
          <w:lang w:val="es-ES" w:eastAsia="es-ES"/>
        </w:rPr>
        <w:t xml:space="preserve">se turnó a la </w:t>
      </w:r>
      <w:r w:rsidRPr="005D3007">
        <w:rPr>
          <w:rFonts w:ascii="Palatino Linotype" w:hAnsi="Palatino Linotype" w:cs="Arial"/>
          <w:b/>
          <w:lang w:val="es-ES" w:eastAsia="es-ES"/>
        </w:rPr>
        <w:t>Comisionada María del Rosario Mejía Ayala</w:t>
      </w:r>
      <w:r w:rsidR="00AA15BD" w:rsidRPr="005D3007">
        <w:rPr>
          <w:rFonts w:ascii="Palatino Linotype" w:hAnsi="Palatino Linotype" w:cs="Arial"/>
          <w:b/>
          <w:lang w:val="es-ES" w:eastAsia="es-ES"/>
        </w:rPr>
        <w:t xml:space="preserve">, </w:t>
      </w:r>
      <w:r w:rsidR="00AA15BD" w:rsidRPr="005D3007">
        <w:rPr>
          <w:rFonts w:ascii="Palatino Linotype" w:hAnsi="Palatino Linotype" w:cs="Arial"/>
          <w:lang w:val="es-ES" w:eastAsia="es-ES"/>
        </w:rPr>
        <w:t>para</w:t>
      </w:r>
      <w:r w:rsidRPr="005D3007">
        <w:rPr>
          <w:rFonts w:ascii="Palatino Linotype" w:hAnsi="Palatino Linotype" w:cs="Arial"/>
          <w:lang w:val="es-ES" w:eastAsia="es-ES"/>
        </w:rPr>
        <w:t xml:space="preserve"> </w:t>
      </w:r>
      <w:r w:rsidRPr="005D3007">
        <w:rPr>
          <w:rFonts w:ascii="Palatino Linotype" w:hAnsi="Palatino Linotype" w:cs="Arial"/>
          <w:lang w:eastAsia="es-ES"/>
        </w:rPr>
        <w:t xml:space="preserve">su análisis. </w:t>
      </w:r>
    </w:p>
    <w:p w:rsidR="00C55D0A" w:rsidRPr="005D3007" w:rsidRDefault="00C55D0A" w:rsidP="00C55D0A">
      <w:pPr>
        <w:spacing w:line="360" w:lineRule="auto"/>
        <w:contextualSpacing/>
        <w:jc w:val="both"/>
        <w:rPr>
          <w:rFonts w:ascii="Palatino Linotype" w:eastAsia="Calibri" w:hAnsi="Palatino Linotype" w:cs="Arial"/>
          <w:lang w:val="es-AR" w:eastAsia="es-ES"/>
        </w:rPr>
      </w:pPr>
    </w:p>
    <w:p w:rsidR="00C55D0A" w:rsidRPr="005D3007" w:rsidRDefault="00AA15BD" w:rsidP="00C55D0A">
      <w:pPr>
        <w:numPr>
          <w:ilvl w:val="0"/>
          <w:numId w:val="1"/>
        </w:numPr>
        <w:spacing w:line="360" w:lineRule="auto"/>
        <w:ind w:left="0" w:firstLine="0"/>
        <w:contextualSpacing/>
        <w:jc w:val="both"/>
        <w:rPr>
          <w:rFonts w:ascii="Palatino Linotype" w:eastAsiaTheme="minorEastAsia" w:hAnsi="Palatino Linotype" w:cstheme="minorBidi"/>
          <w:i/>
          <w:color w:val="000000"/>
          <w:sz w:val="22"/>
          <w:szCs w:val="22"/>
          <w:lang w:val="es-ES_tradnl" w:eastAsia="es-ES"/>
        </w:rPr>
      </w:pPr>
      <w:r w:rsidRPr="005D3007">
        <w:rPr>
          <w:rFonts w:ascii="Palatino Linotype" w:eastAsia="Calibri" w:hAnsi="Palatino Linotype" w:cs="Arial"/>
          <w:lang w:val="es-ES" w:eastAsia="es-ES"/>
        </w:rPr>
        <w:t>La Comisionada</w:t>
      </w:r>
      <w:r w:rsidR="00C55D0A" w:rsidRPr="005D3007">
        <w:rPr>
          <w:rFonts w:ascii="Palatino Linotype" w:eastAsia="Calibri" w:hAnsi="Palatino Linotype" w:cs="Arial"/>
          <w:lang w:val="es-ES" w:eastAsia="es-ES"/>
        </w:rPr>
        <w:t xml:space="preserve"> Ponente</w:t>
      </w:r>
      <w:r w:rsidRPr="005D3007">
        <w:rPr>
          <w:rFonts w:ascii="Palatino Linotype" w:eastAsia="Calibri" w:hAnsi="Palatino Linotype" w:cs="Arial"/>
          <w:lang w:val="es-ES" w:eastAsia="es-ES"/>
        </w:rPr>
        <w:t>,</w:t>
      </w:r>
      <w:r w:rsidR="00C55D0A" w:rsidRPr="005D3007">
        <w:rPr>
          <w:rFonts w:ascii="Palatino Linotype" w:eastAsia="Calibri" w:hAnsi="Palatino Linotype" w:cs="Arial"/>
          <w:lang w:val="es-ES" w:eastAsia="es-ES"/>
        </w:rPr>
        <w:t xml:space="preserve"> con fundamento en lo dispuesto por el artículo 185 fracción II de la ley de la materia, a través del acuerdo de admisión de fecha </w:t>
      </w:r>
      <w:r w:rsidR="002866BE" w:rsidRPr="005D3007">
        <w:rPr>
          <w:rFonts w:ascii="Palatino Linotype" w:eastAsia="Calibri" w:hAnsi="Palatino Linotype" w:cs="Arial"/>
          <w:lang w:val="es-ES" w:eastAsia="es-ES"/>
        </w:rPr>
        <w:t>veinticinco (25) de agosto</w:t>
      </w:r>
      <w:r w:rsidR="00C55D0A" w:rsidRPr="005D3007">
        <w:rPr>
          <w:rFonts w:ascii="Palatino Linotype" w:eastAsia="Calibri" w:hAnsi="Palatino Linotype" w:cs="Arial"/>
          <w:lang w:val="es-ES" w:eastAsia="es-ES"/>
        </w:rPr>
        <w:t xml:space="preserve"> de dos mil veintitrés, puso a disposición de las partes el expediente electrónico </w:t>
      </w:r>
      <w:r w:rsidR="00C55D0A" w:rsidRPr="005D3007">
        <w:rPr>
          <w:rFonts w:ascii="Palatino Linotype" w:eastAsia="Calibri" w:hAnsi="Palatino Linotype" w:cs="Arial"/>
          <w:lang w:val="es-ES_tradnl" w:eastAsia="es-ES"/>
        </w:rPr>
        <w:t xml:space="preserve">vía </w:t>
      </w:r>
      <w:r w:rsidR="00C55D0A" w:rsidRPr="005D3007">
        <w:rPr>
          <w:rFonts w:ascii="Palatino Linotype" w:eastAsia="Calibri" w:hAnsi="Palatino Linotype" w:cs="Arial"/>
          <w:b/>
          <w:lang w:val="es-ES" w:eastAsia="es-ES"/>
        </w:rPr>
        <w:t xml:space="preserve">SAIMEX </w:t>
      </w:r>
      <w:r w:rsidR="00C55D0A" w:rsidRPr="005D3007">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00C55D0A" w:rsidRPr="005D3007">
        <w:rPr>
          <w:rFonts w:ascii="Palatino Linotype" w:eastAsia="Calibri" w:hAnsi="Palatino Linotype" w:cs="Arial"/>
          <w:b/>
          <w:lang w:val="es-ES" w:eastAsia="es-ES"/>
        </w:rPr>
        <w:t>SUJETO OBLIGADO</w:t>
      </w:r>
      <w:r w:rsidR="00C55D0A" w:rsidRPr="005D3007">
        <w:rPr>
          <w:rFonts w:ascii="Palatino Linotype" w:eastAsia="Calibri" w:hAnsi="Palatino Linotype" w:cs="Arial"/>
          <w:lang w:val="es-ES" w:eastAsia="es-ES"/>
        </w:rPr>
        <w:t xml:space="preserve"> presentara el informe justificado procedente. </w:t>
      </w:r>
    </w:p>
    <w:p w:rsidR="00C55D0A" w:rsidRPr="005D3007" w:rsidRDefault="00C55D0A" w:rsidP="00C55D0A">
      <w:pPr>
        <w:spacing w:line="360" w:lineRule="auto"/>
        <w:contextualSpacing/>
        <w:jc w:val="both"/>
        <w:rPr>
          <w:rFonts w:ascii="Palatino Linotype" w:eastAsiaTheme="minorEastAsia" w:hAnsi="Palatino Linotype" w:cstheme="minorBidi"/>
          <w:i/>
          <w:color w:val="000000"/>
          <w:sz w:val="22"/>
          <w:szCs w:val="22"/>
          <w:lang w:val="es-ES_tradnl" w:eastAsia="es-ES"/>
        </w:rPr>
      </w:pPr>
    </w:p>
    <w:p w:rsidR="00C55D0A" w:rsidRPr="005D3007" w:rsidRDefault="00C55D0A" w:rsidP="00C55D0A">
      <w:pPr>
        <w:numPr>
          <w:ilvl w:val="0"/>
          <w:numId w:val="1"/>
        </w:numPr>
        <w:spacing w:line="360" w:lineRule="auto"/>
        <w:ind w:left="0" w:firstLine="0"/>
        <w:contextualSpacing/>
        <w:jc w:val="both"/>
        <w:rPr>
          <w:rFonts w:ascii="Arial" w:hAnsi="Arial" w:cs="Arial"/>
          <w:lang w:eastAsia="es-ES"/>
        </w:rPr>
      </w:pPr>
      <w:r w:rsidRPr="005D3007">
        <w:rPr>
          <w:rFonts w:ascii="Palatino Linotype" w:eastAsia="Calibri" w:hAnsi="Palatino Linotype" w:cs="Arial"/>
          <w:lang w:val="es-ES" w:eastAsia="es-ES"/>
        </w:rPr>
        <w:t xml:space="preserve">De las constancias en el expediente electrónico SAIMEX, se advierte que el particular no realizó manifestaciones, no ofreció pruebas o alegatos a su derecho convinieran; por su parte, el Sujeto Obligado no emitió informe justificado. </w:t>
      </w:r>
    </w:p>
    <w:p w:rsidR="00C55D0A" w:rsidRPr="005D3007" w:rsidRDefault="00C55D0A" w:rsidP="00C55D0A">
      <w:pPr>
        <w:spacing w:line="360" w:lineRule="auto"/>
        <w:contextualSpacing/>
        <w:jc w:val="both"/>
        <w:rPr>
          <w:rFonts w:ascii="Palatino Linotype" w:eastAsiaTheme="minorEastAsia" w:hAnsi="Palatino Linotype"/>
          <w:b/>
          <w:u w:val="single"/>
          <w:lang w:val="es-ES_tradnl" w:eastAsia="es-ES"/>
        </w:rPr>
      </w:pPr>
    </w:p>
    <w:p w:rsidR="00C55D0A" w:rsidRPr="005D3007" w:rsidRDefault="00C55D0A" w:rsidP="00C55D0A">
      <w:pPr>
        <w:numPr>
          <w:ilvl w:val="0"/>
          <w:numId w:val="1"/>
        </w:numPr>
        <w:spacing w:line="360" w:lineRule="auto"/>
        <w:ind w:left="0" w:firstLine="0"/>
        <w:contextualSpacing/>
        <w:jc w:val="both"/>
        <w:rPr>
          <w:rFonts w:ascii="Palatino Linotype" w:eastAsiaTheme="minorEastAsia" w:hAnsi="Palatino Linotype"/>
          <w:b/>
          <w:u w:val="single"/>
          <w:lang w:val="es-ES_tradnl" w:eastAsia="es-ES"/>
        </w:rPr>
      </w:pPr>
      <w:r w:rsidRPr="005D3007">
        <w:rPr>
          <w:rFonts w:ascii="Palatino Linotype" w:eastAsiaTheme="minorEastAsia" w:hAnsi="Palatino Linotype"/>
          <w:lang w:val="es-ES_tradnl" w:eastAsia="es-ES"/>
        </w:rPr>
        <w:lastRenderedPageBreak/>
        <w:t xml:space="preserve">El Comisionado Ponente decretó el cierre de instrucción a través de acuerdo que fue notificado en fecha </w:t>
      </w:r>
      <w:r w:rsidR="00933493" w:rsidRPr="005D3007">
        <w:rPr>
          <w:rFonts w:ascii="Palatino Linotype" w:eastAsiaTheme="minorEastAsia" w:hAnsi="Palatino Linotype"/>
          <w:lang w:val="es-ES_tradnl" w:eastAsia="es-ES"/>
        </w:rPr>
        <w:t>siete (07</w:t>
      </w:r>
      <w:r w:rsidRPr="005D3007">
        <w:rPr>
          <w:rFonts w:ascii="Palatino Linotype" w:eastAsiaTheme="minorEastAsia" w:hAnsi="Palatino Linotype"/>
          <w:lang w:val="es-ES_tradnl" w:eastAsia="es-ES"/>
        </w:rPr>
        <w:t xml:space="preserve">) de septiembre de dos mil veintitrés. </w:t>
      </w:r>
    </w:p>
    <w:p w:rsidR="00C55D0A" w:rsidRPr="005D3007" w:rsidRDefault="00C55D0A" w:rsidP="00C55D0A">
      <w:pPr>
        <w:pStyle w:val="Prrafodelista"/>
        <w:spacing w:line="360" w:lineRule="auto"/>
        <w:ind w:left="0" w:right="113"/>
        <w:jc w:val="both"/>
        <w:rPr>
          <w:rFonts w:ascii="Palatino Linotype" w:hAnsi="Palatino Linotype"/>
          <w:sz w:val="24"/>
        </w:rPr>
      </w:pPr>
    </w:p>
    <w:p w:rsidR="00C55D0A" w:rsidRPr="005D3007" w:rsidRDefault="00C55D0A" w:rsidP="00C55D0A">
      <w:pPr>
        <w:keepNext/>
        <w:keepLines/>
        <w:spacing w:line="360" w:lineRule="auto"/>
        <w:jc w:val="center"/>
        <w:outlineLvl w:val="0"/>
        <w:rPr>
          <w:rFonts w:ascii="Palatino Linotype" w:eastAsiaTheme="majorEastAsia" w:hAnsi="Palatino Linotype" w:cstheme="majorBidi"/>
        </w:rPr>
      </w:pPr>
      <w:bookmarkStart w:id="4" w:name="_Toc83301634"/>
      <w:r w:rsidRPr="005D3007">
        <w:rPr>
          <w:rFonts w:ascii="Palatino Linotype" w:eastAsiaTheme="majorEastAsia" w:hAnsi="Palatino Linotype" w:cstheme="majorBidi"/>
          <w:b/>
        </w:rPr>
        <w:t>CONSIDERANDO</w:t>
      </w:r>
      <w:bookmarkEnd w:id="4"/>
      <w:r w:rsidRPr="005D3007">
        <w:rPr>
          <w:rFonts w:ascii="Palatino Linotype" w:eastAsiaTheme="majorEastAsia" w:hAnsi="Palatino Linotype" w:cstheme="majorBidi"/>
          <w:b/>
        </w:rPr>
        <w:t xml:space="preserve"> </w:t>
      </w:r>
    </w:p>
    <w:p w:rsidR="00C55D0A" w:rsidRPr="005D3007" w:rsidRDefault="00C55D0A" w:rsidP="00C55D0A">
      <w:pPr>
        <w:spacing w:line="360" w:lineRule="auto"/>
        <w:rPr>
          <w:rFonts w:ascii="Palatino Linotype" w:eastAsiaTheme="minorEastAsia" w:hAnsi="Palatino Linotype"/>
        </w:rPr>
      </w:pPr>
    </w:p>
    <w:p w:rsidR="00C55D0A" w:rsidRPr="005D3007" w:rsidRDefault="00C55D0A" w:rsidP="00C55D0A">
      <w:pPr>
        <w:keepNext/>
        <w:keepLines/>
        <w:spacing w:line="360" w:lineRule="auto"/>
        <w:outlineLvl w:val="1"/>
        <w:rPr>
          <w:rFonts w:ascii="Palatino Linotype" w:eastAsiaTheme="majorEastAsia" w:hAnsi="Palatino Linotype" w:cstheme="majorBidi"/>
          <w:b/>
          <w:szCs w:val="26"/>
        </w:rPr>
      </w:pPr>
      <w:bookmarkStart w:id="5" w:name="_Toc83301635"/>
      <w:r w:rsidRPr="005D3007">
        <w:rPr>
          <w:rFonts w:ascii="Palatino Linotype" w:eastAsiaTheme="majorEastAsia" w:hAnsi="Palatino Linotype" w:cstheme="majorBidi"/>
          <w:b/>
          <w:szCs w:val="26"/>
        </w:rPr>
        <w:t>PRIMERO. De la competencia</w:t>
      </w:r>
      <w:bookmarkEnd w:id="5"/>
    </w:p>
    <w:p w:rsidR="00C55D0A" w:rsidRPr="005D3007" w:rsidRDefault="00C55D0A" w:rsidP="00C55D0A">
      <w:pPr>
        <w:keepNext/>
        <w:keepLines/>
        <w:spacing w:line="360" w:lineRule="auto"/>
        <w:outlineLvl w:val="1"/>
        <w:rPr>
          <w:rFonts w:ascii="Palatino Linotype" w:eastAsiaTheme="majorEastAsia" w:hAnsi="Palatino Linotype" w:cstheme="majorBidi"/>
          <w:b/>
          <w:bCs/>
          <w:spacing w:val="60"/>
          <w:szCs w:val="26"/>
        </w:rPr>
      </w:pPr>
    </w:p>
    <w:p w:rsidR="00C55D0A" w:rsidRPr="005D3007" w:rsidRDefault="00C55D0A" w:rsidP="00C55D0A">
      <w:pPr>
        <w:pStyle w:val="Prrafodelista"/>
        <w:numPr>
          <w:ilvl w:val="0"/>
          <w:numId w:val="1"/>
        </w:numPr>
        <w:spacing w:line="360" w:lineRule="auto"/>
        <w:ind w:left="0" w:firstLine="0"/>
        <w:jc w:val="both"/>
        <w:rPr>
          <w:rFonts w:ascii="Palatino Linotype" w:hAnsi="Palatino Linotype"/>
          <w:sz w:val="24"/>
        </w:rPr>
      </w:pPr>
      <w:r w:rsidRPr="005D3007">
        <w:rPr>
          <w:rFonts w:ascii="Palatino Linotype" w:hAnsi="Palatino Linotype"/>
          <w:sz w:val="24"/>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C55D0A" w:rsidRPr="005D3007" w:rsidRDefault="00C55D0A" w:rsidP="00C55D0A">
      <w:pPr>
        <w:pStyle w:val="Prrafodelista"/>
        <w:spacing w:line="360" w:lineRule="auto"/>
        <w:ind w:left="0"/>
        <w:jc w:val="both"/>
        <w:rPr>
          <w:rFonts w:ascii="Palatino Linotype" w:hAnsi="Palatino Linotype"/>
          <w:sz w:val="24"/>
        </w:rPr>
      </w:pPr>
    </w:p>
    <w:p w:rsidR="00C55D0A" w:rsidRPr="005D3007" w:rsidRDefault="00C55D0A" w:rsidP="00C55D0A">
      <w:pPr>
        <w:keepNext/>
        <w:keepLines/>
        <w:spacing w:line="360" w:lineRule="auto"/>
        <w:outlineLvl w:val="1"/>
        <w:rPr>
          <w:rFonts w:ascii="Palatino Linotype" w:eastAsiaTheme="majorEastAsia" w:hAnsi="Palatino Linotype" w:cstheme="majorBidi"/>
          <w:b/>
          <w:szCs w:val="26"/>
        </w:rPr>
      </w:pPr>
      <w:bookmarkStart w:id="6" w:name="_Toc83301636"/>
      <w:r w:rsidRPr="005D3007">
        <w:rPr>
          <w:rFonts w:ascii="Palatino Linotype" w:eastAsiaTheme="majorEastAsia" w:hAnsi="Palatino Linotype" w:cstheme="majorBidi"/>
          <w:b/>
          <w:szCs w:val="26"/>
        </w:rPr>
        <w:t>SEGUNDO. De la oportunidad y procedencia.</w:t>
      </w:r>
      <w:bookmarkEnd w:id="6"/>
    </w:p>
    <w:p w:rsidR="00C55D0A" w:rsidRPr="005D3007" w:rsidRDefault="00C55D0A" w:rsidP="00C55D0A">
      <w:pPr>
        <w:spacing w:line="360" w:lineRule="auto"/>
        <w:rPr>
          <w:rFonts w:ascii="Palatino Linotype" w:eastAsiaTheme="minorEastAsia" w:hAnsi="Palatino Linotype"/>
        </w:rPr>
      </w:pPr>
    </w:p>
    <w:p w:rsidR="00C55D0A" w:rsidRPr="005D3007" w:rsidRDefault="00C55D0A" w:rsidP="00C55D0A">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D3007">
        <w:rPr>
          <w:rFonts w:ascii="Palatino Linotype" w:eastAsia="Calibri" w:hAnsi="Palatino Linotype" w:cs="Arial"/>
          <w:lang w:val="es-ES_tradnl" w:eastAsia="es-ES"/>
        </w:rPr>
        <w:t xml:space="preserve">El medio de impugnación fue presentado a través del </w:t>
      </w:r>
      <w:r w:rsidRPr="005D3007">
        <w:rPr>
          <w:rFonts w:ascii="Palatino Linotype" w:eastAsia="Calibri" w:hAnsi="Palatino Linotype" w:cs="Arial"/>
          <w:b/>
          <w:lang w:val="es-ES_tradnl" w:eastAsia="es-ES"/>
        </w:rPr>
        <w:t>SAIMEX,</w:t>
      </w:r>
      <w:r w:rsidRPr="005D3007">
        <w:rPr>
          <w:rFonts w:ascii="Palatino Linotype" w:eastAsia="Calibri" w:hAnsi="Palatino Linotype" w:cs="Arial"/>
          <w:lang w:val="es-ES_tradnl" w:eastAsia="es-ES"/>
        </w:rPr>
        <w:t xml:space="preserve"> en el formato previamente aprobado para tal efecto y dentro del plazo legal de quince días hábiles otorgados; siendo así que el </w:t>
      </w:r>
      <w:r w:rsidRPr="005D3007">
        <w:rPr>
          <w:rFonts w:ascii="Palatino Linotype" w:eastAsia="Calibri" w:hAnsi="Palatino Linotype" w:cs="Arial"/>
          <w:b/>
          <w:lang w:val="es-ES_tradnl" w:eastAsia="es-ES"/>
        </w:rPr>
        <w:t>SUJETO OBLIGADO</w:t>
      </w:r>
      <w:r w:rsidRPr="005D3007">
        <w:rPr>
          <w:rFonts w:ascii="Palatino Linotype" w:eastAsia="Calibri" w:hAnsi="Palatino Linotype" w:cs="Arial"/>
          <w:lang w:val="es-ES_tradnl" w:eastAsia="es-ES"/>
        </w:rPr>
        <w:t xml:space="preserve"> entregó respuesta a la solicitud el día </w:t>
      </w:r>
      <w:r w:rsidR="00F72263" w:rsidRPr="005D3007">
        <w:rPr>
          <w:rFonts w:ascii="Palatino Linotype" w:eastAsia="Calibri" w:hAnsi="Palatino Linotype" w:cs="Arial"/>
          <w:lang w:val="es-ES_tradnl" w:eastAsia="es-ES"/>
        </w:rPr>
        <w:t>veintiuno (21) de agosto</w:t>
      </w:r>
      <w:r w:rsidRPr="005D3007">
        <w:rPr>
          <w:rFonts w:ascii="Palatino Linotype" w:eastAsia="Calibri" w:hAnsi="Palatino Linotype" w:cs="Arial"/>
          <w:lang w:val="es-ES_tradnl" w:eastAsia="es-ES"/>
        </w:rPr>
        <w:t xml:space="preserve"> de dos mil veintitrés, </w:t>
      </w:r>
      <w:r w:rsidRPr="005D3007">
        <w:rPr>
          <w:rFonts w:ascii="Palatino Linotype" w:eastAsiaTheme="minorEastAsia" w:hAnsi="Palatino Linotype" w:cs="Arial"/>
          <w:lang w:val="es-ES_tradnl" w:eastAsia="es-ES"/>
        </w:rPr>
        <w:t xml:space="preserve">de tal forma que el plazo para interponer el recurso de revisión transcurrió del </w:t>
      </w:r>
      <w:r w:rsidR="00F72263" w:rsidRPr="005D3007">
        <w:rPr>
          <w:rFonts w:ascii="Palatino Linotype" w:eastAsiaTheme="minorEastAsia" w:hAnsi="Palatino Linotype" w:cs="Arial"/>
          <w:lang w:val="es-ES_tradnl" w:eastAsia="es-ES"/>
        </w:rPr>
        <w:t xml:space="preserve">veintidós (22) de agosto al once (11) </w:t>
      </w:r>
      <w:r w:rsidR="00F72263" w:rsidRPr="005D3007">
        <w:rPr>
          <w:rFonts w:ascii="Palatino Linotype" w:eastAsiaTheme="minorEastAsia" w:hAnsi="Palatino Linotype" w:cs="Arial"/>
          <w:lang w:val="es-ES_tradnl" w:eastAsia="es-ES"/>
        </w:rPr>
        <w:lastRenderedPageBreak/>
        <w:t>de septiembre</w:t>
      </w:r>
      <w:r w:rsidRPr="005D3007">
        <w:rPr>
          <w:rFonts w:ascii="Palatino Linotype" w:eastAsiaTheme="minorEastAsia" w:hAnsi="Palatino Linotype" w:cs="Arial"/>
          <w:lang w:val="es-ES_tradnl" w:eastAsia="es-ES"/>
        </w:rPr>
        <w:t xml:space="preserve"> de dos mil veintitrés; en consecuencia, presentó su inconformidad el </w:t>
      </w:r>
      <w:r w:rsidR="00F72263" w:rsidRPr="005D3007">
        <w:rPr>
          <w:rFonts w:ascii="Palatino Linotype" w:eastAsiaTheme="minorEastAsia" w:hAnsi="Palatino Linotype" w:cs="Arial"/>
          <w:lang w:val="es-ES_tradnl" w:eastAsia="es-ES"/>
        </w:rPr>
        <w:t>veintitrés (23) de agosto</w:t>
      </w:r>
      <w:r w:rsidRPr="005D3007">
        <w:rPr>
          <w:rFonts w:ascii="Palatino Linotype" w:eastAsiaTheme="minorEastAsia" w:hAnsi="Palatino Linotype" w:cs="Arial"/>
          <w:lang w:val="es-ES_tradnl" w:eastAsia="es-ES"/>
        </w:rPr>
        <w:t xml:space="preserve"> de dos mil veintitrés, por lo que se encuentra dentro de los márgenes temporales previstos en el artículo 3, fracción X y 178 de la </w:t>
      </w:r>
      <w:r w:rsidRPr="005D3007">
        <w:rPr>
          <w:rFonts w:ascii="Palatino Linotype" w:eastAsiaTheme="minorEastAsia" w:hAnsi="Palatino Linotype" w:cs="Arial"/>
          <w:b/>
          <w:lang w:val="es-ES_tradnl" w:eastAsia="es-ES"/>
        </w:rPr>
        <w:t xml:space="preserve">Ley de Transparencia y Acceso a la Información Pública del Estado de México y Municipios </w:t>
      </w:r>
      <w:r w:rsidRPr="005D3007">
        <w:rPr>
          <w:rFonts w:ascii="Palatino Linotype" w:eastAsiaTheme="minorEastAsia" w:hAnsi="Palatino Linotype" w:cs="Arial"/>
          <w:lang w:val="es-ES_tradnl" w:eastAsia="es-ES"/>
        </w:rPr>
        <w:t>vigente.</w:t>
      </w:r>
    </w:p>
    <w:p w:rsidR="00F72263" w:rsidRPr="005D3007" w:rsidRDefault="00F72263" w:rsidP="00F72263">
      <w:pPr>
        <w:spacing w:line="360" w:lineRule="auto"/>
        <w:ind w:right="49"/>
        <w:contextualSpacing/>
        <w:jc w:val="both"/>
        <w:rPr>
          <w:rFonts w:ascii="Palatino Linotype" w:eastAsiaTheme="minorEastAsia" w:hAnsi="Palatino Linotype"/>
          <w:lang w:val="es-ES_tradnl" w:eastAsia="es-ES"/>
        </w:rPr>
      </w:pPr>
    </w:p>
    <w:p w:rsidR="00F72263" w:rsidRPr="005D3007" w:rsidRDefault="00F72263" w:rsidP="00F72263">
      <w:pPr>
        <w:numPr>
          <w:ilvl w:val="0"/>
          <w:numId w:val="1"/>
        </w:numPr>
        <w:spacing w:line="360" w:lineRule="auto"/>
        <w:ind w:left="0" w:firstLine="0"/>
        <w:contextualSpacing/>
        <w:jc w:val="both"/>
        <w:rPr>
          <w:rFonts w:ascii="Palatino Linotype" w:eastAsia="Calibri" w:hAnsi="Palatino Linotype" w:cs="Arial"/>
          <w:lang w:val="es-ES_tradnl" w:eastAsia="es-ES"/>
        </w:rPr>
      </w:pPr>
      <w:r w:rsidRPr="005D3007">
        <w:rPr>
          <w:rFonts w:ascii="Palatino Linotype" w:eastAsia="Calibri" w:hAnsi="Palatino Linotype" w:cs="Arial"/>
          <w:lang w:val="es-ES_tradnl" w:eastAsia="es-ES"/>
        </w:rPr>
        <w:t xml:space="preserve">Por otra parte, de la revisión al expediente electrónico del </w:t>
      </w:r>
      <w:r w:rsidRPr="005D3007">
        <w:rPr>
          <w:rFonts w:ascii="Palatino Linotype" w:eastAsia="Calibri" w:hAnsi="Palatino Linotype" w:cs="Arial"/>
          <w:b/>
          <w:lang w:val="es-ES_tradnl" w:eastAsia="es-ES"/>
        </w:rPr>
        <w:t>SAIMEX</w:t>
      </w:r>
      <w:r w:rsidRPr="005D3007">
        <w:rPr>
          <w:rFonts w:ascii="Palatino Linotype" w:eastAsia="Calibri" w:hAnsi="Palatino Linotype" w:cs="Arial"/>
          <w:lang w:val="es-ES_tradnl" w:eastAsia="es-ES"/>
        </w:rPr>
        <w:t xml:space="preserve"> se desprende que la parte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F72263" w:rsidRPr="005D3007" w:rsidRDefault="00F72263" w:rsidP="00F72263">
      <w:pPr>
        <w:pStyle w:val="Prrafodelista"/>
        <w:ind w:left="0"/>
        <w:rPr>
          <w:rFonts w:ascii="Palatino Linotype" w:eastAsia="Calibri" w:hAnsi="Palatino Linotype" w:cs="Arial"/>
          <w:sz w:val="24"/>
          <w:lang w:val="es-ES_tradnl" w:eastAsia="es-ES"/>
        </w:rPr>
      </w:pPr>
    </w:p>
    <w:p w:rsidR="00F72263" w:rsidRPr="005D3007" w:rsidRDefault="00F72263" w:rsidP="00F72263">
      <w:pPr>
        <w:numPr>
          <w:ilvl w:val="0"/>
          <w:numId w:val="1"/>
        </w:numPr>
        <w:spacing w:line="360" w:lineRule="auto"/>
        <w:ind w:left="0" w:firstLine="0"/>
        <w:contextualSpacing/>
        <w:jc w:val="both"/>
        <w:rPr>
          <w:rFonts w:ascii="Palatino Linotype" w:eastAsia="Calibri" w:hAnsi="Palatino Linotype" w:cs="Arial"/>
          <w:lang w:val="es-ES_tradnl" w:eastAsia="es-ES"/>
        </w:rPr>
      </w:pPr>
      <w:r w:rsidRPr="005D3007">
        <w:rPr>
          <w:rFonts w:ascii="Palatino Linotype" w:eastAsia="Calibri" w:hAnsi="Palatino Linotype" w:cs="Arial"/>
          <w:lang w:val="es-ES_tradnl" w:eastAsia="es-ES"/>
        </w:rPr>
        <w:t xml:space="preserve">Esto es así, ya que de conformidad con los artículos 6, Apartado A, fracciones III y IV de la Constitución Política de los Estados Unidos Mexicanos y </w:t>
      </w:r>
      <w:r w:rsidRPr="005D3007">
        <w:rPr>
          <w:rFonts w:ascii="Palatino Linotype" w:eastAsia="Calibri" w:hAnsi="Palatino Linotype" w:cs="Arial"/>
          <w:bCs/>
          <w:lang w:val="es-ES" w:eastAsia="es-ES"/>
        </w:rPr>
        <w:t>5, párrafos vigésimo, vigésimo primero y vigésimo segúndo fracciones IV y V </w:t>
      </w:r>
      <w:r w:rsidRPr="005D3007">
        <w:rPr>
          <w:rFonts w:ascii="Palatino Linotype" w:eastAsia="Calibri" w:hAnsi="Palatino Linotype" w:cs="Arial"/>
          <w:lang w:val="es-ES_tradnl" w:eastAsia="es-ES"/>
        </w:rPr>
        <w:t>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F72263" w:rsidRPr="005D3007" w:rsidRDefault="00F72263" w:rsidP="00F72263">
      <w:pPr>
        <w:numPr>
          <w:ilvl w:val="0"/>
          <w:numId w:val="1"/>
        </w:numPr>
        <w:spacing w:line="360" w:lineRule="auto"/>
        <w:ind w:left="0" w:firstLine="0"/>
        <w:contextualSpacing/>
        <w:jc w:val="both"/>
        <w:rPr>
          <w:rFonts w:ascii="Palatino Linotype" w:eastAsia="Calibri" w:hAnsi="Palatino Linotype" w:cs="Arial"/>
          <w:lang w:val="es-ES_tradnl" w:eastAsia="es-ES"/>
        </w:rPr>
      </w:pPr>
      <w:r w:rsidRPr="005D3007">
        <w:rPr>
          <w:rFonts w:ascii="Palatino Linotype" w:eastAsia="Calibri" w:hAnsi="Palatino Linotype" w:cs="Arial"/>
          <w:lang w:val="es-ES_tradnl" w:eastAsia="es-ES"/>
        </w:rPr>
        <w:lastRenderedPageBreak/>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F72263" w:rsidRPr="005D3007" w:rsidRDefault="00F72263" w:rsidP="00F72263">
      <w:pPr>
        <w:pStyle w:val="Prrafodelista"/>
        <w:ind w:left="0"/>
        <w:rPr>
          <w:rFonts w:ascii="Palatino Linotype" w:eastAsia="Calibri" w:hAnsi="Palatino Linotype" w:cs="Arial"/>
          <w:sz w:val="24"/>
          <w:lang w:val="es-ES_tradnl" w:eastAsia="es-ES"/>
        </w:rPr>
      </w:pPr>
    </w:p>
    <w:p w:rsidR="00F72263" w:rsidRPr="005D3007" w:rsidRDefault="00F72263" w:rsidP="00F72263">
      <w:pPr>
        <w:numPr>
          <w:ilvl w:val="0"/>
          <w:numId w:val="1"/>
        </w:numPr>
        <w:spacing w:line="360" w:lineRule="auto"/>
        <w:ind w:left="0" w:firstLine="0"/>
        <w:contextualSpacing/>
        <w:jc w:val="both"/>
        <w:rPr>
          <w:rFonts w:ascii="Palatino Linotype" w:eastAsia="Calibri" w:hAnsi="Palatino Linotype" w:cs="Arial"/>
          <w:lang w:val="es-ES_tradnl" w:eastAsia="es-ES"/>
        </w:rPr>
      </w:pPr>
      <w:r w:rsidRPr="005D3007">
        <w:rPr>
          <w:rFonts w:ascii="Palatino Linotype" w:eastAsia="Calibri" w:hAnsi="Palatino Linotype" w:cs="Arial"/>
          <w:lang w:val="es-ES_tradnl"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F72263" w:rsidRPr="005D3007" w:rsidRDefault="00F72263" w:rsidP="00F72263">
      <w:pPr>
        <w:pStyle w:val="Prrafodelista"/>
        <w:ind w:left="0"/>
        <w:rPr>
          <w:rFonts w:ascii="Palatino Linotype" w:eastAsia="Calibri" w:hAnsi="Palatino Linotype" w:cs="Arial"/>
          <w:sz w:val="24"/>
          <w:lang w:val="es-ES_tradnl" w:eastAsia="es-ES"/>
        </w:rPr>
      </w:pPr>
    </w:p>
    <w:p w:rsidR="00F72263" w:rsidRPr="005D3007" w:rsidRDefault="00F72263" w:rsidP="00F72263">
      <w:pPr>
        <w:numPr>
          <w:ilvl w:val="0"/>
          <w:numId w:val="1"/>
        </w:numPr>
        <w:spacing w:line="360" w:lineRule="auto"/>
        <w:ind w:left="0" w:firstLine="0"/>
        <w:contextualSpacing/>
        <w:jc w:val="both"/>
        <w:rPr>
          <w:rFonts w:ascii="Palatino Linotype" w:eastAsia="Calibri" w:hAnsi="Palatino Linotype" w:cs="Arial"/>
          <w:lang w:val="es-ES_tradnl" w:eastAsia="es-ES"/>
        </w:rPr>
      </w:pPr>
      <w:r w:rsidRPr="005D3007">
        <w:rPr>
          <w:rFonts w:ascii="Palatino Linotype" w:eastAsia="Calibri" w:hAnsi="Palatino Linotype" w:cs="Arial"/>
          <w:lang w:val="es-ES_tradnl" w:eastAsia="es-ES"/>
        </w:rPr>
        <w:t>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rsidR="00C55D0A" w:rsidRPr="005D3007" w:rsidRDefault="00C55D0A" w:rsidP="00C55D0A">
      <w:pPr>
        <w:rPr>
          <w:rFonts w:ascii="Palatino Linotype" w:hAnsi="Palatino Linotype" w:cs="Arial"/>
          <w:i/>
          <w:szCs w:val="20"/>
        </w:rPr>
      </w:pPr>
    </w:p>
    <w:p w:rsidR="00C55D0A" w:rsidRPr="005D3007" w:rsidRDefault="00C55D0A" w:rsidP="00C55D0A">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D3007">
        <w:rPr>
          <w:rFonts w:ascii="Palatino Linotype" w:eastAsia="Calibri" w:hAnsi="Palatino Linotype" w:cs="Arial"/>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7" w:name="_Toc65713731"/>
      <w:bookmarkStart w:id="8" w:name="_Toc94119614"/>
      <w:bookmarkStart w:id="9" w:name="_Toc452722829"/>
      <w:bookmarkStart w:id="10" w:name="_Toc454373811"/>
      <w:bookmarkStart w:id="11" w:name="_Toc476675991"/>
    </w:p>
    <w:p w:rsidR="00C55D0A" w:rsidRPr="005D3007" w:rsidRDefault="00C55D0A" w:rsidP="00C55D0A">
      <w:pPr>
        <w:spacing w:line="360" w:lineRule="auto"/>
        <w:ind w:right="49"/>
        <w:contextualSpacing/>
        <w:jc w:val="both"/>
        <w:rPr>
          <w:rFonts w:ascii="Palatino Linotype" w:eastAsiaTheme="minorEastAsia" w:hAnsi="Palatino Linotype"/>
          <w:lang w:val="es-ES_tradnl" w:eastAsia="es-ES"/>
        </w:rPr>
      </w:pPr>
    </w:p>
    <w:p w:rsidR="00C55D0A" w:rsidRPr="005D3007" w:rsidRDefault="00C55D0A" w:rsidP="00C55D0A">
      <w:pPr>
        <w:spacing w:line="360" w:lineRule="auto"/>
        <w:ind w:right="49"/>
        <w:contextualSpacing/>
        <w:jc w:val="both"/>
        <w:rPr>
          <w:rFonts w:ascii="Palatino Linotype" w:eastAsia="MS Gothic" w:hAnsi="Palatino Linotype" w:cstheme="majorBidi"/>
          <w:b/>
          <w:lang w:eastAsia="es-ES"/>
        </w:rPr>
      </w:pPr>
      <w:r w:rsidRPr="005D3007">
        <w:rPr>
          <w:rFonts w:ascii="Palatino Linotype" w:eastAsia="MS Gothic" w:hAnsi="Palatino Linotype" w:cstheme="majorBidi"/>
          <w:b/>
          <w:lang w:val="es-ES_tradnl" w:eastAsia="es-ES"/>
        </w:rPr>
        <w:t>TERCERO. Planteamiento de la Litis</w:t>
      </w:r>
      <w:r w:rsidRPr="005D3007">
        <w:rPr>
          <w:rFonts w:ascii="Palatino Linotype" w:eastAsia="MS Gothic" w:hAnsi="Palatino Linotype" w:cstheme="majorBidi"/>
          <w:b/>
          <w:lang w:eastAsia="es-ES"/>
        </w:rPr>
        <w:t>.</w:t>
      </w:r>
      <w:bookmarkEnd w:id="7"/>
      <w:bookmarkEnd w:id="8"/>
    </w:p>
    <w:p w:rsidR="00C55D0A" w:rsidRPr="005D3007" w:rsidRDefault="00C55D0A" w:rsidP="00C55D0A">
      <w:pPr>
        <w:spacing w:line="360" w:lineRule="auto"/>
        <w:ind w:right="49"/>
        <w:contextualSpacing/>
        <w:jc w:val="both"/>
        <w:rPr>
          <w:rFonts w:ascii="Palatino Linotype" w:eastAsia="MS Gothic" w:hAnsi="Palatino Linotype" w:cstheme="majorBidi"/>
          <w:b/>
          <w:lang w:eastAsia="es-ES"/>
        </w:rPr>
      </w:pPr>
    </w:p>
    <w:p w:rsidR="00C55D0A" w:rsidRPr="005D3007" w:rsidRDefault="00C55D0A" w:rsidP="00C55D0A">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5D3007">
        <w:rPr>
          <w:rFonts w:ascii="Palatino Linotype" w:eastAsia="MS Gothic" w:hAnsi="Palatino Linotype" w:cstheme="majorBidi"/>
          <w:lang w:eastAsia="es-ES"/>
        </w:rPr>
        <w:lastRenderedPageBreak/>
        <w:t>El particular solicitó</w:t>
      </w:r>
      <w:r w:rsidRPr="005D3007">
        <w:rPr>
          <w:rFonts w:ascii="Palatino Linotype" w:hAnsi="Palatino Linotype"/>
          <w:color w:val="000000"/>
        </w:rPr>
        <w:t xml:space="preserve"> </w:t>
      </w:r>
      <w:r w:rsidR="00F72263" w:rsidRPr="005D3007">
        <w:rPr>
          <w:rFonts w:ascii="Palatino Linotype" w:hAnsi="Palatino Linotype"/>
          <w:color w:val="000000"/>
        </w:rPr>
        <w:t xml:space="preserve">saber el número de vehículos que se compraron para las diferentes áreas administrativas del ayuntamiento, así como las facturas para conocer el monto de la compra </w:t>
      </w:r>
      <w:r w:rsidR="00133A1F" w:rsidRPr="005D3007">
        <w:rPr>
          <w:rFonts w:ascii="Palatino Linotype" w:hAnsi="Palatino Linotype"/>
          <w:color w:val="000000"/>
        </w:rPr>
        <w:t xml:space="preserve">y la partida presupuestal que se devengo por dicha adquisición. </w:t>
      </w:r>
    </w:p>
    <w:p w:rsidR="00C55D0A" w:rsidRPr="005D3007" w:rsidRDefault="00C55D0A" w:rsidP="00C55D0A">
      <w:pPr>
        <w:spacing w:line="360" w:lineRule="auto"/>
        <w:ind w:right="49"/>
        <w:contextualSpacing/>
        <w:jc w:val="both"/>
        <w:rPr>
          <w:rFonts w:ascii="Palatino Linotype" w:eastAsia="MS Gothic" w:hAnsi="Palatino Linotype" w:cstheme="majorBidi"/>
          <w:lang w:val="es-ES_tradnl" w:eastAsia="es-ES"/>
        </w:rPr>
      </w:pPr>
    </w:p>
    <w:p w:rsidR="00C55D0A" w:rsidRPr="005D3007" w:rsidRDefault="00C55D0A" w:rsidP="00C55D0A">
      <w:pPr>
        <w:pStyle w:val="Prrafodelista"/>
        <w:numPr>
          <w:ilvl w:val="0"/>
          <w:numId w:val="1"/>
        </w:numPr>
        <w:spacing w:line="360" w:lineRule="auto"/>
        <w:ind w:left="0" w:right="113" w:firstLine="0"/>
        <w:jc w:val="both"/>
        <w:rPr>
          <w:rFonts w:ascii="Palatino Linotype" w:hAnsi="Palatino Linotype"/>
          <w:sz w:val="24"/>
          <w:szCs w:val="22"/>
        </w:rPr>
      </w:pPr>
      <w:r w:rsidRPr="005D3007">
        <w:rPr>
          <w:rFonts w:ascii="Palatino Linotype" w:eastAsia="MS Gothic" w:hAnsi="Palatino Linotype" w:cstheme="majorBidi"/>
          <w:iCs/>
          <w:sz w:val="24"/>
          <w:lang w:eastAsia="es-ES"/>
        </w:rPr>
        <w:t xml:space="preserve">En respuesta, el Sujeto Obligado adjuntó dos ligas electrónicas en las que señaló que se encontraba la información solicitada. Consecuentemente, inconforme con la respuesta, el hoy Recurrente interpuso recurso de revisión en el que señaló, su inconformidad </w:t>
      </w:r>
      <w:r w:rsidR="00133A1F" w:rsidRPr="005D3007">
        <w:rPr>
          <w:rFonts w:ascii="Palatino Linotype" w:eastAsia="MS Gothic" w:hAnsi="Palatino Linotype" w:cstheme="majorBidi"/>
          <w:iCs/>
          <w:sz w:val="24"/>
          <w:lang w:eastAsia="es-ES"/>
        </w:rPr>
        <w:t xml:space="preserve">por la falta de las facturas de los vehículos. </w:t>
      </w:r>
      <w:r w:rsidRPr="005D3007">
        <w:rPr>
          <w:rFonts w:ascii="Palatino Linotype" w:eastAsia="MS Gothic" w:hAnsi="Palatino Linotype" w:cstheme="majorBidi"/>
          <w:iCs/>
          <w:sz w:val="24"/>
          <w:lang w:eastAsia="es-ES"/>
        </w:rPr>
        <w:t xml:space="preserve"> </w:t>
      </w:r>
    </w:p>
    <w:p w:rsidR="00C55D0A" w:rsidRPr="005D3007" w:rsidRDefault="00C55D0A" w:rsidP="00C55D0A">
      <w:pPr>
        <w:pStyle w:val="Prrafodelista"/>
        <w:spacing w:line="360" w:lineRule="auto"/>
        <w:ind w:left="0" w:right="113"/>
        <w:jc w:val="both"/>
        <w:rPr>
          <w:rFonts w:ascii="Palatino Linotype" w:hAnsi="Palatino Linotype"/>
          <w:sz w:val="24"/>
          <w:szCs w:val="22"/>
        </w:rPr>
      </w:pPr>
    </w:p>
    <w:p w:rsidR="00C55D0A" w:rsidRPr="005D3007" w:rsidRDefault="00C55D0A" w:rsidP="00C55D0A">
      <w:pPr>
        <w:pStyle w:val="Prrafodelista"/>
        <w:numPr>
          <w:ilvl w:val="0"/>
          <w:numId w:val="1"/>
        </w:numPr>
        <w:spacing w:line="360" w:lineRule="auto"/>
        <w:ind w:left="0" w:right="113" w:firstLine="0"/>
        <w:jc w:val="both"/>
        <w:rPr>
          <w:rFonts w:ascii="Palatino Linotype" w:hAnsi="Palatino Linotype"/>
          <w:sz w:val="24"/>
          <w:szCs w:val="22"/>
        </w:rPr>
      </w:pPr>
      <w:r w:rsidRPr="005D3007">
        <w:rPr>
          <w:rFonts w:ascii="Palatino Linotype" w:eastAsia="MS Gothic" w:hAnsi="Palatino Linotype" w:cstheme="majorBidi"/>
          <w:sz w:val="24"/>
          <w:lang w:eastAsia="es-ES"/>
        </w:rPr>
        <w:t>En consecuencia, la Litis a resolver en este recurso, se circunscribe a determinar si la respuesta colma con lo solicitado o si se actualizan la causal de procedencia prevista en el artículo 179, fracción I</w:t>
      </w:r>
      <w:r w:rsidR="00133A1F" w:rsidRPr="005D3007">
        <w:rPr>
          <w:rFonts w:ascii="Palatino Linotype" w:eastAsia="MS Gothic" w:hAnsi="Palatino Linotype" w:cstheme="majorBidi"/>
          <w:sz w:val="24"/>
          <w:lang w:eastAsia="es-ES"/>
        </w:rPr>
        <w:t xml:space="preserve"> y V</w:t>
      </w:r>
      <w:r w:rsidRPr="005D3007">
        <w:rPr>
          <w:rFonts w:ascii="Palatino Linotype" w:eastAsia="MS Gothic" w:hAnsi="Palatino Linotype" w:cstheme="majorBidi"/>
          <w:sz w:val="24"/>
          <w:lang w:eastAsia="es-ES"/>
        </w:rPr>
        <w:t xml:space="preserve"> de la Ley de Transparencia y Acceso a la Información Pública del Estado de México y Municipios; que establece</w:t>
      </w:r>
      <w:r w:rsidR="00133A1F" w:rsidRPr="005D3007">
        <w:rPr>
          <w:rFonts w:ascii="Palatino Linotype" w:eastAsia="MS Gothic" w:hAnsi="Palatino Linotype" w:cstheme="majorBidi"/>
          <w:sz w:val="24"/>
          <w:lang w:eastAsia="es-ES"/>
        </w:rPr>
        <w:t xml:space="preserve"> la negativa de la información y la entrega de información incompleta. </w:t>
      </w:r>
    </w:p>
    <w:p w:rsidR="00C55D0A" w:rsidRPr="005D3007" w:rsidRDefault="00C55D0A" w:rsidP="00C55D0A">
      <w:pPr>
        <w:spacing w:line="360" w:lineRule="auto"/>
        <w:ind w:right="49"/>
        <w:contextualSpacing/>
        <w:jc w:val="both"/>
        <w:rPr>
          <w:rFonts w:ascii="Palatino Linotype" w:eastAsia="MS Gothic" w:hAnsi="Palatino Linotype"/>
        </w:rPr>
      </w:pPr>
    </w:p>
    <w:p w:rsidR="00C55D0A" w:rsidRPr="005D3007" w:rsidRDefault="00C55D0A" w:rsidP="00C55D0A">
      <w:pPr>
        <w:keepNext/>
        <w:keepLines/>
        <w:spacing w:line="360" w:lineRule="auto"/>
        <w:ind w:right="48"/>
        <w:outlineLvl w:val="0"/>
        <w:rPr>
          <w:rFonts w:ascii="Palatino Linotype" w:eastAsia="MS Gothic" w:hAnsi="Palatino Linotype" w:cstheme="majorBidi"/>
          <w:b/>
          <w:lang w:val="es-ES_tradnl" w:eastAsia="es-ES"/>
        </w:rPr>
      </w:pPr>
      <w:bookmarkStart w:id="12" w:name="_Toc70417466"/>
      <w:bookmarkStart w:id="13" w:name="_Toc80812775"/>
      <w:bookmarkStart w:id="14" w:name="_Toc83301638"/>
      <w:r w:rsidRPr="005D3007">
        <w:rPr>
          <w:rFonts w:ascii="Palatino Linotype" w:eastAsia="MS Gothic" w:hAnsi="Palatino Linotype" w:cstheme="majorBidi"/>
          <w:b/>
          <w:lang w:val="es-ES_tradnl" w:eastAsia="es-ES"/>
        </w:rPr>
        <w:t>CUARTO. Del estudio y resolución del recurso de revisión.</w:t>
      </w:r>
      <w:bookmarkEnd w:id="12"/>
      <w:bookmarkEnd w:id="13"/>
      <w:bookmarkEnd w:id="14"/>
    </w:p>
    <w:p w:rsidR="00C55D0A" w:rsidRPr="005D3007" w:rsidRDefault="00C55D0A" w:rsidP="00C55D0A">
      <w:pPr>
        <w:keepNext/>
        <w:keepLines/>
        <w:spacing w:line="360" w:lineRule="auto"/>
        <w:ind w:right="48"/>
        <w:outlineLvl w:val="0"/>
        <w:rPr>
          <w:rFonts w:ascii="Palatino Linotype" w:eastAsia="MS Gothic" w:hAnsi="Palatino Linotype" w:cstheme="majorBidi"/>
          <w:b/>
          <w:lang w:val="es-ES_tradnl" w:eastAsia="es-ES"/>
        </w:rPr>
      </w:pPr>
    </w:p>
    <w:p w:rsidR="00C55D0A" w:rsidRPr="005D3007" w:rsidRDefault="00C55D0A" w:rsidP="00C55D0A">
      <w:pPr>
        <w:pStyle w:val="Prrafodelista"/>
        <w:keepNext/>
        <w:keepLines/>
        <w:numPr>
          <w:ilvl w:val="0"/>
          <w:numId w:val="2"/>
        </w:numPr>
        <w:spacing w:line="360" w:lineRule="auto"/>
        <w:jc w:val="both"/>
        <w:outlineLvl w:val="1"/>
        <w:rPr>
          <w:rFonts w:ascii="Palatino Linotype" w:eastAsia="MS Gothic" w:hAnsi="Palatino Linotype"/>
          <w:b/>
          <w:sz w:val="24"/>
          <w:lang w:val="es-ES_tradnl" w:eastAsia="es-ES"/>
        </w:rPr>
      </w:pPr>
      <w:bookmarkStart w:id="15" w:name="_Toc498528948"/>
      <w:bookmarkStart w:id="16" w:name="_Toc71234379"/>
      <w:bookmarkStart w:id="17" w:name="_Toc71239557"/>
      <w:bookmarkStart w:id="18" w:name="_Toc80812776"/>
      <w:bookmarkStart w:id="19" w:name="_Toc83301639"/>
      <w:r w:rsidRPr="005D3007">
        <w:rPr>
          <w:rFonts w:ascii="Palatino Linotype" w:eastAsia="MS Gothic" w:hAnsi="Palatino Linotype"/>
          <w:b/>
          <w:sz w:val="24"/>
          <w:lang w:val="es-ES_tradnl" w:eastAsia="es-ES"/>
        </w:rPr>
        <w:t>De</w:t>
      </w:r>
      <w:bookmarkEnd w:id="15"/>
      <w:r w:rsidRPr="005D3007">
        <w:rPr>
          <w:rFonts w:ascii="Palatino Linotype" w:eastAsia="MS Gothic" w:hAnsi="Palatino Linotype"/>
          <w:b/>
          <w:sz w:val="24"/>
          <w:lang w:val="es-ES_tradnl" w:eastAsia="es-ES"/>
        </w:rPr>
        <w:t>l derecho de acceso a la información.</w:t>
      </w:r>
      <w:bookmarkEnd w:id="16"/>
      <w:bookmarkEnd w:id="17"/>
      <w:bookmarkEnd w:id="18"/>
      <w:bookmarkEnd w:id="19"/>
    </w:p>
    <w:p w:rsidR="00C55D0A" w:rsidRPr="005D3007" w:rsidRDefault="00C55D0A" w:rsidP="00C55D0A">
      <w:pPr>
        <w:spacing w:line="360" w:lineRule="auto"/>
        <w:ind w:right="49"/>
        <w:contextualSpacing/>
        <w:jc w:val="both"/>
        <w:rPr>
          <w:rFonts w:ascii="Palatino Linotype" w:eastAsiaTheme="minorEastAsia" w:hAnsi="Palatino Linotype"/>
          <w:lang w:val="es-ES_tradnl" w:eastAsia="es-ES"/>
        </w:rPr>
      </w:pPr>
    </w:p>
    <w:p w:rsidR="00C55D0A" w:rsidRPr="005D3007" w:rsidRDefault="00C55D0A" w:rsidP="00C55D0A">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D3007">
        <w:rPr>
          <w:rFonts w:ascii="Palatino Linotype" w:eastAsiaTheme="minorEastAsia" w:hAnsi="Palatino Linotype"/>
          <w:lang w:val="es-ES_tradnl" w:eastAsia="es-ES"/>
        </w:rPr>
        <w:t>E</w:t>
      </w:r>
      <w:r w:rsidRPr="005D3007">
        <w:rPr>
          <w:rFonts w:ascii="Palatino Linotype" w:hAnsi="Palatino Linotype" w:cs="Arial"/>
          <w:color w:val="000000"/>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5D3007">
        <w:rPr>
          <w:rFonts w:ascii="Palatino Linotype" w:hAnsi="Palatino Linotype" w:cs="Arial"/>
          <w:color w:val="000000"/>
          <w:lang w:val="es-ES_tradnl" w:eastAsia="es-ES"/>
        </w:rPr>
        <w:t xml:space="preserve">. </w:t>
      </w:r>
    </w:p>
    <w:p w:rsidR="00C55D0A" w:rsidRPr="005D3007" w:rsidRDefault="00C55D0A" w:rsidP="00C55D0A">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D3007">
        <w:rPr>
          <w:rFonts w:ascii="Palatino Linotype" w:hAnsi="Palatino Linotype"/>
          <w:lang w:val="es-ES_tradnl" w:eastAsia="es-ES"/>
        </w:rPr>
        <w:lastRenderedPageBreak/>
        <w:t xml:space="preserve">Definiendo el Derecho de Acceso a la Información Pública como: </w:t>
      </w:r>
      <w:r w:rsidRPr="005D3007">
        <w:rPr>
          <w:rFonts w:ascii="Palatino Linotype" w:eastAsiaTheme="minorEastAsia" w:hAnsi="Palatino Linotype"/>
          <w:i/>
          <w:color w:val="000000"/>
          <w:lang w:val="es-ES_tradnl" w:eastAsia="es-ES"/>
        </w:rPr>
        <w:t>La igualdad de oportunidades para recibir, buscar e impartir información</w:t>
      </w:r>
      <w:r w:rsidRPr="005D3007">
        <w:rPr>
          <w:rFonts w:ascii="Palatino Linotype" w:eastAsiaTheme="minorEastAsia" w:hAnsi="Palatino Linotype"/>
          <w:i/>
          <w:vertAlign w:val="superscript"/>
          <w:lang w:val="es-ES_tradnl" w:eastAsia="es-ES"/>
        </w:rPr>
        <w:footnoteReference w:id="1"/>
      </w:r>
      <w:r w:rsidRPr="005D3007">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D3007">
        <w:rPr>
          <w:rFonts w:ascii="Palatino Linotype" w:eastAsiaTheme="minorEastAsia" w:hAnsi="Palatino Linotype"/>
          <w:i/>
          <w:vertAlign w:val="superscript"/>
          <w:lang w:val="es-ES_tradnl" w:eastAsia="es-ES"/>
        </w:rPr>
        <w:footnoteReference w:id="2"/>
      </w:r>
      <w:r w:rsidRPr="005D3007">
        <w:rPr>
          <w:rFonts w:ascii="Palatino Linotype" w:eastAsiaTheme="minorEastAsia" w:hAnsi="Palatino Linotype"/>
          <w:color w:val="000000"/>
          <w:lang w:val="es-ES_tradnl" w:eastAsia="es-ES"/>
        </w:rPr>
        <w:t>que se constituye como una herramienta fundamental para ejercer</w:t>
      </w:r>
      <w:r w:rsidRPr="005D3007">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5D3007">
        <w:rPr>
          <w:rFonts w:ascii="Palatino Linotype" w:eastAsiaTheme="minorEastAsia" w:hAnsi="Palatino Linotype"/>
          <w:i/>
          <w:vertAlign w:val="superscript"/>
          <w:lang w:val="es-ES_tradnl" w:eastAsia="es-ES"/>
        </w:rPr>
        <w:footnoteReference w:id="3"/>
      </w:r>
      <w:r w:rsidRPr="005D3007">
        <w:rPr>
          <w:rFonts w:ascii="Palatino Linotype" w:eastAsiaTheme="minorEastAsia" w:hAnsi="Palatino Linotype"/>
          <w:color w:val="000000"/>
          <w:lang w:val="es-ES_tradnl" w:eastAsia="es-ES"/>
        </w:rPr>
        <w:t>fomentando</w:t>
      </w:r>
      <w:r w:rsidRPr="005D3007">
        <w:rPr>
          <w:rFonts w:ascii="Palatino Linotype" w:eastAsiaTheme="minorEastAsia" w:hAnsi="Palatino Linotype"/>
          <w:i/>
          <w:color w:val="000000"/>
          <w:lang w:val="es-ES_tradnl" w:eastAsia="es-ES"/>
        </w:rPr>
        <w:t xml:space="preserve"> la transparencia de las actividades estatales y </w:t>
      </w:r>
      <w:r w:rsidRPr="005D3007">
        <w:rPr>
          <w:rFonts w:ascii="Palatino Linotype" w:eastAsiaTheme="minorEastAsia" w:hAnsi="Palatino Linotype"/>
          <w:color w:val="000000"/>
          <w:lang w:val="es-ES_tradnl" w:eastAsia="es-ES"/>
        </w:rPr>
        <w:t>promoviendo</w:t>
      </w:r>
      <w:r w:rsidRPr="005D3007">
        <w:rPr>
          <w:rFonts w:ascii="Palatino Linotype" w:eastAsiaTheme="minorEastAsia" w:hAnsi="Palatino Linotype"/>
          <w:i/>
          <w:color w:val="000000"/>
          <w:lang w:val="es-ES_tradnl" w:eastAsia="es-ES"/>
        </w:rPr>
        <w:t xml:space="preserve"> la responsabilidad de los funcionarios sobre su gestión pública,</w:t>
      </w:r>
      <w:r w:rsidRPr="005D3007">
        <w:rPr>
          <w:rFonts w:ascii="Palatino Linotype" w:eastAsiaTheme="minorEastAsia" w:hAnsi="Palatino Linotype"/>
          <w:i/>
          <w:vertAlign w:val="superscript"/>
          <w:lang w:val="es-ES_tradnl" w:eastAsia="es-ES"/>
        </w:rPr>
        <w:footnoteReference w:id="4"/>
      </w:r>
      <w:r w:rsidRPr="005D3007">
        <w:rPr>
          <w:rFonts w:ascii="Palatino Linotype" w:eastAsiaTheme="minorEastAsia" w:hAnsi="Palatino Linotype"/>
          <w:color w:val="000000"/>
          <w:lang w:val="es-ES_tradnl" w:eastAsia="es-ES"/>
        </w:rPr>
        <w:t>que permite</w:t>
      </w:r>
      <w:r w:rsidRPr="005D3007">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rsidR="00C55D0A" w:rsidRPr="005D3007" w:rsidRDefault="00C55D0A" w:rsidP="00C55D0A">
      <w:pPr>
        <w:spacing w:line="360" w:lineRule="auto"/>
        <w:ind w:right="49"/>
        <w:contextualSpacing/>
        <w:jc w:val="both"/>
        <w:rPr>
          <w:rFonts w:ascii="Palatino Linotype" w:eastAsiaTheme="minorEastAsia" w:hAnsi="Palatino Linotype"/>
          <w:lang w:val="es-ES_tradnl" w:eastAsia="es-ES"/>
        </w:rPr>
      </w:pPr>
    </w:p>
    <w:p w:rsidR="00C55D0A" w:rsidRPr="005D3007" w:rsidRDefault="00C55D0A" w:rsidP="00C55D0A">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D3007">
        <w:rPr>
          <w:rFonts w:ascii="Palatino Linotype" w:hAnsi="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rsidR="00C55D0A" w:rsidRPr="005D3007" w:rsidRDefault="00C55D0A" w:rsidP="00C55D0A">
      <w:pPr>
        <w:spacing w:line="360" w:lineRule="auto"/>
        <w:ind w:right="49"/>
        <w:contextualSpacing/>
        <w:jc w:val="both"/>
        <w:rPr>
          <w:rFonts w:ascii="Palatino Linotype" w:hAnsi="Palatino Linotype"/>
          <w:lang w:val="es-ES_tradnl" w:eastAsia="es-ES"/>
        </w:rPr>
      </w:pPr>
    </w:p>
    <w:p w:rsidR="00C55D0A" w:rsidRPr="005D3007" w:rsidRDefault="00C55D0A" w:rsidP="00C55D0A">
      <w:pPr>
        <w:spacing w:line="360" w:lineRule="auto"/>
        <w:ind w:left="567" w:right="567"/>
        <w:contextualSpacing/>
        <w:jc w:val="both"/>
        <w:rPr>
          <w:rFonts w:ascii="Palatino Linotype" w:hAnsi="Palatino Linotype"/>
          <w:i/>
          <w:sz w:val="22"/>
          <w:lang w:val="es-ES_tradnl" w:eastAsia="es-ES"/>
        </w:rPr>
      </w:pPr>
      <w:r w:rsidRPr="005D3007">
        <w:rPr>
          <w:rFonts w:ascii="Palatino Linotype" w:hAnsi="Palatino Linotype"/>
          <w:i/>
          <w:sz w:val="22"/>
          <w:lang w:val="es-ES_tradnl" w:eastAsia="es-ES"/>
        </w:rPr>
        <w:t>“</w:t>
      </w:r>
      <w:r w:rsidRPr="005D3007">
        <w:rPr>
          <w:rFonts w:ascii="Palatino Linotype" w:hAnsi="Palatino Linotype"/>
          <w:b/>
          <w:i/>
          <w:sz w:val="22"/>
          <w:lang w:val="es-ES_tradnl" w:eastAsia="es-ES"/>
        </w:rPr>
        <w:t>Artículo 1.-</w:t>
      </w:r>
      <w:r w:rsidRPr="005D3007">
        <w:rPr>
          <w:rFonts w:ascii="Palatino Linotype" w:hAnsi="Palatino Linotype"/>
          <w:i/>
          <w:sz w:val="22"/>
          <w:lang w:val="es-ES_tradnl" w:eastAsia="es-ES"/>
        </w:rPr>
        <w:t xml:space="preserve"> </w:t>
      </w:r>
    </w:p>
    <w:p w:rsidR="00C55D0A" w:rsidRPr="005D3007" w:rsidRDefault="00C55D0A" w:rsidP="00C55D0A">
      <w:pPr>
        <w:spacing w:line="360" w:lineRule="auto"/>
        <w:ind w:left="567" w:right="567"/>
        <w:contextualSpacing/>
        <w:jc w:val="both"/>
        <w:rPr>
          <w:rFonts w:ascii="Palatino Linotype" w:hAnsi="Palatino Linotype"/>
          <w:i/>
          <w:sz w:val="22"/>
          <w:lang w:val="es-ES_tradnl" w:eastAsia="es-ES"/>
        </w:rPr>
      </w:pPr>
      <w:r w:rsidRPr="005D3007">
        <w:rPr>
          <w:rFonts w:ascii="Palatino Linotype" w:hAnsi="Palatino Linotype"/>
          <w:i/>
          <w:sz w:val="22"/>
          <w:lang w:val="es-ES_tradnl" w:eastAsia="es-ES"/>
        </w:rPr>
        <w:t>(…)</w:t>
      </w:r>
    </w:p>
    <w:p w:rsidR="00C55D0A" w:rsidRPr="005D3007" w:rsidRDefault="00C55D0A" w:rsidP="00C55D0A">
      <w:pPr>
        <w:spacing w:line="360" w:lineRule="auto"/>
        <w:ind w:left="567" w:right="567"/>
        <w:contextualSpacing/>
        <w:jc w:val="both"/>
        <w:rPr>
          <w:rFonts w:ascii="Palatino Linotype" w:hAnsi="Palatino Linotype"/>
          <w:i/>
          <w:sz w:val="22"/>
        </w:rPr>
      </w:pPr>
      <w:r w:rsidRPr="005D3007">
        <w:rPr>
          <w:rFonts w:ascii="Palatino Linotype" w:hAnsi="Palatino Linotype"/>
          <w:i/>
          <w:sz w:val="22"/>
          <w:lang w:val="es-ES_tradnl" w:eastAsia="es-ES"/>
        </w:rPr>
        <w:t>Todas las</w:t>
      </w:r>
      <w:r w:rsidRPr="005D3007">
        <w:rPr>
          <w:rFonts w:ascii="Palatino Linotype" w:hAnsi="Palatino Linotype"/>
          <w:sz w:val="22"/>
          <w:lang w:val="es-ES_tradnl" w:eastAsia="es-ES"/>
        </w:rPr>
        <w:t xml:space="preserve"> </w:t>
      </w:r>
      <w:r w:rsidRPr="005D3007">
        <w:rPr>
          <w:rFonts w:ascii="Palatino Linotype" w:hAnsi="Palatino Linotype"/>
          <w:i/>
          <w:sz w:val="22"/>
        </w:rPr>
        <w:t xml:space="preserve">autoridades, en el ámbito de sus competencias, tienen la obligación de promover, respetar, proteger y garantizar los derechos humanos de conformidad con los principios de universalidad, interdependencia, indivisibilidad y progresividad. En consecuencia, el </w:t>
      </w:r>
      <w:r w:rsidRPr="005D3007">
        <w:rPr>
          <w:rFonts w:ascii="Palatino Linotype" w:hAnsi="Palatino Linotype"/>
          <w:i/>
          <w:sz w:val="22"/>
        </w:rPr>
        <w:lastRenderedPageBreak/>
        <w:t>Estado deberá prevenir, investigar, sancionar y reparar las violaciones a los derechos humanos, en los términos que establezca la ley.</w:t>
      </w:r>
    </w:p>
    <w:p w:rsidR="00C55D0A" w:rsidRPr="005D3007" w:rsidRDefault="00C55D0A" w:rsidP="00C55D0A">
      <w:pPr>
        <w:spacing w:line="360" w:lineRule="auto"/>
        <w:ind w:left="567" w:right="567"/>
        <w:contextualSpacing/>
        <w:jc w:val="both"/>
        <w:rPr>
          <w:rFonts w:ascii="Palatino Linotype" w:hAnsi="Palatino Linotype"/>
          <w:sz w:val="22"/>
          <w:lang w:val="es-ES_tradnl" w:eastAsia="es-ES"/>
        </w:rPr>
      </w:pPr>
      <w:r w:rsidRPr="005D3007">
        <w:rPr>
          <w:rFonts w:ascii="Palatino Linotype" w:hAnsi="Palatino Linotype"/>
          <w:i/>
          <w:sz w:val="22"/>
        </w:rPr>
        <w:t>(…)</w:t>
      </w:r>
      <w:r w:rsidRPr="005D3007">
        <w:rPr>
          <w:rFonts w:ascii="Palatino Linotype" w:hAnsi="Palatino Linotype"/>
          <w:sz w:val="22"/>
          <w:lang w:val="es-ES_tradnl" w:eastAsia="es-ES"/>
        </w:rPr>
        <w:t>”.</w:t>
      </w:r>
    </w:p>
    <w:p w:rsidR="00C55D0A" w:rsidRPr="005D3007" w:rsidRDefault="00C55D0A" w:rsidP="00C55D0A">
      <w:pPr>
        <w:spacing w:line="360" w:lineRule="auto"/>
        <w:ind w:left="567" w:right="567"/>
        <w:contextualSpacing/>
        <w:jc w:val="both"/>
        <w:rPr>
          <w:rFonts w:ascii="Palatino Linotype" w:hAnsi="Palatino Linotype"/>
          <w:b/>
          <w:sz w:val="22"/>
          <w:lang w:val="es-ES_tradnl" w:eastAsia="es-ES"/>
        </w:rPr>
      </w:pPr>
      <w:r w:rsidRPr="005D3007">
        <w:rPr>
          <w:rFonts w:ascii="Palatino Linotype" w:hAnsi="Palatino Linotype"/>
          <w:b/>
          <w:i/>
          <w:sz w:val="22"/>
        </w:rPr>
        <w:t>(Énfasis Añadido)</w:t>
      </w:r>
    </w:p>
    <w:p w:rsidR="00C55D0A" w:rsidRPr="005D3007" w:rsidRDefault="00C55D0A" w:rsidP="00C55D0A">
      <w:pPr>
        <w:spacing w:line="360" w:lineRule="auto"/>
        <w:ind w:right="49"/>
        <w:contextualSpacing/>
        <w:jc w:val="both"/>
        <w:rPr>
          <w:rFonts w:ascii="Palatino Linotype" w:eastAsiaTheme="minorEastAsia" w:hAnsi="Palatino Linotype"/>
          <w:lang w:val="es-ES_tradnl" w:eastAsia="es-ES"/>
        </w:rPr>
      </w:pPr>
    </w:p>
    <w:p w:rsidR="00C55D0A" w:rsidRPr="005D3007" w:rsidRDefault="00C55D0A" w:rsidP="00C55D0A">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D3007">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rsidR="00C55D0A" w:rsidRPr="005D3007" w:rsidRDefault="00C55D0A" w:rsidP="00C55D0A">
      <w:pPr>
        <w:spacing w:line="360" w:lineRule="auto"/>
        <w:ind w:right="49"/>
        <w:contextualSpacing/>
        <w:jc w:val="both"/>
        <w:rPr>
          <w:rFonts w:ascii="Palatino Linotype" w:eastAsiaTheme="minorEastAsia" w:hAnsi="Palatino Linotype"/>
          <w:lang w:val="es-ES_tradnl" w:eastAsia="es-ES"/>
        </w:rPr>
      </w:pPr>
    </w:p>
    <w:p w:rsidR="00C55D0A" w:rsidRPr="005D3007" w:rsidRDefault="00C55D0A" w:rsidP="00C55D0A">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D3007">
        <w:rPr>
          <w:rFonts w:ascii="Palatino Linotype" w:eastAsiaTheme="minorEastAsia" w:hAnsi="Palatino Linotype"/>
          <w:lang w:val="es-ES_tradnl" w:eastAsia="es-ES"/>
        </w:rPr>
        <w:t xml:space="preserve">Así, conforme a la Constitución Política de las Estado Unidos Mexicanos </w:t>
      </w:r>
      <w:r w:rsidRPr="005D3007">
        <w:rPr>
          <w:rFonts w:ascii="Palatino Linotype" w:eastAsia="Calibri" w:hAnsi="Palatino Linotype"/>
          <w:lang w:val="es-ES_tradnl" w:eastAsia="es-ES"/>
        </w:rPr>
        <w:t>y la Constitución Política del Estado Libre y Soberano de México respectivamente</w:t>
      </w:r>
      <w:r w:rsidRPr="005D3007">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rsidR="00C55D0A" w:rsidRPr="005D3007" w:rsidRDefault="00C55D0A" w:rsidP="00C55D0A">
      <w:pPr>
        <w:spacing w:line="360" w:lineRule="auto"/>
        <w:ind w:right="49"/>
        <w:contextualSpacing/>
        <w:jc w:val="both"/>
        <w:rPr>
          <w:rFonts w:ascii="Palatino Linotype" w:eastAsiaTheme="minorEastAsia" w:hAnsi="Palatino Linotype"/>
          <w:lang w:val="es-ES_tradnl" w:eastAsia="es-ES"/>
        </w:rPr>
      </w:pPr>
    </w:p>
    <w:p w:rsidR="00C55D0A" w:rsidRPr="005D3007" w:rsidRDefault="00C55D0A" w:rsidP="00C55D0A">
      <w:pPr>
        <w:spacing w:line="360" w:lineRule="auto"/>
        <w:ind w:left="567" w:right="567"/>
        <w:jc w:val="center"/>
        <w:rPr>
          <w:rFonts w:ascii="Palatino Linotype" w:eastAsiaTheme="minorEastAsia" w:hAnsi="Palatino Linotype" w:cs="Arial"/>
          <w:b/>
          <w:bCs/>
          <w:i/>
          <w:sz w:val="22"/>
          <w:lang w:val="es-ES_tradnl" w:eastAsia="es-ES"/>
        </w:rPr>
      </w:pPr>
      <w:r w:rsidRPr="005D3007">
        <w:rPr>
          <w:rFonts w:ascii="Palatino Linotype" w:eastAsiaTheme="minorEastAsia" w:hAnsi="Palatino Linotype" w:cs="Arial"/>
          <w:b/>
          <w:bCs/>
          <w:i/>
          <w:sz w:val="22"/>
          <w:lang w:val="es-ES_tradnl" w:eastAsia="es-ES"/>
        </w:rPr>
        <w:t>Constitución Política de los Estados Unidos Mexicanos</w:t>
      </w:r>
    </w:p>
    <w:p w:rsidR="00C55D0A" w:rsidRPr="005D3007" w:rsidRDefault="00C55D0A" w:rsidP="00C55D0A">
      <w:pPr>
        <w:spacing w:line="360" w:lineRule="auto"/>
        <w:ind w:left="567" w:right="567"/>
        <w:jc w:val="both"/>
        <w:rPr>
          <w:rFonts w:ascii="Palatino Linotype" w:eastAsiaTheme="minorEastAsia" w:hAnsi="Palatino Linotype" w:cs="Arial"/>
          <w:b/>
          <w:bCs/>
          <w:i/>
          <w:sz w:val="22"/>
          <w:lang w:val="es-ES_tradnl" w:eastAsia="es-ES"/>
        </w:rPr>
      </w:pPr>
      <w:r w:rsidRPr="005D3007">
        <w:rPr>
          <w:rFonts w:ascii="Palatino Linotype" w:eastAsiaTheme="minorEastAsia" w:hAnsi="Palatino Linotype" w:cs="Arial"/>
          <w:b/>
          <w:bCs/>
          <w:i/>
          <w:sz w:val="22"/>
          <w:lang w:val="es-ES_tradnl" w:eastAsia="es-ES"/>
        </w:rPr>
        <w:t>“Artículo 6.</w:t>
      </w:r>
      <w:r w:rsidRPr="005D3007">
        <w:rPr>
          <w:rFonts w:ascii="Palatino Linotype" w:eastAsiaTheme="minorEastAsia" w:hAnsi="Palatino Linotype" w:cs="Arial"/>
          <w:bCs/>
          <w:i/>
          <w:sz w:val="22"/>
          <w:lang w:val="es-ES_tradnl" w:eastAsia="es-ES"/>
        </w:rPr>
        <w:t xml:space="preserve"> …</w:t>
      </w:r>
    </w:p>
    <w:p w:rsidR="00C55D0A" w:rsidRPr="005D3007" w:rsidRDefault="00C55D0A" w:rsidP="00C55D0A">
      <w:pPr>
        <w:spacing w:line="360" w:lineRule="auto"/>
        <w:ind w:left="567" w:right="567"/>
        <w:jc w:val="both"/>
        <w:rPr>
          <w:rFonts w:ascii="Palatino Linotype" w:eastAsiaTheme="minorEastAsia" w:hAnsi="Palatino Linotype" w:cs="Arial"/>
          <w:bCs/>
          <w:i/>
          <w:sz w:val="22"/>
          <w:lang w:val="es-ES_tradnl" w:eastAsia="es-ES"/>
        </w:rPr>
      </w:pPr>
      <w:r w:rsidRPr="005D3007">
        <w:rPr>
          <w:rFonts w:ascii="Palatino Linotype" w:eastAsiaTheme="minorEastAsia" w:hAnsi="Palatino Linotype" w:cs="Arial"/>
          <w:bCs/>
          <w:i/>
          <w:sz w:val="22"/>
          <w:lang w:val="es-ES_tradnl" w:eastAsia="es-ES"/>
        </w:rPr>
        <w:t>…</w:t>
      </w:r>
    </w:p>
    <w:p w:rsidR="00C55D0A" w:rsidRPr="005D3007" w:rsidRDefault="00C55D0A" w:rsidP="00C55D0A">
      <w:pPr>
        <w:spacing w:line="360" w:lineRule="auto"/>
        <w:ind w:left="567" w:right="567"/>
        <w:jc w:val="both"/>
        <w:rPr>
          <w:rFonts w:ascii="Palatino Linotype" w:eastAsiaTheme="minorEastAsia" w:hAnsi="Palatino Linotype" w:cs="Arial"/>
          <w:bCs/>
          <w:i/>
          <w:sz w:val="22"/>
          <w:lang w:val="es-ES_tradnl" w:eastAsia="es-ES"/>
        </w:rPr>
      </w:pPr>
      <w:r w:rsidRPr="005D3007">
        <w:rPr>
          <w:rFonts w:ascii="Palatino Linotype" w:eastAsiaTheme="minorEastAsia" w:hAnsi="Palatino Linotype" w:cs="Arial"/>
          <w:bCs/>
          <w:i/>
          <w:sz w:val="22"/>
          <w:lang w:val="es-ES_tradnl" w:eastAsia="es-ES"/>
        </w:rPr>
        <w:t>Para efectos de lo dispuesto en el presente artículo se observará lo siguiente:</w:t>
      </w:r>
    </w:p>
    <w:p w:rsidR="00C55D0A" w:rsidRPr="005D3007" w:rsidRDefault="00C55D0A" w:rsidP="00C55D0A">
      <w:pPr>
        <w:spacing w:line="360" w:lineRule="auto"/>
        <w:ind w:left="567" w:right="567"/>
        <w:jc w:val="both"/>
        <w:rPr>
          <w:rFonts w:ascii="Palatino Linotype" w:eastAsiaTheme="minorEastAsia" w:hAnsi="Palatino Linotype" w:cs="Arial"/>
          <w:b/>
          <w:bCs/>
          <w:i/>
          <w:sz w:val="22"/>
          <w:lang w:val="es-ES_tradnl" w:eastAsia="es-ES"/>
        </w:rPr>
      </w:pPr>
      <w:r w:rsidRPr="005D3007">
        <w:rPr>
          <w:rFonts w:ascii="Palatino Linotype" w:eastAsiaTheme="minorEastAsia" w:hAnsi="Palatino Linotype" w:cs="Arial"/>
          <w:b/>
          <w:bCs/>
          <w:i/>
          <w:sz w:val="22"/>
          <w:lang w:val="es-ES_tradnl" w:eastAsia="es-ES"/>
        </w:rPr>
        <w:t>A</w:t>
      </w:r>
      <w:r w:rsidRPr="005D3007">
        <w:rPr>
          <w:rFonts w:ascii="Palatino Linotype" w:eastAsiaTheme="minorEastAsia" w:hAnsi="Palatino Linotype" w:cs="Arial"/>
          <w:bCs/>
          <w:i/>
          <w:sz w:val="22"/>
          <w:lang w:val="es-ES_tradnl" w:eastAsia="es-ES"/>
        </w:rPr>
        <w:t xml:space="preserve">. </w:t>
      </w:r>
      <w:r w:rsidRPr="005D3007">
        <w:rPr>
          <w:rFonts w:ascii="Palatino Linotype" w:eastAsiaTheme="minorEastAsia" w:hAnsi="Palatino Linotype" w:cs="Arial"/>
          <w:b/>
          <w:bCs/>
          <w:i/>
          <w:sz w:val="22"/>
          <w:lang w:val="es-ES_tradnl" w:eastAsia="es-ES"/>
        </w:rPr>
        <w:t>Para el ejercicio del derecho de acceso a la información</w:t>
      </w:r>
      <w:r w:rsidRPr="005D3007">
        <w:rPr>
          <w:rFonts w:ascii="Palatino Linotype" w:eastAsiaTheme="minorEastAsia" w:hAnsi="Palatino Linotype" w:cs="Arial"/>
          <w:bCs/>
          <w:i/>
          <w:sz w:val="22"/>
          <w:lang w:val="es-ES_tradnl" w:eastAsia="es-ES"/>
        </w:rPr>
        <w:t xml:space="preserve">, la Federación y </w:t>
      </w:r>
      <w:r w:rsidRPr="005D3007">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rsidR="00C55D0A" w:rsidRPr="005D3007" w:rsidRDefault="00C55D0A" w:rsidP="00C55D0A">
      <w:pPr>
        <w:spacing w:line="360" w:lineRule="auto"/>
        <w:ind w:left="567" w:right="567"/>
        <w:jc w:val="both"/>
        <w:rPr>
          <w:rFonts w:ascii="Palatino Linotype" w:eastAsiaTheme="minorEastAsia" w:hAnsi="Palatino Linotype" w:cs="Arial"/>
          <w:bCs/>
          <w:i/>
          <w:sz w:val="22"/>
          <w:lang w:val="es-ES_tradnl" w:eastAsia="es-ES"/>
        </w:rPr>
      </w:pPr>
      <w:r w:rsidRPr="005D3007">
        <w:rPr>
          <w:rFonts w:ascii="Palatino Linotype" w:eastAsiaTheme="minorEastAsia" w:hAnsi="Palatino Linotype" w:cs="Arial"/>
          <w:b/>
          <w:bCs/>
          <w:i/>
          <w:sz w:val="22"/>
          <w:lang w:val="es-ES_tradnl" w:eastAsia="es-ES"/>
        </w:rPr>
        <w:t xml:space="preserve">I. </w:t>
      </w:r>
      <w:r w:rsidRPr="005D3007">
        <w:rPr>
          <w:rFonts w:ascii="Palatino Linotype" w:eastAsiaTheme="minorEastAsia" w:hAnsi="Palatino Linotype" w:cs="Arial"/>
          <w:b/>
          <w:bCs/>
          <w:i/>
          <w:sz w:val="22"/>
          <w:lang w:val="es-ES_tradnl" w:eastAsia="es-ES"/>
        </w:rPr>
        <w:tab/>
        <w:t>Toda la información en posesión de cualquier</w:t>
      </w:r>
      <w:r w:rsidRPr="005D3007">
        <w:rPr>
          <w:rFonts w:ascii="Palatino Linotype" w:eastAsiaTheme="minorEastAsia" w:hAnsi="Palatino Linotype" w:cs="Arial"/>
          <w:bCs/>
          <w:i/>
          <w:sz w:val="22"/>
          <w:lang w:val="es-ES_tradnl" w:eastAsia="es-ES"/>
        </w:rPr>
        <w:t xml:space="preserve"> </w:t>
      </w:r>
      <w:r w:rsidRPr="005D3007">
        <w:rPr>
          <w:rFonts w:ascii="Palatino Linotype" w:eastAsiaTheme="minorEastAsia" w:hAnsi="Palatino Linotype" w:cs="Arial"/>
          <w:b/>
          <w:bCs/>
          <w:i/>
          <w:sz w:val="22"/>
          <w:lang w:val="es-ES_tradnl" w:eastAsia="es-ES"/>
        </w:rPr>
        <w:t>autoridad</w:t>
      </w:r>
      <w:r w:rsidRPr="005D3007">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w:t>
      </w:r>
      <w:r w:rsidRPr="005D3007">
        <w:rPr>
          <w:rFonts w:ascii="Palatino Linotype" w:eastAsiaTheme="minorEastAsia" w:hAnsi="Palatino Linotype" w:cs="Arial"/>
          <w:bCs/>
          <w:i/>
          <w:sz w:val="22"/>
          <w:lang w:val="es-ES_tradnl" w:eastAsia="es-ES"/>
        </w:rPr>
        <w:lastRenderedPageBreak/>
        <w:t xml:space="preserve">políticos, fideicomisos y fondos públicos, así como de cualquier persona física, moral o sindicato que reciba y ejerza recursos públicos o realice actos de autoridad en el ámbito federal, estatal y </w:t>
      </w:r>
      <w:r w:rsidRPr="005D3007">
        <w:rPr>
          <w:rFonts w:ascii="Palatino Linotype" w:eastAsiaTheme="minorEastAsia" w:hAnsi="Palatino Linotype" w:cs="Arial"/>
          <w:b/>
          <w:bCs/>
          <w:i/>
          <w:sz w:val="22"/>
          <w:lang w:val="es-ES_tradnl" w:eastAsia="es-ES"/>
        </w:rPr>
        <w:t>municipal</w:t>
      </w:r>
      <w:r w:rsidRPr="005D3007">
        <w:rPr>
          <w:rFonts w:ascii="Palatino Linotype" w:eastAsiaTheme="minorEastAsia" w:hAnsi="Palatino Linotype" w:cs="Arial"/>
          <w:bCs/>
          <w:i/>
          <w:sz w:val="22"/>
          <w:lang w:val="es-ES_tradnl" w:eastAsia="es-ES"/>
        </w:rPr>
        <w:t xml:space="preserve">, </w:t>
      </w:r>
      <w:r w:rsidRPr="005D3007">
        <w:rPr>
          <w:rFonts w:ascii="Palatino Linotype" w:eastAsiaTheme="minorEastAsia" w:hAnsi="Palatino Linotype" w:cs="Arial"/>
          <w:b/>
          <w:bCs/>
          <w:i/>
          <w:sz w:val="22"/>
          <w:lang w:val="es-ES_tradnl" w:eastAsia="es-ES"/>
        </w:rPr>
        <w:t>es pública</w:t>
      </w:r>
      <w:r w:rsidRPr="005D3007">
        <w:rPr>
          <w:rFonts w:ascii="Palatino Linotype" w:eastAsiaTheme="minorEastAsia" w:hAnsi="Palatino Linotype" w:cs="Arial"/>
          <w:bCs/>
          <w:i/>
          <w:sz w:val="22"/>
          <w:lang w:val="es-ES_tradnl" w:eastAsia="es-ES"/>
        </w:rPr>
        <w:t xml:space="preserve"> y sólo podrá ser reservada temporalmente por razones de interés público y seguridad nacional, en los términos que fijen las leyes. </w:t>
      </w:r>
      <w:r w:rsidRPr="005D3007">
        <w:rPr>
          <w:rFonts w:ascii="Palatino Linotype" w:eastAsiaTheme="minorEastAsia" w:hAnsi="Palatino Linotype" w:cs="Arial"/>
          <w:b/>
          <w:bCs/>
          <w:i/>
          <w:sz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5D3007">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C55D0A" w:rsidRPr="005D3007" w:rsidRDefault="00C55D0A" w:rsidP="00C55D0A">
      <w:pPr>
        <w:pStyle w:val="Prrafodelista"/>
        <w:tabs>
          <w:tab w:val="left" w:pos="567"/>
        </w:tabs>
        <w:spacing w:line="360" w:lineRule="auto"/>
        <w:ind w:left="567" w:right="567"/>
        <w:jc w:val="both"/>
        <w:rPr>
          <w:rFonts w:ascii="Palatino Linotype" w:hAnsi="Palatino Linotype" w:cs="Arial"/>
          <w:b/>
          <w:bCs/>
          <w:i/>
        </w:rPr>
      </w:pPr>
      <w:r w:rsidRPr="005D3007">
        <w:rPr>
          <w:rFonts w:ascii="Palatino Linotype" w:hAnsi="Palatino Linotype" w:cs="Arial"/>
          <w:b/>
          <w:bCs/>
          <w:i/>
        </w:rPr>
        <w:t>(Énfasis añadido)</w:t>
      </w:r>
    </w:p>
    <w:p w:rsidR="00C55D0A" w:rsidRPr="005D3007" w:rsidRDefault="00C55D0A" w:rsidP="00C55D0A">
      <w:pPr>
        <w:pStyle w:val="Prrafodelista"/>
        <w:tabs>
          <w:tab w:val="left" w:pos="567"/>
        </w:tabs>
        <w:spacing w:line="360" w:lineRule="auto"/>
        <w:ind w:left="567" w:right="567"/>
        <w:jc w:val="both"/>
        <w:rPr>
          <w:rFonts w:ascii="Palatino Linotype" w:hAnsi="Palatino Linotype" w:cs="Arial"/>
          <w:b/>
          <w:bCs/>
          <w:i/>
        </w:rPr>
      </w:pPr>
    </w:p>
    <w:p w:rsidR="00C55D0A" w:rsidRPr="005D3007" w:rsidRDefault="00C55D0A" w:rsidP="00C55D0A">
      <w:pPr>
        <w:spacing w:line="360" w:lineRule="auto"/>
        <w:ind w:left="567" w:right="567"/>
        <w:jc w:val="center"/>
        <w:rPr>
          <w:rFonts w:ascii="Palatino Linotype" w:eastAsiaTheme="minorEastAsia" w:hAnsi="Palatino Linotype" w:cs="Arial"/>
          <w:b/>
          <w:bCs/>
          <w:i/>
          <w:sz w:val="22"/>
          <w:lang w:val="es-ES_tradnl" w:eastAsia="es-ES"/>
        </w:rPr>
      </w:pPr>
      <w:r w:rsidRPr="005D3007">
        <w:rPr>
          <w:rFonts w:ascii="Palatino Linotype" w:eastAsiaTheme="minorEastAsia" w:hAnsi="Palatino Linotype" w:cs="Arial"/>
          <w:b/>
          <w:bCs/>
          <w:i/>
          <w:sz w:val="22"/>
          <w:lang w:val="es-ES_tradnl" w:eastAsia="es-ES"/>
        </w:rPr>
        <w:t>Constitución Política del Estado Libre y Soberano de México</w:t>
      </w:r>
    </w:p>
    <w:p w:rsidR="00C55D0A" w:rsidRPr="005D3007" w:rsidRDefault="00C55D0A" w:rsidP="00C55D0A">
      <w:pPr>
        <w:spacing w:line="360" w:lineRule="auto"/>
        <w:ind w:left="567" w:right="567"/>
        <w:jc w:val="both"/>
        <w:rPr>
          <w:rFonts w:ascii="Palatino Linotype" w:eastAsiaTheme="minorEastAsia" w:hAnsi="Palatino Linotype" w:cs="Arial"/>
          <w:bCs/>
          <w:i/>
          <w:sz w:val="22"/>
          <w:lang w:val="es-ES_tradnl" w:eastAsia="es-ES"/>
        </w:rPr>
      </w:pPr>
      <w:r w:rsidRPr="005D3007">
        <w:rPr>
          <w:rFonts w:ascii="Palatino Linotype" w:eastAsiaTheme="minorEastAsia" w:hAnsi="Palatino Linotype" w:cs="Arial"/>
          <w:b/>
          <w:bCs/>
          <w:i/>
          <w:sz w:val="22"/>
          <w:lang w:val="es-ES_tradnl" w:eastAsia="es-ES"/>
        </w:rPr>
        <w:t>“Artículo 5</w:t>
      </w:r>
      <w:r w:rsidRPr="005D3007">
        <w:rPr>
          <w:rFonts w:ascii="Palatino Linotype" w:eastAsiaTheme="minorEastAsia" w:hAnsi="Palatino Linotype" w:cs="Arial"/>
          <w:bCs/>
          <w:i/>
          <w:sz w:val="22"/>
          <w:lang w:val="es-ES_tradnl" w:eastAsia="es-ES"/>
        </w:rPr>
        <w:t>.- …</w:t>
      </w:r>
    </w:p>
    <w:p w:rsidR="00C55D0A" w:rsidRPr="005D3007" w:rsidRDefault="00C55D0A" w:rsidP="00C55D0A">
      <w:pPr>
        <w:spacing w:line="360" w:lineRule="auto"/>
        <w:ind w:left="567" w:right="567"/>
        <w:jc w:val="both"/>
        <w:rPr>
          <w:rFonts w:ascii="Palatino Linotype" w:eastAsiaTheme="minorEastAsia" w:hAnsi="Palatino Linotype" w:cs="Arial"/>
          <w:bCs/>
          <w:i/>
          <w:sz w:val="22"/>
          <w:lang w:val="es-ES_tradnl" w:eastAsia="es-ES"/>
        </w:rPr>
      </w:pPr>
      <w:r w:rsidRPr="005D3007">
        <w:rPr>
          <w:rFonts w:ascii="Palatino Linotype" w:eastAsiaTheme="minorEastAsia" w:hAnsi="Palatino Linotype" w:cs="Arial"/>
          <w:bCs/>
          <w:i/>
          <w:sz w:val="22"/>
          <w:lang w:val="es-ES_tradnl" w:eastAsia="es-ES"/>
        </w:rPr>
        <w:t>…</w:t>
      </w:r>
    </w:p>
    <w:p w:rsidR="00C55D0A" w:rsidRPr="005D3007" w:rsidRDefault="00C55D0A" w:rsidP="00C55D0A">
      <w:pPr>
        <w:spacing w:line="360" w:lineRule="auto"/>
        <w:ind w:left="567" w:right="567"/>
        <w:jc w:val="both"/>
        <w:rPr>
          <w:rFonts w:ascii="Palatino Linotype" w:eastAsiaTheme="minorEastAsia" w:hAnsi="Palatino Linotype" w:cs="Arial"/>
          <w:bCs/>
          <w:i/>
          <w:sz w:val="22"/>
          <w:lang w:val="es-ES_tradnl" w:eastAsia="es-ES"/>
        </w:rPr>
      </w:pPr>
      <w:r w:rsidRPr="005D3007">
        <w:rPr>
          <w:rFonts w:ascii="Palatino Linotype" w:eastAsiaTheme="minorEastAsia" w:hAnsi="Palatino Linotype" w:cs="Arial"/>
          <w:b/>
          <w:bCs/>
          <w:i/>
          <w:sz w:val="22"/>
          <w:lang w:val="es-ES_tradnl" w:eastAsia="es-ES"/>
        </w:rPr>
        <w:t>El derecho a la información será garantizado por el Estado. La ley establecerá las previsiones que permitan asegurar la protección, el respeto y la difusión de este derecho</w:t>
      </w:r>
      <w:r w:rsidRPr="005D3007">
        <w:rPr>
          <w:rFonts w:ascii="Palatino Linotype" w:eastAsiaTheme="minorEastAsia" w:hAnsi="Palatino Linotype" w:cs="Arial"/>
          <w:bCs/>
          <w:i/>
          <w:sz w:val="22"/>
          <w:lang w:val="es-ES_tradnl" w:eastAsia="es-ES"/>
        </w:rPr>
        <w:t>.</w:t>
      </w:r>
    </w:p>
    <w:p w:rsidR="00C55D0A" w:rsidRPr="005D3007" w:rsidRDefault="00C55D0A" w:rsidP="00C55D0A">
      <w:pPr>
        <w:spacing w:line="360" w:lineRule="auto"/>
        <w:ind w:left="567" w:right="567"/>
        <w:jc w:val="both"/>
        <w:rPr>
          <w:rFonts w:ascii="Palatino Linotype" w:eastAsiaTheme="minorEastAsia" w:hAnsi="Palatino Linotype" w:cs="Arial"/>
          <w:bCs/>
          <w:i/>
          <w:sz w:val="22"/>
          <w:lang w:val="es-ES_tradnl" w:eastAsia="es-ES"/>
        </w:rPr>
      </w:pPr>
      <w:r w:rsidRPr="005D3007">
        <w:rPr>
          <w:rFonts w:ascii="Palatino Linotype" w:eastAsiaTheme="minorEastAsia" w:hAnsi="Palatino Linotype" w:cs="Arial"/>
          <w:bCs/>
          <w:i/>
          <w:sz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C55D0A" w:rsidRPr="005D3007" w:rsidRDefault="00C55D0A" w:rsidP="00C55D0A">
      <w:pPr>
        <w:spacing w:line="360" w:lineRule="auto"/>
        <w:ind w:left="567" w:right="567"/>
        <w:jc w:val="both"/>
        <w:rPr>
          <w:rFonts w:ascii="Palatino Linotype" w:eastAsiaTheme="minorEastAsia" w:hAnsi="Palatino Linotype" w:cs="Arial"/>
          <w:bCs/>
          <w:i/>
          <w:sz w:val="22"/>
          <w:lang w:val="es-ES_tradnl" w:eastAsia="es-ES"/>
        </w:rPr>
      </w:pPr>
      <w:r w:rsidRPr="005D3007">
        <w:rPr>
          <w:rFonts w:ascii="Palatino Linotype" w:eastAsiaTheme="minorEastAsia" w:hAnsi="Palatino Linotype" w:cs="Arial"/>
          <w:b/>
          <w:bCs/>
          <w:i/>
          <w:sz w:val="22"/>
          <w:lang w:val="es-ES_tradnl" w:eastAsia="es-ES"/>
        </w:rPr>
        <w:t>Este derecho se regirá por los principios y bases siguientes</w:t>
      </w:r>
      <w:r w:rsidRPr="005D3007">
        <w:rPr>
          <w:rFonts w:ascii="Palatino Linotype" w:eastAsiaTheme="minorEastAsia" w:hAnsi="Palatino Linotype" w:cs="Arial"/>
          <w:bCs/>
          <w:i/>
          <w:sz w:val="22"/>
          <w:lang w:val="es-ES_tradnl" w:eastAsia="es-ES"/>
        </w:rPr>
        <w:t>:</w:t>
      </w:r>
    </w:p>
    <w:p w:rsidR="00C55D0A" w:rsidRPr="005D3007" w:rsidRDefault="00C55D0A" w:rsidP="00C55D0A">
      <w:pPr>
        <w:spacing w:line="360" w:lineRule="auto"/>
        <w:ind w:left="567" w:right="567"/>
        <w:jc w:val="both"/>
        <w:rPr>
          <w:rFonts w:ascii="Palatino Linotype" w:eastAsiaTheme="minorEastAsia" w:hAnsi="Palatino Linotype" w:cs="Arial"/>
          <w:bCs/>
          <w:i/>
          <w:sz w:val="22"/>
          <w:lang w:val="es-ES_tradnl" w:eastAsia="es-ES"/>
        </w:rPr>
      </w:pPr>
      <w:r w:rsidRPr="005D3007">
        <w:rPr>
          <w:rFonts w:ascii="Palatino Linotype" w:eastAsiaTheme="minorEastAsia" w:hAnsi="Palatino Linotype" w:cs="Arial"/>
          <w:b/>
          <w:bCs/>
          <w:i/>
          <w:sz w:val="22"/>
          <w:lang w:val="es-ES_tradnl" w:eastAsia="es-ES"/>
        </w:rPr>
        <w:t>I. Toda la información en posesión de cualquier autoridad, entidad, órgano y organismos de los</w:t>
      </w:r>
      <w:r w:rsidRPr="005D3007">
        <w:rPr>
          <w:rFonts w:ascii="Palatino Linotype" w:eastAsiaTheme="minorEastAsia" w:hAnsi="Palatino Linotype" w:cs="Arial"/>
          <w:bCs/>
          <w:i/>
          <w:sz w:val="22"/>
          <w:lang w:val="es-ES_tradnl" w:eastAsia="es-ES"/>
        </w:rPr>
        <w:t xml:space="preserve"> Poderes Ejecutivo, Legislativo y Judicial, órganos autónomos, partidos políticos, fideicomisos y fondos públicos estatales y </w:t>
      </w:r>
      <w:r w:rsidRPr="005D3007">
        <w:rPr>
          <w:rFonts w:ascii="Palatino Linotype" w:eastAsiaTheme="minorEastAsia" w:hAnsi="Palatino Linotype" w:cs="Arial"/>
          <w:b/>
          <w:bCs/>
          <w:i/>
          <w:sz w:val="22"/>
          <w:lang w:val="es-ES_tradnl" w:eastAsia="es-ES"/>
        </w:rPr>
        <w:t>municipales</w:t>
      </w:r>
      <w:r w:rsidRPr="005D3007">
        <w:rPr>
          <w:rFonts w:ascii="Palatino Linotype" w:eastAsiaTheme="minorEastAsia" w:hAnsi="Palatino Linotype" w:cs="Arial"/>
          <w:bCs/>
          <w:i/>
          <w:sz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5D3007">
        <w:rPr>
          <w:rFonts w:ascii="Palatino Linotype" w:eastAsiaTheme="minorEastAsia" w:hAnsi="Palatino Linotype" w:cs="Arial"/>
          <w:b/>
          <w:bCs/>
          <w:i/>
          <w:sz w:val="22"/>
          <w:lang w:val="es-ES_tradnl" w:eastAsia="es-ES"/>
        </w:rPr>
        <w:t>es pública</w:t>
      </w:r>
      <w:r w:rsidRPr="005D3007">
        <w:rPr>
          <w:rFonts w:ascii="Palatino Linotype" w:eastAsiaTheme="minorEastAsia" w:hAnsi="Palatino Linotype" w:cs="Arial"/>
          <w:bCs/>
          <w:i/>
          <w:sz w:val="22"/>
          <w:lang w:val="es-ES_tradnl" w:eastAsia="es-ES"/>
        </w:rPr>
        <w:t xml:space="preserve"> y sólo podrá ser </w:t>
      </w:r>
      <w:r w:rsidRPr="005D3007">
        <w:rPr>
          <w:rFonts w:ascii="Palatino Linotype" w:eastAsiaTheme="minorEastAsia" w:hAnsi="Palatino Linotype" w:cs="Arial"/>
          <w:bCs/>
          <w:i/>
          <w:sz w:val="22"/>
          <w:lang w:val="es-ES_tradnl" w:eastAsia="es-ES"/>
        </w:rPr>
        <w:lastRenderedPageBreak/>
        <w:t xml:space="preserve">reservada temporalmente por razones previstas en la Constitución Política de los Estados Unidos Mexicanos de interés público y seguridad, en los términos que fijen las leyes. </w:t>
      </w:r>
      <w:r w:rsidRPr="005D3007">
        <w:rPr>
          <w:rFonts w:ascii="Palatino Linotype" w:eastAsiaTheme="minorEastAsia" w:hAnsi="Palatino Linotype" w:cs="Arial"/>
          <w:b/>
          <w:bCs/>
          <w:i/>
          <w:sz w:val="22"/>
          <w:lang w:val="es-ES_tradnl" w:eastAsia="es-ES"/>
        </w:rPr>
        <w:t>En la interpretación de este derecho deberá prevalecer el principio de máxima publicidad</w:t>
      </w:r>
      <w:r w:rsidRPr="005D3007">
        <w:rPr>
          <w:rFonts w:ascii="Palatino Linotype" w:eastAsiaTheme="minorEastAsia" w:hAnsi="Palatino Linotype" w:cs="Arial"/>
          <w:bCs/>
          <w:i/>
          <w:sz w:val="22"/>
          <w:lang w:val="es-ES_tradnl" w:eastAsia="es-ES"/>
        </w:rPr>
        <w:t xml:space="preserve">. </w:t>
      </w:r>
      <w:r w:rsidRPr="005D3007">
        <w:rPr>
          <w:rFonts w:ascii="Palatino Linotype" w:eastAsiaTheme="minorEastAsia" w:hAnsi="Palatino Linotype" w:cs="Arial"/>
          <w:b/>
          <w:bCs/>
          <w:i/>
          <w:sz w:val="22"/>
          <w:lang w:val="es-ES_tradnl" w:eastAsia="es-ES"/>
        </w:rPr>
        <w:t>Los sujetos obligados deberán documentar todo acto que derive del ejercicio de sus facultades, competencias o funciones</w:t>
      </w:r>
      <w:r w:rsidRPr="005D3007">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C55D0A" w:rsidRPr="005D3007" w:rsidRDefault="00C55D0A" w:rsidP="00C55D0A">
      <w:pPr>
        <w:pStyle w:val="Prrafodelista"/>
        <w:tabs>
          <w:tab w:val="left" w:pos="567"/>
        </w:tabs>
        <w:spacing w:line="360" w:lineRule="auto"/>
        <w:ind w:left="567" w:right="567"/>
        <w:jc w:val="both"/>
        <w:rPr>
          <w:rFonts w:ascii="Palatino Linotype" w:hAnsi="Palatino Linotype" w:cs="Arial"/>
          <w:b/>
          <w:bCs/>
          <w:i/>
        </w:rPr>
      </w:pPr>
      <w:r w:rsidRPr="005D3007">
        <w:rPr>
          <w:rFonts w:ascii="Palatino Linotype" w:hAnsi="Palatino Linotype" w:cs="Arial"/>
          <w:b/>
          <w:bCs/>
          <w:i/>
        </w:rPr>
        <w:t>(Énfasis añadido)</w:t>
      </w:r>
    </w:p>
    <w:p w:rsidR="00C55D0A" w:rsidRPr="005D3007" w:rsidRDefault="00C55D0A" w:rsidP="00C55D0A">
      <w:pPr>
        <w:spacing w:line="360" w:lineRule="auto"/>
        <w:ind w:right="49"/>
        <w:contextualSpacing/>
        <w:jc w:val="both"/>
        <w:rPr>
          <w:rFonts w:ascii="Palatino Linotype" w:eastAsiaTheme="minorEastAsia" w:hAnsi="Palatino Linotype"/>
          <w:lang w:val="es-ES_tradnl" w:eastAsia="es-ES"/>
        </w:rPr>
      </w:pPr>
    </w:p>
    <w:p w:rsidR="00C55D0A" w:rsidRPr="005D3007" w:rsidRDefault="00C55D0A" w:rsidP="00C55D0A">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D3007">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5D3007">
        <w:rPr>
          <w:rFonts w:ascii="Palatino Linotype" w:eastAsiaTheme="minorEastAsia" w:hAnsi="Palatino Linotype" w:cs="Arial"/>
          <w:i/>
          <w:lang w:val="es-ES_tradnl" w:eastAsia="es-ES"/>
        </w:rPr>
        <w:t>por los principios de simplicidad, rapidez gratuidad del procedimiento, auxilio y orientación a los particulares</w:t>
      </w:r>
      <w:r w:rsidRPr="005D3007">
        <w:rPr>
          <w:rFonts w:ascii="Palatino Linotype" w:eastAsiaTheme="minorEastAsia" w:hAnsi="Palatino Linotype" w:cs="Arial"/>
          <w:lang w:val="es-ES_tradnl" w:eastAsia="es-ES"/>
        </w:rPr>
        <w:t>, contemplando el derecho de las personas con discapacidad y hablantes de lengua indígena.</w:t>
      </w:r>
    </w:p>
    <w:p w:rsidR="00C55D0A" w:rsidRPr="005D3007" w:rsidRDefault="00C55D0A" w:rsidP="00C55D0A">
      <w:pPr>
        <w:spacing w:line="360" w:lineRule="auto"/>
        <w:ind w:right="49"/>
        <w:contextualSpacing/>
        <w:jc w:val="both"/>
        <w:rPr>
          <w:rFonts w:ascii="Palatino Linotype" w:eastAsiaTheme="minorEastAsia" w:hAnsi="Palatino Linotype"/>
          <w:lang w:val="es-ES_tradnl" w:eastAsia="es-ES"/>
        </w:rPr>
      </w:pPr>
    </w:p>
    <w:p w:rsidR="00C55D0A" w:rsidRPr="005D3007" w:rsidRDefault="00C55D0A" w:rsidP="00C55D0A">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D3007">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5D3007">
        <w:rPr>
          <w:rFonts w:ascii="Palatino Linotype" w:eastAsiaTheme="minorEastAsia" w:hAnsi="Palatino Linotype" w:cs="Arial"/>
          <w:i/>
          <w:lang w:val="es-ES_tradnl" w:eastAsia="es-ES"/>
        </w:rPr>
        <w:t>solicitudes de acceso a la información</w:t>
      </w:r>
      <w:r w:rsidRPr="005D3007">
        <w:rPr>
          <w:rFonts w:ascii="Palatino Linotype" w:eastAsiaTheme="minorEastAsia" w:hAnsi="Palatino Linotype" w:cs="Arial"/>
          <w:lang w:val="es-ES_tradnl" w:eastAsia="es-ES"/>
        </w:rPr>
        <w:t>.</w:t>
      </w:r>
    </w:p>
    <w:p w:rsidR="00C55D0A" w:rsidRPr="005D3007" w:rsidRDefault="00C55D0A" w:rsidP="00C55D0A">
      <w:pPr>
        <w:spacing w:line="360" w:lineRule="auto"/>
        <w:ind w:right="49"/>
        <w:contextualSpacing/>
        <w:jc w:val="both"/>
        <w:rPr>
          <w:rFonts w:ascii="Palatino Linotype" w:eastAsiaTheme="minorEastAsia" w:hAnsi="Palatino Linotype"/>
          <w:lang w:val="es-ES_tradnl" w:eastAsia="es-ES"/>
        </w:rPr>
      </w:pPr>
    </w:p>
    <w:p w:rsidR="00C55D0A" w:rsidRPr="005D3007" w:rsidRDefault="00C55D0A" w:rsidP="00C55D0A">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D3007">
        <w:rPr>
          <w:rFonts w:ascii="Palatino Linotype" w:eastAsiaTheme="minorEastAsia" w:hAnsi="Palatino Linotype" w:cs="Arial"/>
          <w:lang w:val="es-ES_tradnl" w:eastAsia="es-ES"/>
        </w:rPr>
        <w:t>Así entonces, se procede analizar, en primer lugar, si el SUJETO OBLIGADO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toda la información solicitada.</w:t>
      </w:r>
    </w:p>
    <w:p w:rsidR="00C55D0A" w:rsidRPr="005D3007" w:rsidRDefault="00C55D0A" w:rsidP="00C55D0A">
      <w:pPr>
        <w:spacing w:line="360" w:lineRule="auto"/>
        <w:ind w:right="49"/>
        <w:contextualSpacing/>
        <w:jc w:val="both"/>
        <w:rPr>
          <w:rFonts w:ascii="Palatino Linotype" w:eastAsiaTheme="minorEastAsia" w:hAnsi="Palatino Linotype" w:cs="Arial"/>
          <w:lang w:val="es-ES_tradnl" w:eastAsia="es-ES"/>
        </w:rPr>
      </w:pPr>
    </w:p>
    <w:p w:rsidR="00C55D0A" w:rsidRPr="005D3007" w:rsidRDefault="00C55D0A" w:rsidP="00C55D0A">
      <w:pPr>
        <w:pStyle w:val="Ttulo1"/>
        <w:spacing w:before="0" w:line="360" w:lineRule="auto"/>
        <w:rPr>
          <w:rFonts w:ascii="Palatino Linotype" w:hAnsi="Palatino Linotype"/>
          <w:b/>
          <w:color w:val="auto"/>
          <w:sz w:val="24"/>
          <w:szCs w:val="24"/>
        </w:rPr>
      </w:pPr>
      <w:bookmarkStart w:id="20" w:name="_Toc80812777"/>
      <w:bookmarkStart w:id="21" w:name="_Toc83301641"/>
      <w:r w:rsidRPr="005D3007">
        <w:rPr>
          <w:rFonts w:ascii="Palatino Linotype" w:hAnsi="Palatino Linotype"/>
          <w:b/>
          <w:color w:val="auto"/>
          <w:sz w:val="24"/>
          <w:szCs w:val="24"/>
        </w:rPr>
        <w:lastRenderedPageBreak/>
        <w:t>II. De la información solicitada y la respuesta del Sujeto Obligado.</w:t>
      </w:r>
      <w:bookmarkEnd w:id="20"/>
      <w:bookmarkEnd w:id="21"/>
    </w:p>
    <w:p w:rsidR="00C55D0A" w:rsidRPr="005D3007" w:rsidRDefault="00C55D0A" w:rsidP="00C55D0A">
      <w:pPr>
        <w:spacing w:line="360" w:lineRule="auto"/>
        <w:ind w:right="49"/>
        <w:contextualSpacing/>
        <w:jc w:val="both"/>
        <w:rPr>
          <w:rFonts w:ascii="Palatino Linotype" w:eastAsiaTheme="minorEastAsia" w:hAnsi="Palatino Linotype"/>
          <w:lang w:val="es-ES_tradnl" w:eastAsia="es-ES"/>
        </w:rPr>
      </w:pPr>
    </w:p>
    <w:p w:rsidR="00C55D0A" w:rsidRPr="005D3007" w:rsidRDefault="00C55D0A" w:rsidP="00C55D0A">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D3007">
        <w:rPr>
          <w:rFonts w:ascii="Palatino Linotype" w:eastAsia="Cambria" w:hAnsi="Palatino Linotype" w:cs="Arial"/>
        </w:rPr>
        <w:t xml:space="preserve">Se procede analizar el contenido íntegro de las actuaciones que obran en el expediente electrónico, y así este Órgano Garante dicte la resolución correspondiente, apegándose en todo momento al principio de máxima publicidad de acuerdo con lo establecido en el artículo 8 de la </w:t>
      </w:r>
      <w:r w:rsidRPr="005D3007">
        <w:rPr>
          <w:rFonts w:ascii="Palatino Linotype" w:eastAsia="Calibri" w:hAnsi="Palatino Linotype" w:cs="Arial"/>
          <w:lang w:val="es-ES"/>
        </w:rPr>
        <w:t>Ley de Transparencia y Acceso a la Información Pública del Estado de México y Municipios</w:t>
      </w:r>
      <w:r w:rsidRPr="005D3007">
        <w:rPr>
          <w:rFonts w:ascii="Palatino Linotype" w:hAnsi="Palatino Linotype" w:cs="Arial"/>
          <w:lang w:val="es-ES"/>
        </w:rPr>
        <w:t>.</w:t>
      </w:r>
    </w:p>
    <w:p w:rsidR="00C55D0A" w:rsidRPr="005D3007" w:rsidRDefault="00C55D0A" w:rsidP="00C55D0A">
      <w:pPr>
        <w:spacing w:line="360" w:lineRule="auto"/>
        <w:ind w:right="49"/>
        <w:contextualSpacing/>
        <w:jc w:val="both"/>
        <w:rPr>
          <w:rFonts w:ascii="Palatino Linotype" w:eastAsiaTheme="minorEastAsia" w:hAnsi="Palatino Linotype"/>
          <w:lang w:val="es-ES_tradnl" w:eastAsia="es-ES"/>
        </w:rPr>
      </w:pPr>
    </w:p>
    <w:p w:rsidR="00133A1F" w:rsidRPr="005D3007" w:rsidRDefault="00C55D0A" w:rsidP="00133A1F">
      <w:pPr>
        <w:numPr>
          <w:ilvl w:val="0"/>
          <w:numId w:val="1"/>
        </w:numPr>
        <w:spacing w:after="160" w:line="360" w:lineRule="auto"/>
        <w:ind w:left="0" w:right="49" w:firstLine="0"/>
        <w:contextualSpacing/>
        <w:jc w:val="both"/>
        <w:rPr>
          <w:rFonts w:ascii="Palatino Linotype" w:hAnsi="Palatino Linotype"/>
          <w:szCs w:val="22"/>
        </w:rPr>
      </w:pPr>
      <w:r w:rsidRPr="005D3007">
        <w:rPr>
          <w:rFonts w:ascii="Palatino Linotype" w:hAnsi="Palatino Linotype" w:cs="Arial"/>
          <w:lang w:val="es-ES"/>
        </w:rPr>
        <w:t xml:space="preserve">En este caso, </w:t>
      </w:r>
      <w:r w:rsidR="00133A1F" w:rsidRPr="005D3007">
        <w:rPr>
          <w:rFonts w:ascii="Palatino Linotype" w:eastAsia="MS Gothic" w:hAnsi="Palatino Linotype" w:cstheme="majorBidi"/>
          <w:lang w:eastAsia="es-ES"/>
        </w:rPr>
        <w:t xml:space="preserve">el particular solicitó </w:t>
      </w:r>
      <w:r w:rsidR="00133A1F" w:rsidRPr="005D3007">
        <w:rPr>
          <w:rFonts w:ascii="Palatino Linotype" w:hAnsi="Palatino Linotype"/>
          <w:color w:val="000000"/>
        </w:rPr>
        <w:t xml:space="preserve">saber el número de vehículos que se compraron para las diferentes áreas administrativas del ayuntamiento, así como las facturas para conocer el monto de la compra y la partida presupuestal que se devengo por dicha adquisición. </w:t>
      </w:r>
    </w:p>
    <w:p w:rsidR="00133A1F" w:rsidRPr="005D3007" w:rsidRDefault="00133A1F" w:rsidP="00133A1F">
      <w:pPr>
        <w:spacing w:line="360" w:lineRule="auto"/>
        <w:ind w:right="49"/>
        <w:contextualSpacing/>
        <w:jc w:val="both"/>
        <w:rPr>
          <w:rFonts w:ascii="Palatino Linotype" w:eastAsia="MS Gothic" w:hAnsi="Palatino Linotype" w:cstheme="majorBidi"/>
          <w:lang w:val="es-ES_tradnl" w:eastAsia="es-ES"/>
        </w:rPr>
      </w:pPr>
    </w:p>
    <w:p w:rsidR="00133A1F" w:rsidRPr="005D3007" w:rsidRDefault="00133A1F" w:rsidP="00133A1F">
      <w:pPr>
        <w:pStyle w:val="Prrafodelista"/>
        <w:numPr>
          <w:ilvl w:val="0"/>
          <w:numId w:val="1"/>
        </w:numPr>
        <w:spacing w:line="360" w:lineRule="auto"/>
        <w:ind w:left="0" w:right="113" w:firstLine="0"/>
        <w:jc w:val="both"/>
        <w:rPr>
          <w:rFonts w:ascii="Palatino Linotype" w:hAnsi="Palatino Linotype"/>
          <w:sz w:val="24"/>
          <w:szCs w:val="22"/>
        </w:rPr>
      </w:pPr>
      <w:r w:rsidRPr="005D3007">
        <w:rPr>
          <w:rFonts w:ascii="Palatino Linotype" w:eastAsia="MS Gothic" w:hAnsi="Palatino Linotype" w:cstheme="majorBidi"/>
          <w:iCs/>
          <w:sz w:val="24"/>
          <w:lang w:eastAsia="es-ES"/>
        </w:rPr>
        <w:t>En respuesta, el Sujeto Obligado adjuntó dos ligas electrónicas en las que señaló que se encontraba la información solicitada. Consecuentemente, inconforme con la respuesta, el hoy Recurrente interpuso recurso de revisión en el que señaló</w:t>
      </w:r>
      <w:r w:rsidR="008F1CFA" w:rsidRPr="005D3007">
        <w:rPr>
          <w:rFonts w:ascii="Palatino Linotype" w:eastAsia="MS Gothic" w:hAnsi="Palatino Linotype" w:cstheme="majorBidi"/>
          <w:iCs/>
          <w:sz w:val="24"/>
          <w:lang w:eastAsia="es-ES"/>
        </w:rPr>
        <w:t xml:space="preserve"> su inconformidad por que la información solicitada no se encontraba en las ligas electrónicas.</w:t>
      </w:r>
    </w:p>
    <w:p w:rsidR="00133A1F" w:rsidRPr="005D3007" w:rsidRDefault="00133A1F" w:rsidP="00133A1F">
      <w:pPr>
        <w:spacing w:after="160" w:line="360" w:lineRule="auto"/>
        <w:ind w:right="49"/>
        <w:contextualSpacing/>
        <w:jc w:val="both"/>
        <w:rPr>
          <w:rFonts w:ascii="Palatino Linotype" w:hAnsi="Palatino Linotype"/>
          <w:szCs w:val="22"/>
        </w:rPr>
      </w:pPr>
    </w:p>
    <w:p w:rsidR="007F236C" w:rsidRPr="005D3007" w:rsidRDefault="00C55D0A" w:rsidP="007F236C">
      <w:pPr>
        <w:numPr>
          <w:ilvl w:val="0"/>
          <w:numId w:val="1"/>
        </w:numPr>
        <w:spacing w:line="360" w:lineRule="auto"/>
        <w:ind w:left="0" w:right="49" w:firstLine="0"/>
        <w:contextualSpacing/>
        <w:jc w:val="both"/>
        <w:rPr>
          <w:rFonts w:ascii="Palatino Linotype" w:hAnsi="Palatino Linotype" w:cs="Tahoma"/>
          <w:bCs/>
          <w:iCs/>
          <w:lang w:val="es-ES" w:eastAsia="es-ES"/>
        </w:rPr>
      </w:pPr>
      <w:r w:rsidRPr="005D3007">
        <w:rPr>
          <w:rFonts w:ascii="Palatino Linotype" w:eastAsia="Calibri" w:hAnsi="Palatino Linotype"/>
          <w:iCs/>
          <w:color w:val="000000"/>
          <w:szCs w:val="22"/>
          <w:lang w:eastAsia="en-US"/>
        </w:rPr>
        <w:t>Puntualizado lo anterior, debemos recordar que el Sujeto Obligado manifestó que el soporte documental de la información solicitada se encontraba en las ligas electrónicas que remitió en respuesta, e</w:t>
      </w:r>
      <w:r w:rsidRPr="005D3007">
        <w:rPr>
          <w:rFonts w:ascii="Palatino Linotype" w:hAnsi="Palatino Linotype"/>
        </w:rPr>
        <w:t xml:space="preserve">n este supuesto se precisa que se obvia el análisis de la competencia por parte del </w:t>
      </w:r>
      <w:r w:rsidRPr="005D3007">
        <w:rPr>
          <w:rFonts w:ascii="Palatino Linotype" w:hAnsi="Palatino Linotype"/>
          <w:b/>
          <w:bCs/>
        </w:rPr>
        <w:t>SUJETO OBLIGADO</w:t>
      </w:r>
      <w:r w:rsidRPr="005D3007">
        <w:rPr>
          <w:rFonts w:ascii="Palatino Linotype" w:hAnsi="Palatino Linotype"/>
        </w:rPr>
        <w:t>, para generar, administrar o poseer la información solicitada, dado que éste ha asumido la misma, en razón de que en su respuesta admitió contar con dicha información.</w:t>
      </w:r>
    </w:p>
    <w:p w:rsidR="00C55D0A" w:rsidRPr="005D3007" w:rsidRDefault="00C55D0A" w:rsidP="00C55D0A">
      <w:pPr>
        <w:numPr>
          <w:ilvl w:val="0"/>
          <w:numId w:val="1"/>
        </w:numPr>
        <w:spacing w:after="160" w:line="360" w:lineRule="auto"/>
        <w:ind w:left="0" w:firstLine="0"/>
        <w:contextualSpacing/>
        <w:jc w:val="both"/>
        <w:rPr>
          <w:rFonts w:ascii="Palatino Linotype" w:eastAsia="Calibri" w:hAnsi="Palatino Linotype"/>
          <w:iCs/>
          <w:color w:val="000000"/>
          <w:szCs w:val="22"/>
          <w:lang w:eastAsia="en-US"/>
        </w:rPr>
      </w:pPr>
      <w:r w:rsidRPr="005D3007">
        <w:rPr>
          <w:rFonts w:ascii="Palatino Linotype" w:hAnsi="Palatino Linotype"/>
        </w:rPr>
        <w:lastRenderedPageBreak/>
        <w:t xml:space="preserve">En efecto, el hecho de que </w:t>
      </w:r>
      <w:r w:rsidRPr="005D3007">
        <w:rPr>
          <w:rFonts w:ascii="Palatino Linotype" w:hAnsi="Palatino Linotype"/>
          <w:b/>
          <w:bCs/>
        </w:rPr>
        <w:t>EL SUJETO OBLIGADO</w:t>
      </w:r>
      <w:r w:rsidRPr="005D3007">
        <w:rPr>
          <w:rFonts w:ascii="Palatino Linotype" w:hAnsi="Palatino Linotype"/>
        </w:rPr>
        <w:t xml:space="preserve"> haya admitido contar con la información pública solicitada, acepta que l</w:t>
      </w:r>
      <w:bookmarkStart w:id="22" w:name="_Hlk94787977"/>
      <w:r w:rsidRPr="005D3007">
        <w:rPr>
          <w:rFonts w:ascii="Palatino Linotype" w:hAnsi="Palatino Linotype"/>
        </w:rPr>
        <w:t>a genera, posee y administra, en ejercicio de sus funciones</w:t>
      </w:r>
      <w:bookmarkEnd w:id="22"/>
      <w:r w:rsidRPr="005D3007">
        <w:rPr>
          <w:rFonts w:ascii="Palatino Linotype" w:hAnsi="Palatino Linotype"/>
        </w:rPr>
        <w:t xml:space="preserve"> de derecho público, motivo por el cual se actualiza el supuesto jurídico, previsto en el artículo 12 de la Ley de Transparencia y Acceso a la Información Pública del Estado de México y Municipios:</w:t>
      </w:r>
    </w:p>
    <w:p w:rsidR="00C0101A" w:rsidRPr="005D3007" w:rsidRDefault="00C0101A" w:rsidP="00C0101A">
      <w:pPr>
        <w:spacing w:after="160" w:line="360" w:lineRule="auto"/>
        <w:contextualSpacing/>
        <w:jc w:val="both"/>
        <w:rPr>
          <w:rFonts w:ascii="Palatino Linotype" w:eastAsia="Calibri" w:hAnsi="Palatino Linotype"/>
          <w:iCs/>
          <w:color w:val="000000"/>
          <w:szCs w:val="22"/>
          <w:lang w:eastAsia="en-US"/>
        </w:rPr>
      </w:pPr>
    </w:p>
    <w:p w:rsidR="00C55D0A" w:rsidRPr="005D3007" w:rsidRDefault="00C55D0A" w:rsidP="00C55D0A">
      <w:pPr>
        <w:ind w:left="851" w:right="902"/>
        <w:jc w:val="both"/>
        <w:rPr>
          <w:rFonts w:ascii="Palatino Linotype" w:hAnsi="Palatino Linotype"/>
          <w:i/>
          <w:iCs/>
          <w:sz w:val="22"/>
          <w:szCs w:val="22"/>
        </w:rPr>
      </w:pPr>
      <w:r w:rsidRPr="005D3007">
        <w:rPr>
          <w:rFonts w:ascii="Palatino Linotype" w:hAnsi="Palatino Linotype"/>
          <w:i/>
          <w:iCs/>
          <w:sz w:val="22"/>
          <w:szCs w:val="22"/>
        </w:rPr>
        <w:t>“</w:t>
      </w:r>
      <w:r w:rsidRPr="005D3007">
        <w:rPr>
          <w:rFonts w:ascii="Palatino Linotype" w:hAnsi="Palatino Linotype"/>
          <w:b/>
          <w:bCs/>
          <w:i/>
          <w:iCs/>
          <w:sz w:val="22"/>
          <w:szCs w:val="22"/>
        </w:rPr>
        <w:t>Artículo 12.</w:t>
      </w:r>
      <w:r w:rsidRPr="005D3007">
        <w:rPr>
          <w:rFonts w:ascii="Palatino Linotype" w:hAnsi="Palatino Linotype"/>
          <w:i/>
          <w:iCs/>
          <w:sz w:val="22"/>
          <w:szCs w:val="22"/>
        </w:rPr>
        <w:t> Quienes generen, recopilen, administren, manejen, procesen, archiven o conserven información pública serán responsables de la misma en los términos de las disposiciones jurídicas aplicables.</w:t>
      </w:r>
    </w:p>
    <w:p w:rsidR="00C55D0A" w:rsidRPr="005D3007" w:rsidRDefault="00C55D0A" w:rsidP="00C55D0A">
      <w:pPr>
        <w:ind w:left="851" w:right="902"/>
        <w:jc w:val="both"/>
        <w:rPr>
          <w:rFonts w:ascii="Palatino Linotype" w:hAnsi="Palatino Linotype"/>
          <w:i/>
          <w:iCs/>
          <w:sz w:val="22"/>
          <w:szCs w:val="22"/>
        </w:rPr>
      </w:pPr>
    </w:p>
    <w:p w:rsidR="00C55D0A" w:rsidRPr="005D3007" w:rsidRDefault="00C55D0A" w:rsidP="00C55D0A">
      <w:pPr>
        <w:ind w:left="851" w:right="902"/>
        <w:jc w:val="both"/>
        <w:rPr>
          <w:rFonts w:ascii="Palatino Linotype" w:hAnsi="Palatino Linotype"/>
          <w:i/>
          <w:iCs/>
          <w:sz w:val="22"/>
          <w:szCs w:val="22"/>
        </w:rPr>
      </w:pPr>
      <w:r w:rsidRPr="005D3007">
        <w:rPr>
          <w:rFonts w:ascii="Palatino Linotype" w:hAnsi="Palatino Linotype"/>
          <w:i/>
          <w:iCs/>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C55D0A" w:rsidRPr="005D3007" w:rsidRDefault="00C55D0A" w:rsidP="00C55D0A">
      <w:pPr>
        <w:spacing w:after="160" w:line="360" w:lineRule="auto"/>
        <w:contextualSpacing/>
        <w:jc w:val="both"/>
        <w:rPr>
          <w:rFonts w:ascii="Palatino Linotype" w:eastAsia="Calibri" w:hAnsi="Palatino Linotype"/>
          <w:iCs/>
          <w:color w:val="000000"/>
          <w:szCs w:val="22"/>
          <w:lang w:eastAsia="en-US"/>
        </w:rPr>
      </w:pPr>
    </w:p>
    <w:p w:rsidR="004114D9" w:rsidRPr="005D3007" w:rsidRDefault="004114D9" w:rsidP="00C55D0A">
      <w:pPr>
        <w:spacing w:after="160" w:line="360" w:lineRule="auto"/>
        <w:contextualSpacing/>
        <w:jc w:val="both"/>
        <w:rPr>
          <w:rFonts w:ascii="Palatino Linotype" w:eastAsia="Calibri" w:hAnsi="Palatino Linotype"/>
          <w:b/>
          <w:iCs/>
          <w:color w:val="000000"/>
          <w:szCs w:val="22"/>
          <w:lang w:eastAsia="en-US"/>
        </w:rPr>
      </w:pPr>
      <w:r w:rsidRPr="005D3007">
        <w:rPr>
          <w:rFonts w:ascii="Palatino Linotype" w:eastAsia="Calibri" w:hAnsi="Palatino Linotype"/>
          <w:b/>
          <w:iCs/>
          <w:color w:val="000000"/>
          <w:szCs w:val="22"/>
          <w:lang w:eastAsia="en-US"/>
        </w:rPr>
        <w:t>(AQUÍ SE ELIMINÓ EL PÁRRAFO 33 ACTOS CONSENTIDOS.)</w:t>
      </w:r>
    </w:p>
    <w:p w:rsidR="00C0101A" w:rsidRPr="005D3007" w:rsidRDefault="00C55D0A" w:rsidP="00C0101A">
      <w:pPr>
        <w:numPr>
          <w:ilvl w:val="0"/>
          <w:numId w:val="1"/>
        </w:numPr>
        <w:spacing w:after="160" w:line="360" w:lineRule="auto"/>
        <w:ind w:left="0" w:firstLine="0"/>
        <w:contextualSpacing/>
        <w:jc w:val="both"/>
        <w:rPr>
          <w:rFonts w:ascii="Palatino Linotype" w:eastAsia="Calibri" w:hAnsi="Palatino Linotype"/>
          <w:iCs/>
          <w:color w:val="000000"/>
          <w:szCs w:val="22"/>
          <w:lang w:eastAsia="en-US"/>
        </w:rPr>
      </w:pPr>
      <w:r w:rsidRPr="005D3007">
        <w:rPr>
          <w:rFonts w:ascii="Palatino Linotype" w:hAnsi="Palatino Linotype"/>
        </w:rPr>
        <w:t>Así, el estudio de la naturaleza jurídica de la información pública solicitada, tiene por objeto determinar si ésta la genera, posee o administra </w:t>
      </w:r>
      <w:r w:rsidRPr="005D3007">
        <w:rPr>
          <w:rFonts w:ascii="Palatino Linotype" w:hAnsi="Palatino Linotype"/>
          <w:b/>
          <w:bCs/>
        </w:rPr>
        <w:t>EL SUJETO OBLIGADO</w:t>
      </w:r>
      <w:r w:rsidRPr="005D3007">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C0101A" w:rsidRPr="005D3007" w:rsidRDefault="00C0101A" w:rsidP="00C0101A">
      <w:pPr>
        <w:spacing w:after="160" w:line="360" w:lineRule="auto"/>
        <w:contextualSpacing/>
        <w:jc w:val="both"/>
        <w:rPr>
          <w:rFonts w:ascii="Palatino Linotype" w:eastAsia="Calibri" w:hAnsi="Palatino Linotype"/>
          <w:iCs/>
          <w:color w:val="000000"/>
          <w:szCs w:val="22"/>
          <w:lang w:eastAsia="en-US"/>
        </w:rPr>
      </w:pPr>
    </w:p>
    <w:p w:rsidR="00C0101A" w:rsidRPr="005D3007" w:rsidRDefault="00C0101A" w:rsidP="00C0101A">
      <w:pPr>
        <w:pStyle w:val="Prrafodelista"/>
        <w:numPr>
          <w:ilvl w:val="0"/>
          <w:numId w:val="10"/>
        </w:numPr>
        <w:spacing w:line="360" w:lineRule="auto"/>
        <w:jc w:val="both"/>
        <w:rPr>
          <w:rFonts w:ascii="Palatino Linotype" w:hAnsi="Palatino Linotype" w:cs="Arial"/>
          <w:b/>
          <w:sz w:val="24"/>
        </w:rPr>
      </w:pPr>
      <w:r w:rsidRPr="005D3007">
        <w:rPr>
          <w:rFonts w:ascii="Palatino Linotype" w:hAnsi="Palatino Linotype" w:cs="Arial"/>
          <w:b/>
          <w:sz w:val="24"/>
        </w:rPr>
        <w:t>De las facturas.</w:t>
      </w:r>
    </w:p>
    <w:p w:rsidR="00C0101A" w:rsidRPr="005D3007" w:rsidRDefault="00C0101A" w:rsidP="00C0101A">
      <w:pPr>
        <w:pStyle w:val="Prrafodelista"/>
        <w:tabs>
          <w:tab w:val="left" w:pos="567"/>
        </w:tabs>
        <w:spacing w:line="360" w:lineRule="auto"/>
        <w:ind w:left="0"/>
        <w:jc w:val="both"/>
        <w:rPr>
          <w:rFonts w:ascii="Palatino Linotype" w:hAnsi="Palatino Linotype" w:cs="Arial"/>
          <w:b/>
        </w:rPr>
      </w:pPr>
    </w:p>
    <w:p w:rsidR="00C0101A" w:rsidRPr="005D3007" w:rsidRDefault="00C0101A" w:rsidP="00C0101A">
      <w:pPr>
        <w:pStyle w:val="Prrafodelista"/>
        <w:numPr>
          <w:ilvl w:val="0"/>
          <w:numId w:val="1"/>
        </w:numPr>
        <w:tabs>
          <w:tab w:val="left" w:pos="567"/>
        </w:tabs>
        <w:spacing w:line="360" w:lineRule="auto"/>
        <w:ind w:left="0" w:firstLine="0"/>
        <w:jc w:val="both"/>
        <w:rPr>
          <w:rFonts w:ascii="Palatino Linotype" w:hAnsi="Palatino Linotype" w:cs="Arial"/>
          <w:sz w:val="24"/>
        </w:rPr>
      </w:pPr>
      <w:r w:rsidRPr="005D3007">
        <w:rPr>
          <w:rFonts w:ascii="Palatino Linotype" w:hAnsi="Palatino Linotype" w:cs="Arial"/>
          <w:sz w:val="24"/>
        </w:rPr>
        <w:lastRenderedPageBreak/>
        <w:t xml:space="preserve">Expuestas las posturas de las partes, se procede al análisis del agravio hecho valer por el </w:t>
      </w:r>
      <w:r w:rsidRPr="005D3007">
        <w:rPr>
          <w:rFonts w:ascii="Palatino Linotype" w:hAnsi="Palatino Linotype" w:cs="Arial"/>
          <w:b/>
          <w:sz w:val="24"/>
        </w:rPr>
        <w:t>RECURRENTE</w:t>
      </w:r>
      <w:r w:rsidRPr="005D3007">
        <w:rPr>
          <w:rFonts w:ascii="Palatino Linotype" w:hAnsi="Palatino Linotype" w:cs="Arial"/>
          <w:sz w:val="24"/>
        </w:rPr>
        <w:t xml:space="preserve">; en este sentido, </w:t>
      </w:r>
      <w:r w:rsidRPr="005D3007">
        <w:rPr>
          <w:rFonts w:ascii="Palatino Linotype" w:eastAsia="Palatino Linotype" w:hAnsi="Palatino Linotype" w:cs="Palatino Linotype"/>
          <w:sz w:val="24"/>
        </w:rPr>
        <w:t xml:space="preserve">por cuanto hace a las facturas, materia de la solicitud, es de mencionar que el Glosario de Términos Hacendarios que emite el Instituto Hacendario del Estado de México, define el término </w:t>
      </w:r>
      <w:r w:rsidRPr="005D3007">
        <w:rPr>
          <w:rFonts w:ascii="Palatino Linotype" w:eastAsia="Palatino Linotype" w:hAnsi="Palatino Linotype" w:cs="Palatino Linotype"/>
          <w:b/>
          <w:sz w:val="24"/>
        </w:rPr>
        <w:t>“factura”</w:t>
      </w:r>
      <w:r w:rsidRPr="005D3007">
        <w:rPr>
          <w:rFonts w:ascii="Palatino Linotype" w:eastAsia="Palatino Linotype" w:hAnsi="Palatino Linotype" w:cs="Palatino Linotype"/>
          <w:sz w:val="24"/>
        </w:rPr>
        <w:t xml:space="preserve"> como el documento fiscal que emite la persona física o moral para comprobar la venta o adquisición de un bien y/o servicio.</w:t>
      </w:r>
    </w:p>
    <w:p w:rsidR="00C0101A" w:rsidRPr="005D3007" w:rsidRDefault="00C0101A" w:rsidP="00C0101A">
      <w:pPr>
        <w:spacing w:line="360" w:lineRule="auto"/>
        <w:rPr>
          <w:rFonts w:ascii="Palatino Linotype" w:eastAsia="Palatino Linotype" w:hAnsi="Palatino Linotype" w:cs="Palatino Linotype"/>
          <w:sz w:val="28"/>
        </w:rPr>
      </w:pPr>
    </w:p>
    <w:p w:rsidR="00C0101A" w:rsidRPr="005D3007" w:rsidRDefault="00C0101A" w:rsidP="00C0101A">
      <w:pPr>
        <w:pStyle w:val="Prrafodelista"/>
        <w:numPr>
          <w:ilvl w:val="0"/>
          <w:numId w:val="1"/>
        </w:numPr>
        <w:spacing w:line="360" w:lineRule="auto"/>
        <w:ind w:left="0" w:firstLine="0"/>
        <w:jc w:val="both"/>
        <w:rPr>
          <w:rFonts w:ascii="Palatino Linotype" w:eastAsia="Palatino Linotype" w:hAnsi="Palatino Linotype" w:cs="Palatino Linotype"/>
          <w:sz w:val="24"/>
        </w:rPr>
      </w:pPr>
      <w:r w:rsidRPr="005D3007">
        <w:rPr>
          <w:rFonts w:ascii="Palatino Linotype" w:eastAsia="Palatino Linotype" w:hAnsi="Palatino Linotype" w:cs="Palatino Linotype"/>
          <w:sz w:val="24"/>
        </w:rPr>
        <w:t>Así, las facturas o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w:t>
      </w:r>
    </w:p>
    <w:p w:rsidR="00C0101A" w:rsidRPr="005D3007" w:rsidRDefault="00C0101A" w:rsidP="00C0101A">
      <w:pPr>
        <w:spacing w:line="360" w:lineRule="auto"/>
        <w:jc w:val="both"/>
        <w:rPr>
          <w:rFonts w:ascii="Palatino Linotype" w:eastAsia="Palatino Linotype" w:hAnsi="Palatino Linotype" w:cs="Palatino Linotype"/>
          <w:sz w:val="28"/>
        </w:rPr>
      </w:pPr>
    </w:p>
    <w:p w:rsidR="00C0101A" w:rsidRPr="005D3007" w:rsidRDefault="00C0101A" w:rsidP="00C0101A">
      <w:pPr>
        <w:pStyle w:val="Prrafodelista"/>
        <w:numPr>
          <w:ilvl w:val="0"/>
          <w:numId w:val="1"/>
        </w:numPr>
        <w:spacing w:line="360" w:lineRule="auto"/>
        <w:ind w:left="0" w:firstLine="0"/>
        <w:jc w:val="both"/>
        <w:rPr>
          <w:rFonts w:ascii="Palatino Linotype" w:eastAsia="Palatino Linotype" w:hAnsi="Palatino Linotype" w:cs="Palatino Linotype"/>
          <w:sz w:val="24"/>
        </w:rPr>
      </w:pPr>
      <w:r w:rsidRPr="005D3007">
        <w:rPr>
          <w:rFonts w:ascii="Palatino Linotype" w:eastAsia="Palatino Linotype" w:hAnsi="Palatino Linotype" w:cs="Palatino Linotype"/>
          <w:sz w:val="24"/>
        </w:rPr>
        <w:t xml:space="preserve">Aunado a ello, los artículos 342, 343, 344 y 345 del Código Financiero del Estado de México y Municipios, disponen </w:t>
      </w:r>
      <w:r w:rsidRPr="005D3007">
        <w:rPr>
          <w:rFonts w:ascii="Palatino Linotype" w:eastAsia="Palatino Linotype" w:hAnsi="Palatino Linotype" w:cs="Palatino Linotype"/>
          <w:b/>
          <w:sz w:val="24"/>
        </w:rPr>
        <w:t xml:space="preserve">el sistema y las políticas que deben seguirse para llevar el registro contable y presupuestal de las operaciones financieras, </w:t>
      </w:r>
      <w:r w:rsidRPr="005D3007">
        <w:rPr>
          <w:rFonts w:ascii="Palatino Linotype" w:eastAsia="Palatino Linotype" w:hAnsi="Palatino Linotype" w:cs="Palatino Linotype"/>
          <w:sz w:val="24"/>
        </w:rPr>
        <w:t>en los siguientes términos:</w:t>
      </w:r>
    </w:p>
    <w:p w:rsidR="00C0101A" w:rsidRPr="005D3007" w:rsidRDefault="00C0101A" w:rsidP="00C0101A">
      <w:pPr>
        <w:spacing w:line="360" w:lineRule="auto"/>
        <w:rPr>
          <w:rFonts w:ascii="Palatino Linotype" w:eastAsia="Palatino Linotype" w:hAnsi="Palatino Linotype" w:cs="Palatino Linotype"/>
        </w:rPr>
      </w:pPr>
    </w:p>
    <w:p w:rsidR="00C0101A" w:rsidRPr="005D3007" w:rsidRDefault="00C0101A" w:rsidP="00C0101A">
      <w:pPr>
        <w:pStyle w:val="Prrafodelista"/>
        <w:ind w:left="644" w:right="862"/>
        <w:jc w:val="both"/>
        <w:rPr>
          <w:rFonts w:ascii="Palatino Linotype" w:eastAsia="Palatino Linotype" w:hAnsi="Palatino Linotype" w:cs="Palatino Linotype"/>
          <w:i/>
        </w:rPr>
      </w:pPr>
      <w:r w:rsidRPr="005D3007">
        <w:rPr>
          <w:rFonts w:ascii="Palatino Linotype" w:eastAsia="Palatino Linotype" w:hAnsi="Palatino Linotype" w:cs="Palatino Linotype"/>
          <w:i/>
        </w:rPr>
        <w:t>“</w:t>
      </w:r>
      <w:r w:rsidRPr="005D3007">
        <w:rPr>
          <w:rFonts w:ascii="Palatino Linotype" w:eastAsia="Palatino Linotype" w:hAnsi="Palatino Linotype" w:cs="Palatino Linotype"/>
          <w:b/>
          <w:i/>
        </w:rPr>
        <w:t>Artículo 342.-</w:t>
      </w:r>
      <w:r w:rsidRPr="005D3007">
        <w:rPr>
          <w:rFonts w:ascii="Palatino Linotype" w:eastAsia="Palatino Linotype" w:hAnsi="Palatino Linotype" w:cs="Palatino Linotype"/>
          <w:i/>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w:t>
      </w:r>
    </w:p>
    <w:p w:rsidR="00C0101A" w:rsidRPr="005D3007" w:rsidRDefault="00C0101A" w:rsidP="00C0101A">
      <w:pPr>
        <w:pStyle w:val="Prrafodelista"/>
        <w:ind w:left="644" w:right="862"/>
        <w:jc w:val="both"/>
        <w:rPr>
          <w:rFonts w:ascii="Palatino Linotype" w:eastAsia="Palatino Linotype" w:hAnsi="Palatino Linotype" w:cs="Palatino Linotype"/>
          <w:i/>
        </w:rPr>
      </w:pPr>
    </w:p>
    <w:p w:rsidR="00C0101A" w:rsidRPr="005D3007" w:rsidRDefault="00C0101A" w:rsidP="00C0101A">
      <w:pPr>
        <w:pStyle w:val="Prrafodelista"/>
        <w:ind w:left="644" w:right="862"/>
        <w:jc w:val="both"/>
        <w:rPr>
          <w:rFonts w:ascii="Palatino Linotype" w:eastAsia="Palatino Linotype" w:hAnsi="Palatino Linotype" w:cs="Palatino Linotype"/>
          <w:i/>
        </w:rPr>
      </w:pPr>
      <w:r w:rsidRPr="005D3007">
        <w:rPr>
          <w:rFonts w:ascii="Palatino Linotype" w:eastAsia="Palatino Linotype" w:hAnsi="Palatino Linotype" w:cs="Palatino Linotype"/>
          <w:b/>
          <w:i/>
        </w:rPr>
        <w:t>En el caso de los municipios,</w:t>
      </w:r>
      <w:r w:rsidRPr="005D3007">
        <w:rPr>
          <w:rFonts w:ascii="Palatino Linotype" w:eastAsia="Palatino Linotype" w:hAnsi="Palatino Linotype" w:cs="Palatino Linotype"/>
          <w:i/>
        </w:rPr>
        <w:t xml:space="preserve"> el registro a que se refiere el párrafo anterior, se realizará conforme al sistema y a las disposiciones en materia de </w:t>
      </w:r>
      <w:r w:rsidRPr="005D3007">
        <w:rPr>
          <w:rFonts w:ascii="Palatino Linotype" w:eastAsia="Palatino Linotype" w:hAnsi="Palatino Linotype" w:cs="Palatino Linotype"/>
          <w:b/>
          <w:i/>
        </w:rPr>
        <w:t xml:space="preserve">planeación, </w:t>
      </w:r>
      <w:r w:rsidRPr="005D3007">
        <w:rPr>
          <w:rFonts w:ascii="Palatino Linotype" w:eastAsia="Palatino Linotype" w:hAnsi="Palatino Linotype" w:cs="Palatino Linotype"/>
          <w:b/>
          <w:i/>
        </w:rPr>
        <w:lastRenderedPageBreak/>
        <w:t>programación, presupuestación, evaluación y contabilidad gubernamental</w:t>
      </w:r>
      <w:r w:rsidRPr="005D3007">
        <w:rPr>
          <w:rFonts w:ascii="Palatino Linotype" w:eastAsia="Palatino Linotype" w:hAnsi="Palatino Linotype" w:cs="Palatino Linotype"/>
          <w:i/>
        </w:rPr>
        <w:t>, que se aprueben en el marco del Sistema de Coordinación Hacendaria del Estado de México.</w:t>
      </w:r>
    </w:p>
    <w:p w:rsidR="00C0101A" w:rsidRPr="005D3007" w:rsidRDefault="00C0101A" w:rsidP="00C0101A">
      <w:pPr>
        <w:pStyle w:val="Prrafodelista"/>
        <w:ind w:left="644" w:right="862"/>
        <w:jc w:val="both"/>
        <w:rPr>
          <w:rFonts w:ascii="Palatino Linotype" w:eastAsia="Palatino Linotype" w:hAnsi="Palatino Linotype" w:cs="Palatino Linotype"/>
          <w:i/>
        </w:rPr>
      </w:pPr>
    </w:p>
    <w:p w:rsidR="00C0101A" w:rsidRPr="005D3007" w:rsidRDefault="00C0101A" w:rsidP="00C0101A">
      <w:pPr>
        <w:pStyle w:val="Prrafodelista"/>
        <w:ind w:left="644" w:right="862"/>
        <w:jc w:val="both"/>
        <w:rPr>
          <w:rFonts w:ascii="Palatino Linotype" w:eastAsia="Palatino Linotype" w:hAnsi="Palatino Linotype" w:cs="Palatino Linotype"/>
          <w:i/>
        </w:rPr>
      </w:pPr>
      <w:r w:rsidRPr="005D3007">
        <w:rPr>
          <w:rFonts w:ascii="Palatino Linotype" w:eastAsia="Palatino Linotype" w:hAnsi="Palatino Linotype" w:cs="Palatino Linotype"/>
          <w:b/>
          <w:i/>
        </w:rPr>
        <w:t>Artículo 343.-</w:t>
      </w:r>
      <w:r w:rsidRPr="005D3007">
        <w:rPr>
          <w:rFonts w:ascii="Palatino Linotype" w:eastAsia="Palatino Linotype" w:hAnsi="Palatino Linotype" w:cs="Palatino Linotype"/>
          <w:i/>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rsidR="00C0101A" w:rsidRPr="005D3007" w:rsidRDefault="00C0101A" w:rsidP="00C0101A">
      <w:pPr>
        <w:pStyle w:val="Prrafodelista"/>
        <w:ind w:left="644" w:right="862"/>
        <w:jc w:val="both"/>
        <w:rPr>
          <w:rFonts w:ascii="Palatino Linotype" w:eastAsia="Palatino Linotype" w:hAnsi="Palatino Linotype" w:cs="Palatino Linotype"/>
          <w:i/>
        </w:rPr>
      </w:pPr>
      <w:r w:rsidRPr="005D3007">
        <w:rPr>
          <w:rFonts w:ascii="Palatino Linotype" w:eastAsia="Palatino Linotype" w:hAnsi="Palatino Linotype" w:cs="Palatino Linotype"/>
          <w:i/>
        </w:rPr>
        <w:t>El sistema de contabilidad sobre base acumulativa total, se sustentará en las normas emitidas por el Consejo Nacional de Armonización Contable.</w:t>
      </w:r>
    </w:p>
    <w:p w:rsidR="00C0101A" w:rsidRPr="005D3007" w:rsidRDefault="00C0101A" w:rsidP="00C0101A">
      <w:pPr>
        <w:pStyle w:val="Prrafodelista"/>
        <w:ind w:left="644" w:right="862"/>
        <w:jc w:val="both"/>
        <w:rPr>
          <w:rFonts w:ascii="Palatino Linotype" w:eastAsia="Palatino Linotype" w:hAnsi="Palatino Linotype" w:cs="Palatino Linotype"/>
          <w:b/>
          <w:i/>
        </w:rPr>
      </w:pPr>
    </w:p>
    <w:p w:rsidR="00C0101A" w:rsidRPr="005D3007" w:rsidRDefault="00C0101A" w:rsidP="00C0101A">
      <w:pPr>
        <w:pStyle w:val="Prrafodelista"/>
        <w:ind w:left="644" w:right="862"/>
        <w:jc w:val="both"/>
        <w:rPr>
          <w:rFonts w:ascii="Palatino Linotype" w:eastAsia="Palatino Linotype" w:hAnsi="Palatino Linotype" w:cs="Palatino Linotype"/>
          <w:b/>
          <w:i/>
        </w:rPr>
      </w:pPr>
      <w:r w:rsidRPr="005D3007">
        <w:rPr>
          <w:rFonts w:ascii="Palatino Linotype" w:eastAsia="Palatino Linotype" w:hAnsi="Palatino Linotype" w:cs="Palatino Linotype"/>
          <w:b/>
          <w:i/>
        </w:rPr>
        <w:t>Artículo 344.- Los Entes Públicos, a través de cualquiera de sus unidades administrativas, de acuerdo con su naturaleza jurídica y según corresponda, registrarán contablemente el efecto patrimonial y presupuestal de las operaciones financieras que realicen, en el momento en que ocurran, con base en el sistema y políticas de registro establecidas, en el caso de los Municipios, se hará por la Tesorería.</w:t>
      </w:r>
    </w:p>
    <w:p w:rsidR="00C0101A" w:rsidRPr="005D3007" w:rsidRDefault="00C0101A" w:rsidP="00C0101A">
      <w:pPr>
        <w:pStyle w:val="Prrafodelista"/>
        <w:ind w:left="644" w:right="862"/>
        <w:jc w:val="both"/>
        <w:rPr>
          <w:rFonts w:ascii="Palatino Linotype" w:eastAsia="Palatino Linotype" w:hAnsi="Palatino Linotype" w:cs="Palatino Linotype"/>
          <w:b/>
          <w:i/>
        </w:rPr>
      </w:pPr>
    </w:p>
    <w:p w:rsidR="00C0101A" w:rsidRPr="005D3007" w:rsidRDefault="00C0101A" w:rsidP="00C0101A">
      <w:pPr>
        <w:pStyle w:val="Prrafodelista"/>
        <w:ind w:left="644" w:right="862"/>
        <w:jc w:val="both"/>
        <w:rPr>
          <w:rFonts w:ascii="Palatino Linotype" w:eastAsia="Palatino Linotype" w:hAnsi="Palatino Linotype" w:cs="Palatino Linotype"/>
          <w:b/>
          <w:i/>
        </w:rPr>
      </w:pPr>
      <w:r w:rsidRPr="005D3007">
        <w:rPr>
          <w:rFonts w:ascii="Palatino Linotype" w:eastAsia="Palatino Linotype" w:hAnsi="Palatino Linotype" w:cs="Palatino Linotype"/>
          <w:b/>
          <w:i/>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sidRPr="005D3007">
        <w:rPr>
          <w:rFonts w:ascii="Palatino Linotype" w:eastAsia="Palatino Linotype" w:hAnsi="Palatino Linotype" w:cs="Palatino Linotype"/>
          <w:i/>
        </w:rPr>
        <w:t xml:space="preserve">según corresponda, así como de los órganos internos de control, </w:t>
      </w:r>
      <w:r w:rsidRPr="005D3007">
        <w:rPr>
          <w:rFonts w:ascii="Palatino Linotype" w:eastAsia="Palatino Linotype" w:hAnsi="Palatino Linotype" w:cs="Palatino Linotype"/>
          <w:b/>
          <w:i/>
        </w:rPr>
        <w:t>por un término de cinco años,</w:t>
      </w:r>
      <w:r w:rsidRPr="005D3007">
        <w:rPr>
          <w:rFonts w:ascii="Palatino Linotype" w:eastAsia="Palatino Linotype" w:hAnsi="Palatino Linotype" w:cs="Palatino Linotype"/>
          <w:i/>
        </w:rPr>
        <w:t xml:space="preserve"> contados a partir del ejercicio presupuestal siguiente al que corresponda,</w:t>
      </w:r>
      <w:r w:rsidRPr="005D3007">
        <w:rPr>
          <w:rFonts w:ascii="Palatino Linotype" w:eastAsia="Palatino Linotype" w:hAnsi="Palatino Linotype" w:cs="Palatino Linotype"/>
          <w:b/>
          <w:i/>
        </w:rPr>
        <w:t xml:space="preserve"> en el caso de los Municipios, dicha obligación corresponderá a la Tesorería.</w:t>
      </w:r>
    </w:p>
    <w:p w:rsidR="00C0101A" w:rsidRPr="005D3007" w:rsidRDefault="00C0101A" w:rsidP="00C0101A">
      <w:pPr>
        <w:pStyle w:val="Prrafodelista"/>
        <w:ind w:left="644" w:right="862"/>
        <w:jc w:val="both"/>
        <w:rPr>
          <w:rFonts w:ascii="Palatino Linotype" w:eastAsia="Palatino Linotype" w:hAnsi="Palatino Linotype" w:cs="Palatino Linotype"/>
          <w:i/>
        </w:rPr>
      </w:pPr>
      <w:r w:rsidRPr="005D3007">
        <w:rPr>
          <w:rFonts w:ascii="Palatino Linotype" w:eastAsia="Palatino Linotype" w:hAnsi="Palatino Linotype" w:cs="Palatino Linotype"/>
          <w:i/>
        </w:rPr>
        <w:t>Tratándose de documentos de carácter histórico, se estará a lo dispuesto por la legislación de la materia.</w:t>
      </w:r>
    </w:p>
    <w:p w:rsidR="00C0101A" w:rsidRPr="005D3007" w:rsidRDefault="00C0101A" w:rsidP="00C0101A">
      <w:pPr>
        <w:pStyle w:val="Prrafodelista"/>
        <w:ind w:left="644" w:right="862"/>
        <w:jc w:val="both"/>
        <w:rPr>
          <w:rFonts w:ascii="Palatino Linotype" w:eastAsia="Palatino Linotype" w:hAnsi="Palatino Linotype" w:cs="Palatino Linotype"/>
          <w:i/>
        </w:rPr>
      </w:pPr>
    </w:p>
    <w:p w:rsidR="00C0101A" w:rsidRPr="005D3007" w:rsidRDefault="00C0101A" w:rsidP="00C0101A">
      <w:pPr>
        <w:pStyle w:val="Prrafodelista"/>
        <w:ind w:left="644" w:right="862"/>
        <w:jc w:val="both"/>
        <w:rPr>
          <w:rFonts w:ascii="Palatino Linotype" w:eastAsia="Palatino Linotype" w:hAnsi="Palatino Linotype" w:cs="Palatino Linotype"/>
          <w:i/>
        </w:rPr>
      </w:pPr>
      <w:r w:rsidRPr="005D3007">
        <w:rPr>
          <w:rFonts w:ascii="Palatino Linotype" w:eastAsia="Palatino Linotype" w:hAnsi="Palatino Linotype" w:cs="Palatino Linotype"/>
          <w:i/>
        </w:rPr>
        <w:t>(…)</w:t>
      </w:r>
    </w:p>
    <w:p w:rsidR="00C0101A" w:rsidRPr="005D3007" w:rsidRDefault="00C0101A" w:rsidP="00C0101A">
      <w:pPr>
        <w:pStyle w:val="Prrafodelista"/>
        <w:ind w:left="644" w:right="862"/>
        <w:jc w:val="both"/>
        <w:rPr>
          <w:rFonts w:ascii="Palatino Linotype" w:eastAsia="Palatino Linotype" w:hAnsi="Palatino Linotype" w:cs="Palatino Linotype"/>
          <w:i/>
        </w:rPr>
      </w:pPr>
    </w:p>
    <w:p w:rsidR="00C0101A" w:rsidRPr="005D3007" w:rsidRDefault="00C0101A" w:rsidP="00C0101A">
      <w:pPr>
        <w:pStyle w:val="Prrafodelista"/>
        <w:ind w:left="644" w:right="862"/>
        <w:jc w:val="both"/>
        <w:rPr>
          <w:rFonts w:ascii="Palatino Linotype" w:eastAsia="Palatino Linotype" w:hAnsi="Palatino Linotype" w:cs="Palatino Linotype"/>
          <w:b/>
          <w:i/>
        </w:rPr>
      </w:pPr>
      <w:r w:rsidRPr="005D3007">
        <w:rPr>
          <w:rFonts w:ascii="Palatino Linotype" w:eastAsia="Palatino Linotype" w:hAnsi="Palatino Linotype" w:cs="Palatino Linotype"/>
          <w:b/>
          <w:i/>
        </w:rPr>
        <w:t>Artículo 345.-</w:t>
      </w:r>
      <w:r w:rsidRPr="005D3007">
        <w:rPr>
          <w:rFonts w:ascii="Palatino Linotype" w:eastAsia="Palatino Linotype" w:hAnsi="Palatino Linotype" w:cs="Palatino Linotype"/>
          <w:i/>
        </w:rPr>
        <w:t xml:space="preserve"> </w:t>
      </w:r>
      <w:r w:rsidRPr="005D3007">
        <w:rPr>
          <w:rFonts w:ascii="Palatino Linotype" w:eastAsia="Palatino Linotype" w:hAnsi="Palatino Linotype" w:cs="Palatino Linotype"/>
          <w:b/>
          <w:i/>
        </w:rPr>
        <w:t>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registro contable.</w:t>
      </w:r>
    </w:p>
    <w:p w:rsidR="00C0101A" w:rsidRPr="005D3007" w:rsidRDefault="00C0101A" w:rsidP="00C0101A">
      <w:pPr>
        <w:pStyle w:val="Prrafodelista"/>
        <w:ind w:left="644" w:right="862"/>
        <w:jc w:val="both"/>
        <w:rPr>
          <w:rFonts w:ascii="Palatino Linotype" w:eastAsia="Palatino Linotype" w:hAnsi="Palatino Linotype" w:cs="Palatino Linotype"/>
          <w:b/>
          <w:i/>
        </w:rPr>
      </w:pPr>
    </w:p>
    <w:p w:rsidR="00C0101A" w:rsidRPr="005D3007" w:rsidRDefault="00C0101A" w:rsidP="00C0101A">
      <w:pPr>
        <w:pStyle w:val="Prrafodelista"/>
        <w:ind w:left="644" w:right="862"/>
        <w:jc w:val="both"/>
        <w:rPr>
          <w:rFonts w:ascii="Palatino Linotype" w:eastAsia="Palatino Linotype" w:hAnsi="Palatino Linotype" w:cs="Palatino Linotype"/>
          <w:i/>
        </w:rPr>
      </w:pPr>
      <w:r w:rsidRPr="005D3007">
        <w:rPr>
          <w:rFonts w:ascii="Palatino Linotype" w:eastAsia="Palatino Linotype" w:hAnsi="Palatino Linotype" w:cs="Palatino Linotype"/>
          <w:i/>
        </w:rPr>
        <w:lastRenderedPageBreak/>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w:t>
      </w:r>
      <w:r w:rsidRPr="005D3007">
        <w:rPr>
          <w:rFonts w:ascii="Palatino Linotype" w:eastAsia="Palatino Linotype" w:hAnsi="Palatino Linotype" w:cs="Palatino Linotype"/>
          <w:b/>
          <w:i/>
        </w:rPr>
        <w:t>deberán estar agregados en forma electrónica a cada póliza de registro contable</w:t>
      </w:r>
      <w:r w:rsidRPr="005D3007">
        <w:rPr>
          <w:rFonts w:ascii="Palatino Linotype" w:eastAsia="Palatino Linotype" w:hAnsi="Palatino Linotype" w:cs="Palatino Linotype"/>
          <w:i/>
        </w:rPr>
        <w:t>.</w:t>
      </w:r>
    </w:p>
    <w:p w:rsidR="00C0101A" w:rsidRPr="005D3007" w:rsidRDefault="00C0101A" w:rsidP="00C0101A">
      <w:pPr>
        <w:pStyle w:val="Prrafodelista"/>
        <w:ind w:left="644" w:right="862"/>
        <w:jc w:val="both"/>
        <w:rPr>
          <w:rFonts w:ascii="Palatino Linotype" w:eastAsia="Palatino Linotype" w:hAnsi="Palatino Linotype" w:cs="Palatino Linotype"/>
          <w:b/>
          <w:i/>
        </w:rPr>
      </w:pPr>
      <w:r w:rsidRPr="005D3007">
        <w:rPr>
          <w:rFonts w:ascii="Palatino Linotype" w:eastAsia="Palatino Linotype" w:hAnsi="Palatino Linotype" w:cs="Palatino Linotype"/>
          <w:i/>
        </w:rPr>
        <w:t>El plazo señalado en este artículo empezará a contar a partir de la publicación en el Periódico Oficial, del decreto correspondiente.</w:t>
      </w:r>
      <w:r w:rsidRPr="005D3007">
        <w:rPr>
          <w:rFonts w:ascii="Palatino Linotype" w:eastAsia="Palatino Linotype" w:hAnsi="Palatino Linotype" w:cs="Palatino Linotype"/>
          <w:b/>
          <w:i/>
        </w:rPr>
        <w:t>”</w:t>
      </w:r>
    </w:p>
    <w:p w:rsidR="00C0101A" w:rsidRPr="005D3007" w:rsidRDefault="00C0101A" w:rsidP="00C0101A">
      <w:pPr>
        <w:pStyle w:val="Prrafodelista"/>
        <w:ind w:left="644" w:right="862"/>
        <w:jc w:val="both"/>
        <w:rPr>
          <w:rFonts w:ascii="Palatino Linotype" w:eastAsia="Palatino Linotype" w:hAnsi="Palatino Linotype" w:cs="Palatino Linotype"/>
          <w:b/>
          <w:i/>
        </w:rPr>
      </w:pPr>
    </w:p>
    <w:p w:rsidR="00C0101A" w:rsidRPr="005D3007" w:rsidRDefault="00C0101A" w:rsidP="00C0101A">
      <w:pPr>
        <w:pStyle w:val="Prrafodelista"/>
        <w:tabs>
          <w:tab w:val="left" w:pos="567"/>
        </w:tabs>
        <w:ind w:left="567" w:right="567"/>
        <w:jc w:val="both"/>
        <w:rPr>
          <w:rFonts w:ascii="Palatino Linotype" w:hAnsi="Palatino Linotype" w:cs="Arial"/>
          <w:b/>
          <w:bCs/>
          <w:i/>
          <w:szCs w:val="22"/>
        </w:rPr>
      </w:pPr>
      <w:r w:rsidRPr="005D3007">
        <w:rPr>
          <w:rFonts w:ascii="Palatino Linotype" w:hAnsi="Palatino Linotype" w:cs="Arial"/>
          <w:b/>
          <w:bCs/>
          <w:i/>
          <w:szCs w:val="22"/>
        </w:rPr>
        <w:t>(Énfasis añadido)</w:t>
      </w:r>
    </w:p>
    <w:p w:rsidR="00C0101A" w:rsidRPr="005D3007" w:rsidRDefault="00C0101A" w:rsidP="00C0101A">
      <w:pPr>
        <w:tabs>
          <w:tab w:val="left" w:pos="567"/>
        </w:tabs>
        <w:ind w:right="567"/>
        <w:jc w:val="both"/>
        <w:rPr>
          <w:rFonts w:ascii="Palatino Linotype" w:hAnsi="Palatino Linotype" w:cs="Arial"/>
          <w:b/>
          <w:bCs/>
          <w:i/>
          <w:sz w:val="22"/>
          <w:szCs w:val="22"/>
        </w:rPr>
      </w:pPr>
    </w:p>
    <w:p w:rsidR="00C0101A" w:rsidRPr="005D3007" w:rsidRDefault="00C0101A" w:rsidP="00C0101A">
      <w:pPr>
        <w:pStyle w:val="Prrafodelista"/>
        <w:numPr>
          <w:ilvl w:val="0"/>
          <w:numId w:val="1"/>
        </w:numPr>
        <w:spacing w:line="360" w:lineRule="auto"/>
        <w:ind w:left="0" w:firstLine="0"/>
        <w:jc w:val="both"/>
        <w:rPr>
          <w:rFonts w:ascii="Palatino Linotype" w:eastAsia="Palatino Linotype" w:hAnsi="Palatino Linotype" w:cs="Palatino Linotype"/>
          <w:sz w:val="24"/>
        </w:rPr>
      </w:pPr>
      <w:r w:rsidRPr="005D3007">
        <w:rPr>
          <w:rFonts w:ascii="Palatino Linotype" w:eastAsia="Palatino Linotype" w:hAnsi="Palatino Linotype" w:cs="Palatino Linotype"/>
          <w:sz w:val="24"/>
        </w:rPr>
        <w:t>De la interpretación de los artículos referidos, se desprende, que el registro contable del efecto patrimonial y presupuestal de las operaciones financieras, se realizará conforme al sistema y a las disposiciones que se aprueben en materia de planeación, programación, presupuestación, evaluación y contabilidad gubernamental.</w:t>
      </w:r>
    </w:p>
    <w:p w:rsidR="00C0101A" w:rsidRPr="005D3007" w:rsidRDefault="00C0101A" w:rsidP="00C0101A">
      <w:pPr>
        <w:spacing w:line="360" w:lineRule="auto"/>
        <w:jc w:val="both"/>
        <w:rPr>
          <w:rFonts w:ascii="Palatino Linotype" w:eastAsia="Palatino Linotype" w:hAnsi="Palatino Linotype" w:cs="Palatino Linotype"/>
          <w:sz w:val="28"/>
        </w:rPr>
      </w:pPr>
    </w:p>
    <w:p w:rsidR="00C0101A" w:rsidRPr="005D3007" w:rsidRDefault="00C0101A" w:rsidP="00C0101A">
      <w:pPr>
        <w:pStyle w:val="Prrafodelista"/>
        <w:numPr>
          <w:ilvl w:val="0"/>
          <w:numId w:val="1"/>
        </w:numPr>
        <w:spacing w:line="360" w:lineRule="auto"/>
        <w:ind w:left="0" w:firstLine="0"/>
        <w:jc w:val="both"/>
        <w:rPr>
          <w:rFonts w:ascii="Palatino Linotype" w:eastAsia="Palatino Linotype" w:hAnsi="Palatino Linotype" w:cs="Palatino Linotype"/>
          <w:sz w:val="24"/>
        </w:rPr>
      </w:pPr>
      <w:r w:rsidRPr="005D3007">
        <w:rPr>
          <w:rFonts w:ascii="Palatino Linotype" w:eastAsia="Palatino Linotype" w:hAnsi="Palatino Linotype" w:cs="Palatino Linotype"/>
          <w:sz w:val="24"/>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para el Proceso de Planeación, Programación, Presupuestación y Evaluación en la Administración Pública”</w:t>
      </w:r>
      <w:r w:rsidRPr="005D3007">
        <w:rPr>
          <w:rFonts w:ascii="Palatino Linotype" w:eastAsia="Palatino Linotype" w:hAnsi="Palatino Linotype"/>
          <w:sz w:val="24"/>
          <w:vertAlign w:val="superscript"/>
        </w:rPr>
        <w:footnoteReference w:id="5"/>
      </w:r>
      <w:r w:rsidRPr="005D3007">
        <w:rPr>
          <w:rFonts w:ascii="Palatino Linotype" w:eastAsia="Palatino Linotype" w:hAnsi="Palatino Linotype" w:cs="Palatino Linotype"/>
          <w:sz w:val="24"/>
        </w:rPr>
        <w:t xml:space="preserve">, elaborado por el Grupo de Trabajo de Sistemas de Información Financiera, Contable y Presupuestal de la Comisión Permanente de Funcionarios Fiscales del Instituto para el Desarrollo Técnico de las Haciendas </w:t>
      </w:r>
      <w:r w:rsidRPr="005D3007">
        <w:rPr>
          <w:rFonts w:ascii="Palatino Linotype" w:eastAsia="Palatino Linotype" w:hAnsi="Palatino Linotype" w:cs="Palatino Linotype"/>
          <w:sz w:val="24"/>
        </w:rPr>
        <w:lastRenderedPageBreak/>
        <w:t>Públicas, INDETEC, señalan las siguientes definiciones de las palabras registro contable y registro presupuestario:</w:t>
      </w:r>
    </w:p>
    <w:p w:rsidR="00C0101A" w:rsidRPr="005D3007" w:rsidRDefault="00C0101A" w:rsidP="00C0101A">
      <w:pPr>
        <w:spacing w:line="360" w:lineRule="auto"/>
        <w:ind w:right="900"/>
        <w:jc w:val="both"/>
        <w:rPr>
          <w:rFonts w:ascii="Palatino Linotype" w:eastAsia="Palatino Linotype" w:hAnsi="Palatino Linotype" w:cs="Palatino Linotype"/>
          <w:b/>
          <w:i/>
        </w:rPr>
      </w:pPr>
    </w:p>
    <w:p w:rsidR="00C0101A" w:rsidRPr="005D3007" w:rsidRDefault="00C0101A" w:rsidP="00C0101A">
      <w:pPr>
        <w:pStyle w:val="Prrafodelista"/>
        <w:ind w:left="644" w:right="900"/>
        <w:jc w:val="both"/>
        <w:rPr>
          <w:rFonts w:ascii="Palatino Linotype" w:eastAsia="Palatino Linotype" w:hAnsi="Palatino Linotype" w:cs="Palatino Linotype"/>
          <w:b/>
          <w:i/>
          <w:szCs w:val="22"/>
        </w:rPr>
      </w:pPr>
      <w:r w:rsidRPr="005D3007">
        <w:rPr>
          <w:rFonts w:ascii="Palatino Linotype" w:eastAsia="Palatino Linotype" w:hAnsi="Palatino Linotype" w:cs="Palatino Linotype"/>
          <w:b/>
          <w:i/>
          <w:szCs w:val="22"/>
        </w:rPr>
        <w:t>“REGISTRO CONTABLE</w:t>
      </w:r>
    </w:p>
    <w:p w:rsidR="00C0101A" w:rsidRPr="005D3007" w:rsidRDefault="00C0101A" w:rsidP="00C0101A">
      <w:pPr>
        <w:pStyle w:val="Prrafodelista"/>
        <w:ind w:left="644" w:right="900"/>
        <w:jc w:val="both"/>
        <w:rPr>
          <w:rFonts w:ascii="Palatino Linotype" w:eastAsia="Palatino Linotype" w:hAnsi="Palatino Linotype" w:cs="Palatino Linotype"/>
          <w:i/>
          <w:szCs w:val="22"/>
        </w:rPr>
      </w:pPr>
      <w:r w:rsidRPr="005D3007">
        <w:rPr>
          <w:rFonts w:ascii="Palatino Linotype" w:eastAsia="Palatino Linotype" w:hAnsi="Palatino Linotype" w:cs="Palatino Linotype"/>
          <w:i/>
          <w:szCs w:val="22"/>
        </w:rPr>
        <w:t>Asiento que se realiza en los libros de contabilidad de las actividades relacionadas con el ingreso y egresos de un ente económico.”</w:t>
      </w:r>
    </w:p>
    <w:p w:rsidR="00C0101A" w:rsidRPr="005D3007" w:rsidRDefault="00C0101A" w:rsidP="00C0101A">
      <w:pPr>
        <w:pStyle w:val="Prrafodelista"/>
        <w:ind w:left="644" w:right="900"/>
        <w:jc w:val="both"/>
        <w:rPr>
          <w:rFonts w:ascii="Palatino Linotype" w:eastAsia="Palatino Linotype" w:hAnsi="Palatino Linotype" w:cs="Palatino Linotype"/>
          <w:b/>
          <w:i/>
          <w:szCs w:val="22"/>
        </w:rPr>
      </w:pPr>
    </w:p>
    <w:p w:rsidR="00C0101A" w:rsidRPr="005D3007" w:rsidRDefault="00C0101A" w:rsidP="00C0101A">
      <w:pPr>
        <w:pStyle w:val="Prrafodelista"/>
        <w:ind w:left="644" w:right="900"/>
        <w:jc w:val="both"/>
        <w:rPr>
          <w:rFonts w:ascii="Palatino Linotype" w:eastAsia="Palatino Linotype" w:hAnsi="Palatino Linotype" w:cs="Palatino Linotype"/>
          <w:b/>
          <w:i/>
          <w:szCs w:val="22"/>
        </w:rPr>
      </w:pPr>
      <w:r w:rsidRPr="005D3007">
        <w:rPr>
          <w:rFonts w:ascii="Palatino Linotype" w:eastAsia="Palatino Linotype" w:hAnsi="Palatino Linotype" w:cs="Palatino Linotype"/>
          <w:b/>
          <w:i/>
          <w:szCs w:val="22"/>
        </w:rPr>
        <w:t>“REGISTRO PRESUPUESTARIO</w:t>
      </w:r>
    </w:p>
    <w:p w:rsidR="00C0101A" w:rsidRPr="005D3007" w:rsidRDefault="00C0101A" w:rsidP="00C0101A">
      <w:pPr>
        <w:pStyle w:val="Prrafodelista"/>
        <w:ind w:left="644" w:right="900"/>
        <w:jc w:val="both"/>
        <w:rPr>
          <w:rFonts w:ascii="Palatino Linotype" w:eastAsia="Palatino Linotype" w:hAnsi="Palatino Linotype" w:cs="Palatino Linotype"/>
          <w:i/>
          <w:szCs w:val="22"/>
        </w:rPr>
      </w:pPr>
      <w:r w:rsidRPr="005D3007">
        <w:rPr>
          <w:rFonts w:ascii="Palatino Linotype" w:eastAsia="Palatino Linotype" w:hAnsi="Palatino Linotype" w:cs="Palatino Linotype"/>
          <w:i/>
          <w:szCs w:val="22"/>
        </w:rPr>
        <w:t>Asiento contable de las erogaciones realizadas por las dependencias y entidades con relación a la asignación, modificación y ejercicio de los recursos presupuestarios que se les hayan autorizado.”</w:t>
      </w:r>
    </w:p>
    <w:p w:rsidR="00C0101A" w:rsidRPr="005D3007" w:rsidRDefault="00C0101A" w:rsidP="00C0101A">
      <w:pPr>
        <w:ind w:right="900"/>
        <w:jc w:val="both"/>
        <w:rPr>
          <w:rFonts w:ascii="Palatino Linotype" w:eastAsia="Palatino Linotype" w:hAnsi="Palatino Linotype" w:cs="Palatino Linotype"/>
          <w:i/>
        </w:rPr>
      </w:pPr>
    </w:p>
    <w:p w:rsidR="00C0101A" w:rsidRPr="005D3007" w:rsidRDefault="00C0101A" w:rsidP="00C0101A">
      <w:pPr>
        <w:pStyle w:val="Prrafodelista"/>
        <w:numPr>
          <w:ilvl w:val="0"/>
          <w:numId w:val="1"/>
        </w:numPr>
        <w:spacing w:line="360" w:lineRule="auto"/>
        <w:ind w:left="0" w:firstLine="0"/>
        <w:jc w:val="both"/>
        <w:rPr>
          <w:rFonts w:ascii="Palatino Linotype" w:eastAsia="Palatino Linotype" w:hAnsi="Palatino Linotype" w:cs="Palatino Linotype"/>
          <w:sz w:val="24"/>
        </w:rPr>
      </w:pPr>
      <w:r w:rsidRPr="005D3007">
        <w:rPr>
          <w:rFonts w:ascii="Palatino Linotype" w:eastAsia="Palatino Linotype" w:hAnsi="Palatino Linotype" w:cs="Palatino Linotype"/>
          <w:sz w:val="24"/>
        </w:rPr>
        <w:t xml:space="preserve">Como bien se desprende de las definiciones, los registros contables y presupuestarios son asientos o anotaciones contables que </w:t>
      </w:r>
      <w:r w:rsidRPr="005D3007">
        <w:rPr>
          <w:rFonts w:ascii="Palatino Linotype" w:eastAsia="Palatino Linotype" w:hAnsi="Palatino Linotype" w:cs="Palatino Linotype"/>
          <w:b/>
          <w:sz w:val="24"/>
        </w:rPr>
        <w:t>se realizan tanto de los ingresos como de los egresos, a decir se trata de un control financiero en el que se reconoce la obligación del Tesorero de llevar dicho registro.</w:t>
      </w:r>
    </w:p>
    <w:p w:rsidR="00C0101A" w:rsidRPr="005D3007" w:rsidRDefault="00C0101A" w:rsidP="00C0101A">
      <w:pPr>
        <w:spacing w:line="360" w:lineRule="auto"/>
        <w:ind w:right="51"/>
        <w:jc w:val="both"/>
        <w:rPr>
          <w:rFonts w:ascii="Palatino Linotype" w:eastAsia="Palatino Linotype" w:hAnsi="Palatino Linotype" w:cs="Palatino Linotype"/>
          <w:sz w:val="28"/>
        </w:rPr>
      </w:pPr>
    </w:p>
    <w:p w:rsidR="00C0101A" w:rsidRPr="005D3007" w:rsidRDefault="00C0101A" w:rsidP="00C0101A">
      <w:pPr>
        <w:pStyle w:val="Prrafodelista"/>
        <w:numPr>
          <w:ilvl w:val="0"/>
          <w:numId w:val="1"/>
        </w:numPr>
        <w:spacing w:line="360" w:lineRule="auto"/>
        <w:ind w:left="0" w:firstLine="0"/>
        <w:jc w:val="both"/>
        <w:rPr>
          <w:rFonts w:ascii="Palatino Linotype" w:eastAsia="Palatino Linotype" w:hAnsi="Palatino Linotype" w:cs="Palatino Linotype"/>
          <w:sz w:val="24"/>
        </w:rPr>
      </w:pPr>
      <w:r w:rsidRPr="005D3007">
        <w:rPr>
          <w:rFonts w:ascii="Palatino Linotype" w:eastAsia="Palatino Linotype" w:hAnsi="Palatino Linotype" w:cs="Palatino Linotype"/>
          <w:sz w:val="24"/>
        </w:rPr>
        <w:t>Por otra parte, se establece que el sistema de contabilidad sobre base acumulativa total se sustentará en los principios de contabilidad gubernamental.</w:t>
      </w:r>
    </w:p>
    <w:p w:rsidR="00C0101A" w:rsidRPr="005D3007" w:rsidRDefault="00C0101A" w:rsidP="00C0101A">
      <w:pPr>
        <w:spacing w:line="360" w:lineRule="auto"/>
        <w:rPr>
          <w:rFonts w:ascii="Palatino Linotype" w:eastAsia="Palatino Linotype" w:hAnsi="Palatino Linotype" w:cs="Palatino Linotype"/>
          <w:sz w:val="28"/>
        </w:rPr>
      </w:pPr>
    </w:p>
    <w:p w:rsidR="00C0101A" w:rsidRPr="005D3007" w:rsidRDefault="00C0101A" w:rsidP="00C0101A">
      <w:pPr>
        <w:pStyle w:val="Prrafodelista"/>
        <w:numPr>
          <w:ilvl w:val="0"/>
          <w:numId w:val="1"/>
        </w:numPr>
        <w:spacing w:line="360" w:lineRule="auto"/>
        <w:ind w:left="0" w:firstLine="0"/>
        <w:jc w:val="both"/>
        <w:rPr>
          <w:rFonts w:ascii="Palatino Linotype" w:eastAsia="Palatino Linotype" w:hAnsi="Palatino Linotype" w:cs="Palatino Linotype"/>
          <w:sz w:val="24"/>
        </w:rPr>
      </w:pPr>
      <w:r w:rsidRPr="005D3007">
        <w:rPr>
          <w:rFonts w:ascii="Palatino Linotype" w:eastAsia="Palatino Linotype" w:hAnsi="Palatino Linotype" w:cs="Palatino Linotype"/>
          <w:sz w:val="24"/>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rsidR="00C0101A" w:rsidRPr="005D3007" w:rsidRDefault="00C0101A" w:rsidP="00C0101A">
      <w:pPr>
        <w:pStyle w:val="Prrafodelista"/>
        <w:spacing w:line="360" w:lineRule="auto"/>
        <w:ind w:left="644"/>
        <w:jc w:val="both"/>
        <w:rPr>
          <w:rFonts w:ascii="Palatino Linotype" w:eastAsia="Palatino Linotype" w:hAnsi="Palatino Linotype" w:cs="Palatino Linotype"/>
          <w:sz w:val="24"/>
        </w:rPr>
      </w:pPr>
    </w:p>
    <w:p w:rsidR="00C0101A" w:rsidRPr="005D3007" w:rsidRDefault="00C0101A" w:rsidP="00C0101A">
      <w:pPr>
        <w:pStyle w:val="Prrafodelista"/>
        <w:numPr>
          <w:ilvl w:val="0"/>
          <w:numId w:val="1"/>
        </w:numPr>
        <w:spacing w:line="360" w:lineRule="auto"/>
        <w:ind w:left="0" w:firstLine="0"/>
        <w:jc w:val="both"/>
        <w:rPr>
          <w:rFonts w:ascii="Palatino Linotype" w:eastAsia="Palatino Linotype" w:hAnsi="Palatino Linotype" w:cs="Palatino Linotype"/>
          <w:sz w:val="24"/>
        </w:rPr>
      </w:pPr>
      <w:r w:rsidRPr="005D3007">
        <w:rPr>
          <w:rFonts w:ascii="Palatino Linotype" w:eastAsia="Palatino Linotype" w:hAnsi="Palatino Linotype" w:cs="Palatino Linotype"/>
          <w:sz w:val="24"/>
        </w:rPr>
        <w:t xml:space="preserve">Correlativo a lo anterior, es preciso referir una definición de </w:t>
      </w:r>
      <w:r w:rsidRPr="005D3007">
        <w:rPr>
          <w:rFonts w:ascii="Palatino Linotype" w:eastAsia="Palatino Linotype" w:hAnsi="Palatino Linotype" w:cs="Palatino Linotype"/>
          <w:i/>
          <w:sz w:val="24"/>
        </w:rPr>
        <w:t>póliza contable</w:t>
      </w:r>
      <w:r w:rsidRPr="005D3007">
        <w:rPr>
          <w:rFonts w:ascii="Palatino Linotype" w:eastAsia="Palatino Linotype" w:hAnsi="Palatino Linotype" w:cs="Palatino Linotype"/>
          <w:sz w:val="24"/>
        </w:rPr>
        <w:t>, la cual, primeramente, no está definida en el Código Financiero del Estado de México y Municipios; no obstante, el ya mencionado Glosario la define como:</w:t>
      </w:r>
    </w:p>
    <w:p w:rsidR="00C0101A" w:rsidRPr="005D3007" w:rsidRDefault="00C0101A" w:rsidP="00C0101A">
      <w:pPr>
        <w:spacing w:line="360" w:lineRule="auto"/>
        <w:jc w:val="both"/>
        <w:rPr>
          <w:rFonts w:ascii="Palatino Linotype" w:eastAsia="Palatino Linotype" w:hAnsi="Palatino Linotype" w:cs="Palatino Linotype"/>
        </w:rPr>
      </w:pPr>
    </w:p>
    <w:p w:rsidR="00C0101A" w:rsidRPr="005D3007" w:rsidRDefault="00C0101A" w:rsidP="00C0101A">
      <w:pPr>
        <w:pStyle w:val="Prrafodelista"/>
        <w:ind w:left="567" w:right="616"/>
        <w:jc w:val="both"/>
        <w:rPr>
          <w:rFonts w:ascii="Palatino Linotype" w:eastAsia="Palatino Linotype" w:hAnsi="Palatino Linotype" w:cs="Palatino Linotype"/>
          <w:b/>
          <w:i/>
        </w:rPr>
      </w:pPr>
      <w:r w:rsidRPr="005D3007">
        <w:rPr>
          <w:rFonts w:ascii="Palatino Linotype" w:eastAsia="Palatino Linotype" w:hAnsi="Palatino Linotype" w:cs="Palatino Linotype"/>
          <w:i/>
        </w:rPr>
        <w:t>“</w:t>
      </w:r>
      <w:r w:rsidRPr="005D3007">
        <w:rPr>
          <w:rFonts w:ascii="Palatino Linotype" w:eastAsia="Palatino Linotype" w:hAnsi="Palatino Linotype" w:cs="Palatino Linotype"/>
          <w:b/>
          <w:i/>
        </w:rPr>
        <w:t>PÓLIZA CONTABLE</w:t>
      </w:r>
    </w:p>
    <w:p w:rsidR="00C0101A" w:rsidRPr="005D3007" w:rsidRDefault="00C0101A" w:rsidP="00C0101A">
      <w:pPr>
        <w:pStyle w:val="Prrafodelista"/>
        <w:ind w:left="567" w:right="616"/>
        <w:jc w:val="both"/>
        <w:rPr>
          <w:rFonts w:ascii="Palatino Linotype" w:eastAsia="Palatino Linotype" w:hAnsi="Palatino Linotype" w:cs="Palatino Linotype"/>
          <w:i/>
        </w:rPr>
      </w:pPr>
      <w:r w:rsidRPr="005D3007">
        <w:rPr>
          <w:rFonts w:ascii="Palatino Linotype" w:eastAsia="Palatino Linotype" w:hAnsi="Palatino Linotype" w:cs="Palatino Linotype"/>
          <w:i/>
        </w:rPr>
        <w:t xml:space="preserve">Documento en el cual se asientan en forma individual todas y cada una de las operaciones desarrolladas por una institución, así como la información necesaria para la identificación de dichas operaciones.” </w:t>
      </w:r>
    </w:p>
    <w:p w:rsidR="00C0101A" w:rsidRPr="005D3007" w:rsidRDefault="00C0101A" w:rsidP="00C0101A">
      <w:pPr>
        <w:spacing w:line="360" w:lineRule="auto"/>
        <w:ind w:right="902"/>
        <w:jc w:val="both"/>
        <w:rPr>
          <w:rFonts w:ascii="Palatino Linotype" w:eastAsia="Palatino Linotype" w:hAnsi="Palatino Linotype" w:cs="Palatino Linotype"/>
          <w:i/>
        </w:rPr>
      </w:pPr>
    </w:p>
    <w:p w:rsidR="00C0101A" w:rsidRPr="005D3007" w:rsidRDefault="00C0101A" w:rsidP="00C0101A">
      <w:pPr>
        <w:pStyle w:val="Prrafodelista"/>
        <w:numPr>
          <w:ilvl w:val="0"/>
          <w:numId w:val="1"/>
        </w:numPr>
        <w:spacing w:line="360" w:lineRule="auto"/>
        <w:ind w:left="0" w:firstLine="0"/>
        <w:jc w:val="both"/>
        <w:rPr>
          <w:rFonts w:ascii="Palatino Linotype" w:eastAsia="Palatino Linotype" w:hAnsi="Palatino Linotype" w:cs="Palatino Linotype"/>
          <w:i/>
          <w:sz w:val="24"/>
        </w:rPr>
      </w:pPr>
      <w:r w:rsidRPr="005D3007">
        <w:rPr>
          <w:rFonts w:ascii="Palatino Linotype" w:eastAsia="Palatino Linotype" w:hAnsi="Palatino Linotype" w:cs="Palatino Linotype"/>
          <w:sz w:val="24"/>
        </w:rPr>
        <w:t xml:space="preserve">Así, se advierte que la </w:t>
      </w:r>
      <w:r w:rsidRPr="005D3007">
        <w:rPr>
          <w:rFonts w:ascii="Palatino Linotype" w:eastAsia="Palatino Linotype" w:hAnsi="Palatino Linotype" w:cs="Palatino Linotype"/>
          <w:i/>
          <w:sz w:val="24"/>
        </w:rPr>
        <w:t>póliza contable</w:t>
      </w:r>
      <w:r w:rsidRPr="005D3007">
        <w:rPr>
          <w:rFonts w:ascii="Palatino Linotype" w:eastAsia="Palatino Linotype" w:hAnsi="Palatino Linotype" w:cs="Palatino Linotype"/>
          <w:sz w:val="24"/>
        </w:rPr>
        <w:t xml:space="preserve"> constituye un registro contable y presupuestal con el que cuentan los Municipios para el registro de operaciones relacionadas con ingresos y egresos y </w:t>
      </w:r>
      <w:r w:rsidRPr="005D3007">
        <w:rPr>
          <w:rFonts w:ascii="Palatino Linotype" w:eastAsia="Palatino Linotype" w:hAnsi="Palatino Linotype" w:cs="Palatino Linotype"/>
          <w:b/>
          <w:sz w:val="24"/>
        </w:rPr>
        <w:t>se anexan los documentos o comprobantes que justifiquen las anotaciones y cantidades en ellas registradas</w:t>
      </w:r>
      <w:r w:rsidRPr="005D3007">
        <w:rPr>
          <w:rFonts w:ascii="Palatino Linotype" w:eastAsia="Palatino Linotype" w:hAnsi="Palatino Linotype" w:cs="Palatino Linotype"/>
          <w:sz w:val="24"/>
        </w:rPr>
        <w:t>, lo que permite la identificación plena de dichas operaciones.</w:t>
      </w:r>
    </w:p>
    <w:p w:rsidR="00C0101A" w:rsidRPr="005D3007" w:rsidRDefault="00C0101A" w:rsidP="00C0101A">
      <w:pPr>
        <w:pStyle w:val="Prrafodelista"/>
        <w:spacing w:line="360" w:lineRule="auto"/>
        <w:ind w:left="0"/>
        <w:jc w:val="both"/>
        <w:rPr>
          <w:rFonts w:ascii="Palatino Linotype" w:eastAsia="Palatino Linotype" w:hAnsi="Palatino Linotype" w:cs="Palatino Linotype"/>
          <w:i/>
          <w:sz w:val="24"/>
        </w:rPr>
      </w:pPr>
    </w:p>
    <w:p w:rsidR="00C0101A" w:rsidRPr="005D3007" w:rsidRDefault="00C0101A" w:rsidP="00C0101A">
      <w:pPr>
        <w:pStyle w:val="Prrafodelista"/>
        <w:numPr>
          <w:ilvl w:val="0"/>
          <w:numId w:val="1"/>
        </w:numPr>
        <w:spacing w:line="360" w:lineRule="auto"/>
        <w:ind w:left="0" w:firstLine="0"/>
        <w:jc w:val="both"/>
        <w:rPr>
          <w:rFonts w:ascii="Palatino Linotype" w:eastAsia="Palatino Linotype" w:hAnsi="Palatino Linotype" w:cs="Palatino Linotype"/>
          <w:b/>
          <w:sz w:val="24"/>
        </w:rPr>
      </w:pPr>
      <w:r w:rsidRPr="005D3007">
        <w:rPr>
          <w:rFonts w:ascii="Palatino Linotype" w:eastAsia="Palatino Linotype" w:hAnsi="Palatino Linotype" w:cs="Palatino Linotype"/>
          <w:sz w:val="24"/>
        </w:rPr>
        <w:t xml:space="preserve">En este sentido, existen diversos tipos de pólizas contables de acuerdo a las operaciones realizadas, dentro de las cuales, encontramos las </w:t>
      </w:r>
      <w:r w:rsidRPr="005D3007">
        <w:rPr>
          <w:rFonts w:ascii="Palatino Linotype" w:eastAsia="Palatino Linotype" w:hAnsi="Palatino Linotype" w:cs="Palatino Linotype"/>
          <w:i/>
          <w:sz w:val="24"/>
        </w:rPr>
        <w:t>pólizas de egresos e ingresos</w:t>
      </w:r>
      <w:r w:rsidRPr="005D3007">
        <w:rPr>
          <w:rFonts w:ascii="Palatino Linotype" w:eastAsia="Palatino Linotype" w:hAnsi="Palatino Linotype" w:cs="Palatino Linotype"/>
          <w:sz w:val="24"/>
        </w:rPr>
        <w:t xml:space="preserve">, las primeras son aquellas en las cuales se anotan diariamente las operaciones que representan gastos, es decir, </w:t>
      </w:r>
      <w:r w:rsidRPr="005D3007">
        <w:rPr>
          <w:rFonts w:ascii="Palatino Linotype" w:eastAsia="Palatino Linotype" w:hAnsi="Palatino Linotype" w:cs="Palatino Linotype"/>
          <w:b/>
          <w:sz w:val="24"/>
        </w:rPr>
        <w:t>salidas de dinero para el Sujeto Obligado</w:t>
      </w:r>
      <w:r w:rsidRPr="005D3007">
        <w:rPr>
          <w:rFonts w:ascii="Palatino Linotype" w:eastAsia="Palatino Linotype" w:hAnsi="Palatino Linotype" w:cs="Palatino Linotype"/>
          <w:sz w:val="24"/>
        </w:rPr>
        <w:t xml:space="preserve">, las que además, </w:t>
      </w:r>
      <w:r w:rsidRPr="005D3007">
        <w:rPr>
          <w:rFonts w:ascii="Palatino Linotype" w:eastAsia="Palatino Linotype" w:hAnsi="Palatino Linotype" w:cs="Palatino Linotype"/>
          <w:b/>
          <w:sz w:val="24"/>
        </w:rPr>
        <w:t>deben encontrarse acompañadas de las documentales que sirven de soporte de dicho movimiento</w:t>
      </w:r>
      <w:r w:rsidRPr="005D3007">
        <w:rPr>
          <w:rFonts w:ascii="Palatino Linotype" w:eastAsia="Palatino Linotype" w:hAnsi="Palatino Linotype" w:cs="Palatino Linotype"/>
          <w:sz w:val="24"/>
        </w:rPr>
        <w:t xml:space="preserve">, en atención a las segundas, registran todas las entradas de dinero independientemente de la modalidad, </w:t>
      </w:r>
      <w:r w:rsidRPr="005D3007">
        <w:rPr>
          <w:rFonts w:ascii="Palatino Linotype" w:eastAsia="Palatino Linotype" w:hAnsi="Palatino Linotype" w:cs="Palatino Linotype"/>
          <w:b/>
          <w:sz w:val="24"/>
        </w:rPr>
        <w:t xml:space="preserve">ya sea en efectivo, transferencia, cheque o pagaré, mediante la expedición de </w:t>
      </w:r>
      <w:r w:rsidRPr="005D3007">
        <w:rPr>
          <w:rFonts w:ascii="Palatino Linotype" w:eastAsia="Palatino Linotype" w:hAnsi="Palatino Linotype" w:cs="Palatino Linotype"/>
          <w:b/>
          <w:sz w:val="24"/>
          <w:u w:val="single"/>
        </w:rPr>
        <w:t>facturas.</w:t>
      </w:r>
    </w:p>
    <w:p w:rsidR="00C0101A" w:rsidRPr="005D3007" w:rsidRDefault="00C0101A" w:rsidP="00C0101A">
      <w:pPr>
        <w:spacing w:line="360" w:lineRule="auto"/>
        <w:rPr>
          <w:rFonts w:ascii="Palatino Linotype" w:eastAsia="Palatino Linotype" w:hAnsi="Palatino Linotype" w:cs="Palatino Linotype"/>
          <w:sz w:val="28"/>
        </w:rPr>
      </w:pPr>
    </w:p>
    <w:p w:rsidR="00C0101A" w:rsidRPr="005D3007" w:rsidRDefault="00C0101A" w:rsidP="00C0101A">
      <w:pPr>
        <w:pStyle w:val="Prrafodelista"/>
        <w:numPr>
          <w:ilvl w:val="0"/>
          <w:numId w:val="1"/>
        </w:numPr>
        <w:spacing w:line="360" w:lineRule="auto"/>
        <w:ind w:left="0" w:firstLine="0"/>
        <w:jc w:val="both"/>
        <w:rPr>
          <w:rFonts w:ascii="Palatino Linotype" w:eastAsia="Palatino Linotype" w:hAnsi="Palatino Linotype" w:cs="Palatino Linotype"/>
          <w:sz w:val="24"/>
        </w:rPr>
      </w:pPr>
      <w:r w:rsidRPr="005D3007">
        <w:rPr>
          <w:rFonts w:ascii="Palatino Linotype" w:eastAsia="Palatino Linotype" w:hAnsi="Palatino Linotype" w:cs="Palatino Linotype"/>
          <w:sz w:val="24"/>
        </w:rPr>
        <w:t xml:space="preserve">Atento a lo anterior, como ya ha sido mencionado en la normatividad antes citada, </w:t>
      </w:r>
      <w:r w:rsidRPr="005D3007">
        <w:rPr>
          <w:rFonts w:ascii="Palatino Linotype" w:eastAsia="Palatino Linotype" w:hAnsi="Palatino Linotype" w:cs="Palatino Linotype"/>
          <w:b/>
          <w:sz w:val="24"/>
        </w:rPr>
        <w:t xml:space="preserve">todo registro contable y presupuestal deberá estar soportado con los documentos comprobatorios originales, como lo son las </w:t>
      </w:r>
      <w:r w:rsidRPr="005D3007">
        <w:rPr>
          <w:rFonts w:ascii="Palatino Linotype" w:eastAsia="Palatino Linotype" w:hAnsi="Palatino Linotype" w:cs="Palatino Linotype"/>
          <w:b/>
          <w:i/>
          <w:sz w:val="24"/>
        </w:rPr>
        <w:t xml:space="preserve">facturas o comprobantes </w:t>
      </w:r>
      <w:r w:rsidRPr="005D3007">
        <w:rPr>
          <w:rFonts w:ascii="Palatino Linotype" w:eastAsia="Palatino Linotype" w:hAnsi="Palatino Linotype" w:cs="Palatino Linotype"/>
          <w:b/>
          <w:sz w:val="24"/>
        </w:rPr>
        <w:t>fiscales</w:t>
      </w:r>
      <w:r w:rsidRPr="005D3007">
        <w:rPr>
          <w:rFonts w:ascii="Palatino Linotype" w:eastAsia="Palatino Linotype" w:hAnsi="Palatino Linotype" w:cs="Palatino Linotype"/>
          <w:b/>
          <w:i/>
          <w:sz w:val="24"/>
        </w:rPr>
        <w:t xml:space="preserve"> digitales por internet,</w:t>
      </w:r>
      <w:r w:rsidRPr="005D3007">
        <w:rPr>
          <w:rFonts w:ascii="Palatino Linotype" w:eastAsia="Palatino Linotype" w:hAnsi="Palatino Linotype" w:cs="Palatino Linotype"/>
          <w:sz w:val="24"/>
        </w:rPr>
        <w:t xml:space="preserve"> mismos que deberán permanecer en custodia y conservación de la Unidad Administrativa correspondiente y a disposición del </w:t>
      </w:r>
      <w:r w:rsidRPr="005D3007">
        <w:rPr>
          <w:rFonts w:ascii="Palatino Linotype" w:eastAsia="Palatino Linotype" w:hAnsi="Palatino Linotype" w:cs="Palatino Linotype"/>
          <w:sz w:val="24"/>
        </w:rPr>
        <w:lastRenderedPageBreak/>
        <w:t xml:space="preserve">Órgano Superior de Fiscalización del Estado de México; por un término de cinco años contados a partir del ejercicio presupuestal siguiente al que corresponda, tal y como se establece en el Código Financiero del Estado de México. </w:t>
      </w:r>
    </w:p>
    <w:p w:rsidR="00C0101A" w:rsidRPr="005D3007" w:rsidRDefault="00C0101A" w:rsidP="00C0101A">
      <w:pPr>
        <w:spacing w:line="360" w:lineRule="auto"/>
        <w:ind w:right="51"/>
        <w:jc w:val="both"/>
        <w:rPr>
          <w:rFonts w:ascii="Palatino Linotype" w:eastAsia="Palatino Linotype" w:hAnsi="Palatino Linotype" w:cs="Palatino Linotype"/>
          <w:sz w:val="28"/>
        </w:rPr>
      </w:pPr>
    </w:p>
    <w:p w:rsidR="00C0101A" w:rsidRPr="005D3007" w:rsidRDefault="00C0101A" w:rsidP="00C0101A">
      <w:pPr>
        <w:pStyle w:val="Prrafodelista"/>
        <w:numPr>
          <w:ilvl w:val="0"/>
          <w:numId w:val="1"/>
        </w:numPr>
        <w:spacing w:line="360" w:lineRule="auto"/>
        <w:ind w:left="0" w:firstLine="0"/>
        <w:jc w:val="both"/>
        <w:rPr>
          <w:rFonts w:ascii="Palatino Linotype" w:eastAsia="Palatino Linotype" w:hAnsi="Palatino Linotype" w:cs="Palatino Linotype"/>
          <w:b/>
          <w:sz w:val="24"/>
        </w:rPr>
      </w:pPr>
      <w:r w:rsidRPr="005D3007">
        <w:rPr>
          <w:rFonts w:ascii="Palatino Linotype" w:eastAsia="Palatino Linotype" w:hAnsi="Palatino Linotype" w:cs="Palatino Linotype"/>
          <w:sz w:val="24"/>
        </w:rPr>
        <w:t xml:space="preserve">Así, se puede advertir que, de la información requerida, los documentos que pueden satisfacer el requerimiento del </w:t>
      </w:r>
      <w:r w:rsidRPr="005D3007">
        <w:rPr>
          <w:rFonts w:ascii="Palatino Linotype" w:eastAsia="Palatino Linotype" w:hAnsi="Palatino Linotype" w:cs="Palatino Linotype"/>
          <w:b/>
          <w:sz w:val="24"/>
        </w:rPr>
        <w:t>RECURRENTE</w:t>
      </w:r>
      <w:r w:rsidRPr="005D3007">
        <w:rPr>
          <w:rFonts w:ascii="Palatino Linotype" w:eastAsia="Palatino Linotype" w:hAnsi="Palatino Linotype" w:cs="Palatino Linotype"/>
          <w:sz w:val="24"/>
        </w:rPr>
        <w:t xml:space="preserve"> serían precisamente </w:t>
      </w:r>
      <w:r w:rsidRPr="005D3007">
        <w:rPr>
          <w:rFonts w:ascii="Palatino Linotype" w:eastAsia="Palatino Linotype" w:hAnsi="Palatino Linotype" w:cs="Palatino Linotype"/>
          <w:b/>
          <w:sz w:val="24"/>
        </w:rPr>
        <w:t>los documentos o comprobantes que justifiquen las anotaciones y cantidades en ellas, que acompañan los registros contables del ente fiscalizable.</w:t>
      </w:r>
    </w:p>
    <w:p w:rsidR="00C0101A" w:rsidRPr="005D3007" w:rsidRDefault="00C0101A" w:rsidP="00C0101A">
      <w:pPr>
        <w:spacing w:line="360" w:lineRule="auto"/>
        <w:rPr>
          <w:rFonts w:ascii="Palatino Linotype" w:eastAsia="Palatino Linotype" w:hAnsi="Palatino Linotype" w:cs="Palatino Linotype"/>
          <w:sz w:val="28"/>
        </w:rPr>
      </w:pPr>
    </w:p>
    <w:p w:rsidR="00C0101A" w:rsidRPr="005D3007" w:rsidRDefault="00C0101A" w:rsidP="00C0101A">
      <w:pPr>
        <w:pStyle w:val="Prrafodelista"/>
        <w:numPr>
          <w:ilvl w:val="0"/>
          <w:numId w:val="1"/>
        </w:numPr>
        <w:spacing w:line="360" w:lineRule="auto"/>
        <w:ind w:left="0" w:firstLine="0"/>
        <w:jc w:val="both"/>
        <w:rPr>
          <w:rFonts w:ascii="Palatino Linotype" w:eastAsia="Palatino Linotype" w:hAnsi="Palatino Linotype" w:cs="Palatino Linotype"/>
          <w:sz w:val="24"/>
        </w:rPr>
      </w:pPr>
      <w:r w:rsidRPr="005D3007">
        <w:rPr>
          <w:rFonts w:ascii="Palatino Linotype" w:eastAsia="Palatino Linotype" w:hAnsi="Palatino Linotype" w:cs="Palatino Linotype"/>
          <w:sz w:val="24"/>
        </w:rPr>
        <w:t xml:space="preserve">En este sentido, cabe referir que la Ley de Fiscalización Superior del Estado de México, toda vez que señala que los municipios que conforman el Estado de México, entre ellos el </w:t>
      </w:r>
      <w:r w:rsidRPr="005D3007">
        <w:rPr>
          <w:rFonts w:ascii="Palatino Linotype" w:eastAsia="Palatino Linotype" w:hAnsi="Palatino Linotype" w:cs="Palatino Linotype"/>
          <w:b/>
          <w:sz w:val="24"/>
        </w:rPr>
        <w:t>SUJETO OBLIGADO</w:t>
      </w:r>
      <w:r w:rsidRPr="005D3007">
        <w:rPr>
          <w:rFonts w:ascii="Palatino Linotype" w:eastAsia="Palatino Linotype" w:hAnsi="Palatino Linotype" w:cs="Palatino Linotype"/>
          <w:sz w:val="24"/>
        </w:rPr>
        <w:t>, es considerado como ente fiscalizable, como así lo señala el artículo 4 fracción II de la Ley de Fiscalización Superior del Estado de México, el cual señala:</w:t>
      </w:r>
    </w:p>
    <w:p w:rsidR="00C0101A" w:rsidRPr="005D3007" w:rsidRDefault="00C0101A" w:rsidP="00C0101A">
      <w:pPr>
        <w:ind w:right="616"/>
        <w:jc w:val="both"/>
        <w:rPr>
          <w:rFonts w:ascii="Palatino Linotype" w:eastAsia="Palatino Linotype" w:hAnsi="Palatino Linotype" w:cs="Palatino Linotype"/>
          <w:i/>
          <w:sz w:val="22"/>
        </w:rPr>
      </w:pPr>
    </w:p>
    <w:p w:rsidR="00C0101A" w:rsidRPr="005D3007" w:rsidRDefault="00C0101A" w:rsidP="00C0101A">
      <w:pPr>
        <w:pStyle w:val="Prrafodelista"/>
        <w:ind w:left="567" w:right="616"/>
        <w:jc w:val="both"/>
        <w:rPr>
          <w:rFonts w:ascii="Palatino Linotype" w:eastAsia="Palatino Linotype" w:hAnsi="Palatino Linotype" w:cs="Palatino Linotype"/>
          <w:i/>
        </w:rPr>
      </w:pPr>
      <w:r w:rsidRPr="005D3007">
        <w:rPr>
          <w:rFonts w:ascii="Palatino Linotype" w:eastAsia="Palatino Linotype" w:hAnsi="Palatino Linotype" w:cs="Palatino Linotype"/>
          <w:i/>
        </w:rPr>
        <w:t>“</w:t>
      </w:r>
      <w:r w:rsidRPr="005D3007">
        <w:rPr>
          <w:rFonts w:ascii="Palatino Linotype" w:eastAsia="Palatino Linotype" w:hAnsi="Palatino Linotype" w:cs="Palatino Linotype"/>
          <w:b/>
          <w:i/>
        </w:rPr>
        <w:t>Artículo 4</w:t>
      </w:r>
      <w:r w:rsidRPr="005D3007">
        <w:rPr>
          <w:rFonts w:ascii="Palatino Linotype" w:eastAsia="Palatino Linotype" w:hAnsi="Palatino Linotype" w:cs="Palatino Linotype"/>
          <w:i/>
        </w:rPr>
        <w:t>. Son sujetos de fiscalización:</w:t>
      </w:r>
    </w:p>
    <w:p w:rsidR="00C0101A" w:rsidRPr="005D3007" w:rsidRDefault="00C0101A" w:rsidP="00C0101A">
      <w:pPr>
        <w:pStyle w:val="Prrafodelista"/>
        <w:ind w:left="567" w:right="616"/>
        <w:jc w:val="both"/>
        <w:rPr>
          <w:rFonts w:ascii="Palatino Linotype" w:eastAsia="Palatino Linotype" w:hAnsi="Palatino Linotype" w:cs="Palatino Linotype"/>
          <w:i/>
        </w:rPr>
      </w:pPr>
      <w:r w:rsidRPr="005D3007">
        <w:rPr>
          <w:rFonts w:ascii="Palatino Linotype" w:eastAsia="Palatino Linotype" w:hAnsi="Palatino Linotype" w:cs="Palatino Linotype"/>
          <w:i/>
        </w:rPr>
        <w:t>(…)</w:t>
      </w:r>
    </w:p>
    <w:p w:rsidR="00C0101A" w:rsidRPr="005D3007" w:rsidRDefault="00C0101A" w:rsidP="00C0101A">
      <w:pPr>
        <w:pStyle w:val="Prrafodelista"/>
        <w:ind w:left="567" w:right="616"/>
        <w:jc w:val="both"/>
        <w:rPr>
          <w:rFonts w:ascii="Palatino Linotype" w:eastAsia="Palatino Linotype" w:hAnsi="Palatino Linotype" w:cs="Palatino Linotype"/>
          <w:i/>
        </w:rPr>
      </w:pPr>
      <w:r w:rsidRPr="005D3007">
        <w:rPr>
          <w:rFonts w:ascii="Palatino Linotype" w:eastAsia="Palatino Linotype" w:hAnsi="Palatino Linotype" w:cs="Palatino Linotype"/>
          <w:b/>
          <w:i/>
        </w:rPr>
        <w:t>Los municipios del Estado de México</w:t>
      </w:r>
      <w:r w:rsidRPr="005D3007">
        <w:rPr>
          <w:rFonts w:ascii="Palatino Linotype" w:eastAsia="Palatino Linotype" w:hAnsi="Palatino Linotype" w:cs="Palatino Linotype"/>
          <w:i/>
        </w:rPr>
        <w:t>…”</w:t>
      </w:r>
    </w:p>
    <w:p w:rsidR="00C0101A" w:rsidRPr="005D3007" w:rsidRDefault="00C0101A" w:rsidP="00C0101A">
      <w:pPr>
        <w:pStyle w:val="Prrafodelista"/>
        <w:ind w:left="567" w:right="616"/>
        <w:jc w:val="both"/>
        <w:rPr>
          <w:rFonts w:ascii="Palatino Linotype" w:eastAsia="Palatino Linotype" w:hAnsi="Palatino Linotype" w:cs="Palatino Linotype"/>
          <w:i/>
        </w:rPr>
      </w:pPr>
      <w:r w:rsidRPr="005D3007">
        <w:rPr>
          <w:rFonts w:ascii="Palatino Linotype" w:eastAsia="Palatino Linotype" w:hAnsi="Palatino Linotype" w:cs="Palatino Linotype"/>
          <w:i/>
        </w:rPr>
        <w:t>Asimismo, el ordenamiento legal referido señala en su artículo 8, fracción XI, lo siguiente:</w:t>
      </w:r>
    </w:p>
    <w:p w:rsidR="00C0101A" w:rsidRPr="005D3007" w:rsidRDefault="00C0101A" w:rsidP="00C0101A">
      <w:pPr>
        <w:pStyle w:val="Prrafodelista"/>
        <w:ind w:left="567" w:right="616"/>
        <w:jc w:val="both"/>
        <w:rPr>
          <w:rFonts w:ascii="Palatino Linotype" w:eastAsia="Palatino Linotype" w:hAnsi="Palatino Linotype" w:cs="Palatino Linotype"/>
          <w:i/>
        </w:rPr>
      </w:pPr>
    </w:p>
    <w:p w:rsidR="00C0101A" w:rsidRPr="005D3007" w:rsidRDefault="00C0101A" w:rsidP="00C0101A">
      <w:pPr>
        <w:pStyle w:val="Prrafodelista"/>
        <w:ind w:left="567" w:right="616"/>
        <w:jc w:val="both"/>
        <w:rPr>
          <w:rFonts w:ascii="Palatino Linotype" w:eastAsia="Palatino Linotype" w:hAnsi="Palatino Linotype" w:cs="Palatino Linotype"/>
          <w:i/>
        </w:rPr>
      </w:pPr>
      <w:r w:rsidRPr="005D3007">
        <w:rPr>
          <w:rFonts w:ascii="Palatino Linotype" w:eastAsia="Palatino Linotype" w:hAnsi="Palatino Linotype" w:cs="Palatino Linotype"/>
          <w:b/>
          <w:i/>
        </w:rPr>
        <w:t>“Artículo 8</w:t>
      </w:r>
      <w:r w:rsidRPr="005D3007">
        <w:rPr>
          <w:rFonts w:ascii="Palatino Linotype" w:eastAsia="Palatino Linotype" w:hAnsi="Palatino Linotype" w:cs="Palatino Linotype"/>
          <w:i/>
        </w:rPr>
        <w:t>. El Órgano Superior tendrá las siguientes atribuciones:</w:t>
      </w:r>
    </w:p>
    <w:p w:rsidR="00C0101A" w:rsidRPr="005D3007" w:rsidRDefault="00C0101A" w:rsidP="00C0101A">
      <w:pPr>
        <w:pStyle w:val="Prrafodelista"/>
        <w:ind w:left="567" w:right="616"/>
        <w:jc w:val="both"/>
        <w:rPr>
          <w:rFonts w:ascii="Palatino Linotype" w:eastAsia="Palatino Linotype" w:hAnsi="Palatino Linotype" w:cs="Palatino Linotype"/>
          <w:i/>
        </w:rPr>
      </w:pPr>
      <w:r w:rsidRPr="005D3007">
        <w:rPr>
          <w:rFonts w:ascii="Palatino Linotype" w:eastAsia="Palatino Linotype" w:hAnsi="Palatino Linotype" w:cs="Palatino Linotype"/>
          <w:i/>
        </w:rPr>
        <w:t>(…)</w:t>
      </w:r>
    </w:p>
    <w:p w:rsidR="00C0101A" w:rsidRPr="005D3007" w:rsidRDefault="00C0101A" w:rsidP="00C0101A">
      <w:pPr>
        <w:pStyle w:val="Prrafodelista"/>
        <w:ind w:left="567" w:right="616"/>
        <w:jc w:val="both"/>
        <w:rPr>
          <w:rFonts w:ascii="Palatino Linotype" w:eastAsia="Palatino Linotype" w:hAnsi="Palatino Linotype" w:cs="Palatino Linotype"/>
          <w:i/>
        </w:rPr>
      </w:pPr>
      <w:r w:rsidRPr="005D3007">
        <w:rPr>
          <w:rFonts w:ascii="Palatino Linotype" w:eastAsia="Palatino Linotype" w:hAnsi="Palatino Linotype" w:cs="Palatino Linotype"/>
          <w:b/>
          <w:i/>
        </w:rPr>
        <w:t>XI.</w:t>
      </w:r>
      <w:r w:rsidRPr="005D3007">
        <w:rPr>
          <w:rFonts w:ascii="Palatino Linotype" w:eastAsia="Palatino Linotype" w:hAnsi="Palatino Linotype" w:cs="Palatino Linotype"/>
          <w:i/>
        </w:rPr>
        <w:t xml:space="preserve"> </w:t>
      </w:r>
      <w:r w:rsidRPr="005D3007">
        <w:rPr>
          <w:rFonts w:ascii="Palatino Linotype" w:eastAsia="Palatino Linotype" w:hAnsi="Palatino Linotype" w:cs="Palatino Linotype"/>
          <w:b/>
          <w:i/>
        </w:rPr>
        <w:t>Establecer los lineamientos, criterios, procedimientos, métodos y sistemas para las acciones de control y evaluación, necesarios para la fiscalización de las cuentas públicas y los informes trimestrales</w:t>
      </w:r>
      <w:r w:rsidRPr="005D3007">
        <w:rPr>
          <w:rFonts w:ascii="Palatino Linotype" w:eastAsia="Palatino Linotype" w:hAnsi="Palatino Linotype" w:cs="Palatino Linotype"/>
          <w:i/>
        </w:rPr>
        <w:t>…”</w:t>
      </w:r>
    </w:p>
    <w:p w:rsidR="00C0101A" w:rsidRPr="005D3007" w:rsidRDefault="00C0101A" w:rsidP="00C0101A">
      <w:pPr>
        <w:pStyle w:val="Prrafodelista"/>
        <w:ind w:left="567" w:right="616"/>
        <w:jc w:val="both"/>
        <w:rPr>
          <w:rFonts w:ascii="Palatino Linotype" w:eastAsia="Palatino Linotype" w:hAnsi="Palatino Linotype" w:cs="Palatino Linotype"/>
          <w:i/>
        </w:rPr>
      </w:pPr>
    </w:p>
    <w:p w:rsidR="00C0101A" w:rsidRPr="005D3007" w:rsidRDefault="00C0101A" w:rsidP="00C0101A">
      <w:pPr>
        <w:pStyle w:val="Prrafodelista"/>
        <w:ind w:left="567" w:right="616"/>
        <w:jc w:val="both"/>
        <w:rPr>
          <w:rFonts w:ascii="Palatino Linotype" w:eastAsia="Palatino Linotype" w:hAnsi="Palatino Linotype" w:cs="Palatino Linotype"/>
          <w:i/>
        </w:rPr>
      </w:pPr>
      <w:r w:rsidRPr="005D3007">
        <w:rPr>
          <w:rFonts w:ascii="Palatino Linotype" w:eastAsia="Palatino Linotype" w:hAnsi="Palatino Linotype" w:cs="Palatino Linotype"/>
          <w:b/>
          <w:i/>
        </w:rPr>
        <w:t>(Énfasis Añadido)</w:t>
      </w:r>
    </w:p>
    <w:p w:rsidR="00C0101A" w:rsidRPr="005D3007" w:rsidRDefault="00C0101A" w:rsidP="00C0101A">
      <w:pPr>
        <w:spacing w:line="360" w:lineRule="auto"/>
        <w:ind w:right="902"/>
        <w:jc w:val="both"/>
        <w:rPr>
          <w:rFonts w:ascii="Palatino Linotype" w:eastAsia="Palatino Linotype" w:hAnsi="Palatino Linotype" w:cs="Palatino Linotype"/>
          <w:i/>
        </w:rPr>
      </w:pPr>
    </w:p>
    <w:p w:rsidR="00C0101A" w:rsidRPr="005D3007" w:rsidRDefault="00C0101A" w:rsidP="00C0101A">
      <w:pPr>
        <w:pStyle w:val="Prrafodelista"/>
        <w:numPr>
          <w:ilvl w:val="0"/>
          <w:numId w:val="1"/>
        </w:numPr>
        <w:spacing w:line="360" w:lineRule="auto"/>
        <w:ind w:left="0" w:firstLine="0"/>
        <w:jc w:val="both"/>
        <w:rPr>
          <w:rFonts w:ascii="Palatino Linotype" w:eastAsia="Palatino Linotype" w:hAnsi="Palatino Linotype" w:cs="Palatino Linotype"/>
          <w:sz w:val="24"/>
        </w:rPr>
      </w:pPr>
      <w:r w:rsidRPr="005D3007">
        <w:rPr>
          <w:rFonts w:ascii="Palatino Linotype" w:eastAsia="Palatino Linotype" w:hAnsi="Palatino Linotype" w:cs="Palatino Linotype"/>
          <w:sz w:val="24"/>
        </w:rPr>
        <w:lastRenderedPageBreak/>
        <w:t>En esta tesitura, los “Lineamientos para la integración y entrega del I</w:t>
      </w:r>
      <w:r w:rsidR="00343DB3" w:rsidRPr="005D3007">
        <w:rPr>
          <w:rFonts w:ascii="Palatino Linotype" w:eastAsia="Palatino Linotype" w:hAnsi="Palatino Linotype" w:cs="Palatino Linotype"/>
          <w:sz w:val="24"/>
        </w:rPr>
        <w:t>nforme Trimestral Municipal 2023</w:t>
      </w:r>
      <w:r w:rsidRPr="005D3007">
        <w:rPr>
          <w:rFonts w:ascii="Palatino Linotype" w:eastAsia="Palatino Linotype" w:hAnsi="Palatino Linotype" w:cs="Palatino Linotype"/>
          <w:sz w:val="24"/>
        </w:rPr>
        <w:t>”, emitidos por el Órgano Superior de Fiscalización del Estado de México, OSFEM, mismos que establecen los criterios, formatos y documentación necesaria para presentar los informes trimestrales por parte de los entes fiscalizables, integrando la información en cuatro Módulos que contienen la información que se detalla a continuación:</w:t>
      </w:r>
    </w:p>
    <w:p w:rsidR="00C0101A" w:rsidRPr="005D3007" w:rsidRDefault="00C0101A" w:rsidP="00C0101A">
      <w:pPr>
        <w:pStyle w:val="Prrafodelista"/>
        <w:spacing w:line="360" w:lineRule="auto"/>
        <w:ind w:left="0"/>
        <w:jc w:val="both"/>
        <w:rPr>
          <w:rFonts w:ascii="Palatino Linotype" w:eastAsia="Palatino Linotype" w:hAnsi="Palatino Linotype" w:cs="Palatino Linotype"/>
        </w:rPr>
      </w:pPr>
    </w:p>
    <w:p w:rsidR="00C0101A" w:rsidRPr="005D3007" w:rsidRDefault="00385771" w:rsidP="00C0101A">
      <w:pPr>
        <w:spacing w:line="360" w:lineRule="auto"/>
        <w:ind w:left="284"/>
        <w:jc w:val="center"/>
        <w:rPr>
          <w:rFonts w:ascii="Palatino Linotype" w:eastAsia="Palatino Linotype" w:hAnsi="Palatino Linotype" w:cs="Palatino Linotype"/>
        </w:rPr>
      </w:pPr>
      <w:r w:rsidRPr="005D3007">
        <w:rPr>
          <w:noProof/>
        </w:rPr>
        <w:drawing>
          <wp:inline distT="0" distB="0" distL="0" distR="0" wp14:anchorId="247BCA15" wp14:editId="1B7837E8">
            <wp:extent cx="3371372" cy="200025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834" t="25359" r="24536" b="12719"/>
                    <a:stretch/>
                  </pic:blipFill>
                  <pic:spPr bwMode="auto">
                    <a:xfrm>
                      <a:off x="0" y="0"/>
                      <a:ext cx="3378350" cy="2004390"/>
                    </a:xfrm>
                    <a:prstGeom prst="rect">
                      <a:avLst/>
                    </a:prstGeom>
                    <a:ln>
                      <a:noFill/>
                    </a:ln>
                    <a:extLst>
                      <a:ext uri="{53640926-AAD7-44D8-BBD7-CCE9431645EC}">
                        <a14:shadowObscured xmlns:a14="http://schemas.microsoft.com/office/drawing/2010/main"/>
                      </a:ext>
                    </a:extLst>
                  </pic:spPr>
                </pic:pic>
              </a:graphicData>
            </a:graphic>
          </wp:inline>
        </w:drawing>
      </w:r>
    </w:p>
    <w:p w:rsidR="00C0101A" w:rsidRPr="005D3007" w:rsidRDefault="00C0101A" w:rsidP="00C0101A">
      <w:pPr>
        <w:spacing w:line="360" w:lineRule="auto"/>
        <w:ind w:left="284"/>
        <w:jc w:val="center"/>
        <w:rPr>
          <w:rFonts w:ascii="Palatino Linotype" w:eastAsia="Palatino Linotype" w:hAnsi="Palatino Linotype" w:cs="Palatino Linotype"/>
        </w:rPr>
      </w:pPr>
    </w:p>
    <w:p w:rsidR="00C0101A" w:rsidRPr="005D3007" w:rsidRDefault="00C0101A" w:rsidP="00385771">
      <w:pPr>
        <w:pStyle w:val="Prrafodelista"/>
        <w:numPr>
          <w:ilvl w:val="0"/>
          <w:numId w:val="1"/>
        </w:numPr>
        <w:spacing w:line="360" w:lineRule="auto"/>
        <w:ind w:left="0" w:firstLine="0"/>
        <w:jc w:val="both"/>
        <w:rPr>
          <w:rFonts w:ascii="Palatino Linotype" w:eastAsia="Palatino Linotype" w:hAnsi="Palatino Linotype" w:cs="Palatino Linotype"/>
          <w:sz w:val="24"/>
        </w:rPr>
      </w:pPr>
      <w:r w:rsidRPr="005D3007">
        <w:rPr>
          <w:rFonts w:ascii="Palatino Linotype" w:eastAsia="Palatino Linotype" w:hAnsi="Palatino Linotype" w:cs="Palatino Linotype"/>
          <w:sz w:val="24"/>
        </w:rPr>
        <w:t>A su vez, los Módulos se dividen en submódulos, de los que destaca, en relación con el análisis que nos ocupa, el submódulo relativo a “Pólizas”</w:t>
      </w:r>
      <w:r w:rsidR="00385771" w:rsidRPr="005D3007">
        <w:rPr>
          <w:rFonts w:ascii="Palatino Linotype" w:eastAsia="Palatino Linotype" w:hAnsi="Palatino Linotype" w:cs="Palatino Linotype"/>
          <w:sz w:val="24"/>
        </w:rPr>
        <w:t xml:space="preserve"> del Módulo 1, que </w:t>
      </w:r>
      <w:r w:rsidRPr="005D3007">
        <w:rPr>
          <w:rFonts w:ascii="Palatino Linotype" w:eastAsia="Palatino Linotype" w:hAnsi="Palatino Linotype" w:cs="Palatino Linotype"/>
          <w:sz w:val="24"/>
        </w:rPr>
        <w:t xml:space="preserve">se integra por las pólizas de ingresos, las pólizas de diario, y las pólizas de egresos y las pólizas de cheque, </w:t>
      </w:r>
      <w:r w:rsidRPr="005D3007">
        <w:rPr>
          <w:rFonts w:ascii="Palatino Linotype" w:eastAsia="Palatino Linotype" w:hAnsi="Palatino Linotype" w:cs="Palatino Linotype"/>
          <w:b/>
          <w:sz w:val="24"/>
        </w:rPr>
        <w:t>cada tipo con los respectivos documentos comprobatorios</w:t>
      </w:r>
      <w:r w:rsidRPr="005D3007">
        <w:rPr>
          <w:rFonts w:ascii="Palatino Linotype" w:eastAsia="Palatino Linotype" w:hAnsi="Palatino Linotype" w:cs="Palatino Linotype"/>
          <w:sz w:val="24"/>
        </w:rPr>
        <w:t>, información que se debe grabar en 3 discos compactos, cad</w:t>
      </w:r>
      <w:r w:rsidR="00385771" w:rsidRPr="005D3007">
        <w:rPr>
          <w:rFonts w:ascii="Palatino Linotype" w:eastAsia="Palatino Linotype" w:hAnsi="Palatino Linotype" w:cs="Palatino Linotype"/>
          <w:sz w:val="24"/>
        </w:rPr>
        <w:t xml:space="preserve">a uno con un mes del trimestre. </w:t>
      </w:r>
      <w:bookmarkStart w:id="23" w:name="_heading=h.35nkun2" w:colFirst="0" w:colLast="0"/>
      <w:bookmarkEnd w:id="23"/>
      <w:r w:rsidRPr="005D3007">
        <w:rPr>
          <w:rFonts w:ascii="Palatino Linotype" w:eastAsia="Palatino Linotype" w:hAnsi="Palatino Linotype" w:cs="Palatino Linotype"/>
          <w:sz w:val="24"/>
        </w:rPr>
        <w:t xml:space="preserve">Así, la información de mérito forman parte del informe trimestral que el </w:t>
      </w:r>
      <w:r w:rsidRPr="005D3007">
        <w:rPr>
          <w:rFonts w:ascii="Palatino Linotype" w:hAnsi="Palatino Linotype"/>
          <w:b/>
          <w:bCs/>
          <w:color w:val="000000"/>
          <w:sz w:val="24"/>
        </w:rPr>
        <w:t xml:space="preserve">Ayuntamiento de </w:t>
      </w:r>
      <w:r w:rsidR="00343DB3" w:rsidRPr="005D3007">
        <w:rPr>
          <w:rFonts w:ascii="Palatino Linotype" w:hAnsi="Palatino Linotype"/>
          <w:b/>
          <w:bCs/>
          <w:color w:val="000000"/>
          <w:sz w:val="24"/>
        </w:rPr>
        <w:t>Chimalhuacán</w:t>
      </w:r>
      <w:r w:rsidRPr="005D3007">
        <w:rPr>
          <w:rFonts w:ascii="Palatino Linotype" w:eastAsia="Palatino Linotype" w:hAnsi="Palatino Linotype" w:cs="Palatino Linotype"/>
          <w:sz w:val="24"/>
        </w:rPr>
        <w:t xml:space="preserve"> debe remitir al OSFEM, de manera trimestral.</w:t>
      </w:r>
    </w:p>
    <w:p w:rsidR="00C0101A" w:rsidRPr="005D3007" w:rsidRDefault="00C0101A" w:rsidP="00C0101A">
      <w:pPr>
        <w:spacing w:line="360" w:lineRule="auto"/>
        <w:jc w:val="both"/>
        <w:rPr>
          <w:rFonts w:ascii="Palatino Linotype" w:eastAsia="Palatino Linotype" w:hAnsi="Palatino Linotype" w:cs="Palatino Linotype"/>
          <w:sz w:val="28"/>
        </w:rPr>
      </w:pPr>
    </w:p>
    <w:p w:rsidR="00C0101A" w:rsidRPr="005D3007" w:rsidRDefault="00C0101A" w:rsidP="00C0101A">
      <w:pPr>
        <w:pStyle w:val="Prrafodelista"/>
        <w:numPr>
          <w:ilvl w:val="0"/>
          <w:numId w:val="1"/>
        </w:numPr>
        <w:spacing w:line="360" w:lineRule="auto"/>
        <w:ind w:left="0" w:firstLine="0"/>
        <w:jc w:val="both"/>
        <w:rPr>
          <w:rFonts w:ascii="Palatino Linotype" w:eastAsia="Palatino Linotype" w:hAnsi="Palatino Linotype" w:cs="Palatino Linotype"/>
          <w:b/>
          <w:sz w:val="24"/>
        </w:rPr>
      </w:pPr>
      <w:r w:rsidRPr="005D3007">
        <w:rPr>
          <w:rFonts w:ascii="Palatino Linotype" w:eastAsia="Palatino Linotype" w:hAnsi="Palatino Linotype" w:cs="Palatino Linotype"/>
          <w:sz w:val="24"/>
        </w:rPr>
        <w:t xml:space="preserve">Ahora bien, los documentos comprobatorios de las pólizas de egresos y las pólizas de cheque, deben encontrarse digitalizados para dar cumplimiento a la </w:t>
      </w:r>
      <w:r w:rsidRPr="005D3007">
        <w:rPr>
          <w:rFonts w:ascii="Palatino Linotype" w:eastAsia="Palatino Linotype" w:hAnsi="Palatino Linotype" w:cs="Palatino Linotype"/>
          <w:sz w:val="24"/>
        </w:rPr>
        <w:lastRenderedPageBreak/>
        <w:t xml:space="preserve">obligación fiscal prevista en la normativa, ya que las facturas de pago pudieran encontrarse en formato físico, también lo es que dichas documentales, al formar parte de los informes trimestrales que el </w:t>
      </w:r>
      <w:r w:rsidRPr="005D3007">
        <w:rPr>
          <w:rFonts w:ascii="Palatino Linotype" w:eastAsia="Palatino Linotype" w:hAnsi="Palatino Linotype" w:cs="Palatino Linotype"/>
          <w:b/>
          <w:sz w:val="24"/>
        </w:rPr>
        <w:t>SUJETO OBLIGADO</w:t>
      </w:r>
      <w:r w:rsidRPr="005D3007">
        <w:rPr>
          <w:rFonts w:ascii="Palatino Linotype" w:eastAsia="Palatino Linotype" w:hAnsi="Palatino Linotype" w:cs="Palatino Linotype"/>
          <w:sz w:val="24"/>
        </w:rPr>
        <w:t xml:space="preserve"> como ente fiscalizable, remire al OSFEM, deben encontrarse en formato digital y además deben estar plenamente identificables en los discos respectivos que integran el Modulo 1 del Informe Trimestral.</w:t>
      </w:r>
    </w:p>
    <w:p w:rsidR="00C0101A" w:rsidRPr="005D3007" w:rsidRDefault="00C0101A" w:rsidP="00C0101A">
      <w:pPr>
        <w:spacing w:line="360" w:lineRule="auto"/>
        <w:jc w:val="both"/>
        <w:rPr>
          <w:rFonts w:ascii="Palatino Linotype" w:eastAsia="Palatino Linotype" w:hAnsi="Palatino Linotype" w:cs="Palatino Linotype"/>
          <w:b/>
          <w:sz w:val="28"/>
        </w:rPr>
      </w:pPr>
    </w:p>
    <w:p w:rsidR="00C0101A" w:rsidRPr="005D3007" w:rsidRDefault="00C0101A" w:rsidP="00385771">
      <w:pPr>
        <w:pStyle w:val="Prrafodelista"/>
        <w:numPr>
          <w:ilvl w:val="0"/>
          <w:numId w:val="1"/>
        </w:numPr>
        <w:spacing w:line="360" w:lineRule="auto"/>
        <w:ind w:left="0" w:firstLine="0"/>
        <w:jc w:val="both"/>
        <w:rPr>
          <w:rFonts w:ascii="Palatino Linotype" w:eastAsia="Palatino Linotype" w:hAnsi="Palatino Linotype" w:cs="Palatino Linotype"/>
        </w:rPr>
      </w:pPr>
      <w:r w:rsidRPr="005D3007">
        <w:rPr>
          <w:rFonts w:ascii="Palatino Linotype" w:eastAsia="Palatino Linotype" w:hAnsi="Palatino Linotype" w:cs="Palatino Linotype"/>
          <w:sz w:val="24"/>
        </w:rPr>
        <w:t>Para sustentar lo anterior es preciso mencionar que</w:t>
      </w:r>
      <w:bookmarkStart w:id="24" w:name="_heading=h.1ksv4uv" w:colFirst="0" w:colLast="0"/>
      <w:bookmarkEnd w:id="24"/>
      <w:r w:rsidRPr="005D3007">
        <w:rPr>
          <w:rFonts w:ascii="Palatino Linotype" w:eastAsia="Palatino Linotype" w:hAnsi="Palatino Linotype" w:cs="Palatino Linotype"/>
          <w:sz w:val="24"/>
        </w:rPr>
        <w:t xml:space="preserve"> el Instructivo del Módulo 1, establece los formatos así como el instructivo de llenado para el adecuado cumplimiento de la presentación del Informe, del cual se desprende que el formato correspondiente a las Pólizas de egresos y las Pólizas de cheque, debe contener en el apartado de “Descripción”, de manera breve y especifica </w:t>
      </w:r>
      <w:r w:rsidR="00385771" w:rsidRPr="005D3007">
        <w:rPr>
          <w:rFonts w:ascii="Palatino Linotype" w:eastAsia="Palatino Linotype" w:hAnsi="Palatino Linotype" w:cs="Palatino Linotype"/>
          <w:sz w:val="24"/>
        </w:rPr>
        <w:t>el hecho que generó el asiento</w:t>
      </w:r>
      <w:r w:rsidRPr="005D3007">
        <w:rPr>
          <w:rFonts w:ascii="Palatino Linotype" w:eastAsia="Palatino Linotype" w:hAnsi="Palatino Linotype" w:cs="Palatino Linotype"/>
          <w:sz w:val="24"/>
        </w:rPr>
        <w:t>, en la descripción de la póliza de debe referir el número de Comprobantes Fiscales Digitales por Internet, CFDI´s, que integran la póliza.</w:t>
      </w:r>
    </w:p>
    <w:p w:rsidR="00C0101A" w:rsidRPr="005D3007" w:rsidRDefault="00C0101A" w:rsidP="00C0101A">
      <w:pPr>
        <w:pStyle w:val="Prrafodelista"/>
        <w:spacing w:line="360" w:lineRule="auto"/>
        <w:ind w:left="644"/>
        <w:jc w:val="both"/>
        <w:rPr>
          <w:rFonts w:ascii="Palatino Linotype" w:eastAsia="Palatino Linotype" w:hAnsi="Palatino Linotype" w:cs="Palatino Linotype"/>
          <w:sz w:val="24"/>
        </w:rPr>
      </w:pPr>
    </w:p>
    <w:p w:rsidR="00C0101A" w:rsidRPr="005D3007" w:rsidRDefault="00C0101A" w:rsidP="00C0101A">
      <w:pPr>
        <w:pStyle w:val="Prrafodelista"/>
        <w:numPr>
          <w:ilvl w:val="0"/>
          <w:numId w:val="1"/>
        </w:numPr>
        <w:spacing w:line="360" w:lineRule="auto"/>
        <w:ind w:left="0" w:firstLine="0"/>
        <w:jc w:val="both"/>
        <w:rPr>
          <w:rFonts w:ascii="Palatino Linotype" w:hAnsi="Palatino Linotype" w:cs="Arial"/>
          <w:b/>
          <w:bCs/>
          <w:color w:val="000000"/>
          <w:sz w:val="24"/>
          <w:lang w:val="es-ES"/>
        </w:rPr>
      </w:pPr>
      <w:r w:rsidRPr="005D3007">
        <w:rPr>
          <w:rFonts w:ascii="Palatino Linotype" w:hAnsi="Palatino Linotype" w:cs="Arial"/>
          <w:bCs/>
          <w:color w:val="000000"/>
          <w:sz w:val="24"/>
          <w:lang w:val="es-ES"/>
        </w:rPr>
        <w:t xml:space="preserve">Así, </w:t>
      </w:r>
      <w:r w:rsidRPr="005D3007">
        <w:rPr>
          <w:rFonts w:ascii="Palatino Linotype" w:hAnsi="Palatino Linotype" w:cs="Arial"/>
          <w:b/>
          <w:bCs/>
          <w:color w:val="000000"/>
          <w:sz w:val="24"/>
          <w:lang w:val="es-ES"/>
        </w:rPr>
        <w:t>relativo a las facturas</w:t>
      </w:r>
      <w:r w:rsidRPr="005D3007">
        <w:rPr>
          <w:rFonts w:ascii="Palatino Linotype" w:hAnsi="Palatino Linotype" w:cs="Arial"/>
          <w:bCs/>
          <w:color w:val="000000"/>
          <w:sz w:val="24"/>
          <w:lang w:val="es-ES"/>
        </w:rPr>
        <w:t xml:space="preserve">, es de señalar que de conformidad con lo dispuesto por los artículos 29 y 29-A del Código Fiscal de la Federación; así como, por la </w:t>
      </w:r>
      <w:r w:rsidRPr="005D3007">
        <w:rPr>
          <w:rFonts w:ascii="Palatino Linotype" w:eastAsia="Palatino Linotype" w:hAnsi="Palatino Linotype" w:cs="Palatino Linotype"/>
          <w:sz w:val="24"/>
        </w:rPr>
        <w:t>Resolución</w:t>
      </w:r>
      <w:r w:rsidRPr="005D3007">
        <w:rPr>
          <w:rFonts w:ascii="Palatino Linotype" w:hAnsi="Palatino Linotype" w:cs="Arial"/>
          <w:bCs/>
          <w:color w:val="000000"/>
          <w:sz w:val="24"/>
          <w:lang w:val="es-ES"/>
        </w:rPr>
        <w:t xml:space="preserve"> Miscelánea Fiscal vigente y en tención a la información publicada por el Servicio de Administración Tributaria (SAT), ubicable en la liga electrónica: </w:t>
      </w:r>
      <w:hyperlink r:id="rId8" w:history="1">
        <w:r w:rsidRPr="005D3007">
          <w:rPr>
            <w:rStyle w:val="Hipervnculo"/>
            <w:rFonts w:ascii="Palatino Linotype" w:hAnsi="Palatino Linotype" w:cs="Arial"/>
            <w:bCs/>
            <w:sz w:val="24"/>
            <w:lang w:val="es-ES"/>
          </w:rPr>
          <w:t>http://omawww.sat.gob.mx/factura/Paginas/solicita_requisitos.htm</w:t>
        </w:r>
      </w:hyperlink>
      <w:r w:rsidRPr="005D3007">
        <w:rPr>
          <w:rFonts w:ascii="Palatino Linotype" w:hAnsi="Palatino Linotype" w:cs="Arial"/>
          <w:bCs/>
          <w:color w:val="000000"/>
          <w:sz w:val="24"/>
          <w:lang w:val="es-ES"/>
        </w:rPr>
        <w:t xml:space="preserve">, las </w:t>
      </w:r>
      <w:r w:rsidRPr="005D3007">
        <w:rPr>
          <w:rFonts w:ascii="Palatino Linotype" w:hAnsi="Palatino Linotype" w:cs="Arial"/>
          <w:b/>
          <w:bCs/>
          <w:color w:val="000000"/>
          <w:sz w:val="24"/>
          <w:lang w:val="es-ES"/>
        </w:rPr>
        <w:t>facturas deben reunir los siguientes requisitos:</w:t>
      </w:r>
    </w:p>
    <w:p w:rsidR="00C0101A" w:rsidRPr="005D3007" w:rsidRDefault="00C0101A" w:rsidP="00C0101A">
      <w:pPr>
        <w:pStyle w:val="Prrafodelista"/>
        <w:spacing w:line="360" w:lineRule="auto"/>
        <w:ind w:left="0"/>
        <w:jc w:val="both"/>
        <w:rPr>
          <w:rFonts w:ascii="Palatino Linotype" w:hAnsi="Palatino Linotype" w:cs="Arial"/>
          <w:bCs/>
          <w:color w:val="000000"/>
          <w:lang w:val="es-ES"/>
        </w:rPr>
      </w:pPr>
    </w:p>
    <w:tbl>
      <w:tblPr>
        <w:tblW w:w="4536" w:type="pct"/>
        <w:jc w:val="center"/>
        <w:tblBorders>
          <w:top w:val="single" w:sz="4" w:space="0" w:color="auto"/>
          <w:left w:val="single" w:sz="4" w:space="0" w:color="auto"/>
          <w:bottom w:val="single" w:sz="4" w:space="0" w:color="auto"/>
          <w:right w:val="single" w:sz="4" w:space="0" w:color="auto"/>
        </w:tblBorders>
        <w:tblCellMar>
          <w:top w:w="75" w:type="dxa"/>
          <w:left w:w="75" w:type="dxa"/>
          <w:bottom w:w="75" w:type="dxa"/>
          <w:right w:w="75" w:type="dxa"/>
        </w:tblCellMar>
        <w:tblLook w:val="04A0" w:firstRow="1" w:lastRow="0" w:firstColumn="1" w:lastColumn="0" w:noHBand="0" w:noVBand="1"/>
      </w:tblPr>
      <w:tblGrid>
        <w:gridCol w:w="421"/>
        <w:gridCol w:w="7775"/>
      </w:tblGrid>
      <w:tr w:rsidR="00C0101A" w:rsidRPr="005D3007" w:rsidTr="00802FFF">
        <w:trPr>
          <w:jc w:val="center"/>
        </w:trPr>
        <w:tc>
          <w:tcPr>
            <w:tcW w:w="257" w:type="pct"/>
            <w:tcMar>
              <w:top w:w="0" w:type="dxa"/>
              <w:left w:w="0" w:type="dxa"/>
              <w:bottom w:w="0" w:type="dxa"/>
              <w:right w:w="0" w:type="dxa"/>
            </w:tcMar>
            <w:hideMark/>
          </w:tcPr>
          <w:p w:rsidR="00C0101A" w:rsidRPr="005D3007" w:rsidRDefault="00C0101A" w:rsidP="00802FFF">
            <w:pPr>
              <w:jc w:val="both"/>
              <w:rPr>
                <w:rFonts w:ascii="Palatino Linotype" w:hAnsi="Palatino Linotype" w:cs="Arial"/>
                <w:bCs/>
                <w:color w:val="000000"/>
                <w:sz w:val="20"/>
                <w:szCs w:val="20"/>
              </w:rPr>
            </w:pPr>
            <w:r w:rsidRPr="005D3007">
              <w:rPr>
                <w:rFonts w:ascii="Palatino Linotype" w:hAnsi="Palatino Linotype" w:cs="Arial"/>
                <w:b/>
                <w:bCs/>
                <w:color w:val="000000"/>
                <w:sz w:val="20"/>
                <w:szCs w:val="20"/>
              </w:rPr>
              <w:t>•</w:t>
            </w:r>
          </w:p>
        </w:tc>
        <w:tc>
          <w:tcPr>
            <w:tcW w:w="4743" w:type="pct"/>
            <w:tcMar>
              <w:top w:w="0" w:type="dxa"/>
              <w:left w:w="0" w:type="dxa"/>
              <w:bottom w:w="0" w:type="dxa"/>
              <w:right w:w="0" w:type="dxa"/>
            </w:tcMar>
            <w:hideMark/>
          </w:tcPr>
          <w:p w:rsidR="00C0101A" w:rsidRPr="005D3007" w:rsidRDefault="00C0101A" w:rsidP="00802FFF">
            <w:pPr>
              <w:ind w:right="901"/>
              <w:jc w:val="both"/>
              <w:rPr>
                <w:rFonts w:ascii="Palatino Linotype" w:hAnsi="Palatino Linotype" w:cs="Arial"/>
                <w:bCs/>
                <w:color w:val="000000"/>
                <w:sz w:val="20"/>
                <w:szCs w:val="20"/>
              </w:rPr>
            </w:pPr>
            <w:r w:rsidRPr="005D3007">
              <w:rPr>
                <w:rFonts w:ascii="Palatino Linotype" w:hAnsi="Palatino Linotype" w:cs="Arial"/>
                <w:bCs/>
                <w:color w:val="000000"/>
                <w:sz w:val="20"/>
                <w:szCs w:val="20"/>
              </w:rPr>
              <w:t>Clave del Registro Federal de Contribuyentes de quien los expida.</w:t>
            </w:r>
          </w:p>
        </w:tc>
      </w:tr>
      <w:tr w:rsidR="00C0101A" w:rsidRPr="005D3007" w:rsidTr="00802FFF">
        <w:trPr>
          <w:jc w:val="center"/>
        </w:trPr>
        <w:tc>
          <w:tcPr>
            <w:tcW w:w="257" w:type="pct"/>
            <w:tcMar>
              <w:top w:w="0" w:type="dxa"/>
              <w:left w:w="0" w:type="dxa"/>
              <w:bottom w:w="0" w:type="dxa"/>
              <w:right w:w="0" w:type="dxa"/>
            </w:tcMar>
            <w:hideMark/>
          </w:tcPr>
          <w:p w:rsidR="00C0101A" w:rsidRPr="005D3007" w:rsidRDefault="00C0101A" w:rsidP="00802FFF">
            <w:pPr>
              <w:jc w:val="both"/>
              <w:rPr>
                <w:rFonts w:ascii="Palatino Linotype" w:hAnsi="Palatino Linotype" w:cs="Arial"/>
                <w:bCs/>
                <w:color w:val="000000"/>
                <w:sz w:val="20"/>
                <w:szCs w:val="20"/>
              </w:rPr>
            </w:pPr>
            <w:r w:rsidRPr="005D3007">
              <w:rPr>
                <w:rFonts w:ascii="Palatino Linotype" w:hAnsi="Palatino Linotype" w:cs="Arial"/>
                <w:b/>
                <w:bCs/>
                <w:color w:val="000000"/>
                <w:sz w:val="20"/>
                <w:szCs w:val="20"/>
              </w:rPr>
              <w:t>•</w:t>
            </w:r>
          </w:p>
        </w:tc>
        <w:tc>
          <w:tcPr>
            <w:tcW w:w="4743" w:type="pct"/>
            <w:tcMar>
              <w:top w:w="0" w:type="dxa"/>
              <w:left w:w="0" w:type="dxa"/>
              <w:bottom w:w="0" w:type="dxa"/>
              <w:right w:w="0" w:type="dxa"/>
            </w:tcMar>
            <w:hideMark/>
          </w:tcPr>
          <w:p w:rsidR="00C0101A" w:rsidRPr="005D3007" w:rsidRDefault="00C0101A" w:rsidP="00802FFF">
            <w:pPr>
              <w:ind w:right="901"/>
              <w:jc w:val="both"/>
              <w:rPr>
                <w:rFonts w:ascii="Palatino Linotype" w:hAnsi="Palatino Linotype" w:cs="Arial"/>
                <w:bCs/>
                <w:color w:val="000000"/>
                <w:sz w:val="20"/>
                <w:szCs w:val="20"/>
              </w:rPr>
            </w:pPr>
            <w:r w:rsidRPr="005D3007">
              <w:rPr>
                <w:rFonts w:ascii="Palatino Linotype" w:hAnsi="Palatino Linotype" w:cs="Arial"/>
                <w:bCs/>
                <w:color w:val="000000"/>
                <w:sz w:val="20"/>
                <w:szCs w:val="20"/>
              </w:rPr>
              <w:t>Régimen Fiscal en que tributen conforme a la Ley del ISR.</w:t>
            </w:r>
          </w:p>
        </w:tc>
      </w:tr>
      <w:tr w:rsidR="00C0101A" w:rsidRPr="005D3007" w:rsidTr="00802FFF">
        <w:trPr>
          <w:jc w:val="center"/>
        </w:trPr>
        <w:tc>
          <w:tcPr>
            <w:tcW w:w="257" w:type="pct"/>
            <w:tcMar>
              <w:top w:w="0" w:type="dxa"/>
              <w:left w:w="0" w:type="dxa"/>
              <w:bottom w:w="0" w:type="dxa"/>
              <w:right w:w="0" w:type="dxa"/>
            </w:tcMar>
            <w:hideMark/>
          </w:tcPr>
          <w:p w:rsidR="00C0101A" w:rsidRPr="005D3007" w:rsidRDefault="00C0101A" w:rsidP="00802FFF">
            <w:pPr>
              <w:jc w:val="both"/>
              <w:rPr>
                <w:rFonts w:ascii="Palatino Linotype" w:hAnsi="Palatino Linotype" w:cs="Arial"/>
                <w:bCs/>
                <w:color w:val="000000"/>
                <w:sz w:val="20"/>
                <w:szCs w:val="20"/>
              </w:rPr>
            </w:pPr>
            <w:r w:rsidRPr="005D3007">
              <w:rPr>
                <w:rFonts w:ascii="Palatino Linotype" w:hAnsi="Palatino Linotype" w:cs="Arial"/>
                <w:b/>
                <w:bCs/>
                <w:color w:val="000000"/>
                <w:sz w:val="20"/>
                <w:szCs w:val="20"/>
              </w:rPr>
              <w:t>•</w:t>
            </w:r>
          </w:p>
        </w:tc>
        <w:tc>
          <w:tcPr>
            <w:tcW w:w="4743" w:type="pct"/>
            <w:tcMar>
              <w:top w:w="0" w:type="dxa"/>
              <w:left w:w="0" w:type="dxa"/>
              <w:bottom w:w="0" w:type="dxa"/>
              <w:right w:w="0" w:type="dxa"/>
            </w:tcMar>
            <w:hideMark/>
          </w:tcPr>
          <w:p w:rsidR="00C0101A" w:rsidRPr="005D3007" w:rsidRDefault="00C0101A" w:rsidP="00802FFF">
            <w:pPr>
              <w:ind w:right="901"/>
              <w:jc w:val="both"/>
              <w:rPr>
                <w:rFonts w:ascii="Palatino Linotype" w:hAnsi="Palatino Linotype" w:cs="Arial"/>
                <w:bCs/>
                <w:color w:val="000000"/>
                <w:sz w:val="20"/>
                <w:szCs w:val="20"/>
              </w:rPr>
            </w:pPr>
            <w:r w:rsidRPr="005D3007">
              <w:rPr>
                <w:rFonts w:ascii="Palatino Linotype" w:hAnsi="Palatino Linotype" w:cs="Arial"/>
                <w:bCs/>
                <w:color w:val="000000"/>
                <w:sz w:val="20"/>
                <w:szCs w:val="20"/>
              </w:rPr>
              <w:t>Sí se tiene más de un local o establecimiento, se deberá señalar el domicilio del local o establecimiento en el que se expidan las Facturas.</w:t>
            </w:r>
          </w:p>
        </w:tc>
      </w:tr>
      <w:tr w:rsidR="00C0101A" w:rsidRPr="005D3007" w:rsidTr="00802FFF">
        <w:trPr>
          <w:jc w:val="center"/>
        </w:trPr>
        <w:tc>
          <w:tcPr>
            <w:tcW w:w="257" w:type="pct"/>
            <w:tcMar>
              <w:top w:w="0" w:type="dxa"/>
              <w:left w:w="0" w:type="dxa"/>
              <w:bottom w:w="0" w:type="dxa"/>
              <w:right w:w="0" w:type="dxa"/>
            </w:tcMar>
            <w:hideMark/>
          </w:tcPr>
          <w:p w:rsidR="00C0101A" w:rsidRPr="005D3007" w:rsidRDefault="00C0101A" w:rsidP="00802FFF">
            <w:pPr>
              <w:jc w:val="both"/>
              <w:rPr>
                <w:rFonts w:ascii="Palatino Linotype" w:hAnsi="Palatino Linotype" w:cs="Arial"/>
                <w:bCs/>
                <w:color w:val="000000"/>
                <w:sz w:val="20"/>
                <w:szCs w:val="20"/>
              </w:rPr>
            </w:pPr>
            <w:r w:rsidRPr="005D3007">
              <w:rPr>
                <w:rFonts w:ascii="Palatino Linotype" w:hAnsi="Palatino Linotype" w:cs="Arial"/>
                <w:b/>
                <w:bCs/>
                <w:color w:val="000000"/>
                <w:sz w:val="20"/>
                <w:szCs w:val="20"/>
              </w:rPr>
              <w:lastRenderedPageBreak/>
              <w:t>•</w:t>
            </w:r>
          </w:p>
        </w:tc>
        <w:tc>
          <w:tcPr>
            <w:tcW w:w="4743" w:type="pct"/>
            <w:tcMar>
              <w:top w:w="0" w:type="dxa"/>
              <w:left w:w="0" w:type="dxa"/>
              <w:bottom w:w="0" w:type="dxa"/>
              <w:right w:w="0" w:type="dxa"/>
            </w:tcMar>
            <w:hideMark/>
          </w:tcPr>
          <w:p w:rsidR="00C0101A" w:rsidRPr="005D3007" w:rsidRDefault="00C0101A" w:rsidP="00802FFF">
            <w:pPr>
              <w:ind w:right="901"/>
              <w:jc w:val="both"/>
              <w:rPr>
                <w:rFonts w:ascii="Palatino Linotype" w:hAnsi="Palatino Linotype" w:cs="Arial"/>
                <w:bCs/>
                <w:color w:val="000000"/>
                <w:sz w:val="20"/>
                <w:szCs w:val="20"/>
              </w:rPr>
            </w:pPr>
            <w:r w:rsidRPr="005D3007">
              <w:rPr>
                <w:rFonts w:ascii="Palatino Linotype" w:hAnsi="Palatino Linotype" w:cs="Arial"/>
                <w:bCs/>
                <w:color w:val="000000"/>
                <w:sz w:val="20"/>
                <w:szCs w:val="20"/>
              </w:rPr>
              <w:t>Contener el número de folio asignado por el SAT y el sello digital del SAT.</w:t>
            </w:r>
          </w:p>
        </w:tc>
      </w:tr>
      <w:tr w:rsidR="00C0101A" w:rsidRPr="005D3007" w:rsidTr="00802FFF">
        <w:trPr>
          <w:jc w:val="center"/>
        </w:trPr>
        <w:tc>
          <w:tcPr>
            <w:tcW w:w="257" w:type="pct"/>
            <w:tcMar>
              <w:top w:w="0" w:type="dxa"/>
              <w:left w:w="0" w:type="dxa"/>
              <w:bottom w:w="0" w:type="dxa"/>
              <w:right w:w="0" w:type="dxa"/>
            </w:tcMar>
            <w:hideMark/>
          </w:tcPr>
          <w:p w:rsidR="00C0101A" w:rsidRPr="005D3007" w:rsidRDefault="00C0101A" w:rsidP="00802FFF">
            <w:pPr>
              <w:jc w:val="both"/>
              <w:rPr>
                <w:rFonts w:ascii="Palatino Linotype" w:hAnsi="Palatino Linotype" w:cs="Arial"/>
                <w:bCs/>
                <w:color w:val="000000"/>
                <w:sz w:val="20"/>
                <w:szCs w:val="20"/>
              </w:rPr>
            </w:pPr>
            <w:r w:rsidRPr="005D3007">
              <w:rPr>
                <w:rFonts w:ascii="Palatino Linotype" w:hAnsi="Palatino Linotype" w:cs="Arial"/>
                <w:b/>
                <w:bCs/>
                <w:color w:val="000000"/>
                <w:sz w:val="20"/>
                <w:szCs w:val="20"/>
              </w:rPr>
              <w:t>•</w:t>
            </w:r>
          </w:p>
        </w:tc>
        <w:tc>
          <w:tcPr>
            <w:tcW w:w="4743" w:type="pct"/>
            <w:tcMar>
              <w:top w:w="0" w:type="dxa"/>
              <w:left w:w="0" w:type="dxa"/>
              <w:bottom w:w="0" w:type="dxa"/>
              <w:right w:w="0" w:type="dxa"/>
            </w:tcMar>
            <w:hideMark/>
          </w:tcPr>
          <w:p w:rsidR="00C0101A" w:rsidRPr="005D3007" w:rsidRDefault="00C0101A" w:rsidP="00802FFF">
            <w:pPr>
              <w:ind w:right="901"/>
              <w:jc w:val="both"/>
              <w:rPr>
                <w:rFonts w:ascii="Palatino Linotype" w:hAnsi="Palatino Linotype" w:cs="Arial"/>
                <w:bCs/>
                <w:color w:val="000000"/>
                <w:sz w:val="20"/>
                <w:szCs w:val="20"/>
              </w:rPr>
            </w:pPr>
            <w:r w:rsidRPr="005D3007">
              <w:rPr>
                <w:rFonts w:ascii="Palatino Linotype" w:hAnsi="Palatino Linotype" w:cs="Arial"/>
                <w:bCs/>
                <w:color w:val="000000"/>
                <w:sz w:val="20"/>
                <w:szCs w:val="20"/>
              </w:rPr>
              <w:t>Sello digital del contribuyente que lo expide.</w:t>
            </w:r>
          </w:p>
        </w:tc>
      </w:tr>
      <w:tr w:rsidR="00C0101A" w:rsidRPr="005D3007" w:rsidTr="00802FFF">
        <w:trPr>
          <w:jc w:val="center"/>
        </w:trPr>
        <w:tc>
          <w:tcPr>
            <w:tcW w:w="257" w:type="pct"/>
            <w:tcMar>
              <w:top w:w="0" w:type="dxa"/>
              <w:left w:w="0" w:type="dxa"/>
              <w:bottom w:w="0" w:type="dxa"/>
              <w:right w:w="0" w:type="dxa"/>
            </w:tcMar>
            <w:hideMark/>
          </w:tcPr>
          <w:p w:rsidR="00C0101A" w:rsidRPr="005D3007" w:rsidRDefault="00C0101A" w:rsidP="00802FFF">
            <w:pPr>
              <w:jc w:val="both"/>
              <w:rPr>
                <w:rFonts w:ascii="Palatino Linotype" w:hAnsi="Palatino Linotype" w:cs="Arial"/>
                <w:bCs/>
                <w:color w:val="000000"/>
                <w:sz w:val="20"/>
                <w:szCs w:val="20"/>
              </w:rPr>
            </w:pPr>
            <w:r w:rsidRPr="005D3007">
              <w:rPr>
                <w:rFonts w:ascii="Palatino Linotype" w:hAnsi="Palatino Linotype" w:cs="Arial"/>
                <w:b/>
                <w:bCs/>
                <w:color w:val="000000"/>
                <w:sz w:val="20"/>
                <w:szCs w:val="20"/>
              </w:rPr>
              <w:t>•</w:t>
            </w:r>
          </w:p>
        </w:tc>
        <w:tc>
          <w:tcPr>
            <w:tcW w:w="4743" w:type="pct"/>
            <w:tcMar>
              <w:top w:w="0" w:type="dxa"/>
              <w:left w:w="0" w:type="dxa"/>
              <w:bottom w:w="0" w:type="dxa"/>
              <w:right w:w="0" w:type="dxa"/>
            </w:tcMar>
            <w:hideMark/>
          </w:tcPr>
          <w:p w:rsidR="00C0101A" w:rsidRPr="005D3007" w:rsidRDefault="00C0101A" w:rsidP="00802FFF">
            <w:pPr>
              <w:ind w:right="901"/>
              <w:jc w:val="both"/>
              <w:rPr>
                <w:rFonts w:ascii="Palatino Linotype" w:hAnsi="Palatino Linotype" w:cs="Arial"/>
                <w:bCs/>
                <w:color w:val="000000"/>
                <w:sz w:val="20"/>
                <w:szCs w:val="20"/>
              </w:rPr>
            </w:pPr>
            <w:r w:rsidRPr="005D3007">
              <w:rPr>
                <w:rFonts w:ascii="Palatino Linotype" w:hAnsi="Palatino Linotype" w:cs="Arial"/>
                <w:bCs/>
                <w:color w:val="000000"/>
                <w:sz w:val="20"/>
                <w:szCs w:val="20"/>
              </w:rPr>
              <w:t>Lugar y fecha de expedición.</w:t>
            </w:r>
          </w:p>
        </w:tc>
      </w:tr>
      <w:tr w:rsidR="00C0101A" w:rsidRPr="005D3007" w:rsidTr="00802FFF">
        <w:trPr>
          <w:jc w:val="center"/>
        </w:trPr>
        <w:tc>
          <w:tcPr>
            <w:tcW w:w="257" w:type="pct"/>
            <w:tcMar>
              <w:top w:w="0" w:type="dxa"/>
              <w:left w:w="0" w:type="dxa"/>
              <w:bottom w:w="0" w:type="dxa"/>
              <w:right w:w="0" w:type="dxa"/>
            </w:tcMar>
            <w:hideMark/>
          </w:tcPr>
          <w:p w:rsidR="00C0101A" w:rsidRPr="005D3007" w:rsidRDefault="00C0101A" w:rsidP="00802FFF">
            <w:pPr>
              <w:jc w:val="both"/>
              <w:rPr>
                <w:rFonts w:ascii="Palatino Linotype" w:hAnsi="Palatino Linotype" w:cs="Arial"/>
                <w:bCs/>
                <w:color w:val="000000"/>
                <w:sz w:val="20"/>
                <w:szCs w:val="20"/>
              </w:rPr>
            </w:pPr>
            <w:r w:rsidRPr="005D3007">
              <w:rPr>
                <w:rFonts w:ascii="Palatino Linotype" w:hAnsi="Palatino Linotype" w:cs="Arial"/>
                <w:b/>
                <w:bCs/>
                <w:color w:val="000000"/>
                <w:sz w:val="20"/>
                <w:szCs w:val="20"/>
              </w:rPr>
              <w:t>•</w:t>
            </w:r>
          </w:p>
        </w:tc>
        <w:tc>
          <w:tcPr>
            <w:tcW w:w="4743" w:type="pct"/>
            <w:tcMar>
              <w:top w:w="0" w:type="dxa"/>
              <w:left w:w="0" w:type="dxa"/>
              <w:bottom w:w="0" w:type="dxa"/>
              <w:right w:w="0" w:type="dxa"/>
            </w:tcMar>
            <w:hideMark/>
          </w:tcPr>
          <w:p w:rsidR="00C0101A" w:rsidRPr="005D3007" w:rsidRDefault="00C0101A" w:rsidP="00802FFF">
            <w:pPr>
              <w:ind w:right="901"/>
              <w:jc w:val="both"/>
              <w:rPr>
                <w:rFonts w:ascii="Palatino Linotype" w:hAnsi="Palatino Linotype" w:cs="Arial"/>
                <w:bCs/>
                <w:color w:val="000000"/>
                <w:sz w:val="20"/>
                <w:szCs w:val="20"/>
              </w:rPr>
            </w:pPr>
            <w:r w:rsidRPr="005D3007">
              <w:rPr>
                <w:rFonts w:ascii="Palatino Linotype" w:hAnsi="Palatino Linotype" w:cs="Arial"/>
                <w:bCs/>
                <w:color w:val="000000"/>
                <w:sz w:val="20"/>
                <w:szCs w:val="20"/>
              </w:rPr>
              <w:t>Clave del Registro Federal de Contribuyentes de la persona a favor de quien se expida.</w:t>
            </w:r>
          </w:p>
        </w:tc>
      </w:tr>
      <w:tr w:rsidR="00C0101A" w:rsidRPr="005D3007" w:rsidTr="00802FFF">
        <w:trPr>
          <w:jc w:val="center"/>
        </w:trPr>
        <w:tc>
          <w:tcPr>
            <w:tcW w:w="257" w:type="pct"/>
            <w:tcMar>
              <w:top w:w="0" w:type="dxa"/>
              <w:left w:w="0" w:type="dxa"/>
              <w:bottom w:w="0" w:type="dxa"/>
              <w:right w:w="0" w:type="dxa"/>
            </w:tcMar>
            <w:hideMark/>
          </w:tcPr>
          <w:p w:rsidR="00C0101A" w:rsidRPr="005D3007" w:rsidRDefault="00C0101A" w:rsidP="00802FFF">
            <w:pPr>
              <w:jc w:val="both"/>
              <w:rPr>
                <w:rFonts w:ascii="Palatino Linotype" w:hAnsi="Palatino Linotype" w:cs="Arial"/>
                <w:bCs/>
                <w:color w:val="000000"/>
                <w:sz w:val="20"/>
                <w:szCs w:val="20"/>
              </w:rPr>
            </w:pPr>
            <w:r w:rsidRPr="005D3007">
              <w:rPr>
                <w:rFonts w:ascii="Palatino Linotype" w:hAnsi="Palatino Linotype" w:cs="Arial"/>
                <w:b/>
                <w:bCs/>
                <w:color w:val="000000"/>
                <w:sz w:val="20"/>
                <w:szCs w:val="20"/>
              </w:rPr>
              <w:t>•</w:t>
            </w:r>
          </w:p>
        </w:tc>
        <w:tc>
          <w:tcPr>
            <w:tcW w:w="4743" w:type="pct"/>
            <w:tcMar>
              <w:top w:w="0" w:type="dxa"/>
              <w:left w:w="0" w:type="dxa"/>
              <w:bottom w:w="0" w:type="dxa"/>
              <w:right w:w="0" w:type="dxa"/>
            </w:tcMar>
            <w:hideMark/>
          </w:tcPr>
          <w:p w:rsidR="00C0101A" w:rsidRPr="005D3007" w:rsidRDefault="00C0101A" w:rsidP="00802FFF">
            <w:pPr>
              <w:ind w:right="901"/>
              <w:jc w:val="both"/>
              <w:rPr>
                <w:rFonts w:ascii="Palatino Linotype" w:hAnsi="Palatino Linotype" w:cs="Arial"/>
                <w:bCs/>
                <w:color w:val="000000"/>
                <w:sz w:val="20"/>
                <w:szCs w:val="20"/>
              </w:rPr>
            </w:pPr>
            <w:r w:rsidRPr="005D3007">
              <w:rPr>
                <w:rFonts w:ascii="Palatino Linotype" w:hAnsi="Palatino Linotype" w:cs="Arial"/>
                <w:bCs/>
                <w:color w:val="000000"/>
                <w:sz w:val="20"/>
                <w:szCs w:val="20"/>
              </w:rPr>
              <w:t>Cantidad, unidad de medida y clase de los bienes, mercancías o descripción del servicio o del uso o goce que amparen.</w:t>
            </w:r>
          </w:p>
        </w:tc>
      </w:tr>
      <w:tr w:rsidR="00C0101A" w:rsidRPr="005D3007" w:rsidTr="00802FFF">
        <w:trPr>
          <w:jc w:val="center"/>
        </w:trPr>
        <w:tc>
          <w:tcPr>
            <w:tcW w:w="257" w:type="pct"/>
            <w:tcMar>
              <w:top w:w="0" w:type="dxa"/>
              <w:left w:w="0" w:type="dxa"/>
              <w:bottom w:w="0" w:type="dxa"/>
              <w:right w:w="0" w:type="dxa"/>
            </w:tcMar>
            <w:hideMark/>
          </w:tcPr>
          <w:p w:rsidR="00C0101A" w:rsidRPr="005D3007" w:rsidRDefault="00C0101A" w:rsidP="00802FFF">
            <w:pPr>
              <w:jc w:val="both"/>
              <w:rPr>
                <w:rFonts w:ascii="Palatino Linotype" w:hAnsi="Palatino Linotype" w:cs="Arial"/>
                <w:bCs/>
                <w:color w:val="000000"/>
                <w:sz w:val="20"/>
                <w:szCs w:val="20"/>
              </w:rPr>
            </w:pPr>
            <w:r w:rsidRPr="005D3007">
              <w:rPr>
                <w:rFonts w:ascii="Palatino Linotype" w:hAnsi="Palatino Linotype" w:cs="Arial"/>
                <w:b/>
                <w:bCs/>
                <w:color w:val="000000"/>
                <w:sz w:val="20"/>
                <w:szCs w:val="20"/>
              </w:rPr>
              <w:t>•</w:t>
            </w:r>
          </w:p>
        </w:tc>
        <w:tc>
          <w:tcPr>
            <w:tcW w:w="4743" w:type="pct"/>
            <w:tcMar>
              <w:top w:w="0" w:type="dxa"/>
              <w:left w:w="0" w:type="dxa"/>
              <w:bottom w:w="0" w:type="dxa"/>
              <w:right w:w="0" w:type="dxa"/>
            </w:tcMar>
            <w:hideMark/>
          </w:tcPr>
          <w:p w:rsidR="00C0101A" w:rsidRPr="005D3007" w:rsidRDefault="00C0101A" w:rsidP="00802FFF">
            <w:pPr>
              <w:ind w:right="901"/>
              <w:jc w:val="both"/>
              <w:rPr>
                <w:rFonts w:ascii="Palatino Linotype" w:hAnsi="Palatino Linotype" w:cs="Arial"/>
                <w:bCs/>
                <w:color w:val="000000"/>
                <w:sz w:val="20"/>
                <w:szCs w:val="20"/>
              </w:rPr>
            </w:pPr>
            <w:r w:rsidRPr="005D3007">
              <w:rPr>
                <w:rFonts w:ascii="Palatino Linotype" w:hAnsi="Palatino Linotype" w:cs="Arial"/>
                <w:bCs/>
                <w:color w:val="000000"/>
                <w:sz w:val="20"/>
                <w:szCs w:val="20"/>
              </w:rPr>
              <w:t>Valor unitario consignado en número.</w:t>
            </w:r>
          </w:p>
        </w:tc>
      </w:tr>
      <w:tr w:rsidR="00C0101A" w:rsidRPr="005D3007" w:rsidTr="00802FFF">
        <w:trPr>
          <w:jc w:val="center"/>
        </w:trPr>
        <w:tc>
          <w:tcPr>
            <w:tcW w:w="257" w:type="pct"/>
            <w:tcMar>
              <w:top w:w="0" w:type="dxa"/>
              <w:left w:w="0" w:type="dxa"/>
              <w:bottom w:w="0" w:type="dxa"/>
              <w:right w:w="0" w:type="dxa"/>
            </w:tcMar>
            <w:hideMark/>
          </w:tcPr>
          <w:p w:rsidR="00C0101A" w:rsidRPr="005D3007" w:rsidRDefault="00C0101A" w:rsidP="00802FFF">
            <w:pPr>
              <w:jc w:val="both"/>
              <w:rPr>
                <w:rFonts w:ascii="Palatino Linotype" w:hAnsi="Palatino Linotype" w:cs="Arial"/>
                <w:bCs/>
                <w:color w:val="000000"/>
                <w:sz w:val="20"/>
                <w:szCs w:val="20"/>
              </w:rPr>
            </w:pPr>
            <w:r w:rsidRPr="005D3007">
              <w:rPr>
                <w:rFonts w:ascii="Palatino Linotype" w:hAnsi="Palatino Linotype" w:cs="Arial"/>
                <w:b/>
                <w:bCs/>
                <w:color w:val="000000"/>
                <w:sz w:val="20"/>
                <w:szCs w:val="20"/>
              </w:rPr>
              <w:t>•</w:t>
            </w:r>
          </w:p>
        </w:tc>
        <w:tc>
          <w:tcPr>
            <w:tcW w:w="4743" w:type="pct"/>
            <w:tcMar>
              <w:top w:w="0" w:type="dxa"/>
              <w:left w:w="0" w:type="dxa"/>
              <w:bottom w:w="0" w:type="dxa"/>
              <w:right w:w="0" w:type="dxa"/>
            </w:tcMar>
            <w:hideMark/>
          </w:tcPr>
          <w:p w:rsidR="00C0101A" w:rsidRPr="005D3007" w:rsidRDefault="00C0101A" w:rsidP="00802FFF">
            <w:pPr>
              <w:ind w:right="901"/>
              <w:jc w:val="both"/>
              <w:rPr>
                <w:rFonts w:ascii="Palatino Linotype" w:hAnsi="Palatino Linotype" w:cs="Arial"/>
                <w:bCs/>
                <w:color w:val="000000"/>
                <w:sz w:val="20"/>
                <w:szCs w:val="20"/>
              </w:rPr>
            </w:pPr>
            <w:r w:rsidRPr="005D3007">
              <w:rPr>
                <w:rFonts w:ascii="Palatino Linotype" w:hAnsi="Palatino Linotype" w:cs="Arial"/>
                <w:bCs/>
                <w:color w:val="000000"/>
                <w:sz w:val="20"/>
                <w:szCs w:val="20"/>
              </w:rPr>
              <w:t>Importe total señalado en número o en letra.</w:t>
            </w:r>
          </w:p>
        </w:tc>
      </w:tr>
      <w:tr w:rsidR="00C0101A" w:rsidRPr="005D3007" w:rsidTr="00802FFF">
        <w:trPr>
          <w:jc w:val="center"/>
        </w:trPr>
        <w:tc>
          <w:tcPr>
            <w:tcW w:w="257" w:type="pct"/>
            <w:tcMar>
              <w:top w:w="0" w:type="dxa"/>
              <w:left w:w="0" w:type="dxa"/>
              <w:bottom w:w="0" w:type="dxa"/>
              <w:right w:w="0" w:type="dxa"/>
            </w:tcMar>
            <w:hideMark/>
          </w:tcPr>
          <w:p w:rsidR="00C0101A" w:rsidRPr="005D3007" w:rsidRDefault="00C0101A" w:rsidP="00802FFF">
            <w:pPr>
              <w:jc w:val="both"/>
              <w:rPr>
                <w:rFonts w:ascii="Palatino Linotype" w:hAnsi="Palatino Linotype" w:cs="Arial"/>
                <w:bCs/>
                <w:color w:val="000000"/>
                <w:sz w:val="20"/>
                <w:szCs w:val="20"/>
              </w:rPr>
            </w:pPr>
            <w:r w:rsidRPr="005D3007">
              <w:rPr>
                <w:rFonts w:ascii="Palatino Linotype" w:hAnsi="Palatino Linotype" w:cs="Arial"/>
                <w:b/>
                <w:bCs/>
                <w:color w:val="000000"/>
                <w:sz w:val="20"/>
                <w:szCs w:val="20"/>
              </w:rPr>
              <w:t>•</w:t>
            </w:r>
          </w:p>
        </w:tc>
        <w:tc>
          <w:tcPr>
            <w:tcW w:w="4743" w:type="pct"/>
            <w:tcMar>
              <w:top w:w="0" w:type="dxa"/>
              <w:left w:w="0" w:type="dxa"/>
              <w:bottom w:w="0" w:type="dxa"/>
              <w:right w:w="0" w:type="dxa"/>
            </w:tcMar>
            <w:hideMark/>
          </w:tcPr>
          <w:p w:rsidR="00C0101A" w:rsidRPr="005D3007" w:rsidRDefault="00C0101A" w:rsidP="00802FFF">
            <w:pPr>
              <w:ind w:right="901"/>
              <w:jc w:val="both"/>
              <w:rPr>
                <w:rFonts w:ascii="Palatino Linotype" w:hAnsi="Palatino Linotype" w:cs="Arial"/>
                <w:bCs/>
                <w:color w:val="000000"/>
                <w:sz w:val="20"/>
                <w:szCs w:val="20"/>
              </w:rPr>
            </w:pPr>
            <w:r w:rsidRPr="005D3007">
              <w:rPr>
                <w:rFonts w:ascii="Palatino Linotype" w:hAnsi="Palatino Linotype" w:cs="Arial"/>
                <w:bCs/>
                <w:color w:val="000000"/>
                <w:sz w:val="20"/>
                <w:szCs w:val="20"/>
              </w:rPr>
              <w:t>Señalamiento expreso cuando la prestación se pague en una sola exhibición o en parcialidades.</w:t>
            </w:r>
          </w:p>
        </w:tc>
      </w:tr>
      <w:tr w:rsidR="00C0101A" w:rsidRPr="005D3007" w:rsidTr="00802FFF">
        <w:trPr>
          <w:jc w:val="center"/>
        </w:trPr>
        <w:tc>
          <w:tcPr>
            <w:tcW w:w="257" w:type="pct"/>
            <w:tcMar>
              <w:top w:w="0" w:type="dxa"/>
              <w:left w:w="0" w:type="dxa"/>
              <w:bottom w:w="0" w:type="dxa"/>
              <w:right w:w="0" w:type="dxa"/>
            </w:tcMar>
            <w:hideMark/>
          </w:tcPr>
          <w:p w:rsidR="00C0101A" w:rsidRPr="005D3007" w:rsidRDefault="00C0101A" w:rsidP="00802FFF">
            <w:pPr>
              <w:jc w:val="both"/>
              <w:rPr>
                <w:rFonts w:ascii="Palatino Linotype" w:hAnsi="Palatino Linotype" w:cs="Arial"/>
                <w:bCs/>
                <w:color w:val="000000"/>
                <w:sz w:val="20"/>
                <w:szCs w:val="20"/>
              </w:rPr>
            </w:pPr>
            <w:r w:rsidRPr="005D3007">
              <w:rPr>
                <w:rFonts w:ascii="Palatino Linotype" w:hAnsi="Palatino Linotype" w:cs="Arial"/>
                <w:b/>
                <w:bCs/>
                <w:color w:val="000000"/>
                <w:sz w:val="20"/>
                <w:szCs w:val="20"/>
              </w:rPr>
              <w:t>•</w:t>
            </w:r>
          </w:p>
        </w:tc>
        <w:tc>
          <w:tcPr>
            <w:tcW w:w="4743" w:type="pct"/>
            <w:tcMar>
              <w:top w:w="0" w:type="dxa"/>
              <w:left w:w="0" w:type="dxa"/>
              <w:bottom w:w="0" w:type="dxa"/>
              <w:right w:w="0" w:type="dxa"/>
            </w:tcMar>
            <w:hideMark/>
          </w:tcPr>
          <w:p w:rsidR="00C0101A" w:rsidRPr="005D3007" w:rsidRDefault="00C0101A" w:rsidP="00802FFF">
            <w:pPr>
              <w:ind w:right="901"/>
              <w:jc w:val="both"/>
              <w:rPr>
                <w:rFonts w:ascii="Palatino Linotype" w:hAnsi="Palatino Linotype" w:cs="Arial"/>
                <w:bCs/>
                <w:color w:val="000000"/>
                <w:sz w:val="20"/>
                <w:szCs w:val="20"/>
              </w:rPr>
            </w:pPr>
            <w:r w:rsidRPr="005D3007">
              <w:rPr>
                <w:rFonts w:ascii="Palatino Linotype" w:hAnsi="Palatino Linotype" w:cs="Arial"/>
                <w:bCs/>
                <w:color w:val="000000"/>
                <w:sz w:val="20"/>
                <w:szCs w:val="20"/>
              </w:rPr>
              <w:t>Cuando proceda, se indicará el monto de los impuestos trasladados, desglosados por tasa de impuesto y, en su caso, el monto de los impuestos retenidos.</w:t>
            </w:r>
          </w:p>
        </w:tc>
      </w:tr>
      <w:tr w:rsidR="00C0101A" w:rsidRPr="005D3007" w:rsidTr="00802FFF">
        <w:trPr>
          <w:jc w:val="center"/>
        </w:trPr>
        <w:tc>
          <w:tcPr>
            <w:tcW w:w="257" w:type="pct"/>
            <w:tcMar>
              <w:top w:w="0" w:type="dxa"/>
              <w:left w:w="0" w:type="dxa"/>
              <w:bottom w:w="0" w:type="dxa"/>
              <w:right w:w="0" w:type="dxa"/>
            </w:tcMar>
            <w:hideMark/>
          </w:tcPr>
          <w:p w:rsidR="00C0101A" w:rsidRPr="005D3007" w:rsidRDefault="00C0101A" w:rsidP="00802FFF">
            <w:pPr>
              <w:jc w:val="both"/>
              <w:rPr>
                <w:rFonts w:ascii="Palatino Linotype" w:hAnsi="Palatino Linotype" w:cs="Arial"/>
                <w:bCs/>
                <w:color w:val="000000"/>
                <w:sz w:val="20"/>
                <w:szCs w:val="20"/>
              </w:rPr>
            </w:pPr>
            <w:r w:rsidRPr="005D3007">
              <w:rPr>
                <w:rFonts w:ascii="Palatino Linotype" w:hAnsi="Palatino Linotype" w:cs="Arial"/>
                <w:b/>
                <w:bCs/>
                <w:color w:val="000000"/>
                <w:sz w:val="20"/>
                <w:szCs w:val="20"/>
              </w:rPr>
              <w:t>•</w:t>
            </w:r>
          </w:p>
        </w:tc>
        <w:tc>
          <w:tcPr>
            <w:tcW w:w="4743" w:type="pct"/>
            <w:tcMar>
              <w:top w:w="0" w:type="dxa"/>
              <w:left w:w="0" w:type="dxa"/>
              <w:bottom w:w="0" w:type="dxa"/>
              <w:right w:w="0" w:type="dxa"/>
            </w:tcMar>
            <w:hideMark/>
          </w:tcPr>
          <w:p w:rsidR="00C0101A" w:rsidRPr="005D3007" w:rsidRDefault="00C0101A" w:rsidP="00802FFF">
            <w:pPr>
              <w:ind w:right="901"/>
              <w:jc w:val="both"/>
              <w:rPr>
                <w:rFonts w:ascii="Palatino Linotype" w:hAnsi="Palatino Linotype" w:cs="Arial"/>
                <w:bCs/>
                <w:color w:val="000000"/>
                <w:sz w:val="20"/>
                <w:szCs w:val="20"/>
              </w:rPr>
            </w:pPr>
            <w:r w:rsidRPr="005D3007">
              <w:rPr>
                <w:rFonts w:ascii="Palatino Linotype" w:hAnsi="Palatino Linotype" w:cs="Arial"/>
                <w:bCs/>
                <w:color w:val="000000"/>
                <w:sz w:val="20"/>
                <w:szCs w:val="20"/>
              </w:rPr>
              <w:t>Forma en que se realizó el pago (efectivo, transferencia electrónica de fondos, cheque nominativo o tarjeta de débito, de crédito, de servicio o la denominada monedero electrónico que autorice el Servicio de Administración Tributaria).</w:t>
            </w:r>
          </w:p>
        </w:tc>
      </w:tr>
      <w:tr w:rsidR="00C0101A" w:rsidRPr="005D3007" w:rsidTr="00802FFF">
        <w:trPr>
          <w:jc w:val="center"/>
        </w:trPr>
        <w:tc>
          <w:tcPr>
            <w:tcW w:w="257" w:type="pct"/>
            <w:tcMar>
              <w:top w:w="0" w:type="dxa"/>
              <w:left w:w="0" w:type="dxa"/>
              <w:bottom w:w="0" w:type="dxa"/>
              <w:right w:w="0" w:type="dxa"/>
            </w:tcMar>
            <w:hideMark/>
          </w:tcPr>
          <w:p w:rsidR="00C0101A" w:rsidRPr="005D3007" w:rsidRDefault="00C0101A" w:rsidP="00802FFF">
            <w:pPr>
              <w:jc w:val="both"/>
              <w:rPr>
                <w:rFonts w:ascii="Palatino Linotype" w:hAnsi="Palatino Linotype" w:cs="Arial"/>
                <w:bCs/>
                <w:color w:val="000000"/>
                <w:sz w:val="20"/>
                <w:szCs w:val="20"/>
              </w:rPr>
            </w:pPr>
            <w:r w:rsidRPr="005D3007">
              <w:rPr>
                <w:rFonts w:ascii="Palatino Linotype" w:hAnsi="Palatino Linotype" w:cs="Arial"/>
                <w:b/>
                <w:bCs/>
                <w:color w:val="000000"/>
                <w:sz w:val="20"/>
                <w:szCs w:val="20"/>
              </w:rPr>
              <w:t>•</w:t>
            </w:r>
          </w:p>
        </w:tc>
        <w:tc>
          <w:tcPr>
            <w:tcW w:w="4743" w:type="pct"/>
            <w:tcMar>
              <w:top w:w="0" w:type="dxa"/>
              <w:left w:w="0" w:type="dxa"/>
              <w:bottom w:w="0" w:type="dxa"/>
              <w:right w:w="0" w:type="dxa"/>
            </w:tcMar>
            <w:hideMark/>
          </w:tcPr>
          <w:p w:rsidR="00C0101A" w:rsidRPr="005D3007" w:rsidRDefault="00C0101A" w:rsidP="00802FFF">
            <w:pPr>
              <w:ind w:right="901"/>
              <w:jc w:val="both"/>
              <w:rPr>
                <w:rFonts w:ascii="Palatino Linotype" w:hAnsi="Palatino Linotype" w:cs="Arial"/>
                <w:bCs/>
                <w:color w:val="000000"/>
                <w:sz w:val="20"/>
                <w:szCs w:val="20"/>
              </w:rPr>
            </w:pPr>
            <w:r w:rsidRPr="005D3007">
              <w:rPr>
                <w:rFonts w:ascii="Palatino Linotype" w:hAnsi="Palatino Linotype" w:cs="Arial"/>
                <w:bCs/>
                <w:color w:val="000000"/>
                <w:sz w:val="20"/>
                <w:szCs w:val="20"/>
              </w:rPr>
              <w:t>Número y fecha del documento aduanero, tratándose de ventas de primera mano de mercancías de importación.</w:t>
            </w:r>
          </w:p>
          <w:p w:rsidR="00C0101A" w:rsidRPr="005D3007" w:rsidRDefault="00C0101A" w:rsidP="00802FFF">
            <w:pPr>
              <w:ind w:right="901"/>
              <w:jc w:val="both"/>
              <w:rPr>
                <w:rFonts w:ascii="Palatino Linotype" w:hAnsi="Palatino Linotype" w:cs="Arial"/>
                <w:bCs/>
                <w:color w:val="000000"/>
                <w:sz w:val="20"/>
                <w:szCs w:val="20"/>
              </w:rPr>
            </w:pPr>
          </w:p>
        </w:tc>
      </w:tr>
      <w:tr w:rsidR="00C0101A" w:rsidRPr="005D3007" w:rsidTr="00802FFF">
        <w:trPr>
          <w:jc w:val="center"/>
        </w:trPr>
        <w:tc>
          <w:tcPr>
            <w:tcW w:w="5000" w:type="pct"/>
            <w:gridSpan w:val="2"/>
            <w:tcMar>
              <w:top w:w="0" w:type="dxa"/>
              <w:left w:w="0" w:type="dxa"/>
              <w:bottom w:w="0" w:type="dxa"/>
              <w:right w:w="0" w:type="dxa"/>
            </w:tcMar>
            <w:hideMark/>
          </w:tcPr>
          <w:p w:rsidR="00C0101A" w:rsidRPr="005D3007" w:rsidRDefault="00C0101A" w:rsidP="00802FFF">
            <w:pPr>
              <w:ind w:right="901"/>
              <w:jc w:val="both"/>
              <w:rPr>
                <w:rFonts w:ascii="Palatino Linotype" w:hAnsi="Palatino Linotype" w:cs="Arial"/>
                <w:b/>
                <w:bCs/>
                <w:color w:val="000000"/>
                <w:sz w:val="20"/>
                <w:szCs w:val="20"/>
                <w:lang w:val="es-ES"/>
              </w:rPr>
            </w:pPr>
            <w:r w:rsidRPr="005D3007">
              <w:rPr>
                <w:rFonts w:ascii="Palatino Linotype" w:hAnsi="Palatino Linotype" w:cs="Arial"/>
                <w:b/>
                <w:bCs/>
                <w:color w:val="000000"/>
                <w:sz w:val="20"/>
                <w:szCs w:val="20"/>
                <w:lang w:val="es-ES"/>
              </w:rPr>
              <w:t>Además, debe contener los siguientes datos:</w:t>
            </w:r>
          </w:p>
          <w:p w:rsidR="00C0101A" w:rsidRPr="005D3007" w:rsidRDefault="00C0101A" w:rsidP="00802FFF">
            <w:pPr>
              <w:ind w:right="901"/>
              <w:jc w:val="both"/>
              <w:rPr>
                <w:rFonts w:ascii="Palatino Linotype" w:hAnsi="Palatino Linotype" w:cs="Arial"/>
                <w:bCs/>
                <w:color w:val="000000"/>
                <w:sz w:val="20"/>
                <w:szCs w:val="20"/>
                <w:lang w:val="es-ES"/>
              </w:rPr>
            </w:pPr>
          </w:p>
          <w:p w:rsidR="00C0101A" w:rsidRPr="005D3007" w:rsidRDefault="00C0101A" w:rsidP="00802FFF">
            <w:pPr>
              <w:ind w:right="901"/>
              <w:jc w:val="both"/>
              <w:rPr>
                <w:rFonts w:ascii="Palatino Linotype" w:hAnsi="Palatino Linotype" w:cs="Arial"/>
                <w:bCs/>
                <w:color w:val="000000"/>
                <w:sz w:val="20"/>
                <w:szCs w:val="20"/>
                <w:lang w:val="es-ES"/>
              </w:rPr>
            </w:pPr>
            <w:r w:rsidRPr="005D3007">
              <w:rPr>
                <w:rFonts w:ascii="Palatino Linotype" w:hAnsi="Palatino Linotype" w:cs="Arial"/>
                <w:bCs/>
                <w:color w:val="000000"/>
                <w:sz w:val="20"/>
                <w:szCs w:val="20"/>
                <w:lang w:val="es-ES"/>
              </w:rPr>
              <w:t>a) Fecha y hora de certificación.</w:t>
            </w:r>
          </w:p>
          <w:p w:rsidR="00C0101A" w:rsidRPr="005D3007" w:rsidRDefault="00C0101A" w:rsidP="00802FFF">
            <w:pPr>
              <w:ind w:right="901"/>
              <w:jc w:val="both"/>
              <w:rPr>
                <w:rFonts w:ascii="Palatino Linotype" w:hAnsi="Palatino Linotype" w:cs="Arial"/>
                <w:bCs/>
                <w:color w:val="000000"/>
                <w:sz w:val="20"/>
                <w:szCs w:val="20"/>
                <w:lang w:val="es-ES"/>
              </w:rPr>
            </w:pPr>
            <w:r w:rsidRPr="005D3007">
              <w:rPr>
                <w:rFonts w:ascii="Palatino Linotype" w:hAnsi="Palatino Linotype" w:cs="Arial"/>
                <w:bCs/>
                <w:color w:val="000000"/>
                <w:sz w:val="20"/>
                <w:szCs w:val="20"/>
                <w:lang w:val="es-ES"/>
              </w:rPr>
              <w:t>b) Número de serie del certificado digital del SAT con el que se realizó el sellado</w:t>
            </w:r>
          </w:p>
          <w:p w:rsidR="00C0101A" w:rsidRPr="005D3007" w:rsidRDefault="00C0101A" w:rsidP="00802FFF">
            <w:pPr>
              <w:ind w:right="901"/>
              <w:jc w:val="both"/>
              <w:rPr>
                <w:rFonts w:ascii="Palatino Linotype" w:hAnsi="Palatino Linotype" w:cs="Arial"/>
                <w:bCs/>
                <w:color w:val="000000"/>
                <w:sz w:val="20"/>
                <w:szCs w:val="20"/>
              </w:rPr>
            </w:pPr>
          </w:p>
        </w:tc>
      </w:tr>
      <w:tr w:rsidR="00C0101A" w:rsidRPr="005D3007" w:rsidTr="00802FFF">
        <w:trPr>
          <w:jc w:val="center"/>
        </w:trPr>
        <w:tc>
          <w:tcPr>
            <w:tcW w:w="5000" w:type="pct"/>
            <w:gridSpan w:val="2"/>
            <w:tcMar>
              <w:top w:w="0" w:type="dxa"/>
              <w:left w:w="0" w:type="dxa"/>
              <w:bottom w:w="0" w:type="dxa"/>
              <w:right w:w="0" w:type="dxa"/>
            </w:tcMar>
            <w:hideMark/>
          </w:tcPr>
          <w:p w:rsidR="00C0101A" w:rsidRPr="005D3007" w:rsidRDefault="00C0101A" w:rsidP="00802FFF">
            <w:pPr>
              <w:ind w:right="901"/>
              <w:jc w:val="both"/>
              <w:rPr>
                <w:rFonts w:ascii="Palatino Linotype" w:hAnsi="Palatino Linotype" w:cs="Arial"/>
                <w:b/>
                <w:color w:val="000000"/>
                <w:sz w:val="20"/>
                <w:szCs w:val="20"/>
              </w:rPr>
            </w:pPr>
            <w:r w:rsidRPr="005D3007">
              <w:rPr>
                <w:rFonts w:ascii="Palatino Linotype" w:hAnsi="Palatino Linotype" w:cs="Arial"/>
                <w:b/>
                <w:color w:val="000000"/>
                <w:sz w:val="20"/>
                <w:szCs w:val="20"/>
              </w:rPr>
              <w:t>La representación impresa además debe contener los requisitos contenidos en la Resolución Miscelánea Fiscal vigente:</w:t>
            </w:r>
          </w:p>
          <w:p w:rsidR="00C0101A" w:rsidRPr="005D3007" w:rsidRDefault="00C0101A" w:rsidP="00802FFF">
            <w:pPr>
              <w:ind w:right="901"/>
              <w:jc w:val="both"/>
              <w:rPr>
                <w:rFonts w:ascii="Palatino Linotype" w:hAnsi="Palatino Linotype" w:cs="Arial"/>
                <w:color w:val="000000"/>
                <w:sz w:val="20"/>
                <w:szCs w:val="20"/>
                <w:lang w:val="es-ES"/>
              </w:rPr>
            </w:pPr>
          </w:p>
        </w:tc>
      </w:tr>
      <w:tr w:rsidR="00C0101A" w:rsidRPr="005D3007" w:rsidTr="00802FFF">
        <w:trPr>
          <w:jc w:val="center"/>
        </w:trPr>
        <w:tc>
          <w:tcPr>
            <w:tcW w:w="5000" w:type="pct"/>
            <w:gridSpan w:val="2"/>
            <w:tcMar>
              <w:top w:w="0" w:type="dxa"/>
              <w:left w:w="0" w:type="dxa"/>
              <w:bottom w:w="0" w:type="dxa"/>
              <w:right w:w="0" w:type="dxa"/>
            </w:tcMar>
            <w:hideMark/>
          </w:tcPr>
          <w:p w:rsidR="00C0101A" w:rsidRPr="005D3007" w:rsidRDefault="00C0101A" w:rsidP="00802FFF">
            <w:pPr>
              <w:ind w:right="901"/>
              <w:jc w:val="both"/>
              <w:rPr>
                <w:rFonts w:ascii="Palatino Linotype" w:hAnsi="Palatino Linotype" w:cs="Arial"/>
                <w:color w:val="000000"/>
                <w:sz w:val="20"/>
                <w:szCs w:val="20"/>
              </w:rPr>
            </w:pPr>
            <w:r w:rsidRPr="005D3007">
              <w:rPr>
                <w:rFonts w:ascii="Palatino Linotype" w:hAnsi="Palatino Linotype" w:cs="Arial"/>
                <w:color w:val="000000"/>
                <w:sz w:val="20"/>
                <w:szCs w:val="20"/>
              </w:rPr>
              <w:t>a) Código de barras generado conforme al rubro I.D del Anexo 20 o el número de folio fiscal del comprobante.</w:t>
            </w:r>
          </w:p>
          <w:p w:rsidR="00C0101A" w:rsidRPr="005D3007" w:rsidRDefault="00C0101A" w:rsidP="00802FFF">
            <w:pPr>
              <w:ind w:right="901"/>
              <w:jc w:val="both"/>
              <w:rPr>
                <w:rFonts w:ascii="Palatino Linotype" w:hAnsi="Palatino Linotype" w:cs="Arial"/>
                <w:color w:val="000000"/>
                <w:sz w:val="20"/>
                <w:szCs w:val="20"/>
              </w:rPr>
            </w:pPr>
            <w:r w:rsidRPr="005D3007">
              <w:rPr>
                <w:rFonts w:ascii="Palatino Linotype" w:hAnsi="Palatino Linotype" w:cs="Arial"/>
                <w:color w:val="000000"/>
                <w:sz w:val="20"/>
                <w:szCs w:val="20"/>
              </w:rPr>
              <w:t>b) Número de serie del CSD del emisor y del SAT.</w:t>
            </w:r>
          </w:p>
          <w:p w:rsidR="00C0101A" w:rsidRPr="005D3007" w:rsidRDefault="00C0101A" w:rsidP="00802FFF">
            <w:pPr>
              <w:ind w:right="901"/>
              <w:jc w:val="both"/>
              <w:rPr>
                <w:rFonts w:ascii="Palatino Linotype" w:hAnsi="Palatino Linotype" w:cs="Arial"/>
                <w:color w:val="000000"/>
                <w:sz w:val="20"/>
                <w:szCs w:val="20"/>
              </w:rPr>
            </w:pPr>
            <w:r w:rsidRPr="005D3007">
              <w:rPr>
                <w:rFonts w:ascii="Palatino Linotype" w:hAnsi="Palatino Linotype" w:cs="Arial"/>
                <w:color w:val="000000"/>
                <w:sz w:val="20"/>
                <w:szCs w:val="20"/>
              </w:rPr>
              <w:t>c) La leyenda “Este documento es una representación impresa de un CFDI”.</w:t>
            </w:r>
          </w:p>
          <w:p w:rsidR="00C0101A" w:rsidRPr="005D3007" w:rsidRDefault="00C0101A" w:rsidP="00802FFF">
            <w:pPr>
              <w:ind w:right="901"/>
              <w:jc w:val="both"/>
              <w:rPr>
                <w:rFonts w:ascii="Palatino Linotype" w:hAnsi="Palatino Linotype" w:cs="Arial"/>
                <w:color w:val="000000"/>
                <w:sz w:val="20"/>
                <w:szCs w:val="20"/>
              </w:rPr>
            </w:pPr>
            <w:r w:rsidRPr="005D3007">
              <w:rPr>
                <w:rFonts w:ascii="Palatino Linotype" w:hAnsi="Palatino Linotype" w:cs="Arial"/>
                <w:color w:val="000000"/>
                <w:sz w:val="20"/>
                <w:szCs w:val="20"/>
              </w:rPr>
              <w:t>d) Fecha y hora de emisión y de certificación de la Factura en adición a lo señalado en el artículo 29-A, fracción III del CFF.</w:t>
            </w:r>
          </w:p>
          <w:p w:rsidR="00C0101A" w:rsidRPr="005D3007" w:rsidRDefault="00C0101A" w:rsidP="00802FFF">
            <w:pPr>
              <w:ind w:right="901"/>
              <w:jc w:val="both"/>
              <w:rPr>
                <w:rFonts w:ascii="Palatino Linotype" w:hAnsi="Palatino Linotype" w:cs="Arial"/>
                <w:color w:val="000000"/>
                <w:sz w:val="20"/>
                <w:szCs w:val="20"/>
              </w:rPr>
            </w:pPr>
            <w:r w:rsidRPr="005D3007">
              <w:rPr>
                <w:rFonts w:ascii="Palatino Linotype" w:hAnsi="Palatino Linotype" w:cs="Arial"/>
                <w:color w:val="000000"/>
                <w:sz w:val="20"/>
                <w:szCs w:val="20"/>
              </w:rPr>
              <w:t>e) Cadena original del complemento de certificación digital del SAT.</w:t>
            </w:r>
          </w:p>
        </w:tc>
      </w:tr>
      <w:tr w:rsidR="00385771" w:rsidRPr="005D3007" w:rsidTr="00802FFF">
        <w:trPr>
          <w:jc w:val="center"/>
        </w:trPr>
        <w:tc>
          <w:tcPr>
            <w:tcW w:w="5000" w:type="pct"/>
            <w:gridSpan w:val="2"/>
            <w:tcMar>
              <w:top w:w="0" w:type="dxa"/>
              <w:left w:w="0" w:type="dxa"/>
              <w:bottom w:w="0" w:type="dxa"/>
              <w:right w:w="0" w:type="dxa"/>
            </w:tcMar>
          </w:tcPr>
          <w:p w:rsidR="00385771" w:rsidRPr="005D3007" w:rsidRDefault="00385771" w:rsidP="00802FFF">
            <w:pPr>
              <w:ind w:right="901"/>
              <w:jc w:val="both"/>
              <w:rPr>
                <w:rFonts w:ascii="Palatino Linotype" w:hAnsi="Palatino Linotype" w:cs="Arial"/>
                <w:color w:val="000000"/>
                <w:sz w:val="22"/>
                <w:szCs w:val="22"/>
              </w:rPr>
            </w:pPr>
          </w:p>
        </w:tc>
      </w:tr>
    </w:tbl>
    <w:p w:rsidR="00C0101A" w:rsidRPr="005D3007" w:rsidRDefault="00C0101A" w:rsidP="00C0101A">
      <w:pPr>
        <w:spacing w:after="160" w:line="360" w:lineRule="auto"/>
        <w:contextualSpacing/>
        <w:jc w:val="both"/>
        <w:rPr>
          <w:rFonts w:ascii="Palatino Linotype" w:eastAsia="Calibri" w:hAnsi="Palatino Linotype"/>
          <w:iCs/>
          <w:color w:val="000000"/>
          <w:szCs w:val="22"/>
          <w:lang w:eastAsia="en-US"/>
        </w:rPr>
      </w:pPr>
    </w:p>
    <w:p w:rsidR="00C0101A" w:rsidRPr="005D3007" w:rsidRDefault="00C0101A" w:rsidP="00C0101A">
      <w:pPr>
        <w:pStyle w:val="Prrafodelista"/>
        <w:numPr>
          <w:ilvl w:val="0"/>
          <w:numId w:val="10"/>
        </w:numPr>
        <w:spacing w:after="160" w:line="360" w:lineRule="auto"/>
        <w:jc w:val="both"/>
        <w:rPr>
          <w:rFonts w:ascii="Palatino Linotype" w:eastAsia="Calibri" w:hAnsi="Palatino Linotype"/>
          <w:b/>
          <w:iCs/>
          <w:color w:val="000000"/>
          <w:szCs w:val="22"/>
          <w:lang w:eastAsia="en-US"/>
        </w:rPr>
      </w:pPr>
      <w:r w:rsidRPr="005D3007">
        <w:rPr>
          <w:rFonts w:ascii="Palatino Linotype" w:eastAsia="Calibri" w:hAnsi="Palatino Linotype"/>
          <w:b/>
          <w:iCs/>
          <w:color w:val="000000"/>
          <w:szCs w:val="22"/>
          <w:lang w:eastAsia="en-US"/>
        </w:rPr>
        <w:t>De la información disponible en sitios electrónicos</w:t>
      </w:r>
    </w:p>
    <w:p w:rsidR="00C55D0A" w:rsidRPr="005D3007" w:rsidRDefault="00C55D0A" w:rsidP="00C55D0A">
      <w:pPr>
        <w:spacing w:after="160" w:line="360" w:lineRule="auto"/>
        <w:contextualSpacing/>
        <w:jc w:val="both"/>
        <w:rPr>
          <w:rFonts w:ascii="Palatino Linotype" w:eastAsia="Calibri" w:hAnsi="Palatino Linotype"/>
          <w:iCs/>
          <w:color w:val="000000"/>
          <w:szCs w:val="22"/>
          <w:lang w:eastAsia="en-US"/>
        </w:rPr>
      </w:pPr>
    </w:p>
    <w:p w:rsidR="00C55D0A" w:rsidRPr="005D3007" w:rsidRDefault="00C55D0A" w:rsidP="00C55D0A">
      <w:pPr>
        <w:numPr>
          <w:ilvl w:val="0"/>
          <w:numId w:val="1"/>
        </w:numPr>
        <w:spacing w:after="160" w:line="360" w:lineRule="auto"/>
        <w:ind w:left="0" w:firstLine="0"/>
        <w:contextualSpacing/>
        <w:jc w:val="both"/>
        <w:rPr>
          <w:rFonts w:ascii="Palatino Linotype" w:eastAsia="Calibri" w:hAnsi="Palatino Linotype"/>
          <w:iCs/>
          <w:color w:val="000000"/>
          <w:szCs w:val="22"/>
          <w:lang w:eastAsia="en-US"/>
        </w:rPr>
      </w:pPr>
      <w:r w:rsidRPr="005D3007">
        <w:rPr>
          <w:rFonts w:ascii="Palatino Linotype" w:eastAsia="Calibri" w:hAnsi="Palatino Linotype"/>
          <w:iCs/>
          <w:color w:val="000000"/>
          <w:szCs w:val="22"/>
          <w:lang w:eastAsia="en-US"/>
        </w:rPr>
        <w:lastRenderedPageBreak/>
        <w:t xml:space="preserve">Ahora bien, </w:t>
      </w:r>
      <w:r w:rsidRPr="005D3007">
        <w:rPr>
          <w:rFonts w:ascii="Palatino Linotype" w:eastAsia="MS Mincho" w:hAnsi="Palatino Linotype"/>
          <w:lang w:val="es-ES_tradnl" w:eastAsia="es-ES"/>
        </w:rPr>
        <w:t xml:space="preserve">la Ley en la materia en términos generales, establece que como uno de los objetivos con el que cuenta es el de garantizar a toda persona el derecho de acceso a la información pública, mediante los procedimientos establecidos de forma </w:t>
      </w:r>
      <w:r w:rsidRPr="005D3007">
        <w:rPr>
          <w:rFonts w:ascii="Palatino Linotype" w:eastAsia="MS Mincho" w:hAnsi="Palatino Linotype"/>
          <w:b/>
          <w:lang w:val="es-ES_tradnl" w:eastAsia="es-ES"/>
        </w:rPr>
        <w:t>sencilla</w:t>
      </w:r>
      <w:r w:rsidRPr="005D3007">
        <w:rPr>
          <w:rFonts w:ascii="Palatino Linotype" w:eastAsia="MS Mincho" w:hAnsi="Palatino Linotype"/>
          <w:lang w:val="es-ES_tradnl" w:eastAsia="es-ES"/>
        </w:rPr>
        <w:t xml:space="preserve">, expeditos, </w:t>
      </w:r>
      <w:r w:rsidRPr="005D3007">
        <w:rPr>
          <w:rFonts w:ascii="Palatino Linotype" w:eastAsia="MS Mincho" w:hAnsi="Palatino Linotype"/>
          <w:b/>
          <w:lang w:val="es-ES_tradnl" w:eastAsia="es-ES"/>
        </w:rPr>
        <w:t>oportunos</w:t>
      </w:r>
      <w:r w:rsidRPr="005D3007">
        <w:rPr>
          <w:rFonts w:ascii="Palatino Linotype" w:eastAsia="MS Mincho" w:hAnsi="Palatino Linotype"/>
          <w:lang w:val="es-ES_tradnl" w:eastAsia="es-ES"/>
        </w:rPr>
        <w:t xml:space="preserve"> y gratuitos, y con ello contribuir a la mejora de procedimientos y mecanismos que permitan trasparentar la gestión pública y mejora la toma decisiones, a través de la difusión de la información que obra en poder de los sujeto obligados.</w:t>
      </w:r>
    </w:p>
    <w:p w:rsidR="00C55D0A" w:rsidRPr="005D3007" w:rsidRDefault="00C55D0A" w:rsidP="00C55D0A">
      <w:pPr>
        <w:spacing w:line="360" w:lineRule="auto"/>
        <w:ind w:right="49"/>
        <w:contextualSpacing/>
        <w:jc w:val="both"/>
        <w:rPr>
          <w:rFonts w:ascii="Palatino Linotype" w:eastAsiaTheme="minorEastAsia" w:hAnsi="Palatino Linotype"/>
          <w:lang w:eastAsia="es-ES"/>
        </w:rPr>
      </w:pPr>
    </w:p>
    <w:p w:rsidR="00C55D0A" w:rsidRPr="005D3007" w:rsidRDefault="00C55D0A" w:rsidP="00C55D0A">
      <w:pPr>
        <w:pStyle w:val="Prrafodelista"/>
        <w:numPr>
          <w:ilvl w:val="0"/>
          <w:numId w:val="1"/>
        </w:numPr>
        <w:spacing w:line="360" w:lineRule="auto"/>
        <w:ind w:left="0" w:firstLine="0"/>
        <w:jc w:val="both"/>
        <w:rPr>
          <w:rFonts w:ascii="Palatino Linotype" w:eastAsia="MS Mincho" w:hAnsi="Palatino Linotype"/>
          <w:sz w:val="24"/>
        </w:rPr>
      </w:pPr>
      <w:r w:rsidRPr="005D3007">
        <w:rPr>
          <w:rFonts w:ascii="Palatino Linotype" w:hAnsi="Palatino Linotype"/>
          <w:sz w:val="24"/>
          <w:lang w:val="es-ES"/>
        </w:rPr>
        <w:t>El formato prediseñado para que los particulares formulen su solicitud de acceso a la información contiene opciones para seleccionar la modalidad de entrega de la información. En el presente asunto en particular, se solicitó la información a través del SAIMEX. En consecuencia, lo idóneo es que, los Sujetos Obligados proporcionen la información por el medio solicitado; no obstante, la Ley de Transparencia y Acceso</w:t>
      </w:r>
      <w:r w:rsidRPr="005D3007">
        <w:rPr>
          <w:rFonts w:ascii="Palatino Linotype" w:hAnsi="Palatino Linotype"/>
          <w:b/>
          <w:sz w:val="24"/>
          <w:lang w:val="es-ES"/>
        </w:rPr>
        <w:t xml:space="preserve"> </w:t>
      </w:r>
      <w:r w:rsidRPr="005D3007">
        <w:rPr>
          <w:rFonts w:ascii="Palatino Linotype" w:hAnsi="Palatino Linotype"/>
          <w:sz w:val="24"/>
          <w:lang w:val="es-ES"/>
        </w:rPr>
        <w:t>a la Información Pública del Estado de México y Municipios establece dos puntos importantes que impactan sobre la modalidad de entrega de la información.</w:t>
      </w:r>
    </w:p>
    <w:p w:rsidR="00C55D0A" w:rsidRPr="005D3007" w:rsidRDefault="00C55D0A" w:rsidP="00C55D0A">
      <w:pPr>
        <w:pStyle w:val="Prrafodelista"/>
        <w:tabs>
          <w:tab w:val="left" w:pos="851"/>
        </w:tabs>
        <w:spacing w:before="240" w:after="240" w:line="360" w:lineRule="auto"/>
        <w:ind w:left="0" w:right="49"/>
        <w:jc w:val="both"/>
        <w:rPr>
          <w:rFonts w:ascii="Palatino Linotype" w:hAnsi="Palatino Linotype"/>
          <w:sz w:val="24"/>
          <w:lang w:val="es-ES"/>
        </w:rPr>
      </w:pPr>
    </w:p>
    <w:p w:rsidR="00C55D0A" w:rsidRPr="005D3007" w:rsidRDefault="00C55D0A" w:rsidP="00C55D0A">
      <w:pPr>
        <w:pStyle w:val="Prrafodelista"/>
        <w:numPr>
          <w:ilvl w:val="0"/>
          <w:numId w:val="1"/>
        </w:numPr>
        <w:tabs>
          <w:tab w:val="left" w:pos="851"/>
        </w:tabs>
        <w:spacing w:before="240" w:after="240" w:line="360" w:lineRule="auto"/>
        <w:ind w:left="0" w:right="49" w:firstLine="0"/>
        <w:jc w:val="both"/>
        <w:rPr>
          <w:rFonts w:ascii="Palatino Linotype" w:hAnsi="Palatino Linotype"/>
          <w:sz w:val="24"/>
          <w:lang w:val="es-ES"/>
        </w:rPr>
      </w:pPr>
      <w:r w:rsidRPr="005D3007">
        <w:rPr>
          <w:rFonts w:ascii="Palatino Linotype" w:hAnsi="Palatino Linotype"/>
          <w:sz w:val="24"/>
          <w:lang w:val="es-ES"/>
        </w:rPr>
        <w:t xml:space="preserve">El primer punto a analizar es que la ley en materia contempla </w:t>
      </w:r>
      <w:r w:rsidRPr="005D3007">
        <w:rPr>
          <w:rFonts w:ascii="Palatino Linotype" w:hAnsi="Palatino Linotype"/>
          <w:b/>
          <w:sz w:val="24"/>
          <w:lang w:val="es-ES"/>
        </w:rPr>
        <w:t>información pública de oficio</w:t>
      </w:r>
      <w:r w:rsidRPr="005D3007">
        <w:rPr>
          <w:rFonts w:ascii="Palatino Linotype" w:hAnsi="Palatino Linotype"/>
          <w:sz w:val="24"/>
          <w:lang w:val="es-ES"/>
        </w:rPr>
        <w:t xml:space="preserve"> que los Sujetos Obligados deben poner a disposición del público de manera permanente y actualizada de forma sencilla, precisa y entendible, en los respectivos medios electrónicos la información pública que generen, administren o posean.</w:t>
      </w:r>
    </w:p>
    <w:p w:rsidR="00C55D0A" w:rsidRPr="005D3007" w:rsidRDefault="00C55D0A" w:rsidP="00C55D0A">
      <w:pPr>
        <w:pStyle w:val="Prrafodelista"/>
        <w:tabs>
          <w:tab w:val="left" w:pos="851"/>
        </w:tabs>
        <w:spacing w:before="240" w:after="240" w:line="360" w:lineRule="auto"/>
        <w:ind w:left="0" w:right="49"/>
        <w:jc w:val="both"/>
        <w:rPr>
          <w:rFonts w:ascii="Palatino Linotype" w:hAnsi="Palatino Linotype"/>
          <w:sz w:val="24"/>
          <w:lang w:val="es-ES"/>
        </w:rPr>
      </w:pPr>
    </w:p>
    <w:p w:rsidR="00C55D0A" w:rsidRPr="005D3007" w:rsidRDefault="00C55D0A" w:rsidP="00C55D0A">
      <w:pPr>
        <w:pStyle w:val="Prrafodelista"/>
        <w:numPr>
          <w:ilvl w:val="0"/>
          <w:numId w:val="1"/>
        </w:numPr>
        <w:tabs>
          <w:tab w:val="left" w:pos="851"/>
        </w:tabs>
        <w:spacing w:before="240" w:after="240" w:line="360" w:lineRule="auto"/>
        <w:ind w:left="0" w:right="49" w:firstLine="0"/>
        <w:jc w:val="both"/>
        <w:rPr>
          <w:rFonts w:ascii="Palatino Linotype" w:hAnsi="Palatino Linotype"/>
          <w:sz w:val="24"/>
          <w:lang w:val="es-ES"/>
        </w:rPr>
      </w:pPr>
      <w:r w:rsidRPr="005D3007">
        <w:rPr>
          <w:rFonts w:ascii="Palatino Linotype" w:hAnsi="Palatino Linotype"/>
          <w:sz w:val="24"/>
          <w:lang w:val="es-ES"/>
        </w:rPr>
        <w:t>El segundo punto a analizar y que guarda estricta relación con el punto anterior, se encuentra en el artículo 161 de la citada Ley de Transparencia Local:</w:t>
      </w:r>
    </w:p>
    <w:p w:rsidR="00C55D0A" w:rsidRPr="005D3007" w:rsidRDefault="00C55D0A" w:rsidP="00C55D0A">
      <w:pPr>
        <w:pStyle w:val="Prrafodelista"/>
        <w:rPr>
          <w:rFonts w:ascii="Palatino Linotype" w:hAnsi="Palatino Linotype"/>
          <w:lang w:val="es-ES"/>
        </w:rPr>
      </w:pPr>
    </w:p>
    <w:p w:rsidR="00C55D0A" w:rsidRPr="005D3007" w:rsidRDefault="00C55D0A" w:rsidP="00C55D0A">
      <w:pPr>
        <w:autoSpaceDE w:val="0"/>
        <w:autoSpaceDN w:val="0"/>
        <w:adjustRightInd w:val="0"/>
        <w:spacing w:line="360" w:lineRule="auto"/>
        <w:ind w:left="567" w:right="567"/>
        <w:jc w:val="both"/>
        <w:rPr>
          <w:rFonts w:ascii="Palatino Linotype" w:hAnsi="Palatino Linotype"/>
          <w:i/>
          <w:sz w:val="28"/>
          <w:lang w:val="es-ES"/>
        </w:rPr>
      </w:pPr>
      <w:r w:rsidRPr="005D3007">
        <w:rPr>
          <w:rFonts w:ascii="Palatino Linotype" w:hAnsi="Palatino Linotype" w:cs="Bookman Old Style,Bold"/>
          <w:b/>
          <w:bCs/>
          <w:i/>
          <w:sz w:val="22"/>
        </w:rPr>
        <w:t xml:space="preserve">Artículo 161. </w:t>
      </w:r>
      <w:r w:rsidRPr="005D3007">
        <w:rPr>
          <w:rFonts w:ascii="Palatino Linotype" w:hAnsi="Palatino Linotype" w:cs="Bookman Old Style"/>
          <w:b/>
          <w:i/>
          <w:sz w:val="22"/>
        </w:rPr>
        <w:t>Cuando la información requerida por el solicitante ya esté disponible</w:t>
      </w:r>
      <w:r w:rsidRPr="005D3007">
        <w:rPr>
          <w:rFonts w:ascii="Palatino Linotype" w:hAnsi="Palatino Linotype" w:cs="Bookman Old Style"/>
          <w:i/>
          <w:sz w:val="22"/>
        </w:rPr>
        <w:t xml:space="preserve"> al público en medios impresos, tales como libros, compendios, trípticos, registros públicos, </w:t>
      </w:r>
      <w:r w:rsidRPr="005D3007">
        <w:rPr>
          <w:rFonts w:ascii="Palatino Linotype" w:hAnsi="Palatino Linotype" w:cs="Bookman Old Style"/>
          <w:b/>
          <w:i/>
          <w:sz w:val="22"/>
        </w:rPr>
        <w:t xml:space="preserve">en formatos electrónicos disponibles en Internet </w:t>
      </w:r>
      <w:r w:rsidRPr="005D3007">
        <w:rPr>
          <w:rFonts w:ascii="Palatino Linotype" w:hAnsi="Palatino Linotype" w:cs="Bookman Old Style"/>
          <w:i/>
          <w:sz w:val="22"/>
        </w:rPr>
        <w:t xml:space="preserve">o en cualquier otro medio, se le hará saber por el medio requerido por el solicitante la fuente, el lugar y la forma en que puede consultar, reproducir o adquirir dicha información </w:t>
      </w:r>
      <w:r w:rsidRPr="005D3007">
        <w:rPr>
          <w:rFonts w:ascii="Palatino Linotype" w:hAnsi="Palatino Linotype" w:cs="Bookman Old Style"/>
          <w:b/>
          <w:i/>
          <w:sz w:val="22"/>
        </w:rPr>
        <w:t>en un plazo no mayor a cinco días hábiles</w:t>
      </w:r>
      <w:r w:rsidRPr="005D3007">
        <w:rPr>
          <w:rFonts w:ascii="Palatino Linotype" w:hAnsi="Palatino Linotype" w:cs="Bookman Old Style"/>
          <w:i/>
          <w:sz w:val="22"/>
        </w:rPr>
        <w:t xml:space="preserve">. </w:t>
      </w:r>
      <w:r w:rsidRPr="005D3007">
        <w:rPr>
          <w:rFonts w:ascii="Palatino Linotype" w:hAnsi="Palatino Linotype" w:cs="Bookman Old Style"/>
          <w:b/>
          <w:i/>
          <w:sz w:val="22"/>
        </w:rPr>
        <w:t>La fuente deberá ser precisa y concreta y no debe implicar que el solicitante realice una búsqueda en toda la información que se encuentre disponible</w:t>
      </w:r>
      <w:r w:rsidRPr="005D3007">
        <w:rPr>
          <w:rFonts w:ascii="Palatino Linotype" w:hAnsi="Palatino Linotype" w:cs="Bookman Old Style"/>
          <w:i/>
          <w:sz w:val="22"/>
        </w:rPr>
        <w:t>.</w:t>
      </w:r>
    </w:p>
    <w:p w:rsidR="00C55D0A" w:rsidRPr="005D3007" w:rsidRDefault="00C55D0A" w:rsidP="00C55D0A">
      <w:pPr>
        <w:pStyle w:val="Prrafodelista"/>
        <w:numPr>
          <w:ilvl w:val="0"/>
          <w:numId w:val="1"/>
        </w:numPr>
        <w:tabs>
          <w:tab w:val="left" w:pos="851"/>
        </w:tabs>
        <w:spacing w:before="240" w:after="240" w:line="360" w:lineRule="auto"/>
        <w:ind w:left="0" w:right="49" w:firstLine="0"/>
        <w:jc w:val="both"/>
        <w:rPr>
          <w:rFonts w:ascii="Palatino Linotype" w:hAnsi="Palatino Linotype"/>
          <w:i/>
          <w:sz w:val="36"/>
          <w:lang w:val="es-ES"/>
        </w:rPr>
      </w:pPr>
      <w:r w:rsidRPr="005D3007">
        <w:rPr>
          <w:rFonts w:ascii="Palatino Linotype" w:hAnsi="Palatino Linotype"/>
          <w:sz w:val="24"/>
          <w:lang w:val="es-ES"/>
        </w:rPr>
        <w:t>Es así que, toda aquella información que sea requerida por los particulares pero que, previamente se encuentre disponible en sitios electrónicos, como puede ser de manera enunciativa más no limitativa, el sitio oficial del Sujeto Obligado o el portal IPOMEX o las páginas institucionales. Los Sujetos Obligado pueden indicar la dirección electrónica donde obra la información solicitada. Esta dirección electrónica debe ser precisa, de tal modo que no implique realizar una búsqueda en toda la información que ahí se encuentre. Además, debe ir acompañada del procedimiento a seguir, en caso de que la información se encuentre en distintos puntos del sitio electrónico referido.</w:t>
      </w:r>
    </w:p>
    <w:p w:rsidR="00C55D0A" w:rsidRPr="005D3007" w:rsidRDefault="00C55D0A" w:rsidP="00C55D0A">
      <w:pPr>
        <w:pStyle w:val="Prrafodelista"/>
        <w:tabs>
          <w:tab w:val="left" w:pos="851"/>
        </w:tabs>
        <w:spacing w:before="240" w:after="240" w:line="360" w:lineRule="auto"/>
        <w:ind w:left="0" w:right="49"/>
        <w:jc w:val="both"/>
        <w:rPr>
          <w:rFonts w:ascii="Palatino Linotype" w:hAnsi="Palatino Linotype"/>
          <w:i/>
          <w:sz w:val="24"/>
          <w:lang w:val="es-ES"/>
        </w:rPr>
      </w:pPr>
    </w:p>
    <w:p w:rsidR="00C55D0A" w:rsidRPr="005D3007" w:rsidRDefault="00C55D0A" w:rsidP="00C55D0A">
      <w:pPr>
        <w:pStyle w:val="Prrafodelista"/>
        <w:numPr>
          <w:ilvl w:val="0"/>
          <w:numId w:val="1"/>
        </w:numPr>
        <w:tabs>
          <w:tab w:val="left" w:pos="851"/>
        </w:tabs>
        <w:spacing w:before="240" w:after="240" w:line="360" w:lineRule="auto"/>
        <w:ind w:left="0" w:right="49" w:firstLine="0"/>
        <w:jc w:val="both"/>
        <w:rPr>
          <w:rFonts w:ascii="Palatino Linotype" w:hAnsi="Palatino Linotype"/>
          <w:i/>
          <w:sz w:val="32"/>
          <w:lang w:val="es-ES"/>
        </w:rPr>
      </w:pPr>
      <w:r w:rsidRPr="005D3007">
        <w:rPr>
          <w:rFonts w:ascii="Palatino Linotype" w:hAnsi="Palatino Linotype"/>
          <w:b/>
          <w:sz w:val="24"/>
          <w:lang w:val="es-ES"/>
        </w:rPr>
        <w:t>La orientación</w:t>
      </w:r>
      <w:r w:rsidRPr="005D3007">
        <w:rPr>
          <w:rFonts w:ascii="Palatino Linotype" w:hAnsi="Palatino Linotype"/>
          <w:sz w:val="24"/>
          <w:lang w:val="es-ES"/>
        </w:rPr>
        <w:t xml:space="preserve"> que realicen los Sujetos Obligados a los sitios electrónicos para la consulta de la información </w:t>
      </w:r>
      <w:r w:rsidRPr="005D3007">
        <w:rPr>
          <w:rFonts w:ascii="Palatino Linotype" w:hAnsi="Palatino Linotype"/>
          <w:b/>
          <w:sz w:val="24"/>
          <w:lang w:val="es-ES"/>
        </w:rPr>
        <w:t>debe cumplir con las características de tiempo y forma.</w:t>
      </w:r>
    </w:p>
    <w:p w:rsidR="00C55D0A" w:rsidRPr="005D3007" w:rsidRDefault="00C55D0A" w:rsidP="00C55D0A">
      <w:pPr>
        <w:pStyle w:val="Prrafodelista"/>
        <w:rPr>
          <w:rFonts w:ascii="Palatino Linotype" w:hAnsi="Palatino Linotype"/>
          <w:sz w:val="24"/>
          <w:lang w:val="es-ES"/>
        </w:rPr>
      </w:pPr>
    </w:p>
    <w:p w:rsidR="00C55D0A" w:rsidRPr="005D3007" w:rsidRDefault="00C55D0A" w:rsidP="00C55D0A">
      <w:pPr>
        <w:pStyle w:val="Prrafodelista"/>
        <w:numPr>
          <w:ilvl w:val="0"/>
          <w:numId w:val="1"/>
        </w:numPr>
        <w:tabs>
          <w:tab w:val="left" w:pos="851"/>
        </w:tabs>
        <w:spacing w:before="240" w:after="240" w:line="360" w:lineRule="auto"/>
        <w:ind w:left="0" w:right="49" w:firstLine="0"/>
        <w:jc w:val="both"/>
        <w:rPr>
          <w:rFonts w:ascii="Palatino Linotype" w:hAnsi="Palatino Linotype"/>
          <w:i/>
          <w:sz w:val="32"/>
          <w:lang w:val="es-ES"/>
        </w:rPr>
      </w:pPr>
      <w:r w:rsidRPr="005D3007">
        <w:rPr>
          <w:rFonts w:ascii="Palatino Linotype" w:hAnsi="Palatino Linotype"/>
          <w:sz w:val="24"/>
          <w:lang w:val="es-ES"/>
        </w:rPr>
        <w:t xml:space="preserve">Para que la orientación se encuentre en tiempo, debe realizarse en un plazo no mayor a cinco días hábiles. En este caso, el Recurrente presentó su solicitud en fecha </w:t>
      </w:r>
      <w:r w:rsidR="00933493" w:rsidRPr="005D3007">
        <w:rPr>
          <w:rFonts w:ascii="Palatino Linotype" w:hAnsi="Palatino Linotype"/>
          <w:sz w:val="24"/>
          <w:lang w:val="es-ES"/>
        </w:rPr>
        <w:t xml:space="preserve">diecinueve (19) de julio </w:t>
      </w:r>
      <w:r w:rsidRPr="005D3007">
        <w:rPr>
          <w:rFonts w:ascii="Palatino Linotype" w:hAnsi="Palatino Linotype"/>
          <w:sz w:val="24"/>
          <w:lang w:val="es-ES"/>
        </w:rPr>
        <w:t xml:space="preserve"> de dos mil veintitrés, por lo que, el plazo de cinco días para señalar los sitios electrónicos en donde obra la información transcurrió del </w:t>
      </w:r>
      <w:r w:rsidR="00933493" w:rsidRPr="005D3007">
        <w:rPr>
          <w:rFonts w:ascii="Palatino Linotype" w:hAnsi="Palatino Linotype"/>
          <w:sz w:val="24"/>
          <w:lang w:val="es-ES"/>
        </w:rPr>
        <w:t xml:space="preserve">uno </w:t>
      </w:r>
      <w:r w:rsidR="00933493" w:rsidRPr="005D3007">
        <w:rPr>
          <w:rFonts w:ascii="Palatino Linotype" w:hAnsi="Palatino Linotype"/>
          <w:sz w:val="24"/>
          <w:lang w:val="es-ES"/>
        </w:rPr>
        <w:lastRenderedPageBreak/>
        <w:t>(01) al siete (07) de agosto</w:t>
      </w:r>
      <w:r w:rsidRPr="005D3007">
        <w:rPr>
          <w:rFonts w:ascii="Palatino Linotype" w:hAnsi="Palatino Linotype"/>
          <w:sz w:val="24"/>
          <w:lang w:val="es-ES"/>
        </w:rPr>
        <w:t xml:space="preserve"> de dos mil veintitrés</w:t>
      </w:r>
      <w:r w:rsidR="00933493" w:rsidRPr="005D3007">
        <w:rPr>
          <w:rFonts w:ascii="Palatino Linotype" w:hAnsi="Palatino Linotype"/>
          <w:sz w:val="24"/>
          <w:lang w:val="es-ES"/>
        </w:rPr>
        <w:t>, en relación al calendario oficial emitido por el Instituto de Transparencia, Protección de Datos y Acceso a la Información Pública del Estado de México y Municipios</w:t>
      </w:r>
      <w:r w:rsidRPr="005D3007">
        <w:rPr>
          <w:rFonts w:ascii="Palatino Linotype" w:hAnsi="Palatino Linotype"/>
          <w:sz w:val="24"/>
          <w:lang w:val="es-ES"/>
        </w:rPr>
        <w:t xml:space="preserve">; </w:t>
      </w:r>
      <w:r w:rsidR="00933493" w:rsidRPr="005D3007">
        <w:rPr>
          <w:rFonts w:ascii="Palatino Linotype" w:hAnsi="Palatino Linotype"/>
          <w:sz w:val="24"/>
          <w:lang w:val="es-ES"/>
        </w:rPr>
        <w:t xml:space="preserve">en este caso, </w:t>
      </w:r>
      <w:r w:rsidRPr="005D3007">
        <w:rPr>
          <w:rFonts w:ascii="Palatino Linotype" w:hAnsi="Palatino Linotype"/>
          <w:sz w:val="24"/>
          <w:lang w:val="es-ES"/>
        </w:rPr>
        <w:t xml:space="preserve">el Sujeto Obligado dio respuesta el </w:t>
      </w:r>
      <w:r w:rsidR="00933493" w:rsidRPr="005D3007">
        <w:rPr>
          <w:rFonts w:ascii="Palatino Linotype" w:hAnsi="Palatino Linotype"/>
          <w:sz w:val="24"/>
          <w:lang w:val="es-ES"/>
        </w:rPr>
        <w:t>veintiuno (21) de agosto</w:t>
      </w:r>
      <w:r w:rsidRPr="005D3007">
        <w:rPr>
          <w:rFonts w:ascii="Palatino Linotype" w:hAnsi="Palatino Linotype"/>
          <w:sz w:val="24"/>
          <w:lang w:val="es-ES"/>
        </w:rPr>
        <w:t xml:space="preserve"> de dos mil veintitrés, por lo que evidentemente se encuentra fuera del plazo que señala la normatividad en materia, lo que trae como consecuencia que </w:t>
      </w:r>
      <w:r w:rsidRPr="005D3007">
        <w:rPr>
          <w:rFonts w:ascii="Palatino Linotype" w:hAnsi="Palatino Linotype"/>
          <w:b/>
          <w:sz w:val="24"/>
          <w:lang w:val="es-ES"/>
        </w:rPr>
        <w:t>la orientación no se encuentre en tiempo</w:t>
      </w:r>
      <w:r w:rsidRPr="005D3007">
        <w:rPr>
          <w:rFonts w:ascii="Palatino Linotype" w:hAnsi="Palatino Linotype"/>
          <w:sz w:val="24"/>
          <w:lang w:val="es-ES"/>
        </w:rPr>
        <w:t>.</w:t>
      </w:r>
    </w:p>
    <w:p w:rsidR="00C55D0A" w:rsidRPr="005D3007" w:rsidRDefault="00C55D0A" w:rsidP="00C55D0A">
      <w:pPr>
        <w:pStyle w:val="Prrafodelista"/>
        <w:rPr>
          <w:rFonts w:ascii="Palatino Linotype" w:hAnsi="Palatino Linotype"/>
          <w:sz w:val="24"/>
          <w:lang w:val="es-ES"/>
        </w:rPr>
      </w:pPr>
    </w:p>
    <w:p w:rsidR="00C55D0A" w:rsidRPr="005D3007" w:rsidRDefault="00C55D0A" w:rsidP="00933493">
      <w:pPr>
        <w:pStyle w:val="Prrafodelista"/>
        <w:numPr>
          <w:ilvl w:val="0"/>
          <w:numId w:val="1"/>
        </w:numPr>
        <w:tabs>
          <w:tab w:val="left" w:pos="851"/>
        </w:tabs>
        <w:spacing w:before="240" w:after="240" w:line="360" w:lineRule="auto"/>
        <w:ind w:left="0" w:right="49" w:firstLine="0"/>
        <w:jc w:val="both"/>
        <w:rPr>
          <w:rFonts w:ascii="Palatino Linotype" w:hAnsi="Palatino Linotype"/>
          <w:i/>
          <w:sz w:val="32"/>
          <w:lang w:val="es-ES"/>
        </w:rPr>
      </w:pPr>
      <w:r w:rsidRPr="005D3007">
        <w:rPr>
          <w:rFonts w:ascii="Palatino Linotype" w:hAnsi="Palatino Linotype"/>
          <w:sz w:val="24"/>
          <w:lang w:val="es-ES"/>
        </w:rPr>
        <w:t>Ahora bien, la normatividad en materia establece que las direcciones electrónicas deben ser precisas, de tal modo que no implique que el Recurrente deba de realizar una búsqueda dentro de toda la información disponible.</w:t>
      </w:r>
      <w:r w:rsidR="00933493" w:rsidRPr="005D3007">
        <w:rPr>
          <w:rFonts w:ascii="Palatino Linotype" w:hAnsi="Palatino Linotype"/>
          <w:i/>
          <w:sz w:val="32"/>
          <w:lang w:val="es-ES"/>
        </w:rPr>
        <w:t xml:space="preserve"> </w:t>
      </w:r>
      <w:r w:rsidR="00933493" w:rsidRPr="005D3007">
        <w:rPr>
          <w:rFonts w:ascii="Palatino Linotype" w:hAnsi="Palatino Linotype"/>
          <w:sz w:val="24"/>
          <w:lang w:val="es-ES"/>
        </w:rPr>
        <w:t>En este caso, e</w:t>
      </w:r>
      <w:r w:rsidRPr="005D3007">
        <w:rPr>
          <w:rFonts w:ascii="Palatino Linotype" w:hAnsi="Palatino Linotype"/>
          <w:sz w:val="24"/>
          <w:lang w:val="es-ES"/>
        </w:rPr>
        <w:t>l Sujeto Obligado señaló que la información solicitada se encontraba en las siguientes ligas electrónicas:</w:t>
      </w:r>
    </w:p>
    <w:p w:rsidR="00C55D0A" w:rsidRPr="005D3007" w:rsidRDefault="00C55D0A" w:rsidP="00C55D0A">
      <w:pPr>
        <w:pStyle w:val="Prrafodelista"/>
        <w:tabs>
          <w:tab w:val="left" w:pos="851"/>
        </w:tabs>
        <w:spacing w:before="240" w:after="240" w:line="360" w:lineRule="auto"/>
        <w:ind w:left="0" w:right="49"/>
        <w:jc w:val="both"/>
        <w:rPr>
          <w:rFonts w:ascii="Palatino Linotype" w:hAnsi="Palatino Linotype"/>
          <w:sz w:val="24"/>
          <w:lang w:val="es-ES"/>
        </w:rPr>
      </w:pPr>
    </w:p>
    <w:p w:rsidR="00C55D0A" w:rsidRPr="005D3007" w:rsidRDefault="00E260AA" w:rsidP="00933493">
      <w:pPr>
        <w:pStyle w:val="Prrafodelista"/>
        <w:numPr>
          <w:ilvl w:val="0"/>
          <w:numId w:val="7"/>
        </w:numPr>
        <w:tabs>
          <w:tab w:val="left" w:pos="851"/>
        </w:tabs>
        <w:spacing w:before="240" w:after="240"/>
        <w:ind w:right="49"/>
        <w:rPr>
          <w:rFonts w:ascii="Palatino Linotype" w:hAnsi="Palatino Linotype"/>
        </w:rPr>
      </w:pPr>
      <w:hyperlink r:id="rId9" w:anchor="SujetosO" w:history="1">
        <w:r w:rsidR="00933493" w:rsidRPr="005D3007">
          <w:rPr>
            <w:rStyle w:val="Hipervnculo"/>
            <w:rFonts w:ascii="Palatino Linotype" w:hAnsi="Palatino Linotype"/>
          </w:rPr>
          <w:t>https://www.ipomex.org.mx/ipo3/lgt/portal/3.web#SujetosO</w:t>
        </w:r>
      </w:hyperlink>
      <w:r w:rsidR="00933493" w:rsidRPr="005D3007">
        <w:rPr>
          <w:rFonts w:ascii="Palatino Linotype" w:hAnsi="Palatino Linotype"/>
        </w:rPr>
        <w:t xml:space="preserve"> </w:t>
      </w:r>
    </w:p>
    <w:p w:rsidR="00933493" w:rsidRPr="005D3007" w:rsidRDefault="00E260AA" w:rsidP="00933493">
      <w:pPr>
        <w:pStyle w:val="Prrafodelista"/>
        <w:numPr>
          <w:ilvl w:val="0"/>
          <w:numId w:val="7"/>
        </w:numPr>
        <w:tabs>
          <w:tab w:val="left" w:pos="851"/>
        </w:tabs>
        <w:spacing w:before="240" w:after="240"/>
        <w:ind w:right="49"/>
        <w:rPr>
          <w:rFonts w:ascii="Palatino Linotype" w:hAnsi="Palatino Linotype"/>
        </w:rPr>
      </w:pPr>
      <w:hyperlink r:id="rId10" w:history="1">
        <w:r w:rsidR="00933493" w:rsidRPr="005D3007">
          <w:rPr>
            <w:rStyle w:val="Hipervnculo"/>
            <w:rFonts w:ascii="Palatino Linotype" w:hAnsi="Palatino Linotype"/>
          </w:rPr>
          <w:t>https://ipomex.org.mx/ipo3/lgt/indice/CHIMALHUACAN.web?token=03AKH6MRHBvusUkdK4C-0kHyWtN_SeFAVj5xXvTGfQKiXnf6TdUKqH_eMpsJpAs-Ux4foeaK7sY3mREgs4tDAHu874UvTkGNDmZZSVE-v_gi-2amn2s0jiW0GVgUEwzXBm7IKQjwsXhXHLNzZUmeFeEUP00mwuFgCyYw_MQq30Mz3CWJAmn46s4hTZ1BS-mnCtu6hdMw8u57FrjTgxvnewmuUBAjFdtOC-RvDYA5pCO-h93myMNDQ8VkjSGlSqnDeoxVyzy3OdIxh6Jt2ayO4xvbE3fy6SjVl6aX5w0h2MxuaJ0n9XzGgpJJcyYTd-mIc-5Tq2c5HMaLB1JrkrnpAs3RcnnO84ofAYaJHP0C41-n5G03rSKFojs00nMFL3jRsyw5C3cvnpZzT2HtnoSDIgMmU42O7RWC3ixYWjDw5gKeEDh2-y0y1ahWxgg_Ns-MArBRmCwRk-ME0TsXJROMu0vErbFDVxNpiqmZ7ygkincnXzv9IvFltiPtGjTIaOy-u5fMF030NMZjym</w:t>
        </w:r>
      </w:hyperlink>
      <w:r w:rsidR="00933493" w:rsidRPr="005D3007">
        <w:rPr>
          <w:rFonts w:ascii="Palatino Linotype" w:hAnsi="Palatino Linotype"/>
        </w:rPr>
        <w:t xml:space="preserve"> </w:t>
      </w:r>
    </w:p>
    <w:p w:rsidR="00933493" w:rsidRPr="005D3007" w:rsidRDefault="00933493" w:rsidP="00933493">
      <w:pPr>
        <w:pStyle w:val="Prrafodelista"/>
        <w:tabs>
          <w:tab w:val="left" w:pos="851"/>
        </w:tabs>
        <w:spacing w:before="240" w:after="240"/>
        <w:ind w:right="49"/>
        <w:rPr>
          <w:rFonts w:ascii="Palatino Linotype" w:hAnsi="Palatino Linotype"/>
        </w:rPr>
      </w:pPr>
    </w:p>
    <w:p w:rsidR="00C55D0A" w:rsidRPr="005D3007" w:rsidRDefault="00C55D0A" w:rsidP="00C55D0A">
      <w:pPr>
        <w:pStyle w:val="Prrafodelista"/>
        <w:numPr>
          <w:ilvl w:val="0"/>
          <w:numId w:val="1"/>
        </w:numPr>
        <w:tabs>
          <w:tab w:val="left" w:pos="851"/>
        </w:tabs>
        <w:spacing w:before="240" w:after="240" w:line="360" w:lineRule="auto"/>
        <w:ind w:left="0" w:right="49" w:firstLine="0"/>
        <w:jc w:val="both"/>
        <w:rPr>
          <w:rFonts w:ascii="Palatino Linotype" w:hAnsi="Palatino Linotype"/>
          <w:sz w:val="24"/>
          <w:lang w:val="es-ES"/>
        </w:rPr>
      </w:pPr>
      <w:r w:rsidRPr="005D3007">
        <w:rPr>
          <w:rFonts w:ascii="Palatino Linotype" w:hAnsi="Palatino Linotype"/>
          <w:sz w:val="24"/>
          <w:lang w:val="es-ES"/>
        </w:rPr>
        <w:t>De la revisión a las ligas electrónicas, se advierte que remite a la página de Información Pública de Oficio M</w:t>
      </w:r>
      <w:r w:rsidR="003005A2" w:rsidRPr="005D3007">
        <w:rPr>
          <w:rFonts w:ascii="Palatino Linotype" w:hAnsi="Palatino Linotype"/>
          <w:sz w:val="24"/>
          <w:lang w:val="es-ES"/>
        </w:rPr>
        <w:t>exiquense (IPOMEX) y al IPOMEX del Sujeto Obligado</w:t>
      </w:r>
      <w:r w:rsidRPr="005D3007">
        <w:rPr>
          <w:rFonts w:ascii="Palatino Linotype" w:hAnsi="Palatino Linotype"/>
          <w:bCs/>
          <w:sz w:val="24"/>
        </w:rPr>
        <w:t xml:space="preserve">, </w:t>
      </w:r>
      <w:r w:rsidRPr="005D3007">
        <w:rPr>
          <w:rFonts w:ascii="Palatino Linotype" w:hAnsi="Palatino Linotype"/>
          <w:sz w:val="24"/>
          <w:lang w:val="es-ES"/>
        </w:rPr>
        <w:t>como se observa en la</w:t>
      </w:r>
      <w:r w:rsidR="003005A2" w:rsidRPr="005D3007">
        <w:rPr>
          <w:rFonts w:ascii="Palatino Linotype" w:hAnsi="Palatino Linotype"/>
          <w:sz w:val="24"/>
          <w:lang w:val="es-ES"/>
        </w:rPr>
        <w:t>s</w:t>
      </w:r>
      <w:r w:rsidRPr="005D3007">
        <w:rPr>
          <w:rFonts w:ascii="Palatino Linotype" w:hAnsi="Palatino Linotype"/>
          <w:sz w:val="24"/>
          <w:lang w:val="es-ES"/>
        </w:rPr>
        <w:t xml:space="preserve"> </w:t>
      </w:r>
      <w:r w:rsidR="003005A2" w:rsidRPr="005D3007">
        <w:rPr>
          <w:rFonts w:ascii="Palatino Linotype" w:hAnsi="Palatino Linotype"/>
          <w:sz w:val="24"/>
          <w:lang w:val="es-ES"/>
        </w:rPr>
        <w:t>imágenes</w:t>
      </w:r>
      <w:r w:rsidRPr="005D3007">
        <w:rPr>
          <w:rFonts w:ascii="Palatino Linotype" w:hAnsi="Palatino Linotype"/>
          <w:sz w:val="24"/>
          <w:lang w:val="es-ES"/>
        </w:rPr>
        <w:t xml:space="preserve"> que se inserta</w:t>
      </w:r>
      <w:r w:rsidR="003005A2" w:rsidRPr="005D3007">
        <w:rPr>
          <w:rFonts w:ascii="Palatino Linotype" w:hAnsi="Palatino Linotype"/>
          <w:sz w:val="24"/>
          <w:lang w:val="es-ES"/>
        </w:rPr>
        <w:t>n</w:t>
      </w:r>
      <w:r w:rsidRPr="005D3007">
        <w:rPr>
          <w:rFonts w:ascii="Palatino Linotype" w:hAnsi="Palatino Linotype"/>
          <w:sz w:val="24"/>
          <w:lang w:val="es-ES"/>
        </w:rPr>
        <w:t>:</w:t>
      </w:r>
    </w:p>
    <w:p w:rsidR="00C55D0A" w:rsidRPr="005D3007" w:rsidRDefault="00C55D0A" w:rsidP="00C55D0A">
      <w:pPr>
        <w:pStyle w:val="Prrafodelista"/>
        <w:tabs>
          <w:tab w:val="left" w:pos="851"/>
        </w:tabs>
        <w:spacing w:before="240" w:after="240" w:line="360" w:lineRule="auto"/>
        <w:ind w:left="0" w:right="49"/>
        <w:jc w:val="both"/>
        <w:rPr>
          <w:rFonts w:ascii="Palatino Linotype" w:hAnsi="Palatino Linotype"/>
          <w:sz w:val="24"/>
          <w:lang w:val="es-ES"/>
        </w:rPr>
      </w:pPr>
    </w:p>
    <w:p w:rsidR="00C55D0A" w:rsidRPr="005D3007" w:rsidRDefault="003005A2" w:rsidP="003005A2">
      <w:pPr>
        <w:pStyle w:val="Prrafodelista"/>
        <w:tabs>
          <w:tab w:val="left" w:pos="851"/>
        </w:tabs>
        <w:spacing w:before="240" w:after="240" w:line="360" w:lineRule="auto"/>
        <w:ind w:left="0" w:right="49"/>
        <w:rPr>
          <w:rFonts w:ascii="Palatino Linotype" w:hAnsi="Palatino Linotype"/>
          <w:sz w:val="24"/>
          <w:lang w:val="es-ES"/>
        </w:rPr>
      </w:pPr>
      <w:r w:rsidRPr="005D3007">
        <w:rPr>
          <w:noProof/>
        </w:rPr>
        <w:drawing>
          <wp:inline distT="0" distB="0" distL="0" distR="0" wp14:anchorId="6FB83267" wp14:editId="629E2E5C">
            <wp:extent cx="5543550" cy="2266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23" t="22410" r="1648" b="7411"/>
                    <a:stretch/>
                  </pic:blipFill>
                  <pic:spPr bwMode="auto">
                    <a:xfrm>
                      <a:off x="0" y="0"/>
                      <a:ext cx="5543550" cy="2266950"/>
                    </a:xfrm>
                    <a:prstGeom prst="rect">
                      <a:avLst/>
                    </a:prstGeom>
                    <a:ln>
                      <a:noFill/>
                    </a:ln>
                    <a:extLst>
                      <a:ext uri="{53640926-AAD7-44D8-BBD7-CCE9431645EC}">
                        <a14:shadowObscured xmlns:a14="http://schemas.microsoft.com/office/drawing/2010/main"/>
                      </a:ext>
                    </a:extLst>
                  </pic:spPr>
                </pic:pic>
              </a:graphicData>
            </a:graphic>
          </wp:inline>
        </w:drawing>
      </w:r>
    </w:p>
    <w:p w:rsidR="003005A2" w:rsidRPr="005D3007" w:rsidRDefault="003005A2" w:rsidP="003005A2">
      <w:pPr>
        <w:pStyle w:val="Prrafodelista"/>
        <w:tabs>
          <w:tab w:val="left" w:pos="851"/>
        </w:tabs>
        <w:spacing w:before="240" w:after="240" w:line="360" w:lineRule="auto"/>
        <w:ind w:left="0" w:right="49"/>
        <w:rPr>
          <w:rFonts w:ascii="Palatino Linotype" w:hAnsi="Palatino Linotype"/>
          <w:sz w:val="24"/>
          <w:lang w:val="es-ES"/>
        </w:rPr>
      </w:pPr>
    </w:p>
    <w:p w:rsidR="003005A2" w:rsidRPr="005D3007" w:rsidRDefault="003005A2" w:rsidP="003005A2">
      <w:pPr>
        <w:pStyle w:val="Prrafodelista"/>
        <w:tabs>
          <w:tab w:val="left" w:pos="851"/>
        </w:tabs>
        <w:spacing w:before="240" w:after="240" w:line="360" w:lineRule="auto"/>
        <w:ind w:left="0" w:right="49"/>
        <w:jc w:val="center"/>
        <w:rPr>
          <w:rFonts w:ascii="Palatino Linotype" w:hAnsi="Palatino Linotype"/>
          <w:sz w:val="24"/>
          <w:lang w:val="es-ES"/>
        </w:rPr>
      </w:pPr>
      <w:r w:rsidRPr="005D3007">
        <w:rPr>
          <w:noProof/>
        </w:rPr>
        <w:drawing>
          <wp:inline distT="0" distB="0" distL="0" distR="0" wp14:anchorId="73A6F35D" wp14:editId="1FA88D97">
            <wp:extent cx="4295775" cy="4472094"/>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195" t="9436" r="27355" b="8296"/>
                    <a:stretch/>
                  </pic:blipFill>
                  <pic:spPr bwMode="auto">
                    <a:xfrm>
                      <a:off x="0" y="0"/>
                      <a:ext cx="4300891" cy="4477421"/>
                    </a:xfrm>
                    <a:prstGeom prst="rect">
                      <a:avLst/>
                    </a:prstGeom>
                    <a:ln>
                      <a:noFill/>
                    </a:ln>
                    <a:extLst>
                      <a:ext uri="{53640926-AAD7-44D8-BBD7-CCE9431645EC}">
                        <a14:shadowObscured xmlns:a14="http://schemas.microsoft.com/office/drawing/2010/main"/>
                      </a:ext>
                    </a:extLst>
                  </pic:spPr>
                </pic:pic>
              </a:graphicData>
            </a:graphic>
          </wp:inline>
        </w:drawing>
      </w:r>
    </w:p>
    <w:p w:rsidR="00C55D0A" w:rsidRPr="005D3007" w:rsidRDefault="00C55D0A" w:rsidP="00C55D0A">
      <w:pPr>
        <w:pStyle w:val="Prrafodelista"/>
        <w:tabs>
          <w:tab w:val="left" w:pos="851"/>
        </w:tabs>
        <w:spacing w:before="240" w:after="240" w:line="360" w:lineRule="auto"/>
        <w:ind w:left="0" w:right="49"/>
        <w:rPr>
          <w:rFonts w:ascii="Palatino Linotype" w:hAnsi="Palatino Linotype"/>
          <w:sz w:val="24"/>
          <w:lang w:val="es-ES"/>
        </w:rPr>
      </w:pPr>
    </w:p>
    <w:p w:rsidR="00C55D0A" w:rsidRPr="005D3007" w:rsidRDefault="003005A2" w:rsidP="00C55D0A">
      <w:pPr>
        <w:pStyle w:val="Prrafodelista"/>
        <w:numPr>
          <w:ilvl w:val="0"/>
          <w:numId w:val="1"/>
        </w:numPr>
        <w:tabs>
          <w:tab w:val="left" w:pos="851"/>
        </w:tabs>
        <w:spacing w:before="240" w:after="240" w:line="360" w:lineRule="auto"/>
        <w:ind w:left="0" w:right="49" w:firstLine="0"/>
        <w:jc w:val="both"/>
        <w:rPr>
          <w:rFonts w:ascii="Palatino Linotype" w:hAnsi="Palatino Linotype"/>
          <w:sz w:val="24"/>
          <w:lang w:val="es-ES"/>
        </w:rPr>
      </w:pPr>
      <w:r w:rsidRPr="005D3007">
        <w:rPr>
          <w:rFonts w:ascii="Palatino Linotype" w:hAnsi="Palatino Linotype"/>
          <w:sz w:val="24"/>
          <w:lang w:val="es-ES"/>
        </w:rPr>
        <w:t>Asimismo</w:t>
      </w:r>
      <w:r w:rsidR="00C55D0A" w:rsidRPr="005D3007">
        <w:rPr>
          <w:rFonts w:ascii="Palatino Linotype" w:hAnsi="Palatino Linotype"/>
          <w:sz w:val="24"/>
          <w:lang w:val="es-ES"/>
        </w:rPr>
        <w:t xml:space="preserve">, el Sujeto Obligado no refirió el procedimiento para acceder a la información, por lo tanto, no se cumple el requisito de forma establecido por la Ley en la materia. Por tal motivo, las razones y motivos de inconformidad vertidos por el Recurrente en el presente recurso de revisión resultan fundados. </w:t>
      </w:r>
    </w:p>
    <w:p w:rsidR="00933493" w:rsidRPr="005D3007" w:rsidRDefault="00933493" w:rsidP="00933493">
      <w:pPr>
        <w:numPr>
          <w:ilvl w:val="0"/>
          <w:numId w:val="1"/>
        </w:numPr>
        <w:spacing w:line="360" w:lineRule="auto"/>
        <w:ind w:left="0" w:right="49" w:firstLine="0"/>
        <w:contextualSpacing/>
        <w:jc w:val="both"/>
        <w:rPr>
          <w:rFonts w:ascii="Palatino Linotype" w:hAnsi="Palatino Linotype" w:cs="Tahoma"/>
          <w:bCs/>
          <w:iCs/>
          <w:lang w:val="es-ES" w:eastAsia="es-ES"/>
        </w:rPr>
      </w:pPr>
      <w:r w:rsidRPr="005D3007">
        <w:rPr>
          <w:rFonts w:ascii="Palatino Linotype" w:hAnsi="Palatino Linotype" w:cs="Tahoma"/>
          <w:bCs/>
          <w:iCs/>
          <w:lang w:eastAsia="es-ES"/>
        </w:rPr>
        <w:t xml:space="preserve">Ahora bien, cabe señalar que el Recurrente fue omiso en señalar el periodo del cual requería información, </w:t>
      </w:r>
      <w:r w:rsidRPr="005D3007">
        <w:rPr>
          <w:rFonts w:ascii="Palatino Linotype" w:hAnsi="Palatino Linotype" w:cs="Tahoma"/>
          <w:bCs/>
          <w:iCs/>
          <w:lang w:val="es-ES" w:eastAsia="es-ES"/>
        </w:rPr>
        <w:t>por lo tanto, resulta aplicable el criterio de interpretación 03/19 emitido por el Instituto Nacional de Transparencia Acceso a la Información y Protección de Datos Personales, INAI, en el cual es del tenor literal siguiente:</w:t>
      </w:r>
    </w:p>
    <w:p w:rsidR="00933493" w:rsidRPr="005D3007" w:rsidRDefault="00933493" w:rsidP="00933493">
      <w:pPr>
        <w:spacing w:line="360" w:lineRule="auto"/>
        <w:ind w:right="49"/>
        <w:contextualSpacing/>
        <w:jc w:val="both"/>
        <w:rPr>
          <w:rFonts w:ascii="Palatino Linotype" w:hAnsi="Palatino Linotype" w:cs="Tahoma"/>
          <w:bCs/>
          <w:iCs/>
          <w:lang w:val="es-ES" w:eastAsia="es-ES"/>
        </w:rPr>
      </w:pPr>
    </w:p>
    <w:p w:rsidR="00933493" w:rsidRPr="005D3007" w:rsidRDefault="00933493" w:rsidP="00933493">
      <w:pPr>
        <w:spacing w:line="360" w:lineRule="auto"/>
        <w:ind w:left="851" w:right="822"/>
        <w:contextualSpacing/>
        <w:jc w:val="both"/>
        <w:rPr>
          <w:rFonts w:ascii="Palatino Linotype" w:hAnsi="Palatino Linotype" w:cs="Tahoma"/>
          <w:bCs/>
          <w:i/>
          <w:iCs/>
          <w:sz w:val="22"/>
          <w:lang w:val="es-ES" w:eastAsia="es-ES"/>
        </w:rPr>
      </w:pPr>
      <w:r w:rsidRPr="005D3007">
        <w:rPr>
          <w:rFonts w:ascii="Palatino Linotype" w:hAnsi="Palatino Linotype" w:cs="Tahoma"/>
          <w:bCs/>
          <w:i/>
          <w:iCs/>
          <w:sz w:val="22"/>
          <w:lang w:val="es-ES" w:eastAsia="es-ES"/>
        </w:rPr>
        <w:t>“</w:t>
      </w:r>
      <w:r w:rsidRPr="005D3007">
        <w:rPr>
          <w:rFonts w:ascii="Palatino Linotype" w:hAnsi="Palatino Linotype" w:cs="Tahoma"/>
          <w:b/>
          <w:bCs/>
          <w:i/>
          <w:iCs/>
          <w:sz w:val="22"/>
          <w:lang w:val="es-ES" w:eastAsia="es-ES"/>
        </w:rPr>
        <w:t>Periodo de búsqueda de la información</w:t>
      </w:r>
      <w:r w:rsidRPr="005D3007">
        <w:rPr>
          <w:rFonts w:ascii="Palatino Linotype" w:hAnsi="Palatino Linotype" w:cs="Tahoma"/>
          <w:bCs/>
          <w:i/>
          <w:iCs/>
          <w:sz w:val="22"/>
          <w:lang w:val="es-ES" w:eastAsia="es-ES"/>
        </w:rPr>
        <w:t>.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  </w:t>
      </w:r>
    </w:p>
    <w:p w:rsidR="00933493" w:rsidRPr="005D3007" w:rsidRDefault="00933493" w:rsidP="00933493">
      <w:pPr>
        <w:spacing w:line="360" w:lineRule="auto"/>
        <w:ind w:right="49"/>
        <w:contextualSpacing/>
        <w:jc w:val="both"/>
        <w:rPr>
          <w:rFonts w:ascii="Palatino Linotype" w:hAnsi="Palatino Linotype" w:cs="Tahoma"/>
          <w:bCs/>
          <w:i/>
          <w:iCs/>
          <w:lang w:val="es-ES" w:eastAsia="es-ES"/>
        </w:rPr>
      </w:pPr>
    </w:p>
    <w:p w:rsidR="00933493" w:rsidRPr="005D3007" w:rsidRDefault="00933493" w:rsidP="00933493">
      <w:pPr>
        <w:numPr>
          <w:ilvl w:val="0"/>
          <w:numId w:val="1"/>
        </w:numPr>
        <w:spacing w:line="360" w:lineRule="auto"/>
        <w:ind w:left="0" w:right="49" w:firstLine="0"/>
        <w:contextualSpacing/>
        <w:jc w:val="both"/>
        <w:rPr>
          <w:rFonts w:ascii="Palatino Linotype" w:hAnsi="Palatino Linotype" w:cs="Tahoma"/>
          <w:bCs/>
          <w:iCs/>
          <w:lang w:val="es-ES" w:eastAsia="es-ES"/>
        </w:rPr>
      </w:pPr>
      <w:r w:rsidRPr="005D3007">
        <w:rPr>
          <w:rFonts w:ascii="Palatino Linotype" w:hAnsi="Palatino Linotype" w:cs="Tahoma"/>
          <w:bCs/>
          <w:iCs/>
          <w:lang w:val="es-ES" w:eastAsia="es-ES"/>
        </w:rPr>
        <w:t xml:space="preserve">De manera que al momento de dar cumplimiento a la presente resolución, deberá tenerse en cuenta que la temporalidad de la que deberán comprender </w:t>
      </w:r>
      <w:r w:rsidR="003005A2" w:rsidRPr="005D3007">
        <w:rPr>
          <w:rFonts w:ascii="Palatino Linotype" w:hAnsi="Palatino Linotype" w:cs="Tahoma"/>
          <w:bCs/>
          <w:iCs/>
          <w:lang w:val="es-ES" w:eastAsia="es-ES"/>
        </w:rPr>
        <w:t xml:space="preserve">es del treinta y uno (31) de julio de dos mil veintidós al treinta y uno (31) de julio de dos mil veintitrés. </w:t>
      </w:r>
    </w:p>
    <w:p w:rsidR="00933493" w:rsidRPr="005D3007" w:rsidRDefault="00933493" w:rsidP="00933493">
      <w:pPr>
        <w:spacing w:line="360" w:lineRule="auto"/>
        <w:ind w:right="49"/>
        <w:contextualSpacing/>
        <w:jc w:val="both"/>
        <w:rPr>
          <w:rFonts w:ascii="Palatino Linotype" w:hAnsi="Palatino Linotype" w:cs="Tahoma"/>
          <w:bCs/>
          <w:iCs/>
          <w:lang w:val="es-ES" w:eastAsia="es-ES"/>
        </w:rPr>
      </w:pPr>
    </w:p>
    <w:p w:rsidR="00E411C2" w:rsidRPr="005D3007" w:rsidRDefault="00C55D0A" w:rsidP="00E411C2">
      <w:pPr>
        <w:numPr>
          <w:ilvl w:val="0"/>
          <w:numId w:val="1"/>
        </w:numPr>
        <w:tabs>
          <w:tab w:val="left" w:pos="426"/>
        </w:tabs>
        <w:spacing w:after="160" w:line="360" w:lineRule="auto"/>
        <w:ind w:left="0" w:right="51" w:firstLine="0"/>
        <w:contextualSpacing/>
        <w:jc w:val="both"/>
        <w:outlineLvl w:val="1"/>
        <w:rPr>
          <w:rFonts w:ascii="Palatino Linotype" w:hAnsi="Palatino Linotype"/>
          <w:b/>
          <w:bCs/>
          <w:color w:val="000000" w:themeColor="text1"/>
        </w:rPr>
      </w:pPr>
      <w:r w:rsidRPr="005D3007">
        <w:rPr>
          <w:rFonts w:ascii="Palatino Linotype" w:hAnsi="Palatino Linotype" w:cs="Tahoma"/>
        </w:rPr>
        <w:t xml:space="preserve">Por lo tanto, con fundamento en el artículo 186, fracción III, de la Ley de Transparencia y Acceso a la Información Pública del Estado de México y Municipios, este Instituto considera procedente </w:t>
      </w:r>
      <w:r w:rsidRPr="005D3007">
        <w:rPr>
          <w:rFonts w:ascii="Palatino Linotype" w:hAnsi="Palatino Linotype" w:cs="Tahoma"/>
          <w:b/>
        </w:rPr>
        <w:t xml:space="preserve">REVOCAR </w:t>
      </w:r>
      <w:r w:rsidRPr="005D3007">
        <w:rPr>
          <w:rFonts w:ascii="Palatino Linotype" w:hAnsi="Palatino Linotype" w:cs="Tahoma"/>
        </w:rPr>
        <w:t xml:space="preserve">la respuesta otorgada por el Sujeto </w:t>
      </w:r>
      <w:r w:rsidRPr="005D3007">
        <w:rPr>
          <w:rFonts w:ascii="Palatino Linotype" w:hAnsi="Palatino Linotype" w:cs="Tahoma"/>
        </w:rPr>
        <w:lastRenderedPageBreak/>
        <w:t xml:space="preserve">Obligado, y determina que es dable </w:t>
      </w:r>
      <w:r w:rsidRPr="005D3007">
        <w:rPr>
          <w:rFonts w:ascii="Palatino Linotype" w:hAnsi="Palatino Linotype" w:cs="Tahoma"/>
          <w:b/>
        </w:rPr>
        <w:t>ORDENAR</w:t>
      </w:r>
      <w:bookmarkStart w:id="25" w:name="_Toc89350464"/>
      <w:bookmarkStart w:id="26" w:name="_Toc94119619"/>
      <w:r w:rsidR="003005A2" w:rsidRPr="005D3007">
        <w:rPr>
          <w:rFonts w:ascii="Palatino Linotype" w:hAnsi="Palatino Linotype" w:cs="Tahoma"/>
        </w:rPr>
        <w:t xml:space="preserve"> las </w:t>
      </w:r>
      <w:r w:rsidR="00E411C2" w:rsidRPr="005D3007">
        <w:rPr>
          <w:rFonts w:ascii="Palatino Linotype" w:hAnsi="Palatino Linotype"/>
          <w:b/>
          <w:bCs/>
          <w:color w:val="000000" w:themeColor="text1"/>
        </w:rPr>
        <w:t>s</w:t>
      </w:r>
      <w:r w:rsidR="00E411C2" w:rsidRPr="005D3007">
        <w:rPr>
          <w:rFonts w:ascii="Palatino Linotype" w:eastAsia="Palatino Linotype" w:hAnsi="Palatino Linotype" w:cs="Palatino Linotype"/>
          <w:b/>
          <w:lang w:val="es-ES_tradnl"/>
        </w:rPr>
        <w:t xml:space="preserve">oporte documental donde conste el número de vehículos adquiridos para las diferentes áreas del Ayuntamiento; </w:t>
      </w:r>
      <w:r w:rsidR="00E411C2" w:rsidRPr="005D3007">
        <w:rPr>
          <w:rFonts w:ascii="Palatino Linotype" w:hAnsi="Palatino Linotype"/>
          <w:b/>
          <w:bCs/>
          <w:color w:val="000000" w:themeColor="text1"/>
        </w:rPr>
        <w:t>f</w:t>
      </w:r>
      <w:r w:rsidR="00E411C2" w:rsidRPr="005D3007">
        <w:rPr>
          <w:rFonts w:ascii="Palatino Linotype" w:hAnsi="Palatino Linotype" w:cs="Tahoma"/>
          <w:b/>
        </w:rPr>
        <w:t xml:space="preserve">acturas de los vehículos adquiridos para las diferentes áreas administrativas del Ayuntamiento; </w:t>
      </w:r>
      <w:r w:rsidR="00E411C2" w:rsidRPr="005D3007">
        <w:rPr>
          <w:rFonts w:ascii="Palatino Linotype" w:hAnsi="Palatino Linotype"/>
          <w:b/>
          <w:bCs/>
          <w:color w:val="000000" w:themeColor="text1"/>
        </w:rPr>
        <w:t>p</w:t>
      </w:r>
      <w:r w:rsidR="00E411C2" w:rsidRPr="005D3007">
        <w:rPr>
          <w:rFonts w:ascii="Palatino Linotype" w:hAnsi="Palatino Linotype" w:cs="Tahoma"/>
          <w:b/>
        </w:rPr>
        <w:t>artida presupuestal a través de la cual se adquirieron los vehículos para las diferentes áreas del Ayuntamiento.</w:t>
      </w:r>
    </w:p>
    <w:p w:rsidR="003005A2" w:rsidRPr="005D3007" w:rsidRDefault="003005A2" w:rsidP="00E411C2">
      <w:pPr>
        <w:tabs>
          <w:tab w:val="left" w:pos="426"/>
        </w:tabs>
        <w:spacing w:after="160" w:line="360" w:lineRule="auto"/>
        <w:ind w:right="51"/>
        <w:contextualSpacing/>
        <w:jc w:val="both"/>
        <w:outlineLvl w:val="1"/>
        <w:rPr>
          <w:rFonts w:ascii="Palatino Linotype" w:hAnsi="Palatino Linotype"/>
          <w:b/>
          <w:bCs/>
          <w:color w:val="000000" w:themeColor="text1"/>
        </w:rPr>
      </w:pPr>
    </w:p>
    <w:p w:rsidR="00C55D0A" w:rsidRPr="005D3007" w:rsidRDefault="00C55D0A" w:rsidP="003005A2">
      <w:pPr>
        <w:tabs>
          <w:tab w:val="left" w:pos="426"/>
        </w:tabs>
        <w:spacing w:after="160" w:line="360" w:lineRule="auto"/>
        <w:ind w:right="51"/>
        <w:contextualSpacing/>
        <w:jc w:val="both"/>
        <w:outlineLvl w:val="1"/>
        <w:rPr>
          <w:rFonts w:ascii="Palatino Linotype" w:hAnsi="Palatino Linotype"/>
          <w:b/>
          <w:bCs/>
          <w:color w:val="000000" w:themeColor="text1"/>
        </w:rPr>
      </w:pPr>
      <w:r w:rsidRPr="005D3007">
        <w:rPr>
          <w:rFonts w:ascii="Palatino Linotype" w:eastAsia="Calibri" w:hAnsi="Palatino Linotype" w:cs="Tahoma"/>
          <w:b/>
          <w:bCs/>
          <w:lang w:eastAsia="en-US"/>
        </w:rPr>
        <w:t>QUIN</w:t>
      </w:r>
      <w:r w:rsidRPr="005D3007">
        <w:rPr>
          <w:rFonts w:ascii="Palatino Linotype" w:hAnsi="Palatino Linotype"/>
          <w:b/>
          <w:bCs/>
          <w:color w:val="000000" w:themeColor="text1"/>
        </w:rPr>
        <w:t>TO. De la versión pública.</w:t>
      </w:r>
      <w:bookmarkEnd w:id="25"/>
      <w:bookmarkEnd w:id="26"/>
    </w:p>
    <w:p w:rsidR="00C55D0A" w:rsidRPr="005D3007" w:rsidRDefault="00C55D0A" w:rsidP="00C55D0A">
      <w:pPr>
        <w:pStyle w:val="Prrafodelista"/>
        <w:tabs>
          <w:tab w:val="left" w:pos="426"/>
        </w:tabs>
        <w:spacing w:line="360" w:lineRule="auto"/>
        <w:ind w:left="0" w:right="51"/>
        <w:jc w:val="both"/>
        <w:rPr>
          <w:rFonts w:ascii="Palatino Linotype" w:hAnsi="Palatino Linotype"/>
          <w:color w:val="000000" w:themeColor="text1"/>
        </w:rPr>
      </w:pPr>
    </w:p>
    <w:p w:rsidR="00C55D0A" w:rsidRPr="005D3007" w:rsidRDefault="00C55D0A" w:rsidP="00C55D0A">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sz w:val="24"/>
        </w:rPr>
      </w:pPr>
      <w:r w:rsidRPr="005D3007">
        <w:rPr>
          <w:rFonts w:ascii="Palatino Linotype" w:hAnsi="Palatino Linotype"/>
          <w:color w:val="000000" w:themeColor="text1"/>
          <w:sz w:val="24"/>
        </w:rPr>
        <w:t>Debe destacarse que, debido a la naturaleza de la información solicitada</w:t>
      </w:r>
      <w:r w:rsidRPr="005D3007">
        <w:rPr>
          <w:rFonts w:ascii="Palatino Linotype" w:hAnsi="Palatino Linotype"/>
          <w:b/>
          <w:color w:val="000000" w:themeColor="text1"/>
          <w:sz w:val="24"/>
        </w:rPr>
        <w:t xml:space="preserve"> </w:t>
      </w:r>
      <w:r w:rsidRPr="005D3007">
        <w:rPr>
          <w:rFonts w:ascii="Palatino Linotype" w:hAnsi="Palatino Linotype"/>
          <w:color w:val="000000" w:themeColor="text1"/>
          <w:sz w:val="24"/>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rsidR="00C55D0A" w:rsidRPr="005D3007" w:rsidRDefault="00C55D0A" w:rsidP="00C55D0A">
      <w:pPr>
        <w:pStyle w:val="Prrafodelista"/>
        <w:tabs>
          <w:tab w:val="left" w:pos="426"/>
        </w:tabs>
        <w:spacing w:line="360" w:lineRule="auto"/>
        <w:ind w:left="0" w:right="51"/>
        <w:jc w:val="both"/>
        <w:rPr>
          <w:rFonts w:ascii="Palatino Linotype" w:hAnsi="Palatino Linotype"/>
          <w:color w:val="000000" w:themeColor="text1"/>
          <w:sz w:val="24"/>
        </w:rPr>
      </w:pPr>
    </w:p>
    <w:p w:rsidR="00C55D0A" w:rsidRPr="005D3007" w:rsidRDefault="00C55D0A" w:rsidP="00C55D0A">
      <w:pPr>
        <w:pStyle w:val="Prrafodelista"/>
        <w:numPr>
          <w:ilvl w:val="0"/>
          <w:numId w:val="1"/>
        </w:numPr>
        <w:tabs>
          <w:tab w:val="left" w:pos="284"/>
        </w:tabs>
        <w:spacing w:line="360" w:lineRule="auto"/>
        <w:ind w:left="0" w:right="51" w:firstLine="0"/>
        <w:jc w:val="both"/>
        <w:rPr>
          <w:rFonts w:ascii="Palatino Linotype" w:hAnsi="Palatino Linotype"/>
          <w:color w:val="000000" w:themeColor="text1"/>
        </w:rPr>
      </w:pPr>
      <w:r w:rsidRPr="005D3007">
        <w:rPr>
          <w:rFonts w:ascii="Palatino Linotype" w:hAnsi="Palatino Linotype"/>
          <w:color w:val="000000" w:themeColor="text1"/>
          <w:sz w:val="24"/>
        </w:rPr>
        <w:t xml:space="preserve">La </w:t>
      </w:r>
      <w:r w:rsidRPr="005D3007">
        <w:rPr>
          <w:rFonts w:ascii="Palatino Linotype" w:eastAsia="MS Mincho" w:hAnsi="Palatino Linotype"/>
          <w:sz w:val="24"/>
        </w:rPr>
        <w:t xml:space="preserve">clasificación total o parcial de la información requerida, mediante solicitud de acceso a la información pública, constituye una restricción al derecho humano de acceso a la información. </w:t>
      </w:r>
    </w:p>
    <w:p w:rsidR="00C55D0A" w:rsidRPr="005D3007" w:rsidRDefault="00C55D0A" w:rsidP="00C55D0A">
      <w:pPr>
        <w:pStyle w:val="Prrafodelista"/>
        <w:tabs>
          <w:tab w:val="left" w:pos="284"/>
        </w:tabs>
        <w:spacing w:line="360" w:lineRule="auto"/>
        <w:ind w:left="0" w:right="51"/>
        <w:jc w:val="both"/>
        <w:rPr>
          <w:rFonts w:ascii="Palatino Linotype" w:hAnsi="Palatino Linotype"/>
          <w:color w:val="000000" w:themeColor="text1"/>
        </w:rPr>
      </w:pPr>
    </w:p>
    <w:tbl>
      <w:tblPr>
        <w:tblStyle w:val="Tabladecuadrcula6concolores"/>
        <w:tblW w:w="0" w:type="auto"/>
        <w:tblLook w:val="04A0" w:firstRow="1" w:lastRow="0" w:firstColumn="1" w:lastColumn="0" w:noHBand="0" w:noVBand="1"/>
      </w:tblPr>
      <w:tblGrid>
        <w:gridCol w:w="1838"/>
        <w:gridCol w:w="6990"/>
      </w:tblGrid>
      <w:tr w:rsidR="00C55D0A" w:rsidRPr="005D3007" w:rsidTr="00E92B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C55D0A" w:rsidRPr="005D3007" w:rsidRDefault="00C55D0A" w:rsidP="00E92B76">
            <w:pPr>
              <w:spacing w:line="360" w:lineRule="auto"/>
              <w:rPr>
                <w:rFonts w:ascii="Palatino Linotype" w:hAnsi="Palatino Linotype"/>
                <w:sz w:val="22"/>
                <w:szCs w:val="20"/>
              </w:rPr>
            </w:pPr>
            <w:r w:rsidRPr="005D3007">
              <w:rPr>
                <w:rFonts w:ascii="Palatino Linotype" w:hAnsi="Palatino Linotype" w:cstheme="majorBidi"/>
                <w:b w:val="0"/>
                <w:sz w:val="22"/>
                <w:szCs w:val="20"/>
              </w:rPr>
              <w:t>a) Requisitos previos.</w:t>
            </w:r>
          </w:p>
        </w:tc>
        <w:tc>
          <w:tcPr>
            <w:tcW w:w="6990" w:type="dxa"/>
          </w:tcPr>
          <w:p w:rsidR="00C55D0A" w:rsidRPr="005D3007" w:rsidRDefault="00C55D0A" w:rsidP="00E92B76">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5D3007">
              <w:rPr>
                <w:rFonts w:ascii="Palatino Linotype" w:hAnsi="Palatino Linotype" w:cs="Arial"/>
                <w:color w:val="000000"/>
                <w:sz w:val="22"/>
                <w:szCs w:val="20"/>
              </w:rPr>
              <w:t xml:space="preserve">Los artículos 100 y 122 de la Ley Estatal y de la Ley General, respectivamente, señalan que si los </w:t>
            </w:r>
            <w:r w:rsidRPr="005D3007">
              <w:rPr>
                <w:rFonts w:ascii="Palatino Linotype" w:hAnsi="Palatino Linotype" w:cs="Arial"/>
                <w:b w:val="0"/>
                <w:color w:val="000000"/>
                <w:sz w:val="22"/>
                <w:szCs w:val="20"/>
              </w:rPr>
              <w:t>Sujetos Obligados</w:t>
            </w:r>
            <w:r w:rsidRPr="005D3007">
              <w:rPr>
                <w:rFonts w:ascii="Palatino Linotype" w:hAnsi="Palatino Linotype" w:cs="Arial"/>
                <w:color w:val="000000"/>
                <w:sz w:val="22"/>
                <w:szCs w:val="20"/>
              </w:rPr>
              <w:t xml:space="preserve"> determinan que la información actualiza alguno de los supuestos de clasificación, es deber de los titulares de las áreas proponer su clasificación y no del Comité de Transparencia. </w:t>
            </w:r>
          </w:p>
          <w:p w:rsidR="00C55D0A" w:rsidRPr="005D3007" w:rsidRDefault="00C55D0A" w:rsidP="00E92B76">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5D3007">
              <w:rPr>
                <w:rFonts w:ascii="Palatino Linotype" w:hAnsi="Palatino Linotype" w:cs="Arial"/>
                <w:color w:val="000000"/>
                <w:sz w:val="22"/>
                <w:szCs w:val="20"/>
              </w:rPr>
              <w:lastRenderedPageBreak/>
              <w:t>Al hacerlo tienen que precisar de qué información se trata, señalando el supuesto de clasificación (confidencialidad o reserva).</w:t>
            </w:r>
          </w:p>
          <w:p w:rsidR="00C55D0A" w:rsidRPr="005D3007" w:rsidRDefault="00C55D0A" w:rsidP="00E92B76">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5D3007">
              <w:rPr>
                <w:rFonts w:ascii="Palatino Linotype" w:hAnsi="Palatino Linotype" w:cs="Arial"/>
                <w:color w:val="000000"/>
                <w:sz w:val="22"/>
                <w:szCs w:val="20"/>
              </w:rPr>
              <w:t>Además, se debe señalar el procedimiento, de los tres que establecen los artículos 132 y 106 de la Ley Estatal y General, respectivamente.</w:t>
            </w:r>
          </w:p>
          <w:p w:rsidR="00C55D0A" w:rsidRPr="005D3007" w:rsidRDefault="00C55D0A" w:rsidP="00E92B76">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2"/>
                <w:szCs w:val="20"/>
              </w:rPr>
            </w:pPr>
            <w:r w:rsidRPr="005D3007">
              <w:rPr>
                <w:rFonts w:ascii="Palatino Linotype" w:hAnsi="Palatino Linotype" w:cs="Arial"/>
                <w:color w:val="000000"/>
                <w:sz w:val="22"/>
                <w:szCs w:val="20"/>
              </w:rPr>
              <w:t xml:space="preserve">El último de estos requisitos previos consiste en que no se pueden emitir acuerdos de carácter general ni particular, esto es, </w:t>
            </w:r>
            <w:r w:rsidRPr="005D3007">
              <w:rPr>
                <w:rFonts w:ascii="Palatino Linotype" w:hAnsi="Palatino Linotype" w:cs="Arial"/>
                <w:b w:val="0"/>
                <w:color w:val="000000"/>
                <w:sz w:val="22"/>
                <w:szCs w:val="20"/>
                <w:u w:val="single"/>
              </w:rPr>
              <w:t xml:space="preserve">no se puede hacer un acuerdo para clasificar de manera general todos los documentos de un expediente o área,  </w:t>
            </w:r>
            <w:r w:rsidRPr="005D3007">
              <w:rPr>
                <w:rFonts w:ascii="Palatino Linotype" w:hAnsi="Palatino Linotype" w:cs="Arial"/>
                <w:color w:val="000000"/>
                <w:sz w:val="22"/>
                <w:szCs w:val="20"/>
              </w:rPr>
              <w:t>sin individualizar su análisis y tampoco se puede hacer un acuerdo por cada dato que se vaya a clasificar dentro de un documento con diez datos, por ejemplo, susceptibles de ser clasificados.</w:t>
            </w:r>
          </w:p>
        </w:tc>
      </w:tr>
      <w:tr w:rsidR="00C55D0A" w:rsidRPr="005D3007" w:rsidTr="00E92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C55D0A" w:rsidRPr="005D3007" w:rsidRDefault="00C55D0A" w:rsidP="00E92B76">
            <w:pPr>
              <w:spacing w:line="360" w:lineRule="auto"/>
              <w:rPr>
                <w:rFonts w:ascii="Palatino Linotype" w:hAnsi="Palatino Linotype"/>
                <w:sz w:val="22"/>
                <w:szCs w:val="20"/>
              </w:rPr>
            </w:pPr>
            <w:r w:rsidRPr="005D3007">
              <w:rPr>
                <w:rFonts w:ascii="Palatino Linotype" w:hAnsi="Palatino Linotype" w:cstheme="majorBidi"/>
                <w:b w:val="0"/>
                <w:sz w:val="22"/>
                <w:szCs w:val="20"/>
              </w:rPr>
              <w:lastRenderedPageBreak/>
              <w:t>b) Supuestos de clasificación.</w:t>
            </w:r>
          </w:p>
        </w:tc>
        <w:tc>
          <w:tcPr>
            <w:tcW w:w="6990" w:type="dxa"/>
          </w:tcPr>
          <w:p w:rsidR="00C55D0A" w:rsidRPr="005D3007" w:rsidRDefault="00C55D0A" w:rsidP="00E92B76">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5D3007">
              <w:rPr>
                <w:rFonts w:ascii="Palatino Linotype" w:hAnsi="Palatino Linotype" w:cs="Arial"/>
                <w:color w:val="000000"/>
                <w:sz w:val="22"/>
                <w:szCs w:val="20"/>
              </w:rPr>
              <w:t>Las disposiciones constitucionales y legales en la materia establecen los dos supuestos generales para clasificar la información: por reserva y por confidencialidad.</w:t>
            </w:r>
          </w:p>
          <w:p w:rsidR="00C55D0A" w:rsidRPr="005D3007" w:rsidRDefault="00C55D0A" w:rsidP="00E92B76">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5D3007">
              <w:rPr>
                <w:rFonts w:ascii="Palatino Linotype" w:hAnsi="Palatino Linotype" w:cs="Arial"/>
                <w:color w:val="000000"/>
                <w:sz w:val="22"/>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C55D0A" w:rsidRPr="005D3007" w:rsidRDefault="00C55D0A" w:rsidP="00E92B76">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2"/>
                <w:szCs w:val="20"/>
              </w:rPr>
            </w:pPr>
            <w:r w:rsidRPr="005D3007">
              <w:rPr>
                <w:rFonts w:ascii="Palatino Linotype" w:hAnsi="Palatino Linotype" w:cs="Arial"/>
                <w:color w:val="000000"/>
                <w:sz w:val="22"/>
                <w:szCs w:val="20"/>
              </w:rPr>
              <w:t xml:space="preserve">El </w:t>
            </w:r>
            <w:r w:rsidRPr="005D3007">
              <w:rPr>
                <w:rFonts w:ascii="Palatino Linotype" w:hAnsi="Palatino Linotype" w:cs="Arial"/>
                <w:b/>
                <w:color w:val="000000"/>
                <w:sz w:val="22"/>
                <w:szCs w:val="20"/>
              </w:rPr>
              <w:t>SUJETO OBLIGADO</w:t>
            </w:r>
            <w:r w:rsidRPr="005D3007">
              <w:rPr>
                <w:rFonts w:ascii="Palatino Linotype" w:hAnsi="Palatino Linotype" w:cs="Arial"/>
                <w:color w:val="000000"/>
                <w:sz w:val="22"/>
                <w:szCs w:val="20"/>
              </w:rPr>
              <w:t xml:space="preserve"> debe identificar claramente el tipo de información y hacer un juicio de subsunción o encaje para acreditar que el supuesto de hecho corresponde estrictamente con la hipótesis </w:t>
            </w:r>
            <w:r w:rsidRPr="005D3007">
              <w:rPr>
                <w:rFonts w:ascii="Palatino Linotype" w:hAnsi="Palatino Linotype" w:cs="Arial"/>
                <w:color w:val="000000"/>
                <w:sz w:val="22"/>
                <w:szCs w:val="20"/>
              </w:rPr>
              <w:lastRenderedPageBreak/>
              <w:t>jurídica. Esto también lo debe de realizar el servidor público habilitado y el titular del área que administra la información.</w:t>
            </w:r>
          </w:p>
        </w:tc>
      </w:tr>
      <w:tr w:rsidR="00C55D0A" w:rsidRPr="005D3007" w:rsidTr="00E92B76">
        <w:tc>
          <w:tcPr>
            <w:cnfStyle w:val="001000000000" w:firstRow="0" w:lastRow="0" w:firstColumn="1" w:lastColumn="0" w:oddVBand="0" w:evenVBand="0" w:oddHBand="0" w:evenHBand="0" w:firstRowFirstColumn="0" w:firstRowLastColumn="0" w:lastRowFirstColumn="0" w:lastRowLastColumn="0"/>
            <w:tcW w:w="1838" w:type="dxa"/>
          </w:tcPr>
          <w:p w:rsidR="00C55D0A" w:rsidRPr="005D3007" w:rsidRDefault="00C55D0A" w:rsidP="00E92B76">
            <w:pPr>
              <w:spacing w:line="360" w:lineRule="auto"/>
              <w:rPr>
                <w:rFonts w:ascii="Palatino Linotype" w:hAnsi="Palatino Linotype"/>
                <w:sz w:val="22"/>
                <w:szCs w:val="20"/>
              </w:rPr>
            </w:pPr>
            <w:r w:rsidRPr="005D3007">
              <w:rPr>
                <w:rFonts w:ascii="Palatino Linotype" w:hAnsi="Palatino Linotype" w:cstheme="majorBidi"/>
                <w:b w:val="0"/>
                <w:sz w:val="22"/>
                <w:szCs w:val="20"/>
              </w:rPr>
              <w:lastRenderedPageBreak/>
              <w:t>c) Formalidades para emitir el acuerdo de clasificación.</w:t>
            </w:r>
          </w:p>
        </w:tc>
        <w:tc>
          <w:tcPr>
            <w:tcW w:w="6990" w:type="dxa"/>
          </w:tcPr>
          <w:p w:rsidR="00C55D0A" w:rsidRPr="005D3007" w:rsidRDefault="00C55D0A" w:rsidP="00E92B76">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5D3007">
              <w:rPr>
                <w:rFonts w:ascii="Palatino Linotype" w:hAnsi="Palatino Linotype" w:cs="Arial"/>
                <w:color w:val="000000"/>
                <w:sz w:val="22"/>
                <w:szCs w:val="20"/>
              </w:rPr>
              <w:t xml:space="preserve">El Comité de Transparencia, según lo dispuesto en los artículos cuenta con las facultades para aprobar, modificar o revocar la clasificación de la información que haya propuesto. </w:t>
            </w:r>
          </w:p>
          <w:p w:rsidR="00C55D0A" w:rsidRPr="005D3007" w:rsidRDefault="00C55D0A" w:rsidP="00E92B76">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5D3007">
              <w:rPr>
                <w:rFonts w:ascii="Palatino Linotype" w:hAnsi="Palatino Linotype" w:cs="Arial"/>
                <w:color w:val="000000"/>
                <w:sz w:val="22"/>
                <w:szCs w:val="20"/>
              </w:rPr>
              <w:t xml:space="preserve">Es necesario que </w:t>
            </w:r>
            <w:r w:rsidRPr="005D3007">
              <w:rPr>
                <w:rFonts w:ascii="Palatino Linotype" w:hAnsi="Palatino Linotype" w:cs="Arial"/>
                <w:b/>
                <w:color w:val="000000"/>
                <w:sz w:val="22"/>
                <w:szCs w:val="20"/>
                <w:u w:val="single"/>
              </w:rPr>
              <w:t>el acto reúna con los requisitos elementales</w:t>
            </w:r>
            <w:r w:rsidRPr="005D3007">
              <w:rPr>
                <w:rFonts w:ascii="Palatino Linotype" w:hAnsi="Palatino Linotype" w:cs="Arial"/>
                <w:color w:val="000000"/>
                <w:sz w:val="22"/>
                <w:szCs w:val="20"/>
              </w:rPr>
              <w:t>, entre ellos, que la autoridad que va a emitir el acto de autoridad sea la legalmente facultada para ello.</w:t>
            </w:r>
          </w:p>
          <w:p w:rsidR="00C55D0A" w:rsidRPr="005D3007" w:rsidRDefault="00C55D0A" w:rsidP="00E92B76">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2"/>
                <w:szCs w:val="20"/>
              </w:rPr>
            </w:pPr>
            <w:r w:rsidRPr="005D3007">
              <w:rPr>
                <w:rFonts w:ascii="Palatino Linotype" w:hAnsi="Palatino Linotype" w:cs="Arial"/>
                <w:color w:val="000000"/>
                <w:sz w:val="22"/>
                <w:szCs w:val="20"/>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C55D0A" w:rsidRPr="005D3007" w:rsidTr="00E92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C55D0A" w:rsidRPr="005D3007" w:rsidRDefault="00C55D0A" w:rsidP="00E92B76">
            <w:pPr>
              <w:spacing w:line="360" w:lineRule="auto"/>
              <w:rPr>
                <w:rFonts w:ascii="Palatino Linotype" w:hAnsi="Palatino Linotype"/>
                <w:b w:val="0"/>
                <w:sz w:val="22"/>
                <w:szCs w:val="20"/>
              </w:rPr>
            </w:pPr>
          </w:p>
          <w:p w:rsidR="00C55D0A" w:rsidRPr="005D3007" w:rsidRDefault="00C55D0A" w:rsidP="00E92B76">
            <w:pPr>
              <w:spacing w:line="360" w:lineRule="auto"/>
              <w:jc w:val="both"/>
              <w:rPr>
                <w:rFonts w:ascii="Palatino Linotype" w:hAnsi="Palatino Linotype"/>
                <w:b w:val="0"/>
                <w:sz w:val="22"/>
                <w:szCs w:val="20"/>
              </w:rPr>
            </w:pPr>
            <w:r w:rsidRPr="005D3007">
              <w:rPr>
                <w:rFonts w:ascii="Palatino Linotype" w:hAnsi="Palatino Linotype" w:cs="Arial"/>
                <w:b w:val="0"/>
                <w:color w:val="000000"/>
                <w:sz w:val="22"/>
                <w:szCs w:val="20"/>
              </w:rPr>
              <w:t xml:space="preserve">d) Requisitos de fondo del acuerdo de clasificación. </w:t>
            </w:r>
          </w:p>
        </w:tc>
        <w:tc>
          <w:tcPr>
            <w:tcW w:w="6990" w:type="dxa"/>
          </w:tcPr>
          <w:p w:rsidR="00C55D0A" w:rsidRPr="005D3007" w:rsidRDefault="00C55D0A" w:rsidP="00E92B76">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5D3007">
              <w:rPr>
                <w:rFonts w:ascii="Palatino Linotype" w:hAnsi="Palatino Linotype" w:cs="Arial"/>
                <w:color w:val="000000"/>
                <w:sz w:val="22"/>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5D3007">
              <w:rPr>
                <w:rFonts w:ascii="Palatino Linotype" w:hAnsi="Palatino Linotype" w:cs="Arial"/>
                <w:b/>
                <w:color w:val="000000"/>
                <w:sz w:val="22"/>
                <w:szCs w:val="20"/>
              </w:rPr>
              <w:t>Sujetos Obligados</w:t>
            </w:r>
            <w:r w:rsidRPr="005D3007">
              <w:rPr>
                <w:rFonts w:ascii="Palatino Linotype" w:hAnsi="Palatino Linotype" w:cs="Arial"/>
                <w:color w:val="000000"/>
                <w:sz w:val="22"/>
                <w:szCs w:val="20"/>
              </w:rPr>
              <w:t xml:space="preserve">, por lo que deberán fundar y motivar debidamente la clasificación. </w:t>
            </w:r>
          </w:p>
          <w:p w:rsidR="00C55D0A" w:rsidRPr="005D3007" w:rsidRDefault="00C55D0A" w:rsidP="00E92B76">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5D3007">
              <w:rPr>
                <w:rFonts w:ascii="Palatino Linotype" w:hAnsi="Palatino Linotype" w:cs="Arial"/>
                <w:color w:val="000000"/>
                <w:sz w:val="22"/>
                <w:szCs w:val="20"/>
              </w:rPr>
              <w:t xml:space="preserve">De lo anterior, se desprende que para una correcta </w:t>
            </w:r>
            <w:r w:rsidRPr="005D3007">
              <w:rPr>
                <w:rFonts w:ascii="Palatino Linotype" w:hAnsi="Palatino Linotype" w:cs="Arial"/>
                <w:b/>
                <w:color w:val="000000"/>
                <w:sz w:val="22"/>
                <w:szCs w:val="20"/>
              </w:rPr>
              <w:t>clasificación total o parcial</w:t>
            </w:r>
            <w:r w:rsidRPr="005D3007">
              <w:rPr>
                <w:rFonts w:ascii="Palatino Linotype" w:hAnsi="Palatino Linotype" w:cs="Arial"/>
                <w:color w:val="000000"/>
                <w:sz w:val="22"/>
                <w:szCs w:val="20"/>
              </w:rPr>
              <w:t xml:space="preserve">, esto es determinar los datos que se suprimen en las versiones públicas, es necesario fundar y motivar, de manera correcta, la clasificación; considerando que todo acto que la autoridad </w:t>
            </w:r>
            <w:r w:rsidRPr="005D3007">
              <w:rPr>
                <w:rFonts w:ascii="Palatino Linotype" w:hAnsi="Palatino Linotype" w:cs="Arial"/>
                <w:color w:val="000000"/>
                <w:sz w:val="22"/>
                <w:szCs w:val="20"/>
              </w:rPr>
              <w:lastRenderedPageBreak/>
              <w:t>pronuncie en el ejercicio de sus atribuciones, debe expresar los fundamentos legales que le dieron origen y las razones por las que se deben aplicar al caso concreto.</w:t>
            </w:r>
          </w:p>
          <w:p w:rsidR="00C55D0A" w:rsidRPr="005D3007" w:rsidRDefault="00C55D0A" w:rsidP="00E92B76">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5D3007">
              <w:rPr>
                <w:rFonts w:ascii="Palatino Linotype" w:hAnsi="Palatino Linotype" w:cs="Arial"/>
                <w:color w:val="000000"/>
                <w:sz w:val="22"/>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C55D0A" w:rsidRPr="005D3007" w:rsidRDefault="00C55D0A" w:rsidP="00E92B76">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5D3007">
              <w:rPr>
                <w:rFonts w:ascii="Palatino Linotype" w:hAnsi="Palatino Linotype" w:cs="Arial"/>
                <w:color w:val="000000"/>
                <w:sz w:val="22"/>
                <w:szCs w:val="20"/>
              </w:rPr>
              <w:t>En ese mismo sentido, el numeral trigésimo tercero fracción V de los Lineamientos Generales, precisa que para motivar la clasificación se deben acreditar las circunstancias de tiempo, modo y lugar.</w:t>
            </w:r>
          </w:p>
          <w:p w:rsidR="00C55D0A" w:rsidRPr="005D3007" w:rsidRDefault="00C55D0A" w:rsidP="00E92B76">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5D3007">
              <w:rPr>
                <w:rFonts w:ascii="Palatino Linotype" w:hAnsi="Palatino Linotype" w:cs="Arial"/>
                <w:color w:val="000000"/>
                <w:sz w:val="22"/>
                <w:szCs w:val="20"/>
              </w:rPr>
              <w:t xml:space="preserve">Ahora bien, </w:t>
            </w:r>
            <w:r w:rsidRPr="005D3007">
              <w:rPr>
                <w:rFonts w:ascii="Palatino Linotype" w:hAnsi="Palatino Linotype" w:cs="Arial"/>
                <w:b/>
                <w:color w:val="000000"/>
                <w:sz w:val="22"/>
                <w:szCs w:val="20"/>
                <w:u w:val="single"/>
              </w:rPr>
              <w:t>para cada caso además de fundar y motivar</w:t>
            </w:r>
            <w:r w:rsidRPr="005D3007">
              <w:rPr>
                <w:rFonts w:ascii="Palatino Linotype" w:hAnsi="Palatino Linotype" w:cs="Arial"/>
                <w:color w:val="000000"/>
                <w:sz w:val="22"/>
                <w:szCs w:val="20"/>
              </w:rPr>
              <w:t xml:space="preserve">, se debe identificar con claridad que datos contenidos en las documentales que son susceptibles de suprimirse, por ejemplo; </w:t>
            </w:r>
            <w:r w:rsidRPr="005D3007">
              <w:rPr>
                <w:rFonts w:ascii="Palatino Linotype" w:hAnsi="Palatino Linotype" w:cs="Arial"/>
                <w:color w:val="000000"/>
                <w:sz w:val="22"/>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C55D0A" w:rsidRPr="005D3007" w:rsidTr="00E92B76">
        <w:tc>
          <w:tcPr>
            <w:cnfStyle w:val="001000000000" w:firstRow="0" w:lastRow="0" w:firstColumn="1" w:lastColumn="0" w:oddVBand="0" w:evenVBand="0" w:oddHBand="0" w:evenHBand="0" w:firstRowFirstColumn="0" w:firstRowLastColumn="0" w:lastRowFirstColumn="0" w:lastRowLastColumn="0"/>
            <w:tcW w:w="1838" w:type="dxa"/>
          </w:tcPr>
          <w:p w:rsidR="00C55D0A" w:rsidRPr="005D3007" w:rsidRDefault="00C55D0A" w:rsidP="00E92B76">
            <w:pPr>
              <w:spacing w:line="360" w:lineRule="auto"/>
              <w:ind w:right="49"/>
              <w:jc w:val="both"/>
              <w:rPr>
                <w:rFonts w:ascii="Palatino Linotype" w:hAnsi="Palatino Linotype" w:cs="Arial"/>
                <w:color w:val="000000"/>
                <w:sz w:val="22"/>
                <w:szCs w:val="20"/>
              </w:rPr>
            </w:pPr>
            <w:r w:rsidRPr="005D3007">
              <w:rPr>
                <w:rFonts w:ascii="Palatino Linotype" w:eastAsia="MS Gothic" w:hAnsi="Palatino Linotype"/>
                <w:b w:val="0"/>
                <w:sz w:val="22"/>
                <w:szCs w:val="20"/>
              </w:rPr>
              <w:lastRenderedPageBreak/>
              <w:t xml:space="preserve">e) Condiciones especiales de la clasificación de la información como confidencial. </w:t>
            </w:r>
          </w:p>
          <w:p w:rsidR="00C55D0A" w:rsidRPr="005D3007" w:rsidRDefault="00C55D0A" w:rsidP="00E92B76">
            <w:pPr>
              <w:spacing w:line="360" w:lineRule="auto"/>
              <w:rPr>
                <w:rFonts w:ascii="Palatino Linotype" w:hAnsi="Palatino Linotype"/>
                <w:sz w:val="22"/>
                <w:szCs w:val="20"/>
              </w:rPr>
            </w:pPr>
          </w:p>
        </w:tc>
        <w:tc>
          <w:tcPr>
            <w:tcW w:w="6990" w:type="dxa"/>
          </w:tcPr>
          <w:p w:rsidR="00C55D0A" w:rsidRPr="005D3007" w:rsidRDefault="00C55D0A" w:rsidP="00E92B76">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5D3007">
              <w:rPr>
                <w:rFonts w:ascii="Palatino Linotype" w:hAnsi="Palatino Linotype" w:cs="Arial"/>
                <w:color w:val="000000"/>
                <w:sz w:val="22"/>
                <w:szCs w:val="20"/>
              </w:rPr>
              <w:t xml:space="preserve">Los artículos 148 y 120 de la Ley Estatal y de la Ley General, respectivamente, establecen que aun tratándose de datos personales, se podrán proporcionar, incluso sin solicitar el consentimiento de su titular. </w:t>
            </w:r>
          </w:p>
          <w:p w:rsidR="00C55D0A" w:rsidRPr="005D3007" w:rsidRDefault="00C55D0A" w:rsidP="00E92B76">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5D3007">
              <w:rPr>
                <w:rFonts w:ascii="Palatino Linotype" w:hAnsi="Palatino Linotype" w:cs="Arial"/>
                <w:color w:val="000000"/>
                <w:sz w:val="22"/>
                <w:szCs w:val="20"/>
              </w:rPr>
              <w:t xml:space="preserve">En el caso de lo señalado en la fracción IV, será el Instituto quien deba aplicar la prueba de interés público, considerando también que como recientemente ha discutido la Suprema Corte de Justicia de la Nación, </w:t>
            </w:r>
            <w:r w:rsidRPr="005D3007">
              <w:rPr>
                <w:rFonts w:ascii="Palatino Linotype" w:hAnsi="Palatino Linotype" w:cs="Arial"/>
                <w:color w:val="000000"/>
                <w:sz w:val="22"/>
                <w:szCs w:val="20"/>
              </w:rPr>
              <w:lastRenderedPageBreak/>
              <w:t xml:space="preserve">los servidores públicos nos encontramos sujetos a un régimen menor de protección. </w:t>
            </w:r>
          </w:p>
          <w:p w:rsidR="00C55D0A" w:rsidRPr="005D3007" w:rsidRDefault="00C55D0A" w:rsidP="00E92B76">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2"/>
                <w:szCs w:val="20"/>
              </w:rPr>
            </w:pPr>
            <w:r w:rsidRPr="005D3007">
              <w:rPr>
                <w:rFonts w:ascii="Palatino Linotype" w:hAnsi="Palatino Linotype" w:cs="Arial"/>
                <w:color w:val="000000"/>
                <w:sz w:val="22"/>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C55D0A" w:rsidRPr="005D3007" w:rsidRDefault="00C55D0A" w:rsidP="00C55D0A">
      <w:pPr>
        <w:spacing w:after="160" w:line="360" w:lineRule="auto"/>
        <w:ind w:right="49"/>
        <w:contextualSpacing/>
        <w:jc w:val="both"/>
        <w:rPr>
          <w:rFonts w:ascii="Palatino Linotype" w:eastAsia="Calibri" w:hAnsi="Palatino Linotype"/>
          <w:iCs/>
          <w:color w:val="000000"/>
          <w:szCs w:val="22"/>
          <w:lang w:val="es-ES_tradnl" w:eastAsia="en-US"/>
        </w:rPr>
      </w:pPr>
    </w:p>
    <w:p w:rsidR="00530F68" w:rsidRPr="005D3007" w:rsidRDefault="00530F68" w:rsidP="00530F68">
      <w:pPr>
        <w:pStyle w:val="Ttulo1"/>
        <w:numPr>
          <w:ilvl w:val="0"/>
          <w:numId w:val="9"/>
        </w:numPr>
        <w:spacing w:line="259" w:lineRule="auto"/>
        <w:rPr>
          <w:rFonts w:ascii="Palatino Linotype" w:hAnsi="Palatino Linotype"/>
          <w:color w:val="auto"/>
          <w:sz w:val="24"/>
        </w:rPr>
      </w:pPr>
      <w:bookmarkStart w:id="27" w:name="_Toc71298441"/>
      <w:r w:rsidRPr="005D3007">
        <w:rPr>
          <w:rFonts w:ascii="Palatino Linotype" w:hAnsi="Palatino Linotype"/>
          <w:b/>
          <w:color w:val="auto"/>
          <w:sz w:val="24"/>
        </w:rPr>
        <w:t>De la reserva de la información</w:t>
      </w:r>
      <w:r w:rsidRPr="005D3007">
        <w:rPr>
          <w:rFonts w:ascii="Palatino Linotype" w:hAnsi="Palatino Linotype"/>
          <w:color w:val="auto"/>
          <w:sz w:val="24"/>
        </w:rPr>
        <w:t>.</w:t>
      </w:r>
      <w:bookmarkEnd w:id="27"/>
    </w:p>
    <w:p w:rsidR="00530F68" w:rsidRPr="005D3007" w:rsidRDefault="00530F68" w:rsidP="00530F68">
      <w:pPr>
        <w:rPr>
          <w:lang w:eastAsia="en-US"/>
        </w:rPr>
      </w:pPr>
    </w:p>
    <w:p w:rsidR="00530F68" w:rsidRPr="005D3007" w:rsidRDefault="00530F68" w:rsidP="00530F68">
      <w:pPr>
        <w:rPr>
          <w:lang w:eastAsia="en-US"/>
        </w:rPr>
      </w:pPr>
    </w:p>
    <w:p w:rsidR="00530F68" w:rsidRPr="005D3007" w:rsidRDefault="00530F68" w:rsidP="00530F68">
      <w:pPr>
        <w:pStyle w:val="Prrafodelista"/>
        <w:numPr>
          <w:ilvl w:val="0"/>
          <w:numId w:val="1"/>
        </w:numPr>
        <w:spacing w:line="360" w:lineRule="auto"/>
        <w:ind w:left="0" w:firstLine="0"/>
        <w:jc w:val="both"/>
        <w:rPr>
          <w:rFonts w:ascii="Palatino Linotype" w:hAnsi="Palatino Linotype"/>
          <w:sz w:val="24"/>
          <w:lang w:eastAsia="en-US"/>
        </w:rPr>
      </w:pPr>
      <w:r w:rsidRPr="005D3007">
        <w:rPr>
          <w:rFonts w:ascii="Palatino Linotype" w:hAnsi="Palatino Linotype"/>
          <w:sz w:val="24"/>
          <w:lang w:eastAsia="en-US"/>
        </w:rPr>
        <w:t>No pasa desapercibido que, al tratarse de información relacionada con la adquisición de vehículos, y en su caso, pudiera tratarse de vehículos utilizados para  seguridad pública,  la información que se ordena entregar puede ser susceptible de clasificarse como reservada. En tal sentido, el Sujeto Obligado debe analizar el contenido de los documentos a proporcionar, en razón de que, en las especificaciones de los bienes adquiridos pudiera obrar información, entre otra, la siguiente:</w:t>
      </w:r>
    </w:p>
    <w:p w:rsidR="00530F68" w:rsidRPr="005D3007" w:rsidRDefault="00530F68" w:rsidP="00530F68">
      <w:pPr>
        <w:pStyle w:val="Prrafodelista"/>
        <w:spacing w:line="360" w:lineRule="auto"/>
        <w:ind w:left="0"/>
        <w:jc w:val="both"/>
        <w:rPr>
          <w:rFonts w:ascii="Palatino Linotype" w:hAnsi="Palatino Linotype"/>
          <w:lang w:eastAsia="en-US"/>
        </w:rPr>
      </w:pPr>
    </w:p>
    <w:p w:rsidR="00530F68" w:rsidRPr="005D3007" w:rsidRDefault="00530F68" w:rsidP="00530F68">
      <w:pPr>
        <w:pStyle w:val="Prrafodelista"/>
        <w:numPr>
          <w:ilvl w:val="0"/>
          <w:numId w:val="8"/>
        </w:numPr>
        <w:spacing w:line="360" w:lineRule="auto"/>
        <w:ind w:left="851"/>
        <w:jc w:val="both"/>
        <w:rPr>
          <w:rFonts w:ascii="Palatino Linotype" w:hAnsi="Palatino Linotype"/>
          <w:sz w:val="24"/>
          <w:lang w:eastAsia="en-US"/>
        </w:rPr>
      </w:pPr>
      <w:r w:rsidRPr="005D3007">
        <w:rPr>
          <w:rFonts w:ascii="Palatino Linotype" w:hAnsi="Palatino Linotype"/>
          <w:sz w:val="24"/>
          <w:lang w:eastAsia="en-US"/>
        </w:rPr>
        <w:t>Equipamiento de seguridad;</w:t>
      </w:r>
    </w:p>
    <w:p w:rsidR="00530F68" w:rsidRPr="005D3007" w:rsidRDefault="00530F68" w:rsidP="00530F68">
      <w:pPr>
        <w:pStyle w:val="Prrafodelista"/>
        <w:numPr>
          <w:ilvl w:val="0"/>
          <w:numId w:val="8"/>
        </w:numPr>
        <w:spacing w:line="360" w:lineRule="auto"/>
        <w:ind w:left="851"/>
        <w:jc w:val="both"/>
        <w:rPr>
          <w:rFonts w:ascii="Palatino Linotype" w:hAnsi="Palatino Linotype"/>
          <w:sz w:val="24"/>
          <w:lang w:eastAsia="en-US"/>
        </w:rPr>
      </w:pPr>
      <w:r w:rsidRPr="005D3007">
        <w:rPr>
          <w:rFonts w:ascii="Palatino Linotype" w:hAnsi="Palatino Linotype"/>
          <w:sz w:val="24"/>
          <w:lang w:eastAsia="en-US"/>
        </w:rPr>
        <w:t>Armamento;</w:t>
      </w:r>
    </w:p>
    <w:p w:rsidR="00530F68" w:rsidRPr="005D3007" w:rsidRDefault="00530F68" w:rsidP="00530F68">
      <w:pPr>
        <w:pStyle w:val="Prrafodelista"/>
        <w:numPr>
          <w:ilvl w:val="0"/>
          <w:numId w:val="8"/>
        </w:numPr>
        <w:spacing w:line="360" w:lineRule="auto"/>
        <w:ind w:left="851"/>
        <w:jc w:val="both"/>
        <w:rPr>
          <w:rFonts w:ascii="Palatino Linotype" w:hAnsi="Palatino Linotype"/>
          <w:sz w:val="24"/>
          <w:lang w:eastAsia="en-US"/>
        </w:rPr>
      </w:pPr>
      <w:r w:rsidRPr="005D3007">
        <w:rPr>
          <w:rFonts w:ascii="Palatino Linotype" w:hAnsi="Palatino Linotype"/>
          <w:sz w:val="24"/>
          <w:lang w:eastAsia="en-US"/>
        </w:rPr>
        <w:t>Nivel de blindaje de vehículos;</w:t>
      </w:r>
    </w:p>
    <w:p w:rsidR="00530F68" w:rsidRPr="005D3007" w:rsidRDefault="00530F68" w:rsidP="00530F68">
      <w:pPr>
        <w:pStyle w:val="Prrafodelista"/>
        <w:numPr>
          <w:ilvl w:val="0"/>
          <w:numId w:val="8"/>
        </w:numPr>
        <w:spacing w:line="360" w:lineRule="auto"/>
        <w:ind w:left="851"/>
        <w:jc w:val="both"/>
        <w:rPr>
          <w:rFonts w:ascii="Palatino Linotype" w:hAnsi="Palatino Linotype"/>
          <w:sz w:val="24"/>
          <w:lang w:eastAsia="en-US"/>
        </w:rPr>
      </w:pPr>
      <w:r w:rsidRPr="005D3007">
        <w:rPr>
          <w:rFonts w:ascii="Palatino Linotype" w:hAnsi="Palatino Linotype"/>
          <w:sz w:val="24"/>
          <w:lang w:eastAsia="en-US"/>
        </w:rPr>
        <w:t>Modificaciones adicionales tanto a carrocería como al motor;</w:t>
      </w:r>
    </w:p>
    <w:p w:rsidR="00530F68" w:rsidRPr="005D3007" w:rsidRDefault="00530F68" w:rsidP="00530F68">
      <w:pPr>
        <w:pStyle w:val="Prrafodelista"/>
        <w:numPr>
          <w:ilvl w:val="0"/>
          <w:numId w:val="8"/>
        </w:numPr>
        <w:spacing w:line="360" w:lineRule="auto"/>
        <w:ind w:left="851"/>
        <w:jc w:val="both"/>
        <w:rPr>
          <w:rFonts w:ascii="Palatino Linotype" w:hAnsi="Palatino Linotype"/>
          <w:sz w:val="24"/>
          <w:lang w:eastAsia="en-US"/>
        </w:rPr>
      </w:pPr>
      <w:r w:rsidRPr="005D3007">
        <w:rPr>
          <w:rFonts w:ascii="Palatino Linotype" w:hAnsi="Palatino Linotype"/>
          <w:sz w:val="24"/>
          <w:lang w:eastAsia="en-US"/>
        </w:rPr>
        <w:t>Placas antibalas;</w:t>
      </w:r>
    </w:p>
    <w:p w:rsidR="00530F68" w:rsidRPr="005D3007" w:rsidRDefault="00530F68" w:rsidP="00530F68">
      <w:pPr>
        <w:pStyle w:val="Prrafodelista"/>
        <w:numPr>
          <w:ilvl w:val="0"/>
          <w:numId w:val="8"/>
        </w:numPr>
        <w:spacing w:line="360" w:lineRule="auto"/>
        <w:ind w:left="851"/>
        <w:jc w:val="both"/>
        <w:rPr>
          <w:rFonts w:ascii="Palatino Linotype" w:hAnsi="Palatino Linotype"/>
          <w:sz w:val="24"/>
          <w:lang w:eastAsia="en-US"/>
        </w:rPr>
      </w:pPr>
      <w:r w:rsidRPr="005D3007">
        <w:rPr>
          <w:rFonts w:ascii="Palatino Linotype" w:hAnsi="Palatino Linotype"/>
          <w:sz w:val="24"/>
          <w:lang w:eastAsia="en-US"/>
        </w:rPr>
        <w:t>Radiofrecuencia.</w:t>
      </w:r>
    </w:p>
    <w:p w:rsidR="00530F68" w:rsidRPr="005D3007" w:rsidRDefault="00530F68" w:rsidP="00530F68">
      <w:pPr>
        <w:pStyle w:val="Prrafodelista"/>
        <w:spacing w:line="360" w:lineRule="auto"/>
        <w:ind w:left="0"/>
        <w:jc w:val="both"/>
        <w:rPr>
          <w:rFonts w:ascii="Palatino Linotype" w:hAnsi="Palatino Linotype"/>
          <w:sz w:val="24"/>
          <w:lang w:eastAsia="en-US"/>
        </w:rPr>
      </w:pPr>
    </w:p>
    <w:p w:rsidR="00530F68" w:rsidRPr="005D3007" w:rsidRDefault="00530F68" w:rsidP="00530F68">
      <w:pPr>
        <w:pStyle w:val="Prrafodelista"/>
        <w:numPr>
          <w:ilvl w:val="0"/>
          <w:numId w:val="1"/>
        </w:numPr>
        <w:spacing w:line="360" w:lineRule="auto"/>
        <w:ind w:left="0" w:firstLine="0"/>
        <w:jc w:val="both"/>
        <w:rPr>
          <w:rFonts w:ascii="Palatino Linotype" w:hAnsi="Palatino Linotype"/>
          <w:sz w:val="24"/>
          <w:lang w:eastAsia="en-US"/>
        </w:rPr>
      </w:pPr>
      <w:r w:rsidRPr="005D3007">
        <w:rPr>
          <w:rFonts w:ascii="Palatino Linotype" w:hAnsi="Palatino Linotype"/>
          <w:sz w:val="24"/>
          <w:lang w:eastAsia="en-US"/>
        </w:rPr>
        <w:lastRenderedPageBreak/>
        <w:t>Los cuales, en su descripción, detallan información como; materiales, calibre, nivel de blindaje, placas antibalas con las que cuenta, medidas, dimensiones, armamento y demás información cuya divulgación supone un riesgo para la vida de los policías, por lo que, el Sujeto Obligado deberá analizar cada uno de los elementos adquiridos a efecto de ponderar entre, hacer pública o clasificar parcial la información. Se insiste, se deberá valorar cada uno de los bienes adquiridos.</w:t>
      </w:r>
    </w:p>
    <w:p w:rsidR="00530F68" w:rsidRPr="005D3007" w:rsidRDefault="00530F68" w:rsidP="00530F68">
      <w:pPr>
        <w:pStyle w:val="Prrafodelista"/>
        <w:spacing w:line="360" w:lineRule="auto"/>
        <w:ind w:left="0"/>
        <w:jc w:val="both"/>
        <w:rPr>
          <w:rFonts w:ascii="Palatino Linotype" w:hAnsi="Palatino Linotype"/>
          <w:sz w:val="24"/>
          <w:lang w:eastAsia="en-US"/>
        </w:rPr>
      </w:pPr>
    </w:p>
    <w:p w:rsidR="00530F68" w:rsidRPr="005D3007" w:rsidRDefault="00530F68" w:rsidP="00530F68">
      <w:pPr>
        <w:pStyle w:val="Prrafodelista"/>
        <w:numPr>
          <w:ilvl w:val="0"/>
          <w:numId w:val="1"/>
        </w:numPr>
        <w:spacing w:line="360" w:lineRule="auto"/>
        <w:ind w:left="0" w:firstLine="0"/>
        <w:jc w:val="both"/>
        <w:rPr>
          <w:rFonts w:ascii="Palatino Linotype" w:hAnsi="Palatino Linotype"/>
          <w:sz w:val="24"/>
          <w:lang w:eastAsia="en-US"/>
        </w:rPr>
      </w:pPr>
      <w:r w:rsidRPr="005D3007">
        <w:rPr>
          <w:rFonts w:ascii="Palatino Linotype" w:hAnsi="Palatino Linotype"/>
          <w:sz w:val="24"/>
          <w:lang w:eastAsia="en-US"/>
        </w:rPr>
        <w:t xml:space="preserve">En ese contexto, si la información que se ordena entregar es susceptible de clasificarse como reservada, el Sujeto Obligado deberá atender al presente considerando sobre la versión pública. </w:t>
      </w:r>
    </w:p>
    <w:p w:rsidR="00C55D0A" w:rsidRPr="005D3007" w:rsidRDefault="00C55D0A" w:rsidP="00C55D0A">
      <w:pPr>
        <w:spacing w:line="360" w:lineRule="auto"/>
        <w:rPr>
          <w:rFonts w:ascii="Palatino Linotype" w:eastAsia="Calibri" w:hAnsi="Palatino Linotype"/>
        </w:rPr>
      </w:pPr>
    </w:p>
    <w:p w:rsidR="00C55D0A" w:rsidRPr="005D3007" w:rsidRDefault="00C55D0A" w:rsidP="00C55D0A">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5D3007">
        <w:rPr>
          <w:rFonts w:ascii="Palatino Linotype" w:eastAsia="Calibri" w:hAnsi="Palatino Linotype"/>
        </w:rPr>
        <w:t xml:space="preserve">Por lo anteriormente expuesto y fundado, este </w:t>
      </w:r>
      <w:r w:rsidRPr="005D3007">
        <w:rPr>
          <w:rFonts w:ascii="Palatino Linotype" w:eastAsia="Calibri" w:hAnsi="Palatino Linotype"/>
          <w:b/>
          <w:bCs/>
        </w:rPr>
        <w:t>ÓRGANO GARANTE</w:t>
      </w:r>
      <w:r w:rsidRPr="005D3007">
        <w:rPr>
          <w:rFonts w:ascii="Palatino Linotype" w:eastAsia="Calibri" w:hAnsi="Palatino Linotype"/>
        </w:rPr>
        <w:t xml:space="preserve"> emite los siguientes:</w:t>
      </w:r>
    </w:p>
    <w:p w:rsidR="003005A2" w:rsidRPr="005D3007" w:rsidRDefault="003005A2" w:rsidP="00C55D0A">
      <w:pPr>
        <w:spacing w:line="360" w:lineRule="auto"/>
        <w:contextualSpacing/>
        <w:jc w:val="both"/>
        <w:rPr>
          <w:rFonts w:ascii="Palatino Linotype" w:eastAsia="Calibri" w:hAnsi="Palatino Linotype"/>
        </w:rPr>
      </w:pPr>
    </w:p>
    <w:p w:rsidR="00C55D0A" w:rsidRPr="005D3007" w:rsidRDefault="00C55D0A" w:rsidP="00C55D0A">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28" w:name="_Toc528153792"/>
      <w:bookmarkStart w:id="29" w:name="_Toc71158406"/>
      <w:bookmarkStart w:id="30" w:name="_Toc83301643"/>
      <w:r w:rsidRPr="005D3007">
        <w:rPr>
          <w:rFonts w:ascii="Palatino Linotype" w:eastAsiaTheme="majorEastAsia" w:hAnsi="Palatino Linotype" w:cstheme="majorBidi"/>
          <w:b/>
          <w:color w:val="000000" w:themeColor="text1"/>
          <w:lang w:eastAsia="en-US"/>
        </w:rPr>
        <w:t>R E S O L U T I V O S</w:t>
      </w:r>
      <w:bookmarkEnd w:id="28"/>
      <w:bookmarkEnd w:id="29"/>
      <w:bookmarkEnd w:id="30"/>
    </w:p>
    <w:p w:rsidR="00C55D0A" w:rsidRPr="005D3007" w:rsidRDefault="00C55D0A" w:rsidP="00C55D0A">
      <w:pPr>
        <w:keepNext/>
        <w:keepLines/>
        <w:spacing w:line="360" w:lineRule="auto"/>
        <w:jc w:val="center"/>
        <w:outlineLvl w:val="0"/>
        <w:rPr>
          <w:rFonts w:ascii="Palatino Linotype" w:eastAsiaTheme="majorEastAsia" w:hAnsi="Palatino Linotype" w:cstheme="majorBidi"/>
          <w:b/>
          <w:color w:val="000000" w:themeColor="text1"/>
          <w:lang w:eastAsia="en-US"/>
        </w:rPr>
      </w:pPr>
    </w:p>
    <w:bookmarkEnd w:id="9"/>
    <w:bookmarkEnd w:id="10"/>
    <w:bookmarkEnd w:id="11"/>
    <w:p w:rsidR="00C55D0A" w:rsidRPr="005D3007" w:rsidRDefault="00C55D0A" w:rsidP="00C55D0A">
      <w:pPr>
        <w:spacing w:line="360" w:lineRule="auto"/>
        <w:ind w:right="48"/>
        <w:jc w:val="both"/>
        <w:rPr>
          <w:rFonts w:ascii="Palatino Linotype" w:hAnsi="Palatino Linotype" w:cs="Arial"/>
          <w:bCs/>
        </w:rPr>
      </w:pPr>
      <w:r w:rsidRPr="005D3007">
        <w:rPr>
          <w:rFonts w:ascii="Palatino Linotype" w:hAnsi="Palatino Linotype" w:cs="Arial"/>
          <w:b/>
        </w:rPr>
        <w:t xml:space="preserve">PRIMERO. </w:t>
      </w:r>
      <w:r w:rsidRPr="005D3007">
        <w:rPr>
          <w:rFonts w:ascii="Palatino Linotype" w:hAnsi="Palatino Linotype" w:cs="Arial"/>
        </w:rPr>
        <w:t>Resultan fundadas las</w:t>
      </w:r>
      <w:r w:rsidRPr="005D3007">
        <w:rPr>
          <w:rFonts w:ascii="Palatino Linotype" w:hAnsi="Palatino Linotype" w:cs="Arial"/>
          <w:b/>
        </w:rPr>
        <w:t xml:space="preserve"> </w:t>
      </w:r>
      <w:r w:rsidRPr="005D3007">
        <w:rPr>
          <w:rFonts w:ascii="Palatino Linotype" w:hAnsi="Palatino Linotype" w:cs="Arial"/>
          <w:lang w:val="es-ES"/>
        </w:rPr>
        <w:t xml:space="preserve">razones o motivos de inconformidad hechos valer </w:t>
      </w:r>
      <w:r w:rsidRPr="005D3007">
        <w:rPr>
          <w:rFonts w:ascii="Palatino Linotype" w:eastAsia="Calibri" w:hAnsi="Palatino Linotype" w:cs="Arial"/>
          <w:lang w:val="es-ES"/>
        </w:rPr>
        <w:t xml:space="preserve">en el recurso de revisión </w:t>
      </w:r>
      <w:r w:rsidR="003005A2" w:rsidRPr="005D3007">
        <w:rPr>
          <w:rFonts w:ascii="Palatino Linotype" w:hAnsi="Palatino Linotype" w:cs="Arial"/>
          <w:b/>
          <w:bCs/>
        </w:rPr>
        <w:t>04718</w:t>
      </w:r>
      <w:r w:rsidRPr="005D3007">
        <w:rPr>
          <w:rFonts w:ascii="Palatino Linotype" w:hAnsi="Palatino Linotype" w:cs="Arial"/>
          <w:b/>
          <w:bCs/>
        </w:rPr>
        <w:t xml:space="preserve">/INFOEM/IP/RR/2023, </w:t>
      </w:r>
      <w:r w:rsidRPr="005D3007">
        <w:rPr>
          <w:rFonts w:ascii="Palatino Linotype" w:hAnsi="Palatino Linotype" w:cs="Arial"/>
          <w:bCs/>
        </w:rPr>
        <w:t xml:space="preserve">en términos de los </w:t>
      </w:r>
      <w:r w:rsidR="007F236C" w:rsidRPr="005D3007">
        <w:rPr>
          <w:rFonts w:ascii="Palatino Linotype" w:hAnsi="Palatino Linotype" w:cs="Arial"/>
          <w:b/>
          <w:bCs/>
        </w:rPr>
        <w:t>c</w:t>
      </w:r>
      <w:r w:rsidRPr="005D3007">
        <w:rPr>
          <w:rFonts w:ascii="Palatino Linotype" w:hAnsi="Palatino Linotype" w:cs="Arial"/>
          <w:b/>
          <w:bCs/>
        </w:rPr>
        <w:t>onsiderandos</w:t>
      </w:r>
      <w:r w:rsidRPr="005D3007">
        <w:rPr>
          <w:rFonts w:ascii="Palatino Linotype" w:hAnsi="Palatino Linotype" w:cs="Arial"/>
          <w:bCs/>
        </w:rPr>
        <w:t xml:space="preserve"> </w:t>
      </w:r>
      <w:r w:rsidRPr="005D3007">
        <w:rPr>
          <w:rFonts w:ascii="Palatino Linotype" w:hAnsi="Palatino Linotype" w:cs="Arial"/>
          <w:b/>
          <w:bCs/>
        </w:rPr>
        <w:t xml:space="preserve">CUARTO y QUINTO </w:t>
      </w:r>
      <w:r w:rsidRPr="005D3007">
        <w:rPr>
          <w:rFonts w:ascii="Palatino Linotype" w:hAnsi="Palatino Linotype" w:cs="Arial"/>
          <w:bCs/>
        </w:rPr>
        <w:t>de la presente resolución.</w:t>
      </w:r>
    </w:p>
    <w:p w:rsidR="00C55D0A" w:rsidRPr="005D3007" w:rsidRDefault="00C55D0A" w:rsidP="00C55D0A">
      <w:pPr>
        <w:spacing w:line="360" w:lineRule="auto"/>
        <w:ind w:right="48"/>
        <w:jc w:val="both"/>
        <w:rPr>
          <w:rFonts w:ascii="Palatino Linotype" w:hAnsi="Palatino Linotype" w:cs="Arial"/>
          <w:bCs/>
        </w:rPr>
      </w:pPr>
    </w:p>
    <w:p w:rsidR="00C55D0A" w:rsidRPr="005D3007" w:rsidRDefault="00C55D0A" w:rsidP="00C55D0A">
      <w:pPr>
        <w:spacing w:line="360" w:lineRule="auto"/>
        <w:ind w:right="48"/>
        <w:jc w:val="both"/>
        <w:rPr>
          <w:rFonts w:ascii="Palatino Linotype" w:hAnsi="Palatino Linotype" w:cs="Arial"/>
          <w:bCs/>
        </w:rPr>
      </w:pPr>
      <w:bookmarkStart w:id="31" w:name="_Toc477891768"/>
      <w:bookmarkStart w:id="32" w:name="_Toc477891858"/>
      <w:bookmarkStart w:id="33" w:name="_Toc481576259"/>
      <w:bookmarkStart w:id="34" w:name="_Toc492590391"/>
      <w:bookmarkStart w:id="35" w:name="_Toc462653937"/>
      <w:bookmarkStart w:id="36" w:name="_Toc453696502"/>
      <w:bookmarkStart w:id="37" w:name="_Toc454301155"/>
      <w:r w:rsidRPr="005D3007">
        <w:rPr>
          <w:rFonts w:ascii="Palatino Linotype" w:hAnsi="Palatino Linotype"/>
          <w:b/>
        </w:rPr>
        <w:t>SEGUNDO.</w:t>
      </w:r>
      <w:r w:rsidRPr="005D3007">
        <w:rPr>
          <w:rStyle w:val="Ttulo2Car"/>
          <w:rFonts w:ascii="Palatino Linotype" w:hAnsi="Palatino Linotype"/>
          <w:sz w:val="28"/>
        </w:rPr>
        <w:t xml:space="preserve"> </w:t>
      </w:r>
      <w:bookmarkEnd w:id="31"/>
      <w:bookmarkEnd w:id="32"/>
      <w:bookmarkEnd w:id="33"/>
      <w:bookmarkEnd w:id="34"/>
      <w:bookmarkEnd w:id="35"/>
      <w:bookmarkEnd w:id="36"/>
      <w:bookmarkEnd w:id="37"/>
      <w:r w:rsidRPr="005D3007">
        <w:rPr>
          <w:rFonts w:ascii="Palatino Linotype" w:eastAsia="Calibri" w:hAnsi="Palatino Linotype" w:cs="Arial"/>
          <w:lang w:val="es-ES"/>
        </w:rPr>
        <w:t>Se</w:t>
      </w:r>
      <w:r w:rsidR="00A56330" w:rsidRPr="005D3007">
        <w:rPr>
          <w:rFonts w:ascii="Palatino Linotype" w:eastAsia="Calibri" w:hAnsi="Palatino Linotype" w:cs="Arial"/>
          <w:b/>
          <w:lang w:val="es-ES"/>
        </w:rPr>
        <w:t xml:space="preserve"> REVOCA</w:t>
      </w:r>
      <w:r w:rsidRPr="005D3007">
        <w:rPr>
          <w:rFonts w:ascii="Palatino Linotype" w:eastAsia="Calibri" w:hAnsi="Palatino Linotype" w:cs="Arial"/>
          <w:b/>
          <w:lang w:val="es-ES"/>
        </w:rPr>
        <w:t xml:space="preserve"> </w:t>
      </w:r>
      <w:r w:rsidRPr="005D3007">
        <w:rPr>
          <w:rFonts w:ascii="Palatino Linotype" w:eastAsia="Calibri" w:hAnsi="Palatino Linotype" w:cs="Arial"/>
          <w:lang w:val="es-ES"/>
        </w:rPr>
        <w:t xml:space="preserve">la respuesta emitida por el </w:t>
      </w:r>
      <w:r w:rsidRPr="005D3007">
        <w:rPr>
          <w:rFonts w:ascii="Palatino Linotype" w:hAnsi="Palatino Linotype" w:cs="Arial"/>
          <w:b/>
          <w:bCs/>
        </w:rPr>
        <w:t xml:space="preserve">Ayuntamiento de </w:t>
      </w:r>
      <w:r w:rsidR="003005A2" w:rsidRPr="005D3007">
        <w:rPr>
          <w:rFonts w:ascii="Palatino Linotype" w:hAnsi="Palatino Linotype" w:cs="Arial"/>
          <w:b/>
          <w:bCs/>
        </w:rPr>
        <w:t>Chimalhuacán</w:t>
      </w:r>
      <w:r w:rsidRPr="005D3007">
        <w:rPr>
          <w:rFonts w:ascii="Palatino Linotype" w:hAnsi="Palatino Linotype" w:cs="Arial"/>
          <w:b/>
          <w:bCs/>
        </w:rPr>
        <w:t xml:space="preserve"> </w:t>
      </w:r>
      <w:r w:rsidRPr="005D3007">
        <w:rPr>
          <w:rFonts w:ascii="Palatino Linotype" w:eastAsia="Calibri" w:hAnsi="Palatino Linotype" w:cs="Arial"/>
          <w:lang w:val="es-ES"/>
        </w:rPr>
        <w:t>y se</w:t>
      </w:r>
      <w:r w:rsidRPr="005D3007">
        <w:rPr>
          <w:rFonts w:ascii="Palatino Linotype" w:eastAsia="Calibri" w:hAnsi="Palatino Linotype" w:cs="Arial"/>
          <w:b/>
          <w:lang w:val="es-ES"/>
        </w:rPr>
        <w:t xml:space="preserve"> ORDENA </w:t>
      </w:r>
      <w:r w:rsidRPr="005D3007">
        <w:rPr>
          <w:rFonts w:ascii="Palatino Linotype" w:hAnsi="Palatino Linotype" w:cs="Arial"/>
          <w:lang w:val="es-ES"/>
        </w:rPr>
        <w:t xml:space="preserve">entregar vía Sistema de Accesos a la Información Mexiquense (SAIMEX), de ser procedente en versión pública, </w:t>
      </w:r>
      <w:r w:rsidR="00E411C2" w:rsidRPr="005D3007">
        <w:rPr>
          <w:rFonts w:ascii="Palatino Linotype" w:hAnsi="Palatino Linotype" w:cs="Arial"/>
        </w:rPr>
        <w:t>del periodo comprendido del treinta y uno (31) de julio de dos mil veintidós al treinta y uno (31) de julio de dos mil veintitrés</w:t>
      </w:r>
      <w:r w:rsidR="00E411C2" w:rsidRPr="005D3007">
        <w:rPr>
          <w:rFonts w:ascii="Palatino Linotype" w:hAnsi="Palatino Linotype" w:cs="Arial"/>
          <w:lang w:val="es-ES"/>
        </w:rPr>
        <w:t xml:space="preserve">, </w:t>
      </w:r>
      <w:r w:rsidRPr="005D3007">
        <w:rPr>
          <w:rFonts w:ascii="Palatino Linotype" w:hAnsi="Palatino Linotype" w:cs="Arial"/>
          <w:lang w:val="es-ES"/>
        </w:rPr>
        <w:t>la siguiente información:</w:t>
      </w:r>
    </w:p>
    <w:p w:rsidR="00C55D0A" w:rsidRPr="005D3007" w:rsidRDefault="00C55D0A" w:rsidP="00C55D0A">
      <w:pPr>
        <w:spacing w:line="360" w:lineRule="auto"/>
        <w:ind w:right="48"/>
        <w:jc w:val="both"/>
        <w:rPr>
          <w:rFonts w:ascii="Palatino Linotype" w:hAnsi="Palatino Linotype" w:cs="Arial"/>
          <w:b/>
          <w:bCs/>
        </w:rPr>
      </w:pPr>
    </w:p>
    <w:p w:rsidR="008F1CFA" w:rsidRPr="005D3007" w:rsidRDefault="008F1CFA" w:rsidP="003005A2">
      <w:pPr>
        <w:pStyle w:val="Prrafodelista"/>
        <w:numPr>
          <w:ilvl w:val="0"/>
          <w:numId w:val="3"/>
        </w:numPr>
        <w:spacing w:line="360" w:lineRule="auto"/>
        <w:ind w:right="48"/>
        <w:rPr>
          <w:rFonts w:ascii="Palatino Linotype" w:eastAsia="Palatino Linotype" w:hAnsi="Palatino Linotype" w:cs="Palatino Linotype"/>
          <w:b/>
          <w:lang w:val="es-ES_tradnl"/>
        </w:rPr>
      </w:pPr>
      <w:bookmarkStart w:id="38" w:name="_Toc460947013"/>
      <w:r w:rsidRPr="005D3007">
        <w:rPr>
          <w:rFonts w:ascii="Palatino Linotype" w:eastAsia="Palatino Linotype" w:hAnsi="Palatino Linotype" w:cs="Palatino Linotype"/>
          <w:b/>
          <w:lang w:val="es-ES_tradnl"/>
        </w:rPr>
        <w:t xml:space="preserve">Soporte documental donde conste el número de </w:t>
      </w:r>
      <w:r w:rsidR="00E411C2" w:rsidRPr="005D3007">
        <w:rPr>
          <w:rFonts w:ascii="Palatino Linotype" w:eastAsia="Palatino Linotype" w:hAnsi="Palatino Linotype" w:cs="Palatino Linotype"/>
          <w:b/>
          <w:lang w:val="es-ES_tradnl"/>
        </w:rPr>
        <w:t xml:space="preserve">vehículos adquiridos para las diferentes áreas del Ayuntamiento; </w:t>
      </w:r>
    </w:p>
    <w:p w:rsidR="003005A2" w:rsidRPr="005D3007" w:rsidRDefault="003005A2" w:rsidP="003005A2">
      <w:pPr>
        <w:pStyle w:val="Prrafodelista"/>
        <w:numPr>
          <w:ilvl w:val="0"/>
          <w:numId w:val="3"/>
        </w:numPr>
        <w:spacing w:line="360" w:lineRule="auto"/>
        <w:ind w:right="48"/>
        <w:rPr>
          <w:rFonts w:ascii="Palatino Linotype" w:eastAsia="Palatino Linotype" w:hAnsi="Palatino Linotype" w:cs="Palatino Linotype"/>
          <w:b/>
          <w:lang w:val="es-ES_tradnl"/>
        </w:rPr>
      </w:pPr>
      <w:r w:rsidRPr="005D3007">
        <w:rPr>
          <w:rFonts w:ascii="Palatino Linotype" w:hAnsi="Palatino Linotype" w:cs="Tahoma"/>
          <w:b/>
        </w:rPr>
        <w:t>Facturas de los vehículos adquiridos para las diferentes áreas a</w:t>
      </w:r>
      <w:r w:rsidR="00E411C2" w:rsidRPr="005D3007">
        <w:rPr>
          <w:rFonts w:ascii="Palatino Linotype" w:hAnsi="Palatino Linotype" w:cs="Tahoma"/>
          <w:b/>
        </w:rPr>
        <w:t>dministrativas del Ayuntamiento;</w:t>
      </w:r>
    </w:p>
    <w:p w:rsidR="00E411C2" w:rsidRPr="005D3007" w:rsidRDefault="00E411C2" w:rsidP="003005A2">
      <w:pPr>
        <w:pStyle w:val="Prrafodelista"/>
        <w:numPr>
          <w:ilvl w:val="0"/>
          <w:numId w:val="3"/>
        </w:numPr>
        <w:spacing w:line="360" w:lineRule="auto"/>
        <w:ind w:right="48"/>
        <w:rPr>
          <w:rFonts w:ascii="Palatino Linotype" w:eastAsia="Palatino Linotype" w:hAnsi="Palatino Linotype" w:cs="Palatino Linotype"/>
          <w:b/>
          <w:lang w:val="es-ES_tradnl"/>
        </w:rPr>
      </w:pPr>
      <w:r w:rsidRPr="005D3007">
        <w:rPr>
          <w:rFonts w:ascii="Palatino Linotype" w:hAnsi="Palatino Linotype" w:cs="Tahoma"/>
          <w:b/>
        </w:rPr>
        <w:t>Partida presupuestal a través de la cual se adquirieron los vehículos para las diferentes áreas del Ayuntamiento.</w:t>
      </w:r>
    </w:p>
    <w:p w:rsidR="00C55D0A" w:rsidRPr="005D3007" w:rsidRDefault="00C55D0A" w:rsidP="00C55D0A">
      <w:pPr>
        <w:spacing w:line="360" w:lineRule="auto"/>
        <w:ind w:right="48"/>
        <w:jc w:val="both"/>
        <w:rPr>
          <w:rFonts w:ascii="Palatino Linotype" w:eastAsia="Palatino Linotype" w:hAnsi="Palatino Linotype" w:cs="Palatino Linotype"/>
          <w:b/>
        </w:rPr>
      </w:pPr>
    </w:p>
    <w:p w:rsidR="00C774DE" w:rsidRPr="005D3007" w:rsidRDefault="00C774DE" w:rsidP="00C774DE">
      <w:pPr>
        <w:spacing w:line="360" w:lineRule="auto"/>
        <w:jc w:val="both"/>
        <w:rPr>
          <w:rFonts w:ascii="Palatino Linotype" w:hAnsi="Palatino Linotype"/>
        </w:rPr>
      </w:pPr>
      <w:r w:rsidRPr="005D3007">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r w:rsidRPr="005D3007">
        <w:rPr>
          <w:rFonts w:ascii="Palatino Linotype" w:hAnsi="Palatino Linotype"/>
        </w:rPr>
        <w:t xml:space="preserve"> </w:t>
      </w:r>
    </w:p>
    <w:p w:rsidR="00C774DE" w:rsidRPr="005D3007" w:rsidRDefault="00C774DE" w:rsidP="00C55D0A">
      <w:pPr>
        <w:spacing w:line="360" w:lineRule="auto"/>
        <w:ind w:right="48"/>
        <w:jc w:val="both"/>
        <w:rPr>
          <w:rFonts w:ascii="Palatino Linotype" w:eastAsia="Palatino Linotype" w:hAnsi="Palatino Linotype" w:cs="Palatino Linotype"/>
          <w:b/>
        </w:rPr>
      </w:pPr>
    </w:p>
    <w:p w:rsidR="00C55D0A" w:rsidRPr="005D3007" w:rsidRDefault="00C55D0A" w:rsidP="00C55D0A">
      <w:pPr>
        <w:tabs>
          <w:tab w:val="left" w:pos="8080"/>
        </w:tabs>
        <w:spacing w:line="360" w:lineRule="auto"/>
        <w:ind w:right="48"/>
        <w:contextualSpacing/>
        <w:jc w:val="both"/>
        <w:rPr>
          <w:rFonts w:ascii="Palatino Linotype" w:hAnsi="Palatino Linotype"/>
          <w:color w:val="222222"/>
          <w:shd w:val="clear" w:color="auto" w:fill="FFFFFF"/>
        </w:rPr>
      </w:pPr>
      <w:r w:rsidRPr="005D3007">
        <w:rPr>
          <w:rFonts w:ascii="Palatino Linotype" w:eastAsia="Palatino Linotype" w:hAnsi="Palatino Linotype" w:cs="Palatino Linotype"/>
          <w:b/>
        </w:rPr>
        <w:t xml:space="preserve">TERCERO. Notifíquese </w:t>
      </w:r>
      <w:r w:rsidRPr="005D3007">
        <w:rPr>
          <w:rFonts w:ascii="Palatino Linotype" w:eastAsia="Palatino Linotype" w:hAnsi="Palatino Linotype" w:cs="Palatino Linotype"/>
        </w:rPr>
        <w:t xml:space="preserve">vía SAIMEX la presente resolución al Titular de la Unidad de Transparencia del Sujeto Obligado, para que conforme al artículo 186 último párrafo, 189 segundo párrafo y 194 de la Ley de Transparencia y Acceso a la Información Pública del Estado de México y Municipios </w:t>
      </w:r>
      <w:r w:rsidRPr="005D3007">
        <w:rPr>
          <w:rFonts w:ascii="Palatino Linotype" w:eastAsia="Palatino Linotype" w:hAnsi="Palatino Linotype" w:cs="Palatino Linotype"/>
          <w:b/>
        </w:rPr>
        <w:t>dé cumplimiento a lo ordenado dentro del plazo de diez días hábiles</w:t>
      </w:r>
      <w:r w:rsidRPr="005D3007">
        <w:rPr>
          <w:rFonts w:ascii="Palatino Linotype" w:eastAsia="Palatino Linotype" w:hAnsi="Palatino Linotype" w:cs="Palatino Linotyp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C55D0A" w:rsidRPr="005D3007" w:rsidRDefault="00C55D0A" w:rsidP="00C55D0A">
      <w:pPr>
        <w:tabs>
          <w:tab w:val="left" w:pos="8080"/>
        </w:tabs>
        <w:spacing w:line="360" w:lineRule="auto"/>
        <w:ind w:right="48"/>
        <w:contextualSpacing/>
        <w:jc w:val="both"/>
        <w:rPr>
          <w:rFonts w:ascii="Palatino Linotype" w:hAnsi="Palatino Linotype"/>
          <w:color w:val="222222"/>
          <w:shd w:val="clear" w:color="auto" w:fill="FFFFFF"/>
        </w:rPr>
      </w:pPr>
    </w:p>
    <w:p w:rsidR="00C55D0A" w:rsidRPr="005D3007" w:rsidRDefault="00C55D0A" w:rsidP="00C55D0A">
      <w:pPr>
        <w:shd w:val="clear" w:color="auto" w:fill="FFFFFF"/>
        <w:spacing w:line="360" w:lineRule="auto"/>
        <w:ind w:right="48"/>
        <w:jc w:val="both"/>
        <w:rPr>
          <w:rFonts w:ascii="Palatino Linotype" w:hAnsi="Palatino Linotype"/>
        </w:rPr>
      </w:pPr>
      <w:r w:rsidRPr="005D3007">
        <w:rPr>
          <w:rFonts w:ascii="Palatino Linotype" w:hAnsi="Palatino Linotype" w:cs="Arial"/>
          <w:b/>
        </w:rPr>
        <w:t xml:space="preserve">CUARTO. </w:t>
      </w:r>
      <w:r w:rsidRPr="005D3007">
        <w:rPr>
          <w:rFonts w:ascii="Palatino Linotype" w:hAnsi="Palatino Linotype"/>
          <w:b/>
          <w:bCs/>
          <w:lang w:val="es-ES"/>
        </w:rPr>
        <w:t xml:space="preserve">Notifíquese </w:t>
      </w:r>
      <w:r w:rsidRPr="005D3007">
        <w:rPr>
          <w:rFonts w:ascii="Palatino Linotype" w:hAnsi="Palatino Linotype"/>
          <w:bCs/>
          <w:lang w:val="es-ES"/>
        </w:rPr>
        <w:t>al</w:t>
      </w:r>
      <w:r w:rsidRPr="005D3007">
        <w:rPr>
          <w:rFonts w:ascii="Palatino Linotype" w:hAnsi="Palatino Linotype"/>
          <w:b/>
          <w:bCs/>
          <w:lang w:val="es-ES"/>
        </w:rPr>
        <w:t xml:space="preserve"> RECURRENTE</w:t>
      </w:r>
      <w:r w:rsidRPr="005D3007">
        <w:rPr>
          <w:rFonts w:ascii="Palatino Linotype" w:hAnsi="Palatino Linotype"/>
        </w:rPr>
        <w:t xml:space="preserve"> la presente resolución.</w:t>
      </w:r>
    </w:p>
    <w:p w:rsidR="00C55D0A" w:rsidRPr="005D3007" w:rsidRDefault="00C55D0A" w:rsidP="00C55D0A">
      <w:pPr>
        <w:shd w:val="clear" w:color="auto" w:fill="FFFFFF"/>
        <w:spacing w:line="360" w:lineRule="auto"/>
        <w:ind w:right="48"/>
        <w:jc w:val="both"/>
        <w:rPr>
          <w:rFonts w:ascii="Palatino Linotype" w:hAnsi="Palatino Linotype"/>
          <w:b/>
          <w:color w:val="FF0000"/>
        </w:rPr>
      </w:pPr>
    </w:p>
    <w:bookmarkEnd w:id="38"/>
    <w:p w:rsidR="00C55D0A" w:rsidRPr="005D3007" w:rsidRDefault="00C55D0A" w:rsidP="00C55D0A">
      <w:pPr>
        <w:spacing w:line="360" w:lineRule="auto"/>
        <w:ind w:right="48"/>
        <w:jc w:val="both"/>
        <w:rPr>
          <w:rFonts w:ascii="Palatino Linotype" w:eastAsia="MS Mincho" w:hAnsi="Palatino Linotype"/>
          <w:lang w:val="es-ES"/>
        </w:rPr>
      </w:pPr>
      <w:r w:rsidRPr="005D3007">
        <w:rPr>
          <w:rFonts w:ascii="Palatino Linotype" w:eastAsia="MS Mincho" w:hAnsi="Palatino Linotype"/>
          <w:b/>
        </w:rPr>
        <w:t>QUINTO.</w:t>
      </w:r>
      <w:r w:rsidRPr="005D3007">
        <w:rPr>
          <w:rFonts w:ascii="Palatino Linotype" w:eastAsia="MS Mincho" w:hAnsi="Palatino Linotype"/>
        </w:rPr>
        <w:t xml:space="preserve"> </w:t>
      </w:r>
      <w:r w:rsidRPr="005D3007">
        <w:rPr>
          <w:rFonts w:ascii="Palatino Linotype" w:eastAsia="MS Mincho" w:hAnsi="Palatino Linotype"/>
          <w:lang w:val="es-ES"/>
        </w:rPr>
        <w:t xml:space="preserve">Se hace del conocimiento del </w:t>
      </w:r>
      <w:r w:rsidRPr="005D3007">
        <w:rPr>
          <w:rFonts w:ascii="Palatino Linotype" w:hAnsi="Palatino Linotype"/>
          <w:b/>
        </w:rPr>
        <w:t>RECURRENTE</w:t>
      </w:r>
      <w:r w:rsidRPr="005D3007">
        <w:rPr>
          <w:rFonts w:ascii="Palatino Linotype" w:hAnsi="Palatino Linotype"/>
        </w:rPr>
        <w:t xml:space="preserve"> </w:t>
      </w:r>
      <w:r w:rsidRPr="005D3007">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5D3007">
        <w:rPr>
          <w:rFonts w:ascii="Palatino Linotype" w:eastAsia="MS Mincho" w:hAnsi="Palatino Linotype"/>
          <w:bCs/>
          <w:lang w:val="es-ES"/>
        </w:rPr>
        <w:t>vía juicio de amparo</w:t>
      </w:r>
      <w:r w:rsidRPr="005D3007">
        <w:rPr>
          <w:rFonts w:ascii="Palatino Linotype" w:eastAsia="MS Mincho" w:hAnsi="Palatino Linotype"/>
          <w:lang w:val="es-ES"/>
        </w:rPr>
        <w:t> en los términos de las leyes aplicables.</w:t>
      </w:r>
    </w:p>
    <w:p w:rsidR="00C55D0A" w:rsidRPr="005D3007" w:rsidRDefault="00C55D0A" w:rsidP="00C55D0A">
      <w:pPr>
        <w:spacing w:line="360" w:lineRule="auto"/>
        <w:ind w:right="48"/>
        <w:jc w:val="both"/>
        <w:rPr>
          <w:rFonts w:ascii="Palatino Linotype" w:hAnsi="Palatino Linotype"/>
          <w:color w:val="000000"/>
          <w:shd w:val="clear" w:color="auto" w:fill="FFFFFF"/>
        </w:rPr>
      </w:pPr>
    </w:p>
    <w:p w:rsidR="00C55D0A" w:rsidRPr="005D3007" w:rsidRDefault="00C55D0A" w:rsidP="00C55D0A">
      <w:pPr>
        <w:spacing w:line="360" w:lineRule="auto"/>
        <w:ind w:right="48"/>
        <w:jc w:val="both"/>
        <w:rPr>
          <w:rFonts w:ascii="Palatino Linotype" w:eastAsia="Calibri" w:hAnsi="Palatino Linotype" w:cs="Arial"/>
          <w:bCs/>
        </w:rPr>
      </w:pPr>
      <w:r w:rsidRPr="005D3007">
        <w:rPr>
          <w:rFonts w:ascii="Palatino Linotype" w:hAnsi="Palatino Linotype"/>
          <w:b/>
          <w:color w:val="000000"/>
          <w:shd w:val="clear" w:color="auto" w:fill="FFFFFF"/>
        </w:rPr>
        <w:t xml:space="preserve">SEXTO. </w:t>
      </w:r>
      <w:r w:rsidRPr="005D3007">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C55D0A" w:rsidRPr="005D3007" w:rsidRDefault="00C55D0A" w:rsidP="00C55D0A">
      <w:pPr>
        <w:spacing w:line="360" w:lineRule="auto"/>
        <w:ind w:right="48"/>
        <w:jc w:val="both"/>
        <w:rPr>
          <w:rFonts w:ascii="Palatino Linotype" w:hAnsi="Palatino Linotype"/>
        </w:rPr>
      </w:pPr>
    </w:p>
    <w:p w:rsidR="007F236C" w:rsidRPr="007F236C" w:rsidRDefault="007F236C" w:rsidP="007F236C">
      <w:pPr>
        <w:spacing w:before="240" w:after="240" w:line="360" w:lineRule="auto"/>
        <w:ind w:firstLine="1"/>
        <w:jc w:val="both"/>
        <w:rPr>
          <w:rFonts w:ascii="Palatino Linotype" w:hAnsi="Palatino Linotype"/>
          <w:smallCaps/>
        </w:rPr>
      </w:pPr>
      <w:bookmarkStart w:id="39" w:name="_Hlk129792997"/>
      <w:r w:rsidRPr="005D3007">
        <w:rPr>
          <w:rStyle w:val="Referenciasutil"/>
          <w:rFonts w:ascii="Palatino Linotype" w:eastAsiaTheme="majorEastAsia"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TERCERA SESIÓN ORDINARIA CELEBRADA EL TRECE (13) DE SEPTIEMBRE DE DOS MIL VEINTITRÉS, ANTE EL SECRETARIO TÉCNICO DEL PLENO ALEXIS TAPIA RAMÍREZ.</w:t>
      </w:r>
      <w:bookmarkStart w:id="40" w:name="_GoBack"/>
      <w:bookmarkEnd w:id="40"/>
      <w:r w:rsidRPr="007F236C">
        <w:rPr>
          <w:rStyle w:val="Referenciasutil"/>
          <w:rFonts w:ascii="Palatino Linotype" w:eastAsiaTheme="majorEastAsia" w:hAnsi="Palatino Linotype"/>
          <w:color w:val="auto"/>
        </w:rPr>
        <w:t xml:space="preserve"> </w:t>
      </w:r>
      <w:bookmarkEnd w:id="39"/>
    </w:p>
    <w:p w:rsidR="00C55D0A" w:rsidRPr="00991BA9" w:rsidRDefault="00C55D0A" w:rsidP="00C55D0A">
      <w:pPr>
        <w:spacing w:line="360" w:lineRule="auto"/>
        <w:ind w:right="48"/>
        <w:rPr>
          <w:rFonts w:ascii="Palatino Linotype" w:hAnsi="Palatino Linotype"/>
        </w:rPr>
      </w:pPr>
    </w:p>
    <w:p w:rsidR="00C55D0A" w:rsidRPr="00991BA9" w:rsidRDefault="00C55D0A" w:rsidP="00C55D0A">
      <w:pPr>
        <w:spacing w:line="360" w:lineRule="auto"/>
        <w:ind w:right="49"/>
        <w:jc w:val="both"/>
        <w:rPr>
          <w:rFonts w:ascii="Palatino Linotype" w:eastAsiaTheme="minorEastAsia" w:hAnsi="Palatino Linotype" w:cs="Arial"/>
          <w:lang w:val="es-ES_tradnl" w:eastAsia="es-ES"/>
        </w:rPr>
      </w:pPr>
    </w:p>
    <w:p w:rsidR="00C55D0A" w:rsidRPr="00991BA9" w:rsidRDefault="00C55D0A" w:rsidP="00C55D0A">
      <w:pPr>
        <w:spacing w:line="360" w:lineRule="auto"/>
        <w:ind w:right="49"/>
        <w:jc w:val="both"/>
        <w:rPr>
          <w:rFonts w:ascii="Palatino Linotype" w:eastAsiaTheme="minorEastAsia" w:hAnsi="Palatino Linotype" w:cs="Arial"/>
          <w:lang w:val="es-ES_tradnl" w:eastAsia="es-ES"/>
        </w:rPr>
      </w:pPr>
    </w:p>
    <w:p w:rsidR="00C55D0A" w:rsidRPr="00991BA9" w:rsidRDefault="00C55D0A" w:rsidP="00C55D0A">
      <w:pPr>
        <w:spacing w:line="360" w:lineRule="auto"/>
        <w:ind w:right="49"/>
        <w:jc w:val="both"/>
        <w:rPr>
          <w:rFonts w:ascii="Palatino Linotype" w:eastAsiaTheme="minorEastAsia" w:hAnsi="Palatino Linotype" w:cs="Arial"/>
          <w:lang w:val="es-ES_tradnl" w:eastAsia="es-ES"/>
        </w:rPr>
      </w:pPr>
    </w:p>
    <w:p w:rsidR="00C55D0A" w:rsidRPr="00991BA9" w:rsidRDefault="00C55D0A" w:rsidP="00C55D0A">
      <w:pPr>
        <w:spacing w:line="360" w:lineRule="auto"/>
        <w:ind w:right="49"/>
        <w:jc w:val="both"/>
        <w:rPr>
          <w:rFonts w:ascii="Palatino Linotype" w:eastAsiaTheme="minorEastAsia" w:hAnsi="Palatino Linotype" w:cs="Arial"/>
          <w:lang w:val="es-ES_tradnl" w:eastAsia="es-ES"/>
        </w:rPr>
      </w:pPr>
    </w:p>
    <w:p w:rsidR="00C55D0A" w:rsidRPr="00991BA9" w:rsidRDefault="00C55D0A" w:rsidP="00C55D0A">
      <w:pPr>
        <w:spacing w:line="360" w:lineRule="auto"/>
        <w:ind w:right="49"/>
        <w:jc w:val="both"/>
        <w:rPr>
          <w:rFonts w:ascii="Palatino Linotype" w:eastAsiaTheme="minorEastAsia" w:hAnsi="Palatino Linotype" w:cs="Arial"/>
          <w:lang w:val="es-ES_tradnl" w:eastAsia="es-ES"/>
        </w:rPr>
      </w:pPr>
    </w:p>
    <w:p w:rsidR="00C55D0A" w:rsidRPr="00991BA9" w:rsidRDefault="00C55D0A" w:rsidP="00C55D0A">
      <w:pPr>
        <w:spacing w:line="360" w:lineRule="auto"/>
        <w:ind w:right="49"/>
        <w:jc w:val="both"/>
        <w:rPr>
          <w:rFonts w:ascii="Palatino Linotype" w:eastAsiaTheme="minorEastAsia" w:hAnsi="Palatino Linotype" w:cs="Arial"/>
          <w:lang w:val="es-ES_tradnl" w:eastAsia="es-ES"/>
        </w:rPr>
      </w:pPr>
    </w:p>
    <w:p w:rsidR="00C55D0A" w:rsidRPr="00991BA9" w:rsidRDefault="00C55D0A" w:rsidP="00C55D0A">
      <w:pPr>
        <w:spacing w:line="360" w:lineRule="auto"/>
        <w:ind w:right="49"/>
        <w:jc w:val="both"/>
        <w:rPr>
          <w:rFonts w:ascii="Palatino Linotype" w:eastAsiaTheme="minorEastAsia" w:hAnsi="Palatino Linotype" w:cs="Arial"/>
          <w:lang w:val="es-ES_tradnl" w:eastAsia="es-ES"/>
        </w:rPr>
      </w:pPr>
    </w:p>
    <w:p w:rsidR="00C55D0A" w:rsidRPr="00991BA9" w:rsidRDefault="00C55D0A" w:rsidP="00C55D0A">
      <w:pPr>
        <w:spacing w:line="360" w:lineRule="auto"/>
        <w:ind w:right="49"/>
        <w:jc w:val="both"/>
        <w:rPr>
          <w:rFonts w:ascii="Palatino Linotype" w:eastAsiaTheme="minorEastAsia" w:hAnsi="Palatino Linotype" w:cs="Arial"/>
          <w:lang w:val="es-ES_tradnl" w:eastAsia="es-ES"/>
        </w:rPr>
      </w:pPr>
    </w:p>
    <w:p w:rsidR="00C55D0A" w:rsidRPr="00991BA9" w:rsidRDefault="00C55D0A" w:rsidP="00C55D0A">
      <w:pPr>
        <w:spacing w:line="360" w:lineRule="auto"/>
        <w:ind w:right="49"/>
        <w:jc w:val="both"/>
        <w:rPr>
          <w:rFonts w:ascii="Palatino Linotype" w:eastAsiaTheme="minorEastAsia" w:hAnsi="Palatino Linotype" w:cs="Arial"/>
          <w:lang w:val="es-ES_tradnl" w:eastAsia="es-ES"/>
        </w:rPr>
      </w:pPr>
    </w:p>
    <w:p w:rsidR="00C55D0A" w:rsidRPr="00991BA9" w:rsidRDefault="00C55D0A" w:rsidP="00C55D0A">
      <w:pPr>
        <w:spacing w:line="360" w:lineRule="auto"/>
        <w:ind w:right="49"/>
        <w:jc w:val="both"/>
        <w:rPr>
          <w:rFonts w:ascii="Palatino Linotype" w:eastAsiaTheme="minorEastAsia" w:hAnsi="Palatino Linotype" w:cs="Arial"/>
          <w:lang w:val="es-ES_tradnl" w:eastAsia="es-ES"/>
        </w:rPr>
      </w:pPr>
    </w:p>
    <w:p w:rsidR="00C55D0A" w:rsidRPr="00991BA9" w:rsidRDefault="00C55D0A" w:rsidP="00C55D0A">
      <w:pPr>
        <w:spacing w:line="360" w:lineRule="auto"/>
        <w:rPr>
          <w:rFonts w:ascii="Palatino Linotype" w:hAnsi="Palatino Linotype"/>
        </w:rPr>
      </w:pPr>
    </w:p>
    <w:p w:rsidR="00C55D0A" w:rsidRDefault="00C55D0A" w:rsidP="00C55D0A"/>
    <w:p w:rsidR="00C55D0A" w:rsidRDefault="00C55D0A" w:rsidP="00C55D0A"/>
    <w:p w:rsidR="00C55D0A" w:rsidRDefault="00C55D0A" w:rsidP="00C55D0A"/>
    <w:p w:rsidR="00C55D0A" w:rsidRDefault="00C55D0A" w:rsidP="00C55D0A"/>
    <w:p w:rsidR="00C55D0A" w:rsidRDefault="00C55D0A" w:rsidP="00C55D0A"/>
    <w:p w:rsidR="00C55D0A" w:rsidRDefault="00C55D0A" w:rsidP="00C55D0A"/>
    <w:p w:rsidR="004E1710" w:rsidRDefault="00E260AA"/>
    <w:sectPr w:rsidR="004E1710" w:rsidSect="00AE4DB9">
      <w:headerReference w:type="even" r:id="rId13"/>
      <w:headerReference w:type="default" r:id="rId14"/>
      <w:footerReference w:type="default" r:id="rId15"/>
      <w:headerReference w:type="first" r:id="rId16"/>
      <w:footerReference w:type="first" r:id="rId17"/>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60AA" w:rsidRDefault="00E260AA" w:rsidP="00C55D0A">
      <w:r>
        <w:separator/>
      </w:r>
    </w:p>
  </w:endnote>
  <w:endnote w:type="continuationSeparator" w:id="0">
    <w:p w:rsidR="00E260AA" w:rsidRDefault="00E260AA" w:rsidP="00C55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40E" w:rsidRDefault="00954676">
    <w:pPr>
      <w:pStyle w:val="Piedepgina"/>
      <w:jc w:val="right"/>
    </w:pPr>
    <w:r>
      <w:rPr>
        <w:lang w:val="es-ES"/>
      </w:rPr>
      <w:t xml:space="preserve">Página </w:t>
    </w:r>
    <w:r>
      <w:rPr>
        <w:b/>
        <w:bCs/>
      </w:rPr>
      <w:fldChar w:fldCharType="begin"/>
    </w:r>
    <w:r>
      <w:rPr>
        <w:b/>
        <w:bCs/>
      </w:rPr>
      <w:instrText>PAGE</w:instrText>
    </w:r>
    <w:r>
      <w:rPr>
        <w:b/>
        <w:bCs/>
      </w:rPr>
      <w:fldChar w:fldCharType="separate"/>
    </w:r>
    <w:r w:rsidR="005D3007">
      <w:rPr>
        <w:b/>
        <w:bCs/>
        <w:noProof/>
      </w:rPr>
      <w:t>27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5D3007">
      <w:rPr>
        <w:b/>
        <w:bCs/>
        <w:noProof/>
      </w:rPr>
      <w:t>37</w:t>
    </w:r>
    <w:r>
      <w:rPr>
        <w:b/>
        <w:bCs/>
      </w:rPr>
      <w:fldChar w:fldCharType="end"/>
    </w:r>
  </w:p>
  <w:p w:rsidR="0092740E" w:rsidRDefault="00E260A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40E" w:rsidRDefault="00954676">
    <w:pPr>
      <w:pStyle w:val="Piedepgina"/>
      <w:jc w:val="right"/>
    </w:pPr>
    <w:r>
      <w:rPr>
        <w:lang w:val="es-ES"/>
      </w:rPr>
      <w:t xml:space="preserve">Página </w:t>
    </w:r>
    <w:r>
      <w:rPr>
        <w:b/>
        <w:bCs/>
      </w:rPr>
      <w:fldChar w:fldCharType="begin"/>
    </w:r>
    <w:r>
      <w:rPr>
        <w:b/>
        <w:bCs/>
      </w:rPr>
      <w:instrText>PAGE</w:instrText>
    </w:r>
    <w:r>
      <w:rPr>
        <w:b/>
        <w:bCs/>
      </w:rPr>
      <w:fldChar w:fldCharType="separate"/>
    </w:r>
    <w:r w:rsidR="005D3007">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5D3007">
      <w:rPr>
        <w:b/>
        <w:bCs/>
        <w:noProof/>
      </w:rPr>
      <w:t>37</w:t>
    </w:r>
    <w:r>
      <w:rPr>
        <w:b/>
        <w:bCs/>
      </w:rPr>
      <w:fldChar w:fldCharType="end"/>
    </w:r>
  </w:p>
  <w:p w:rsidR="0092740E" w:rsidRDefault="00E260A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60AA" w:rsidRDefault="00E260AA" w:rsidP="00C55D0A">
      <w:r>
        <w:separator/>
      </w:r>
    </w:p>
  </w:footnote>
  <w:footnote w:type="continuationSeparator" w:id="0">
    <w:p w:rsidR="00E260AA" w:rsidRDefault="00E260AA" w:rsidP="00C55D0A">
      <w:r>
        <w:continuationSeparator/>
      </w:r>
    </w:p>
  </w:footnote>
  <w:footnote w:id="1">
    <w:p w:rsidR="00C55D0A" w:rsidRDefault="00C55D0A" w:rsidP="00C55D0A">
      <w:pPr>
        <w:pStyle w:val="Textonotapie"/>
      </w:pPr>
      <w:r>
        <w:rPr>
          <w:rStyle w:val="Refdenotaalpie"/>
        </w:rPr>
        <w:footnoteRef/>
      </w:r>
      <w:r>
        <w:t xml:space="preserve"> Convención Americana sobre Derechos Humanos. Artículo 13.</w:t>
      </w:r>
    </w:p>
  </w:footnote>
  <w:footnote w:id="2">
    <w:p w:rsidR="00C55D0A" w:rsidRDefault="00C55D0A" w:rsidP="00C55D0A">
      <w:pPr>
        <w:pStyle w:val="Textonotapie"/>
      </w:pPr>
      <w:r>
        <w:rPr>
          <w:rStyle w:val="Refdenotaalpie"/>
        </w:rPr>
        <w:footnoteRef/>
      </w:r>
      <w:r>
        <w:t xml:space="preserve"> Constitución Política de los Estados Unidos Mexicanos. Artículo sexto, sección A, fracción I.</w:t>
      </w:r>
    </w:p>
  </w:footnote>
  <w:footnote w:id="3">
    <w:p w:rsidR="00C55D0A" w:rsidRDefault="00C55D0A" w:rsidP="00C55D0A">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C55D0A" w:rsidRDefault="00C55D0A" w:rsidP="00C55D0A">
      <w:pPr>
        <w:pStyle w:val="Textonotapie"/>
      </w:pPr>
      <w:r>
        <w:rPr>
          <w:rStyle w:val="Refdenotaalpie"/>
        </w:rPr>
        <w:footnoteRef/>
      </w:r>
      <w:r>
        <w:t xml:space="preserve"> Ibídem. Parr. 87.</w:t>
      </w:r>
    </w:p>
  </w:footnote>
  <w:footnote w:id="5">
    <w:p w:rsidR="00C0101A" w:rsidRDefault="00C0101A" w:rsidP="00C0101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Consultable en: </w:t>
      </w:r>
    </w:p>
    <w:p w:rsidR="00C0101A" w:rsidRDefault="00E260AA" w:rsidP="00C0101A">
      <w:pPr>
        <w:pBdr>
          <w:top w:val="nil"/>
          <w:left w:val="nil"/>
          <w:bottom w:val="nil"/>
          <w:right w:val="nil"/>
          <w:between w:val="nil"/>
        </w:pBdr>
        <w:jc w:val="both"/>
        <w:rPr>
          <w:rFonts w:ascii="Palatino Linotype" w:eastAsia="Palatino Linotype" w:hAnsi="Palatino Linotype" w:cs="Palatino Linotype"/>
          <w:color w:val="000000"/>
          <w:sz w:val="16"/>
          <w:szCs w:val="16"/>
        </w:rPr>
      </w:pPr>
      <w:hyperlink r:id="rId1">
        <w:r w:rsidR="00C0101A">
          <w:rPr>
            <w:rFonts w:ascii="Palatino Linotype" w:eastAsia="Palatino Linotype" w:hAnsi="Palatino Linotype" w:cs="Palatino Linotype"/>
            <w:color w:val="0000FF"/>
            <w:sz w:val="16"/>
            <w:szCs w:val="16"/>
            <w:u w:val="single"/>
          </w:rPr>
          <w:t>https://www.indetec.gob.mx/delivery?srv=0&amp;sl=3&amp;path=/biblioteca/Especiales/386_Glosario_Terminos_Proceso_Planeacion.pdf</w:t>
        </w:r>
      </w:hyperlink>
      <w:r w:rsidR="00C0101A">
        <w:rPr>
          <w:rFonts w:ascii="Palatino Linotype" w:eastAsia="Palatino Linotype" w:hAnsi="Palatino Linotype" w:cs="Palatino Linotype"/>
          <w:color w:val="000000"/>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40E" w:rsidRDefault="00E260AA">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alt="" style="position:absolute;margin-left:0;margin-top:0;width:589.8pt;height:768pt;z-index:-25165721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92740E" w:rsidRPr="005C106F" w:rsidTr="00AE4DB9">
      <w:trPr>
        <w:trHeight w:val="1435"/>
      </w:trPr>
      <w:tc>
        <w:tcPr>
          <w:tcW w:w="2268" w:type="dxa"/>
          <w:shd w:val="clear" w:color="auto" w:fill="auto"/>
        </w:tcPr>
        <w:p w:rsidR="0092740E" w:rsidRPr="005C106F" w:rsidRDefault="00E260AA" w:rsidP="00AE4DB9">
          <w:pPr>
            <w:tabs>
              <w:tab w:val="right" w:pos="4273"/>
            </w:tabs>
            <w:rPr>
              <w:rFonts w:ascii="Garamond" w:eastAsia="Calibri" w:hAnsi="Garamond"/>
              <w:sz w:val="16"/>
              <w:szCs w:val="16"/>
              <w:lang w:eastAsia="en-US"/>
            </w:rPr>
          </w:pPr>
        </w:p>
      </w:tc>
      <w:tc>
        <w:tcPr>
          <w:tcW w:w="6946" w:type="dxa"/>
          <w:shd w:val="clear" w:color="auto" w:fill="auto"/>
        </w:tcPr>
        <w:tbl>
          <w:tblPr>
            <w:tblW w:w="6662" w:type="dxa"/>
            <w:tblInd w:w="1026" w:type="dxa"/>
            <w:tblLayout w:type="fixed"/>
            <w:tblLook w:val="0420" w:firstRow="1" w:lastRow="0" w:firstColumn="0" w:lastColumn="0" w:noHBand="0" w:noVBand="1"/>
          </w:tblPr>
          <w:tblGrid>
            <w:gridCol w:w="2551"/>
            <w:gridCol w:w="4111"/>
          </w:tblGrid>
          <w:tr w:rsidR="0092740E" w:rsidTr="00AA15BD">
            <w:trPr>
              <w:trHeight w:val="150"/>
            </w:trPr>
            <w:tc>
              <w:tcPr>
                <w:tcW w:w="2551" w:type="dxa"/>
                <w:shd w:val="clear" w:color="auto" w:fill="auto"/>
              </w:tcPr>
              <w:p w:rsidR="0092740E" w:rsidRPr="00020E73" w:rsidRDefault="00954676" w:rsidP="00AE4DB9">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rsidR="0092740E" w:rsidRPr="00020E73" w:rsidRDefault="00C55D0A" w:rsidP="00AE4DB9">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04718</w:t>
                </w:r>
                <w:r w:rsidR="00954676">
                  <w:rPr>
                    <w:rFonts w:ascii="Palatino Linotype" w:eastAsia="Calibri" w:hAnsi="Palatino Linotype" w:cs="Tahoma"/>
                    <w:bCs/>
                    <w:sz w:val="22"/>
                    <w:szCs w:val="22"/>
                    <w:lang w:eastAsia="en-US"/>
                  </w:rPr>
                  <w:t>/INFOEM/IP/RR/2023</w:t>
                </w:r>
              </w:p>
            </w:tc>
          </w:tr>
          <w:tr w:rsidR="0092740E" w:rsidTr="00AA15BD">
            <w:trPr>
              <w:trHeight w:val="295"/>
            </w:trPr>
            <w:tc>
              <w:tcPr>
                <w:tcW w:w="2551" w:type="dxa"/>
                <w:shd w:val="clear" w:color="auto" w:fill="auto"/>
              </w:tcPr>
              <w:p w:rsidR="0092740E" w:rsidRPr="00020E73" w:rsidRDefault="00954676" w:rsidP="00AE4DB9">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rsidR="0092740E" w:rsidRPr="0044775E" w:rsidRDefault="00954676" w:rsidP="00D053AC">
                <w:pPr>
                  <w:tabs>
                    <w:tab w:val="left" w:pos="2834"/>
                    <w:tab w:val="right" w:pos="8838"/>
                  </w:tabs>
                  <w:ind w:left="-108" w:right="-102"/>
                  <w:jc w:val="both"/>
                  <w:rPr>
                    <w:rFonts w:ascii="Palatino Linotype" w:eastAsia="Calibri" w:hAnsi="Palatino Linotype" w:cs="Tahoma"/>
                    <w:sz w:val="22"/>
                    <w:szCs w:val="22"/>
                    <w:lang w:val="es-ES" w:eastAsia="en-US"/>
                  </w:rPr>
                </w:pPr>
                <w:r>
                  <w:rPr>
                    <w:rFonts w:ascii="Palatino Linotype" w:eastAsia="Calibri" w:hAnsi="Palatino Linotype" w:cs="Tahoma"/>
                    <w:bCs/>
                    <w:sz w:val="22"/>
                    <w:szCs w:val="22"/>
                    <w:lang w:eastAsia="en-US"/>
                  </w:rPr>
                  <w:t xml:space="preserve">Ayuntamiento de </w:t>
                </w:r>
                <w:r w:rsidR="00C55D0A">
                  <w:rPr>
                    <w:rFonts w:ascii="Palatino Linotype" w:eastAsia="Calibri" w:hAnsi="Palatino Linotype" w:cs="Tahoma"/>
                    <w:bCs/>
                    <w:sz w:val="22"/>
                    <w:szCs w:val="22"/>
                    <w:lang w:eastAsia="en-US"/>
                  </w:rPr>
                  <w:t>Chimalhuacán</w:t>
                </w:r>
              </w:p>
            </w:tc>
          </w:tr>
          <w:tr w:rsidR="0092740E" w:rsidTr="00AA15BD">
            <w:trPr>
              <w:trHeight w:val="295"/>
            </w:trPr>
            <w:tc>
              <w:tcPr>
                <w:tcW w:w="2551" w:type="dxa"/>
                <w:shd w:val="clear" w:color="auto" w:fill="auto"/>
              </w:tcPr>
              <w:p w:rsidR="0092740E" w:rsidRPr="00020E73" w:rsidRDefault="00954676" w:rsidP="00AE4DB9">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rsidR="0092740E" w:rsidRPr="00020E73" w:rsidRDefault="00954676" w:rsidP="00AE4DB9">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92740E" w:rsidRPr="00020E73" w:rsidRDefault="00E260AA" w:rsidP="00AE4DB9">
                <w:pPr>
                  <w:tabs>
                    <w:tab w:val="right" w:pos="8838"/>
                  </w:tabs>
                  <w:ind w:left="-108" w:right="171"/>
                  <w:jc w:val="both"/>
                  <w:rPr>
                    <w:rFonts w:ascii="Palatino Linotype" w:eastAsia="Calibri" w:hAnsi="Palatino Linotype" w:cs="Tahoma"/>
                    <w:b/>
                    <w:sz w:val="22"/>
                    <w:szCs w:val="22"/>
                    <w:lang w:val="es-ES" w:eastAsia="en-US"/>
                  </w:rPr>
                </w:pPr>
              </w:p>
            </w:tc>
          </w:tr>
        </w:tbl>
        <w:p w:rsidR="0092740E" w:rsidRPr="005C106F" w:rsidRDefault="00E260AA" w:rsidP="00AE4DB9">
          <w:pPr>
            <w:tabs>
              <w:tab w:val="right" w:pos="8838"/>
            </w:tabs>
            <w:ind w:left="-28"/>
            <w:jc w:val="both"/>
            <w:rPr>
              <w:rFonts w:ascii="Arial" w:eastAsia="Calibri" w:hAnsi="Arial" w:cs="Arial"/>
              <w:b/>
              <w:sz w:val="22"/>
              <w:szCs w:val="22"/>
              <w:lang w:eastAsia="en-US"/>
            </w:rPr>
          </w:pPr>
        </w:p>
      </w:tc>
    </w:tr>
  </w:tbl>
  <w:p w:rsidR="0092740E" w:rsidRPr="00443C6B" w:rsidRDefault="00E260AA" w:rsidP="00AE4DB9">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619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8" w:type="dxa"/>
      <w:tblLayout w:type="fixed"/>
      <w:tblLook w:val="04A0" w:firstRow="1" w:lastRow="0" w:firstColumn="1" w:lastColumn="0" w:noHBand="0" w:noVBand="1"/>
    </w:tblPr>
    <w:tblGrid>
      <w:gridCol w:w="3544"/>
      <w:gridCol w:w="6804"/>
    </w:tblGrid>
    <w:tr w:rsidR="0092740E" w:rsidRPr="00330DA7" w:rsidTr="00AA15BD">
      <w:trPr>
        <w:trHeight w:val="1435"/>
      </w:trPr>
      <w:tc>
        <w:tcPr>
          <w:tcW w:w="3544" w:type="dxa"/>
          <w:shd w:val="clear" w:color="auto" w:fill="auto"/>
        </w:tcPr>
        <w:p w:rsidR="0092740E" w:rsidRPr="00330DA7" w:rsidRDefault="00E260AA" w:rsidP="00AE4DB9">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92740E" w:rsidRPr="00330DA7" w:rsidTr="00AE4DB9">
            <w:trPr>
              <w:trHeight w:val="144"/>
            </w:trPr>
            <w:tc>
              <w:tcPr>
                <w:tcW w:w="2444" w:type="dxa"/>
                <w:shd w:val="clear" w:color="auto" w:fill="auto"/>
              </w:tcPr>
              <w:p w:rsidR="0092740E" w:rsidRPr="00020E73" w:rsidRDefault="00954676" w:rsidP="00AE4DB9">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rsidR="0092740E" w:rsidRPr="00020E73" w:rsidRDefault="00C55D0A" w:rsidP="00AE4DB9">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04718</w:t>
                </w:r>
                <w:r w:rsidR="00954676">
                  <w:rPr>
                    <w:rFonts w:ascii="Palatino Linotype" w:eastAsia="Calibri" w:hAnsi="Palatino Linotype" w:cs="Tahoma"/>
                    <w:sz w:val="22"/>
                    <w:szCs w:val="22"/>
                    <w:lang w:eastAsia="en-US"/>
                  </w:rPr>
                  <w:t>/INFOEM/IP/RR/2023</w:t>
                </w:r>
                <w:r w:rsidR="00954676">
                  <w:rPr>
                    <w:rFonts w:ascii="Palatino Linotype" w:eastAsia="Calibri" w:hAnsi="Palatino Linotype" w:cs="Tahoma"/>
                    <w:b/>
                    <w:bCs/>
                    <w:sz w:val="22"/>
                    <w:szCs w:val="22"/>
                    <w:lang w:eastAsia="en-US"/>
                  </w:rPr>
                  <w:t xml:space="preserve"> </w:t>
                </w:r>
              </w:p>
            </w:tc>
          </w:tr>
          <w:tr w:rsidR="0092740E" w:rsidRPr="00330DA7" w:rsidTr="00AE4DB9">
            <w:trPr>
              <w:trHeight w:val="144"/>
            </w:trPr>
            <w:tc>
              <w:tcPr>
                <w:tcW w:w="2444" w:type="dxa"/>
                <w:shd w:val="clear" w:color="auto" w:fill="auto"/>
              </w:tcPr>
              <w:p w:rsidR="0092740E" w:rsidRPr="00020E73" w:rsidRDefault="00954676" w:rsidP="00AE4DB9">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rsidR="0092740E" w:rsidRPr="00CE1DE4" w:rsidRDefault="00E260AA" w:rsidP="00AE4DB9">
                <w:pPr>
                  <w:tabs>
                    <w:tab w:val="left" w:pos="3122"/>
                    <w:tab w:val="right" w:pos="8838"/>
                  </w:tabs>
                  <w:ind w:left="-74" w:right="-105"/>
                  <w:jc w:val="both"/>
                  <w:rPr>
                    <w:rFonts w:ascii="Palatino Linotype" w:eastAsia="Calibri" w:hAnsi="Palatino Linotype" w:cs="Tahoma"/>
                    <w:sz w:val="22"/>
                    <w:szCs w:val="22"/>
                    <w:lang w:val="es-ES" w:eastAsia="en-US"/>
                  </w:rPr>
                </w:pPr>
              </w:p>
            </w:tc>
          </w:tr>
          <w:tr w:rsidR="0092740E" w:rsidRPr="00330DA7" w:rsidTr="00AE4DB9">
            <w:trPr>
              <w:trHeight w:val="283"/>
            </w:trPr>
            <w:tc>
              <w:tcPr>
                <w:tcW w:w="2444" w:type="dxa"/>
                <w:shd w:val="clear" w:color="auto" w:fill="auto"/>
              </w:tcPr>
              <w:p w:rsidR="0092740E" w:rsidRPr="00020E73" w:rsidRDefault="00954676" w:rsidP="00AE4DB9">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rsidR="0092740E" w:rsidRPr="0044775E" w:rsidRDefault="00954676" w:rsidP="00C55D0A">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bCs/>
                    <w:sz w:val="22"/>
                    <w:szCs w:val="22"/>
                    <w:lang w:eastAsia="en-US"/>
                  </w:rPr>
                  <w:t xml:space="preserve">Ayuntamiento de </w:t>
                </w:r>
                <w:r w:rsidR="00C55D0A">
                  <w:rPr>
                    <w:rFonts w:ascii="Palatino Linotype" w:eastAsia="Calibri" w:hAnsi="Palatino Linotype" w:cs="Tahoma"/>
                    <w:bCs/>
                    <w:sz w:val="22"/>
                    <w:szCs w:val="22"/>
                    <w:lang w:eastAsia="en-US"/>
                  </w:rPr>
                  <w:t xml:space="preserve">Chimalhuacán </w:t>
                </w:r>
              </w:p>
            </w:tc>
          </w:tr>
          <w:tr w:rsidR="0092740E" w:rsidRPr="00330DA7" w:rsidTr="00AE4DB9">
            <w:trPr>
              <w:trHeight w:val="283"/>
            </w:trPr>
            <w:tc>
              <w:tcPr>
                <w:tcW w:w="2444" w:type="dxa"/>
                <w:shd w:val="clear" w:color="auto" w:fill="auto"/>
              </w:tcPr>
              <w:p w:rsidR="0092740E" w:rsidRPr="00020E73" w:rsidRDefault="00954676" w:rsidP="00AE4DB9">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rsidR="0092740E" w:rsidRPr="00020E73" w:rsidRDefault="00954676" w:rsidP="00AE4DB9">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92740E" w:rsidRPr="00020E73" w:rsidRDefault="00E260AA" w:rsidP="00AE4DB9">
                <w:pPr>
                  <w:tabs>
                    <w:tab w:val="right" w:pos="8838"/>
                  </w:tabs>
                  <w:ind w:left="-74" w:right="-105"/>
                  <w:jc w:val="both"/>
                  <w:rPr>
                    <w:rFonts w:ascii="Palatino Linotype" w:eastAsia="Calibri" w:hAnsi="Palatino Linotype" w:cs="Tahoma"/>
                    <w:b/>
                    <w:sz w:val="22"/>
                    <w:szCs w:val="22"/>
                    <w:lang w:val="es-ES" w:eastAsia="en-US"/>
                  </w:rPr>
                </w:pPr>
              </w:p>
            </w:tc>
          </w:tr>
        </w:tbl>
        <w:p w:rsidR="0092740E" w:rsidRPr="00330DA7" w:rsidRDefault="00E260AA" w:rsidP="00AE4DB9">
          <w:pPr>
            <w:tabs>
              <w:tab w:val="right" w:pos="8838"/>
            </w:tabs>
            <w:ind w:left="-28"/>
            <w:jc w:val="both"/>
            <w:rPr>
              <w:rFonts w:ascii="Arial" w:eastAsia="Calibri" w:hAnsi="Arial" w:cs="Arial"/>
              <w:b/>
              <w:sz w:val="22"/>
              <w:szCs w:val="22"/>
              <w:lang w:eastAsia="en-US"/>
            </w:rPr>
          </w:pPr>
        </w:p>
      </w:tc>
    </w:tr>
  </w:tbl>
  <w:p w:rsidR="0092740E" w:rsidRPr="00827FA0" w:rsidRDefault="00E260AA" w:rsidP="00AE4DB9">
    <w:pPr>
      <w:pStyle w:val="Encabezado"/>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alt="" style="position:absolute;margin-left:-68.8pt;margin-top:-117.6pt;width:589.8pt;height:768pt;z-index:-25165516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062AF"/>
    <w:multiLevelType w:val="hybridMultilevel"/>
    <w:tmpl w:val="186EB4BA"/>
    <w:lvl w:ilvl="0" w:tplc="80D84F50">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4317490"/>
    <w:multiLevelType w:val="hybridMultilevel"/>
    <w:tmpl w:val="1BDAE07A"/>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5DA00BE8"/>
    <w:multiLevelType w:val="hybridMultilevel"/>
    <w:tmpl w:val="D7906E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5DB70B0C"/>
    <w:multiLevelType w:val="hybridMultilevel"/>
    <w:tmpl w:val="05480F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F0228A4"/>
    <w:multiLevelType w:val="hybridMultilevel"/>
    <w:tmpl w:val="A35A446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nsid w:val="602B190D"/>
    <w:multiLevelType w:val="hybridMultilevel"/>
    <w:tmpl w:val="88B4C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7B234358"/>
    <w:multiLevelType w:val="hybridMultilevel"/>
    <w:tmpl w:val="AE1ABE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
  </w:num>
  <w:num w:numId="2">
    <w:abstractNumId w:val="1"/>
  </w:num>
  <w:num w:numId="3">
    <w:abstractNumId w:val="3"/>
  </w:num>
  <w:num w:numId="4">
    <w:abstractNumId w:val="9"/>
  </w:num>
  <w:num w:numId="5">
    <w:abstractNumId w:val="8"/>
  </w:num>
  <w:num w:numId="6">
    <w:abstractNumId w:val="7"/>
  </w:num>
  <w:num w:numId="7">
    <w:abstractNumId w:val="4"/>
  </w:num>
  <w:num w:numId="8">
    <w:abstractNumId w:val="5"/>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D0A"/>
    <w:rsid w:val="00007A3C"/>
    <w:rsid w:val="00081E4D"/>
    <w:rsid w:val="00133A1F"/>
    <w:rsid w:val="00214EBE"/>
    <w:rsid w:val="00250CA3"/>
    <w:rsid w:val="002866BE"/>
    <w:rsid w:val="003005A2"/>
    <w:rsid w:val="00343DB3"/>
    <w:rsid w:val="00385771"/>
    <w:rsid w:val="004114D9"/>
    <w:rsid w:val="00511395"/>
    <w:rsid w:val="00530F68"/>
    <w:rsid w:val="005A135C"/>
    <w:rsid w:val="005D3007"/>
    <w:rsid w:val="005F6A02"/>
    <w:rsid w:val="007307A0"/>
    <w:rsid w:val="0076643E"/>
    <w:rsid w:val="007F236C"/>
    <w:rsid w:val="008F1CFA"/>
    <w:rsid w:val="0090674E"/>
    <w:rsid w:val="00933493"/>
    <w:rsid w:val="00954676"/>
    <w:rsid w:val="00995D08"/>
    <w:rsid w:val="00A56330"/>
    <w:rsid w:val="00AA15BD"/>
    <w:rsid w:val="00B363FE"/>
    <w:rsid w:val="00C0101A"/>
    <w:rsid w:val="00C55D0A"/>
    <w:rsid w:val="00C774DE"/>
    <w:rsid w:val="00D56B40"/>
    <w:rsid w:val="00DD530E"/>
    <w:rsid w:val="00DD5740"/>
    <w:rsid w:val="00E260AA"/>
    <w:rsid w:val="00E411C2"/>
    <w:rsid w:val="00EF49DD"/>
    <w:rsid w:val="00F5620C"/>
    <w:rsid w:val="00F72263"/>
    <w:rsid w:val="00F8589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3C516B7-B06E-438A-9F87-66EA63194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D0A"/>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C55D0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C55D0A"/>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55D0A"/>
    <w:rPr>
      <w:rFonts w:asciiTheme="majorHAnsi" w:eastAsiaTheme="majorEastAsia" w:hAnsiTheme="majorHAnsi" w:cstheme="majorBidi"/>
      <w:color w:val="2E74B5" w:themeColor="accent1" w:themeShade="BF"/>
      <w:sz w:val="32"/>
      <w:szCs w:val="32"/>
      <w:lang w:val="es-MX" w:eastAsia="es-MX"/>
    </w:rPr>
  </w:style>
  <w:style w:type="character" w:customStyle="1" w:styleId="Ttulo2Car">
    <w:name w:val="Título 2 Car"/>
    <w:basedOn w:val="Fuentedeprrafopredeter"/>
    <w:link w:val="Ttulo2"/>
    <w:uiPriority w:val="9"/>
    <w:rsid w:val="00C55D0A"/>
    <w:rPr>
      <w:rFonts w:asciiTheme="majorHAnsi" w:eastAsiaTheme="majorEastAsia" w:hAnsiTheme="majorHAnsi" w:cstheme="majorBidi"/>
      <w:color w:val="2E74B5" w:themeColor="accent1" w:themeShade="BF"/>
      <w:sz w:val="26"/>
      <w:szCs w:val="26"/>
      <w:lang w:val="es-MX"/>
    </w:rPr>
  </w:style>
  <w:style w:type="paragraph" w:styleId="Encabezado">
    <w:name w:val="header"/>
    <w:basedOn w:val="Normal"/>
    <w:link w:val="EncabezadoCar"/>
    <w:uiPriority w:val="99"/>
    <w:unhideWhenUsed/>
    <w:rsid w:val="00C55D0A"/>
    <w:pPr>
      <w:tabs>
        <w:tab w:val="center" w:pos="4419"/>
        <w:tab w:val="right" w:pos="8838"/>
      </w:tabs>
    </w:pPr>
  </w:style>
  <w:style w:type="character" w:customStyle="1" w:styleId="EncabezadoCar">
    <w:name w:val="Encabezado Car"/>
    <w:basedOn w:val="Fuentedeprrafopredeter"/>
    <w:link w:val="Encabezado"/>
    <w:uiPriority w:val="99"/>
    <w:rsid w:val="00C55D0A"/>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C55D0A"/>
    <w:pPr>
      <w:tabs>
        <w:tab w:val="center" w:pos="4419"/>
        <w:tab w:val="right" w:pos="8838"/>
      </w:tabs>
    </w:pPr>
  </w:style>
  <w:style w:type="character" w:customStyle="1" w:styleId="PiedepginaCar">
    <w:name w:val="Pie de página Car"/>
    <w:basedOn w:val="Fuentedeprrafopredeter"/>
    <w:link w:val="Piedepgina"/>
    <w:uiPriority w:val="99"/>
    <w:rsid w:val="00C55D0A"/>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55D0A"/>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C55D0A"/>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C55D0A"/>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C55D0A"/>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locked/>
    <w:rsid w:val="00C55D0A"/>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C55D0A"/>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C55D0A"/>
    <w:rPr>
      <w:rFonts w:ascii="Times New Roman" w:eastAsia="Times New Roman" w:hAnsi="Times New Roman" w:cs="Times New Roman"/>
      <w:sz w:val="20"/>
      <w:szCs w:val="20"/>
      <w:lang w:val="es-MX" w:eastAsia="es-MX"/>
    </w:rPr>
  </w:style>
  <w:style w:type="table" w:styleId="Tabladecuadrcula6concolores">
    <w:name w:val="Grid Table 6 Colorful"/>
    <w:basedOn w:val="Tablanormal"/>
    <w:uiPriority w:val="51"/>
    <w:rsid w:val="00C55D0A"/>
    <w:pPr>
      <w:spacing w:after="0" w:line="240" w:lineRule="auto"/>
    </w:pPr>
    <w:rPr>
      <w:color w:val="000000" w:themeColor="text1"/>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eferenciasutil">
    <w:name w:val="Subtle Reference"/>
    <w:basedOn w:val="Fuentedeprrafopredeter"/>
    <w:uiPriority w:val="31"/>
    <w:qFormat/>
    <w:rsid w:val="007F236C"/>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7202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mawww.sat.gob.mx/factura/Paginas/solicita_requisitos.htm"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ipomex.org.mx/ipo3/lgt/indice/CHIMALHUACAN.web?token=03AKH6MRHBvusUkdK4C-0kHyWtN_SeFAVj5xXvTGfQKiXnf6TdUKqH_eMpsJpAs-Ux4foeaK7sY3mREgs4tDAHu874UvTkGNDmZZSVE-v_gi-2amn2s0jiW0GVgUEwzXBm7IKQjwsXhXHLNzZUmeFeEUP00mwuFgCyYw_MQq30Mz3CWJAmn46s4hTZ1BS-mnCtu6hdMw8u57FrjTgxvnewmuUBAjFdtOC-RvDYA5pCO-h93myMNDQ8VkjSGlSqnDeoxVyzy3OdIxh6Jt2ayO4xvbE3fy6SjVl6aX5w0h2MxuaJ0n9XzGgpJJcyYTd-mIc-5Tq2c5HMaLB1JrkrnpAs3RcnnO84ofAYaJHP0C41-n5G03rSKFojs00nMFL3jRsyw5C3cvnpZzT2HtnoSDIgMmU42O7RWC3ixYWjDw5gKeEDh2-y0y1ahWxgg_Ns-MArBRmCwRk-ME0TsXJROMu0vErbFDVxNpiqmZ7ygkincnXzv9IvFltiPtGjTIaOy-u5fMF030NMZjy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ipomex.org.mx/ipo3/lgt/portal/3.web" TargetMode="Externa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www.indetec.gob.mx/delivery?srv=0&amp;sl=3&amp;path=/biblioteca/Especiales/386_Glosario_Terminos_Proceso_Planeac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37</Pages>
  <Words>8625</Words>
  <Characters>47440</Characters>
  <Application>Microsoft Office Word</Application>
  <DocSecurity>0</DocSecurity>
  <Lines>395</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dcterms:created xsi:type="dcterms:W3CDTF">2023-09-13T19:26:00Z</dcterms:created>
  <dcterms:modified xsi:type="dcterms:W3CDTF">2023-09-26T17:36:00Z</dcterms:modified>
</cp:coreProperties>
</file>