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421764A" w:rsidR="00A036A6" w:rsidRPr="009625FF" w:rsidRDefault="00A036A6" w:rsidP="00A036A6">
      <w:pPr>
        <w:shd w:val="clear" w:color="auto" w:fill="FFFFFF"/>
        <w:spacing w:line="360" w:lineRule="auto"/>
        <w:jc w:val="both"/>
        <w:rPr>
          <w:rFonts w:ascii="Palatino Linotype" w:hAnsi="Palatino Linotype" w:cs="Arial"/>
          <w:color w:val="000000"/>
          <w:lang w:eastAsia="es-MX"/>
        </w:rPr>
      </w:pPr>
      <w:r w:rsidRPr="009625FF">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bookmarkStart w:id="0" w:name="_Hlk144738692"/>
      <w:r w:rsidR="00BA624C">
        <w:rPr>
          <w:rFonts w:ascii="Palatino Linotype" w:hAnsi="Palatino Linotype" w:cs="Arial"/>
          <w:color w:val="000000"/>
          <w:lang w:eastAsia="es-MX"/>
        </w:rPr>
        <w:t xml:space="preserve"> </w:t>
      </w:r>
      <w:r w:rsidR="00742AD5">
        <w:rPr>
          <w:rFonts w:ascii="Palatino Linotype" w:hAnsi="Palatino Linotype" w:cs="Arial"/>
          <w:color w:val="000000"/>
          <w:lang w:eastAsia="es-MX"/>
        </w:rPr>
        <w:t>quince</w:t>
      </w:r>
      <w:r w:rsidR="001447D4">
        <w:rPr>
          <w:rFonts w:ascii="Palatino Linotype" w:hAnsi="Palatino Linotype" w:cs="Arial"/>
          <w:color w:val="000000"/>
          <w:lang w:eastAsia="es-MX"/>
        </w:rPr>
        <w:t xml:space="preserve"> de noviembre</w:t>
      </w:r>
      <w:r w:rsidR="007923FB" w:rsidRPr="009625FF">
        <w:rPr>
          <w:rFonts w:ascii="Palatino Linotype" w:hAnsi="Palatino Linotype" w:cs="Arial"/>
          <w:color w:val="000000"/>
          <w:lang w:eastAsia="es-MX"/>
        </w:rPr>
        <w:t xml:space="preserve"> </w:t>
      </w:r>
      <w:bookmarkEnd w:id="0"/>
      <w:r w:rsidR="007923FB" w:rsidRPr="009625FF">
        <w:rPr>
          <w:rFonts w:ascii="Palatino Linotype" w:hAnsi="Palatino Linotype" w:cs="Arial"/>
          <w:color w:val="000000"/>
          <w:lang w:eastAsia="es-MX"/>
        </w:rPr>
        <w:t>de dos mil veintitrés</w:t>
      </w:r>
      <w:r w:rsidRPr="009625FF">
        <w:rPr>
          <w:rFonts w:ascii="Palatino Linotype" w:hAnsi="Palatino Linotype" w:cs="Arial"/>
          <w:color w:val="000000"/>
          <w:lang w:eastAsia="es-MX"/>
        </w:rPr>
        <w:t>.</w:t>
      </w:r>
    </w:p>
    <w:p w14:paraId="5AF306FC"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385FC697" w14:textId="6D2EEE15" w:rsidR="00A036A6" w:rsidRPr="009625FF" w:rsidRDefault="00A036A6" w:rsidP="00A036A6">
      <w:pPr>
        <w:shd w:val="clear" w:color="auto" w:fill="FFFFFF"/>
        <w:spacing w:line="360" w:lineRule="auto"/>
        <w:jc w:val="both"/>
        <w:rPr>
          <w:rFonts w:ascii="Palatino Linotype" w:hAnsi="Palatino Linotype" w:cs="Arial"/>
        </w:rPr>
      </w:pPr>
      <w:r w:rsidRPr="009625FF">
        <w:rPr>
          <w:rFonts w:ascii="Palatino Linotype" w:hAnsi="Palatino Linotype" w:cs="Arial"/>
          <w:b/>
        </w:rPr>
        <w:t>VISTO</w:t>
      </w:r>
      <w:r w:rsidRPr="009625FF">
        <w:rPr>
          <w:rFonts w:ascii="Palatino Linotype" w:hAnsi="Palatino Linotype" w:cs="Arial"/>
        </w:rPr>
        <w:t xml:space="preserve"> el expediente electrónico formado con motivo del recurso de revisión número </w:t>
      </w:r>
      <w:bookmarkStart w:id="1" w:name="_GoBack"/>
      <w:r w:rsidR="00BA624C" w:rsidRPr="00BA624C">
        <w:rPr>
          <w:rFonts w:ascii="Palatino Linotype" w:hAnsi="Palatino Linotype" w:cs="Arial"/>
          <w:b/>
          <w:bCs/>
          <w:lang w:eastAsia="es-MX"/>
        </w:rPr>
        <w:t>06945/INFOEM/IP/RR/2023</w:t>
      </w:r>
      <w:bookmarkEnd w:id="1"/>
      <w:r w:rsidR="00BC0FAB" w:rsidRPr="009625FF">
        <w:rPr>
          <w:rFonts w:ascii="Palatino Linotype" w:hAnsi="Palatino Linotype" w:cs="Arial"/>
        </w:rPr>
        <w:t xml:space="preserve">, </w:t>
      </w:r>
      <w:r w:rsidR="00DB00C1" w:rsidRPr="009625FF">
        <w:rPr>
          <w:rFonts w:ascii="Palatino Linotype" w:hAnsi="Palatino Linotype" w:cs="Arial"/>
        </w:rPr>
        <w:t>interpuesto por</w:t>
      </w:r>
      <w:r w:rsidR="00FB0DEF">
        <w:rPr>
          <w:rFonts w:ascii="Palatino Linotype" w:hAnsi="Palatino Linotype" w:cs="Arial"/>
        </w:rPr>
        <w:t xml:space="preserve"> el C.</w:t>
      </w:r>
      <w:r w:rsidR="00B670BA" w:rsidRPr="009625FF">
        <w:rPr>
          <w:rFonts w:ascii="Palatino Linotype" w:hAnsi="Palatino Linotype" w:cs="Arial"/>
          <w:b/>
          <w:bCs/>
        </w:rPr>
        <w:t xml:space="preserve"> </w:t>
      </w:r>
      <w:r w:rsidR="00284D25">
        <w:rPr>
          <w:rFonts w:ascii="Palatino Linotype" w:hAnsi="Palatino Linotype" w:cs="Arial"/>
          <w:b/>
          <w:bCs/>
        </w:rPr>
        <w:t>XXXXXXXXXXXXXX</w:t>
      </w:r>
      <w:r w:rsidRPr="009625FF">
        <w:rPr>
          <w:rFonts w:ascii="Palatino Linotype" w:hAnsi="Palatino Linotype" w:cs="Arial"/>
        </w:rPr>
        <w:t>,</w:t>
      </w:r>
      <w:r w:rsidRPr="009625FF">
        <w:rPr>
          <w:rFonts w:ascii="Palatino Linotype" w:hAnsi="Palatino Linotype" w:cs="Arial"/>
          <w:b/>
        </w:rPr>
        <w:t xml:space="preserve"> </w:t>
      </w:r>
      <w:r w:rsidR="001447D4" w:rsidRPr="001447D4">
        <w:rPr>
          <w:rFonts w:ascii="Palatino Linotype" w:hAnsi="Palatino Linotype" w:cs="Arial"/>
          <w:bCs/>
        </w:rPr>
        <w:t>quien en lo sucesivo y para efectos prácticos se le denominara como</w:t>
      </w:r>
      <w:r w:rsidR="001447D4" w:rsidRPr="001447D4">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w:t>
      </w:r>
      <w:r w:rsidRPr="009625FF">
        <w:rPr>
          <w:rFonts w:ascii="Palatino Linotype" w:hAnsi="Palatino Linotype" w:cs="Arial"/>
        </w:rPr>
        <w:t xml:space="preserve">, en contra de la falta de respuesta del </w:t>
      </w:r>
      <w:r w:rsidR="00FB0DEF" w:rsidRPr="00FB0DEF">
        <w:rPr>
          <w:rFonts w:ascii="Palatino Linotype" w:hAnsi="Palatino Linotype" w:cs="Arial"/>
          <w:b/>
        </w:rPr>
        <w:t>Ayuntamiento de Malinalco</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en lo subsecuente</w:t>
      </w:r>
      <w:r w:rsidRPr="009625FF">
        <w:rPr>
          <w:rFonts w:ascii="Palatino Linotype" w:hAnsi="Palatino Linotype" w:cs="Arial"/>
          <w:b/>
        </w:rPr>
        <w:t xml:space="preserve"> El Sujeto Obligado, </w:t>
      </w:r>
      <w:r w:rsidRPr="009625FF">
        <w:rPr>
          <w:rFonts w:ascii="Palatino Linotype" w:hAnsi="Palatino Linotype" w:cs="Arial"/>
        </w:rPr>
        <w:t>se procede a dictar la presente resolución.</w:t>
      </w:r>
    </w:p>
    <w:p w14:paraId="4D526EEA"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625FF" w:rsidRDefault="00A036A6" w:rsidP="00A036A6">
      <w:pPr>
        <w:spacing w:line="360" w:lineRule="auto"/>
        <w:jc w:val="center"/>
        <w:rPr>
          <w:rFonts w:ascii="Palatino Linotype" w:hAnsi="Palatino Linotype"/>
          <w:b/>
          <w:sz w:val="28"/>
        </w:rPr>
      </w:pPr>
      <w:r w:rsidRPr="009625FF">
        <w:rPr>
          <w:rFonts w:ascii="Palatino Linotype" w:hAnsi="Palatino Linotype"/>
          <w:b/>
          <w:sz w:val="28"/>
        </w:rPr>
        <w:t>A N T E C E D E N T E S   D E L   A S U N T O</w:t>
      </w:r>
    </w:p>
    <w:p w14:paraId="3A767F8F" w14:textId="77777777" w:rsidR="00A036A6" w:rsidRPr="009625FF" w:rsidRDefault="00A036A6" w:rsidP="00A036A6">
      <w:pPr>
        <w:pStyle w:val="Sinespaciado"/>
      </w:pPr>
    </w:p>
    <w:p w14:paraId="6F0857E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4BAD4B2E" w14:textId="1CFCA7C1" w:rsidR="00A036A6" w:rsidRPr="009625FF" w:rsidRDefault="00A036A6" w:rsidP="00271073">
      <w:pPr>
        <w:spacing w:line="360" w:lineRule="auto"/>
        <w:jc w:val="both"/>
        <w:rPr>
          <w:rFonts w:ascii="Palatino Linotype" w:hAnsi="Palatino Linotype" w:cs="Arial"/>
        </w:rPr>
      </w:pPr>
      <w:r w:rsidRPr="009625FF">
        <w:rPr>
          <w:rFonts w:ascii="Palatino Linotype" w:hAnsi="Palatino Linotype" w:cs="Arial"/>
        </w:rPr>
        <w:t xml:space="preserve">Con fecha </w:t>
      </w:r>
      <w:r w:rsidR="00FB0DEF">
        <w:rPr>
          <w:rFonts w:ascii="Palatino Linotype" w:hAnsi="Palatino Linotype" w:cs="Arial"/>
        </w:rPr>
        <w:t>diecinueve de septiembre</w:t>
      </w:r>
      <w:r w:rsidR="00895016"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w:t>
      </w:r>
      <w:r w:rsidRPr="009625FF">
        <w:rPr>
          <w:rFonts w:ascii="Palatino Linotype" w:hAnsi="Palatino Linotype" w:cs="Arial"/>
          <w:b/>
        </w:rPr>
        <w:t xml:space="preserve">El Recurrente, </w:t>
      </w:r>
      <w:r w:rsidRPr="009625FF">
        <w:rPr>
          <w:rFonts w:ascii="Palatino Linotype" w:hAnsi="Palatino Linotype" w:cs="Arial"/>
        </w:rPr>
        <w:t xml:space="preserve">presentó a través del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solicitud de acceso a la información pública, registrada bajo el número de expediente </w:t>
      </w:r>
      <w:r w:rsidR="00FB0DEF" w:rsidRPr="00FB0DEF">
        <w:rPr>
          <w:rFonts w:ascii="Palatino Linotype" w:hAnsi="Palatino Linotype" w:cs="Arial"/>
          <w:b/>
        </w:rPr>
        <w:t>00147/MALINAL/IP/2023</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4F92425B" w14:textId="77777777" w:rsidR="00271073" w:rsidRPr="009625FF" w:rsidRDefault="00271073" w:rsidP="007923FB">
      <w:pPr>
        <w:pStyle w:val="Sinespaciado"/>
      </w:pPr>
    </w:p>
    <w:p w14:paraId="5229EE30" w14:textId="680369B5" w:rsidR="00A036A6" w:rsidRPr="009625FF" w:rsidRDefault="00A036A6" w:rsidP="001447D4">
      <w:pPr>
        <w:spacing w:line="360" w:lineRule="auto"/>
        <w:ind w:left="567" w:right="567"/>
        <w:jc w:val="both"/>
        <w:rPr>
          <w:rFonts w:ascii="Palatino Linotype" w:hAnsi="Palatino Linotype"/>
          <w:i/>
          <w:lang w:val="es-ES_tradnl"/>
        </w:rPr>
      </w:pPr>
      <w:r w:rsidRPr="009625FF">
        <w:rPr>
          <w:rFonts w:ascii="Palatino Linotype" w:hAnsi="Palatino Linotype"/>
          <w:i/>
          <w:lang w:val="es-ES_tradnl"/>
        </w:rPr>
        <w:t>“</w:t>
      </w:r>
      <w:r w:rsidR="00FB0DEF" w:rsidRPr="00FB0DEF">
        <w:rPr>
          <w:rFonts w:ascii="Palatino Linotype" w:hAnsi="Palatino Linotype"/>
          <w:i/>
          <w:lang w:val="es-ES_tradnl"/>
        </w:rPr>
        <w:t xml:space="preserve">En apego a derecho y con el respaldo que las diversas legislaciones en materia de transparencia y acceso a la información pública, solcito en versión pública el acuerdo, convenio, contrato o cualquier otro instrumento que firmo la Sindicatura Municipal, para la compra o entrega de: </w:t>
      </w:r>
      <w:r w:rsidR="00FB0DEF" w:rsidRPr="00FB0DEF">
        <w:rPr>
          <w:rFonts w:ascii="Segoe UI Emoji" w:hAnsi="Segoe UI Emoji" w:cs="Segoe UI Emoji"/>
          <w:i/>
          <w:lang w:val="es-ES_tradnl"/>
        </w:rPr>
        <w:t>🟢</w:t>
      </w:r>
      <w:r w:rsidR="00FB0DEF" w:rsidRPr="00FB0DEF">
        <w:rPr>
          <w:rFonts w:ascii="Palatino Linotype" w:hAnsi="Palatino Linotype"/>
          <w:i/>
          <w:lang w:val="es-ES_tradnl"/>
        </w:rPr>
        <w:t xml:space="preserve">Tinacos de 1,200 </w:t>
      </w:r>
      <w:proofErr w:type="spellStart"/>
      <w:r w:rsidR="00FB0DEF" w:rsidRPr="00FB0DEF">
        <w:rPr>
          <w:rFonts w:ascii="Palatino Linotype" w:hAnsi="Palatino Linotype"/>
          <w:i/>
          <w:lang w:val="es-ES_tradnl"/>
        </w:rPr>
        <w:t>Lts</w:t>
      </w:r>
      <w:proofErr w:type="spellEnd"/>
      <w:r w:rsidR="00FB0DEF" w:rsidRPr="00FB0DEF">
        <w:rPr>
          <w:rFonts w:ascii="Palatino Linotype" w:hAnsi="Palatino Linotype"/>
          <w:i/>
          <w:lang w:val="es-ES_tradnl"/>
        </w:rPr>
        <w:t xml:space="preserve">, 3,000 </w:t>
      </w:r>
      <w:proofErr w:type="spellStart"/>
      <w:r w:rsidR="00FB0DEF" w:rsidRPr="00FB0DEF">
        <w:rPr>
          <w:rFonts w:ascii="Palatino Linotype" w:hAnsi="Palatino Linotype"/>
          <w:i/>
          <w:lang w:val="es-ES_tradnl"/>
        </w:rPr>
        <w:t>Lts</w:t>
      </w:r>
      <w:proofErr w:type="spellEnd"/>
      <w:r w:rsidR="00FB0DEF" w:rsidRPr="00FB0DEF">
        <w:rPr>
          <w:rFonts w:ascii="Palatino Linotype" w:hAnsi="Palatino Linotype"/>
          <w:i/>
          <w:lang w:val="es-ES_tradnl"/>
        </w:rPr>
        <w:t xml:space="preserve">, 5,000 </w:t>
      </w:r>
      <w:proofErr w:type="spellStart"/>
      <w:r w:rsidR="00FB0DEF" w:rsidRPr="00FB0DEF">
        <w:rPr>
          <w:rFonts w:ascii="Palatino Linotype" w:hAnsi="Palatino Linotype"/>
          <w:i/>
          <w:lang w:val="es-ES_tradnl"/>
        </w:rPr>
        <w:t>Lts</w:t>
      </w:r>
      <w:proofErr w:type="spellEnd"/>
      <w:r w:rsidR="00FB0DEF" w:rsidRPr="00FB0DEF">
        <w:rPr>
          <w:rFonts w:ascii="Palatino Linotype" w:hAnsi="Palatino Linotype"/>
          <w:i/>
          <w:lang w:val="es-ES_tradnl"/>
        </w:rPr>
        <w:t xml:space="preserve"> y 10,000 </w:t>
      </w:r>
      <w:proofErr w:type="spellStart"/>
      <w:r w:rsidR="00FB0DEF" w:rsidRPr="00FB0DEF">
        <w:rPr>
          <w:rFonts w:ascii="Palatino Linotype" w:hAnsi="Palatino Linotype"/>
          <w:i/>
          <w:lang w:val="es-ES_tradnl"/>
        </w:rPr>
        <w:t>Lts</w:t>
      </w:r>
      <w:proofErr w:type="spellEnd"/>
      <w:r w:rsidR="00FB0DEF" w:rsidRPr="00FB0DEF">
        <w:rPr>
          <w:rFonts w:ascii="Palatino Linotype" w:hAnsi="Palatino Linotype"/>
          <w:i/>
          <w:lang w:val="es-ES_tradnl"/>
        </w:rPr>
        <w:t xml:space="preserve"> </w:t>
      </w:r>
      <w:r w:rsidR="00FB0DEF" w:rsidRPr="00FB0DEF">
        <w:rPr>
          <w:rFonts w:ascii="Segoe UI Emoji" w:hAnsi="Segoe UI Emoji" w:cs="Segoe UI Emoji"/>
          <w:i/>
          <w:lang w:val="es-ES_tradnl"/>
        </w:rPr>
        <w:t>🟢</w:t>
      </w:r>
      <w:r w:rsidR="00FB0DEF" w:rsidRPr="00FB0DEF">
        <w:rPr>
          <w:rFonts w:ascii="Palatino Linotype" w:hAnsi="Palatino Linotype"/>
          <w:i/>
          <w:lang w:val="es-ES_tradnl"/>
        </w:rPr>
        <w:t xml:space="preserve">Calentadores Solares de 10, 12, 15, 20, 24 y 30 Tubos </w:t>
      </w:r>
      <w:r w:rsidR="00FB0DEF" w:rsidRPr="00FB0DEF">
        <w:rPr>
          <w:rFonts w:ascii="Segoe UI Emoji" w:hAnsi="Segoe UI Emoji" w:cs="Segoe UI Emoji"/>
          <w:i/>
          <w:lang w:val="es-ES_tradnl"/>
        </w:rPr>
        <w:t>🟢</w:t>
      </w:r>
      <w:r w:rsidR="00FB0DEF" w:rsidRPr="00FB0DEF">
        <w:rPr>
          <w:rFonts w:ascii="Palatino Linotype" w:hAnsi="Palatino Linotype"/>
          <w:i/>
          <w:lang w:val="es-ES_tradnl"/>
        </w:rPr>
        <w:t xml:space="preserve">Paquetes de Vivienda (Tinaco, calentador solar, bomba periférica, juego de baño </w:t>
      </w:r>
      <w:r w:rsidR="00FB0DEF" w:rsidRPr="00FB0DEF">
        <w:rPr>
          <w:rFonts w:ascii="Palatino Linotype" w:hAnsi="Palatino Linotype"/>
          <w:i/>
          <w:lang w:val="es-ES_tradnl"/>
        </w:rPr>
        <w:lastRenderedPageBreak/>
        <w:t xml:space="preserve">y paquete de jardín). Tal y como lo promueve en la </w:t>
      </w:r>
      <w:proofErr w:type="spellStart"/>
      <w:r w:rsidR="00FB0DEF" w:rsidRPr="00FB0DEF">
        <w:rPr>
          <w:rFonts w:ascii="Palatino Linotype" w:hAnsi="Palatino Linotype"/>
          <w:i/>
          <w:lang w:val="es-ES_tradnl"/>
        </w:rPr>
        <w:t>pagina</w:t>
      </w:r>
      <w:proofErr w:type="spellEnd"/>
      <w:r w:rsidR="00FB0DEF" w:rsidRPr="00FB0DEF">
        <w:rPr>
          <w:rFonts w:ascii="Palatino Linotype" w:hAnsi="Palatino Linotype"/>
          <w:i/>
          <w:lang w:val="es-ES_tradnl"/>
        </w:rPr>
        <w:t xml:space="preserve"> de </w:t>
      </w:r>
      <w:proofErr w:type="spellStart"/>
      <w:r w:rsidR="00FB0DEF" w:rsidRPr="00FB0DEF">
        <w:rPr>
          <w:rFonts w:ascii="Palatino Linotype" w:hAnsi="Palatino Linotype"/>
          <w:i/>
          <w:lang w:val="es-ES_tradnl"/>
        </w:rPr>
        <w:t>facebook</w:t>
      </w:r>
      <w:proofErr w:type="spellEnd"/>
      <w:r w:rsidR="00FB0DEF" w:rsidRPr="00FB0DEF">
        <w:rPr>
          <w:rFonts w:ascii="Palatino Linotype" w:hAnsi="Palatino Linotype"/>
          <w:i/>
          <w:lang w:val="es-ES_tradnl"/>
        </w:rPr>
        <w:t xml:space="preserve"> del ayuntamiento. Así mismo </w:t>
      </w:r>
      <w:proofErr w:type="spellStart"/>
      <w:r w:rsidR="00FB0DEF" w:rsidRPr="00FB0DEF">
        <w:rPr>
          <w:rFonts w:ascii="Palatino Linotype" w:hAnsi="Palatino Linotype"/>
          <w:i/>
          <w:lang w:val="es-ES_tradnl"/>
        </w:rPr>
        <w:t>solicio</w:t>
      </w:r>
      <w:proofErr w:type="spellEnd"/>
      <w:r w:rsidR="00FB0DEF" w:rsidRPr="00FB0DEF">
        <w:rPr>
          <w:rFonts w:ascii="Palatino Linotype" w:hAnsi="Palatino Linotype"/>
          <w:i/>
          <w:lang w:val="es-ES_tradnl"/>
        </w:rPr>
        <w:t xml:space="preserve"> en versión publicas todas aquellas solicitudes realizadas por los particulares, para ser </w:t>
      </w:r>
      <w:proofErr w:type="spellStart"/>
      <w:r w:rsidR="00FB0DEF" w:rsidRPr="00FB0DEF">
        <w:rPr>
          <w:rFonts w:ascii="Palatino Linotype" w:hAnsi="Palatino Linotype"/>
          <w:i/>
          <w:lang w:val="es-ES_tradnl"/>
        </w:rPr>
        <w:t>acredores</w:t>
      </w:r>
      <w:proofErr w:type="spellEnd"/>
      <w:r w:rsidR="00FB0DEF" w:rsidRPr="00FB0DEF">
        <w:rPr>
          <w:rFonts w:ascii="Palatino Linotype" w:hAnsi="Palatino Linotype"/>
          <w:i/>
          <w:lang w:val="es-ES_tradnl"/>
        </w:rPr>
        <w:t xml:space="preserve"> a dichos apoyos. Cuanto es que </w:t>
      </w:r>
      <w:proofErr w:type="spellStart"/>
      <w:r w:rsidR="00FB0DEF" w:rsidRPr="00FB0DEF">
        <w:rPr>
          <w:rFonts w:ascii="Palatino Linotype" w:hAnsi="Palatino Linotype"/>
          <w:i/>
          <w:lang w:val="es-ES_tradnl"/>
        </w:rPr>
        <w:t>subcidia</w:t>
      </w:r>
      <w:proofErr w:type="spellEnd"/>
      <w:r w:rsidR="00FB0DEF" w:rsidRPr="00FB0DEF">
        <w:rPr>
          <w:rFonts w:ascii="Palatino Linotype" w:hAnsi="Palatino Linotype"/>
          <w:i/>
          <w:lang w:val="es-ES_tradnl"/>
        </w:rPr>
        <w:t xml:space="preserve"> el ayuntamiento.</w:t>
      </w:r>
      <w:r w:rsidRPr="009625FF">
        <w:rPr>
          <w:rFonts w:ascii="Palatino Linotype" w:hAnsi="Palatino Linotype"/>
          <w:i/>
          <w:lang w:val="es-ES_tradnl"/>
        </w:rPr>
        <w:t>” [Sic]</w:t>
      </w:r>
    </w:p>
    <w:p w14:paraId="2481EA35" w14:textId="059D184D" w:rsidR="00257ACF" w:rsidRPr="009625FF" w:rsidRDefault="00257ACF" w:rsidP="006665B4">
      <w:pPr>
        <w:spacing w:line="360" w:lineRule="auto"/>
        <w:ind w:right="850"/>
        <w:rPr>
          <w:rFonts w:ascii="Palatino Linotype" w:hAnsi="Palatino Linotype"/>
          <w:b/>
          <w:lang w:val="es-ES_tradnl"/>
        </w:rPr>
      </w:pPr>
    </w:p>
    <w:p w14:paraId="6D1991B7" w14:textId="1EBF1B2A" w:rsidR="000B3CC4" w:rsidRPr="009625FF" w:rsidRDefault="00A036A6" w:rsidP="00895016">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del </w:t>
      </w:r>
      <w:r w:rsidRPr="009625FF">
        <w:rPr>
          <w:rFonts w:ascii="Palatino Linotype" w:hAnsi="Palatino Linotype"/>
          <w:b/>
          <w:lang w:val="es-ES_tradnl"/>
        </w:rPr>
        <w:t>SAIMEX</w:t>
      </w:r>
      <w:r w:rsidRPr="009625FF">
        <w:rPr>
          <w:rFonts w:ascii="Palatino Linotype" w:hAnsi="Palatino Linotype"/>
          <w:lang w:val="es-ES_tradnl"/>
        </w:rPr>
        <w:t xml:space="preserve">. </w:t>
      </w:r>
    </w:p>
    <w:p w14:paraId="2CA952F2" w14:textId="77777777" w:rsidR="009A66D0" w:rsidRPr="009625FF" w:rsidRDefault="009A66D0" w:rsidP="00895016">
      <w:pPr>
        <w:spacing w:line="360" w:lineRule="auto"/>
        <w:ind w:right="850"/>
        <w:jc w:val="both"/>
        <w:rPr>
          <w:rFonts w:ascii="Palatino Linotype" w:hAnsi="Palatino Linotype"/>
          <w:lang w:val="es-ES_tradnl"/>
        </w:rPr>
      </w:pPr>
    </w:p>
    <w:p w14:paraId="51F8C565" w14:textId="0B3E09D9"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SEGUND</w:t>
      </w:r>
      <w:r w:rsidR="00A036A6" w:rsidRPr="009625FF">
        <w:rPr>
          <w:rFonts w:ascii="Palatino Linotype" w:hAnsi="Palatino Linotype" w:cs="Arial"/>
          <w:b/>
          <w:sz w:val="28"/>
        </w:rPr>
        <w:t xml:space="preserve">O. </w:t>
      </w:r>
      <w:r w:rsidR="00A036A6" w:rsidRPr="009625FF">
        <w:rPr>
          <w:rFonts w:ascii="Palatino Linotype" w:hAnsi="Palatino Linotype" w:cs="Arial"/>
          <w:b/>
          <w:sz w:val="28"/>
          <w:szCs w:val="20"/>
        </w:rPr>
        <w:t>De la respuesta del Sujeto Obligado.</w:t>
      </w:r>
    </w:p>
    <w:p w14:paraId="4FB98404"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el 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625FF" w:rsidRDefault="00A036A6" w:rsidP="00A036A6">
      <w:pPr>
        <w:spacing w:line="360" w:lineRule="auto"/>
        <w:jc w:val="both"/>
        <w:rPr>
          <w:rFonts w:ascii="Palatino Linotype" w:hAnsi="Palatino Linotype" w:cs="Arial"/>
        </w:rPr>
      </w:pPr>
    </w:p>
    <w:p w14:paraId="778B8C8A" w14:textId="0B690C42"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TERCER</w:t>
      </w:r>
      <w:r w:rsidR="00A036A6" w:rsidRPr="009625FF">
        <w:rPr>
          <w:rFonts w:ascii="Palatino Linotype" w:hAnsi="Palatino Linotype" w:cs="Arial"/>
          <w:b/>
          <w:sz w:val="28"/>
        </w:rPr>
        <w:t xml:space="preserve">O. </w:t>
      </w:r>
      <w:r w:rsidR="00A036A6" w:rsidRPr="009625FF">
        <w:rPr>
          <w:rFonts w:ascii="Palatino Linotype" w:hAnsi="Palatino Linotype"/>
          <w:b/>
          <w:sz w:val="28"/>
        </w:rPr>
        <w:t>Del recurso de revisión.</w:t>
      </w:r>
    </w:p>
    <w:p w14:paraId="3F9B7581" w14:textId="45774630"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Inconforme con la falta de respuesta por </w:t>
      </w:r>
      <w:r w:rsidRPr="009625FF">
        <w:rPr>
          <w:rFonts w:ascii="Palatino Linotype" w:hAnsi="Palatino Linotype" w:cs="Arial"/>
          <w:b/>
        </w:rPr>
        <w:t>El Sujeto Obligado</w:t>
      </w:r>
      <w:r w:rsidRPr="009625FF">
        <w:rPr>
          <w:rFonts w:ascii="Palatino Linotype" w:hAnsi="Palatino Linotype" w:cs="Arial"/>
        </w:rPr>
        <w:t>,</w:t>
      </w:r>
      <w:r w:rsidRPr="009625FF">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interpuso el recurso de revisión, en fecha </w:t>
      </w:r>
      <w:r w:rsidR="00FB0DEF">
        <w:rPr>
          <w:rFonts w:ascii="Palatino Linotype" w:hAnsi="Palatino Linotype" w:cs="Arial"/>
        </w:rPr>
        <w:t>once</w:t>
      </w:r>
      <w:r w:rsidR="001447D4">
        <w:rPr>
          <w:rFonts w:ascii="Palatino Linotype" w:hAnsi="Palatino Linotype" w:cs="Arial"/>
        </w:rPr>
        <w:t xml:space="preserve"> de octubre</w:t>
      </w:r>
      <w:r w:rsidR="00695737"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el cual fue registrado con el expediente número</w:t>
      </w:r>
      <w:r w:rsidR="00FB0DEF" w:rsidRPr="00FB0DEF">
        <w:rPr>
          <w:rFonts w:ascii="Palatino Linotype" w:hAnsi="Palatino Linotype" w:cs="Arial"/>
          <w:b/>
        </w:rPr>
        <w:t xml:space="preserve"> 06945/INFOEM/IP/RR/2023</w:t>
      </w:r>
      <w:r w:rsidR="00695737" w:rsidRPr="009625FF">
        <w:rPr>
          <w:rFonts w:ascii="Palatino Linotype" w:hAnsi="Palatino Linotype" w:cs="Arial"/>
        </w:rPr>
        <w:t xml:space="preserve">, </w:t>
      </w:r>
      <w:r w:rsidRPr="009625FF">
        <w:rPr>
          <w:rFonts w:ascii="Palatino Linotype" w:hAnsi="Palatino Linotype" w:cs="Arial"/>
        </w:rPr>
        <w:t xml:space="preserve">en el cual arguye, las siguientes manifestaciones: </w:t>
      </w:r>
    </w:p>
    <w:p w14:paraId="49F7BAF1" w14:textId="77777777" w:rsidR="00A036A6" w:rsidRPr="009625FF" w:rsidRDefault="00A036A6" w:rsidP="00A036A6">
      <w:pPr>
        <w:pStyle w:val="Sinespaciado"/>
      </w:pPr>
    </w:p>
    <w:p w14:paraId="7E9370CC" w14:textId="6C311417" w:rsidR="00A036A6" w:rsidRPr="009625FF" w:rsidRDefault="00A036A6" w:rsidP="00326FA3">
      <w:pPr>
        <w:pStyle w:val="Prrafodelista"/>
        <w:numPr>
          <w:ilvl w:val="0"/>
          <w:numId w:val="15"/>
        </w:numPr>
        <w:jc w:val="both"/>
        <w:rPr>
          <w:rFonts w:ascii="Palatino Linotype" w:hAnsi="Palatino Linotype" w:cs="Arial"/>
          <w:b/>
        </w:rPr>
      </w:pPr>
      <w:r w:rsidRPr="009625FF">
        <w:rPr>
          <w:rFonts w:ascii="Palatino Linotype" w:hAnsi="Palatino Linotype" w:cs="Arial"/>
          <w:b/>
        </w:rPr>
        <w:t xml:space="preserve">Acto Impugnado: </w:t>
      </w:r>
      <w:r w:rsidRPr="009625FF">
        <w:rPr>
          <w:rFonts w:ascii="Palatino Linotype" w:hAnsi="Palatino Linotype" w:cs="Arial"/>
          <w:i/>
        </w:rPr>
        <w:t>“</w:t>
      </w:r>
      <w:r w:rsidR="00FB0DEF" w:rsidRPr="00FB0DEF">
        <w:rPr>
          <w:rFonts w:ascii="Palatino Linotype" w:hAnsi="Palatino Linotype" w:cs="Arial"/>
          <w:i/>
        </w:rPr>
        <w:t xml:space="preserve">En apego a derecho y con el respaldo que las diversas legislaciones en materia de transparencia y acceso a la información pública, solcito en versión pública el acuerdo, convenio, contrato o cualquier otro instrumento que firmo la Sindicatura Municipal, para la compra o entrega de: Tinacos de 1,200 </w:t>
      </w:r>
      <w:proofErr w:type="spellStart"/>
      <w:r w:rsidR="00FB0DEF" w:rsidRPr="00FB0DEF">
        <w:rPr>
          <w:rFonts w:ascii="Palatino Linotype" w:hAnsi="Palatino Linotype" w:cs="Arial"/>
          <w:i/>
        </w:rPr>
        <w:t>Lts</w:t>
      </w:r>
      <w:proofErr w:type="spellEnd"/>
      <w:r w:rsidR="00FB0DEF" w:rsidRPr="00FB0DEF">
        <w:rPr>
          <w:rFonts w:ascii="Palatino Linotype" w:hAnsi="Palatino Linotype" w:cs="Arial"/>
          <w:i/>
        </w:rPr>
        <w:t xml:space="preserve">, 3,000 </w:t>
      </w:r>
      <w:proofErr w:type="spellStart"/>
      <w:r w:rsidR="00FB0DEF" w:rsidRPr="00FB0DEF">
        <w:rPr>
          <w:rFonts w:ascii="Palatino Linotype" w:hAnsi="Palatino Linotype" w:cs="Arial"/>
          <w:i/>
        </w:rPr>
        <w:t>Lts</w:t>
      </w:r>
      <w:proofErr w:type="spellEnd"/>
      <w:r w:rsidR="00FB0DEF" w:rsidRPr="00FB0DEF">
        <w:rPr>
          <w:rFonts w:ascii="Palatino Linotype" w:hAnsi="Palatino Linotype" w:cs="Arial"/>
          <w:i/>
        </w:rPr>
        <w:t xml:space="preserve">, 5,000 </w:t>
      </w:r>
      <w:proofErr w:type="spellStart"/>
      <w:r w:rsidR="00FB0DEF" w:rsidRPr="00FB0DEF">
        <w:rPr>
          <w:rFonts w:ascii="Palatino Linotype" w:hAnsi="Palatino Linotype" w:cs="Arial"/>
          <w:i/>
        </w:rPr>
        <w:t>Lts</w:t>
      </w:r>
      <w:proofErr w:type="spellEnd"/>
      <w:r w:rsidR="00FB0DEF" w:rsidRPr="00FB0DEF">
        <w:rPr>
          <w:rFonts w:ascii="Palatino Linotype" w:hAnsi="Palatino Linotype" w:cs="Arial"/>
          <w:i/>
        </w:rPr>
        <w:t xml:space="preserve"> y 10,000 </w:t>
      </w:r>
      <w:proofErr w:type="spellStart"/>
      <w:r w:rsidR="00FB0DEF" w:rsidRPr="00FB0DEF">
        <w:rPr>
          <w:rFonts w:ascii="Palatino Linotype" w:hAnsi="Palatino Linotype" w:cs="Arial"/>
          <w:i/>
        </w:rPr>
        <w:t>Lts</w:t>
      </w:r>
      <w:proofErr w:type="spellEnd"/>
      <w:r w:rsidR="00FB0DEF" w:rsidRPr="00FB0DEF">
        <w:rPr>
          <w:rFonts w:ascii="Palatino Linotype" w:hAnsi="Palatino Linotype" w:cs="Arial"/>
          <w:i/>
        </w:rPr>
        <w:t xml:space="preserve"> Calentadores Solares de 10, 12, 15, 20, 24 y 30 Tubos Paquetes de Vivienda (Tinaco, calentador solar, bomba periférica, juego de baño y paquete de jardín). Tal y como lo promueve en la </w:t>
      </w:r>
      <w:proofErr w:type="spellStart"/>
      <w:r w:rsidR="00FB0DEF" w:rsidRPr="00FB0DEF">
        <w:rPr>
          <w:rFonts w:ascii="Palatino Linotype" w:hAnsi="Palatino Linotype" w:cs="Arial"/>
          <w:i/>
        </w:rPr>
        <w:t>pagina</w:t>
      </w:r>
      <w:proofErr w:type="spellEnd"/>
      <w:r w:rsidR="00FB0DEF" w:rsidRPr="00FB0DEF">
        <w:rPr>
          <w:rFonts w:ascii="Palatino Linotype" w:hAnsi="Palatino Linotype" w:cs="Arial"/>
          <w:i/>
        </w:rPr>
        <w:t xml:space="preserve"> de </w:t>
      </w:r>
      <w:proofErr w:type="spellStart"/>
      <w:r w:rsidR="00FB0DEF" w:rsidRPr="00FB0DEF">
        <w:rPr>
          <w:rFonts w:ascii="Palatino Linotype" w:hAnsi="Palatino Linotype" w:cs="Arial"/>
          <w:i/>
        </w:rPr>
        <w:t>facebook</w:t>
      </w:r>
      <w:proofErr w:type="spellEnd"/>
      <w:r w:rsidR="00FB0DEF" w:rsidRPr="00FB0DEF">
        <w:rPr>
          <w:rFonts w:ascii="Palatino Linotype" w:hAnsi="Palatino Linotype" w:cs="Arial"/>
          <w:i/>
        </w:rPr>
        <w:t xml:space="preserve"> del ayuntamiento. Así mismo </w:t>
      </w:r>
      <w:proofErr w:type="spellStart"/>
      <w:r w:rsidR="00FB0DEF" w:rsidRPr="00FB0DEF">
        <w:rPr>
          <w:rFonts w:ascii="Palatino Linotype" w:hAnsi="Palatino Linotype" w:cs="Arial"/>
          <w:i/>
        </w:rPr>
        <w:t>solicio</w:t>
      </w:r>
      <w:proofErr w:type="spellEnd"/>
      <w:r w:rsidR="00FB0DEF" w:rsidRPr="00FB0DEF">
        <w:rPr>
          <w:rFonts w:ascii="Palatino Linotype" w:hAnsi="Palatino Linotype" w:cs="Arial"/>
          <w:i/>
        </w:rPr>
        <w:t xml:space="preserve"> en </w:t>
      </w:r>
      <w:r w:rsidR="00FB0DEF" w:rsidRPr="00FB0DEF">
        <w:rPr>
          <w:rFonts w:ascii="Palatino Linotype" w:hAnsi="Palatino Linotype" w:cs="Arial"/>
          <w:i/>
        </w:rPr>
        <w:lastRenderedPageBreak/>
        <w:t xml:space="preserve">versión publicas todas aquellas solicitudes realizadas por los particulares, para ser </w:t>
      </w:r>
      <w:proofErr w:type="spellStart"/>
      <w:r w:rsidR="00FB0DEF" w:rsidRPr="00FB0DEF">
        <w:rPr>
          <w:rFonts w:ascii="Palatino Linotype" w:hAnsi="Palatino Linotype" w:cs="Arial"/>
          <w:i/>
        </w:rPr>
        <w:t>acredores</w:t>
      </w:r>
      <w:proofErr w:type="spellEnd"/>
      <w:r w:rsidR="00FB0DEF" w:rsidRPr="00FB0DEF">
        <w:rPr>
          <w:rFonts w:ascii="Palatino Linotype" w:hAnsi="Palatino Linotype" w:cs="Arial"/>
          <w:i/>
        </w:rPr>
        <w:t xml:space="preserve"> a dichos apoyos. Cuanto es que </w:t>
      </w:r>
      <w:proofErr w:type="spellStart"/>
      <w:r w:rsidR="00FB0DEF" w:rsidRPr="00FB0DEF">
        <w:rPr>
          <w:rFonts w:ascii="Palatino Linotype" w:hAnsi="Palatino Linotype" w:cs="Arial"/>
          <w:i/>
        </w:rPr>
        <w:t>subcidia</w:t>
      </w:r>
      <w:proofErr w:type="spellEnd"/>
      <w:r w:rsidR="00FB0DEF" w:rsidRPr="00FB0DEF">
        <w:rPr>
          <w:rFonts w:ascii="Palatino Linotype" w:hAnsi="Palatino Linotype" w:cs="Arial"/>
          <w:i/>
        </w:rPr>
        <w:t xml:space="preserve"> el ayuntamiento.</w:t>
      </w:r>
      <w:r w:rsidRPr="009625FF">
        <w:rPr>
          <w:rFonts w:ascii="Palatino Linotype" w:hAnsi="Palatino Linotype" w:cs="Arial"/>
          <w:i/>
        </w:rPr>
        <w:t>” [Sic]</w:t>
      </w:r>
    </w:p>
    <w:p w14:paraId="3DFA5E27" w14:textId="77777777" w:rsidR="00A036A6" w:rsidRPr="009625FF" w:rsidRDefault="00A036A6" w:rsidP="006820E1">
      <w:pPr>
        <w:jc w:val="both"/>
        <w:rPr>
          <w:rFonts w:ascii="Palatino Linotype" w:hAnsi="Palatino Linotype" w:cs="Arial"/>
          <w:b/>
          <w:i/>
        </w:rPr>
      </w:pPr>
    </w:p>
    <w:p w14:paraId="1A0BE048" w14:textId="77777777" w:rsidR="00DB00C1" w:rsidRPr="009625FF" w:rsidRDefault="00DB00C1" w:rsidP="006820E1">
      <w:pPr>
        <w:jc w:val="both"/>
        <w:rPr>
          <w:rFonts w:ascii="Palatino Linotype" w:hAnsi="Palatino Linotype" w:cs="Arial"/>
          <w:b/>
          <w:i/>
          <w:sz w:val="18"/>
        </w:rPr>
      </w:pPr>
    </w:p>
    <w:p w14:paraId="41509608" w14:textId="73F6E16D" w:rsidR="009A66D0" w:rsidRPr="009625FF" w:rsidRDefault="00A036A6" w:rsidP="00326FA3">
      <w:pPr>
        <w:pStyle w:val="Prrafodelista"/>
        <w:numPr>
          <w:ilvl w:val="0"/>
          <w:numId w:val="15"/>
        </w:numPr>
        <w:ind w:right="49"/>
        <w:jc w:val="both"/>
        <w:rPr>
          <w:rFonts w:ascii="Palatino Linotype" w:hAnsi="Palatino Linotype" w:cs="Arial"/>
          <w:b/>
        </w:rPr>
      </w:pPr>
      <w:r w:rsidRPr="009625FF">
        <w:rPr>
          <w:rFonts w:ascii="Palatino Linotype" w:hAnsi="Palatino Linotype" w:cs="Arial"/>
          <w:b/>
        </w:rPr>
        <w:t>Razones o Motivos de Inconformidad:</w:t>
      </w:r>
      <w:r w:rsidR="007923FB" w:rsidRPr="009625FF">
        <w:rPr>
          <w:rFonts w:ascii="Palatino Linotype" w:hAnsi="Palatino Linotype" w:cs="Arial"/>
          <w:b/>
        </w:rPr>
        <w:t xml:space="preserve"> </w:t>
      </w:r>
      <w:r w:rsidRPr="009625FF">
        <w:rPr>
          <w:rFonts w:ascii="Palatino Linotype" w:hAnsi="Palatino Linotype" w:cs="Arial"/>
          <w:i/>
        </w:rPr>
        <w:t>“</w:t>
      </w:r>
      <w:r w:rsidR="00FB0DEF" w:rsidRPr="00FB0DEF">
        <w:rPr>
          <w:rFonts w:ascii="Palatino Linotype" w:hAnsi="Palatino Linotype"/>
          <w:i/>
          <w:color w:val="000000"/>
        </w:rPr>
        <w:t>La LEY GENERAL DE TRANSPARENCIA Y ACCESO A LA INFORMACIÓN PÚBLICA Artículo 142, 143 fracción VI, LEY DE TRANSPARENCIA Y ACCESO A LA INFORMACIÓN PÚBLICA DEL ESTADO DE MÉXICO Y MUNICIPIOS Artículo 166 establece que "Cuando el 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Artículo 179, fracción VII, La falta de respuesta a una solicitud de acceso a la información "A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i/>
          <w:color w:val="000000"/>
        </w:rPr>
        <w:t xml:space="preserve">” </w:t>
      </w:r>
      <w:r w:rsidRPr="009625FF">
        <w:rPr>
          <w:rFonts w:ascii="Palatino Linotype" w:hAnsi="Palatino Linotype" w:cs="Arial"/>
          <w:i/>
        </w:rPr>
        <w:t>[Sic]</w:t>
      </w:r>
    </w:p>
    <w:p w14:paraId="0CB78649" w14:textId="77777777" w:rsidR="00257ACF" w:rsidRPr="009625FF" w:rsidRDefault="00257ACF" w:rsidP="00257ACF">
      <w:pPr>
        <w:ind w:right="49"/>
        <w:jc w:val="both"/>
        <w:rPr>
          <w:rFonts w:ascii="Palatino Linotype" w:hAnsi="Palatino Linotype" w:cs="Arial"/>
          <w:b/>
        </w:rPr>
      </w:pPr>
    </w:p>
    <w:p w14:paraId="5E552C0F" w14:textId="44FC5056" w:rsidR="00A036A6" w:rsidRPr="009625FF" w:rsidRDefault="00895016"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CUAR</w:t>
      </w:r>
      <w:r w:rsidR="00A036A6" w:rsidRPr="009625FF">
        <w:rPr>
          <w:rFonts w:ascii="Palatino Linotype" w:hAnsi="Palatino Linotype" w:cs="Arial"/>
          <w:b/>
          <w:sz w:val="28"/>
        </w:rPr>
        <w:t>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turno del recurso de revisión.</w:t>
      </w:r>
    </w:p>
    <w:p w14:paraId="3C50A1E8" w14:textId="7CD75986" w:rsidR="00795804" w:rsidRPr="009625FF" w:rsidRDefault="00A036A6" w:rsidP="00391430">
      <w:pPr>
        <w:spacing w:line="360" w:lineRule="auto"/>
        <w:jc w:val="both"/>
        <w:rPr>
          <w:rFonts w:ascii="Palatino Linotype" w:hAnsi="Palatino Linotype" w:cs="Arial"/>
        </w:rPr>
      </w:pPr>
      <w:r w:rsidRPr="009625FF">
        <w:rPr>
          <w:rFonts w:ascii="Palatino Linotype" w:hAnsi="Palatino Linotype" w:cs="Arial"/>
        </w:rPr>
        <w:t>Medio de i</w:t>
      </w:r>
      <w:r w:rsidR="00695737" w:rsidRPr="009625FF">
        <w:rPr>
          <w:rFonts w:ascii="Palatino Linotype" w:hAnsi="Palatino Linotype" w:cs="Arial"/>
        </w:rPr>
        <w:t>mpugnación que le fue turnado al Comisionad</w:t>
      </w:r>
      <w:r w:rsidR="00B670BA" w:rsidRPr="009625FF">
        <w:rPr>
          <w:rFonts w:ascii="Palatino Linotype" w:hAnsi="Palatino Linotype" w:cs="Arial"/>
        </w:rPr>
        <w:t>o Presidente</w:t>
      </w:r>
      <w:r w:rsidRPr="009625FF">
        <w:rPr>
          <w:rFonts w:ascii="Palatino Linotype" w:hAnsi="Palatino Linotype" w:cs="Arial"/>
        </w:rPr>
        <w:t xml:space="preserve"> </w:t>
      </w:r>
      <w:r w:rsidR="00B670BA" w:rsidRPr="009625FF">
        <w:rPr>
          <w:rFonts w:ascii="Palatino Linotype" w:hAnsi="Palatino Linotype" w:cs="Arial"/>
          <w:b/>
        </w:rPr>
        <w:t>José Martínez Vilchis</w:t>
      </w:r>
      <w:r w:rsidRPr="009625F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9625FF">
        <w:rPr>
          <w:rFonts w:ascii="Palatino Linotype" w:hAnsi="Palatino Linotype" w:cs="Arial"/>
        </w:rPr>
        <w:t>os.</w:t>
      </w:r>
    </w:p>
    <w:p w14:paraId="621BC62F" w14:textId="77777777" w:rsidR="00110A0E" w:rsidRPr="009625FF" w:rsidRDefault="00110A0E" w:rsidP="00391430">
      <w:pPr>
        <w:spacing w:line="360" w:lineRule="auto"/>
        <w:jc w:val="both"/>
        <w:rPr>
          <w:rFonts w:ascii="Palatino Linotype" w:hAnsi="Palatino Linotype" w:cs="Arial"/>
        </w:rPr>
      </w:pPr>
    </w:p>
    <w:p w14:paraId="581AFF46" w14:textId="4F2AFCE8" w:rsidR="00795804" w:rsidRPr="009625FF" w:rsidRDefault="00B670BA" w:rsidP="00391430">
      <w:pPr>
        <w:spacing w:line="360" w:lineRule="auto"/>
        <w:contextualSpacing/>
        <w:jc w:val="both"/>
        <w:rPr>
          <w:rFonts w:ascii="Palatino Linotype" w:hAnsi="Palatino Linotype"/>
          <w:b/>
          <w:sz w:val="28"/>
        </w:rPr>
      </w:pPr>
      <w:r w:rsidRPr="009625FF">
        <w:rPr>
          <w:rFonts w:ascii="Palatino Linotype" w:hAnsi="Palatino Linotype"/>
          <w:b/>
          <w:sz w:val="28"/>
        </w:rPr>
        <w:t>QUINTO</w:t>
      </w:r>
      <w:r w:rsidR="00795804" w:rsidRPr="009625FF">
        <w:rPr>
          <w:rFonts w:ascii="Palatino Linotype" w:hAnsi="Palatino Linotype"/>
          <w:b/>
          <w:sz w:val="28"/>
        </w:rPr>
        <w:t xml:space="preserve">. De la </w:t>
      </w:r>
      <w:r w:rsidR="00741D0F" w:rsidRPr="009625FF">
        <w:rPr>
          <w:rFonts w:ascii="Palatino Linotype" w:hAnsi="Palatino Linotype"/>
          <w:b/>
          <w:sz w:val="28"/>
        </w:rPr>
        <w:t>Admisión</w:t>
      </w:r>
      <w:r w:rsidR="00795804" w:rsidRPr="009625FF">
        <w:rPr>
          <w:rFonts w:ascii="Palatino Linotype" w:hAnsi="Palatino Linotype"/>
          <w:b/>
          <w:sz w:val="28"/>
        </w:rPr>
        <w:t xml:space="preserve"> del Recurso de Revisión.</w:t>
      </w:r>
    </w:p>
    <w:p w14:paraId="30021588" w14:textId="5A66F4A9" w:rsidR="00741D0F" w:rsidRDefault="00741D0F" w:rsidP="00741D0F">
      <w:pPr>
        <w:spacing w:line="360" w:lineRule="auto"/>
        <w:jc w:val="both"/>
        <w:rPr>
          <w:rFonts w:ascii="Palatino Linotype" w:hAnsi="Palatino Linotype" w:cs="Arial"/>
        </w:rPr>
      </w:pPr>
      <w:r w:rsidRPr="009625FF">
        <w:rPr>
          <w:rFonts w:ascii="Palatino Linotype" w:hAnsi="Palatino Linotype" w:cs="Arial"/>
        </w:rPr>
        <w:t xml:space="preserve">En fecha </w:t>
      </w:r>
      <w:r w:rsidR="00FB0DEF">
        <w:rPr>
          <w:rFonts w:ascii="Palatino Linotype" w:hAnsi="Palatino Linotype" w:cs="Arial"/>
        </w:rPr>
        <w:t>diecisiete</w:t>
      </w:r>
      <w:r w:rsidR="00B0178B">
        <w:rPr>
          <w:rFonts w:ascii="Palatino Linotype" w:hAnsi="Palatino Linotype" w:cs="Arial"/>
        </w:rPr>
        <w:t xml:space="preserve"> de octubre</w:t>
      </w:r>
      <w:r w:rsidR="00B670BA" w:rsidRPr="009625FF">
        <w:rPr>
          <w:rFonts w:ascii="Palatino Linotype" w:hAnsi="Palatino Linotype" w:cs="Arial"/>
        </w:rPr>
        <w:t xml:space="preserve"> </w:t>
      </w:r>
      <w:r w:rsidRPr="009625F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69B21C4F" w14:textId="77777777" w:rsidR="00B0178B" w:rsidRDefault="00B0178B" w:rsidP="00741D0F">
      <w:pPr>
        <w:spacing w:line="360" w:lineRule="auto"/>
        <w:jc w:val="both"/>
        <w:rPr>
          <w:rFonts w:ascii="Palatino Linotype" w:hAnsi="Palatino Linotype" w:cs="Arial"/>
        </w:rPr>
      </w:pPr>
    </w:p>
    <w:p w14:paraId="2B6ADEAB" w14:textId="77777777" w:rsidR="00FB0DEF" w:rsidRPr="009625FF" w:rsidRDefault="00FB0DEF" w:rsidP="00741D0F">
      <w:pPr>
        <w:spacing w:line="360" w:lineRule="auto"/>
        <w:jc w:val="both"/>
        <w:rPr>
          <w:rFonts w:ascii="Palatino Linotype" w:hAnsi="Palatino Linotype" w:cs="Arial"/>
        </w:rPr>
      </w:pPr>
    </w:p>
    <w:p w14:paraId="2089F9B8" w14:textId="691B43C5"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SEXTO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 la etapa de instrucción.</w:t>
      </w:r>
    </w:p>
    <w:p w14:paraId="52AEA331" w14:textId="3D7FBA12" w:rsidR="00B9031A" w:rsidRDefault="00A036A6" w:rsidP="004364CC">
      <w:pPr>
        <w:spacing w:line="360" w:lineRule="auto"/>
        <w:jc w:val="both"/>
        <w:rPr>
          <w:rFonts w:ascii="Palatino Linotype" w:hAnsi="Palatino Linotype" w:cs="Arial"/>
        </w:rPr>
      </w:pPr>
      <w:r w:rsidRPr="009625FF">
        <w:rPr>
          <w:rFonts w:ascii="Palatino Linotype" w:hAnsi="Palatino Linotype" w:cs="Arial"/>
        </w:rPr>
        <w:t xml:space="preserve">Así, una vez transcurrido el término legal referido, </w:t>
      </w:r>
      <w:r w:rsidRPr="009625FF">
        <w:rPr>
          <w:rFonts w:ascii="Palatino Linotype" w:hAnsi="Palatino Linotype" w:cs="Arial"/>
          <w:b/>
        </w:rPr>
        <w:t xml:space="preserve">El Sujeto Obligado </w:t>
      </w:r>
      <w:r w:rsidRPr="009625FF">
        <w:rPr>
          <w:rFonts w:ascii="Palatino Linotype" w:hAnsi="Palatino Linotype" w:cs="Arial"/>
        </w:rPr>
        <w:t xml:space="preserve">fue omiso en remitir su informe justificado; por otra parte, </w:t>
      </w:r>
      <w:r w:rsidR="004364CC"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w:t>
      </w:r>
      <w:r w:rsidR="004364CC" w:rsidRPr="009625FF">
        <w:rPr>
          <w:rFonts w:ascii="Palatino Linotype" w:hAnsi="Palatino Linotype" w:cs="Arial"/>
        </w:rPr>
        <w:t>tampoco remitió alegatos, pruebas o manifestaciones, de conformidad con la siguiente captura de pantalla:</w:t>
      </w:r>
    </w:p>
    <w:p w14:paraId="12986EDB" w14:textId="77777777" w:rsidR="00FB0DEF" w:rsidRDefault="00FB0DEF" w:rsidP="004364CC">
      <w:pPr>
        <w:spacing w:line="360" w:lineRule="auto"/>
        <w:jc w:val="both"/>
        <w:rPr>
          <w:rFonts w:ascii="Palatino Linotype" w:hAnsi="Palatino Linotype" w:cs="Arial"/>
        </w:rPr>
      </w:pPr>
    </w:p>
    <w:p w14:paraId="599A04E4" w14:textId="309AF931" w:rsidR="004364CC" w:rsidRDefault="00FB0DEF" w:rsidP="004364CC">
      <w:pPr>
        <w:spacing w:line="360" w:lineRule="auto"/>
        <w:jc w:val="both"/>
        <w:rPr>
          <w:rFonts w:ascii="Palatino Linotype" w:hAnsi="Palatino Linotype" w:cs="Arial"/>
        </w:rPr>
      </w:pPr>
      <w:r w:rsidRPr="00FB0DEF">
        <w:rPr>
          <w:rFonts w:ascii="Palatino Linotype" w:hAnsi="Palatino Linotype" w:cs="Arial"/>
          <w:noProof/>
          <w:lang w:val="es-MX" w:eastAsia="es-MX"/>
        </w:rPr>
        <w:drawing>
          <wp:inline distT="0" distB="0" distL="0" distR="0" wp14:anchorId="05621EA2" wp14:editId="7208D0A1">
            <wp:extent cx="5791835" cy="1690370"/>
            <wp:effectExtent l="190500" t="190500" r="189865" b="195580"/>
            <wp:docPr id="17277615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61515" name=""/>
                    <pic:cNvPicPr/>
                  </pic:nvPicPr>
                  <pic:blipFill>
                    <a:blip r:embed="rId7"/>
                    <a:stretch>
                      <a:fillRect/>
                    </a:stretch>
                  </pic:blipFill>
                  <pic:spPr>
                    <a:xfrm>
                      <a:off x="0" y="0"/>
                      <a:ext cx="5791835" cy="1690370"/>
                    </a:xfrm>
                    <a:prstGeom prst="rect">
                      <a:avLst/>
                    </a:prstGeom>
                    <a:ln>
                      <a:noFill/>
                    </a:ln>
                    <a:effectLst>
                      <a:outerShdw blurRad="190500" algn="tl" rotWithShape="0">
                        <a:srgbClr val="000000">
                          <a:alpha val="70000"/>
                        </a:srgbClr>
                      </a:outerShdw>
                    </a:effectLst>
                  </pic:spPr>
                </pic:pic>
              </a:graphicData>
            </a:graphic>
          </wp:inline>
        </w:drawing>
      </w:r>
    </w:p>
    <w:p w14:paraId="004BDCF1" w14:textId="77777777" w:rsidR="00B0178B" w:rsidRPr="009625FF" w:rsidRDefault="00B0178B" w:rsidP="004364CC">
      <w:pPr>
        <w:spacing w:line="360" w:lineRule="auto"/>
        <w:jc w:val="both"/>
        <w:rPr>
          <w:rFonts w:ascii="Palatino Linotype" w:hAnsi="Palatino Linotype" w:cs="Arial"/>
        </w:rPr>
      </w:pPr>
    </w:p>
    <w:p w14:paraId="00649645" w14:textId="4D397C51"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SÉPTIMO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Cierre de la Etapa de Instrucción.</w:t>
      </w:r>
    </w:p>
    <w:p w14:paraId="6F816153" w14:textId="49A8FE78" w:rsidR="00CD6A31"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fecha </w:t>
      </w:r>
      <w:r w:rsidR="00FB0DEF">
        <w:rPr>
          <w:rFonts w:ascii="Palatino Linotype" w:hAnsi="Palatino Linotype" w:cs="Arial"/>
        </w:rPr>
        <w:t>veintisiete</w:t>
      </w:r>
      <w:r w:rsidR="00B0178B">
        <w:rPr>
          <w:rFonts w:ascii="Palatino Linotype" w:hAnsi="Palatino Linotype" w:cs="Arial"/>
        </w:rPr>
        <w:t xml:space="preserve"> de octubre</w:t>
      </w:r>
      <w:r w:rsidR="007923FB" w:rsidRPr="009625FF">
        <w:rPr>
          <w:rFonts w:ascii="Palatino Linotype" w:hAnsi="Palatino Linotype" w:cs="Arial"/>
        </w:rPr>
        <w:t xml:space="preserve"> de dos mil veintitrés</w:t>
      </w:r>
      <w:r w:rsidRPr="009625F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6CE6A5F" w14:textId="77777777" w:rsidR="00FB0DEF" w:rsidRDefault="00FB0DEF" w:rsidP="004D2577">
      <w:pPr>
        <w:spacing w:line="360" w:lineRule="auto"/>
        <w:jc w:val="center"/>
        <w:rPr>
          <w:rFonts w:ascii="Palatino Linotype" w:hAnsi="Palatino Linotype" w:cs="Arial"/>
          <w:b/>
          <w:sz w:val="28"/>
        </w:rPr>
      </w:pPr>
    </w:p>
    <w:p w14:paraId="71451B96" w14:textId="51AF2294" w:rsidR="004D2577" w:rsidRPr="009625FF" w:rsidRDefault="00A036A6" w:rsidP="004D2577">
      <w:pPr>
        <w:spacing w:line="360" w:lineRule="auto"/>
        <w:jc w:val="center"/>
        <w:rPr>
          <w:rFonts w:ascii="Palatino Linotype" w:hAnsi="Palatino Linotype" w:cs="Arial"/>
          <w:b/>
          <w:sz w:val="28"/>
        </w:rPr>
      </w:pPr>
      <w:r w:rsidRPr="009625FF">
        <w:rPr>
          <w:rFonts w:ascii="Palatino Linotype" w:hAnsi="Palatino Linotype" w:cs="Arial"/>
          <w:b/>
          <w:sz w:val="28"/>
        </w:rPr>
        <w:t xml:space="preserve">C O N S I D E R A N D O </w:t>
      </w:r>
    </w:p>
    <w:p w14:paraId="03403B63" w14:textId="77777777" w:rsidR="004D2577" w:rsidRDefault="004D2577" w:rsidP="00271073">
      <w:pPr>
        <w:pStyle w:val="Sinespaciado"/>
      </w:pPr>
    </w:p>
    <w:p w14:paraId="223E78DB" w14:textId="77777777" w:rsidR="00FB0DEF" w:rsidRPr="009625FF" w:rsidRDefault="00FB0DEF" w:rsidP="00271073">
      <w:pPr>
        <w:pStyle w:val="Sinespaciado"/>
      </w:pPr>
    </w:p>
    <w:p w14:paraId="5232FC09"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b/>
          <w:sz w:val="28"/>
        </w:rPr>
        <w:t>PRIMERO.</w:t>
      </w:r>
      <w:r w:rsidRPr="009625FF">
        <w:rPr>
          <w:rFonts w:ascii="Palatino Linotype" w:hAnsi="Palatino Linotype" w:cs="Arial"/>
          <w:b/>
        </w:rPr>
        <w:t xml:space="preserve"> </w:t>
      </w:r>
      <w:r w:rsidRPr="009625FF">
        <w:rPr>
          <w:rFonts w:ascii="Palatino Linotype" w:hAnsi="Palatino Linotype" w:cs="Arial"/>
          <w:b/>
          <w:sz w:val="28"/>
          <w:szCs w:val="28"/>
        </w:rPr>
        <w:t>De la competencia</w:t>
      </w:r>
      <w:r w:rsidRPr="009625FF">
        <w:rPr>
          <w:rFonts w:ascii="Palatino Linotype" w:hAnsi="Palatino Linotype" w:cs="Arial"/>
          <w:sz w:val="28"/>
          <w:szCs w:val="28"/>
        </w:rPr>
        <w:t>.</w:t>
      </w:r>
    </w:p>
    <w:p w14:paraId="08FBD285" w14:textId="639ACAE4" w:rsidR="00A036A6" w:rsidRPr="009625FF"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625FF">
        <w:rPr>
          <w:rFonts w:ascii="Palatino Linotype" w:hAnsi="Palatino Linotype" w:cs="Arial"/>
          <w:color w:val="222222"/>
          <w:shd w:val="clear" w:color="auto" w:fill="FFFFFF"/>
          <w:lang w:val="es-MX" w:eastAsia="es-MX"/>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7A7DAB86" w14:textId="7EF1F160" w:rsidR="00A036A6" w:rsidRPr="009625F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625F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625FF" w:rsidRDefault="00A036A6" w:rsidP="00A036A6">
      <w:pPr>
        <w:pStyle w:val="Sinespaciado"/>
        <w:rPr>
          <w:rFonts w:ascii="Palatino Linotype" w:hAnsi="Palatino Linotype"/>
        </w:rPr>
      </w:pPr>
    </w:p>
    <w:p w14:paraId="61ED415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625F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663C681D"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625FF" w:rsidRDefault="00A036A6" w:rsidP="00A036A6">
      <w:pPr>
        <w:pStyle w:val="Sinespaciado"/>
        <w:rPr>
          <w:rFonts w:ascii="Palatino Linotype" w:hAnsi="Palatino Linotype"/>
        </w:rPr>
      </w:pPr>
    </w:p>
    <w:p w14:paraId="084D2F1F" w14:textId="22C5DD0C" w:rsidR="00A036A6" w:rsidRPr="009625F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0CD187B" w14:textId="77777777" w:rsidR="00326FA3" w:rsidRPr="009625FF" w:rsidRDefault="00326FA3" w:rsidP="00326FA3">
      <w:pPr>
        <w:pStyle w:val="Sinespaciado"/>
        <w:rPr>
          <w:rFonts w:eastAsiaTheme="minorHAnsi"/>
          <w:lang w:eastAsia="en-US"/>
        </w:rPr>
      </w:pPr>
    </w:p>
    <w:p w14:paraId="142C4AD6" w14:textId="0CCD2AF5" w:rsidR="00A036A6" w:rsidRPr="009625F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9625FF">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6ED77536" w14:textId="77777777" w:rsidR="007923FB" w:rsidRPr="009625F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6040D288"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6CABF501" w14:textId="77D399D9" w:rsidR="002E1C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625F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0D5EF94B" w:rsidR="00A036A6" w:rsidRPr="009625FF" w:rsidRDefault="00FB0DEF"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A036A6" w:rsidRPr="009625FF">
        <w:rPr>
          <w:rFonts w:ascii="Palatino Linotype" w:hAnsi="Palatino Linotype" w:cs="Arial"/>
          <w:b/>
          <w:sz w:val="28"/>
        </w:rPr>
        <w:t xml:space="preserve">. Del estudio de las causas de improcedencia. </w:t>
      </w:r>
    </w:p>
    <w:p w14:paraId="0A0897E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625FF">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14:paraId="06B87BF9" w14:textId="77777777" w:rsidR="00A036A6" w:rsidRPr="009625FF" w:rsidRDefault="00A036A6" w:rsidP="00A036A6">
      <w:pPr>
        <w:pStyle w:val="Sinespaciado"/>
      </w:pPr>
    </w:p>
    <w:p w14:paraId="6E78A704" w14:textId="77777777" w:rsidR="00A036A6" w:rsidRPr="009625FF" w:rsidRDefault="00A036A6" w:rsidP="00A036A6">
      <w:pPr>
        <w:ind w:left="851" w:right="851"/>
        <w:jc w:val="both"/>
        <w:rPr>
          <w:rFonts w:ascii="Palatino Linotype" w:hAnsi="Palatino Linotype"/>
          <w:b/>
          <w:bCs/>
          <w:i/>
          <w:sz w:val="22"/>
          <w:szCs w:val="22"/>
          <w:lang w:eastAsia="es-MX"/>
        </w:rPr>
      </w:pPr>
      <w:r w:rsidRPr="009625F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625F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625FF">
        <w:rPr>
          <w:rFonts w:ascii="Palatino Linotype" w:hAnsi="Palatino Linotype"/>
          <w:i/>
          <w:sz w:val="22"/>
          <w:szCs w:val="22"/>
        </w:rPr>
        <w:t>Del examen de compatibilidad de los artículos</w:t>
      </w:r>
      <w:r w:rsidRPr="009625FF">
        <w:rPr>
          <w:rStyle w:val="apple-converted-space"/>
          <w:rFonts w:ascii="Palatino Linotype" w:hAnsi="Palatino Linotype"/>
          <w:i/>
          <w:sz w:val="22"/>
          <w:szCs w:val="22"/>
        </w:rPr>
        <w:t> </w:t>
      </w:r>
      <w:hyperlink r:id="rId8" w:history="1">
        <w:r w:rsidRPr="009625FF">
          <w:rPr>
            <w:rStyle w:val="Hipervnculo"/>
            <w:rFonts w:ascii="Palatino Linotype" w:eastAsia="Calibri" w:hAnsi="Palatino Linotype"/>
            <w:i/>
            <w:sz w:val="22"/>
            <w:szCs w:val="22"/>
          </w:rPr>
          <w:t>73 y 74 de la Ley de Amparo</w:t>
        </w:r>
      </w:hyperlink>
      <w:r w:rsidRPr="009625FF">
        <w:rPr>
          <w:rStyle w:val="apple-converted-space"/>
          <w:rFonts w:ascii="Palatino Linotype" w:hAnsi="Palatino Linotype"/>
          <w:i/>
          <w:sz w:val="22"/>
          <w:szCs w:val="22"/>
        </w:rPr>
        <w:t> </w:t>
      </w:r>
      <w:r w:rsidRPr="009625FF">
        <w:rPr>
          <w:rFonts w:ascii="Palatino Linotype" w:hAnsi="Palatino Linotype"/>
          <w:i/>
          <w:sz w:val="22"/>
          <w:szCs w:val="22"/>
        </w:rPr>
        <w:t>con el artículo</w:t>
      </w:r>
      <w:r w:rsidRPr="009625FF">
        <w:rPr>
          <w:rStyle w:val="apple-converted-space"/>
          <w:rFonts w:ascii="Palatino Linotype" w:hAnsi="Palatino Linotype"/>
          <w:i/>
          <w:sz w:val="22"/>
          <w:szCs w:val="22"/>
        </w:rPr>
        <w:t> </w:t>
      </w:r>
      <w:hyperlink r:id="rId9" w:history="1">
        <w:r w:rsidRPr="009625FF">
          <w:rPr>
            <w:rStyle w:val="Hipervnculo"/>
            <w:rFonts w:ascii="Palatino Linotype" w:eastAsia="Calibri" w:hAnsi="Palatino Linotype"/>
            <w:i/>
            <w:sz w:val="22"/>
            <w:szCs w:val="22"/>
          </w:rPr>
          <w:t>25.1 de la Convención Americana sobre Derechos Humanos</w:t>
        </w:r>
      </w:hyperlink>
      <w:r w:rsidRPr="009625FF">
        <w:rPr>
          <w:rStyle w:val="apple-converted-space"/>
          <w:rFonts w:ascii="Palatino Linotype" w:hAnsi="Palatino Linotype"/>
          <w:i/>
          <w:sz w:val="22"/>
          <w:szCs w:val="22"/>
        </w:rPr>
        <w:t> </w:t>
      </w:r>
      <w:r w:rsidRPr="00962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62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625FF" w:rsidRDefault="00A036A6" w:rsidP="00A036A6">
      <w:pPr>
        <w:pStyle w:val="Sinespaciado"/>
      </w:pPr>
    </w:p>
    <w:p w14:paraId="05EA1058"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191.</w:t>
      </w:r>
      <w:r w:rsidRPr="009625FF">
        <w:rPr>
          <w:rFonts w:ascii="Palatino Linotype" w:hAnsi="Palatino Linotype" w:cs="Arial"/>
          <w:i/>
          <w:sz w:val="22"/>
          <w:szCs w:val="22"/>
        </w:rPr>
        <w:t xml:space="preserve"> El recurso será desechado por improcedente cuando:  </w:t>
      </w:r>
    </w:p>
    <w:p w14:paraId="7F81C1E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7349705A"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III. No actualice alguno de los supuestos previstos en la presente Ley;  </w:t>
      </w:r>
    </w:p>
    <w:p w14:paraId="636823D4"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IV. No se haya desahogado la prevención en los términos establecidos en la presente Ley;</w:t>
      </w:r>
    </w:p>
    <w:p w14:paraId="2D33750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 Se impugne la veracidad de la información proporcionada;  </w:t>
      </w:r>
    </w:p>
    <w:p w14:paraId="2A1D4E6F"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VI. Se trate de una consulta, o trámite en específico; y  </w:t>
      </w:r>
    </w:p>
    <w:p w14:paraId="4156B75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625F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Así las cosas, al no existir causas de improcedencia invocadas por las partes ni advertidas de oficio por este Resolutor, se </w:t>
      </w:r>
      <w:proofErr w:type="gramStart"/>
      <w:r w:rsidRPr="009625FF">
        <w:rPr>
          <w:rFonts w:ascii="Palatino Linotype" w:hAnsi="Palatino Linotype" w:cs="Arial"/>
        </w:rPr>
        <w:t>procede</w:t>
      </w:r>
      <w:proofErr w:type="gramEnd"/>
      <w:r w:rsidRPr="009625FF">
        <w:rPr>
          <w:rFonts w:ascii="Palatino Linotype" w:hAnsi="Palatino Linotype" w:cs="Arial"/>
        </w:rPr>
        <w:t xml:space="preserve"> al análisis del fondo de los asuntos en los siguientes términos.</w:t>
      </w:r>
    </w:p>
    <w:p w14:paraId="2E28ADDF" w14:textId="77777777" w:rsidR="00271073" w:rsidRPr="009625F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6EA5F556" w:rsidR="00A036A6" w:rsidRPr="009625FF" w:rsidRDefault="00FB0DEF"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CUARTO</w:t>
      </w:r>
      <w:r w:rsidR="00A036A6" w:rsidRPr="009625FF">
        <w:rPr>
          <w:rFonts w:ascii="Palatino Linotype" w:hAnsi="Palatino Linotype"/>
          <w:b/>
          <w:sz w:val="28"/>
          <w:szCs w:val="28"/>
        </w:rPr>
        <w:t xml:space="preserve">. Estudio y resolución del asunto </w:t>
      </w:r>
    </w:p>
    <w:p w14:paraId="57FE8E61"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Antes del entrar al estudio, cabe precisar que </w:t>
      </w:r>
      <w:r w:rsidRPr="009625FF">
        <w:rPr>
          <w:rFonts w:ascii="Palatino Linotype" w:hAnsi="Palatino Linotype"/>
          <w:b/>
        </w:rPr>
        <w:t>El Sujeto Obligado</w:t>
      </w:r>
      <w:r w:rsidRPr="009625F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625FF">
        <w:rPr>
          <w:rFonts w:ascii="Palatino Linotype" w:eastAsia="Calibri" w:hAnsi="Palatino Linotype"/>
        </w:rPr>
        <w:t xml:space="preserve"> en las fracciones I y VII, del artículo 179, de la Ley de Transparencia y Acceso a la Información Pública del Estado </w:t>
      </w:r>
      <w:r w:rsidRPr="009625FF">
        <w:rPr>
          <w:rFonts w:ascii="Palatino Linotype" w:eastAsia="Calibri" w:hAnsi="Palatino Linotype"/>
        </w:rPr>
        <w:lastRenderedPageBreak/>
        <w:t>de México y Municipios,</w:t>
      </w:r>
      <w:r w:rsidRPr="009625FF">
        <w:rPr>
          <w:rFonts w:ascii="Palatino Linotype" w:eastAsia="Calibri" w:hAnsi="Palatino Linotype"/>
          <w:b/>
        </w:rPr>
        <w:t xml:space="preserve"> </w:t>
      </w:r>
      <w:r w:rsidRPr="009625FF">
        <w:rPr>
          <w:rFonts w:ascii="Palatino Linotype" w:hAnsi="Palatino Linotype"/>
        </w:rPr>
        <w:t>resultando procedente la interposición del recurso de revisión cuando no se dé respuesta a una solicitud de información.</w:t>
      </w:r>
    </w:p>
    <w:p w14:paraId="5BA90537" w14:textId="77777777" w:rsidR="00A036A6" w:rsidRPr="009625FF" w:rsidRDefault="00A036A6" w:rsidP="00A036A6">
      <w:pPr>
        <w:spacing w:line="360" w:lineRule="auto"/>
        <w:jc w:val="both"/>
        <w:rPr>
          <w:rFonts w:ascii="Palatino Linotype" w:hAnsi="Palatino Linotype"/>
        </w:rPr>
      </w:pPr>
    </w:p>
    <w:p w14:paraId="7E39F0FC"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las cosas, ante la omisión del Sujeto Obligado para dar respuesta al </w:t>
      </w:r>
      <w:r w:rsidRPr="009625FF">
        <w:rPr>
          <w:rFonts w:ascii="Palatino Linotype" w:hAnsi="Palatino Linotype"/>
          <w:b/>
        </w:rPr>
        <w:t>Recurrente</w:t>
      </w:r>
      <w:r w:rsidRPr="009625FF">
        <w:rPr>
          <w:rFonts w:ascii="Palatino Linotype" w:hAnsi="Palatino Linotype"/>
        </w:rPr>
        <w:t xml:space="preserve">, se advierte lo que en la doctrina se le conoce como </w:t>
      </w:r>
      <w:r w:rsidRPr="009625FF">
        <w:rPr>
          <w:rFonts w:ascii="Palatino Linotype" w:hAnsi="Palatino Linotype"/>
          <w:b/>
          <w:i/>
        </w:rPr>
        <w:t>negativa ficta</w:t>
      </w:r>
      <w:r w:rsidRPr="009625FF">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9625FF" w:rsidRDefault="00DC556D" w:rsidP="00A036A6">
      <w:pPr>
        <w:spacing w:line="360" w:lineRule="auto"/>
        <w:jc w:val="both"/>
        <w:rPr>
          <w:rFonts w:ascii="Palatino Linotype" w:hAnsi="Palatino Linotype"/>
        </w:rPr>
      </w:pPr>
    </w:p>
    <w:p w14:paraId="74D879E9" w14:textId="33871D96"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En este sentido la </w:t>
      </w:r>
      <w:r w:rsidRPr="009625FF">
        <w:rPr>
          <w:rFonts w:ascii="Palatino Linotype" w:hAnsi="Palatino Linotype"/>
          <w:i/>
        </w:rPr>
        <w:t>negativa ficta</w:t>
      </w:r>
      <w:r w:rsidRPr="009625FF">
        <w:rPr>
          <w:rFonts w:ascii="Palatino Linotype" w:hAnsi="Palatino Linotype"/>
        </w:rPr>
        <w:t xml:space="preserve"> constituye una presunción legal, en el entendido de que donde no hubo respuesta por parte del Sujeto Obligado</w:t>
      </w:r>
      <w:r w:rsidRPr="009625FF">
        <w:rPr>
          <w:rFonts w:ascii="Palatino Linotype" w:hAnsi="Palatino Linotype"/>
          <w:b/>
        </w:rPr>
        <w:t xml:space="preserve"> </w:t>
      </w:r>
      <w:r w:rsidRPr="009625F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625FF">
        <w:rPr>
          <w:rFonts w:ascii="Palatino Linotype" w:hAnsi="Palatino Linotype"/>
          <w:i/>
        </w:rPr>
        <w:t>Estado de Derecho</w:t>
      </w:r>
      <w:r w:rsidRPr="009625FF">
        <w:rPr>
          <w:rFonts w:ascii="Palatino Linotype" w:hAnsi="Palatino Linotype"/>
        </w:rPr>
        <w:t xml:space="preserve"> en el que, el particular, tiene siempre una vía de defensa.</w:t>
      </w:r>
    </w:p>
    <w:p w14:paraId="2FC9DDAD" w14:textId="77777777" w:rsidR="00A036A6" w:rsidRPr="009625FF" w:rsidRDefault="00A036A6" w:rsidP="00A036A6">
      <w:pPr>
        <w:spacing w:line="360" w:lineRule="auto"/>
        <w:jc w:val="both"/>
        <w:rPr>
          <w:rFonts w:ascii="Palatino Linotype" w:hAnsi="Palatino Linotype"/>
        </w:rPr>
      </w:pPr>
    </w:p>
    <w:p w14:paraId="278B442B" w14:textId="3F765CCC" w:rsidR="00A036A6" w:rsidRPr="009625FF" w:rsidRDefault="00A036A6" w:rsidP="00CD6A31">
      <w:pPr>
        <w:spacing w:line="360" w:lineRule="auto"/>
        <w:jc w:val="both"/>
        <w:rPr>
          <w:rFonts w:ascii="Palatino Linotype" w:hAnsi="Palatino Linotype"/>
        </w:rPr>
      </w:pPr>
      <w:r w:rsidRPr="009625FF">
        <w:rPr>
          <w:rFonts w:ascii="Palatino Linotype" w:hAnsi="Palatino Linotype"/>
        </w:rPr>
        <w:t xml:space="preserve">En este sentido en el marco del derecho de acceso a la información pública, la figura de la </w:t>
      </w:r>
      <w:r w:rsidRPr="009625FF">
        <w:rPr>
          <w:rFonts w:ascii="Palatino Linotype" w:hAnsi="Palatino Linotype"/>
          <w:i/>
        </w:rPr>
        <w:t>negativa ficta</w:t>
      </w:r>
      <w:r w:rsidRPr="009625F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625FF" w:rsidRDefault="00271073" w:rsidP="00271073">
      <w:pPr>
        <w:pStyle w:val="Sinespaciado"/>
      </w:pPr>
    </w:p>
    <w:p w14:paraId="24C2E0E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lastRenderedPageBreak/>
        <w:t>Artículo 4.</w:t>
      </w:r>
      <w:r w:rsidRPr="009625F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625FF" w:rsidRDefault="00A036A6" w:rsidP="00A036A6">
      <w:pPr>
        <w:ind w:left="567" w:right="567"/>
        <w:jc w:val="both"/>
        <w:rPr>
          <w:rFonts w:ascii="Palatino Linotype" w:hAnsi="Palatino Linotype"/>
          <w:i/>
          <w:sz w:val="22"/>
        </w:rPr>
      </w:pPr>
    </w:p>
    <w:p w14:paraId="505A7B22"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625FF" w:rsidRDefault="00A036A6" w:rsidP="00A036A6">
      <w:pPr>
        <w:ind w:left="567" w:right="567"/>
        <w:jc w:val="both"/>
        <w:rPr>
          <w:rFonts w:ascii="Palatino Linotype" w:hAnsi="Palatino Linotype"/>
          <w:i/>
          <w:sz w:val="22"/>
        </w:rPr>
      </w:pPr>
    </w:p>
    <w:p w14:paraId="41B8197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625FF" w:rsidRDefault="00A036A6" w:rsidP="00A036A6">
      <w:pPr>
        <w:ind w:left="567" w:right="567"/>
        <w:jc w:val="both"/>
        <w:rPr>
          <w:rFonts w:ascii="Palatino Linotype" w:hAnsi="Palatino Linotype"/>
          <w:i/>
          <w:sz w:val="22"/>
        </w:rPr>
      </w:pPr>
    </w:p>
    <w:p w14:paraId="49A99BC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12.</w:t>
      </w:r>
      <w:r w:rsidRPr="009625F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625FF" w:rsidRDefault="00A036A6" w:rsidP="00A036A6">
      <w:pPr>
        <w:ind w:left="567" w:right="567"/>
        <w:jc w:val="both"/>
        <w:rPr>
          <w:rFonts w:ascii="Palatino Linotype" w:hAnsi="Palatino Linotype"/>
          <w:i/>
          <w:sz w:val="22"/>
        </w:rPr>
      </w:pPr>
    </w:p>
    <w:p w14:paraId="5A30C01F"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175539BB" w14:textId="77777777" w:rsidR="00A036A6" w:rsidRPr="009625FF" w:rsidRDefault="00A036A6" w:rsidP="00A036A6">
      <w:pPr>
        <w:ind w:left="567" w:right="567"/>
        <w:jc w:val="both"/>
        <w:rPr>
          <w:rFonts w:ascii="Palatino Linotype" w:hAnsi="Palatino Linotype"/>
          <w:b/>
          <w:i/>
          <w:sz w:val="22"/>
        </w:rPr>
      </w:pPr>
    </w:p>
    <w:p w14:paraId="3B9487F6" w14:textId="77777777" w:rsidR="00A036A6" w:rsidRPr="009625FF" w:rsidRDefault="00A036A6" w:rsidP="00A036A6">
      <w:pPr>
        <w:ind w:left="567" w:right="567"/>
        <w:jc w:val="both"/>
        <w:rPr>
          <w:rFonts w:ascii="Palatino Linotype" w:hAnsi="Palatino Linotype"/>
          <w:b/>
          <w:i/>
          <w:sz w:val="22"/>
        </w:rPr>
      </w:pPr>
      <w:r w:rsidRPr="009625FF">
        <w:rPr>
          <w:rFonts w:ascii="Palatino Linotype" w:hAnsi="Palatino Linotype"/>
          <w:b/>
          <w:i/>
          <w:sz w:val="22"/>
        </w:rPr>
        <w:t xml:space="preserve">Artículo 24. </w:t>
      </w:r>
    </w:p>
    <w:p w14:paraId="4C30B7B7"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0404CF09"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2ACD924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160.</w:t>
      </w:r>
      <w:r w:rsidRPr="009625F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625FF" w:rsidRDefault="00A036A6" w:rsidP="00A036A6">
      <w:pPr>
        <w:ind w:left="567" w:right="567"/>
        <w:jc w:val="both"/>
        <w:rPr>
          <w:rFonts w:ascii="Palatino Linotype" w:hAnsi="Palatino Linotype"/>
          <w:i/>
          <w:sz w:val="22"/>
        </w:rPr>
      </w:pPr>
    </w:p>
    <w:p w14:paraId="1238152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lastRenderedPageBreak/>
        <w:t>En caso que la información solicitada consista en bases de datos se deberá privilegiar la entrega de la misma en formatos abiertos.</w:t>
      </w:r>
    </w:p>
    <w:p w14:paraId="0C90F9CD" w14:textId="77777777" w:rsidR="00A036A6" w:rsidRPr="009625FF" w:rsidRDefault="00A036A6" w:rsidP="00A036A6">
      <w:pPr>
        <w:spacing w:line="360" w:lineRule="auto"/>
        <w:jc w:val="both"/>
        <w:rPr>
          <w:rFonts w:ascii="Palatino Linotype" w:hAnsi="Palatino Linotype"/>
        </w:rPr>
      </w:pPr>
    </w:p>
    <w:p w14:paraId="30CBE585"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25FF">
        <w:rPr>
          <w:rFonts w:ascii="Palatino Linotype" w:hAnsi="Palatino Linotype"/>
          <w:bCs/>
        </w:rPr>
        <w:t>de la Ley local en la materia, que se reproduce de la siguiente forma</w:t>
      </w:r>
      <w:r w:rsidRPr="009625FF">
        <w:rPr>
          <w:rFonts w:ascii="Palatino Linotype" w:hAnsi="Palatino Linotype"/>
        </w:rPr>
        <w:t>:</w:t>
      </w:r>
    </w:p>
    <w:p w14:paraId="1930F410" w14:textId="77777777" w:rsidR="00A036A6" w:rsidRPr="009625FF" w:rsidRDefault="00A036A6" w:rsidP="00A036A6">
      <w:pPr>
        <w:pStyle w:val="Sinespaciado"/>
      </w:pPr>
    </w:p>
    <w:p w14:paraId="060FCE00" w14:textId="77777777" w:rsidR="00A036A6" w:rsidRPr="009625FF" w:rsidRDefault="00A036A6" w:rsidP="00A036A6">
      <w:pPr>
        <w:ind w:left="567" w:right="567"/>
        <w:jc w:val="both"/>
        <w:rPr>
          <w:rFonts w:ascii="Palatino Linotype" w:hAnsi="Palatino Linotype" w:cs="Arial"/>
          <w:i/>
          <w:sz w:val="22"/>
        </w:rPr>
      </w:pPr>
      <w:r w:rsidRPr="009625FF">
        <w:rPr>
          <w:rFonts w:ascii="Palatino Linotype" w:hAnsi="Palatino Linotype" w:cs="Arial"/>
          <w:b/>
          <w:i/>
          <w:sz w:val="22"/>
        </w:rPr>
        <w:t>Artículo 166.</w:t>
      </w:r>
      <w:r w:rsidRPr="009625F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625FF" w:rsidRDefault="00A036A6" w:rsidP="00A036A6">
      <w:pPr>
        <w:spacing w:line="360" w:lineRule="auto"/>
        <w:jc w:val="both"/>
        <w:rPr>
          <w:rFonts w:ascii="Palatino Linotype" w:hAnsi="Palatino Linotype"/>
        </w:rPr>
      </w:pPr>
    </w:p>
    <w:p w14:paraId="727C0B9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625FF" w:rsidRDefault="00A036A6" w:rsidP="00A036A6">
      <w:pPr>
        <w:pStyle w:val="Sinespaciado"/>
      </w:pPr>
    </w:p>
    <w:p w14:paraId="6CB23978"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w:t>
      </w:r>
      <w:r w:rsidRPr="009625FF">
        <w:rPr>
          <w:rFonts w:ascii="Palatino Linotype" w:hAnsi="Palatino Linotype"/>
          <w:b/>
          <w:bCs/>
          <w:i/>
          <w:sz w:val="22"/>
        </w:rPr>
        <w:t>rtículo 24.</w:t>
      </w:r>
      <w:r w:rsidRPr="009625FF">
        <w:rPr>
          <w:rFonts w:ascii="Palatino Linotype" w:hAnsi="Palatino Linotype"/>
          <w:bCs/>
          <w:i/>
          <w:sz w:val="22"/>
        </w:rPr>
        <w:t xml:space="preserve"> </w:t>
      </w:r>
      <w:r w:rsidRPr="009625F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Cs/>
          <w:i/>
          <w:sz w:val="22"/>
        </w:rPr>
        <w:t>(..</w:t>
      </w:r>
      <w:r w:rsidRPr="009625FF">
        <w:rPr>
          <w:rFonts w:ascii="Palatino Linotype" w:hAnsi="Palatino Linotype"/>
          <w:i/>
          <w:sz w:val="22"/>
        </w:rPr>
        <w:t>.)</w:t>
      </w:r>
    </w:p>
    <w:p w14:paraId="01F470F6" w14:textId="77777777" w:rsidR="00A036A6" w:rsidRPr="009625FF" w:rsidRDefault="00A036A6" w:rsidP="00A036A6">
      <w:pPr>
        <w:ind w:left="567" w:right="567"/>
        <w:jc w:val="both"/>
        <w:rPr>
          <w:rFonts w:ascii="Palatino Linotype" w:hAnsi="Palatino Linotype"/>
          <w:bCs/>
          <w:i/>
          <w:sz w:val="22"/>
        </w:rPr>
      </w:pPr>
      <w:r w:rsidRPr="009625FF">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9625FF">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1336DB5" w:rsidR="00A036A6" w:rsidRDefault="00A036A6" w:rsidP="00A036A6">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FB0DEF" w:rsidRPr="00FB0DEF">
        <w:rPr>
          <w:rFonts w:ascii="Palatino Linotype" w:hAnsi="Palatino Linotype"/>
          <w:b/>
        </w:rPr>
        <w:t>00147/MALINAL/IP/2023</w:t>
      </w:r>
      <w:r w:rsidRPr="009625FF">
        <w:rPr>
          <w:rFonts w:ascii="Palatino Linotype" w:hAnsi="Palatino Linotype"/>
        </w:rPr>
        <w:t xml:space="preserve">, podemos identificar que </w:t>
      </w:r>
      <w:r w:rsidR="00DC556D" w:rsidRPr="009625FF">
        <w:rPr>
          <w:rFonts w:ascii="Palatino Linotype" w:hAnsi="Palatino Linotype"/>
          <w:b/>
        </w:rPr>
        <w:t>El</w:t>
      </w:r>
      <w:r w:rsidRPr="009625FF">
        <w:rPr>
          <w:rFonts w:ascii="Palatino Linotype" w:hAnsi="Palatino Linotype"/>
          <w:b/>
        </w:rPr>
        <w:t xml:space="preserve"> Recurrente </w:t>
      </w:r>
      <w:r w:rsidRPr="009625FF">
        <w:rPr>
          <w:rFonts w:ascii="Palatino Linotype" w:hAnsi="Palatino Linotype"/>
        </w:rPr>
        <w:t xml:space="preserve">peticiona el o los documentos, donde conste lo subsecuente: </w:t>
      </w:r>
    </w:p>
    <w:p w14:paraId="686D0607" w14:textId="77777777" w:rsidR="00B0178B" w:rsidRDefault="00B0178B" w:rsidP="00A036A6">
      <w:pPr>
        <w:tabs>
          <w:tab w:val="left" w:pos="709"/>
        </w:tabs>
        <w:spacing w:line="360" w:lineRule="auto"/>
        <w:ind w:right="51"/>
        <w:jc w:val="both"/>
        <w:rPr>
          <w:rFonts w:ascii="Palatino Linotype" w:hAnsi="Palatino Linotype"/>
        </w:rPr>
      </w:pPr>
    </w:p>
    <w:p w14:paraId="3A555C5A" w14:textId="7F87EDB5" w:rsidR="00FB0DEF" w:rsidRPr="00FB0DEF" w:rsidRDefault="00FB0DEF" w:rsidP="00B0178B">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A</w:t>
      </w:r>
      <w:r w:rsidRPr="00FB0DEF">
        <w:rPr>
          <w:rFonts w:ascii="Palatino Linotype" w:hAnsi="Palatino Linotype"/>
        </w:rPr>
        <w:t>cuerdo, convenio, contrato o cualquier otro instrumento</w:t>
      </w:r>
      <w:r>
        <w:rPr>
          <w:rFonts w:ascii="Palatino Linotype" w:hAnsi="Palatino Linotype"/>
        </w:rPr>
        <w:t xml:space="preserve"> firmado por </w:t>
      </w:r>
      <w:r w:rsidRPr="00FB0DEF">
        <w:rPr>
          <w:rFonts w:ascii="Palatino Linotype" w:hAnsi="Palatino Linotype"/>
        </w:rPr>
        <w:t>la Sindicatura Municipal, para la compra o entrega de</w:t>
      </w:r>
      <w:r>
        <w:rPr>
          <w:rFonts w:ascii="Palatino Linotype" w:hAnsi="Palatino Linotype"/>
        </w:rPr>
        <w:t xml:space="preserve"> los siguiente</w:t>
      </w:r>
      <w:r w:rsidRPr="00FB0DEF">
        <w:rPr>
          <w:rFonts w:ascii="Palatino Linotype" w:hAnsi="Palatino Linotype"/>
        </w:rPr>
        <w:t xml:space="preserve">: </w:t>
      </w:r>
    </w:p>
    <w:p w14:paraId="6EDBA120" w14:textId="77777777" w:rsidR="00FB0DEF" w:rsidRDefault="00FB0DEF" w:rsidP="00FB0DEF">
      <w:pPr>
        <w:pStyle w:val="Prrafodelista"/>
        <w:numPr>
          <w:ilvl w:val="1"/>
          <w:numId w:val="21"/>
        </w:numPr>
        <w:tabs>
          <w:tab w:val="left" w:pos="709"/>
        </w:tabs>
        <w:spacing w:line="360" w:lineRule="auto"/>
        <w:ind w:right="51"/>
        <w:jc w:val="both"/>
        <w:rPr>
          <w:rFonts w:ascii="Palatino Linotype" w:hAnsi="Palatino Linotype"/>
        </w:rPr>
      </w:pPr>
      <w:r w:rsidRPr="00FB0DEF">
        <w:rPr>
          <w:rFonts w:ascii="Palatino Linotype" w:hAnsi="Palatino Linotype"/>
        </w:rPr>
        <w:t xml:space="preserve">Tinacos de 1,200 </w:t>
      </w:r>
      <w:proofErr w:type="spellStart"/>
      <w:r w:rsidRPr="00FB0DEF">
        <w:rPr>
          <w:rFonts w:ascii="Palatino Linotype" w:hAnsi="Palatino Linotype"/>
        </w:rPr>
        <w:t>Lts</w:t>
      </w:r>
      <w:proofErr w:type="spellEnd"/>
      <w:r w:rsidRPr="00FB0DEF">
        <w:rPr>
          <w:rFonts w:ascii="Palatino Linotype" w:hAnsi="Palatino Linotype"/>
        </w:rPr>
        <w:t xml:space="preserve">, 3,000 </w:t>
      </w:r>
      <w:proofErr w:type="spellStart"/>
      <w:r w:rsidRPr="00FB0DEF">
        <w:rPr>
          <w:rFonts w:ascii="Palatino Linotype" w:hAnsi="Palatino Linotype"/>
        </w:rPr>
        <w:t>Lts</w:t>
      </w:r>
      <w:proofErr w:type="spellEnd"/>
      <w:r w:rsidRPr="00FB0DEF">
        <w:rPr>
          <w:rFonts w:ascii="Palatino Linotype" w:hAnsi="Palatino Linotype"/>
        </w:rPr>
        <w:t xml:space="preserve">, 5,000 </w:t>
      </w:r>
      <w:proofErr w:type="spellStart"/>
      <w:r w:rsidRPr="00FB0DEF">
        <w:rPr>
          <w:rFonts w:ascii="Palatino Linotype" w:hAnsi="Palatino Linotype"/>
        </w:rPr>
        <w:t>Lts</w:t>
      </w:r>
      <w:proofErr w:type="spellEnd"/>
      <w:r w:rsidRPr="00FB0DEF">
        <w:rPr>
          <w:rFonts w:ascii="Palatino Linotype" w:hAnsi="Palatino Linotype"/>
        </w:rPr>
        <w:t xml:space="preserve"> y 10,000 </w:t>
      </w:r>
      <w:proofErr w:type="spellStart"/>
      <w:r w:rsidRPr="00FB0DEF">
        <w:rPr>
          <w:rFonts w:ascii="Palatino Linotype" w:hAnsi="Palatino Linotype"/>
        </w:rPr>
        <w:t>Lts</w:t>
      </w:r>
      <w:proofErr w:type="spellEnd"/>
      <w:r>
        <w:rPr>
          <w:rFonts w:ascii="Palatino Linotype" w:hAnsi="Palatino Linotype"/>
        </w:rPr>
        <w:t>.</w:t>
      </w:r>
    </w:p>
    <w:p w14:paraId="2635229E" w14:textId="77777777" w:rsidR="00FB0DEF" w:rsidRDefault="00FB0DEF" w:rsidP="00FB0DEF">
      <w:pPr>
        <w:pStyle w:val="Prrafodelista"/>
        <w:numPr>
          <w:ilvl w:val="1"/>
          <w:numId w:val="21"/>
        </w:numPr>
        <w:tabs>
          <w:tab w:val="left" w:pos="709"/>
        </w:tabs>
        <w:spacing w:line="360" w:lineRule="auto"/>
        <w:ind w:right="51"/>
        <w:jc w:val="both"/>
        <w:rPr>
          <w:rFonts w:ascii="Palatino Linotype" w:hAnsi="Palatino Linotype"/>
        </w:rPr>
      </w:pPr>
      <w:r w:rsidRPr="00FB0DEF">
        <w:rPr>
          <w:rFonts w:ascii="Palatino Linotype" w:hAnsi="Palatino Linotype"/>
        </w:rPr>
        <w:t>Calentadores Solares de 10, 12, 15, 20, 24 y 30 Tubos</w:t>
      </w:r>
      <w:r>
        <w:rPr>
          <w:rFonts w:ascii="Palatino Linotype" w:hAnsi="Palatino Linotype"/>
        </w:rPr>
        <w:t>.</w:t>
      </w:r>
    </w:p>
    <w:p w14:paraId="3388F607" w14:textId="166E2305" w:rsidR="00B0178B" w:rsidRDefault="00FB0DEF" w:rsidP="00FB0DEF">
      <w:pPr>
        <w:pStyle w:val="Prrafodelista"/>
        <w:numPr>
          <w:ilvl w:val="1"/>
          <w:numId w:val="21"/>
        </w:numPr>
        <w:tabs>
          <w:tab w:val="left" w:pos="709"/>
        </w:tabs>
        <w:spacing w:line="360" w:lineRule="auto"/>
        <w:ind w:right="51"/>
        <w:jc w:val="both"/>
        <w:rPr>
          <w:rFonts w:ascii="Palatino Linotype" w:hAnsi="Palatino Linotype"/>
        </w:rPr>
      </w:pPr>
      <w:r w:rsidRPr="00FB0DEF">
        <w:rPr>
          <w:rFonts w:ascii="Palatino Linotype" w:hAnsi="Palatino Linotype"/>
        </w:rPr>
        <w:t xml:space="preserve">Paquetes de Vivienda (Tinaco, calentador solar, bomba periférica, juego de baño y paquete de jardín). </w:t>
      </w:r>
    </w:p>
    <w:p w14:paraId="16ABECB4" w14:textId="0E37CF8F" w:rsidR="002E1C85" w:rsidRPr="002E1C85" w:rsidRDefault="00F37F61" w:rsidP="002E1C85">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Monto subsidiado por el Ayuntamiento y s</w:t>
      </w:r>
      <w:r w:rsidRPr="00F37F61">
        <w:rPr>
          <w:rFonts w:ascii="Palatino Linotype" w:hAnsi="Palatino Linotype"/>
        </w:rPr>
        <w:t>olicitudes</w:t>
      </w:r>
      <w:r>
        <w:rPr>
          <w:rFonts w:ascii="Palatino Linotype" w:hAnsi="Palatino Linotype"/>
        </w:rPr>
        <w:t xml:space="preserve"> </w:t>
      </w:r>
      <w:r w:rsidRPr="00F37F61">
        <w:rPr>
          <w:rFonts w:ascii="Palatino Linotype" w:hAnsi="Palatino Linotype"/>
        </w:rPr>
        <w:t xml:space="preserve">realizadas por los particulares, para ser acreedores a </w:t>
      </w:r>
      <w:r>
        <w:rPr>
          <w:rFonts w:ascii="Palatino Linotype" w:hAnsi="Palatino Linotype"/>
        </w:rPr>
        <w:t xml:space="preserve">los </w:t>
      </w:r>
      <w:r w:rsidRPr="00F37F61">
        <w:rPr>
          <w:rFonts w:ascii="Palatino Linotype" w:hAnsi="Palatino Linotype"/>
        </w:rPr>
        <w:t>apoyos</w:t>
      </w:r>
      <w:r>
        <w:rPr>
          <w:rFonts w:ascii="Palatino Linotype" w:hAnsi="Palatino Linotype"/>
        </w:rPr>
        <w:t xml:space="preserve"> referidos en el punto anterior</w:t>
      </w:r>
      <w:r w:rsidR="002E1C85">
        <w:rPr>
          <w:rFonts w:ascii="Palatino Linotype" w:hAnsi="Palatino Linotype"/>
        </w:rPr>
        <w:t>.</w:t>
      </w:r>
    </w:p>
    <w:p w14:paraId="48082D4A" w14:textId="77777777" w:rsidR="000B3CC4" w:rsidRPr="009625FF" w:rsidRDefault="000B3CC4" w:rsidP="000B3CC4"/>
    <w:p w14:paraId="25D19587" w14:textId="393DC266" w:rsidR="00A036A6" w:rsidRPr="009625F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00DC556D"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9625FF" w:rsidRDefault="00A036A6" w:rsidP="00A036A6">
      <w:pPr>
        <w:pStyle w:val="Sinespaciado"/>
      </w:pPr>
    </w:p>
    <w:p w14:paraId="734A585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lastRenderedPageBreak/>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663EFB0A"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1931AB2B" w14:textId="0A2D55EC" w:rsidR="00A036A6" w:rsidRPr="009625FF" w:rsidRDefault="00A036A6" w:rsidP="00A036A6">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6A755FF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512AE97E" w14:textId="77777777" w:rsidR="00B0178B" w:rsidRPr="009625FF" w:rsidRDefault="00B0178B"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625FF" w:rsidRDefault="00A036A6" w:rsidP="00A036A6">
      <w:pPr>
        <w:pStyle w:val="Sinespaciado"/>
        <w:rPr>
          <w:sz w:val="12"/>
        </w:rPr>
      </w:pPr>
    </w:p>
    <w:p w14:paraId="3A6C4CEB" w14:textId="77777777" w:rsidR="00A036A6" w:rsidRPr="009625FF" w:rsidRDefault="00A036A6" w:rsidP="00A036A6">
      <w:pPr>
        <w:pStyle w:val="Sinespaciado"/>
        <w:rPr>
          <w:rFonts w:ascii="Palatino Linotype" w:hAnsi="Palatino Linotype"/>
        </w:rPr>
      </w:pPr>
    </w:p>
    <w:p w14:paraId="67CF9FDF" w14:textId="77777777" w:rsidR="00A036A6" w:rsidRPr="009625FF" w:rsidRDefault="00A036A6" w:rsidP="00A036A6">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9625FF" w:rsidRDefault="00A036A6" w:rsidP="00A036A6">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Cs/>
          <w:i/>
          <w:sz w:val="22"/>
        </w:rPr>
        <w:t>(…)</w:t>
      </w:r>
    </w:p>
    <w:p w14:paraId="257BB21B"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
          <w:bCs/>
          <w:i/>
          <w:sz w:val="22"/>
        </w:rPr>
        <w:lastRenderedPageBreak/>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156C72A7" w14:textId="77777777" w:rsidR="00A036A6" w:rsidRPr="009625FF" w:rsidRDefault="00A036A6" w:rsidP="00A036A6">
      <w:pPr>
        <w:pStyle w:val="Sinespaciado"/>
        <w:rPr>
          <w:sz w:val="8"/>
        </w:rPr>
      </w:pPr>
    </w:p>
    <w:p w14:paraId="7C773706" w14:textId="77777777" w:rsidR="00A036A6" w:rsidRPr="009625F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20BA653C" w14:textId="77777777" w:rsidR="00271073" w:rsidRPr="009625F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625F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Default="00A036A6" w:rsidP="000B3CC4">
      <w:pPr>
        <w:spacing w:line="360" w:lineRule="auto"/>
        <w:contextualSpacing/>
        <w:jc w:val="both"/>
        <w:rPr>
          <w:rFonts w:ascii="Palatino Linotype" w:hAnsi="Palatino Linotype" w:cs="Arial"/>
          <w:color w:val="000000"/>
          <w:lang w:val="es-ES_tradnl"/>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4FB7F3B" w14:textId="77777777" w:rsidR="002D6CA2" w:rsidRPr="009625FF" w:rsidRDefault="002D6CA2" w:rsidP="000B3CC4">
      <w:pPr>
        <w:spacing w:line="360" w:lineRule="auto"/>
        <w:contextualSpacing/>
        <w:jc w:val="both"/>
        <w:rPr>
          <w:rFonts w:ascii="Palatino Linotype" w:eastAsia="MS Mincho" w:hAnsi="Palatino Linotype" w:cs="Arial"/>
          <w:i/>
        </w:rPr>
      </w:pPr>
    </w:p>
    <w:p w14:paraId="19BB7586"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625FF" w:rsidRDefault="00A036A6" w:rsidP="00A036A6">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625FF" w:rsidRDefault="00A036A6" w:rsidP="00A036A6">
      <w:pPr>
        <w:spacing w:line="360" w:lineRule="auto"/>
        <w:jc w:val="both"/>
        <w:rPr>
          <w:rFonts w:ascii="Palatino Linotype" w:hAnsi="Palatino Linotype" w:cs="Arial"/>
          <w:b/>
        </w:rPr>
      </w:pPr>
    </w:p>
    <w:p w14:paraId="310DA62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73AC20AC"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1B7CBF25"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59D06E4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BCCB468" w14:textId="77777777" w:rsidR="002D6CA2" w:rsidRPr="009625FF" w:rsidRDefault="002D6CA2"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625F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625FF" w:rsidRDefault="00A036A6" w:rsidP="00A036A6">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9625FF">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410B9FAB" w14:textId="77777777" w:rsidR="00257ACF" w:rsidRPr="009625FF" w:rsidRDefault="00257ACF" w:rsidP="00A036A6">
      <w:pPr>
        <w:spacing w:line="360" w:lineRule="auto"/>
        <w:jc w:val="both"/>
      </w:pPr>
    </w:p>
    <w:p w14:paraId="6804C671" w14:textId="77777777" w:rsidR="00A036A6" w:rsidRPr="009625FF" w:rsidRDefault="00A036A6" w:rsidP="00A036A6">
      <w:pPr>
        <w:pStyle w:val="Sinespaciado"/>
        <w:rPr>
          <w:sz w:val="8"/>
        </w:rPr>
      </w:pPr>
    </w:p>
    <w:p w14:paraId="1A3DBD56" w14:textId="77777777" w:rsidR="00A036A6" w:rsidRPr="009625F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4D954F6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625FF" w:rsidRDefault="00A036A6" w:rsidP="00A036A6">
      <w:pPr>
        <w:pStyle w:val="Sinespaciado"/>
      </w:pPr>
    </w:p>
    <w:p w14:paraId="0025EFC8"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4A6C8593"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404D41E7" w14:textId="77777777" w:rsidR="00A036A6" w:rsidRPr="009625FF" w:rsidRDefault="00A036A6" w:rsidP="007923FB">
      <w:pPr>
        <w:ind w:left="567" w:right="616"/>
        <w:jc w:val="both"/>
        <w:rPr>
          <w:rFonts w:ascii="Palatino Linotype" w:hAnsi="Palatino Linotype" w:cs="Arial"/>
          <w:i/>
          <w:sz w:val="22"/>
        </w:rPr>
      </w:pPr>
    </w:p>
    <w:p w14:paraId="6EE6198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1E268C59" w14:textId="77777777" w:rsidR="00A036A6" w:rsidRPr="009625FF" w:rsidRDefault="00A036A6" w:rsidP="007923FB">
      <w:pPr>
        <w:ind w:left="567" w:right="616"/>
        <w:jc w:val="both"/>
        <w:rPr>
          <w:rFonts w:ascii="Palatino Linotype" w:hAnsi="Palatino Linotype" w:cs="Arial"/>
          <w:b/>
          <w:i/>
          <w:sz w:val="22"/>
        </w:rPr>
      </w:pPr>
    </w:p>
    <w:p w14:paraId="47E3001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625FF" w:rsidRDefault="00A036A6" w:rsidP="007923FB">
      <w:pPr>
        <w:ind w:left="567" w:right="616"/>
        <w:jc w:val="both"/>
        <w:rPr>
          <w:rFonts w:ascii="Palatino Linotype" w:hAnsi="Palatino Linotype" w:cs="Arial"/>
          <w:b/>
          <w:i/>
          <w:sz w:val="22"/>
        </w:rPr>
      </w:pPr>
    </w:p>
    <w:p w14:paraId="7DA0FF05"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3AEF8049" w14:textId="77777777" w:rsidR="00A036A6" w:rsidRPr="009625FF" w:rsidRDefault="00A036A6" w:rsidP="007923FB">
      <w:pPr>
        <w:ind w:left="567" w:right="616"/>
        <w:jc w:val="both"/>
        <w:rPr>
          <w:rFonts w:ascii="Palatino Linotype" w:hAnsi="Palatino Linotype" w:cs="Arial"/>
          <w:b/>
          <w:i/>
          <w:sz w:val="22"/>
        </w:rPr>
      </w:pPr>
    </w:p>
    <w:p w14:paraId="111955A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625FF" w:rsidRDefault="00A036A6" w:rsidP="007923FB">
      <w:pPr>
        <w:ind w:left="567" w:right="616"/>
        <w:jc w:val="both"/>
        <w:rPr>
          <w:rFonts w:ascii="Palatino Linotype" w:hAnsi="Palatino Linotype" w:cs="Arial"/>
          <w:i/>
          <w:sz w:val="22"/>
        </w:rPr>
      </w:pPr>
    </w:p>
    <w:p w14:paraId="40C25099"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799ADE03" w14:textId="77777777" w:rsidR="00A036A6" w:rsidRPr="009625FF" w:rsidRDefault="00A036A6" w:rsidP="007923FB">
      <w:pPr>
        <w:ind w:left="567" w:right="616"/>
        <w:jc w:val="both"/>
        <w:rPr>
          <w:rFonts w:ascii="Palatino Linotype" w:hAnsi="Palatino Linotype" w:cs="Arial"/>
          <w:b/>
          <w:i/>
          <w:sz w:val="22"/>
        </w:rPr>
      </w:pPr>
    </w:p>
    <w:p w14:paraId="45441087"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5F3AD333"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6EC5224B"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6910543C" w14:textId="77777777" w:rsidR="00A036A6" w:rsidRPr="009625FF" w:rsidRDefault="00A036A6" w:rsidP="007923FB">
      <w:pPr>
        <w:ind w:left="567" w:right="616"/>
        <w:jc w:val="both"/>
        <w:rPr>
          <w:rFonts w:ascii="Palatino Linotype" w:hAnsi="Palatino Linotype" w:cs="Arial"/>
          <w:i/>
          <w:sz w:val="22"/>
        </w:rPr>
      </w:pPr>
    </w:p>
    <w:p w14:paraId="327C6DFF"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6A948E33" w14:textId="77777777" w:rsidR="00A036A6" w:rsidRPr="009625FF" w:rsidRDefault="00A036A6" w:rsidP="007923FB">
      <w:pPr>
        <w:ind w:left="567" w:right="616"/>
        <w:jc w:val="both"/>
        <w:rPr>
          <w:rFonts w:ascii="Palatino Linotype" w:hAnsi="Palatino Linotype" w:cs="Arial"/>
          <w:b/>
          <w:i/>
          <w:sz w:val="22"/>
        </w:rPr>
      </w:pPr>
    </w:p>
    <w:p w14:paraId="60202E1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 xml:space="preserve">Se refiera a la información privada y los datos personales concernientes a una persona física o </w:t>
      </w:r>
      <w:proofErr w:type="gramStart"/>
      <w:r w:rsidRPr="009625FF">
        <w:rPr>
          <w:rFonts w:ascii="Palatino Linotype" w:hAnsi="Palatino Linotype" w:cs="Arial"/>
          <w:i/>
          <w:sz w:val="22"/>
          <w:u w:val="single"/>
        </w:rPr>
        <w:t>jurídico</w:t>
      </w:r>
      <w:proofErr w:type="gramEnd"/>
      <w:r w:rsidRPr="009625FF">
        <w:rPr>
          <w:rFonts w:ascii="Palatino Linotype" w:hAnsi="Palatino Linotype" w:cs="Arial"/>
          <w:i/>
          <w:sz w:val="22"/>
          <w:u w:val="single"/>
        </w:rPr>
        <w:t xml:space="preserve"> colectiva identificada o identificable</w:t>
      </w:r>
      <w:r w:rsidRPr="009625FF">
        <w:rPr>
          <w:rFonts w:ascii="Palatino Linotype" w:hAnsi="Palatino Linotype" w:cs="Arial"/>
          <w:i/>
          <w:sz w:val="22"/>
        </w:rPr>
        <w:t>;</w:t>
      </w:r>
    </w:p>
    <w:p w14:paraId="4D941F76"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625FF" w:rsidRDefault="00A036A6" w:rsidP="007923FB">
      <w:pPr>
        <w:ind w:left="567" w:right="616"/>
        <w:jc w:val="both"/>
        <w:rPr>
          <w:rFonts w:ascii="Palatino Linotype" w:hAnsi="Palatino Linotype" w:cs="Arial"/>
          <w:i/>
          <w:sz w:val="22"/>
        </w:rPr>
      </w:pPr>
    </w:p>
    <w:p w14:paraId="6EF7510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625FF" w:rsidRDefault="00A036A6" w:rsidP="007923FB">
      <w:pPr>
        <w:ind w:left="567" w:right="616"/>
        <w:jc w:val="both"/>
        <w:rPr>
          <w:rFonts w:ascii="Palatino Linotype" w:hAnsi="Palatino Linotype" w:cs="Arial"/>
          <w:i/>
          <w:sz w:val="22"/>
        </w:rPr>
      </w:pPr>
    </w:p>
    <w:p w14:paraId="0524DA7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625FF" w:rsidRDefault="00A036A6" w:rsidP="00A036A6">
      <w:pPr>
        <w:spacing w:line="360" w:lineRule="auto"/>
        <w:jc w:val="both"/>
        <w:rPr>
          <w:rFonts w:ascii="Palatino Linotype" w:hAnsi="Palatino Linotype"/>
        </w:rPr>
      </w:pPr>
    </w:p>
    <w:p w14:paraId="7CD33216"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625FF">
        <w:rPr>
          <w:rFonts w:ascii="Palatino Linotype" w:hAnsi="Palatino Linotype"/>
        </w:rPr>
        <w:lastRenderedPageBreak/>
        <w:t>información que posean, desclasificarán y generarán, en su caso, versiones públicas de expedientes o documentos que contengan partes o secciones clasificadas.</w:t>
      </w:r>
    </w:p>
    <w:p w14:paraId="4D355DEB" w14:textId="77777777" w:rsidR="00A036A6" w:rsidRPr="009625FF" w:rsidRDefault="00A036A6" w:rsidP="00A036A6">
      <w:pPr>
        <w:spacing w:line="360" w:lineRule="auto"/>
        <w:jc w:val="both"/>
        <w:rPr>
          <w:rFonts w:ascii="Palatino Linotype" w:hAnsi="Palatino Linotype" w:cs="Arial"/>
          <w:lang w:eastAsia="es-CO"/>
        </w:rPr>
      </w:pPr>
    </w:p>
    <w:p w14:paraId="340BFC5D" w14:textId="45FD3508" w:rsidR="00B9031A" w:rsidRPr="009625FF" w:rsidRDefault="00A036A6" w:rsidP="00A036A6">
      <w:pPr>
        <w:spacing w:line="360" w:lineRule="auto"/>
        <w:jc w:val="both"/>
        <w:rPr>
          <w:rFonts w:ascii="Palatino Linotype" w:hAnsi="Palatino Linotype" w:cs="Arial"/>
          <w:lang w:eastAsia="es-CO"/>
        </w:rPr>
      </w:pPr>
      <w:r w:rsidRPr="009625F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9625FF" w:rsidRDefault="00257ACF" w:rsidP="00A036A6">
      <w:pPr>
        <w:spacing w:line="360" w:lineRule="auto"/>
        <w:jc w:val="both"/>
        <w:rPr>
          <w:rFonts w:ascii="Palatino Linotype" w:hAnsi="Palatino Linotype" w:cs="Arial"/>
          <w:lang w:eastAsia="es-CO"/>
        </w:rPr>
      </w:pPr>
    </w:p>
    <w:p w14:paraId="6A227C06" w14:textId="1A4524E8" w:rsidR="002077D6" w:rsidRPr="009625F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Vista a los Órganos Internos</w:t>
      </w:r>
      <w:r w:rsidR="00DF3BF8" w:rsidRPr="009625FF">
        <w:rPr>
          <w:rFonts w:ascii="Palatino Linotype" w:hAnsi="Palatino Linotype"/>
          <w:b/>
          <w:i/>
          <w:sz w:val="28"/>
          <w:u w:val="single"/>
        </w:rPr>
        <w:t xml:space="preserve"> de </w:t>
      </w:r>
      <w:r w:rsidRPr="009625FF">
        <w:rPr>
          <w:rFonts w:ascii="Palatino Linotype" w:hAnsi="Palatino Linotype"/>
          <w:b/>
          <w:i/>
          <w:sz w:val="28"/>
          <w:u w:val="single"/>
        </w:rPr>
        <w:t xml:space="preserve">Control.  </w:t>
      </w:r>
    </w:p>
    <w:p w14:paraId="47FCE98A" w14:textId="77777777" w:rsidR="002077D6" w:rsidRPr="009625FF" w:rsidRDefault="002077D6" w:rsidP="002077D6">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4C983A89" w14:textId="77777777" w:rsidR="002077D6" w:rsidRPr="009625F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9625FF" w:rsidRDefault="002077D6" w:rsidP="002077D6">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9625FF" w:rsidRDefault="002077D6" w:rsidP="002077D6">
      <w:pPr>
        <w:pStyle w:val="Sinespaciado"/>
        <w:rPr>
          <w:rFonts w:eastAsia="MS Mincho"/>
        </w:rPr>
      </w:pPr>
    </w:p>
    <w:p w14:paraId="4A78592A"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06017AC6"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01CFC198"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9625FF" w:rsidRDefault="002077D6" w:rsidP="002077D6">
      <w:pPr>
        <w:spacing w:line="360" w:lineRule="auto"/>
        <w:contextualSpacing/>
        <w:jc w:val="both"/>
        <w:rPr>
          <w:rFonts w:ascii="Palatino Linotype" w:eastAsia="MS Mincho" w:hAnsi="Palatino Linotype"/>
        </w:rPr>
      </w:pPr>
    </w:p>
    <w:p w14:paraId="07E1F7EB"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9625FF" w:rsidRDefault="002077D6" w:rsidP="002077D6">
      <w:pPr>
        <w:spacing w:line="360" w:lineRule="auto"/>
        <w:jc w:val="both"/>
        <w:rPr>
          <w:rFonts w:ascii="Palatino Linotype" w:eastAsia="MS Mincho" w:hAnsi="Palatino Linotype"/>
          <w:lang w:val="es-ES_tradnl"/>
        </w:rPr>
      </w:pPr>
    </w:p>
    <w:p w14:paraId="676D2C9A" w14:textId="727A4FDF"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En efecto, la Secretaría Técnica del P</w:t>
      </w:r>
      <w:r w:rsidR="00CD59A2">
        <w:rPr>
          <w:rFonts w:ascii="Palatino Linotype" w:eastAsia="MS Mincho" w:hAnsi="Palatino Linotype"/>
          <w:lang w:val="es-ES_tradnl"/>
        </w:rPr>
        <w:t>leno hará del conocimiento del Ó</w:t>
      </w:r>
      <w:r w:rsidRPr="009625FF">
        <w:rPr>
          <w:rFonts w:ascii="Palatino Linotype" w:eastAsia="MS Mincho" w:hAnsi="Palatino Linotype"/>
          <w:lang w:val="es-ES_tradnl"/>
        </w:rPr>
        <w:t xml:space="preserve">rgano </w:t>
      </w:r>
      <w:r w:rsidR="00CD59A2">
        <w:rPr>
          <w:rFonts w:ascii="Palatino Linotype" w:eastAsia="MS Mincho" w:hAnsi="Palatino Linotype"/>
          <w:lang w:val="es-ES_tradnl"/>
        </w:rPr>
        <w:t>Interno de C</w:t>
      </w:r>
      <w:r w:rsidRPr="009625FF">
        <w:rPr>
          <w:rFonts w:ascii="Palatino Linotype" w:eastAsia="MS Mincho" w:hAnsi="Palatino Linotype"/>
          <w:lang w:val="es-ES_tradnl"/>
        </w:rPr>
        <w:t xml:space="preserve">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9625FF" w:rsidRDefault="002077D6" w:rsidP="002077D6">
      <w:pPr>
        <w:pStyle w:val="Sinespaciado"/>
        <w:rPr>
          <w:rFonts w:eastAsia="MS Mincho"/>
        </w:rPr>
      </w:pPr>
    </w:p>
    <w:p w14:paraId="724E4204" w14:textId="764C657B" w:rsidR="002077D6"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w:t>
      </w:r>
      <w:r w:rsidRPr="009625FF">
        <w:rPr>
          <w:rFonts w:ascii="Palatino Linotype" w:eastAsia="MS Mincho" w:hAnsi="Palatino Linotype"/>
          <w:i/>
          <w:sz w:val="22"/>
          <w:lang w:val="es-ES_tradnl"/>
        </w:rPr>
        <w:lastRenderedPageBreak/>
        <w:t xml:space="preserve">a las obligaciones previstas en esta Ley y las demás disposiciones jurídicas aplicables en la materia, deberá hacerlo del conocimiento del </w:t>
      </w:r>
      <w:bookmarkStart w:id="2" w:name="_Hlk143599338"/>
      <w:r w:rsidRPr="009625FF">
        <w:rPr>
          <w:rFonts w:ascii="Palatino Linotype" w:eastAsia="MS Mincho" w:hAnsi="Palatino Linotype"/>
          <w:i/>
          <w:sz w:val="22"/>
          <w:lang w:val="es-ES_tradnl"/>
        </w:rPr>
        <w:t xml:space="preserve">órgano de control interno </w:t>
      </w:r>
      <w:bookmarkEnd w:id="2"/>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B0178B">
        <w:rPr>
          <w:rFonts w:ascii="Palatino Linotype" w:eastAsia="MS Mincho" w:hAnsi="Palatino Linotype"/>
          <w:i/>
          <w:sz w:val="22"/>
          <w:lang w:val="es-ES_tradnl"/>
        </w:rPr>
        <w:t>.</w:t>
      </w:r>
    </w:p>
    <w:p w14:paraId="4124341D" w14:textId="77777777" w:rsidR="00B0178B" w:rsidRPr="009625FF" w:rsidRDefault="00B0178B" w:rsidP="002077D6">
      <w:pPr>
        <w:ind w:left="567" w:right="616"/>
        <w:contextualSpacing/>
        <w:jc w:val="both"/>
        <w:rPr>
          <w:rFonts w:ascii="Palatino Linotype" w:eastAsia="MS Mincho" w:hAnsi="Palatino Linotype"/>
          <w:i/>
          <w:sz w:val="22"/>
          <w:lang w:val="es-ES_tradnl"/>
        </w:rPr>
      </w:pPr>
    </w:p>
    <w:p w14:paraId="33F6340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5487594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04ED8254" w14:textId="77777777" w:rsidR="002077D6" w:rsidRPr="009625FF" w:rsidRDefault="002077D6" w:rsidP="002077D6">
      <w:pPr>
        <w:spacing w:line="360" w:lineRule="auto"/>
        <w:jc w:val="both"/>
        <w:rPr>
          <w:rFonts w:ascii="Palatino Linotype" w:eastAsia="MS Mincho" w:hAnsi="Palatino Linotype"/>
          <w:lang w:val="es-ES_tradnl"/>
        </w:rPr>
      </w:pPr>
    </w:p>
    <w:p w14:paraId="26AD7CF3"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9625FF" w:rsidRDefault="002077D6" w:rsidP="002077D6">
      <w:pPr>
        <w:pStyle w:val="Sinespaciado"/>
        <w:rPr>
          <w:rFonts w:eastAsia="MS Mincho"/>
        </w:rPr>
      </w:pPr>
    </w:p>
    <w:p w14:paraId="412AD395"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3C92E6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9625FF" w:rsidRDefault="002077D6" w:rsidP="002077D6">
      <w:pPr>
        <w:spacing w:line="360" w:lineRule="auto"/>
        <w:jc w:val="both"/>
        <w:rPr>
          <w:rFonts w:ascii="Palatino Linotype" w:eastAsia="MS Mincho" w:hAnsi="Palatino Linotype"/>
          <w:lang w:val="es-ES_tradnl"/>
        </w:rPr>
      </w:pPr>
    </w:p>
    <w:p w14:paraId="375ABD88" w14:textId="5FA1C173"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CD59A2"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w:t>
      </w:r>
      <w:r w:rsidRPr="009625FF">
        <w:rPr>
          <w:rFonts w:ascii="Palatino Linotype" w:eastAsia="MS Mincho" w:hAnsi="Palatino Linotype"/>
          <w:lang w:val="es-ES_tradnl"/>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w:t>
      </w:r>
      <w:r w:rsidR="00CD59A2">
        <w:rPr>
          <w:rFonts w:ascii="Palatino Linotype" w:eastAsia="MS Mincho" w:hAnsi="Palatino Linotype"/>
          <w:lang w:val="es-ES_tradnl"/>
        </w:rPr>
        <w:t>á hacerlo del conocimiento del Ó</w:t>
      </w:r>
      <w:r w:rsidRPr="009625FF">
        <w:rPr>
          <w:rFonts w:ascii="Palatino Linotype" w:eastAsia="MS Mincho" w:hAnsi="Palatino Linotype"/>
          <w:lang w:val="es-ES_tradnl"/>
        </w:rPr>
        <w:t xml:space="preserve">rgano </w:t>
      </w:r>
      <w:r w:rsidR="00CD59A2">
        <w:rPr>
          <w:rFonts w:ascii="Palatino Linotype" w:eastAsia="MS Mincho" w:hAnsi="Palatino Linotype"/>
          <w:lang w:val="es-ES_tradnl"/>
        </w:rPr>
        <w:t>I</w:t>
      </w:r>
      <w:r w:rsidRPr="009625FF">
        <w:rPr>
          <w:rFonts w:ascii="Palatino Linotype" w:eastAsia="MS Mincho" w:hAnsi="Palatino Linotype"/>
          <w:lang w:val="es-ES_tradnl"/>
        </w:rPr>
        <w:t xml:space="preserve">nterno </w:t>
      </w:r>
      <w:r w:rsidR="00CD59A2" w:rsidRPr="009625FF">
        <w:rPr>
          <w:rFonts w:ascii="Palatino Linotype" w:eastAsia="MS Mincho" w:hAnsi="Palatino Linotype"/>
          <w:lang w:val="es-ES_tradnl"/>
        </w:rPr>
        <w:t xml:space="preserve">de </w:t>
      </w:r>
      <w:r w:rsidR="00CD59A2">
        <w:rPr>
          <w:rFonts w:ascii="Palatino Linotype" w:eastAsia="MS Mincho" w:hAnsi="Palatino Linotype"/>
          <w:lang w:val="es-ES_tradnl"/>
        </w:rPr>
        <w:t>C</w:t>
      </w:r>
      <w:r w:rsidR="00CD59A2" w:rsidRPr="009625FF">
        <w:rPr>
          <w:rFonts w:ascii="Palatino Linotype" w:eastAsia="MS Mincho" w:hAnsi="Palatino Linotype"/>
          <w:lang w:val="es-ES_tradnl"/>
        </w:rPr>
        <w:t xml:space="preserve">ontrol </w:t>
      </w:r>
      <w:r w:rsidRPr="009625FF">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68BF7C73" w14:textId="4F8BBA33"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xml:space="preserve">, atienda la solicitud de información </w:t>
      </w:r>
      <w:r w:rsidR="00B623F1" w:rsidRPr="00B623F1">
        <w:rPr>
          <w:rFonts w:ascii="Palatino Linotype" w:hAnsi="Palatino Linotype" w:cs="Arial"/>
          <w:b/>
        </w:rPr>
        <w:t>00147/MALINAL/IP/2023</w:t>
      </w:r>
      <w:r w:rsidRPr="009625FF">
        <w:rPr>
          <w:rFonts w:ascii="Palatino Linotype" w:hAnsi="Palatino Linotype" w:cs="Arial"/>
        </w:rPr>
        <w:t>, que ha sido materia del presente fallo.</w:t>
      </w:r>
    </w:p>
    <w:p w14:paraId="596C98A5" w14:textId="77777777" w:rsidR="00257ACF" w:rsidRPr="009625F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9625FF" w:rsidRDefault="00A036A6" w:rsidP="00A036A6">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8F03BFB" w14:textId="77777777" w:rsidR="0045393B" w:rsidRPr="009625FF" w:rsidRDefault="0045393B" w:rsidP="0045393B">
      <w:pPr>
        <w:rPr>
          <w:rStyle w:val="Refdenotaalpie"/>
        </w:rPr>
      </w:pPr>
    </w:p>
    <w:p w14:paraId="5339D623" w14:textId="77777777" w:rsidR="00A036A6" w:rsidRPr="009625FF" w:rsidRDefault="00A036A6" w:rsidP="00A036A6">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6CD8E144" w14:textId="77777777" w:rsidR="00A036A6" w:rsidRPr="009625FF" w:rsidRDefault="00A036A6" w:rsidP="00A036A6">
      <w:pPr>
        <w:pStyle w:val="Sinespaciado"/>
      </w:pPr>
    </w:p>
    <w:p w14:paraId="55C2FECE" w14:textId="4862F473" w:rsidR="00BC0FAB" w:rsidRPr="009625FF" w:rsidRDefault="00A036A6" w:rsidP="00BC0FAB">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w:t>
      </w:r>
      <w:r w:rsidR="002077D6"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00B623F1">
        <w:rPr>
          <w:rFonts w:ascii="Palatino Linotype" w:hAnsi="Palatino Linotype" w:cs="Arial"/>
          <w:b/>
        </w:rPr>
        <w:t>CUARTO</w:t>
      </w:r>
      <w:r w:rsidRPr="009625FF">
        <w:rPr>
          <w:rFonts w:ascii="Palatino Linotype" w:hAnsi="Palatino Linotype" w:cs="Arial"/>
          <w:b/>
        </w:rPr>
        <w:t xml:space="preserve"> </w:t>
      </w:r>
      <w:r w:rsidRPr="009625FF">
        <w:rPr>
          <w:rFonts w:ascii="Palatino Linotype" w:hAnsi="Palatino Linotype" w:cs="Arial"/>
        </w:rPr>
        <w:t>de la presente resolución.</w:t>
      </w:r>
    </w:p>
    <w:p w14:paraId="2CDD1344" w14:textId="77777777" w:rsidR="007923FB" w:rsidRPr="009625F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464E65D4" w:rsidR="00BC0FAB" w:rsidRPr="009625FF" w:rsidRDefault="00A036A6" w:rsidP="00BC0FAB">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 solicitud de información número</w:t>
      </w:r>
      <w:r w:rsidRPr="009625FF">
        <w:rPr>
          <w:rFonts w:ascii="Palatino Linotype" w:hAnsi="Palatino Linotype"/>
          <w:b/>
          <w:bCs/>
          <w:color w:val="222222"/>
          <w:shd w:val="clear" w:color="auto" w:fill="FFFFFF"/>
        </w:rPr>
        <w:t xml:space="preserve"> </w:t>
      </w:r>
      <w:r w:rsidR="00B623F1" w:rsidRPr="00B623F1">
        <w:rPr>
          <w:rFonts w:ascii="Palatino Linotype" w:hAnsi="Palatino Linotype" w:cs="Arial"/>
          <w:b/>
        </w:rPr>
        <w:t>00147/MALINAL/IP/2023</w:t>
      </w:r>
      <w:r w:rsidRPr="009625FF">
        <w:rPr>
          <w:rFonts w:ascii="Palatino Linotype" w:hAnsi="Palatino Linotype"/>
          <w:color w:val="222222"/>
          <w:shd w:val="clear" w:color="auto" w:fill="FFFFFF"/>
        </w:rPr>
        <w:t xml:space="preserve">, en términos del Considerando </w:t>
      </w:r>
      <w:r w:rsidR="00B623F1">
        <w:rPr>
          <w:rFonts w:ascii="Palatino Linotype" w:hAnsi="Palatino Linotype"/>
          <w:b/>
          <w:color w:val="222222"/>
          <w:shd w:val="clear" w:color="auto" w:fill="FFFFFF"/>
        </w:rPr>
        <w:t>CUARTO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08F445F1" w14:textId="77777777" w:rsidR="00271073" w:rsidRPr="009625F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9625F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lastRenderedPageBreak/>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9625FF" w:rsidRDefault="00A036A6" w:rsidP="00BC0FAB">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002077D6" w:rsidRPr="009625FF">
        <w:rPr>
          <w:rFonts w:ascii="Palatino Linotype" w:hAnsi="Palatino Linotype" w:cs="Arial"/>
        </w:rPr>
        <w:t>a la parte</w:t>
      </w:r>
      <w:r w:rsidRPr="009625FF">
        <w:rPr>
          <w:rFonts w:ascii="Palatino Linotype" w:hAnsi="Palatino Linotype" w:cs="Arial"/>
        </w:rPr>
        <w:t xml:space="preserv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6EC5F339" w14:textId="33C5A31F" w:rsidR="002077D6" w:rsidRDefault="002077D6" w:rsidP="002077D6">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9625FF">
        <w:rPr>
          <w:rFonts w:ascii="Palatino Linotype" w:eastAsiaTheme="minorHAnsi" w:hAnsi="Palatino Linotype" w:cstheme="minorHAnsi"/>
          <w:bCs/>
          <w:lang w:val="es-ES_tradnl" w:eastAsia="en-US"/>
        </w:rPr>
        <w:t xml:space="preserve">Órgano Interno </w:t>
      </w:r>
      <w:r w:rsidR="00CD59A2" w:rsidRPr="009625FF">
        <w:rPr>
          <w:rFonts w:ascii="Palatino Linotype" w:eastAsiaTheme="minorHAnsi" w:hAnsi="Palatino Linotype" w:cstheme="minorHAnsi"/>
          <w:bCs/>
          <w:lang w:val="es-ES_tradnl" w:eastAsia="en-US"/>
        </w:rPr>
        <w:t xml:space="preserve">de Control </w:t>
      </w:r>
      <w:r w:rsidR="00DF3BF8" w:rsidRPr="009625FF">
        <w:rPr>
          <w:rFonts w:ascii="Palatino Linotype" w:eastAsiaTheme="minorHAnsi" w:hAnsi="Palatino Linotype" w:cstheme="minorHAnsi"/>
          <w:bCs/>
          <w:lang w:val="es-ES_tradnl" w:eastAsia="en-US"/>
        </w:rPr>
        <w:t xml:space="preserve">de la instancia </w:t>
      </w:r>
      <w:r w:rsidRPr="009625F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B623F1">
        <w:rPr>
          <w:rFonts w:ascii="Palatino Linotype" w:eastAsiaTheme="minorHAnsi" w:hAnsi="Palatino Linotype" w:cstheme="minorHAnsi"/>
          <w:b/>
          <w:lang w:val="es-ES_tradnl" w:eastAsia="en-US"/>
        </w:rPr>
        <w:t>CUARTO</w:t>
      </w:r>
      <w:r w:rsidRPr="009625FF">
        <w:rPr>
          <w:rFonts w:ascii="Palatino Linotype" w:eastAsiaTheme="minorHAnsi" w:hAnsi="Palatino Linotype" w:cstheme="minorHAnsi"/>
          <w:bCs/>
          <w:lang w:val="es-ES_tradnl" w:eastAsia="en-US"/>
        </w:rPr>
        <w:t xml:space="preserve"> de la presente resolución.</w:t>
      </w:r>
    </w:p>
    <w:p w14:paraId="5444C24D" w14:textId="77777777" w:rsidR="00E57D18" w:rsidRPr="009625FF" w:rsidRDefault="00E57D18"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9625FF" w:rsidRDefault="00A036A6" w:rsidP="00BC0FAB">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t>SEXTO.</w:t>
      </w:r>
      <w:r w:rsidRPr="009625FF">
        <w:rPr>
          <w:rFonts w:ascii="Palatino Linotype" w:eastAsia="Calibri" w:hAnsi="Palatino Linotype" w:cs="Tahoma"/>
          <w:bCs/>
          <w:iCs/>
          <w:sz w:val="28"/>
          <w:lang w:eastAsia="es-ES_tradnl"/>
        </w:rPr>
        <w:t xml:space="preserve"> </w:t>
      </w:r>
      <w:r w:rsidR="002077D6" w:rsidRPr="009625FF">
        <w:rPr>
          <w:rFonts w:ascii="Palatino Linotype" w:eastAsia="Calibri" w:hAnsi="Palatino Linotype" w:cs="Tahoma"/>
          <w:bCs/>
          <w:iCs/>
          <w:lang w:eastAsia="es-ES_tradnl"/>
        </w:rPr>
        <w:t>Se hace del conocimiento de la parte</w:t>
      </w:r>
      <w:r w:rsidRPr="009625FF">
        <w:rPr>
          <w:rFonts w:ascii="Palatino Linotype" w:eastAsia="Calibri" w:hAnsi="Palatino Linotype" w:cs="Tahoma"/>
          <w:bCs/>
          <w:iCs/>
          <w:lang w:eastAsia="es-ES_tradnl"/>
        </w:rPr>
        <w:t xml:space="preserv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307DF5FF" w14:textId="77777777" w:rsidR="00260711" w:rsidRPr="009625FF" w:rsidRDefault="00260711" w:rsidP="00260711">
      <w:pPr>
        <w:autoSpaceDE w:val="0"/>
        <w:autoSpaceDN w:val="0"/>
        <w:adjustRightInd w:val="0"/>
        <w:spacing w:line="360" w:lineRule="auto"/>
        <w:jc w:val="both"/>
        <w:rPr>
          <w:rFonts w:ascii="Palatino Linotype" w:hAnsi="Palatino Linotype"/>
        </w:rPr>
      </w:pPr>
    </w:p>
    <w:p w14:paraId="6B530F3A" w14:textId="417C3969"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ASÍ LO RESUELVE, POR UNANIMIDAD DE VOTOS EL PLENO DEL</w:t>
      </w:r>
      <w:r w:rsidRPr="009625FF">
        <w:rPr>
          <w:rFonts w:ascii="Palatino Linotype" w:eastAsia="Arial Unicode MS" w:hAnsi="Palatino Linotype" w:cs="Arial"/>
        </w:rPr>
        <w:t xml:space="preserve"> INSTITUTO DE TRANSPARENCIA, ACCESO A LA INFORMACIÓN PÚBLICA Y PROTECCIÓN DE DATOS PERSONALES DEL ESTADO DE MÉXICO Y MUNICIPIOS</w:t>
      </w:r>
      <w:r w:rsidRPr="009625F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623F1">
        <w:rPr>
          <w:rFonts w:ascii="Palatino Linotype" w:hAnsi="Palatino Linotype" w:cs="Arial"/>
        </w:rPr>
        <w:t>CUADRAGÉSIMA</w:t>
      </w:r>
      <w:r w:rsidR="00742AD5">
        <w:rPr>
          <w:rFonts w:ascii="Palatino Linotype" w:hAnsi="Palatino Linotype" w:cs="Arial"/>
        </w:rPr>
        <w:t xml:space="preserve"> PRIMERA</w:t>
      </w:r>
      <w:r w:rsidR="00B623F1">
        <w:rPr>
          <w:rFonts w:ascii="Palatino Linotype" w:hAnsi="Palatino Linotype" w:cs="Arial"/>
        </w:rPr>
        <w:t xml:space="preserve"> </w:t>
      </w:r>
      <w:r w:rsidRPr="009625FF">
        <w:rPr>
          <w:rFonts w:ascii="Palatino Linotype" w:hAnsi="Palatino Linotype" w:cs="Arial"/>
        </w:rPr>
        <w:t xml:space="preserve">SESIÓN ORDINARIA CELEBRADA </w:t>
      </w:r>
      <w:r w:rsidR="00B9031A" w:rsidRPr="009625FF">
        <w:rPr>
          <w:rFonts w:ascii="Palatino Linotype" w:hAnsi="Palatino Linotype" w:cs="Arial"/>
        </w:rPr>
        <w:t xml:space="preserve">EL </w:t>
      </w:r>
      <w:r w:rsidR="00742AD5">
        <w:rPr>
          <w:rFonts w:ascii="Palatino Linotype" w:hAnsi="Palatino Linotype" w:cs="Arial"/>
        </w:rPr>
        <w:t>QUINCE</w:t>
      </w:r>
      <w:r w:rsidR="00E57D18">
        <w:rPr>
          <w:rFonts w:ascii="Palatino Linotype" w:hAnsi="Palatino Linotype" w:cs="Arial"/>
        </w:rPr>
        <w:t xml:space="preserve"> DE NOVIEMBRE</w:t>
      </w:r>
      <w:r w:rsidR="00EC4EE4">
        <w:rPr>
          <w:rFonts w:ascii="Palatino Linotype" w:hAnsi="Palatino Linotype" w:cs="Arial"/>
        </w:rPr>
        <w:t xml:space="preserve"> </w:t>
      </w:r>
      <w:r w:rsidR="007923FB" w:rsidRPr="009625FF">
        <w:rPr>
          <w:rFonts w:ascii="Palatino Linotype" w:hAnsi="Palatino Linotype" w:cs="Arial"/>
        </w:rPr>
        <w:t>DE DOS MIL VEINTITRÉS</w:t>
      </w:r>
      <w:r w:rsidRPr="009625FF">
        <w:rPr>
          <w:rFonts w:ascii="Palatino Linotype" w:hAnsi="Palatino Linotype" w:cs="Arial"/>
        </w:rPr>
        <w:t>, ANTE EL SECRETARIO TÉCNICO DEL PLENO, ALEXIS TAPIA RAMÍREZ.------------------------------------------------------------------</w:t>
      </w:r>
      <w:r w:rsidR="00512F1F" w:rsidRPr="009625FF">
        <w:rPr>
          <w:rFonts w:ascii="Palatino Linotype" w:hAnsi="Palatino Linotype" w:cs="Arial"/>
        </w:rPr>
        <w:t>---------------------------------------------------------------------------------------------------------------------------------------------------</w:t>
      </w:r>
      <w:r w:rsidR="002077D6" w:rsidRPr="009625FF">
        <w:rPr>
          <w:rFonts w:ascii="Palatino Linotype" w:hAnsi="Palatino Linotype" w:cs="Arial"/>
        </w:rPr>
        <w:t>---------------</w:t>
      </w:r>
      <w:r w:rsidR="00B623F1">
        <w:rPr>
          <w:rFonts w:ascii="Palatino Linotype" w:hAnsi="Palatino Linotype" w:cs="Arial"/>
        </w:rPr>
        <w:t>-</w:t>
      </w:r>
      <w:r w:rsidR="00E57D18" w:rsidRPr="009625FF">
        <w:rPr>
          <w:rFonts w:ascii="Palatino Linotype" w:hAnsi="Palatino Linotype" w:cs="Arial"/>
        </w:rPr>
        <w:t>----------------------------------------------------------------------------------------------------------------------------------------------------------------------------------------------------------------------------------------------------------------------------------------------------------------------------------------------------------------------------------------------------------------------------------------------------------------------------------------------------------------------------------------------------------------</w:t>
      </w:r>
      <w:r w:rsidR="00B9031A" w:rsidRPr="009625FF">
        <w:rPr>
          <w:rFonts w:ascii="Palatino Linotype" w:hAnsi="Palatino Linotype" w:cs="Arial"/>
        </w:rPr>
        <w:t>-------------------------------------------------------------------------------------------------------------------------------------------------------------------------------------------------------------</w:t>
      </w:r>
    </w:p>
    <w:p w14:paraId="6C7C0ADF" w14:textId="395225A4" w:rsidR="00A036A6" w:rsidRPr="00FE21ED" w:rsidRDefault="00BB72DF" w:rsidP="00A036A6">
      <w:pPr>
        <w:spacing w:line="360" w:lineRule="auto"/>
        <w:jc w:val="both"/>
        <w:rPr>
          <w:rFonts w:ascii="Palatino Linotype" w:hAnsi="Palatino Linotype" w:cs="Arial"/>
        </w:rPr>
      </w:pPr>
      <w:r w:rsidRPr="009625FF">
        <w:rPr>
          <w:rFonts w:ascii="Palatino Linotype" w:hAnsi="Palatino Linotype" w:cs="Arial"/>
          <w:sz w:val="16"/>
        </w:rPr>
        <w:t>JMV/CCR</w:t>
      </w:r>
      <w:r w:rsidR="009C598A" w:rsidRPr="009625FF">
        <w:rPr>
          <w:rFonts w:ascii="Palatino Linotype" w:hAnsi="Palatino Linotype" w:cs="Arial"/>
          <w:sz w:val="16"/>
        </w:rPr>
        <w:t>/</w:t>
      </w:r>
      <w:r w:rsidR="00E57D18">
        <w:rPr>
          <w:rFonts w:ascii="Palatino Linotype" w:hAnsi="Palatino Linotype" w:cs="Arial"/>
          <w:sz w:val="16"/>
        </w:rPr>
        <w:t>EJDG</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CEC0E" w14:textId="77777777" w:rsidR="007F2600" w:rsidRDefault="007F2600" w:rsidP="000B5E25">
      <w:r>
        <w:separator/>
      </w:r>
    </w:p>
  </w:endnote>
  <w:endnote w:type="continuationSeparator" w:id="0">
    <w:p w14:paraId="01742B63" w14:textId="77777777" w:rsidR="007F2600" w:rsidRDefault="007F260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284D25">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284D25">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284D25">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284D25">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0213C" w14:textId="77777777" w:rsidR="007F2600" w:rsidRDefault="007F2600" w:rsidP="000B5E25">
      <w:r>
        <w:separator/>
      </w:r>
    </w:p>
  </w:footnote>
  <w:footnote w:type="continuationSeparator" w:id="0">
    <w:p w14:paraId="6000B3B7" w14:textId="77777777" w:rsidR="007F2600" w:rsidRDefault="007F2600"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284D25">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633D1CE8" w:rsidR="00AE5995" w:rsidRPr="00A036A6" w:rsidRDefault="00BA624C" w:rsidP="00326FA3">
          <w:pPr>
            <w:spacing w:line="360" w:lineRule="auto"/>
            <w:jc w:val="right"/>
            <w:rPr>
              <w:rFonts w:ascii="Palatino Linotype" w:hAnsi="Palatino Linotype"/>
              <w:sz w:val="22"/>
              <w:szCs w:val="22"/>
              <w:lang w:val="es-ES_tradnl"/>
            </w:rPr>
          </w:pPr>
          <w:r w:rsidRPr="00BA624C">
            <w:rPr>
              <w:rFonts w:ascii="Palatino Linotype" w:hAnsi="Palatino Linotype"/>
              <w:sz w:val="22"/>
              <w:szCs w:val="22"/>
              <w:lang w:val="es-ES_tradnl"/>
            </w:rPr>
            <w:t>06945/INFOEM/IP/RR/2023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42FBF282" w:rsidR="00AE5995" w:rsidRPr="00A036A6" w:rsidRDefault="00FB0DEF" w:rsidP="00271073">
          <w:pPr>
            <w:spacing w:line="360" w:lineRule="auto"/>
            <w:jc w:val="right"/>
            <w:rPr>
              <w:rFonts w:ascii="Palatino Linotype" w:hAnsi="Palatino Linotype"/>
              <w:sz w:val="22"/>
              <w:szCs w:val="22"/>
              <w:lang w:val="es-ES_tradnl"/>
            </w:rPr>
          </w:pPr>
          <w:r w:rsidRPr="00FB0DEF">
            <w:rPr>
              <w:rFonts w:ascii="Palatino Linotype" w:hAnsi="Palatino Linotype"/>
              <w:sz w:val="22"/>
              <w:szCs w:val="22"/>
            </w:rPr>
            <w:t>Ayuntamiento de Malinalco</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284D2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46615764" w:rsidR="00AE5995" w:rsidRPr="00A036A6" w:rsidRDefault="00BA624C" w:rsidP="00326FA3">
          <w:pPr>
            <w:spacing w:line="360" w:lineRule="auto"/>
            <w:jc w:val="right"/>
            <w:rPr>
              <w:rFonts w:ascii="Palatino Linotype" w:hAnsi="Palatino Linotype"/>
              <w:sz w:val="22"/>
              <w:szCs w:val="22"/>
              <w:lang w:val="es-ES_tradnl"/>
            </w:rPr>
          </w:pPr>
          <w:r w:rsidRPr="00BA624C">
            <w:rPr>
              <w:rFonts w:ascii="Palatino Linotype" w:hAnsi="Palatino Linotype"/>
              <w:sz w:val="22"/>
              <w:szCs w:val="22"/>
              <w:lang w:val="es-ES_tradnl"/>
            </w:rPr>
            <w:t>06945/INFOEM/IP/RR/2023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19979AF" w:rsidR="00AE5995" w:rsidRPr="00A036A6" w:rsidRDefault="00284D25"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634D38CD" w:rsidR="00AE5995" w:rsidRPr="00A036A6" w:rsidRDefault="00FB0DEF" w:rsidP="00E8184E">
          <w:pPr>
            <w:spacing w:line="360" w:lineRule="auto"/>
            <w:jc w:val="right"/>
            <w:rPr>
              <w:rFonts w:ascii="Palatino Linotype" w:hAnsi="Palatino Linotype"/>
              <w:sz w:val="22"/>
              <w:szCs w:val="22"/>
            </w:rPr>
          </w:pPr>
          <w:r w:rsidRPr="00FB0DEF">
            <w:rPr>
              <w:rFonts w:ascii="Palatino Linotype" w:hAnsi="Palatino Linotype"/>
              <w:sz w:val="22"/>
              <w:szCs w:val="22"/>
            </w:rPr>
            <w:t>Ayuntamiento de Malinalco</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284D25">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447D4"/>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84D25"/>
    <w:rsid w:val="00295B3F"/>
    <w:rsid w:val="002A4B43"/>
    <w:rsid w:val="002A676F"/>
    <w:rsid w:val="002C0BE5"/>
    <w:rsid w:val="002D6CA2"/>
    <w:rsid w:val="002E1C85"/>
    <w:rsid w:val="002E3085"/>
    <w:rsid w:val="002E4DD7"/>
    <w:rsid w:val="002F3B20"/>
    <w:rsid w:val="00307006"/>
    <w:rsid w:val="0030701F"/>
    <w:rsid w:val="00311C4E"/>
    <w:rsid w:val="00313675"/>
    <w:rsid w:val="00326FA3"/>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91896"/>
    <w:rsid w:val="004C4D8B"/>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42AD5"/>
    <w:rsid w:val="00756F04"/>
    <w:rsid w:val="007606AB"/>
    <w:rsid w:val="0076367D"/>
    <w:rsid w:val="00770F18"/>
    <w:rsid w:val="007923FB"/>
    <w:rsid w:val="00795804"/>
    <w:rsid w:val="007A118C"/>
    <w:rsid w:val="007D2A81"/>
    <w:rsid w:val="007E534B"/>
    <w:rsid w:val="007E7C02"/>
    <w:rsid w:val="007F2600"/>
    <w:rsid w:val="007F7462"/>
    <w:rsid w:val="00802662"/>
    <w:rsid w:val="00833E20"/>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23D18"/>
    <w:rsid w:val="00926C44"/>
    <w:rsid w:val="0093645B"/>
    <w:rsid w:val="00946B18"/>
    <w:rsid w:val="009625FF"/>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202F9"/>
    <w:rsid w:val="00A5215B"/>
    <w:rsid w:val="00A5260D"/>
    <w:rsid w:val="00A6692F"/>
    <w:rsid w:val="00A72262"/>
    <w:rsid w:val="00AA0ED0"/>
    <w:rsid w:val="00AA26B4"/>
    <w:rsid w:val="00AB15E3"/>
    <w:rsid w:val="00AB6880"/>
    <w:rsid w:val="00AD33BE"/>
    <w:rsid w:val="00AE1A47"/>
    <w:rsid w:val="00AE5995"/>
    <w:rsid w:val="00B0178B"/>
    <w:rsid w:val="00B01BD5"/>
    <w:rsid w:val="00B05B83"/>
    <w:rsid w:val="00B1358A"/>
    <w:rsid w:val="00B17992"/>
    <w:rsid w:val="00B217AE"/>
    <w:rsid w:val="00B31853"/>
    <w:rsid w:val="00B50B07"/>
    <w:rsid w:val="00B623F1"/>
    <w:rsid w:val="00B670BA"/>
    <w:rsid w:val="00B8098B"/>
    <w:rsid w:val="00B9031A"/>
    <w:rsid w:val="00BA624C"/>
    <w:rsid w:val="00BB72DF"/>
    <w:rsid w:val="00BC0CFA"/>
    <w:rsid w:val="00BC0FAB"/>
    <w:rsid w:val="00BD14B3"/>
    <w:rsid w:val="00BE233B"/>
    <w:rsid w:val="00BE7A6E"/>
    <w:rsid w:val="00BF558E"/>
    <w:rsid w:val="00C56DD5"/>
    <w:rsid w:val="00C802FB"/>
    <w:rsid w:val="00CA216C"/>
    <w:rsid w:val="00CC0700"/>
    <w:rsid w:val="00CD024D"/>
    <w:rsid w:val="00CD59A2"/>
    <w:rsid w:val="00CD6A31"/>
    <w:rsid w:val="00CF0F1D"/>
    <w:rsid w:val="00CF76AC"/>
    <w:rsid w:val="00D4431A"/>
    <w:rsid w:val="00D57210"/>
    <w:rsid w:val="00D901D7"/>
    <w:rsid w:val="00D92BFE"/>
    <w:rsid w:val="00DB00C1"/>
    <w:rsid w:val="00DC556D"/>
    <w:rsid w:val="00DD1866"/>
    <w:rsid w:val="00DE0A8D"/>
    <w:rsid w:val="00DE562A"/>
    <w:rsid w:val="00DE7C84"/>
    <w:rsid w:val="00DF3BF8"/>
    <w:rsid w:val="00E04CCB"/>
    <w:rsid w:val="00E24753"/>
    <w:rsid w:val="00E42B2B"/>
    <w:rsid w:val="00E5647F"/>
    <w:rsid w:val="00E57D18"/>
    <w:rsid w:val="00E65F37"/>
    <w:rsid w:val="00E711DE"/>
    <w:rsid w:val="00E8184E"/>
    <w:rsid w:val="00E823B8"/>
    <w:rsid w:val="00E9091C"/>
    <w:rsid w:val="00EA61B9"/>
    <w:rsid w:val="00EA7A12"/>
    <w:rsid w:val="00EA7BF4"/>
    <w:rsid w:val="00EB6C62"/>
    <w:rsid w:val="00EC4EE4"/>
    <w:rsid w:val="00EE4D9C"/>
    <w:rsid w:val="00EE6265"/>
    <w:rsid w:val="00EE7518"/>
    <w:rsid w:val="00EF193B"/>
    <w:rsid w:val="00F34A32"/>
    <w:rsid w:val="00F37F61"/>
    <w:rsid w:val="00F44087"/>
    <w:rsid w:val="00F44CD2"/>
    <w:rsid w:val="00F455F1"/>
    <w:rsid w:val="00F570D3"/>
    <w:rsid w:val="00F8513C"/>
    <w:rsid w:val="00FB0DEF"/>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Fuentedeprrafopredeter"/>
    <w:uiPriority w:val="99"/>
    <w:semiHidden/>
    <w:unhideWhenUsed/>
    <w:rsid w:val="00B0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6971</Words>
  <Characters>38346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INFOEM413</cp:lastModifiedBy>
  <cp:revision>8</cp:revision>
  <dcterms:created xsi:type="dcterms:W3CDTF">2023-10-27T02:35:00Z</dcterms:created>
  <dcterms:modified xsi:type="dcterms:W3CDTF">2023-12-04T16:21:00Z</dcterms:modified>
</cp:coreProperties>
</file>