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6F" w:rsidRPr="00DF23DA" w:rsidRDefault="00392F6F" w:rsidP="00392F6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91913">
        <w:rPr>
          <w:rFonts w:ascii="Palatino Linotype" w:eastAsia="Times New Roman" w:hAnsi="Palatino Linotype" w:cs="Arial"/>
          <w:color w:val="000000"/>
          <w:sz w:val="24"/>
          <w:szCs w:val="24"/>
          <w:lang w:eastAsia="es-MX"/>
        </w:rPr>
        <w:t>once de enero de dos mil veintitrés</w:t>
      </w:r>
      <w:r w:rsidRPr="00DF23DA">
        <w:rPr>
          <w:rFonts w:ascii="Palatino Linotype" w:eastAsia="Times New Roman" w:hAnsi="Palatino Linotype" w:cs="Arial"/>
          <w:color w:val="000000"/>
          <w:sz w:val="24"/>
          <w:szCs w:val="24"/>
          <w:lang w:eastAsia="es-MX"/>
        </w:rPr>
        <w:t>.</w:t>
      </w:r>
    </w:p>
    <w:p w:rsidR="00392F6F" w:rsidRPr="00DF23DA" w:rsidRDefault="00392F6F" w:rsidP="00392F6F">
      <w:pPr>
        <w:shd w:val="clear" w:color="auto" w:fill="FFFFFF"/>
        <w:spacing w:after="0" w:line="360" w:lineRule="auto"/>
        <w:jc w:val="both"/>
        <w:rPr>
          <w:rFonts w:ascii="Palatino Linotype" w:eastAsia="Times New Roman" w:hAnsi="Palatino Linotype" w:cs="Arial"/>
          <w:color w:val="000000"/>
          <w:sz w:val="24"/>
          <w:szCs w:val="24"/>
          <w:lang w:eastAsia="es-MX"/>
        </w:rPr>
      </w:pPr>
    </w:p>
    <w:p w:rsidR="00392F6F" w:rsidRPr="00DF23DA" w:rsidRDefault="00392F6F" w:rsidP="00392F6F">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00E91BE7">
        <w:rPr>
          <w:rFonts w:ascii="Palatino Linotype" w:hAnsi="Palatino Linotype" w:cs="Arial"/>
          <w:b/>
          <w:bCs/>
          <w:sz w:val="24"/>
          <w:szCs w:val="24"/>
          <w:lang w:eastAsia="es-MX"/>
        </w:rPr>
        <w:t>16945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BE2538">
        <w:rPr>
          <w:rFonts w:ascii="Palatino Linotype" w:hAnsi="Palatino Linotype" w:cs="Arial"/>
          <w:b/>
          <w:sz w:val="24"/>
          <w:szCs w:val="24"/>
        </w:rPr>
        <w:t>XXXXXXXXXXXXXXXXXXX</w:t>
      </w:r>
      <w:bookmarkStart w:id="0" w:name="_GoBack"/>
      <w:bookmarkEnd w:id="0"/>
      <w:r w:rsidRPr="00DF23DA">
        <w:rPr>
          <w:rFonts w:ascii="Palatino Linotype" w:hAnsi="Palatino Linotype" w:cs="Arial"/>
          <w:sz w:val="24"/>
          <w:szCs w:val="24"/>
        </w:rPr>
        <w:t xml:space="preserve">, en lo sucesivo </w:t>
      </w:r>
      <w:r>
        <w:rPr>
          <w:rFonts w:ascii="Palatino Linotype" w:hAnsi="Palatino Linotype" w:cs="Arial"/>
          <w:b/>
          <w:sz w:val="24"/>
          <w:szCs w:val="24"/>
        </w:rPr>
        <w:t>la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Ixtapaluca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392F6F" w:rsidRPr="00DF23DA" w:rsidRDefault="00392F6F" w:rsidP="00392F6F">
      <w:pPr>
        <w:tabs>
          <w:tab w:val="left" w:pos="6960"/>
        </w:tabs>
        <w:spacing w:after="0" w:line="360" w:lineRule="auto"/>
        <w:jc w:val="both"/>
        <w:rPr>
          <w:rFonts w:ascii="Palatino Linotype" w:hAnsi="Palatino Linotype" w:cs="Arial"/>
          <w:sz w:val="24"/>
          <w:szCs w:val="24"/>
        </w:rPr>
      </w:pPr>
    </w:p>
    <w:p w:rsidR="00392F6F" w:rsidRPr="00DF23DA" w:rsidRDefault="00392F6F" w:rsidP="00392F6F">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392F6F" w:rsidRPr="00DF23DA" w:rsidRDefault="00392F6F" w:rsidP="00392F6F">
      <w:pPr>
        <w:spacing w:after="0" w:line="360" w:lineRule="auto"/>
        <w:rPr>
          <w:rFonts w:ascii="Palatino Linotype" w:hAnsi="Palatino Linotype" w:cs="Arial"/>
          <w:b/>
          <w:sz w:val="24"/>
          <w:szCs w:val="24"/>
        </w:rPr>
      </w:pPr>
    </w:p>
    <w:p w:rsidR="00392F6F" w:rsidRDefault="00392F6F" w:rsidP="00392F6F">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sidR="00E91BE7">
        <w:rPr>
          <w:rFonts w:ascii="Palatino Linotype" w:hAnsi="Palatino Linotype" w:cs="Arial"/>
          <w:b/>
          <w:sz w:val="24"/>
          <w:szCs w:val="24"/>
        </w:rPr>
        <w:t>tres de noviembre</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la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sidR="00E91BE7">
        <w:rPr>
          <w:rFonts w:ascii="Palatino Linotype" w:hAnsi="Palatino Linotype" w:cs="Arial"/>
          <w:b/>
          <w:sz w:val="24"/>
          <w:szCs w:val="24"/>
        </w:rPr>
        <w:t>00394/IXTAPALU/IP/2022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392F6F" w:rsidRPr="00DF23DA" w:rsidRDefault="00392F6F" w:rsidP="00392F6F">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392F6F" w:rsidRPr="005A2E17" w:rsidRDefault="00392F6F" w:rsidP="00E91BE7">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00E91BE7" w:rsidRPr="00E91BE7">
        <w:rPr>
          <w:rFonts w:ascii="Palatino Linotype" w:eastAsia="Times New Roman" w:hAnsi="Palatino Linotype" w:cs="Times New Roman"/>
          <w:i/>
          <w:sz w:val="24"/>
          <w:szCs w:val="24"/>
          <w:lang w:eastAsia="es-ES"/>
        </w:rPr>
        <w:t>MONTO MENSUAL RECAUDADO DE ENERO A OCTUBRE DEL 2022, POR CONCEPTO DE MULTAS POR FALTAS ADMINISTRATIVAS COMETIDAS POR LOS CIUDADANOS DEL MUNICIPIO.</w:t>
      </w:r>
      <w:r w:rsidRPr="008708A5">
        <w:rPr>
          <w:rFonts w:ascii="Palatino Linotype" w:eastAsia="Times New Roman" w:hAnsi="Palatino Linotype" w:cs="Times New Roman"/>
          <w:i/>
          <w:sz w:val="24"/>
          <w:szCs w:val="24"/>
          <w:lang w:eastAsia="es-ES"/>
        </w:rPr>
        <w:t>” (Sic)</w:t>
      </w:r>
    </w:p>
    <w:p w:rsidR="00392F6F" w:rsidRPr="00DF23DA" w:rsidRDefault="00392F6F" w:rsidP="00392F6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92F6F" w:rsidRPr="00DF23DA" w:rsidRDefault="00392F6F" w:rsidP="00392F6F">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392F6F" w:rsidRPr="00DF23DA" w:rsidRDefault="00392F6F" w:rsidP="00392F6F">
      <w:pPr>
        <w:tabs>
          <w:tab w:val="left" w:pos="5647"/>
        </w:tabs>
        <w:spacing w:after="0" w:line="360" w:lineRule="auto"/>
        <w:ind w:right="850"/>
        <w:jc w:val="both"/>
        <w:rPr>
          <w:rFonts w:ascii="Palatino Linotype" w:hAnsi="Palatino Linotype"/>
          <w:color w:val="000000"/>
          <w:sz w:val="24"/>
          <w:szCs w:val="24"/>
          <w:lang w:val="es-ES_tradnl"/>
        </w:rPr>
      </w:pPr>
    </w:p>
    <w:p w:rsidR="00392F6F" w:rsidRPr="00523CF0" w:rsidRDefault="00392F6F" w:rsidP="00392F6F">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392F6F" w:rsidRDefault="00392F6F" w:rsidP="00392F6F">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392F6F" w:rsidRPr="00523CF0" w:rsidRDefault="00E91BE7" w:rsidP="00392F6F">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sidR="00392F6F">
        <w:rPr>
          <w:rFonts w:ascii="Palatino Linotype" w:hAnsi="Palatino Linotype" w:cs="Arial"/>
          <w:sz w:val="24"/>
          <w:szCs w:val="24"/>
        </w:rPr>
        <w:t xml:space="preserve">. </w:t>
      </w:r>
      <w:r w:rsidR="00392F6F" w:rsidRPr="00523CF0">
        <w:rPr>
          <w:rFonts w:ascii="Palatino Linotype" w:hAnsi="Palatino Linotype"/>
          <w:b/>
          <w:sz w:val="28"/>
        </w:rPr>
        <w:t>Del recurso de revisión.</w:t>
      </w:r>
    </w:p>
    <w:p w:rsidR="00392F6F" w:rsidRPr="00BA0487" w:rsidRDefault="00392F6F" w:rsidP="00392F6F">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la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E91BE7">
        <w:rPr>
          <w:rFonts w:ascii="Palatino Linotype" w:hAnsi="Palatino Linotype" w:cs="Arial"/>
          <w:b/>
          <w:sz w:val="24"/>
          <w:szCs w:val="24"/>
        </w:rPr>
        <w:t>veintiocho de noviembre</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00E91BE7">
        <w:rPr>
          <w:rFonts w:ascii="Palatino Linotype" w:hAnsi="Palatino Linotype" w:cs="Arial"/>
          <w:b/>
          <w:bCs/>
          <w:sz w:val="24"/>
          <w:szCs w:val="24"/>
          <w:lang w:eastAsia="es-MX"/>
        </w:rPr>
        <w:t>16945</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392F6F" w:rsidRPr="00DF23DA" w:rsidRDefault="00392F6F" w:rsidP="00392F6F">
      <w:pPr>
        <w:spacing w:after="0" w:line="360" w:lineRule="auto"/>
        <w:jc w:val="both"/>
        <w:rPr>
          <w:rFonts w:ascii="Palatino Linotype" w:hAnsi="Palatino Linotype" w:cs="Arial"/>
          <w:b/>
          <w:sz w:val="24"/>
          <w:szCs w:val="24"/>
        </w:rPr>
      </w:pPr>
    </w:p>
    <w:p w:rsidR="00392F6F" w:rsidRPr="00DF23DA" w:rsidRDefault="00392F6F" w:rsidP="00392F6F">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392F6F" w:rsidRPr="00DF23DA" w:rsidRDefault="00392F6F" w:rsidP="00392F6F">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00E91BE7" w:rsidRPr="00E91BE7">
        <w:rPr>
          <w:rFonts w:ascii="Palatino Linotype" w:hAnsi="Palatino Linotype"/>
          <w:i/>
          <w:color w:val="000000"/>
        </w:rPr>
        <w:t>NEGATIVA POR PARTE DEL SUJETO OBLIGADO A PROPORCIONAR LA INFORMACIÓN SOLICITADA</w:t>
      </w:r>
      <w:r w:rsidRPr="008708A5">
        <w:rPr>
          <w:rFonts w:ascii="Palatino Linotype" w:hAnsi="Palatino Linotype"/>
          <w:i/>
          <w:color w:val="000000"/>
        </w:rPr>
        <w:t>.</w:t>
      </w:r>
      <w:r w:rsidRPr="00DF23DA">
        <w:rPr>
          <w:rFonts w:ascii="Palatino Linotype" w:hAnsi="Palatino Linotype"/>
          <w:i/>
          <w:color w:val="000000"/>
        </w:rPr>
        <w:t>” (Sic)</w:t>
      </w:r>
    </w:p>
    <w:p w:rsidR="00392F6F" w:rsidRPr="00DF23DA" w:rsidRDefault="00392F6F" w:rsidP="00392F6F">
      <w:pPr>
        <w:spacing w:after="0" w:line="360" w:lineRule="auto"/>
        <w:jc w:val="both"/>
        <w:rPr>
          <w:rFonts w:ascii="Palatino Linotype" w:hAnsi="Palatino Linotype" w:cs="Arial"/>
          <w:sz w:val="24"/>
          <w:szCs w:val="24"/>
        </w:rPr>
      </w:pP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392F6F" w:rsidRPr="00DF23DA" w:rsidRDefault="00392F6F" w:rsidP="00392F6F">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00E91BE7" w:rsidRPr="00E91BE7">
        <w:rPr>
          <w:rFonts w:ascii="Palatino Linotype" w:hAnsi="Palatino Linotype" w:cs="Arial"/>
          <w:i/>
          <w:szCs w:val="24"/>
        </w:rPr>
        <w:t xml:space="preserve">VIOLACIÓN SISTEMATICA POR PARTE DEL SUJETO OBLIGADO A MI DERECHO DE ACCESO A LA INFORMACIÓN PÚBLICA, YA QUE SE HAN EFECTUADO CASI 400 SOLICITUDES DE INFORMACIÓN Y NINGUNA HA RESPONDIDO, SIENDO EL GOBIERNO MUNICIPAL CON MAYOR </w:t>
      </w:r>
      <w:r w:rsidR="00E91BE7">
        <w:rPr>
          <w:rFonts w:ascii="Palatino Linotype" w:hAnsi="Palatino Linotype" w:cs="Arial"/>
          <w:i/>
          <w:szCs w:val="24"/>
        </w:rPr>
        <w:t>OPACIDAD EN EL ESTADO DE MÉXICO</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392F6F" w:rsidRPr="00DF23DA" w:rsidRDefault="00392F6F" w:rsidP="00392F6F">
      <w:pPr>
        <w:spacing w:after="0" w:line="360" w:lineRule="auto"/>
        <w:ind w:right="49"/>
        <w:jc w:val="both"/>
        <w:rPr>
          <w:rFonts w:ascii="Palatino Linotype" w:eastAsia="Times New Roman" w:hAnsi="Palatino Linotype" w:cs="Arial"/>
          <w:sz w:val="24"/>
          <w:lang w:eastAsia="es-ES"/>
        </w:rPr>
      </w:pPr>
    </w:p>
    <w:p w:rsidR="00392F6F" w:rsidRDefault="00E91BE7" w:rsidP="00392F6F">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sidR="00392F6F" w:rsidRPr="00F471AE">
        <w:rPr>
          <w:rFonts w:ascii="Palatino Linotype" w:hAnsi="Palatino Linotype" w:cs="Arial"/>
          <w:b/>
          <w:sz w:val="24"/>
          <w:szCs w:val="24"/>
        </w:rPr>
        <w:t xml:space="preserve">. </w:t>
      </w:r>
      <w:r w:rsidR="00392F6F"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00392F6F" w:rsidRPr="00F471AE">
        <w:rPr>
          <w:rFonts w:ascii="Palatino Linotype" w:hAnsi="Palatino Linotype" w:cs="Arial"/>
          <w:b/>
          <w:sz w:val="28"/>
          <w:szCs w:val="28"/>
        </w:rPr>
        <w:t>del recurso de revisión.</w:t>
      </w:r>
    </w:p>
    <w:p w:rsidR="00392F6F" w:rsidRDefault="00392F6F" w:rsidP="00392F6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fecha </w:t>
      </w:r>
      <w:r w:rsidR="00E91BE7">
        <w:rPr>
          <w:rFonts w:ascii="Palatino Linotype" w:hAnsi="Palatino Linotype" w:cs="Arial"/>
          <w:b/>
          <w:sz w:val="24"/>
          <w:szCs w:val="24"/>
        </w:rPr>
        <w:t>veintiocho de noviembre</w:t>
      </w:r>
      <w:r w:rsidR="00E91BE7" w:rsidRPr="00DF23DA">
        <w:rPr>
          <w:rFonts w:ascii="Palatino Linotype" w:hAnsi="Palatino Linotype" w:cs="Arial"/>
          <w:sz w:val="24"/>
          <w:szCs w:val="24"/>
        </w:rPr>
        <w:t xml:space="preserve"> </w:t>
      </w:r>
      <w:r>
        <w:rPr>
          <w:rFonts w:ascii="Palatino Linotype" w:hAnsi="Palatino Linotype" w:cs="Arial"/>
          <w:sz w:val="24"/>
          <w:szCs w:val="24"/>
        </w:rPr>
        <w:t xml:space="preserve">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sidR="00E91BE7">
        <w:rPr>
          <w:rFonts w:ascii="Palatino Linotype" w:hAnsi="Palatino Linotype" w:cs="Arial"/>
          <w:b/>
          <w:sz w:val="24"/>
          <w:szCs w:val="24"/>
        </w:rPr>
        <w:t>veintinueve de noviembre</w:t>
      </w:r>
      <w:r>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392F6F" w:rsidRPr="00DF23DA" w:rsidRDefault="00392F6F" w:rsidP="00392F6F">
      <w:pPr>
        <w:spacing w:after="0" w:line="360" w:lineRule="auto"/>
        <w:jc w:val="both"/>
        <w:rPr>
          <w:rFonts w:ascii="Palatino Linotype" w:hAnsi="Palatino Linotype" w:cs="Arial"/>
          <w:sz w:val="24"/>
          <w:szCs w:val="28"/>
          <w:lang w:val="es-ES"/>
        </w:rPr>
      </w:pPr>
    </w:p>
    <w:p w:rsidR="00392F6F" w:rsidRDefault="00E91BE7" w:rsidP="00392F6F">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00392F6F" w:rsidRPr="00DF23DA">
        <w:rPr>
          <w:rFonts w:ascii="Palatino Linotype" w:hAnsi="Palatino Linotype" w:cs="Arial"/>
          <w:b/>
          <w:sz w:val="28"/>
          <w:szCs w:val="28"/>
        </w:rPr>
        <w:t xml:space="preserve">. </w:t>
      </w:r>
      <w:r w:rsidR="00392F6F">
        <w:rPr>
          <w:rFonts w:ascii="Palatino Linotype" w:hAnsi="Palatino Linotype" w:cs="Arial"/>
          <w:b/>
          <w:sz w:val="28"/>
          <w:szCs w:val="28"/>
        </w:rPr>
        <w:t>De la Etapa de Instrucción.</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la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392F6F" w:rsidRPr="00DF23DA" w:rsidRDefault="00392F6F" w:rsidP="00392F6F">
      <w:pPr>
        <w:spacing w:after="0" w:line="360" w:lineRule="auto"/>
        <w:jc w:val="center"/>
        <w:rPr>
          <w:rFonts w:ascii="Palatino Linotype" w:hAnsi="Palatino Linotype" w:cs="Arial"/>
          <w:sz w:val="24"/>
          <w:szCs w:val="24"/>
        </w:rPr>
      </w:pP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DF23DA">
        <w:rPr>
          <w:rFonts w:ascii="Palatino Linotype" w:hAnsi="Palatino Linotype" w:cs="Arial"/>
          <w:sz w:val="24"/>
          <w:szCs w:val="24"/>
        </w:rPr>
        <w:t>l</w:t>
      </w:r>
      <w:r>
        <w:rPr>
          <w:rFonts w:ascii="Palatino Linotype" w:hAnsi="Palatino Linotype" w:cs="Arial"/>
          <w:sz w:val="24"/>
          <w:szCs w:val="24"/>
        </w:rPr>
        <w:t>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392F6F" w:rsidRPr="00DF23DA" w:rsidRDefault="00392F6F" w:rsidP="00392F6F">
      <w:pPr>
        <w:spacing w:after="0" w:line="360" w:lineRule="auto"/>
        <w:jc w:val="both"/>
        <w:rPr>
          <w:rFonts w:ascii="Palatino Linotype" w:hAnsi="Palatino Linotype" w:cs="Arial"/>
          <w:sz w:val="24"/>
          <w:szCs w:val="24"/>
        </w:rPr>
      </w:pPr>
    </w:p>
    <w:p w:rsidR="00E91BE7" w:rsidRDefault="00E91BE7" w:rsidP="00392F6F">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O</w:t>
      </w:r>
      <w:r w:rsidR="00392F6F" w:rsidRPr="00DF23DA">
        <w:rPr>
          <w:rFonts w:ascii="Palatino Linotype" w:hAnsi="Palatino Linotype" w:cs="Arial"/>
          <w:b/>
          <w:sz w:val="28"/>
          <w:szCs w:val="28"/>
        </w:rPr>
        <w:t xml:space="preserve">. </w:t>
      </w:r>
      <w:r>
        <w:rPr>
          <w:rFonts w:ascii="Palatino Linotype" w:hAnsi="Palatino Linotype" w:cs="Arial"/>
          <w:b/>
          <w:sz w:val="28"/>
          <w:szCs w:val="28"/>
        </w:rPr>
        <w:t>Del Cierre de Instrucción.</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sidR="00E91BE7" w:rsidRPr="00E91BE7">
        <w:rPr>
          <w:rFonts w:ascii="Palatino Linotype" w:hAnsi="Palatino Linotype" w:cs="Arial"/>
          <w:b/>
          <w:sz w:val="24"/>
          <w:szCs w:val="24"/>
        </w:rPr>
        <w:t>nueve de diciembre</w:t>
      </w:r>
      <w:r>
        <w:rPr>
          <w:rFonts w:ascii="Palatino Linotype" w:hAnsi="Palatino Linotype" w:cs="Arial"/>
          <w:sz w:val="24"/>
          <w:szCs w:val="24"/>
        </w:rPr>
        <w:t xml:space="preserve"> </w:t>
      </w:r>
      <w:r w:rsidRPr="00DF23DA">
        <w:rPr>
          <w:rFonts w:ascii="Palatino Linotype" w:hAnsi="Palatino Linotype" w:cs="Arial"/>
          <w:sz w:val="24"/>
          <w:szCs w:val="24"/>
        </w:rPr>
        <w:t xml:space="preserve">de dos mil veintidós, en términos del artículo 185 fracción VI de la Ley de Transparencia y Acceso a la </w:t>
      </w:r>
      <w:r w:rsidRPr="00DF23DA">
        <w:rPr>
          <w:rFonts w:ascii="Palatino Linotype" w:hAnsi="Palatino Linotype" w:cs="Arial"/>
          <w:sz w:val="24"/>
          <w:szCs w:val="24"/>
        </w:rPr>
        <w:lastRenderedPageBreak/>
        <w:t>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392F6F" w:rsidRPr="00DF23DA" w:rsidRDefault="00392F6F" w:rsidP="00392F6F">
      <w:pPr>
        <w:spacing w:after="0" w:line="360" w:lineRule="auto"/>
        <w:jc w:val="both"/>
        <w:rPr>
          <w:rFonts w:ascii="Palatino Linotype" w:hAnsi="Palatino Linotype" w:cs="Arial"/>
          <w:sz w:val="24"/>
          <w:szCs w:val="24"/>
        </w:rPr>
      </w:pPr>
    </w:p>
    <w:p w:rsidR="00392F6F" w:rsidRPr="00DF23DA" w:rsidRDefault="00392F6F" w:rsidP="00392F6F">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392F6F" w:rsidRPr="00DF23DA" w:rsidRDefault="00392F6F" w:rsidP="00392F6F">
      <w:pPr>
        <w:spacing w:after="0" w:line="360" w:lineRule="auto"/>
        <w:jc w:val="center"/>
        <w:rPr>
          <w:rFonts w:ascii="Palatino Linotype" w:hAnsi="Palatino Linotype" w:cs="Arial"/>
          <w:sz w:val="24"/>
          <w:szCs w:val="24"/>
        </w:rPr>
      </w:pPr>
    </w:p>
    <w:p w:rsidR="00392F6F" w:rsidRPr="00DF23DA" w:rsidRDefault="00392F6F" w:rsidP="00392F6F">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92F6F" w:rsidRPr="00DF23DA" w:rsidRDefault="00392F6F" w:rsidP="00392F6F">
      <w:pPr>
        <w:spacing w:after="0" w:line="360" w:lineRule="auto"/>
        <w:jc w:val="both"/>
        <w:rPr>
          <w:rFonts w:ascii="Palatino Linotype" w:hAnsi="Palatino Linotype" w:cs="Arial"/>
          <w:sz w:val="24"/>
          <w:szCs w:val="24"/>
        </w:rPr>
      </w:pPr>
    </w:p>
    <w:p w:rsidR="00392F6F" w:rsidRPr="00DF23DA" w:rsidRDefault="00392F6F" w:rsidP="00392F6F">
      <w:pPr>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DF23DA">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92F6F" w:rsidRPr="00DF23DA" w:rsidRDefault="00392F6F" w:rsidP="00392F6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xml:space="preserve">, cuya esencia consiste en atribuir un efecto negativo al silencio de la autoridad administrativa frente a las </w:t>
      </w:r>
      <w:r w:rsidRPr="00DF23DA">
        <w:rPr>
          <w:rFonts w:ascii="Palatino Linotype" w:hAnsi="Palatino Linotype" w:cs="Arial"/>
          <w:sz w:val="24"/>
          <w:szCs w:val="24"/>
        </w:rPr>
        <w:lastRenderedPageBreak/>
        <w:t>instancias y solicitudes que hagan los particulares. Por su parte el artículo 178 de la Ley de Transparencia y Acceso a la Información Pública del Estado de México y Municipios, establece:</w:t>
      </w:r>
    </w:p>
    <w:p w:rsidR="00392F6F" w:rsidRPr="00DF23DA" w:rsidRDefault="00392F6F" w:rsidP="00392F6F">
      <w:pPr>
        <w:spacing w:after="0" w:line="240" w:lineRule="auto"/>
        <w:rPr>
          <w:rFonts w:ascii="Palatino Linotype" w:hAnsi="Palatino Linotype"/>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92F6F" w:rsidRPr="00DF23DA" w:rsidRDefault="00392F6F" w:rsidP="00392F6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92F6F" w:rsidRPr="00DF23DA" w:rsidRDefault="00392F6F" w:rsidP="00392F6F">
      <w:pPr>
        <w:pStyle w:val="Prrafodelista"/>
        <w:autoSpaceDE w:val="0"/>
        <w:autoSpaceDN w:val="0"/>
        <w:adjustRightInd w:val="0"/>
        <w:spacing w:line="360" w:lineRule="auto"/>
        <w:ind w:left="0"/>
        <w:jc w:val="both"/>
        <w:rPr>
          <w:rFonts w:ascii="Palatino Linotype" w:hAnsi="Palatino Linotype" w:cs="Arial"/>
        </w:rPr>
      </w:pPr>
    </w:p>
    <w:p w:rsidR="00392F6F" w:rsidRPr="00DF23DA" w:rsidRDefault="00392F6F" w:rsidP="00392F6F">
      <w:pPr>
        <w:pStyle w:val="Prrafodelista"/>
        <w:autoSpaceDE w:val="0"/>
        <w:autoSpaceDN w:val="0"/>
        <w:adjustRightInd w:val="0"/>
        <w:spacing w:line="360" w:lineRule="auto"/>
        <w:ind w:left="0"/>
        <w:jc w:val="both"/>
        <w:rPr>
          <w:rFonts w:ascii="Palatino Linotype" w:hAnsi="Palatino Linotype" w:cs="Arial"/>
          <w:lang w:val="es-MX"/>
        </w:rPr>
      </w:pPr>
    </w:p>
    <w:p w:rsidR="00392F6F" w:rsidRPr="00DF23DA" w:rsidRDefault="00392F6F" w:rsidP="00392F6F">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392F6F" w:rsidRPr="00DF23DA" w:rsidRDefault="00392F6F" w:rsidP="00392F6F">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DF23DA">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w:t>
      </w:r>
      <w:r w:rsidRPr="00DF23DA">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sidRPr="00DF23DA">
        <w:rPr>
          <w:rFonts w:ascii="Palatino Linotype" w:eastAsia="Times New Roman" w:hAnsi="Palatino Linotype" w:cs="Arial"/>
          <w:b/>
          <w:sz w:val="24"/>
          <w:szCs w:val="24"/>
          <w:lang w:val="es-ES" w:eastAsia="es-MX"/>
        </w:rPr>
        <w:t>l</w:t>
      </w:r>
      <w:r>
        <w:rPr>
          <w:rFonts w:ascii="Palatino Linotype" w:eastAsia="Times New Roman" w:hAnsi="Palatino Linotype" w:cs="Arial"/>
          <w:b/>
          <w:sz w:val="24"/>
          <w:szCs w:val="24"/>
          <w:lang w:val="es-ES" w:eastAsia="es-MX"/>
        </w:rPr>
        <w:t>a</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392F6F" w:rsidRPr="00DF23DA" w:rsidRDefault="00392F6F" w:rsidP="00392F6F">
      <w:pPr>
        <w:spacing w:after="0" w:line="360" w:lineRule="auto"/>
        <w:contextualSpacing/>
        <w:jc w:val="both"/>
        <w:rPr>
          <w:rFonts w:ascii="Palatino Linotype" w:eastAsia="Times New Roman" w:hAnsi="Palatino Linotype" w:cs="Times New Roman"/>
          <w:sz w:val="24"/>
          <w:szCs w:val="24"/>
          <w:lang w:val="es-ES" w:eastAsia="es-MX"/>
        </w:rPr>
      </w:pP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92F6F" w:rsidRPr="00DF23DA" w:rsidRDefault="00392F6F" w:rsidP="00392F6F">
      <w:pPr>
        <w:spacing w:after="0" w:line="240" w:lineRule="auto"/>
        <w:ind w:left="709" w:right="567"/>
        <w:jc w:val="both"/>
        <w:rPr>
          <w:rFonts w:ascii="Palatino Linotype" w:hAnsi="Palatino Linotype" w:cs="Arial"/>
          <w:b/>
          <w:bCs/>
          <w:i/>
        </w:rPr>
      </w:pP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92F6F" w:rsidRPr="001722F5"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392F6F" w:rsidRPr="00DF23DA" w:rsidRDefault="00392F6F" w:rsidP="00392F6F">
      <w:pPr>
        <w:spacing w:after="0" w:line="240" w:lineRule="auto"/>
        <w:ind w:left="709" w:right="567"/>
        <w:jc w:val="both"/>
        <w:rPr>
          <w:rFonts w:ascii="Palatino Linotype" w:hAnsi="Palatino Linotype" w:cs="Arial"/>
          <w:bCs/>
          <w:i/>
        </w:rPr>
      </w:pPr>
    </w:p>
    <w:p w:rsidR="00392F6F" w:rsidRPr="00DF23DA" w:rsidRDefault="00392F6F" w:rsidP="00392F6F">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392F6F" w:rsidRPr="00DF23DA" w:rsidRDefault="00392F6F" w:rsidP="00392F6F">
      <w:pPr>
        <w:spacing w:after="0" w:line="240" w:lineRule="auto"/>
        <w:ind w:left="709" w:right="567"/>
        <w:jc w:val="both"/>
        <w:rPr>
          <w:rFonts w:ascii="Palatino Linotype" w:hAnsi="Palatino Linotype" w:cs="Arial"/>
          <w:bCs/>
          <w:i/>
        </w:rPr>
      </w:pP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92F6F" w:rsidRPr="00DF23DA" w:rsidRDefault="00392F6F" w:rsidP="00392F6F">
      <w:pPr>
        <w:spacing w:after="0" w:line="240" w:lineRule="auto"/>
        <w:ind w:left="709" w:right="567"/>
        <w:jc w:val="both"/>
        <w:rPr>
          <w:rFonts w:ascii="Palatino Linotype" w:hAnsi="Palatino Linotype" w:cs="Arial"/>
          <w:bCs/>
          <w:i/>
        </w:rPr>
      </w:pPr>
    </w:p>
    <w:p w:rsidR="00392F6F" w:rsidRPr="00DF23DA" w:rsidRDefault="00392F6F" w:rsidP="00392F6F">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392F6F" w:rsidRDefault="00392F6F" w:rsidP="00392F6F">
      <w:pPr>
        <w:spacing w:after="0" w:line="360" w:lineRule="auto"/>
        <w:contextualSpacing/>
        <w:jc w:val="both"/>
        <w:rPr>
          <w:rFonts w:ascii="Palatino Linotype" w:hAnsi="Palatino Linotype" w:cs="Arial"/>
          <w:bCs/>
        </w:rPr>
      </w:pPr>
    </w:p>
    <w:p w:rsidR="00392F6F" w:rsidRPr="00DF23DA" w:rsidRDefault="00392F6F" w:rsidP="00392F6F">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92F6F" w:rsidRPr="00DF23DA" w:rsidRDefault="00392F6F" w:rsidP="00392F6F">
      <w:pPr>
        <w:spacing w:after="0" w:line="360" w:lineRule="auto"/>
        <w:contextualSpacing/>
        <w:jc w:val="both"/>
        <w:rPr>
          <w:rFonts w:ascii="Palatino Linotype" w:eastAsia="Times New Roman" w:hAnsi="Palatino Linotype" w:cs="Arial"/>
          <w:color w:val="000000"/>
          <w:sz w:val="24"/>
          <w:szCs w:val="24"/>
          <w:lang w:val="es-ES_tradnl" w:eastAsia="es-ES"/>
        </w:rPr>
      </w:pPr>
    </w:p>
    <w:p w:rsidR="00392F6F" w:rsidRPr="00DF23DA" w:rsidRDefault="00392F6F" w:rsidP="00392F6F">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92F6F" w:rsidRPr="00DF23DA" w:rsidRDefault="00392F6F" w:rsidP="00392F6F">
      <w:pPr>
        <w:spacing w:after="0" w:line="360" w:lineRule="auto"/>
        <w:contextualSpacing/>
        <w:jc w:val="both"/>
        <w:rPr>
          <w:rFonts w:ascii="Palatino Linotype" w:eastAsia="MS Mincho" w:hAnsi="Palatino Linotype" w:cs="Times New Roman"/>
          <w:sz w:val="24"/>
          <w:szCs w:val="24"/>
          <w:lang w:val="es-ES_tradnl" w:eastAsia="es-ES"/>
        </w:rPr>
      </w:pPr>
    </w:p>
    <w:p w:rsidR="00392F6F" w:rsidRPr="00DF23DA" w:rsidRDefault="00392F6F" w:rsidP="00392F6F">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392F6F" w:rsidRPr="00DF23DA" w:rsidRDefault="00392F6F" w:rsidP="00392F6F">
      <w:pPr>
        <w:spacing w:after="0" w:line="360" w:lineRule="auto"/>
        <w:contextualSpacing/>
        <w:jc w:val="both"/>
        <w:rPr>
          <w:rFonts w:ascii="Palatino Linotype" w:eastAsia="Times New Roman" w:hAnsi="Palatino Linotype" w:cs="Times New Roman"/>
          <w:sz w:val="24"/>
          <w:szCs w:val="24"/>
          <w:lang w:val="es-ES" w:eastAsia="es-MX"/>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xml:space="preserve">, se aprecia que objetivamente </w:t>
      </w:r>
      <w:r w:rsidRPr="00DF23D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entregada por el sistema SAIMEX, lo siguiente:</w:t>
      </w:r>
    </w:p>
    <w:p w:rsidR="00E91BE7" w:rsidRDefault="00E91BE7" w:rsidP="00E91BE7">
      <w:pPr>
        <w:pStyle w:val="INFOEM"/>
        <w:numPr>
          <w:ilvl w:val="0"/>
          <w:numId w:val="5"/>
        </w:numPr>
        <w:ind w:right="-18"/>
        <w:rPr>
          <w:rFonts w:eastAsia="Times New Roman" w:cs="Arial"/>
          <w:i w:val="0"/>
          <w:sz w:val="24"/>
          <w:szCs w:val="24"/>
          <w:lang w:eastAsia="es-ES"/>
        </w:rPr>
      </w:pPr>
      <w:r w:rsidRPr="00E91BE7">
        <w:rPr>
          <w:rFonts w:eastAsia="Times New Roman" w:cs="Arial"/>
          <w:i w:val="0"/>
          <w:sz w:val="24"/>
          <w:szCs w:val="24"/>
          <w:lang w:eastAsia="es-ES"/>
        </w:rPr>
        <w:t xml:space="preserve">Monto mensual recaudado de enero a octubre del 2022, por concepto de multas por faltas administrativas cometidas por los ciudadanos del municipio. </w:t>
      </w:r>
    </w:p>
    <w:p w:rsidR="00392F6F" w:rsidRPr="007C73F7" w:rsidRDefault="00392F6F" w:rsidP="00392F6F">
      <w:pPr>
        <w:pStyle w:val="INFOEM"/>
        <w:ind w:left="0" w:right="-18"/>
        <w:rPr>
          <w:bCs/>
          <w:i w:val="0"/>
          <w:iCs/>
          <w:sz w:val="24"/>
          <w:szCs w:val="24"/>
        </w:rPr>
      </w:pPr>
      <w:r w:rsidRPr="007C73F7">
        <w:rPr>
          <w:bCs/>
          <w:i w:val="0"/>
          <w:iCs/>
          <w:sz w:val="24"/>
          <w:szCs w:val="24"/>
        </w:rPr>
        <w:t xml:space="preserve">Bajo este contexto, resulta oportuno traer a colación el organigrama del </w:t>
      </w:r>
      <w:r w:rsidRPr="007C73F7">
        <w:rPr>
          <w:b/>
          <w:i w:val="0"/>
          <w:iCs/>
          <w:sz w:val="24"/>
          <w:szCs w:val="24"/>
        </w:rPr>
        <w:t xml:space="preserve">Sujeto Obligado </w:t>
      </w:r>
      <w:r w:rsidRPr="007C73F7">
        <w:rPr>
          <w:bCs/>
          <w:i w:val="0"/>
          <w:iCs/>
          <w:sz w:val="24"/>
          <w:szCs w:val="24"/>
        </w:rPr>
        <w:t>susceptible de ser consultado en la siguiente dirección electrónica:</w:t>
      </w:r>
    </w:p>
    <w:p w:rsidR="00392F6F" w:rsidRPr="00924436" w:rsidRDefault="00BE2538" w:rsidP="00392F6F">
      <w:pPr>
        <w:pStyle w:val="Sinespaciado"/>
        <w:numPr>
          <w:ilvl w:val="0"/>
          <w:numId w:val="3"/>
        </w:numPr>
        <w:spacing w:line="360" w:lineRule="auto"/>
        <w:jc w:val="both"/>
        <w:rPr>
          <w:rStyle w:val="Hipervnculo"/>
          <w:rFonts w:ascii="Palatino Linotype" w:hAnsi="Palatino Linotype"/>
          <w:bCs/>
          <w:color w:val="auto"/>
          <w:u w:val="none"/>
        </w:rPr>
      </w:pPr>
      <w:hyperlink r:id="rId7" w:history="1">
        <w:r w:rsidR="00392F6F" w:rsidRPr="005130F0">
          <w:rPr>
            <w:rStyle w:val="Hipervnculo"/>
            <w:rFonts w:ascii="Palatino Linotype" w:eastAsiaTheme="minorHAnsi" w:hAnsi="Palatino Linotype" w:cstheme="minorBidi"/>
            <w:bCs/>
            <w:iCs/>
            <w:lang w:eastAsia="en-US"/>
          </w:rPr>
          <w:t>https://www.ixtapaluca22-24.com.mx/_files/ugd/64678c_856631203c88408db6d7f0cdc690637e.pdf</w:t>
        </w:r>
      </w:hyperlink>
    </w:p>
    <w:p w:rsidR="00392F6F" w:rsidRDefault="00392F6F" w:rsidP="00392F6F">
      <w:pPr>
        <w:pStyle w:val="Sinespaciado"/>
        <w:spacing w:line="360" w:lineRule="auto"/>
        <w:ind w:left="720"/>
        <w:jc w:val="both"/>
        <w:rPr>
          <w:rFonts w:ascii="Palatino Linotype" w:hAnsi="Palatino Linotype"/>
          <w:bCs/>
          <w:noProof/>
          <w:lang w:eastAsia="es-MX"/>
        </w:rPr>
      </w:pPr>
    </w:p>
    <w:p w:rsidR="00392F6F" w:rsidRDefault="00392F6F" w:rsidP="00392F6F">
      <w:pPr>
        <w:pStyle w:val="Sinespaciado"/>
        <w:spacing w:line="360" w:lineRule="auto"/>
        <w:ind w:left="720"/>
        <w:jc w:val="both"/>
        <w:rPr>
          <w:rFonts w:ascii="Palatino Linotype" w:hAnsi="Palatino Linotype"/>
          <w:bCs/>
        </w:rPr>
      </w:pPr>
      <w:r>
        <w:rPr>
          <w:rFonts w:ascii="Palatino Linotype" w:hAnsi="Palatino Linotype"/>
          <w:bCs/>
          <w:noProof/>
          <w:lang w:eastAsia="es-MX"/>
        </w:rPr>
        <w:drawing>
          <wp:inline distT="0" distB="0" distL="0" distR="0" wp14:anchorId="171A6C82" wp14:editId="6BC17A23">
            <wp:extent cx="5760720" cy="32010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443E7.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201035"/>
                    </a:xfrm>
                    <a:prstGeom prst="rect">
                      <a:avLst/>
                    </a:prstGeom>
                  </pic:spPr>
                </pic:pic>
              </a:graphicData>
            </a:graphic>
          </wp:inline>
        </w:drawing>
      </w:r>
    </w:p>
    <w:p w:rsidR="00392F6F" w:rsidRDefault="00392F6F" w:rsidP="00392F6F">
      <w:pPr>
        <w:pStyle w:val="Sinespaciado"/>
        <w:spacing w:line="360" w:lineRule="auto"/>
        <w:jc w:val="both"/>
        <w:rPr>
          <w:rFonts w:ascii="Palatino Linotype" w:hAnsi="Palatino Linotype"/>
          <w:bCs/>
          <w:i/>
          <w:sz w:val="22"/>
        </w:rPr>
      </w:pPr>
    </w:p>
    <w:p w:rsidR="00392F6F" w:rsidRPr="003F3A30" w:rsidRDefault="00392F6F" w:rsidP="00392F6F">
      <w:pPr>
        <w:pStyle w:val="Sinespaciado"/>
        <w:spacing w:line="360" w:lineRule="auto"/>
        <w:jc w:val="both"/>
        <w:rPr>
          <w:rFonts w:ascii="Palatino Linotype" w:hAnsi="Palatino Linotype"/>
          <w:bCs/>
          <w:sz w:val="22"/>
        </w:rPr>
      </w:pPr>
      <w:r>
        <w:rPr>
          <w:rFonts w:ascii="Palatino Linotype" w:hAnsi="Palatino Linotype"/>
          <w:bCs/>
          <w:noProof/>
          <w:sz w:val="22"/>
          <w:lang w:eastAsia="es-MX"/>
        </w:rPr>
        <w:lastRenderedPageBreak/>
        <w:drawing>
          <wp:inline distT="0" distB="0" distL="0" distR="0" wp14:anchorId="7877726B" wp14:editId="196D6DAE">
            <wp:extent cx="5760720" cy="11442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C4FDDE.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rsidR="00392F6F" w:rsidRDefault="00392F6F" w:rsidP="00392F6F">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w:t>
      </w:r>
      <w:r w:rsidR="0069664C">
        <w:rPr>
          <w:rFonts w:ascii="Palatino Linotype" w:hAnsi="Palatino Linotype" w:cs="Arial"/>
        </w:rPr>
        <w:t xml:space="preserve"> Dirección Jurídica y la </w:t>
      </w:r>
      <w:r>
        <w:rPr>
          <w:rFonts w:ascii="Palatino Linotype" w:hAnsi="Palatino Linotype"/>
          <w:bCs/>
        </w:rPr>
        <w:t>Dirección de Administración y Finanzas</w:t>
      </w:r>
      <w:r w:rsidR="0069664C">
        <w:rPr>
          <w:rFonts w:ascii="Palatino Linotype" w:hAnsi="Palatino Linotype"/>
          <w:bCs/>
        </w:rPr>
        <w:t xml:space="preserve"> (Tesorería)</w:t>
      </w:r>
      <w:r>
        <w:rPr>
          <w:rFonts w:ascii="Palatino Linotype" w:hAnsi="Palatino Linotype"/>
          <w:bCs/>
        </w:rPr>
        <w:t>.</w:t>
      </w:r>
    </w:p>
    <w:p w:rsidR="00392F6F" w:rsidRDefault="00392F6F" w:rsidP="00392F6F">
      <w:pPr>
        <w:spacing w:after="0" w:line="360" w:lineRule="auto"/>
        <w:ind w:right="214"/>
        <w:jc w:val="both"/>
        <w:rPr>
          <w:rFonts w:ascii="Palatino Linotype" w:hAnsi="Palatino Linotype" w:cs="Arial"/>
          <w:sz w:val="24"/>
          <w:szCs w:val="24"/>
        </w:rPr>
      </w:pPr>
    </w:p>
    <w:p w:rsidR="00392F6F" w:rsidRDefault="00392F6F" w:rsidP="00392F6F">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traer a colación los artículos 74</w:t>
      </w:r>
      <w:r w:rsidR="0069664C">
        <w:rPr>
          <w:rFonts w:ascii="Palatino Linotype" w:hAnsi="Palatino Linotype" w:cs="Arial"/>
          <w:sz w:val="24"/>
          <w:szCs w:val="24"/>
        </w:rPr>
        <w:t>, 259 y 260</w:t>
      </w:r>
      <w:r>
        <w:rPr>
          <w:rFonts w:ascii="Palatino Linotype" w:hAnsi="Palatino Linotype" w:cs="Arial"/>
          <w:sz w:val="24"/>
          <w:szCs w:val="24"/>
        </w:rPr>
        <w:t xml:space="preserve"> del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Ixtapaluca</w:t>
      </w:r>
      <w:r w:rsidRPr="00500272">
        <w:rPr>
          <w:rFonts w:ascii="Palatino Linotype" w:hAnsi="Palatino Linotype" w:cs="Arial"/>
          <w:sz w:val="24"/>
          <w:szCs w:val="24"/>
        </w:rPr>
        <w:t>, porciones normativas que disponen a la literalidad lo siguiente:</w:t>
      </w:r>
    </w:p>
    <w:p w:rsidR="00392F6F" w:rsidRDefault="00392F6F" w:rsidP="00392F6F">
      <w:pPr>
        <w:spacing w:after="0" w:line="256" w:lineRule="auto"/>
        <w:ind w:right="214"/>
        <w:jc w:val="both"/>
        <w:rPr>
          <w:rFonts w:ascii="Palatino Linotype" w:hAnsi="Palatino Linotype" w:cs="Arial"/>
          <w:b/>
          <w:sz w:val="24"/>
          <w:szCs w:val="24"/>
        </w:rPr>
      </w:pPr>
    </w:p>
    <w:p w:rsidR="00392F6F" w:rsidRDefault="00392F6F" w:rsidP="00392F6F">
      <w:pPr>
        <w:pStyle w:val="Prrafodelista"/>
        <w:spacing w:line="360" w:lineRule="auto"/>
        <w:ind w:left="720" w:right="567"/>
        <w:jc w:val="both"/>
        <w:rPr>
          <w:rFonts w:ascii="Palatino Linotype" w:hAnsi="Palatino Linotype"/>
          <w:i/>
          <w:sz w:val="22"/>
        </w:rPr>
      </w:pPr>
    </w:p>
    <w:p w:rsidR="00392F6F" w:rsidRDefault="00392F6F" w:rsidP="0069664C">
      <w:pPr>
        <w:pStyle w:val="INFOEM"/>
        <w:spacing w:line="276" w:lineRule="auto"/>
      </w:pPr>
      <w:r w:rsidRPr="00B16083">
        <w:rPr>
          <w:b/>
          <w:bCs/>
        </w:rPr>
        <w:t>ARTÍCULO 74.-</w:t>
      </w:r>
      <w:r w:rsidRPr="005472DC">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rsidR="00392F6F" w:rsidRDefault="00392F6F" w:rsidP="0069664C">
      <w:pPr>
        <w:pStyle w:val="INFOEM"/>
        <w:spacing w:line="276" w:lineRule="auto"/>
      </w:pPr>
      <w:r w:rsidRPr="005472DC">
        <w:t xml:space="preserve">I. Direcciones: </w:t>
      </w:r>
    </w:p>
    <w:p w:rsidR="00392F6F" w:rsidRDefault="00392F6F" w:rsidP="0069664C">
      <w:pPr>
        <w:pStyle w:val="INFOEM"/>
        <w:spacing w:line="276" w:lineRule="auto"/>
      </w:pPr>
      <w:r w:rsidRPr="005472DC">
        <w:t xml:space="preserve">A. La Oficina de la Presidencia; </w:t>
      </w:r>
    </w:p>
    <w:p w:rsidR="00392F6F" w:rsidRDefault="00392F6F" w:rsidP="0069664C">
      <w:pPr>
        <w:pStyle w:val="INFOEM"/>
        <w:spacing w:line="276" w:lineRule="auto"/>
      </w:pPr>
      <w:r w:rsidRPr="005472DC">
        <w:t xml:space="preserve">B. La Secretaría del Ayuntamiento (en su función administrativa); </w:t>
      </w:r>
    </w:p>
    <w:p w:rsidR="00392F6F" w:rsidRDefault="00392F6F" w:rsidP="0069664C">
      <w:pPr>
        <w:pStyle w:val="INFOEM"/>
        <w:spacing w:line="276" w:lineRule="auto"/>
      </w:pPr>
      <w:r w:rsidRPr="005472DC">
        <w:t xml:space="preserve">C. La Dirección de Gobierno. </w:t>
      </w:r>
    </w:p>
    <w:p w:rsidR="00392F6F" w:rsidRPr="00803337" w:rsidRDefault="00392F6F" w:rsidP="0069664C">
      <w:pPr>
        <w:pStyle w:val="INFOEM"/>
        <w:spacing w:line="276" w:lineRule="auto"/>
        <w:rPr>
          <w:u w:val="single"/>
        </w:rPr>
      </w:pPr>
      <w:r w:rsidRPr="00803337">
        <w:rPr>
          <w:u w:val="single"/>
        </w:rPr>
        <w:t xml:space="preserve">D. La Dirección de Administración y Finanzas. (Tesorería); </w:t>
      </w:r>
    </w:p>
    <w:p w:rsidR="00392F6F" w:rsidRDefault="00392F6F" w:rsidP="0069664C">
      <w:pPr>
        <w:pStyle w:val="INFOEM"/>
        <w:spacing w:line="276" w:lineRule="auto"/>
      </w:pPr>
      <w:r w:rsidRPr="005472DC">
        <w:t>E. La Contraloría Municipal;</w:t>
      </w:r>
    </w:p>
    <w:p w:rsidR="0069664C" w:rsidRDefault="00E91BE7" w:rsidP="0069664C">
      <w:pPr>
        <w:pStyle w:val="INFOEM"/>
        <w:spacing w:line="276" w:lineRule="auto"/>
      </w:pPr>
      <w:r w:rsidRPr="00E91BE7">
        <w:rPr>
          <w:b/>
        </w:rPr>
        <w:lastRenderedPageBreak/>
        <w:t>Artículo 259.-</w:t>
      </w:r>
      <w:r w:rsidRPr="00E91BE7">
        <w:t xml:space="preserve"> Son facultades y obligaciones de: </w:t>
      </w:r>
    </w:p>
    <w:p w:rsidR="0069664C" w:rsidRDefault="00E91BE7" w:rsidP="0069664C">
      <w:pPr>
        <w:pStyle w:val="INFOEM"/>
        <w:spacing w:line="276" w:lineRule="auto"/>
      </w:pPr>
      <w:r w:rsidRPr="0069664C">
        <w:rPr>
          <w:b/>
        </w:rPr>
        <w:t>II -</w:t>
      </w:r>
      <w:r w:rsidRPr="00E91BE7">
        <w:t xml:space="preserve"> </w:t>
      </w:r>
      <w:r w:rsidRPr="0069664C">
        <w:rPr>
          <w:b/>
        </w:rPr>
        <w:t>Los Oficiales Calificadores:</w:t>
      </w:r>
      <w:r w:rsidRPr="00E91BE7">
        <w:t xml:space="preserve"> </w:t>
      </w:r>
    </w:p>
    <w:p w:rsidR="0069664C" w:rsidRDefault="00E91BE7" w:rsidP="0069664C">
      <w:pPr>
        <w:pStyle w:val="INFOEM"/>
        <w:spacing w:line="276" w:lineRule="auto"/>
      </w:pPr>
      <w:r w:rsidRPr="00E91BE7">
        <w:t xml:space="preserve">a). Conocer, calificar e </w:t>
      </w:r>
      <w:r w:rsidRPr="0069664C">
        <w:rPr>
          <w:b/>
        </w:rPr>
        <w:t>imponer sanciones administrativas</w:t>
      </w:r>
      <w:r w:rsidRPr="00E91BE7">
        <w:t xml:space="preserve">, conforme al bando municipal reglamentos y demás disposiciones de carácter general; </w:t>
      </w:r>
    </w:p>
    <w:p w:rsidR="0069664C" w:rsidRDefault="00E91BE7" w:rsidP="0069664C">
      <w:pPr>
        <w:pStyle w:val="INFOEM"/>
        <w:spacing w:line="276" w:lineRule="auto"/>
      </w:pPr>
      <w:r w:rsidRPr="00E91BE7">
        <w:t xml:space="preserve">b). Apoyar a la autoridad municipal que correspondan en la conservación del orden público y la verificación de daños, que en su caso se causen a los bienes propiedad municipal haciéndolo sabes a quien correspondan; </w:t>
      </w:r>
    </w:p>
    <w:p w:rsidR="0069664C" w:rsidRDefault="00E91BE7" w:rsidP="0069664C">
      <w:pPr>
        <w:pStyle w:val="INFOEM"/>
        <w:spacing w:line="276" w:lineRule="auto"/>
      </w:pPr>
      <w:r w:rsidRPr="00E91BE7">
        <w:t xml:space="preserve">c). Conocer mediar, conciliar y ser arbitro en los accidentes ocasionados con motivo de hechos de tránsito vehicular cuando existan conflicto de interés, siempre que se trate de daños materiales en propiedad privada y en su caso lesiones a la que refiere la fracción I del artículo 237 del Código Penal del Estado de México; </w:t>
      </w:r>
    </w:p>
    <w:p w:rsidR="0069664C" w:rsidRDefault="00E91BE7" w:rsidP="0069664C">
      <w:pPr>
        <w:pStyle w:val="INFOEM"/>
        <w:spacing w:line="276" w:lineRule="auto"/>
      </w:pPr>
      <w:r w:rsidRPr="00E91BE7">
        <w:t xml:space="preserve">d). Las demás que señalen las disposiciones relativas. </w:t>
      </w:r>
    </w:p>
    <w:p w:rsidR="00E91BE7" w:rsidRDefault="00E91BE7" w:rsidP="0069664C">
      <w:pPr>
        <w:pStyle w:val="INFOEM"/>
        <w:spacing w:line="276" w:lineRule="auto"/>
      </w:pPr>
      <w:r w:rsidRPr="0069664C">
        <w:rPr>
          <w:b/>
        </w:rPr>
        <w:t>Artículo 260.-</w:t>
      </w:r>
      <w:r w:rsidRPr="00E91BE7">
        <w:t xml:space="preserve"> Las y los Oficiales Mediadores-Conciliadores y Calificadores, las y los asesores jurídicos de barandilla y médicos en turno, dependerán directamente de la Dirección Jurídica del Ayuntamiento de Ixtapaluca, el cual se apoyará con un Coordinador, quien se encargará de vigilar el buen funcionamiento de las Oficialas Mediadoras-Conciliadoras y Calificadoras del Municipio.</w:t>
      </w:r>
    </w:p>
    <w:p w:rsidR="00C8704F" w:rsidRDefault="00C8704F" w:rsidP="00C8704F">
      <w:pPr>
        <w:spacing w:after="0" w:line="360" w:lineRule="auto"/>
        <w:jc w:val="both"/>
        <w:rPr>
          <w:rFonts w:ascii="Palatino Linotype" w:hAnsi="Palatino Linotype" w:cs="Arial"/>
          <w:sz w:val="24"/>
          <w:szCs w:val="24"/>
        </w:rPr>
      </w:pPr>
    </w:p>
    <w:p w:rsidR="00C8704F" w:rsidRPr="0053681B" w:rsidRDefault="00C8704F" w:rsidP="00C8704F">
      <w:pPr>
        <w:spacing w:after="0" w:line="360" w:lineRule="auto"/>
        <w:jc w:val="both"/>
        <w:rPr>
          <w:rFonts w:ascii="Palatino Linotype" w:hAnsi="Palatino Linotype"/>
          <w:sz w:val="24"/>
          <w:szCs w:val="24"/>
        </w:rPr>
      </w:pPr>
      <w:r w:rsidRPr="0053681B">
        <w:rPr>
          <w:rFonts w:ascii="Palatino Linotype" w:hAnsi="Palatino Linotype" w:cs="Arial"/>
          <w:sz w:val="24"/>
          <w:szCs w:val="24"/>
        </w:rPr>
        <w:t xml:space="preserve">En virtud de lo anterior, </w:t>
      </w:r>
      <w:r w:rsidRPr="0053681B">
        <w:rPr>
          <w:rFonts w:ascii="Palatino Linotype" w:hAnsi="Palatino Linotype"/>
          <w:sz w:val="24"/>
          <w:szCs w:val="24"/>
        </w:rPr>
        <w:t xml:space="preserve">y para delimitar esferas competenciales se procede al estudio del marco normativo que rige el actuar del </w:t>
      </w:r>
      <w:r w:rsidRPr="0053681B">
        <w:rPr>
          <w:rFonts w:ascii="Palatino Linotype" w:hAnsi="Palatino Linotype"/>
          <w:b/>
          <w:sz w:val="24"/>
          <w:szCs w:val="24"/>
        </w:rPr>
        <w:t>Sujeto Obligado</w:t>
      </w:r>
      <w:r w:rsidRPr="0053681B">
        <w:rPr>
          <w:rFonts w:ascii="Palatino Linotype" w:hAnsi="Palatino Linotype"/>
          <w:sz w:val="24"/>
          <w:szCs w:val="24"/>
        </w:rPr>
        <w:t>, para lo cual resulta oportuno traer a colación el artículo 87</w:t>
      </w:r>
      <w:r>
        <w:rPr>
          <w:rFonts w:ascii="Palatino Linotype" w:hAnsi="Palatino Linotype"/>
          <w:sz w:val="24"/>
          <w:szCs w:val="24"/>
        </w:rPr>
        <w:t>, 93, 94</w:t>
      </w:r>
      <w:r w:rsidRPr="0053681B">
        <w:rPr>
          <w:rFonts w:ascii="Palatino Linotype" w:hAnsi="Palatino Linotype"/>
          <w:sz w:val="24"/>
          <w:szCs w:val="24"/>
        </w:rPr>
        <w:t xml:space="preserve"> y 95, fracciones I, IV, V, XVI y XVII de la Ley Orgánica Municipal del Estado de México; porciones normativas que disponen a la literalidad lo siguiente: </w:t>
      </w:r>
    </w:p>
    <w:p w:rsidR="00C8704F" w:rsidRPr="0053681B" w:rsidRDefault="00C8704F" w:rsidP="00C8704F">
      <w:pPr>
        <w:spacing w:after="0" w:line="360" w:lineRule="auto"/>
        <w:jc w:val="both"/>
        <w:rPr>
          <w:rFonts w:ascii="Palatino Linotype" w:hAnsi="Palatino Linotype"/>
          <w:sz w:val="24"/>
          <w:szCs w:val="24"/>
        </w:rPr>
      </w:pPr>
    </w:p>
    <w:p w:rsidR="00C8704F" w:rsidRPr="0053681B" w:rsidRDefault="00C8704F" w:rsidP="00C8704F">
      <w:pPr>
        <w:spacing w:after="0" w:line="240" w:lineRule="auto"/>
        <w:ind w:left="567" w:right="567"/>
        <w:jc w:val="center"/>
        <w:rPr>
          <w:rFonts w:ascii="Palatino Linotype" w:hAnsi="Palatino Linotype"/>
          <w:b/>
          <w:i/>
          <w:szCs w:val="24"/>
        </w:rPr>
      </w:pPr>
      <w:r w:rsidRPr="0053681B">
        <w:rPr>
          <w:rFonts w:ascii="Palatino Linotype" w:hAnsi="Palatino Linotype"/>
          <w:b/>
          <w:i/>
          <w:szCs w:val="24"/>
        </w:rPr>
        <w:t>LEY ORGÁNICA MUNICIPAL DEL ESTADO DE MÉXICO</w:t>
      </w:r>
    </w:p>
    <w:p w:rsidR="00C8704F" w:rsidRPr="0053681B" w:rsidRDefault="00C8704F" w:rsidP="00C8704F">
      <w:pPr>
        <w:spacing w:after="0" w:line="240" w:lineRule="auto"/>
        <w:ind w:left="567" w:right="567"/>
        <w:jc w:val="both"/>
        <w:rPr>
          <w:rFonts w:ascii="Palatino Linotype" w:hAnsi="Palatino Linotype"/>
          <w:i/>
          <w:szCs w:val="24"/>
        </w:rPr>
      </w:pP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lastRenderedPageBreak/>
        <w:t>“</w:t>
      </w:r>
      <w:r w:rsidRPr="0053681B">
        <w:rPr>
          <w:rFonts w:ascii="Palatino Linotype" w:hAnsi="Palatino Linotype"/>
          <w:b/>
          <w:i/>
          <w:szCs w:val="24"/>
        </w:rPr>
        <w:t xml:space="preserve">Artículo 87.- </w:t>
      </w:r>
      <w:r w:rsidRPr="0053681B">
        <w:rPr>
          <w:rFonts w:ascii="Palatino Linotype" w:hAnsi="Palatino Linotype"/>
          <w:i/>
          <w:szCs w:val="24"/>
        </w:rPr>
        <w:t>Para el despacho, estudio y planeación de los diversos asuntos de la administración municipal, el ayuntamiento contará por lo menos con las siguientes Dependencias:</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I. La secretaría del ayuntamiento;</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u w:val="single"/>
        </w:rPr>
        <w:t>II. La tesorería municipal</w:t>
      </w:r>
      <w:r w:rsidRPr="0053681B">
        <w:rPr>
          <w:rFonts w:ascii="Palatino Linotype" w:hAnsi="Palatino Linotype"/>
          <w:i/>
          <w:szCs w:val="24"/>
        </w:rPr>
        <w:t>.</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III. La Dirección de Obras Públicas o equivalente.</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IV. La Dirección de Desarrollo Económico o equivalente.</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V. La Dirección de Desarrollo Urbano o equivalente;</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VI. La Dirección de Ecología o equivalente.</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VII. La Dirección de Desarrollo Social o equivalente.</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VIII. La Coordinación Municipal de Protección Civil o equivalente.</w:t>
      </w:r>
    </w:p>
    <w:p w:rsidR="00C8704F"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IX. La Dirección de las Mujeres o equivalente.”</w:t>
      </w:r>
    </w:p>
    <w:p w:rsidR="00C8704F" w:rsidRPr="0053681B" w:rsidRDefault="00C8704F" w:rsidP="00C8704F">
      <w:pPr>
        <w:spacing w:after="0" w:line="240" w:lineRule="auto"/>
        <w:ind w:left="567" w:right="567"/>
        <w:jc w:val="both"/>
        <w:rPr>
          <w:rFonts w:ascii="Palatino Linotype" w:hAnsi="Palatino Linotype"/>
          <w:i/>
          <w:szCs w:val="24"/>
        </w:rPr>
      </w:pPr>
    </w:p>
    <w:p w:rsidR="00C8704F" w:rsidRDefault="00C8704F" w:rsidP="00C8704F">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rsidR="00C8704F" w:rsidRPr="00C94E05" w:rsidRDefault="00C8704F" w:rsidP="00C8704F">
      <w:pPr>
        <w:spacing w:after="0" w:line="240" w:lineRule="auto"/>
        <w:ind w:left="567" w:right="567"/>
        <w:jc w:val="both"/>
        <w:rPr>
          <w:rFonts w:ascii="Palatino Linotype" w:eastAsia="Calibri" w:hAnsi="Palatino Linotype" w:cs="Arial"/>
          <w:i/>
          <w:lang w:val="es-ES_tradnl"/>
        </w:rPr>
      </w:pPr>
    </w:p>
    <w:p w:rsidR="00C8704F" w:rsidRPr="00C94E05" w:rsidRDefault="00C8704F" w:rsidP="00C8704F">
      <w:pPr>
        <w:spacing w:after="0" w:line="240" w:lineRule="auto"/>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C8704F" w:rsidRDefault="00C8704F" w:rsidP="00C8704F">
      <w:pPr>
        <w:spacing w:after="0" w:line="240" w:lineRule="auto"/>
        <w:ind w:left="851" w:right="851"/>
        <w:jc w:val="both"/>
        <w:rPr>
          <w:rFonts w:ascii="Palatino Linotype" w:eastAsia="Calibri" w:hAnsi="Palatino Linotype" w:cs="Arial"/>
          <w:b/>
          <w:i/>
          <w:lang w:val="es-ES_tradnl"/>
        </w:rPr>
      </w:pPr>
    </w:p>
    <w:p w:rsidR="00C8704F" w:rsidRPr="0053681B" w:rsidRDefault="00C8704F" w:rsidP="00C8704F">
      <w:pPr>
        <w:spacing w:after="0" w:line="240" w:lineRule="auto"/>
        <w:ind w:left="567" w:right="567"/>
        <w:jc w:val="both"/>
        <w:rPr>
          <w:rFonts w:ascii="Palatino Linotype" w:hAnsi="Palatino Linotype"/>
          <w:i/>
          <w:szCs w:val="24"/>
        </w:rPr>
      </w:pP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r w:rsidRPr="0053681B">
        <w:rPr>
          <w:rFonts w:ascii="Palatino Linotype" w:hAnsi="Palatino Linotype"/>
          <w:b/>
          <w:i/>
          <w:szCs w:val="24"/>
        </w:rPr>
        <w:t>Artículo 95.-</w:t>
      </w:r>
      <w:r w:rsidRPr="0053681B">
        <w:rPr>
          <w:rFonts w:ascii="Palatino Linotype" w:hAnsi="Palatino Linotype"/>
          <w:i/>
          <w:szCs w:val="24"/>
        </w:rPr>
        <w:t xml:space="preserve"> Son atribuciones del </w:t>
      </w:r>
      <w:r w:rsidRPr="00E14773">
        <w:rPr>
          <w:rFonts w:ascii="Palatino Linotype" w:hAnsi="Palatino Linotype"/>
          <w:b/>
          <w:i/>
          <w:szCs w:val="24"/>
          <w:u w:val="single"/>
        </w:rPr>
        <w:t>tesorero municipal</w:t>
      </w:r>
      <w:r w:rsidRPr="0053681B">
        <w:rPr>
          <w:rFonts w:ascii="Palatino Linotype" w:hAnsi="Palatino Linotype"/>
          <w:i/>
          <w:szCs w:val="24"/>
        </w:rPr>
        <w:t xml:space="preserve">: </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I. Administrar la hacienda pública municipal, de conformidad con las disposiciones legales aplicables;</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rsidR="00C8704F" w:rsidRPr="0053681B" w:rsidRDefault="00C8704F" w:rsidP="00C8704F">
      <w:pPr>
        <w:spacing w:after="0" w:line="240" w:lineRule="auto"/>
        <w:ind w:left="567" w:right="567"/>
        <w:jc w:val="both"/>
        <w:rPr>
          <w:rFonts w:ascii="Palatino Linotype" w:hAnsi="Palatino Linotype"/>
          <w:i/>
          <w:szCs w:val="24"/>
          <w:u w:val="single"/>
        </w:rPr>
      </w:pPr>
      <w:r w:rsidRPr="0053681B">
        <w:rPr>
          <w:rFonts w:ascii="Palatino Linotype" w:hAnsi="Palatino Linotype"/>
          <w:i/>
          <w:szCs w:val="24"/>
        </w:rPr>
        <w:t>IV</w:t>
      </w:r>
      <w:r w:rsidRPr="0053681B">
        <w:rPr>
          <w:rFonts w:ascii="Palatino Linotype" w:hAnsi="Palatino Linotype"/>
          <w:b/>
          <w:i/>
          <w:szCs w:val="24"/>
          <w:u w:val="single"/>
        </w:rPr>
        <w:t>. Llevar los registros contables, financieros y administrativos de los ingresos, egresos, e inventarios;</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V. Proporcionar oportunamente al ayuntamiento todos los datos o informes que sean necesarios para la formulación del Presupuesto de Egresos Municipales, vigilando que se ajuste a las disposiciones de esta Ley y otros ordenamientos aplicables;</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 xml:space="preserve">XVI. Glosar oportunamente las cuentas del ayuntamiento; </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C8704F" w:rsidRPr="0053681B" w:rsidRDefault="00C8704F" w:rsidP="00C8704F">
      <w:pPr>
        <w:spacing w:after="0" w:line="240" w:lineRule="auto"/>
        <w:ind w:left="567" w:right="567"/>
        <w:jc w:val="both"/>
        <w:rPr>
          <w:rFonts w:ascii="Palatino Linotype" w:hAnsi="Palatino Linotype"/>
          <w:i/>
          <w:szCs w:val="24"/>
        </w:rPr>
      </w:pPr>
      <w:r w:rsidRPr="0053681B">
        <w:rPr>
          <w:rFonts w:ascii="Palatino Linotype" w:hAnsi="Palatino Linotype"/>
          <w:i/>
          <w:szCs w:val="24"/>
        </w:rPr>
        <w:t>(…)” (Sic)</w:t>
      </w:r>
    </w:p>
    <w:p w:rsidR="00C8704F" w:rsidRDefault="00C8704F" w:rsidP="00C8704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C8704F" w:rsidRDefault="00C8704F" w:rsidP="00C8704F">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lastRenderedPageBreak/>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rsidR="00392F6F" w:rsidRPr="0069664C" w:rsidRDefault="00392F6F" w:rsidP="0069664C">
      <w:pPr>
        <w:spacing w:line="276" w:lineRule="auto"/>
        <w:ind w:right="567"/>
        <w:jc w:val="both"/>
        <w:rPr>
          <w:rFonts w:ascii="Palatino Linotype" w:hAnsi="Palatino Linotype"/>
          <w:i/>
        </w:rPr>
      </w:pPr>
    </w:p>
    <w:p w:rsidR="0069664C" w:rsidRDefault="0069664C" w:rsidP="0069664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tercero y sexto,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rsidR="00392F6F" w:rsidRPr="00B16083" w:rsidRDefault="00392F6F" w:rsidP="00392F6F">
      <w:pPr>
        <w:spacing w:line="360" w:lineRule="auto"/>
        <w:jc w:val="both"/>
        <w:rPr>
          <w:rFonts w:ascii="Palatino Linotype" w:hAnsi="Palatino Linotype"/>
          <w:b/>
          <w:i/>
          <w:sz w:val="20"/>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Lo anterior, se acredita atendiendo que en el artículo 5° apartado A la propia fracción I de la Constitución Federal, se establece la excepción de por reservar temporalmente </w:t>
      </w:r>
      <w:r w:rsidRPr="00DF23DA">
        <w:rPr>
          <w:rFonts w:ascii="Palatino Linotype" w:eastAsia="Times New Roman" w:hAnsi="Palatino Linotype" w:cs="Arial"/>
          <w:sz w:val="24"/>
          <w:szCs w:val="24"/>
          <w:lang w:val="es-ES" w:eastAsia="es-ES"/>
        </w:rPr>
        <w:lastRenderedPageBreak/>
        <w:t>la información pública, por razones de interés público y seguridad nacional, entendiéndose lo anterior, como la clasificación como reservada de la información.</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392F6F" w:rsidRPr="0038335F" w:rsidRDefault="00392F6F" w:rsidP="00392F6F">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392F6F" w:rsidRPr="00DF23DA" w:rsidRDefault="00392F6F" w:rsidP="00392F6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392F6F" w:rsidRPr="00DF23DA" w:rsidRDefault="00392F6F" w:rsidP="00392F6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lastRenderedPageBreak/>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lastRenderedPageBreak/>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392F6F" w:rsidRPr="00DF23DA" w:rsidRDefault="00392F6F" w:rsidP="00392F6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392F6F" w:rsidRPr="00DF23DA" w:rsidRDefault="00392F6F" w:rsidP="00392F6F">
      <w:pPr>
        <w:spacing w:after="0" w:line="360" w:lineRule="auto"/>
        <w:jc w:val="both"/>
        <w:rPr>
          <w:rFonts w:ascii="Palatino Linotype" w:hAnsi="Palatino Linotype" w:cs="Arial"/>
          <w:sz w:val="24"/>
          <w:szCs w:val="24"/>
        </w:rPr>
      </w:pPr>
    </w:p>
    <w:p w:rsidR="00392F6F" w:rsidRPr="00DF23DA" w:rsidRDefault="00392F6F" w:rsidP="00392F6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lastRenderedPageBreak/>
        <w:t>De la versión pública</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 xml:space="preserve">obtener el RFC es </w:t>
      </w:r>
      <w:r w:rsidRPr="00DF23DA">
        <w:rPr>
          <w:rFonts w:ascii="Palatino Linotype" w:hAnsi="Palatino Linotype" w:cs="Arial"/>
          <w:i/>
          <w:u w:val="single"/>
        </w:rPr>
        <w:lastRenderedPageBreak/>
        <w:t>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392F6F" w:rsidRPr="00DF23DA" w:rsidRDefault="00392F6F" w:rsidP="00392F6F">
      <w:pPr>
        <w:tabs>
          <w:tab w:val="left" w:pos="8647"/>
        </w:tabs>
        <w:spacing w:after="0" w:line="240" w:lineRule="auto"/>
        <w:ind w:left="567" w:right="567"/>
        <w:jc w:val="both"/>
        <w:rPr>
          <w:rFonts w:ascii="Palatino Linotype" w:hAnsi="Palatino Linotype" w:cs="Arial"/>
          <w:bCs/>
        </w:rPr>
      </w:pPr>
    </w:p>
    <w:p w:rsidR="00392F6F" w:rsidRPr="00DF23DA" w:rsidRDefault="00392F6F" w:rsidP="00392F6F">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lastRenderedPageBreak/>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392F6F" w:rsidRPr="00DF23DA" w:rsidRDefault="00392F6F" w:rsidP="00392F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92F6F" w:rsidRPr="00DF23DA" w:rsidRDefault="00392F6F" w:rsidP="00392F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92F6F" w:rsidRPr="00DF23DA" w:rsidRDefault="00392F6F" w:rsidP="00392F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392F6F" w:rsidRPr="00DF23DA" w:rsidRDefault="00392F6F" w:rsidP="00392F6F">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t>DE LA INFORMACIÓN CONFIDENCIAL</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392F6F" w:rsidRPr="00DF23DA" w:rsidRDefault="00392F6F" w:rsidP="00392F6F">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392F6F" w:rsidRPr="00DF23DA" w:rsidRDefault="00392F6F" w:rsidP="00392F6F">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92F6F" w:rsidRDefault="00392F6F" w:rsidP="00392F6F">
      <w:pPr>
        <w:tabs>
          <w:tab w:val="left" w:pos="8647"/>
        </w:tabs>
        <w:spacing w:after="0" w:line="360" w:lineRule="auto"/>
        <w:ind w:right="51"/>
        <w:jc w:val="both"/>
        <w:rPr>
          <w:rFonts w:ascii="Palatino Linotype" w:hAnsi="Palatino Linotype" w:cs="Arial"/>
          <w:bCs/>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DF23DA">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392F6F" w:rsidRPr="00DF23DA" w:rsidRDefault="00392F6F" w:rsidP="00392F6F">
      <w:pPr>
        <w:spacing w:after="0" w:line="360" w:lineRule="auto"/>
        <w:jc w:val="both"/>
        <w:rPr>
          <w:rFonts w:ascii="Palatino Linotype" w:hAnsi="Palatino Linotype" w:cs="Arial"/>
          <w:sz w:val="24"/>
        </w:rPr>
      </w:pPr>
    </w:p>
    <w:p w:rsidR="00392F6F" w:rsidRPr="00DF23DA" w:rsidRDefault="00392F6F" w:rsidP="00392F6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392F6F" w:rsidRPr="00DF23DA" w:rsidRDefault="00392F6F" w:rsidP="00392F6F">
      <w:pPr>
        <w:tabs>
          <w:tab w:val="left" w:pos="709"/>
        </w:tabs>
        <w:spacing w:after="0" w:line="360" w:lineRule="auto"/>
        <w:jc w:val="both"/>
        <w:rPr>
          <w:rFonts w:ascii="Palatino Linotype" w:hAnsi="Palatino Linotype"/>
          <w:sz w:val="24"/>
          <w:szCs w:val="24"/>
        </w:rPr>
      </w:pPr>
    </w:p>
    <w:p w:rsidR="00392F6F" w:rsidRPr="00DF23DA" w:rsidRDefault="00392F6F" w:rsidP="00392F6F">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392F6F" w:rsidRPr="00DF23DA" w:rsidRDefault="00392F6F" w:rsidP="00392F6F">
      <w:pPr>
        <w:tabs>
          <w:tab w:val="left" w:pos="709"/>
        </w:tabs>
        <w:spacing w:after="0" w:line="360" w:lineRule="auto"/>
        <w:jc w:val="both"/>
        <w:rPr>
          <w:rFonts w:ascii="Palatino Linotype" w:hAnsi="Palatino Linotype"/>
          <w:sz w:val="24"/>
          <w:szCs w:val="24"/>
        </w:rPr>
      </w:pPr>
    </w:p>
    <w:p w:rsidR="00392F6F" w:rsidRPr="00DF23DA" w:rsidRDefault="00392F6F" w:rsidP="00392F6F">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92F6F" w:rsidRPr="00DF23DA" w:rsidRDefault="00392F6F" w:rsidP="00392F6F">
      <w:pPr>
        <w:tabs>
          <w:tab w:val="left" w:pos="709"/>
        </w:tabs>
        <w:spacing w:after="0" w:line="360" w:lineRule="auto"/>
        <w:jc w:val="both"/>
        <w:rPr>
          <w:rFonts w:ascii="Palatino Linotype" w:hAnsi="Palatino Linotype"/>
          <w:sz w:val="24"/>
          <w:szCs w:val="24"/>
        </w:rPr>
      </w:pPr>
    </w:p>
    <w:p w:rsidR="00392F6F" w:rsidRPr="00DF23DA" w:rsidRDefault="00392F6F" w:rsidP="00392F6F">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392F6F" w:rsidRPr="00DF23DA" w:rsidRDefault="00392F6F" w:rsidP="00392F6F">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392F6F" w:rsidRPr="00DF23DA" w:rsidRDefault="00392F6F" w:rsidP="00392F6F">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392F6F" w:rsidRPr="00DF23DA" w:rsidRDefault="00392F6F" w:rsidP="00392F6F">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392F6F" w:rsidRPr="00DF23DA" w:rsidRDefault="00392F6F" w:rsidP="00392F6F">
      <w:pPr>
        <w:tabs>
          <w:tab w:val="left" w:pos="709"/>
        </w:tabs>
        <w:spacing w:after="0" w:line="360" w:lineRule="auto"/>
        <w:jc w:val="both"/>
        <w:rPr>
          <w:rFonts w:ascii="Palatino Linotype" w:hAnsi="Palatino Linotype"/>
          <w:sz w:val="24"/>
          <w:szCs w:val="24"/>
        </w:rPr>
      </w:pPr>
    </w:p>
    <w:p w:rsidR="00392F6F" w:rsidRPr="00DF23DA" w:rsidRDefault="00392F6F" w:rsidP="00392F6F">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DF23DA">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392F6F" w:rsidRPr="00DF23DA" w:rsidRDefault="00392F6F" w:rsidP="00392F6F">
      <w:pPr>
        <w:tabs>
          <w:tab w:val="left" w:pos="709"/>
        </w:tabs>
        <w:spacing w:after="0" w:line="360" w:lineRule="auto"/>
        <w:jc w:val="both"/>
        <w:rPr>
          <w:rFonts w:ascii="Palatino Linotype" w:hAnsi="Palatino Linotype"/>
          <w:sz w:val="24"/>
          <w:szCs w:val="24"/>
        </w:rPr>
      </w:pP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392F6F" w:rsidRPr="00DF23DA" w:rsidRDefault="00392F6F" w:rsidP="00392F6F">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sidR="00E91BE7">
        <w:rPr>
          <w:rFonts w:ascii="Palatino Linotype" w:hAnsi="Palatino Linotype" w:cs="Arial"/>
          <w:b/>
          <w:sz w:val="24"/>
          <w:szCs w:val="24"/>
        </w:rPr>
        <w:t>00394/IXTAPALU/IP/2022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392F6F" w:rsidRPr="00DF23DA" w:rsidRDefault="00392F6F" w:rsidP="00392F6F">
      <w:pPr>
        <w:autoSpaceDE w:val="0"/>
        <w:autoSpaceDN w:val="0"/>
        <w:adjustRightInd w:val="0"/>
        <w:spacing w:after="0" w:line="360" w:lineRule="auto"/>
        <w:jc w:val="both"/>
        <w:rPr>
          <w:rFonts w:ascii="Palatino Linotype" w:hAnsi="Palatino Linotype" w:cs="Arial"/>
          <w:sz w:val="24"/>
          <w:szCs w:val="24"/>
        </w:rPr>
      </w:pPr>
    </w:p>
    <w:p w:rsidR="00392F6F" w:rsidRPr="00DF23DA" w:rsidRDefault="00392F6F" w:rsidP="00392F6F">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lastRenderedPageBreak/>
        <w:t>SE    RESUELVE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la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FF6609" w:rsidRDefault="00392F6F" w:rsidP="00392F6F">
      <w:pPr>
        <w:pStyle w:val="Sinespaciado"/>
        <w:spacing w:line="360" w:lineRule="auto"/>
        <w:jc w:val="both"/>
        <w:rPr>
          <w:rFonts w:ascii="Palatino Linotype" w:hAnsi="Palatino Linotype"/>
          <w:bCs/>
          <w:lang w:eastAsia="es-MX"/>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FF6609">
        <w:rPr>
          <w:rFonts w:ascii="Palatino Linotype" w:hAnsi="Palatino Linotype"/>
          <w:bCs/>
          <w:lang w:eastAsia="es-MX"/>
        </w:rPr>
        <w:t xml:space="preserve">Se </w:t>
      </w:r>
      <w:r w:rsidRPr="00B95947">
        <w:rPr>
          <w:rFonts w:ascii="Palatino Linotype" w:hAnsi="Palatino Linotype"/>
          <w:b/>
          <w:bCs/>
          <w:lang w:eastAsia="es-MX"/>
        </w:rPr>
        <w:t xml:space="preserve">ORDENA </w:t>
      </w:r>
      <w:r w:rsidRPr="00FF6609">
        <w:rPr>
          <w:rFonts w:ascii="Palatino Linotype" w:hAnsi="Palatino Linotype"/>
          <w:bCs/>
          <w:lang w:eastAsia="es-MX"/>
        </w:rPr>
        <w:t>al</w:t>
      </w:r>
      <w:r w:rsidRPr="00B95947">
        <w:rPr>
          <w:rFonts w:ascii="Palatino Linotype" w:hAnsi="Palatino Linotype"/>
          <w:b/>
          <w:lang w:eastAsia="es-MX"/>
        </w:rPr>
        <w:t xml:space="preserve"> SUJETO OBLIGADO </w:t>
      </w:r>
      <w:r w:rsidRPr="00FF6609">
        <w:rPr>
          <w:rFonts w:ascii="Palatino Linotype" w:hAnsi="Palatino Linotype"/>
          <w:bCs/>
          <w:lang w:eastAsia="es-MX"/>
        </w:rPr>
        <w:t xml:space="preserve">atienda la solicitud de información número </w:t>
      </w:r>
      <w:r w:rsidR="00E91BE7">
        <w:rPr>
          <w:rFonts w:ascii="Palatino Linotype" w:hAnsi="Palatino Linotype" w:cs="Arial"/>
          <w:b/>
          <w:lang w:val="es-ES"/>
        </w:rPr>
        <w:t>00394/IXTAPALU/IP/2022</w:t>
      </w:r>
      <w:r w:rsidRPr="00FF6609">
        <w:rPr>
          <w:rFonts w:ascii="Palatino Linotype" w:hAnsi="Palatino Linotype"/>
          <w:lang w:eastAsia="es-MX"/>
        </w:rPr>
        <w:t xml:space="preserve">, </w:t>
      </w:r>
      <w:r w:rsidRPr="00FF6609">
        <w:rPr>
          <w:rFonts w:ascii="Palatino Linotype" w:hAnsi="Palatino Linotype"/>
          <w:bCs/>
          <w:lang w:eastAsia="es-MX"/>
        </w:rPr>
        <w:t>en términos del Considerando CUARTO de esta resolución; vía Sistema de Acceso a la Información Mexiquense (SAIMEX).</w:t>
      </w:r>
    </w:p>
    <w:p w:rsidR="00392F6F" w:rsidRDefault="00392F6F" w:rsidP="00392F6F">
      <w:pPr>
        <w:pStyle w:val="Sinespaciado"/>
        <w:spacing w:line="360" w:lineRule="auto"/>
        <w:jc w:val="both"/>
        <w:rPr>
          <w:rFonts w:ascii="Palatino Linotype" w:hAnsi="Palatino Linotype"/>
          <w:b/>
          <w:bCs/>
          <w:color w:val="222222"/>
          <w:lang w:eastAsia="es-MX"/>
        </w:rPr>
      </w:pP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2F6F" w:rsidRPr="00DF23DA" w:rsidRDefault="00392F6F" w:rsidP="00392F6F">
      <w:pPr>
        <w:tabs>
          <w:tab w:val="left" w:pos="8647"/>
        </w:tabs>
        <w:spacing w:after="0" w:line="360" w:lineRule="auto"/>
        <w:ind w:right="51"/>
        <w:jc w:val="both"/>
        <w:rPr>
          <w:rFonts w:ascii="Palatino Linotype" w:hAnsi="Palatino Linotype" w:cs="Arial"/>
          <w:sz w:val="24"/>
          <w:szCs w:val="24"/>
        </w:rPr>
      </w:pPr>
    </w:p>
    <w:p w:rsidR="00392F6F" w:rsidRPr="00DF23DA" w:rsidRDefault="00392F6F" w:rsidP="00392F6F">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92F6F" w:rsidRPr="00DF23DA" w:rsidRDefault="00392F6F" w:rsidP="00392F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lastRenderedPageBreak/>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392F6F" w:rsidRPr="00DF23DA" w:rsidRDefault="00392F6F" w:rsidP="00392F6F">
      <w:pPr>
        <w:spacing w:after="0" w:line="360" w:lineRule="auto"/>
        <w:jc w:val="both"/>
        <w:rPr>
          <w:rFonts w:ascii="Palatino Linotype" w:hAnsi="Palatino Linotype"/>
          <w:sz w:val="24"/>
          <w:szCs w:val="24"/>
          <w:lang w:eastAsia="es-ES_tradnl"/>
        </w:rPr>
      </w:pPr>
    </w:p>
    <w:p w:rsidR="00392F6F" w:rsidRPr="00DF23DA" w:rsidRDefault="00392F6F" w:rsidP="00392F6F">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392F6F" w:rsidRPr="00DF23DA" w:rsidRDefault="00392F6F" w:rsidP="00392F6F">
      <w:pPr>
        <w:spacing w:after="0" w:line="360" w:lineRule="auto"/>
        <w:jc w:val="both"/>
        <w:rPr>
          <w:rFonts w:ascii="Palatino Linotype" w:eastAsia="Calibri" w:hAnsi="Palatino Linotype" w:cs="Times New Roman"/>
          <w:sz w:val="24"/>
          <w:szCs w:val="24"/>
          <w:lang w:eastAsia="es-ES_tradnl"/>
        </w:rPr>
      </w:pPr>
    </w:p>
    <w:p w:rsidR="00392F6F" w:rsidRPr="00DF23DA" w:rsidRDefault="000D7181" w:rsidP="00392F6F">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1557020</wp:posOffset>
                </wp:positionV>
                <wp:extent cx="5734050" cy="24384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34050"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E135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22.6pt" to="449.7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" strokecolor="#5b9bd5 [3204]" strokeweight=".5pt">
                <v:stroke joinstyle="miter"/>
              </v:line>
            </w:pict>
          </mc:Fallback>
        </mc:AlternateContent>
      </w:r>
      <w:r w:rsidR="00392F6F" w:rsidRPr="00DF23DA">
        <w:rPr>
          <w:rFonts w:ascii="Palatino Linotype" w:eastAsia="Calibri" w:hAnsi="Palatino Linotype" w:cs="Times New Roman"/>
          <w:b/>
          <w:sz w:val="28"/>
          <w:szCs w:val="24"/>
          <w:lang w:eastAsia="es-ES_tradnl"/>
        </w:rPr>
        <w:t>SÉPTIMO</w:t>
      </w:r>
      <w:r w:rsidR="00392F6F">
        <w:rPr>
          <w:rFonts w:ascii="Palatino Linotype" w:eastAsia="Calibri" w:hAnsi="Palatino Linotype" w:cs="Times New Roman"/>
          <w:b/>
          <w:sz w:val="24"/>
          <w:szCs w:val="24"/>
          <w:lang w:eastAsia="es-ES_tradnl"/>
        </w:rPr>
        <w:t xml:space="preserve">. - </w:t>
      </w:r>
      <w:r w:rsidR="00392F6F" w:rsidRPr="00DF23DA">
        <w:rPr>
          <w:rFonts w:ascii="Palatino Linotype" w:hAnsi="Palatino Linotype"/>
          <w:b/>
          <w:sz w:val="24"/>
          <w:szCs w:val="24"/>
          <w:lang w:eastAsia="es-ES_tradnl"/>
        </w:rPr>
        <w:t>Gírese</w:t>
      </w:r>
      <w:r w:rsidR="00392F6F"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92F6F" w:rsidRDefault="00392F6F" w:rsidP="00392F6F">
      <w:pPr>
        <w:spacing w:after="0" w:line="360" w:lineRule="auto"/>
        <w:jc w:val="both"/>
        <w:rPr>
          <w:rFonts w:ascii="Palatino Linotype" w:hAnsi="Palatino Linotype"/>
          <w:sz w:val="24"/>
          <w:szCs w:val="24"/>
          <w:lang w:eastAsia="es-ES_tradnl"/>
        </w:rPr>
      </w:pPr>
    </w:p>
    <w:p w:rsidR="000D7181" w:rsidRDefault="000D7181" w:rsidP="00392F6F">
      <w:pPr>
        <w:spacing w:after="0" w:line="360" w:lineRule="auto"/>
        <w:jc w:val="both"/>
        <w:rPr>
          <w:rFonts w:ascii="Palatino Linotype" w:hAnsi="Palatino Linotype"/>
          <w:sz w:val="24"/>
          <w:szCs w:val="24"/>
          <w:lang w:eastAsia="es-ES_tradnl"/>
        </w:rPr>
      </w:pPr>
    </w:p>
    <w:p w:rsidR="000D7181" w:rsidRDefault="000D7181" w:rsidP="00392F6F">
      <w:pPr>
        <w:spacing w:after="0" w:line="360" w:lineRule="auto"/>
        <w:jc w:val="both"/>
        <w:rPr>
          <w:rFonts w:ascii="Palatino Linotype" w:hAnsi="Palatino Linotype"/>
          <w:sz w:val="24"/>
          <w:szCs w:val="24"/>
          <w:lang w:eastAsia="es-ES_tradnl"/>
        </w:rPr>
      </w:pPr>
    </w:p>
    <w:p w:rsidR="000D7181" w:rsidRDefault="000D7181" w:rsidP="00392F6F">
      <w:pPr>
        <w:spacing w:after="0" w:line="360" w:lineRule="auto"/>
        <w:jc w:val="both"/>
        <w:rPr>
          <w:rFonts w:ascii="Palatino Linotype" w:hAnsi="Palatino Linotype"/>
          <w:sz w:val="24"/>
          <w:szCs w:val="24"/>
          <w:lang w:eastAsia="es-ES_tradnl"/>
        </w:rPr>
      </w:pPr>
    </w:p>
    <w:p w:rsidR="000D7181" w:rsidRDefault="000D7181" w:rsidP="00392F6F">
      <w:pPr>
        <w:spacing w:after="0" w:line="360" w:lineRule="auto"/>
        <w:jc w:val="both"/>
        <w:rPr>
          <w:rFonts w:ascii="Palatino Linotype" w:hAnsi="Palatino Linotype"/>
          <w:sz w:val="24"/>
          <w:szCs w:val="24"/>
          <w:lang w:eastAsia="es-ES_tradnl"/>
        </w:rPr>
      </w:pPr>
    </w:p>
    <w:p w:rsidR="00392F6F" w:rsidRPr="00DF23DA" w:rsidRDefault="00392F6F" w:rsidP="00392F6F">
      <w:pPr>
        <w:spacing w:after="0" w:line="360" w:lineRule="auto"/>
        <w:jc w:val="both"/>
        <w:rPr>
          <w:rFonts w:ascii="Palatino Linotype" w:hAnsi="Palatino Linotype"/>
          <w:sz w:val="24"/>
          <w:szCs w:val="24"/>
          <w:lang w:eastAsia="es-ES_tradnl"/>
        </w:rPr>
      </w:pPr>
    </w:p>
    <w:p w:rsidR="000D7181" w:rsidRDefault="000D7181" w:rsidP="00392F6F">
      <w:pPr>
        <w:spacing w:after="0" w:line="360" w:lineRule="auto"/>
        <w:jc w:val="both"/>
        <w:rPr>
          <w:rFonts w:ascii="Palatino Linotype" w:hAnsi="Palatino Linotype" w:cs="Arial"/>
          <w:sz w:val="24"/>
          <w:szCs w:val="24"/>
        </w:rPr>
      </w:pP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91913">
        <w:rPr>
          <w:rFonts w:ascii="Palatino Linotype" w:hAnsi="Palatino Linotype" w:cs="Arial"/>
          <w:sz w:val="24"/>
          <w:szCs w:val="24"/>
        </w:rPr>
        <w:t>PRIMERA</w:t>
      </w:r>
      <w:r>
        <w:rPr>
          <w:rFonts w:ascii="Palatino Linotype" w:hAnsi="Palatino Linotype" w:cs="Arial"/>
          <w:sz w:val="24"/>
          <w:szCs w:val="24"/>
        </w:rPr>
        <w:t xml:space="preserve"> </w:t>
      </w:r>
      <w:r w:rsidRPr="00DF23DA">
        <w:rPr>
          <w:rFonts w:ascii="Palatino Linotype" w:hAnsi="Palatino Linotype" w:cs="Arial"/>
          <w:sz w:val="24"/>
          <w:szCs w:val="24"/>
        </w:rPr>
        <w:t xml:space="preserve">SESIÓN ORDINARIA CELEBRADA EL </w:t>
      </w:r>
      <w:r w:rsidR="00991913">
        <w:rPr>
          <w:rFonts w:ascii="Palatino Linotype" w:hAnsi="Palatino Linotype" w:cs="Arial"/>
          <w:sz w:val="24"/>
          <w:szCs w:val="24"/>
        </w:rPr>
        <w:t>ONCE DE ENERO</w:t>
      </w:r>
      <w:r>
        <w:rPr>
          <w:rFonts w:ascii="Palatino Linotype" w:hAnsi="Palatino Linotype" w:cs="Arial"/>
          <w:sz w:val="24"/>
          <w:szCs w:val="24"/>
        </w:rPr>
        <w:t xml:space="preserve"> </w:t>
      </w:r>
      <w:r w:rsidR="00991913">
        <w:rPr>
          <w:rFonts w:ascii="Palatino Linotype" w:hAnsi="Palatino Linotype" w:cs="Arial"/>
          <w:sz w:val="24"/>
          <w:szCs w:val="24"/>
        </w:rPr>
        <w:t>DE DOS MIL VEINTITRÉS</w:t>
      </w:r>
      <w:r w:rsidRPr="00DF23DA">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392F6F" w:rsidRPr="00DF23DA" w:rsidRDefault="00392F6F" w:rsidP="00392F6F">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0D7181">
        <w:rPr>
          <w:rFonts w:ascii="Palatino Linotype" w:hAnsi="Palatino Linotype" w:cs="Arial"/>
          <w:sz w:val="24"/>
          <w:szCs w:val="24"/>
        </w:rPr>
        <w:t>-----------------------------------------------------------------------------------------------------------------------------------------------------------------------------------------------------------------------------------------------------------------------------------------------------------------------------------------------------------------------------------------------------------------------------------------------------------------------------------------------------------------------------------------------------------------------------------------------------------------------------------------------------------------------------------------------------------------------------------------------------------------------------------------------------------------------</w:t>
      </w:r>
    </w:p>
    <w:p w:rsidR="00392F6F" w:rsidRPr="005323D1" w:rsidRDefault="00392F6F" w:rsidP="00392F6F">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392F6F" w:rsidRDefault="00392F6F" w:rsidP="00392F6F">
      <w:pPr>
        <w:spacing w:after="0" w:line="360" w:lineRule="auto"/>
        <w:jc w:val="both"/>
        <w:rPr>
          <w:rFonts w:ascii="Palatino Linotype" w:hAnsi="Palatino Linotype" w:cs="Arial"/>
          <w:sz w:val="24"/>
          <w:szCs w:val="24"/>
        </w:rPr>
      </w:pPr>
    </w:p>
    <w:p w:rsidR="00392F6F" w:rsidRDefault="00392F6F" w:rsidP="00392F6F">
      <w:pPr>
        <w:spacing w:after="0" w:line="360" w:lineRule="auto"/>
        <w:jc w:val="both"/>
        <w:rPr>
          <w:rFonts w:ascii="Palatino Linotype" w:hAnsi="Palatino Linotype" w:cs="Arial"/>
          <w:sz w:val="24"/>
          <w:szCs w:val="24"/>
        </w:rPr>
      </w:pPr>
    </w:p>
    <w:p w:rsidR="00392F6F" w:rsidRDefault="00392F6F" w:rsidP="00392F6F">
      <w:pPr>
        <w:spacing w:after="0" w:line="360" w:lineRule="auto"/>
        <w:jc w:val="both"/>
        <w:rPr>
          <w:rFonts w:ascii="Palatino Linotype" w:hAnsi="Palatino Linotype" w:cs="Arial"/>
          <w:sz w:val="24"/>
          <w:szCs w:val="24"/>
        </w:rPr>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Pr>
        <w:spacing w:after="0"/>
      </w:pPr>
    </w:p>
    <w:p w:rsidR="00392F6F" w:rsidRDefault="00392F6F" w:rsidP="00392F6F"/>
    <w:p w:rsidR="00392F6F" w:rsidRDefault="00392F6F" w:rsidP="00392F6F"/>
    <w:p w:rsidR="00392F6F" w:rsidRDefault="00392F6F" w:rsidP="00392F6F"/>
    <w:p w:rsidR="00392F6F" w:rsidRDefault="00392F6F" w:rsidP="00392F6F"/>
    <w:p w:rsidR="00392F6F" w:rsidRDefault="00392F6F" w:rsidP="00392F6F"/>
    <w:p w:rsidR="00392F6F" w:rsidRPr="007E5AE4" w:rsidRDefault="00392F6F" w:rsidP="00392F6F"/>
    <w:p w:rsidR="00CD23E8" w:rsidRDefault="00CD23E8"/>
    <w:sectPr w:rsidR="00CD23E8"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F6F" w:rsidRDefault="00392F6F" w:rsidP="00392F6F">
      <w:pPr>
        <w:spacing w:after="0" w:line="240" w:lineRule="auto"/>
      </w:pPr>
      <w:r>
        <w:separator/>
      </w:r>
    </w:p>
  </w:endnote>
  <w:endnote w:type="continuationSeparator" w:id="0">
    <w:p w:rsidR="00392F6F" w:rsidRDefault="00392F6F" w:rsidP="0039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C8704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253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2538">
              <w:rPr>
                <w:rFonts w:ascii="Palatino Linotype" w:hAnsi="Palatino Linotype"/>
                <w:bCs/>
                <w:noProof/>
                <w:sz w:val="20"/>
              </w:rPr>
              <w:t>32</w:t>
            </w:r>
            <w:r>
              <w:rPr>
                <w:rFonts w:ascii="Palatino Linotype" w:hAnsi="Palatino Linotype"/>
                <w:bCs/>
                <w:noProof/>
                <w:sz w:val="20"/>
              </w:rPr>
              <w:fldChar w:fldCharType="end"/>
            </w:r>
          </w:p>
        </w:sdtContent>
      </w:sdt>
    </w:sdtContent>
  </w:sdt>
  <w:p w:rsidR="00D271F1" w:rsidRDefault="00BE25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C8704F"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25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2538">
      <w:rPr>
        <w:rFonts w:ascii="Palatino Linotype" w:hAnsi="Palatino Linotype"/>
        <w:bCs/>
        <w:noProof/>
        <w:sz w:val="20"/>
      </w:rPr>
      <w:t>32</w:t>
    </w:r>
    <w:r>
      <w:rPr>
        <w:rFonts w:ascii="Palatino Linotype" w:hAnsi="Palatino Linotype"/>
        <w:bCs/>
        <w:noProof/>
        <w:sz w:val="20"/>
      </w:rPr>
      <w:fldChar w:fldCharType="end"/>
    </w:r>
  </w:p>
  <w:p w:rsidR="00D271F1" w:rsidRDefault="00BE25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F6F" w:rsidRDefault="00392F6F" w:rsidP="00392F6F">
      <w:pPr>
        <w:spacing w:after="0" w:line="240" w:lineRule="auto"/>
      </w:pPr>
      <w:r>
        <w:separator/>
      </w:r>
    </w:p>
  </w:footnote>
  <w:footnote w:type="continuationSeparator" w:id="0">
    <w:p w:rsidR="00392F6F" w:rsidRDefault="00392F6F" w:rsidP="00392F6F">
      <w:pPr>
        <w:spacing w:after="0" w:line="240" w:lineRule="auto"/>
      </w:pPr>
      <w:r>
        <w:continuationSeparator/>
      </w:r>
    </w:p>
  </w:footnote>
  <w:footnote w:id="1">
    <w:p w:rsidR="00392F6F" w:rsidRPr="00946E1F" w:rsidRDefault="00392F6F" w:rsidP="00392F6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C8704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392F6F" w:rsidP="00DC21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16945</w:t>
          </w:r>
          <w:r w:rsidR="00C8704F">
            <w:rPr>
              <w:rFonts w:ascii="Palatino Linotype" w:hAnsi="Palatino Linotype" w:cs="Arial"/>
              <w:b/>
              <w:bCs/>
              <w:sz w:val="24"/>
              <w:lang w:eastAsia="es-MX"/>
            </w:rPr>
            <w:t>/INFOEM/IP/RR/2022</w:t>
          </w:r>
        </w:p>
      </w:tc>
    </w:tr>
    <w:tr w:rsidR="00D271F1" w:rsidTr="00D271F1">
      <w:trPr>
        <w:trHeight w:val="242"/>
      </w:trPr>
      <w:tc>
        <w:tcPr>
          <w:tcW w:w="5246" w:type="dxa"/>
          <w:hideMark/>
        </w:tcPr>
        <w:p w:rsidR="00D271F1" w:rsidRPr="00641471" w:rsidRDefault="00C8704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C8704F"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246" w:type="dxa"/>
          <w:hideMark/>
        </w:tcPr>
        <w:p w:rsidR="00D271F1" w:rsidRPr="00641471" w:rsidRDefault="00C8704F"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C8704F"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C8704F"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1F644EF" wp14:editId="5FBF27D0">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C8704F"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392F6F" w:rsidP="007E5AE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16945</w:t>
          </w:r>
          <w:r w:rsidR="00C8704F"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C8704F"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C8704F" w:rsidP="00D271F1">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Ayuntamiento de Ixtapaluca</w:t>
          </w:r>
        </w:p>
      </w:tc>
    </w:tr>
    <w:tr w:rsidR="00D271F1" w:rsidTr="00D271F1">
      <w:trPr>
        <w:trHeight w:val="342"/>
      </w:trPr>
      <w:tc>
        <w:tcPr>
          <w:tcW w:w="5104" w:type="dxa"/>
        </w:tcPr>
        <w:p w:rsidR="00D271F1" w:rsidRPr="00641471" w:rsidRDefault="00C8704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C8704F" w:rsidP="00BE2538">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43675019" wp14:editId="6D78B1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E2538">
            <w:rPr>
              <w:rFonts w:ascii="Palatino Linotype" w:hAnsi="Palatino Linotype" w:cs="Arial"/>
              <w:b/>
              <w:noProof/>
              <w:szCs w:val="20"/>
              <w:lang w:eastAsia="es-MX"/>
            </w:rPr>
            <w:t>XXXXXXXXXXXXXXXXXXXX</w:t>
          </w:r>
        </w:p>
      </w:tc>
    </w:tr>
    <w:tr w:rsidR="00D271F1" w:rsidTr="00D271F1">
      <w:trPr>
        <w:trHeight w:val="342"/>
      </w:trPr>
      <w:tc>
        <w:tcPr>
          <w:tcW w:w="5104" w:type="dxa"/>
        </w:tcPr>
        <w:p w:rsidR="00D271F1" w:rsidRPr="00641471" w:rsidRDefault="00C8704F"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C8704F"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BE253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E26"/>
    <w:multiLevelType w:val="hybridMultilevel"/>
    <w:tmpl w:val="2E1C5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0F1D6D"/>
    <w:multiLevelType w:val="hybridMultilevel"/>
    <w:tmpl w:val="4B988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D927F3"/>
    <w:multiLevelType w:val="hybridMultilevel"/>
    <w:tmpl w:val="833A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6F"/>
    <w:rsid w:val="00017E01"/>
    <w:rsid w:val="000D7181"/>
    <w:rsid w:val="00392F6F"/>
    <w:rsid w:val="00563C6B"/>
    <w:rsid w:val="0069664C"/>
    <w:rsid w:val="00991913"/>
    <w:rsid w:val="00BE2538"/>
    <w:rsid w:val="00C43EC9"/>
    <w:rsid w:val="00C8704F"/>
    <w:rsid w:val="00CD23E8"/>
    <w:rsid w:val="00E91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B91B9E-918B-4547-957C-DC205CFB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2F6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2F6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92F6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2F6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2F6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2F6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92F6F"/>
  </w:style>
  <w:style w:type="character" w:styleId="Hipervnculo">
    <w:name w:val="Hyperlink"/>
    <w:aliases w:val="Hipervínculo1,Hipervínculo11,Hipervínculo12,Hipervínculo13,Hipervínculo14,Hipervínculo15"/>
    <w:basedOn w:val="Fuentedeprrafopredeter"/>
    <w:uiPriority w:val="99"/>
    <w:unhideWhenUsed/>
    <w:rsid w:val="00392F6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92F6F"/>
    <w:rPr>
      <w:vertAlign w:val="superscript"/>
    </w:rPr>
  </w:style>
  <w:style w:type="paragraph" w:styleId="Sinespaciado">
    <w:name w:val="No Spacing"/>
    <w:aliases w:val="Francesa,INAI"/>
    <w:link w:val="SinespaciadoCar"/>
    <w:uiPriority w:val="1"/>
    <w:qFormat/>
    <w:rsid w:val="00392F6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92F6F"/>
    <w:rPr>
      <w:rFonts w:ascii="Times New Roman" w:eastAsia="Times New Roman" w:hAnsi="Times New Roman" w:cs="Times New Roman"/>
      <w:sz w:val="24"/>
      <w:szCs w:val="24"/>
      <w:lang w:eastAsia="es-ES"/>
    </w:rPr>
  </w:style>
  <w:style w:type="paragraph" w:customStyle="1" w:styleId="INFOEM">
    <w:name w:val="INFOEM"/>
    <w:basedOn w:val="Normal"/>
    <w:qFormat/>
    <w:rsid w:val="00392F6F"/>
    <w:pPr>
      <w:spacing w:before="240" w:line="360" w:lineRule="auto"/>
      <w:ind w:left="851" w:right="851"/>
      <w:jc w:val="both"/>
    </w:pPr>
    <w:rPr>
      <w:rFonts w:ascii="Palatino Linotype" w:hAnsi="Palatino Linotype"/>
      <w:i/>
      <w:szCs w:val="14"/>
    </w:rPr>
  </w:style>
  <w:style w:type="character" w:styleId="Hipervnculovisitado">
    <w:name w:val="FollowedHyperlink"/>
    <w:basedOn w:val="Fuentedeprrafopredeter"/>
    <w:uiPriority w:val="99"/>
    <w:semiHidden/>
    <w:unhideWhenUsed/>
    <w:rsid w:val="00E91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xtapaluca22-24.com.mx/_files/ugd/64678c_856631203c88408db6d7f0cdc690637e.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32</Pages>
  <Words>8117</Words>
  <Characters>44644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2022-12-09T13:18:00Z</dcterms:created>
  <dcterms:modified xsi:type="dcterms:W3CDTF">2023-01-23T14:07:00Z</dcterms:modified>
</cp:coreProperties>
</file>