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762F8" w:rsidRPr="00BE6DAA" w:rsidRDefault="00BE6DAA">
      <w:pPr>
        <w:spacing w:before="240" w:after="240" w:line="360" w:lineRule="auto"/>
        <w:jc w:val="both"/>
        <w:rPr>
          <w:rFonts w:ascii="Palatino Linotype" w:eastAsia="Palatino Linotype" w:hAnsi="Palatino Linotype" w:cs="Palatino Linotype"/>
        </w:rPr>
      </w:pPr>
      <w:r w:rsidRPr="00BE6DAA">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a veinte de septiembre de dos mil veintitrés. </w:t>
      </w:r>
    </w:p>
    <w:p w:rsidR="000762F8" w:rsidRPr="00BE6DAA" w:rsidRDefault="00BE6DAA">
      <w:pPr>
        <w:spacing w:before="240" w:after="240" w:line="360" w:lineRule="auto"/>
        <w:jc w:val="both"/>
        <w:rPr>
          <w:rFonts w:ascii="Palatino Linotype" w:eastAsia="Palatino Linotype" w:hAnsi="Palatino Linotype" w:cs="Palatino Linotype"/>
        </w:rPr>
      </w:pPr>
      <w:r w:rsidRPr="00BE6DAA">
        <w:rPr>
          <w:rFonts w:ascii="Palatino Linotype" w:eastAsia="Palatino Linotype" w:hAnsi="Palatino Linotype" w:cs="Palatino Linotype"/>
          <w:b/>
        </w:rPr>
        <w:t>VISTO</w:t>
      </w:r>
      <w:r w:rsidRPr="00BE6DAA">
        <w:rPr>
          <w:rFonts w:ascii="Palatino Linotype" w:eastAsia="Palatino Linotype" w:hAnsi="Palatino Linotype" w:cs="Palatino Linotype"/>
        </w:rPr>
        <w:t xml:space="preserve"> el expediente formado con motivo del recurso de revisión </w:t>
      </w:r>
      <w:r w:rsidRPr="00BE6DAA">
        <w:rPr>
          <w:rFonts w:ascii="Palatino Linotype" w:eastAsia="Palatino Linotype" w:hAnsi="Palatino Linotype" w:cs="Palatino Linotype"/>
          <w:b/>
        </w:rPr>
        <w:t>00309/INFOEM/IP/RR/2023</w:t>
      </w:r>
      <w:r w:rsidRPr="00BE6DAA">
        <w:rPr>
          <w:rFonts w:ascii="Palatino Linotype" w:eastAsia="Palatino Linotype" w:hAnsi="Palatino Linotype" w:cs="Palatino Linotype"/>
        </w:rPr>
        <w:t xml:space="preserve">, interpuesto por </w:t>
      </w:r>
      <w:r w:rsidR="0071251B">
        <w:rPr>
          <w:rFonts w:ascii="Palatino Linotype" w:eastAsia="Palatino Linotype" w:hAnsi="Palatino Linotype" w:cs="Palatino Linotype"/>
          <w:b/>
        </w:rPr>
        <w:t>XXXX XXXXX XX XXX XXXX</w:t>
      </w:r>
      <w:bookmarkStart w:id="0" w:name="_GoBack"/>
      <w:bookmarkEnd w:id="0"/>
      <w:r w:rsidRPr="00BE6DAA">
        <w:rPr>
          <w:rFonts w:ascii="Palatino Linotype" w:eastAsia="Palatino Linotype" w:hAnsi="Palatino Linotype" w:cs="Palatino Linotype"/>
          <w:b/>
        </w:rPr>
        <w:t>,</w:t>
      </w:r>
      <w:r w:rsidRPr="00BE6DAA">
        <w:rPr>
          <w:rFonts w:ascii="Palatino Linotype" w:eastAsia="Palatino Linotype" w:hAnsi="Palatino Linotype" w:cs="Palatino Linotype"/>
        </w:rPr>
        <w:t xml:space="preserve"> en lo sucesivo</w:t>
      </w:r>
      <w:r w:rsidRPr="00BE6DAA">
        <w:rPr>
          <w:rFonts w:ascii="Palatino Linotype" w:eastAsia="Palatino Linotype" w:hAnsi="Palatino Linotype" w:cs="Palatino Linotype"/>
          <w:b/>
        </w:rPr>
        <w:t xml:space="preserve"> </w:t>
      </w:r>
      <w:r w:rsidRPr="00BE6DAA">
        <w:rPr>
          <w:rFonts w:ascii="Palatino Linotype" w:eastAsia="Palatino Linotype" w:hAnsi="Palatino Linotype" w:cs="Palatino Linotype"/>
        </w:rPr>
        <w:t xml:space="preserve">la parte </w:t>
      </w:r>
      <w:r w:rsidRPr="00BE6DAA">
        <w:rPr>
          <w:rFonts w:ascii="Palatino Linotype" w:eastAsia="Palatino Linotype" w:hAnsi="Palatino Linotype" w:cs="Palatino Linotype"/>
          <w:b/>
        </w:rPr>
        <w:t>Recurrente,</w:t>
      </w:r>
      <w:r w:rsidRPr="00BE6DAA">
        <w:rPr>
          <w:rFonts w:ascii="Palatino Linotype" w:eastAsia="Palatino Linotype" w:hAnsi="Palatino Linotype" w:cs="Palatino Linotype"/>
        </w:rPr>
        <w:t xml:space="preserve"> en contra de la respuesta a su solicitud por parte de la </w:t>
      </w:r>
      <w:r w:rsidRPr="00BE6DAA">
        <w:rPr>
          <w:rFonts w:ascii="Palatino Linotype" w:eastAsia="Palatino Linotype" w:hAnsi="Palatino Linotype" w:cs="Palatino Linotype"/>
          <w:b/>
        </w:rPr>
        <w:t xml:space="preserve">Ayuntamiento de </w:t>
      </w:r>
      <w:proofErr w:type="spellStart"/>
      <w:r w:rsidRPr="00BE6DAA">
        <w:rPr>
          <w:rFonts w:ascii="Palatino Linotype" w:eastAsia="Palatino Linotype" w:hAnsi="Palatino Linotype" w:cs="Palatino Linotype"/>
          <w:b/>
        </w:rPr>
        <w:t>Polotitlán</w:t>
      </w:r>
      <w:proofErr w:type="spellEnd"/>
      <w:r w:rsidRPr="00BE6DAA">
        <w:rPr>
          <w:rFonts w:ascii="Palatino Linotype" w:eastAsia="Palatino Linotype" w:hAnsi="Palatino Linotype" w:cs="Palatino Linotype"/>
          <w:b/>
        </w:rPr>
        <w:t xml:space="preserve">, </w:t>
      </w:r>
      <w:r w:rsidRPr="00BE6DAA">
        <w:rPr>
          <w:rFonts w:ascii="Palatino Linotype" w:eastAsia="Palatino Linotype" w:hAnsi="Palatino Linotype" w:cs="Palatino Linotype"/>
        </w:rPr>
        <w:t xml:space="preserve">en lo sucesivo el </w:t>
      </w:r>
      <w:r w:rsidRPr="00BE6DAA">
        <w:rPr>
          <w:rFonts w:ascii="Palatino Linotype" w:eastAsia="Palatino Linotype" w:hAnsi="Palatino Linotype" w:cs="Palatino Linotype"/>
          <w:b/>
        </w:rPr>
        <w:t xml:space="preserve">Sujeto Obligado, </w:t>
      </w:r>
      <w:r w:rsidRPr="00BE6DAA">
        <w:rPr>
          <w:rFonts w:ascii="Palatino Linotype" w:eastAsia="Palatino Linotype" w:hAnsi="Palatino Linotype" w:cs="Palatino Linotype"/>
        </w:rPr>
        <w:t xml:space="preserve">se procede a dictar la presente resolución con base en los siguientes: </w:t>
      </w:r>
    </w:p>
    <w:p w:rsidR="000762F8" w:rsidRPr="00BE6DAA" w:rsidRDefault="00BE6DAA">
      <w:pPr>
        <w:spacing w:before="240" w:after="240" w:line="360" w:lineRule="auto"/>
        <w:jc w:val="center"/>
        <w:rPr>
          <w:rFonts w:ascii="Palatino Linotype" w:eastAsia="Palatino Linotype" w:hAnsi="Palatino Linotype" w:cs="Palatino Linotype"/>
          <w:b/>
        </w:rPr>
      </w:pPr>
      <w:r w:rsidRPr="00BE6DAA">
        <w:rPr>
          <w:rFonts w:ascii="Palatino Linotype" w:eastAsia="Palatino Linotype" w:hAnsi="Palatino Linotype" w:cs="Palatino Linotype"/>
          <w:b/>
        </w:rPr>
        <w:t>I. A N T E C E D E N T E S</w:t>
      </w:r>
    </w:p>
    <w:p w:rsidR="000762F8" w:rsidRPr="00BE6DAA" w:rsidRDefault="00BE6DAA">
      <w:pPr>
        <w:spacing w:before="240" w:after="240" w:line="360" w:lineRule="auto"/>
        <w:jc w:val="both"/>
        <w:rPr>
          <w:rFonts w:ascii="Palatino Linotype" w:eastAsia="Palatino Linotype" w:hAnsi="Palatino Linotype" w:cs="Palatino Linotype"/>
        </w:rPr>
      </w:pPr>
      <w:r w:rsidRPr="00BE6DAA">
        <w:rPr>
          <w:rFonts w:ascii="Palatino Linotype" w:eastAsia="Palatino Linotype" w:hAnsi="Palatino Linotype" w:cs="Palatino Linotype"/>
          <w:b/>
        </w:rPr>
        <w:t>1. Solicitud de acceso a la información.</w:t>
      </w:r>
      <w:r w:rsidRPr="00BE6DAA">
        <w:rPr>
          <w:rFonts w:ascii="Palatino Linotype" w:eastAsia="Palatino Linotype" w:hAnsi="Palatino Linotype" w:cs="Palatino Linotype"/>
        </w:rPr>
        <w:t xml:space="preserve"> Con fecha </w:t>
      </w:r>
      <w:r w:rsidRPr="00BE6DAA">
        <w:rPr>
          <w:rFonts w:ascii="Palatino Linotype" w:eastAsia="Palatino Linotype" w:hAnsi="Palatino Linotype" w:cs="Palatino Linotype"/>
          <w:b/>
        </w:rPr>
        <w:t>nueve de enero de dos mil veintitrés,</w:t>
      </w:r>
      <w:r w:rsidRPr="00BE6DAA">
        <w:rPr>
          <w:rFonts w:ascii="Palatino Linotype" w:eastAsia="Palatino Linotype" w:hAnsi="Palatino Linotype" w:cs="Palatino Linotype"/>
        </w:rPr>
        <w:t xml:space="preserve"> la parte </w:t>
      </w:r>
      <w:r w:rsidRPr="00BE6DAA">
        <w:rPr>
          <w:rFonts w:ascii="Palatino Linotype" w:eastAsia="Palatino Linotype" w:hAnsi="Palatino Linotype" w:cs="Palatino Linotype"/>
          <w:b/>
        </w:rPr>
        <w:t xml:space="preserve">Recurrente </w:t>
      </w:r>
      <w:r w:rsidRPr="00BE6DAA">
        <w:rPr>
          <w:rFonts w:ascii="Palatino Linotype" w:eastAsia="Palatino Linotype" w:hAnsi="Palatino Linotype" w:cs="Palatino Linotype"/>
        </w:rPr>
        <w:t xml:space="preserve">a través de la Plataforma Nacional de Transparencia, vinculada al Sistema de Acceso a la Información Mexiquense, en lo subsecuente el </w:t>
      </w:r>
      <w:r w:rsidRPr="00BE6DAA">
        <w:rPr>
          <w:rFonts w:ascii="Palatino Linotype" w:eastAsia="Palatino Linotype" w:hAnsi="Palatino Linotype" w:cs="Palatino Linotype"/>
          <w:b/>
        </w:rPr>
        <w:t>SAIMEX,</w:t>
      </w:r>
      <w:r w:rsidRPr="00BE6DAA">
        <w:rPr>
          <w:rFonts w:ascii="Palatino Linotype" w:eastAsia="Palatino Linotype" w:hAnsi="Palatino Linotype" w:cs="Palatino Linotype"/>
        </w:rPr>
        <w:t xml:space="preserve"> ante el </w:t>
      </w:r>
      <w:r w:rsidRPr="00BE6DAA">
        <w:rPr>
          <w:rFonts w:ascii="Palatino Linotype" w:eastAsia="Palatino Linotype" w:hAnsi="Palatino Linotype" w:cs="Palatino Linotype"/>
          <w:b/>
        </w:rPr>
        <w:t>Sujeto Obligado</w:t>
      </w:r>
      <w:r w:rsidRPr="00BE6DAA">
        <w:rPr>
          <w:rFonts w:ascii="Palatino Linotype" w:eastAsia="Palatino Linotype" w:hAnsi="Palatino Linotype" w:cs="Palatino Linotype"/>
        </w:rPr>
        <w:t>, la solicitud de acceso a la información pública, a la que se le asignó el número</w:t>
      </w:r>
      <w:r w:rsidRPr="00BE6DAA">
        <w:rPr>
          <w:rFonts w:ascii="Palatino Linotype" w:eastAsia="Palatino Linotype" w:hAnsi="Palatino Linotype" w:cs="Palatino Linotype"/>
          <w:b/>
        </w:rPr>
        <w:t xml:space="preserve"> 00001/POLOTI/IP/2023, </w:t>
      </w:r>
      <w:r w:rsidRPr="00BE6DAA">
        <w:rPr>
          <w:rFonts w:ascii="Palatino Linotype" w:eastAsia="Palatino Linotype" w:hAnsi="Palatino Linotype" w:cs="Palatino Linotype"/>
        </w:rPr>
        <w:t xml:space="preserve">mediante la cual requirió la información siguiente: </w:t>
      </w:r>
    </w:p>
    <w:p w:rsidR="000762F8" w:rsidRPr="00BE6DAA" w:rsidRDefault="00BE6DAA">
      <w:pPr>
        <w:spacing w:before="240" w:after="240"/>
        <w:ind w:left="851" w:right="902"/>
        <w:jc w:val="both"/>
        <w:rPr>
          <w:rFonts w:ascii="Palatino Linotype" w:eastAsia="Palatino Linotype" w:hAnsi="Palatino Linotype" w:cs="Palatino Linotype"/>
          <w:b/>
          <w:i/>
          <w:sz w:val="22"/>
          <w:szCs w:val="22"/>
        </w:rPr>
      </w:pPr>
      <w:bookmarkStart w:id="1" w:name="_heading=h.gjdgxs" w:colFirst="0" w:colLast="0"/>
      <w:bookmarkEnd w:id="1"/>
      <w:r w:rsidRPr="00BE6DAA">
        <w:rPr>
          <w:rFonts w:ascii="Palatino Linotype" w:eastAsia="Palatino Linotype" w:hAnsi="Palatino Linotype" w:cs="Palatino Linotype"/>
          <w:i/>
          <w:sz w:val="22"/>
          <w:szCs w:val="22"/>
        </w:rPr>
        <w:t>“En el año 2014 y 2022 se estableció en la Ley Orgánica Municipal del Estado de México las sesiones de Cabildo abierto y Cabildo abierto juvenil, respectivamente. Con base en las anteriores fechas: 1.</w:t>
      </w:r>
      <w:proofErr w:type="gramStart"/>
      <w:r w:rsidRPr="00BE6DAA">
        <w:rPr>
          <w:rFonts w:ascii="Palatino Linotype" w:eastAsia="Palatino Linotype" w:hAnsi="Palatino Linotype" w:cs="Palatino Linotype"/>
          <w:i/>
          <w:sz w:val="22"/>
          <w:szCs w:val="22"/>
        </w:rPr>
        <w:t>-¿</w:t>
      </w:r>
      <w:proofErr w:type="spellStart"/>
      <w:proofErr w:type="gramEnd"/>
      <w:r w:rsidRPr="00BE6DAA">
        <w:rPr>
          <w:rFonts w:ascii="Palatino Linotype" w:eastAsia="Palatino Linotype" w:hAnsi="Palatino Linotype" w:cs="Palatino Linotype"/>
          <w:i/>
          <w:sz w:val="22"/>
          <w:szCs w:val="22"/>
        </w:rPr>
        <w:t>Cuando</w:t>
      </w:r>
      <w:proofErr w:type="spellEnd"/>
      <w:r w:rsidRPr="00BE6DAA">
        <w:rPr>
          <w:rFonts w:ascii="Palatino Linotype" w:eastAsia="Palatino Linotype" w:hAnsi="Palatino Linotype" w:cs="Palatino Linotype"/>
          <w:i/>
          <w:sz w:val="22"/>
          <w:szCs w:val="22"/>
        </w:rPr>
        <w:t xml:space="preserve"> se implementó por parte del ayuntamiento las sesiones de Cabildo abierto y Cabildo abierto juvenil? 2.</w:t>
      </w:r>
      <w:proofErr w:type="gramStart"/>
      <w:r w:rsidRPr="00BE6DAA">
        <w:rPr>
          <w:rFonts w:ascii="Palatino Linotype" w:eastAsia="Palatino Linotype" w:hAnsi="Palatino Linotype" w:cs="Palatino Linotype"/>
          <w:i/>
          <w:sz w:val="22"/>
          <w:szCs w:val="22"/>
        </w:rPr>
        <w:t>-¿</w:t>
      </w:r>
      <w:proofErr w:type="spellStart"/>
      <w:proofErr w:type="gramEnd"/>
      <w:r w:rsidRPr="00BE6DAA">
        <w:rPr>
          <w:rFonts w:ascii="Palatino Linotype" w:eastAsia="Palatino Linotype" w:hAnsi="Palatino Linotype" w:cs="Palatino Linotype"/>
          <w:i/>
          <w:sz w:val="22"/>
          <w:szCs w:val="22"/>
        </w:rPr>
        <w:t>Cuando</w:t>
      </w:r>
      <w:proofErr w:type="spellEnd"/>
      <w:r w:rsidRPr="00BE6DAA">
        <w:rPr>
          <w:rFonts w:ascii="Palatino Linotype" w:eastAsia="Palatino Linotype" w:hAnsi="Palatino Linotype" w:cs="Palatino Linotype"/>
          <w:i/>
          <w:sz w:val="22"/>
          <w:szCs w:val="22"/>
        </w:rPr>
        <w:t xml:space="preserve"> se realizó la primera sesión de Cabildo abierto y Cabildo abierto juvenil en el municipio? 3.- Desde las anteriores fechas señaladas hasta el 2022, ¿Cuántas convocatorias se han emitido por parte del ayuntamiento para sesiones de Cabildo abierto y Cabildo abierto juvenil? 4.- Desde las anteriores fechas </w:t>
      </w:r>
      <w:r w:rsidRPr="00BE6DAA">
        <w:rPr>
          <w:rFonts w:ascii="Palatino Linotype" w:eastAsia="Palatino Linotype" w:hAnsi="Palatino Linotype" w:cs="Palatino Linotype"/>
          <w:i/>
          <w:sz w:val="22"/>
          <w:szCs w:val="22"/>
        </w:rPr>
        <w:lastRenderedPageBreak/>
        <w:t>señaladas hasta el 2022, ¿Cuántas sesiones de Cabildo abierto y Cabildo abierto juvenil se han realizado por parte del ayuntamiento? 5.-Desde las anteriores fechas señaladas hasta el 2022, ¿Cuáles son las temáticas planteadas en las sesiones de Cabildo abierto y Cabildo abierto juvenil? 6.-Desde 2014 al 2022, ¿Cuál ha sido la respuesta del ayuntamiento frente a los planteamientos de la ciudadanía en las sesiones de Cabildo abierto y Cabildo abierto juvenil? 7.-Desde 2014 al 2022, ¿Cuántas personas han participado en cada una de las sesiones de Cabildo abierto y Cabildo abierto juvenil? 8.</w:t>
      </w:r>
      <w:proofErr w:type="gramStart"/>
      <w:r w:rsidRPr="00BE6DAA">
        <w:rPr>
          <w:rFonts w:ascii="Palatino Linotype" w:eastAsia="Palatino Linotype" w:hAnsi="Palatino Linotype" w:cs="Palatino Linotype"/>
          <w:i/>
          <w:sz w:val="22"/>
          <w:szCs w:val="22"/>
        </w:rPr>
        <w:t>-¿</w:t>
      </w:r>
      <w:proofErr w:type="gramEnd"/>
      <w:r w:rsidRPr="00BE6DAA">
        <w:rPr>
          <w:rFonts w:ascii="Palatino Linotype" w:eastAsia="Palatino Linotype" w:hAnsi="Palatino Linotype" w:cs="Palatino Linotype"/>
          <w:i/>
          <w:sz w:val="22"/>
          <w:szCs w:val="22"/>
        </w:rPr>
        <w:t>Existe la realización de las sesiones de Cabildo abierto y Cabildo abierto juvenil mediante plataformas electrónicas? 9.</w:t>
      </w:r>
      <w:proofErr w:type="gramStart"/>
      <w:r w:rsidRPr="00BE6DAA">
        <w:rPr>
          <w:rFonts w:ascii="Palatino Linotype" w:eastAsia="Palatino Linotype" w:hAnsi="Palatino Linotype" w:cs="Palatino Linotype"/>
          <w:i/>
          <w:sz w:val="22"/>
          <w:szCs w:val="22"/>
        </w:rPr>
        <w:t>-¿</w:t>
      </w:r>
      <w:proofErr w:type="spellStart"/>
      <w:proofErr w:type="gramEnd"/>
      <w:r w:rsidRPr="00BE6DAA">
        <w:rPr>
          <w:rFonts w:ascii="Palatino Linotype" w:eastAsia="Palatino Linotype" w:hAnsi="Palatino Linotype" w:cs="Palatino Linotype"/>
          <w:i/>
          <w:sz w:val="22"/>
          <w:szCs w:val="22"/>
        </w:rPr>
        <w:t>Cuales</w:t>
      </w:r>
      <w:proofErr w:type="spellEnd"/>
      <w:r w:rsidRPr="00BE6DAA">
        <w:rPr>
          <w:rFonts w:ascii="Palatino Linotype" w:eastAsia="Palatino Linotype" w:hAnsi="Palatino Linotype" w:cs="Palatino Linotype"/>
          <w:i/>
          <w:sz w:val="22"/>
          <w:szCs w:val="22"/>
        </w:rPr>
        <w:t xml:space="preserve"> son las modalidades de participación de la ciudadanía en sesiones de Cabildo abierto y Cabildo abierto juvenil (si son presenciales, electrónicas o mixtas? 10-¿Las sesiones de Cabildo abierto y Cabildo abierto juvenil se transmiten a través de las redes sociales del ayuntamiento y cuenta con un acervo histórico de las mismas?</w:t>
      </w:r>
      <w:r w:rsidRPr="00BE6DAA">
        <w:rPr>
          <w:rFonts w:ascii="Palatino Linotype" w:eastAsia="Palatino Linotype" w:hAnsi="Palatino Linotype" w:cs="Palatino Linotype"/>
          <w:b/>
          <w:i/>
          <w:sz w:val="22"/>
          <w:szCs w:val="22"/>
        </w:rPr>
        <w:t>”</w:t>
      </w:r>
      <w:r w:rsidRPr="00BE6DAA">
        <w:rPr>
          <w:rFonts w:ascii="Palatino Linotype" w:eastAsia="Palatino Linotype" w:hAnsi="Palatino Linotype" w:cs="Palatino Linotype"/>
          <w:i/>
          <w:sz w:val="22"/>
          <w:szCs w:val="22"/>
        </w:rPr>
        <w:t xml:space="preserve"> (</w:t>
      </w:r>
      <w:proofErr w:type="gramStart"/>
      <w:r w:rsidRPr="00BE6DAA">
        <w:rPr>
          <w:rFonts w:ascii="Palatino Linotype" w:eastAsia="Palatino Linotype" w:hAnsi="Palatino Linotype" w:cs="Palatino Linotype"/>
          <w:i/>
          <w:sz w:val="22"/>
          <w:szCs w:val="22"/>
        </w:rPr>
        <w:t>sic</w:t>
      </w:r>
      <w:proofErr w:type="gramEnd"/>
      <w:r w:rsidRPr="00BE6DAA">
        <w:rPr>
          <w:rFonts w:ascii="Palatino Linotype" w:eastAsia="Palatino Linotype" w:hAnsi="Palatino Linotype" w:cs="Palatino Linotype"/>
          <w:i/>
          <w:sz w:val="22"/>
          <w:szCs w:val="22"/>
        </w:rPr>
        <w:t xml:space="preserve">) </w:t>
      </w:r>
    </w:p>
    <w:p w:rsidR="000762F8" w:rsidRPr="00BE6DAA" w:rsidRDefault="00BE6DAA">
      <w:pPr>
        <w:spacing w:before="240" w:after="240" w:line="360" w:lineRule="auto"/>
        <w:ind w:right="49"/>
        <w:jc w:val="both"/>
        <w:rPr>
          <w:rFonts w:ascii="Palatino Linotype" w:eastAsia="Palatino Linotype" w:hAnsi="Palatino Linotype" w:cs="Palatino Linotype"/>
        </w:rPr>
      </w:pPr>
      <w:r w:rsidRPr="00BE6DAA">
        <w:rPr>
          <w:rFonts w:ascii="Palatino Linotype" w:eastAsia="Palatino Linotype" w:hAnsi="Palatino Linotype" w:cs="Palatino Linotype"/>
        </w:rPr>
        <w:t xml:space="preserve">La parte </w:t>
      </w:r>
      <w:r w:rsidRPr="00BE6DAA">
        <w:rPr>
          <w:rFonts w:ascii="Palatino Linotype" w:eastAsia="Palatino Linotype" w:hAnsi="Palatino Linotype" w:cs="Palatino Linotype"/>
          <w:b/>
        </w:rPr>
        <w:t>Recurrente</w:t>
      </w:r>
      <w:r w:rsidRPr="00BE6DAA">
        <w:rPr>
          <w:rFonts w:ascii="Palatino Linotype" w:eastAsia="Palatino Linotype" w:hAnsi="Palatino Linotype" w:cs="Palatino Linotype"/>
        </w:rPr>
        <w:t xml:space="preserve"> no adjuntó archivos.</w:t>
      </w:r>
    </w:p>
    <w:p w:rsidR="000762F8" w:rsidRPr="00BE6DAA" w:rsidRDefault="00BE6DAA">
      <w:pPr>
        <w:spacing w:before="240" w:after="240" w:line="360" w:lineRule="auto"/>
        <w:jc w:val="both"/>
        <w:rPr>
          <w:rFonts w:ascii="Palatino Linotype" w:eastAsia="Palatino Linotype" w:hAnsi="Palatino Linotype" w:cs="Palatino Linotype"/>
        </w:rPr>
      </w:pPr>
      <w:bookmarkStart w:id="2" w:name="_heading=h.3dy6vkm" w:colFirst="0" w:colLast="0"/>
      <w:bookmarkEnd w:id="2"/>
      <w:r w:rsidRPr="00BE6DAA">
        <w:rPr>
          <w:rFonts w:ascii="Palatino Linotype" w:eastAsia="Palatino Linotype" w:hAnsi="Palatino Linotype" w:cs="Palatino Linotype"/>
          <w:b/>
        </w:rPr>
        <w:t>Modalidad de Entrega:</w:t>
      </w:r>
      <w:r w:rsidRPr="00BE6DAA">
        <w:rPr>
          <w:rFonts w:ascii="Palatino Linotype" w:eastAsia="Palatino Linotype" w:hAnsi="Palatino Linotype" w:cs="Palatino Linotype"/>
        </w:rPr>
        <w:t xml:space="preserve"> Electrónico, a través del sistema de solicitudes de acceso, que, para efectos del presente asunto, se entenderá a través del Sistema de Acceso a la Información Mexiquense (SAIMEX), como se advierte a continuación:</w:t>
      </w:r>
    </w:p>
    <w:p w:rsidR="000762F8" w:rsidRPr="00BE6DAA" w:rsidRDefault="00BE6DAA">
      <w:pPr>
        <w:spacing w:before="240" w:after="240" w:line="360" w:lineRule="auto"/>
        <w:jc w:val="both"/>
        <w:rPr>
          <w:rFonts w:ascii="Palatino Linotype" w:eastAsia="Palatino Linotype" w:hAnsi="Palatino Linotype" w:cs="Palatino Linotype"/>
        </w:rPr>
      </w:pPr>
      <w:r w:rsidRPr="00BE6DAA">
        <w:rPr>
          <w:noProof/>
        </w:rPr>
        <w:drawing>
          <wp:inline distT="0" distB="0" distL="0" distR="0">
            <wp:extent cx="5612130" cy="581025"/>
            <wp:effectExtent l="0" t="0" r="0" b="0"/>
            <wp:docPr id="4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8"/>
                    <a:srcRect b="3684"/>
                    <a:stretch>
                      <a:fillRect/>
                    </a:stretch>
                  </pic:blipFill>
                  <pic:spPr>
                    <a:xfrm>
                      <a:off x="0" y="0"/>
                      <a:ext cx="5612130" cy="581025"/>
                    </a:xfrm>
                    <a:prstGeom prst="rect">
                      <a:avLst/>
                    </a:prstGeom>
                    <a:ln/>
                  </pic:spPr>
                </pic:pic>
              </a:graphicData>
            </a:graphic>
          </wp:inline>
        </w:drawing>
      </w:r>
    </w:p>
    <w:p w:rsidR="000762F8" w:rsidRPr="00BE6DAA" w:rsidRDefault="00BE6DAA">
      <w:pPr>
        <w:spacing w:before="240" w:after="240" w:line="360" w:lineRule="auto"/>
        <w:jc w:val="both"/>
        <w:rPr>
          <w:rFonts w:ascii="Palatino Linotype" w:eastAsia="Palatino Linotype" w:hAnsi="Palatino Linotype" w:cs="Palatino Linotype"/>
          <w:b/>
        </w:rPr>
      </w:pPr>
      <w:r w:rsidRPr="00BE6DAA">
        <w:rPr>
          <w:rFonts w:ascii="Palatino Linotype" w:eastAsia="Palatino Linotype" w:hAnsi="Palatino Linotype" w:cs="Palatino Linotype"/>
          <w:b/>
        </w:rPr>
        <w:t xml:space="preserve">2. Respuesta. </w:t>
      </w:r>
      <w:r w:rsidRPr="00BE6DAA">
        <w:rPr>
          <w:rFonts w:ascii="Palatino Linotype" w:eastAsia="Palatino Linotype" w:hAnsi="Palatino Linotype" w:cs="Palatino Linotype"/>
        </w:rPr>
        <w:t>Con fecha</w:t>
      </w:r>
      <w:r w:rsidRPr="00BE6DAA">
        <w:rPr>
          <w:rFonts w:ascii="Palatino Linotype" w:eastAsia="Palatino Linotype" w:hAnsi="Palatino Linotype" w:cs="Palatino Linotype"/>
          <w:b/>
        </w:rPr>
        <w:t xml:space="preserve"> dieciséis de enero de dos mil veintitrés</w:t>
      </w:r>
      <w:r w:rsidRPr="00BE6DAA">
        <w:rPr>
          <w:rFonts w:ascii="Palatino Linotype" w:eastAsia="Palatino Linotype" w:hAnsi="Palatino Linotype" w:cs="Palatino Linotype"/>
        </w:rPr>
        <w:t xml:space="preserve">, el </w:t>
      </w:r>
      <w:r w:rsidRPr="00BE6DAA">
        <w:rPr>
          <w:rFonts w:ascii="Palatino Linotype" w:eastAsia="Palatino Linotype" w:hAnsi="Palatino Linotype" w:cs="Palatino Linotype"/>
          <w:b/>
        </w:rPr>
        <w:t xml:space="preserve">Sujeto Obligado </w:t>
      </w:r>
      <w:r w:rsidRPr="00BE6DAA">
        <w:rPr>
          <w:rFonts w:ascii="Palatino Linotype" w:eastAsia="Palatino Linotype" w:hAnsi="Palatino Linotype" w:cs="Palatino Linotype"/>
        </w:rPr>
        <w:t xml:space="preserve">envió su respuesta a la solicitud de acceso a la información a través de SAIMEX, sustancialmente en los términos siguientes:   </w:t>
      </w:r>
    </w:p>
    <w:p w:rsidR="000762F8" w:rsidRPr="00BE6DAA" w:rsidRDefault="00BE6DAA">
      <w:pPr>
        <w:spacing w:before="240" w:after="240"/>
        <w:ind w:left="851" w:right="902"/>
        <w:jc w:val="both"/>
        <w:rPr>
          <w:rFonts w:ascii="Palatino Linotype" w:eastAsia="Palatino Linotype" w:hAnsi="Palatino Linotype" w:cs="Palatino Linotype"/>
          <w:b/>
          <w:i/>
          <w:sz w:val="22"/>
          <w:szCs w:val="22"/>
        </w:rPr>
      </w:pPr>
      <w:r w:rsidRPr="00BE6DAA">
        <w:rPr>
          <w:rFonts w:ascii="Palatino Linotype" w:eastAsia="Palatino Linotype" w:hAnsi="Palatino Linotype" w:cs="Palatino Linotype"/>
          <w:i/>
          <w:sz w:val="22"/>
          <w:szCs w:val="22"/>
        </w:rPr>
        <w:t>“…entrega de información de la solicitud 00001/POLOTI/IP/2023....” (</w:t>
      </w:r>
      <w:proofErr w:type="gramStart"/>
      <w:r w:rsidRPr="00BE6DAA">
        <w:rPr>
          <w:rFonts w:ascii="Palatino Linotype" w:eastAsia="Palatino Linotype" w:hAnsi="Palatino Linotype" w:cs="Palatino Linotype"/>
          <w:i/>
          <w:sz w:val="22"/>
          <w:szCs w:val="22"/>
        </w:rPr>
        <w:t>sic</w:t>
      </w:r>
      <w:proofErr w:type="gramEnd"/>
      <w:r w:rsidRPr="00BE6DAA">
        <w:rPr>
          <w:rFonts w:ascii="Palatino Linotype" w:eastAsia="Palatino Linotype" w:hAnsi="Palatino Linotype" w:cs="Palatino Linotype"/>
          <w:i/>
          <w:sz w:val="22"/>
          <w:szCs w:val="22"/>
        </w:rPr>
        <w:t>)</w:t>
      </w:r>
    </w:p>
    <w:p w:rsidR="000762F8" w:rsidRPr="00BE6DAA" w:rsidRDefault="00BE6DAA">
      <w:pPr>
        <w:spacing w:before="240" w:after="240" w:line="360" w:lineRule="auto"/>
        <w:ind w:right="49"/>
        <w:jc w:val="both"/>
        <w:rPr>
          <w:rFonts w:ascii="Palatino Linotype" w:eastAsia="Palatino Linotype" w:hAnsi="Palatino Linotype" w:cs="Palatino Linotype"/>
        </w:rPr>
      </w:pPr>
      <w:r w:rsidRPr="00BE6DAA">
        <w:rPr>
          <w:rFonts w:ascii="Palatino Linotype" w:eastAsia="Palatino Linotype" w:hAnsi="Palatino Linotype" w:cs="Palatino Linotype"/>
        </w:rPr>
        <w:t xml:space="preserve">El </w:t>
      </w:r>
      <w:r w:rsidRPr="00BE6DAA">
        <w:rPr>
          <w:rFonts w:ascii="Palatino Linotype" w:eastAsia="Palatino Linotype" w:hAnsi="Palatino Linotype" w:cs="Palatino Linotype"/>
          <w:b/>
        </w:rPr>
        <w:t xml:space="preserve">Sujeto Obligado </w:t>
      </w:r>
      <w:r w:rsidRPr="00BE6DAA">
        <w:rPr>
          <w:rFonts w:ascii="Palatino Linotype" w:eastAsia="Palatino Linotype" w:hAnsi="Palatino Linotype" w:cs="Palatino Linotype"/>
        </w:rPr>
        <w:t>adjuntó lo siguiente:</w:t>
      </w:r>
    </w:p>
    <w:p w:rsidR="000762F8" w:rsidRPr="00BE6DAA" w:rsidRDefault="00BE6DAA">
      <w:pPr>
        <w:spacing w:before="240" w:after="240" w:line="360" w:lineRule="auto"/>
        <w:ind w:right="49"/>
        <w:jc w:val="both"/>
        <w:rPr>
          <w:rFonts w:ascii="Palatino Linotype" w:eastAsia="Palatino Linotype" w:hAnsi="Palatino Linotype" w:cs="Palatino Linotype"/>
        </w:rPr>
      </w:pPr>
      <w:r w:rsidRPr="00BE6DAA">
        <w:rPr>
          <w:rFonts w:ascii="Palatino Linotype" w:eastAsia="Palatino Linotype" w:hAnsi="Palatino Linotype" w:cs="Palatino Linotype"/>
        </w:rPr>
        <w:lastRenderedPageBreak/>
        <w:t>- Escrito de fecha diez de enero de dos mi veintitrés, signado por el Director de Administración, mediante el cual da contestación a la solicitud de información 00002/POLOTI/IP/2023.</w:t>
      </w:r>
    </w:p>
    <w:p w:rsidR="000762F8" w:rsidRPr="00BE6DAA" w:rsidRDefault="00BE6DAA">
      <w:pPr>
        <w:spacing w:before="240" w:after="240" w:line="360" w:lineRule="auto"/>
        <w:ind w:right="49"/>
        <w:jc w:val="both"/>
        <w:rPr>
          <w:rFonts w:ascii="Palatino Linotype" w:eastAsia="Palatino Linotype" w:hAnsi="Palatino Linotype" w:cs="Palatino Linotype"/>
        </w:rPr>
      </w:pPr>
      <w:r w:rsidRPr="00BE6DAA">
        <w:rPr>
          <w:rFonts w:ascii="Palatino Linotype" w:eastAsia="Palatino Linotype" w:hAnsi="Palatino Linotype" w:cs="Palatino Linotype"/>
        </w:rPr>
        <w:t>- Oficio número TMP/006/2023 de fecha diez de enero de dos mi veintitrés, signado por la Tesorera Municipal, mediante el cual da contestación a la solicitud de información 00002/POLOTI/IP/2023.</w:t>
      </w:r>
    </w:p>
    <w:p w:rsidR="000762F8" w:rsidRPr="00BE6DAA" w:rsidRDefault="00BE6DAA">
      <w:pPr>
        <w:spacing w:before="240" w:after="240" w:line="360" w:lineRule="auto"/>
        <w:ind w:right="49"/>
        <w:jc w:val="both"/>
        <w:rPr>
          <w:rFonts w:ascii="Palatino Linotype" w:eastAsia="Palatino Linotype" w:hAnsi="Palatino Linotype" w:cs="Palatino Linotype"/>
          <w:b/>
        </w:rPr>
      </w:pPr>
      <w:r w:rsidRPr="00BE6DAA">
        <w:rPr>
          <w:rFonts w:ascii="Palatino Linotype" w:eastAsia="Palatino Linotype" w:hAnsi="Palatino Linotype" w:cs="Palatino Linotype"/>
        </w:rPr>
        <w:t xml:space="preserve"> </w:t>
      </w:r>
      <w:r w:rsidRPr="00BE6DAA">
        <w:rPr>
          <w:rFonts w:ascii="Palatino Linotype" w:eastAsia="Palatino Linotype" w:hAnsi="Palatino Linotype" w:cs="Palatino Linotype"/>
          <w:b/>
        </w:rPr>
        <w:t xml:space="preserve">3. Interposición del recurso de revisión. </w:t>
      </w:r>
      <w:r w:rsidRPr="00BE6DAA">
        <w:rPr>
          <w:rFonts w:ascii="Palatino Linotype" w:eastAsia="Palatino Linotype" w:hAnsi="Palatino Linotype" w:cs="Palatino Linotype"/>
        </w:rPr>
        <w:t xml:space="preserve">Inconforme con los términos de la respuesta emitida por parte del </w:t>
      </w:r>
      <w:r w:rsidRPr="00BE6DAA">
        <w:rPr>
          <w:rFonts w:ascii="Palatino Linotype" w:eastAsia="Palatino Linotype" w:hAnsi="Palatino Linotype" w:cs="Palatino Linotype"/>
          <w:b/>
        </w:rPr>
        <w:t>Sujeto Obligado</w:t>
      </w:r>
      <w:r w:rsidRPr="00BE6DAA">
        <w:rPr>
          <w:rFonts w:ascii="Palatino Linotype" w:eastAsia="Palatino Linotype" w:hAnsi="Palatino Linotype" w:cs="Palatino Linotype"/>
        </w:rPr>
        <w:t xml:space="preserve">, </w:t>
      </w:r>
      <w:r w:rsidRPr="00BE6DAA">
        <w:rPr>
          <w:rFonts w:ascii="Palatino Linotype" w:eastAsia="Palatino Linotype" w:hAnsi="Palatino Linotype" w:cs="Palatino Linotype"/>
          <w:b/>
        </w:rPr>
        <w:t>diecisiete de enero de dos mil veintitrés,</w:t>
      </w:r>
      <w:r w:rsidRPr="00BE6DAA">
        <w:rPr>
          <w:rFonts w:ascii="Palatino Linotype" w:eastAsia="Palatino Linotype" w:hAnsi="Palatino Linotype" w:cs="Palatino Linotype"/>
        </w:rPr>
        <w:t xml:space="preserve"> la parte </w:t>
      </w:r>
      <w:r w:rsidRPr="00BE6DAA">
        <w:rPr>
          <w:rFonts w:ascii="Palatino Linotype" w:eastAsia="Palatino Linotype" w:hAnsi="Palatino Linotype" w:cs="Palatino Linotype"/>
          <w:b/>
        </w:rPr>
        <w:t>Recurrente</w:t>
      </w:r>
      <w:r w:rsidRPr="00BE6DAA">
        <w:rPr>
          <w:rFonts w:ascii="Palatino Linotype" w:eastAsia="Palatino Linotype" w:hAnsi="Palatino Linotype" w:cs="Palatino Linotype"/>
        </w:rPr>
        <w:t xml:space="preserve"> interpuso el recurso de revisión a través de </w:t>
      </w:r>
      <w:r w:rsidRPr="00BE6DAA">
        <w:rPr>
          <w:rFonts w:ascii="Palatino Linotype" w:eastAsia="Palatino Linotype" w:hAnsi="Palatino Linotype" w:cs="Palatino Linotype"/>
          <w:b/>
        </w:rPr>
        <w:t xml:space="preserve">SAIMEX, </w:t>
      </w:r>
      <w:r w:rsidRPr="00BE6DAA">
        <w:rPr>
          <w:rFonts w:ascii="Palatino Linotype" w:eastAsia="Palatino Linotype" w:hAnsi="Palatino Linotype" w:cs="Palatino Linotype"/>
        </w:rPr>
        <w:t>en donde se manifestó de la siguiente manera:</w:t>
      </w:r>
    </w:p>
    <w:p w:rsidR="000762F8" w:rsidRPr="00BE6DAA" w:rsidRDefault="00BE6DAA">
      <w:pPr>
        <w:tabs>
          <w:tab w:val="left" w:pos="2745"/>
        </w:tabs>
        <w:spacing w:before="240" w:after="240" w:line="360" w:lineRule="auto"/>
        <w:jc w:val="both"/>
        <w:rPr>
          <w:rFonts w:ascii="Palatino Linotype" w:eastAsia="Palatino Linotype" w:hAnsi="Palatino Linotype" w:cs="Palatino Linotype"/>
          <w:b/>
        </w:rPr>
      </w:pPr>
      <w:r w:rsidRPr="00BE6DAA">
        <w:rPr>
          <w:rFonts w:ascii="Palatino Linotype" w:eastAsia="Palatino Linotype" w:hAnsi="Palatino Linotype" w:cs="Palatino Linotype"/>
          <w:b/>
        </w:rPr>
        <w:t xml:space="preserve">Acto impugnado: </w:t>
      </w:r>
    </w:p>
    <w:p w:rsidR="000762F8" w:rsidRPr="00BE6DAA" w:rsidRDefault="00BE6DAA">
      <w:pPr>
        <w:tabs>
          <w:tab w:val="left" w:pos="2745"/>
        </w:tabs>
        <w:spacing w:before="240" w:after="240"/>
        <w:ind w:left="851" w:right="900"/>
        <w:jc w:val="both"/>
        <w:rPr>
          <w:rFonts w:ascii="Palatino Linotype" w:eastAsia="Palatino Linotype" w:hAnsi="Palatino Linotype" w:cs="Palatino Linotype"/>
          <w:i/>
          <w:sz w:val="22"/>
          <w:szCs w:val="22"/>
        </w:rPr>
      </w:pPr>
      <w:r w:rsidRPr="00BE6DAA">
        <w:rPr>
          <w:rFonts w:ascii="Palatino Linotype" w:eastAsia="Palatino Linotype" w:hAnsi="Palatino Linotype" w:cs="Palatino Linotype"/>
          <w:i/>
          <w:sz w:val="22"/>
          <w:szCs w:val="22"/>
        </w:rPr>
        <w:t xml:space="preserve">“Respuesta a la solicitud de transparencia con folio 00001/POLOTI/IP/2023 del Ayuntamiento de </w:t>
      </w:r>
      <w:proofErr w:type="spellStart"/>
      <w:r w:rsidRPr="00BE6DAA">
        <w:rPr>
          <w:rFonts w:ascii="Palatino Linotype" w:eastAsia="Palatino Linotype" w:hAnsi="Palatino Linotype" w:cs="Palatino Linotype"/>
          <w:i/>
          <w:sz w:val="22"/>
          <w:szCs w:val="22"/>
        </w:rPr>
        <w:t>Polotitlán</w:t>
      </w:r>
      <w:proofErr w:type="spellEnd"/>
      <w:r w:rsidRPr="00BE6DAA">
        <w:rPr>
          <w:rFonts w:ascii="Palatino Linotype" w:eastAsia="Palatino Linotype" w:hAnsi="Palatino Linotype" w:cs="Palatino Linotype"/>
          <w:i/>
          <w:sz w:val="22"/>
          <w:szCs w:val="22"/>
        </w:rPr>
        <w:t>, Estado de México” (sic)</w:t>
      </w:r>
    </w:p>
    <w:p w:rsidR="000762F8" w:rsidRPr="00BE6DAA" w:rsidRDefault="00BE6DAA">
      <w:pPr>
        <w:spacing w:line="360" w:lineRule="auto"/>
        <w:jc w:val="both"/>
        <w:rPr>
          <w:rFonts w:ascii="Palatino Linotype" w:eastAsia="Palatino Linotype" w:hAnsi="Palatino Linotype" w:cs="Palatino Linotype"/>
        </w:rPr>
      </w:pPr>
      <w:bookmarkStart w:id="3" w:name="_heading=h.30j0zll" w:colFirst="0" w:colLast="0"/>
      <w:bookmarkEnd w:id="3"/>
      <w:r w:rsidRPr="00BE6DAA">
        <w:rPr>
          <w:rFonts w:ascii="Palatino Linotype" w:eastAsia="Palatino Linotype" w:hAnsi="Palatino Linotype" w:cs="Palatino Linotype"/>
          <w:b/>
        </w:rPr>
        <w:t>Y Razones o motivos de inconformidad</w:t>
      </w:r>
      <w:r w:rsidRPr="00BE6DAA">
        <w:rPr>
          <w:rFonts w:ascii="Palatino Linotype" w:eastAsia="Palatino Linotype" w:hAnsi="Palatino Linotype" w:cs="Palatino Linotype"/>
        </w:rPr>
        <w:t xml:space="preserve">: </w:t>
      </w:r>
    </w:p>
    <w:p w:rsidR="000762F8" w:rsidRPr="00BE6DAA" w:rsidRDefault="00BE6DAA">
      <w:pPr>
        <w:spacing w:before="120" w:after="120"/>
        <w:ind w:left="851" w:right="902"/>
        <w:jc w:val="both"/>
        <w:rPr>
          <w:rFonts w:ascii="Palatino Linotype" w:eastAsia="Palatino Linotype" w:hAnsi="Palatino Linotype" w:cs="Palatino Linotype"/>
          <w:b/>
          <w:i/>
          <w:sz w:val="22"/>
          <w:szCs w:val="22"/>
        </w:rPr>
      </w:pPr>
      <w:r w:rsidRPr="00BE6DAA">
        <w:rPr>
          <w:rFonts w:ascii="Palatino Linotype" w:eastAsia="Palatino Linotype" w:hAnsi="Palatino Linotype" w:cs="Palatino Linotype"/>
          <w:i/>
          <w:sz w:val="22"/>
          <w:szCs w:val="22"/>
        </w:rPr>
        <w:t xml:space="preserve">“El pasado 9 de enero del presente se presentó, a través de la Plataforma Nacional de Transparencia, la solicitud que contiene el archivo de Acuse de Transparencia que se anexa a la presente inconformidad con folio 00001/POLOTI/IP/2023, denominado "Acuse PNT". La respuesta del Ayuntamiento de </w:t>
      </w:r>
      <w:proofErr w:type="spellStart"/>
      <w:r w:rsidRPr="00BE6DAA">
        <w:rPr>
          <w:rFonts w:ascii="Palatino Linotype" w:eastAsia="Palatino Linotype" w:hAnsi="Palatino Linotype" w:cs="Palatino Linotype"/>
          <w:i/>
          <w:sz w:val="22"/>
          <w:szCs w:val="22"/>
        </w:rPr>
        <w:t>Polotitlán</w:t>
      </w:r>
      <w:proofErr w:type="spellEnd"/>
      <w:r w:rsidRPr="00BE6DAA">
        <w:rPr>
          <w:rFonts w:ascii="Palatino Linotype" w:eastAsia="Palatino Linotype" w:hAnsi="Palatino Linotype" w:cs="Palatino Linotype"/>
          <w:i/>
          <w:sz w:val="22"/>
          <w:szCs w:val="22"/>
        </w:rPr>
        <w:t>, a través del sistema SAIMEX, corresponde a una solicitud con folio 00001/POLOTI/IP/2023 del día 10 de enero de 2023; lo anterior implica que la información solicitada no corresponde con lo solicitado, como se observa en el archivo denominado "</w:t>
      </w:r>
      <w:proofErr w:type="spellStart"/>
      <w:r w:rsidRPr="00BE6DAA">
        <w:rPr>
          <w:rFonts w:ascii="Palatino Linotype" w:eastAsia="Palatino Linotype" w:hAnsi="Palatino Linotype" w:cs="Palatino Linotype"/>
          <w:i/>
          <w:sz w:val="22"/>
          <w:szCs w:val="22"/>
        </w:rPr>
        <w:t>solic</w:t>
      </w:r>
      <w:proofErr w:type="spellEnd"/>
      <w:r w:rsidRPr="00BE6DAA">
        <w:rPr>
          <w:rFonts w:ascii="Palatino Linotype" w:eastAsia="Palatino Linotype" w:hAnsi="Palatino Linotype" w:cs="Palatino Linotype"/>
          <w:i/>
          <w:sz w:val="22"/>
          <w:szCs w:val="22"/>
        </w:rPr>
        <w:t xml:space="preserve"> 002". Por lo que pido su intervención para la obtención correcta de la información solicitada.</w:t>
      </w:r>
      <w:r w:rsidRPr="00BE6DAA">
        <w:rPr>
          <w:rFonts w:ascii="Palatino Linotype" w:eastAsia="Palatino Linotype" w:hAnsi="Palatino Linotype" w:cs="Palatino Linotype"/>
          <w:b/>
          <w:i/>
          <w:sz w:val="22"/>
          <w:szCs w:val="22"/>
        </w:rPr>
        <w:t>”</w:t>
      </w:r>
    </w:p>
    <w:p w:rsidR="000762F8" w:rsidRPr="00BE6DAA" w:rsidRDefault="000762F8">
      <w:pPr>
        <w:spacing w:before="120" w:after="120"/>
        <w:ind w:left="851" w:right="902"/>
        <w:jc w:val="both"/>
        <w:rPr>
          <w:rFonts w:ascii="Palatino Linotype" w:eastAsia="Palatino Linotype" w:hAnsi="Palatino Linotype" w:cs="Palatino Linotype"/>
          <w:b/>
          <w:i/>
          <w:sz w:val="22"/>
          <w:szCs w:val="22"/>
        </w:rPr>
      </w:pPr>
    </w:p>
    <w:p w:rsidR="000762F8" w:rsidRPr="00BE6DAA" w:rsidRDefault="000762F8">
      <w:pPr>
        <w:spacing w:before="120" w:after="120"/>
        <w:ind w:left="851" w:right="902"/>
        <w:jc w:val="both"/>
        <w:rPr>
          <w:rFonts w:ascii="Palatino Linotype" w:eastAsia="Palatino Linotype" w:hAnsi="Palatino Linotype" w:cs="Palatino Linotype"/>
          <w:b/>
          <w:i/>
          <w:sz w:val="22"/>
          <w:szCs w:val="22"/>
        </w:rPr>
      </w:pPr>
    </w:p>
    <w:p w:rsidR="000762F8" w:rsidRPr="00BE6DAA" w:rsidRDefault="000762F8">
      <w:pPr>
        <w:spacing w:before="120" w:after="120"/>
        <w:ind w:left="851" w:right="902"/>
        <w:jc w:val="both"/>
        <w:rPr>
          <w:rFonts w:ascii="Palatino Linotype" w:eastAsia="Palatino Linotype" w:hAnsi="Palatino Linotype" w:cs="Palatino Linotype"/>
          <w:b/>
          <w:i/>
          <w:sz w:val="22"/>
          <w:szCs w:val="22"/>
        </w:rPr>
      </w:pPr>
    </w:p>
    <w:p w:rsidR="000762F8" w:rsidRPr="00BE6DAA" w:rsidRDefault="00BE6DAA">
      <w:pPr>
        <w:spacing w:before="240" w:after="240" w:line="360" w:lineRule="auto"/>
        <w:ind w:right="49"/>
        <w:jc w:val="both"/>
        <w:rPr>
          <w:rFonts w:ascii="Palatino Linotype" w:eastAsia="Palatino Linotype" w:hAnsi="Palatino Linotype" w:cs="Palatino Linotype"/>
        </w:rPr>
      </w:pPr>
      <w:r w:rsidRPr="00BE6DAA">
        <w:rPr>
          <w:rFonts w:ascii="Palatino Linotype" w:eastAsia="Palatino Linotype" w:hAnsi="Palatino Linotype" w:cs="Palatino Linotype"/>
          <w:b/>
        </w:rPr>
        <w:lastRenderedPageBreak/>
        <w:t xml:space="preserve">Anexos: </w:t>
      </w:r>
      <w:r w:rsidRPr="00BE6DAA">
        <w:rPr>
          <w:rFonts w:ascii="Palatino Linotype" w:eastAsia="Palatino Linotype" w:hAnsi="Palatino Linotype" w:cs="Palatino Linotype"/>
        </w:rPr>
        <w:t xml:space="preserve">La parte </w:t>
      </w:r>
      <w:r w:rsidRPr="00BE6DAA">
        <w:rPr>
          <w:rFonts w:ascii="Palatino Linotype" w:eastAsia="Palatino Linotype" w:hAnsi="Palatino Linotype" w:cs="Palatino Linotype"/>
          <w:b/>
        </w:rPr>
        <w:t>Recurrente</w:t>
      </w:r>
      <w:r w:rsidRPr="00BE6DAA">
        <w:rPr>
          <w:rFonts w:ascii="Palatino Linotype" w:eastAsia="Palatino Linotype" w:hAnsi="Palatino Linotype" w:cs="Palatino Linotype"/>
        </w:rPr>
        <w:t xml:space="preserve"> adjuntó lo siguiente:</w:t>
      </w:r>
    </w:p>
    <w:p w:rsidR="000762F8" w:rsidRPr="00BE6DAA" w:rsidRDefault="00BE6DAA">
      <w:pPr>
        <w:spacing w:before="240" w:after="240" w:line="360" w:lineRule="auto"/>
        <w:ind w:right="49"/>
        <w:jc w:val="both"/>
        <w:rPr>
          <w:rFonts w:ascii="Palatino Linotype" w:eastAsia="Palatino Linotype" w:hAnsi="Palatino Linotype" w:cs="Palatino Linotype"/>
        </w:rPr>
      </w:pPr>
      <w:r w:rsidRPr="00BE6DAA">
        <w:rPr>
          <w:rFonts w:ascii="Palatino Linotype" w:eastAsia="Palatino Linotype" w:hAnsi="Palatino Linotype" w:cs="Palatino Linotype"/>
        </w:rPr>
        <w:t>- “</w:t>
      </w:r>
      <w:proofErr w:type="spellStart"/>
      <w:r w:rsidRPr="00BE6DAA">
        <w:rPr>
          <w:rFonts w:ascii="Palatino Linotype" w:eastAsia="Palatino Linotype" w:hAnsi="Palatino Linotype" w:cs="Palatino Linotype"/>
          <w:i/>
        </w:rPr>
        <w:t>solic</w:t>
      </w:r>
      <w:proofErr w:type="spellEnd"/>
      <w:r w:rsidRPr="00BE6DAA">
        <w:rPr>
          <w:rFonts w:ascii="Palatino Linotype" w:eastAsia="Palatino Linotype" w:hAnsi="Palatino Linotype" w:cs="Palatino Linotype"/>
          <w:i/>
        </w:rPr>
        <w:t xml:space="preserve"> 002 (2).</w:t>
      </w:r>
      <w:proofErr w:type="spellStart"/>
      <w:r w:rsidRPr="00BE6DAA">
        <w:rPr>
          <w:rFonts w:ascii="Palatino Linotype" w:eastAsia="Palatino Linotype" w:hAnsi="Palatino Linotype" w:cs="Palatino Linotype"/>
          <w:i/>
        </w:rPr>
        <w:t>pdf</w:t>
      </w:r>
      <w:proofErr w:type="spellEnd"/>
      <w:r w:rsidRPr="00BE6DAA">
        <w:rPr>
          <w:rFonts w:ascii="Palatino Linotype" w:eastAsia="Palatino Linotype" w:hAnsi="Palatino Linotype" w:cs="Palatino Linotype"/>
        </w:rPr>
        <w:t xml:space="preserve">“, que consiste en los documentos que el </w:t>
      </w:r>
      <w:r w:rsidRPr="00BE6DAA">
        <w:rPr>
          <w:rFonts w:ascii="Palatino Linotype" w:eastAsia="Palatino Linotype" w:hAnsi="Palatino Linotype" w:cs="Palatino Linotype"/>
          <w:b/>
        </w:rPr>
        <w:t xml:space="preserve">Sujeto Obligado, </w:t>
      </w:r>
      <w:r w:rsidRPr="00BE6DAA">
        <w:rPr>
          <w:rFonts w:ascii="Palatino Linotype" w:eastAsia="Palatino Linotype" w:hAnsi="Palatino Linotype" w:cs="Palatino Linotype"/>
        </w:rPr>
        <w:t>proporcionó en respuesta a la solicitud 00002/POLOTI/IP/2023.</w:t>
      </w:r>
    </w:p>
    <w:p w:rsidR="000762F8" w:rsidRPr="00BE6DAA" w:rsidRDefault="00BE6DAA">
      <w:pPr>
        <w:spacing w:before="240" w:after="240" w:line="360" w:lineRule="auto"/>
        <w:ind w:right="49"/>
        <w:jc w:val="both"/>
        <w:rPr>
          <w:rFonts w:ascii="Palatino Linotype" w:eastAsia="Palatino Linotype" w:hAnsi="Palatino Linotype" w:cs="Palatino Linotype"/>
        </w:rPr>
      </w:pPr>
      <w:r w:rsidRPr="00BE6DAA">
        <w:rPr>
          <w:rFonts w:ascii="Palatino Linotype" w:eastAsia="Palatino Linotype" w:hAnsi="Palatino Linotype" w:cs="Palatino Linotype"/>
        </w:rPr>
        <w:t>- “</w:t>
      </w:r>
      <w:r w:rsidRPr="00BE6DAA">
        <w:rPr>
          <w:rFonts w:ascii="Palatino Linotype" w:eastAsia="Palatino Linotype" w:hAnsi="Palatino Linotype" w:cs="Palatino Linotype"/>
          <w:i/>
        </w:rPr>
        <w:t>Acuse PNT.pdf</w:t>
      </w:r>
      <w:r w:rsidRPr="00BE6DAA">
        <w:rPr>
          <w:rFonts w:ascii="Palatino Linotype" w:eastAsia="Palatino Linotype" w:hAnsi="Palatino Linotype" w:cs="Palatino Linotype"/>
        </w:rPr>
        <w:t>“, que consiste en el acuse de solicitud de información pública de la solicitud 00001/POLOTI/IP/2023.</w:t>
      </w:r>
    </w:p>
    <w:p w:rsidR="000762F8" w:rsidRPr="00BE6DAA" w:rsidRDefault="00BE6DAA">
      <w:pPr>
        <w:spacing w:before="240" w:after="240" w:line="360" w:lineRule="auto"/>
        <w:ind w:right="51"/>
        <w:jc w:val="both"/>
        <w:rPr>
          <w:rFonts w:ascii="Palatino Linotype" w:eastAsia="Palatino Linotype" w:hAnsi="Palatino Linotype" w:cs="Palatino Linotype"/>
        </w:rPr>
      </w:pPr>
      <w:r w:rsidRPr="00BE6DAA">
        <w:rPr>
          <w:rFonts w:ascii="Palatino Linotype" w:eastAsia="Palatino Linotype" w:hAnsi="Palatino Linotype" w:cs="Palatino Linotype"/>
          <w:b/>
        </w:rPr>
        <w:t xml:space="preserve">4. Turno. </w:t>
      </w:r>
      <w:r w:rsidRPr="00BE6DAA">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Comisionada </w:t>
      </w:r>
      <w:r w:rsidRPr="00BE6DAA">
        <w:rPr>
          <w:rFonts w:ascii="Palatino Linotype" w:eastAsia="Palatino Linotype" w:hAnsi="Palatino Linotype" w:cs="Palatino Linotype"/>
          <w:b/>
        </w:rPr>
        <w:t xml:space="preserve">Guadalupe Ramírez Peña, </w:t>
      </w:r>
      <w:r w:rsidRPr="00BE6DAA">
        <w:rPr>
          <w:rFonts w:ascii="Palatino Linotype" w:eastAsia="Palatino Linotype" w:hAnsi="Palatino Linotype" w:cs="Palatino Linotype"/>
        </w:rPr>
        <w:t xml:space="preserve">a efecto de que analizara sobre su admisión o su </w:t>
      </w:r>
      <w:proofErr w:type="spellStart"/>
      <w:r w:rsidRPr="00BE6DAA">
        <w:rPr>
          <w:rFonts w:ascii="Palatino Linotype" w:eastAsia="Palatino Linotype" w:hAnsi="Palatino Linotype" w:cs="Palatino Linotype"/>
        </w:rPr>
        <w:t>desechamiento</w:t>
      </w:r>
      <w:proofErr w:type="spellEnd"/>
      <w:r w:rsidRPr="00BE6DAA">
        <w:rPr>
          <w:rFonts w:ascii="Palatino Linotype" w:eastAsia="Palatino Linotype" w:hAnsi="Palatino Linotype" w:cs="Palatino Linotype"/>
        </w:rPr>
        <w:t>.</w:t>
      </w:r>
    </w:p>
    <w:p w:rsidR="000762F8" w:rsidRPr="00BE6DAA" w:rsidRDefault="00BE6DAA">
      <w:pPr>
        <w:spacing w:before="240" w:after="240" w:line="360" w:lineRule="auto"/>
        <w:jc w:val="both"/>
        <w:rPr>
          <w:rFonts w:ascii="Palatino Linotype" w:eastAsia="Palatino Linotype" w:hAnsi="Palatino Linotype" w:cs="Palatino Linotype"/>
        </w:rPr>
      </w:pPr>
      <w:r w:rsidRPr="00BE6DAA">
        <w:rPr>
          <w:rFonts w:ascii="Palatino Linotype" w:eastAsia="Palatino Linotype" w:hAnsi="Palatino Linotype" w:cs="Palatino Linotype"/>
          <w:b/>
        </w:rPr>
        <w:t>5. Admisión del Recurso de revisión.</w:t>
      </w:r>
      <w:r w:rsidRPr="00BE6DAA">
        <w:rPr>
          <w:rFonts w:ascii="Palatino Linotype" w:eastAsia="Palatino Linotype" w:hAnsi="Palatino Linotype" w:cs="Palatino Linotype"/>
        </w:rPr>
        <w:t xml:space="preserve"> Con fecha</w:t>
      </w:r>
      <w:r w:rsidRPr="00BE6DAA">
        <w:rPr>
          <w:rFonts w:ascii="Palatino Linotype" w:eastAsia="Palatino Linotype" w:hAnsi="Palatino Linotype" w:cs="Palatino Linotype"/>
          <w:b/>
        </w:rPr>
        <w:t xml:space="preserve"> veinte de enero de dos mil veintitrés, </w:t>
      </w:r>
      <w:r w:rsidRPr="00BE6DAA">
        <w:rPr>
          <w:rFonts w:ascii="Palatino Linotype" w:eastAsia="Palatino Linotype" w:hAnsi="Palatino Linotype" w:cs="Palatino Linotype"/>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sidRPr="00BE6DAA">
        <w:rPr>
          <w:rFonts w:ascii="Palatino Linotype" w:eastAsia="Palatino Linotype" w:hAnsi="Palatino Linotype" w:cs="Palatino Linotype"/>
          <w:b/>
        </w:rPr>
        <w:t xml:space="preserve">Sujeto Obligado </w:t>
      </w:r>
      <w:r w:rsidRPr="00BE6DAA">
        <w:rPr>
          <w:rFonts w:ascii="Palatino Linotype" w:eastAsia="Palatino Linotype" w:hAnsi="Palatino Linotype" w:cs="Palatino Linotype"/>
        </w:rPr>
        <w:t>presentara su informe justificado.</w:t>
      </w:r>
    </w:p>
    <w:p w:rsidR="000762F8" w:rsidRPr="00BE6DAA" w:rsidRDefault="00BE6DAA">
      <w:pPr>
        <w:spacing w:before="240" w:after="240" w:line="360" w:lineRule="auto"/>
        <w:ind w:right="49"/>
        <w:jc w:val="both"/>
        <w:rPr>
          <w:rFonts w:ascii="Palatino Linotype" w:eastAsia="Palatino Linotype" w:hAnsi="Palatino Linotype" w:cs="Palatino Linotype"/>
        </w:rPr>
      </w:pPr>
      <w:bookmarkStart w:id="4" w:name="_heading=h.2s8eyo1" w:colFirst="0" w:colLast="0"/>
      <w:bookmarkEnd w:id="4"/>
      <w:r w:rsidRPr="00BE6DAA">
        <w:rPr>
          <w:rFonts w:ascii="Palatino Linotype" w:eastAsia="Palatino Linotype" w:hAnsi="Palatino Linotype" w:cs="Palatino Linotype"/>
          <w:b/>
        </w:rPr>
        <w:t>6. Manifestaciones</w:t>
      </w:r>
      <w:r w:rsidRPr="00BE6DAA">
        <w:rPr>
          <w:rFonts w:ascii="Palatino Linotype" w:eastAsia="Palatino Linotype" w:hAnsi="Palatino Linotype" w:cs="Palatino Linotype"/>
        </w:rPr>
        <w:t xml:space="preserve">. En fecha </w:t>
      </w:r>
      <w:r w:rsidRPr="00BE6DAA">
        <w:rPr>
          <w:rFonts w:ascii="Palatino Linotype" w:eastAsia="Palatino Linotype" w:hAnsi="Palatino Linotype" w:cs="Palatino Linotype"/>
          <w:b/>
        </w:rPr>
        <w:t>veinte de enero de dos mil veintitrés</w:t>
      </w:r>
      <w:r w:rsidRPr="00BE6DAA">
        <w:rPr>
          <w:rFonts w:ascii="Palatino Linotype" w:eastAsia="Palatino Linotype" w:hAnsi="Palatino Linotype" w:cs="Palatino Linotype"/>
        </w:rPr>
        <w:t xml:space="preserve">, la parte </w:t>
      </w:r>
      <w:r w:rsidRPr="00BE6DAA">
        <w:rPr>
          <w:rFonts w:ascii="Palatino Linotype" w:eastAsia="Palatino Linotype" w:hAnsi="Palatino Linotype" w:cs="Palatino Linotype"/>
          <w:b/>
        </w:rPr>
        <w:t xml:space="preserve">Recurrente </w:t>
      </w:r>
      <w:r w:rsidRPr="00BE6DAA">
        <w:rPr>
          <w:rFonts w:ascii="Palatino Linotype" w:eastAsia="Palatino Linotype" w:hAnsi="Palatino Linotype" w:cs="Palatino Linotype"/>
        </w:rPr>
        <w:t xml:space="preserve">adjuntó los documentos que el </w:t>
      </w:r>
      <w:r w:rsidRPr="00BE6DAA">
        <w:rPr>
          <w:rFonts w:ascii="Palatino Linotype" w:eastAsia="Palatino Linotype" w:hAnsi="Palatino Linotype" w:cs="Palatino Linotype"/>
          <w:b/>
        </w:rPr>
        <w:t xml:space="preserve">Sujeto Obligado, </w:t>
      </w:r>
      <w:r w:rsidRPr="00BE6DAA">
        <w:rPr>
          <w:rFonts w:ascii="Palatino Linotype" w:eastAsia="Palatino Linotype" w:hAnsi="Palatino Linotype" w:cs="Palatino Linotype"/>
        </w:rPr>
        <w:t>proporcionó en respuesta a la solicitud 00002/POLOTI/IP/2023, así como el acuse de solicitud de información pública de la solicitud 00001/POLOTI/IP/2023</w:t>
      </w:r>
    </w:p>
    <w:p w:rsidR="000762F8" w:rsidRPr="00BE6DAA" w:rsidRDefault="000762F8">
      <w:pPr>
        <w:spacing w:before="240" w:after="240" w:line="360" w:lineRule="auto"/>
        <w:jc w:val="both"/>
        <w:rPr>
          <w:rFonts w:ascii="Palatino Linotype" w:eastAsia="Palatino Linotype" w:hAnsi="Palatino Linotype" w:cs="Palatino Linotype"/>
        </w:rPr>
      </w:pPr>
    </w:p>
    <w:p w:rsidR="000762F8" w:rsidRPr="00BE6DAA" w:rsidRDefault="00BE6DAA">
      <w:pPr>
        <w:spacing w:before="240" w:after="240" w:line="360" w:lineRule="auto"/>
        <w:jc w:val="both"/>
        <w:rPr>
          <w:rFonts w:ascii="Palatino Linotype" w:eastAsia="Palatino Linotype" w:hAnsi="Palatino Linotype" w:cs="Palatino Linotype"/>
        </w:rPr>
      </w:pPr>
      <w:r w:rsidRPr="00BE6DAA">
        <w:rPr>
          <w:rFonts w:ascii="Palatino Linotype" w:eastAsia="Palatino Linotype" w:hAnsi="Palatino Linotype" w:cs="Palatino Linotype"/>
        </w:rPr>
        <w:t xml:space="preserve">Por su parte, el </w:t>
      </w:r>
      <w:r w:rsidRPr="00BE6DAA">
        <w:rPr>
          <w:rFonts w:ascii="Palatino Linotype" w:eastAsia="Palatino Linotype" w:hAnsi="Palatino Linotype" w:cs="Palatino Linotype"/>
          <w:b/>
        </w:rPr>
        <w:t xml:space="preserve">Sujeto Obligado, </w:t>
      </w:r>
      <w:r w:rsidRPr="00BE6DAA">
        <w:rPr>
          <w:rFonts w:ascii="Palatino Linotype" w:eastAsia="Palatino Linotype" w:hAnsi="Palatino Linotype" w:cs="Palatino Linotype"/>
        </w:rPr>
        <w:t xml:space="preserve"> en fecha </w:t>
      </w:r>
      <w:r w:rsidRPr="00BE6DAA">
        <w:rPr>
          <w:rFonts w:ascii="Palatino Linotype" w:eastAsia="Palatino Linotype" w:hAnsi="Palatino Linotype" w:cs="Palatino Linotype"/>
          <w:b/>
        </w:rPr>
        <w:t>veinticinco de enero de dos mil veintitrés</w:t>
      </w:r>
      <w:r w:rsidRPr="00BE6DAA">
        <w:rPr>
          <w:rFonts w:ascii="Palatino Linotype" w:eastAsia="Palatino Linotype" w:hAnsi="Palatino Linotype" w:cs="Palatino Linotype"/>
        </w:rPr>
        <w:t>, remitió, a través de SAIMEX, el escrito de fecha dieciséis de enero de dos mil veintitrés, signado por el Secretario del Ayuntamiento, mediante el cual se pronunció de manera puntual, sobre cada uno de los requerimientos planteados por la persona solicitante, como se muestra a continuación:</w:t>
      </w:r>
    </w:p>
    <w:p w:rsidR="000762F8" w:rsidRPr="00BE6DAA" w:rsidRDefault="00BE6DAA">
      <w:pPr>
        <w:spacing w:before="240" w:after="240" w:line="360" w:lineRule="auto"/>
        <w:jc w:val="both"/>
        <w:rPr>
          <w:rFonts w:ascii="Palatino Linotype" w:eastAsia="Palatino Linotype" w:hAnsi="Palatino Linotype" w:cs="Palatino Linotype"/>
        </w:rPr>
      </w:pPr>
      <w:r w:rsidRPr="00BE6DAA">
        <w:rPr>
          <w:noProof/>
        </w:rPr>
        <w:lastRenderedPageBreak/>
        <w:drawing>
          <wp:inline distT="0" distB="0" distL="0" distR="0">
            <wp:extent cx="5610225" cy="5385020"/>
            <wp:effectExtent l="0" t="0" r="0" b="0"/>
            <wp:docPr id="4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9"/>
                    <a:srcRect/>
                    <a:stretch>
                      <a:fillRect/>
                    </a:stretch>
                  </pic:blipFill>
                  <pic:spPr>
                    <a:xfrm>
                      <a:off x="0" y="0"/>
                      <a:ext cx="5610225" cy="5385020"/>
                    </a:xfrm>
                    <a:prstGeom prst="rect">
                      <a:avLst/>
                    </a:prstGeom>
                    <a:ln/>
                  </pic:spPr>
                </pic:pic>
              </a:graphicData>
            </a:graphic>
          </wp:inline>
        </w:drawing>
      </w:r>
      <w:r w:rsidRPr="00BE6DAA">
        <w:rPr>
          <w:noProof/>
        </w:rPr>
        <w:drawing>
          <wp:inline distT="0" distB="0" distL="0" distR="0">
            <wp:extent cx="5612130" cy="1000125"/>
            <wp:effectExtent l="0" t="0" r="0" b="0"/>
            <wp:docPr id="46"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0"/>
                    <a:srcRect b="82620"/>
                    <a:stretch>
                      <a:fillRect/>
                    </a:stretch>
                  </pic:blipFill>
                  <pic:spPr>
                    <a:xfrm>
                      <a:off x="0" y="0"/>
                      <a:ext cx="5612130" cy="1000125"/>
                    </a:xfrm>
                    <a:prstGeom prst="rect">
                      <a:avLst/>
                    </a:prstGeom>
                    <a:ln/>
                  </pic:spPr>
                </pic:pic>
              </a:graphicData>
            </a:graphic>
          </wp:inline>
        </w:drawing>
      </w:r>
    </w:p>
    <w:p w:rsidR="000762F8" w:rsidRPr="00BE6DAA" w:rsidRDefault="00BE6DAA">
      <w:pPr>
        <w:spacing w:before="240" w:after="240" w:line="360" w:lineRule="auto"/>
        <w:jc w:val="both"/>
        <w:rPr>
          <w:rFonts w:ascii="Palatino Linotype" w:eastAsia="Palatino Linotype" w:hAnsi="Palatino Linotype" w:cs="Palatino Linotype"/>
        </w:rPr>
      </w:pPr>
      <w:r w:rsidRPr="00BE6DAA">
        <w:rPr>
          <w:noProof/>
        </w:rPr>
        <w:lastRenderedPageBreak/>
        <w:drawing>
          <wp:inline distT="0" distB="0" distL="0" distR="0">
            <wp:extent cx="5612130" cy="4744720"/>
            <wp:effectExtent l="0" t="0" r="0" b="0"/>
            <wp:docPr id="50"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0"/>
                    <a:srcRect t="17546"/>
                    <a:stretch>
                      <a:fillRect/>
                    </a:stretch>
                  </pic:blipFill>
                  <pic:spPr>
                    <a:xfrm>
                      <a:off x="0" y="0"/>
                      <a:ext cx="5612130" cy="4744720"/>
                    </a:xfrm>
                    <a:prstGeom prst="rect">
                      <a:avLst/>
                    </a:prstGeom>
                    <a:ln/>
                  </pic:spPr>
                </pic:pic>
              </a:graphicData>
            </a:graphic>
          </wp:inline>
        </w:drawing>
      </w:r>
    </w:p>
    <w:p w:rsidR="000762F8" w:rsidRPr="00BE6DAA" w:rsidRDefault="00BE6DAA">
      <w:pPr>
        <w:spacing w:before="240" w:after="240" w:line="360" w:lineRule="auto"/>
        <w:jc w:val="both"/>
        <w:rPr>
          <w:rFonts w:ascii="Palatino Linotype" w:eastAsia="Palatino Linotype" w:hAnsi="Palatino Linotype" w:cs="Palatino Linotype"/>
        </w:rPr>
      </w:pPr>
      <w:r w:rsidRPr="00BE6DAA">
        <w:rPr>
          <w:rFonts w:ascii="Palatino Linotype" w:eastAsia="Palatino Linotype" w:hAnsi="Palatino Linotype" w:cs="Palatino Linotype"/>
        </w:rPr>
        <w:t xml:space="preserve"> Una vez analizado el documento referido, se hizo del conocimiento de la parte </w:t>
      </w:r>
      <w:r w:rsidRPr="00BE6DAA">
        <w:rPr>
          <w:rFonts w:ascii="Palatino Linotype" w:eastAsia="Palatino Linotype" w:hAnsi="Palatino Linotype" w:cs="Palatino Linotype"/>
          <w:b/>
        </w:rPr>
        <w:t>Recurrente</w:t>
      </w:r>
      <w:r w:rsidRPr="00BE6DAA">
        <w:rPr>
          <w:rFonts w:ascii="Palatino Linotype" w:eastAsia="Palatino Linotype" w:hAnsi="Palatino Linotype" w:cs="Palatino Linotype"/>
        </w:rPr>
        <w:t xml:space="preserve"> con la finalidad de que manifestara lo que a su derecho estimara conveniente, siendo omisa en ejercer dicha prerrogativa.</w:t>
      </w:r>
    </w:p>
    <w:p w:rsidR="000762F8" w:rsidRPr="00BE6DAA" w:rsidRDefault="00BE6DAA">
      <w:pPr>
        <w:spacing w:before="240" w:after="240" w:line="360" w:lineRule="auto"/>
        <w:jc w:val="both"/>
        <w:rPr>
          <w:rFonts w:ascii="Palatino Linotype" w:eastAsia="Palatino Linotype" w:hAnsi="Palatino Linotype" w:cs="Palatino Linotype"/>
        </w:rPr>
      </w:pPr>
      <w:r w:rsidRPr="00BE6DAA">
        <w:rPr>
          <w:rFonts w:ascii="Palatino Linotype" w:eastAsia="Palatino Linotype" w:hAnsi="Palatino Linotype" w:cs="Palatino Linotype"/>
          <w:b/>
        </w:rPr>
        <w:t>7. Ampliación del término para resolver</w:t>
      </w:r>
      <w:r w:rsidRPr="00BE6DAA">
        <w:rPr>
          <w:rFonts w:ascii="Palatino Linotype" w:eastAsia="Palatino Linotype" w:hAnsi="Palatino Linotype" w:cs="Palatino Linotype"/>
        </w:rPr>
        <w:t xml:space="preserve">. En fecha </w:t>
      </w:r>
      <w:r w:rsidRPr="00BE6DAA">
        <w:rPr>
          <w:rFonts w:ascii="Palatino Linotype" w:eastAsia="Palatino Linotype" w:hAnsi="Palatino Linotype" w:cs="Palatino Linotype"/>
          <w:b/>
        </w:rPr>
        <w:t>veintinueve de mayo de dos mil veintitrés</w:t>
      </w:r>
      <w:r w:rsidRPr="00BE6DAA">
        <w:rPr>
          <w:rFonts w:ascii="Palatino Linotype" w:eastAsia="Palatino Linotype" w:hAnsi="Palatino Linotype" w:cs="Palatino Linotype"/>
        </w:rPr>
        <w:t>, se amplió el término para resolver el recurso de revisión en términos del artículo 181 párrafo tercero de la Ley de Transparencia y Acceso a la Información Pública del Estado de México y Municipios.</w:t>
      </w:r>
    </w:p>
    <w:p w:rsidR="000762F8" w:rsidRPr="00BE6DAA" w:rsidRDefault="00BE6DAA">
      <w:pPr>
        <w:spacing w:before="240" w:after="240" w:line="360" w:lineRule="auto"/>
        <w:jc w:val="both"/>
        <w:rPr>
          <w:rFonts w:ascii="Palatino Linotype" w:eastAsia="Palatino Linotype" w:hAnsi="Palatino Linotype" w:cs="Palatino Linotype"/>
        </w:rPr>
      </w:pPr>
      <w:r w:rsidRPr="00BE6DAA">
        <w:rPr>
          <w:rFonts w:ascii="Palatino Linotype" w:eastAsia="Palatino Linotype" w:hAnsi="Palatino Linotype" w:cs="Palatino Linotype"/>
        </w:rPr>
        <w:lastRenderedPageBreak/>
        <w:t>Este organismo garante no pasa por alto justificar, que el plazo para emitir la resolución en el presente asunto encuentra justificación en el alto número de recursos de revisión recibidos dentro del año dos mil veintidós, que, en comparación con los recibidos el año dos mil veintiuno, se incrementó aproximadamente un 300%, circunstancia atípica que ha rebasado las capacidades técnicas y humanas del personal encargado de la proyección de las resoluciones a dichos medios de impugnación.</w:t>
      </w:r>
    </w:p>
    <w:p w:rsidR="000762F8" w:rsidRPr="00BE6DAA" w:rsidRDefault="00BE6DAA">
      <w:pPr>
        <w:spacing w:before="240" w:after="240" w:line="360" w:lineRule="auto"/>
        <w:jc w:val="both"/>
        <w:rPr>
          <w:rFonts w:ascii="Palatino Linotype" w:eastAsia="Palatino Linotype" w:hAnsi="Palatino Linotype" w:cs="Palatino Linotype"/>
        </w:rPr>
      </w:pPr>
      <w:r w:rsidRPr="00BE6DAA">
        <w:rPr>
          <w:rFonts w:ascii="Palatino Linotype" w:eastAsia="Palatino Linotype" w:hAnsi="Palatino Linotype" w:cs="Palatino Linotype"/>
        </w:rPr>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rsidR="000762F8" w:rsidRPr="00BE6DAA" w:rsidRDefault="00BE6DAA">
      <w:pPr>
        <w:spacing w:before="240" w:after="240" w:line="360" w:lineRule="auto"/>
        <w:jc w:val="both"/>
        <w:rPr>
          <w:rFonts w:ascii="Palatino Linotype" w:eastAsia="Palatino Linotype" w:hAnsi="Palatino Linotype" w:cs="Palatino Linotype"/>
        </w:rPr>
      </w:pPr>
      <w:r w:rsidRPr="00BE6DAA">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rsidR="000762F8" w:rsidRPr="00BE6DAA" w:rsidRDefault="00BE6DAA">
      <w:pPr>
        <w:spacing w:before="240" w:after="240" w:line="360" w:lineRule="auto"/>
        <w:jc w:val="both"/>
        <w:rPr>
          <w:rFonts w:ascii="Palatino Linotype" w:eastAsia="Palatino Linotype" w:hAnsi="Palatino Linotype" w:cs="Palatino Linotype"/>
        </w:rPr>
      </w:pPr>
      <w:r w:rsidRPr="00BE6DAA">
        <w:rPr>
          <w:rFonts w:ascii="Palatino Linotype" w:eastAsia="Palatino Linotype" w:hAnsi="Palatino Linotype" w:cs="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rsidR="000762F8" w:rsidRPr="00BE6DAA" w:rsidRDefault="00BE6DAA">
      <w:pPr>
        <w:spacing w:before="240" w:after="240" w:line="360" w:lineRule="auto"/>
        <w:jc w:val="both"/>
        <w:rPr>
          <w:rFonts w:ascii="Palatino Linotype" w:eastAsia="Palatino Linotype" w:hAnsi="Palatino Linotype" w:cs="Palatino Linotype"/>
          <w:strike/>
        </w:rPr>
      </w:pPr>
      <w:r w:rsidRPr="00BE6DAA">
        <w:rPr>
          <w:rFonts w:ascii="Palatino Linotype" w:eastAsia="Palatino Linotype" w:hAnsi="Palatino Linotype" w:cs="Palatino Linotype"/>
        </w:rPr>
        <w:lastRenderedPageBreak/>
        <w:t xml:space="preserve">Por ello, excepcionalmente, si un asunto es resuelto con posterioridad a los plazos señalados por la norma debe analizarse la razonabilidad del tiempo necesario para su resolución, atentos a los siguientes criterios: </w:t>
      </w:r>
    </w:p>
    <w:p w:rsidR="000762F8" w:rsidRPr="00BE6DAA" w:rsidRDefault="00BE6DAA">
      <w:pPr>
        <w:numPr>
          <w:ilvl w:val="0"/>
          <w:numId w:val="1"/>
        </w:numPr>
        <w:spacing w:before="240" w:after="240" w:line="360" w:lineRule="auto"/>
        <w:jc w:val="both"/>
        <w:rPr>
          <w:rFonts w:ascii="Palatino Linotype" w:eastAsia="Palatino Linotype" w:hAnsi="Palatino Linotype" w:cs="Palatino Linotype"/>
        </w:rPr>
      </w:pPr>
      <w:r w:rsidRPr="00BE6DAA">
        <w:rPr>
          <w:rFonts w:ascii="Palatino Linotype" w:eastAsia="Palatino Linotype" w:hAnsi="Palatino Linotype" w:cs="Palatino Linotype"/>
        </w:rPr>
        <w:t xml:space="preserve">Complejidad del Asunto: La complejidad de la prueba, la pluralidad de sujetos procesales, el tiempo transcurrido, las características y contexto del recurso. </w:t>
      </w:r>
    </w:p>
    <w:p w:rsidR="000762F8" w:rsidRPr="00BE6DAA" w:rsidRDefault="00BE6DAA">
      <w:pPr>
        <w:numPr>
          <w:ilvl w:val="0"/>
          <w:numId w:val="1"/>
        </w:numPr>
        <w:spacing w:before="240" w:after="240" w:line="360" w:lineRule="auto"/>
        <w:jc w:val="both"/>
        <w:rPr>
          <w:rFonts w:ascii="Palatino Linotype" w:eastAsia="Palatino Linotype" w:hAnsi="Palatino Linotype" w:cs="Palatino Linotype"/>
        </w:rPr>
      </w:pPr>
      <w:r w:rsidRPr="00BE6DAA">
        <w:rPr>
          <w:rFonts w:ascii="Palatino Linotype" w:eastAsia="Palatino Linotype" w:hAnsi="Palatino Linotype" w:cs="Palatino Linotype"/>
        </w:rPr>
        <w:t>Actividad Procesal del interesado. Acciones u omisiones del interesado.</w:t>
      </w:r>
    </w:p>
    <w:p w:rsidR="000762F8" w:rsidRPr="00BE6DAA" w:rsidRDefault="00BE6DAA">
      <w:pPr>
        <w:numPr>
          <w:ilvl w:val="0"/>
          <w:numId w:val="1"/>
        </w:numPr>
        <w:spacing w:before="240" w:after="240" w:line="360" w:lineRule="auto"/>
        <w:jc w:val="both"/>
        <w:rPr>
          <w:rFonts w:ascii="Palatino Linotype" w:eastAsia="Palatino Linotype" w:hAnsi="Palatino Linotype" w:cs="Palatino Linotype"/>
        </w:rPr>
      </w:pPr>
      <w:r w:rsidRPr="00BE6DAA">
        <w:rPr>
          <w:rFonts w:ascii="Palatino Linotype" w:eastAsia="Palatino Linotype" w:hAnsi="Palatino Linotype" w:cs="Palatino Linotype"/>
        </w:rPr>
        <w:t>Conducta de la Autoridad: Las Acciones u omisiones realizadas en el procedimiento. Así como si la autoridad actuó con la debida diligencia.</w:t>
      </w:r>
    </w:p>
    <w:p w:rsidR="000762F8" w:rsidRPr="00BE6DAA" w:rsidRDefault="00BE6DAA">
      <w:pPr>
        <w:spacing w:before="240" w:after="240" w:line="360" w:lineRule="auto"/>
        <w:ind w:left="567"/>
        <w:jc w:val="both"/>
        <w:rPr>
          <w:rFonts w:ascii="Palatino Linotype" w:eastAsia="Palatino Linotype" w:hAnsi="Palatino Linotype" w:cs="Palatino Linotype"/>
        </w:rPr>
      </w:pPr>
      <w:r w:rsidRPr="00BE6DAA">
        <w:rPr>
          <w:rFonts w:ascii="Palatino Linotype" w:eastAsia="Palatino Linotype" w:hAnsi="Palatino Linotype" w:cs="Palatino Linotype"/>
        </w:rPr>
        <w:t>d) La afectación generada en la situación jurídica de la persona involucrada en el proceso: Violación a sus derechos humanos.</w:t>
      </w:r>
    </w:p>
    <w:p w:rsidR="000762F8" w:rsidRPr="00BE6DAA" w:rsidRDefault="00BE6DAA">
      <w:pPr>
        <w:spacing w:before="240" w:after="240" w:line="360" w:lineRule="auto"/>
        <w:jc w:val="both"/>
        <w:rPr>
          <w:rFonts w:ascii="Palatino Linotype" w:eastAsia="Palatino Linotype" w:hAnsi="Palatino Linotype" w:cs="Palatino Linotype"/>
        </w:rPr>
      </w:pPr>
      <w:r w:rsidRPr="00BE6DAA">
        <w:rPr>
          <w:rFonts w:ascii="Palatino Linotype" w:eastAsia="Palatino Linotype" w:hAnsi="Palatino Linotype" w:cs="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rsidR="000762F8" w:rsidRPr="00BE6DAA" w:rsidRDefault="00BE6DAA">
      <w:pPr>
        <w:spacing w:before="240" w:after="240" w:line="360" w:lineRule="auto"/>
        <w:jc w:val="both"/>
        <w:rPr>
          <w:rFonts w:ascii="Palatino Linotype" w:eastAsia="Palatino Linotype" w:hAnsi="Palatino Linotype" w:cs="Palatino Linotype"/>
          <w:b/>
        </w:rPr>
      </w:pPr>
      <w:r w:rsidRPr="00BE6DAA">
        <w:rPr>
          <w:rFonts w:ascii="Palatino Linotype" w:eastAsia="Palatino Linotype" w:hAnsi="Palatino Linotype" w:cs="Palatino Linotype"/>
        </w:rPr>
        <w:t>Argumento que encuentra sustento en la jurisprudencia P</w:t>
      </w:r>
      <w:proofErr w:type="gramStart"/>
      <w:r w:rsidRPr="00BE6DAA">
        <w:rPr>
          <w:rFonts w:ascii="Palatino Linotype" w:eastAsia="Palatino Linotype" w:hAnsi="Palatino Linotype" w:cs="Palatino Linotype"/>
        </w:rPr>
        <w:t>./</w:t>
      </w:r>
      <w:proofErr w:type="gramEnd"/>
      <w:r w:rsidRPr="00BE6DAA">
        <w:rPr>
          <w:rFonts w:ascii="Palatino Linotype" w:eastAsia="Palatino Linotype" w:hAnsi="Palatino Linotype" w:cs="Palatino Linotype"/>
        </w:rPr>
        <w:t xml:space="preserve">J. 32/92 emitida por el Pleno de la Suprema Corte de Justicia de la Nación de rubro </w:t>
      </w:r>
      <w:r w:rsidRPr="00BE6DAA">
        <w:rPr>
          <w:rFonts w:ascii="Palatino Linotype" w:eastAsia="Palatino Linotype" w:hAnsi="Palatino Linotype" w:cs="Palatino Linotype"/>
          <w:i/>
        </w:rPr>
        <w:t xml:space="preserve">“TÉRMINOS PROCESALES. PARA DETERMINAR SI UN FUNCIONARIO JUDICIAL ACTUÓ INDEBIDAMENTE POR NO RESPETARLOS SE DEBE ATENDER AL PRESUPUESTO QUE CONSIDERÓ EL LEGISLADOR AL FIJARLOS Y LAS </w:t>
      </w:r>
      <w:r w:rsidRPr="00BE6DAA">
        <w:rPr>
          <w:rFonts w:ascii="Palatino Linotype" w:eastAsia="Palatino Linotype" w:hAnsi="Palatino Linotype" w:cs="Palatino Linotype"/>
          <w:i/>
        </w:rPr>
        <w:lastRenderedPageBreak/>
        <w:t>CARACTERÍSTICAS DEL CASO.”</w:t>
      </w:r>
      <w:r w:rsidRPr="00BE6DAA">
        <w:rPr>
          <w:rFonts w:ascii="Palatino Linotype" w:eastAsia="Palatino Linotype" w:hAnsi="Palatino Linotype" w:cs="Palatino Linotype"/>
        </w:rPr>
        <w:t>, visible en la Gaceta del Seminario Judicial de la Federación con el registro digital 205635.</w:t>
      </w:r>
    </w:p>
    <w:p w:rsidR="000762F8" w:rsidRPr="00BE6DAA" w:rsidRDefault="00BE6DAA">
      <w:pPr>
        <w:spacing w:before="240" w:after="240" w:line="360" w:lineRule="auto"/>
        <w:jc w:val="both"/>
        <w:rPr>
          <w:rFonts w:ascii="Palatino Linotype" w:eastAsia="Palatino Linotype" w:hAnsi="Palatino Linotype" w:cs="Palatino Linotype"/>
        </w:rPr>
      </w:pPr>
      <w:r w:rsidRPr="00BE6DAA">
        <w:rPr>
          <w:rFonts w:ascii="Palatino Linotype" w:eastAsia="Palatino Linotype" w:hAnsi="Palatino Linotype" w:cs="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rsidR="000762F8" w:rsidRPr="00BE6DAA" w:rsidRDefault="00BE6DAA">
      <w:pPr>
        <w:spacing w:before="240" w:after="240" w:line="360" w:lineRule="auto"/>
        <w:jc w:val="both"/>
        <w:rPr>
          <w:rFonts w:ascii="Palatino Linotype" w:eastAsia="Palatino Linotype" w:hAnsi="Palatino Linotype" w:cs="Palatino Linotype"/>
        </w:rPr>
      </w:pPr>
      <w:r w:rsidRPr="00BE6DAA">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rsidR="000762F8" w:rsidRPr="00BE6DAA" w:rsidRDefault="00BE6DAA">
      <w:pPr>
        <w:spacing w:before="240" w:after="240"/>
        <w:ind w:left="851" w:right="902"/>
        <w:jc w:val="both"/>
        <w:rPr>
          <w:rFonts w:ascii="Palatino Linotype" w:eastAsia="Palatino Linotype" w:hAnsi="Palatino Linotype" w:cs="Palatino Linotype"/>
          <w:sz w:val="22"/>
          <w:szCs w:val="22"/>
        </w:rPr>
      </w:pPr>
      <w:r w:rsidRPr="00BE6DAA">
        <w:rPr>
          <w:rFonts w:ascii="Palatino Linotype" w:eastAsia="Palatino Linotype" w:hAnsi="Palatino Linotype" w:cs="Palatino Linotype"/>
        </w:rPr>
        <w:t xml:space="preserve"> </w:t>
      </w:r>
      <w:r w:rsidRPr="00BE6DAA">
        <w:rPr>
          <w:rFonts w:ascii="Palatino Linotype" w:eastAsia="Palatino Linotype" w:hAnsi="Palatino Linotype" w:cs="Palatino Linotype"/>
          <w:i/>
          <w:sz w:val="22"/>
          <w:szCs w:val="22"/>
        </w:rPr>
        <w:t>“</w:t>
      </w:r>
      <w:r w:rsidRPr="00BE6DAA">
        <w:rPr>
          <w:rFonts w:ascii="Palatino Linotype" w:eastAsia="Palatino Linotype" w:hAnsi="Palatino Linotype" w:cs="Palatino Linotype"/>
          <w:b/>
          <w:i/>
          <w:sz w:val="22"/>
          <w:szCs w:val="22"/>
        </w:rPr>
        <w:t>PLAZO RAZONABLE PARA RESOLVER. DIMENSIÓN Y EFECTOS DE ESTE CONCEPTO CUANDO SE ADUCE EXCESIVA CARGA DE TRABAJO</w:t>
      </w:r>
      <w:r w:rsidRPr="00BE6DAA">
        <w:rPr>
          <w:rFonts w:ascii="Palatino Linotype" w:eastAsia="Palatino Linotype" w:hAnsi="Palatino Linotype" w:cs="Palatino Linotype"/>
          <w:i/>
          <w:sz w:val="22"/>
          <w:szCs w:val="22"/>
        </w:rPr>
        <w:t>.”</w:t>
      </w:r>
      <w:r w:rsidRPr="00BE6DAA">
        <w:rPr>
          <w:rFonts w:ascii="Palatino Linotype" w:eastAsia="Palatino Linotype" w:hAnsi="Palatino Linotype" w:cs="Palatino Linotype"/>
          <w:sz w:val="22"/>
          <w:szCs w:val="22"/>
        </w:rPr>
        <w:t xml:space="preserve"> consultable en el Seminario Judicial de la Federación y su gaceta, con el registro digital 2002351.</w:t>
      </w:r>
    </w:p>
    <w:p w:rsidR="000762F8" w:rsidRPr="00BE6DAA" w:rsidRDefault="00BE6DAA">
      <w:pPr>
        <w:spacing w:before="240" w:after="240"/>
        <w:ind w:left="851" w:right="902"/>
        <w:jc w:val="both"/>
        <w:rPr>
          <w:rFonts w:ascii="Palatino Linotype" w:eastAsia="Palatino Linotype" w:hAnsi="Palatino Linotype" w:cs="Palatino Linotype"/>
          <w:sz w:val="22"/>
          <w:szCs w:val="22"/>
        </w:rPr>
      </w:pPr>
      <w:r w:rsidRPr="00BE6DAA">
        <w:rPr>
          <w:rFonts w:ascii="Palatino Linotype" w:eastAsia="Palatino Linotype" w:hAnsi="Palatino Linotype" w:cs="Palatino Linotype"/>
          <w:i/>
          <w:sz w:val="22"/>
          <w:szCs w:val="22"/>
        </w:rPr>
        <w:t>“</w:t>
      </w:r>
      <w:r w:rsidRPr="00BE6DAA">
        <w:rPr>
          <w:rFonts w:ascii="Palatino Linotype" w:eastAsia="Palatino Linotype" w:hAnsi="Palatino Linotype" w:cs="Palatino Linotype"/>
          <w:b/>
          <w:i/>
          <w:sz w:val="22"/>
          <w:szCs w:val="22"/>
        </w:rPr>
        <w:t>PLAZO RAZONABLE PARA RESOLVER. CONCEPTO Y ELEMENTOS QUE LO INTEGRAN A LA LUZ DEL DERECHO INTERNACIONAL DE LOS DERECHOS HUMANOS</w:t>
      </w:r>
      <w:r w:rsidRPr="00BE6DAA">
        <w:rPr>
          <w:rFonts w:ascii="Palatino Linotype" w:eastAsia="Palatino Linotype" w:hAnsi="Palatino Linotype" w:cs="Palatino Linotype"/>
          <w:i/>
          <w:sz w:val="22"/>
          <w:szCs w:val="22"/>
        </w:rPr>
        <w:t>.”</w:t>
      </w:r>
      <w:r w:rsidRPr="00BE6DAA">
        <w:rPr>
          <w:rFonts w:ascii="Palatino Linotype" w:eastAsia="Palatino Linotype" w:hAnsi="Palatino Linotype" w:cs="Palatino Linotype"/>
          <w:sz w:val="22"/>
          <w:szCs w:val="22"/>
        </w:rPr>
        <w:t>, visible en el Seminario Judicial de la Federación y su gaceta, con el registro digital 2002350.</w:t>
      </w:r>
    </w:p>
    <w:p w:rsidR="000762F8" w:rsidRPr="00BE6DAA" w:rsidRDefault="00BE6DAA">
      <w:pPr>
        <w:spacing w:before="240" w:after="240" w:line="360" w:lineRule="auto"/>
        <w:jc w:val="both"/>
        <w:rPr>
          <w:rFonts w:ascii="Palatino Linotype" w:eastAsia="Palatino Linotype" w:hAnsi="Palatino Linotype" w:cs="Palatino Linotype"/>
        </w:rPr>
      </w:pPr>
      <w:r w:rsidRPr="00BE6DAA">
        <w:rPr>
          <w:rFonts w:ascii="Palatino Linotype" w:eastAsia="Palatino Linotype" w:hAnsi="Palatino Linotype" w:cs="Palatino Linotype"/>
        </w:rPr>
        <w:lastRenderedPageBreak/>
        <w:t>Por ello, este Organismo Garante comprometido con la tutela de los derechos humanos confiados, señala que este exceso del plazo legal para resolver el presente asunto, resulta de carácter excepcional.</w:t>
      </w:r>
    </w:p>
    <w:p w:rsidR="000762F8" w:rsidRPr="00BE6DAA" w:rsidRDefault="00BE6DAA">
      <w:pPr>
        <w:spacing w:before="240" w:after="240" w:line="360" w:lineRule="auto"/>
        <w:jc w:val="both"/>
        <w:rPr>
          <w:rFonts w:ascii="Palatino Linotype" w:eastAsia="Palatino Linotype" w:hAnsi="Palatino Linotype" w:cs="Palatino Linotype"/>
        </w:rPr>
      </w:pPr>
      <w:r w:rsidRPr="00BE6DAA">
        <w:rPr>
          <w:rFonts w:ascii="Palatino Linotype" w:eastAsia="Palatino Linotype" w:hAnsi="Palatino Linotype" w:cs="Palatino Linotype"/>
          <w:b/>
        </w:rPr>
        <w:t xml:space="preserve">8. Cierre de instrucción. </w:t>
      </w:r>
      <w:r w:rsidRPr="00BE6DAA">
        <w:rPr>
          <w:rFonts w:ascii="Palatino Linotype" w:eastAsia="Palatino Linotype" w:hAnsi="Palatino Linotype" w:cs="Palatino Linotype"/>
        </w:rPr>
        <w:t xml:space="preserve">Una vez transcurrido el periodo otorgado a las partes para realizar sus manifestaciones y no habiendo documentos que integrar al expediente, con fecha </w:t>
      </w:r>
      <w:r w:rsidRPr="00BE6DAA">
        <w:rPr>
          <w:rFonts w:ascii="Palatino Linotype" w:eastAsia="Palatino Linotype" w:hAnsi="Palatino Linotype" w:cs="Palatino Linotype"/>
          <w:b/>
        </w:rPr>
        <w:t>siete de septiembre de dos mil veintitrés</w:t>
      </w:r>
      <w:r w:rsidRPr="00BE6DAA">
        <w:rPr>
          <w:rFonts w:ascii="Palatino Linotype" w:eastAsia="Palatino Linotype" w:hAnsi="Palatino Linotype" w:cs="Palatino Linotype"/>
        </w:rPr>
        <w:t xml:space="preserve"> la Comisionada Ponente determinó el cierre de instrucción en términos de la fracción VI del artículo 185 de la Ley de Transparencia y Acceso a la Información Pública del Estado de México y Municipios</w:t>
      </w:r>
    </w:p>
    <w:p w:rsidR="000762F8" w:rsidRPr="00BE6DAA" w:rsidRDefault="00BE6DAA">
      <w:pPr>
        <w:spacing w:before="240" w:after="240" w:line="360" w:lineRule="auto"/>
        <w:jc w:val="both"/>
        <w:rPr>
          <w:rFonts w:ascii="Palatino Linotype" w:eastAsia="Palatino Linotype" w:hAnsi="Palatino Linotype" w:cs="Palatino Linotype"/>
        </w:rPr>
      </w:pPr>
      <w:r w:rsidRPr="00BE6DAA">
        <w:rPr>
          <w:rFonts w:ascii="Palatino Linotype" w:eastAsia="Palatino Linotype" w:hAnsi="Palatino Linotype" w:cs="Palatino Linotype"/>
        </w:rPr>
        <w:t xml:space="preserve">En razón de que fue debidamente sustanciado el expediente electrónico y no existe diligencia pendiente de desahogo, se emite la Resolución que conforme a Derecho proceda, de acuerdo con los siguientes: </w:t>
      </w:r>
    </w:p>
    <w:p w:rsidR="000762F8" w:rsidRPr="00BE6DAA" w:rsidRDefault="00BE6DAA">
      <w:pPr>
        <w:widowControl w:val="0"/>
        <w:spacing w:before="240" w:after="240" w:line="360" w:lineRule="auto"/>
        <w:jc w:val="center"/>
        <w:rPr>
          <w:rFonts w:ascii="Palatino Linotype" w:eastAsia="Palatino Linotype" w:hAnsi="Palatino Linotype" w:cs="Palatino Linotype"/>
          <w:b/>
        </w:rPr>
      </w:pPr>
      <w:r w:rsidRPr="00BE6DAA">
        <w:rPr>
          <w:rFonts w:ascii="Palatino Linotype" w:eastAsia="Palatino Linotype" w:hAnsi="Palatino Linotype" w:cs="Palatino Linotype"/>
          <w:b/>
        </w:rPr>
        <w:t>II. C O N S I D E R A N D O S</w:t>
      </w:r>
    </w:p>
    <w:p w:rsidR="000762F8" w:rsidRPr="00BE6DAA" w:rsidRDefault="00BE6DAA">
      <w:pPr>
        <w:spacing w:before="240" w:after="240" w:line="360" w:lineRule="auto"/>
        <w:jc w:val="both"/>
        <w:rPr>
          <w:rFonts w:ascii="Palatino Linotype" w:eastAsia="Palatino Linotype" w:hAnsi="Palatino Linotype" w:cs="Palatino Linotype"/>
        </w:rPr>
      </w:pPr>
      <w:r w:rsidRPr="00BE6DAA">
        <w:rPr>
          <w:rFonts w:ascii="Palatino Linotype" w:eastAsia="Palatino Linotype" w:hAnsi="Palatino Linotype" w:cs="Palatino Linotype"/>
          <w:b/>
        </w:rPr>
        <w:t>Primero. Competencia.</w:t>
      </w:r>
      <w:r w:rsidRPr="00BE6DAA">
        <w:rPr>
          <w:rFonts w:ascii="Palatino Linotype" w:eastAsia="Palatino Linotype" w:hAnsi="Palatino Linotype" w:cs="Palatino Linotype"/>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segundo, trigésimo tercero y trigésimo cuarto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XXIII y 11 </w:t>
      </w:r>
      <w:r w:rsidRPr="00BE6DAA">
        <w:rPr>
          <w:rFonts w:ascii="Palatino Linotype" w:eastAsia="Palatino Linotype" w:hAnsi="Palatino Linotype" w:cs="Palatino Linotype"/>
        </w:rPr>
        <w:lastRenderedPageBreak/>
        <w:t>del Reglamento Interior del Instituto de Transparencia, Acceso a la Información Pública y Protección de Datos Personales del Estado de México y Municipios.</w:t>
      </w:r>
    </w:p>
    <w:p w:rsidR="000762F8" w:rsidRPr="00BE6DAA" w:rsidRDefault="00BE6DAA">
      <w:pPr>
        <w:spacing w:before="240" w:after="240" w:line="360" w:lineRule="auto"/>
        <w:jc w:val="both"/>
        <w:rPr>
          <w:rFonts w:ascii="Palatino Linotype" w:eastAsia="Palatino Linotype" w:hAnsi="Palatino Linotype" w:cs="Palatino Linotype"/>
        </w:rPr>
      </w:pPr>
      <w:bookmarkStart w:id="5" w:name="_heading=h.tyjcwt" w:colFirst="0" w:colLast="0"/>
      <w:bookmarkEnd w:id="5"/>
      <w:r w:rsidRPr="00BE6DAA">
        <w:rPr>
          <w:rFonts w:ascii="Palatino Linotype" w:eastAsia="Palatino Linotype" w:hAnsi="Palatino Linotype" w:cs="Palatino Linotype"/>
          <w:b/>
        </w:rPr>
        <w:t xml:space="preserve">Segundo. Oportunidad y </w:t>
      </w:r>
      <w:proofErr w:type="spellStart"/>
      <w:r w:rsidRPr="00BE6DAA">
        <w:rPr>
          <w:rFonts w:ascii="Palatino Linotype" w:eastAsia="Palatino Linotype" w:hAnsi="Palatino Linotype" w:cs="Palatino Linotype"/>
          <w:b/>
        </w:rPr>
        <w:t>Procedibilidad</w:t>
      </w:r>
      <w:proofErr w:type="spellEnd"/>
      <w:r w:rsidRPr="00BE6DAA">
        <w:rPr>
          <w:rFonts w:ascii="Palatino Linotype" w:eastAsia="Palatino Linotype" w:hAnsi="Palatino Linotype" w:cs="Palatino Linotype"/>
          <w:b/>
        </w:rPr>
        <w:t xml:space="preserve"> del Recurso de Revisión</w:t>
      </w:r>
      <w:r w:rsidRPr="00BE6DAA">
        <w:rPr>
          <w:rFonts w:ascii="Palatino Linotype" w:eastAsia="Palatino Linotype" w:hAnsi="Palatino Linotype" w:cs="Palatino Linotype"/>
        </w:rPr>
        <w:t xml:space="preserve">. Previo al estudio del fondo del asunto, se procede a analizar los requisitos de oportunidad y </w:t>
      </w:r>
      <w:proofErr w:type="spellStart"/>
      <w:r w:rsidRPr="00BE6DAA">
        <w:rPr>
          <w:rFonts w:ascii="Palatino Linotype" w:eastAsia="Palatino Linotype" w:hAnsi="Palatino Linotype" w:cs="Palatino Linotype"/>
        </w:rPr>
        <w:t>procedibilidad</w:t>
      </w:r>
      <w:proofErr w:type="spellEnd"/>
      <w:r w:rsidRPr="00BE6DAA">
        <w:rPr>
          <w:rFonts w:ascii="Palatino Linotype" w:eastAsia="Palatino Linotype" w:hAnsi="Palatino Linotype" w:cs="Palatino Linotype"/>
        </w:rPr>
        <w:t xml:space="preserve"> que debe reunir el recurso de revisión interpuesto, previstos en los artículos 178 y 180 de la Ley de Transparencia y Acceso a la Información Pública del Estado de México y Municipios.</w:t>
      </w:r>
    </w:p>
    <w:p w:rsidR="000762F8" w:rsidRPr="00BE6DAA" w:rsidRDefault="00BE6DAA">
      <w:pPr>
        <w:spacing w:before="240" w:after="240" w:line="360" w:lineRule="auto"/>
        <w:jc w:val="both"/>
        <w:rPr>
          <w:rFonts w:ascii="Palatino Linotype" w:eastAsia="Palatino Linotype" w:hAnsi="Palatino Linotype" w:cs="Palatino Linotype"/>
        </w:rPr>
      </w:pPr>
      <w:r w:rsidRPr="00BE6DAA">
        <w:rPr>
          <w:rFonts w:ascii="Palatino Linotype" w:eastAsia="Palatino Linotype" w:hAnsi="Palatino Linotype" w:cs="Palatino Linotype"/>
        </w:rPr>
        <w:t xml:space="preserve">El recurso de revisión fue interpuesto dentro del plazo de quince días hábiles, previsto en el artículo 178 de la Ley de Transparencia y Acceso a la Información Pública del Estado de México y Municipios, toda vez que el </w:t>
      </w:r>
      <w:r w:rsidRPr="00BE6DAA">
        <w:rPr>
          <w:rFonts w:ascii="Palatino Linotype" w:eastAsia="Palatino Linotype" w:hAnsi="Palatino Linotype" w:cs="Palatino Linotype"/>
          <w:b/>
        </w:rPr>
        <w:t xml:space="preserve">Sujeto Obligado </w:t>
      </w:r>
      <w:r w:rsidRPr="00BE6DAA">
        <w:rPr>
          <w:rFonts w:ascii="Palatino Linotype" w:eastAsia="Palatino Linotype" w:hAnsi="Palatino Linotype" w:cs="Palatino Linotype"/>
        </w:rPr>
        <w:t xml:space="preserve">remitió la respuesta a la solicitud de información el día </w:t>
      </w:r>
      <w:r w:rsidRPr="00BE6DAA">
        <w:rPr>
          <w:rFonts w:ascii="Palatino Linotype" w:eastAsia="Palatino Linotype" w:hAnsi="Palatino Linotype" w:cs="Palatino Linotype"/>
          <w:b/>
        </w:rPr>
        <w:t xml:space="preserve">dieciséis de enero dos mil veintitrés, </w:t>
      </w:r>
      <w:r w:rsidRPr="00BE6DAA">
        <w:rPr>
          <w:rFonts w:ascii="Palatino Linotype" w:eastAsia="Palatino Linotype" w:hAnsi="Palatino Linotype" w:cs="Palatino Linotype"/>
        </w:rPr>
        <w:t xml:space="preserve">mientras que el recurso de revisión interpuesto por la parte </w:t>
      </w:r>
      <w:r w:rsidRPr="00BE6DAA">
        <w:rPr>
          <w:rFonts w:ascii="Palatino Linotype" w:eastAsia="Palatino Linotype" w:hAnsi="Palatino Linotype" w:cs="Palatino Linotype"/>
          <w:b/>
        </w:rPr>
        <w:t>Recurrente</w:t>
      </w:r>
      <w:r w:rsidRPr="00BE6DAA">
        <w:rPr>
          <w:rFonts w:ascii="Palatino Linotype" w:eastAsia="Palatino Linotype" w:hAnsi="Palatino Linotype" w:cs="Palatino Linotype"/>
        </w:rPr>
        <w:t xml:space="preserve">, se tuvo por presentado el día </w:t>
      </w:r>
      <w:r w:rsidRPr="00BE6DAA">
        <w:rPr>
          <w:rFonts w:ascii="Palatino Linotype" w:eastAsia="Palatino Linotype" w:hAnsi="Palatino Linotype" w:cs="Palatino Linotype"/>
          <w:b/>
        </w:rPr>
        <w:t>diecisiete de enero de dos mil veintitrés</w:t>
      </w:r>
      <w:r w:rsidRPr="00BE6DAA">
        <w:rPr>
          <w:rFonts w:ascii="Palatino Linotype" w:eastAsia="Palatino Linotype" w:hAnsi="Palatino Linotype" w:cs="Palatino Linotype"/>
        </w:rPr>
        <w:t>, esto es, al siguiente día hábil en que tuvo conocimiento de la respuesta impugnada.</w:t>
      </w:r>
    </w:p>
    <w:p w:rsidR="000762F8" w:rsidRPr="00BE6DAA" w:rsidRDefault="00BE6DAA">
      <w:pPr>
        <w:tabs>
          <w:tab w:val="left" w:pos="7938"/>
        </w:tabs>
        <w:spacing w:before="240" w:after="240" w:line="360" w:lineRule="auto"/>
        <w:jc w:val="both"/>
        <w:rPr>
          <w:rFonts w:ascii="Palatino Linotype" w:eastAsia="Palatino Linotype" w:hAnsi="Palatino Linotype" w:cs="Palatino Linotype"/>
        </w:rPr>
      </w:pPr>
      <w:bookmarkStart w:id="6" w:name="_heading=h.3znysh7" w:colFirst="0" w:colLast="0"/>
      <w:bookmarkEnd w:id="6"/>
      <w:r w:rsidRPr="00BE6DAA">
        <w:rPr>
          <w:rFonts w:ascii="Palatino Linotype" w:eastAsia="Palatino Linotype" w:hAnsi="Palatino Linotype" w:cs="Palatino Linotype"/>
        </w:rPr>
        <w:t xml:space="preserve">Al mismo tiempo, por cuanto hace a la </w:t>
      </w:r>
      <w:proofErr w:type="spellStart"/>
      <w:r w:rsidRPr="00BE6DAA">
        <w:rPr>
          <w:rFonts w:ascii="Palatino Linotype" w:eastAsia="Palatino Linotype" w:hAnsi="Palatino Linotype" w:cs="Palatino Linotype"/>
        </w:rPr>
        <w:t>procedibilidad</w:t>
      </w:r>
      <w:proofErr w:type="spellEnd"/>
      <w:r w:rsidRPr="00BE6DAA">
        <w:rPr>
          <w:rFonts w:ascii="Palatino Linotype" w:eastAsia="Palatino Linotype" w:hAnsi="Palatino Linotype" w:cs="Palatino Linotype"/>
        </w:rPr>
        <w:t xml:space="preserve"> del recurso de revisión, una vez realizado el análisis del formato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rsidR="000762F8" w:rsidRPr="00BE6DAA" w:rsidRDefault="00BE6DAA">
      <w:pPr>
        <w:spacing w:before="240" w:after="240" w:line="360" w:lineRule="auto"/>
        <w:jc w:val="both"/>
        <w:rPr>
          <w:rFonts w:ascii="Palatino Linotype" w:eastAsia="Palatino Linotype" w:hAnsi="Palatino Linotype" w:cs="Palatino Linotype"/>
        </w:rPr>
      </w:pPr>
      <w:r w:rsidRPr="00BE6DAA">
        <w:rPr>
          <w:rFonts w:ascii="Palatino Linotype" w:eastAsia="Palatino Linotype" w:hAnsi="Palatino Linotype" w:cs="Palatino Linotype"/>
        </w:rPr>
        <w:t xml:space="preserve">Finalmente, se advierte que resulta procedente la interposición del recurso, según lo manifestado por la parte </w:t>
      </w:r>
      <w:r w:rsidRPr="00BE6DAA">
        <w:rPr>
          <w:rFonts w:ascii="Palatino Linotype" w:eastAsia="Palatino Linotype" w:hAnsi="Palatino Linotype" w:cs="Palatino Linotype"/>
          <w:b/>
        </w:rPr>
        <w:t>Recurrente</w:t>
      </w:r>
      <w:r w:rsidRPr="00BE6DAA">
        <w:rPr>
          <w:rFonts w:ascii="Palatino Linotype" w:eastAsia="Palatino Linotype" w:hAnsi="Palatino Linotype" w:cs="Palatino Linotype"/>
        </w:rPr>
        <w:t xml:space="preserve"> en sus motivos de inconformidad, de acuerdo al artículo 179, fracción VI del ordenamiento legal citado, que a la letra dice: </w:t>
      </w:r>
    </w:p>
    <w:p w:rsidR="000762F8" w:rsidRPr="00BE6DAA" w:rsidRDefault="00BE6DAA">
      <w:pPr>
        <w:spacing w:before="120" w:after="120"/>
        <w:ind w:left="993" w:right="902"/>
        <w:jc w:val="both"/>
        <w:rPr>
          <w:rFonts w:ascii="Palatino Linotype" w:eastAsia="Palatino Linotype" w:hAnsi="Palatino Linotype" w:cs="Palatino Linotype"/>
          <w:i/>
          <w:sz w:val="22"/>
          <w:szCs w:val="22"/>
        </w:rPr>
      </w:pPr>
      <w:r w:rsidRPr="00BE6DAA">
        <w:rPr>
          <w:rFonts w:ascii="Palatino Linotype" w:eastAsia="Palatino Linotype" w:hAnsi="Palatino Linotype" w:cs="Palatino Linotype"/>
          <w:i/>
          <w:sz w:val="22"/>
          <w:szCs w:val="22"/>
        </w:rPr>
        <w:lastRenderedPageBreak/>
        <w:t>“</w:t>
      </w:r>
      <w:r w:rsidRPr="00BE6DAA">
        <w:rPr>
          <w:rFonts w:ascii="Palatino Linotype" w:eastAsia="Palatino Linotype" w:hAnsi="Palatino Linotype" w:cs="Palatino Linotype"/>
          <w:b/>
          <w:i/>
          <w:sz w:val="22"/>
          <w:szCs w:val="22"/>
        </w:rPr>
        <w:t>Artículo 179.</w:t>
      </w:r>
      <w:r w:rsidRPr="00BE6DAA">
        <w:rPr>
          <w:rFonts w:ascii="Palatino Linotype" w:eastAsia="Palatino Linotype" w:hAnsi="Palatino Linotype" w:cs="Palatino Linotype"/>
          <w:i/>
          <w:sz w:val="22"/>
          <w:szCs w:val="22"/>
        </w:rPr>
        <w:t xml:space="preserve"> El recurso de revisión es un medio de protección que la Ley otorga a los particulares, para hacer valer su derecho de acceso a la información pública, y procederá en contra de las siguientes causas:</w:t>
      </w:r>
    </w:p>
    <w:p w:rsidR="000762F8" w:rsidRPr="00BE6DAA" w:rsidRDefault="00BE6DAA">
      <w:pPr>
        <w:spacing w:before="120" w:after="120"/>
        <w:ind w:left="1134"/>
        <w:rPr>
          <w:rFonts w:ascii="Palatino Linotype" w:eastAsia="Palatino Linotype" w:hAnsi="Palatino Linotype" w:cs="Palatino Linotype"/>
          <w:b/>
          <w:i/>
          <w:sz w:val="22"/>
          <w:szCs w:val="22"/>
        </w:rPr>
      </w:pPr>
      <w:r w:rsidRPr="00BE6DAA">
        <w:rPr>
          <w:rFonts w:ascii="Palatino Linotype" w:eastAsia="Palatino Linotype" w:hAnsi="Palatino Linotype" w:cs="Palatino Linotype"/>
          <w:b/>
          <w:i/>
          <w:sz w:val="22"/>
          <w:szCs w:val="22"/>
        </w:rPr>
        <w:t>...</w:t>
      </w:r>
    </w:p>
    <w:p w:rsidR="000762F8" w:rsidRPr="00BE6DAA" w:rsidRDefault="00BE6DAA">
      <w:pPr>
        <w:spacing w:before="120" w:after="120"/>
        <w:ind w:left="1134"/>
        <w:rPr>
          <w:rFonts w:ascii="Palatino Linotype" w:eastAsia="Palatino Linotype" w:hAnsi="Palatino Linotype" w:cs="Palatino Linotype"/>
          <w:i/>
          <w:sz w:val="22"/>
          <w:szCs w:val="22"/>
        </w:rPr>
      </w:pPr>
      <w:r w:rsidRPr="00BE6DAA">
        <w:rPr>
          <w:rFonts w:ascii="Palatino Linotype" w:eastAsia="Palatino Linotype" w:hAnsi="Palatino Linotype" w:cs="Palatino Linotype"/>
          <w:b/>
          <w:i/>
          <w:sz w:val="22"/>
          <w:szCs w:val="22"/>
        </w:rPr>
        <w:t>VI</w:t>
      </w:r>
      <w:r w:rsidRPr="00BE6DAA">
        <w:rPr>
          <w:rFonts w:ascii="Palatino Linotype" w:eastAsia="Palatino Linotype" w:hAnsi="Palatino Linotype" w:cs="Palatino Linotype"/>
          <w:i/>
          <w:sz w:val="22"/>
          <w:szCs w:val="22"/>
        </w:rPr>
        <w:t>. La entrega de información que no corresponda con lo solicitado;”</w:t>
      </w:r>
    </w:p>
    <w:p w:rsidR="000762F8" w:rsidRPr="00BE6DAA" w:rsidRDefault="00BE6DAA">
      <w:pPr>
        <w:spacing w:before="240" w:after="240" w:line="360" w:lineRule="auto"/>
        <w:jc w:val="both"/>
        <w:rPr>
          <w:rFonts w:ascii="Palatino Linotype" w:eastAsia="Palatino Linotype" w:hAnsi="Palatino Linotype" w:cs="Palatino Linotype"/>
        </w:rPr>
      </w:pPr>
      <w:r w:rsidRPr="00BE6DAA">
        <w:rPr>
          <w:rFonts w:ascii="Palatino Linotype" w:eastAsia="Palatino Linotype" w:hAnsi="Palatino Linotype" w:cs="Palatino Linotype"/>
          <w:b/>
        </w:rPr>
        <w:t>Tercero. Análisis de las causales de sobreseimiento del recurso de revisión.</w:t>
      </w:r>
      <w:r w:rsidRPr="00BE6DAA">
        <w:rPr>
          <w:rFonts w:ascii="Palatino Linotype" w:eastAsia="Palatino Linotype" w:hAnsi="Palatino Linotype" w:cs="Palatino Linotype"/>
        </w:rPr>
        <w:t xml:space="preserve"> En primera instancia, debe apuntarse que del análisis al recurso de revisión que ahora se resuelve, se tiene que se actualiza la causal de sobreseimiento del recurso de revisión establecido en la fracción III del artículo 192</w:t>
      </w:r>
      <w:r w:rsidRPr="00BE6DAA">
        <w:rPr>
          <w:rFonts w:ascii="Palatino Linotype" w:eastAsia="Palatino Linotype" w:hAnsi="Palatino Linotype" w:cs="Palatino Linotype"/>
          <w:vertAlign w:val="superscript"/>
        </w:rPr>
        <w:footnoteReference w:id="1"/>
      </w:r>
      <w:r w:rsidRPr="00BE6DAA">
        <w:rPr>
          <w:rFonts w:ascii="Palatino Linotype" w:eastAsia="Palatino Linotype" w:hAnsi="Palatino Linotype" w:cs="Palatino Linotype"/>
        </w:rPr>
        <w:t xml:space="preserve"> en relación con el diverso 186 fracción I</w:t>
      </w:r>
      <w:r w:rsidRPr="00BE6DAA">
        <w:rPr>
          <w:rFonts w:ascii="Palatino Linotype" w:eastAsia="Palatino Linotype" w:hAnsi="Palatino Linotype" w:cs="Palatino Linotype"/>
          <w:vertAlign w:val="superscript"/>
        </w:rPr>
        <w:footnoteReference w:id="2"/>
      </w:r>
      <w:r w:rsidRPr="00BE6DAA">
        <w:rPr>
          <w:rFonts w:ascii="Palatino Linotype" w:eastAsia="Palatino Linotype" w:hAnsi="Palatino Linotype" w:cs="Palatino Linotype"/>
        </w:rPr>
        <w:t xml:space="preserve">, ambos de la Ley de Transparencia y Acceso a la Información Pública del Estado de México y Municipios, derivado del contenido del informe justificado rendido por el </w:t>
      </w:r>
      <w:r w:rsidRPr="00BE6DAA">
        <w:rPr>
          <w:rFonts w:ascii="Palatino Linotype" w:eastAsia="Palatino Linotype" w:hAnsi="Palatino Linotype" w:cs="Palatino Linotype"/>
          <w:b/>
        </w:rPr>
        <w:t>Sujeto Obligado.</w:t>
      </w:r>
      <w:r w:rsidRPr="00BE6DAA">
        <w:rPr>
          <w:rFonts w:ascii="Palatino Linotype" w:eastAsia="Palatino Linotype" w:hAnsi="Palatino Linotype" w:cs="Palatino Linotype"/>
        </w:rPr>
        <w:t xml:space="preserve"> </w:t>
      </w:r>
    </w:p>
    <w:p w:rsidR="000762F8" w:rsidRPr="00BE6DAA" w:rsidRDefault="00BE6DAA">
      <w:pPr>
        <w:tabs>
          <w:tab w:val="left" w:pos="7513"/>
        </w:tabs>
        <w:spacing w:after="240" w:line="360" w:lineRule="auto"/>
        <w:ind w:right="49"/>
        <w:jc w:val="both"/>
        <w:rPr>
          <w:rFonts w:ascii="Palatino Linotype" w:eastAsia="Palatino Linotype" w:hAnsi="Palatino Linotype" w:cs="Palatino Linotype"/>
        </w:rPr>
      </w:pPr>
      <w:r w:rsidRPr="00BE6DAA">
        <w:rPr>
          <w:rFonts w:ascii="Palatino Linotype" w:eastAsia="Palatino Linotype" w:hAnsi="Palatino Linotype" w:cs="Palatino Linotype"/>
        </w:rPr>
        <w:t>Para una mejor comprensión del asunto, de las constancias que obran en el expediente electrónico, valoradas anteriormente, destacan por su importancia los antecedentes siguientes:</w:t>
      </w:r>
    </w:p>
    <w:p w:rsidR="000762F8" w:rsidRPr="00BE6DAA" w:rsidRDefault="00BE6DAA">
      <w:pPr>
        <w:tabs>
          <w:tab w:val="left" w:pos="7513"/>
        </w:tabs>
        <w:spacing w:before="240" w:after="240" w:line="360" w:lineRule="auto"/>
        <w:ind w:right="49"/>
        <w:jc w:val="both"/>
        <w:rPr>
          <w:rFonts w:ascii="Palatino Linotype" w:eastAsia="Palatino Linotype" w:hAnsi="Palatino Linotype" w:cs="Palatino Linotype"/>
        </w:rPr>
      </w:pPr>
      <w:r w:rsidRPr="00BE6DAA">
        <w:rPr>
          <w:rFonts w:ascii="Palatino Linotype" w:eastAsia="Palatino Linotype" w:hAnsi="Palatino Linotype" w:cs="Palatino Linotype"/>
        </w:rPr>
        <w:t xml:space="preserve">En la solicitud de información materia del presente recurso, la parte solicitante requirió al </w:t>
      </w:r>
      <w:r w:rsidRPr="00BE6DAA">
        <w:rPr>
          <w:rFonts w:ascii="Palatino Linotype" w:eastAsia="Palatino Linotype" w:hAnsi="Palatino Linotype" w:cs="Palatino Linotype"/>
          <w:b/>
        </w:rPr>
        <w:t>Sujeto Obligado,</w:t>
      </w:r>
      <w:r w:rsidRPr="00BE6DAA">
        <w:rPr>
          <w:rFonts w:ascii="Palatino Linotype" w:eastAsia="Palatino Linotype" w:hAnsi="Palatino Linotype" w:cs="Palatino Linotype"/>
        </w:rPr>
        <w:t xml:space="preserve"> lo siguiente:</w:t>
      </w:r>
    </w:p>
    <w:p w:rsidR="000762F8" w:rsidRPr="00BE6DAA" w:rsidRDefault="00BE6DAA">
      <w:pPr>
        <w:spacing w:before="240" w:after="240" w:line="360" w:lineRule="auto"/>
        <w:ind w:left="284" w:right="49"/>
        <w:jc w:val="both"/>
        <w:rPr>
          <w:rFonts w:ascii="Palatino Linotype" w:eastAsia="Palatino Linotype" w:hAnsi="Palatino Linotype" w:cs="Palatino Linotype"/>
        </w:rPr>
      </w:pPr>
      <w:r w:rsidRPr="00BE6DAA">
        <w:rPr>
          <w:rFonts w:ascii="Palatino Linotype" w:eastAsia="Palatino Linotype" w:hAnsi="Palatino Linotype" w:cs="Palatino Linotype"/>
        </w:rPr>
        <w:lastRenderedPageBreak/>
        <w:t xml:space="preserve">En el año 2014 y 2022 se estableció en la Ley Orgánica Municipal del Estado de México, las sesiones de Cabildo abierto y Cabildo abierto juvenil, respectivamente. Con base en las anteriores fechas: </w:t>
      </w:r>
    </w:p>
    <w:p w:rsidR="000762F8" w:rsidRPr="00BE6DAA" w:rsidRDefault="00BE6DAA">
      <w:pPr>
        <w:spacing w:before="240" w:after="240" w:line="360" w:lineRule="auto"/>
        <w:ind w:left="567" w:right="49"/>
        <w:jc w:val="both"/>
        <w:rPr>
          <w:rFonts w:ascii="Palatino Linotype" w:eastAsia="Palatino Linotype" w:hAnsi="Palatino Linotype" w:cs="Palatino Linotype"/>
        </w:rPr>
      </w:pPr>
      <w:r w:rsidRPr="00BE6DAA">
        <w:rPr>
          <w:rFonts w:ascii="Palatino Linotype" w:eastAsia="Palatino Linotype" w:hAnsi="Palatino Linotype" w:cs="Palatino Linotype"/>
        </w:rPr>
        <w:t xml:space="preserve">1. ¿Cuándo se implementó por parte del ayuntamiento las sesiones de Cabildo abierto y Cabildo abierto juvenil? </w:t>
      </w:r>
    </w:p>
    <w:p w:rsidR="000762F8" w:rsidRPr="00BE6DAA" w:rsidRDefault="00BE6DAA">
      <w:pPr>
        <w:spacing w:before="240" w:after="240" w:line="360" w:lineRule="auto"/>
        <w:ind w:left="567" w:right="49"/>
        <w:jc w:val="both"/>
        <w:rPr>
          <w:rFonts w:ascii="Palatino Linotype" w:eastAsia="Palatino Linotype" w:hAnsi="Palatino Linotype" w:cs="Palatino Linotype"/>
        </w:rPr>
      </w:pPr>
      <w:r w:rsidRPr="00BE6DAA">
        <w:rPr>
          <w:rFonts w:ascii="Palatino Linotype" w:eastAsia="Palatino Linotype" w:hAnsi="Palatino Linotype" w:cs="Palatino Linotype"/>
        </w:rPr>
        <w:t xml:space="preserve">2. ¿Cuándo se realizó la primera sesión de Cabildo abierto y Cabildo abierto juvenil en el municipio? </w:t>
      </w:r>
    </w:p>
    <w:p w:rsidR="000762F8" w:rsidRPr="00BE6DAA" w:rsidRDefault="00BE6DAA">
      <w:pPr>
        <w:spacing w:before="240" w:after="240" w:line="360" w:lineRule="auto"/>
        <w:ind w:left="567" w:right="49"/>
        <w:jc w:val="both"/>
        <w:rPr>
          <w:rFonts w:ascii="Palatino Linotype" w:eastAsia="Palatino Linotype" w:hAnsi="Palatino Linotype" w:cs="Palatino Linotype"/>
        </w:rPr>
      </w:pPr>
      <w:r w:rsidRPr="00BE6DAA">
        <w:rPr>
          <w:rFonts w:ascii="Palatino Linotype" w:eastAsia="Palatino Linotype" w:hAnsi="Palatino Linotype" w:cs="Palatino Linotype"/>
        </w:rPr>
        <w:t xml:space="preserve">3. Desde las anteriores fechas señaladas, hasta el 2022, ¿Cuántas convocatorias se han emitido por parte del ayuntamiento para sesiones de Cabildo abierto y Cabildo abierto juvenil? </w:t>
      </w:r>
    </w:p>
    <w:p w:rsidR="000762F8" w:rsidRPr="00BE6DAA" w:rsidRDefault="00BE6DAA">
      <w:pPr>
        <w:spacing w:before="240" w:after="240" w:line="360" w:lineRule="auto"/>
        <w:ind w:left="567" w:right="49"/>
        <w:jc w:val="both"/>
        <w:rPr>
          <w:rFonts w:ascii="Palatino Linotype" w:eastAsia="Palatino Linotype" w:hAnsi="Palatino Linotype" w:cs="Palatino Linotype"/>
        </w:rPr>
      </w:pPr>
      <w:r w:rsidRPr="00BE6DAA">
        <w:rPr>
          <w:rFonts w:ascii="Palatino Linotype" w:eastAsia="Palatino Linotype" w:hAnsi="Palatino Linotype" w:cs="Palatino Linotype"/>
        </w:rPr>
        <w:t xml:space="preserve">4. Desde las anteriores fechas señaladas, hasta el 2022, ¿Cuántas sesiones de Cabildo abierto y Cabildo abierto juvenil se han realizado por parte del ayuntamiento? </w:t>
      </w:r>
    </w:p>
    <w:p w:rsidR="000762F8" w:rsidRPr="00BE6DAA" w:rsidRDefault="00BE6DAA">
      <w:pPr>
        <w:spacing w:before="240" w:after="240" w:line="360" w:lineRule="auto"/>
        <w:ind w:left="567" w:right="49"/>
        <w:jc w:val="both"/>
        <w:rPr>
          <w:rFonts w:ascii="Palatino Linotype" w:eastAsia="Palatino Linotype" w:hAnsi="Palatino Linotype" w:cs="Palatino Linotype"/>
        </w:rPr>
      </w:pPr>
      <w:r w:rsidRPr="00BE6DAA">
        <w:rPr>
          <w:rFonts w:ascii="Palatino Linotype" w:eastAsia="Palatino Linotype" w:hAnsi="Palatino Linotype" w:cs="Palatino Linotype"/>
        </w:rPr>
        <w:t xml:space="preserve">5. Desde las anteriores fechas señaladas, hasta el 2022, ¿Cuáles son las temáticas planteadas en las sesiones de Cabildo abierto y Cabildo abierto juvenil? </w:t>
      </w:r>
    </w:p>
    <w:p w:rsidR="000762F8" w:rsidRPr="00BE6DAA" w:rsidRDefault="00BE6DAA">
      <w:pPr>
        <w:spacing w:before="240" w:after="240" w:line="360" w:lineRule="auto"/>
        <w:ind w:left="567" w:right="49"/>
        <w:jc w:val="both"/>
        <w:rPr>
          <w:rFonts w:ascii="Palatino Linotype" w:eastAsia="Palatino Linotype" w:hAnsi="Palatino Linotype" w:cs="Palatino Linotype"/>
        </w:rPr>
      </w:pPr>
      <w:r w:rsidRPr="00BE6DAA">
        <w:rPr>
          <w:rFonts w:ascii="Palatino Linotype" w:eastAsia="Palatino Linotype" w:hAnsi="Palatino Linotype" w:cs="Palatino Linotype"/>
        </w:rPr>
        <w:t xml:space="preserve">6. Desde 2014 al 2022, ¿Cuál ha sido la respuesta del ayuntamiento frente a los planteamientos de la ciudadanía en las sesiones de Cabildo abierto y Cabildo abierto juvenil? </w:t>
      </w:r>
    </w:p>
    <w:p w:rsidR="000762F8" w:rsidRPr="00BE6DAA" w:rsidRDefault="00BE6DAA">
      <w:pPr>
        <w:spacing w:before="240" w:after="240" w:line="360" w:lineRule="auto"/>
        <w:ind w:left="567" w:right="49"/>
        <w:jc w:val="both"/>
        <w:rPr>
          <w:rFonts w:ascii="Palatino Linotype" w:eastAsia="Palatino Linotype" w:hAnsi="Palatino Linotype" w:cs="Palatino Linotype"/>
        </w:rPr>
      </w:pPr>
      <w:r w:rsidRPr="00BE6DAA">
        <w:rPr>
          <w:rFonts w:ascii="Palatino Linotype" w:eastAsia="Palatino Linotype" w:hAnsi="Palatino Linotype" w:cs="Palatino Linotype"/>
        </w:rPr>
        <w:t xml:space="preserve">7. Desde 2014 al 2022, ¿Cuántas personas han participado en cada una de las sesiones de Cabildo abierto y Cabildo abierto juvenil? </w:t>
      </w:r>
    </w:p>
    <w:p w:rsidR="000762F8" w:rsidRPr="00BE6DAA" w:rsidRDefault="00BE6DAA">
      <w:pPr>
        <w:spacing w:before="240" w:after="240" w:line="360" w:lineRule="auto"/>
        <w:ind w:left="567" w:right="49"/>
        <w:jc w:val="both"/>
        <w:rPr>
          <w:rFonts w:ascii="Palatino Linotype" w:eastAsia="Palatino Linotype" w:hAnsi="Palatino Linotype" w:cs="Palatino Linotype"/>
        </w:rPr>
      </w:pPr>
      <w:r w:rsidRPr="00BE6DAA">
        <w:rPr>
          <w:rFonts w:ascii="Palatino Linotype" w:eastAsia="Palatino Linotype" w:hAnsi="Palatino Linotype" w:cs="Palatino Linotype"/>
        </w:rPr>
        <w:lastRenderedPageBreak/>
        <w:t xml:space="preserve">8. ¿Existe la realización de las sesiones de Cabildo abierto y Cabildo abierto juvenil mediante plataformas electrónicas? </w:t>
      </w:r>
    </w:p>
    <w:p w:rsidR="000762F8" w:rsidRPr="00BE6DAA" w:rsidRDefault="00BE6DAA">
      <w:pPr>
        <w:spacing w:before="240" w:after="240" w:line="360" w:lineRule="auto"/>
        <w:ind w:left="567" w:right="49"/>
        <w:jc w:val="both"/>
        <w:rPr>
          <w:rFonts w:ascii="Palatino Linotype" w:eastAsia="Palatino Linotype" w:hAnsi="Palatino Linotype" w:cs="Palatino Linotype"/>
        </w:rPr>
      </w:pPr>
      <w:r w:rsidRPr="00BE6DAA">
        <w:rPr>
          <w:rFonts w:ascii="Palatino Linotype" w:eastAsia="Palatino Linotype" w:hAnsi="Palatino Linotype" w:cs="Palatino Linotype"/>
        </w:rPr>
        <w:t xml:space="preserve">9. ¿Cuáles son las modalidades de participación de la ciudadanía en sesiones de Cabildo abierto y Cabildo abierto juvenil (si son presenciales, electrónicas o mixtas? </w:t>
      </w:r>
    </w:p>
    <w:p w:rsidR="000762F8" w:rsidRPr="00BE6DAA" w:rsidRDefault="00BE6DAA">
      <w:pPr>
        <w:spacing w:before="240" w:after="240" w:line="360" w:lineRule="auto"/>
        <w:ind w:left="567" w:right="49"/>
        <w:jc w:val="both"/>
        <w:rPr>
          <w:rFonts w:ascii="Palatino Linotype" w:eastAsia="Palatino Linotype" w:hAnsi="Palatino Linotype" w:cs="Palatino Linotype"/>
        </w:rPr>
      </w:pPr>
      <w:r w:rsidRPr="00BE6DAA">
        <w:rPr>
          <w:rFonts w:ascii="Palatino Linotype" w:eastAsia="Palatino Linotype" w:hAnsi="Palatino Linotype" w:cs="Palatino Linotype"/>
        </w:rPr>
        <w:t>10. ¿Las sesiones de Cabildo abierto y Cabildo abierto juvenil se transmiten a través de las redes sociales del ayuntamiento y cuenta con un acervo histórico de las mismas?</w:t>
      </w:r>
    </w:p>
    <w:p w:rsidR="000762F8" w:rsidRPr="00BE6DAA" w:rsidRDefault="00BE6DAA">
      <w:pPr>
        <w:spacing w:before="240" w:after="240" w:line="360" w:lineRule="auto"/>
        <w:ind w:right="49"/>
        <w:jc w:val="both"/>
        <w:rPr>
          <w:rFonts w:ascii="Palatino Linotype" w:eastAsia="Palatino Linotype" w:hAnsi="Palatino Linotype" w:cs="Palatino Linotype"/>
        </w:rPr>
      </w:pPr>
      <w:r w:rsidRPr="00BE6DAA">
        <w:rPr>
          <w:rFonts w:ascii="Palatino Linotype" w:eastAsia="Palatino Linotype" w:hAnsi="Palatino Linotype" w:cs="Palatino Linotype"/>
        </w:rPr>
        <w:t xml:space="preserve">En respuesta, el </w:t>
      </w:r>
      <w:r w:rsidRPr="00BE6DAA">
        <w:rPr>
          <w:rFonts w:ascii="Palatino Linotype" w:eastAsia="Palatino Linotype" w:hAnsi="Palatino Linotype" w:cs="Palatino Linotype"/>
          <w:b/>
        </w:rPr>
        <w:t>Sujeto Obligado</w:t>
      </w:r>
      <w:r w:rsidRPr="00BE6DAA">
        <w:rPr>
          <w:rFonts w:ascii="Palatino Linotype" w:eastAsia="Palatino Linotype" w:hAnsi="Palatino Linotype" w:cs="Palatino Linotype"/>
        </w:rPr>
        <w:t>, a través de la Unidad de Transparencia, hizo del conocimiento de la persona solicitante el pronunciamiento vertido por el Director de Administración y la Tesorera Municipal, en atención a la solicitud de información 00002/POLOTI/IP/2023.</w:t>
      </w:r>
    </w:p>
    <w:p w:rsidR="000762F8" w:rsidRPr="00BE6DAA" w:rsidRDefault="00BE6DAA">
      <w:pPr>
        <w:spacing w:before="240" w:after="240" w:line="360" w:lineRule="auto"/>
        <w:ind w:right="49"/>
        <w:jc w:val="both"/>
        <w:rPr>
          <w:rFonts w:ascii="Palatino Linotype" w:eastAsia="Palatino Linotype" w:hAnsi="Palatino Linotype" w:cs="Palatino Linotype"/>
        </w:rPr>
      </w:pPr>
      <w:r w:rsidRPr="00BE6DAA">
        <w:rPr>
          <w:rFonts w:ascii="Palatino Linotype" w:eastAsia="Palatino Linotype" w:hAnsi="Palatino Linotype" w:cs="Palatino Linotype"/>
        </w:rPr>
        <w:t>En razón de que se proporcionó información relacionada con una solicitud diversa, la persona solicitante, interpuso el recurso de revisión que nos ocupa, mediante el cual manifestó, que la información no correspondía con lo requerido en  la solicitud con número de folio 00001/POLOTI/IP/2023.</w:t>
      </w:r>
    </w:p>
    <w:p w:rsidR="000762F8" w:rsidRPr="00BE6DAA" w:rsidRDefault="00BE6DAA">
      <w:pPr>
        <w:spacing w:before="240" w:after="240" w:line="360" w:lineRule="auto"/>
        <w:ind w:right="49"/>
        <w:jc w:val="both"/>
        <w:rPr>
          <w:rFonts w:ascii="Palatino Linotype" w:eastAsia="Palatino Linotype" w:hAnsi="Palatino Linotype" w:cs="Palatino Linotype"/>
        </w:rPr>
      </w:pPr>
      <w:r w:rsidRPr="00BE6DAA">
        <w:rPr>
          <w:rFonts w:ascii="Palatino Linotype" w:eastAsia="Palatino Linotype" w:hAnsi="Palatino Linotype" w:cs="Palatino Linotype"/>
        </w:rPr>
        <w:t>Una vez admitido el presente recurso de revisión, en términos del artículo 185 fracción II</w:t>
      </w:r>
      <w:r w:rsidRPr="00BE6DAA">
        <w:rPr>
          <w:rFonts w:ascii="Palatino Linotype" w:eastAsia="Palatino Linotype" w:hAnsi="Palatino Linotype" w:cs="Palatino Linotype"/>
          <w:vertAlign w:val="superscript"/>
        </w:rPr>
        <w:footnoteReference w:id="3"/>
      </w:r>
      <w:r w:rsidRPr="00BE6DAA">
        <w:rPr>
          <w:rFonts w:ascii="Palatino Linotype" w:eastAsia="Palatino Linotype" w:hAnsi="Palatino Linotype" w:cs="Palatino Linotype"/>
        </w:rPr>
        <w:t xml:space="preserve"> de la Ley de Transparencia y Acceso a la Información Pública del Estado de México y Municipios, se integró el expediente y se puso a disposición de las </w:t>
      </w:r>
      <w:r w:rsidRPr="00BE6DAA">
        <w:rPr>
          <w:rFonts w:ascii="Palatino Linotype" w:eastAsia="Palatino Linotype" w:hAnsi="Palatino Linotype" w:cs="Palatino Linotype"/>
        </w:rPr>
        <w:lastRenderedPageBreak/>
        <w:t>partes para que, en un plazo máximo de siete días hábiles, manifestaran lo que a su derecho resultara conveniente.</w:t>
      </w:r>
    </w:p>
    <w:p w:rsidR="000762F8" w:rsidRPr="00BE6DAA" w:rsidRDefault="00BE6DAA">
      <w:pPr>
        <w:spacing w:before="240" w:after="240" w:line="360" w:lineRule="auto"/>
        <w:jc w:val="both"/>
        <w:rPr>
          <w:rFonts w:ascii="Palatino Linotype" w:eastAsia="Palatino Linotype" w:hAnsi="Palatino Linotype" w:cs="Palatino Linotype"/>
        </w:rPr>
      </w:pPr>
      <w:r w:rsidRPr="00BE6DAA">
        <w:rPr>
          <w:rFonts w:ascii="Palatino Linotype" w:eastAsia="Palatino Linotype" w:hAnsi="Palatino Linotype" w:cs="Palatino Linotype"/>
        </w:rPr>
        <w:t xml:space="preserve">En tal sentido, el </w:t>
      </w:r>
      <w:r w:rsidRPr="00BE6DAA">
        <w:rPr>
          <w:rFonts w:ascii="Palatino Linotype" w:eastAsia="Palatino Linotype" w:hAnsi="Palatino Linotype" w:cs="Palatino Linotype"/>
          <w:b/>
        </w:rPr>
        <w:t xml:space="preserve">Sujeto Obligado, </w:t>
      </w:r>
      <w:r w:rsidRPr="00BE6DAA">
        <w:rPr>
          <w:rFonts w:ascii="Palatino Linotype" w:eastAsia="Palatino Linotype" w:hAnsi="Palatino Linotype" w:cs="Palatino Linotype"/>
        </w:rPr>
        <w:t xml:space="preserve">remitió un documento </w:t>
      </w:r>
      <w:r w:rsidRPr="00BE6DAA">
        <w:rPr>
          <w:rFonts w:ascii="Palatino Linotype" w:eastAsia="Palatino Linotype" w:hAnsi="Palatino Linotype" w:cs="Palatino Linotype"/>
          <w:i/>
        </w:rPr>
        <w:t xml:space="preserve">ad hoc </w:t>
      </w:r>
      <w:r w:rsidRPr="00BE6DAA">
        <w:rPr>
          <w:rFonts w:ascii="Palatino Linotype" w:eastAsia="Palatino Linotype" w:hAnsi="Palatino Linotype" w:cs="Palatino Linotype"/>
        </w:rPr>
        <w:t xml:space="preserve"> signado por el Secretario del Ayuntamiento, mediante el cual se pronunció de manera puntual, sobre cada uno de los requerimientos planteados por la persona solicitante, como se aprecia en el antecedente 6 de la presente resolución, cuyo contenido será analizado a detalle en líneas posteriores, siendo de suma importancia mencionar que dicha información que se hizo de conocimiento de la parte </w:t>
      </w:r>
      <w:r w:rsidRPr="00BE6DAA">
        <w:rPr>
          <w:rFonts w:ascii="Palatino Linotype" w:eastAsia="Palatino Linotype" w:hAnsi="Palatino Linotype" w:cs="Palatino Linotype"/>
          <w:b/>
        </w:rPr>
        <w:t>Recurrente</w:t>
      </w:r>
      <w:r w:rsidRPr="00BE6DAA">
        <w:rPr>
          <w:rFonts w:ascii="Palatino Linotype" w:eastAsia="Palatino Linotype" w:hAnsi="Palatino Linotype" w:cs="Palatino Linotype"/>
        </w:rPr>
        <w:t xml:space="preserve">, con la finalidad de que manifestara lo que a su derecho estimara conveniente, sin embargo, fue omisa en ejercer dicha prerrogativa.  </w:t>
      </w:r>
    </w:p>
    <w:p w:rsidR="000762F8" w:rsidRPr="00BE6DAA" w:rsidRDefault="00BE6DAA">
      <w:pPr>
        <w:spacing w:before="240" w:after="240" w:line="360" w:lineRule="auto"/>
        <w:jc w:val="both"/>
        <w:rPr>
          <w:rFonts w:ascii="Palatino Linotype" w:eastAsia="Palatino Linotype" w:hAnsi="Palatino Linotype" w:cs="Palatino Linotype"/>
        </w:rPr>
      </w:pPr>
      <w:r w:rsidRPr="00BE6DAA">
        <w:rPr>
          <w:rFonts w:ascii="Palatino Linotype" w:eastAsia="Palatino Linotype" w:hAnsi="Palatino Linotype" w:cs="Palatino Linotype"/>
        </w:rPr>
        <w:t xml:space="preserve">En este tenor, del análisis de las constancias que obran en el expediente electrónico,  se advirtió que el </w:t>
      </w:r>
      <w:r w:rsidRPr="00BE6DAA">
        <w:rPr>
          <w:rFonts w:ascii="Palatino Linotype" w:eastAsia="Palatino Linotype" w:hAnsi="Palatino Linotype" w:cs="Palatino Linotype"/>
          <w:b/>
        </w:rPr>
        <w:t>Sujeto Obligado</w:t>
      </w:r>
      <w:r w:rsidRPr="00BE6DAA">
        <w:rPr>
          <w:rFonts w:ascii="Palatino Linotype" w:eastAsia="Palatino Linotype" w:hAnsi="Palatino Linotype" w:cs="Palatino Linotype"/>
        </w:rPr>
        <w:t xml:space="preserve"> modificó su respuesta, ya que, si bien, es respuesta la solicitud proporcionó información que corresponde con una solicitud diversa, mediante informe justificado proporcionó un documento </w:t>
      </w:r>
      <w:r w:rsidRPr="00BE6DAA">
        <w:rPr>
          <w:rFonts w:ascii="Palatino Linotype" w:eastAsia="Palatino Linotype" w:hAnsi="Palatino Linotype" w:cs="Palatino Linotype"/>
          <w:i/>
        </w:rPr>
        <w:t xml:space="preserve">ad hoc </w:t>
      </w:r>
      <w:r w:rsidRPr="00BE6DAA">
        <w:rPr>
          <w:rFonts w:ascii="Palatino Linotype" w:eastAsia="Palatino Linotype" w:hAnsi="Palatino Linotype" w:cs="Palatino Linotype"/>
        </w:rPr>
        <w:t>a fin de reparar dicho agravio, en el cual la persona que funge como Secretario del Ayuntamiento proporcionó, en el ámbito de sus competencias, la información que corresponde con la solicitud que le dio origen al recurso de revisión que nos ocupa, donde se pronunció de manera particular sobre cada uno de los puntos contenidos en la solicitud de información, como se ilustra a través de la siguiente tabla para un mejor entendimiento:</w:t>
      </w:r>
    </w:p>
    <w:tbl>
      <w:tblPr>
        <w:tblStyle w:val="ac"/>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52"/>
        <w:gridCol w:w="4476"/>
      </w:tblGrid>
      <w:tr w:rsidR="00BE6DAA" w:rsidRPr="00BE6DAA">
        <w:tc>
          <w:tcPr>
            <w:tcW w:w="4352" w:type="dxa"/>
            <w:shd w:val="clear" w:color="auto" w:fill="BFBFBF"/>
          </w:tcPr>
          <w:p w:rsidR="000762F8" w:rsidRPr="00BE6DAA" w:rsidRDefault="00BE6DAA">
            <w:pPr>
              <w:jc w:val="center"/>
              <w:rPr>
                <w:rFonts w:ascii="Palatino Linotype" w:eastAsia="Palatino Linotype" w:hAnsi="Palatino Linotype" w:cs="Palatino Linotype"/>
                <w:b/>
                <w:sz w:val="20"/>
                <w:szCs w:val="20"/>
              </w:rPr>
            </w:pPr>
            <w:r w:rsidRPr="00BE6DAA">
              <w:rPr>
                <w:rFonts w:ascii="Palatino Linotype" w:eastAsia="Palatino Linotype" w:hAnsi="Palatino Linotype" w:cs="Palatino Linotype"/>
                <w:b/>
                <w:sz w:val="20"/>
                <w:szCs w:val="20"/>
              </w:rPr>
              <w:t>REQUERIMIENTO</w:t>
            </w:r>
          </w:p>
        </w:tc>
        <w:tc>
          <w:tcPr>
            <w:tcW w:w="4476" w:type="dxa"/>
            <w:shd w:val="clear" w:color="auto" w:fill="BFBFBF"/>
          </w:tcPr>
          <w:p w:rsidR="000762F8" w:rsidRPr="00BE6DAA" w:rsidRDefault="00BE6DAA">
            <w:pPr>
              <w:jc w:val="center"/>
              <w:rPr>
                <w:rFonts w:ascii="Palatino Linotype" w:eastAsia="Palatino Linotype" w:hAnsi="Palatino Linotype" w:cs="Palatino Linotype"/>
                <w:b/>
                <w:sz w:val="20"/>
                <w:szCs w:val="20"/>
              </w:rPr>
            </w:pPr>
            <w:r w:rsidRPr="00BE6DAA">
              <w:rPr>
                <w:rFonts w:ascii="Palatino Linotype" w:eastAsia="Palatino Linotype" w:hAnsi="Palatino Linotype" w:cs="Palatino Linotype"/>
                <w:b/>
                <w:sz w:val="20"/>
                <w:szCs w:val="20"/>
              </w:rPr>
              <w:t>INFORMACIÓN PROPORCIONADA</w:t>
            </w:r>
          </w:p>
        </w:tc>
      </w:tr>
      <w:tr w:rsidR="00BE6DAA" w:rsidRPr="00BE6DAA">
        <w:tc>
          <w:tcPr>
            <w:tcW w:w="4352" w:type="dxa"/>
          </w:tcPr>
          <w:p w:rsidR="000762F8" w:rsidRPr="00BE6DAA" w:rsidRDefault="00BE6DAA">
            <w:pPr>
              <w:spacing w:before="120" w:after="120"/>
              <w:ind w:right="49"/>
              <w:jc w:val="both"/>
              <w:rPr>
                <w:rFonts w:ascii="Palatino Linotype" w:eastAsia="Palatino Linotype" w:hAnsi="Palatino Linotype" w:cs="Palatino Linotype"/>
                <w:sz w:val="20"/>
                <w:szCs w:val="20"/>
              </w:rPr>
            </w:pPr>
            <w:r w:rsidRPr="00BE6DAA">
              <w:rPr>
                <w:rFonts w:ascii="Palatino Linotype" w:eastAsia="Palatino Linotype" w:hAnsi="Palatino Linotype" w:cs="Palatino Linotype"/>
                <w:sz w:val="20"/>
                <w:szCs w:val="20"/>
              </w:rPr>
              <w:t xml:space="preserve">1. ¿Cuándo se implementó por parte del ayuntamiento las sesiones de Cabildo abierto y Cabildo abierto juvenil? </w:t>
            </w:r>
          </w:p>
        </w:tc>
        <w:tc>
          <w:tcPr>
            <w:tcW w:w="4476" w:type="dxa"/>
          </w:tcPr>
          <w:p w:rsidR="000762F8" w:rsidRPr="00BE6DAA" w:rsidRDefault="00BE6DAA">
            <w:pPr>
              <w:spacing w:before="120" w:after="120"/>
              <w:jc w:val="both"/>
              <w:rPr>
                <w:rFonts w:ascii="Palatino Linotype" w:eastAsia="Palatino Linotype" w:hAnsi="Palatino Linotype" w:cs="Palatino Linotype"/>
                <w:sz w:val="20"/>
                <w:szCs w:val="20"/>
              </w:rPr>
            </w:pPr>
            <w:r w:rsidRPr="00BE6DAA">
              <w:rPr>
                <w:noProof/>
              </w:rPr>
              <w:drawing>
                <wp:inline distT="0" distB="0" distL="0" distR="0">
                  <wp:extent cx="2700000" cy="521181"/>
                  <wp:effectExtent l="0" t="0" r="0" b="0"/>
                  <wp:docPr id="4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2700000" cy="521181"/>
                          </a:xfrm>
                          <a:prstGeom prst="rect">
                            <a:avLst/>
                          </a:prstGeom>
                          <a:ln/>
                        </pic:spPr>
                      </pic:pic>
                    </a:graphicData>
                  </a:graphic>
                </wp:inline>
              </w:drawing>
            </w:r>
          </w:p>
        </w:tc>
      </w:tr>
      <w:tr w:rsidR="00BE6DAA" w:rsidRPr="00BE6DAA">
        <w:tc>
          <w:tcPr>
            <w:tcW w:w="4352" w:type="dxa"/>
          </w:tcPr>
          <w:p w:rsidR="000762F8" w:rsidRPr="00BE6DAA" w:rsidRDefault="00BE6DAA">
            <w:pPr>
              <w:spacing w:before="120" w:after="120"/>
              <w:ind w:right="49"/>
              <w:jc w:val="both"/>
              <w:rPr>
                <w:rFonts w:ascii="Palatino Linotype" w:eastAsia="Palatino Linotype" w:hAnsi="Palatino Linotype" w:cs="Palatino Linotype"/>
                <w:sz w:val="20"/>
                <w:szCs w:val="20"/>
              </w:rPr>
            </w:pPr>
            <w:r w:rsidRPr="00BE6DAA">
              <w:rPr>
                <w:rFonts w:ascii="Palatino Linotype" w:eastAsia="Palatino Linotype" w:hAnsi="Palatino Linotype" w:cs="Palatino Linotype"/>
                <w:sz w:val="20"/>
                <w:szCs w:val="20"/>
              </w:rPr>
              <w:lastRenderedPageBreak/>
              <w:t xml:space="preserve">2. ¿Cuándo se realizó la primera sesión de Cabildo abierto y Cabildo abierto juvenil en el municipio? </w:t>
            </w:r>
          </w:p>
        </w:tc>
        <w:tc>
          <w:tcPr>
            <w:tcW w:w="4476" w:type="dxa"/>
          </w:tcPr>
          <w:p w:rsidR="000762F8" w:rsidRPr="00BE6DAA" w:rsidRDefault="00BE6DAA">
            <w:pPr>
              <w:spacing w:before="120" w:after="120"/>
              <w:jc w:val="both"/>
              <w:rPr>
                <w:rFonts w:ascii="Palatino Linotype" w:eastAsia="Palatino Linotype" w:hAnsi="Palatino Linotype" w:cs="Palatino Linotype"/>
                <w:sz w:val="20"/>
                <w:szCs w:val="20"/>
              </w:rPr>
            </w:pPr>
            <w:r w:rsidRPr="00BE6DAA">
              <w:rPr>
                <w:noProof/>
              </w:rPr>
              <w:drawing>
                <wp:inline distT="0" distB="0" distL="0" distR="0">
                  <wp:extent cx="2700000" cy="673014"/>
                  <wp:effectExtent l="0" t="0" r="0" b="0"/>
                  <wp:docPr id="5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2"/>
                          <a:srcRect/>
                          <a:stretch>
                            <a:fillRect/>
                          </a:stretch>
                        </pic:blipFill>
                        <pic:spPr>
                          <a:xfrm>
                            <a:off x="0" y="0"/>
                            <a:ext cx="2700000" cy="673014"/>
                          </a:xfrm>
                          <a:prstGeom prst="rect">
                            <a:avLst/>
                          </a:prstGeom>
                          <a:ln/>
                        </pic:spPr>
                      </pic:pic>
                    </a:graphicData>
                  </a:graphic>
                </wp:inline>
              </w:drawing>
            </w:r>
          </w:p>
        </w:tc>
      </w:tr>
      <w:tr w:rsidR="00BE6DAA" w:rsidRPr="00BE6DAA">
        <w:tc>
          <w:tcPr>
            <w:tcW w:w="4352" w:type="dxa"/>
          </w:tcPr>
          <w:p w:rsidR="000762F8" w:rsidRPr="00BE6DAA" w:rsidRDefault="00BE6DAA">
            <w:pPr>
              <w:spacing w:before="120" w:after="120"/>
              <w:ind w:right="49"/>
              <w:jc w:val="both"/>
              <w:rPr>
                <w:rFonts w:ascii="Palatino Linotype" w:eastAsia="Palatino Linotype" w:hAnsi="Palatino Linotype" w:cs="Palatino Linotype"/>
                <w:sz w:val="20"/>
                <w:szCs w:val="20"/>
              </w:rPr>
            </w:pPr>
            <w:r w:rsidRPr="00BE6DAA">
              <w:rPr>
                <w:rFonts w:ascii="Palatino Linotype" w:eastAsia="Palatino Linotype" w:hAnsi="Palatino Linotype" w:cs="Palatino Linotype"/>
                <w:sz w:val="20"/>
                <w:szCs w:val="20"/>
              </w:rPr>
              <w:t xml:space="preserve">3. Desde las anteriores fechas señaladas, hasta el 2022, ¿Cuántas convocatorias se han emitido por parte del ayuntamiento para sesiones de Cabildo abierto y Cabildo abierto juvenil? </w:t>
            </w:r>
          </w:p>
        </w:tc>
        <w:tc>
          <w:tcPr>
            <w:tcW w:w="4476" w:type="dxa"/>
          </w:tcPr>
          <w:p w:rsidR="000762F8" w:rsidRPr="00BE6DAA" w:rsidRDefault="00BE6DAA">
            <w:pPr>
              <w:spacing w:before="120" w:after="120"/>
              <w:jc w:val="both"/>
              <w:rPr>
                <w:rFonts w:ascii="Palatino Linotype" w:eastAsia="Palatino Linotype" w:hAnsi="Palatino Linotype" w:cs="Palatino Linotype"/>
                <w:sz w:val="20"/>
                <w:szCs w:val="20"/>
              </w:rPr>
            </w:pPr>
            <w:r w:rsidRPr="00BE6DAA">
              <w:rPr>
                <w:noProof/>
              </w:rPr>
              <w:drawing>
                <wp:inline distT="0" distB="0" distL="0" distR="0">
                  <wp:extent cx="2700000" cy="356517"/>
                  <wp:effectExtent l="0" t="0" r="0" b="0"/>
                  <wp:docPr id="5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3"/>
                          <a:srcRect/>
                          <a:stretch>
                            <a:fillRect/>
                          </a:stretch>
                        </pic:blipFill>
                        <pic:spPr>
                          <a:xfrm>
                            <a:off x="0" y="0"/>
                            <a:ext cx="2700000" cy="356517"/>
                          </a:xfrm>
                          <a:prstGeom prst="rect">
                            <a:avLst/>
                          </a:prstGeom>
                          <a:ln/>
                        </pic:spPr>
                      </pic:pic>
                    </a:graphicData>
                  </a:graphic>
                </wp:inline>
              </w:drawing>
            </w:r>
          </w:p>
        </w:tc>
      </w:tr>
      <w:tr w:rsidR="00BE6DAA" w:rsidRPr="00BE6DAA">
        <w:tc>
          <w:tcPr>
            <w:tcW w:w="4352" w:type="dxa"/>
          </w:tcPr>
          <w:p w:rsidR="000762F8" w:rsidRPr="00BE6DAA" w:rsidRDefault="00BE6DAA">
            <w:pPr>
              <w:spacing w:before="120" w:after="120"/>
              <w:ind w:right="49"/>
              <w:jc w:val="both"/>
              <w:rPr>
                <w:rFonts w:ascii="Palatino Linotype" w:eastAsia="Palatino Linotype" w:hAnsi="Palatino Linotype" w:cs="Palatino Linotype"/>
                <w:sz w:val="20"/>
                <w:szCs w:val="20"/>
              </w:rPr>
            </w:pPr>
            <w:r w:rsidRPr="00BE6DAA">
              <w:rPr>
                <w:rFonts w:ascii="Palatino Linotype" w:eastAsia="Palatino Linotype" w:hAnsi="Palatino Linotype" w:cs="Palatino Linotype"/>
                <w:sz w:val="20"/>
                <w:szCs w:val="20"/>
              </w:rPr>
              <w:t xml:space="preserve">4. Desde las anteriores fechas señaladas, hasta el 2022, ¿Cuántas sesiones de Cabildo abierto y Cabildo abierto juvenil se han realizado por parte del ayuntamiento? </w:t>
            </w:r>
          </w:p>
        </w:tc>
        <w:tc>
          <w:tcPr>
            <w:tcW w:w="4476" w:type="dxa"/>
          </w:tcPr>
          <w:p w:rsidR="000762F8" w:rsidRPr="00BE6DAA" w:rsidRDefault="00BE6DAA">
            <w:pPr>
              <w:spacing w:before="120" w:after="120"/>
              <w:jc w:val="both"/>
              <w:rPr>
                <w:rFonts w:ascii="Palatino Linotype" w:eastAsia="Palatino Linotype" w:hAnsi="Palatino Linotype" w:cs="Palatino Linotype"/>
                <w:sz w:val="20"/>
                <w:szCs w:val="20"/>
              </w:rPr>
            </w:pPr>
            <w:r w:rsidRPr="00BE6DAA">
              <w:rPr>
                <w:noProof/>
              </w:rPr>
              <w:drawing>
                <wp:inline distT="0" distB="0" distL="0" distR="0">
                  <wp:extent cx="2700000" cy="460998"/>
                  <wp:effectExtent l="0" t="0" r="0" b="0"/>
                  <wp:docPr id="54"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4"/>
                          <a:srcRect/>
                          <a:stretch>
                            <a:fillRect/>
                          </a:stretch>
                        </pic:blipFill>
                        <pic:spPr>
                          <a:xfrm>
                            <a:off x="0" y="0"/>
                            <a:ext cx="2700000" cy="460998"/>
                          </a:xfrm>
                          <a:prstGeom prst="rect">
                            <a:avLst/>
                          </a:prstGeom>
                          <a:ln/>
                        </pic:spPr>
                      </pic:pic>
                    </a:graphicData>
                  </a:graphic>
                </wp:inline>
              </w:drawing>
            </w:r>
          </w:p>
        </w:tc>
      </w:tr>
      <w:tr w:rsidR="00BE6DAA" w:rsidRPr="00BE6DAA">
        <w:tc>
          <w:tcPr>
            <w:tcW w:w="4352" w:type="dxa"/>
          </w:tcPr>
          <w:p w:rsidR="000762F8" w:rsidRPr="00BE6DAA" w:rsidRDefault="00BE6DAA">
            <w:pPr>
              <w:spacing w:before="120" w:after="120"/>
              <w:ind w:right="49"/>
              <w:jc w:val="both"/>
              <w:rPr>
                <w:rFonts w:ascii="Palatino Linotype" w:eastAsia="Palatino Linotype" w:hAnsi="Palatino Linotype" w:cs="Palatino Linotype"/>
                <w:sz w:val="20"/>
                <w:szCs w:val="20"/>
              </w:rPr>
            </w:pPr>
            <w:r w:rsidRPr="00BE6DAA">
              <w:rPr>
                <w:rFonts w:ascii="Palatino Linotype" w:eastAsia="Palatino Linotype" w:hAnsi="Palatino Linotype" w:cs="Palatino Linotype"/>
                <w:sz w:val="20"/>
                <w:szCs w:val="20"/>
              </w:rPr>
              <w:t xml:space="preserve">5. Desde las anteriores fechas señaladas, hasta el 2022, ¿Cuáles son las temáticas planteadas en las sesiones de Cabildo abierto y Cabildo abierto juvenil? </w:t>
            </w:r>
          </w:p>
        </w:tc>
        <w:tc>
          <w:tcPr>
            <w:tcW w:w="4476" w:type="dxa"/>
          </w:tcPr>
          <w:p w:rsidR="000762F8" w:rsidRPr="00BE6DAA" w:rsidRDefault="00BE6DAA">
            <w:pPr>
              <w:spacing w:before="120" w:after="120"/>
              <w:jc w:val="both"/>
              <w:rPr>
                <w:rFonts w:ascii="Palatino Linotype" w:eastAsia="Palatino Linotype" w:hAnsi="Palatino Linotype" w:cs="Palatino Linotype"/>
                <w:sz w:val="20"/>
                <w:szCs w:val="20"/>
              </w:rPr>
            </w:pPr>
            <w:r w:rsidRPr="00BE6DAA">
              <w:rPr>
                <w:noProof/>
              </w:rPr>
              <w:drawing>
                <wp:inline distT="0" distB="0" distL="0" distR="0">
                  <wp:extent cx="2700000" cy="453971"/>
                  <wp:effectExtent l="0" t="0" r="0" b="0"/>
                  <wp:docPr id="5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5"/>
                          <a:srcRect/>
                          <a:stretch>
                            <a:fillRect/>
                          </a:stretch>
                        </pic:blipFill>
                        <pic:spPr>
                          <a:xfrm>
                            <a:off x="0" y="0"/>
                            <a:ext cx="2700000" cy="453971"/>
                          </a:xfrm>
                          <a:prstGeom prst="rect">
                            <a:avLst/>
                          </a:prstGeom>
                          <a:ln/>
                        </pic:spPr>
                      </pic:pic>
                    </a:graphicData>
                  </a:graphic>
                </wp:inline>
              </w:drawing>
            </w:r>
          </w:p>
        </w:tc>
      </w:tr>
      <w:tr w:rsidR="00BE6DAA" w:rsidRPr="00BE6DAA">
        <w:tc>
          <w:tcPr>
            <w:tcW w:w="4352" w:type="dxa"/>
          </w:tcPr>
          <w:p w:rsidR="000762F8" w:rsidRPr="00BE6DAA" w:rsidRDefault="00BE6DAA">
            <w:pPr>
              <w:spacing w:before="120" w:after="120"/>
              <w:ind w:right="49"/>
              <w:jc w:val="both"/>
              <w:rPr>
                <w:rFonts w:ascii="Palatino Linotype" w:eastAsia="Palatino Linotype" w:hAnsi="Palatino Linotype" w:cs="Palatino Linotype"/>
                <w:sz w:val="20"/>
                <w:szCs w:val="20"/>
              </w:rPr>
            </w:pPr>
            <w:r w:rsidRPr="00BE6DAA">
              <w:rPr>
                <w:rFonts w:ascii="Palatino Linotype" w:eastAsia="Palatino Linotype" w:hAnsi="Palatino Linotype" w:cs="Palatino Linotype"/>
                <w:sz w:val="20"/>
                <w:szCs w:val="20"/>
              </w:rPr>
              <w:t xml:space="preserve">6. Desde 2014 al 2022, ¿Cuál ha sido la respuesta del ayuntamiento frente a los planteamientos de la ciudadanía en las sesiones de Cabildo abierto y Cabildo abierto juvenil? </w:t>
            </w:r>
          </w:p>
        </w:tc>
        <w:tc>
          <w:tcPr>
            <w:tcW w:w="4476" w:type="dxa"/>
          </w:tcPr>
          <w:p w:rsidR="000762F8" w:rsidRPr="00BE6DAA" w:rsidRDefault="00BE6DAA">
            <w:pPr>
              <w:spacing w:before="120" w:after="120"/>
              <w:jc w:val="both"/>
              <w:rPr>
                <w:rFonts w:ascii="Palatino Linotype" w:eastAsia="Palatino Linotype" w:hAnsi="Palatino Linotype" w:cs="Palatino Linotype"/>
                <w:sz w:val="20"/>
                <w:szCs w:val="20"/>
              </w:rPr>
            </w:pPr>
            <w:r w:rsidRPr="00BE6DAA">
              <w:rPr>
                <w:noProof/>
              </w:rPr>
              <w:drawing>
                <wp:inline distT="0" distB="0" distL="0" distR="0">
                  <wp:extent cx="2700000" cy="673014"/>
                  <wp:effectExtent l="0" t="0" r="0" b="0"/>
                  <wp:docPr id="5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6"/>
                          <a:srcRect/>
                          <a:stretch>
                            <a:fillRect/>
                          </a:stretch>
                        </pic:blipFill>
                        <pic:spPr>
                          <a:xfrm>
                            <a:off x="0" y="0"/>
                            <a:ext cx="2700000" cy="673014"/>
                          </a:xfrm>
                          <a:prstGeom prst="rect">
                            <a:avLst/>
                          </a:prstGeom>
                          <a:ln/>
                        </pic:spPr>
                      </pic:pic>
                    </a:graphicData>
                  </a:graphic>
                </wp:inline>
              </w:drawing>
            </w:r>
          </w:p>
        </w:tc>
      </w:tr>
      <w:tr w:rsidR="00BE6DAA" w:rsidRPr="00BE6DAA">
        <w:tc>
          <w:tcPr>
            <w:tcW w:w="4352" w:type="dxa"/>
          </w:tcPr>
          <w:p w:rsidR="000762F8" w:rsidRPr="00BE6DAA" w:rsidRDefault="00BE6DAA">
            <w:pPr>
              <w:spacing w:before="120" w:after="120"/>
              <w:ind w:right="49"/>
              <w:jc w:val="both"/>
              <w:rPr>
                <w:rFonts w:ascii="Palatino Linotype" w:eastAsia="Palatino Linotype" w:hAnsi="Palatino Linotype" w:cs="Palatino Linotype"/>
                <w:sz w:val="20"/>
                <w:szCs w:val="20"/>
              </w:rPr>
            </w:pPr>
            <w:r w:rsidRPr="00BE6DAA">
              <w:rPr>
                <w:rFonts w:ascii="Palatino Linotype" w:eastAsia="Palatino Linotype" w:hAnsi="Palatino Linotype" w:cs="Palatino Linotype"/>
                <w:sz w:val="20"/>
                <w:szCs w:val="20"/>
              </w:rPr>
              <w:t xml:space="preserve">7. Desde 2014 al 2022, ¿Cuántas personas han participado en cada una de las sesiones de Cabildo abierto y Cabildo abierto juvenil? </w:t>
            </w:r>
          </w:p>
        </w:tc>
        <w:tc>
          <w:tcPr>
            <w:tcW w:w="4476" w:type="dxa"/>
          </w:tcPr>
          <w:p w:rsidR="000762F8" w:rsidRPr="00BE6DAA" w:rsidRDefault="00BE6DAA">
            <w:pPr>
              <w:spacing w:before="120" w:after="120"/>
              <w:jc w:val="both"/>
              <w:rPr>
                <w:rFonts w:ascii="Palatino Linotype" w:eastAsia="Palatino Linotype" w:hAnsi="Palatino Linotype" w:cs="Palatino Linotype"/>
                <w:sz w:val="20"/>
                <w:szCs w:val="20"/>
              </w:rPr>
            </w:pPr>
            <w:r w:rsidRPr="00BE6DAA">
              <w:rPr>
                <w:noProof/>
              </w:rPr>
              <w:drawing>
                <wp:inline distT="0" distB="0" distL="0" distR="0">
                  <wp:extent cx="2700000" cy="455193"/>
                  <wp:effectExtent l="0" t="0" r="0" b="0"/>
                  <wp:docPr id="5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7"/>
                          <a:srcRect/>
                          <a:stretch>
                            <a:fillRect/>
                          </a:stretch>
                        </pic:blipFill>
                        <pic:spPr>
                          <a:xfrm>
                            <a:off x="0" y="0"/>
                            <a:ext cx="2700000" cy="455193"/>
                          </a:xfrm>
                          <a:prstGeom prst="rect">
                            <a:avLst/>
                          </a:prstGeom>
                          <a:ln/>
                        </pic:spPr>
                      </pic:pic>
                    </a:graphicData>
                  </a:graphic>
                </wp:inline>
              </w:drawing>
            </w:r>
          </w:p>
        </w:tc>
      </w:tr>
      <w:tr w:rsidR="00BE6DAA" w:rsidRPr="00BE6DAA">
        <w:tc>
          <w:tcPr>
            <w:tcW w:w="4352" w:type="dxa"/>
          </w:tcPr>
          <w:p w:rsidR="000762F8" w:rsidRPr="00BE6DAA" w:rsidRDefault="00BE6DAA">
            <w:pPr>
              <w:spacing w:before="120" w:after="120"/>
              <w:ind w:right="49"/>
              <w:jc w:val="both"/>
              <w:rPr>
                <w:rFonts w:ascii="Palatino Linotype" w:eastAsia="Palatino Linotype" w:hAnsi="Palatino Linotype" w:cs="Palatino Linotype"/>
                <w:sz w:val="20"/>
                <w:szCs w:val="20"/>
              </w:rPr>
            </w:pPr>
            <w:r w:rsidRPr="00BE6DAA">
              <w:rPr>
                <w:rFonts w:ascii="Palatino Linotype" w:eastAsia="Palatino Linotype" w:hAnsi="Palatino Linotype" w:cs="Palatino Linotype"/>
                <w:sz w:val="20"/>
                <w:szCs w:val="20"/>
              </w:rPr>
              <w:t xml:space="preserve">8. ¿Existe la realización de las sesiones de Cabildo abierto y Cabildo abierto juvenil mediante plataformas electrónicas? </w:t>
            </w:r>
          </w:p>
        </w:tc>
        <w:tc>
          <w:tcPr>
            <w:tcW w:w="4476" w:type="dxa"/>
          </w:tcPr>
          <w:p w:rsidR="000762F8" w:rsidRPr="00BE6DAA" w:rsidRDefault="00BE6DAA">
            <w:pPr>
              <w:spacing w:before="120" w:after="120"/>
              <w:jc w:val="both"/>
              <w:rPr>
                <w:rFonts w:ascii="Palatino Linotype" w:eastAsia="Palatino Linotype" w:hAnsi="Palatino Linotype" w:cs="Palatino Linotype"/>
                <w:sz w:val="20"/>
                <w:szCs w:val="20"/>
              </w:rPr>
            </w:pPr>
            <w:r w:rsidRPr="00BE6DAA">
              <w:rPr>
                <w:noProof/>
              </w:rPr>
              <w:drawing>
                <wp:inline distT="0" distB="0" distL="0" distR="0">
                  <wp:extent cx="2700000" cy="567923"/>
                  <wp:effectExtent l="0" t="0" r="0" b="0"/>
                  <wp:docPr id="56"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8"/>
                          <a:srcRect/>
                          <a:stretch>
                            <a:fillRect/>
                          </a:stretch>
                        </pic:blipFill>
                        <pic:spPr>
                          <a:xfrm>
                            <a:off x="0" y="0"/>
                            <a:ext cx="2700000" cy="567923"/>
                          </a:xfrm>
                          <a:prstGeom prst="rect">
                            <a:avLst/>
                          </a:prstGeom>
                          <a:ln/>
                        </pic:spPr>
                      </pic:pic>
                    </a:graphicData>
                  </a:graphic>
                </wp:inline>
              </w:drawing>
            </w:r>
          </w:p>
        </w:tc>
      </w:tr>
      <w:tr w:rsidR="00BE6DAA" w:rsidRPr="00BE6DAA">
        <w:tc>
          <w:tcPr>
            <w:tcW w:w="4352" w:type="dxa"/>
          </w:tcPr>
          <w:p w:rsidR="000762F8" w:rsidRPr="00BE6DAA" w:rsidRDefault="00BE6DAA">
            <w:pPr>
              <w:spacing w:before="120" w:after="120"/>
              <w:ind w:right="49"/>
              <w:jc w:val="both"/>
              <w:rPr>
                <w:rFonts w:ascii="Palatino Linotype" w:eastAsia="Palatino Linotype" w:hAnsi="Palatino Linotype" w:cs="Palatino Linotype"/>
                <w:sz w:val="20"/>
                <w:szCs w:val="20"/>
              </w:rPr>
            </w:pPr>
            <w:r w:rsidRPr="00BE6DAA">
              <w:rPr>
                <w:rFonts w:ascii="Palatino Linotype" w:eastAsia="Palatino Linotype" w:hAnsi="Palatino Linotype" w:cs="Palatino Linotype"/>
                <w:sz w:val="20"/>
                <w:szCs w:val="20"/>
              </w:rPr>
              <w:t xml:space="preserve">9. ¿Cuáles son las modalidades de participación de la ciudadanía en sesiones de Cabildo abierto y Cabildo abierto juvenil (si son presenciales, electrónicas o mixtas? </w:t>
            </w:r>
          </w:p>
        </w:tc>
        <w:tc>
          <w:tcPr>
            <w:tcW w:w="4476" w:type="dxa"/>
          </w:tcPr>
          <w:p w:rsidR="000762F8" w:rsidRPr="00BE6DAA" w:rsidRDefault="00BE6DAA">
            <w:pPr>
              <w:spacing w:before="120" w:after="120"/>
              <w:jc w:val="both"/>
              <w:rPr>
                <w:rFonts w:ascii="Palatino Linotype" w:eastAsia="Palatino Linotype" w:hAnsi="Palatino Linotype" w:cs="Palatino Linotype"/>
                <w:sz w:val="20"/>
                <w:szCs w:val="20"/>
              </w:rPr>
            </w:pPr>
            <w:r w:rsidRPr="00BE6DAA">
              <w:rPr>
                <w:noProof/>
              </w:rPr>
              <w:drawing>
                <wp:inline distT="0" distB="0" distL="0" distR="0">
                  <wp:extent cx="2700000" cy="449389"/>
                  <wp:effectExtent l="0" t="0" r="0" b="0"/>
                  <wp:docPr id="58"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9"/>
                          <a:srcRect/>
                          <a:stretch>
                            <a:fillRect/>
                          </a:stretch>
                        </pic:blipFill>
                        <pic:spPr>
                          <a:xfrm>
                            <a:off x="0" y="0"/>
                            <a:ext cx="2700000" cy="449389"/>
                          </a:xfrm>
                          <a:prstGeom prst="rect">
                            <a:avLst/>
                          </a:prstGeom>
                          <a:ln/>
                        </pic:spPr>
                      </pic:pic>
                    </a:graphicData>
                  </a:graphic>
                </wp:inline>
              </w:drawing>
            </w:r>
          </w:p>
        </w:tc>
      </w:tr>
      <w:tr w:rsidR="00BE6DAA" w:rsidRPr="00BE6DAA">
        <w:tc>
          <w:tcPr>
            <w:tcW w:w="4352" w:type="dxa"/>
          </w:tcPr>
          <w:p w:rsidR="000762F8" w:rsidRPr="00BE6DAA" w:rsidRDefault="00BE6DAA">
            <w:pPr>
              <w:spacing w:before="120" w:after="120"/>
              <w:ind w:right="49"/>
              <w:jc w:val="both"/>
              <w:rPr>
                <w:rFonts w:ascii="Palatino Linotype" w:eastAsia="Palatino Linotype" w:hAnsi="Palatino Linotype" w:cs="Palatino Linotype"/>
                <w:sz w:val="20"/>
                <w:szCs w:val="20"/>
              </w:rPr>
            </w:pPr>
            <w:r w:rsidRPr="00BE6DAA">
              <w:rPr>
                <w:rFonts w:ascii="Palatino Linotype" w:eastAsia="Palatino Linotype" w:hAnsi="Palatino Linotype" w:cs="Palatino Linotype"/>
                <w:sz w:val="20"/>
                <w:szCs w:val="20"/>
              </w:rPr>
              <w:t>10. ¿Las sesiones de Cabildo abierto y Cabildo abierto juvenil se transmiten a través de las redes sociales del ayuntamiento y cuenta con un acervo histórico de las mismas?</w:t>
            </w:r>
          </w:p>
        </w:tc>
        <w:tc>
          <w:tcPr>
            <w:tcW w:w="4476" w:type="dxa"/>
          </w:tcPr>
          <w:p w:rsidR="000762F8" w:rsidRPr="00BE6DAA" w:rsidRDefault="00BE6DAA">
            <w:pPr>
              <w:spacing w:before="120" w:after="120"/>
              <w:jc w:val="both"/>
              <w:rPr>
                <w:rFonts w:ascii="Palatino Linotype" w:eastAsia="Palatino Linotype" w:hAnsi="Palatino Linotype" w:cs="Palatino Linotype"/>
                <w:sz w:val="20"/>
                <w:szCs w:val="20"/>
              </w:rPr>
            </w:pPr>
            <w:r w:rsidRPr="00BE6DAA">
              <w:rPr>
                <w:noProof/>
              </w:rPr>
              <w:drawing>
                <wp:inline distT="0" distB="0" distL="0" distR="0">
                  <wp:extent cx="2700000" cy="449389"/>
                  <wp:effectExtent l="0" t="0" r="0" b="0"/>
                  <wp:docPr id="59"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9"/>
                          <a:srcRect/>
                          <a:stretch>
                            <a:fillRect/>
                          </a:stretch>
                        </pic:blipFill>
                        <pic:spPr>
                          <a:xfrm>
                            <a:off x="0" y="0"/>
                            <a:ext cx="2700000" cy="449389"/>
                          </a:xfrm>
                          <a:prstGeom prst="rect">
                            <a:avLst/>
                          </a:prstGeom>
                          <a:ln/>
                        </pic:spPr>
                      </pic:pic>
                    </a:graphicData>
                  </a:graphic>
                </wp:inline>
              </w:drawing>
            </w:r>
          </w:p>
        </w:tc>
      </w:tr>
    </w:tbl>
    <w:p w:rsidR="000762F8" w:rsidRPr="00BE6DAA" w:rsidRDefault="00BE6DAA">
      <w:pPr>
        <w:spacing w:before="240" w:after="240" w:line="360" w:lineRule="auto"/>
        <w:ind w:right="49"/>
        <w:jc w:val="both"/>
        <w:rPr>
          <w:rFonts w:ascii="Palatino Linotype" w:eastAsia="Palatino Linotype" w:hAnsi="Palatino Linotype" w:cs="Palatino Linotype"/>
        </w:rPr>
      </w:pPr>
      <w:r w:rsidRPr="00BE6DAA">
        <w:rPr>
          <w:rFonts w:ascii="Palatino Linotype" w:eastAsia="Palatino Linotype" w:hAnsi="Palatino Linotype" w:cs="Palatino Linotype"/>
        </w:rPr>
        <w:lastRenderedPageBreak/>
        <w:t xml:space="preserve">Como se advierte de la tabla anterior, el servidor público habilitado de la Secretaría del Ayuntamiento, </w:t>
      </w:r>
      <w:r w:rsidRPr="00BE6DAA">
        <w:rPr>
          <w:rFonts w:ascii="Palatino Linotype" w:eastAsia="Palatino Linotype" w:hAnsi="Palatino Linotype" w:cs="Palatino Linotype"/>
          <w:b/>
        </w:rPr>
        <w:t>con base en la información que obra en sus archivos</w:t>
      </w:r>
      <w:r w:rsidRPr="00BE6DAA">
        <w:rPr>
          <w:rFonts w:ascii="Palatino Linotype" w:eastAsia="Palatino Linotype" w:hAnsi="Palatino Linotype" w:cs="Palatino Linotype"/>
        </w:rPr>
        <w:t>, indicó la fecha exacta a partir de la cual existe registro de la celebración de Sesiones de Cabildo Abierto y Cabildo Juvenil, para atender los puntos 1 y 2 de la solicitud; señaló el número de convocatorias que se han emitido para la celebración de Sesiones de Cabildo Abierto y Cabildo Juvenil, precisando que existe igual número de Sesiones, información que atiende los puntos 3 y 4; respecto a los puntos 5 y 6, refirió los temas tratados en las Sesiones de Cabildo Abierto y Cabildo Juvenil, e indicó que no en todas las convocatorias existió registro; para dar contestación al punto 7, refirió que han participado tres personas, dos en Cabildo Abierto y una en Cabildo Juvenil; respecto al punto 8, informó que no obra constancia de la realización de Cabildo Abierto y Cabildo Juvenil por plataforma electrónica, sin embargo, precisó que la Ley Orgánica Municipal si prevé dicha circunstancia en cao de emergencia nacional o estatal de carácter sanitaria o de protección civil determinada por autoridad competente; y, finalmente, para atender los puntos 9 y 10 de la solicitud, manifestó que las modalidades de participación de la ciudadanía en Sesiones de Cabildo Abierto y Cabildo Juvenil era presencial, y que si se contaba con un acervo histórico de las mismas.</w:t>
      </w:r>
    </w:p>
    <w:p w:rsidR="000762F8" w:rsidRPr="00BE6DAA" w:rsidRDefault="00BE6DAA">
      <w:pPr>
        <w:spacing w:before="240" w:after="240" w:line="360" w:lineRule="auto"/>
        <w:ind w:right="49"/>
        <w:jc w:val="both"/>
        <w:rPr>
          <w:rFonts w:ascii="Palatino Linotype" w:eastAsia="Palatino Linotype" w:hAnsi="Palatino Linotype" w:cs="Palatino Linotype"/>
        </w:rPr>
      </w:pPr>
      <w:r w:rsidRPr="00BE6DAA">
        <w:rPr>
          <w:rFonts w:ascii="Palatino Linotype" w:eastAsia="Palatino Linotype" w:hAnsi="Palatino Linotype" w:cs="Palatino Linotype"/>
        </w:rPr>
        <w:t>Ahora bien, ese de precisar que de conformidad con el artículo 91 de la Ley Orgánica Municipal del Estado de México, la persona Titular de la Secretaría del Ayuntamiento cuenta con las siguientes atribuciones en su parte conducente:</w:t>
      </w:r>
    </w:p>
    <w:p w:rsidR="000762F8" w:rsidRPr="00BE6DAA" w:rsidRDefault="00BE6DAA">
      <w:pPr>
        <w:spacing w:before="120" w:after="120"/>
        <w:ind w:left="851" w:right="902"/>
        <w:jc w:val="both"/>
        <w:rPr>
          <w:rFonts w:ascii="Palatino Linotype" w:eastAsia="Palatino Linotype" w:hAnsi="Palatino Linotype" w:cs="Palatino Linotype"/>
          <w:i/>
          <w:sz w:val="22"/>
          <w:szCs w:val="22"/>
        </w:rPr>
      </w:pPr>
      <w:r w:rsidRPr="00BE6DAA">
        <w:rPr>
          <w:rFonts w:ascii="Palatino Linotype" w:eastAsia="Palatino Linotype" w:hAnsi="Palatino Linotype" w:cs="Palatino Linotype"/>
          <w:i/>
          <w:sz w:val="22"/>
          <w:szCs w:val="22"/>
        </w:rPr>
        <w:t>“</w:t>
      </w:r>
      <w:r w:rsidRPr="00BE6DAA">
        <w:rPr>
          <w:rFonts w:ascii="Palatino Linotype" w:eastAsia="Palatino Linotype" w:hAnsi="Palatino Linotype" w:cs="Palatino Linotype"/>
          <w:b/>
          <w:i/>
          <w:sz w:val="22"/>
          <w:szCs w:val="22"/>
        </w:rPr>
        <w:t>Artículo 91.</w:t>
      </w:r>
      <w:r w:rsidRPr="00BE6DAA">
        <w:rPr>
          <w:rFonts w:ascii="Palatino Linotype" w:eastAsia="Palatino Linotype" w:hAnsi="Palatino Linotype" w:cs="Palatino Linotype"/>
          <w:i/>
          <w:sz w:val="22"/>
          <w:szCs w:val="22"/>
        </w:rPr>
        <w:t xml:space="preserve">- La Secretaría del Ayuntamiento estará a cargo de un Secretario, el que, sin ser miembro del mismo, deberá ser nombrado por el propio Ayuntamiento a propuesta del Presidente Municipal como lo marca el artículo </w:t>
      </w:r>
      <w:r w:rsidRPr="00BE6DAA">
        <w:rPr>
          <w:rFonts w:ascii="Palatino Linotype" w:eastAsia="Palatino Linotype" w:hAnsi="Palatino Linotype" w:cs="Palatino Linotype"/>
          <w:i/>
          <w:sz w:val="22"/>
          <w:szCs w:val="22"/>
        </w:rPr>
        <w:lastRenderedPageBreak/>
        <w:t xml:space="preserve">31 de la presente ley. Sus faltas temporales serán cubiertas por quien designe el Ayuntamiento y sus atribuciones son las siguientes: </w:t>
      </w:r>
    </w:p>
    <w:p w:rsidR="000762F8" w:rsidRPr="00BE6DAA" w:rsidRDefault="00BE6DAA">
      <w:pPr>
        <w:spacing w:before="120" w:after="120"/>
        <w:ind w:left="1134" w:right="902"/>
        <w:jc w:val="both"/>
        <w:rPr>
          <w:rFonts w:ascii="Palatino Linotype" w:eastAsia="Palatino Linotype" w:hAnsi="Palatino Linotype" w:cs="Palatino Linotype"/>
          <w:i/>
          <w:sz w:val="22"/>
          <w:szCs w:val="22"/>
        </w:rPr>
      </w:pPr>
      <w:r w:rsidRPr="00BE6DAA">
        <w:rPr>
          <w:rFonts w:ascii="Palatino Linotype" w:eastAsia="Palatino Linotype" w:hAnsi="Palatino Linotype" w:cs="Palatino Linotype"/>
          <w:b/>
          <w:i/>
          <w:sz w:val="22"/>
          <w:szCs w:val="22"/>
        </w:rPr>
        <w:t>I.</w:t>
      </w:r>
      <w:r w:rsidRPr="00BE6DAA">
        <w:rPr>
          <w:rFonts w:ascii="Palatino Linotype" w:eastAsia="Palatino Linotype" w:hAnsi="Palatino Linotype" w:cs="Palatino Linotype"/>
          <w:i/>
          <w:sz w:val="22"/>
          <w:szCs w:val="22"/>
        </w:rPr>
        <w:t xml:space="preserve"> Asistir a las sesiones del ayuntamiento y </w:t>
      </w:r>
      <w:r w:rsidRPr="00BE6DAA">
        <w:rPr>
          <w:rFonts w:ascii="Palatino Linotype" w:eastAsia="Palatino Linotype" w:hAnsi="Palatino Linotype" w:cs="Palatino Linotype"/>
          <w:b/>
          <w:i/>
          <w:sz w:val="22"/>
          <w:szCs w:val="22"/>
        </w:rPr>
        <w:t>levantar las actas correspondientes;</w:t>
      </w:r>
    </w:p>
    <w:p w:rsidR="000762F8" w:rsidRPr="00BE6DAA" w:rsidRDefault="00BE6DAA">
      <w:pPr>
        <w:spacing w:before="120" w:after="120"/>
        <w:ind w:left="1134" w:right="902"/>
        <w:jc w:val="both"/>
        <w:rPr>
          <w:rFonts w:ascii="Palatino Linotype" w:eastAsia="Palatino Linotype" w:hAnsi="Palatino Linotype" w:cs="Palatino Linotype"/>
          <w:i/>
          <w:sz w:val="22"/>
          <w:szCs w:val="22"/>
        </w:rPr>
      </w:pPr>
      <w:r w:rsidRPr="00BE6DAA">
        <w:rPr>
          <w:rFonts w:ascii="Palatino Linotype" w:eastAsia="Palatino Linotype" w:hAnsi="Palatino Linotype" w:cs="Palatino Linotype"/>
          <w:b/>
          <w:i/>
          <w:sz w:val="22"/>
          <w:szCs w:val="22"/>
        </w:rPr>
        <w:t>II.</w:t>
      </w:r>
      <w:r w:rsidRPr="00BE6DAA">
        <w:rPr>
          <w:rFonts w:ascii="Palatino Linotype" w:eastAsia="Palatino Linotype" w:hAnsi="Palatino Linotype" w:cs="Palatino Linotype"/>
          <w:i/>
          <w:sz w:val="22"/>
          <w:szCs w:val="22"/>
        </w:rPr>
        <w:t xml:space="preserve"> </w:t>
      </w:r>
      <w:r w:rsidRPr="00BE6DAA">
        <w:rPr>
          <w:rFonts w:ascii="Palatino Linotype" w:eastAsia="Palatino Linotype" w:hAnsi="Palatino Linotype" w:cs="Palatino Linotype"/>
          <w:b/>
          <w:i/>
          <w:sz w:val="22"/>
          <w:szCs w:val="22"/>
        </w:rPr>
        <w:t>Emitir los citatorios para la celebración de las sesiones de cabildo</w:t>
      </w:r>
      <w:r w:rsidRPr="00BE6DAA">
        <w:rPr>
          <w:rFonts w:ascii="Palatino Linotype" w:eastAsia="Palatino Linotype" w:hAnsi="Palatino Linotype" w:cs="Palatino Linotype"/>
          <w:i/>
          <w:sz w:val="22"/>
          <w:szCs w:val="22"/>
        </w:rPr>
        <w:t>, convocadas legalmente;</w:t>
      </w:r>
    </w:p>
    <w:p w:rsidR="000762F8" w:rsidRPr="00BE6DAA" w:rsidRDefault="00BE6DAA">
      <w:pPr>
        <w:spacing w:before="120" w:after="120"/>
        <w:ind w:left="1134" w:right="902"/>
        <w:jc w:val="both"/>
        <w:rPr>
          <w:rFonts w:ascii="Palatino Linotype" w:eastAsia="Palatino Linotype" w:hAnsi="Palatino Linotype" w:cs="Palatino Linotype"/>
          <w:i/>
          <w:sz w:val="22"/>
          <w:szCs w:val="22"/>
        </w:rPr>
      </w:pPr>
      <w:r w:rsidRPr="00BE6DAA">
        <w:rPr>
          <w:rFonts w:ascii="Palatino Linotype" w:eastAsia="Palatino Linotype" w:hAnsi="Palatino Linotype" w:cs="Palatino Linotype"/>
          <w:i/>
          <w:sz w:val="22"/>
          <w:szCs w:val="22"/>
        </w:rPr>
        <w:t>…</w:t>
      </w:r>
    </w:p>
    <w:p w:rsidR="000762F8" w:rsidRPr="00BE6DAA" w:rsidRDefault="00BE6DAA">
      <w:pPr>
        <w:spacing w:before="120" w:after="120"/>
        <w:ind w:left="1134" w:right="902"/>
        <w:jc w:val="both"/>
        <w:rPr>
          <w:rFonts w:ascii="Palatino Linotype" w:eastAsia="Palatino Linotype" w:hAnsi="Palatino Linotype" w:cs="Palatino Linotype"/>
          <w:i/>
          <w:sz w:val="22"/>
          <w:szCs w:val="22"/>
        </w:rPr>
      </w:pPr>
      <w:r w:rsidRPr="00BE6DAA">
        <w:rPr>
          <w:rFonts w:ascii="Palatino Linotype" w:eastAsia="Palatino Linotype" w:hAnsi="Palatino Linotype" w:cs="Palatino Linotype"/>
          <w:b/>
          <w:i/>
          <w:sz w:val="22"/>
          <w:szCs w:val="22"/>
        </w:rPr>
        <w:t>IV</w:t>
      </w:r>
      <w:r w:rsidRPr="00BE6DAA">
        <w:rPr>
          <w:rFonts w:ascii="Palatino Linotype" w:eastAsia="Palatino Linotype" w:hAnsi="Palatino Linotype" w:cs="Palatino Linotype"/>
          <w:i/>
          <w:sz w:val="22"/>
          <w:szCs w:val="22"/>
        </w:rPr>
        <w:t xml:space="preserve">. </w:t>
      </w:r>
      <w:r w:rsidRPr="00BE6DAA">
        <w:rPr>
          <w:rFonts w:ascii="Palatino Linotype" w:eastAsia="Palatino Linotype" w:hAnsi="Palatino Linotype" w:cs="Palatino Linotype"/>
          <w:b/>
          <w:i/>
          <w:sz w:val="22"/>
          <w:szCs w:val="22"/>
        </w:rPr>
        <w:t>Llevar y conservar los libros de actas de cabildo</w:t>
      </w:r>
      <w:r w:rsidRPr="00BE6DAA">
        <w:rPr>
          <w:rFonts w:ascii="Palatino Linotype" w:eastAsia="Palatino Linotype" w:hAnsi="Palatino Linotype" w:cs="Palatino Linotype"/>
          <w:i/>
          <w:sz w:val="22"/>
          <w:szCs w:val="22"/>
        </w:rPr>
        <w:t xml:space="preserve">, obteniendo las firmas de los asistentes a las sesiones; </w:t>
      </w:r>
    </w:p>
    <w:p w:rsidR="000762F8" w:rsidRPr="00BE6DAA" w:rsidRDefault="00BE6DAA">
      <w:pPr>
        <w:spacing w:before="120" w:after="120"/>
        <w:ind w:left="1134" w:right="902"/>
        <w:jc w:val="both"/>
        <w:rPr>
          <w:rFonts w:ascii="Palatino Linotype" w:eastAsia="Palatino Linotype" w:hAnsi="Palatino Linotype" w:cs="Palatino Linotype"/>
          <w:i/>
          <w:sz w:val="22"/>
          <w:szCs w:val="22"/>
        </w:rPr>
      </w:pPr>
      <w:r w:rsidRPr="00BE6DAA">
        <w:rPr>
          <w:rFonts w:ascii="Palatino Linotype" w:eastAsia="Palatino Linotype" w:hAnsi="Palatino Linotype" w:cs="Palatino Linotype"/>
          <w:b/>
          <w:i/>
          <w:sz w:val="22"/>
          <w:szCs w:val="22"/>
        </w:rPr>
        <w:t>V.</w:t>
      </w:r>
      <w:r w:rsidRPr="00BE6DAA">
        <w:rPr>
          <w:rFonts w:ascii="Palatino Linotype" w:eastAsia="Palatino Linotype" w:hAnsi="Palatino Linotype" w:cs="Palatino Linotype"/>
          <w:i/>
          <w:sz w:val="22"/>
          <w:szCs w:val="22"/>
        </w:rPr>
        <w:t xml:space="preserve"> Validar con su firma, los documentos oficiales emanados del ayuntamiento o de cualquiera de sus miembros;”</w:t>
      </w:r>
    </w:p>
    <w:p w:rsidR="000762F8" w:rsidRPr="00BE6DAA" w:rsidRDefault="00BE6DAA">
      <w:pPr>
        <w:spacing w:before="120" w:after="120"/>
        <w:ind w:left="1134" w:right="49"/>
        <w:jc w:val="both"/>
        <w:rPr>
          <w:rFonts w:ascii="Palatino Linotype" w:eastAsia="Palatino Linotype" w:hAnsi="Palatino Linotype" w:cs="Palatino Linotype"/>
          <w:i/>
          <w:sz w:val="22"/>
          <w:szCs w:val="22"/>
        </w:rPr>
      </w:pPr>
      <w:r w:rsidRPr="00BE6DAA">
        <w:rPr>
          <w:rFonts w:ascii="Palatino Linotype" w:eastAsia="Palatino Linotype" w:hAnsi="Palatino Linotype" w:cs="Palatino Linotype"/>
          <w:b/>
          <w:i/>
          <w:sz w:val="22"/>
          <w:szCs w:val="22"/>
        </w:rPr>
        <w:t>VI</w:t>
      </w:r>
      <w:r w:rsidRPr="00BE6DAA">
        <w:rPr>
          <w:rFonts w:ascii="Palatino Linotype" w:eastAsia="Palatino Linotype" w:hAnsi="Palatino Linotype" w:cs="Palatino Linotype"/>
          <w:i/>
          <w:sz w:val="22"/>
          <w:szCs w:val="22"/>
        </w:rPr>
        <w:t>. Tener a su cargo el archivo general del ayuntamiento;</w:t>
      </w:r>
    </w:p>
    <w:p w:rsidR="000762F8" w:rsidRPr="00BE6DAA" w:rsidRDefault="00BE6DAA">
      <w:pPr>
        <w:spacing w:before="120" w:after="120"/>
        <w:ind w:left="1134" w:right="49"/>
        <w:jc w:val="both"/>
        <w:rPr>
          <w:rFonts w:ascii="Palatino Linotype" w:eastAsia="Palatino Linotype" w:hAnsi="Palatino Linotype" w:cs="Palatino Linotype"/>
          <w:i/>
          <w:sz w:val="22"/>
          <w:szCs w:val="22"/>
        </w:rPr>
      </w:pPr>
      <w:r w:rsidRPr="00BE6DAA">
        <w:rPr>
          <w:rFonts w:ascii="Palatino Linotype" w:eastAsia="Palatino Linotype" w:hAnsi="Palatino Linotype" w:cs="Palatino Linotype"/>
          <w:i/>
          <w:sz w:val="22"/>
          <w:szCs w:val="22"/>
        </w:rPr>
        <w:t>…</w:t>
      </w:r>
    </w:p>
    <w:p w:rsidR="000762F8" w:rsidRPr="00BE6DAA" w:rsidRDefault="00BE6DAA">
      <w:pPr>
        <w:spacing w:before="120" w:after="120"/>
        <w:ind w:left="1134" w:right="49"/>
        <w:jc w:val="both"/>
        <w:rPr>
          <w:rFonts w:ascii="Palatino Linotype" w:eastAsia="Palatino Linotype" w:hAnsi="Palatino Linotype" w:cs="Palatino Linotype"/>
          <w:i/>
          <w:sz w:val="22"/>
          <w:szCs w:val="22"/>
        </w:rPr>
      </w:pPr>
      <w:r w:rsidRPr="00BE6DAA">
        <w:rPr>
          <w:rFonts w:ascii="Palatino Linotype" w:eastAsia="Palatino Linotype" w:hAnsi="Palatino Linotype" w:cs="Palatino Linotype"/>
          <w:b/>
          <w:i/>
          <w:sz w:val="22"/>
          <w:szCs w:val="22"/>
        </w:rPr>
        <w:t>XIII</w:t>
      </w:r>
      <w:r w:rsidRPr="00BE6DAA">
        <w:rPr>
          <w:rFonts w:ascii="Palatino Linotype" w:eastAsia="Palatino Linotype" w:hAnsi="Palatino Linotype" w:cs="Palatino Linotype"/>
          <w:i/>
          <w:sz w:val="22"/>
          <w:szCs w:val="22"/>
        </w:rPr>
        <w:t xml:space="preserve">. Ser responsable de la publicación de la Gaceta Municipal, así como de las publicaciones en los estrados de los Ayuntamientos; y </w:t>
      </w:r>
    </w:p>
    <w:p w:rsidR="000762F8" w:rsidRPr="00BE6DAA" w:rsidRDefault="00BE6DAA">
      <w:pPr>
        <w:spacing w:before="120" w:after="120"/>
        <w:ind w:left="1134" w:right="49"/>
        <w:jc w:val="both"/>
        <w:rPr>
          <w:rFonts w:ascii="Palatino Linotype" w:eastAsia="Palatino Linotype" w:hAnsi="Palatino Linotype" w:cs="Palatino Linotype"/>
        </w:rPr>
      </w:pPr>
      <w:r w:rsidRPr="00BE6DAA">
        <w:rPr>
          <w:rFonts w:ascii="Palatino Linotype" w:eastAsia="Palatino Linotype" w:hAnsi="Palatino Linotype" w:cs="Palatino Linotype"/>
          <w:b/>
          <w:i/>
          <w:sz w:val="22"/>
          <w:szCs w:val="22"/>
        </w:rPr>
        <w:t>XIV</w:t>
      </w:r>
      <w:r w:rsidRPr="00BE6DAA">
        <w:rPr>
          <w:rFonts w:ascii="Palatino Linotype" w:eastAsia="Palatino Linotype" w:hAnsi="Palatino Linotype" w:cs="Palatino Linotype"/>
          <w:i/>
          <w:sz w:val="22"/>
          <w:szCs w:val="22"/>
        </w:rPr>
        <w:t>. Las demás que le confieran esta Ley y disposiciones aplicables</w:t>
      </w:r>
      <w:r w:rsidRPr="00BE6DAA">
        <w:t>.”</w:t>
      </w:r>
    </w:p>
    <w:p w:rsidR="000762F8" w:rsidRPr="00BE6DAA" w:rsidRDefault="00BE6DAA">
      <w:pPr>
        <w:spacing w:before="240" w:after="240" w:line="360" w:lineRule="auto"/>
        <w:ind w:right="49"/>
        <w:jc w:val="both"/>
        <w:rPr>
          <w:rFonts w:ascii="Palatino Linotype" w:eastAsia="Palatino Linotype" w:hAnsi="Palatino Linotype" w:cs="Palatino Linotype"/>
        </w:rPr>
      </w:pPr>
      <w:r w:rsidRPr="00BE6DAA">
        <w:rPr>
          <w:rFonts w:ascii="Palatino Linotype" w:eastAsia="Palatino Linotype" w:hAnsi="Palatino Linotype" w:cs="Palatino Linotype"/>
        </w:rPr>
        <w:t>Del precepto citado se colige que la persona Titular de la Secretaría del Ayuntamiento cuenta con la atribución de levantar las actas de las sesiones de Cabildo, emitir los citatorios para la celebración de las mismas, llevar y conservar los libros de actas de cabildo, entre otras.</w:t>
      </w:r>
    </w:p>
    <w:p w:rsidR="000762F8" w:rsidRPr="00BE6DAA" w:rsidRDefault="00BE6DAA">
      <w:pPr>
        <w:spacing w:before="240" w:after="240" w:line="360" w:lineRule="auto"/>
        <w:ind w:right="49"/>
        <w:jc w:val="both"/>
        <w:rPr>
          <w:rFonts w:ascii="Palatino Linotype" w:eastAsia="Palatino Linotype" w:hAnsi="Palatino Linotype" w:cs="Palatino Linotype"/>
          <w:b/>
          <w:u w:val="single"/>
        </w:rPr>
      </w:pPr>
      <w:r w:rsidRPr="00BE6DAA">
        <w:rPr>
          <w:rFonts w:ascii="Palatino Linotype" w:eastAsia="Palatino Linotype" w:hAnsi="Palatino Linotype" w:cs="Palatino Linotype"/>
        </w:rPr>
        <w:t xml:space="preserve">Por su parte el párrafo décimo primero del artículo 28, de Ley Orgánica Municipal, respecto de las sesiones abiertas de Cabildo, establece que el ayuntamiento deberá emitir una convocatoria pública quince días naturales previos a la celebración del Cabildo abierto o juvenil </w:t>
      </w:r>
      <w:r w:rsidRPr="00BE6DAA">
        <w:rPr>
          <w:rFonts w:ascii="Palatino Linotype" w:eastAsia="Palatino Linotype" w:hAnsi="Palatino Linotype" w:cs="Palatino Linotype"/>
          <w:b/>
        </w:rPr>
        <w:t xml:space="preserve">para que las personas habitantes del municipio que tengan interés </w:t>
      </w:r>
      <w:r w:rsidRPr="00BE6DAA">
        <w:rPr>
          <w:rFonts w:ascii="Palatino Linotype" w:eastAsia="Palatino Linotype" w:hAnsi="Palatino Linotype" w:cs="Palatino Linotype"/>
          <w:b/>
          <w:u w:val="single"/>
        </w:rPr>
        <w:t>se registren como participantes ante la Secretaría del Ayuntamiento.</w:t>
      </w:r>
    </w:p>
    <w:p w:rsidR="000762F8" w:rsidRPr="00BE6DAA" w:rsidRDefault="00BE6DAA">
      <w:pPr>
        <w:spacing w:before="240" w:after="240" w:line="360" w:lineRule="auto"/>
        <w:jc w:val="both"/>
        <w:rPr>
          <w:rFonts w:ascii="Palatino Linotype" w:eastAsia="Palatino Linotype" w:hAnsi="Palatino Linotype" w:cs="Palatino Linotype"/>
        </w:rPr>
      </w:pPr>
      <w:r w:rsidRPr="00BE6DAA">
        <w:rPr>
          <w:rFonts w:ascii="Palatino Linotype" w:eastAsia="Palatino Linotype" w:hAnsi="Palatino Linotype" w:cs="Palatino Linotype"/>
        </w:rPr>
        <w:lastRenderedPageBreak/>
        <w:t xml:space="preserve">Con base en lo anterior, se colige que </w:t>
      </w:r>
      <w:r w:rsidRPr="00BE6DAA">
        <w:rPr>
          <w:rFonts w:ascii="Palatino Linotype" w:eastAsia="Palatino Linotype" w:hAnsi="Palatino Linotype" w:cs="Palatino Linotype"/>
          <w:b/>
        </w:rPr>
        <w:t xml:space="preserve">la información materia de la solicitud fue proporcionada por el área legalmente facultada para generarla, administrarla o poseerla, </w:t>
      </w:r>
      <w:r w:rsidRPr="00BE6DAA">
        <w:rPr>
          <w:rFonts w:ascii="Palatino Linotype" w:eastAsia="Palatino Linotype" w:hAnsi="Palatino Linotype" w:cs="Palatino Linotype"/>
        </w:rPr>
        <w:t>cuyo servidor público habilitado, se pronunció sobre cada uno de los requerimientos formulados por la persona solicitante, como ya ha quedado acreditado.</w:t>
      </w:r>
    </w:p>
    <w:p w:rsidR="000762F8" w:rsidRPr="00BE6DAA" w:rsidRDefault="00BE6DAA">
      <w:pPr>
        <w:spacing w:before="240" w:after="240" w:line="360" w:lineRule="auto"/>
        <w:jc w:val="both"/>
        <w:rPr>
          <w:rFonts w:ascii="Palatino Linotype" w:eastAsia="Palatino Linotype" w:hAnsi="Palatino Linotype" w:cs="Palatino Linotype"/>
        </w:rPr>
      </w:pPr>
      <w:r w:rsidRPr="00BE6DAA">
        <w:rPr>
          <w:rFonts w:ascii="Palatino Linotype" w:eastAsia="Palatino Linotype" w:hAnsi="Palatino Linotype" w:cs="Palatino Linotype"/>
        </w:rPr>
        <w:t xml:space="preserve">Derivado de lo expuesto, se estima que los requerimientos de información han quedado atendidos, al haber existido un pronunciamiento por parte del </w:t>
      </w:r>
      <w:r w:rsidRPr="00BE6DAA">
        <w:rPr>
          <w:rFonts w:ascii="Palatino Linotype" w:eastAsia="Palatino Linotype" w:hAnsi="Palatino Linotype" w:cs="Palatino Linotype"/>
          <w:b/>
        </w:rPr>
        <w:t>Sujeto Obligado</w:t>
      </w:r>
      <w:r w:rsidRPr="00BE6DAA">
        <w:rPr>
          <w:rFonts w:ascii="Palatino Linotype" w:eastAsia="Palatino Linotype" w:hAnsi="Palatino Linotype" w:cs="Palatino Linotype"/>
        </w:rPr>
        <w:t>, a través del área competente, a fin de dar respuesta a los mismos, toda vez que no se advirtió que la persona solicitante pretendiera el acceso a un soporte documental, sino más bien un pronunciamiento</w:t>
      </w:r>
      <w:r w:rsidRPr="00BE6DAA">
        <w:rPr>
          <w:rFonts w:ascii="Palatino Linotype" w:eastAsia="Palatino Linotype" w:hAnsi="Palatino Linotype" w:cs="Palatino Linotype"/>
          <w:b/>
        </w:rPr>
        <w:t xml:space="preserve">, </w:t>
      </w:r>
      <w:r w:rsidRPr="00BE6DAA">
        <w:rPr>
          <w:rFonts w:ascii="Palatino Linotype" w:eastAsia="Palatino Linotype" w:hAnsi="Palatino Linotype" w:cs="Palatino Linotype"/>
        </w:rPr>
        <w:t>aunado al hecho de que este Organismo Garante no está facultado para manifestarse sobre la veracidad de lo expresado por parte de este, pues no existe precepto legal alguno en la Ley de la materia que lo faculte para ello.</w:t>
      </w:r>
    </w:p>
    <w:p w:rsidR="000762F8" w:rsidRPr="00BE6DAA" w:rsidRDefault="00BE6DAA">
      <w:pPr>
        <w:spacing w:before="240" w:after="240" w:line="360" w:lineRule="auto"/>
        <w:jc w:val="both"/>
        <w:rPr>
          <w:rFonts w:ascii="Palatino Linotype" w:eastAsia="Palatino Linotype" w:hAnsi="Palatino Linotype" w:cs="Palatino Linotype"/>
        </w:rPr>
      </w:pPr>
      <w:r w:rsidRPr="00BE6DAA">
        <w:rPr>
          <w:rFonts w:ascii="Palatino Linotype" w:eastAsia="Palatino Linotype" w:hAnsi="Palatino Linotype" w:cs="Palatino Linotype"/>
        </w:rPr>
        <w:t xml:space="preserve">Lo anterior se sustenta con lo plasmado en el criterio 31/10 emitido por el entonces Instituto Federal de Acceso a la Información y Protección de Datos (IFAI) ahora Instituto Nacional de Transparencia, Acceso a la Información, y Protección de Datos Personales (INAI), que lleva por rubro y texto los siguientes: </w:t>
      </w:r>
    </w:p>
    <w:p w:rsidR="000762F8" w:rsidRPr="00BE6DAA" w:rsidRDefault="00BE6DAA">
      <w:pPr>
        <w:spacing w:before="240" w:after="240"/>
        <w:ind w:left="851" w:right="900"/>
        <w:jc w:val="both"/>
        <w:rPr>
          <w:rFonts w:ascii="Palatino Linotype" w:eastAsia="Palatino Linotype" w:hAnsi="Palatino Linotype" w:cs="Palatino Linotype"/>
          <w:i/>
          <w:sz w:val="22"/>
          <w:szCs w:val="22"/>
        </w:rPr>
      </w:pPr>
      <w:r w:rsidRPr="00BE6DAA">
        <w:rPr>
          <w:rFonts w:ascii="Palatino Linotype" w:eastAsia="Palatino Linotype" w:hAnsi="Palatino Linotype" w:cs="Palatino Linotype"/>
          <w:i/>
          <w:sz w:val="22"/>
          <w:szCs w:val="22"/>
        </w:rPr>
        <w:t>“</w:t>
      </w:r>
      <w:r w:rsidRPr="00BE6DAA">
        <w:rPr>
          <w:rFonts w:ascii="Palatino Linotype" w:eastAsia="Palatino Linotype" w:hAnsi="Palatino Linotype" w:cs="Palatino Linotype"/>
          <w:b/>
          <w:i/>
          <w:sz w:val="22"/>
          <w:szCs w:val="22"/>
        </w:rPr>
        <w:t>El Instituto Federal de Acceso a la Información y Protección de Datos no cuenta con facultades para pronunciarse respecto de la veracidad de los documentos proporcionados por los sujetos obligados.</w:t>
      </w:r>
      <w:r w:rsidRPr="00BE6DAA">
        <w:rPr>
          <w:rFonts w:ascii="Palatino Linotype" w:eastAsia="Palatino Linotype" w:hAnsi="Palatino Linotype" w:cs="Palatino Linotype"/>
          <w:i/>
          <w:sz w:val="22"/>
          <w:szCs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w:t>
      </w:r>
      <w:r w:rsidRPr="00BE6DAA">
        <w:rPr>
          <w:rFonts w:ascii="Palatino Linotype" w:eastAsia="Palatino Linotype" w:hAnsi="Palatino Linotype" w:cs="Palatino Linotype"/>
          <w:i/>
          <w:sz w:val="22"/>
          <w:szCs w:val="22"/>
        </w:rPr>
        <w:lastRenderedPageBreak/>
        <w:t>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rsidR="000762F8" w:rsidRPr="00BE6DAA" w:rsidRDefault="00BE6DAA">
      <w:pPr>
        <w:spacing w:before="240" w:after="240" w:line="360" w:lineRule="auto"/>
        <w:jc w:val="both"/>
        <w:rPr>
          <w:rFonts w:ascii="Palatino Linotype" w:eastAsia="Palatino Linotype" w:hAnsi="Palatino Linotype" w:cs="Palatino Linotype"/>
        </w:rPr>
      </w:pPr>
      <w:r w:rsidRPr="00BE6DAA">
        <w:rPr>
          <w:rFonts w:ascii="Palatino Linotype" w:eastAsia="Palatino Linotype" w:hAnsi="Palatino Linotype" w:cs="Palatino Linotype"/>
        </w:rPr>
        <w:t xml:space="preserve">Aunado a lo anterior, cabe señalar que el derecho de acceso a la información pública se satisface en aquellos casos en que se entregue el soporte documental en que conste la información pública, sin la necesidad de elaborar documentos </w:t>
      </w:r>
      <w:r w:rsidRPr="00BE6DAA">
        <w:rPr>
          <w:rFonts w:ascii="Palatino Linotype" w:eastAsia="Palatino Linotype" w:hAnsi="Palatino Linotype" w:cs="Palatino Linotype"/>
          <w:i/>
        </w:rPr>
        <w:t>ad hoc</w:t>
      </w:r>
      <w:r w:rsidRPr="00BE6DAA">
        <w:rPr>
          <w:rFonts w:ascii="Palatino Linotype" w:eastAsia="Palatino Linotype" w:hAnsi="Palatino Linotype" w:cs="Palatino Linotype"/>
        </w:rPr>
        <w:t xml:space="preserve">; lo cual, toma sustento en el artículo 160 de la Ley de Transparencia y Acceso a la Información Pública del Estado de México y Municipios, el cual refiere que los Sujetos Obligados deberán entregar la información que obre en sus archivos; sin embargo, se aprecia que el </w:t>
      </w:r>
      <w:r w:rsidRPr="00BE6DAA">
        <w:rPr>
          <w:rFonts w:ascii="Palatino Linotype" w:eastAsia="Palatino Linotype" w:hAnsi="Palatino Linotype" w:cs="Palatino Linotype"/>
          <w:b/>
        </w:rPr>
        <w:t>Sujeto Obligado</w:t>
      </w:r>
      <w:r w:rsidRPr="00BE6DAA">
        <w:rPr>
          <w:rFonts w:ascii="Palatino Linotype" w:eastAsia="Palatino Linotype" w:hAnsi="Palatino Linotype" w:cs="Palatino Linotype"/>
        </w:rPr>
        <w:t xml:space="preserve">, elaboró un documento ad hoc para dar cabal cumplimiento al derecho de acceso a la información del particular aún y </w:t>
      </w:r>
      <w:r w:rsidRPr="00BE6DAA">
        <w:rPr>
          <w:rFonts w:ascii="Palatino Linotype" w:eastAsia="Palatino Linotype" w:hAnsi="Palatino Linotype" w:cs="Palatino Linotype"/>
          <w:b/>
        </w:rPr>
        <w:t>cuando no es una obligación de las autoridades</w:t>
      </w:r>
      <w:r w:rsidRPr="00BE6DAA">
        <w:rPr>
          <w:rFonts w:ascii="Palatino Linotype" w:eastAsia="Palatino Linotype" w:hAnsi="Palatino Linotype" w:cs="Palatino Linotype"/>
        </w:rPr>
        <w:t xml:space="preserve"> tal y como lo señala el Criterio de Interpretación 03/17, emitido por el Pleno del Instituto Nacional de Transparencia, Acceso a la Información y Protección de Datos Personales,  INAI, que dice:</w:t>
      </w:r>
      <w:r w:rsidRPr="00BE6DAA">
        <w:rPr>
          <w:rFonts w:ascii="Palatino Linotype" w:eastAsia="Palatino Linotype" w:hAnsi="Palatino Linotype" w:cs="Palatino Linotype"/>
          <w:b/>
        </w:rPr>
        <w:t> </w:t>
      </w:r>
    </w:p>
    <w:p w:rsidR="000762F8" w:rsidRPr="00BE6DAA" w:rsidRDefault="00BE6DAA">
      <w:pPr>
        <w:pBdr>
          <w:top w:val="nil"/>
          <w:left w:val="nil"/>
          <w:bottom w:val="nil"/>
          <w:right w:val="nil"/>
          <w:between w:val="nil"/>
        </w:pBdr>
        <w:spacing w:before="120" w:after="120"/>
        <w:ind w:left="851" w:right="851"/>
        <w:jc w:val="both"/>
      </w:pPr>
      <w:r w:rsidRPr="00BE6DAA">
        <w:rPr>
          <w:rFonts w:ascii="Palatino Linotype" w:eastAsia="Palatino Linotype" w:hAnsi="Palatino Linotype" w:cs="Palatino Linotype"/>
          <w:i/>
        </w:rPr>
        <w:t>“</w:t>
      </w:r>
      <w:r w:rsidRPr="00BE6DAA">
        <w:rPr>
          <w:rFonts w:ascii="Palatino Linotype" w:eastAsia="Palatino Linotype" w:hAnsi="Palatino Linotype" w:cs="Palatino Linotype"/>
          <w:b/>
          <w:i/>
          <w:sz w:val="22"/>
          <w:szCs w:val="22"/>
        </w:rPr>
        <w:t xml:space="preserve">No existe obligación de elaborar documentos ad hoc para atender las solicitudes de acceso a la información. </w:t>
      </w:r>
      <w:r w:rsidRPr="00BE6DAA">
        <w:rPr>
          <w:rFonts w:ascii="Palatino Linotype" w:eastAsia="Palatino Linotype" w:hAnsi="Palatino Linotype" w:cs="Palatino Linotype"/>
          <w:i/>
          <w:sz w:val="22"/>
          <w:szCs w:val="22"/>
        </w:rPr>
        <w:t>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rsidR="000762F8" w:rsidRPr="00BE6DAA" w:rsidRDefault="00BE6DAA">
      <w:pPr>
        <w:pBdr>
          <w:top w:val="nil"/>
          <w:left w:val="nil"/>
          <w:bottom w:val="nil"/>
          <w:right w:val="nil"/>
          <w:between w:val="nil"/>
        </w:pBdr>
        <w:spacing w:before="240" w:after="240" w:line="360" w:lineRule="auto"/>
        <w:ind w:right="-93"/>
        <w:jc w:val="both"/>
        <w:rPr>
          <w:rFonts w:ascii="Palatino Linotype" w:eastAsia="Palatino Linotype" w:hAnsi="Palatino Linotype" w:cs="Palatino Linotype"/>
        </w:rPr>
      </w:pPr>
      <w:r w:rsidRPr="00BE6DAA">
        <w:rPr>
          <w:rFonts w:ascii="Palatino Linotype" w:eastAsia="Palatino Linotype" w:hAnsi="Palatino Linotype" w:cs="Palatino Linotype"/>
        </w:rPr>
        <w:t xml:space="preserve">Entonces, dado a que el criterio en mención establece que las autoridades </w:t>
      </w:r>
      <w:r w:rsidRPr="00BE6DAA">
        <w:rPr>
          <w:rFonts w:ascii="Palatino Linotype" w:eastAsia="Palatino Linotype" w:hAnsi="Palatino Linotype" w:cs="Palatino Linotype"/>
          <w:b/>
        </w:rPr>
        <w:t xml:space="preserve">no están obligadas a generar documentos “ad hoc” </w:t>
      </w:r>
      <w:r w:rsidRPr="00BE6DAA">
        <w:rPr>
          <w:rFonts w:ascii="Palatino Linotype" w:eastAsia="Palatino Linotype" w:hAnsi="Palatino Linotype" w:cs="Palatino Linotype"/>
        </w:rPr>
        <w:t xml:space="preserve">en contrario sensu, dicho criterio se puede </w:t>
      </w:r>
      <w:r w:rsidRPr="00BE6DAA">
        <w:rPr>
          <w:rFonts w:ascii="Palatino Linotype" w:eastAsia="Palatino Linotype" w:hAnsi="Palatino Linotype" w:cs="Palatino Linotype"/>
        </w:rPr>
        <w:lastRenderedPageBreak/>
        <w:t>interpretar resultando que las autoridades no están impedidas a generar documentos “ad hoc”, esto, siempre que con dicho documento elaborado se dé cabal cumplimiento a los requerimientos planteados.</w:t>
      </w:r>
    </w:p>
    <w:p w:rsidR="000762F8" w:rsidRPr="00BE6DAA" w:rsidRDefault="00BE6DAA">
      <w:pPr>
        <w:pBdr>
          <w:top w:val="nil"/>
          <w:left w:val="nil"/>
          <w:bottom w:val="nil"/>
          <w:right w:val="nil"/>
          <w:between w:val="nil"/>
        </w:pBdr>
        <w:spacing w:before="240" w:after="240" w:line="360" w:lineRule="auto"/>
        <w:ind w:right="-93"/>
        <w:jc w:val="both"/>
        <w:rPr>
          <w:rFonts w:ascii="Palatino Linotype" w:eastAsia="Palatino Linotype" w:hAnsi="Palatino Linotype" w:cs="Palatino Linotype"/>
        </w:rPr>
      </w:pPr>
      <w:r w:rsidRPr="00BE6DAA">
        <w:rPr>
          <w:rFonts w:ascii="Palatino Linotype" w:eastAsia="Palatino Linotype" w:hAnsi="Palatino Linotype" w:cs="Palatino Linotype"/>
        </w:rPr>
        <w:t xml:space="preserve">En esta tesitura, la información remitida por el </w:t>
      </w:r>
      <w:r w:rsidRPr="00BE6DAA">
        <w:rPr>
          <w:rFonts w:ascii="Palatino Linotype" w:eastAsia="Palatino Linotype" w:hAnsi="Palatino Linotype" w:cs="Palatino Linotype"/>
          <w:b/>
        </w:rPr>
        <w:t xml:space="preserve">Sujeto Obligado </w:t>
      </w:r>
      <w:r w:rsidRPr="00BE6DAA">
        <w:rPr>
          <w:rFonts w:ascii="Palatino Linotype" w:eastAsia="Palatino Linotype" w:hAnsi="Palatino Linotype" w:cs="Palatino Linotype"/>
        </w:rPr>
        <w:t>en la etapa de manifestaciones</w:t>
      </w:r>
      <w:r w:rsidRPr="00BE6DAA">
        <w:rPr>
          <w:rFonts w:ascii="Palatino Linotype" w:eastAsia="Palatino Linotype" w:hAnsi="Palatino Linotype" w:cs="Palatino Linotype"/>
          <w:b/>
        </w:rPr>
        <w:t xml:space="preserve">, </w:t>
      </w:r>
      <w:r w:rsidRPr="00BE6DAA">
        <w:rPr>
          <w:rFonts w:ascii="Palatino Linotype" w:eastAsia="Palatino Linotype" w:hAnsi="Palatino Linotype" w:cs="Palatino Linotype"/>
        </w:rPr>
        <w:t>a través del área competente es suficiente para tener por atendido el derecho de acceso a la información de la persona solicitante.</w:t>
      </w:r>
    </w:p>
    <w:p w:rsidR="000762F8" w:rsidRPr="00BE6DAA" w:rsidRDefault="00BE6DAA">
      <w:pPr>
        <w:spacing w:before="240" w:after="240" w:line="360" w:lineRule="auto"/>
        <w:jc w:val="both"/>
        <w:rPr>
          <w:rFonts w:ascii="Palatino Linotype" w:eastAsia="Palatino Linotype" w:hAnsi="Palatino Linotype" w:cs="Palatino Linotype"/>
        </w:rPr>
      </w:pPr>
      <w:r w:rsidRPr="00BE6DAA">
        <w:rPr>
          <w:rFonts w:ascii="Palatino Linotype" w:eastAsia="Palatino Linotype" w:hAnsi="Palatino Linotype" w:cs="Palatino Linotype"/>
        </w:rPr>
        <w:t>Con base en lo expuesto, se estima que el presente caso actualiza el supuesto previsto en el artículo 192, fracción III de la Ley de Transparencia y Acceso a la Información Pública del Estado de México y Municipios vigente, a saber:</w:t>
      </w:r>
    </w:p>
    <w:p w:rsidR="000762F8" w:rsidRPr="00BE6DAA" w:rsidRDefault="00BE6DAA">
      <w:pPr>
        <w:spacing w:before="240" w:after="240"/>
        <w:ind w:left="851" w:right="900"/>
        <w:jc w:val="both"/>
        <w:rPr>
          <w:rFonts w:ascii="Palatino Linotype" w:eastAsia="Palatino Linotype" w:hAnsi="Palatino Linotype" w:cs="Palatino Linotype"/>
          <w:i/>
          <w:sz w:val="22"/>
          <w:szCs w:val="22"/>
        </w:rPr>
      </w:pPr>
      <w:r w:rsidRPr="00BE6DAA">
        <w:rPr>
          <w:rFonts w:ascii="Palatino Linotype" w:eastAsia="Palatino Linotype" w:hAnsi="Palatino Linotype" w:cs="Palatino Linotype"/>
          <w:i/>
          <w:sz w:val="22"/>
          <w:szCs w:val="22"/>
        </w:rPr>
        <w:t>“</w:t>
      </w:r>
      <w:r w:rsidRPr="00BE6DAA">
        <w:rPr>
          <w:rFonts w:ascii="Palatino Linotype" w:eastAsia="Palatino Linotype" w:hAnsi="Palatino Linotype" w:cs="Palatino Linotype"/>
          <w:b/>
          <w:i/>
          <w:sz w:val="22"/>
          <w:szCs w:val="22"/>
        </w:rPr>
        <w:t>Artículo 192</w:t>
      </w:r>
      <w:r w:rsidRPr="00BE6DAA">
        <w:rPr>
          <w:rFonts w:ascii="Palatino Linotype" w:eastAsia="Palatino Linotype" w:hAnsi="Palatino Linotype" w:cs="Palatino Linotype"/>
          <w:i/>
          <w:sz w:val="22"/>
          <w:szCs w:val="22"/>
        </w:rPr>
        <w:t xml:space="preserve">. </w:t>
      </w:r>
      <w:r w:rsidRPr="00BE6DAA">
        <w:rPr>
          <w:rFonts w:ascii="Palatino Linotype" w:eastAsia="Palatino Linotype" w:hAnsi="Palatino Linotype" w:cs="Palatino Linotype"/>
          <w:b/>
          <w:i/>
          <w:sz w:val="22"/>
          <w:szCs w:val="22"/>
        </w:rPr>
        <w:t>El recurso será sobreseído</w:t>
      </w:r>
      <w:r w:rsidRPr="00BE6DAA">
        <w:rPr>
          <w:rFonts w:ascii="Palatino Linotype" w:eastAsia="Palatino Linotype" w:hAnsi="Palatino Linotype" w:cs="Palatino Linotype"/>
          <w:i/>
          <w:sz w:val="22"/>
          <w:szCs w:val="22"/>
        </w:rPr>
        <w:t xml:space="preserve">, </w:t>
      </w:r>
      <w:r w:rsidRPr="00BE6DAA">
        <w:rPr>
          <w:rFonts w:ascii="Palatino Linotype" w:eastAsia="Palatino Linotype" w:hAnsi="Palatino Linotype" w:cs="Palatino Linotype"/>
          <w:b/>
          <w:i/>
          <w:sz w:val="22"/>
          <w:szCs w:val="22"/>
        </w:rPr>
        <w:t>en todo o en parte,</w:t>
      </w:r>
      <w:r w:rsidRPr="00BE6DAA">
        <w:rPr>
          <w:rFonts w:ascii="Palatino Linotype" w:eastAsia="Palatino Linotype" w:hAnsi="Palatino Linotype" w:cs="Palatino Linotype"/>
          <w:i/>
          <w:sz w:val="22"/>
          <w:szCs w:val="22"/>
        </w:rPr>
        <w:t xml:space="preserve"> </w:t>
      </w:r>
      <w:r w:rsidRPr="00BE6DAA">
        <w:rPr>
          <w:rFonts w:ascii="Palatino Linotype" w:eastAsia="Palatino Linotype" w:hAnsi="Palatino Linotype" w:cs="Palatino Linotype"/>
          <w:b/>
          <w:i/>
          <w:sz w:val="22"/>
          <w:szCs w:val="22"/>
        </w:rPr>
        <w:t>cuando una vez admitido, se actualicen alguno de los siguientes supuestos</w:t>
      </w:r>
      <w:r w:rsidRPr="00BE6DAA">
        <w:rPr>
          <w:rFonts w:ascii="Palatino Linotype" w:eastAsia="Palatino Linotype" w:hAnsi="Palatino Linotype" w:cs="Palatino Linotype"/>
          <w:i/>
          <w:sz w:val="22"/>
          <w:szCs w:val="22"/>
        </w:rPr>
        <w:t xml:space="preserve">: </w:t>
      </w:r>
    </w:p>
    <w:p w:rsidR="000762F8" w:rsidRPr="00BE6DAA" w:rsidRDefault="00BE6DAA">
      <w:pPr>
        <w:spacing w:before="240" w:after="240"/>
        <w:ind w:left="1134" w:right="900"/>
        <w:jc w:val="both"/>
        <w:rPr>
          <w:rFonts w:ascii="Palatino Linotype" w:eastAsia="Palatino Linotype" w:hAnsi="Palatino Linotype" w:cs="Palatino Linotype"/>
          <w:i/>
          <w:sz w:val="22"/>
          <w:szCs w:val="22"/>
        </w:rPr>
      </w:pPr>
      <w:r w:rsidRPr="00BE6DAA">
        <w:rPr>
          <w:rFonts w:ascii="Palatino Linotype" w:eastAsia="Palatino Linotype" w:hAnsi="Palatino Linotype" w:cs="Palatino Linotype"/>
          <w:i/>
          <w:sz w:val="22"/>
          <w:szCs w:val="22"/>
        </w:rPr>
        <w:t>(…)</w:t>
      </w:r>
    </w:p>
    <w:p w:rsidR="000762F8" w:rsidRPr="00BE6DAA" w:rsidRDefault="00BE6DAA">
      <w:pPr>
        <w:spacing w:before="240" w:after="240"/>
        <w:ind w:left="1134" w:right="900"/>
        <w:jc w:val="both"/>
        <w:rPr>
          <w:rFonts w:ascii="Palatino Linotype" w:eastAsia="Palatino Linotype" w:hAnsi="Palatino Linotype" w:cs="Palatino Linotype"/>
          <w:i/>
          <w:sz w:val="22"/>
          <w:szCs w:val="22"/>
        </w:rPr>
      </w:pPr>
      <w:r w:rsidRPr="00BE6DAA">
        <w:rPr>
          <w:rFonts w:ascii="Palatino Linotype" w:eastAsia="Palatino Linotype" w:hAnsi="Palatino Linotype" w:cs="Palatino Linotype"/>
          <w:b/>
          <w:i/>
          <w:sz w:val="22"/>
          <w:szCs w:val="22"/>
        </w:rPr>
        <w:t>III. El sujeto obligado responsable del acto, lo modifique o revoque de tal manera que el recurso de revisión quede sin materia...</w:t>
      </w:r>
      <w:r w:rsidRPr="00BE6DAA">
        <w:rPr>
          <w:rFonts w:ascii="Palatino Linotype" w:eastAsia="Palatino Linotype" w:hAnsi="Palatino Linotype" w:cs="Palatino Linotype"/>
          <w:i/>
          <w:sz w:val="22"/>
          <w:szCs w:val="22"/>
        </w:rPr>
        <w:t>”</w:t>
      </w:r>
    </w:p>
    <w:p w:rsidR="000762F8" w:rsidRPr="00BE6DAA" w:rsidRDefault="00BE6DAA">
      <w:pPr>
        <w:spacing w:before="240" w:after="240" w:line="360" w:lineRule="auto"/>
        <w:jc w:val="both"/>
        <w:rPr>
          <w:rFonts w:ascii="Palatino Linotype" w:eastAsia="Palatino Linotype" w:hAnsi="Palatino Linotype" w:cs="Palatino Linotype"/>
        </w:rPr>
      </w:pPr>
      <w:r w:rsidRPr="00BE6DAA">
        <w:rPr>
          <w:rFonts w:ascii="Palatino Linotype" w:eastAsia="Palatino Linotype" w:hAnsi="Palatino Linotype" w:cs="Palatino Linotype"/>
        </w:rPr>
        <w:t>De lo establecido en el precepto legal citado se advierte que el sobreseimiento del recurso de revisión procede en los siguientes casos</w:t>
      </w:r>
    </w:p>
    <w:p w:rsidR="000762F8" w:rsidRPr="00BE6DAA" w:rsidRDefault="00BE6DAA">
      <w:pPr>
        <w:spacing w:before="240" w:after="240" w:line="360" w:lineRule="auto"/>
        <w:ind w:left="284"/>
        <w:jc w:val="both"/>
        <w:rPr>
          <w:rFonts w:ascii="Palatino Linotype" w:eastAsia="Palatino Linotype" w:hAnsi="Palatino Linotype" w:cs="Palatino Linotype"/>
        </w:rPr>
      </w:pPr>
      <w:r w:rsidRPr="00BE6DAA">
        <w:rPr>
          <w:rFonts w:ascii="Palatino Linotype" w:eastAsia="Palatino Linotype" w:hAnsi="Palatino Linotype" w:cs="Palatino Linotype"/>
        </w:rPr>
        <w:t xml:space="preserve">a) Cuando el sujeto obligado modifique el acto impugnado. </w:t>
      </w:r>
    </w:p>
    <w:p w:rsidR="000762F8" w:rsidRPr="00BE6DAA" w:rsidRDefault="00BE6DAA">
      <w:pPr>
        <w:spacing w:before="240" w:after="240" w:line="360" w:lineRule="auto"/>
        <w:ind w:left="284"/>
        <w:jc w:val="both"/>
        <w:rPr>
          <w:rFonts w:ascii="Palatino Linotype" w:eastAsia="Palatino Linotype" w:hAnsi="Palatino Linotype" w:cs="Palatino Linotype"/>
        </w:rPr>
      </w:pPr>
      <w:r w:rsidRPr="00BE6DAA">
        <w:rPr>
          <w:rFonts w:ascii="Palatino Linotype" w:eastAsia="Palatino Linotype" w:hAnsi="Palatino Linotype" w:cs="Palatino Linotype"/>
        </w:rPr>
        <w:t xml:space="preserve">b) Cuando el sujeto obligado revoque el acto impugnado; </w:t>
      </w:r>
    </w:p>
    <w:p w:rsidR="000762F8" w:rsidRPr="00BE6DAA" w:rsidRDefault="00BE6DAA">
      <w:pPr>
        <w:spacing w:before="240" w:after="240" w:line="360" w:lineRule="auto"/>
        <w:jc w:val="both"/>
        <w:rPr>
          <w:rFonts w:ascii="Palatino Linotype" w:eastAsia="Palatino Linotype" w:hAnsi="Palatino Linotype" w:cs="Palatino Linotype"/>
        </w:rPr>
      </w:pPr>
      <w:r w:rsidRPr="00BE6DAA">
        <w:rPr>
          <w:rFonts w:ascii="Palatino Linotype" w:eastAsia="Palatino Linotype" w:hAnsi="Palatino Linotype" w:cs="Palatino Linotype"/>
        </w:rPr>
        <w:t>Quedando en ambos casos el acto combatido sin materia o sin efectos.</w:t>
      </w:r>
    </w:p>
    <w:p w:rsidR="000762F8" w:rsidRPr="00BE6DAA" w:rsidRDefault="00BE6DAA">
      <w:pPr>
        <w:spacing w:before="240" w:after="240" w:line="360" w:lineRule="auto"/>
        <w:jc w:val="both"/>
        <w:rPr>
          <w:rFonts w:ascii="Palatino Linotype" w:eastAsia="Palatino Linotype" w:hAnsi="Palatino Linotype" w:cs="Palatino Linotype"/>
          <w:b/>
        </w:rPr>
      </w:pPr>
      <w:r w:rsidRPr="00BE6DAA">
        <w:rPr>
          <w:rFonts w:ascii="Palatino Linotype" w:eastAsia="Palatino Linotype" w:hAnsi="Palatino Linotype" w:cs="Palatino Linotype"/>
        </w:rPr>
        <w:t xml:space="preserve">Como se observa de lo anterior, un acto impugnado es modificado en aquellos casos en los que el Sujeto Obligado después de haber otorgado una respuesta, o haber </w:t>
      </w:r>
      <w:r w:rsidRPr="00BE6DAA">
        <w:rPr>
          <w:rFonts w:ascii="Palatino Linotype" w:eastAsia="Palatino Linotype" w:hAnsi="Palatino Linotype" w:cs="Palatino Linotype"/>
        </w:rPr>
        <w:lastRenderedPageBreak/>
        <w:t xml:space="preserve">omitido hacerlo (acto de no hacer), emite una o una diversa de manera posterior y en ésta subsana las deficiencias que hubiera tenido, quedando satisfecho el derecho subjetivo accionado por la parte </w:t>
      </w:r>
      <w:r w:rsidRPr="00BE6DAA">
        <w:rPr>
          <w:rFonts w:ascii="Palatino Linotype" w:eastAsia="Palatino Linotype" w:hAnsi="Palatino Linotype" w:cs="Palatino Linotype"/>
          <w:b/>
        </w:rPr>
        <w:t>Recurrente.</w:t>
      </w:r>
    </w:p>
    <w:p w:rsidR="000762F8" w:rsidRPr="00BE6DAA" w:rsidRDefault="00BE6DAA">
      <w:pPr>
        <w:spacing w:before="240" w:after="240" w:line="360" w:lineRule="auto"/>
        <w:jc w:val="both"/>
        <w:rPr>
          <w:rFonts w:ascii="Palatino Linotype" w:eastAsia="Palatino Linotype" w:hAnsi="Palatino Linotype" w:cs="Palatino Linotype"/>
        </w:rPr>
      </w:pPr>
      <w:r w:rsidRPr="00BE6DAA">
        <w:rPr>
          <w:rFonts w:ascii="Palatino Linotype" w:eastAsia="Palatino Linotype" w:hAnsi="Palatino Linotype" w:cs="Palatino Linotype"/>
        </w:rPr>
        <w:t>Por lo que hace a la revocación, esta se actualiza cuando el Sujeto Obligado deja sin efectos la primera respuesta o su primer acto y en su lugar emite otro con las características y cualidades suficientes para dejar satisfecho el ejercicio del derecho al acceso a la información pública.</w:t>
      </w:r>
    </w:p>
    <w:p w:rsidR="000762F8" w:rsidRPr="00BE6DAA" w:rsidRDefault="00BE6DAA">
      <w:pPr>
        <w:spacing w:before="240" w:after="240" w:line="360" w:lineRule="auto"/>
        <w:jc w:val="both"/>
        <w:rPr>
          <w:rFonts w:ascii="Palatino Linotype" w:eastAsia="Palatino Linotype" w:hAnsi="Palatino Linotype" w:cs="Palatino Linotype"/>
        </w:rPr>
      </w:pPr>
      <w:r w:rsidRPr="00BE6DAA">
        <w:rPr>
          <w:rFonts w:ascii="Palatino Linotype" w:eastAsia="Palatino Linotype" w:hAnsi="Palatino Linotype" w:cs="Palatino Linotype"/>
        </w:rPr>
        <w:t>En este orden de ideas, un acto impugnado queda sin efectos, cuando aun existiendo jurídicamente (esto es, que no se ha modificado, ni revocado) ya no genera ninguna consecuencia legal.</w:t>
      </w:r>
    </w:p>
    <w:p w:rsidR="000762F8" w:rsidRPr="00BE6DAA" w:rsidRDefault="00BE6DAA">
      <w:pPr>
        <w:spacing w:before="240" w:after="240" w:line="360" w:lineRule="auto"/>
        <w:jc w:val="both"/>
        <w:rPr>
          <w:rFonts w:ascii="Palatino Linotype" w:eastAsia="Palatino Linotype" w:hAnsi="Palatino Linotype" w:cs="Palatino Linotype"/>
        </w:rPr>
      </w:pPr>
      <w:r w:rsidRPr="00BE6DAA">
        <w:rPr>
          <w:rFonts w:ascii="Palatino Linotype" w:eastAsia="Palatino Linotype" w:hAnsi="Palatino Linotype" w:cs="Palatino Linotype"/>
        </w:rPr>
        <w:t>En tanto que, un acto impugnado queda sin materia, cuando ha sido satisfecha la pretensión del recurrente de manera que el Sujeto Obligado entrega una respuesta aunque sea posterior a los términos previstos en la ley y mediante ésta concede la información solicitada.</w:t>
      </w:r>
    </w:p>
    <w:p w:rsidR="000762F8" w:rsidRPr="00BE6DAA" w:rsidRDefault="00BE6DAA">
      <w:pPr>
        <w:spacing w:before="240" w:after="240" w:line="360" w:lineRule="auto"/>
        <w:jc w:val="both"/>
        <w:rPr>
          <w:rFonts w:ascii="Palatino Linotype" w:eastAsia="Palatino Linotype" w:hAnsi="Palatino Linotype" w:cs="Palatino Linotype"/>
        </w:rPr>
      </w:pPr>
      <w:r w:rsidRPr="00BE6DAA">
        <w:rPr>
          <w:rFonts w:ascii="Palatino Linotype" w:eastAsia="Palatino Linotype" w:hAnsi="Palatino Linotype" w:cs="Palatino Linotype"/>
        </w:rPr>
        <w:t xml:space="preserve">De lo hasta aquí expuesto, resulta evidente que el </w:t>
      </w:r>
      <w:r w:rsidRPr="00BE6DAA">
        <w:rPr>
          <w:rFonts w:ascii="Palatino Linotype" w:eastAsia="Palatino Linotype" w:hAnsi="Palatino Linotype" w:cs="Palatino Linotype"/>
          <w:b/>
        </w:rPr>
        <w:t>Sujeto Obligado</w:t>
      </w:r>
      <w:r w:rsidRPr="00BE6DAA">
        <w:rPr>
          <w:rFonts w:ascii="Palatino Linotype" w:eastAsia="Palatino Linotype" w:hAnsi="Palatino Linotype" w:cs="Palatino Linotype"/>
        </w:rPr>
        <w:t xml:space="preserve"> modificó la respuesta a la solicitud de acceso a la información pública de la persona solicitante, aunque ello haya sido de manera posterior a su respuesta inicial, información que se hizo del conocimiento de la parte </w:t>
      </w:r>
      <w:r w:rsidRPr="00BE6DAA">
        <w:rPr>
          <w:rFonts w:ascii="Palatino Linotype" w:eastAsia="Palatino Linotype" w:hAnsi="Palatino Linotype" w:cs="Palatino Linotype"/>
          <w:b/>
        </w:rPr>
        <w:t>Recurrente</w:t>
      </w:r>
      <w:r w:rsidRPr="00BE6DAA">
        <w:rPr>
          <w:rFonts w:ascii="Palatino Linotype" w:eastAsia="Palatino Linotype" w:hAnsi="Palatino Linotype" w:cs="Palatino Linotype"/>
        </w:rPr>
        <w:t>, con la finalidad de que manifestara lo que a su derecho estimara conveniente, sin que obre constancia en el expediente electrónico de que hubiera ejercido dicha prerrogativa, presumiendo en consecuencia, que dicha información satisface su pretensión.</w:t>
      </w:r>
    </w:p>
    <w:p w:rsidR="000762F8" w:rsidRPr="00BE6DAA" w:rsidRDefault="00BE6DAA">
      <w:pPr>
        <w:spacing w:before="240" w:after="240" w:line="360" w:lineRule="auto"/>
        <w:jc w:val="both"/>
        <w:rPr>
          <w:rFonts w:ascii="Palatino Linotype" w:eastAsia="Palatino Linotype" w:hAnsi="Palatino Linotype" w:cs="Palatino Linotype"/>
        </w:rPr>
      </w:pPr>
      <w:r w:rsidRPr="00BE6DAA">
        <w:rPr>
          <w:rFonts w:ascii="Palatino Linotype" w:eastAsia="Palatino Linotype" w:hAnsi="Palatino Linotype" w:cs="Palatino Linotype"/>
        </w:rPr>
        <w:lastRenderedPageBreak/>
        <w:t xml:space="preserve">Por tal motivo, debe tenerse que con lo entregado por el </w:t>
      </w:r>
      <w:r w:rsidRPr="00BE6DAA">
        <w:rPr>
          <w:rFonts w:ascii="Palatino Linotype" w:eastAsia="Palatino Linotype" w:hAnsi="Palatino Linotype" w:cs="Palatino Linotype"/>
          <w:b/>
        </w:rPr>
        <w:t>Sujeto Obligado,</w:t>
      </w:r>
      <w:r w:rsidRPr="00BE6DAA">
        <w:rPr>
          <w:rFonts w:ascii="Palatino Linotype" w:eastAsia="Palatino Linotype" w:hAnsi="Palatino Linotype" w:cs="Palatino Linotype"/>
        </w:rPr>
        <w:t xml:space="preserve"> se satisface la solicitud planteada, con lo cual quedo sin materia el presente recurso de revisión, actualizándose entonces, la causal prevista en la fracción III del artículo 192 de la Ley de la Materia vigente en la Entidad, antes transcrita. </w:t>
      </w:r>
    </w:p>
    <w:p w:rsidR="000762F8" w:rsidRPr="00BE6DAA" w:rsidRDefault="00BE6DAA">
      <w:pPr>
        <w:spacing w:before="240" w:after="240" w:line="360" w:lineRule="auto"/>
        <w:jc w:val="both"/>
        <w:rPr>
          <w:rFonts w:ascii="Palatino Linotype" w:eastAsia="Palatino Linotype" w:hAnsi="Palatino Linotype" w:cs="Palatino Linotype"/>
          <w:b/>
        </w:rPr>
      </w:pPr>
      <w:r w:rsidRPr="00BE6DAA">
        <w:rPr>
          <w:rFonts w:ascii="Palatino Linotype" w:eastAsia="Palatino Linotype" w:hAnsi="Palatino Linotype" w:cs="Palatino Linotype"/>
        </w:rPr>
        <w:t xml:space="preserve">Siendo el </w:t>
      </w:r>
      <w:r w:rsidRPr="00BE6DAA">
        <w:rPr>
          <w:rFonts w:ascii="Palatino Linotype" w:eastAsia="Palatino Linotype" w:hAnsi="Palatino Linotype" w:cs="Palatino Linotype"/>
          <w:i/>
        </w:rPr>
        <w:t>sobreseimiento</w:t>
      </w:r>
      <w:r w:rsidRPr="00BE6DAA">
        <w:rPr>
          <w:rFonts w:ascii="Palatino Linotype" w:eastAsia="Palatino Linotype" w:hAnsi="Palatino Linotype" w:cs="Palatino Linotype"/>
        </w:rPr>
        <w:t xml:space="preserve"> un acto que da por terminado el procedimiento administrativo de impugnación por alguna causa sobreviniente en el juicio de que se trate, que impide a la autoridad referirse a lo sustancial de lo planteado por el recurrente teniendo como consecuencia dar por concluido el medio de impugnación, este Instituto se encuentra imposibilitado para entrar al estudio de fondo del recurso de revisión, lo anterior con apoyo en el criterio del Poder Judicial de la Federación con rubro: </w:t>
      </w:r>
      <w:r w:rsidRPr="00BE6DAA">
        <w:rPr>
          <w:rFonts w:ascii="Palatino Linotype" w:eastAsia="Palatino Linotype" w:hAnsi="Palatino Linotype" w:cs="Palatino Linotype"/>
          <w:b/>
        </w:rPr>
        <w:t>SOBRESEIMIENTO, NO PERMITE ENTRAR AL ESTUDIO DE LAS CUESTIONES DE FONDO</w:t>
      </w:r>
      <w:r w:rsidRPr="00BE6DAA">
        <w:rPr>
          <w:rFonts w:ascii="Palatino Linotype" w:eastAsia="Palatino Linotype" w:hAnsi="Palatino Linotype" w:cs="Palatino Linotype"/>
          <w:b/>
          <w:vertAlign w:val="superscript"/>
        </w:rPr>
        <w:footnoteReference w:id="4"/>
      </w:r>
      <w:r w:rsidRPr="00BE6DAA">
        <w:rPr>
          <w:rFonts w:ascii="Palatino Linotype" w:eastAsia="Palatino Linotype" w:hAnsi="Palatino Linotype" w:cs="Palatino Linotype"/>
          <w:b/>
        </w:rPr>
        <w:t>.</w:t>
      </w:r>
    </w:p>
    <w:p w:rsidR="000762F8" w:rsidRPr="00BE6DAA" w:rsidRDefault="00BE6DAA">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BE6DAA">
        <w:rPr>
          <w:rFonts w:ascii="Palatino Linotype" w:eastAsia="Palatino Linotype" w:hAnsi="Palatino Linotype" w:cs="Palatino Linotype"/>
        </w:rPr>
        <w:t>Así, con fundamento en lo prescrito en los artículos 5 trigésimo segundo, trigésimo tercero y trigésimo cuarto de la Constitución Política del Estado Libre y Soberano de México; 2, fracción II; 29, 36 fracciones I y II; 176, 178, 181, 185 y 186 fracción II de la Ley de Transparencia y Acceso a la Información Pública del Estado de México y Municipios, este Pleno:</w:t>
      </w:r>
    </w:p>
    <w:p w:rsidR="009C3925" w:rsidRPr="00BE6DAA" w:rsidRDefault="009C3925">
      <w:pPr>
        <w:pBdr>
          <w:top w:val="nil"/>
          <w:left w:val="nil"/>
          <w:bottom w:val="nil"/>
          <w:right w:val="nil"/>
          <w:between w:val="nil"/>
        </w:pBdr>
        <w:spacing w:before="240" w:after="240" w:line="360" w:lineRule="auto"/>
        <w:jc w:val="both"/>
        <w:rPr>
          <w:rFonts w:ascii="Palatino Linotype" w:eastAsia="Palatino Linotype" w:hAnsi="Palatino Linotype" w:cs="Palatino Linotype"/>
        </w:rPr>
      </w:pPr>
    </w:p>
    <w:p w:rsidR="009C3925" w:rsidRPr="00BE6DAA" w:rsidRDefault="009C3925">
      <w:pPr>
        <w:pBdr>
          <w:top w:val="nil"/>
          <w:left w:val="nil"/>
          <w:bottom w:val="nil"/>
          <w:right w:val="nil"/>
          <w:between w:val="nil"/>
        </w:pBdr>
        <w:spacing w:before="240" w:after="240" w:line="360" w:lineRule="auto"/>
        <w:jc w:val="both"/>
        <w:rPr>
          <w:rFonts w:ascii="Palatino Linotype" w:eastAsia="Palatino Linotype" w:hAnsi="Palatino Linotype" w:cs="Palatino Linotype"/>
          <w:b/>
        </w:rPr>
      </w:pPr>
    </w:p>
    <w:p w:rsidR="000762F8" w:rsidRPr="00BE6DAA" w:rsidRDefault="00BE6DAA">
      <w:pPr>
        <w:pBdr>
          <w:top w:val="nil"/>
          <w:left w:val="nil"/>
          <w:bottom w:val="nil"/>
          <w:right w:val="nil"/>
          <w:between w:val="nil"/>
        </w:pBdr>
        <w:spacing w:before="240" w:after="240" w:line="360" w:lineRule="auto"/>
        <w:jc w:val="center"/>
        <w:rPr>
          <w:rFonts w:ascii="Palatino Linotype" w:eastAsia="Palatino Linotype" w:hAnsi="Palatino Linotype" w:cs="Palatino Linotype"/>
          <w:b/>
        </w:rPr>
      </w:pPr>
      <w:r w:rsidRPr="00BE6DAA">
        <w:rPr>
          <w:rFonts w:ascii="Palatino Linotype" w:eastAsia="Palatino Linotype" w:hAnsi="Palatino Linotype" w:cs="Palatino Linotype"/>
          <w:b/>
        </w:rPr>
        <w:lastRenderedPageBreak/>
        <w:t>III. R E S U E L V E</w:t>
      </w:r>
    </w:p>
    <w:p w:rsidR="000762F8" w:rsidRPr="00BE6DAA" w:rsidRDefault="00BE6DAA">
      <w:pPr>
        <w:spacing w:before="240" w:after="240" w:line="360" w:lineRule="auto"/>
        <w:jc w:val="both"/>
        <w:rPr>
          <w:rFonts w:ascii="Palatino Linotype" w:eastAsia="Palatino Linotype" w:hAnsi="Palatino Linotype" w:cs="Palatino Linotype"/>
        </w:rPr>
      </w:pPr>
      <w:bookmarkStart w:id="7" w:name="_heading=h.1fob9te" w:colFirst="0" w:colLast="0"/>
      <w:bookmarkEnd w:id="7"/>
      <w:r w:rsidRPr="00BE6DAA">
        <w:rPr>
          <w:rFonts w:ascii="Palatino Linotype" w:eastAsia="Palatino Linotype" w:hAnsi="Palatino Linotype" w:cs="Palatino Linotype"/>
          <w:b/>
        </w:rPr>
        <w:t xml:space="preserve">Primero. </w:t>
      </w:r>
      <w:r w:rsidRPr="00BE6DAA">
        <w:rPr>
          <w:rFonts w:ascii="Palatino Linotype" w:eastAsia="Palatino Linotype" w:hAnsi="Palatino Linotype" w:cs="Palatino Linotype"/>
        </w:rPr>
        <w:t>Se</w:t>
      </w:r>
      <w:r w:rsidRPr="00BE6DAA">
        <w:rPr>
          <w:rFonts w:ascii="Palatino Linotype" w:eastAsia="Palatino Linotype" w:hAnsi="Palatino Linotype" w:cs="Palatino Linotype"/>
          <w:b/>
        </w:rPr>
        <w:t xml:space="preserve"> Sobresee </w:t>
      </w:r>
      <w:r w:rsidRPr="00BE6DAA">
        <w:rPr>
          <w:rFonts w:ascii="Palatino Linotype" w:eastAsia="Palatino Linotype" w:hAnsi="Palatino Linotype" w:cs="Palatino Linotype"/>
        </w:rPr>
        <w:t xml:space="preserve">el recurso de revisión número </w:t>
      </w:r>
      <w:r w:rsidRPr="00BE6DAA">
        <w:rPr>
          <w:rFonts w:ascii="Palatino Linotype" w:eastAsia="Palatino Linotype" w:hAnsi="Palatino Linotype" w:cs="Palatino Linotype"/>
          <w:b/>
        </w:rPr>
        <w:t xml:space="preserve">00309/INFOEM/IP/RR/2023, </w:t>
      </w:r>
      <w:r w:rsidRPr="00BE6DAA">
        <w:rPr>
          <w:rFonts w:ascii="Palatino Linotype" w:eastAsia="Palatino Linotype" w:hAnsi="Palatino Linotype" w:cs="Palatino Linotype"/>
        </w:rPr>
        <w:t xml:space="preserve">en términos del </w:t>
      </w:r>
      <w:r w:rsidRPr="00BE6DAA">
        <w:rPr>
          <w:rFonts w:ascii="Palatino Linotype" w:eastAsia="Palatino Linotype" w:hAnsi="Palatino Linotype" w:cs="Palatino Linotype"/>
          <w:b/>
        </w:rPr>
        <w:t xml:space="preserve">Considerando Tercero </w:t>
      </w:r>
      <w:r w:rsidRPr="00BE6DAA">
        <w:rPr>
          <w:rFonts w:ascii="Palatino Linotype" w:eastAsia="Palatino Linotype" w:hAnsi="Palatino Linotype" w:cs="Palatino Linotype"/>
        </w:rPr>
        <w:t xml:space="preserve">de la presente resolución, porque al </w:t>
      </w:r>
      <w:r w:rsidRPr="00BE6DAA">
        <w:rPr>
          <w:rFonts w:ascii="Palatino Linotype" w:eastAsia="Palatino Linotype" w:hAnsi="Palatino Linotype" w:cs="Palatino Linotype"/>
          <w:b/>
        </w:rPr>
        <w:t>modificar la respuesta</w:t>
      </w:r>
      <w:r w:rsidRPr="00BE6DAA">
        <w:rPr>
          <w:rFonts w:ascii="Palatino Linotype" w:eastAsia="Palatino Linotype" w:hAnsi="Palatino Linotype" w:cs="Palatino Linotype"/>
        </w:rPr>
        <w:t xml:space="preserve"> el recurso quedó sin materia, de conformidad con lo dispuesto en la fracción III del artículo 192 de la de la Ley de Transparencia y Acceso a la Información Pública del Estado de México y Municipios. </w:t>
      </w:r>
    </w:p>
    <w:p w:rsidR="000762F8" w:rsidRPr="00BE6DAA" w:rsidRDefault="00BE6DAA">
      <w:pPr>
        <w:spacing w:before="240" w:after="240" w:line="360" w:lineRule="auto"/>
        <w:jc w:val="both"/>
        <w:rPr>
          <w:rFonts w:ascii="Palatino Linotype" w:eastAsia="Palatino Linotype" w:hAnsi="Palatino Linotype" w:cs="Palatino Linotype"/>
        </w:rPr>
      </w:pPr>
      <w:r w:rsidRPr="00BE6DAA">
        <w:rPr>
          <w:rFonts w:ascii="Palatino Linotype" w:eastAsia="Palatino Linotype" w:hAnsi="Palatino Linotype" w:cs="Palatino Linotype"/>
          <w:b/>
        </w:rPr>
        <w:t xml:space="preserve">Segundo. Notifíquese, </w:t>
      </w:r>
      <w:r w:rsidRPr="00BE6DAA">
        <w:rPr>
          <w:rFonts w:ascii="Palatino Linotype" w:eastAsia="Palatino Linotype" w:hAnsi="Palatino Linotype" w:cs="Palatino Linotype"/>
        </w:rPr>
        <w:t>vía</w:t>
      </w:r>
      <w:r w:rsidRPr="00BE6DAA">
        <w:rPr>
          <w:rFonts w:ascii="Palatino Linotype" w:eastAsia="Palatino Linotype" w:hAnsi="Palatino Linotype" w:cs="Palatino Linotype"/>
          <w:b/>
        </w:rPr>
        <w:t xml:space="preserve"> SAIMEX</w:t>
      </w:r>
      <w:r w:rsidRPr="00BE6DAA">
        <w:rPr>
          <w:rFonts w:ascii="Palatino Linotype" w:eastAsia="Palatino Linotype" w:hAnsi="Palatino Linotype" w:cs="Palatino Linotype"/>
          <w:b/>
          <w:i/>
        </w:rPr>
        <w:t xml:space="preserve">, </w:t>
      </w:r>
      <w:r w:rsidRPr="00BE6DAA">
        <w:rPr>
          <w:rFonts w:ascii="Palatino Linotype" w:eastAsia="Palatino Linotype" w:hAnsi="Palatino Linotype" w:cs="Palatino Linotype"/>
        </w:rPr>
        <w:t xml:space="preserve">al Titular de la Unidad de Transparencia del </w:t>
      </w:r>
      <w:r w:rsidRPr="00BE6DAA">
        <w:rPr>
          <w:rFonts w:ascii="Palatino Linotype" w:eastAsia="Palatino Linotype" w:hAnsi="Palatino Linotype" w:cs="Palatino Linotype"/>
          <w:b/>
        </w:rPr>
        <w:t>Sujeto Obligado</w:t>
      </w:r>
      <w:r w:rsidRPr="00BE6DAA">
        <w:rPr>
          <w:rFonts w:ascii="Palatino Linotype" w:eastAsia="Palatino Linotype" w:hAnsi="Palatino Linotype" w:cs="Palatino Linotype"/>
        </w:rPr>
        <w:t xml:space="preserve"> la presente resolución, para su conocimiento.</w:t>
      </w:r>
    </w:p>
    <w:p w:rsidR="000762F8" w:rsidRPr="00BE6DAA" w:rsidRDefault="00BE6DAA">
      <w:pPr>
        <w:spacing w:before="240" w:after="240" w:line="360" w:lineRule="auto"/>
        <w:jc w:val="both"/>
        <w:rPr>
          <w:rFonts w:ascii="Palatino Linotype" w:eastAsia="Palatino Linotype" w:hAnsi="Palatino Linotype" w:cs="Palatino Linotype"/>
        </w:rPr>
      </w:pPr>
      <w:r w:rsidRPr="00BE6DAA">
        <w:rPr>
          <w:rFonts w:ascii="Palatino Linotype" w:eastAsia="Palatino Linotype" w:hAnsi="Palatino Linotype" w:cs="Palatino Linotype"/>
          <w:b/>
        </w:rPr>
        <w:t xml:space="preserve">Tercero. Notifíquese, </w:t>
      </w:r>
      <w:r w:rsidRPr="00BE6DAA">
        <w:rPr>
          <w:rFonts w:ascii="Palatino Linotype" w:eastAsia="Palatino Linotype" w:hAnsi="Palatino Linotype" w:cs="Palatino Linotype"/>
        </w:rPr>
        <w:t>vía</w:t>
      </w:r>
      <w:r w:rsidRPr="00BE6DAA">
        <w:rPr>
          <w:rFonts w:ascii="Palatino Linotype" w:eastAsia="Palatino Linotype" w:hAnsi="Palatino Linotype" w:cs="Palatino Linotype"/>
          <w:b/>
        </w:rPr>
        <w:t xml:space="preserve"> SAIMEX</w:t>
      </w:r>
      <w:r w:rsidRPr="00BE6DAA">
        <w:rPr>
          <w:rFonts w:ascii="Palatino Linotype" w:eastAsia="Palatino Linotype" w:hAnsi="Palatino Linotype" w:cs="Palatino Linotype"/>
        </w:rPr>
        <w:t xml:space="preserve"> a</w:t>
      </w:r>
      <w:r w:rsidRPr="00BE6DAA">
        <w:rPr>
          <w:rFonts w:ascii="Palatino Linotype" w:eastAsia="Palatino Linotype" w:hAnsi="Palatino Linotype" w:cs="Palatino Linotype"/>
          <w:b/>
        </w:rPr>
        <w:t xml:space="preserve"> </w:t>
      </w:r>
      <w:r w:rsidRPr="00BE6DAA">
        <w:rPr>
          <w:rFonts w:ascii="Palatino Linotype" w:eastAsia="Palatino Linotype" w:hAnsi="Palatino Linotype" w:cs="Palatino Linotype"/>
        </w:rPr>
        <w:t xml:space="preserve">la parte </w:t>
      </w:r>
      <w:r w:rsidRPr="00BE6DAA">
        <w:rPr>
          <w:rFonts w:ascii="Palatino Linotype" w:eastAsia="Palatino Linotype" w:hAnsi="Palatino Linotype" w:cs="Palatino Linotype"/>
          <w:b/>
        </w:rPr>
        <w:t>Recurrente</w:t>
      </w:r>
      <w:r w:rsidRPr="00BE6DAA">
        <w:rPr>
          <w:rFonts w:ascii="Palatino Linotype" w:eastAsia="Palatino Linotype" w:hAnsi="Palatino Linotype" w:cs="Palatino Linotype"/>
        </w:rPr>
        <w:t xml:space="preserve"> la presente resolución, así como, que de conformidad con lo establecido en el artículo 196 de la Ley de Transparencia y Acceso a la Información Pública del Estado de México y Municipios, podrá impugnarla vía el Juicio de Amparo en los términos de las leyes aplicables.</w:t>
      </w:r>
    </w:p>
    <w:p w:rsidR="000762F8" w:rsidRPr="00BE6DAA" w:rsidRDefault="00BE6DAA">
      <w:pPr>
        <w:spacing w:line="360" w:lineRule="auto"/>
        <w:jc w:val="both"/>
        <w:rPr>
          <w:rFonts w:ascii="Palatino Linotype" w:eastAsia="Palatino Linotype" w:hAnsi="Palatino Linotype" w:cs="Palatino Linotype"/>
        </w:rPr>
      </w:pPr>
      <w:bookmarkStart w:id="8" w:name="_heading=h.3rdcrjn" w:colFirst="0" w:colLast="0"/>
      <w:bookmarkEnd w:id="8"/>
      <w:r w:rsidRPr="00BE6DAA">
        <w:rPr>
          <w:rFonts w:ascii="Palatino Linotype" w:eastAsia="Palatino Linotype" w:hAnsi="Palatino Linotype" w:cs="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w:t>
      </w:r>
      <w:r w:rsidR="009C3925" w:rsidRPr="00BE6DAA">
        <w:rPr>
          <w:rFonts w:ascii="Palatino Linotype" w:eastAsia="Palatino Linotype" w:hAnsi="Palatino Linotype" w:cs="Palatino Linotype"/>
        </w:rPr>
        <w:t xml:space="preserve"> CON AUSENCIA JUSTIFICADA</w:t>
      </w:r>
      <w:r w:rsidRPr="00BE6DAA">
        <w:rPr>
          <w:rFonts w:ascii="Palatino Linotype" w:eastAsia="Palatino Linotype" w:hAnsi="Palatino Linotype" w:cs="Palatino Linotype"/>
        </w:rPr>
        <w:t>, SHARON CRISTINA MORALES MARTÍNEZ, LUIS GUSTAVO PARRA NORIEGA Y GUADALUPE RAMÍREZ PEÑA; EN LA TRIGÉSIMO CUARTA  SESIÓN ORDINARIA, CELEBRADA EL VEINTE DE SEPTIEMBRE DE DOS MIL VEINTITRÉS, ANTE EL SECRETARIO TÉCNICO DEL PLENO ALEXIS TAPIA RAMÍREZ.</w:t>
      </w:r>
    </w:p>
    <w:p w:rsidR="000762F8" w:rsidRPr="00BE6DAA" w:rsidRDefault="000762F8">
      <w:pPr>
        <w:spacing w:line="360" w:lineRule="auto"/>
        <w:jc w:val="both"/>
        <w:rPr>
          <w:rFonts w:ascii="Palatino Linotype" w:eastAsia="Palatino Linotype" w:hAnsi="Palatino Linotype" w:cs="Palatino Linotype"/>
        </w:rPr>
      </w:pPr>
      <w:bookmarkStart w:id="9" w:name="_heading=h.1t3h5sf" w:colFirst="0" w:colLast="0"/>
      <w:bookmarkEnd w:id="9"/>
    </w:p>
    <w:p w:rsidR="000762F8" w:rsidRPr="00BE6DAA" w:rsidRDefault="000762F8">
      <w:pPr>
        <w:spacing w:line="360" w:lineRule="auto"/>
        <w:jc w:val="both"/>
        <w:rPr>
          <w:rFonts w:ascii="Palatino Linotype" w:eastAsia="Palatino Linotype" w:hAnsi="Palatino Linotype" w:cs="Palatino Linotype"/>
        </w:rPr>
      </w:pPr>
    </w:p>
    <w:p w:rsidR="000762F8" w:rsidRPr="00BE6DAA" w:rsidRDefault="000762F8">
      <w:pPr>
        <w:spacing w:line="360" w:lineRule="auto"/>
        <w:jc w:val="both"/>
        <w:rPr>
          <w:rFonts w:ascii="Palatino Linotype" w:eastAsia="Palatino Linotype" w:hAnsi="Palatino Linotype" w:cs="Palatino Linotype"/>
        </w:rPr>
      </w:pPr>
    </w:p>
    <w:p w:rsidR="000762F8" w:rsidRPr="00BE6DAA" w:rsidRDefault="000762F8">
      <w:pPr>
        <w:spacing w:line="360" w:lineRule="auto"/>
        <w:jc w:val="both"/>
        <w:rPr>
          <w:rFonts w:ascii="Palatino Linotype" w:eastAsia="Palatino Linotype" w:hAnsi="Palatino Linotype" w:cs="Palatino Linotype"/>
        </w:rPr>
      </w:pPr>
    </w:p>
    <w:p w:rsidR="000762F8" w:rsidRPr="00BE6DAA" w:rsidRDefault="000762F8">
      <w:pPr>
        <w:spacing w:line="360" w:lineRule="auto"/>
        <w:jc w:val="both"/>
        <w:rPr>
          <w:rFonts w:ascii="Palatino Linotype" w:eastAsia="Palatino Linotype" w:hAnsi="Palatino Linotype" w:cs="Palatino Linotype"/>
        </w:rPr>
      </w:pPr>
    </w:p>
    <w:p w:rsidR="000762F8" w:rsidRPr="00BE6DAA" w:rsidRDefault="000762F8">
      <w:pPr>
        <w:spacing w:line="360" w:lineRule="auto"/>
        <w:jc w:val="both"/>
        <w:rPr>
          <w:rFonts w:ascii="Palatino Linotype" w:eastAsia="Palatino Linotype" w:hAnsi="Palatino Linotype" w:cs="Palatino Linotype"/>
        </w:rPr>
      </w:pPr>
    </w:p>
    <w:p w:rsidR="000762F8" w:rsidRPr="00BE6DAA" w:rsidRDefault="000762F8">
      <w:pPr>
        <w:spacing w:line="360" w:lineRule="auto"/>
        <w:jc w:val="both"/>
        <w:rPr>
          <w:rFonts w:ascii="Palatino Linotype" w:eastAsia="Palatino Linotype" w:hAnsi="Palatino Linotype" w:cs="Palatino Linotype"/>
        </w:rPr>
      </w:pPr>
    </w:p>
    <w:p w:rsidR="000762F8" w:rsidRPr="00BE6DAA" w:rsidRDefault="000762F8">
      <w:pPr>
        <w:spacing w:line="360" w:lineRule="auto"/>
        <w:jc w:val="both"/>
        <w:rPr>
          <w:rFonts w:ascii="Palatino Linotype" w:eastAsia="Palatino Linotype" w:hAnsi="Palatino Linotype" w:cs="Palatino Linotype"/>
        </w:rPr>
      </w:pPr>
    </w:p>
    <w:p w:rsidR="000762F8" w:rsidRPr="00BE6DAA" w:rsidRDefault="000762F8">
      <w:pPr>
        <w:spacing w:line="360" w:lineRule="auto"/>
        <w:jc w:val="both"/>
        <w:rPr>
          <w:rFonts w:ascii="Palatino Linotype" w:eastAsia="Palatino Linotype" w:hAnsi="Palatino Linotype" w:cs="Palatino Linotype"/>
        </w:rPr>
      </w:pPr>
    </w:p>
    <w:p w:rsidR="000762F8" w:rsidRPr="00BE6DAA" w:rsidRDefault="000762F8">
      <w:pPr>
        <w:spacing w:line="360" w:lineRule="auto"/>
        <w:jc w:val="both"/>
        <w:rPr>
          <w:rFonts w:ascii="Palatino Linotype" w:eastAsia="Palatino Linotype" w:hAnsi="Palatino Linotype" w:cs="Palatino Linotype"/>
        </w:rPr>
      </w:pPr>
    </w:p>
    <w:sectPr w:rsidR="000762F8" w:rsidRPr="00BE6DAA">
      <w:headerReference w:type="default" r:id="rId20"/>
      <w:footerReference w:type="default" r:id="rId21"/>
      <w:headerReference w:type="first" r:id="rId22"/>
      <w:footerReference w:type="first" r:id="rId23"/>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D7AF4" w:rsidRDefault="000D7AF4">
      <w:r>
        <w:separator/>
      </w:r>
    </w:p>
  </w:endnote>
  <w:endnote w:type="continuationSeparator" w:id="0">
    <w:p w:rsidR="000D7AF4" w:rsidRDefault="000D7A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altName w:val="Segoe UI"/>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Liberation Serif">
    <w:altName w:val="Times New Roman"/>
    <w:panose1 w:val="00000000000000000000"/>
    <w:charset w:val="00"/>
    <w:family w:val="roman"/>
    <w:notTrueType/>
    <w:pitch w:val="default"/>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Myriad Pro">
    <w:panose1 w:val="00000000000000000000"/>
    <w:charset w:val="00"/>
    <w:family w:val="roman"/>
    <w:notTrueType/>
    <w:pitch w:val="default"/>
  </w:font>
  <w:font w:name="MS Mincho">
    <w:altName w:val="MS Gothic"/>
    <w:panose1 w:val="02020609040205080304"/>
    <w:charset w:val="80"/>
    <w:family w:val="roman"/>
    <w:notTrueType/>
    <w:pitch w:val="fixed"/>
    <w:sig w:usb0="00000000" w:usb1="08070000" w:usb2="00000010" w:usb3="00000000" w:csb0="00020000" w:csb1="00000000"/>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62F8" w:rsidRDefault="00BE6DAA">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71251B">
      <w:rPr>
        <w:rFonts w:ascii="Palatino Linotype" w:eastAsia="Palatino Linotype" w:hAnsi="Palatino Linotype" w:cs="Palatino Linotype"/>
        <w:b/>
        <w:noProof/>
        <w:color w:val="000000"/>
        <w:sz w:val="20"/>
        <w:szCs w:val="20"/>
      </w:rPr>
      <w:t>21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71251B">
      <w:rPr>
        <w:rFonts w:ascii="Palatino Linotype" w:eastAsia="Palatino Linotype" w:hAnsi="Palatino Linotype" w:cs="Palatino Linotype"/>
        <w:b/>
        <w:noProof/>
        <w:color w:val="000000"/>
        <w:sz w:val="20"/>
        <w:szCs w:val="20"/>
      </w:rPr>
      <w:t>26</w:t>
    </w:r>
    <w:r>
      <w:rPr>
        <w:rFonts w:ascii="Palatino Linotype" w:eastAsia="Palatino Linotype" w:hAnsi="Palatino Linotype" w:cs="Palatino Linotype"/>
        <w:b/>
        <w:color w:val="000000"/>
        <w:sz w:val="20"/>
        <w:szCs w:val="20"/>
      </w:rPr>
      <w:fldChar w:fldCharType="end"/>
    </w:r>
  </w:p>
  <w:p w:rsidR="000762F8" w:rsidRDefault="000762F8">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62F8" w:rsidRDefault="00BE6DAA">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71251B">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71251B">
      <w:rPr>
        <w:rFonts w:ascii="Palatino Linotype" w:eastAsia="Palatino Linotype" w:hAnsi="Palatino Linotype" w:cs="Palatino Linotype"/>
        <w:b/>
        <w:noProof/>
        <w:color w:val="000000"/>
        <w:sz w:val="20"/>
        <w:szCs w:val="20"/>
      </w:rPr>
      <w:t>26</w:t>
    </w:r>
    <w:r>
      <w:rPr>
        <w:rFonts w:ascii="Palatino Linotype" w:eastAsia="Palatino Linotype" w:hAnsi="Palatino Linotype" w:cs="Palatino Linotype"/>
        <w:b/>
        <w:color w:val="000000"/>
        <w:sz w:val="20"/>
        <w:szCs w:val="20"/>
      </w:rPr>
      <w:fldChar w:fldCharType="end"/>
    </w:r>
  </w:p>
  <w:p w:rsidR="000762F8" w:rsidRDefault="000762F8">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D7AF4" w:rsidRDefault="000D7AF4">
      <w:r>
        <w:separator/>
      </w:r>
    </w:p>
  </w:footnote>
  <w:footnote w:type="continuationSeparator" w:id="0">
    <w:p w:rsidR="000D7AF4" w:rsidRDefault="000D7AF4">
      <w:r>
        <w:continuationSeparator/>
      </w:r>
    </w:p>
  </w:footnote>
  <w:footnote w:id="1">
    <w:p w:rsidR="000762F8" w:rsidRDefault="00BE6DAA">
      <w:pPr>
        <w:pBdr>
          <w:top w:val="nil"/>
          <w:left w:val="nil"/>
          <w:bottom w:val="nil"/>
          <w:right w:val="nil"/>
          <w:between w:val="nil"/>
        </w:pBdr>
        <w:rPr>
          <w:rFonts w:ascii="Palatino Linotype" w:eastAsia="Palatino Linotype" w:hAnsi="Palatino Linotype" w:cs="Palatino Linotype"/>
          <w:color w:val="000000"/>
          <w:sz w:val="16"/>
          <w:szCs w:val="16"/>
        </w:rPr>
      </w:pPr>
      <w:r>
        <w:rPr>
          <w:vertAlign w:val="superscript"/>
        </w:rPr>
        <w:footnoteRef/>
      </w:r>
      <w:r>
        <w:rPr>
          <w:rFonts w:ascii="Cambria" w:eastAsia="Cambria" w:hAnsi="Cambria" w:cs="Cambria"/>
          <w:color w:val="000000"/>
          <w:sz w:val="16"/>
          <w:szCs w:val="16"/>
        </w:rPr>
        <w:t xml:space="preserve"> </w:t>
      </w:r>
      <w:r>
        <w:rPr>
          <w:rFonts w:ascii="Palatino Linotype" w:eastAsia="Palatino Linotype" w:hAnsi="Palatino Linotype" w:cs="Palatino Linotype"/>
          <w:b/>
          <w:color w:val="000000"/>
          <w:sz w:val="16"/>
          <w:szCs w:val="16"/>
        </w:rPr>
        <w:t>Artículo 192.</w:t>
      </w:r>
      <w:r>
        <w:rPr>
          <w:rFonts w:ascii="Palatino Linotype" w:eastAsia="Palatino Linotype" w:hAnsi="Palatino Linotype" w:cs="Palatino Linotype"/>
          <w:color w:val="000000"/>
          <w:sz w:val="16"/>
          <w:szCs w:val="16"/>
        </w:rPr>
        <w:t xml:space="preserve"> El recurso será sobreseído, en todo o en parte, cuando una vez admitido, se actualicen alguno de los siguientes supuestos:</w:t>
      </w:r>
    </w:p>
    <w:p w:rsidR="000762F8" w:rsidRDefault="00BE6DAA">
      <w:pPr>
        <w:pBdr>
          <w:top w:val="nil"/>
          <w:left w:val="nil"/>
          <w:bottom w:val="nil"/>
          <w:right w:val="nil"/>
          <w:between w:val="nil"/>
        </w:pBdr>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w:t>
      </w:r>
    </w:p>
    <w:p w:rsidR="000762F8" w:rsidRDefault="00BE6DAA">
      <w:pPr>
        <w:pBdr>
          <w:top w:val="nil"/>
          <w:left w:val="nil"/>
          <w:bottom w:val="nil"/>
          <w:right w:val="nil"/>
          <w:between w:val="nil"/>
        </w:pBdr>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III. El sujeto obligado responsable del acto lo modifique o revoque de tal manera que el recurso de revisión quede sin materia;</w:t>
      </w:r>
    </w:p>
  </w:footnote>
  <w:footnote w:id="2">
    <w:p w:rsidR="000762F8" w:rsidRDefault="00BE6DAA">
      <w:pPr>
        <w:pBdr>
          <w:top w:val="nil"/>
          <w:left w:val="nil"/>
          <w:bottom w:val="nil"/>
          <w:right w:val="nil"/>
          <w:between w:val="nil"/>
        </w:pBdr>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w:t>
      </w:r>
      <w:r>
        <w:rPr>
          <w:rFonts w:ascii="Palatino Linotype" w:eastAsia="Palatino Linotype" w:hAnsi="Palatino Linotype" w:cs="Palatino Linotype"/>
          <w:b/>
          <w:color w:val="000000"/>
          <w:sz w:val="16"/>
          <w:szCs w:val="16"/>
        </w:rPr>
        <w:t>Artículo 186</w:t>
      </w:r>
      <w:r>
        <w:rPr>
          <w:rFonts w:ascii="Palatino Linotype" w:eastAsia="Palatino Linotype" w:hAnsi="Palatino Linotype" w:cs="Palatino Linotype"/>
          <w:color w:val="000000"/>
          <w:sz w:val="16"/>
          <w:szCs w:val="16"/>
        </w:rPr>
        <w:t>. Las resoluciones del Instituto podrán:</w:t>
      </w:r>
    </w:p>
    <w:p w:rsidR="000762F8" w:rsidRDefault="00BE6DAA">
      <w:pPr>
        <w:pBdr>
          <w:top w:val="nil"/>
          <w:left w:val="nil"/>
          <w:bottom w:val="nil"/>
          <w:right w:val="nil"/>
          <w:between w:val="nil"/>
        </w:pBdr>
        <w:rPr>
          <w:rFonts w:ascii="Cambria" w:eastAsia="Cambria" w:hAnsi="Cambria" w:cs="Cambria"/>
          <w:color w:val="000000"/>
          <w:sz w:val="16"/>
          <w:szCs w:val="16"/>
        </w:rPr>
      </w:pPr>
      <w:r>
        <w:rPr>
          <w:rFonts w:ascii="Palatino Linotype" w:eastAsia="Palatino Linotype" w:hAnsi="Palatino Linotype" w:cs="Palatino Linotype"/>
          <w:color w:val="000000"/>
          <w:sz w:val="16"/>
          <w:szCs w:val="16"/>
        </w:rPr>
        <w:t>I. Desechar o sobreseer el recurso;</w:t>
      </w:r>
    </w:p>
  </w:footnote>
  <w:footnote w:id="3">
    <w:p w:rsidR="000762F8" w:rsidRDefault="00BE6DAA">
      <w:pPr>
        <w:pBdr>
          <w:top w:val="nil"/>
          <w:left w:val="nil"/>
          <w:bottom w:val="nil"/>
          <w:right w:val="nil"/>
          <w:between w:val="nil"/>
        </w:pBdr>
        <w:ind w:left="720" w:hanging="720"/>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w:t>
      </w:r>
      <w:r>
        <w:rPr>
          <w:rFonts w:ascii="Palatino Linotype" w:eastAsia="Palatino Linotype" w:hAnsi="Palatino Linotype" w:cs="Palatino Linotype"/>
          <w:b/>
          <w:color w:val="000000"/>
          <w:sz w:val="16"/>
          <w:szCs w:val="16"/>
        </w:rPr>
        <w:t>Artículo 185.</w:t>
      </w:r>
      <w:r>
        <w:rPr>
          <w:rFonts w:ascii="Palatino Linotype" w:eastAsia="Palatino Linotype" w:hAnsi="Palatino Linotype" w:cs="Palatino Linotype"/>
          <w:color w:val="000000"/>
          <w:sz w:val="16"/>
          <w:szCs w:val="16"/>
        </w:rPr>
        <w:t xml:space="preserve"> El Instituto resolverá el recurso de revisión conforme a lo siguiente: (…)</w:t>
      </w:r>
    </w:p>
    <w:p w:rsidR="000762F8" w:rsidRDefault="00BE6DAA">
      <w:pPr>
        <w:pBdr>
          <w:top w:val="nil"/>
          <w:left w:val="nil"/>
          <w:bottom w:val="nil"/>
          <w:right w:val="nil"/>
          <w:between w:val="nil"/>
        </w:pBd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II. Admitido el recurso de revisión, la o el Comisionado ponente deberá integrar un expediente y ponerlo a disposición de las partes, para que, en un plazo máximo de siete días hábiles, manifiesten lo que a su derecho convenga;”</w:t>
      </w:r>
    </w:p>
  </w:footnote>
  <w:footnote w:id="4">
    <w:p w:rsidR="000762F8" w:rsidRDefault="00BE6DAA">
      <w:pP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w:t>
      </w:r>
      <w:r>
        <w:rPr>
          <w:rFonts w:ascii="Palatino Linotype" w:eastAsia="Palatino Linotype" w:hAnsi="Palatino Linotype" w:cs="Palatino Linotype"/>
          <w:b/>
          <w:color w:val="000000"/>
          <w:sz w:val="16"/>
          <w:szCs w:val="16"/>
        </w:rPr>
        <w:t>Cuerpo de tesis:</w:t>
      </w:r>
      <w:r>
        <w:rPr>
          <w:rFonts w:ascii="Palatino Linotype" w:eastAsia="Palatino Linotype" w:hAnsi="Palatino Linotype" w:cs="Palatino Linotype"/>
          <w:color w:val="000000"/>
          <w:sz w:val="16"/>
          <w:szCs w:val="16"/>
        </w:rPr>
        <w:t xml:space="preserve"> No causa agravio la sentencia que no se ocupa de los razonamientos tendientes a demostrar la inconstitucionalidad de los actos reclamados de las autoridades responsables, que constituyen el problema de fondo, si se decreta el sobreseimiento del juicio.</w:t>
      </w:r>
    </w:p>
    <w:p w:rsidR="000762F8" w:rsidRDefault="00BE6DAA">
      <w:pP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b/>
          <w:color w:val="000000"/>
          <w:sz w:val="16"/>
          <w:szCs w:val="16"/>
        </w:rPr>
        <w:t>Localización</w:t>
      </w:r>
      <w:r>
        <w:rPr>
          <w:rFonts w:ascii="Palatino Linotype" w:eastAsia="Palatino Linotype" w:hAnsi="Palatino Linotype" w:cs="Palatino Linotype"/>
          <w:color w:val="000000"/>
          <w:sz w:val="16"/>
          <w:szCs w:val="16"/>
        </w:rPr>
        <w:t>: 2</w:t>
      </w:r>
      <w:r>
        <w:rPr>
          <w:rFonts w:ascii="Palatino Linotype" w:eastAsia="Palatino Linotype" w:hAnsi="Palatino Linotype" w:cs="Palatino Linotype"/>
          <w:color w:val="000000"/>
          <w:sz w:val="16"/>
          <w:szCs w:val="16"/>
          <w:highlight w:val="white"/>
        </w:rPr>
        <w:t>13609. II.2o.183 K. Tribunales Colegiados de Circuito. Octava Época. Semanario Judicial de la Federación. Tomo XIII, Febrero de 1994, Pág. 420</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62F8" w:rsidRDefault="00BE6DAA">
    <w:pPr>
      <w:rPr>
        <w:rFonts w:ascii="Cambria" w:eastAsia="Cambria" w:hAnsi="Cambria" w:cs="Cambria"/>
        <w:color w:val="000000"/>
      </w:rPr>
    </w:pPr>
    <w:r>
      <w:rPr>
        <w:noProof/>
      </w:rPr>
      <w:drawing>
        <wp:anchor distT="0" distB="0" distL="0" distR="0" simplePos="0" relativeHeight="251658240" behindDoc="1" locked="0" layoutInCell="1" hidden="0" allowOverlap="1">
          <wp:simplePos x="0" y="0"/>
          <wp:positionH relativeFrom="column">
            <wp:posOffset>-1080120</wp:posOffset>
          </wp:positionH>
          <wp:positionV relativeFrom="paragraph">
            <wp:posOffset>-488298</wp:posOffset>
          </wp:positionV>
          <wp:extent cx="7809865" cy="10165715"/>
          <wp:effectExtent l="0" t="0" r="0" b="0"/>
          <wp:wrapNone/>
          <wp:docPr id="4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e"/>
      <w:tblW w:w="5953" w:type="dxa"/>
      <w:tblInd w:w="3261" w:type="dxa"/>
      <w:tblLayout w:type="fixed"/>
      <w:tblLook w:val="0400" w:firstRow="0" w:lastRow="0" w:firstColumn="0" w:lastColumn="0" w:noHBand="0" w:noVBand="1"/>
    </w:tblPr>
    <w:tblGrid>
      <w:gridCol w:w="2489"/>
      <w:gridCol w:w="3464"/>
    </w:tblGrid>
    <w:tr w:rsidR="000762F8">
      <w:tc>
        <w:tcPr>
          <w:tcW w:w="2489" w:type="dxa"/>
          <w:shd w:val="clear" w:color="auto" w:fill="auto"/>
        </w:tcPr>
        <w:p w:rsidR="000762F8" w:rsidRDefault="00BE6DAA">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464" w:type="dxa"/>
          <w:shd w:val="clear" w:color="auto" w:fill="auto"/>
          <w:vAlign w:val="center"/>
        </w:tcPr>
        <w:p w:rsidR="000762F8" w:rsidRDefault="00BE6DAA">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00309/INFOEM/IP/RR/2023</w:t>
          </w:r>
        </w:p>
      </w:tc>
    </w:tr>
    <w:tr w:rsidR="000762F8">
      <w:trPr>
        <w:trHeight w:val="228"/>
      </w:trPr>
      <w:tc>
        <w:tcPr>
          <w:tcW w:w="2489" w:type="dxa"/>
          <w:shd w:val="clear" w:color="auto" w:fill="auto"/>
          <w:vAlign w:val="center"/>
        </w:tcPr>
        <w:p w:rsidR="000762F8" w:rsidRDefault="00BE6DAA">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464" w:type="dxa"/>
          <w:shd w:val="clear" w:color="auto" w:fill="auto"/>
          <w:vAlign w:val="center"/>
        </w:tcPr>
        <w:p w:rsidR="000762F8" w:rsidRDefault="00BE6DAA">
          <w:pPr>
            <w:ind w:left="-45" w:right="176"/>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Ayuntamiento de </w:t>
          </w:r>
          <w:proofErr w:type="spellStart"/>
          <w:r>
            <w:rPr>
              <w:rFonts w:ascii="Palatino Linotype" w:eastAsia="Palatino Linotype" w:hAnsi="Palatino Linotype" w:cs="Palatino Linotype"/>
              <w:b/>
              <w:sz w:val="22"/>
              <w:szCs w:val="22"/>
            </w:rPr>
            <w:t>Polotitlán</w:t>
          </w:r>
          <w:proofErr w:type="spellEnd"/>
        </w:p>
      </w:tc>
    </w:tr>
    <w:tr w:rsidR="000762F8">
      <w:tc>
        <w:tcPr>
          <w:tcW w:w="2489" w:type="dxa"/>
          <w:shd w:val="clear" w:color="auto" w:fill="auto"/>
          <w:vAlign w:val="center"/>
        </w:tcPr>
        <w:p w:rsidR="000762F8" w:rsidRDefault="00BE6DAA">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464" w:type="dxa"/>
          <w:shd w:val="clear" w:color="auto" w:fill="auto"/>
          <w:vAlign w:val="center"/>
        </w:tcPr>
        <w:p w:rsidR="000762F8" w:rsidRDefault="00BE6DAA">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rsidR="000762F8" w:rsidRDefault="00BE6DAA">
    <w:pPr>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62F8" w:rsidRDefault="00BE6DAA">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r>
      <w:rPr>
        <w:noProof/>
      </w:rPr>
      <w:drawing>
        <wp:anchor distT="0" distB="0" distL="0" distR="0" simplePos="0" relativeHeight="251659264" behindDoc="1" locked="0" layoutInCell="1" hidden="0" allowOverlap="1">
          <wp:simplePos x="0" y="0"/>
          <wp:positionH relativeFrom="column">
            <wp:posOffset>-1079498</wp:posOffset>
          </wp:positionH>
          <wp:positionV relativeFrom="paragraph">
            <wp:posOffset>-328928</wp:posOffset>
          </wp:positionV>
          <wp:extent cx="7809865" cy="10165715"/>
          <wp:effectExtent l="0" t="0" r="0" b="0"/>
          <wp:wrapNone/>
          <wp:docPr id="4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d"/>
      <w:tblW w:w="5670" w:type="dxa"/>
      <w:tblInd w:w="3261" w:type="dxa"/>
      <w:tblLayout w:type="fixed"/>
      <w:tblLook w:val="0400" w:firstRow="0" w:lastRow="0" w:firstColumn="0" w:lastColumn="0" w:noHBand="0" w:noVBand="1"/>
    </w:tblPr>
    <w:tblGrid>
      <w:gridCol w:w="2551"/>
      <w:gridCol w:w="3119"/>
    </w:tblGrid>
    <w:tr w:rsidR="000762F8">
      <w:tc>
        <w:tcPr>
          <w:tcW w:w="2551" w:type="dxa"/>
          <w:shd w:val="clear" w:color="auto" w:fill="auto"/>
          <w:vAlign w:val="center"/>
        </w:tcPr>
        <w:p w:rsidR="000762F8" w:rsidRDefault="00BE6DAA">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119" w:type="dxa"/>
          <w:shd w:val="clear" w:color="auto" w:fill="auto"/>
          <w:vAlign w:val="center"/>
        </w:tcPr>
        <w:p w:rsidR="000762F8" w:rsidRDefault="00BE6DAA">
          <w:pPr>
            <w:tabs>
              <w:tab w:val="left" w:pos="3153"/>
            </w:tabs>
            <w:ind w:left="-4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00309/INFOEM/IP/RR/2023</w:t>
          </w:r>
        </w:p>
      </w:tc>
    </w:tr>
    <w:tr w:rsidR="000762F8">
      <w:trPr>
        <w:trHeight w:val="130"/>
      </w:trPr>
      <w:tc>
        <w:tcPr>
          <w:tcW w:w="2551" w:type="dxa"/>
          <w:shd w:val="clear" w:color="auto" w:fill="auto"/>
          <w:vAlign w:val="center"/>
        </w:tcPr>
        <w:p w:rsidR="000762F8" w:rsidRDefault="00BE6DAA">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119" w:type="dxa"/>
          <w:shd w:val="clear" w:color="auto" w:fill="auto"/>
          <w:vAlign w:val="center"/>
        </w:tcPr>
        <w:p w:rsidR="000762F8" w:rsidRDefault="0071251B" w:rsidP="0071251B">
          <w:pPr>
            <w:ind w:left="-4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XXXX XXXXX XX XXX XXXX</w:t>
          </w:r>
        </w:p>
      </w:tc>
    </w:tr>
    <w:tr w:rsidR="000762F8">
      <w:trPr>
        <w:trHeight w:val="228"/>
      </w:trPr>
      <w:tc>
        <w:tcPr>
          <w:tcW w:w="2551" w:type="dxa"/>
          <w:shd w:val="clear" w:color="auto" w:fill="auto"/>
          <w:vAlign w:val="center"/>
        </w:tcPr>
        <w:p w:rsidR="000762F8" w:rsidRDefault="00BE6DAA">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119" w:type="dxa"/>
          <w:shd w:val="clear" w:color="auto" w:fill="auto"/>
          <w:vAlign w:val="center"/>
        </w:tcPr>
        <w:p w:rsidR="000762F8" w:rsidRDefault="00BE6DAA">
          <w:pPr>
            <w:ind w:left="-45" w:right="176"/>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Ayuntamiento de </w:t>
          </w:r>
          <w:proofErr w:type="spellStart"/>
          <w:r>
            <w:rPr>
              <w:rFonts w:ascii="Palatino Linotype" w:eastAsia="Palatino Linotype" w:hAnsi="Palatino Linotype" w:cs="Palatino Linotype"/>
              <w:b/>
              <w:sz w:val="22"/>
              <w:szCs w:val="22"/>
            </w:rPr>
            <w:t>Polotitlán</w:t>
          </w:r>
          <w:proofErr w:type="spellEnd"/>
        </w:p>
      </w:tc>
    </w:tr>
    <w:tr w:rsidR="000762F8">
      <w:tc>
        <w:tcPr>
          <w:tcW w:w="2551" w:type="dxa"/>
          <w:shd w:val="clear" w:color="auto" w:fill="auto"/>
          <w:vAlign w:val="center"/>
        </w:tcPr>
        <w:p w:rsidR="000762F8" w:rsidRDefault="00BE6DAA">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119" w:type="dxa"/>
          <w:shd w:val="clear" w:color="auto" w:fill="auto"/>
          <w:vAlign w:val="center"/>
        </w:tcPr>
        <w:p w:rsidR="000762F8" w:rsidRDefault="00BE6DAA">
          <w:pPr>
            <w:ind w:left="-45"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rsidR="000762F8" w:rsidRDefault="000762F8">
    <w:pPr>
      <w:pBdr>
        <w:top w:val="nil"/>
        <w:left w:val="nil"/>
        <w:bottom w:val="nil"/>
        <w:right w:val="nil"/>
        <w:between w:val="nil"/>
      </w:pBdr>
      <w:tabs>
        <w:tab w:val="center" w:pos="4252"/>
        <w:tab w:val="right" w:pos="8504"/>
      </w:tabs>
      <w:rPr>
        <w:rFonts w:ascii="Cambria" w:eastAsia="Cambria" w:hAnsi="Cambria" w:cs="Cambria"/>
        <w:color w:val="000000"/>
      </w:rPr>
    </w:pPr>
  </w:p>
  <w:p w:rsidR="000762F8" w:rsidRDefault="000762F8"/>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1425CC1"/>
    <w:multiLevelType w:val="multilevel"/>
    <w:tmpl w:val="41A247BE"/>
    <w:lvl w:ilvl="0">
      <w:start w:val="1"/>
      <w:numFmt w:val="decimal"/>
      <w:pStyle w:val="Listaconvietas3"/>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nsid w:val="3AA758A8"/>
    <w:multiLevelType w:val="multilevel"/>
    <w:tmpl w:val="C568C01C"/>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62F8"/>
    <w:rsid w:val="000762F8"/>
    <w:rsid w:val="000D7AF4"/>
    <w:rsid w:val="0012457B"/>
    <w:rsid w:val="001C73ED"/>
    <w:rsid w:val="0071251B"/>
    <w:rsid w:val="009C3925"/>
    <w:rsid w:val="00A0300C"/>
    <w:rsid w:val="00BE6DA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70BF337-E669-428A-B7DF-366BE18A02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2902"/>
  </w:style>
  <w:style w:type="paragraph" w:styleId="Ttulo1">
    <w:name w:val="heading 1"/>
    <w:basedOn w:val="Normal"/>
    <w:next w:val="Normal"/>
    <w:link w:val="Ttulo1Car"/>
    <w:uiPriority w:val="9"/>
    <w:qFormat/>
    <w:rsid w:val="00603D7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semiHidden/>
    <w:unhideWhenUsed/>
    <w:qFormat/>
    <w:rsid w:val="00603D7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semiHidden/>
    <w:unhideWhenUsed/>
    <w:qFormat/>
    <w:rsid w:val="003B73CD"/>
    <w:pPr>
      <w:keepNext/>
      <w:tabs>
        <w:tab w:val="num" w:pos="2160"/>
      </w:tabs>
      <w:spacing w:before="240" w:after="60"/>
      <w:ind w:left="2160" w:hanging="720"/>
      <w:outlineLvl w:val="2"/>
    </w:pPr>
    <w:rPr>
      <w:rFonts w:asciiTheme="majorHAnsi" w:eastAsiaTheme="majorEastAsia" w:hAnsiTheme="majorHAnsi" w:cstheme="majorBidi"/>
      <w:b/>
      <w:bCs/>
      <w:sz w:val="26"/>
      <w:szCs w:val="26"/>
      <w:lang w:val="en-US" w:eastAsia="en-US"/>
    </w:rPr>
  </w:style>
  <w:style w:type="paragraph" w:styleId="Ttulo4">
    <w:name w:val="heading 4"/>
    <w:basedOn w:val="Normal"/>
    <w:next w:val="Normal"/>
    <w:link w:val="Ttulo4Car"/>
    <w:uiPriority w:val="9"/>
    <w:semiHidden/>
    <w:unhideWhenUsed/>
    <w:qFormat/>
    <w:rsid w:val="003B73CD"/>
    <w:pPr>
      <w:keepNext/>
      <w:tabs>
        <w:tab w:val="num" w:pos="2880"/>
      </w:tabs>
      <w:spacing w:before="240" w:after="60"/>
      <w:ind w:left="2880" w:hanging="720"/>
      <w:outlineLvl w:val="3"/>
    </w:pPr>
    <w:rPr>
      <w:rFonts w:asciiTheme="minorHAnsi" w:eastAsiaTheme="minorEastAsia" w:hAnsiTheme="minorHAnsi" w:cstheme="minorBidi"/>
      <w:b/>
      <w:bCs/>
      <w:sz w:val="28"/>
      <w:szCs w:val="28"/>
      <w:lang w:val="en-US" w:eastAsia="en-US"/>
    </w:rPr>
  </w:style>
  <w:style w:type="paragraph" w:styleId="Ttulo5">
    <w:name w:val="heading 5"/>
    <w:basedOn w:val="Normal"/>
    <w:next w:val="Normal"/>
    <w:link w:val="Ttulo5Car"/>
    <w:uiPriority w:val="9"/>
    <w:semiHidden/>
    <w:unhideWhenUsed/>
    <w:qFormat/>
    <w:rsid w:val="003B73CD"/>
    <w:pPr>
      <w:tabs>
        <w:tab w:val="num" w:pos="3600"/>
      </w:tabs>
      <w:spacing w:before="240" w:after="60"/>
      <w:ind w:left="3600" w:hanging="720"/>
      <w:outlineLvl w:val="4"/>
    </w:pPr>
    <w:rPr>
      <w:rFonts w:asciiTheme="minorHAnsi" w:eastAsiaTheme="minorEastAsia" w:hAnsiTheme="minorHAnsi" w:cstheme="minorBidi"/>
      <w:b/>
      <w:bCs/>
      <w:i/>
      <w:iCs/>
      <w:sz w:val="26"/>
      <w:szCs w:val="26"/>
      <w:lang w:val="en-US" w:eastAsia="en-US"/>
    </w:rPr>
  </w:style>
  <w:style w:type="paragraph" w:styleId="Ttulo6">
    <w:name w:val="heading 6"/>
    <w:basedOn w:val="Normal"/>
    <w:next w:val="Normal"/>
    <w:link w:val="Ttulo6Car"/>
    <w:uiPriority w:val="9"/>
    <w:semiHidden/>
    <w:unhideWhenUsed/>
    <w:qFormat/>
    <w:rsid w:val="003B73CD"/>
    <w:pPr>
      <w:tabs>
        <w:tab w:val="num" w:pos="4320"/>
      </w:tabs>
      <w:spacing w:before="240" w:after="60"/>
      <w:ind w:left="4320" w:hanging="720"/>
      <w:outlineLvl w:val="5"/>
    </w:pPr>
    <w:rPr>
      <w:b/>
      <w:bCs/>
      <w:sz w:val="22"/>
      <w:szCs w:val="22"/>
      <w:lang w:val="en-US" w:eastAsia="en-US"/>
    </w:rPr>
  </w:style>
  <w:style w:type="paragraph" w:styleId="Ttulo7">
    <w:name w:val="heading 7"/>
    <w:basedOn w:val="Normal"/>
    <w:next w:val="Normal"/>
    <w:link w:val="Ttulo7Car"/>
    <w:uiPriority w:val="9"/>
    <w:semiHidden/>
    <w:unhideWhenUsed/>
    <w:qFormat/>
    <w:rsid w:val="003B73CD"/>
    <w:pPr>
      <w:tabs>
        <w:tab w:val="num" w:pos="5040"/>
      </w:tabs>
      <w:spacing w:before="240" w:after="60"/>
      <w:ind w:left="5040" w:hanging="720"/>
      <w:outlineLvl w:val="6"/>
    </w:pPr>
    <w:rPr>
      <w:rFonts w:asciiTheme="minorHAnsi" w:eastAsiaTheme="minorEastAsia" w:hAnsiTheme="minorHAnsi" w:cstheme="minorBidi"/>
      <w:lang w:val="en-US" w:eastAsia="en-US"/>
    </w:rPr>
  </w:style>
  <w:style w:type="paragraph" w:styleId="Ttulo8">
    <w:name w:val="heading 8"/>
    <w:basedOn w:val="Normal"/>
    <w:next w:val="Normal"/>
    <w:link w:val="Ttulo8Car"/>
    <w:uiPriority w:val="9"/>
    <w:semiHidden/>
    <w:unhideWhenUsed/>
    <w:qFormat/>
    <w:rsid w:val="003B73CD"/>
    <w:pPr>
      <w:tabs>
        <w:tab w:val="num" w:pos="5760"/>
      </w:tabs>
      <w:spacing w:before="240" w:after="60"/>
      <w:ind w:left="5760" w:hanging="720"/>
      <w:outlineLvl w:val="7"/>
    </w:pPr>
    <w:rPr>
      <w:rFonts w:asciiTheme="minorHAnsi" w:eastAsiaTheme="minorEastAsia" w:hAnsiTheme="minorHAnsi" w:cstheme="minorBidi"/>
      <w:i/>
      <w:iCs/>
      <w:lang w:val="en-US" w:eastAsia="en-US"/>
    </w:rPr>
  </w:style>
  <w:style w:type="paragraph" w:styleId="Ttulo9">
    <w:name w:val="heading 9"/>
    <w:basedOn w:val="Normal"/>
    <w:next w:val="Normal"/>
    <w:link w:val="Ttulo9Car"/>
    <w:uiPriority w:val="9"/>
    <w:semiHidden/>
    <w:unhideWhenUsed/>
    <w:qFormat/>
    <w:rsid w:val="003B73CD"/>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9">
    <w:name w:val="Table Normal9"/>
    <w:tblPr>
      <w:tblCellMar>
        <w:top w:w="0" w:type="dxa"/>
        <w:left w:w="0" w:type="dxa"/>
        <w:bottom w:w="0" w:type="dxa"/>
        <w:right w:w="0" w:type="dxa"/>
      </w:tblCellMar>
    </w:tblPr>
  </w:style>
  <w:style w:type="table" w:customStyle="1" w:styleId="TableNormal8">
    <w:name w:val="Table Normal8"/>
    <w:tblPr>
      <w:tblCellMar>
        <w:top w:w="0" w:type="dxa"/>
        <w:left w:w="0" w:type="dxa"/>
        <w:bottom w:w="0" w:type="dxa"/>
        <w:right w:w="0" w:type="dxa"/>
      </w:tblCellMar>
    </w:tblPr>
  </w:style>
  <w:style w:type="table" w:customStyle="1" w:styleId="TableNormal7">
    <w:name w:val="Table Normal7"/>
    <w:tblPr>
      <w:tblCellMar>
        <w:top w:w="0" w:type="dxa"/>
        <w:left w:w="0" w:type="dxa"/>
        <w:bottom w:w="0" w:type="dxa"/>
        <w:right w:w="0" w:type="dxa"/>
      </w:tblCellMar>
    </w:tblPr>
  </w:style>
  <w:style w:type="table" w:customStyle="1" w:styleId="TableNormal6">
    <w:name w:val="Table Normal6"/>
    <w:tblPr>
      <w:tblCellMar>
        <w:top w:w="0" w:type="dxa"/>
        <w:left w:w="0" w:type="dxa"/>
        <w:bottom w:w="0" w:type="dxa"/>
        <w:right w:w="0" w:type="dxa"/>
      </w:tblCellMar>
    </w:tblPr>
  </w:style>
  <w:style w:type="table" w:customStyle="1" w:styleId="TableNormal5">
    <w:name w:val="Table Normal5"/>
    <w:tblPr>
      <w:tblCellMar>
        <w:top w:w="0" w:type="dxa"/>
        <w:left w:w="0" w:type="dxa"/>
        <w:bottom w:w="0" w:type="dxa"/>
        <w:right w:w="0" w:type="dxa"/>
      </w:tblCellMar>
    </w:tblPr>
  </w:style>
  <w:style w:type="table" w:customStyle="1" w:styleId="TableNormal40">
    <w:name w:val="Table Normal4"/>
    <w:tblPr>
      <w:tblCellMar>
        <w:top w:w="0" w:type="dxa"/>
        <w:left w:w="0" w:type="dxa"/>
        <w:bottom w:w="0" w:type="dxa"/>
        <w:right w:w="0" w:type="dxa"/>
      </w:tblCellMar>
    </w:tblPr>
  </w:style>
  <w:style w:type="table" w:customStyle="1" w:styleId="TableNormal30">
    <w:name w:val="Table Normal3"/>
    <w:tblPr>
      <w:tblCellMar>
        <w:top w:w="0" w:type="dxa"/>
        <w:left w:w="0" w:type="dxa"/>
        <w:bottom w:w="0" w:type="dxa"/>
        <w:right w:w="0" w:type="dxa"/>
      </w:tblCellMar>
    </w:tblPr>
  </w:style>
  <w:style w:type="table" w:customStyle="1" w:styleId="TableNormal20">
    <w:name w:val="Table Normal2"/>
    <w:tblPr>
      <w:tblCellMar>
        <w:top w:w="0" w:type="dxa"/>
        <w:left w:w="0" w:type="dxa"/>
        <w:bottom w:w="0" w:type="dxa"/>
        <w:right w:w="0" w:type="dxa"/>
      </w:tblCellMar>
    </w:tblPr>
  </w:style>
  <w:style w:type="table" w:customStyle="1" w:styleId="TableNormal10">
    <w:name w:val="Table Normal1"/>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944C8"/>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2944C8"/>
    <w:rPr>
      <w:vertAlign w:val="superscript"/>
    </w:rPr>
  </w:style>
  <w:style w:type="paragraph" w:styleId="Sinespaciado">
    <w:name w:val="No Spacing"/>
    <w:aliases w:val="Francesa"/>
    <w:link w:val="SinespaciadoCar"/>
    <w:uiPriority w:val="1"/>
    <w:qFormat/>
    <w:rsid w:val="002944C8"/>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
    <w:link w:val="Sinespaciado"/>
    <w:uiPriority w:val="1"/>
    <w:locked/>
    <w:rsid w:val="00270539"/>
    <w:rPr>
      <w:rFonts w:ascii="Times New Roman" w:eastAsia="Times New Roman" w:hAnsi="Times New Roman" w:cs="Times New Roman"/>
      <w:lang w:val="es-MX"/>
    </w:rPr>
  </w:style>
  <w:style w:type="character" w:customStyle="1" w:styleId="medium">
    <w:name w:val="medium"/>
    <w:basedOn w:val="Fuentedeprrafopredeter"/>
    <w:rsid w:val="00354DB7"/>
  </w:style>
  <w:style w:type="table" w:styleId="Tablaconcuadrcula">
    <w:name w:val="Table Grid"/>
    <w:basedOn w:val="Tablanormal"/>
    <w:uiPriority w:val="59"/>
    <w:rsid w:val="00BB3AE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umeroconsecutivo">
    <w:name w:val="numeroconsecutivo"/>
    <w:basedOn w:val="Fuentedeprrafopredeter"/>
    <w:rsid w:val="00615060"/>
  </w:style>
  <w:style w:type="character" w:customStyle="1" w:styleId="titulorubrolgt">
    <w:name w:val="titulorubrolgt"/>
    <w:basedOn w:val="Fuentedeprrafopredeter"/>
    <w:rsid w:val="00615060"/>
  </w:style>
  <w:style w:type="character" w:customStyle="1" w:styleId="ctr">
    <w:name w:val="ctr"/>
    <w:basedOn w:val="Fuentedeprrafopredeter"/>
    <w:rsid w:val="00615060"/>
  </w:style>
  <w:style w:type="paragraph" w:styleId="Textonotaalfinal">
    <w:name w:val="endnote text"/>
    <w:basedOn w:val="Normal"/>
    <w:link w:val="TextonotaalfinalCar"/>
    <w:uiPriority w:val="99"/>
    <w:semiHidden/>
    <w:unhideWhenUsed/>
    <w:rsid w:val="00D25E88"/>
    <w:rPr>
      <w:sz w:val="20"/>
      <w:szCs w:val="20"/>
    </w:rPr>
  </w:style>
  <w:style w:type="character" w:customStyle="1" w:styleId="TextonotaalfinalCar">
    <w:name w:val="Texto nota al final Car"/>
    <w:basedOn w:val="Fuentedeprrafopredeter"/>
    <w:link w:val="Textonotaalfinal"/>
    <w:uiPriority w:val="99"/>
    <w:semiHidden/>
    <w:rsid w:val="00D25E88"/>
    <w:rPr>
      <w:rFonts w:ascii="Times New Roman" w:eastAsia="Times New Roman" w:hAnsi="Times New Roman" w:cs="Times New Roman"/>
      <w:sz w:val="20"/>
      <w:szCs w:val="20"/>
      <w:lang w:val="es-ES"/>
    </w:rPr>
  </w:style>
  <w:style w:type="character" w:styleId="Refdenotaalfinal">
    <w:name w:val="endnote reference"/>
    <w:basedOn w:val="Fuentedeprrafopredeter"/>
    <w:uiPriority w:val="99"/>
    <w:semiHidden/>
    <w:unhideWhenUsed/>
    <w:rsid w:val="00D25E88"/>
    <w:rPr>
      <w:vertAlign w:val="superscript"/>
    </w:rPr>
  </w:style>
  <w:style w:type="character" w:customStyle="1" w:styleId="A1">
    <w:name w:val="A1"/>
    <w:uiPriority w:val="99"/>
    <w:rsid w:val="00EC4ECD"/>
    <w:rPr>
      <w:rFonts w:ascii="Myriad Pro" w:hAnsi="Myriad Pro" w:cs="Myriad Pro" w:hint="default"/>
      <w:color w:val="000000"/>
      <w:sz w:val="22"/>
      <w:szCs w:val="22"/>
    </w:rPr>
  </w:style>
  <w:style w:type="paragraph" w:customStyle="1" w:styleId="Pa9">
    <w:name w:val="Pa9"/>
    <w:basedOn w:val="Normal"/>
    <w:next w:val="Normal"/>
    <w:uiPriority w:val="99"/>
    <w:rsid w:val="00EC4ECD"/>
    <w:pPr>
      <w:autoSpaceDE w:val="0"/>
      <w:autoSpaceDN w:val="0"/>
      <w:adjustRightInd w:val="0"/>
      <w:spacing w:line="241" w:lineRule="atLeast"/>
    </w:pPr>
    <w:rPr>
      <w:rFonts w:ascii="Myriad Pro" w:eastAsiaTheme="minorHAnsi" w:hAnsi="Myriad Pro" w:cstheme="minorBidi"/>
      <w:lang w:eastAsia="en-US"/>
    </w:rPr>
  </w:style>
  <w:style w:type="paragraph" w:customStyle="1" w:styleId="Pa5">
    <w:name w:val="Pa5"/>
    <w:basedOn w:val="Normal"/>
    <w:next w:val="Normal"/>
    <w:uiPriority w:val="99"/>
    <w:rsid w:val="00EC4ECD"/>
    <w:pPr>
      <w:autoSpaceDE w:val="0"/>
      <w:autoSpaceDN w:val="0"/>
      <w:adjustRightInd w:val="0"/>
      <w:spacing w:line="201" w:lineRule="atLeast"/>
    </w:pPr>
    <w:rPr>
      <w:rFonts w:ascii="Myriad Pro" w:eastAsiaTheme="minorHAnsi" w:hAnsi="Myriad Pro" w:cstheme="minorBidi"/>
      <w:lang w:eastAsia="en-US"/>
    </w:rPr>
  </w:style>
  <w:style w:type="paragraph" w:customStyle="1" w:styleId="m5127500252372250437gmail-paragraph">
    <w:name w:val="m_5127500252372250437gmail-paragraph"/>
    <w:basedOn w:val="Normal"/>
    <w:rsid w:val="00980B7E"/>
    <w:pPr>
      <w:spacing w:before="100" w:beforeAutospacing="1" w:after="100" w:afterAutospacing="1"/>
    </w:pPr>
  </w:style>
  <w:style w:type="character" w:customStyle="1" w:styleId="nombrefraccder">
    <w:name w:val="nombrefraccder"/>
    <w:basedOn w:val="Fuentedeprrafopredeter"/>
    <w:rsid w:val="009B4A68"/>
  </w:style>
  <w:style w:type="character" w:customStyle="1" w:styleId="numberfraccder">
    <w:name w:val="numberfraccder"/>
    <w:basedOn w:val="Fuentedeprrafopredeter"/>
    <w:rsid w:val="009B4A68"/>
  </w:style>
  <w:style w:type="character" w:customStyle="1" w:styleId="TextoCar">
    <w:name w:val="Texto Car"/>
    <w:link w:val="Texto"/>
    <w:locked/>
    <w:rsid w:val="002B0963"/>
    <w:rPr>
      <w:rFonts w:ascii="Arial" w:eastAsia="Times New Roman" w:hAnsi="Arial" w:cs="Arial"/>
      <w:sz w:val="18"/>
      <w:szCs w:val="18"/>
      <w:lang w:val="es-MX"/>
    </w:rPr>
  </w:style>
  <w:style w:type="character" w:styleId="nfasis">
    <w:name w:val="Emphasis"/>
    <w:basedOn w:val="Fuentedeprrafopredeter"/>
    <w:uiPriority w:val="20"/>
    <w:qFormat/>
    <w:rsid w:val="00C536F2"/>
    <w:rPr>
      <w:i/>
      <w:iCs/>
    </w:rPr>
  </w:style>
  <w:style w:type="character" w:customStyle="1" w:styleId="normaltextrun">
    <w:name w:val="normaltextrun"/>
    <w:basedOn w:val="Fuentedeprrafopredeter"/>
    <w:rsid w:val="0011437B"/>
  </w:style>
  <w:style w:type="character" w:customStyle="1" w:styleId="m5127500252372250437gmail-normaltextrun">
    <w:name w:val="m_5127500252372250437gmail-normaltextrun"/>
    <w:basedOn w:val="Fuentedeprrafopredeter"/>
    <w:rsid w:val="0011437B"/>
  </w:style>
  <w:style w:type="paragraph" w:customStyle="1" w:styleId="m-60081275284358516gmail-msolistparagraph">
    <w:name w:val="m_-60081275284358516gmail-msolistparagraph"/>
    <w:basedOn w:val="Normal"/>
    <w:rsid w:val="00207C90"/>
    <w:pPr>
      <w:spacing w:before="100" w:beforeAutospacing="1" w:after="100" w:afterAutospacing="1"/>
    </w:pPr>
  </w:style>
  <w:style w:type="paragraph" w:customStyle="1" w:styleId="ANOTACION">
    <w:name w:val="ANOTACION"/>
    <w:basedOn w:val="Normal"/>
    <w:link w:val="ANOTACIONCar"/>
    <w:rsid w:val="001B5A73"/>
    <w:pPr>
      <w:spacing w:before="101" w:after="101" w:line="216" w:lineRule="atLeast"/>
      <w:jc w:val="center"/>
    </w:pPr>
    <w:rPr>
      <w:b/>
      <w:sz w:val="18"/>
      <w:szCs w:val="20"/>
      <w:lang w:val="es-ES_tradnl"/>
    </w:rPr>
  </w:style>
  <w:style w:type="character" w:customStyle="1" w:styleId="ANOTACIONCar">
    <w:name w:val="ANOTACION Car"/>
    <w:link w:val="ANOTACION"/>
    <w:locked/>
    <w:rsid w:val="001B5A73"/>
    <w:rPr>
      <w:rFonts w:ascii="Times New Roman" w:eastAsia="Times New Roman" w:hAnsi="Times New Roman" w:cs="Times New Roman"/>
      <w:b/>
      <w:sz w:val="18"/>
      <w:szCs w:val="20"/>
    </w:rPr>
  </w:style>
  <w:style w:type="paragraph" w:customStyle="1" w:styleId="j">
    <w:name w:val="j"/>
    <w:basedOn w:val="Normal"/>
    <w:rsid w:val="007B00BD"/>
    <w:pPr>
      <w:spacing w:before="100" w:beforeAutospacing="1" w:after="100" w:afterAutospacing="1"/>
    </w:pPr>
  </w:style>
  <w:style w:type="character" w:customStyle="1" w:styleId="nacep">
    <w:name w:val="n_acep"/>
    <w:basedOn w:val="Fuentedeprrafopredeter"/>
    <w:rsid w:val="007B00BD"/>
  </w:style>
  <w:style w:type="paragraph" w:customStyle="1" w:styleId="k5">
    <w:name w:val="k5"/>
    <w:basedOn w:val="Normal"/>
    <w:rsid w:val="007B00BD"/>
    <w:pPr>
      <w:spacing w:before="100" w:beforeAutospacing="1" w:after="100" w:afterAutospacing="1"/>
    </w:pPr>
  </w:style>
  <w:style w:type="paragraph" w:customStyle="1" w:styleId="m">
    <w:name w:val="m"/>
    <w:basedOn w:val="Normal"/>
    <w:rsid w:val="007B00BD"/>
    <w:pPr>
      <w:spacing w:before="100" w:beforeAutospacing="1" w:after="100" w:afterAutospacing="1"/>
    </w:pPr>
  </w:style>
  <w:style w:type="character" w:styleId="Refdecomentario">
    <w:name w:val="annotation reference"/>
    <w:basedOn w:val="Fuentedeprrafopredeter"/>
    <w:uiPriority w:val="99"/>
    <w:semiHidden/>
    <w:unhideWhenUsed/>
    <w:rsid w:val="003219FE"/>
    <w:rPr>
      <w:sz w:val="16"/>
      <w:szCs w:val="16"/>
    </w:rPr>
  </w:style>
  <w:style w:type="paragraph" w:styleId="Textocomentario">
    <w:name w:val="annotation text"/>
    <w:basedOn w:val="Normal"/>
    <w:link w:val="TextocomentarioCar"/>
    <w:uiPriority w:val="99"/>
    <w:semiHidden/>
    <w:unhideWhenUsed/>
    <w:rsid w:val="003219FE"/>
    <w:rPr>
      <w:sz w:val="20"/>
      <w:szCs w:val="20"/>
    </w:rPr>
  </w:style>
  <w:style w:type="character" w:customStyle="1" w:styleId="TextocomentarioCar">
    <w:name w:val="Texto comentario Car"/>
    <w:basedOn w:val="Fuentedeprrafopredeter"/>
    <w:link w:val="Textocomentario"/>
    <w:uiPriority w:val="99"/>
    <w:semiHidden/>
    <w:rsid w:val="003219FE"/>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3219FE"/>
    <w:rPr>
      <w:b/>
      <w:bCs/>
    </w:rPr>
  </w:style>
  <w:style w:type="character" w:customStyle="1" w:styleId="AsuntodelcomentarioCar">
    <w:name w:val="Asunto del comentario Car"/>
    <w:basedOn w:val="TextocomentarioCar"/>
    <w:link w:val="Asuntodelcomentario"/>
    <w:uiPriority w:val="99"/>
    <w:semiHidden/>
    <w:rsid w:val="003219FE"/>
    <w:rPr>
      <w:rFonts w:ascii="Times New Roman" w:eastAsia="Times New Roman" w:hAnsi="Times New Roman" w:cs="Times New Roman"/>
      <w:b/>
      <w:bCs/>
      <w:sz w:val="20"/>
      <w:szCs w:val="20"/>
      <w:lang w:val="es-ES"/>
    </w:rPr>
  </w:style>
  <w:style w:type="paragraph" w:customStyle="1" w:styleId="FAFunotente1">
    <w:name w:val="FA Fu?notente1"/>
    <w:basedOn w:val="Normal"/>
    <w:next w:val="Textonotapie"/>
    <w:uiPriority w:val="99"/>
    <w:unhideWhenUsed/>
    <w:rsid w:val="00A403D3"/>
    <w:rPr>
      <w:rFonts w:asciiTheme="minorHAnsi" w:eastAsia="Cambria" w:hAnsiTheme="minorHAnsi" w:cstheme="minorBidi"/>
      <w:sz w:val="20"/>
      <w:szCs w:val="20"/>
      <w:lang w:eastAsia="en-US"/>
    </w:rPr>
  </w:style>
  <w:style w:type="character" w:customStyle="1" w:styleId="Ttulo1Car">
    <w:name w:val="Título 1 Car"/>
    <w:basedOn w:val="Fuentedeprrafopredeter"/>
    <w:link w:val="Ttulo1"/>
    <w:uiPriority w:val="9"/>
    <w:rsid w:val="00603D72"/>
    <w:rPr>
      <w:rFonts w:asciiTheme="majorHAnsi" w:eastAsiaTheme="majorEastAsia" w:hAnsiTheme="majorHAnsi" w:cstheme="majorBidi"/>
      <w:color w:val="365F91" w:themeColor="accent1" w:themeShade="BF"/>
      <w:sz w:val="32"/>
      <w:szCs w:val="32"/>
      <w:lang w:val="es-ES"/>
    </w:rPr>
  </w:style>
  <w:style w:type="character" w:customStyle="1" w:styleId="Ttulo2Car">
    <w:name w:val="Título 2 Car"/>
    <w:basedOn w:val="Fuentedeprrafopredeter"/>
    <w:link w:val="Ttulo2"/>
    <w:uiPriority w:val="9"/>
    <w:rsid w:val="00603D72"/>
    <w:rPr>
      <w:rFonts w:asciiTheme="majorHAnsi" w:eastAsiaTheme="majorEastAsia" w:hAnsiTheme="majorHAnsi" w:cstheme="majorBidi"/>
      <w:color w:val="365F91" w:themeColor="accent1" w:themeShade="BF"/>
      <w:sz w:val="26"/>
      <w:szCs w:val="26"/>
      <w:lang w:val="es-ES"/>
    </w:rPr>
  </w:style>
  <w:style w:type="paragraph" w:styleId="Lista">
    <w:name w:val="List"/>
    <w:basedOn w:val="Normal"/>
    <w:uiPriority w:val="99"/>
    <w:unhideWhenUsed/>
    <w:rsid w:val="00603D72"/>
    <w:pPr>
      <w:ind w:left="283" w:hanging="283"/>
      <w:contextualSpacing/>
    </w:pPr>
  </w:style>
  <w:style w:type="paragraph" w:styleId="Lista2">
    <w:name w:val="List 2"/>
    <w:basedOn w:val="Normal"/>
    <w:uiPriority w:val="99"/>
    <w:unhideWhenUsed/>
    <w:rsid w:val="00603D72"/>
    <w:pPr>
      <w:ind w:left="566" w:hanging="283"/>
      <w:contextualSpacing/>
    </w:pPr>
  </w:style>
  <w:style w:type="paragraph" w:styleId="Lista3">
    <w:name w:val="List 3"/>
    <w:basedOn w:val="Normal"/>
    <w:uiPriority w:val="99"/>
    <w:unhideWhenUsed/>
    <w:rsid w:val="00603D72"/>
    <w:pPr>
      <w:ind w:left="849" w:hanging="283"/>
      <w:contextualSpacing/>
    </w:pPr>
  </w:style>
  <w:style w:type="paragraph" w:styleId="Listaconvietas3">
    <w:name w:val="List Bullet 3"/>
    <w:basedOn w:val="Normal"/>
    <w:uiPriority w:val="99"/>
    <w:unhideWhenUsed/>
    <w:rsid w:val="00603D72"/>
    <w:pPr>
      <w:numPr>
        <w:numId w:val="2"/>
      </w:numPr>
      <w:contextualSpacing/>
    </w:pPr>
  </w:style>
  <w:style w:type="paragraph" w:styleId="Continuarlista">
    <w:name w:val="List Continue"/>
    <w:basedOn w:val="Normal"/>
    <w:uiPriority w:val="99"/>
    <w:unhideWhenUsed/>
    <w:rsid w:val="00603D72"/>
    <w:pPr>
      <w:spacing w:after="120"/>
      <w:ind w:left="283"/>
      <w:contextualSpacing/>
    </w:pPr>
  </w:style>
  <w:style w:type="paragraph" w:styleId="Continuarlista2">
    <w:name w:val="List Continue 2"/>
    <w:basedOn w:val="Normal"/>
    <w:uiPriority w:val="99"/>
    <w:unhideWhenUsed/>
    <w:rsid w:val="00603D72"/>
    <w:pPr>
      <w:spacing w:after="120"/>
      <w:ind w:left="566"/>
      <w:contextualSpacing/>
    </w:pPr>
  </w:style>
  <w:style w:type="paragraph" w:styleId="Textoindependiente">
    <w:name w:val="Body Text"/>
    <w:basedOn w:val="Normal"/>
    <w:link w:val="TextoindependienteCar"/>
    <w:uiPriority w:val="99"/>
    <w:unhideWhenUsed/>
    <w:rsid w:val="00603D72"/>
    <w:pPr>
      <w:spacing w:after="120"/>
    </w:pPr>
  </w:style>
  <w:style w:type="character" w:customStyle="1" w:styleId="TextoindependienteCar">
    <w:name w:val="Texto independiente Car"/>
    <w:basedOn w:val="Fuentedeprrafopredeter"/>
    <w:link w:val="Textoindependiente"/>
    <w:uiPriority w:val="99"/>
    <w:rsid w:val="00603D72"/>
    <w:rPr>
      <w:rFonts w:ascii="Times New Roman" w:eastAsia="Times New Roman" w:hAnsi="Times New Roman" w:cs="Times New Roman"/>
      <w:lang w:val="es-ES"/>
    </w:rPr>
  </w:style>
  <w:style w:type="paragraph" w:styleId="Sangradetextonormal">
    <w:name w:val="Body Text Indent"/>
    <w:basedOn w:val="Normal"/>
    <w:link w:val="SangradetextonormalCar"/>
    <w:uiPriority w:val="99"/>
    <w:semiHidden/>
    <w:unhideWhenUsed/>
    <w:rsid w:val="00603D72"/>
    <w:pPr>
      <w:spacing w:after="120"/>
      <w:ind w:left="283"/>
    </w:pPr>
  </w:style>
  <w:style w:type="character" w:customStyle="1" w:styleId="SangradetextonormalCar">
    <w:name w:val="Sangría de texto normal Car"/>
    <w:basedOn w:val="Fuentedeprrafopredeter"/>
    <w:link w:val="Sangradetextonormal"/>
    <w:uiPriority w:val="99"/>
    <w:semiHidden/>
    <w:rsid w:val="00603D72"/>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603D7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03D72"/>
    <w:rPr>
      <w:rFonts w:ascii="Times New Roman" w:eastAsia="Times New Roman" w:hAnsi="Times New Roman" w:cs="Times New Roman"/>
      <w:lang w:val="es-ES"/>
    </w:rPr>
  </w:style>
  <w:style w:type="paragraph" w:customStyle="1" w:styleId="paragraph">
    <w:name w:val="paragraph"/>
    <w:basedOn w:val="Normal"/>
    <w:rsid w:val="00E34821"/>
    <w:pPr>
      <w:spacing w:before="100" w:beforeAutospacing="1" w:after="100" w:afterAutospacing="1"/>
    </w:pPr>
  </w:style>
  <w:style w:type="paragraph" w:customStyle="1" w:styleId="n2">
    <w:name w:val="n2"/>
    <w:basedOn w:val="Normal"/>
    <w:rsid w:val="009D307C"/>
    <w:pPr>
      <w:spacing w:before="100" w:beforeAutospacing="1" w:after="100" w:afterAutospacing="1"/>
    </w:pPr>
  </w:style>
  <w:style w:type="character" w:customStyle="1" w:styleId="u">
    <w:name w:val="u"/>
    <w:basedOn w:val="Fuentedeprrafopredeter"/>
    <w:rsid w:val="009D307C"/>
  </w:style>
  <w:style w:type="paragraph" w:customStyle="1" w:styleId="j1">
    <w:name w:val="j1"/>
    <w:basedOn w:val="Normal"/>
    <w:rsid w:val="009D307C"/>
    <w:pPr>
      <w:spacing w:before="100" w:beforeAutospacing="1" w:after="100" w:afterAutospacing="1"/>
    </w:pPr>
  </w:style>
  <w:style w:type="paragraph" w:customStyle="1" w:styleId="j2">
    <w:name w:val="j2"/>
    <w:basedOn w:val="Normal"/>
    <w:rsid w:val="009D307C"/>
    <w:pPr>
      <w:spacing w:before="100" w:beforeAutospacing="1" w:after="100" w:afterAutospacing="1"/>
    </w:pPr>
  </w:style>
  <w:style w:type="table" w:styleId="Tabladelista1clara-nfasis1">
    <w:name w:val="List Table 1 Light Accent 1"/>
    <w:basedOn w:val="Tablanormal"/>
    <w:uiPriority w:val="46"/>
    <w:rsid w:val="00A01B91"/>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encinsinresolver1">
    <w:name w:val="Mención sin resolver1"/>
    <w:basedOn w:val="Fuentedeprrafopredeter"/>
    <w:uiPriority w:val="99"/>
    <w:semiHidden/>
    <w:unhideWhenUsed/>
    <w:rsid w:val="00457753"/>
    <w:rPr>
      <w:color w:val="605E5C"/>
      <w:shd w:val="clear" w:color="auto" w:fill="E1DFDD"/>
    </w:rPr>
  </w:style>
  <w:style w:type="character" w:customStyle="1" w:styleId="Mencinsinresolver2">
    <w:name w:val="Mención sin resolver2"/>
    <w:basedOn w:val="Fuentedeprrafopredeter"/>
    <w:uiPriority w:val="99"/>
    <w:semiHidden/>
    <w:unhideWhenUsed/>
    <w:rsid w:val="00CE48D4"/>
    <w:rPr>
      <w:color w:val="605E5C"/>
      <w:shd w:val="clear" w:color="auto" w:fill="E1DFDD"/>
    </w:rPr>
  </w:style>
  <w:style w:type="table" w:customStyle="1" w:styleId="Tabladelista1clara-nfasis11">
    <w:name w:val="Tabla de lista 1 clara - Énfasis 11"/>
    <w:basedOn w:val="Tablanormal"/>
    <w:uiPriority w:val="46"/>
    <w:rsid w:val="008F79FD"/>
    <w:rPr>
      <w:rFonts w:eastAsia="MS Minch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Ttulo3Car">
    <w:name w:val="Título 3 Car"/>
    <w:basedOn w:val="Fuentedeprrafopredeter"/>
    <w:link w:val="Ttulo3"/>
    <w:uiPriority w:val="9"/>
    <w:semiHidden/>
    <w:rsid w:val="003B73CD"/>
    <w:rPr>
      <w:rFonts w:asciiTheme="majorHAnsi" w:eastAsiaTheme="majorEastAsia" w:hAnsiTheme="majorHAnsi" w:cstheme="majorBidi"/>
      <w:b/>
      <w:bCs/>
      <w:sz w:val="26"/>
      <w:szCs w:val="26"/>
      <w:lang w:val="en-US" w:eastAsia="en-US"/>
    </w:rPr>
  </w:style>
  <w:style w:type="character" w:customStyle="1" w:styleId="Ttulo4Car">
    <w:name w:val="Título 4 Car"/>
    <w:basedOn w:val="Fuentedeprrafopredeter"/>
    <w:link w:val="Ttulo4"/>
    <w:uiPriority w:val="9"/>
    <w:semiHidden/>
    <w:rsid w:val="003B73CD"/>
    <w:rPr>
      <w:b/>
      <w:bCs/>
      <w:sz w:val="28"/>
      <w:szCs w:val="28"/>
      <w:lang w:val="en-US" w:eastAsia="en-US"/>
    </w:rPr>
  </w:style>
  <w:style w:type="character" w:customStyle="1" w:styleId="Ttulo5Car">
    <w:name w:val="Título 5 Car"/>
    <w:basedOn w:val="Fuentedeprrafopredeter"/>
    <w:link w:val="Ttulo5"/>
    <w:uiPriority w:val="9"/>
    <w:semiHidden/>
    <w:rsid w:val="003B73CD"/>
    <w:rPr>
      <w:b/>
      <w:bCs/>
      <w:i/>
      <w:iCs/>
      <w:sz w:val="26"/>
      <w:szCs w:val="26"/>
      <w:lang w:val="en-US" w:eastAsia="en-US"/>
    </w:rPr>
  </w:style>
  <w:style w:type="character" w:customStyle="1" w:styleId="Ttulo6Car">
    <w:name w:val="Título 6 Car"/>
    <w:basedOn w:val="Fuentedeprrafopredeter"/>
    <w:link w:val="Ttulo6"/>
    <w:semiHidden/>
    <w:rsid w:val="003B73CD"/>
    <w:rPr>
      <w:rFonts w:ascii="Times New Roman" w:eastAsia="Times New Roman" w:hAnsi="Times New Roman" w:cs="Times New Roman"/>
      <w:b/>
      <w:bCs/>
      <w:sz w:val="22"/>
      <w:szCs w:val="22"/>
      <w:lang w:val="en-US" w:eastAsia="en-US"/>
    </w:rPr>
  </w:style>
  <w:style w:type="character" w:customStyle="1" w:styleId="Ttulo7Car">
    <w:name w:val="Título 7 Car"/>
    <w:basedOn w:val="Fuentedeprrafopredeter"/>
    <w:link w:val="Ttulo7"/>
    <w:uiPriority w:val="9"/>
    <w:semiHidden/>
    <w:rsid w:val="003B73CD"/>
    <w:rPr>
      <w:lang w:val="en-US" w:eastAsia="en-US"/>
    </w:rPr>
  </w:style>
  <w:style w:type="character" w:customStyle="1" w:styleId="Ttulo8Car">
    <w:name w:val="Título 8 Car"/>
    <w:basedOn w:val="Fuentedeprrafopredeter"/>
    <w:link w:val="Ttulo8"/>
    <w:uiPriority w:val="9"/>
    <w:semiHidden/>
    <w:rsid w:val="003B73CD"/>
    <w:rPr>
      <w:i/>
      <w:iCs/>
      <w:lang w:val="en-US" w:eastAsia="en-US"/>
    </w:rPr>
  </w:style>
  <w:style w:type="character" w:customStyle="1" w:styleId="Ttulo9Car">
    <w:name w:val="Título 9 Car"/>
    <w:basedOn w:val="Fuentedeprrafopredeter"/>
    <w:link w:val="Ttulo9"/>
    <w:uiPriority w:val="9"/>
    <w:semiHidden/>
    <w:rsid w:val="003B73CD"/>
    <w:rPr>
      <w:rFonts w:asciiTheme="majorHAnsi" w:eastAsiaTheme="majorEastAsia" w:hAnsiTheme="majorHAnsi" w:cstheme="majorBidi"/>
      <w:sz w:val="22"/>
      <w:szCs w:val="22"/>
      <w:lang w:val="en-US" w:eastAsia="en-US"/>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5">
    <w:name w:val="5"/>
    <w:basedOn w:val="TableNormal10"/>
    <w:tblPr>
      <w:tblStyleRowBandSize w:val="1"/>
      <w:tblStyleColBandSize w:val="1"/>
      <w:tblCellMar>
        <w:top w:w="0" w:type="dxa"/>
        <w:left w:w="108" w:type="dxa"/>
        <w:bottom w:w="0"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4">
    <w:name w:val="4"/>
    <w:basedOn w:val="TableNormal10"/>
    <w:tblPr>
      <w:tblStyleRowBandSize w:val="1"/>
      <w:tblStyleColBandSize w:val="1"/>
      <w:tblCellMar>
        <w:top w:w="0" w:type="dxa"/>
        <w:left w:w="115" w:type="dxa"/>
        <w:bottom w:w="0" w:type="dxa"/>
        <w:right w:w="115" w:type="dxa"/>
      </w:tblCellMar>
    </w:tblPr>
  </w:style>
  <w:style w:type="table" w:customStyle="1" w:styleId="3">
    <w:name w:val="3"/>
    <w:basedOn w:val="TableNormal10"/>
    <w:tblPr>
      <w:tblStyleRowBandSize w:val="1"/>
      <w:tblStyleColBandSize w:val="1"/>
      <w:tblCellMar>
        <w:top w:w="0" w:type="dxa"/>
        <w:left w:w="115" w:type="dxa"/>
        <w:bottom w:w="0" w:type="dxa"/>
        <w:right w:w="115" w:type="dxa"/>
      </w:tblCellMar>
    </w:tblPr>
  </w:style>
  <w:style w:type="character" w:customStyle="1" w:styleId="Mencinsinresolver3">
    <w:name w:val="Mención sin resolver3"/>
    <w:basedOn w:val="Fuentedeprrafopredeter"/>
    <w:uiPriority w:val="99"/>
    <w:semiHidden/>
    <w:unhideWhenUsed/>
    <w:rsid w:val="0094565C"/>
    <w:rPr>
      <w:color w:val="605E5C"/>
      <w:shd w:val="clear" w:color="auto" w:fill="E1DFDD"/>
    </w:rPr>
  </w:style>
  <w:style w:type="table" w:customStyle="1" w:styleId="2">
    <w:name w:val="2"/>
    <w:basedOn w:val="TableNormal10"/>
    <w:tblPr>
      <w:tblStyleRowBandSize w:val="1"/>
      <w:tblStyleColBandSize w:val="1"/>
      <w:tblCellMar>
        <w:top w:w="0" w:type="dxa"/>
        <w:left w:w="115" w:type="dxa"/>
        <w:bottom w:w="0" w:type="dxa"/>
        <w:right w:w="115" w:type="dxa"/>
      </w:tblCellMar>
    </w:tblPr>
  </w:style>
  <w:style w:type="table" w:customStyle="1" w:styleId="1">
    <w:name w:val="1"/>
    <w:basedOn w:val="TableNormal10"/>
    <w:tblPr>
      <w:tblStyleRowBandSize w:val="1"/>
      <w:tblStyleColBandSize w:val="1"/>
      <w:tblCellMar>
        <w:top w:w="0" w:type="dxa"/>
        <w:left w:w="115" w:type="dxa"/>
        <w:bottom w:w="0" w:type="dxa"/>
        <w:right w:w="115" w:type="dxa"/>
      </w:tblCellMar>
    </w:tblPr>
  </w:style>
  <w:style w:type="table" w:customStyle="1" w:styleId="9">
    <w:name w:val="9"/>
    <w:basedOn w:val="TableNormal20"/>
    <w:tblPr>
      <w:tblStyleRowBandSize w:val="1"/>
      <w:tblStyleColBandSize w:val="1"/>
      <w:tblCellMar>
        <w:top w:w="0" w:type="dxa"/>
        <w:left w:w="115" w:type="dxa"/>
        <w:bottom w:w="0" w:type="dxa"/>
        <w:right w:w="115" w:type="dxa"/>
      </w:tblCellMar>
    </w:tblPr>
  </w:style>
  <w:style w:type="table" w:customStyle="1" w:styleId="8">
    <w:name w:val="8"/>
    <w:basedOn w:val="TableNormal20"/>
    <w:tblPr>
      <w:tblStyleRowBandSize w:val="1"/>
      <w:tblStyleColBandSize w:val="1"/>
      <w:tblCellMar>
        <w:top w:w="0" w:type="dxa"/>
        <w:left w:w="115" w:type="dxa"/>
        <w:bottom w:w="0" w:type="dxa"/>
        <w:right w:w="115" w:type="dxa"/>
      </w:tblCellMar>
    </w:tblPr>
  </w:style>
  <w:style w:type="table" w:customStyle="1" w:styleId="7">
    <w:name w:val="7"/>
    <w:basedOn w:val="TableNormal30"/>
    <w:tblPr>
      <w:tblStyleRowBandSize w:val="1"/>
      <w:tblStyleColBandSize w:val="1"/>
      <w:tblCellMar>
        <w:top w:w="0" w:type="dxa"/>
        <w:left w:w="115" w:type="dxa"/>
        <w:bottom w:w="0" w:type="dxa"/>
        <w:right w:w="115" w:type="dxa"/>
      </w:tblCellMar>
    </w:tblPr>
  </w:style>
  <w:style w:type="table" w:customStyle="1" w:styleId="6">
    <w:name w:val="6"/>
    <w:basedOn w:val="TableNormal30"/>
    <w:tblPr>
      <w:tblStyleRowBandSize w:val="1"/>
      <w:tblStyleColBandSize w:val="1"/>
      <w:tblCellMar>
        <w:top w:w="0" w:type="dxa"/>
        <w:left w:w="115" w:type="dxa"/>
        <w:bottom w:w="0" w:type="dxa"/>
        <w:right w:w="115" w:type="dxa"/>
      </w:tblCellMar>
    </w:tblPr>
  </w:style>
  <w:style w:type="table" w:customStyle="1" w:styleId="20">
    <w:name w:val="20"/>
    <w:basedOn w:val="TableNormal40"/>
    <w:tblPr>
      <w:tblStyleRowBandSize w:val="1"/>
      <w:tblStyleColBandSize w:val="1"/>
      <w:tblCellMar>
        <w:top w:w="0" w:type="dxa"/>
        <w:left w:w="115" w:type="dxa"/>
        <w:bottom w:w="0" w:type="dxa"/>
        <w:right w:w="115" w:type="dxa"/>
      </w:tblCellMar>
    </w:tblPr>
  </w:style>
  <w:style w:type="table" w:customStyle="1" w:styleId="19">
    <w:name w:val="19"/>
    <w:basedOn w:val="TableNormal40"/>
    <w:tblPr>
      <w:tblStyleRowBandSize w:val="1"/>
      <w:tblStyleColBandSize w:val="1"/>
      <w:tblCellMar>
        <w:top w:w="0" w:type="dxa"/>
        <w:left w:w="115" w:type="dxa"/>
        <w:bottom w:w="0" w:type="dxa"/>
        <w:right w:w="115" w:type="dxa"/>
      </w:tblCellMar>
    </w:tblPr>
  </w:style>
  <w:style w:type="table" w:customStyle="1" w:styleId="18">
    <w:name w:val="18"/>
    <w:basedOn w:val="TableNormal5"/>
    <w:tblPr>
      <w:tblStyleRowBandSize w:val="1"/>
      <w:tblStyleColBandSize w:val="1"/>
      <w:tblCellMar>
        <w:top w:w="0" w:type="dxa"/>
        <w:left w:w="115" w:type="dxa"/>
        <w:bottom w:w="0" w:type="dxa"/>
        <w:right w:w="115" w:type="dxa"/>
      </w:tblCellMar>
    </w:tblPr>
  </w:style>
  <w:style w:type="table" w:customStyle="1" w:styleId="17">
    <w:name w:val="17"/>
    <w:basedOn w:val="TableNormal5"/>
    <w:tblPr>
      <w:tblStyleRowBandSize w:val="1"/>
      <w:tblStyleColBandSize w:val="1"/>
      <w:tblCellMar>
        <w:top w:w="0" w:type="dxa"/>
        <w:left w:w="115" w:type="dxa"/>
        <w:bottom w:w="0" w:type="dxa"/>
        <w:right w:w="115" w:type="dxa"/>
      </w:tblCellMar>
    </w:tblPr>
  </w:style>
  <w:style w:type="table" w:customStyle="1" w:styleId="16">
    <w:name w:val="16"/>
    <w:basedOn w:val="TableNormal6"/>
    <w:tblPr>
      <w:tblStyleRowBandSize w:val="1"/>
      <w:tblStyleColBandSize w:val="1"/>
      <w:tblCellMar>
        <w:top w:w="0" w:type="dxa"/>
        <w:left w:w="115" w:type="dxa"/>
        <w:bottom w:w="0" w:type="dxa"/>
        <w:right w:w="115" w:type="dxa"/>
      </w:tblCellMar>
    </w:tblPr>
  </w:style>
  <w:style w:type="table" w:customStyle="1" w:styleId="15">
    <w:name w:val="15"/>
    <w:basedOn w:val="TableNormal6"/>
    <w:tblPr>
      <w:tblStyleRowBandSize w:val="1"/>
      <w:tblStyleColBandSize w:val="1"/>
      <w:tblCellMar>
        <w:top w:w="0" w:type="dxa"/>
        <w:left w:w="115" w:type="dxa"/>
        <w:bottom w:w="0" w:type="dxa"/>
        <w:right w:w="115" w:type="dxa"/>
      </w:tblCellMar>
    </w:tblPr>
  </w:style>
  <w:style w:type="table" w:customStyle="1" w:styleId="14">
    <w:name w:val="14"/>
    <w:basedOn w:val="TableNormal7"/>
    <w:tblPr>
      <w:tblStyleRowBandSize w:val="1"/>
      <w:tblStyleColBandSize w:val="1"/>
      <w:tblCellMar>
        <w:top w:w="0" w:type="dxa"/>
        <w:left w:w="115" w:type="dxa"/>
        <w:bottom w:w="0" w:type="dxa"/>
        <w:right w:w="115" w:type="dxa"/>
      </w:tblCellMar>
    </w:tblPr>
  </w:style>
  <w:style w:type="table" w:customStyle="1" w:styleId="13">
    <w:name w:val="13"/>
    <w:basedOn w:val="TableNormal7"/>
    <w:tblPr>
      <w:tblStyleRowBandSize w:val="1"/>
      <w:tblStyleColBandSize w:val="1"/>
      <w:tblCellMar>
        <w:top w:w="0" w:type="dxa"/>
        <w:left w:w="115" w:type="dxa"/>
        <w:bottom w:w="0" w:type="dxa"/>
        <w:right w:w="115" w:type="dxa"/>
      </w:tblCellMar>
    </w:tblPr>
  </w:style>
  <w:style w:type="character" w:customStyle="1" w:styleId="rse6dlih">
    <w:name w:val="rse6dlih"/>
    <w:basedOn w:val="Fuentedeprrafopredeter"/>
    <w:rsid w:val="00190860"/>
  </w:style>
  <w:style w:type="table" w:customStyle="1" w:styleId="12">
    <w:name w:val="12"/>
    <w:basedOn w:val="TableNormal8"/>
    <w:tblPr>
      <w:tblStyleRowBandSize w:val="1"/>
      <w:tblStyleColBandSize w:val="1"/>
      <w:tblCellMar>
        <w:top w:w="0" w:type="dxa"/>
        <w:left w:w="108" w:type="dxa"/>
        <w:bottom w:w="0"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11">
    <w:name w:val="11"/>
    <w:basedOn w:val="TableNormal8"/>
    <w:tblPr>
      <w:tblStyleRowBandSize w:val="1"/>
      <w:tblStyleColBandSize w:val="1"/>
      <w:tblCellMar>
        <w:top w:w="0" w:type="dxa"/>
        <w:left w:w="115" w:type="dxa"/>
        <w:bottom w:w="0" w:type="dxa"/>
        <w:right w:w="115" w:type="dxa"/>
      </w:tblCellMar>
    </w:tblPr>
  </w:style>
  <w:style w:type="table" w:customStyle="1" w:styleId="10">
    <w:name w:val="10"/>
    <w:basedOn w:val="TableNormal8"/>
    <w:tblPr>
      <w:tblStyleRowBandSize w:val="1"/>
      <w:tblStyleColBandSize w:val="1"/>
      <w:tblCellMar>
        <w:top w:w="0" w:type="dxa"/>
        <w:left w:w="115" w:type="dxa"/>
        <w:bottom w:w="0" w:type="dxa"/>
        <w:right w:w="115" w:type="dxa"/>
      </w:tblCellMar>
    </w:tblPr>
  </w:style>
  <w:style w:type="table" w:customStyle="1" w:styleId="24">
    <w:name w:val="24"/>
    <w:basedOn w:val="TableNormal9"/>
    <w:tblPr>
      <w:tblStyleRowBandSize w:val="1"/>
      <w:tblStyleColBandSize w:val="1"/>
      <w:tblCellMar>
        <w:top w:w="0" w:type="dxa"/>
        <w:left w:w="115" w:type="dxa"/>
        <w:bottom w:w="0" w:type="dxa"/>
        <w:right w:w="115" w:type="dxa"/>
      </w:tblCellMar>
    </w:tblPr>
  </w:style>
  <w:style w:type="table" w:customStyle="1" w:styleId="23">
    <w:name w:val="23"/>
    <w:basedOn w:val="TableNormal9"/>
    <w:tblPr>
      <w:tblStyleRowBandSize w:val="1"/>
      <w:tblStyleColBandSize w:val="1"/>
      <w:tblCellMar>
        <w:top w:w="0" w:type="dxa"/>
        <w:left w:w="108" w:type="dxa"/>
        <w:bottom w:w="0"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22">
    <w:name w:val="22"/>
    <w:basedOn w:val="TableNormal9"/>
    <w:tblPr>
      <w:tblStyleRowBandSize w:val="1"/>
      <w:tblStyleColBandSize w:val="1"/>
      <w:tblCellMar>
        <w:top w:w="0" w:type="dxa"/>
        <w:left w:w="115" w:type="dxa"/>
        <w:bottom w:w="0" w:type="dxa"/>
        <w:right w:w="115" w:type="dxa"/>
      </w:tblCellMar>
    </w:tblPr>
  </w:style>
  <w:style w:type="table" w:customStyle="1" w:styleId="21">
    <w:name w:val="21"/>
    <w:basedOn w:val="TableNormal9"/>
    <w:tblPr>
      <w:tblStyleRowBandSize w:val="1"/>
      <w:tblStyleColBandSize w:val="1"/>
      <w:tblCellMar>
        <w:top w:w="0" w:type="dxa"/>
        <w:left w:w="115" w:type="dxa"/>
        <w:bottom w:w="0" w:type="dxa"/>
        <w:right w:w="115" w:type="dxa"/>
      </w:tblCellMar>
    </w:tblPr>
  </w:style>
  <w:style w:type="table" w:customStyle="1" w:styleId="a">
    <w:basedOn w:val="TableNormal4"/>
    <w:tblPr>
      <w:tblStyleRowBandSize w:val="1"/>
      <w:tblStyleColBandSize w:val="1"/>
      <w:tblCellMar>
        <w:top w:w="0" w:type="dxa"/>
        <w:left w:w="108" w:type="dxa"/>
        <w:bottom w:w="0"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0">
    <w:basedOn w:val="TableNormal4"/>
    <w:tblPr>
      <w:tblStyleRowBandSize w:val="1"/>
      <w:tblStyleColBandSize w:val="1"/>
      <w:tblCellMar>
        <w:top w:w="0" w:type="dxa"/>
        <w:left w:w="115" w:type="dxa"/>
        <w:bottom w:w="0" w:type="dxa"/>
        <w:right w:w="115" w:type="dxa"/>
      </w:tblCellMar>
    </w:tblPr>
  </w:style>
  <w:style w:type="table" w:customStyle="1" w:styleId="a2">
    <w:basedOn w:val="TableNormal4"/>
    <w:tblPr>
      <w:tblStyleRowBandSize w:val="1"/>
      <w:tblStyleColBandSize w:val="1"/>
      <w:tblCellMar>
        <w:top w:w="0" w:type="dxa"/>
        <w:left w:w="115" w:type="dxa"/>
        <w:bottom w:w="0" w:type="dxa"/>
        <w:right w:w="115" w:type="dxa"/>
      </w:tblCellMar>
    </w:tblPr>
  </w:style>
  <w:style w:type="table" w:customStyle="1" w:styleId="a3">
    <w:basedOn w:val="TableNormal3"/>
    <w:tblPr>
      <w:tblStyleRowBandSize w:val="1"/>
      <w:tblStyleColBandSize w:val="1"/>
      <w:tblCellMar>
        <w:top w:w="0" w:type="dxa"/>
        <w:left w:w="115" w:type="dxa"/>
        <w:bottom w:w="0" w:type="dxa"/>
        <w:right w:w="115"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4">
    <w:basedOn w:val="TableNormal3"/>
    <w:tblPr>
      <w:tblStyleRowBandSize w:val="1"/>
      <w:tblStyleColBandSize w:val="1"/>
      <w:tblCellMar>
        <w:top w:w="0" w:type="dxa"/>
        <w:left w:w="115" w:type="dxa"/>
        <w:bottom w:w="0" w:type="dxa"/>
        <w:right w:w="115" w:type="dxa"/>
      </w:tblCellMar>
    </w:tblPr>
  </w:style>
  <w:style w:type="table" w:customStyle="1" w:styleId="a5">
    <w:basedOn w:val="TableNormal3"/>
    <w:tblPr>
      <w:tblStyleRowBandSize w:val="1"/>
      <w:tblStyleColBandSize w:val="1"/>
      <w:tblCellMar>
        <w:top w:w="0" w:type="dxa"/>
        <w:left w:w="115" w:type="dxa"/>
        <w:bottom w:w="0" w:type="dxa"/>
        <w:right w:w="115" w:type="dxa"/>
      </w:tblCellMar>
    </w:tblPr>
  </w:style>
  <w:style w:type="table" w:customStyle="1" w:styleId="a6">
    <w:basedOn w:val="TableNormal2"/>
    <w:tblPr>
      <w:tblStyleRowBandSize w:val="1"/>
      <w:tblStyleColBandSize w:val="1"/>
      <w:tblCellMar>
        <w:top w:w="0" w:type="dxa"/>
        <w:left w:w="108" w:type="dxa"/>
        <w:bottom w:w="0"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7">
    <w:basedOn w:val="TableNormal2"/>
    <w:tblPr>
      <w:tblStyleRowBandSize w:val="1"/>
      <w:tblStyleColBandSize w:val="1"/>
      <w:tblCellMar>
        <w:top w:w="0" w:type="dxa"/>
        <w:left w:w="115" w:type="dxa"/>
        <w:bottom w:w="0" w:type="dxa"/>
        <w:right w:w="115" w:type="dxa"/>
      </w:tblCellMar>
    </w:tblPr>
  </w:style>
  <w:style w:type="table" w:customStyle="1" w:styleId="a8">
    <w:basedOn w:val="TableNormal2"/>
    <w:tblPr>
      <w:tblStyleRowBandSize w:val="1"/>
      <w:tblStyleColBandSize w:val="1"/>
      <w:tblCellMar>
        <w:top w:w="0" w:type="dxa"/>
        <w:left w:w="115" w:type="dxa"/>
        <w:bottom w:w="0" w:type="dxa"/>
        <w:right w:w="115" w:type="dxa"/>
      </w:tblCellMar>
    </w:tblPr>
  </w:style>
  <w:style w:type="character" w:customStyle="1" w:styleId="Mencinsinresolver4">
    <w:name w:val="Mención sin resolver4"/>
    <w:basedOn w:val="Fuentedeprrafopredeter"/>
    <w:uiPriority w:val="99"/>
    <w:semiHidden/>
    <w:unhideWhenUsed/>
    <w:rsid w:val="00B70D09"/>
    <w:rPr>
      <w:color w:val="605E5C"/>
      <w:shd w:val="clear" w:color="auto" w:fill="E1DFDD"/>
    </w:rPr>
  </w:style>
  <w:style w:type="character" w:customStyle="1" w:styleId="Mencinsinresolver5">
    <w:name w:val="Mención sin resolver5"/>
    <w:basedOn w:val="Fuentedeprrafopredeter"/>
    <w:uiPriority w:val="99"/>
    <w:semiHidden/>
    <w:unhideWhenUsed/>
    <w:rsid w:val="00160ABB"/>
    <w:rPr>
      <w:color w:val="605E5C"/>
      <w:shd w:val="clear" w:color="auto" w:fill="E1DFDD"/>
    </w:rPr>
  </w:style>
  <w:style w:type="table" w:customStyle="1" w:styleId="a9">
    <w:basedOn w:val="TableNormal1"/>
    <w:tblPr>
      <w:tblStyleRowBandSize w:val="1"/>
      <w:tblStyleColBandSize w:val="1"/>
      <w:tblCellMar>
        <w:top w:w="0" w:type="dxa"/>
        <w:left w:w="108" w:type="dxa"/>
        <w:bottom w:w="0" w:type="dxa"/>
        <w:right w:w="108" w:type="dxa"/>
      </w:tblCellMar>
    </w:tblPr>
  </w:style>
  <w:style w:type="table" w:customStyle="1" w:styleId="aa">
    <w:basedOn w:val="TableNormal1"/>
    <w:tblPr>
      <w:tblStyleRowBandSize w:val="1"/>
      <w:tblStyleColBandSize w:val="1"/>
      <w:tblCellMar>
        <w:top w:w="0" w:type="dxa"/>
        <w:left w:w="115" w:type="dxa"/>
        <w:bottom w:w="0" w:type="dxa"/>
        <w:right w:w="115" w:type="dxa"/>
      </w:tblCellMar>
    </w:tblPr>
  </w:style>
  <w:style w:type="table" w:customStyle="1" w:styleId="ab">
    <w:basedOn w:val="TableNormal1"/>
    <w:tblPr>
      <w:tblStyleRowBandSize w:val="1"/>
      <w:tblStyleColBandSize w:val="1"/>
      <w:tblCellMar>
        <w:top w:w="0" w:type="dxa"/>
        <w:left w:w="115" w:type="dxa"/>
        <w:bottom w:w="0" w:type="dxa"/>
        <w:right w:w="115" w:type="dxa"/>
      </w:tblCellMar>
    </w:tblPr>
  </w:style>
  <w:style w:type="table" w:customStyle="1" w:styleId="ac">
    <w:basedOn w:val="TableNormal0"/>
    <w:tblPr>
      <w:tblStyleRowBandSize w:val="1"/>
      <w:tblStyleColBandSize w:val="1"/>
      <w:tblCellMar>
        <w:top w:w="0" w:type="dxa"/>
        <w:left w:w="115" w:type="dxa"/>
        <w:bottom w:w="0" w:type="dxa"/>
        <w:right w:w="115" w:type="dxa"/>
      </w:tblCellMar>
    </w:tblPr>
  </w:style>
  <w:style w:type="table" w:customStyle="1" w:styleId="ad">
    <w:basedOn w:val="TableNormal0"/>
    <w:tblPr>
      <w:tblStyleRowBandSize w:val="1"/>
      <w:tblStyleColBandSize w:val="1"/>
      <w:tblCellMar>
        <w:top w:w="0" w:type="dxa"/>
        <w:left w:w="115" w:type="dxa"/>
        <w:bottom w:w="0" w:type="dxa"/>
        <w:right w:w="115" w:type="dxa"/>
      </w:tblCellMar>
    </w:tblPr>
  </w:style>
  <w:style w:type="table" w:customStyle="1" w:styleId="ae">
    <w:basedOn w:val="TableNormal0"/>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_rels/header2.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TN0GqVNDciUrM0Ev3qYF298I4IQ==">CgMxLjAyCGguZ2pkZ3hzMgloLjNkeTZ2a20yCWguMzBqMHpsbDIJaC4yczhleW8xMghoLnR5amN3dDIJaC4zem55c2g3MgloLjFmb2I5dGUyCWguM3JkY3JqbjIJaC4xdDNoNXNmOAByITFvVTVManlPNVcyRVFmdlZ3RjJHcjFKYldQbm9ZTlVhRg==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26</Pages>
  <Words>5379</Words>
  <Characters>29587</Characters>
  <Application>Microsoft Office Word</Application>
  <DocSecurity>0</DocSecurity>
  <Lines>246</Lines>
  <Paragraphs>69</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34897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iMac</dc:creator>
  <cp:lastModifiedBy>USUARIO</cp:lastModifiedBy>
  <cp:revision>2</cp:revision>
  <cp:lastPrinted>2023-09-22T15:36:00Z</cp:lastPrinted>
  <dcterms:created xsi:type="dcterms:W3CDTF">2023-09-26T23:30:00Z</dcterms:created>
  <dcterms:modified xsi:type="dcterms:W3CDTF">2023-09-26T23:30:00Z</dcterms:modified>
</cp:coreProperties>
</file>