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E4D71" w14:textId="77777777" w:rsidR="007C1C68" w:rsidRDefault="007C1C68" w:rsidP="006922F5">
      <w:pPr>
        <w:pBdr>
          <w:top w:val="nil"/>
          <w:left w:val="nil"/>
          <w:bottom w:val="nil"/>
          <w:right w:val="nil"/>
          <w:between w:val="nil"/>
        </w:pBdr>
        <w:contextualSpacing/>
        <w:rPr>
          <w:rFonts w:eastAsia="Palatino Linotype" w:cs="Palatino Linotype"/>
          <w:color w:val="000000"/>
          <w:szCs w:val="24"/>
        </w:rPr>
      </w:pPr>
    </w:p>
    <w:p w14:paraId="49AF2C0C" w14:textId="08894FA9"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0F3FFA">
        <w:rPr>
          <w:rFonts w:eastAsia="Palatino Linotype" w:cs="Palatino Linotype"/>
          <w:color w:val="000000"/>
          <w:szCs w:val="24"/>
        </w:rPr>
        <w:t>México,</w:t>
      </w:r>
      <w:r w:rsidR="00C7799F" w:rsidRPr="000F3FFA">
        <w:rPr>
          <w:rFonts w:eastAsia="Palatino Linotype" w:cs="Palatino Linotype"/>
          <w:color w:val="000000"/>
          <w:szCs w:val="24"/>
        </w:rPr>
        <w:t xml:space="preserve"> a tres de octubre </w:t>
      </w:r>
      <w:r w:rsidR="006C7E69" w:rsidRPr="000F3FFA">
        <w:rPr>
          <w:rFonts w:eastAsia="Palatino Linotype" w:cs="Palatino Linotype"/>
          <w:color w:val="000000"/>
          <w:szCs w:val="24"/>
        </w:rPr>
        <w:t>de dos mil veintitrés</w:t>
      </w:r>
      <w:r w:rsidR="001C1BF4" w:rsidRPr="000F3FFA">
        <w:rPr>
          <w:rFonts w:eastAsia="Palatino Linotype" w:cs="Palatino Linotype"/>
          <w:color w:val="000000"/>
          <w:szCs w:val="24"/>
        </w:rPr>
        <w:t>.</w:t>
      </w:r>
    </w:p>
    <w:p w14:paraId="60399B74"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57156E3"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b/>
          <w:color w:val="000000"/>
          <w:szCs w:val="24"/>
        </w:rPr>
        <w:t>VISTO</w:t>
      </w:r>
      <w:r w:rsidRPr="000F3FFA">
        <w:rPr>
          <w:rFonts w:eastAsia="Palatino Linotype" w:cs="Palatino Linotype"/>
          <w:color w:val="000000"/>
          <w:szCs w:val="24"/>
        </w:rPr>
        <w:t xml:space="preserve"> el expediente electrónico formado con motivo del recurso de revisión número </w:t>
      </w:r>
      <w:r w:rsidR="008D4CC6" w:rsidRPr="000F3FFA">
        <w:rPr>
          <w:rFonts w:eastAsia="Palatino Linotype" w:cs="Palatino Linotype"/>
          <w:b/>
          <w:color w:val="000000"/>
          <w:szCs w:val="24"/>
        </w:rPr>
        <w:t>0</w:t>
      </w:r>
      <w:r w:rsidR="007C1C68" w:rsidRPr="000F3FFA">
        <w:rPr>
          <w:rFonts w:eastAsia="Palatino Linotype" w:cs="Palatino Linotype"/>
          <w:b/>
          <w:color w:val="000000"/>
          <w:szCs w:val="24"/>
        </w:rPr>
        <w:t>275</w:t>
      </w:r>
      <w:r w:rsidR="008D4CC6" w:rsidRPr="000F3FFA">
        <w:rPr>
          <w:rFonts w:eastAsia="Palatino Linotype" w:cs="Palatino Linotype"/>
          <w:b/>
          <w:color w:val="000000"/>
          <w:szCs w:val="24"/>
        </w:rPr>
        <w:t>5/INFOEM/IP/RR/2023</w:t>
      </w:r>
      <w:r w:rsidR="00B54BC7" w:rsidRPr="000F3FFA">
        <w:rPr>
          <w:rFonts w:eastAsia="Palatino Linotype" w:cs="Palatino Linotype"/>
          <w:color w:val="000000"/>
          <w:szCs w:val="24"/>
        </w:rPr>
        <w:t>, interpuesto po</w:t>
      </w:r>
      <w:r w:rsidR="00430C63" w:rsidRPr="000F3FFA">
        <w:rPr>
          <w:rFonts w:eastAsia="Palatino Linotype" w:cs="Palatino Linotype"/>
          <w:color w:val="000000"/>
          <w:szCs w:val="24"/>
        </w:rPr>
        <w:t xml:space="preserve">r </w:t>
      </w:r>
      <w:r w:rsidR="000C181A" w:rsidRPr="000F3FFA">
        <w:rPr>
          <w:rFonts w:eastAsia="Palatino Linotype" w:cs="Palatino Linotype"/>
          <w:b/>
          <w:bCs/>
          <w:color w:val="000000"/>
          <w:szCs w:val="24"/>
        </w:rPr>
        <w:t>XXXXXXXXXXXXXXXX</w:t>
      </w:r>
      <w:r w:rsidR="00B54BC7" w:rsidRPr="000F3FFA">
        <w:rPr>
          <w:rFonts w:eastAsia="Palatino Linotype" w:cs="Palatino Linotype"/>
          <w:color w:val="000000"/>
          <w:szCs w:val="24"/>
        </w:rPr>
        <w:t xml:space="preserve">, en lo sucesivo </w:t>
      </w:r>
      <w:r w:rsidR="007C1C68" w:rsidRPr="000F3FFA">
        <w:rPr>
          <w:rFonts w:eastAsia="Palatino Linotype" w:cs="Palatino Linotype"/>
          <w:color w:val="000000"/>
          <w:szCs w:val="24"/>
        </w:rPr>
        <w:t>la</w:t>
      </w:r>
      <w:r w:rsidR="00B54BC7" w:rsidRPr="000F3FFA">
        <w:rPr>
          <w:rFonts w:eastAsia="Palatino Linotype" w:cs="Palatino Linotype"/>
          <w:color w:val="000000"/>
          <w:szCs w:val="24"/>
        </w:rPr>
        <w:t xml:space="preserve"> </w:t>
      </w:r>
      <w:r w:rsidRPr="000F3FFA">
        <w:rPr>
          <w:rFonts w:eastAsia="Palatino Linotype" w:cs="Palatino Linotype"/>
          <w:b/>
          <w:color w:val="000000"/>
          <w:szCs w:val="24"/>
        </w:rPr>
        <w:t>Recurrente</w:t>
      </w:r>
      <w:r w:rsidRPr="000F3FFA">
        <w:rPr>
          <w:rFonts w:eastAsia="Palatino Linotype" w:cs="Palatino Linotype"/>
          <w:color w:val="000000"/>
          <w:szCs w:val="24"/>
        </w:rPr>
        <w:t>, en contra de la respuesta d</w:t>
      </w:r>
      <w:r w:rsidR="00165CA1" w:rsidRPr="000F3FFA">
        <w:rPr>
          <w:rFonts w:eastAsia="Palatino Linotype" w:cs="Palatino Linotype"/>
          <w:color w:val="000000"/>
          <w:szCs w:val="24"/>
        </w:rPr>
        <w:t>e</w:t>
      </w:r>
      <w:r w:rsidR="007C1C68" w:rsidRPr="000F3FFA">
        <w:rPr>
          <w:rFonts w:eastAsia="Palatino Linotype" w:cs="Palatino Linotype"/>
          <w:color w:val="000000"/>
          <w:szCs w:val="24"/>
        </w:rPr>
        <w:t>l</w:t>
      </w:r>
      <w:r w:rsidRPr="000F3FFA">
        <w:rPr>
          <w:rFonts w:eastAsia="Palatino Linotype" w:cs="Palatino Linotype"/>
          <w:color w:val="000000"/>
          <w:szCs w:val="24"/>
        </w:rPr>
        <w:t xml:space="preserve"> </w:t>
      </w:r>
      <w:r w:rsidR="007C1C68" w:rsidRPr="000F3FFA">
        <w:rPr>
          <w:rFonts w:eastAsia="Palatino Linotype" w:cs="Palatino Linotype"/>
          <w:b/>
          <w:color w:val="000000"/>
          <w:szCs w:val="24"/>
        </w:rPr>
        <w:t>Sistema de Transporte Masivo y Teleférico del Estado de México</w:t>
      </w:r>
      <w:r w:rsidR="0051074E" w:rsidRPr="000F3FFA">
        <w:rPr>
          <w:rFonts w:eastAsia="Palatino Linotype" w:cs="Palatino Linotype"/>
          <w:color w:val="000000"/>
          <w:szCs w:val="24"/>
        </w:rPr>
        <w:t xml:space="preserve">, </w:t>
      </w:r>
      <w:r w:rsidRPr="000F3FFA">
        <w:rPr>
          <w:rFonts w:eastAsia="Palatino Linotype" w:cs="Palatino Linotype"/>
          <w:color w:val="000000"/>
          <w:szCs w:val="24"/>
        </w:rPr>
        <w:t>en lo subsecuente</w:t>
      </w:r>
      <w:r w:rsidRPr="000F3FFA">
        <w:rPr>
          <w:rFonts w:eastAsia="Palatino Linotype" w:cs="Palatino Linotype"/>
          <w:b/>
          <w:color w:val="000000"/>
          <w:szCs w:val="24"/>
        </w:rPr>
        <w:t xml:space="preserve"> </w:t>
      </w:r>
      <w:r w:rsidRPr="000F3FFA">
        <w:rPr>
          <w:rFonts w:eastAsia="Palatino Linotype" w:cs="Palatino Linotype"/>
          <w:color w:val="000000"/>
          <w:szCs w:val="24"/>
        </w:rPr>
        <w:t>el</w:t>
      </w:r>
      <w:r w:rsidRPr="000F3FFA">
        <w:rPr>
          <w:rFonts w:eastAsia="Palatino Linotype" w:cs="Palatino Linotype"/>
          <w:b/>
          <w:color w:val="000000"/>
          <w:szCs w:val="24"/>
        </w:rPr>
        <w:t xml:space="preserve"> Sujeto Obligado, </w:t>
      </w:r>
      <w:r w:rsidRPr="000F3FFA">
        <w:rPr>
          <w:rFonts w:eastAsia="Palatino Linotype" w:cs="Palatino Linotype"/>
          <w:color w:val="000000"/>
          <w:szCs w:val="24"/>
        </w:rPr>
        <w:t>se procede a dictar la presente resolución.</w:t>
      </w:r>
    </w:p>
    <w:p w14:paraId="098603B2" w14:textId="77777777" w:rsidR="008E24B6" w:rsidRPr="000F3FFA"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F3FFA" w:rsidRDefault="00A970D5" w:rsidP="006922F5">
      <w:pPr>
        <w:pStyle w:val="Ttulo1"/>
        <w:rPr>
          <w:rFonts w:eastAsia="Palatino Linotype"/>
          <w:lang w:val="es-ES_tradnl"/>
        </w:rPr>
      </w:pPr>
      <w:r w:rsidRPr="000F3FFA">
        <w:rPr>
          <w:rFonts w:eastAsia="Palatino Linotype"/>
          <w:lang w:val="es-ES_tradnl"/>
        </w:rPr>
        <w:t>A N T E C E D E N T E S</w:t>
      </w:r>
    </w:p>
    <w:p w14:paraId="32F88820"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0F3FFA" w:rsidRDefault="00A970D5" w:rsidP="006922F5">
      <w:pPr>
        <w:pStyle w:val="Ttulo2"/>
        <w:rPr>
          <w:rFonts w:eastAsia="Palatino Linotype"/>
        </w:rPr>
      </w:pPr>
      <w:r w:rsidRPr="000F3FFA">
        <w:rPr>
          <w:rFonts w:eastAsia="Palatino Linotype"/>
        </w:rPr>
        <w:t>PRIMERO. De la Solicitud de Información.</w:t>
      </w:r>
    </w:p>
    <w:p w14:paraId="0870C154" w14:textId="01104DF6" w:rsidR="00A970D5" w:rsidRPr="000F3FFA" w:rsidRDefault="00B36B86"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Con fecha</w:t>
      </w:r>
      <w:r w:rsidR="00AA6C98" w:rsidRPr="000F3FFA">
        <w:rPr>
          <w:rFonts w:eastAsia="Palatino Linotype" w:cs="Palatino Linotype"/>
          <w:color w:val="000000"/>
          <w:szCs w:val="24"/>
        </w:rPr>
        <w:t xml:space="preserve"> </w:t>
      </w:r>
      <w:r w:rsidR="007C1C68" w:rsidRPr="000F3FFA">
        <w:rPr>
          <w:rFonts w:eastAsia="Palatino Linotype" w:cs="Palatino Linotype"/>
          <w:color w:val="000000"/>
          <w:szCs w:val="24"/>
        </w:rPr>
        <w:t>veintiuno de abril</w:t>
      </w:r>
      <w:r w:rsidR="00AA6C98" w:rsidRPr="000F3FFA">
        <w:rPr>
          <w:rFonts w:eastAsia="Palatino Linotype" w:cs="Palatino Linotype"/>
          <w:color w:val="000000"/>
          <w:szCs w:val="24"/>
        </w:rPr>
        <w:t xml:space="preserve"> de dos mil veintitrés</w:t>
      </w:r>
      <w:r w:rsidR="00B54BC7" w:rsidRPr="000F3FFA">
        <w:rPr>
          <w:rFonts w:eastAsia="Palatino Linotype" w:cs="Palatino Linotype"/>
          <w:color w:val="000000"/>
          <w:szCs w:val="24"/>
        </w:rPr>
        <w:t xml:space="preserve">, </w:t>
      </w:r>
      <w:r w:rsidR="007C1C68" w:rsidRPr="000F3FFA">
        <w:rPr>
          <w:rFonts w:eastAsia="Palatino Linotype" w:cs="Palatino Linotype"/>
          <w:color w:val="000000"/>
          <w:szCs w:val="24"/>
        </w:rPr>
        <w:t>la</w:t>
      </w:r>
      <w:r w:rsidR="00A970D5" w:rsidRPr="000F3FFA">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0F3FFA">
        <w:rPr>
          <w:rFonts w:eastAsia="Palatino Linotype" w:cs="Palatino Linotype"/>
          <w:b/>
          <w:color w:val="000000"/>
          <w:szCs w:val="24"/>
        </w:rPr>
        <w:t xml:space="preserve"> </w:t>
      </w:r>
      <w:r w:rsidR="007C1C68" w:rsidRPr="000F3FFA">
        <w:rPr>
          <w:rFonts w:eastAsia="Palatino Linotype" w:cs="Palatino Linotype"/>
          <w:b/>
          <w:bCs/>
          <w:color w:val="000000"/>
          <w:szCs w:val="24"/>
        </w:rPr>
        <w:t>00052/STMEM/IP/2023</w:t>
      </w:r>
      <w:r w:rsidR="00A970D5" w:rsidRPr="000F3FFA">
        <w:rPr>
          <w:rFonts w:eastAsia="Palatino Linotype" w:cs="Palatino Linotype"/>
          <w:color w:val="000000"/>
          <w:szCs w:val="24"/>
        </w:rPr>
        <w:t>,</w:t>
      </w:r>
      <w:r w:rsidR="00A970D5" w:rsidRPr="000F3FFA">
        <w:rPr>
          <w:rFonts w:eastAsia="Palatino Linotype" w:cs="Palatino Linotype"/>
          <w:b/>
          <w:color w:val="000000"/>
          <w:szCs w:val="24"/>
        </w:rPr>
        <w:t xml:space="preserve"> </w:t>
      </w:r>
      <w:r w:rsidR="00A970D5" w:rsidRPr="000F3FFA">
        <w:rPr>
          <w:rFonts w:eastAsia="Palatino Linotype" w:cs="Palatino Linotype"/>
          <w:color w:val="000000"/>
          <w:szCs w:val="24"/>
        </w:rPr>
        <w:t>mediante la cual solicitó información en el tenor siguiente:</w:t>
      </w:r>
    </w:p>
    <w:p w14:paraId="68B56D82"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61F7A29" w:rsidR="00A970D5" w:rsidRPr="000F3FFA" w:rsidRDefault="00A970D5" w:rsidP="008E24B6">
      <w:pPr>
        <w:pStyle w:val="Fundamentos"/>
      </w:pPr>
      <w:r w:rsidRPr="000F3FFA">
        <w:t>“</w:t>
      </w:r>
      <w:r w:rsidR="007C1C68" w:rsidRPr="000F3FFA">
        <w:t xml:space="preserve">1. Informe y especifique qué contrato (s) de seguro(s) tiene celebrados durante los años: 2022 y 2023 el Mexibús (Sistema de autobús de tránsito Rápido) o en su caso los concesionarios que operen la ruta de ampliación de la línea 3, que recorre de la estación Acuitlapilco a la estación Central de abastos Chicoloapan y que ampare el concepto de Responsabilidad Civil por daños a terceros. 2. Informe y especifique qué contrato (s) de seguro(s) tiene celebrados durante los años: 2022 y 2023 el Mexibús (Sistema de autobús de tránsito Rápido) o en su caso, quien se encargue de la conservación del mantenimiento de la ruta de ampliación de la línea 3 del </w:t>
      </w:r>
      <w:r w:rsidR="007C1C68" w:rsidRPr="000F3FFA">
        <w:lastRenderedPageBreak/>
        <w:t>mismo, que ampare el concepto de Responsabilidad Civil por daños a terceros. 3. Informe con qué compañía(s) aseguradora(s) tiene contratado el Mexibús (Sistema de autobús de tránsito Rápido) o, en su caso, los concesionarios, respecto de lo citados contratos de seguros y sus pólizas respectivas a que se refieren los numerales 1 y 2 anteriores y que amparen el concepto de Responsabilidad Civil por daños a terceros. 4. Informe y proporcione de manera completa la Póliza de Seguro y la póliza con su carátula que el Mexibús (Sistema de autobús de tránsito Rápido) tengan celebrados con las aseguradoras y que amparan la responsabilidad civil por daños a terceros citadas en el punto anterior. 5. Informe si se encuentra concesionado a algún particular la operación de la ampliación de la ruta 3 del Mexibús o, en su defecto, quien opera la misma.</w:t>
      </w:r>
      <w:r w:rsidRPr="000F3FFA">
        <w:t xml:space="preserve">” </w:t>
      </w:r>
      <w:r w:rsidR="00D7260C" w:rsidRPr="000F3FFA">
        <w:t>(</w:t>
      </w:r>
      <w:r w:rsidRPr="000F3FFA">
        <w:t>Sic</w:t>
      </w:r>
      <w:r w:rsidR="00D7260C" w:rsidRPr="000F3FFA">
        <w:t>)</w:t>
      </w:r>
    </w:p>
    <w:p w14:paraId="40BBECCB"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CEB8E21" w:rsidR="00A970D5" w:rsidRPr="000F3FFA" w:rsidRDefault="00A970D5" w:rsidP="006922F5">
      <w:pPr>
        <w:pBdr>
          <w:top w:val="nil"/>
          <w:left w:val="nil"/>
          <w:bottom w:val="nil"/>
          <w:right w:val="nil"/>
          <w:between w:val="nil"/>
        </w:pBdr>
        <w:contextualSpacing/>
        <w:rPr>
          <w:rFonts w:eastAsia="Palatino Linotype" w:cs="Palatino Linotype"/>
          <w:b/>
          <w:color w:val="000000"/>
          <w:szCs w:val="24"/>
        </w:rPr>
      </w:pPr>
      <w:r w:rsidRPr="000F3FFA">
        <w:rPr>
          <w:rFonts w:eastAsia="Palatino Linotype" w:cs="Palatino Linotype"/>
          <w:color w:val="000000"/>
          <w:szCs w:val="24"/>
        </w:rPr>
        <w:t xml:space="preserve">Modalidad de entrega: </w:t>
      </w:r>
      <w:r w:rsidR="00330F93" w:rsidRPr="000F3FFA">
        <w:rPr>
          <w:rFonts w:eastAsia="Palatino Linotype" w:cs="Palatino Linotype"/>
          <w:b/>
          <w:color w:val="000000"/>
          <w:szCs w:val="24"/>
        </w:rPr>
        <w:t>CD-ROM (con costo)</w:t>
      </w:r>
      <w:r w:rsidRPr="000F3FFA">
        <w:rPr>
          <w:rFonts w:eastAsia="Palatino Linotype" w:cs="Palatino Linotype"/>
          <w:color w:val="000000"/>
          <w:szCs w:val="24"/>
        </w:rPr>
        <w:t>.</w:t>
      </w:r>
    </w:p>
    <w:p w14:paraId="474DB373" w14:textId="77777777" w:rsidR="00430C63" w:rsidRPr="000F3FFA"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12CE92E9" w:rsidR="00A970D5" w:rsidRPr="000F3FFA" w:rsidRDefault="008E24B6" w:rsidP="006922F5">
      <w:pPr>
        <w:pStyle w:val="Ttulo2"/>
        <w:rPr>
          <w:rFonts w:eastAsia="Palatino Linotype"/>
        </w:rPr>
      </w:pPr>
      <w:r w:rsidRPr="000F3FFA">
        <w:rPr>
          <w:rFonts w:eastAsia="Palatino Linotype"/>
        </w:rPr>
        <w:t>SEGUNDO</w:t>
      </w:r>
      <w:r w:rsidR="00A970D5" w:rsidRPr="000F3FFA">
        <w:rPr>
          <w:rFonts w:eastAsia="Palatino Linotype"/>
        </w:rPr>
        <w:t>. De la respuesta del Sujeto Obligado.</w:t>
      </w:r>
    </w:p>
    <w:p w14:paraId="2EE6F294" w14:textId="37E6894B"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De las constancias que obran en el expediente electrónico, se observa qu</w:t>
      </w:r>
      <w:r w:rsidR="008B2951" w:rsidRPr="000F3FFA">
        <w:rPr>
          <w:rFonts w:eastAsia="Palatino Linotype" w:cs="Palatino Linotype"/>
          <w:color w:val="000000"/>
          <w:szCs w:val="24"/>
        </w:rPr>
        <w:t>e el día</w:t>
      </w:r>
      <w:r w:rsidR="00AA6C98" w:rsidRPr="000F3FFA">
        <w:rPr>
          <w:rFonts w:eastAsia="Palatino Linotype" w:cs="Palatino Linotype"/>
          <w:color w:val="000000"/>
          <w:szCs w:val="24"/>
        </w:rPr>
        <w:t xml:space="preserve"> </w:t>
      </w:r>
      <w:r w:rsidR="007C1C68" w:rsidRPr="000F3FFA">
        <w:rPr>
          <w:rFonts w:eastAsia="Palatino Linotype" w:cs="Palatino Linotype"/>
          <w:color w:val="000000"/>
          <w:szCs w:val="24"/>
        </w:rPr>
        <w:t xml:space="preserve">doce de mayo </w:t>
      </w:r>
      <w:r w:rsidR="00AA6C98" w:rsidRPr="000F3FFA">
        <w:rPr>
          <w:rFonts w:eastAsia="Palatino Linotype" w:cs="Palatino Linotype"/>
          <w:color w:val="000000"/>
          <w:szCs w:val="24"/>
        </w:rPr>
        <w:t>de dos mil veintitrés</w:t>
      </w:r>
      <w:r w:rsidRPr="000F3FFA">
        <w:rPr>
          <w:rFonts w:eastAsia="Palatino Linotype" w:cs="Palatino Linotype"/>
          <w:color w:val="000000"/>
          <w:szCs w:val="24"/>
        </w:rPr>
        <w:t>, el Sujeto Obligado dio respuest</w:t>
      </w:r>
      <w:r w:rsidR="009F4FF4" w:rsidRPr="000F3FFA">
        <w:rPr>
          <w:rFonts w:eastAsia="Palatino Linotype" w:cs="Palatino Linotype"/>
          <w:color w:val="000000"/>
          <w:szCs w:val="24"/>
        </w:rPr>
        <w:t>a a la solicitud de información</w:t>
      </w:r>
      <w:r w:rsidRPr="000F3FFA">
        <w:rPr>
          <w:rFonts w:eastAsia="Palatino Linotype" w:cs="Palatino Linotype"/>
          <w:color w:val="000000"/>
          <w:szCs w:val="24"/>
        </w:rPr>
        <w:t xml:space="preserve"> manifestando lo siguiente:</w:t>
      </w:r>
    </w:p>
    <w:p w14:paraId="6CF4EC0F"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 w:val="21"/>
          <w:szCs w:val="21"/>
        </w:rPr>
      </w:pPr>
    </w:p>
    <w:p w14:paraId="2835C43E" w14:textId="77777777" w:rsidR="007C1C68" w:rsidRPr="000F3FFA" w:rsidRDefault="00A970D5" w:rsidP="007C1C68">
      <w:pPr>
        <w:pStyle w:val="Fundamentos"/>
      </w:pPr>
      <w:r w:rsidRPr="000F3FFA">
        <w:t>“</w:t>
      </w:r>
      <w:r w:rsidR="007C1C68" w:rsidRPr="000F3FFA">
        <w:t>En respuesta a la solicitud recibida, nos permitimos hacer de su conocimiento que con fundamento en el artículo 53, Fracciones: II, V y VI de la Ley de Transparencia y Acceso a la Información Pública del Estado de México y Municipios, le contestamos que:</w:t>
      </w:r>
    </w:p>
    <w:p w14:paraId="7080154E" w14:textId="77777777" w:rsidR="007C1C68" w:rsidRPr="000F3FFA" w:rsidRDefault="007C1C68" w:rsidP="007C1C68">
      <w:pPr>
        <w:pStyle w:val="Fundamentos"/>
      </w:pPr>
    </w:p>
    <w:p w14:paraId="31B6555E" w14:textId="77777777" w:rsidR="007C1C68" w:rsidRPr="000F3FFA" w:rsidRDefault="007C1C68" w:rsidP="007C1C68">
      <w:pPr>
        <w:pStyle w:val="Fundamentos"/>
      </w:pPr>
      <w:r w:rsidRPr="000F3FFA">
        <w:t>que por medio del presente se da contestación a su solicitud de información</w:t>
      </w:r>
    </w:p>
    <w:p w14:paraId="7CBE36DD" w14:textId="77777777" w:rsidR="007C1C68" w:rsidRPr="000F3FFA" w:rsidRDefault="007C1C68" w:rsidP="007C1C68">
      <w:pPr>
        <w:pStyle w:val="Fundamentos"/>
      </w:pPr>
    </w:p>
    <w:p w14:paraId="3AF5BEA1" w14:textId="77777777" w:rsidR="007C1C68" w:rsidRPr="000F3FFA" w:rsidRDefault="007C1C68" w:rsidP="007C1C68">
      <w:pPr>
        <w:pStyle w:val="Fundamentos"/>
      </w:pPr>
      <w:r w:rsidRPr="000F3FFA">
        <w:t>ATENTAMENTE</w:t>
      </w:r>
    </w:p>
    <w:p w14:paraId="3FE4A9EF" w14:textId="009F0B45" w:rsidR="00A970D5" w:rsidRPr="000F3FFA" w:rsidRDefault="007C1C68" w:rsidP="007C1C68">
      <w:pPr>
        <w:pStyle w:val="Fundamentos"/>
        <w:rPr>
          <w:lang w:val="es-MX"/>
        </w:rPr>
      </w:pPr>
      <w:r w:rsidRPr="000F3FFA">
        <w:t>LIC. GONZALO LINAS COLIN</w:t>
      </w:r>
      <w:r w:rsidR="00A970D5" w:rsidRPr="000F3FFA">
        <w:rPr>
          <w:lang w:val="es-MX"/>
        </w:rPr>
        <w:t>” (Sic)</w:t>
      </w:r>
    </w:p>
    <w:p w14:paraId="2EAB8352" w14:textId="3B77EF6C" w:rsidR="001107C4" w:rsidRPr="000F3FFA"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3A197D0B" w:rsidR="0037112D" w:rsidRPr="000F3FFA" w:rsidRDefault="0037112D" w:rsidP="00AA6C98">
      <w:pPr>
        <w:pBdr>
          <w:top w:val="nil"/>
          <w:left w:val="nil"/>
          <w:bottom w:val="nil"/>
          <w:right w:val="nil"/>
          <w:between w:val="nil"/>
        </w:pBdr>
        <w:contextualSpacing/>
        <w:rPr>
          <w:rFonts w:eastAsia="Palatino Linotype" w:cs="Palatino Linotype"/>
          <w:b/>
          <w:bCs/>
          <w:color w:val="000000"/>
          <w:szCs w:val="24"/>
        </w:rPr>
      </w:pPr>
      <w:r w:rsidRPr="000F3FFA">
        <w:rPr>
          <w:rFonts w:eastAsia="Palatino Linotype" w:cs="Palatino Linotype"/>
          <w:color w:val="000000"/>
          <w:szCs w:val="24"/>
        </w:rPr>
        <w:t xml:space="preserve">El Sujeto Obligado </w:t>
      </w:r>
      <w:r w:rsidR="00AA6C98" w:rsidRPr="000F3FFA">
        <w:rPr>
          <w:rFonts w:eastAsia="Palatino Linotype" w:cs="Palatino Linotype"/>
          <w:color w:val="000000"/>
          <w:szCs w:val="24"/>
        </w:rPr>
        <w:t>adjuntó a su respuesta los</w:t>
      </w:r>
      <w:r w:rsidR="00165CA1" w:rsidRPr="000F3FFA">
        <w:rPr>
          <w:rFonts w:eastAsia="Palatino Linotype" w:cs="Palatino Linotype"/>
          <w:color w:val="000000"/>
          <w:szCs w:val="24"/>
        </w:rPr>
        <w:t xml:space="preserve"> documento</w:t>
      </w:r>
      <w:r w:rsidR="00AA6C98" w:rsidRPr="000F3FFA">
        <w:rPr>
          <w:rFonts w:eastAsia="Palatino Linotype" w:cs="Palatino Linotype"/>
          <w:color w:val="000000"/>
          <w:szCs w:val="24"/>
        </w:rPr>
        <w:t>s</w:t>
      </w:r>
      <w:r w:rsidR="00165CA1" w:rsidRPr="000F3FFA">
        <w:rPr>
          <w:rFonts w:eastAsia="Palatino Linotype" w:cs="Palatino Linotype"/>
          <w:color w:val="000000"/>
          <w:szCs w:val="24"/>
        </w:rPr>
        <w:t xml:space="preserve"> denominado</w:t>
      </w:r>
      <w:r w:rsidR="00AA6C98" w:rsidRPr="000F3FFA">
        <w:rPr>
          <w:rFonts w:eastAsia="Palatino Linotype" w:cs="Palatino Linotype"/>
          <w:color w:val="000000"/>
          <w:szCs w:val="24"/>
        </w:rPr>
        <w:t>s</w:t>
      </w:r>
      <w:r w:rsidR="00AA6C98" w:rsidRPr="000F3FFA">
        <w:rPr>
          <w:rFonts w:eastAsia="Palatino Linotype" w:cs="Palatino Linotype"/>
          <w:bCs/>
          <w:color w:val="000000"/>
          <w:szCs w:val="24"/>
        </w:rPr>
        <w:t xml:space="preserve"> </w:t>
      </w:r>
      <w:r w:rsidR="00AA6C98" w:rsidRPr="000F3FFA">
        <w:rPr>
          <w:rFonts w:eastAsia="Palatino Linotype" w:cs="Palatino Linotype"/>
          <w:b/>
          <w:bCs/>
          <w:color w:val="000000"/>
          <w:szCs w:val="24"/>
        </w:rPr>
        <w:t>“</w:t>
      </w:r>
      <w:r w:rsidR="007C1C68" w:rsidRPr="000F3FFA">
        <w:rPr>
          <w:rFonts w:eastAsia="Palatino Linotype" w:cs="Palatino Linotype"/>
          <w:b/>
          <w:bCs/>
          <w:color w:val="000000"/>
          <w:szCs w:val="24"/>
        </w:rPr>
        <w:t>OFICIO Y RESPUESTA SAIMEX 00052</w:t>
      </w:r>
      <w:r w:rsidR="00AA6C98" w:rsidRPr="000F3FFA">
        <w:rPr>
          <w:rFonts w:eastAsia="Palatino Linotype" w:cs="Palatino Linotype"/>
          <w:b/>
          <w:bCs/>
          <w:color w:val="000000"/>
          <w:szCs w:val="24"/>
        </w:rPr>
        <w:t>.pdf”</w:t>
      </w:r>
      <w:r w:rsidR="00AA6C98" w:rsidRPr="000F3FFA">
        <w:rPr>
          <w:rFonts w:eastAsia="Palatino Linotype" w:cs="Palatino Linotype"/>
          <w:bCs/>
          <w:color w:val="000000"/>
          <w:szCs w:val="24"/>
        </w:rPr>
        <w:t xml:space="preserve"> y</w:t>
      </w:r>
      <w:r w:rsidR="00AA6C98" w:rsidRPr="000F3FFA">
        <w:rPr>
          <w:rFonts w:eastAsia="Palatino Linotype" w:cs="Palatino Linotype"/>
          <w:b/>
          <w:bCs/>
          <w:color w:val="000000"/>
          <w:szCs w:val="24"/>
        </w:rPr>
        <w:t xml:space="preserve"> “</w:t>
      </w:r>
      <w:r w:rsidR="007C1C68" w:rsidRPr="000F3FFA">
        <w:rPr>
          <w:rFonts w:eastAsia="Palatino Linotype" w:cs="Palatino Linotype"/>
          <w:b/>
          <w:bCs/>
          <w:color w:val="000000"/>
          <w:szCs w:val="24"/>
        </w:rPr>
        <w:t>Of. 291 - SAIMEX 052</w:t>
      </w:r>
      <w:r w:rsidR="00AA6C98" w:rsidRPr="000F3FFA">
        <w:rPr>
          <w:rFonts w:eastAsia="Palatino Linotype" w:cs="Palatino Linotype"/>
          <w:b/>
          <w:bCs/>
          <w:color w:val="000000"/>
          <w:szCs w:val="24"/>
        </w:rPr>
        <w:t>.pdf</w:t>
      </w:r>
      <w:r w:rsidRPr="000F3FFA">
        <w:rPr>
          <w:rFonts w:eastAsia="Palatino Linotype" w:cs="Palatino Linotype"/>
          <w:b/>
          <w:bCs/>
          <w:color w:val="000000"/>
          <w:szCs w:val="24"/>
        </w:rPr>
        <w:t>”</w:t>
      </w:r>
      <w:r w:rsidRPr="000F3FFA">
        <w:rPr>
          <w:rFonts w:eastAsia="Palatino Linotype" w:cs="Palatino Linotype"/>
          <w:color w:val="000000"/>
          <w:szCs w:val="24"/>
        </w:rPr>
        <w:t xml:space="preserve">, </w:t>
      </w:r>
      <w:r w:rsidR="00AA6C98" w:rsidRPr="000F3FFA">
        <w:rPr>
          <w:rFonts w:eastAsia="Palatino Linotype" w:cs="Palatino Linotype"/>
          <w:color w:val="000000"/>
          <w:szCs w:val="24"/>
        </w:rPr>
        <w:t>los</w:t>
      </w:r>
      <w:r w:rsidR="00165CA1" w:rsidRPr="000F3FFA">
        <w:rPr>
          <w:rFonts w:eastAsia="Palatino Linotype" w:cs="Palatino Linotype"/>
          <w:color w:val="000000"/>
          <w:szCs w:val="24"/>
        </w:rPr>
        <w:t xml:space="preserve"> cual</w:t>
      </w:r>
      <w:r w:rsidR="00AA6C98" w:rsidRPr="000F3FFA">
        <w:rPr>
          <w:rFonts w:eastAsia="Palatino Linotype" w:cs="Palatino Linotype"/>
          <w:color w:val="000000"/>
          <w:szCs w:val="24"/>
        </w:rPr>
        <w:t>es</w:t>
      </w:r>
      <w:r w:rsidR="00165CA1" w:rsidRPr="000F3FFA">
        <w:rPr>
          <w:rFonts w:eastAsia="Palatino Linotype" w:cs="Palatino Linotype"/>
          <w:color w:val="000000"/>
          <w:szCs w:val="24"/>
        </w:rPr>
        <w:t xml:space="preserve"> no se reproduce</w:t>
      </w:r>
      <w:r w:rsidR="00AA6C98" w:rsidRPr="000F3FFA">
        <w:rPr>
          <w:rFonts w:eastAsia="Palatino Linotype" w:cs="Palatino Linotype"/>
          <w:color w:val="000000"/>
          <w:szCs w:val="24"/>
        </w:rPr>
        <w:t>n</w:t>
      </w:r>
      <w:r w:rsidR="00EE3066" w:rsidRPr="000F3FFA">
        <w:rPr>
          <w:rFonts w:eastAsia="Palatino Linotype" w:cs="Palatino Linotype"/>
          <w:color w:val="000000"/>
          <w:szCs w:val="24"/>
        </w:rPr>
        <w:t xml:space="preserve"> por ser del conocimiento de las partes; no obstante, su </w:t>
      </w:r>
      <w:r w:rsidR="009B321A" w:rsidRPr="000F3FFA">
        <w:rPr>
          <w:rFonts w:eastAsia="Palatino Linotype" w:cs="Palatino Linotype"/>
          <w:color w:val="000000"/>
          <w:szCs w:val="24"/>
        </w:rPr>
        <w:t>contenido será motivo de análisis en el estudio correspondiente.</w:t>
      </w:r>
    </w:p>
    <w:p w14:paraId="2011BBDD" w14:textId="77777777" w:rsidR="0037112D" w:rsidRPr="000F3FFA"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6203C675" w:rsidR="00A970D5" w:rsidRPr="000F3FFA" w:rsidRDefault="008E24B6" w:rsidP="006922F5">
      <w:pPr>
        <w:pStyle w:val="Ttulo2"/>
        <w:rPr>
          <w:rFonts w:eastAsia="Palatino Linotype"/>
        </w:rPr>
      </w:pPr>
      <w:r w:rsidRPr="000F3FFA">
        <w:rPr>
          <w:rFonts w:eastAsia="Palatino Linotype"/>
        </w:rPr>
        <w:t>TERCERO</w:t>
      </w:r>
      <w:r w:rsidR="00A970D5" w:rsidRPr="000F3FFA">
        <w:rPr>
          <w:rFonts w:eastAsia="Palatino Linotype"/>
        </w:rPr>
        <w:t>. Del recurso de revisión.</w:t>
      </w:r>
    </w:p>
    <w:p w14:paraId="0C8C3A2F" w14:textId="3DB5F7F5"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Inconforme con la respuesta em</w:t>
      </w:r>
      <w:r w:rsidR="00A06896" w:rsidRPr="000F3FFA">
        <w:rPr>
          <w:rFonts w:eastAsia="Palatino Linotype" w:cs="Palatino Linotype"/>
          <w:color w:val="000000"/>
          <w:szCs w:val="24"/>
        </w:rPr>
        <w:t xml:space="preserve">itida por el Sujeto Obligado, </w:t>
      </w:r>
      <w:r w:rsidR="00EE3066" w:rsidRPr="000F3FFA">
        <w:rPr>
          <w:rFonts w:eastAsia="Palatino Linotype" w:cs="Palatino Linotype"/>
          <w:color w:val="000000"/>
          <w:szCs w:val="24"/>
        </w:rPr>
        <w:t>el</w:t>
      </w:r>
      <w:r w:rsidRPr="000F3FFA">
        <w:rPr>
          <w:rFonts w:eastAsia="Palatino Linotype" w:cs="Palatino Linotype"/>
          <w:color w:val="000000"/>
          <w:szCs w:val="24"/>
        </w:rPr>
        <w:t xml:space="preserve"> Recurrente interpuso el presente recurso de revisión e</w:t>
      </w:r>
      <w:r w:rsidR="008B2951" w:rsidRPr="000F3FFA">
        <w:rPr>
          <w:rFonts w:eastAsia="Palatino Linotype" w:cs="Palatino Linotype"/>
          <w:color w:val="000000"/>
          <w:szCs w:val="24"/>
        </w:rPr>
        <w:t xml:space="preserve">l día </w:t>
      </w:r>
      <w:r w:rsidR="00A66F9F" w:rsidRPr="000F3FFA">
        <w:rPr>
          <w:rFonts w:eastAsia="Palatino Linotype" w:cs="Palatino Linotype"/>
          <w:color w:val="000000"/>
          <w:szCs w:val="24"/>
        </w:rPr>
        <w:t xml:space="preserve">diecinueve de mayo </w:t>
      </w:r>
      <w:r w:rsidR="00AA6C98" w:rsidRPr="000F3FFA">
        <w:rPr>
          <w:rFonts w:eastAsia="Palatino Linotype" w:cs="Palatino Linotype"/>
          <w:color w:val="000000"/>
          <w:szCs w:val="24"/>
        </w:rPr>
        <w:t>de dos mil veintitrés</w:t>
      </w:r>
      <w:r w:rsidRPr="000F3FFA">
        <w:rPr>
          <w:rFonts w:eastAsia="Palatino Linotype" w:cs="Palatino Linotype"/>
          <w:color w:val="000000"/>
          <w:szCs w:val="24"/>
        </w:rPr>
        <w:t xml:space="preserve">, el cual se registró </w:t>
      </w:r>
      <w:r w:rsidR="00E05F1C" w:rsidRPr="000F3FFA">
        <w:rPr>
          <w:rFonts w:eastAsia="Palatino Linotype" w:cs="Palatino Linotype"/>
          <w:color w:val="000000"/>
          <w:szCs w:val="24"/>
        </w:rPr>
        <w:t xml:space="preserve">en el SAIMEX </w:t>
      </w:r>
      <w:r w:rsidRPr="000F3FFA">
        <w:rPr>
          <w:rFonts w:eastAsia="Palatino Linotype" w:cs="Palatino Linotype"/>
          <w:color w:val="000000"/>
          <w:szCs w:val="24"/>
        </w:rPr>
        <w:t xml:space="preserve">con el expediente número </w:t>
      </w:r>
      <w:r w:rsidR="008D4CC6" w:rsidRPr="000F3FFA">
        <w:rPr>
          <w:rFonts w:eastAsia="Palatino Linotype" w:cs="Palatino Linotype"/>
          <w:b/>
          <w:color w:val="000000"/>
          <w:szCs w:val="24"/>
        </w:rPr>
        <w:t>0</w:t>
      </w:r>
      <w:r w:rsidR="00A66F9F" w:rsidRPr="000F3FFA">
        <w:rPr>
          <w:rFonts w:eastAsia="Palatino Linotype" w:cs="Palatino Linotype"/>
          <w:b/>
          <w:color w:val="000000"/>
          <w:szCs w:val="24"/>
        </w:rPr>
        <w:t>275</w:t>
      </w:r>
      <w:r w:rsidR="008D4CC6" w:rsidRPr="000F3FFA">
        <w:rPr>
          <w:rFonts w:eastAsia="Palatino Linotype" w:cs="Palatino Linotype"/>
          <w:b/>
          <w:color w:val="000000"/>
          <w:szCs w:val="24"/>
        </w:rPr>
        <w:t>5/INFOEM/IP/RR/2023</w:t>
      </w:r>
      <w:r w:rsidR="00A06896" w:rsidRPr="000F3FFA">
        <w:rPr>
          <w:rFonts w:eastAsia="Palatino Linotype" w:cs="Palatino Linotype"/>
          <w:color w:val="000000"/>
          <w:szCs w:val="24"/>
        </w:rPr>
        <w:t xml:space="preserve">, </w:t>
      </w:r>
      <w:r w:rsidR="00A24265" w:rsidRPr="000F3FFA">
        <w:rPr>
          <w:rFonts w:eastAsia="Palatino Linotype" w:cs="Palatino Linotype"/>
          <w:color w:val="000000"/>
          <w:szCs w:val="24"/>
        </w:rPr>
        <w:t>manifestando</w:t>
      </w:r>
      <w:r w:rsidRPr="000F3FFA">
        <w:rPr>
          <w:rFonts w:eastAsia="Palatino Linotype" w:cs="Palatino Linotype"/>
          <w:color w:val="000000"/>
          <w:szCs w:val="24"/>
        </w:rPr>
        <w:t xml:space="preserve"> lo siguiente:</w:t>
      </w:r>
    </w:p>
    <w:p w14:paraId="7AA0C9F4" w14:textId="046134A0" w:rsidR="00A970D5" w:rsidRPr="000F3FFA" w:rsidRDefault="00A970D5" w:rsidP="006922F5">
      <w:pPr>
        <w:pBdr>
          <w:top w:val="nil"/>
          <w:left w:val="nil"/>
          <w:bottom w:val="nil"/>
          <w:right w:val="nil"/>
          <w:between w:val="nil"/>
        </w:pBdr>
        <w:contextualSpacing/>
        <w:rPr>
          <w:rFonts w:eastAsia="Palatino Linotype" w:cs="Palatino Linotype"/>
          <w:color w:val="000000"/>
          <w:sz w:val="22"/>
        </w:rPr>
      </w:pPr>
    </w:p>
    <w:p w14:paraId="40A32B60" w14:textId="77777777" w:rsidR="00EE58CE" w:rsidRPr="000F3FFA" w:rsidRDefault="00A970D5" w:rsidP="00EE58CE">
      <w:pPr>
        <w:contextualSpacing/>
        <w:rPr>
          <w:rFonts w:eastAsia="Palatino Linotype" w:cs="Palatino Linotype"/>
          <w:b/>
        </w:rPr>
      </w:pPr>
      <w:r w:rsidRPr="000F3FFA">
        <w:rPr>
          <w:rFonts w:eastAsia="Palatino Linotype" w:cs="Palatino Linotype"/>
          <w:b/>
        </w:rPr>
        <w:t>Acto Impugnado:</w:t>
      </w:r>
      <w:r w:rsidR="00655007" w:rsidRPr="000F3FFA">
        <w:rPr>
          <w:rFonts w:eastAsia="Palatino Linotype" w:cs="Palatino Linotype"/>
          <w:b/>
        </w:rPr>
        <w:t xml:space="preserve"> </w:t>
      </w:r>
    </w:p>
    <w:p w14:paraId="4A0EFE5A" w14:textId="3C806E43" w:rsidR="00A970D5" w:rsidRPr="000F3FFA" w:rsidRDefault="00A970D5" w:rsidP="00A66F9F">
      <w:pPr>
        <w:pStyle w:val="Fundamentos"/>
      </w:pPr>
      <w:r w:rsidRPr="000F3FFA">
        <w:t>“</w:t>
      </w:r>
      <w:r w:rsidR="00A66F9F" w:rsidRPr="000F3FFA">
        <w:t>Inconformidad con la respuesta a la solicitud de información 00052/STMEM/IP/2023 emitida por el Sistema de Transporte Masivo y Teleférico del Estado de México, con fecha 12 de mayo de 2023.</w:t>
      </w:r>
      <w:r w:rsidRPr="000F3FFA">
        <w:t>"(Sic)</w:t>
      </w:r>
    </w:p>
    <w:p w14:paraId="3C40A441" w14:textId="77777777" w:rsidR="00A970D5" w:rsidRPr="000F3FFA" w:rsidRDefault="00A970D5" w:rsidP="00EE58CE">
      <w:pPr>
        <w:contextualSpacing/>
        <w:rPr>
          <w:rFonts w:eastAsia="Palatino Linotype" w:cs="Palatino Linotype"/>
          <w:iCs/>
          <w:szCs w:val="24"/>
        </w:rPr>
      </w:pPr>
    </w:p>
    <w:p w14:paraId="7F2BEDC1" w14:textId="77777777" w:rsidR="00EE58CE" w:rsidRPr="000F3FFA" w:rsidRDefault="00A970D5" w:rsidP="00EE58CE">
      <w:pPr>
        <w:contextualSpacing/>
        <w:rPr>
          <w:rFonts w:eastAsia="Palatino Linotype" w:cs="Palatino Linotype"/>
        </w:rPr>
      </w:pPr>
      <w:r w:rsidRPr="000F3FFA">
        <w:rPr>
          <w:rFonts w:eastAsia="Palatino Linotype" w:cs="Palatino Linotype"/>
          <w:b/>
        </w:rPr>
        <w:t>Razones o Motivos de Inconformidad</w:t>
      </w:r>
      <w:r w:rsidR="00004014" w:rsidRPr="000F3FFA">
        <w:rPr>
          <w:rFonts w:eastAsia="Palatino Linotype" w:cs="Palatino Linotype"/>
        </w:rPr>
        <w:t>:</w:t>
      </w:r>
      <w:r w:rsidR="009279EC" w:rsidRPr="000F3FFA">
        <w:rPr>
          <w:rFonts w:eastAsia="Palatino Linotype" w:cs="Palatino Linotype"/>
        </w:rPr>
        <w:t xml:space="preserve"> </w:t>
      </w:r>
    </w:p>
    <w:p w14:paraId="2DAC342E" w14:textId="3B3C06E2" w:rsidR="00A970D5" w:rsidRPr="000F3FFA" w:rsidRDefault="00A970D5" w:rsidP="00A66F9F">
      <w:pPr>
        <w:pStyle w:val="Fundamentos"/>
      </w:pPr>
      <w:r w:rsidRPr="000F3FFA">
        <w:t>“</w:t>
      </w:r>
      <w:r w:rsidR="007C4315" w:rsidRPr="000F3FFA">
        <w:t>(…)</w:t>
      </w:r>
      <w:r w:rsidR="00A66F9F" w:rsidRPr="000F3FFA">
        <w:t xml:space="preserve"> interpongo el recurso de revisión de inconformidad de la respuesta a la solicitud 00052/STMEM/IP/2023 emitida por el Sistema de Transporte Masivo y Teleférico del Estado de México recibida con fecha del 12 de mayo de 2023, al proporcionar la información incompleta debido a que, OMITE SEÑALAR con qué compañía (s) aseguradora (s) tuvo contratado el Mexibús (Sistema de autobús de tránsito Rápido) o, en su caso los concesionarios, los contratos de seguros y sus pólizas respectivas que amparen el concepto de Responsabilidad Civil por daños a terceros en los periodos comprendidos de enero, febrero y marzo del 2023 que de manera clara se expresan en los puntos 1,2 y 3 de la referida solicitud (ver documentos anexos). Asimismo, el negarse a que se me pueda entregar copia de las pólizas de seguro celebrados durante los años 2022 y 2023 el Mexibús Sistema de autobús de tránsito Rápido), pues es evidente que las mismas obran en sus archivos, tan es así, que la dependencia puede precisar la vigencia de las mismas, así como de la compañía aseguradora, siendo que es totalmente incorrecto que no sea procedente entregar copias de las mismas bajo el argumento de que contengan datos personales que no puedan otorgarse sin la autorización de sus titulares, lo anterior porque los datos en la póliza no son datos sensibles como el nombre de la compañía aseguradora ni del asegurado, como tampoco sus domicilios, pues por cuanto hace a la primera la misma publica en su página de internet los servicios que presta así como su domicilio, mientras que la segunda es una dependencia pública (ver documentos anexos).</w:t>
      </w:r>
      <w:r w:rsidRPr="000F3FFA">
        <w:t>” (Sic)</w:t>
      </w:r>
    </w:p>
    <w:p w14:paraId="06A7D20F" w14:textId="77777777" w:rsidR="00A978AF" w:rsidRPr="000F3FFA" w:rsidRDefault="00A978AF" w:rsidP="00EE58CE">
      <w:pPr>
        <w:pBdr>
          <w:top w:val="nil"/>
          <w:left w:val="nil"/>
          <w:bottom w:val="nil"/>
          <w:right w:val="nil"/>
          <w:between w:val="nil"/>
        </w:pBdr>
        <w:contextualSpacing/>
        <w:rPr>
          <w:rFonts w:eastAsia="Palatino Linotype" w:cs="Palatino Linotype"/>
          <w:color w:val="000000"/>
          <w:szCs w:val="24"/>
        </w:rPr>
      </w:pPr>
    </w:p>
    <w:p w14:paraId="3ECECDCF" w14:textId="35CE635D" w:rsidR="00A66F9F" w:rsidRPr="000F3FFA" w:rsidRDefault="00A66F9F" w:rsidP="00EE58CE">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lastRenderedPageBreak/>
        <w:t xml:space="preserve">La Recurrente anexó a su medio de impugnación el documento denominado </w:t>
      </w:r>
      <w:r w:rsidRPr="000F3FFA">
        <w:rPr>
          <w:rFonts w:eastAsia="Palatino Linotype" w:cs="Palatino Linotype"/>
          <w:b/>
          <w:color w:val="000000"/>
          <w:szCs w:val="24"/>
        </w:rPr>
        <w:t>“Escrito (SITRAMYTEM) 00052STMEMIP2023.docx”</w:t>
      </w:r>
      <w:r w:rsidRPr="000F3FFA">
        <w:rPr>
          <w:rFonts w:eastAsia="Palatino Linotype" w:cs="Palatino Linotype"/>
          <w:color w:val="000000"/>
          <w:szCs w:val="24"/>
        </w:rPr>
        <w:t>, en el que expresó lo siguiente:</w:t>
      </w:r>
    </w:p>
    <w:p w14:paraId="49C6BCF4" w14:textId="77777777" w:rsidR="00A66F9F" w:rsidRPr="000F3FFA" w:rsidRDefault="00A66F9F" w:rsidP="00EE58CE">
      <w:pPr>
        <w:pBdr>
          <w:top w:val="nil"/>
          <w:left w:val="nil"/>
          <w:bottom w:val="nil"/>
          <w:right w:val="nil"/>
          <w:between w:val="nil"/>
        </w:pBdr>
        <w:contextualSpacing/>
        <w:rPr>
          <w:rFonts w:eastAsia="Palatino Linotype" w:cs="Palatino Linotype"/>
          <w:color w:val="000000"/>
          <w:szCs w:val="24"/>
        </w:rPr>
      </w:pPr>
    </w:p>
    <w:p w14:paraId="514D193F" w14:textId="04E64A49" w:rsidR="00A66F9F" w:rsidRPr="000F3FFA" w:rsidRDefault="00A66F9F" w:rsidP="00A66F9F">
      <w:pPr>
        <w:pStyle w:val="Fundamentos"/>
        <w:rPr>
          <w:lang w:val="es-ES"/>
        </w:rPr>
      </w:pPr>
      <w:r w:rsidRPr="000F3FFA">
        <w:rPr>
          <w:lang w:val="es-ES"/>
        </w:rPr>
        <w:t>“La que suscribe (…)</w:t>
      </w:r>
      <w:r w:rsidRPr="000F3FFA">
        <w:rPr>
          <w:b/>
          <w:lang w:val="es-ES"/>
        </w:rPr>
        <w:t>,</w:t>
      </w:r>
      <w:r w:rsidRPr="000F3FFA">
        <w:rPr>
          <w:lang w:val="es-ES"/>
        </w:rPr>
        <w:t xml:space="preserve"> por medio del presente, hago de su conocimiento lo siguiente:</w:t>
      </w:r>
    </w:p>
    <w:p w14:paraId="28835386" w14:textId="77777777" w:rsidR="00A66F9F" w:rsidRPr="000F3FFA" w:rsidRDefault="00A66F9F" w:rsidP="00A66F9F">
      <w:pPr>
        <w:pStyle w:val="Fundamentos"/>
        <w:rPr>
          <w:b/>
          <w:lang w:val="es-MX"/>
        </w:rPr>
      </w:pPr>
    </w:p>
    <w:p w14:paraId="51280735" w14:textId="77777777" w:rsidR="00A66F9F" w:rsidRPr="000F3FFA" w:rsidRDefault="00A66F9F" w:rsidP="00A66F9F">
      <w:pPr>
        <w:pStyle w:val="Fundamentos"/>
        <w:rPr>
          <w:lang w:val="es-ES"/>
        </w:rPr>
      </w:pPr>
      <w:r w:rsidRPr="000F3FFA">
        <w:rPr>
          <w:b/>
          <w:lang w:val="es-MX"/>
        </w:rPr>
        <w:t xml:space="preserve">1. </w:t>
      </w:r>
      <w:r w:rsidRPr="000F3FFA">
        <w:rPr>
          <w:lang w:val="es-ES"/>
        </w:rPr>
        <w:t xml:space="preserve">Que, con fecha del 21 de abril de 2023, la suscrita realicé a través del Sistema de Acceso a la Información Mexiquense denominado “SAIMEX”, una solicitud de información al </w:t>
      </w:r>
      <w:r w:rsidRPr="000F3FFA">
        <w:rPr>
          <w:lang w:val="es-MX"/>
        </w:rPr>
        <w:t>Sistema de Transporte Masivo y Teleférico del Estado de México,</w:t>
      </w:r>
      <w:r w:rsidRPr="000F3FFA">
        <w:rPr>
          <w:lang w:val="es-ES"/>
        </w:rPr>
        <w:t xml:space="preserve"> a la cual se le asignó el número de folio 00052/STMEM/IP/2023, pidiendo textualmente lo siguiente:</w:t>
      </w:r>
    </w:p>
    <w:p w14:paraId="07A959B1" w14:textId="77777777" w:rsidR="00A66F9F" w:rsidRPr="000F3FFA" w:rsidRDefault="00A66F9F" w:rsidP="00A66F9F">
      <w:pPr>
        <w:pStyle w:val="Fundamentos"/>
        <w:rPr>
          <w:lang w:val="es-ES"/>
        </w:rPr>
      </w:pPr>
    </w:p>
    <w:p w14:paraId="06E2A230" w14:textId="7660FB3C" w:rsidR="00A66F9F" w:rsidRPr="000F3FFA" w:rsidRDefault="00A66F9F" w:rsidP="00A66F9F">
      <w:pPr>
        <w:pStyle w:val="Fundamentos"/>
        <w:ind w:left="851" w:right="849"/>
        <w:rPr>
          <w:lang w:val="es-ES"/>
        </w:rPr>
      </w:pPr>
      <w:r w:rsidRPr="000F3FFA">
        <w:rPr>
          <w:lang w:val="es-ES"/>
        </w:rPr>
        <w:t>“1. INFORME Y ESPECIFIQUE QUÉ CONTRATO (S) DE SEGURO(S) TIENE CELEBRADOS DURANTE LOS AÑOS: 2022 Y 2023 EL MEXIBÚS (SISTEMA DE AUTOBÚS DE TRÁNSITO RÁPIDO) O EN SU CASO LOS CONCESIONARIOS QUE OPEREN LA RUTA DE AMPLIACIÓN DE LA LÍNEA 3, QUE RECORRE DE LA ESTACIÓN ACUITLAPILCO A LA ESTACIÓN CENTRAL DE ABASTOS CHICOLOAPAN Y QUE AMPARE EL CONCEPTO DE RESPONSABILIDAD CIVIL POR DAÑOS A TERCEROS. 2. INFORME Y ESPECIFIQUE QUÉ CONTRATO (S) DE SEGURO(S) TIENE CELEBRADOS DURANTE LOS AÑOS: 2022 Y 2023 EL MEXIBÚS (SISTEMA DE AUTOBÚS DE TRÁNSITO RÁPIDO) O EN SU CASO, QUIEN SE ENCARGUE DE LA CONSERVACIÓN DEL MANTENIMIENTO DE LA RUTA DE AMPLIACIÓN DE LA LÍNEA 3 DEL MISMO, QUE AMPARE EL CONCEPTO DE RESPONSABILIDAD CIVIL POR DAÑOS A TERCEROS. 3. INFORME CON QUÉ COMPAÑÍA(S) ASEGURADORA(S) TIENE CONTRATADO EL MEXIBÚS (SISTEMA DE AUTOBÚS DE TRÁNSITO RÁPIDO) O, EN SU CASO, LOS CONCESIONARIOS, RESPECTO DE LO CITADOS CONTRATOS DE SEGUROS Y SUS PÓLIZAS RESPECTIVAS A QUE SE REFIEREN LOS NUMERALES 1 Y 2 ANTERIORES Y QUE AMPAREN EL CONCEPTO DE RESPONSABILIDAD CIVIL POR DAÑOS A TERCEROS. 4. INFORME Y PROPORCIONE DE MANERA COMPLETA LA PÓLIZA DE SEGURO Y LA PÓLIZA CON SU CARÁTULA QUE EL MEXIBÚS (SISTEMA DE AUTOBÚS DE TRÁNSITO RÁPIDO) TENGAN CELEBRADOS CON LAS ASEGURADORAS Y QUE AMPARAN LA RESPONSABILIDAD CIVIL POR DAÑOS A TERCEROS CITADAS EN EL PUNTO ANTERIOR. 5. INFORME SI SE ENCUENTRA CONCESIONADO A ALGÚN PARTICULAR LA OPERACIÓN DE LA AMPLIACIÓN DE LA RUTA 3 DEL MEXIBÚS O, EN SU DEFECTO, QUIEN OPERA LA MISMA.</w:t>
      </w:r>
    </w:p>
    <w:p w14:paraId="3F74B878" w14:textId="77777777" w:rsidR="00A66F9F" w:rsidRPr="000F3FFA" w:rsidRDefault="00A66F9F" w:rsidP="00A66F9F">
      <w:pPr>
        <w:pStyle w:val="Fundamentos"/>
        <w:rPr>
          <w:lang w:val="es-ES"/>
        </w:rPr>
      </w:pPr>
    </w:p>
    <w:p w14:paraId="7BD5B3CC" w14:textId="2058D5A7" w:rsidR="00A66F9F" w:rsidRPr="000F3FFA" w:rsidRDefault="00A66F9F" w:rsidP="00A66F9F">
      <w:pPr>
        <w:pStyle w:val="Fundamentos"/>
        <w:rPr>
          <w:lang w:val="es-MX"/>
        </w:rPr>
      </w:pPr>
      <w:r w:rsidRPr="000F3FFA">
        <w:rPr>
          <w:b/>
          <w:lang w:val="es-MX"/>
        </w:rPr>
        <w:t xml:space="preserve">2. </w:t>
      </w:r>
      <w:r w:rsidRPr="000F3FFA">
        <w:rPr>
          <w:bCs/>
          <w:lang w:val="es-MX"/>
        </w:rPr>
        <w:t xml:space="preserve">El </w:t>
      </w:r>
      <w:r w:rsidRPr="000F3FFA">
        <w:rPr>
          <w:lang w:val="es-ES"/>
        </w:rPr>
        <w:t xml:space="preserve">Sistema de Transporte Masivo y Teleférico del Estado de México, por conducto del Sistema de Acceso a la Información Mexiquense “SAIMEX” </w:t>
      </w:r>
      <w:r w:rsidRPr="000F3FFA">
        <w:rPr>
          <w:lang w:val="es-MX"/>
        </w:rPr>
        <w:t xml:space="preserve">en respuesta a la solicitud descrita en el punto que antecede, y a través del Oficio número -220C0301000001S/520/2023 con fecha de recepción </w:t>
      </w:r>
      <w:r w:rsidRPr="000F3FFA">
        <w:rPr>
          <w:lang w:val="es-ES"/>
        </w:rPr>
        <w:t xml:space="preserve">12 de mayo de 2023 </w:t>
      </w:r>
      <w:r w:rsidRPr="000F3FFA">
        <w:rPr>
          <w:lang w:val="es-MX"/>
        </w:rPr>
        <w:t xml:space="preserve">resuelve como se muestra en </w:t>
      </w:r>
      <w:r w:rsidRPr="000F3FFA">
        <w:rPr>
          <w:bCs/>
          <w:lang w:val="es-MX"/>
        </w:rPr>
        <w:t>la siguiente reproducción:</w:t>
      </w:r>
    </w:p>
    <w:p w14:paraId="505FA201" w14:textId="19F84449"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7FD6D4CE" w14:textId="070558C8"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ES"/>
        </w:rPr>
      </w:pPr>
      <w:r w:rsidRPr="000F3FFA">
        <w:rPr>
          <w:rFonts w:eastAsia="Palatino Linotype" w:cs="Palatino Linotype"/>
          <w:noProof/>
          <w:color w:val="000000"/>
          <w:szCs w:val="24"/>
          <w:lang w:val="es-MX"/>
        </w:rPr>
        <w:drawing>
          <wp:anchor distT="0" distB="0" distL="114300" distR="114300" simplePos="0" relativeHeight="251659264" behindDoc="0" locked="0" layoutInCell="1" allowOverlap="1" wp14:anchorId="336CF0F4" wp14:editId="601A0BCF">
            <wp:simplePos x="0" y="0"/>
            <wp:positionH relativeFrom="margin">
              <wp:posOffset>449581</wp:posOffset>
            </wp:positionH>
            <wp:positionV relativeFrom="margin">
              <wp:posOffset>1452880</wp:posOffset>
            </wp:positionV>
            <wp:extent cx="4926912" cy="2838450"/>
            <wp:effectExtent l="0" t="0" r="7620" b="0"/>
            <wp:wrapNone/>
            <wp:docPr id="893664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4700" name=""/>
                    <pic:cNvPicPr/>
                  </pic:nvPicPr>
                  <pic:blipFill rotWithShape="1">
                    <a:blip r:embed="rId8"/>
                    <a:srcRect l="33096" t="61089" r="34317" b="5515"/>
                    <a:stretch/>
                  </pic:blipFill>
                  <pic:spPr bwMode="auto">
                    <a:xfrm>
                      <a:off x="0" y="0"/>
                      <a:ext cx="4942602" cy="28474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AED7DF" w14:textId="2914336B"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219C7BBA" w14:textId="3987D73F"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0B434FD6" w14:textId="67B9C9C9"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305A803D" w14:textId="77777777"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1AF6602E" w14:textId="3EA13BF9"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78D48B24" w14:textId="318D68E3"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58A6B5C4" w14:textId="04F2B3BF"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1636B305" w14:textId="77777777"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4B7E7DF7" w14:textId="77777777" w:rsidR="00A66F9F" w:rsidRPr="000F3FFA" w:rsidRDefault="00A66F9F" w:rsidP="00A66F9F">
      <w:pPr>
        <w:pBdr>
          <w:top w:val="nil"/>
          <w:left w:val="nil"/>
          <w:bottom w:val="nil"/>
          <w:right w:val="nil"/>
          <w:between w:val="nil"/>
        </w:pBdr>
        <w:contextualSpacing/>
        <w:rPr>
          <w:rFonts w:eastAsia="Palatino Linotype" w:cs="Palatino Linotype"/>
          <w:color w:val="000000"/>
          <w:szCs w:val="24"/>
          <w:lang w:val="es-MX"/>
        </w:rPr>
      </w:pPr>
    </w:p>
    <w:p w14:paraId="0E98050F" w14:textId="77777777" w:rsidR="00A66F9F" w:rsidRPr="000F3FFA" w:rsidRDefault="00A66F9F" w:rsidP="00A66F9F">
      <w:pPr>
        <w:pStyle w:val="Fundamentos"/>
        <w:rPr>
          <w:lang w:val="es-MX"/>
        </w:rPr>
      </w:pPr>
      <w:r w:rsidRPr="000F3FFA">
        <w:rPr>
          <w:b/>
          <w:lang w:val="es-MX"/>
        </w:rPr>
        <w:t xml:space="preserve">3. </w:t>
      </w:r>
      <w:r w:rsidRPr="000F3FFA">
        <w:rPr>
          <w:lang w:val="es-MX"/>
        </w:rPr>
        <w:t xml:space="preserve">A lo anterior le solicito amablemente por escrito una aclaración al respecto, dado que en la respuesta emitida </w:t>
      </w:r>
      <w:r w:rsidRPr="000F3FFA">
        <w:rPr>
          <w:b/>
          <w:bCs/>
          <w:u w:val="single"/>
          <w:lang w:val="es-ES"/>
        </w:rPr>
        <w:t>OMITE SEÑALAR</w:t>
      </w:r>
      <w:r w:rsidRPr="000F3FFA">
        <w:rPr>
          <w:lang w:val="es-ES"/>
        </w:rPr>
        <w:t xml:space="preserve"> con qué compañía aseguradora tuvo contratado el Mexibús (Sistema de autobús de tránsito Rápido) o, en su caso los concesionarios, los contratos de seguros y sus pólizas respectivas que amparen el concepto de Responsabilidad Civil por daños a terceros </w:t>
      </w:r>
      <w:r w:rsidRPr="000F3FFA">
        <w:rPr>
          <w:u w:val="single"/>
          <w:lang w:val="es-ES"/>
        </w:rPr>
        <w:t>en los periodos comprendidos de</w:t>
      </w:r>
      <w:r w:rsidRPr="000F3FFA">
        <w:rPr>
          <w:lang w:val="es-ES"/>
        </w:rPr>
        <w:t xml:space="preserve"> </w:t>
      </w:r>
      <w:r w:rsidRPr="000F3FFA">
        <w:rPr>
          <w:u w:val="single"/>
          <w:lang w:val="es-ES"/>
        </w:rPr>
        <w:t>enero, febrero y marzo del 2023</w:t>
      </w:r>
      <w:r w:rsidRPr="000F3FFA">
        <w:rPr>
          <w:lang w:val="es-ES"/>
        </w:rPr>
        <w:t xml:space="preserve"> que de manera clara se expresan en los puntos del </w:t>
      </w:r>
      <w:r w:rsidRPr="000F3FFA">
        <w:rPr>
          <w:b/>
          <w:lang w:val="es-MX"/>
        </w:rPr>
        <w:t xml:space="preserve">1,2 y 3 </w:t>
      </w:r>
      <w:r w:rsidRPr="000F3FFA">
        <w:rPr>
          <w:bCs/>
          <w:lang w:val="es-MX"/>
        </w:rPr>
        <w:t xml:space="preserve">de la referida solicitud con folio </w:t>
      </w:r>
      <w:r w:rsidRPr="000F3FFA">
        <w:rPr>
          <w:lang w:val="es-ES"/>
        </w:rPr>
        <w:t>00052/STMEM/IP/2023.</w:t>
      </w:r>
    </w:p>
    <w:p w14:paraId="7906D6A7" w14:textId="77777777" w:rsidR="00A66F9F" w:rsidRPr="000F3FFA" w:rsidRDefault="00A66F9F" w:rsidP="00A66F9F">
      <w:pPr>
        <w:pStyle w:val="Fundamentos"/>
        <w:rPr>
          <w:lang w:val="es-MX"/>
        </w:rPr>
      </w:pPr>
    </w:p>
    <w:p w14:paraId="1665CC71" w14:textId="77777777" w:rsidR="00A66F9F" w:rsidRPr="000F3FFA" w:rsidRDefault="00A66F9F" w:rsidP="00A66F9F">
      <w:pPr>
        <w:pStyle w:val="Fundamentos"/>
        <w:rPr>
          <w:lang w:val="es-ES"/>
        </w:rPr>
      </w:pPr>
      <w:r w:rsidRPr="000F3FFA">
        <w:rPr>
          <w:lang w:val="es-ES"/>
        </w:rPr>
        <w:tab/>
      </w:r>
      <w:r w:rsidRPr="000F3FFA">
        <w:rPr>
          <w:b/>
          <w:bCs/>
          <w:lang w:val="es-ES"/>
        </w:rPr>
        <w:t>4.-</w:t>
      </w:r>
      <w:r w:rsidRPr="000F3FFA">
        <w:rPr>
          <w:lang w:val="es-ES"/>
        </w:rPr>
        <w:t xml:space="preserve"> Asimismo, es totalmente incorrecto que no se me pueda entregar copia de las pólizas de seguro, pues es evidente que las mismas obran en sus archivos, tan es así, que la dependencia puede precisar la vigencia de las mismas, así como de la compañía aseguradora, siendo que es totalmente incorrecto que no sea procedente entregar copias de las mismas bajo el argumento de que contengan datos personales que no puedan otorgarse sin la autorización de sus titulares, lo anterior porque los datos en la póliza </w:t>
      </w:r>
      <w:r w:rsidRPr="000F3FFA">
        <w:rPr>
          <w:u w:val="single"/>
          <w:lang w:val="es-ES"/>
        </w:rPr>
        <w:t>no son datos sensibles</w:t>
      </w:r>
      <w:r w:rsidRPr="000F3FFA">
        <w:rPr>
          <w:lang w:val="es-ES"/>
        </w:rPr>
        <w:t xml:space="preserve"> como el nombre de la compañía aseguradora ni del asegurado, como tampoco sus domicilios, pues por cuanto hace a la primera </w:t>
      </w:r>
      <w:r w:rsidRPr="000F3FFA">
        <w:rPr>
          <w:lang w:val="es-ES"/>
        </w:rPr>
        <w:lastRenderedPageBreak/>
        <w:t xml:space="preserve">la misma publica en su página de internet los servicios que presta así como su domicilio, mientras que la segunda es una dependencia pública. </w:t>
      </w:r>
    </w:p>
    <w:p w14:paraId="5A60C39F" w14:textId="77777777" w:rsidR="00A66F9F" w:rsidRPr="000F3FFA" w:rsidRDefault="00A66F9F" w:rsidP="00A66F9F">
      <w:pPr>
        <w:pStyle w:val="Fundamentos"/>
        <w:rPr>
          <w:lang w:val="es-ES"/>
        </w:rPr>
      </w:pPr>
    </w:p>
    <w:p w14:paraId="4D3D89EC" w14:textId="77777777" w:rsidR="00A66F9F" w:rsidRPr="000F3FFA" w:rsidRDefault="00A66F9F" w:rsidP="00A66F9F">
      <w:pPr>
        <w:pStyle w:val="Fundamentos"/>
        <w:rPr>
          <w:lang w:val="es-ES"/>
        </w:rPr>
      </w:pPr>
      <w:r w:rsidRPr="000F3FFA">
        <w:rPr>
          <w:lang w:val="es-ES"/>
        </w:rPr>
        <w:t xml:space="preserve">Adicionalmente, </w:t>
      </w:r>
      <w:r w:rsidRPr="000F3FFA">
        <w:rPr>
          <w:u w:val="single"/>
          <w:lang w:val="es-ES"/>
        </w:rPr>
        <w:t>la vigencia de las pólizas, montos asegurados, coberturas, deducibles, primas, exclusiones no pueden considerarse como datos sensibles porque las pólizas de seguro son expedidas a favor del asegurado</w:t>
      </w:r>
      <w:r w:rsidRPr="000F3FFA">
        <w:rPr>
          <w:lang w:val="es-ES"/>
        </w:rPr>
        <w:t xml:space="preserve">, pero en este caso, al tratarse de una póliza de responsabilidad civil, también es a favor de los beneficiarios, siendo éstos últimos cualquier víctima que sufra daños durante la vigencia de la póliza. </w:t>
      </w:r>
    </w:p>
    <w:p w14:paraId="4CE0F06F" w14:textId="77777777" w:rsidR="00A66F9F" w:rsidRPr="000F3FFA" w:rsidRDefault="00A66F9F" w:rsidP="00A66F9F">
      <w:pPr>
        <w:pStyle w:val="Fundamentos"/>
        <w:rPr>
          <w:lang w:val="es-ES"/>
        </w:rPr>
      </w:pPr>
    </w:p>
    <w:p w14:paraId="6C74BA06" w14:textId="77777777" w:rsidR="00A66F9F" w:rsidRPr="000F3FFA" w:rsidRDefault="00A66F9F" w:rsidP="00A66F9F">
      <w:pPr>
        <w:pStyle w:val="Fundamentos"/>
        <w:rPr>
          <w:lang w:val="es-ES"/>
        </w:rPr>
      </w:pPr>
      <w:r w:rsidRPr="000F3FFA">
        <w:rPr>
          <w:lang w:val="es-ES"/>
        </w:rPr>
        <w:t xml:space="preserve">Aclarado esto, tenemos que no existen datos sensibles de la compañía aseguradora ni la dependencia, porque ninguno de los de la póliza se refieren a aquellos de sus esferas más íntima o cuya utilización indebida pueda dar origen a discriminación o conlleve un riesgo grave para éste. </w:t>
      </w:r>
    </w:p>
    <w:p w14:paraId="55116101" w14:textId="77777777" w:rsidR="00A66F9F" w:rsidRPr="000F3FFA" w:rsidRDefault="00A66F9F" w:rsidP="00A66F9F">
      <w:pPr>
        <w:pStyle w:val="Fundamentos"/>
        <w:rPr>
          <w:lang w:val="es-ES"/>
        </w:rPr>
      </w:pPr>
    </w:p>
    <w:p w14:paraId="16C341B3" w14:textId="77777777" w:rsidR="00A66F9F" w:rsidRPr="000F3FFA" w:rsidRDefault="00A66F9F" w:rsidP="00A66F9F">
      <w:pPr>
        <w:pStyle w:val="Fundamentos"/>
        <w:rPr>
          <w:lang w:val="es-ES"/>
        </w:rPr>
      </w:pPr>
      <w:r w:rsidRPr="000F3FFA">
        <w:rPr>
          <w:lang w:val="es-ES"/>
        </w:rPr>
        <w:t xml:space="preserve">Pues como se argumenta, cualquier tercero que sufra un daño indemnizable durante la vigencia de una póliza de seguro de responsabilidad civil se le debe tener como beneficiario del mismo, lo anterior en términos del artículo 145, 145 bis, 147 y demás relativos y aplicables de la Ley Sobre el Contrato de Seguro, que establecen: </w:t>
      </w:r>
    </w:p>
    <w:p w14:paraId="5BBC3DCD" w14:textId="77777777" w:rsidR="00A66F9F" w:rsidRPr="000F3FFA" w:rsidRDefault="00A66F9F" w:rsidP="00A66F9F">
      <w:pPr>
        <w:pStyle w:val="Fundamentos"/>
        <w:rPr>
          <w:lang w:val="es-ES"/>
        </w:rPr>
      </w:pPr>
    </w:p>
    <w:p w14:paraId="5F9BD024" w14:textId="77777777" w:rsidR="00A66F9F" w:rsidRPr="000F3FFA" w:rsidRDefault="00A66F9F" w:rsidP="00A66F9F">
      <w:pPr>
        <w:pStyle w:val="Fundamentos"/>
        <w:ind w:left="851" w:right="849"/>
        <w:rPr>
          <w:lang w:val="es-MX"/>
        </w:rPr>
      </w:pPr>
      <w:bookmarkStart w:id="0" w:name="Artículo_145"/>
      <w:r w:rsidRPr="000F3FFA">
        <w:rPr>
          <w:b/>
          <w:lang w:val="es-MX"/>
        </w:rPr>
        <w:t>Artículo 145</w:t>
      </w:r>
      <w:bookmarkEnd w:id="0"/>
      <w:r w:rsidRPr="000F3FFA">
        <w:rPr>
          <w:b/>
          <w:lang w:val="es-MX"/>
        </w:rPr>
        <w:t>.-</w:t>
      </w:r>
      <w:r w:rsidRPr="000F3FFA">
        <w:rPr>
          <w:lang w:val="es-MX"/>
        </w:rPr>
        <w:t xml:space="preserve"> En el seguro contra la responsabilidad, la empresa se obliga hasta el límite de la suma asegurada a pagar la indemnización que el asegurado deba a un tercero a consecuencia de un hecho que cause un daño previsto en el contrato de seguro.</w:t>
      </w:r>
    </w:p>
    <w:p w14:paraId="778CD9C7" w14:textId="77777777" w:rsidR="00A66F9F" w:rsidRPr="000F3FFA" w:rsidRDefault="00A66F9F" w:rsidP="00A66F9F">
      <w:pPr>
        <w:pStyle w:val="Fundamentos"/>
        <w:ind w:left="851" w:right="849"/>
        <w:rPr>
          <w:lang w:val="es-MX"/>
        </w:rPr>
      </w:pPr>
    </w:p>
    <w:p w14:paraId="718BAC4A" w14:textId="77777777" w:rsidR="00A66F9F" w:rsidRPr="000F3FFA" w:rsidRDefault="00A66F9F" w:rsidP="00A66F9F">
      <w:pPr>
        <w:pStyle w:val="Fundamentos"/>
        <w:ind w:left="851" w:right="849"/>
        <w:rPr>
          <w:lang w:val="es-MX"/>
        </w:rPr>
      </w:pPr>
      <w:r w:rsidRPr="000F3FFA">
        <w:rPr>
          <w:lang w:val="es-MX"/>
        </w:rPr>
        <w:t>Tratándose de los seguros obligatorios a que hace referencia el artículo 150 Bis de esta Ley, la empresa estará obligada a cubrir los riesgos asegurados hasta los montos indemnizatorios o las sumas aseguradas por persona o por bien, así como, en su caso, los acumulados por evento, que se establezcan en las disposiciones legales respectivas o en las administrativas de carácter general que se deriven de las mismas, vigentes al celebrarse el contrato.</w:t>
      </w:r>
    </w:p>
    <w:p w14:paraId="165D7C9C" w14:textId="77777777" w:rsidR="00A66F9F" w:rsidRPr="000F3FFA" w:rsidRDefault="00A66F9F" w:rsidP="00A66F9F">
      <w:pPr>
        <w:pStyle w:val="Fundamentos"/>
        <w:ind w:left="851" w:right="849"/>
        <w:rPr>
          <w:lang w:val="es-MX"/>
        </w:rPr>
      </w:pPr>
    </w:p>
    <w:p w14:paraId="1B822B8A" w14:textId="77777777" w:rsidR="00A66F9F" w:rsidRPr="000F3FFA" w:rsidRDefault="00A66F9F" w:rsidP="00A66F9F">
      <w:pPr>
        <w:pStyle w:val="Fundamentos"/>
        <w:ind w:left="851" w:right="849"/>
        <w:rPr>
          <w:lang w:val="es-MX"/>
        </w:rPr>
      </w:pPr>
      <w:r w:rsidRPr="000F3FFA">
        <w:rPr>
          <w:lang w:val="es-MX"/>
        </w:rPr>
        <w:t>Para los riesgos respecto de los cuales las disposiciones a que se refiere el párrafo anterior no determinen el monto indemnizatorio o la suma asegurada obligatorios, se estará a lo dispuesto en el artículo 86 de la presente Ley para determinar el límite de la suma asegurada.</w:t>
      </w:r>
    </w:p>
    <w:p w14:paraId="6BCD0FD1" w14:textId="77777777" w:rsidR="00A66F9F" w:rsidRPr="000F3FFA" w:rsidRDefault="00A66F9F" w:rsidP="00A66F9F">
      <w:pPr>
        <w:pStyle w:val="Fundamentos"/>
        <w:ind w:left="851" w:right="849"/>
        <w:rPr>
          <w:lang w:val="es-MX"/>
        </w:rPr>
      </w:pPr>
    </w:p>
    <w:p w14:paraId="34E4B817" w14:textId="77777777" w:rsidR="00A66F9F" w:rsidRPr="000F3FFA" w:rsidRDefault="00A66F9F" w:rsidP="00A66F9F">
      <w:pPr>
        <w:pStyle w:val="Fundamentos"/>
        <w:ind w:left="851" w:right="849"/>
        <w:rPr>
          <w:lang w:val="es-MX"/>
        </w:rPr>
      </w:pPr>
      <w:bookmarkStart w:id="1" w:name="Artículo_145_Bis"/>
      <w:r w:rsidRPr="000F3FFA">
        <w:rPr>
          <w:b/>
          <w:bCs/>
          <w:lang w:val="es-MX"/>
        </w:rPr>
        <w:t>Artículo 145 Bis</w:t>
      </w:r>
      <w:bookmarkEnd w:id="1"/>
      <w:r w:rsidRPr="000F3FFA">
        <w:rPr>
          <w:b/>
          <w:bCs/>
          <w:lang w:val="es-MX"/>
        </w:rPr>
        <w:t xml:space="preserve">.- </w:t>
      </w:r>
      <w:r w:rsidRPr="000F3FFA">
        <w:rPr>
          <w:lang w:val="es-MX"/>
        </w:rPr>
        <w:t>En el seguro contra la responsabilidad, podrá pactarse que la empresa aseguradora se responsabilice de las indemnizaciones que el asegurado deba a un tercero en cualquiera de las siguientes formas:</w:t>
      </w:r>
    </w:p>
    <w:p w14:paraId="45772B3D" w14:textId="77777777" w:rsidR="00A66F9F" w:rsidRPr="000F3FFA" w:rsidRDefault="00A66F9F" w:rsidP="00A66F9F">
      <w:pPr>
        <w:pStyle w:val="Fundamentos"/>
        <w:ind w:left="851" w:right="849"/>
        <w:rPr>
          <w:lang w:val="es-MX"/>
        </w:rPr>
      </w:pPr>
    </w:p>
    <w:p w14:paraId="07C297AF" w14:textId="77777777" w:rsidR="00A66F9F" w:rsidRPr="000F3FFA" w:rsidRDefault="00A66F9F" w:rsidP="00A66F9F">
      <w:pPr>
        <w:pStyle w:val="Fundamentos"/>
        <w:ind w:left="851" w:right="849"/>
        <w:rPr>
          <w:lang w:val="es-MX"/>
        </w:rPr>
      </w:pPr>
      <w:r w:rsidRPr="000F3FFA">
        <w:rPr>
          <w:b/>
          <w:bCs/>
          <w:lang w:val="es-MX"/>
        </w:rPr>
        <w:lastRenderedPageBreak/>
        <w:t xml:space="preserve">a).- </w:t>
      </w:r>
      <w:r w:rsidRPr="000F3FFA">
        <w:rPr>
          <w:lang w:val="es-MX"/>
        </w:rPr>
        <w:t>Por hechos ocurridos durante la vigencia de la póliza respectiva o en el año anterior, siempre que la reclamación se formule por primera vez y por escrito al asegurado o a la empresa durante la vigencia de dicha póliza, o bien</w:t>
      </w:r>
    </w:p>
    <w:p w14:paraId="4F41C3DA" w14:textId="77777777" w:rsidR="00A66F9F" w:rsidRPr="000F3FFA" w:rsidRDefault="00A66F9F" w:rsidP="00A66F9F">
      <w:pPr>
        <w:pStyle w:val="Fundamentos"/>
        <w:ind w:left="851" w:right="849"/>
        <w:rPr>
          <w:lang w:val="es-MX"/>
        </w:rPr>
      </w:pPr>
    </w:p>
    <w:p w14:paraId="290373A3" w14:textId="77777777" w:rsidR="00A66F9F" w:rsidRPr="000F3FFA" w:rsidRDefault="00A66F9F" w:rsidP="00A66F9F">
      <w:pPr>
        <w:pStyle w:val="Fundamentos"/>
        <w:ind w:left="851" w:right="849"/>
        <w:rPr>
          <w:lang w:val="es-MX"/>
        </w:rPr>
      </w:pPr>
      <w:r w:rsidRPr="000F3FFA">
        <w:rPr>
          <w:b/>
          <w:bCs/>
          <w:lang w:val="es-MX"/>
        </w:rPr>
        <w:t xml:space="preserve">b).- </w:t>
      </w:r>
      <w:r w:rsidRPr="000F3FFA">
        <w:rPr>
          <w:lang w:val="es-MX"/>
        </w:rPr>
        <w:t>Por hechos ocurridos durante la vigencia de la póliza, siempre que la reclamación se formule por primera vez y por escrito al asegurado o a la empresa en el curso de dicha vigencia o dentro del año siguiente a su terminación.</w:t>
      </w:r>
    </w:p>
    <w:p w14:paraId="04780E35" w14:textId="77777777" w:rsidR="00A66F9F" w:rsidRPr="000F3FFA" w:rsidRDefault="00A66F9F" w:rsidP="00A66F9F">
      <w:pPr>
        <w:pStyle w:val="Fundamentos"/>
        <w:ind w:left="851" w:right="849"/>
        <w:rPr>
          <w:lang w:val="es-MX"/>
        </w:rPr>
      </w:pPr>
    </w:p>
    <w:p w14:paraId="0CC5C081" w14:textId="77777777" w:rsidR="00A66F9F" w:rsidRPr="000F3FFA" w:rsidRDefault="00A66F9F" w:rsidP="00A66F9F">
      <w:pPr>
        <w:pStyle w:val="Fundamentos"/>
        <w:ind w:left="851" w:right="849"/>
        <w:rPr>
          <w:lang w:val="es-MX"/>
        </w:rPr>
      </w:pPr>
      <w:r w:rsidRPr="000F3FFA">
        <w:rPr>
          <w:lang w:val="es-MX"/>
        </w:rPr>
        <w:t>No serán admisibles otras formas de limitación temporal de la cobertura, pero sí la ampliación de cualquiera de los plazos indicados.</w:t>
      </w:r>
    </w:p>
    <w:p w14:paraId="1976BFA6" w14:textId="77777777" w:rsidR="00A66F9F" w:rsidRPr="000F3FFA" w:rsidRDefault="00A66F9F" w:rsidP="00A66F9F">
      <w:pPr>
        <w:pStyle w:val="Fundamentos"/>
        <w:ind w:left="851" w:right="849"/>
        <w:rPr>
          <w:lang w:val="es-MX"/>
        </w:rPr>
      </w:pPr>
    </w:p>
    <w:p w14:paraId="7BA31247" w14:textId="77777777" w:rsidR="00A66F9F" w:rsidRPr="000F3FFA" w:rsidRDefault="00A66F9F" w:rsidP="00A66F9F">
      <w:pPr>
        <w:pStyle w:val="Fundamentos"/>
        <w:ind w:left="851" w:right="849"/>
        <w:rPr>
          <w:lang w:val="es-MX"/>
        </w:rPr>
      </w:pPr>
      <w:r w:rsidRPr="000F3FFA">
        <w:rPr>
          <w:lang w:val="es-MX"/>
        </w:rPr>
        <w:t>La limitación temporal de la cobertura será oponible tanto al asegurado como al tercero dañado, aun cuando desconozcan el derecho constituido a su favor por la existencia del seguro, la ocurrencia del hecho generador de la responsabilidad o la materialización del daño.</w:t>
      </w:r>
    </w:p>
    <w:p w14:paraId="3A0118DE" w14:textId="77777777" w:rsidR="00A66F9F" w:rsidRPr="000F3FFA" w:rsidRDefault="00A66F9F" w:rsidP="00A66F9F">
      <w:pPr>
        <w:pStyle w:val="Fundamentos"/>
        <w:ind w:left="851" w:right="849"/>
        <w:rPr>
          <w:lang w:val="es-MX"/>
        </w:rPr>
      </w:pPr>
    </w:p>
    <w:p w14:paraId="5723C5DA" w14:textId="77777777" w:rsidR="00A66F9F" w:rsidRPr="000F3FFA" w:rsidRDefault="00A66F9F" w:rsidP="00A66F9F">
      <w:pPr>
        <w:pStyle w:val="Fundamentos"/>
        <w:ind w:left="851" w:right="849"/>
        <w:rPr>
          <w:lang w:val="es-MX"/>
        </w:rPr>
      </w:pPr>
      <w:r w:rsidRPr="000F3FFA">
        <w:rPr>
          <w:lang w:val="es-MX"/>
        </w:rPr>
        <w:t>Si se diere la acumulación de sumas aseguradas, será aplicable lo dispuesto por los artículos 102 y 103 de la presente Ley.</w:t>
      </w:r>
    </w:p>
    <w:p w14:paraId="126A27CC" w14:textId="77777777" w:rsidR="00A66F9F" w:rsidRPr="000F3FFA" w:rsidRDefault="00A66F9F" w:rsidP="00A66F9F">
      <w:pPr>
        <w:pStyle w:val="Fundamentos"/>
        <w:ind w:left="851" w:right="849"/>
        <w:rPr>
          <w:lang w:val="es-MX"/>
        </w:rPr>
      </w:pPr>
    </w:p>
    <w:p w14:paraId="0D856A4B" w14:textId="77777777" w:rsidR="00A66F9F" w:rsidRPr="000F3FFA" w:rsidRDefault="00A66F9F" w:rsidP="00A66F9F">
      <w:pPr>
        <w:pStyle w:val="Fundamentos"/>
        <w:ind w:left="851" w:right="849"/>
        <w:rPr>
          <w:lang w:val="es-MX"/>
        </w:rPr>
      </w:pPr>
      <w:bookmarkStart w:id="2" w:name="Artículo_147"/>
      <w:r w:rsidRPr="000F3FFA">
        <w:rPr>
          <w:b/>
          <w:bCs/>
          <w:lang w:val="es-MX"/>
        </w:rPr>
        <w:t>Artículo 147</w:t>
      </w:r>
      <w:bookmarkEnd w:id="2"/>
      <w:r w:rsidRPr="000F3FFA">
        <w:rPr>
          <w:b/>
          <w:bCs/>
          <w:lang w:val="es-MX"/>
        </w:rPr>
        <w:t xml:space="preserve">.- </w:t>
      </w:r>
      <w:r w:rsidRPr="000F3FFA">
        <w:rPr>
          <w:lang w:val="es-MX"/>
        </w:rPr>
        <w:t xml:space="preserve">El seguro contra la responsabilidad atribuye el derecho a la indemnización directamente al tercero dañado, quien se considerará como beneficiario del seguro desde el momento del siniestro. </w:t>
      </w:r>
    </w:p>
    <w:p w14:paraId="524B8707" w14:textId="77777777" w:rsidR="00A66F9F" w:rsidRPr="000F3FFA" w:rsidRDefault="00A66F9F" w:rsidP="00A66F9F">
      <w:pPr>
        <w:pStyle w:val="Fundamentos"/>
        <w:ind w:left="851" w:right="849"/>
        <w:rPr>
          <w:lang w:val="es-MX"/>
        </w:rPr>
      </w:pPr>
    </w:p>
    <w:p w14:paraId="3687F1D5" w14:textId="77777777" w:rsidR="00A66F9F" w:rsidRPr="000F3FFA" w:rsidRDefault="00A66F9F" w:rsidP="00A66F9F">
      <w:pPr>
        <w:pStyle w:val="Fundamentos"/>
        <w:ind w:left="851" w:right="849"/>
        <w:rPr>
          <w:lang w:val="es-MX"/>
        </w:rPr>
      </w:pPr>
      <w:r w:rsidRPr="000F3FFA">
        <w:rPr>
          <w:lang w:val="es-MX"/>
        </w:rPr>
        <w:t>En caso de muerte de éste, su derecho al monto del seguro se trasmitirá por la vía sucesoria, salvo cuando la ley o el contrato que establezcan para el asegurado la obligación de indemnizar, señale los familiares del extinto a quienes deba pagarse directamente la indemnización sin necesidad de juicio sucesorio.</w:t>
      </w:r>
    </w:p>
    <w:p w14:paraId="1B8AE82A" w14:textId="77777777" w:rsidR="00A66F9F" w:rsidRPr="000F3FFA" w:rsidRDefault="00A66F9F" w:rsidP="00A66F9F">
      <w:pPr>
        <w:pStyle w:val="Fundamentos"/>
        <w:rPr>
          <w:lang w:val="es-MX"/>
        </w:rPr>
      </w:pPr>
    </w:p>
    <w:p w14:paraId="3AF963BB" w14:textId="77777777" w:rsidR="00A66F9F" w:rsidRPr="000F3FFA" w:rsidRDefault="00A66F9F" w:rsidP="00A66F9F">
      <w:pPr>
        <w:pStyle w:val="Fundamentos"/>
        <w:rPr>
          <w:b/>
          <w:bCs/>
          <w:u w:val="single"/>
          <w:lang w:val="es-ES"/>
        </w:rPr>
      </w:pPr>
      <w:r w:rsidRPr="000F3FFA">
        <w:rPr>
          <w:lang w:val="es-ES"/>
        </w:rPr>
        <w:t xml:space="preserve">Consecuentemente, la entrega de las pólizas de seguro no contiene ningún “dato sensible” de sus titulares, pues debe ser información pública dada a conocer al público en general dada la naturaleza del contrato de seguro de responsabilidad civil, ya que, en particular, </w:t>
      </w:r>
      <w:r w:rsidRPr="000F3FFA">
        <w:rPr>
          <w:b/>
          <w:bCs/>
          <w:u w:val="single"/>
          <w:lang w:val="es-ES"/>
        </w:rPr>
        <w:t>se consideran sensibles aquellos que puedan revelar aspectos como origen racial o étnico, estado de salud presente y futuro, información genética, creencias religiosas, filosóficas y morales, afiliación sindical, opiniones políticas, preferencia sexual.</w:t>
      </w:r>
    </w:p>
    <w:p w14:paraId="0C73D9EC" w14:textId="77777777" w:rsidR="00A66F9F" w:rsidRPr="000F3FFA" w:rsidRDefault="00A66F9F" w:rsidP="00A66F9F">
      <w:pPr>
        <w:pStyle w:val="Fundamentos"/>
        <w:rPr>
          <w:b/>
          <w:bCs/>
          <w:u w:val="single"/>
          <w:lang w:val="es-ES"/>
        </w:rPr>
      </w:pPr>
    </w:p>
    <w:p w14:paraId="537BF62B" w14:textId="77777777" w:rsidR="00A66F9F" w:rsidRPr="000F3FFA" w:rsidRDefault="00A66F9F" w:rsidP="00A66F9F">
      <w:pPr>
        <w:pStyle w:val="Fundamentos"/>
        <w:rPr>
          <w:b/>
          <w:bCs/>
          <w:u w:val="single"/>
          <w:lang w:val="es-ES"/>
        </w:rPr>
      </w:pPr>
      <w:r w:rsidRPr="000F3FFA">
        <w:rPr>
          <w:b/>
          <w:bCs/>
          <w:u w:val="single"/>
          <w:lang w:val="es-ES"/>
        </w:rPr>
        <w:t xml:space="preserve">Lo anterior no sucede en el caso concreto. </w:t>
      </w:r>
    </w:p>
    <w:p w14:paraId="559FBBBE" w14:textId="77777777" w:rsidR="00A66F9F" w:rsidRPr="000F3FFA" w:rsidRDefault="00A66F9F" w:rsidP="00A66F9F">
      <w:pPr>
        <w:pStyle w:val="Fundamentos"/>
        <w:rPr>
          <w:b/>
          <w:bCs/>
          <w:u w:val="single"/>
          <w:lang w:val="es-ES"/>
        </w:rPr>
      </w:pPr>
    </w:p>
    <w:p w14:paraId="6BF245FB" w14:textId="77777777" w:rsidR="00A66F9F" w:rsidRPr="000F3FFA" w:rsidRDefault="00A66F9F" w:rsidP="00A66F9F">
      <w:pPr>
        <w:pStyle w:val="Fundamentos"/>
        <w:rPr>
          <w:lang w:val="es-ES"/>
        </w:rPr>
      </w:pPr>
      <w:r w:rsidRPr="000F3FFA">
        <w:rPr>
          <w:lang w:val="es-ES"/>
        </w:rPr>
        <w:t xml:space="preserve">Adicionalmente, no puede considerarse una </w:t>
      </w:r>
      <w:r w:rsidRPr="000F3FFA">
        <w:rPr>
          <w:b/>
          <w:bCs/>
          <w:lang w:val="es-ES"/>
        </w:rPr>
        <w:t>“utilización indebida”</w:t>
      </w:r>
      <w:r w:rsidRPr="000F3FFA">
        <w:rPr>
          <w:lang w:val="es-ES"/>
        </w:rPr>
        <w:t xml:space="preserve"> ni conlleva ningún </w:t>
      </w:r>
      <w:r w:rsidRPr="000F3FFA">
        <w:rPr>
          <w:b/>
          <w:bCs/>
          <w:lang w:val="es-ES"/>
        </w:rPr>
        <w:t xml:space="preserve">“riesgo grave” </w:t>
      </w:r>
      <w:r w:rsidRPr="000F3FFA">
        <w:rPr>
          <w:lang w:val="es-ES"/>
        </w:rPr>
        <w:t xml:space="preserve">su divulgación ni la entrega de copias de las citadas pólizas, pues es un </w:t>
      </w:r>
      <w:r w:rsidRPr="000F3FFA">
        <w:rPr>
          <w:lang w:val="es-ES"/>
        </w:rPr>
        <w:lastRenderedPageBreak/>
        <w:t>documento que contiene derechos a favor del asegurado y, de ser el caso,  de los terceros como beneficiarios que sufran un daño, sin que el conocimiento de dicha información pueda considerarse que se pueda utilizar indebidamente ni que genere algún riesgo, pues sólo contienen derechos que pueden ser ejercitados por cualquier tercero que pueda considerarse como beneficiario del contrato de seguro, lo anterior al considerarse víctima de un hecho que le cause daños y que este amparo (y no excluido) en la póliza respectiva, de conformidad con los numerales arriba transcritos.</w:t>
      </w:r>
    </w:p>
    <w:p w14:paraId="4873A5D8" w14:textId="77777777" w:rsidR="00A66F9F" w:rsidRPr="000F3FFA" w:rsidRDefault="00A66F9F" w:rsidP="00A66F9F">
      <w:pPr>
        <w:pStyle w:val="Fundamentos"/>
        <w:rPr>
          <w:lang w:val="es-ES"/>
        </w:rPr>
      </w:pPr>
    </w:p>
    <w:p w14:paraId="17AE2C75" w14:textId="77777777" w:rsidR="00A66F9F" w:rsidRPr="000F3FFA" w:rsidRDefault="00A66F9F" w:rsidP="00A66F9F">
      <w:pPr>
        <w:pStyle w:val="Fundamentos"/>
        <w:rPr>
          <w:lang w:val="es-ES"/>
        </w:rPr>
      </w:pPr>
      <w:r w:rsidRPr="000F3FFA">
        <w:rPr>
          <w:lang w:val="es-ES"/>
        </w:rPr>
        <w:t>En otras palabras, sólo se puede utilizar dicha información en provecho y nunca en perjuicio o de forma indebida.</w:t>
      </w:r>
    </w:p>
    <w:p w14:paraId="0FEC47F1" w14:textId="77777777" w:rsidR="00A66F9F" w:rsidRPr="000F3FFA" w:rsidRDefault="00A66F9F" w:rsidP="00A66F9F">
      <w:pPr>
        <w:pStyle w:val="Fundamentos"/>
        <w:rPr>
          <w:lang w:val="es-ES"/>
        </w:rPr>
      </w:pPr>
      <w:r w:rsidRPr="000F3FFA">
        <w:rPr>
          <w:lang w:val="es-ES"/>
        </w:rPr>
        <w:t>Sin más motivo en particular, quedo a la espera de su amable respuesta y le mando un cordial saludo.</w:t>
      </w:r>
    </w:p>
    <w:p w14:paraId="7690AE4E" w14:textId="77777777" w:rsidR="00A66F9F" w:rsidRPr="000F3FFA" w:rsidRDefault="00A66F9F" w:rsidP="00A66F9F">
      <w:pPr>
        <w:pStyle w:val="Fundamentos"/>
        <w:rPr>
          <w:lang w:val="es-ES"/>
        </w:rPr>
      </w:pPr>
    </w:p>
    <w:p w14:paraId="57E626D7" w14:textId="152D1D40" w:rsidR="00A66F9F" w:rsidRPr="000F3FFA" w:rsidRDefault="00A66F9F" w:rsidP="00A66F9F">
      <w:pPr>
        <w:pStyle w:val="Fundamentos"/>
        <w:rPr>
          <w:lang w:val="es-ES"/>
        </w:rPr>
      </w:pPr>
      <w:r w:rsidRPr="000F3FFA">
        <w:rPr>
          <w:lang w:val="es-ES"/>
        </w:rPr>
        <w:t>A T E N T A M E N T E” (Sic)</w:t>
      </w:r>
    </w:p>
    <w:p w14:paraId="684BB222" w14:textId="77777777" w:rsidR="00A66F9F" w:rsidRPr="000F3FFA" w:rsidRDefault="00A66F9F" w:rsidP="00EE58CE">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0F3FFA" w:rsidRDefault="008E24B6" w:rsidP="006922F5">
      <w:pPr>
        <w:pStyle w:val="Ttulo2"/>
        <w:rPr>
          <w:rFonts w:eastAsia="Palatino Linotype"/>
        </w:rPr>
      </w:pPr>
      <w:r w:rsidRPr="000F3FFA">
        <w:rPr>
          <w:rFonts w:eastAsia="Palatino Linotype"/>
        </w:rPr>
        <w:t>CUARTO</w:t>
      </w:r>
      <w:r w:rsidR="00A970D5" w:rsidRPr="000F3FFA">
        <w:rPr>
          <w:rFonts w:eastAsia="Palatino Linotype"/>
        </w:rPr>
        <w:t>. Del turno y admisión del recurso de revisión.</w:t>
      </w:r>
    </w:p>
    <w:p w14:paraId="2459DEBA" w14:textId="1557493E"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Medio de impugnación que le fue turnado al </w:t>
      </w:r>
      <w:r w:rsidRPr="000F3FFA">
        <w:rPr>
          <w:rFonts w:eastAsia="Palatino Linotype" w:cs="Palatino Linotype"/>
          <w:b/>
          <w:color w:val="000000"/>
          <w:szCs w:val="24"/>
        </w:rPr>
        <w:t xml:space="preserve">Comisionado </w:t>
      </w:r>
      <w:r w:rsidR="009F1E25" w:rsidRPr="000F3FFA">
        <w:rPr>
          <w:rFonts w:eastAsia="Palatino Linotype" w:cs="Palatino Linotype"/>
          <w:b/>
          <w:color w:val="000000"/>
          <w:szCs w:val="24"/>
        </w:rPr>
        <w:t xml:space="preserve">Presidente </w:t>
      </w:r>
      <w:r w:rsidRPr="000F3FFA">
        <w:rPr>
          <w:rFonts w:eastAsia="Palatino Linotype" w:cs="Palatino Linotype"/>
          <w:b/>
          <w:color w:val="000000"/>
          <w:szCs w:val="24"/>
        </w:rPr>
        <w:t>José Martínez Vilchis</w:t>
      </w:r>
      <w:r w:rsidRPr="000F3FFA">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0F3FFA">
        <w:rPr>
          <w:rFonts w:eastAsia="Palatino Linotype" w:cs="Palatino Linotype"/>
          <w:color w:val="000000"/>
          <w:szCs w:val="24"/>
        </w:rPr>
        <w:t>tado de México y Municipios, al</w:t>
      </w:r>
      <w:r w:rsidRPr="000F3FFA">
        <w:rPr>
          <w:rFonts w:eastAsia="Palatino Linotype" w:cs="Palatino Linotype"/>
          <w:color w:val="000000"/>
          <w:szCs w:val="24"/>
        </w:rPr>
        <w:t xml:space="preserve"> cu</w:t>
      </w:r>
      <w:r w:rsidR="008B2951" w:rsidRPr="000F3FFA">
        <w:rPr>
          <w:rFonts w:eastAsia="Palatino Linotype" w:cs="Palatino Linotype"/>
          <w:color w:val="000000"/>
          <w:szCs w:val="24"/>
        </w:rPr>
        <w:t>al recayó acuerdo de admisión de</w:t>
      </w:r>
      <w:r w:rsidRPr="000F3FFA">
        <w:rPr>
          <w:rFonts w:eastAsia="Palatino Linotype" w:cs="Palatino Linotype"/>
          <w:color w:val="000000"/>
          <w:szCs w:val="24"/>
        </w:rPr>
        <w:t xml:space="preserve"> fecha</w:t>
      </w:r>
      <w:r w:rsidR="008A637C" w:rsidRPr="000F3FFA">
        <w:rPr>
          <w:rFonts w:eastAsia="Palatino Linotype" w:cs="Palatino Linotype"/>
          <w:color w:val="000000"/>
          <w:szCs w:val="24"/>
        </w:rPr>
        <w:t xml:space="preserve"> </w:t>
      </w:r>
      <w:r w:rsidR="00A66F9F" w:rsidRPr="000F3FFA">
        <w:rPr>
          <w:rFonts w:eastAsia="Palatino Linotype" w:cs="Palatino Linotype"/>
          <w:color w:val="000000"/>
          <w:szCs w:val="24"/>
        </w:rPr>
        <w:t>veinti</w:t>
      </w:r>
      <w:r w:rsidR="00EE58CE" w:rsidRPr="000F3FFA">
        <w:rPr>
          <w:rFonts w:eastAsia="Palatino Linotype" w:cs="Palatino Linotype"/>
          <w:color w:val="000000"/>
          <w:szCs w:val="24"/>
        </w:rPr>
        <w:t xml:space="preserve">cuatro de mayo </w:t>
      </w:r>
      <w:r w:rsidR="008A637C" w:rsidRPr="000F3FFA">
        <w:rPr>
          <w:rFonts w:eastAsia="Palatino Linotype" w:cs="Palatino Linotype"/>
          <w:color w:val="000000"/>
          <w:szCs w:val="24"/>
        </w:rPr>
        <w:t>de dos mil veintitrés</w:t>
      </w:r>
      <w:r w:rsidRPr="000F3FFA">
        <w:rPr>
          <w:rFonts w:eastAsia="Palatino Linotype" w:cs="Palatino Linotype"/>
          <w:color w:val="000000"/>
          <w:szCs w:val="24"/>
        </w:rPr>
        <w:t xml:space="preserve">, </w:t>
      </w:r>
      <w:r w:rsidRPr="000F3FFA">
        <w:rPr>
          <w:rFonts w:eastAsia="Palatino Linotype" w:cs="Palatino Linotype"/>
          <w:szCs w:val="24"/>
        </w:rPr>
        <w:t>otorgándose</w:t>
      </w:r>
      <w:r w:rsidRPr="000F3FFA">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0F3FFA" w:rsidRDefault="008E24B6" w:rsidP="006922F5">
      <w:pPr>
        <w:pStyle w:val="Ttulo2"/>
        <w:rPr>
          <w:rFonts w:eastAsia="Palatino Linotype"/>
        </w:rPr>
      </w:pPr>
      <w:r w:rsidRPr="000F3FFA">
        <w:rPr>
          <w:rFonts w:eastAsia="Palatino Linotype"/>
        </w:rPr>
        <w:t>QUINTO</w:t>
      </w:r>
      <w:r w:rsidR="00A970D5" w:rsidRPr="000F3FFA">
        <w:rPr>
          <w:rFonts w:eastAsia="Palatino Linotype"/>
        </w:rPr>
        <w:t>. De la etapa de instrucción.</w:t>
      </w:r>
    </w:p>
    <w:p w14:paraId="1AA08E1D" w14:textId="3E8F3FFA" w:rsidR="00A66F9F" w:rsidRPr="000F3FFA" w:rsidRDefault="00051FD0" w:rsidP="00EB47A3">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Una vez abierta la etapa de instrucción, se observa que en fecha </w:t>
      </w:r>
      <w:r w:rsidR="009C0FCE" w:rsidRPr="000F3FFA">
        <w:rPr>
          <w:rFonts w:eastAsia="Palatino Linotype" w:cs="Palatino Linotype"/>
          <w:color w:val="000000"/>
          <w:szCs w:val="24"/>
        </w:rPr>
        <w:t>treinta</w:t>
      </w:r>
      <w:r w:rsidRPr="000F3FFA">
        <w:rPr>
          <w:rFonts w:eastAsia="Palatino Linotype" w:cs="Palatino Linotype"/>
          <w:color w:val="000000"/>
          <w:szCs w:val="24"/>
        </w:rPr>
        <w:t xml:space="preserve"> de mayo </w:t>
      </w:r>
      <w:r w:rsidR="009C0FCE" w:rsidRPr="000F3FFA">
        <w:rPr>
          <w:rFonts w:eastAsia="Palatino Linotype" w:cs="Palatino Linotype"/>
          <w:color w:val="000000"/>
          <w:szCs w:val="24"/>
        </w:rPr>
        <w:t xml:space="preserve">y dieciocho de agosto </w:t>
      </w:r>
      <w:r w:rsidRPr="000F3FFA">
        <w:rPr>
          <w:rFonts w:eastAsia="Palatino Linotype" w:cs="Palatino Linotype"/>
          <w:color w:val="000000"/>
          <w:szCs w:val="24"/>
        </w:rPr>
        <w:t xml:space="preserve">de dos mil veintitrés, el Sujeto Obligado rindió su Informe Justificado, consistente en los </w:t>
      </w:r>
      <w:r w:rsidR="00A66F9F" w:rsidRPr="000F3FFA">
        <w:rPr>
          <w:rFonts w:eastAsia="Palatino Linotype" w:cs="Palatino Linotype"/>
          <w:color w:val="000000"/>
          <w:szCs w:val="24"/>
        </w:rPr>
        <w:t xml:space="preserve">siguientes documentos: </w:t>
      </w:r>
    </w:p>
    <w:p w14:paraId="5DA3BF77" w14:textId="77777777" w:rsidR="00A66F9F" w:rsidRPr="000F3FFA" w:rsidRDefault="00A66F9F" w:rsidP="00EB47A3">
      <w:pPr>
        <w:pBdr>
          <w:top w:val="nil"/>
          <w:left w:val="nil"/>
          <w:bottom w:val="nil"/>
          <w:right w:val="nil"/>
          <w:between w:val="nil"/>
        </w:pBdr>
        <w:contextualSpacing/>
        <w:rPr>
          <w:rFonts w:eastAsia="Palatino Linotype" w:cs="Palatino Linotype"/>
          <w:color w:val="000000"/>
          <w:szCs w:val="24"/>
        </w:rPr>
      </w:pPr>
    </w:p>
    <w:p w14:paraId="2307B348" w14:textId="39EE0E21"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10. Consolidado_12_430_2203_004796_LINEA 4 FINAL----2023.pdf. </w:t>
      </w:r>
    </w:p>
    <w:p w14:paraId="2C908AF9" w14:textId="2CC919C3"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lastRenderedPageBreak/>
        <w:t xml:space="preserve">5. Consolidado con anexo _12_430_2201_004796_LINEA 3 FINAL----2023.pdf. </w:t>
      </w:r>
    </w:p>
    <w:p w14:paraId="1636E4F1" w14:textId="5ACF2FF7" w:rsidR="009C0FCE" w:rsidRPr="000F3FFA" w:rsidRDefault="00227AC6"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4. </w:t>
      </w:r>
      <w:r w:rsidR="009C0FCE" w:rsidRPr="000F3FFA">
        <w:rPr>
          <w:rFonts w:eastAsia="Palatino Linotype" w:cs="Palatino Linotype"/>
          <w:b/>
          <w:color w:val="000000"/>
          <w:lang w:val="es-MX"/>
        </w:rPr>
        <w:t>Consolidado 12 430 2202 _P_1144703_004796_ERO FINAL-----2023.pdf. P</w:t>
      </w:r>
    </w:p>
    <w:p w14:paraId="500E7A43" w14:textId="74072273"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6. Consolidado con anexo_12_430_100002023_004796_linea 1 AIFA----2023.pdf. </w:t>
      </w:r>
    </w:p>
    <w:p w14:paraId="6D0AAD95" w14:textId="799C160E"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15. consolidao 12 430 2168 2_004796_PRORROGA ESTACION ERO-----</w:t>
      </w:r>
    </w:p>
    <w:p w14:paraId="46233767" w14:textId="2B8DCA71"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11. Consolidado_12_430_2211_004796_ESTACION ERO.pdf. </w:t>
      </w:r>
    </w:p>
    <w:p w14:paraId="4309B76A" w14:textId="49C5279F"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14. Consolidado_con_slip__12_430_2023_004796-----2023.pdf. </w:t>
      </w:r>
    </w:p>
    <w:p w14:paraId="0F454D7C" w14:textId="0934CDBB"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OFICIO SAINEX 00052.pdf. </w:t>
      </w:r>
    </w:p>
    <w:p w14:paraId="32A777EA" w14:textId="6B647DA3"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13. Consolidado_12_430_2214_004796_LINEA 4.pdf. </w:t>
      </w:r>
    </w:p>
    <w:p w14:paraId="4A1042D9" w14:textId="044F25A9"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3. CaratulaEmisionEmpresa_12_430_M_100002001---2022.pdf. </w:t>
      </w:r>
    </w:p>
    <w:p w14:paraId="1CC5C824" w14:textId="5FE7022D"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12. consolidado_12_430_2212_LINEA 3.pdf. </w:t>
      </w:r>
    </w:p>
    <w:p w14:paraId="7619C387" w14:textId="7028D8BF"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SAIMEX 00052.pdf. </w:t>
      </w:r>
    </w:p>
    <w:p w14:paraId="20C59084" w14:textId="40D6A716"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CaratulaEmisionEmpresa_12_430_M_2089-----2022.pdf. </w:t>
      </w:r>
    </w:p>
    <w:p w14:paraId="50DBD2A3" w14:textId="087C3B8F"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8. Consolidado_12_430_2166_004796_PRORROGA LINEA 4----2023.pdf. </w:t>
      </w:r>
    </w:p>
    <w:p w14:paraId="770D1D80" w14:textId="7D503132"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9. Consolidado_12_430_2167_004796_PRORROGA LINEA 3----2023.pdf. </w:t>
      </w:r>
    </w:p>
    <w:p w14:paraId="086C9A0A" w14:textId="460307D4"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7. Consolidado con slip _12_430_2213_004796_LINEA 1 AIFA.pdf. </w:t>
      </w:r>
    </w:p>
    <w:p w14:paraId="3BBF94F9" w14:textId="0D49B665"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2. CaratulaEmisionEmpresa_12_430_M_100002000-----2022.pdf. </w:t>
      </w:r>
    </w:p>
    <w:p w14:paraId="70A2A7D3" w14:textId="715FA900"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4. Consolidado.pdf. </w:t>
      </w:r>
    </w:p>
    <w:p w14:paraId="33EED550" w14:textId="53391E64"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5. Consolidado.pdf. </w:t>
      </w:r>
    </w:p>
    <w:p w14:paraId="252D2835" w14:textId="37DE0116"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6. Consolidado con anexo.pdf. </w:t>
      </w:r>
    </w:p>
    <w:p w14:paraId="6460EC8C" w14:textId="7F356006"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15. consolidao.pdf. </w:t>
      </w:r>
    </w:p>
    <w:p w14:paraId="7163D07C" w14:textId="4A36FBA8"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7. Consolidado.pdf. </w:t>
      </w:r>
    </w:p>
    <w:p w14:paraId="0D1D5FB1" w14:textId="6C007DC7"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11. Consolidado.pdf. </w:t>
      </w:r>
    </w:p>
    <w:p w14:paraId="267A96D2" w14:textId="5EC4494F"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 CaratulaEmisionEmpresa.pdf. </w:t>
      </w:r>
    </w:p>
    <w:p w14:paraId="2D80C8BE" w14:textId="1252EB1C"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3. CaratulaEmisionEmpresa.pdf. </w:t>
      </w:r>
    </w:p>
    <w:p w14:paraId="1E3F0332" w14:textId="078DDF0D"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lastRenderedPageBreak/>
        <w:t xml:space="preserve">SAIMEX 00052.pdf. </w:t>
      </w:r>
    </w:p>
    <w:p w14:paraId="75DE45CD" w14:textId="2B12E5E8"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2. CaratulaEmisionEmpresa.pdf. </w:t>
      </w:r>
    </w:p>
    <w:p w14:paraId="181B3498" w14:textId="0DC1BCE3"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8. Consolidado.pdf. </w:t>
      </w:r>
    </w:p>
    <w:p w14:paraId="0DFCF544" w14:textId="2AAAB89B"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9. Consolidado.pdf. </w:t>
      </w:r>
    </w:p>
    <w:p w14:paraId="5F132EE2" w14:textId="57314AD3"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13. Consolidado.pdf. </w:t>
      </w:r>
    </w:p>
    <w:p w14:paraId="0C9A79BE" w14:textId="4EEF8E42"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OFICIO SAINEX 00052.pdf. </w:t>
      </w:r>
    </w:p>
    <w:p w14:paraId="4D017FC2" w14:textId="1DF4AF23"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12. consolidado.pdf. </w:t>
      </w:r>
    </w:p>
    <w:p w14:paraId="05149F0C" w14:textId="4A9A567C"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14. Consolidado.pdf. </w:t>
      </w:r>
    </w:p>
    <w:p w14:paraId="7090BE60" w14:textId="3418F702" w:rsidR="009C0FCE" w:rsidRPr="000F3FFA" w:rsidRDefault="009C0FCE" w:rsidP="00F72750">
      <w:pPr>
        <w:pStyle w:val="Prrafodelista"/>
        <w:numPr>
          <w:ilvl w:val="0"/>
          <w:numId w:val="19"/>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10.Consolidado.pdf. </w:t>
      </w:r>
    </w:p>
    <w:p w14:paraId="6DF511C4" w14:textId="77777777" w:rsidR="00A66F9F" w:rsidRPr="000F3FFA" w:rsidRDefault="00A66F9F" w:rsidP="00EB47A3">
      <w:pPr>
        <w:pBdr>
          <w:top w:val="nil"/>
          <w:left w:val="nil"/>
          <w:bottom w:val="nil"/>
          <w:right w:val="nil"/>
          <w:between w:val="nil"/>
        </w:pBdr>
        <w:contextualSpacing/>
        <w:rPr>
          <w:rFonts w:eastAsia="Palatino Linotype" w:cs="Palatino Linotype"/>
          <w:color w:val="000000"/>
          <w:szCs w:val="24"/>
        </w:rPr>
      </w:pPr>
    </w:p>
    <w:p w14:paraId="7C534333" w14:textId="77777777" w:rsidR="005A31E7" w:rsidRPr="000F3FFA" w:rsidRDefault="0039018B" w:rsidP="00EB47A3">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Debido a que en algunos de los documentos remitidos se identificaron datos susceptibles de ser clasificados, </w:t>
      </w:r>
      <w:r w:rsidR="00227AC6" w:rsidRPr="000F3FFA">
        <w:rPr>
          <w:rFonts w:eastAsia="Palatino Linotype" w:cs="Palatino Linotype"/>
          <w:color w:val="000000"/>
          <w:szCs w:val="24"/>
        </w:rPr>
        <w:t xml:space="preserve">únicamente </w:t>
      </w:r>
      <w:r w:rsidR="00051FD0" w:rsidRPr="000F3FFA">
        <w:rPr>
          <w:rFonts w:eastAsia="Palatino Linotype" w:cs="Palatino Linotype"/>
          <w:color w:val="000000"/>
          <w:szCs w:val="24"/>
        </w:rPr>
        <w:t>fue</w:t>
      </w:r>
      <w:r w:rsidR="0092174E" w:rsidRPr="000F3FFA">
        <w:rPr>
          <w:rFonts w:eastAsia="Palatino Linotype" w:cs="Palatino Linotype"/>
          <w:color w:val="000000"/>
          <w:szCs w:val="24"/>
        </w:rPr>
        <w:t>ron</w:t>
      </w:r>
      <w:r w:rsidR="00051FD0" w:rsidRPr="000F3FFA">
        <w:rPr>
          <w:rFonts w:eastAsia="Palatino Linotype" w:cs="Palatino Linotype"/>
          <w:color w:val="000000"/>
          <w:szCs w:val="24"/>
        </w:rPr>
        <w:t xml:space="preserve"> puesto</w:t>
      </w:r>
      <w:r w:rsidR="0092174E" w:rsidRPr="000F3FFA">
        <w:rPr>
          <w:rFonts w:eastAsia="Palatino Linotype" w:cs="Palatino Linotype"/>
          <w:color w:val="000000"/>
          <w:szCs w:val="24"/>
        </w:rPr>
        <w:t>s</w:t>
      </w:r>
      <w:r w:rsidR="00051FD0" w:rsidRPr="000F3FFA">
        <w:rPr>
          <w:rFonts w:eastAsia="Palatino Linotype" w:cs="Palatino Linotype"/>
          <w:color w:val="000000"/>
          <w:szCs w:val="24"/>
        </w:rPr>
        <w:t xml:space="preserve"> a la vista de</w:t>
      </w:r>
      <w:r w:rsidRPr="000F3FFA">
        <w:rPr>
          <w:rFonts w:eastAsia="Palatino Linotype" w:cs="Palatino Linotype"/>
          <w:color w:val="000000"/>
          <w:szCs w:val="24"/>
        </w:rPr>
        <w:t xml:space="preserve"> </w:t>
      </w:r>
      <w:r w:rsidR="00051FD0" w:rsidRPr="000F3FFA">
        <w:rPr>
          <w:rFonts w:eastAsia="Palatino Linotype" w:cs="Palatino Linotype"/>
          <w:color w:val="000000"/>
          <w:szCs w:val="24"/>
        </w:rPr>
        <w:t>l</w:t>
      </w:r>
      <w:r w:rsidRPr="000F3FFA">
        <w:rPr>
          <w:rFonts w:eastAsia="Palatino Linotype" w:cs="Palatino Linotype"/>
          <w:color w:val="000000"/>
          <w:szCs w:val="24"/>
        </w:rPr>
        <w:t>a</w:t>
      </w:r>
      <w:r w:rsidR="00051FD0" w:rsidRPr="000F3FFA">
        <w:rPr>
          <w:rFonts w:eastAsia="Palatino Linotype" w:cs="Palatino Linotype"/>
          <w:color w:val="000000"/>
          <w:szCs w:val="24"/>
        </w:rPr>
        <w:t xml:space="preserve"> Recurrente</w:t>
      </w:r>
      <w:r w:rsidRPr="000F3FFA">
        <w:rPr>
          <w:rFonts w:eastAsia="Palatino Linotype" w:cs="Palatino Linotype"/>
          <w:color w:val="000000"/>
          <w:szCs w:val="24"/>
        </w:rPr>
        <w:t xml:space="preserve"> los identificados con los numerales 8, 10, 12, 13, 17, 24, 25, 26, 27 y 31</w:t>
      </w:r>
      <w:r w:rsidR="00051FD0" w:rsidRPr="000F3FFA">
        <w:rPr>
          <w:rFonts w:eastAsia="Palatino Linotype" w:cs="Palatino Linotype"/>
          <w:color w:val="000000"/>
          <w:szCs w:val="24"/>
        </w:rPr>
        <w:t xml:space="preserve"> mediante acuerdo de fecha </w:t>
      </w:r>
      <w:r w:rsidRPr="000F3FFA">
        <w:rPr>
          <w:rFonts w:eastAsia="Palatino Linotype" w:cs="Palatino Linotype"/>
          <w:color w:val="000000"/>
          <w:szCs w:val="24"/>
        </w:rPr>
        <w:t xml:space="preserve">veintiocho de agosto </w:t>
      </w:r>
      <w:r w:rsidR="00051FD0" w:rsidRPr="000F3FFA">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 la particular un término de tres días para manifestar lo que a su derecho conviniera. </w:t>
      </w:r>
    </w:p>
    <w:p w14:paraId="137E1634" w14:textId="77777777" w:rsidR="005A31E7" w:rsidRPr="000F3FFA" w:rsidRDefault="005A31E7" w:rsidP="00EB47A3">
      <w:pPr>
        <w:pBdr>
          <w:top w:val="nil"/>
          <w:left w:val="nil"/>
          <w:bottom w:val="nil"/>
          <w:right w:val="nil"/>
          <w:between w:val="nil"/>
        </w:pBdr>
        <w:contextualSpacing/>
        <w:rPr>
          <w:rFonts w:eastAsia="Palatino Linotype" w:cs="Palatino Linotype"/>
          <w:color w:val="000000"/>
          <w:szCs w:val="24"/>
        </w:rPr>
      </w:pPr>
    </w:p>
    <w:p w14:paraId="134297B7" w14:textId="2145F2BE" w:rsidR="00EB47A3" w:rsidRPr="000F3FFA" w:rsidRDefault="00051FD0" w:rsidP="00EB47A3">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P</w:t>
      </w:r>
      <w:r w:rsidR="005A31E7" w:rsidRPr="000F3FFA">
        <w:rPr>
          <w:rFonts w:eastAsia="Palatino Linotype" w:cs="Palatino Linotype"/>
          <w:color w:val="000000"/>
          <w:szCs w:val="24"/>
        </w:rPr>
        <w:t>or otra parte, se observa que la</w:t>
      </w:r>
      <w:r w:rsidR="0092174E" w:rsidRPr="000F3FFA">
        <w:rPr>
          <w:rFonts w:eastAsia="Palatino Linotype" w:cs="Palatino Linotype"/>
          <w:color w:val="000000"/>
          <w:szCs w:val="24"/>
        </w:rPr>
        <w:t xml:space="preserve"> </w:t>
      </w:r>
      <w:r w:rsidR="005A31E7" w:rsidRPr="000F3FFA">
        <w:rPr>
          <w:rFonts w:eastAsia="Palatino Linotype" w:cs="Palatino Linotype"/>
          <w:color w:val="000000"/>
          <w:szCs w:val="24"/>
        </w:rPr>
        <w:t>Recurrente</w:t>
      </w:r>
      <w:r w:rsidRPr="000F3FFA">
        <w:rPr>
          <w:rFonts w:eastAsia="Palatino Linotype" w:cs="Palatino Linotype"/>
          <w:color w:val="000000"/>
          <w:szCs w:val="24"/>
        </w:rPr>
        <w:t xml:space="preserve"> emitió manifestaciones</w:t>
      </w:r>
      <w:r w:rsidR="005A31E7" w:rsidRPr="000F3FFA">
        <w:rPr>
          <w:rFonts w:eastAsia="Palatino Linotype" w:cs="Palatino Linotype"/>
          <w:color w:val="000000"/>
          <w:szCs w:val="24"/>
        </w:rPr>
        <w:t xml:space="preserve"> en fecha treinta de mayo de dos mil veintitrés, mediante los documentos denominados </w:t>
      </w:r>
      <w:r w:rsidR="005A31E7" w:rsidRPr="000F3FFA">
        <w:rPr>
          <w:rFonts w:eastAsia="Palatino Linotype" w:cs="Palatino Linotype"/>
          <w:b/>
          <w:color w:val="000000"/>
          <w:szCs w:val="24"/>
        </w:rPr>
        <w:t>“Informe Recurso Revision.docx”</w:t>
      </w:r>
      <w:r w:rsidR="005A31E7" w:rsidRPr="000F3FFA">
        <w:rPr>
          <w:rFonts w:eastAsia="Palatino Linotype" w:cs="Palatino Linotype"/>
          <w:color w:val="000000"/>
          <w:szCs w:val="24"/>
        </w:rPr>
        <w:t xml:space="preserve"> </w:t>
      </w:r>
      <w:r w:rsidR="005A31E7" w:rsidRPr="000F3FFA">
        <w:rPr>
          <w:rFonts w:eastAsia="Palatino Linotype" w:cs="Palatino Linotype"/>
          <w:b/>
          <w:color w:val="000000"/>
          <w:szCs w:val="24"/>
        </w:rPr>
        <w:t>y “OFICIO Y RESPUESTA SAIMEX 00052 (2).pdf”</w:t>
      </w:r>
      <w:r w:rsidRPr="000F3FFA">
        <w:rPr>
          <w:rFonts w:eastAsia="Palatino Linotype" w:cs="Palatino Linotype"/>
          <w:color w:val="000000"/>
          <w:szCs w:val="24"/>
        </w:rPr>
        <w:t>. El contenido de</w:t>
      </w:r>
      <w:r w:rsidR="005A31E7" w:rsidRPr="000F3FFA">
        <w:rPr>
          <w:rFonts w:eastAsia="Palatino Linotype" w:cs="Palatino Linotype"/>
          <w:color w:val="000000"/>
          <w:szCs w:val="24"/>
        </w:rPr>
        <w:t xml:space="preserve"> </w:t>
      </w:r>
      <w:r w:rsidRPr="000F3FFA">
        <w:rPr>
          <w:rFonts w:eastAsia="Palatino Linotype" w:cs="Palatino Linotype"/>
          <w:color w:val="000000"/>
          <w:szCs w:val="24"/>
        </w:rPr>
        <w:t>l</w:t>
      </w:r>
      <w:r w:rsidR="005A31E7" w:rsidRPr="000F3FFA">
        <w:rPr>
          <w:rFonts w:eastAsia="Palatino Linotype" w:cs="Palatino Linotype"/>
          <w:color w:val="000000"/>
          <w:szCs w:val="24"/>
        </w:rPr>
        <w:t>os</w:t>
      </w:r>
      <w:r w:rsidRPr="000F3FFA">
        <w:rPr>
          <w:rFonts w:eastAsia="Palatino Linotype" w:cs="Palatino Linotype"/>
          <w:color w:val="000000"/>
          <w:szCs w:val="24"/>
        </w:rPr>
        <w:t xml:space="preserve"> documento</w:t>
      </w:r>
      <w:r w:rsidR="005A31E7" w:rsidRPr="000F3FFA">
        <w:rPr>
          <w:rFonts w:eastAsia="Palatino Linotype" w:cs="Palatino Linotype"/>
          <w:color w:val="000000"/>
          <w:szCs w:val="24"/>
        </w:rPr>
        <w:t>s</w:t>
      </w:r>
      <w:r w:rsidRPr="000F3FFA">
        <w:rPr>
          <w:rFonts w:eastAsia="Palatino Linotype" w:cs="Palatino Linotype"/>
          <w:color w:val="000000"/>
          <w:szCs w:val="24"/>
        </w:rPr>
        <w:t xml:space="preserve"> referido</w:t>
      </w:r>
      <w:r w:rsidR="005A31E7" w:rsidRPr="000F3FFA">
        <w:rPr>
          <w:rFonts w:eastAsia="Palatino Linotype" w:cs="Palatino Linotype"/>
          <w:color w:val="000000"/>
          <w:szCs w:val="24"/>
        </w:rPr>
        <w:t>s</w:t>
      </w:r>
      <w:r w:rsidRPr="000F3FFA">
        <w:rPr>
          <w:rFonts w:eastAsia="Palatino Linotype" w:cs="Palatino Linotype"/>
          <w:color w:val="000000"/>
          <w:szCs w:val="24"/>
        </w:rPr>
        <w:t xml:space="preserve"> será motivo de análisis durante el estudio respectivo.</w:t>
      </w:r>
    </w:p>
    <w:p w14:paraId="5B536618" w14:textId="7ED50870" w:rsidR="00C02596" w:rsidRPr="000F3FFA" w:rsidRDefault="00C02596" w:rsidP="006922F5">
      <w:pPr>
        <w:pBdr>
          <w:top w:val="nil"/>
          <w:left w:val="nil"/>
          <w:bottom w:val="nil"/>
          <w:right w:val="nil"/>
          <w:between w:val="nil"/>
        </w:pBdr>
        <w:contextualSpacing/>
        <w:rPr>
          <w:rFonts w:eastAsia="Palatino Linotype" w:cs="Palatino Linotype"/>
          <w:color w:val="000000"/>
          <w:szCs w:val="24"/>
        </w:rPr>
      </w:pPr>
    </w:p>
    <w:p w14:paraId="366F9922" w14:textId="173592A7" w:rsidR="009827E6" w:rsidRPr="000F3FFA" w:rsidRDefault="009827E6" w:rsidP="009827E6">
      <w:pPr>
        <w:pStyle w:val="Ttulo2"/>
        <w:rPr>
          <w:rFonts w:eastAsiaTheme="minorHAnsi"/>
          <w:lang w:eastAsia="en-US"/>
        </w:rPr>
      </w:pPr>
      <w:r w:rsidRPr="000F3FFA">
        <w:rPr>
          <w:rFonts w:eastAsiaTheme="minorHAnsi"/>
          <w:lang w:eastAsia="en-US"/>
        </w:rPr>
        <w:lastRenderedPageBreak/>
        <w:t>SEXTO. De la ampliación del término para resolver.</w:t>
      </w:r>
    </w:p>
    <w:p w14:paraId="7252864A" w14:textId="4BEA57FE" w:rsidR="009827E6" w:rsidRPr="000F3FFA" w:rsidRDefault="009827E6" w:rsidP="009827E6">
      <w:pPr>
        <w:rPr>
          <w:rFonts w:eastAsiaTheme="minorHAnsi" w:cstheme="minorBidi"/>
          <w:szCs w:val="24"/>
          <w:lang w:eastAsia="en-US"/>
        </w:rPr>
      </w:pPr>
      <w:r w:rsidRPr="000F3FFA">
        <w:rPr>
          <w:rFonts w:eastAsiaTheme="minorHAnsi" w:cstheme="minorBidi"/>
          <w:szCs w:val="24"/>
          <w:lang w:eastAsia="en-US"/>
        </w:rPr>
        <w:t>En fecha cinco de julio de dos mil veintitrés, se amplió el término para resolver el recurso de revisión en términos del artículo 181 párrafo tercero de la Ley de Transparencia y Acceso a la Información Pública del Estado de México y Municipios.</w:t>
      </w:r>
    </w:p>
    <w:p w14:paraId="62F6B606" w14:textId="77777777" w:rsidR="009827E6" w:rsidRPr="000F3FFA" w:rsidRDefault="009827E6" w:rsidP="009827E6">
      <w:pPr>
        <w:rPr>
          <w:rFonts w:eastAsiaTheme="minorHAnsi" w:cstheme="minorBidi"/>
          <w:szCs w:val="24"/>
          <w:lang w:eastAsia="en-US"/>
        </w:rPr>
      </w:pPr>
    </w:p>
    <w:p w14:paraId="2DB1E8CF"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3D24DE"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 xml:space="preserve"> </w:t>
      </w:r>
    </w:p>
    <w:p w14:paraId="4DBC200E"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2696E5"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 xml:space="preserve"> </w:t>
      </w:r>
    </w:p>
    <w:p w14:paraId="7477B8EA"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FDCE2A"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 xml:space="preserve"> </w:t>
      </w:r>
    </w:p>
    <w:p w14:paraId="36DADD20"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61F37D"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 xml:space="preserve"> </w:t>
      </w:r>
    </w:p>
    <w:p w14:paraId="19C6B43D"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FD59FB"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7071D982"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a)</w:t>
      </w:r>
      <w:r w:rsidRPr="000F3FFA">
        <w:rPr>
          <w:rFonts w:eastAsiaTheme="minorHAnsi" w:cstheme="minorBidi"/>
          <w:szCs w:val="24"/>
          <w:lang w:eastAsia="en-US"/>
        </w:rPr>
        <w:tab/>
        <w:t>Complejidad del asunto: La complejidad de la prueba, la pluralidad de sujetos procesales, el tiempo transcurrido, las características y contexto del recurso.</w:t>
      </w:r>
    </w:p>
    <w:p w14:paraId="5AB23CA6"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b)</w:t>
      </w:r>
      <w:r w:rsidRPr="000F3FFA">
        <w:rPr>
          <w:rFonts w:eastAsiaTheme="minorHAnsi" w:cstheme="minorBidi"/>
          <w:szCs w:val="24"/>
          <w:lang w:eastAsia="en-US"/>
        </w:rPr>
        <w:tab/>
        <w:t>Actividad Procesal del interesado: Acciones u omisiones del interesado.</w:t>
      </w:r>
    </w:p>
    <w:p w14:paraId="02CD7FDB"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c)</w:t>
      </w:r>
      <w:r w:rsidRPr="000F3FFA">
        <w:rPr>
          <w:rFonts w:eastAsiaTheme="minorHAnsi" w:cstheme="minorBidi"/>
          <w:szCs w:val="24"/>
          <w:lang w:eastAsia="en-US"/>
        </w:rPr>
        <w:tab/>
        <w:t>Conducta de la Autoridad: Las Acciones u omisiones realizadas en el procedimiento. Así como si la autoridad actuó con la debida diligencia.</w:t>
      </w:r>
    </w:p>
    <w:p w14:paraId="20AE95FB"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d)</w:t>
      </w:r>
      <w:r w:rsidRPr="000F3FFA">
        <w:rPr>
          <w:rFonts w:eastAsiaTheme="minorHAnsi" w:cstheme="minorBidi"/>
          <w:szCs w:val="24"/>
          <w:lang w:eastAsia="en-US"/>
        </w:rPr>
        <w:tab/>
        <w:t>La afectación generada en la situación jurídica de la persona involucrada en el proceso: Violación a sus derechos humanos.</w:t>
      </w:r>
    </w:p>
    <w:p w14:paraId="64BC721C"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2C72884B"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38335"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732D598C"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D15323"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526F222E"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0C7F2EF5"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0639243B"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92F99E3"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122F8AFC"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r w:rsidRPr="000F3FFA">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44F3A024" w14:textId="77777777" w:rsidR="009827E6" w:rsidRPr="000F3FFA" w:rsidRDefault="009827E6" w:rsidP="009827E6">
      <w:pPr>
        <w:pBdr>
          <w:top w:val="nil"/>
          <w:left w:val="nil"/>
          <w:bottom w:val="nil"/>
          <w:right w:val="nil"/>
          <w:between w:val="nil"/>
        </w:pBdr>
        <w:contextualSpacing/>
        <w:rPr>
          <w:rFonts w:eastAsiaTheme="minorHAnsi" w:cstheme="minorBidi"/>
          <w:szCs w:val="24"/>
          <w:lang w:eastAsia="en-US"/>
        </w:rPr>
      </w:pPr>
    </w:p>
    <w:p w14:paraId="51536091" w14:textId="77777777" w:rsidR="009827E6" w:rsidRPr="000F3FFA" w:rsidRDefault="009827E6" w:rsidP="009827E6">
      <w:pPr>
        <w:rPr>
          <w:rFonts w:eastAsiaTheme="minorHAnsi" w:cstheme="minorBidi"/>
          <w:szCs w:val="24"/>
          <w:lang w:eastAsia="en-US"/>
        </w:rPr>
      </w:pPr>
      <w:r w:rsidRPr="000F3FFA">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3203A75" w14:textId="77777777" w:rsidR="009827E6" w:rsidRPr="000F3FFA" w:rsidRDefault="009827E6" w:rsidP="006922F5">
      <w:pPr>
        <w:pBdr>
          <w:top w:val="nil"/>
          <w:left w:val="nil"/>
          <w:bottom w:val="nil"/>
          <w:right w:val="nil"/>
          <w:between w:val="nil"/>
        </w:pBdr>
        <w:contextualSpacing/>
        <w:rPr>
          <w:rFonts w:eastAsia="Palatino Linotype" w:cs="Palatino Linotype"/>
          <w:color w:val="000000"/>
          <w:szCs w:val="24"/>
        </w:rPr>
      </w:pPr>
    </w:p>
    <w:p w14:paraId="65310342" w14:textId="48C32881" w:rsidR="00A970D5" w:rsidRPr="000F3FFA" w:rsidRDefault="00E27953" w:rsidP="006922F5">
      <w:pPr>
        <w:pStyle w:val="Ttulo2"/>
        <w:rPr>
          <w:rFonts w:eastAsia="Palatino Linotype"/>
        </w:rPr>
      </w:pPr>
      <w:r w:rsidRPr="000F3FFA">
        <w:rPr>
          <w:rFonts w:eastAsia="Palatino Linotype"/>
        </w:rPr>
        <w:t>S</w:t>
      </w:r>
      <w:r w:rsidR="009827E6" w:rsidRPr="000F3FFA">
        <w:rPr>
          <w:rFonts w:eastAsia="Palatino Linotype"/>
        </w:rPr>
        <w:t>ÉPTIM</w:t>
      </w:r>
      <w:r w:rsidR="008E24B6" w:rsidRPr="000F3FFA">
        <w:rPr>
          <w:rFonts w:eastAsia="Palatino Linotype"/>
        </w:rPr>
        <w:t>O</w:t>
      </w:r>
      <w:r w:rsidR="00A970D5" w:rsidRPr="000F3FFA">
        <w:rPr>
          <w:rFonts w:eastAsia="Palatino Linotype"/>
        </w:rPr>
        <w:t>. Del cierre de instrucción.</w:t>
      </w:r>
    </w:p>
    <w:p w14:paraId="2456F4BD" w14:textId="4AD70FD0"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Así, una vez transcurrido el término legal, se decretó el cierre de instru</w:t>
      </w:r>
      <w:r w:rsidR="00AE6B11" w:rsidRPr="000F3FFA">
        <w:rPr>
          <w:rFonts w:eastAsia="Palatino Linotype" w:cs="Palatino Linotype"/>
          <w:color w:val="000000"/>
          <w:szCs w:val="24"/>
        </w:rPr>
        <w:t>cción</w:t>
      </w:r>
      <w:r w:rsidR="008B2951" w:rsidRPr="000F3FFA">
        <w:rPr>
          <w:rFonts w:eastAsia="Palatino Linotype" w:cs="Palatino Linotype"/>
          <w:color w:val="000000"/>
          <w:szCs w:val="24"/>
        </w:rPr>
        <w:t xml:space="preserve"> en fecha</w:t>
      </w:r>
      <w:r w:rsidR="00264613" w:rsidRPr="000F3FFA">
        <w:rPr>
          <w:rFonts w:eastAsia="Palatino Linotype" w:cs="Palatino Linotype"/>
          <w:color w:val="000000"/>
          <w:szCs w:val="24"/>
        </w:rPr>
        <w:t xml:space="preserve"> </w:t>
      </w:r>
      <w:r w:rsidR="005A31E7" w:rsidRPr="000F3FFA">
        <w:rPr>
          <w:rFonts w:eastAsia="Palatino Linotype" w:cs="Palatino Linotype"/>
          <w:color w:val="000000"/>
          <w:szCs w:val="24"/>
        </w:rPr>
        <w:t xml:space="preserve">primero de septiembre </w:t>
      </w:r>
      <w:r w:rsidR="009279EC" w:rsidRPr="000F3FFA">
        <w:rPr>
          <w:rFonts w:eastAsia="Palatino Linotype" w:cs="Palatino Linotype"/>
          <w:color w:val="000000"/>
          <w:szCs w:val="24"/>
        </w:rPr>
        <w:t>de dos mil veintitrés</w:t>
      </w:r>
      <w:r w:rsidRPr="000F3FFA">
        <w:rPr>
          <w:rFonts w:eastAsia="Palatino Linotype" w:cs="Palatino Linotype"/>
          <w:color w:val="000000"/>
          <w:szCs w:val="24"/>
        </w:rPr>
        <w:t xml:space="preserve">, en términos del artículo 185 </w:t>
      </w:r>
      <w:r w:rsidR="004579DC" w:rsidRPr="000F3FFA">
        <w:rPr>
          <w:rFonts w:eastAsia="Palatino Linotype" w:cs="Palatino Linotype"/>
          <w:color w:val="000000"/>
          <w:szCs w:val="24"/>
        </w:rPr>
        <w:t>f</w:t>
      </w:r>
      <w:r w:rsidRPr="000F3FF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77777777" w:rsidR="009A4D87" w:rsidRPr="000F3FFA"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F3FFA" w:rsidRDefault="00A970D5" w:rsidP="006922F5">
      <w:pPr>
        <w:pStyle w:val="Ttulo1"/>
        <w:rPr>
          <w:rFonts w:eastAsia="Palatino Linotype"/>
          <w:lang w:val="es-ES_tradnl"/>
        </w:rPr>
      </w:pPr>
      <w:r w:rsidRPr="000F3FFA">
        <w:rPr>
          <w:rFonts w:eastAsia="Palatino Linotype"/>
          <w:lang w:val="es-ES_tradnl"/>
        </w:rPr>
        <w:t>C O N S I D E R A N D O</w:t>
      </w:r>
    </w:p>
    <w:p w14:paraId="32546275"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F3FFA" w:rsidRDefault="00A970D5" w:rsidP="006922F5">
      <w:pPr>
        <w:pStyle w:val="Ttulo2"/>
        <w:rPr>
          <w:rFonts w:eastAsia="Palatino Linotype"/>
        </w:rPr>
      </w:pPr>
      <w:r w:rsidRPr="000F3FFA">
        <w:rPr>
          <w:rFonts w:eastAsia="Palatino Linotype"/>
        </w:rPr>
        <w:t>PRIMERO. De la competencia.</w:t>
      </w:r>
    </w:p>
    <w:p w14:paraId="6279399C" w14:textId="6285BFD8" w:rsidR="00A970D5" w:rsidRPr="000F3FFA" w:rsidRDefault="00264613"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4A25F8" w:rsidRPr="000F3FFA">
        <w:rPr>
          <w:rFonts w:eastAsia="Palatino Linotype" w:cs="Palatino Linotype"/>
          <w:color w:val="000000"/>
          <w:szCs w:val="24"/>
        </w:rPr>
        <w:t>segundo</w:t>
      </w:r>
      <w:r w:rsidRPr="000F3FFA">
        <w:rPr>
          <w:rFonts w:eastAsia="Palatino Linotype" w:cs="Palatino Linotype"/>
          <w:color w:val="000000"/>
          <w:szCs w:val="24"/>
        </w:rPr>
        <w:t xml:space="preserve"> y trigésimo </w:t>
      </w:r>
      <w:r w:rsidR="004A25F8" w:rsidRPr="000F3FFA">
        <w:rPr>
          <w:rFonts w:eastAsia="Palatino Linotype" w:cs="Palatino Linotype"/>
          <w:color w:val="000000"/>
          <w:szCs w:val="24"/>
        </w:rPr>
        <w:t>tercero</w:t>
      </w:r>
      <w:r w:rsidRPr="000F3FFA">
        <w:rPr>
          <w:rFonts w:eastAsia="Palatino Linotype" w:cs="Palatino Linotype"/>
          <w:color w:val="000000"/>
          <w:szCs w:val="24"/>
        </w:rPr>
        <w:t xml:space="preserve">, fracciones IV y V, de la Constitución Política del Estado Libre y Soberano de México; artículos 1, 2 fracción II, 13, 29, 36 </w:t>
      </w:r>
      <w:r w:rsidRPr="000F3FFA">
        <w:rPr>
          <w:rFonts w:eastAsia="Palatino Linotype" w:cs="Palatino Linotype"/>
          <w:color w:val="000000"/>
          <w:szCs w:val="24"/>
        </w:rPr>
        <w:lastRenderedPageBreak/>
        <w:t>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F3FFA" w:rsidRDefault="00A970D5" w:rsidP="006922F5">
      <w:pPr>
        <w:pStyle w:val="Ttulo2"/>
        <w:rPr>
          <w:rFonts w:eastAsia="Palatino Linotype"/>
        </w:rPr>
      </w:pPr>
      <w:r w:rsidRPr="000F3FFA">
        <w:rPr>
          <w:rFonts w:eastAsia="Palatino Linotype"/>
        </w:rPr>
        <w:t xml:space="preserve">SEGUNDO. Sobre los alcances del recurso de revisión. </w:t>
      </w:r>
    </w:p>
    <w:p w14:paraId="132CB116" w14:textId="77777777" w:rsidR="00A970D5" w:rsidRPr="000F3FFA" w:rsidRDefault="00A970D5" w:rsidP="006922F5">
      <w:r w:rsidRPr="000F3FF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3DD021" w14:textId="77777777" w:rsidR="00875B7E" w:rsidRPr="000F3FFA"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18CA0EFB" w:rsidR="00A970D5" w:rsidRPr="000F3FFA" w:rsidRDefault="0092174E" w:rsidP="006922F5">
      <w:pPr>
        <w:pStyle w:val="Ttulo2"/>
        <w:rPr>
          <w:rFonts w:eastAsia="Palatino Linotype"/>
        </w:rPr>
      </w:pPr>
      <w:r w:rsidRPr="000F3FFA">
        <w:rPr>
          <w:rFonts w:eastAsia="Palatino Linotype"/>
        </w:rPr>
        <w:t>TERCER</w:t>
      </w:r>
      <w:r w:rsidR="00D57F1A" w:rsidRPr="000F3FFA">
        <w:rPr>
          <w:rFonts w:eastAsia="Palatino Linotype"/>
        </w:rPr>
        <w:t>O</w:t>
      </w:r>
      <w:r w:rsidR="00A970D5" w:rsidRPr="000F3FFA">
        <w:rPr>
          <w:rFonts w:eastAsia="Palatino Linotype"/>
        </w:rPr>
        <w:t>. De las causas de improcedencia.</w:t>
      </w:r>
    </w:p>
    <w:p w14:paraId="72B75EC4"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F3FFA">
        <w:rPr>
          <w:rFonts w:eastAsia="Palatino Linotype" w:cs="Palatino Linotype"/>
          <w:color w:val="000000"/>
          <w:szCs w:val="24"/>
          <w:vertAlign w:val="superscript"/>
        </w:rPr>
        <w:footnoteReference w:id="2"/>
      </w:r>
      <w:r w:rsidRPr="000F3FFA">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9FF8AFB" w:rsidR="00A970D5" w:rsidRPr="000F3FFA" w:rsidRDefault="0092174E" w:rsidP="006922F5">
      <w:pPr>
        <w:pStyle w:val="Ttulo2"/>
        <w:rPr>
          <w:rFonts w:eastAsia="Palatino Linotype"/>
        </w:rPr>
      </w:pPr>
      <w:r w:rsidRPr="000F3FFA">
        <w:rPr>
          <w:rFonts w:eastAsia="Palatino Linotype"/>
        </w:rPr>
        <w:t>CUAR</w:t>
      </w:r>
      <w:r w:rsidR="00D57F1A" w:rsidRPr="000F3FFA">
        <w:rPr>
          <w:rFonts w:eastAsia="Palatino Linotype"/>
        </w:rPr>
        <w:t>TO</w:t>
      </w:r>
      <w:r w:rsidR="00A970D5" w:rsidRPr="000F3FFA">
        <w:rPr>
          <w:rFonts w:eastAsia="Palatino Linotype"/>
        </w:rPr>
        <w:t>. Estudio y resolución del asunto.</w:t>
      </w:r>
    </w:p>
    <w:p w14:paraId="172D5B7B"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78720BBB" w:rsidR="001C4CBF" w:rsidRPr="000F3FFA" w:rsidRDefault="00A970D5" w:rsidP="00C006C6">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Por tanto</w:t>
      </w:r>
      <w:r w:rsidR="007F3F9F" w:rsidRPr="000F3FFA">
        <w:rPr>
          <w:rFonts w:eastAsia="Palatino Linotype" w:cs="Palatino Linotype"/>
          <w:color w:val="000000"/>
          <w:szCs w:val="24"/>
        </w:rPr>
        <w:t xml:space="preserve">, es conveniente recordar que </w:t>
      </w:r>
      <w:r w:rsidR="006649BD" w:rsidRPr="000F3FFA">
        <w:rPr>
          <w:rFonts w:eastAsia="Palatino Linotype" w:cs="Palatino Linotype"/>
          <w:color w:val="000000"/>
          <w:szCs w:val="24"/>
        </w:rPr>
        <w:t>la hoy Recurrente requirió la siguiente información:</w:t>
      </w:r>
    </w:p>
    <w:p w14:paraId="4A3903F0" w14:textId="77777777" w:rsidR="006649BD" w:rsidRPr="000F3FFA" w:rsidRDefault="006649BD" w:rsidP="00C006C6">
      <w:pPr>
        <w:pBdr>
          <w:top w:val="nil"/>
          <w:left w:val="nil"/>
          <w:bottom w:val="nil"/>
          <w:right w:val="nil"/>
          <w:between w:val="nil"/>
        </w:pBdr>
        <w:contextualSpacing/>
        <w:rPr>
          <w:rFonts w:eastAsia="Palatino Linotype" w:cs="Palatino Linotype"/>
          <w:color w:val="000000"/>
          <w:szCs w:val="24"/>
        </w:rPr>
      </w:pPr>
    </w:p>
    <w:p w14:paraId="27C9E090" w14:textId="13C4F483" w:rsidR="006649BD" w:rsidRPr="000F3FFA" w:rsidRDefault="006649BD" w:rsidP="00F72750">
      <w:pPr>
        <w:pStyle w:val="Prrafodelista"/>
        <w:numPr>
          <w:ilvl w:val="0"/>
          <w:numId w:val="23"/>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 xml:space="preserve">Informe y especifique qué contrato (s) de seguro(s) tiene celebrados durante los años: 2022 y 2023 el Mexibús (Sistema de autobús de tránsito Rápido) o en su caso los concesionarios que operen la ruta de ampliación de la línea 3, que recorre de la estación Acuitlapilco a la estación Central de abastos Chicoloapan y que ampare el concepto de Responsabilidad Civil por daños a terceros. </w:t>
      </w:r>
    </w:p>
    <w:p w14:paraId="77EF60AF" w14:textId="05E4F673" w:rsidR="006649BD" w:rsidRPr="000F3FFA" w:rsidRDefault="006649BD" w:rsidP="00F72750">
      <w:pPr>
        <w:pStyle w:val="Prrafodelista"/>
        <w:numPr>
          <w:ilvl w:val="0"/>
          <w:numId w:val="23"/>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lastRenderedPageBreak/>
        <w:t xml:space="preserve">Informe y especifique qué contrato (s) de seguro(s) tiene celebrados durante los años: 2022 y 2023 el Mexibús (Sistema de autobús de tránsito Rápido) o en su caso, quien se encargue de la conservación del mantenimiento de la ruta de ampliación de la línea 3 del mismo, que ampare el concepto de Responsabilidad Civil por daños a terceros. </w:t>
      </w:r>
    </w:p>
    <w:p w14:paraId="514526EF" w14:textId="3BCF4E61" w:rsidR="006649BD" w:rsidRPr="000F3FFA" w:rsidRDefault="006649BD" w:rsidP="00F72750">
      <w:pPr>
        <w:pStyle w:val="Prrafodelista"/>
        <w:numPr>
          <w:ilvl w:val="0"/>
          <w:numId w:val="23"/>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 xml:space="preserve">Informe con qué compañía(s) aseguradora(s) tiene contratado el Mexibús (Sistema de autobús de tránsito Rápido) o, en su caso, los concesionarios, respecto de lo citados contratos de seguros y sus pólizas respectivas a que se refieren los numerales 1 y 2 anteriores y que amparen el concepto de Responsabilidad Civil por daños a terceros. </w:t>
      </w:r>
    </w:p>
    <w:p w14:paraId="6C297AC3" w14:textId="1AFEA659" w:rsidR="006649BD" w:rsidRPr="000F3FFA" w:rsidRDefault="006649BD" w:rsidP="00F72750">
      <w:pPr>
        <w:pStyle w:val="Prrafodelista"/>
        <w:numPr>
          <w:ilvl w:val="0"/>
          <w:numId w:val="23"/>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 xml:space="preserve">Informe y proporcione de manera completa la Póliza de Seguro y la póliza con su carátula que el Mexibús (Sistema de autobús de tránsito Rápido) tengan celebrados con las aseguradoras y que amparan la responsabilidad civil por daños a terceros citadas en el punto anterior. </w:t>
      </w:r>
    </w:p>
    <w:p w14:paraId="0858E389" w14:textId="36406645" w:rsidR="006649BD" w:rsidRPr="000F3FFA" w:rsidRDefault="006649BD" w:rsidP="00F72750">
      <w:pPr>
        <w:pStyle w:val="Prrafodelista"/>
        <w:numPr>
          <w:ilvl w:val="0"/>
          <w:numId w:val="23"/>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Informe si se encuentra concesionado a algún particular la operación de la ampliación de la ruta 3 del Mexibús o, en su defecto, quien opera la misma.</w:t>
      </w:r>
    </w:p>
    <w:p w14:paraId="01262F3E" w14:textId="77777777" w:rsidR="00413FC2" w:rsidRPr="000F3FFA" w:rsidRDefault="00413FC2" w:rsidP="006D438A">
      <w:pPr>
        <w:pBdr>
          <w:top w:val="nil"/>
          <w:left w:val="nil"/>
          <w:bottom w:val="nil"/>
          <w:right w:val="nil"/>
          <w:between w:val="nil"/>
        </w:pBdr>
        <w:contextualSpacing/>
        <w:rPr>
          <w:rFonts w:eastAsia="Palatino Linotype" w:cs="Palatino Linotype"/>
          <w:color w:val="000000"/>
          <w:szCs w:val="24"/>
        </w:rPr>
      </w:pPr>
    </w:p>
    <w:p w14:paraId="75FFD0B2" w14:textId="424802CD" w:rsidR="00FB7308" w:rsidRPr="000F3FFA" w:rsidRDefault="00FB7308" w:rsidP="006D438A">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En este punto, es necesario señalar que la modalidad de entrega elegida por el Recurrente es mediante la entrega de un CD-ROM con costo, el cual el particular se obliga a cubrir para recibir la información solicitada.</w:t>
      </w:r>
    </w:p>
    <w:p w14:paraId="71F62782" w14:textId="77777777" w:rsidR="00FB7308" w:rsidRPr="000F3FFA" w:rsidRDefault="00FB7308" w:rsidP="006D438A">
      <w:pPr>
        <w:pBdr>
          <w:top w:val="nil"/>
          <w:left w:val="nil"/>
          <w:bottom w:val="nil"/>
          <w:right w:val="nil"/>
          <w:between w:val="nil"/>
        </w:pBdr>
        <w:contextualSpacing/>
        <w:rPr>
          <w:rFonts w:eastAsia="Palatino Linotype" w:cs="Palatino Linotype"/>
          <w:color w:val="000000"/>
          <w:szCs w:val="24"/>
        </w:rPr>
      </w:pPr>
    </w:p>
    <w:p w14:paraId="46A58DB1" w14:textId="3FFBF947" w:rsidR="009308DA" w:rsidRPr="000F3FFA" w:rsidRDefault="00A970D5" w:rsidP="00B62DEC">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A dicha solicitud, el Sujeto Obligado </w:t>
      </w:r>
      <w:r w:rsidR="001C4CBF" w:rsidRPr="000F3FFA">
        <w:rPr>
          <w:rFonts w:eastAsia="Palatino Linotype" w:cs="Palatino Linotype"/>
          <w:color w:val="000000"/>
          <w:szCs w:val="24"/>
        </w:rPr>
        <w:t xml:space="preserve">respondió </w:t>
      </w:r>
      <w:r w:rsidR="00D57F1A" w:rsidRPr="000F3FFA">
        <w:rPr>
          <w:rFonts w:eastAsia="Palatino Linotype" w:cs="Palatino Linotype"/>
          <w:color w:val="000000"/>
          <w:szCs w:val="24"/>
        </w:rPr>
        <w:t>mediante la entrega de los siguientes documentos:</w:t>
      </w:r>
    </w:p>
    <w:p w14:paraId="34CF62B0" w14:textId="1309BD00" w:rsidR="00A978AF" w:rsidRPr="000F3FFA" w:rsidRDefault="00A978AF" w:rsidP="00B62DEC">
      <w:pPr>
        <w:pBdr>
          <w:top w:val="nil"/>
          <w:left w:val="nil"/>
          <w:bottom w:val="nil"/>
          <w:right w:val="nil"/>
          <w:between w:val="nil"/>
        </w:pBdr>
        <w:contextualSpacing/>
        <w:rPr>
          <w:rFonts w:eastAsia="Palatino Linotype" w:cs="Palatino Linotype"/>
          <w:color w:val="000000"/>
          <w:szCs w:val="24"/>
        </w:rPr>
      </w:pPr>
    </w:p>
    <w:p w14:paraId="06E0CB26" w14:textId="6EF3FAA1" w:rsidR="00E85C49" w:rsidRPr="000F3FFA" w:rsidRDefault="00411C52" w:rsidP="00F72750">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b/>
          <w:bCs/>
          <w:color w:val="000000"/>
        </w:rPr>
        <w:lastRenderedPageBreak/>
        <w:t>OFICIO Y RESPUESTA SAIMEX 00052.pdf</w:t>
      </w:r>
      <w:r w:rsidRPr="000F3FFA">
        <w:rPr>
          <w:rFonts w:eastAsia="Palatino Linotype" w:cs="Palatino Linotype"/>
          <w:color w:val="000000"/>
        </w:rPr>
        <w:t xml:space="preserve">. </w:t>
      </w:r>
      <w:r w:rsidR="003B5EB8" w:rsidRPr="000F3FFA">
        <w:rPr>
          <w:rFonts w:eastAsia="Palatino Linotype" w:cs="Palatino Linotype"/>
          <w:color w:val="000000"/>
        </w:rPr>
        <w:t>Documento que contiene los siguientes oficios:</w:t>
      </w:r>
    </w:p>
    <w:p w14:paraId="20E2E19C" w14:textId="33FE9EF5" w:rsidR="003B5EB8" w:rsidRPr="000F3FFA" w:rsidRDefault="008C157E" w:rsidP="00F72750">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Oficio número UT/213C03010301200/132/2023 suscrito por el Titular de la Unidad de Transparencia, en el que se menciona que se adjunta el oficio remitido por el Jefe de la Unidad de Apoyo Administrativo, en respuesta a la solicitud.</w:t>
      </w:r>
    </w:p>
    <w:p w14:paraId="7997149C" w14:textId="6E4AA01A" w:rsidR="008C157E" w:rsidRPr="000F3FFA" w:rsidRDefault="008C157E" w:rsidP="00F72750">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 xml:space="preserve">Oficio número 220C0301000001S/520/2023 signado por el Jefe de la Unidad de Apoyo Administrativo, por medio del cual se informó que de la revisión efectuada en los archivos de esa Unidad, se identificó que se llevó a cabo la contratación de pólizas de seguros múltiple empresarial y de responsabilidad civil con Seguros SURA S.A. de C.V., por los periodos comprendidos de dieciocho de junio al treinta y uno de diciembre de dos mil veintidós; y del treinta y uno de marzo al treinta y uno de diciembre de dos mil </w:t>
      </w:r>
      <w:r w:rsidR="00DF0C07" w:rsidRPr="000F3FFA">
        <w:rPr>
          <w:rFonts w:eastAsia="Palatino Linotype" w:cs="Palatino Linotype"/>
          <w:color w:val="000000"/>
        </w:rPr>
        <w:t>veintitrés</w:t>
      </w:r>
      <w:r w:rsidRPr="000F3FFA">
        <w:rPr>
          <w:rFonts w:eastAsia="Palatino Linotype" w:cs="Palatino Linotype"/>
          <w:color w:val="000000"/>
        </w:rPr>
        <w:t>.</w:t>
      </w:r>
    </w:p>
    <w:p w14:paraId="1464F28D" w14:textId="57E0EE23" w:rsidR="008C157E" w:rsidRPr="000F3FFA" w:rsidRDefault="008C157E" w:rsidP="00F72750">
      <w:pPr>
        <w:pStyle w:val="Prrafodelista"/>
        <w:numPr>
          <w:ilvl w:val="0"/>
          <w:numId w:val="20"/>
        </w:numPr>
        <w:rPr>
          <w:rFonts w:eastAsia="Palatino Linotype" w:cs="Palatino Linotype"/>
          <w:color w:val="000000"/>
        </w:rPr>
      </w:pPr>
      <w:r w:rsidRPr="000F3FFA">
        <w:rPr>
          <w:rFonts w:eastAsia="Palatino Linotype" w:cs="Palatino Linotype"/>
          <w:color w:val="000000"/>
        </w:rPr>
        <w:t>Oficio número UT/213C03010301200/129/2023 suscrito por el Titular de la Unidad de Transparencia, en el que se menciona que se adjunta el oficio remitido por Director de Supervisión y Control, en respuesta a la solicitud.</w:t>
      </w:r>
    </w:p>
    <w:p w14:paraId="11A7D97F" w14:textId="32C4F240" w:rsidR="008C157E" w:rsidRPr="000F3FFA" w:rsidRDefault="00DF0C07" w:rsidP="00F72750">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Oficio número 220C0301020000L/291/2023 emitido por el Director de Supervisión y Control manifestó que, respecto de la información solicitada, una vez realizada la búsqueda en los archivos de esa Dirección, no es procedente hacer entrega de la documentación debido a que contiene datos personales que no pueden otorgarse sin la autorización de sus titulares, aunado a que la información puede utilizarse en su perjuicio.</w:t>
      </w:r>
    </w:p>
    <w:p w14:paraId="6E1EE447" w14:textId="22650F07" w:rsidR="00DF0C07" w:rsidRPr="000F3FFA" w:rsidRDefault="00DF0C07" w:rsidP="00F72750">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lastRenderedPageBreak/>
        <w:t>Oficio número UT/213C03010301200/124/2023 suscrito por el Titular de la Unidad de Transparencia, en el que se menciona que se adjunta el oficio remitido por Director de Planeación, Proyectos y Construcción, en respuesta a la solicitud.</w:t>
      </w:r>
    </w:p>
    <w:p w14:paraId="19FE5005" w14:textId="0C448AEC" w:rsidR="00DF0C07" w:rsidRPr="000F3FFA" w:rsidRDefault="00DF0C07" w:rsidP="00F72750">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color w:val="000000"/>
        </w:rPr>
        <w:t>Oficio número 220C0301020000L/291/2023 emitido por el Director de Planeación, Proyectos y Construcción, quien hizo del conocimiento del solicitante que la inf</w:t>
      </w:r>
      <w:r w:rsidR="004A7836" w:rsidRPr="000F3FFA">
        <w:rPr>
          <w:rFonts w:eastAsia="Palatino Linotype" w:cs="Palatino Linotype"/>
          <w:color w:val="000000"/>
        </w:rPr>
        <w:t>ormación está relacionada con la</w:t>
      </w:r>
      <w:r w:rsidRPr="000F3FFA">
        <w:rPr>
          <w:rFonts w:eastAsia="Palatino Linotype" w:cs="Palatino Linotype"/>
          <w:color w:val="000000"/>
        </w:rPr>
        <w:t xml:space="preserve"> operación, por lo que esa Dirección no es competente para dar respuesta a dichos requerimientos.</w:t>
      </w:r>
    </w:p>
    <w:p w14:paraId="1EFDE8EE" w14:textId="374DD526" w:rsidR="00E85C49" w:rsidRPr="000F3FFA" w:rsidRDefault="00411C52" w:rsidP="00F72750">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0F3FFA">
        <w:rPr>
          <w:rFonts w:eastAsia="Palatino Linotype" w:cs="Palatino Linotype"/>
          <w:b/>
          <w:bCs/>
          <w:color w:val="000000"/>
        </w:rPr>
        <w:t>Of. 291 - SAIMEX 052.pdf</w:t>
      </w:r>
      <w:r w:rsidR="00E85C49" w:rsidRPr="000F3FFA">
        <w:rPr>
          <w:rFonts w:eastAsia="Palatino Linotype" w:cs="Palatino Linotype"/>
          <w:color w:val="000000"/>
        </w:rPr>
        <w:t>.</w:t>
      </w:r>
      <w:r w:rsidRPr="000F3FFA">
        <w:rPr>
          <w:rFonts w:eastAsia="Palatino Linotype" w:cs="Palatino Linotype"/>
          <w:color w:val="000000"/>
        </w:rPr>
        <w:t xml:space="preserve"> Oficio </w:t>
      </w:r>
      <w:r w:rsidR="003B5EB8" w:rsidRPr="000F3FFA">
        <w:rPr>
          <w:rFonts w:eastAsia="Palatino Linotype" w:cs="Palatino Linotype"/>
          <w:color w:val="000000"/>
        </w:rPr>
        <w:t>número 220C0301020000L/291/2023 emitido por el Director de Supervisión y Control manifestó que, respecto de la información solicitada, una vez realizada la búsqueda en los archivos de esa Dirección, no es procedente hacer entrega de la documentación debido a que contiene datos personales que no pueden otorgarse sin la autorización de sus titulares, aunado a que la información puede utilizarse en su perjuicio.</w:t>
      </w:r>
    </w:p>
    <w:p w14:paraId="48959858" w14:textId="77777777" w:rsidR="00881260" w:rsidRPr="000F3FFA" w:rsidRDefault="00881260" w:rsidP="006922F5">
      <w:pPr>
        <w:pBdr>
          <w:top w:val="nil"/>
          <w:left w:val="nil"/>
          <w:bottom w:val="nil"/>
          <w:right w:val="nil"/>
          <w:between w:val="nil"/>
        </w:pBdr>
        <w:contextualSpacing/>
        <w:rPr>
          <w:rFonts w:eastAsia="Palatino Linotype" w:cs="Palatino Linotype"/>
          <w:color w:val="000000"/>
          <w:szCs w:val="24"/>
        </w:rPr>
      </w:pPr>
    </w:p>
    <w:p w14:paraId="6128DFF4" w14:textId="01D8F9F1" w:rsidR="00A970D5" w:rsidRPr="000F3FFA" w:rsidRDefault="007E0B5E"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Ante la</w:t>
      </w:r>
      <w:r w:rsidR="00A970D5" w:rsidRPr="000F3FFA">
        <w:rPr>
          <w:rFonts w:eastAsia="Palatino Linotype" w:cs="Palatino Linotype"/>
          <w:color w:val="000000"/>
          <w:szCs w:val="24"/>
        </w:rPr>
        <w:t xml:space="preserve"> respuesta</w:t>
      </w:r>
      <w:r w:rsidRPr="000F3FFA">
        <w:rPr>
          <w:rFonts w:eastAsia="Palatino Linotype" w:cs="Palatino Linotype"/>
          <w:color w:val="000000"/>
          <w:szCs w:val="24"/>
        </w:rPr>
        <w:t xml:space="preserve"> emitida</w:t>
      </w:r>
      <w:r w:rsidR="00E41D06" w:rsidRPr="000F3FFA">
        <w:rPr>
          <w:rFonts w:eastAsia="Palatino Linotype" w:cs="Palatino Linotype"/>
          <w:color w:val="000000"/>
          <w:szCs w:val="24"/>
        </w:rPr>
        <w:t xml:space="preserve"> </w:t>
      </w:r>
      <w:r w:rsidR="00B32535" w:rsidRPr="000F3FFA">
        <w:rPr>
          <w:rFonts w:eastAsia="Palatino Linotype" w:cs="Palatino Linotype"/>
          <w:color w:val="000000"/>
          <w:szCs w:val="24"/>
        </w:rPr>
        <w:t>por el Sujeto Obligado,</w:t>
      </w:r>
      <w:r w:rsidRPr="000F3FFA">
        <w:rPr>
          <w:rFonts w:eastAsia="Palatino Linotype" w:cs="Palatino Linotype"/>
          <w:color w:val="000000"/>
          <w:szCs w:val="24"/>
        </w:rPr>
        <w:t xml:space="preserve"> </w:t>
      </w:r>
      <w:r w:rsidR="007502BD" w:rsidRPr="000F3FFA">
        <w:rPr>
          <w:rFonts w:eastAsia="Palatino Linotype" w:cs="Palatino Linotype"/>
          <w:color w:val="000000"/>
          <w:szCs w:val="24"/>
        </w:rPr>
        <w:t>el</w:t>
      </w:r>
      <w:r w:rsidR="00A970D5" w:rsidRPr="000F3FFA">
        <w:rPr>
          <w:rFonts w:eastAsia="Palatino Linotype" w:cs="Palatino Linotype"/>
          <w:color w:val="000000"/>
          <w:szCs w:val="24"/>
        </w:rPr>
        <w:t xml:space="preserve"> Recurr</w:t>
      </w:r>
      <w:r w:rsidR="00640056" w:rsidRPr="000F3FFA">
        <w:rPr>
          <w:rFonts w:eastAsia="Palatino Linotype" w:cs="Palatino Linotype"/>
          <w:color w:val="000000"/>
          <w:szCs w:val="24"/>
        </w:rPr>
        <w:t>e</w:t>
      </w:r>
      <w:r w:rsidR="00A970D5" w:rsidRPr="000F3FFA">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0F3FFA">
        <w:rPr>
          <w:rFonts w:eastAsia="Palatino Linotype" w:cs="Palatino Linotype"/>
          <w:color w:val="000000"/>
          <w:szCs w:val="24"/>
        </w:rPr>
        <w:t xml:space="preserve"> </w:t>
      </w:r>
      <w:r w:rsidR="00DF0C07" w:rsidRPr="000F3FFA">
        <w:rPr>
          <w:rFonts w:eastAsia="Palatino Linotype" w:cs="Palatino Linotype"/>
          <w:color w:val="000000"/>
          <w:szCs w:val="24"/>
        </w:rPr>
        <w:t xml:space="preserve">que se inconforma con la respuesta a la solicitud; dando como </w:t>
      </w:r>
      <w:r w:rsidR="00F6068A" w:rsidRPr="000F3FFA">
        <w:rPr>
          <w:rFonts w:eastAsia="Palatino Linotype" w:cs="Palatino Linotype"/>
          <w:color w:val="000000"/>
          <w:szCs w:val="24"/>
        </w:rPr>
        <w:t xml:space="preserve">razones o motivos de inconformidad </w:t>
      </w:r>
      <w:r w:rsidR="00BA7C85" w:rsidRPr="000F3FFA">
        <w:rPr>
          <w:rFonts w:eastAsia="Palatino Linotype" w:cs="Palatino Linotype"/>
          <w:color w:val="000000"/>
          <w:szCs w:val="24"/>
        </w:rPr>
        <w:t xml:space="preserve">que </w:t>
      </w:r>
      <w:r w:rsidR="00DF0C07" w:rsidRPr="000F3FFA">
        <w:rPr>
          <w:rFonts w:eastAsia="Palatino Linotype" w:cs="Palatino Linotype"/>
          <w:color w:val="000000"/>
          <w:szCs w:val="24"/>
        </w:rPr>
        <w:t>se proporcionó información incompleta ya que se omitió señalar con qué compañía aseguradora tu</w:t>
      </w:r>
      <w:r w:rsidR="001F793D" w:rsidRPr="000F3FFA">
        <w:rPr>
          <w:rFonts w:eastAsia="Palatino Linotype" w:cs="Palatino Linotype"/>
          <w:color w:val="000000"/>
          <w:szCs w:val="24"/>
        </w:rPr>
        <w:t xml:space="preserve">vo contratado el Mexibús o en su caso los concesionarios, los contratos de seguros y sus pólizas respectivas que amparen con concepto de Responsabilidad Civil, por daños a terceros en los periodos comprendidos de enero febrero y marzo de dos mil </w:t>
      </w:r>
      <w:r w:rsidR="001F793D" w:rsidRPr="000F3FFA">
        <w:rPr>
          <w:rFonts w:eastAsia="Palatino Linotype" w:cs="Palatino Linotype"/>
          <w:color w:val="000000"/>
          <w:szCs w:val="24"/>
        </w:rPr>
        <w:lastRenderedPageBreak/>
        <w:t xml:space="preserve">veintitrés; asimismo, al negarse a entregar copia de las pólizas de seguro celebrados durante 2022 y 2023, las cuales obran en sus archivos. </w:t>
      </w:r>
    </w:p>
    <w:p w14:paraId="7BF94A5E" w14:textId="77777777" w:rsidR="001F793D" w:rsidRPr="000F3FFA" w:rsidRDefault="001F793D" w:rsidP="006922F5">
      <w:pPr>
        <w:pBdr>
          <w:top w:val="nil"/>
          <w:left w:val="nil"/>
          <w:bottom w:val="nil"/>
          <w:right w:val="nil"/>
          <w:between w:val="nil"/>
        </w:pBdr>
        <w:contextualSpacing/>
        <w:rPr>
          <w:rFonts w:eastAsia="Palatino Linotype" w:cs="Palatino Linotype"/>
          <w:color w:val="000000"/>
          <w:szCs w:val="24"/>
        </w:rPr>
      </w:pPr>
    </w:p>
    <w:p w14:paraId="25A704B8" w14:textId="204F64FE" w:rsidR="001F793D" w:rsidRPr="000F3FFA" w:rsidRDefault="001F793D"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Cabe señalar </w:t>
      </w:r>
      <w:r w:rsidR="00561AFC" w:rsidRPr="000F3FFA">
        <w:rPr>
          <w:rFonts w:eastAsia="Palatino Linotype" w:cs="Palatino Linotype"/>
          <w:color w:val="000000"/>
          <w:szCs w:val="24"/>
        </w:rPr>
        <w:t xml:space="preserve">que la Recurrente </w:t>
      </w:r>
      <w:r w:rsidR="00410F20" w:rsidRPr="000F3FFA">
        <w:rPr>
          <w:rFonts w:eastAsia="Palatino Linotype" w:cs="Palatino Linotype"/>
          <w:color w:val="000000"/>
          <w:szCs w:val="24"/>
        </w:rPr>
        <w:t xml:space="preserve">anexó a su recurso de revisión </w:t>
      </w:r>
      <w:r w:rsidR="005A4C1A" w:rsidRPr="000F3FFA">
        <w:rPr>
          <w:rFonts w:eastAsia="Palatino Linotype" w:cs="Palatino Linotype"/>
          <w:color w:val="000000"/>
          <w:szCs w:val="24"/>
        </w:rPr>
        <w:t xml:space="preserve">un documento en el que </w:t>
      </w:r>
      <w:r w:rsidR="004E066E" w:rsidRPr="000F3FFA">
        <w:rPr>
          <w:rFonts w:eastAsia="Palatino Linotype" w:cs="Palatino Linotype"/>
          <w:color w:val="000000"/>
          <w:szCs w:val="24"/>
        </w:rPr>
        <w:t>explicó de manera detallada sus razones o motivos de inconformidad, el cual ya fue transcrito en el apartado de Antecedentes.</w:t>
      </w:r>
    </w:p>
    <w:p w14:paraId="3AC05501" w14:textId="77777777" w:rsidR="003D372B" w:rsidRPr="000F3FFA"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388A9383" w:rsidR="009279EC" w:rsidRPr="000F3FFA" w:rsidRDefault="004834FE" w:rsidP="006922F5">
      <w:pPr>
        <w:pBdr>
          <w:top w:val="nil"/>
          <w:left w:val="nil"/>
          <w:bottom w:val="nil"/>
          <w:right w:val="nil"/>
          <w:between w:val="nil"/>
        </w:pBdr>
        <w:contextualSpacing/>
      </w:pPr>
      <w:r w:rsidRPr="000F3FFA">
        <w:t>Durante la etapa de instrucción el Sujeto Obligado rindió su Informe Justificado mediante la entrega de los siguientes documentos:</w:t>
      </w:r>
    </w:p>
    <w:p w14:paraId="24A953DD" w14:textId="77777777" w:rsidR="004834FE" w:rsidRPr="000F3FFA" w:rsidRDefault="004834FE" w:rsidP="006922F5">
      <w:pPr>
        <w:pBdr>
          <w:top w:val="nil"/>
          <w:left w:val="nil"/>
          <w:bottom w:val="nil"/>
          <w:right w:val="nil"/>
          <w:between w:val="nil"/>
        </w:pBdr>
        <w:contextualSpacing/>
      </w:pPr>
    </w:p>
    <w:p w14:paraId="1B4C35B2" w14:textId="42B2103D"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10. Consolidado_12_430_2203_004796_LINEA 4 FINAL----2023.pdf</w:t>
      </w:r>
      <w:r w:rsidRPr="000F3FFA">
        <w:rPr>
          <w:rFonts w:eastAsia="Palatino Linotype" w:cs="Palatino Linotype"/>
          <w:color w:val="000000"/>
          <w:lang w:val="es-MX"/>
        </w:rPr>
        <w:t xml:space="preserve">. Póliza con Seguros Sura número 2203 de fecha 30 de marzo de 2023. </w:t>
      </w:r>
    </w:p>
    <w:p w14:paraId="55B4BB37" w14:textId="11D20FBA"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5. Consolidado con anexo _12_430_2201_004796_LINEA 3 FINAL----2023.pdf</w:t>
      </w:r>
      <w:r w:rsidRPr="000F3FFA">
        <w:rPr>
          <w:rFonts w:eastAsia="Palatino Linotype" w:cs="Palatino Linotype"/>
          <w:color w:val="000000"/>
          <w:lang w:val="es-MX"/>
        </w:rPr>
        <w:t xml:space="preserve">. </w:t>
      </w:r>
      <w:r w:rsidR="00D12733" w:rsidRPr="000F3FFA">
        <w:t xml:space="preserve">Póliza con Seguros Sura número 2201 de fecha 29 de marzo de 2023. </w:t>
      </w:r>
    </w:p>
    <w:p w14:paraId="117F06BF" w14:textId="33064000"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4. Consolidado 12 430 2202 _P_1144703_004796_ERO FINAL-----2023.pdf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2202 de fecha 29 de marzo de 2023. </w:t>
      </w:r>
    </w:p>
    <w:p w14:paraId="51329817" w14:textId="41A6B1F8"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6. Consolidado con anexo_12_430_100002023_004796_linea 1 AIFA----2023.pdf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100002023 de fecha 29 de marzo de 2023. </w:t>
      </w:r>
    </w:p>
    <w:p w14:paraId="1D0187DE" w14:textId="56A6375C"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15. consolidao 12 430 2168 2_004796_PRORROGA ESTACION ERO-----2023.pdf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2168 de fecha 02 de enero de 2023. </w:t>
      </w:r>
    </w:p>
    <w:p w14:paraId="5EC61D7F" w14:textId="59596C8D"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11. Consolidado_12_430_2211_004796_ESTACION ERO.pdf</w:t>
      </w:r>
      <w:r w:rsidRPr="000F3FFA">
        <w:rPr>
          <w:rFonts w:eastAsia="Palatino Linotype" w:cs="Palatino Linotype"/>
          <w:color w:val="000000"/>
          <w:lang w:val="es-MX"/>
        </w:rPr>
        <w:t>.</w:t>
      </w:r>
      <w:r w:rsidR="00D12733" w:rsidRPr="000F3FFA">
        <w:rPr>
          <w:rFonts w:eastAsia="Palatino Linotype" w:cs="Palatino Linotype"/>
          <w:color w:val="000000"/>
          <w:lang w:val="es-MX"/>
        </w:rPr>
        <w:t xml:space="preserve"> Póliza con Seguros Sura número 2211 de fecha 20 de abril de 2023. </w:t>
      </w:r>
    </w:p>
    <w:p w14:paraId="716686C5" w14:textId="6D14FDCC"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14. Consolidado_con_slip__12_430_2023_004796-----2023.pdf</w:t>
      </w:r>
      <w:r w:rsidRPr="000F3FFA">
        <w:rPr>
          <w:rFonts w:eastAsia="Palatino Linotype" w:cs="Palatino Linotype"/>
          <w:color w:val="000000"/>
          <w:lang w:val="es-MX"/>
        </w:rPr>
        <w:t xml:space="preserve">. </w:t>
      </w:r>
      <w:r w:rsidR="00D12733" w:rsidRPr="000F3FFA">
        <w:t xml:space="preserve">Póliza con Seguros Sura número 2203 de fecha 30 de marzo de 2022. </w:t>
      </w:r>
    </w:p>
    <w:p w14:paraId="054D3A84" w14:textId="2E52F3B2"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lastRenderedPageBreak/>
        <w:t>OFICIO SAINEX 00052.pdf</w:t>
      </w:r>
      <w:r w:rsidRPr="000F3FFA">
        <w:rPr>
          <w:rFonts w:eastAsia="Palatino Linotype" w:cs="Palatino Linotype"/>
          <w:color w:val="000000"/>
          <w:lang w:val="es-MX"/>
        </w:rPr>
        <w:t>.</w:t>
      </w:r>
      <w:r w:rsidR="00D12733" w:rsidRPr="000F3FFA">
        <w:rPr>
          <w:rFonts w:eastAsia="Palatino Linotype" w:cs="Palatino Linotype"/>
          <w:color w:val="000000"/>
          <w:lang w:val="es-MX"/>
        </w:rPr>
        <w:t xml:space="preserve"> Oficio número 220C0301000001S/592-1/2023, emitido por el Jefe de la Unidad de Apoyo Administrativo mediante el cual se da respuesta a los puntos 1 al 4, y señaló que tocante a la punto 5 no es competente para proporcionar información al no estar dentro de sus alcances.</w:t>
      </w:r>
    </w:p>
    <w:p w14:paraId="7ECA92AC" w14:textId="4FA0F648"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13. Consolidado_12_430_2214_004796_LINEA 4.pdf</w:t>
      </w:r>
      <w:r w:rsidRPr="000F3FFA">
        <w:rPr>
          <w:rFonts w:eastAsia="Palatino Linotype" w:cs="Palatino Linotype"/>
          <w:color w:val="000000"/>
          <w:lang w:val="es-MX"/>
        </w:rPr>
        <w:t>.</w:t>
      </w:r>
      <w:r w:rsidR="00D12733" w:rsidRPr="000F3FFA">
        <w:rPr>
          <w:rFonts w:eastAsia="Palatino Linotype" w:cs="Palatino Linotype"/>
          <w:color w:val="000000"/>
          <w:lang w:val="es-MX"/>
        </w:rPr>
        <w:t xml:space="preserve"> Póliza con Seguros Sura número 2214 de fecha 21 de abril de 2023. </w:t>
      </w:r>
    </w:p>
    <w:p w14:paraId="3C69BD95" w14:textId="3DBEE2B2"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3. CaratulaEmisionEmpresa_12_430_M_100002001---2022.pdf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Póliza con Seguros Sura número 100002001/3 de fecha 30 de junio de 2022.</w:t>
      </w:r>
    </w:p>
    <w:p w14:paraId="3F9AC296" w14:textId="7522B5AF"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12. consolidado_12_430_2212_LINEA 3.pdf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2212/4 de fecha 20 de abril de 2022. </w:t>
      </w:r>
    </w:p>
    <w:p w14:paraId="2F27DCF2" w14:textId="2182DB0F"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SAIMEX 00052.pdf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Oficio número UT/213C03010301200/155/2023 emitido por la Titular de la Unidad de Transparencia, al que se adjuntó el oficio número 220C0301020000L/340/2023 suscrito por el Director de Supervisión y Control, con el que se señaló que, respecto del punto 5 de la solicitud, una vez realizada la búsqueda de la información en los archivos de esa Dirección, se tiene que la operación de las unidades BRT de la Ampliación del Mexibús III “Chimalhuacán – Chicoloapan” están siendo operadas por la empresa RED DE TRANSPORTE DEL ORIENTE TRANSRED, S.A. de C.V.</w:t>
      </w:r>
    </w:p>
    <w:p w14:paraId="2753EB56" w14:textId="7877D6CE"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 </w:t>
      </w:r>
      <w:r w:rsidR="00EE741B" w:rsidRPr="000F3FFA">
        <w:rPr>
          <w:rFonts w:eastAsia="Palatino Linotype" w:cs="Palatino Linotype"/>
          <w:b/>
          <w:color w:val="000000"/>
          <w:lang w:val="es-MX"/>
        </w:rPr>
        <w:t>CaratulaEmisionEmpresa_12_430_M_2089-----2022.pdf</w:t>
      </w:r>
      <w:r w:rsidR="00EE741B" w:rsidRPr="000F3FFA">
        <w:rPr>
          <w:rFonts w:eastAsia="Palatino Linotype" w:cs="Palatino Linotype"/>
          <w:color w:val="000000"/>
          <w:lang w:val="es-MX"/>
        </w:rPr>
        <w:t>.</w:t>
      </w:r>
      <w:r w:rsidRPr="000F3FFA">
        <w:rPr>
          <w:rFonts w:eastAsia="Palatino Linotype" w:cs="Palatino Linotype"/>
          <w:color w:val="000000"/>
          <w:lang w:val="es-MX"/>
        </w:rPr>
        <w:t xml:space="preserve"> Póliza con Seguros Sura número 2089/0 de fecha 30 de junio de 2022.</w:t>
      </w:r>
    </w:p>
    <w:p w14:paraId="5977F74A" w14:textId="6575D96A"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8. Consolidado_12_430_2166_004796_PRORROGA LINEA 4----2023.pdf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2166 de fecha 30 de diciembre de 2022. </w:t>
      </w:r>
    </w:p>
    <w:p w14:paraId="6A56C2CC" w14:textId="3BA28930"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9. Consolidado_12_430_2167_004796_PRORROGA LINEA 3----2023.pdf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2167 de fecha 30 de diciembre de 2022. </w:t>
      </w:r>
    </w:p>
    <w:p w14:paraId="1D7C020D" w14:textId="77881BE1"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lastRenderedPageBreak/>
        <w:t>7. Consolidado con slip _12_430_2213_004796_LINEA 1 AIFA.pdf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 xml:space="preserve">Póliza con Seguros Sura número 2213 de fecha 21 de abril de 2023. </w:t>
      </w:r>
    </w:p>
    <w:p w14:paraId="39675C74" w14:textId="76065014"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2. CaratulaEmisionEmpresa_12_430_M_100002000-----2022.pdf</w:t>
      </w:r>
      <w:r w:rsidRPr="000F3FFA">
        <w:rPr>
          <w:rFonts w:eastAsia="Palatino Linotype" w:cs="Palatino Linotype"/>
          <w:color w:val="000000"/>
          <w:lang w:val="es-MX"/>
        </w:rPr>
        <w:t xml:space="preserve">. </w:t>
      </w:r>
      <w:r w:rsidR="00D12733" w:rsidRPr="000F3FFA">
        <w:rPr>
          <w:rFonts w:eastAsia="Palatino Linotype" w:cs="Palatino Linotype"/>
          <w:color w:val="000000"/>
          <w:lang w:val="es-MX"/>
        </w:rPr>
        <w:t>Póliza con Seguros Sura número 100002000/2 de fecha 30 de junio de 2022.</w:t>
      </w:r>
    </w:p>
    <w:p w14:paraId="4D529CAA" w14:textId="7B409459"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4. </w:t>
      </w:r>
      <w:r w:rsidR="00D12733" w:rsidRPr="000F3FFA">
        <w:rPr>
          <w:rFonts w:eastAsia="Palatino Linotype" w:cs="Palatino Linotype"/>
          <w:b/>
          <w:color w:val="000000"/>
          <w:lang w:val="es-MX"/>
        </w:rPr>
        <w:t>Consolidado.pdf</w:t>
      </w:r>
      <w:r w:rsidR="00D12733" w:rsidRPr="000F3FFA">
        <w:rPr>
          <w:rFonts w:eastAsia="Palatino Linotype" w:cs="Palatino Linotype"/>
          <w:color w:val="000000"/>
          <w:lang w:val="es-MX"/>
        </w:rPr>
        <w:t xml:space="preserve">. Póliza con Seguros Sura número 2202 de fecha 29 de marzo de 2023. </w:t>
      </w:r>
    </w:p>
    <w:p w14:paraId="75510D61" w14:textId="6E4C2BFE"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5. </w:t>
      </w:r>
      <w:r w:rsidR="00D12733" w:rsidRPr="000F3FFA">
        <w:rPr>
          <w:rFonts w:eastAsia="Palatino Linotype" w:cs="Palatino Linotype"/>
          <w:b/>
          <w:color w:val="000000"/>
          <w:lang w:val="es-MX"/>
        </w:rPr>
        <w:t>Consolidado.pdf</w:t>
      </w:r>
      <w:r w:rsidR="00D12733" w:rsidRPr="000F3FFA">
        <w:rPr>
          <w:rFonts w:eastAsia="Palatino Linotype" w:cs="Palatino Linotype"/>
          <w:color w:val="000000"/>
          <w:lang w:val="es-MX"/>
        </w:rPr>
        <w:t xml:space="preserve">. Póliza con Seguros Sura número 2201 de fecha 29 de marzo de 2023. </w:t>
      </w:r>
    </w:p>
    <w:p w14:paraId="417B4A75" w14:textId="423B0C1A"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6. </w:t>
      </w:r>
      <w:r w:rsidR="00D12733" w:rsidRPr="000F3FFA">
        <w:rPr>
          <w:rFonts w:eastAsia="Palatino Linotype" w:cs="Palatino Linotype"/>
          <w:b/>
          <w:color w:val="000000"/>
          <w:lang w:val="es-MX"/>
        </w:rPr>
        <w:t xml:space="preserve">Consolidado con anexo.pdf. </w:t>
      </w:r>
      <w:r w:rsidR="00D12733" w:rsidRPr="000F3FFA">
        <w:rPr>
          <w:rFonts w:eastAsia="Palatino Linotype" w:cs="Palatino Linotype"/>
          <w:color w:val="000000"/>
          <w:lang w:val="es-MX"/>
        </w:rPr>
        <w:t xml:space="preserve">Póliza con Seguros Sura número 100002023 de fecha 29 de marzo de 2023. </w:t>
      </w:r>
    </w:p>
    <w:p w14:paraId="31E44D09" w14:textId="60E1670B"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15. </w:t>
      </w:r>
      <w:r w:rsidR="00D12733" w:rsidRPr="000F3FFA">
        <w:rPr>
          <w:rFonts w:eastAsia="Palatino Linotype" w:cs="Palatino Linotype"/>
          <w:b/>
          <w:color w:val="000000"/>
          <w:lang w:val="es-MX"/>
        </w:rPr>
        <w:t>consolidao.pdf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2168 de fecha 02 de enero de 2023. </w:t>
      </w:r>
    </w:p>
    <w:p w14:paraId="1E6C26A4" w14:textId="3E9E7AFF"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7. </w:t>
      </w:r>
      <w:r w:rsidR="00D12733" w:rsidRPr="000F3FFA">
        <w:rPr>
          <w:rFonts w:eastAsia="Palatino Linotype" w:cs="Palatino Linotype"/>
          <w:b/>
          <w:color w:val="000000"/>
          <w:lang w:val="es-MX"/>
        </w:rPr>
        <w:t>Consolidado.pdf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2213 de fecha 21 de abril de 2023. </w:t>
      </w:r>
    </w:p>
    <w:p w14:paraId="36132949" w14:textId="3880C1FB"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11. Consolidado.pdf</w:t>
      </w:r>
      <w:r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2211 de fecha 20 de abril de 2023. </w:t>
      </w:r>
    </w:p>
    <w:p w14:paraId="1823A8D8" w14:textId="0018C9BC"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1. </w:t>
      </w:r>
      <w:r w:rsidR="00D12733" w:rsidRPr="000F3FFA">
        <w:rPr>
          <w:rFonts w:eastAsia="Palatino Linotype" w:cs="Palatino Linotype"/>
          <w:b/>
          <w:color w:val="000000"/>
          <w:lang w:val="es-MX"/>
        </w:rPr>
        <w:t>CaratulaEmisionEmpresa.pdf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Póliza con Seguros Sura número 2089/0 de fecha 30 de junio de 2022.</w:t>
      </w:r>
    </w:p>
    <w:p w14:paraId="2B111959" w14:textId="4B4E2A6D"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3. </w:t>
      </w:r>
      <w:r w:rsidR="00D12733" w:rsidRPr="000F3FFA">
        <w:rPr>
          <w:rFonts w:eastAsia="Palatino Linotype" w:cs="Palatino Linotype"/>
          <w:b/>
          <w:color w:val="000000"/>
          <w:lang w:val="es-MX"/>
        </w:rPr>
        <w:t>CaratulaEmisionEmpresa.pdf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Póliza con Seguros Sura número 100002001/3 de fecha 30 de junio de 2022.</w:t>
      </w:r>
    </w:p>
    <w:p w14:paraId="4A062B9F" w14:textId="57DDC72F"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SAIMEX 00052.pdf</w:t>
      </w:r>
      <w:r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Oficio número UT/213C03010301200/155/2023 emitido por la Titular de la Unidad de Transparencia, al que se adjuntó el oficio número 220C0301020000L/340/2023 suscrito por el Director de Supervisión y Control, con el que se señaló que, respecto del punto 5 de la solicitud, una vez realizada la </w:t>
      </w:r>
      <w:r w:rsidR="001C7706" w:rsidRPr="000F3FFA">
        <w:rPr>
          <w:rFonts w:eastAsia="Palatino Linotype" w:cs="Palatino Linotype"/>
          <w:color w:val="000000"/>
          <w:lang w:val="es-MX"/>
        </w:rPr>
        <w:lastRenderedPageBreak/>
        <w:t>búsqueda de la información en los archivos de esa Dirección, se tiene que la operación de las unidades BRT de la Ampliación del Mexibús III “Chimalhuacán – Chicoloapan” están siendo operadas por la empresa RED DE TRANSPORTE DEL ORIENTE TRANSRED, S.A. de C.V.</w:t>
      </w:r>
    </w:p>
    <w:p w14:paraId="69C446C1" w14:textId="28AB1959"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2. </w:t>
      </w:r>
      <w:r w:rsidR="00D12733" w:rsidRPr="000F3FFA">
        <w:rPr>
          <w:rFonts w:eastAsia="Palatino Linotype" w:cs="Palatino Linotype"/>
          <w:b/>
          <w:color w:val="000000"/>
          <w:lang w:val="es-MX"/>
        </w:rPr>
        <w:t>CaratulaEmisionEmpresa.pdf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Póliza con Seguros Sura número 100002000/2 de fecha 30 de junio de 2022.</w:t>
      </w:r>
    </w:p>
    <w:p w14:paraId="29DB4BB5" w14:textId="0B1B7C6B"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8. </w:t>
      </w:r>
      <w:r w:rsidR="00D12733" w:rsidRPr="000F3FFA">
        <w:rPr>
          <w:rFonts w:eastAsia="Palatino Linotype" w:cs="Palatino Linotype"/>
          <w:b/>
          <w:color w:val="000000"/>
          <w:lang w:val="es-MX"/>
        </w:rPr>
        <w:t>Consolidado.pdf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2166 de fecha 30 de diciembre de 2022. </w:t>
      </w:r>
    </w:p>
    <w:p w14:paraId="5CF42051" w14:textId="387C1417"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 xml:space="preserve">9. </w:t>
      </w:r>
      <w:r w:rsidR="00D12733" w:rsidRPr="000F3FFA">
        <w:rPr>
          <w:rFonts w:eastAsia="Palatino Linotype" w:cs="Palatino Linotype"/>
          <w:b/>
          <w:color w:val="000000"/>
          <w:lang w:val="es-MX"/>
        </w:rPr>
        <w:t>Consolidado.pdf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2167 de fecha 30 de diciembre de 2022. </w:t>
      </w:r>
    </w:p>
    <w:p w14:paraId="1C889ACB" w14:textId="58971E8E"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13. Consolidado.pdf</w:t>
      </w:r>
      <w:r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2214 de fecha 21 de abril de 2023. </w:t>
      </w:r>
    </w:p>
    <w:p w14:paraId="3FA72FA5" w14:textId="0449FFE5"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OFICIO SAINEX 00052.pdf</w:t>
      </w:r>
      <w:r w:rsidRPr="000F3FFA">
        <w:rPr>
          <w:rFonts w:eastAsia="Palatino Linotype" w:cs="Palatino Linotype"/>
          <w:color w:val="000000"/>
          <w:lang w:val="es-MX"/>
        </w:rPr>
        <w:t xml:space="preserve">. </w:t>
      </w:r>
      <w:r w:rsidR="001C7706" w:rsidRPr="000F3FFA">
        <w:rPr>
          <w:rFonts w:eastAsia="Palatino Linotype" w:cs="Palatino Linotype"/>
          <w:color w:val="000000"/>
          <w:lang w:val="es-MX"/>
        </w:rPr>
        <w:t>Oficio número 220C0301000001S/592-1/2023, emitido por el Jefe de la Unidad de Apoyo Administrativo mediante el cual se da respuesta a los puntos 1 al 4, y señaló que tocante a la punto 5 no es competente para proporcionar información al no estar dentro de sus alcances.</w:t>
      </w:r>
    </w:p>
    <w:p w14:paraId="0BDB94E0" w14:textId="2C0861A7"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12. consolidado.pdf</w:t>
      </w:r>
      <w:r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2212/4 de fecha 20 de abril de 2022. </w:t>
      </w:r>
    </w:p>
    <w:p w14:paraId="01EB173E" w14:textId="74C45BF3" w:rsidR="00EE741B" w:rsidRPr="000F3FFA" w:rsidRDefault="00D12733"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14. Consolidado.pdf</w:t>
      </w:r>
      <w:r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2203 de fecha 30 de marzo de 2022. </w:t>
      </w:r>
    </w:p>
    <w:p w14:paraId="32E74C0A" w14:textId="5531DBA6" w:rsidR="00EE741B" w:rsidRPr="000F3FFA" w:rsidRDefault="00EE741B" w:rsidP="00F72750">
      <w:pPr>
        <w:pStyle w:val="Prrafodelista"/>
        <w:numPr>
          <w:ilvl w:val="0"/>
          <w:numId w:val="21"/>
        </w:numPr>
        <w:pBdr>
          <w:top w:val="nil"/>
          <w:left w:val="nil"/>
          <w:bottom w:val="nil"/>
          <w:right w:val="nil"/>
          <w:between w:val="nil"/>
        </w:pBdr>
        <w:contextualSpacing/>
        <w:rPr>
          <w:rFonts w:eastAsia="Palatino Linotype" w:cs="Palatino Linotype"/>
          <w:b/>
          <w:color w:val="000000"/>
          <w:lang w:val="es-MX"/>
        </w:rPr>
      </w:pPr>
      <w:r w:rsidRPr="000F3FFA">
        <w:rPr>
          <w:rFonts w:eastAsia="Palatino Linotype" w:cs="Palatino Linotype"/>
          <w:b/>
          <w:color w:val="000000"/>
          <w:lang w:val="es-MX"/>
        </w:rPr>
        <w:t>10.</w:t>
      </w:r>
      <w:r w:rsidR="00D12733" w:rsidRPr="000F3FFA">
        <w:rPr>
          <w:rFonts w:eastAsia="Palatino Linotype" w:cs="Palatino Linotype"/>
          <w:b/>
          <w:color w:val="000000"/>
          <w:lang w:val="es-MX"/>
        </w:rPr>
        <w:t>Consolidado.pdf</w:t>
      </w:r>
      <w:r w:rsidR="00D12733" w:rsidRPr="000F3FFA">
        <w:rPr>
          <w:rFonts w:eastAsia="Palatino Linotype" w:cs="Palatino Linotype"/>
          <w:color w:val="000000"/>
          <w:lang w:val="es-MX"/>
        </w:rPr>
        <w:t xml:space="preserve">. </w:t>
      </w:r>
      <w:r w:rsidR="001C7706" w:rsidRPr="000F3FFA">
        <w:rPr>
          <w:rFonts w:eastAsia="Palatino Linotype" w:cs="Palatino Linotype"/>
          <w:color w:val="000000"/>
          <w:lang w:val="es-MX"/>
        </w:rPr>
        <w:t xml:space="preserve">Póliza con Seguros Sura número 2203 de fecha 30 de marzo de 2023. </w:t>
      </w:r>
    </w:p>
    <w:p w14:paraId="2F660789" w14:textId="77777777" w:rsidR="00EE741B" w:rsidRPr="000F3FFA" w:rsidRDefault="00EE741B" w:rsidP="006922F5">
      <w:pPr>
        <w:pBdr>
          <w:top w:val="nil"/>
          <w:left w:val="nil"/>
          <w:bottom w:val="nil"/>
          <w:right w:val="nil"/>
          <w:between w:val="nil"/>
        </w:pBdr>
        <w:contextualSpacing/>
      </w:pPr>
    </w:p>
    <w:p w14:paraId="783BE56A" w14:textId="73EE1862" w:rsidR="00EE741B" w:rsidRPr="000F3FFA" w:rsidRDefault="001C7706" w:rsidP="006922F5">
      <w:pPr>
        <w:pBdr>
          <w:top w:val="nil"/>
          <w:left w:val="nil"/>
          <w:bottom w:val="nil"/>
          <w:right w:val="nil"/>
          <w:between w:val="nil"/>
        </w:pBdr>
        <w:contextualSpacing/>
      </w:pPr>
      <w:r w:rsidRPr="000F3FFA">
        <w:rPr>
          <w:rFonts w:eastAsia="Palatino Linotype" w:cs="Palatino Linotype"/>
          <w:color w:val="000000"/>
          <w:szCs w:val="24"/>
        </w:rPr>
        <w:lastRenderedPageBreak/>
        <w:t xml:space="preserve">Se debe recordar que sólo fueron puestos a la vista de la Recurrente los identificados con los numerales 8, 10, 12, 13, 17, 24, 25, 26, 27 y 31, debido a que en el resto de los documentos se dejaron visibles datos personales relativos a terceros los cuales se consideran susceptibles de clasificarse. </w:t>
      </w:r>
    </w:p>
    <w:p w14:paraId="348CCA01" w14:textId="5E2E0833" w:rsidR="00EE741B" w:rsidRPr="000F3FFA" w:rsidRDefault="00EE741B" w:rsidP="006922F5">
      <w:pPr>
        <w:pBdr>
          <w:top w:val="nil"/>
          <w:left w:val="nil"/>
          <w:bottom w:val="nil"/>
          <w:right w:val="nil"/>
          <w:between w:val="nil"/>
        </w:pBdr>
        <w:contextualSpacing/>
      </w:pPr>
    </w:p>
    <w:p w14:paraId="182E66ED" w14:textId="53217EEB" w:rsidR="00EE741B" w:rsidRPr="000F3FFA" w:rsidRDefault="002A4358" w:rsidP="006922F5">
      <w:pPr>
        <w:pBdr>
          <w:top w:val="nil"/>
          <w:left w:val="nil"/>
          <w:bottom w:val="nil"/>
          <w:right w:val="nil"/>
          <w:between w:val="nil"/>
        </w:pBdr>
        <w:contextualSpacing/>
      </w:pPr>
      <w:r w:rsidRPr="000F3FFA">
        <w:t>Por su parte, la Recurrente no emitió manifestaciones ni pronunciamiento respecto de los documentos presentados por el Sujeto Obligado en su Informe Justificado.</w:t>
      </w:r>
    </w:p>
    <w:p w14:paraId="472F4E6A" w14:textId="77777777" w:rsidR="00EE741B" w:rsidRPr="000F3FFA" w:rsidRDefault="00EE741B" w:rsidP="006922F5">
      <w:pPr>
        <w:pBdr>
          <w:top w:val="nil"/>
          <w:left w:val="nil"/>
          <w:bottom w:val="nil"/>
          <w:right w:val="nil"/>
          <w:between w:val="nil"/>
        </w:pBdr>
        <w:contextualSpacing/>
      </w:pPr>
    </w:p>
    <w:p w14:paraId="64B9BA8A" w14:textId="0131C704"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0F3FFA">
        <w:rPr>
          <w:rFonts w:eastAsia="Palatino Linotype" w:cs="Palatino Linotype"/>
          <w:color w:val="000000"/>
          <w:szCs w:val="24"/>
        </w:rPr>
        <w:t xml:space="preserve"> </w:t>
      </w:r>
      <w:r w:rsidRPr="000F3FFA">
        <w:rPr>
          <w:rFonts w:eastAsia="Palatino Linotype" w:cs="Palatino Linotype"/>
          <w:color w:val="000000"/>
          <w:szCs w:val="24"/>
        </w:rPr>
        <w:t>l</w:t>
      </w:r>
      <w:r w:rsidR="00032FBE" w:rsidRPr="000F3FFA">
        <w:rPr>
          <w:rFonts w:eastAsia="Palatino Linotype" w:cs="Palatino Linotype"/>
          <w:color w:val="000000"/>
          <w:szCs w:val="24"/>
        </w:rPr>
        <w:t>a</w:t>
      </w:r>
      <w:r w:rsidRPr="000F3FFA">
        <w:rPr>
          <w:rFonts w:eastAsia="Palatino Linotype" w:cs="Palatino Linotype"/>
          <w:color w:val="000000"/>
          <w:szCs w:val="24"/>
        </w:rPr>
        <w:t xml:space="preserve"> Recurrente, así como calificar los motivos de inconformidad de</w:t>
      </w:r>
      <w:r w:rsidR="00C82268" w:rsidRPr="000F3FFA">
        <w:rPr>
          <w:rFonts w:eastAsia="Palatino Linotype" w:cs="Palatino Linotype"/>
          <w:color w:val="000000"/>
          <w:szCs w:val="24"/>
        </w:rPr>
        <w:t xml:space="preserve">l </w:t>
      </w:r>
      <w:r w:rsidRPr="000F3FFA">
        <w:rPr>
          <w:rFonts w:eastAsia="Palatino Linotype" w:cs="Palatino Linotype"/>
          <w:color w:val="000000"/>
          <w:szCs w:val="24"/>
        </w:rPr>
        <w:t xml:space="preserve">particular. </w:t>
      </w:r>
    </w:p>
    <w:p w14:paraId="443631F3"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0F3FFA" w:rsidRDefault="00A970D5" w:rsidP="006922F5">
      <w:pPr>
        <w:pStyle w:val="Fundamentos"/>
      </w:pPr>
      <w:r w:rsidRPr="000F3FFA">
        <w:rPr>
          <w:b/>
        </w:rPr>
        <w:t>Artículo 6o.</w:t>
      </w:r>
      <w:r w:rsidRPr="000F3FFA">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F3FFA">
        <w:rPr>
          <w:b/>
        </w:rPr>
        <w:t>El derecho a la información será garantizado por el Estado.</w:t>
      </w:r>
      <w:r w:rsidRPr="000F3FFA">
        <w:t xml:space="preserve"> </w:t>
      </w:r>
    </w:p>
    <w:p w14:paraId="71A2C801" w14:textId="77777777" w:rsidR="00A970D5" w:rsidRPr="000F3FFA" w:rsidRDefault="00A970D5" w:rsidP="006922F5">
      <w:pPr>
        <w:pStyle w:val="Fundamentos"/>
      </w:pPr>
    </w:p>
    <w:p w14:paraId="0CDFC85A" w14:textId="77777777" w:rsidR="00A970D5" w:rsidRPr="000F3FFA" w:rsidRDefault="00A970D5" w:rsidP="006922F5">
      <w:pPr>
        <w:pStyle w:val="Fundamentos"/>
      </w:pPr>
      <w:r w:rsidRPr="000F3FFA">
        <w:t>Toda persona tiene derecho al libre acceso a información plural y oportuna, así como a buscar, recibir y difundir información e ideas de toda índole por cualquier medio de expresión.</w:t>
      </w:r>
    </w:p>
    <w:p w14:paraId="0015CD16" w14:textId="77777777" w:rsidR="00A970D5" w:rsidRPr="000F3FFA" w:rsidRDefault="00A970D5" w:rsidP="006922F5">
      <w:pPr>
        <w:pStyle w:val="Fundamentos"/>
      </w:pPr>
    </w:p>
    <w:p w14:paraId="5F6974CB" w14:textId="77777777" w:rsidR="00A970D5" w:rsidRPr="000F3FFA" w:rsidRDefault="00A970D5" w:rsidP="006922F5">
      <w:pPr>
        <w:pStyle w:val="Fundamentos"/>
      </w:pPr>
      <w:r w:rsidRPr="000F3FFA">
        <w:t>Para efectos de lo dispuesto en el presente artículo se observará lo siguiente:</w:t>
      </w:r>
    </w:p>
    <w:p w14:paraId="6BB28B9A" w14:textId="77777777" w:rsidR="00A970D5" w:rsidRPr="000F3FFA" w:rsidRDefault="00A970D5" w:rsidP="006922F5">
      <w:pPr>
        <w:pStyle w:val="Fundamentos"/>
      </w:pPr>
    </w:p>
    <w:p w14:paraId="3BA28416" w14:textId="77777777" w:rsidR="00A970D5" w:rsidRPr="000F3FFA" w:rsidRDefault="00A970D5" w:rsidP="006922F5">
      <w:pPr>
        <w:pStyle w:val="Fundamentos"/>
      </w:pPr>
      <w:r w:rsidRPr="000F3FFA">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0F3FFA" w:rsidRDefault="00A970D5" w:rsidP="006922F5">
      <w:pPr>
        <w:pStyle w:val="Fundamentos"/>
      </w:pPr>
    </w:p>
    <w:p w14:paraId="2133BF6E" w14:textId="77777777" w:rsidR="00A970D5" w:rsidRPr="000F3FFA" w:rsidRDefault="00A970D5" w:rsidP="006922F5">
      <w:pPr>
        <w:pStyle w:val="Fundamentos"/>
      </w:pPr>
      <w:r w:rsidRPr="000F3FFA">
        <w:rPr>
          <w:b/>
        </w:rPr>
        <w:t>I. Toda la información en posesión de</w:t>
      </w:r>
      <w:r w:rsidRPr="000F3FFA">
        <w:t xml:space="preserve"> </w:t>
      </w:r>
      <w:r w:rsidRPr="000F3FFA">
        <w:rPr>
          <w:b/>
        </w:rPr>
        <w:t>cualquier autoridad</w:t>
      </w:r>
      <w:r w:rsidRPr="000F3FFA">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F3FFA">
        <w:rPr>
          <w:b/>
        </w:rPr>
        <w:t>en el ámbito federal, estatal y municipal, es pública</w:t>
      </w:r>
      <w:r w:rsidRPr="000F3FFA">
        <w:t xml:space="preserve"> y sólo podrá ser reservada temporalmente por razones de interés público y seguridad nacional, en los términos que fijen las leyes. En la interpretación de este derecho deberá prevalecer el principio de máxima publicidad. </w:t>
      </w:r>
      <w:r w:rsidRPr="000F3FFA">
        <w:rPr>
          <w:b/>
        </w:rPr>
        <w:t>Los sujetos obligados deberán documentar todo acto que derive del ejercicio de sus facultades, competencias o funciones</w:t>
      </w:r>
      <w:r w:rsidRPr="000F3FFA">
        <w:t>, la ley determinará los supuestos específicos bajo los cuales procederá la declaración de inexistencia de la información.</w:t>
      </w:r>
    </w:p>
    <w:p w14:paraId="5943A65E" w14:textId="77777777" w:rsidR="00A970D5" w:rsidRPr="000F3FFA" w:rsidRDefault="00A970D5" w:rsidP="006922F5">
      <w:pPr>
        <w:pStyle w:val="Fundamentos"/>
      </w:pPr>
      <w:r w:rsidRPr="000F3FFA">
        <w:t>II. La información que se refiere a la vida privada y los datos personales será protegida en los términos y con las excepciones que fijen las leyes.</w:t>
      </w:r>
    </w:p>
    <w:p w14:paraId="135241F6" w14:textId="77777777" w:rsidR="00A970D5" w:rsidRPr="000F3FFA" w:rsidRDefault="00A970D5" w:rsidP="006922F5">
      <w:pPr>
        <w:pStyle w:val="Fundamentos"/>
      </w:pPr>
      <w:r w:rsidRPr="000F3FFA">
        <w:t>III. Toda persona, sin necesidad de acreditar interés alguno o justificar su utilización, tendrá acceso gratuito a la información pública, a sus datos personales o a la rectificación de éstos.</w:t>
      </w:r>
    </w:p>
    <w:p w14:paraId="55B93DBA" w14:textId="77777777" w:rsidR="00A970D5" w:rsidRPr="000F3FFA" w:rsidRDefault="00A970D5" w:rsidP="006922F5">
      <w:pPr>
        <w:pStyle w:val="Fundamentos"/>
      </w:pPr>
      <w:r w:rsidRPr="000F3FFA">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0F3FFA" w:rsidRDefault="00A970D5" w:rsidP="006922F5">
      <w:pPr>
        <w:pStyle w:val="Fundamentos"/>
      </w:pPr>
      <w:r w:rsidRPr="000F3FFA">
        <w:rPr>
          <w:b/>
        </w:rPr>
        <w:t>V. Los sujetos obligados deberán preservar sus documentos en archivos administrativos actualizados y publicarán, a través de los medios electrónicos disponibles</w:t>
      </w:r>
      <w:r w:rsidRPr="000F3FFA">
        <w:t xml:space="preserve">, </w:t>
      </w:r>
      <w:r w:rsidRPr="000F3FFA">
        <w:rPr>
          <w:b/>
        </w:rPr>
        <w:t xml:space="preserve">la información completa y actualizada sobre el ejercicio de los recursos públicos </w:t>
      </w:r>
      <w:r w:rsidRPr="000F3FFA">
        <w:t>y los indicadores que permitan rendir cuenta del cumplimiento de sus objetivos y de los resultados obtenidos.</w:t>
      </w:r>
    </w:p>
    <w:p w14:paraId="1989B44A" w14:textId="77777777" w:rsidR="00A970D5" w:rsidRPr="000F3FFA" w:rsidRDefault="00A970D5" w:rsidP="006922F5">
      <w:pPr>
        <w:pStyle w:val="Fundamentos"/>
      </w:pPr>
      <w:r w:rsidRPr="000F3FFA">
        <w:t>VI. Las leyes determinarán la manera en que los sujetos obligados deberán hacer pública la información relativa a los recursos públicos que entreguen a personas físicas o morales.</w:t>
      </w:r>
    </w:p>
    <w:p w14:paraId="52D64BCE" w14:textId="77777777" w:rsidR="00A970D5" w:rsidRPr="000F3FFA" w:rsidRDefault="00A970D5" w:rsidP="006922F5">
      <w:pPr>
        <w:pStyle w:val="Fundamentos"/>
      </w:pPr>
      <w:r w:rsidRPr="000F3FFA">
        <w:t>VII. La inobservancia a las disposiciones en materia de acceso a la información pública será sancionada en los términos que dispongan las leyes.</w:t>
      </w:r>
    </w:p>
    <w:p w14:paraId="0226FE46" w14:textId="77777777" w:rsidR="00A970D5" w:rsidRPr="000F3FFA" w:rsidRDefault="00A970D5" w:rsidP="006922F5">
      <w:pPr>
        <w:pStyle w:val="Fundamentos"/>
      </w:pPr>
      <w:r w:rsidRPr="000F3FFA">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0F3FFA" w:rsidRDefault="00A970D5" w:rsidP="006922F5">
      <w:pPr>
        <w:pStyle w:val="Fundamentos"/>
      </w:pPr>
      <w:r w:rsidRPr="000F3FFA">
        <w:t>…</w:t>
      </w:r>
    </w:p>
    <w:p w14:paraId="5E8F2316" w14:textId="77777777" w:rsidR="00A970D5" w:rsidRPr="000F3FFA" w:rsidRDefault="00A970D5" w:rsidP="006922F5">
      <w:pPr>
        <w:pStyle w:val="Fundamentos"/>
      </w:pPr>
      <w:r w:rsidRPr="000F3FFA">
        <w:t>La ley establecerá aquella información que se considere reservada o confidencial.</w:t>
      </w:r>
    </w:p>
    <w:p w14:paraId="3441E2D4"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0F3FFA" w:rsidRDefault="00A970D5" w:rsidP="006922F5">
      <w:pPr>
        <w:pStyle w:val="Fundamentos"/>
      </w:pPr>
      <w:r w:rsidRPr="000F3FFA">
        <w:rPr>
          <w:b/>
          <w:bCs/>
        </w:rPr>
        <w:t>Artículo 5.</w:t>
      </w:r>
      <w:r w:rsidRPr="000F3FFA">
        <w:t xml:space="preserve"> </w:t>
      </w:r>
      <w:r w:rsidR="0047369A" w:rsidRPr="000F3FFA">
        <w:t>(</w:t>
      </w:r>
      <w:r w:rsidRPr="000F3FFA">
        <w:t>…</w:t>
      </w:r>
      <w:r w:rsidR="0047369A" w:rsidRPr="000F3FFA">
        <w:t>)</w:t>
      </w:r>
      <w:r w:rsidRPr="000F3FFA">
        <w:t xml:space="preserve"> </w:t>
      </w:r>
    </w:p>
    <w:p w14:paraId="5956991C" w14:textId="77777777" w:rsidR="00A970D5" w:rsidRPr="000F3FFA" w:rsidRDefault="00A970D5" w:rsidP="006922F5">
      <w:pPr>
        <w:pStyle w:val="Fundamentos"/>
      </w:pPr>
      <w:r w:rsidRPr="000F3FFA">
        <w:t xml:space="preserve">El derecho a la información será garantizado por el Estado. La ley establecerá las previsiones que permitan asegurar la protección, el respeto y la difusión de este derecho. </w:t>
      </w:r>
    </w:p>
    <w:p w14:paraId="6A3CBAB6" w14:textId="77777777" w:rsidR="00A970D5" w:rsidRPr="000F3FFA" w:rsidRDefault="00A970D5" w:rsidP="006922F5">
      <w:pPr>
        <w:pStyle w:val="Fundamentos"/>
      </w:pPr>
    </w:p>
    <w:p w14:paraId="36D3B567" w14:textId="77777777" w:rsidR="00A970D5" w:rsidRPr="000F3FFA" w:rsidRDefault="00A970D5" w:rsidP="006922F5">
      <w:pPr>
        <w:pStyle w:val="Fundamentos"/>
      </w:pPr>
      <w:r w:rsidRPr="000F3FFA">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0F3FFA" w:rsidRDefault="00A970D5" w:rsidP="006922F5">
      <w:pPr>
        <w:pStyle w:val="Fundamentos"/>
      </w:pPr>
    </w:p>
    <w:p w14:paraId="0BDF2E36" w14:textId="77777777" w:rsidR="00A970D5" w:rsidRPr="000F3FFA" w:rsidRDefault="00A970D5" w:rsidP="006922F5">
      <w:pPr>
        <w:pStyle w:val="Fundamentos"/>
      </w:pPr>
      <w:r w:rsidRPr="000F3FFA">
        <w:t>Este derecho se regirá por los principios y bases siguientes:</w:t>
      </w:r>
    </w:p>
    <w:p w14:paraId="0BFC86CA" w14:textId="77777777" w:rsidR="00A970D5" w:rsidRPr="000F3FFA" w:rsidRDefault="00A970D5" w:rsidP="006922F5">
      <w:pPr>
        <w:pStyle w:val="Fundamentos"/>
      </w:pPr>
    </w:p>
    <w:p w14:paraId="71CBBD8F" w14:textId="77777777" w:rsidR="00A970D5" w:rsidRPr="000F3FFA" w:rsidRDefault="00A970D5" w:rsidP="006922F5">
      <w:pPr>
        <w:pStyle w:val="Fundamentos"/>
      </w:pPr>
      <w:r w:rsidRPr="000F3FF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0F3FFA" w:rsidRDefault="00A970D5" w:rsidP="006922F5">
      <w:pPr>
        <w:pStyle w:val="Fundamentos"/>
      </w:pPr>
      <w:r w:rsidRPr="000F3FFA">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0F3FFA" w:rsidRDefault="00A970D5" w:rsidP="006922F5">
      <w:pPr>
        <w:pStyle w:val="Fundamentos"/>
      </w:pPr>
      <w:r w:rsidRPr="000F3FFA">
        <w:t>III. Toda persona, sin necesidad de acreditar interés alguno o justificar su utilización, tendrá acceso gratuito a la información pública, a sus datos personales o a la rectificación de éstos.</w:t>
      </w:r>
    </w:p>
    <w:p w14:paraId="682D2B34" w14:textId="77777777" w:rsidR="00A970D5" w:rsidRPr="000F3FFA" w:rsidRDefault="00A970D5" w:rsidP="006922F5">
      <w:pPr>
        <w:pStyle w:val="Fundamentos"/>
      </w:pPr>
      <w:r w:rsidRPr="000F3FFA">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0F3FFA" w:rsidRDefault="00A970D5" w:rsidP="006922F5">
      <w:pPr>
        <w:pStyle w:val="Fundamentos"/>
      </w:pPr>
      <w:r w:rsidRPr="000F3FFA">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0F3FFA">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0F3FFA" w:rsidRDefault="00A970D5" w:rsidP="006922F5">
      <w:pPr>
        <w:pStyle w:val="Fundamentos"/>
      </w:pPr>
      <w:r w:rsidRPr="000F3FF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0F3FFA" w:rsidRDefault="00A970D5" w:rsidP="006922F5">
      <w:pPr>
        <w:pStyle w:val="Fundamentos"/>
      </w:pPr>
      <w:r w:rsidRPr="000F3FFA">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4C4F4A5C" w:rsidR="00C82268" w:rsidRPr="000F3FFA" w:rsidRDefault="00C82268" w:rsidP="006922F5">
      <w:pPr>
        <w:rPr>
          <w:rFonts w:eastAsia="Palatino Linotype" w:cs="Palatino Linotype"/>
          <w:szCs w:val="24"/>
        </w:rPr>
      </w:pPr>
      <w:r w:rsidRPr="000F3FFA">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0F3FFA">
        <w:rPr>
          <w:rFonts w:eastAsia="Palatino Linotype" w:cs="Palatino Linotype"/>
          <w:szCs w:val="24"/>
        </w:rPr>
        <w:t>I</w:t>
      </w:r>
      <w:r w:rsidRPr="000F3FFA">
        <w:rPr>
          <w:rFonts w:eastAsia="Palatino Linotype" w:cs="Palatino Linotype"/>
          <w:szCs w:val="24"/>
        </w:rPr>
        <w:t>, lo siguiente:</w:t>
      </w:r>
    </w:p>
    <w:p w14:paraId="34BB49C7" w14:textId="77777777" w:rsidR="00C82268" w:rsidRPr="000F3FFA" w:rsidRDefault="00C82268" w:rsidP="006922F5">
      <w:pPr>
        <w:rPr>
          <w:rFonts w:eastAsia="Palatino Linotype" w:cs="Palatino Linotype"/>
          <w:szCs w:val="24"/>
        </w:rPr>
      </w:pPr>
    </w:p>
    <w:p w14:paraId="100A2479" w14:textId="77777777" w:rsidR="00C82268" w:rsidRPr="000F3FFA" w:rsidRDefault="00C82268" w:rsidP="006922F5">
      <w:pPr>
        <w:pStyle w:val="Fundamentos"/>
      </w:pPr>
      <w:r w:rsidRPr="000F3FFA">
        <w:rPr>
          <w:b/>
        </w:rPr>
        <w:t>Artículo 23.</w:t>
      </w:r>
      <w:r w:rsidRPr="000F3FFA">
        <w:t xml:space="preserve"> Son sujetos obligados a transparentar y permitir el acceso a su información y proteger los datos personales que obren en su poder:</w:t>
      </w:r>
    </w:p>
    <w:p w14:paraId="7025ECE0" w14:textId="18A019DB" w:rsidR="00C82268" w:rsidRPr="000F3FFA" w:rsidRDefault="00C82268" w:rsidP="006922F5">
      <w:pPr>
        <w:pStyle w:val="Fundamentos"/>
      </w:pPr>
    </w:p>
    <w:p w14:paraId="79FD530B" w14:textId="44ED97CB" w:rsidR="00C82268" w:rsidRPr="000F3FFA" w:rsidRDefault="00C82268" w:rsidP="006922F5">
      <w:pPr>
        <w:pStyle w:val="Fundamentos"/>
      </w:pPr>
      <w:r w:rsidRPr="000F3FFA">
        <w:rPr>
          <w:b/>
          <w:bCs/>
        </w:rPr>
        <w:t>I.</w:t>
      </w:r>
      <w:r w:rsidR="00BA7C85" w:rsidRPr="000F3FFA">
        <w:rPr>
          <w:b/>
          <w:bCs/>
        </w:rPr>
        <w:t xml:space="preserve"> </w:t>
      </w:r>
      <w:r w:rsidR="00017DEA" w:rsidRPr="000F3FFA">
        <w:t>El</w:t>
      </w:r>
      <w:r w:rsidR="001530E5" w:rsidRPr="000F3FFA">
        <w:t xml:space="preserve"> </w:t>
      </w:r>
      <w:r w:rsidR="00017DEA" w:rsidRPr="000F3FFA">
        <w:t>Poder Ejecutivo del Estado de México, las dependencias, organismos auxiliares, órganos, entidades, fideicomisos y fondos públicos, así como la Procuraduría General de Justicia</w:t>
      </w:r>
      <w:r w:rsidR="00754A30" w:rsidRPr="000F3FFA">
        <w:t>;</w:t>
      </w:r>
    </w:p>
    <w:p w14:paraId="0667CF00" w14:textId="77777777" w:rsidR="00C82268" w:rsidRPr="000F3FFA" w:rsidRDefault="00C82268" w:rsidP="006922F5">
      <w:pPr>
        <w:pStyle w:val="Fundamentos"/>
      </w:pPr>
      <w:r w:rsidRPr="000F3FFA">
        <w:t>(…)</w:t>
      </w:r>
    </w:p>
    <w:p w14:paraId="458B21C5"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 xml:space="preserve">Es así </w:t>
      </w:r>
      <w:r w:rsidR="00D574A2" w:rsidRPr="000F3FFA">
        <w:rPr>
          <w:rFonts w:eastAsia="Palatino Linotype" w:cs="Palatino Linotype"/>
          <w:color w:val="000000"/>
          <w:szCs w:val="24"/>
        </w:rPr>
        <w:t>como</w:t>
      </w:r>
      <w:r w:rsidRPr="000F3FFA">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0F3FFA" w:rsidRDefault="00A970D5" w:rsidP="006922F5">
      <w:pPr>
        <w:pBdr>
          <w:top w:val="nil"/>
          <w:left w:val="nil"/>
          <w:bottom w:val="nil"/>
          <w:right w:val="nil"/>
          <w:between w:val="nil"/>
        </w:pBdr>
        <w:contextualSpacing/>
        <w:rPr>
          <w:rFonts w:eastAsia="Palatino Linotype" w:cs="Palatino Linotype"/>
          <w:color w:val="000000"/>
          <w:szCs w:val="24"/>
        </w:rPr>
      </w:pPr>
    </w:p>
    <w:p w14:paraId="3BA84BD2" w14:textId="647F6A82" w:rsidR="008E381F" w:rsidRPr="000F3FFA" w:rsidRDefault="006242FE" w:rsidP="008E381F">
      <w:pPr>
        <w:pBdr>
          <w:top w:val="nil"/>
          <w:left w:val="nil"/>
          <w:bottom w:val="nil"/>
          <w:right w:val="nil"/>
          <w:between w:val="nil"/>
        </w:pBdr>
        <w:contextualSpacing/>
        <w:rPr>
          <w:rFonts w:eastAsia="Palatino Linotype" w:cs="Palatino Linotype"/>
          <w:szCs w:val="24"/>
        </w:rPr>
      </w:pPr>
      <w:r w:rsidRPr="000F3FFA">
        <w:rPr>
          <w:rFonts w:eastAsia="Palatino Linotype" w:cs="Palatino Linotype"/>
          <w:szCs w:val="24"/>
        </w:rPr>
        <w:t xml:space="preserve">En segundo término, se advierte que </w:t>
      </w:r>
      <w:r w:rsidR="008E381F" w:rsidRPr="000F3FFA">
        <w:rPr>
          <w:rFonts w:eastAsia="Palatino Linotype" w:cs="Palatino Linotype"/>
          <w:szCs w:val="24"/>
        </w:rPr>
        <w:t>el Sujeto Obligado, al momento de rendir su Informe Justificado,</w:t>
      </w:r>
      <w:r w:rsidR="008E381F" w:rsidRPr="000F3FFA">
        <w:rPr>
          <w:rFonts w:eastAsia="Palatino Linotype" w:cs="Palatino Linotype"/>
        </w:rPr>
        <w:t xml:space="preserve"> hizo entrega de los documentos denominados </w:t>
      </w:r>
      <w:r w:rsidR="008E381F" w:rsidRPr="000F3FFA">
        <w:rPr>
          <w:rFonts w:eastAsia="Palatino Linotype" w:cs="Palatino Linotype"/>
          <w:b/>
        </w:rPr>
        <w:t>“OFICIO SAINEX 00052.pdf”</w:t>
      </w:r>
      <w:r w:rsidR="008E381F" w:rsidRPr="000F3FFA">
        <w:rPr>
          <w:rFonts w:eastAsia="Palatino Linotype" w:cs="Palatino Linotype"/>
        </w:rPr>
        <w:t xml:space="preserve">.y </w:t>
      </w:r>
      <w:r w:rsidR="008E381F" w:rsidRPr="000F3FFA">
        <w:rPr>
          <w:rFonts w:eastAsia="Palatino Linotype" w:cs="Palatino Linotype"/>
          <w:b/>
        </w:rPr>
        <w:t>“SAIMEX 00052”</w:t>
      </w:r>
      <w:r w:rsidR="008E381F" w:rsidRPr="000F3FFA">
        <w:rPr>
          <w:rFonts w:eastAsia="Palatino Linotype" w:cs="Palatino Linotype"/>
        </w:rPr>
        <w:t xml:space="preserve">, mediante los cuales se dio respuesta a los cinco puntos </w:t>
      </w:r>
      <w:r w:rsidR="008E381F" w:rsidRPr="000F3FFA">
        <w:rPr>
          <w:rFonts w:eastAsia="Palatino Linotype" w:cs="Palatino Linotype"/>
        </w:rPr>
        <w:lastRenderedPageBreak/>
        <w:t>en los que consiste la solicitud de información, siendo respecto de los puntos 1 y 2 de la solicitud, se han celebrado los siguiente contratos en los ejercicios 2022 y 2023:</w:t>
      </w:r>
    </w:p>
    <w:p w14:paraId="42718703" w14:textId="77777777" w:rsidR="008E381F" w:rsidRPr="000F3FFA" w:rsidRDefault="008E381F" w:rsidP="008E381F">
      <w:pPr>
        <w:pBdr>
          <w:top w:val="nil"/>
          <w:left w:val="nil"/>
          <w:bottom w:val="nil"/>
          <w:right w:val="nil"/>
          <w:between w:val="nil"/>
        </w:pBdr>
        <w:contextualSpacing/>
        <w:rPr>
          <w:rFonts w:eastAsia="Palatino Linotype" w:cs="Palatino Linotype"/>
          <w:szCs w:val="24"/>
        </w:rPr>
      </w:pPr>
    </w:p>
    <w:p w14:paraId="1855621F" w14:textId="77777777" w:rsidR="008E381F" w:rsidRPr="000F3FFA" w:rsidRDefault="008E381F" w:rsidP="00F72750">
      <w:pPr>
        <w:pStyle w:val="Prrafodelista"/>
        <w:numPr>
          <w:ilvl w:val="0"/>
          <w:numId w:val="24"/>
        </w:numPr>
        <w:pBdr>
          <w:top w:val="nil"/>
          <w:left w:val="nil"/>
          <w:bottom w:val="nil"/>
          <w:right w:val="nil"/>
          <w:between w:val="nil"/>
        </w:pBdr>
        <w:contextualSpacing/>
        <w:rPr>
          <w:rFonts w:eastAsia="Palatino Linotype" w:cs="Palatino Linotype"/>
        </w:rPr>
      </w:pPr>
      <w:r w:rsidRPr="000F3FFA">
        <w:rPr>
          <w:rFonts w:eastAsia="Palatino Linotype" w:cs="Palatino Linotype"/>
        </w:rPr>
        <w:t>Contrato número AD-006-SITRAMYTEM-2022 "Tramo "Ojo de Agua del Mexibús Línea I Corredor "Ciudad Azteca - Tecámac" al Aeropuerto Internacional Felipe Ángeles (AIFA)".</w:t>
      </w:r>
    </w:p>
    <w:p w14:paraId="1EA2058C" w14:textId="77777777" w:rsidR="008E381F" w:rsidRPr="000F3FFA" w:rsidRDefault="008E381F" w:rsidP="00F72750">
      <w:pPr>
        <w:pStyle w:val="Prrafodelista"/>
        <w:numPr>
          <w:ilvl w:val="0"/>
          <w:numId w:val="24"/>
        </w:numPr>
        <w:pBdr>
          <w:top w:val="nil"/>
          <w:left w:val="nil"/>
          <w:bottom w:val="nil"/>
          <w:right w:val="nil"/>
          <w:between w:val="nil"/>
        </w:pBdr>
        <w:contextualSpacing/>
        <w:rPr>
          <w:rFonts w:eastAsia="Palatino Linotype" w:cs="Palatino Linotype"/>
        </w:rPr>
      </w:pPr>
      <w:r w:rsidRPr="000F3FFA">
        <w:rPr>
          <w:rFonts w:eastAsia="Palatino Linotype" w:cs="Palatino Linotype"/>
        </w:rPr>
        <w:t>Contrato número AD-013-SITRAMYTEM-2022 "las estaciones y terminales de las Líneas III y IV del Mexibús, así como de la Estación Retorno Oriente (ERO) de la Línea II del Mexibús", así como un convenio en modalidad de ampliación.</w:t>
      </w:r>
    </w:p>
    <w:p w14:paraId="48BB8DDF" w14:textId="77777777" w:rsidR="008E381F" w:rsidRPr="000F3FFA" w:rsidRDefault="008E381F" w:rsidP="00F72750">
      <w:pPr>
        <w:pStyle w:val="Prrafodelista"/>
        <w:numPr>
          <w:ilvl w:val="0"/>
          <w:numId w:val="24"/>
        </w:numPr>
        <w:pBdr>
          <w:top w:val="nil"/>
          <w:left w:val="nil"/>
          <w:bottom w:val="nil"/>
          <w:right w:val="nil"/>
          <w:between w:val="nil"/>
        </w:pBdr>
        <w:contextualSpacing/>
        <w:rPr>
          <w:rFonts w:eastAsia="Palatino Linotype" w:cs="Palatino Linotype"/>
        </w:rPr>
      </w:pPr>
      <w:r w:rsidRPr="000F3FFA">
        <w:rPr>
          <w:rFonts w:eastAsia="Palatino Linotype" w:cs="Palatino Linotype"/>
        </w:rPr>
        <w:t>Contrato número AD-CP-004-SITRAMYTEM-2023 "Para La Estación Retorno Oriente (ERO) de la Línea II del Mexibús denominada "Lechería - Coacalco -Plaza las Américas"; "Servicio de Aseguramiento Multiempresarial y de Responsabilidad Civil para las estaciones y terminales del Mexibús Línea III Corredor "Chimalhuacán - Nezahualcóyotl - Pantitlán"; y "Servicio de Aseguramiento Multiempresarial y de Responsabilidad Civil para las estaciones y terminales del Mexibús Línea IV, Corredor Ecológico "Indios Verdes - Tlalnepantla - Ecatepec - Tecámac".</w:t>
      </w:r>
    </w:p>
    <w:p w14:paraId="5E3E7ED3" w14:textId="77777777" w:rsidR="008E381F" w:rsidRPr="000F3FFA" w:rsidRDefault="008E381F" w:rsidP="00F72750">
      <w:pPr>
        <w:pStyle w:val="Prrafodelista"/>
        <w:numPr>
          <w:ilvl w:val="0"/>
          <w:numId w:val="24"/>
        </w:numPr>
        <w:pBdr>
          <w:top w:val="nil"/>
          <w:left w:val="nil"/>
          <w:bottom w:val="nil"/>
          <w:right w:val="nil"/>
          <w:between w:val="nil"/>
        </w:pBdr>
        <w:contextualSpacing/>
        <w:rPr>
          <w:rFonts w:eastAsia="Palatino Linotype" w:cs="Palatino Linotype"/>
        </w:rPr>
      </w:pPr>
      <w:r w:rsidRPr="000F3FFA">
        <w:rPr>
          <w:rFonts w:eastAsia="Palatino Linotype" w:cs="Palatino Linotype"/>
        </w:rPr>
        <w:t>Contrato número LPN-005-SITRAMYTEM-2023 "para las estaciones y terminales de los Sistemas Mexibús".</w:t>
      </w:r>
    </w:p>
    <w:p w14:paraId="1E944430" w14:textId="77777777" w:rsidR="008E381F" w:rsidRPr="000F3FFA" w:rsidRDefault="008E381F" w:rsidP="008E381F">
      <w:pPr>
        <w:pBdr>
          <w:top w:val="nil"/>
          <w:left w:val="nil"/>
          <w:bottom w:val="nil"/>
          <w:right w:val="nil"/>
          <w:between w:val="nil"/>
        </w:pBdr>
        <w:contextualSpacing/>
        <w:rPr>
          <w:rFonts w:eastAsia="Palatino Linotype" w:cs="Palatino Linotype"/>
          <w:szCs w:val="24"/>
        </w:rPr>
      </w:pPr>
    </w:p>
    <w:p w14:paraId="3908AF9E" w14:textId="77777777" w:rsidR="008E381F" w:rsidRPr="000F3FFA" w:rsidRDefault="008E381F" w:rsidP="008E381F">
      <w:pPr>
        <w:pBdr>
          <w:top w:val="nil"/>
          <w:left w:val="nil"/>
          <w:bottom w:val="nil"/>
          <w:right w:val="nil"/>
          <w:between w:val="nil"/>
        </w:pBdr>
        <w:contextualSpacing/>
        <w:rPr>
          <w:rFonts w:eastAsia="Palatino Linotype" w:cs="Palatino Linotype"/>
          <w:szCs w:val="24"/>
        </w:rPr>
      </w:pPr>
      <w:r w:rsidRPr="000F3FFA">
        <w:rPr>
          <w:rFonts w:eastAsia="Palatino Linotype" w:cs="Palatino Linotype"/>
          <w:szCs w:val="24"/>
        </w:rPr>
        <w:t>Para el punto 3, se informó que se cuenta con instrumentos contractuales para la contratación del Servicio de Aseguramiento Múltiple Empresarial y de Responsabilidad Civil, con SEGUROS SURA S.A. DE C.V.</w:t>
      </w:r>
    </w:p>
    <w:p w14:paraId="1D46137F" w14:textId="77777777" w:rsidR="008E381F" w:rsidRPr="000F3FFA" w:rsidRDefault="008E381F" w:rsidP="008E381F">
      <w:pPr>
        <w:pBdr>
          <w:top w:val="nil"/>
          <w:left w:val="nil"/>
          <w:bottom w:val="nil"/>
          <w:right w:val="nil"/>
          <w:between w:val="nil"/>
        </w:pBdr>
        <w:contextualSpacing/>
        <w:rPr>
          <w:rFonts w:eastAsia="Palatino Linotype" w:cs="Palatino Linotype"/>
          <w:szCs w:val="24"/>
        </w:rPr>
      </w:pPr>
    </w:p>
    <w:p w14:paraId="2466B379" w14:textId="77777777" w:rsidR="008E381F" w:rsidRPr="000F3FFA" w:rsidRDefault="008E381F" w:rsidP="008E381F">
      <w:pPr>
        <w:pBdr>
          <w:top w:val="nil"/>
          <w:left w:val="nil"/>
          <w:bottom w:val="nil"/>
          <w:right w:val="nil"/>
          <w:between w:val="nil"/>
        </w:pBdr>
        <w:contextualSpacing/>
        <w:rPr>
          <w:rFonts w:eastAsia="Palatino Linotype" w:cs="Palatino Linotype"/>
          <w:szCs w:val="24"/>
        </w:rPr>
      </w:pPr>
      <w:r w:rsidRPr="000F3FFA">
        <w:rPr>
          <w:rFonts w:eastAsia="Palatino Linotype" w:cs="Palatino Linotype"/>
          <w:szCs w:val="24"/>
        </w:rPr>
        <w:lastRenderedPageBreak/>
        <w:t xml:space="preserve">Por lo que toca al punto 4, se hizo referencia a que se entregaban las carátulas de las pólizas de seguro, insertando las diversas imágenes pólizas remitidas en Informe Justificado. </w:t>
      </w:r>
    </w:p>
    <w:p w14:paraId="12FFF59D" w14:textId="77777777" w:rsidR="008E381F" w:rsidRPr="000F3FFA" w:rsidRDefault="008E381F" w:rsidP="008E381F">
      <w:pPr>
        <w:pBdr>
          <w:top w:val="nil"/>
          <w:left w:val="nil"/>
          <w:bottom w:val="nil"/>
          <w:right w:val="nil"/>
          <w:between w:val="nil"/>
        </w:pBdr>
        <w:contextualSpacing/>
        <w:rPr>
          <w:rFonts w:eastAsia="Palatino Linotype" w:cs="Palatino Linotype"/>
          <w:szCs w:val="24"/>
        </w:rPr>
      </w:pPr>
    </w:p>
    <w:p w14:paraId="007E348C" w14:textId="26BFF19D" w:rsidR="008E381F" w:rsidRPr="000F3FFA" w:rsidRDefault="008E381F" w:rsidP="008E381F">
      <w:pPr>
        <w:pBdr>
          <w:top w:val="nil"/>
          <w:left w:val="nil"/>
          <w:bottom w:val="nil"/>
          <w:right w:val="nil"/>
          <w:between w:val="nil"/>
        </w:pBdr>
        <w:contextualSpacing/>
        <w:rPr>
          <w:rFonts w:eastAsia="Palatino Linotype" w:cs="Palatino Linotype"/>
          <w:szCs w:val="24"/>
        </w:rPr>
      </w:pPr>
      <w:r w:rsidRPr="000F3FFA">
        <w:rPr>
          <w:rFonts w:eastAsia="Palatino Linotype" w:cs="Palatino Linotype"/>
          <w:szCs w:val="24"/>
        </w:rPr>
        <w:t xml:space="preserve">Por último, respecto del punto 5, el Director de Supervisión y Control manifestó que, una vez realizada la búsqueda de la información, se tiene que la operación de las unidades BRT de la Ampliación del Mexibús </w:t>
      </w:r>
      <w:r w:rsidR="00BC6048" w:rsidRPr="000F3FFA">
        <w:rPr>
          <w:rFonts w:eastAsia="Palatino Linotype" w:cs="Palatino Linotype"/>
          <w:szCs w:val="24"/>
        </w:rPr>
        <w:t>III “Chimalhuacán – Chicoloapan</w:t>
      </w:r>
      <w:r w:rsidRPr="000F3FFA">
        <w:rPr>
          <w:rFonts w:eastAsia="Palatino Linotype" w:cs="Palatino Linotype"/>
          <w:szCs w:val="24"/>
        </w:rPr>
        <w:t>” están siendo operadas</w:t>
      </w:r>
      <w:r w:rsidR="00BC6048" w:rsidRPr="000F3FFA">
        <w:rPr>
          <w:rFonts w:eastAsia="Palatino Linotype" w:cs="Palatino Linotype"/>
          <w:szCs w:val="24"/>
        </w:rPr>
        <w:t xml:space="preserve"> por la empresa Red de Transpor</w:t>
      </w:r>
      <w:r w:rsidRPr="000F3FFA">
        <w:rPr>
          <w:rFonts w:eastAsia="Palatino Linotype" w:cs="Palatino Linotype"/>
          <w:szCs w:val="24"/>
        </w:rPr>
        <w:t>te del Oriente Transred, S.A. de C.V.</w:t>
      </w:r>
    </w:p>
    <w:p w14:paraId="707E285B" w14:textId="62824BF1" w:rsidR="008E381F" w:rsidRPr="000F3FFA" w:rsidRDefault="008E381F" w:rsidP="006242FE">
      <w:pPr>
        <w:pBdr>
          <w:top w:val="nil"/>
          <w:left w:val="nil"/>
          <w:bottom w:val="nil"/>
          <w:right w:val="nil"/>
          <w:between w:val="nil"/>
        </w:pBdr>
        <w:contextualSpacing/>
        <w:rPr>
          <w:rFonts w:eastAsia="Palatino Linotype" w:cs="Palatino Linotype"/>
          <w:szCs w:val="24"/>
        </w:rPr>
      </w:pPr>
    </w:p>
    <w:p w14:paraId="1440352D" w14:textId="5CA9ED5E" w:rsidR="007C4315" w:rsidRPr="000F3FFA" w:rsidRDefault="008E381F" w:rsidP="006242FE">
      <w:pPr>
        <w:pBdr>
          <w:top w:val="nil"/>
          <w:left w:val="nil"/>
          <w:bottom w:val="nil"/>
          <w:right w:val="nil"/>
          <w:between w:val="nil"/>
        </w:pBdr>
        <w:contextualSpacing/>
        <w:rPr>
          <w:rFonts w:eastAsia="Palatino Linotype" w:cs="Palatino Linotype"/>
          <w:szCs w:val="24"/>
        </w:rPr>
      </w:pPr>
      <w:r w:rsidRPr="000F3FFA">
        <w:rPr>
          <w:rFonts w:eastAsia="Palatino Linotype" w:cs="Palatino Linotype"/>
          <w:szCs w:val="24"/>
        </w:rPr>
        <w:t xml:space="preserve">Por su parte, </w:t>
      </w:r>
      <w:r w:rsidR="005A0354" w:rsidRPr="000F3FFA">
        <w:rPr>
          <w:rFonts w:eastAsia="Palatino Linotype" w:cs="Palatino Linotype"/>
          <w:szCs w:val="24"/>
        </w:rPr>
        <w:t xml:space="preserve">la </w:t>
      </w:r>
      <w:r w:rsidR="007C4315" w:rsidRPr="000F3FFA">
        <w:rPr>
          <w:rFonts w:eastAsia="Palatino Linotype" w:cs="Palatino Linotype"/>
          <w:szCs w:val="24"/>
        </w:rPr>
        <w:t xml:space="preserve">Recurrente, al interponer su medio de impugnación especificó tanto en sus razones o motivos de inconformidad como en el escrito adjunto, </w:t>
      </w:r>
      <w:r w:rsidRPr="000F3FFA">
        <w:rPr>
          <w:rFonts w:eastAsia="Palatino Linotype" w:cs="Palatino Linotype"/>
          <w:szCs w:val="24"/>
        </w:rPr>
        <w:t>que su inconformidad consiste</w:t>
      </w:r>
      <w:r w:rsidR="007C4315" w:rsidRPr="000F3FFA">
        <w:rPr>
          <w:rFonts w:eastAsia="Palatino Linotype" w:cs="Palatino Linotype"/>
          <w:szCs w:val="24"/>
        </w:rPr>
        <w:t xml:space="preserve"> en dos puntos:</w:t>
      </w:r>
    </w:p>
    <w:p w14:paraId="2E3F26CC" w14:textId="77777777" w:rsidR="007C4315" w:rsidRPr="000F3FFA" w:rsidRDefault="007C4315" w:rsidP="006242FE">
      <w:pPr>
        <w:pBdr>
          <w:top w:val="nil"/>
          <w:left w:val="nil"/>
          <w:bottom w:val="nil"/>
          <w:right w:val="nil"/>
          <w:between w:val="nil"/>
        </w:pBdr>
        <w:contextualSpacing/>
        <w:rPr>
          <w:rFonts w:eastAsia="Palatino Linotype" w:cs="Palatino Linotype"/>
          <w:szCs w:val="24"/>
        </w:rPr>
      </w:pPr>
    </w:p>
    <w:p w14:paraId="7CE98F99" w14:textId="5158BE0E" w:rsidR="005A0354" w:rsidRPr="000F3FFA" w:rsidRDefault="004A7836" w:rsidP="00F72750">
      <w:pPr>
        <w:pStyle w:val="Prrafodelista"/>
        <w:numPr>
          <w:ilvl w:val="0"/>
          <w:numId w:val="22"/>
        </w:numPr>
        <w:pBdr>
          <w:top w:val="nil"/>
          <w:left w:val="nil"/>
          <w:bottom w:val="nil"/>
          <w:right w:val="nil"/>
          <w:between w:val="nil"/>
        </w:pBdr>
        <w:contextualSpacing/>
        <w:rPr>
          <w:rFonts w:eastAsia="Palatino Linotype" w:cs="Palatino Linotype"/>
        </w:rPr>
      </w:pPr>
      <w:r w:rsidRPr="000F3FFA">
        <w:rPr>
          <w:rFonts w:eastAsia="Palatino Linotype" w:cs="Palatino Linotype"/>
        </w:rPr>
        <w:t>D</w:t>
      </w:r>
      <w:r w:rsidR="007C4315" w:rsidRPr="000F3FFA">
        <w:rPr>
          <w:rFonts w:eastAsia="Palatino Linotype" w:cs="Palatino Linotype"/>
        </w:rPr>
        <w:t xml:space="preserve">ebido a que se omitió señalar con qué compañía aseguradora estuvo contratado el Mexibús o, en su caso, los concesionarios, los contratos de seguros y las pólizas </w:t>
      </w:r>
      <w:r w:rsidRPr="000F3FFA">
        <w:rPr>
          <w:rFonts w:eastAsia="Palatino Linotype" w:cs="Palatino Linotype"/>
        </w:rPr>
        <w:t>respectivas que amparen el concepto de Responsabilidad Civil por daños a terceros en los periodos comprendidos de enero, febrero y marzo del 2023.</w:t>
      </w:r>
    </w:p>
    <w:p w14:paraId="4948A2FE" w14:textId="71CB0513" w:rsidR="004A7836" w:rsidRPr="000F3FFA" w:rsidRDefault="004A7836" w:rsidP="00F72750">
      <w:pPr>
        <w:pStyle w:val="Prrafodelista"/>
        <w:numPr>
          <w:ilvl w:val="0"/>
          <w:numId w:val="22"/>
        </w:numPr>
        <w:pBdr>
          <w:top w:val="nil"/>
          <w:left w:val="nil"/>
          <w:bottom w:val="nil"/>
          <w:right w:val="nil"/>
          <w:between w:val="nil"/>
        </w:pBdr>
        <w:contextualSpacing/>
        <w:rPr>
          <w:rFonts w:eastAsia="Palatino Linotype" w:cs="Palatino Linotype"/>
        </w:rPr>
      </w:pPr>
      <w:r w:rsidRPr="000F3FFA">
        <w:rPr>
          <w:rFonts w:eastAsia="Palatino Linotype" w:cs="Palatino Linotype"/>
        </w:rPr>
        <w:t>La negativa de entregar las copias de las pólizas de seguro, argumentando que contienen datos personales y sensibles, o que en caso de entregarse conlleve una utilización indebida o riesgo grave.</w:t>
      </w:r>
    </w:p>
    <w:p w14:paraId="24231AE2" w14:textId="77777777" w:rsidR="004A7836" w:rsidRPr="000F3FFA" w:rsidRDefault="004A7836" w:rsidP="004A7836">
      <w:pPr>
        <w:pBdr>
          <w:top w:val="nil"/>
          <w:left w:val="nil"/>
          <w:bottom w:val="nil"/>
          <w:right w:val="nil"/>
          <w:between w:val="nil"/>
        </w:pBdr>
        <w:contextualSpacing/>
        <w:rPr>
          <w:rFonts w:eastAsia="Palatino Linotype" w:cs="Palatino Linotype"/>
        </w:rPr>
      </w:pPr>
    </w:p>
    <w:p w14:paraId="32535387" w14:textId="0D520949" w:rsidR="004A7836" w:rsidRPr="000F3FFA" w:rsidRDefault="004A7836" w:rsidP="004A7836">
      <w:pPr>
        <w:pBdr>
          <w:top w:val="nil"/>
          <w:left w:val="nil"/>
          <w:bottom w:val="nil"/>
          <w:right w:val="nil"/>
          <w:between w:val="nil"/>
        </w:pBdr>
        <w:contextualSpacing/>
        <w:rPr>
          <w:rFonts w:eastAsia="Palatino Linotype" w:cs="Palatino Linotype"/>
        </w:rPr>
      </w:pPr>
      <w:r w:rsidRPr="000F3FFA">
        <w:rPr>
          <w:rFonts w:eastAsia="Palatino Linotype" w:cs="Palatino Linotype"/>
        </w:rPr>
        <w:t xml:space="preserve">De tal forma que la inconformidad descrita en el inciso a) se debe a que, en su respuesta, el Sujeto Obligado manifestó que se llevó a cabo la contratación de pólizas de seguros múltiple empresarial y de responsabilidad civil con Seguros SURA S.A. de C.V., por los </w:t>
      </w:r>
      <w:r w:rsidRPr="000F3FFA">
        <w:rPr>
          <w:rFonts w:eastAsia="Palatino Linotype" w:cs="Palatino Linotype"/>
        </w:rPr>
        <w:lastRenderedPageBreak/>
        <w:t xml:space="preserve">periodos comprendidos del </w:t>
      </w:r>
      <w:r w:rsidRPr="000F3FFA">
        <w:rPr>
          <w:rFonts w:eastAsia="Palatino Linotype" w:cs="Palatino Linotype"/>
          <w:b/>
        </w:rPr>
        <w:t>dieciocho de junio al treinta y uno de diciembre de dos mil veintidós</w:t>
      </w:r>
      <w:r w:rsidRPr="000F3FFA">
        <w:rPr>
          <w:rFonts w:eastAsia="Palatino Linotype" w:cs="Palatino Linotype"/>
        </w:rPr>
        <w:t xml:space="preserve">; y </w:t>
      </w:r>
      <w:r w:rsidRPr="000F3FFA">
        <w:rPr>
          <w:rFonts w:eastAsia="Palatino Linotype" w:cs="Palatino Linotype"/>
          <w:b/>
        </w:rPr>
        <w:t>del treinta y uno de marzo al treinta y uno de diciembre de dos mil veintitrés</w:t>
      </w:r>
      <w:r w:rsidRPr="000F3FFA">
        <w:rPr>
          <w:rFonts w:eastAsia="Palatino Linotype" w:cs="Palatino Linotype"/>
        </w:rPr>
        <w:t>; es decir, no hubo pronunciamiento respecto del lapso comprendido del primero de enero al treinta de marzo de dos mil veintitrés.</w:t>
      </w:r>
      <w:r w:rsidR="008E381F" w:rsidRPr="000F3FFA">
        <w:rPr>
          <w:rFonts w:eastAsia="Palatino Linotype" w:cs="Palatino Linotype"/>
        </w:rPr>
        <w:t xml:space="preserve"> Mientras que en su Informe Justificado no hizo referencia expresa a este motivo de inconformidad.</w:t>
      </w:r>
    </w:p>
    <w:p w14:paraId="7FB08CE2" w14:textId="77777777" w:rsidR="005A0354" w:rsidRPr="000F3FFA" w:rsidRDefault="005A0354" w:rsidP="006242FE">
      <w:pPr>
        <w:pBdr>
          <w:top w:val="nil"/>
          <w:left w:val="nil"/>
          <w:bottom w:val="nil"/>
          <w:right w:val="nil"/>
          <w:between w:val="nil"/>
        </w:pBdr>
        <w:contextualSpacing/>
        <w:rPr>
          <w:rFonts w:eastAsia="Palatino Linotype" w:cs="Palatino Linotype"/>
          <w:szCs w:val="24"/>
        </w:rPr>
      </w:pPr>
    </w:p>
    <w:p w14:paraId="3319B848" w14:textId="22BD7EBD" w:rsidR="005A0354" w:rsidRPr="000F3FFA" w:rsidRDefault="00B64C4B" w:rsidP="006242FE">
      <w:pPr>
        <w:pBdr>
          <w:top w:val="nil"/>
          <w:left w:val="nil"/>
          <w:bottom w:val="nil"/>
          <w:right w:val="nil"/>
          <w:between w:val="nil"/>
        </w:pBdr>
        <w:contextualSpacing/>
        <w:rPr>
          <w:rFonts w:eastAsia="Palatino Linotype" w:cs="Palatino Linotype"/>
        </w:rPr>
      </w:pPr>
      <w:r w:rsidRPr="000F3FFA">
        <w:rPr>
          <w:rFonts w:eastAsia="Palatino Linotype" w:cs="Palatino Linotype"/>
          <w:szCs w:val="24"/>
        </w:rPr>
        <w:t xml:space="preserve">Por otra parte, tocante al inciso b), </w:t>
      </w:r>
      <w:r w:rsidR="00BD048E" w:rsidRPr="000F3FFA">
        <w:rPr>
          <w:rFonts w:eastAsia="Palatino Linotype" w:cs="Palatino Linotype"/>
          <w:szCs w:val="24"/>
        </w:rPr>
        <w:t xml:space="preserve">se advierte que, si bien es cierto en un primer momento el Sujeto Obligado no proporcionó las pólizas requeridas, durante la etapa de manifestaciones el Sujeto Obligado remitió diversas pólizas de seguro celebradas con la empresa </w:t>
      </w:r>
      <w:r w:rsidR="00BD048E" w:rsidRPr="000F3FFA">
        <w:rPr>
          <w:rFonts w:eastAsia="Palatino Linotype" w:cs="Palatino Linotype"/>
        </w:rPr>
        <w:t>Seguros SURA S.A. de C.V.; empero, no todas estas fueron puestas a la vista debido a que se dejó visible los nombres de los agentes y ejecutivos de cuenta de la empresa aseguradora. Por tanto, se estimó que los nombres de personas terceras que no se consideran sujetos obligados, sus datos deben ser suprimidos y protegidos mediante la elaboración de una versión pública.</w:t>
      </w:r>
    </w:p>
    <w:p w14:paraId="6CE83170" w14:textId="77777777" w:rsidR="00BD048E" w:rsidRPr="000F3FFA" w:rsidRDefault="00BD048E" w:rsidP="006242FE">
      <w:pPr>
        <w:pBdr>
          <w:top w:val="nil"/>
          <w:left w:val="nil"/>
          <w:bottom w:val="nil"/>
          <w:right w:val="nil"/>
          <w:between w:val="nil"/>
        </w:pBdr>
        <w:contextualSpacing/>
        <w:rPr>
          <w:rFonts w:eastAsia="Palatino Linotype" w:cs="Palatino Linotype"/>
        </w:rPr>
      </w:pPr>
    </w:p>
    <w:p w14:paraId="79C45EAD" w14:textId="2F3456E2" w:rsidR="00B64C4B" w:rsidRPr="000F3FFA" w:rsidRDefault="008E381F" w:rsidP="006242FE">
      <w:pPr>
        <w:pBdr>
          <w:top w:val="nil"/>
          <w:left w:val="nil"/>
          <w:bottom w:val="nil"/>
          <w:right w:val="nil"/>
          <w:between w:val="nil"/>
        </w:pBdr>
        <w:contextualSpacing/>
        <w:rPr>
          <w:rFonts w:eastAsia="Palatino Linotype" w:cs="Palatino Linotype"/>
        </w:rPr>
      </w:pPr>
      <w:r w:rsidRPr="000F3FFA">
        <w:rPr>
          <w:rFonts w:eastAsia="Palatino Linotype" w:cs="Palatino Linotype"/>
        </w:rPr>
        <w:t>Una vez referido esto, se puede colegir que los documentos que colman la inconformidad de la Recurrente son las pólizas remitidas por el Sujeto Obligado, ya que estos documentos son los que requirió la particular y en estos se advierte la vigencia de los seguros contratados</w:t>
      </w:r>
      <w:r w:rsidR="00F75688" w:rsidRPr="000F3FFA">
        <w:rPr>
          <w:rFonts w:eastAsia="Palatino Linotype" w:cs="Palatino Linotype"/>
        </w:rPr>
        <w:t>.</w:t>
      </w:r>
    </w:p>
    <w:p w14:paraId="6C05A268" w14:textId="77777777" w:rsidR="00F75688" w:rsidRPr="000F3FFA" w:rsidRDefault="00F75688" w:rsidP="006242FE">
      <w:pPr>
        <w:pBdr>
          <w:top w:val="nil"/>
          <w:left w:val="nil"/>
          <w:bottom w:val="nil"/>
          <w:right w:val="nil"/>
          <w:between w:val="nil"/>
        </w:pBdr>
        <w:contextualSpacing/>
        <w:rPr>
          <w:rFonts w:eastAsia="Palatino Linotype" w:cs="Palatino Linotype"/>
        </w:rPr>
      </w:pPr>
    </w:p>
    <w:p w14:paraId="05F5F38C" w14:textId="4F04A5BC" w:rsidR="00F75688" w:rsidRPr="000F3FFA" w:rsidRDefault="00F75688" w:rsidP="006242FE">
      <w:pPr>
        <w:pBdr>
          <w:top w:val="nil"/>
          <w:left w:val="nil"/>
          <w:bottom w:val="nil"/>
          <w:right w:val="nil"/>
          <w:between w:val="nil"/>
        </w:pBdr>
        <w:contextualSpacing/>
      </w:pPr>
      <w:r w:rsidRPr="000F3FFA">
        <w:rPr>
          <w:rFonts w:eastAsia="Palatino Linotype" w:cs="Palatino Linotype"/>
        </w:rPr>
        <w:t xml:space="preserve">No se omite mencionar que este Instituto puso a la vista de la Recurrente únicamente los  documentos denominados </w:t>
      </w:r>
      <w:r w:rsidRPr="000F3FFA">
        <w:rPr>
          <w:rFonts w:eastAsia="Palatino Linotype" w:cs="Palatino Linotype"/>
          <w:b/>
        </w:rPr>
        <w:t>“OFICIO SAINEX 00052.pdf”</w:t>
      </w:r>
      <w:r w:rsidRPr="000F3FFA">
        <w:rPr>
          <w:rFonts w:eastAsia="Palatino Linotype" w:cs="Palatino Linotype"/>
        </w:rPr>
        <w:t xml:space="preserve">.y </w:t>
      </w:r>
      <w:r w:rsidRPr="000F3FFA">
        <w:rPr>
          <w:rFonts w:eastAsia="Palatino Linotype" w:cs="Palatino Linotype"/>
          <w:b/>
        </w:rPr>
        <w:t>“SAIMEX 00052”</w:t>
      </w:r>
      <w:r w:rsidRPr="000F3FFA">
        <w:rPr>
          <w:rFonts w:eastAsia="Palatino Linotype" w:cs="Palatino Linotype"/>
        </w:rPr>
        <w:t xml:space="preserve">, así como las pólizas con números 2089/0 de fecha 30 de junio de 2022; 100002000/2 de fecha 30 de junio de 2022 y </w:t>
      </w:r>
      <w:r w:rsidRPr="000F3FFA">
        <w:t xml:space="preserve">100002001/3 de fecha 30 de junio de 2022. No obstante, en dichas pólizas </w:t>
      </w:r>
      <w:r w:rsidRPr="000F3FFA">
        <w:lastRenderedPageBreak/>
        <w:t>no se cubre la temporalidad que el Sujeto Obligado omitió señalar en respuesta, es decir, la correspondiente a los meses de enero, febrero y marzo de dos mil veintitrés, dado que la vigencia reflejada en los documentos puestos a la vista corresponden al veintiuno de junio al treinta y uno de diciembre, dieciocho de junio al treinta y uno de diciembre y dieciocho de junio al treinta y uno de diciembre, todos de dos mil veintidós, respectivamente.</w:t>
      </w:r>
    </w:p>
    <w:p w14:paraId="0056F50B" w14:textId="77777777" w:rsidR="00F75688" w:rsidRPr="000F3FFA" w:rsidRDefault="00F75688" w:rsidP="006242FE">
      <w:pPr>
        <w:pBdr>
          <w:top w:val="nil"/>
          <w:left w:val="nil"/>
          <w:bottom w:val="nil"/>
          <w:right w:val="nil"/>
          <w:between w:val="nil"/>
        </w:pBdr>
        <w:contextualSpacing/>
      </w:pPr>
    </w:p>
    <w:p w14:paraId="23034F03" w14:textId="036E2A49" w:rsidR="00F75688" w:rsidRPr="000F3FFA" w:rsidRDefault="00F75688" w:rsidP="006242FE">
      <w:pPr>
        <w:pBdr>
          <w:top w:val="nil"/>
          <w:left w:val="nil"/>
          <w:bottom w:val="nil"/>
          <w:right w:val="nil"/>
          <w:between w:val="nil"/>
        </w:pBdr>
        <w:contextualSpacing/>
      </w:pPr>
      <w:r w:rsidRPr="000F3FFA">
        <w:t xml:space="preserve">En esa tesitura, conforme las constancias que obran en el expediente, se estima que es necesario que el Sujeto Obligado haga entrega de </w:t>
      </w:r>
      <w:r w:rsidR="00D51D27" w:rsidRPr="000F3FFA">
        <w:t>la versión pública de las pólizas de seguro contratadas por el Sujeto Obligado que se remitieron en Informe Justificado, en virtud de que así fueron requeridos por la Recurrente y en ellas consta la vigencia de los seguros contratados.</w:t>
      </w:r>
    </w:p>
    <w:p w14:paraId="693077BB" w14:textId="77777777" w:rsidR="00D51D27" w:rsidRPr="000F3FFA" w:rsidRDefault="00D51D27" w:rsidP="006242FE">
      <w:pPr>
        <w:pBdr>
          <w:top w:val="nil"/>
          <w:left w:val="nil"/>
          <w:bottom w:val="nil"/>
          <w:right w:val="nil"/>
          <w:between w:val="nil"/>
        </w:pBdr>
        <w:contextualSpacing/>
      </w:pPr>
    </w:p>
    <w:p w14:paraId="79AFCBC0" w14:textId="6828883F" w:rsidR="00FB7308" w:rsidRPr="000F3FFA" w:rsidRDefault="006242FE" w:rsidP="00D51D27">
      <w:pPr>
        <w:pBdr>
          <w:top w:val="nil"/>
          <w:left w:val="nil"/>
          <w:bottom w:val="nil"/>
          <w:right w:val="nil"/>
          <w:between w:val="nil"/>
        </w:pBdr>
        <w:contextualSpacing/>
      </w:pPr>
      <w:r w:rsidRPr="000F3FFA">
        <w:t xml:space="preserve">Por lo </w:t>
      </w:r>
      <w:r w:rsidR="00D51D27" w:rsidRPr="000F3FFA">
        <w:t xml:space="preserve">referido en los párrafos que anteceden, este Instituto </w:t>
      </w:r>
      <w:r w:rsidRPr="000F3FFA">
        <w:t>estima que los motivos de incon</w:t>
      </w:r>
      <w:r w:rsidR="00D51D27" w:rsidRPr="000F3FFA">
        <w:t>formidad devienen</w:t>
      </w:r>
      <w:r w:rsidRPr="000F3FFA">
        <w:t xml:space="preserve"> fundados,</w:t>
      </w:r>
      <w:r w:rsidR="00D51D27" w:rsidRPr="000F3FFA">
        <w:t xml:space="preserve"> por lo que procedente modificar</w:t>
      </w:r>
      <w:r w:rsidRPr="000F3FFA">
        <w:t xml:space="preserve"> la respuesta del Sujeto Obligado y ordenar que se </w:t>
      </w:r>
      <w:r w:rsidR="00D51D27" w:rsidRPr="000F3FFA">
        <w:t>haga entrega de las pólizas de seguro remitidas en Informe Justificado, esto en versión pública y acompañada del acuerdo que emita el Comité de Transparencia que dé su</w:t>
      </w:r>
      <w:r w:rsidR="00FB7308" w:rsidRPr="000F3FFA">
        <w:t>stente a dicha versión pública.</w:t>
      </w:r>
    </w:p>
    <w:p w14:paraId="5FA0493D" w14:textId="77777777" w:rsidR="00FB7308" w:rsidRPr="000F3FFA" w:rsidRDefault="00FB7308" w:rsidP="00D51D27">
      <w:pPr>
        <w:pBdr>
          <w:top w:val="nil"/>
          <w:left w:val="nil"/>
          <w:bottom w:val="nil"/>
          <w:right w:val="nil"/>
          <w:between w:val="nil"/>
        </w:pBdr>
        <w:contextualSpacing/>
      </w:pPr>
    </w:p>
    <w:p w14:paraId="2326900A" w14:textId="37C30024" w:rsidR="00FB7308" w:rsidRPr="000F3FFA" w:rsidRDefault="00FB7308" w:rsidP="00D51D27">
      <w:pPr>
        <w:pBdr>
          <w:top w:val="nil"/>
          <w:left w:val="nil"/>
          <w:bottom w:val="nil"/>
          <w:right w:val="nil"/>
          <w:between w:val="nil"/>
        </w:pBdr>
        <w:contextualSpacing/>
      </w:pPr>
      <w:r w:rsidRPr="000F3FFA">
        <w:t xml:space="preserve">No se omite señalar que la modalidad de entrega requerida </w:t>
      </w:r>
      <w:r w:rsidR="00B97E40" w:rsidRPr="000F3FFA">
        <w:t>por la</w:t>
      </w:r>
      <w:r w:rsidRPr="000F3FFA">
        <w:t xml:space="preserve"> particular fue mediante CD ROM con costo</w:t>
      </w:r>
      <w:r w:rsidR="00B97E40" w:rsidRPr="000F3FFA">
        <w:t xml:space="preserve"> a cuenta de la solicitante; sin embargo, tanto la respuesta como los documentos que acompañan el Informe Justificado se han </w:t>
      </w:r>
      <w:r w:rsidR="00F7749B" w:rsidRPr="000F3FFA">
        <w:t>proporcionado vía SAIMEX sin que la Recurrente se inconformara por esta situación;</w:t>
      </w:r>
      <w:r w:rsidR="00B97E40" w:rsidRPr="000F3FFA">
        <w:t xml:space="preserve"> por lo que se colige que existe una aceptación por parte de la Recurrente </w:t>
      </w:r>
      <w:r w:rsidR="00F7749B" w:rsidRPr="000F3FFA">
        <w:t>para recibir la información por el sistema.</w:t>
      </w:r>
    </w:p>
    <w:p w14:paraId="1D67F231" w14:textId="77777777" w:rsidR="00F7749B" w:rsidRPr="000F3FFA" w:rsidRDefault="00F7749B" w:rsidP="00D51D27">
      <w:pPr>
        <w:pBdr>
          <w:top w:val="nil"/>
          <w:left w:val="nil"/>
          <w:bottom w:val="nil"/>
          <w:right w:val="nil"/>
          <w:between w:val="nil"/>
        </w:pBdr>
        <w:contextualSpacing/>
      </w:pPr>
    </w:p>
    <w:p w14:paraId="4EE943B6" w14:textId="2D752273" w:rsidR="00F7749B" w:rsidRPr="000F3FFA" w:rsidRDefault="00F7749B" w:rsidP="00D51D27">
      <w:pPr>
        <w:pBdr>
          <w:top w:val="nil"/>
          <w:left w:val="nil"/>
          <w:bottom w:val="nil"/>
          <w:right w:val="nil"/>
          <w:between w:val="nil"/>
        </w:pBdr>
        <w:contextualSpacing/>
      </w:pPr>
      <w:r w:rsidRPr="000F3FFA">
        <w:t xml:space="preserve">Empero, </w:t>
      </w:r>
      <w:r w:rsidR="00A92E47" w:rsidRPr="000F3FFA">
        <w:t xml:space="preserve">en virtud de </w:t>
      </w:r>
      <w:r w:rsidRPr="000F3FFA">
        <w:t>que la Recurrente así lo requiriera, es procedente que el Sujeto Obligado, además de hacer entrega de los documentos descritos anteriormente, también haga del conocimiento de la particular el procedimiento detallado que debe seguir para obtener la información en su modalidad de entrega original, en el que deberá incluir los días, horarios, ubicación y personal que lo atenderá, además del trámite para cubrir el monto del medio requerido, en los que se le hará entrega de su información, o bien, pudiendo ser gratuito en el supuesto de que la particular provea los medios en los que se le entregará la información solicitada.</w:t>
      </w:r>
    </w:p>
    <w:p w14:paraId="5F108BB3" w14:textId="77777777" w:rsidR="006242FE" w:rsidRPr="000F3FFA" w:rsidRDefault="006242FE" w:rsidP="006242FE">
      <w:pPr>
        <w:pBdr>
          <w:top w:val="nil"/>
          <w:left w:val="nil"/>
          <w:bottom w:val="nil"/>
          <w:right w:val="nil"/>
          <w:between w:val="nil"/>
        </w:pBdr>
        <w:contextualSpacing/>
        <w:rPr>
          <w:rFonts w:eastAsia="Palatino Linotype" w:cs="Palatino Linotype"/>
          <w:szCs w:val="24"/>
        </w:rPr>
      </w:pPr>
    </w:p>
    <w:p w14:paraId="18CC4CD6" w14:textId="77777777" w:rsidR="006242FE" w:rsidRPr="000F3FFA" w:rsidRDefault="006242FE" w:rsidP="006242FE">
      <w:pPr>
        <w:pStyle w:val="Ttulo3"/>
        <w:rPr>
          <w:sz w:val="25"/>
          <w:szCs w:val="25"/>
        </w:rPr>
      </w:pPr>
      <w:r w:rsidRPr="000F3FFA">
        <w:rPr>
          <w:sz w:val="25"/>
          <w:szCs w:val="25"/>
        </w:rPr>
        <w:t>DE LA VERSIÓN PÚBLICA.</w:t>
      </w:r>
    </w:p>
    <w:p w14:paraId="70AC7C6A" w14:textId="77777777" w:rsidR="006242FE" w:rsidRPr="000F3FFA" w:rsidRDefault="006242FE" w:rsidP="006242FE">
      <w:pPr>
        <w:rPr>
          <w:rFonts w:eastAsia="Palatino Linotype" w:cs="Palatino Linotype"/>
          <w:szCs w:val="24"/>
        </w:rPr>
      </w:pPr>
      <w:r w:rsidRPr="000F3FFA">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42DE413" w14:textId="77777777" w:rsidR="006242FE" w:rsidRPr="000F3FFA" w:rsidRDefault="006242FE" w:rsidP="006242FE">
      <w:pPr>
        <w:rPr>
          <w:rFonts w:eastAsia="Palatino Linotype" w:cs="Palatino Linotype"/>
          <w:szCs w:val="24"/>
        </w:rPr>
      </w:pPr>
    </w:p>
    <w:p w14:paraId="0F93603B"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Artículo 3.</w:t>
      </w:r>
      <w:r w:rsidRPr="000F3FFA">
        <w:rPr>
          <w:rFonts w:eastAsia="Palatino Linotype" w:cs="Palatino Linotype"/>
          <w:i/>
          <w:sz w:val="22"/>
        </w:rPr>
        <w:t xml:space="preserve"> Para los efectos de la presente Ley se entenderá por:</w:t>
      </w:r>
    </w:p>
    <w:p w14:paraId="23DF7B2C"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w:t>
      </w:r>
    </w:p>
    <w:p w14:paraId="4F850241"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IX. Datos personales:</w:t>
      </w:r>
      <w:r w:rsidRPr="000F3FFA">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3CB44517"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XX.</w:t>
      </w:r>
      <w:r w:rsidRPr="000F3FFA">
        <w:rPr>
          <w:rFonts w:eastAsia="Palatino Linotype" w:cs="Palatino Linotype"/>
          <w:i/>
          <w:sz w:val="22"/>
        </w:rPr>
        <w:t xml:space="preserve"> </w:t>
      </w:r>
      <w:r w:rsidRPr="000F3FFA">
        <w:rPr>
          <w:rFonts w:eastAsia="Palatino Linotype" w:cs="Palatino Linotype"/>
          <w:b/>
          <w:i/>
          <w:sz w:val="22"/>
        </w:rPr>
        <w:t>Información clasificada:</w:t>
      </w:r>
      <w:r w:rsidRPr="000F3FFA">
        <w:rPr>
          <w:rFonts w:eastAsia="Palatino Linotype" w:cs="Palatino Linotype"/>
          <w:i/>
          <w:sz w:val="22"/>
        </w:rPr>
        <w:t xml:space="preserve"> Aquella considerada por la presente Ley como reservada o confidencial;</w:t>
      </w:r>
    </w:p>
    <w:p w14:paraId="6ACB5626"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XXI.</w:t>
      </w:r>
      <w:r w:rsidRPr="000F3FFA">
        <w:rPr>
          <w:rFonts w:eastAsia="Palatino Linotype" w:cs="Palatino Linotype"/>
          <w:i/>
          <w:sz w:val="22"/>
        </w:rPr>
        <w:t xml:space="preserve"> </w:t>
      </w:r>
      <w:r w:rsidRPr="000F3FFA">
        <w:rPr>
          <w:rFonts w:eastAsia="Palatino Linotype" w:cs="Palatino Linotype"/>
          <w:b/>
          <w:i/>
          <w:sz w:val="22"/>
        </w:rPr>
        <w:t>Información confidencial:</w:t>
      </w:r>
      <w:r w:rsidRPr="000F3FFA">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B4E4FF"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w:t>
      </w:r>
    </w:p>
    <w:p w14:paraId="57C1C168"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lastRenderedPageBreak/>
        <w:t>XLV.</w:t>
      </w:r>
      <w:r w:rsidRPr="000F3FFA">
        <w:rPr>
          <w:rFonts w:eastAsia="Palatino Linotype" w:cs="Palatino Linotype"/>
          <w:i/>
          <w:sz w:val="22"/>
        </w:rPr>
        <w:t xml:space="preserve"> </w:t>
      </w:r>
      <w:r w:rsidRPr="000F3FFA">
        <w:rPr>
          <w:rFonts w:eastAsia="Palatino Linotype" w:cs="Palatino Linotype"/>
          <w:b/>
          <w:i/>
          <w:sz w:val="22"/>
        </w:rPr>
        <w:t>Versión pública:</w:t>
      </w:r>
      <w:r w:rsidRPr="000F3FFA">
        <w:rPr>
          <w:rFonts w:eastAsia="Palatino Linotype" w:cs="Palatino Linotype"/>
          <w:i/>
          <w:sz w:val="22"/>
        </w:rPr>
        <w:t xml:space="preserve"> Documento en el que se elimine, suprime o borra la información clasificada como reservada o confidencial para permitir su acceso.</w:t>
      </w:r>
    </w:p>
    <w:p w14:paraId="3F25AA84"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w:t>
      </w:r>
    </w:p>
    <w:p w14:paraId="230B6DD6" w14:textId="77777777" w:rsidR="006242FE" w:rsidRPr="000F3FFA" w:rsidRDefault="006242FE" w:rsidP="006242FE">
      <w:pPr>
        <w:spacing w:line="259" w:lineRule="auto"/>
        <w:ind w:left="567" w:right="567"/>
        <w:rPr>
          <w:rFonts w:eastAsia="Palatino Linotype" w:cs="Palatino Linotype"/>
          <w:i/>
          <w:sz w:val="22"/>
        </w:rPr>
      </w:pPr>
    </w:p>
    <w:p w14:paraId="08816318"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 xml:space="preserve">Artículo 91. </w:t>
      </w:r>
      <w:r w:rsidRPr="000F3FFA">
        <w:rPr>
          <w:rFonts w:eastAsia="Palatino Linotype" w:cs="Palatino Linotype"/>
          <w:i/>
          <w:sz w:val="22"/>
        </w:rPr>
        <w:t>El acceso a la información pública será restringido excepcionalmente, cuando ésta sea clasificada como reservada o confidencial.</w:t>
      </w:r>
    </w:p>
    <w:p w14:paraId="66C3339B" w14:textId="77777777" w:rsidR="006242FE" w:rsidRPr="000F3FFA" w:rsidRDefault="006242FE" w:rsidP="006242FE">
      <w:pPr>
        <w:spacing w:line="259" w:lineRule="auto"/>
        <w:ind w:left="567" w:right="567"/>
        <w:rPr>
          <w:rFonts w:eastAsia="Palatino Linotype" w:cs="Palatino Linotype"/>
          <w:i/>
          <w:sz w:val="22"/>
        </w:rPr>
      </w:pPr>
    </w:p>
    <w:p w14:paraId="699FC1BC"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Artículo 132.</w:t>
      </w:r>
      <w:r w:rsidRPr="000F3FFA">
        <w:rPr>
          <w:rFonts w:eastAsia="Palatino Linotype" w:cs="Palatino Linotype"/>
          <w:i/>
          <w:sz w:val="22"/>
        </w:rPr>
        <w:t xml:space="preserve"> </w:t>
      </w:r>
      <w:r w:rsidRPr="000F3FFA">
        <w:rPr>
          <w:rFonts w:eastAsia="Palatino Linotype" w:cs="Palatino Linotype"/>
          <w:i/>
          <w:sz w:val="22"/>
          <w:u w:val="single"/>
        </w:rPr>
        <w:t>La clasificación de la información se llevará a cabo en el momento en que</w:t>
      </w:r>
      <w:r w:rsidRPr="000F3FFA">
        <w:rPr>
          <w:rFonts w:eastAsia="Palatino Linotype" w:cs="Palatino Linotype"/>
          <w:i/>
          <w:sz w:val="22"/>
        </w:rPr>
        <w:t>:</w:t>
      </w:r>
    </w:p>
    <w:p w14:paraId="30D82FE0"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I.</w:t>
      </w:r>
      <w:r w:rsidRPr="000F3FFA">
        <w:rPr>
          <w:rFonts w:eastAsia="Palatino Linotype" w:cs="Palatino Linotype"/>
          <w:i/>
          <w:sz w:val="22"/>
        </w:rPr>
        <w:t xml:space="preserve"> Se reciba una solicitud de acceso a la información;</w:t>
      </w:r>
    </w:p>
    <w:p w14:paraId="70B17166"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II.</w:t>
      </w:r>
      <w:r w:rsidRPr="000F3FFA">
        <w:rPr>
          <w:rFonts w:eastAsia="Palatino Linotype" w:cs="Palatino Linotype"/>
          <w:i/>
          <w:sz w:val="22"/>
        </w:rPr>
        <w:t xml:space="preserve"> </w:t>
      </w:r>
      <w:r w:rsidRPr="000F3FFA">
        <w:rPr>
          <w:rFonts w:eastAsia="Palatino Linotype" w:cs="Palatino Linotype"/>
          <w:i/>
          <w:sz w:val="22"/>
          <w:u w:val="single"/>
        </w:rPr>
        <w:t>Se determine mediante resolución de autoridad competente; o</w:t>
      </w:r>
    </w:p>
    <w:p w14:paraId="62584BC4" w14:textId="77777777" w:rsidR="006242FE" w:rsidRPr="000F3FFA" w:rsidRDefault="006242FE" w:rsidP="006242FE">
      <w:pPr>
        <w:spacing w:line="259" w:lineRule="auto"/>
        <w:ind w:left="567" w:right="567"/>
        <w:rPr>
          <w:rFonts w:eastAsia="Palatino Linotype" w:cs="Palatino Linotype"/>
          <w:i/>
          <w:sz w:val="22"/>
          <w:u w:val="single"/>
        </w:rPr>
      </w:pPr>
      <w:r w:rsidRPr="000F3FFA">
        <w:rPr>
          <w:rFonts w:eastAsia="Palatino Linotype" w:cs="Palatino Linotype"/>
          <w:b/>
          <w:i/>
          <w:sz w:val="22"/>
        </w:rPr>
        <w:t>III.</w:t>
      </w:r>
      <w:r w:rsidRPr="000F3FFA">
        <w:rPr>
          <w:rFonts w:eastAsia="Palatino Linotype" w:cs="Palatino Linotype"/>
          <w:i/>
          <w:sz w:val="22"/>
        </w:rPr>
        <w:t xml:space="preserve"> </w:t>
      </w:r>
      <w:r w:rsidRPr="000F3FFA">
        <w:rPr>
          <w:rFonts w:eastAsia="Palatino Linotype" w:cs="Palatino Linotype"/>
          <w:i/>
          <w:sz w:val="22"/>
          <w:u w:val="single"/>
        </w:rPr>
        <w:t>Se generen versiones públicas para dar cumplimiento a las obligaciones de transparencia previstas en esta Ley.</w:t>
      </w:r>
    </w:p>
    <w:p w14:paraId="705F85D4"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w:t>
      </w:r>
    </w:p>
    <w:p w14:paraId="1B9DF7E0" w14:textId="77777777" w:rsidR="006242FE" w:rsidRPr="000F3FFA" w:rsidRDefault="006242FE" w:rsidP="006242FE">
      <w:pPr>
        <w:rPr>
          <w:rFonts w:eastAsia="Palatino Linotype" w:cs="Palatino Linotype"/>
          <w:i/>
          <w:szCs w:val="24"/>
        </w:rPr>
      </w:pPr>
    </w:p>
    <w:p w14:paraId="163B0865" w14:textId="77777777" w:rsidR="006242FE" w:rsidRPr="000F3FFA" w:rsidRDefault="006242FE" w:rsidP="006242FE">
      <w:pPr>
        <w:rPr>
          <w:rFonts w:eastAsia="Palatino Linotype" w:cs="Palatino Linotype"/>
        </w:rPr>
      </w:pPr>
      <w:r w:rsidRPr="000F3FFA">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1BDD11F" w14:textId="77777777" w:rsidR="006242FE" w:rsidRPr="000F3FFA" w:rsidRDefault="006242FE" w:rsidP="006242FE">
      <w:pPr>
        <w:rPr>
          <w:rFonts w:eastAsia="Palatino Linotype" w:cs="Palatino Linotype"/>
        </w:rPr>
      </w:pPr>
    </w:p>
    <w:p w14:paraId="1A0C8893" w14:textId="77777777" w:rsidR="006242FE" w:rsidRPr="000F3FFA" w:rsidRDefault="006242FE" w:rsidP="006242FE">
      <w:pPr>
        <w:rPr>
          <w:rFonts w:eastAsia="Palatino Linotype" w:cs="Palatino Linotype"/>
          <w:szCs w:val="24"/>
        </w:rPr>
      </w:pPr>
      <w:r w:rsidRPr="000F3FFA">
        <w:rPr>
          <w:rFonts w:eastAsia="Palatino Linotype" w:cs="Palatino Linotype"/>
          <w:szCs w:val="24"/>
        </w:rPr>
        <w:t xml:space="preserve">Por otro lado, los </w:t>
      </w:r>
      <w:r w:rsidRPr="000F3FFA">
        <w:rPr>
          <w:rFonts w:eastAsia="Palatino Linotype" w:cs="Palatino Linotype"/>
          <w:i/>
          <w:szCs w:val="24"/>
        </w:rPr>
        <w:t>Lineamientos Generales en Materia de Clasificación y Desclasificación de la Información, así como para la elaboración de Versiones Públicas</w:t>
      </w:r>
      <w:r w:rsidRPr="000F3FFA">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DE0420C" w14:textId="77777777" w:rsidR="006242FE" w:rsidRPr="000F3FFA" w:rsidRDefault="006242FE" w:rsidP="006242FE">
      <w:pPr>
        <w:rPr>
          <w:rFonts w:eastAsia="Palatino Linotype" w:cs="Palatino Linotype"/>
          <w:szCs w:val="24"/>
        </w:rPr>
      </w:pPr>
    </w:p>
    <w:p w14:paraId="4F52AD9C" w14:textId="77777777" w:rsidR="006242FE" w:rsidRPr="000F3FFA" w:rsidRDefault="006242FE" w:rsidP="006242FE">
      <w:pPr>
        <w:rPr>
          <w:rFonts w:eastAsia="Palatino Linotype" w:cs="Palatino Linotype"/>
          <w:szCs w:val="24"/>
        </w:rPr>
      </w:pPr>
      <w:r w:rsidRPr="000F3FFA">
        <w:rPr>
          <w:rFonts w:eastAsia="Palatino Linotype" w:cs="Palatino Linotype"/>
          <w:szCs w:val="24"/>
        </w:rPr>
        <w:lastRenderedPageBreak/>
        <w:t>Entorno a lo que aquí nos interesa, los Lineamientos Quincuagésimo sexto, Quincuagésimo séptimo y Quincuagésimo octavo, establecen lo siguiente:</w:t>
      </w:r>
    </w:p>
    <w:p w14:paraId="31DB1F0D" w14:textId="77777777" w:rsidR="006242FE" w:rsidRPr="000F3FFA" w:rsidRDefault="006242FE" w:rsidP="006242FE">
      <w:pPr>
        <w:rPr>
          <w:rFonts w:eastAsia="Palatino Linotype" w:cs="Palatino Linotype"/>
          <w:sz w:val="22"/>
        </w:rPr>
      </w:pPr>
    </w:p>
    <w:p w14:paraId="3E430659"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Quincuagésimo sexto.</w:t>
      </w:r>
      <w:r w:rsidRPr="000F3FFA">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C5748E5" w14:textId="77777777" w:rsidR="006242FE" w:rsidRPr="000F3FFA" w:rsidRDefault="006242FE" w:rsidP="006242FE">
      <w:pPr>
        <w:spacing w:line="259" w:lineRule="auto"/>
        <w:ind w:left="567" w:right="567"/>
        <w:rPr>
          <w:rFonts w:eastAsia="Palatino Linotype" w:cs="Palatino Linotype"/>
          <w:i/>
          <w:sz w:val="22"/>
        </w:rPr>
      </w:pPr>
    </w:p>
    <w:p w14:paraId="2B943463"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Quincuagésimo séptimo.</w:t>
      </w:r>
      <w:r w:rsidRPr="000F3FFA">
        <w:rPr>
          <w:rFonts w:eastAsia="Palatino Linotype" w:cs="Palatino Linotype"/>
          <w:i/>
          <w:sz w:val="22"/>
        </w:rPr>
        <w:t xml:space="preserve"> Se considera, en principio, como información pública y no podrá omitirse de las versiones públicas la siguiente:</w:t>
      </w:r>
    </w:p>
    <w:p w14:paraId="6FAA8078"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 xml:space="preserve"> </w:t>
      </w:r>
    </w:p>
    <w:p w14:paraId="7B0F78DF"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 xml:space="preserve">I. La relativa a las Obligaciones de Transparencia que contempla el Título V de la Ley General y las demás disposiciones legales aplicables; </w:t>
      </w:r>
    </w:p>
    <w:p w14:paraId="1B9CF7D4"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6FDC3A62"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EB8AE8B" w14:textId="77777777" w:rsidR="006242FE" w:rsidRPr="000F3FFA" w:rsidRDefault="006242FE" w:rsidP="006242FE">
      <w:pPr>
        <w:spacing w:line="259" w:lineRule="auto"/>
        <w:ind w:left="567" w:right="567"/>
        <w:rPr>
          <w:rFonts w:eastAsia="Palatino Linotype" w:cs="Palatino Linotype"/>
          <w:i/>
          <w:sz w:val="22"/>
        </w:rPr>
      </w:pPr>
    </w:p>
    <w:p w14:paraId="3E0D0EBF"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15FB7FCB" w14:textId="77777777" w:rsidR="006242FE" w:rsidRPr="000F3FFA" w:rsidRDefault="006242FE" w:rsidP="006242FE">
      <w:pPr>
        <w:spacing w:line="259" w:lineRule="auto"/>
        <w:ind w:left="567" w:right="567"/>
        <w:rPr>
          <w:rFonts w:eastAsia="Palatino Linotype" w:cs="Palatino Linotype"/>
          <w:i/>
          <w:sz w:val="22"/>
        </w:rPr>
      </w:pPr>
    </w:p>
    <w:p w14:paraId="6C625062" w14:textId="77777777" w:rsidR="006242FE" w:rsidRPr="000F3FFA" w:rsidRDefault="006242FE" w:rsidP="006242FE">
      <w:pPr>
        <w:spacing w:line="259" w:lineRule="auto"/>
        <w:ind w:left="567" w:right="567"/>
        <w:rPr>
          <w:rFonts w:eastAsia="Palatino Linotype" w:cs="Palatino Linotype"/>
          <w:i/>
          <w:sz w:val="22"/>
        </w:rPr>
      </w:pPr>
      <w:r w:rsidRPr="000F3FFA">
        <w:rPr>
          <w:rFonts w:eastAsia="Palatino Linotype" w:cs="Palatino Linotype"/>
          <w:b/>
          <w:i/>
          <w:sz w:val="22"/>
        </w:rPr>
        <w:t>Quincuagésimo octavo.</w:t>
      </w:r>
      <w:r w:rsidRPr="000F3FFA">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12B29DF0" w14:textId="77777777" w:rsidR="006242FE" w:rsidRPr="000F3FFA" w:rsidRDefault="006242FE" w:rsidP="006242FE">
      <w:pPr>
        <w:rPr>
          <w:rFonts w:eastAsia="Palatino Linotype" w:cs="Palatino Linotype"/>
          <w:i/>
          <w:szCs w:val="24"/>
        </w:rPr>
      </w:pPr>
    </w:p>
    <w:p w14:paraId="6961CE09" w14:textId="77777777" w:rsidR="006242FE" w:rsidRPr="000F3FFA" w:rsidRDefault="006242FE" w:rsidP="006242FE">
      <w:pPr>
        <w:rPr>
          <w:rFonts w:eastAsia="Palatino Linotype" w:cs="Palatino Linotype"/>
          <w:szCs w:val="24"/>
        </w:rPr>
      </w:pPr>
      <w:r w:rsidRPr="000F3FFA">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0F3FFA">
        <w:rPr>
          <w:rFonts w:eastAsia="Palatino Linotype" w:cs="Palatino Linotype"/>
          <w:szCs w:val="24"/>
        </w:rPr>
        <w:lastRenderedPageBreak/>
        <w:t xml:space="preserve">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682A24E8" w14:textId="77777777" w:rsidR="006242FE" w:rsidRPr="000F3FFA" w:rsidRDefault="006242FE" w:rsidP="006242FE">
      <w:pPr>
        <w:rPr>
          <w:rFonts w:eastAsia="Palatino Linotype" w:cs="Palatino Linotype"/>
          <w:szCs w:val="24"/>
        </w:rPr>
      </w:pPr>
    </w:p>
    <w:p w14:paraId="33D6B8DD" w14:textId="77777777" w:rsidR="006242FE" w:rsidRPr="000F3FFA" w:rsidRDefault="006242FE" w:rsidP="006242FE">
      <w:pPr>
        <w:rPr>
          <w:rFonts w:eastAsia="Palatino Linotype" w:cs="Palatino Linotype"/>
          <w:szCs w:val="24"/>
        </w:rPr>
      </w:pPr>
      <w:r w:rsidRPr="000F3FFA">
        <w:rPr>
          <w:rFonts w:eastAsia="Palatino Linotype" w:cs="Palatino Linotype"/>
          <w:szCs w:val="24"/>
        </w:rPr>
        <w:t>Por lo que respecta al Acuerdo del Comité de Transparencia que sustente la versión pública de la documentación a entregar, deberá ser notificado mediante el SAIMEX.</w:t>
      </w:r>
    </w:p>
    <w:p w14:paraId="4F7ED54B" w14:textId="77777777" w:rsidR="006242FE" w:rsidRPr="000F3FFA" w:rsidRDefault="006242FE" w:rsidP="006242FE">
      <w:pPr>
        <w:rPr>
          <w:rFonts w:eastAsia="Palatino Linotype" w:cs="Palatino Linotype"/>
          <w:szCs w:val="24"/>
        </w:rPr>
      </w:pPr>
    </w:p>
    <w:p w14:paraId="4FC9845F" w14:textId="5749C61D"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B71B69" w:rsidRPr="000F3FFA">
        <w:rPr>
          <w:rFonts w:eastAsia="Palatino Linotype" w:cs="Palatino Linotype"/>
          <w:color w:val="000000"/>
          <w:szCs w:val="24"/>
        </w:rPr>
        <w:t>l</w:t>
      </w:r>
      <w:r w:rsidRPr="000F3FFA">
        <w:rPr>
          <w:rFonts w:eastAsia="Palatino Linotype" w:cs="Palatino Linotype"/>
          <w:color w:val="000000"/>
          <w:szCs w:val="24"/>
        </w:rPr>
        <w:t xml:space="preserve"> Recurrente.</w:t>
      </w:r>
    </w:p>
    <w:p w14:paraId="00E82075"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p>
    <w:p w14:paraId="6431EA37" w14:textId="38B915BE"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0F3FFA">
        <w:rPr>
          <w:rFonts w:eastAsia="Palatino Linotype" w:cs="Palatino Linotype"/>
          <w:b/>
          <w:color w:val="000000"/>
          <w:szCs w:val="24"/>
        </w:rPr>
        <w:t xml:space="preserve">con fundamento en la segunda hipótesis de la fracción III del artículo 186 </w:t>
      </w:r>
      <w:r w:rsidRPr="000F3FFA">
        <w:rPr>
          <w:rFonts w:eastAsia="Palatino Linotype" w:cs="Palatino Linotype"/>
          <w:color w:val="000000"/>
          <w:szCs w:val="24"/>
        </w:rPr>
        <w:t xml:space="preserve">de la Ley de Transparencia y Acceso a la Información Pública del Estado de México y Municipios, se </w:t>
      </w:r>
      <w:r w:rsidRPr="000F3FFA">
        <w:rPr>
          <w:rFonts w:eastAsia="Palatino Linotype" w:cs="Palatino Linotype"/>
          <w:b/>
          <w:color w:val="000000"/>
          <w:szCs w:val="24"/>
        </w:rPr>
        <w:t xml:space="preserve">MODIFICA </w:t>
      </w:r>
      <w:r w:rsidRPr="000F3FFA">
        <w:rPr>
          <w:rFonts w:eastAsia="Palatino Linotype" w:cs="Palatino Linotype"/>
          <w:color w:val="000000"/>
          <w:szCs w:val="24"/>
        </w:rPr>
        <w:t>la respuesta a la solicitud de información número</w:t>
      </w:r>
      <w:r w:rsidRPr="000F3FFA">
        <w:rPr>
          <w:rFonts w:eastAsia="Palatino Linotype" w:cs="Palatino Linotype"/>
          <w:b/>
          <w:color w:val="000000"/>
          <w:szCs w:val="24"/>
        </w:rPr>
        <w:t xml:space="preserve"> </w:t>
      </w:r>
      <w:r w:rsidR="00D51D27" w:rsidRPr="000F3FFA">
        <w:rPr>
          <w:rFonts w:eastAsia="Palatino Linotype" w:cs="Palatino Linotype"/>
          <w:b/>
          <w:bCs/>
          <w:color w:val="000000"/>
          <w:szCs w:val="24"/>
        </w:rPr>
        <w:t>00052/STMEM/IP/2023</w:t>
      </w:r>
      <w:r w:rsidRPr="000F3FFA">
        <w:rPr>
          <w:rFonts w:eastAsia="Palatino Linotype" w:cs="Palatino Linotype"/>
          <w:color w:val="000000"/>
          <w:szCs w:val="24"/>
        </w:rPr>
        <w:t>, que ha sido materia del presente estudio.</w:t>
      </w:r>
    </w:p>
    <w:p w14:paraId="69F32548" w14:textId="77777777" w:rsidR="006242FE" w:rsidRPr="000F3FFA" w:rsidRDefault="006242FE" w:rsidP="006242FE"/>
    <w:p w14:paraId="2FEA36A4"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color w:val="000000"/>
          <w:szCs w:val="24"/>
        </w:rPr>
        <w:t>Por lo antes expuesto y fundado es de resolverse y,</w:t>
      </w:r>
    </w:p>
    <w:p w14:paraId="473EF23E"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p>
    <w:p w14:paraId="31E67E1F" w14:textId="77777777" w:rsidR="00B71B69" w:rsidRPr="000F3FFA" w:rsidRDefault="00B71B69" w:rsidP="006242FE">
      <w:pPr>
        <w:pBdr>
          <w:top w:val="nil"/>
          <w:left w:val="nil"/>
          <w:bottom w:val="nil"/>
          <w:right w:val="nil"/>
          <w:between w:val="nil"/>
        </w:pBdr>
        <w:rPr>
          <w:rFonts w:eastAsia="Palatino Linotype" w:cs="Palatino Linotype"/>
          <w:color w:val="000000"/>
          <w:szCs w:val="24"/>
        </w:rPr>
      </w:pPr>
    </w:p>
    <w:p w14:paraId="54E004FF" w14:textId="77777777" w:rsidR="006242FE" w:rsidRPr="000F3FFA" w:rsidRDefault="006242FE" w:rsidP="006242FE">
      <w:pPr>
        <w:pStyle w:val="Ttulo1"/>
        <w:rPr>
          <w:rFonts w:eastAsia="Palatino Linotype"/>
        </w:rPr>
      </w:pPr>
      <w:r w:rsidRPr="000F3FFA">
        <w:rPr>
          <w:rFonts w:eastAsia="Palatino Linotype"/>
        </w:rPr>
        <w:t>S E    R E S U E L V E</w:t>
      </w:r>
    </w:p>
    <w:p w14:paraId="312C87A0" w14:textId="77777777" w:rsidR="006242FE" w:rsidRPr="000F3FFA" w:rsidRDefault="006242FE" w:rsidP="006242FE">
      <w:pPr>
        <w:pBdr>
          <w:top w:val="nil"/>
          <w:left w:val="nil"/>
          <w:bottom w:val="nil"/>
          <w:right w:val="nil"/>
          <w:between w:val="nil"/>
        </w:pBdr>
        <w:rPr>
          <w:rFonts w:eastAsia="Palatino Linotype" w:cs="Palatino Linotype"/>
          <w:b/>
          <w:color w:val="000000"/>
          <w:szCs w:val="24"/>
        </w:rPr>
      </w:pPr>
    </w:p>
    <w:p w14:paraId="145BC890" w14:textId="1082578C"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b/>
          <w:bCs/>
          <w:color w:val="000000" w:themeColor="text1"/>
          <w:szCs w:val="24"/>
        </w:rPr>
        <w:t>PRIMERO.</w:t>
      </w:r>
      <w:r w:rsidRPr="000F3FFA">
        <w:rPr>
          <w:rFonts w:eastAsia="Palatino Linotype" w:cs="Palatino Linotype"/>
          <w:color w:val="000000" w:themeColor="text1"/>
          <w:szCs w:val="24"/>
        </w:rPr>
        <w:t xml:space="preserve"> Se </w:t>
      </w:r>
      <w:r w:rsidRPr="000F3FFA">
        <w:rPr>
          <w:rFonts w:eastAsia="Palatino Linotype" w:cs="Palatino Linotype"/>
          <w:b/>
          <w:bCs/>
          <w:color w:val="000000" w:themeColor="text1"/>
          <w:szCs w:val="24"/>
        </w:rPr>
        <w:t>MODIFICA</w:t>
      </w:r>
      <w:r w:rsidRPr="000F3FFA">
        <w:rPr>
          <w:rFonts w:eastAsia="Palatino Linotype" w:cs="Palatino Linotype"/>
          <w:color w:val="000000" w:themeColor="text1"/>
          <w:szCs w:val="24"/>
        </w:rPr>
        <w:t xml:space="preserve"> la respuesta entregada por el Sujeto Obligado</w:t>
      </w:r>
      <w:r w:rsidRPr="000F3FFA">
        <w:rPr>
          <w:rFonts w:eastAsia="Palatino Linotype" w:cs="Palatino Linotype"/>
          <w:b/>
          <w:bCs/>
          <w:color w:val="000000" w:themeColor="text1"/>
          <w:szCs w:val="24"/>
        </w:rPr>
        <w:t xml:space="preserve"> </w:t>
      </w:r>
      <w:r w:rsidRPr="000F3FFA">
        <w:rPr>
          <w:rFonts w:eastAsia="Palatino Linotype" w:cs="Palatino Linotype"/>
          <w:color w:val="000000" w:themeColor="text1"/>
          <w:szCs w:val="24"/>
        </w:rPr>
        <w:t xml:space="preserve">a la solicitud de información número </w:t>
      </w:r>
      <w:r w:rsidR="00D51D27" w:rsidRPr="000F3FFA">
        <w:rPr>
          <w:rFonts w:eastAsia="Palatino Linotype" w:cs="Palatino Linotype"/>
          <w:b/>
          <w:bCs/>
          <w:color w:val="000000"/>
          <w:szCs w:val="24"/>
        </w:rPr>
        <w:t>00052/STMEM/IP/2023</w:t>
      </w:r>
      <w:r w:rsidRPr="000F3FFA">
        <w:rPr>
          <w:rFonts w:eastAsia="Palatino Linotype" w:cs="Palatino Linotype"/>
          <w:color w:val="000000" w:themeColor="text1"/>
          <w:szCs w:val="24"/>
        </w:rPr>
        <w:t>, por resultar fundados los motivos de inconformidad argüidos por el Recurrente, en términos del</w:t>
      </w:r>
      <w:r w:rsidRPr="000F3FFA">
        <w:rPr>
          <w:rFonts w:eastAsia="Palatino Linotype" w:cs="Palatino Linotype"/>
          <w:b/>
          <w:bCs/>
          <w:color w:val="000000" w:themeColor="text1"/>
          <w:szCs w:val="24"/>
        </w:rPr>
        <w:t xml:space="preserve"> Considerando CUARTO </w:t>
      </w:r>
      <w:r w:rsidRPr="000F3FFA">
        <w:rPr>
          <w:rFonts w:eastAsia="Palatino Linotype" w:cs="Palatino Linotype"/>
          <w:color w:val="000000" w:themeColor="text1"/>
          <w:szCs w:val="24"/>
        </w:rPr>
        <w:t xml:space="preserve">de la presente resolución. </w:t>
      </w:r>
    </w:p>
    <w:p w14:paraId="202A0213"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p>
    <w:p w14:paraId="069E4A81" w14:textId="6E7548B0"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b/>
          <w:color w:val="000000"/>
          <w:szCs w:val="24"/>
        </w:rPr>
        <w:t>SEGUNDO.</w:t>
      </w:r>
      <w:r w:rsidRPr="000F3FFA">
        <w:rPr>
          <w:rFonts w:eastAsia="Palatino Linotype" w:cs="Palatino Linotype"/>
          <w:color w:val="000000"/>
          <w:szCs w:val="24"/>
        </w:rPr>
        <w:t xml:space="preserve"> Se </w:t>
      </w:r>
      <w:r w:rsidRPr="000F3FFA">
        <w:rPr>
          <w:rFonts w:eastAsia="Palatino Linotype" w:cs="Palatino Linotype"/>
          <w:b/>
          <w:color w:val="000000"/>
          <w:szCs w:val="24"/>
        </w:rPr>
        <w:t>ORDENA</w:t>
      </w:r>
      <w:r w:rsidRPr="000F3FFA">
        <w:rPr>
          <w:rFonts w:eastAsia="Palatino Linotype" w:cs="Palatino Linotype"/>
          <w:color w:val="000000"/>
          <w:szCs w:val="24"/>
        </w:rPr>
        <w:t xml:space="preserve"> al Sujeto Obligado que </w:t>
      </w:r>
      <w:r w:rsidR="00D51D27" w:rsidRPr="000F3FFA">
        <w:rPr>
          <w:rFonts w:eastAsia="Palatino Linotype" w:cs="Palatino Linotype"/>
          <w:color w:val="000000"/>
          <w:szCs w:val="24"/>
        </w:rPr>
        <w:t xml:space="preserve">haga </w:t>
      </w:r>
      <w:r w:rsidRPr="000F3FFA">
        <w:rPr>
          <w:rFonts w:eastAsia="Palatino Linotype" w:cs="Palatino Linotype"/>
          <w:color w:val="000000"/>
          <w:szCs w:val="24"/>
        </w:rPr>
        <w:t>entrega a</w:t>
      </w:r>
      <w:r w:rsidR="00D51D27" w:rsidRPr="000F3FFA">
        <w:rPr>
          <w:rFonts w:eastAsia="Palatino Linotype" w:cs="Palatino Linotype"/>
          <w:color w:val="000000"/>
          <w:szCs w:val="24"/>
        </w:rPr>
        <w:t xml:space="preserve"> </w:t>
      </w:r>
      <w:r w:rsidRPr="000F3FFA">
        <w:rPr>
          <w:rFonts w:eastAsia="Palatino Linotype" w:cs="Palatino Linotype"/>
          <w:color w:val="000000"/>
          <w:szCs w:val="24"/>
        </w:rPr>
        <w:t>l</w:t>
      </w:r>
      <w:r w:rsidR="00D51D27" w:rsidRPr="000F3FFA">
        <w:rPr>
          <w:rFonts w:eastAsia="Palatino Linotype" w:cs="Palatino Linotype"/>
          <w:color w:val="000000"/>
          <w:szCs w:val="24"/>
        </w:rPr>
        <w:t>a</w:t>
      </w:r>
      <w:r w:rsidRPr="000F3FFA">
        <w:rPr>
          <w:rFonts w:eastAsia="Palatino Linotype" w:cs="Palatino Linotype"/>
          <w:color w:val="000000"/>
          <w:szCs w:val="24"/>
        </w:rPr>
        <w:t xml:space="preserve"> Recurrente mediante el Sistema de Acceso a la Información Mexiquense (SAIMEX)</w:t>
      </w:r>
      <w:r w:rsidR="00F7749B" w:rsidRPr="000F3FFA">
        <w:rPr>
          <w:rFonts w:eastAsia="Palatino Linotype" w:cs="Palatino Linotype"/>
          <w:color w:val="000000"/>
          <w:szCs w:val="24"/>
        </w:rPr>
        <w:t xml:space="preserve"> y CD ROM</w:t>
      </w:r>
      <w:r w:rsidRPr="000F3FFA">
        <w:rPr>
          <w:rFonts w:eastAsia="Palatino Linotype" w:cs="Palatino Linotype"/>
          <w:color w:val="000000"/>
          <w:szCs w:val="24"/>
        </w:rPr>
        <w:t xml:space="preserve">, en versión pública y en términos del </w:t>
      </w:r>
      <w:r w:rsidRPr="000F3FFA">
        <w:rPr>
          <w:rFonts w:eastAsia="Palatino Linotype" w:cs="Palatino Linotype"/>
          <w:b/>
          <w:color w:val="000000"/>
          <w:szCs w:val="24"/>
        </w:rPr>
        <w:t>Considerando CUARTO</w:t>
      </w:r>
      <w:r w:rsidRPr="000F3FFA">
        <w:rPr>
          <w:rFonts w:eastAsia="Palatino Linotype" w:cs="Palatino Linotype"/>
          <w:color w:val="000000"/>
          <w:szCs w:val="24"/>
        </w:rPr>
        <w:t xml:space="preserve">, de </w:t>
      </w:r>
      <w:r w:rsidR="00B71B69" w:rsidRPr="000F3FFA">
        <w:rPr>
          <w:rFonts w:eastAsia="Palatino Linotype" w:cs="Palatino Linotype"/>
          <w:color w:val="000000"/>
          <w:szCs w:val="24"/>
        </w:rPr>
        <w:t>lo</w:t>
      </w:r>
      <w:r w:rsidRPr="000F3FFA">
        <w:rPr>
          <w:rFonts w:eastAsia="Palatino Linotype" w:cs="Palatino Linotype"/>
          <w:color w:val="000000"/>
          <w:szCs w:val="24"/>
        </w:rPr>
        <w:t xml:space="preserve"> siguiente: </w:t>
      </w:r>
    </w:p>
    <w:p w14:paraId="019CE1CD"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p>
    <w:p w14:paraId="5E9B3CD4" w14:textId="00A5F2C2" w:rsidR="00B71B69" w:rsidRPr="000F3FFA" w:rsidRDefault="00D51D27" w:rsidP="00F72750">
      <w:pPr>
        <w:pStyle w:val="Prrafodelista"/>
        <w:numPr>
          <w:ilvl w:val="0"/>
          <w:numId w:val="17"/>
        </w:numPr>
        <w:pBdr>
          <w:top w:val="nil"/>
          <w:left w:val="nil"/>
          <w:bottom w:val="nil"/>
          <w:right w:val="nil"/>
          <w:between w:val="nil"/>
        </w:pBdr>
        <w:rPr>
          <w:rFonts w:eastAsia="Palatino Linotype" w:cs="Palatino Linotype"/>
          <w:i/>
          <w:color w:val="000000"/>
        </w:rPr>
      </w:pPr>
      <w:r w:rsidRPr="000F3FFA">
        <w:rPr>
          <w:rFonts w:eastAsia="Palatino Linotype" w:cs="Palatino Linotype"/>
          <w:i/>
          <w:color w:val="000000"/>
        </w:rPr>
        <w:t>Las pólizas de seguro remitidas al momento de rendir el Informe Justificado.</w:t>
      </w:r>
    </w:p>
    <w:p w14:paraId="61351593" w14:textId="77777777" w:rsidR="000E70DB" w:rsidRPr="000F3FFA" w:rsidRDefault="000E70DB" w:rsidP="006242FE">
      <w:pPr>
        <w:pBdr>
          <w:top w:val="nil"/>
          <w:left w:val="nil"/>
          <w:bottom w:val="nil"/>
          <w:right w:val="nil"/>
          <w:between w:val="nil"/>
        </w:pBdr>
        <w:rPr>
          <w:rFonts w:eastAsia="Palatino Linotype" w:cs="Palatino Linotype"/>
          <w:color w:val="000000"/>
          <w:szCs w:val="24"/>
        </w:rPr>
      </w:pPr>
    </w:p>
    <w:p w14:paraId="0F1DF829" w14:textId="4E99A35D" w:rsidR="006242FE" w:rsidRPr="000F3FFA" w:rsidRDefault="00391E68"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color w:val="000000"/>
          <w:szCs w:val="24"/>
        </w:rPr>
        <w:t>C</w:t>
      </w:r>
      <w:r w:rsidR="006242FE" w:rsidRPr="000F3FFA">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5654727" w14:textId="77777777" w:rsidR="00F7749B" w:rsidRPr="000F3FFA" w:rsidRDefault="00F7749B" w:rsidP="006242FE">
      <w:pPr>
        <w:pBdr>
          <w:top w:val="nil"/>
          <w:left w:val="nil"/>
          <w:bottom w:val="nil"/>
          <w:right w:val="nil"/>
          <w:between w:val="nil"/>
        </w:pBdr>
        <w:rPr>
          <w:rFonts w:eastAsia="Palatino Linotype" w:cs="Palatino Linotype"/>
          <w:color w:val="000000"/>
          <w:szCs w:val="24"/>
        </w:rPr>
      </w:pPr>
    </w:p>
    <w:p w14:paraId="196756B9" w14:textId="5CAFBD88" w:rsidR="00F7749B" w:rsidRPr="000F3FFA" w:rsidRDefault="000E70DB"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color w:val="000000"/>
          <w:szCs w:val="24"/>
        </w:rPr>
        <w:t xml:space="preserve">Para el entrega de la información en CD ROM, el Sujeto Obligado debe indicar el procedimiento que tendrá que seguir la Recurrente para acceder a la documentación, es decir, los pasos para realizar el pago de derechos, en caso de proceder, y la manera de obtener la información como domicilio de la Unidad de Transparencia, días y horarios </w:t>
      </w:r>
      <w:r w:rsidRPr="000F3FFA">
        <w:rPr>
          <w:rFonts w:eastAsia="Palatino Linotype" w:cs="Palatino Linotype"/>
          <w:color w:val="000000"/>
          <w:szCs w:val="24"/>
        </w:rPr>
        <w:lastRenderedPageBreak/>
        <w:t>de atención, así como el nombre del servidor público que le atenderá. Además, deberá señalarle que podrá acceder de manera gratuita a la información si proporciona el medio electrónico y recoge la información en la Unidad de Transparencia.</w:t>
      </w:r>
    </w:p>
    <w:p w14:paraId="0BC5F5C5"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p>
    <w:p w14:paraId="3498B40E"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b/>
          <w:color w:val="000000"/>
          <w:szCs w:val="24"/>
        </w:rPr>
        <w:t>TERCERO. Notifíquese</w:t>
      </w:r>
      <w:r w:rsidRPr="000F3FFA">
        <w:rPr>
          <w:rFonts w:eastAsia="Palatino Linotype" w:cs="Palatino Linotype"/>
          <w:b/>
          <w:i/>
          <w:color w:val="000000"/>
          <w:szCs w:val="24"/>
        </w:rPr>
        <w:t xml:space="preserve"> </w:t>
      </w:r>
      <w:r w:rsidRPr="000F3FFA">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4057D3" w14:textId="77777777" w:rsidR="006242FE" w:rsidRPr="000F3FFA" w:rsidRDefault="006242FE" w:rsidP="006242FE">
      <w:pPr>
        <w:pBdr>
          <w:top w:val="nil"/>
          <w:left w:val="nil"/>
          <w:bottom w:val="nil"/>
          <w:right w:val="nil"/>
          <w:between w:val="nil"/>
        </w:pBdr>
        <w:rPr>
          <w:rFonts w:eastAsia="Palatino Linotype" w:cs="Palatino Linotype"/>
          <w:b/>
          <w:color w:val="000000"/>
          <w:szCs w:val="24"/>
        </w:rPr>
      </w:pPr>
    </w:p>
    <w:p w14:paraId="7C761237" w14:textId="77777777" w:rsidR="006242FE" w:rsidRPr="000F3FFA" w:rsidRDefault="006242FE" w:rsidP="006242FE">
      <w:pPr>
        <w:pBdr>
          <w:top w:val="nil"/>
          <w:left w:val="nil"/>
          <w:bottom w:val="nil"/>
          <w:right w:val="nil"/>
          <w:between w:val="nil"/>
        </w:pBdr>
        <w:rPr>
          <w:rFonts w:eastAsia="Palatino Linotype" w:cs="Palatino Linotype"/>
          <w:color w:val="000000"/>
          <w:szCs w:val="24"/>
        </w:rPr>
      </w:pPr>
      <w:r w:rsidRPr="000F3FFA">
        <w:rPr>
          <w:rFonts w:eastAsia="Palatino Linotype" w:cs="Palatino Linotype"/>
          <w:b/>
          <w:color w:val="000000"/>
          <w:szCs w:val="24"/>
        </w:rPr>
        <w:t xml:space="preserve">CUARTO. </w:t>
      </w:r>
      <w:r w:rsidRPr="000F3FFA">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A5BCA5" w14:textId="77777777" w:rsidR="006242FE" w:rsidRPr="000F3FFA" w:rsidRDefault="006242FE" w:rsidP="006242FE">
      <w:pPr>
        <w:pBdr>
          <w:top w:val="nil"/>
          <w:left w:val="nil"/>
          <w:bottom w:val="nil"/>
          <w:right w:val="nil"/>
          <w:between w:val="nil"/>
        </w:pBdr>
        <w:rPr>
          <w:rFonts w:eastAsia="Palatino Linotype" w:cs="Palatino Linotype"/>
          <w:b/>
          <w:color w:val="000000"/>
          <w:szCs w:val="24"/>
        </w:rPr>
      </w:pPr>
    </w:p>
    <w:p w14:paraId="6942D8BC" w14:textId="2D96F858" w:rsidR="006242FE" w:rsidRPr="000F3FFA" w:rsidRDefault="006242FE" w:rsidP="006242FE">
      <w:pPr>
        <w:contextualSpacing/>
        <w:rPr>
          <w:rFonts w:eastAsia="Palatino Linotype" w:cs="Palatino Linotype"/>
          <w:color w:val="000000"/>
          <w:szCs w:val="24"/>
        </w:rPr>
      </w:pPr>
      <w:r w:rsidRPr="000F3FFA">
        <w:rPr>
          <w:rFonts w:eastAsia="Palatino Linotype" w:cs="Palatino Linotype"/>
          <w:b/>
          <w:color w:val="000000"/>
          <w:szCs w:val="24"/>
        </w:rPr>
        <w:t xml:space="preserve">QUINTO. Notifíquese </w:t>
      </w:r>
      <w:r w:rsidRPr="000F3FFA">
        <w:rPr>
          <w:rFonts w:eastAsia="Palatino Linotype" w:cs="Palatino Linotype"/>
          <w:color w:val="000000"/>
          <w:szCs w:val="24"/>
        </w:rPr>
        <w:t>la presente resolución a</w:t>
      </w:r>
      <w:r w:rsidR="00391E68" w:rsidRPr="000F3FFA">
        <w:rPr>
          <w:rFonts w:eastAsia="Palatino Linotype" w:cs="Palatino Linotype"/>
          <w:color w:val="000000"/>
          <w:szCs w:val="24"/>
        </w:rPr>
        <w:t xml:space="preserve"> </w:t>
      </w:r>
      <w:r w:rsidRPr="000F3FFA">
        <w:rPr>
          <w:rFonts w:eastAsia="Palatino Linotype" w:cs="Palatino Linotype"/>
          <w:color w:val="000000"/>
          <w:szCs w:val="24"/>
        </w:rPr>
        <w:t>l</w:t>
      </w:r>
      <w:r w:rsidR="00391E68" w:rsidRPr="000F3FFA">
        <w:rPr>
          <w:rFonts w:eastAsia="Palatino Linotype" w:cs="Palatino Linotype"/>
          <w:color w:val="000000"/>
          <w:szCs w:val="24"/>
        </w:rPr>
        <w:t>a</w:t>
      </w:r>
      <w:r w:rsidRPr="000F3FFA">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0F3FFA">
        <w:rPr>
          <w:rFonts w:eastAsia="Palatino Linotype" w:cs="Palatino Linotype"/>
          <w:color w:val="000000"/>
          <w:szCs w:val="24"/>
        </w:rPr>
        <w:lastRenderedPageBreak/>
        <w:t>establecido en el artículo 196 de la Ley de Transparencia y Acceso a la Información Pública del Estado de México y Municipios.</w:t>
      </w:r>
    </w:p>
    <w:p w14:paraId="7149165D" w14:textId="1BEBE573" w:rsidR="00B95178" w:rsidRPr="000F3FFA" w:rsidRDefault="00B95178" w:rsidP="00D72B70">
      <w:pPr>
        <w:rPr>
          <w:szCs w:val="24"/>
        </w:rPr>
      </w:pPr>
    </w:p>
    <w:p w14:paraId="20573BFF" w14:textId="0AD2F3EE" w:rsidR="00A970D5" w:rsidRPr="000F3FFA" w:rsidRDefault="00861D35" w:rsidP="000C65DD">
      <w:pPr>
        <w:pBdr>
          <w:top w:val="nil"/>
          <w:left w:val="nil"/>
          <w:bottom w:val="nil"/>
          <w:right w:val="nil"/>
          <w:between w:val="nil"/>
        </w:pBdr>
        <w:contextualSpacing/>
        <w:rPr>
          <w:rFonts w:eastAsia="Palatino Linotype" w:cs="Palatino Linotype"/>
          <w:color w:val="000000"/>
          <w:szCs w:val="24"/>
        </w:rPr>
      </w:pPr>
      <w:r w:rsidRPr="000F3FFA">
        <w:rPr>
          <w:rFonts w:eastAsia="Palatino Linotype" w:cs="Palatino Linotype"/>
          <w:color w:val="000000"/>
          <w:szCs w:val="24"/>
        </w:rPr>
        <w:t>ASÍ LO RESUELVE, POR UNANIMIDAD</w:t>
      </w:r>
      <w:r w:rsidR="006922F5" w:rsidRPr="000F3FFA">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15003" w:rsidRPr="000F3FFA">
        <w:rPr>
          <w:rFonts w:eastAsia="Palatino Linotype" w:cs="Palatino Linotype"/>
          <w:color w:val="000000"/>
          <w:szCs w:val="24"/>
        </w:rPr>
        <w:t xml:space="preserve"> </w:t>
      </w:r>
      <w:r w:rsidR="006922F5" w:rsidRPr="000F3FFA">
        <w:rPr>
          <w:rFonts w:eastAsia="Palatino Linotype" w:cs="Palatino Linotype"/>
          <w:color w:val="000000"/>
          <w:szCs w:val="24"/>
        </w:rPr>
        <w:t>Y GUADALUPE RAMÍREZ PEÑA, EN LA</w:t>
      </w:r>
      <w:r w:rsidR="00C7799F" w:rsidRPr="000F3FFA">
        <w:rPr>
          <w:rFonts w:eastAsia="Palatino Linotype" w:cs="Palatino Linotype"/>
          <w:color w:val="000000"/>
          <w:szCs w:val="24"/>
        </w:rPr>
        <w:t xml:space="preserve"> TRIGÉSIMA SEXTA </w:t>
      </w:r>
      <w:r w:rsidR="006922F5" w:rsidRPr="000F3FFA">
        <w:rPr>
          <w:rFonts w:eastAsia="Palatino Linotype" w:cs="Palatino Linotype"/>
          <w:color w:val="000000"/>
          <w:szCs w:val="24"/>
        </w:rPr>
        <w:t>SESIÓN ORDINARIA CELEBRADA EL</w:t>
      </w:r>
      <w:r w:rsidR="00C7799F" w:rsidRPr="000F3FFA">
        <w:rPr>
          <w:rFonts w:eastAsia="Palatino Linotype" w:cs="Palatino Linotype"/>
          <w:color w:val="000000"/>
          <w:szCs w:val="24"/>
        </w:rPr>
        <w:t xml:space="preserve"> </w:t>
      </w:r>
      <w:r w:rsidR="00757953" w:rsidRPr="000F3FFA">
        <w:rPr>
          <w:rFonts w:eastAsia="Palatino Linotype" w:cs="Palatino Linotype"/>
          <w:color w:val="000000"/>
          <w:szCs w:val="24"/>
        </w:rPr>
        <w:t xml:space="preserve">TRES DE OCTUBRE </w:t>
      </w:r>
      <w:r w:rsidR="002475C3" w:rsidRPr="000F3FFA">
        <w:rPr>
          <w:rFonts w:eastAsia="Palatino Linotype" w:cs="Palatino Linotype"/>
          <w:color w:val="000000"/>
          <w:szCs w:val="24"/>
        </w:rPr>
        <w:t>DE DOS MIL VEINTITRÉS</w:t>
      </w:r>
      <w:r w:rsidR="006922F5" w:rsidRPr="000F3FFA">
        <w:rPr>
          <w:rFonts w:eastAsia="Palatino Linotype" w:cs="Palatino Linotype"/>
          <w:color w:val="000000"/>
          <w:szCs w:val="24"/>
        </w:rPr>
        <w:t>, ANTE EL SECRETARIO TÉCNICO DEL PLENO, ALEXIS TAPIA RAMÍREZ</w:t>
      </w:r>
      <w:r w:rsidR="00A970D5" w:rsidRPr="000F3FFA">
        <w:rPr>
          <w:rFonts w:eastAsia="Palatino Linotype" w:cs="Palatino Linotype"/>
          <w:color w:val="000000"/>
          <w:szCs w:val="24"/>
        </w:rPr>
        <w:t>.---------------------------</w:t>
      </w:r>
      <w:r w:rsidR="000C65DD" w:rsidRPr="000F3FFA">
        <w:rPr>
          <w:rFonts w:eastAsia="Palatino Linotype" w:cs="Palatino Linotype"/>
          <w:color w:val="000000"/>
          <w:szCs w:val="24"/>
        </w:rPr>
        <w:t>----------------------------------------------------------------</w:t>
      </w:r>
      <w:r w:rsidR="000C65DD" w:rsidRPr="000F3FFA">
        <w:rPr>
          <w:rFonts w:eastAsia="Times New Roman" w:cs="Times New Roman"/>
          <w:szCs w:val="24"/>
          <w:lang w:eastAsia="es-ES"/>
        </w:rPr>
        <w:t>---------------------------------------------------------------------------------------------------------------------------------------------------------------------------------------------------------------------------------------------------------------------------------------------------------------------------------------------------------------------------------------------------------------------------------------------------------------------------------------------------------------------------------------------------------------------------------------------------------------------------------------------------------------------------------------------------------------------------------------------------------------------------------------------------------------------------------------------------------------------------------------------------------------------------------------------------------------------------------------------------------------------------------------------------------------------------------------------------------------------------------------------------</w:t>
      </w:r>
      <w:r w:rsidR="00C7799F" w:rsidRPr="000F3FFA">
        <w:rPr>
          <w:rFonts w:eastAsia="Times New Roman" w:cs="Times New Roman"/>
          <w:szCs w:val="24"/>
          <w:lang w:eastAsia="es-ES"/>
        </w:rPr>
        <w:t>-------------------</w:t>
      </w:r>
      <w:r w:rsidR="000E70DB" w:rsidRPr="000F3FFA">
        <w:rPr>
          <w:rFonts w:eastAsia="Times New Roman" w:cs="Times New Roman"/>
          <w:szCs w:val="24"/>
          <w:lang w:eastAsia="es-ES"/>
        </w:rPr>
        <w:t>-----------------------------------------------------------------------------------------------------------------------------------------------------------------------------------------------------------</w:t>
      </w:r>
      <w:r w:rsidR="00757953" w:rsidRPr="000F3FFA">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0F3FFA">
        <w:rPr>
          <w:rFonts w:eastAsia="Palatino Linotype" w:cs="Palatino Linotype"/>
          <w:color w:val="000000"/>
          <w:sz w:val="20"/>
          <w:szCs w:val="20"/>
        </w:rPr>
        <w:t>JMV/CCR/fzh</w:t>
      </w:r>
      <w:bookmarkStart w:id="3" w:name="_GoBack"/>
      <w:bookmarkEnd w:id="3"/>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15CC8" w14:textId="77777777" w:rsidR="002F2917" w:rsidRDefault="002F2917" w:rsidP="00F2498E">
      <w:pPr>
        <w:spacing w:line="240" w:lineRule="auto"/>
      </w:pPr>
      <w:r>
        <w:separator/>
      </w:r>
    </w:p>
  </w:endnote>
  <w:endnote w:type="continuationSeparator" w:id="0">
    <w:p w14:paraId="4A75E66C" w14:textId="77777777" w:rsidR="002F2917" w:rsidRDefault="002F2917" w:rsidP="00F2498E">
      <w:pPr>
        <w:spacing w:line="240" w:lineRule="auto"/>
      </w:pPr>
      <w:r>
        <w:continuationSeparator/>
      </w:r>
    </w:p>
  </w:endnote>
  <w:endnote w:type="continuationNotice" w:id="1">
    <w:p w14:paraId="5D409D5E" w14:textId="77777777" w:rsidR="002F2917" w:rsidRDefault="002F29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D048E" w:rsidRPr="00871A91" w:rsidRDefault="00BD048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F3FFA">
      <w:rPr>
        <w:rFonts w:ascii="Palatino Linotype" w:hAnsi="Palatino Linotype"/>
        <w:b/>
        <w:bCs/>
        <w:noProof/>
        <w:sz w:val="20"/>
      </w:rPr>
      <w:t>39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F3FFA">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D048E" w:rsidRPr="00871A91" w:rsidRDefault="00BD048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F3FF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F3FFA">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DF061" w14:textId="77777777" w:rsidR="002F2917" w:rsidRDefault="002F2917" w:rsidP="00F2498E">
      <w:pPr>
        <w:spacing w:line="240" w:lineRule="auto"/>
      </w:pPr>
      <w:r>
        <w:separator/>
      </w:r>
    </w:p>
  </w:footnote>
  <w:footnote w:type="continuationSeparator" w:id="0">
    <w:p w14:paraId="4292040A" w14:textId="77777777" w:rsidR="002F2917" w:rsidRDefault="002F2917" w:rsidP="00F2498E">
      <w:pPr>
        <w:spacing w:line="240" w:lineRule="auto"/>
      </w:pPr>
      <w:r>
        <w:continuationSeparator/>
      </w:r>
    </w:p>
  </w:footnote>
  <w:footnote w:type="continuationNotice" w:id="1">
    <w:p w14:paraId="1E1B1512" w14:textId="77777777" w:rsidR="002F2917" w:rsidRDefault="002F2917">
      <w:pPr>
        <w:spacing w:line="240" w:lineRule="auto"/>
      </w:pPr>
    </w:p>
  </w:footnote>
  <w:footnote w:id="2">
    <w:p w14:paraId="2348F3B8" w14:textId="77777777" w:rsidR="00BD048E" w:rsidRDefault="00BD048E"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BD048E" w:rsidRPr="0031280C" w:rsidRDefault="00BD048E"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BD048E" w:rsidRPr="0031280C" w:rsidRDefault="00BD048E"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BD048E" w:rsidRPr="0031280C" w:rsidRDefault="00BD048E"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D048E" w:rsidRDefault="000F3FFA">
    <w:pPr>
      <w:pStyle w:val="Encabezado"/>
    </w:pPr>
    <w:r>
      <w:rPr>
        <w:noProof/>
        <w:lang w:val="es-MX" w:eastAsia="es-MX"/>
      </w:rPr>
      <w:pict w14:anchorId="698AE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D048E" w:rsidRPr="00B17577" w14:paraId="37B9EBDE" w14:textId="77777777" w:rsidTr="003938ED">
      <w:trPr>
        <w:trHeight w:val="227"/>
      </w:trPr>
      <w:tc>
        <w:tcPr>
          <w:tcW w:w="5103" w:type="dxa"/>
          <w:hideMark/>
        </w:tcPr>
        <w:p w14:paraId="4964FBC5" w14:textId="54CDA645" w:rsidR="00BD048E" w:rsidRPr="00096248" w:rsidRDefault="00BD048E"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08AA223" w:rsidR="00BD048E" w:rsidRPr="00096248" w:rsidRDefault="00BD048E" w:rsidP="00011C4D">
          <w:pPr>
            <w:spacing w:after="120" w:line="240" w:lineRule="auto"/>
            <w:ind w:right="71"/>
            <w:jc w:val="right"/>
            <w:rPr>
              <w:rFonts w:cs="Arial"/>
              <w:b/>
              <w:szCs w:val="24"/>
            </w:rPr>
          </w:pPr>
          <w:r>
            <w:rPr>
              <w:rFonts w:cs="Arial"/>
              <w:b/>
              <w:bCs/>
              <w:szCs w:val="24"/>
            </w:rPr>
            <w:t>02755</w:t>
          </w:r>
          <w:r w:rsidRPr="00096248">
            <w:rPr>
              <w:rFonts w:cs="Arial"/>
              <w:b/>
              <w:bCs/>
              <w:szCs w:val="24"/>
            </w:rPr>
            <w:t>/INFOEM/IP/RR/202</w:t>
          </w:r>
          <w:r>
            <w:rPr>
              <w:rFonts w:cs="Arial"/>
              <w:b/>
              <w:bCs/>
              <w:szCs w:val="24"/>
            </w:rPr>
            <w:t>3</w:t>
          </w:r>
        </w:p>
      </w:tc>
    </w:tr>
    <w:tr w:rsidR="00BD048E" w14:paraId="7591D3C9" w14:textId="77777777" w:rsidTr="003938ED">
      <w:trPr>
        <w:trHeight w:val="242"/>
      </w:trPr>
      <w:tc>
        <w:tcPr>
          <w:tcW w:w="5103" w:type="dxa"/>
          <w:hideMark/>
        </w:tcPr>
        <w:p w14:paraId="729A65A8" w14:textId="77777777" w:rsidR="00BD048E" w:rsidRPr="00096248" w:rsidRDefault="00BD048E"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CB01181" w:rsidR="00BD048E" w:rsidRPr="00096248" w:rsidRDefault="00BD048E" w:rsidP="00011C4D">
          <w:pPr>
            <w:spacing w:after="120" w:line="240" w:lineRule="auto"/>
            <w:ind w:left="-81" w:right="71"/>
            <w:jc w:val="right"/>
            <w:rPr>
              <w:rFonts w:cs="Arial"/>
              <w:szCs w:val="24"/>
            </w:rPr>
          </w:pPr>
          <w:r w:rsidRPr="007C1C68">
            <w:rPr>
              <w:rFonts w:cs="Arial"/>
              <w:szCs w:val="24"/>
            </w:rPr>
            <w:t>Sistema de Transporte Masivo y Teleférico del Estado de México</w:t>
          </w:r>
        </w:p>
      </w:tc>
    </w:tr>
    <w:tr w:rsidR="00BD048E" w:rsidRPr="00F63239" w14:paraId="037E914D" w14:textId="77777777" w:rsidTr="003938ED">
      <w:trPr>
        <w:trHeight w:val="342"/>
      </w:trPr>
      <w:tc>
        <w:tcPr>
          <w:tcW w:w="5103" w:type="dxa"/>
          <w:hideMark/>
        </w:tcPr>
        <w:p w14:paraId="7676B68F" w14:textId="64D69EAF" w:rsidR="00BD048E" w:rsidRPr="00096248" w:rsidRDefault="00BD048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D048E" w:rsidRDefault="00BD048E"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D048E" w:rsidRPr="00711916" w:rsidRDefault="00BD048E" w:rsidP="00011C4D">
          <w:pPr>
            <w:spacing w:after="120" w:line="240" w:lineRule="auto"/>
            <w:ind w:left="-486" w:right="71" w:firstLine="567"/>
            <w:jc w:val="right"/>
            <w:rPr>
              <w:rFonts w:cs="Arial"/>
              <w:sz w:val="2"/>
              <w:szCs w:val="2"/>
            </w:rPr>
          </w:pPr>
        </w:p>
      </w:tc>
    </w:tr>
  </w:tbl>
  <w:p w14:paraId="2998DBFD" w14:textId="25A9F426" w:rsidR="00BD048E" w:rsidRPr="00871A91" w:rsidRDefault="000F3FFA">
    <w:pPr>
      <w:pStyle w:val="Encabezado"/>
      <w:rPr>
        <w:sz w:val="2"/>
      </w:rPr>
    </w:pPr>
    <w:r>
      <w:rPr>
        <w:noProof/>
        <w:lang w:val="es-MX" w:eastAsia="es-MX"/>
      </w:rPr>
      <w:pict w14:anchorId="5B393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6pt;margin-top:-142.1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D048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D048E" w14:paraId="0F9FE9B6" w14:textId="77777777" w:rsidTr="003938ED">
      <w:trPr>
        <w:trHeight w:val="227"/>
      </w:trPr>
      <w:tc>
        <w:tcPr>
          <w:tcW w:w="5103" w:type="dxa"/>
          <w:hideMark/>
        </w:tcPr>
        <w:p w14:paraId="6D1D9D71" w14:textId="11150E5A" w:rsidR="00BD048E" w:rsidRPr="00663A37" w:rsidRDefault="00BD048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9629066" w:rsidR="00BD048E" w:rsidRPr="00C81ECD" w:rsidRDefault="00BD048E" w:rsidP="00011C4D">
          <w:pPr>
            <w:spacing w:after="120" w:line="240" w:lineRule="auto"/>
            <w:ind w:left="-486" w:right="68" w:firstLine="558"/>
            <w:jc w:val="right"/>
            <w:rPr>
              <w:rFonts w:cs="Arial"/>
              <w:b/>
              <w:szCs w:val="24"/>
            </w:rPr>
          </w:pPr>
          <w:r>
            <w:rPr>
              <w:rFonts w:cs="Arial"/>
              <w:b/>
              <w:bCs/>
              <w:szCs w:val="24"/>
            </w:rPr>
            <w:t>02755/INFOEM/IP/RR/2023</w:t>
          </w:r>
        </w:p>
      </w:tc>
    </w:tr>
    <w:tr w:rsidR="00BD048E" w:rsidRPr="001F57CD" w14:paraId="1377D264" w14:textId="77777777" w:rsidTr="003938ED">
      <w:trPr>
        <w:trHeight w:val="196"/>
      </w:trPr>
      <w:tc>
        <w:tcPr>
          <w:tcW w:w="5103" w:type="dxa"/>
          <w:hideMark/>
        </w:tcPr>
        <w:p w14:paraId="04D597A1" w14:textId="77777777" w:rsidR="00BD048E" w:rsidRPr="00663A37" w:rsidRDefault="00BD048E"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17B52D8" w:rsidR="00BD048E" w:rsidRPr="00663A37" w:rsidRDefault="000C181A" w:rsidP="00657695">
          <w:pPr>
            <w:spacing w:after="120" w:line="240" w:lineRule="auto"/>
            <w:ind w:right="68"/>
            <w:jc w:val="right"/>
            <w:rPr>
              <w:rFonts w:cs="Arial"/>
              <w:szCs w:val="24"/>
            </w:rPr>
          </w:pPr>
          <w:r>
            <w:rPr>
              <w:rFonts w:cs="Arial"/>
              <w:szCs w:val="24"/>
            </w:rPr>
            <w:t>XXXXXXXXXXXXXXXXXX</w:t>
          </w:r>
        </w:p>
      </w:tc>
    </w:tr>
    <w:tr w:rsidR="00BD048E" w14:paraId="4DC11993" w14:textId="77777777" w:rsidTr="003938ED">
      <w:trPr>
        <w:trHeight w:val="242"/>
      </w:trPr>
      <w:tc>
        <w:tcPr>
          <w:tcW w:w="5103" w:type="dxa"/>
          <w:hideMark/>
        </w:tcPr>
        <w:p w14:paraId="76CEF1B5" w14:textId="77777777" w:rsidR="00BD048E" w:rsidRPr="00663A37" w:rsidRDefault="00BD048E"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6B022CF" w:rsidR="00BD048E" w:rsidRPr="00663A37" w:rsidRDefault="00BD048E" w:rsidP="00011C4D">
          <w:pPr>
            <w:spacing w:after="120" w:line="240" w:lineRule="auto"/>
            <w:ind w:left="-70" w:right="68"/>
            <w:jc w:val="right"/>
            <w:rPr>
              <w:rFonts w:cs="Arial"/>
              <w:szCs w:val="24"/>
            </w:rPr>
          </w:pPr>
          <w:r w:rsidRPr="007C1C68">
            <w:rPr>
              <w:rFonts w:cs="Arial"/>
              <w:szCs w:val="24"/>
            </w:rPr>
            <w:t>Sistema de Transporte Masivo y Teleférico del Estado de México</w:t>
          </w:r>
        </w:p>
      </w:tc>
    </w:tr>
    <w:tr w:rsidR="00BD048E" w14:paraId="5C2B511D" w14:textId="77777777" w:rsidTr="003938ED">
      <w:trPr>
        <w:trHeight w:val="342"/>
      </w:trPr>
      <w:tc>
        <w:tcPr>
          <w:tcW w:w="5103" w:type="dxa"/>
          <w:hideMark/>
        </w:tcPr>
        <w:p w14:paraId="03FEF68C" w14:textId="45E91CF4" w:rsidR="00BD048E" w:rsidRPr="00663A37" w:rsidRDefault="00BD048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D048E" w:rsidRPr="00663A37" w:rsidRDefault="00BD048E"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D048E" w:rsidRPr="00871A91" w:rsidRDefault="000F3FFA">
    <w:pPr>
      <w:pStyle w:val="Encabezado"/>
      <w:rPr>
        <w:sz w:val="2"/>
      </w:rPr>
    </w:pPr>
    <w:r>
      <w:rPr>
        <w:noProof/>
        <w:lang w:val="es-MX" w:eastAsia="es-MX"/>
      </w:rPr>
      <w:pict w14:anchorId="7008D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2pt;margin-top:-142.4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BD048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0FD"/>
    <w:multiLevelType w:val="hybridMultilevel"/>
    <w:tmpl w:val="409E401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6" w15:restartNumberingAfterBreak="0">
    <w:nsid w:val="28E33EE4"/>
    <w:multiLevelType w:val="hybridMultilevel"/>
    <w:tmpl w:val="7FFA0CB4"/>
    <w:lvl w:ilvl="0" w:tplc="AAACFC0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8" w15:restartNumberingAfterBreak="0">
    <w:nsid w:val="361927C4"/>
    <w:multiLevelType w:val="hybridMultilevel"/>
    <w:tmpl w:val="F1F835FC"/>
    <w:lvl w:ilvl="0" w:tplc="7CD6B9F2">
      <w:start w:val="1"/>
      <w:numFmt w:val="decimal"/>
      <w:lvlText w:val="%1."/>
      <w:lvlJc w:val="left"/>
      <w:pPr>
        <w:ind w:left="851" w:hanging="567"/>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40B34F73"/>
    <w:multiLevelType w:val="hybridMultilevel"/>
    <w:tmpl w:val="F1F835FC"/>
    <w:lvl w:ilvl="0" w:tplc="7CD6B9F2">
      <w:start w:val="1"/>
      <w:numFmt w:val="decimal"/>
      <w:lvlText w:val="%1."/>
      <w:lvlJc w:val="left"/>
      <w:pPr>
        <w:ind w:left="851" w:hanging="567"/>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CC0B3B"/>
    <w:multiLevelType w:val="hybridMultilevel"/>
    <w:tmpl w:val="6D827AF2"/>
    <w:lvl w:ilvl="0" w:tplc="0A0823EC">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9FB3F92"/>
    <w:multiLevelType w:val="multilevel"/>
    <w:tmpl w:val="A886BD2C"/>
    <w:styleLink w:val="Listaactual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2400BA"/>
    <w:multiLevelType w:val="multilevel"/>
    <w:tmpl w:val="5B740750"/>
    <w:styleLink w:val="Listaactual16"/>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961D3"/>
    <w:multiLevelType w:val="hybridMultilevel"/>
    <w:tmpl w:val="5B740750"/>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502BE6"/>
    <w:multiLevelType w:val="hybridMultilevel"/>
    <w:tmpl w:val="2CFAC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20"/>
  </w:num>
  <w:num w:numId="5">
    <w:abstractNumId w:val="2"/>
  </w:num>
  <w:num w:numId="6">
    <w:abstractNumId w:val="17"/>
  </w:num>
  <w:num w:numId="7">
    <w:abstractNumId w:val="3"/>
  </w:num>
  <w:num w:numId="8">
    <w:abstractNumId w:val="1"/>
  </w:num>
  <w:num w:numId="9">
    <w:abstractNumId w:val="5"/>
  </w:num>
  <w:num w:numId="10">
    <w:abstractNumId w:val="7"/>
  </w:num>
  <w:num w:numId="11">
    <w:abstractNumId w:val="22"/>
  </w:num>
  <w:num w:numId="12">
    <w:abstractNumId w:val="19"/>
  </w:num>
  <w:num w:numId="13">
    <w:abstractNumId w:val="12"/>
  </w:num>
  <w:num w:numId="14">
    <w:abstractNumId w:val="14"/>
  </w:num>
  <w:num w:numId="15">
    <w:abstractNumId w:val="9"/>
  </w:num>
  <w:num w:numId="16">
    <w:abstractNumId w:val="16"/>
  </w:num>
  <w:num w:numId="17">
    <w:abstractNumId w:val="21"/>
  </w:num>
  <w:num w:numId="18">
    <w:abstractNumId w:val="18"/>
  </w:num>
  <w:num w:numId="19">
    <w:abstractNumId w:val="10"/>
  </w:num>
  <w:num w:numId="20">
    <w:abstractNumId w:val="0"/>
  </w:num>
  <w:num w:numId="21">
    <w:abstractNumId w:val="8"/>
  </w:num>
  <w:num w:numId="22">
    <w:abstractNumId w:val="23"/>
  </w:num>
  <w:num w:numId="23">
    <w:abstractNumId w:val="6"/>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17DEA"/>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1FD0"/>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890"/>
    <w:rsid w:val="000A5EA1"/>
    <w:rsid w:val="000A7D80"/>
    <w:rsid w:val="000B1F27"/>
    <w:rsid w:val="000B2390"/>
    <w:rsid w:val="000B28CF"/>
    <w:rsid w:val="000B4159"/>
    <w:rsid w:val="000B491D"/>
    <w:rsid w:val="000B51CE"/>
    <w:rsid w:val="000B5608"/>
    <w:rsid w:val="000B65C3"/>
    <w:rsid w:val="000C01A1"/>
    <w:rsid w:val="000C0203"/>
    <w:rsid w:val="000C066A"/>
    <w:rsid w:val="000C0E5D"/>
    <w:rsid w:val="000C181A"/>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0DB"/>
    <w:rsid w:val="000E74D7"/>
    <w:rsid w:val="000E7BF6"/>
    <w:rsid w:val="000F015F"/>
    <w:rsid w:val="000F0B57"/>
    <w:rsid w:val="000F114E"/>
    <w:rsid w:val="000F146C"/>
    <w:rsid w:val="000F196A"/>
    <w:rsid w:val="000F367A"/>
    <w:rsid w:val="000F3FF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10B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412"/>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706"/>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93D"/>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AC6"/>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4358"/>
    <w:rsid w:val="002A51B8"/>
    <w:rsid w:val="002A564E"/>
    <w:rsid w:val="002A5ADD"/>
    <w:rsid w:val="002A5FDF"/>
    <w:rsid w:val="002A6FCE"/>
    <w:rsid w:val="002A7501"/>
    <w:rsid w:val="002B0EA1"/>
    <w:rsid w:val="002B317E"/>
    <w:rsid w:val="002B3CE2"/>
    <w:rsid w:val="002B40FF"/>
    <w:rsid w:val="002B44C4"/>
    <w:rsid w:val="002B4651"/>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431"/>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2917"/>
    <w:rsid w:val="002F368E"/>
    <w:rsid w:val="002F3AAF"/>
    <w:rsid w:val="002F40FF"/>
    <w:rsid w:val="002F5101"/>
    <w:rsid w:val="002F713F"/>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0F93"/>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18B"/>
    <w:rsid w:val="00390611"/>
    <w:rsid w:val="00391E68"/>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5EB8"/>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126"/>
    <w:rsid w:val="003F2491"/>
    <w:rsid w:val="003F308A"/>
    <w:rsid w:val="003F4582"/>
    <w:rsid w:val="003F5D5C"/>
    <w:rsid w:val="003F6192"/>
    <w:rsid w:val="0040018F"/>
    <w:rsid w:val="00400915"/>
    <w:rsid w:val="0040187C"/>
    <w:rsid w:val="00402CBA"/>
    <w:rsid w:val="00403319"/>
    <w:rsid w:val="00404754"/>
    <w:rsid w:val="00405A0E"/>
    <w:rsid w:val="00406793"/>
    <w:rsid w:val="0040791E"/>
    <w:rsid w:val="00410F20"/>
    <w:rsid w:val="00411C52"/>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4FE"/>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5F8"/>
    <w:rsid w:val="004A29FE"/>
    <w:rsid w:val="004A3000"/>
    <w:rsid w:val="004A4437"/>
    <w:rsid w:val="004A6D54"/>
    <w:rsid w:val="004A6E6E"/>
    <w:rsid w:val="004A73A1"/>
    <w:rsid w:val="004A7836"/>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66E"/>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003"/>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57515"/>
    <w:rsid w:val="005600CD"/>
    <w:rsid w:val="00560E60"/>
    <w:rsid w:val="00561255"/>
    <w:rsid w:val="00561AFC"/>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354"/>
    <w:rsid w:val="005A0521"/>
    <w:rsid w:val="005A1C6D"/>
    <w:rsid w:val="005A1EA5"/>
    <w:rsid w:val="005A2CE7"/>
    <w:rsid w:val="005A2F92"/>
    <w:rsid w:val="005A31E7"/>
    <w:rsid w:val="005A43E7"/>
    <w:rsid w:val="005A4480"/>
    <w:rsid w:val="005A4C1A"/>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0A44"/>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2FE"/>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9BD"/>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009"/>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53"/>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68F"/>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1C68"/>
    <w:rsid w:val="007C3040"/>
    <w:rsid w:val="007C354C"/>
    <w:rsid w:val="007C35DF"/>
    <w:rsid w:val="007C3BA4"/>
    <w:rsid w:val="007C3BBF"/>
    <w:rsid w:val="007C4315"/>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260"/>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57E"/>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381F"/>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174E"/>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B89"/>
    <w:rsid w:val="00970C38"/>
    <w:rsid w:val="00971614"/>
    <w:rsid w:val="00972340"/>
    <w:rsid w:val="009752FA"/>
    <w:rsid w:val="00977693"/>
    <w:rsid w:val="00977BB1"/>
    <w:rsid w:val="009818E4"/>
    <w:rsid w:val="00982494"/>
    <w:rsid w:val="009827E6"/>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0D9"/>
    <w:rsid w:val="009C0279"/>
    <w:rsid w:val="009C0FCE"/>
    <w:rsid w:val="009C1887"/>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6F9F"/>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2E47"/>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8FD"/>
    <w:rsid w:val="00AB5F3B"/>
    <w:rsid w:val="00AC004D"/>
    <w:rsid w:val="00AC09F1"/>
    <w:rsid w:val="00AC2BD0"/>
    <w:rsid w:val="00AC38A9"/>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555"/>
    <w:rsid w:val="00AE6B11"/>
    <w:rsid w:val="00AE7EBC"/>
    <w:rsid w:val="00AF434D"/>
    <w:rsid w:val="00AF4EE4"/>
    <w:rsid w:val="00AF5B98"/>
    <w:rsid w:val="00B0036F"/>
    <w:rsid w:val="00B00C8E"/>
    <w:rsid w:val="00B02AA5"/>
    <w:rsid w:val="00B0307F"/>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4C4B"/>
    <w:rsid w:val="00B6581C"/>
    <w:rsid w:val="00B65D4D"/>
    <w:rsid w:val="00B6621C"/>
    <w:rsid w:val="00B66649"/>
    <w:rsid w:val="00B67741"/>
    <w:rsid w:val="00B67DF0"/>
    <w:rsid w:val="00B71399"/>
    <w:rsid w:val="00B71B69"/>
    <w:rsid w:val="00B720DB"/>
    <w:rsid w:val="00B7356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E40"/>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048"/>
    <w:rsid w:val="00BC66EE"/>
    <w:rsid w:val="00BC69F2"/>
    <w:rsid w:val="00BC7535"/>
    <w:rsid w:val="00BC7F3C"/>
    <w:rsid w:val="00BC7FFB"/>
    <w:rsid w:val="00BD034D"/>
    <w:rsid w:val="00BD048E"/>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99F"/>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521"/>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2733"/>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1D27"/>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4DA9"/>
    <w:rsid w:val="00DC63B3"/>
    <w:rsid w:val="00DC6B6C"/>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0C07"/>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87C"/>
    <w:rsid w:val="00E120FC"/>
    <w:rsid w:val="00E12D07"/>
    <w:rsid w:val="00E14BA9"/>
    <w:rsid w:val="00E14EA7"/>
    <w:rsid w:val="00E1701F"/>
    <w:rsid w:val="00E2168A"/>
    <w:rsid w:val="00E22FD4"/>
    <w:rsid w:val="00E23A0E"/>
    <w:rsid w:val="00E23EE3"/>
    <w:rsid w:val="00E245A1"/>
    <w:rsid w:val="00E24831"/>
    <w:rsid w:val="00E24EC1"/>
    <w:rsid w:val="00E25228"/>
    <w:rsid w:val="00E27953"/>
    <w:rsid w:val="00E31001"/>
    <w:rsid w:val="00E314BF"/>
    <w:rsid w:val="00E31D22"/>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3DF0"/>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8CE"/>
    <w:rsid w:val="00EE5F95"/>
    <w:rsid w:val="00EE6B6F"/>
    <w:rsid w:val="00EE741B"/>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62C"/>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2750"/>
    <w:rsid w:val="00F74A3D"/>
    <w:rsid w:val="00F74A8F"/>
    <w:rsid w:val="00F74FB9"/>
    <w:rsid w:val="00F75688"/>
    <w:rsid w:val="00F7749B"/>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B7308"/>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Listaactual15">
    <w:name w:val="Lista actual15"/>
    <w:uiPriority w:val="99"/>
    <w:rsid w:val="00DC4DA9"/>
    <w:pPr>
      <w:numPr>
        <w:numId w:val="16"/>
      </w:numPr>
    </w:pPr>
  </w:style>
  <w:style w:type="numbering" w:customStyle="1" w:styleId="Listaactual16">
    <w:name w:val="Lista actual16"/>
    <w:uiPriority w:val="99"/>
    <w:rsid w:val="00B71B6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4FCD-9FA3-4E0B-A8FB-9193F037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40</Pages>
  <Words>9940</Words>
  <Characters>54671</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15</cp:revision>
  <cp:lastPrinted>2023-09-26T20:04:00Z</cp:lastPrinted>
  <dcterms:created xsi:type="dcterms:W3CDTF">2023-09-07T00:49:00Z</dcterms:created>
  <dcterms:modified xsi:type="dcterms:W3CDTF">2023-11-08T20:45:00Z</dcterms:modified>
</cp:coreProperties>
</file>