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26" w:rsidRPr="00CE697F" w:rsidRDefault="007E0726" w:rsidP="007E0726">
      <w:pPr>
        <w:spacing w:before="240" w:after="0" w:line="360" w:lineRule="auto"/>
        <w:ind w:right="49"/>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veinticinco de octubre de dos mil veintitrés.</w:t>
      </w:r>
    </w:p>
    <w:p w:rsidR="007E0726" w:rsidRPr="00CE697F" w:rsidRDefault="007E0726" w:rsidP="007E0726">
      <w:pPr>
        <w:rPr>
          <w:rFonts w:ascii="Palatino Linotype" w:eastAsia="Palatino Linotype" w:hAnsi="Palatino Linotype" w:cs="Palatino Linotype"/>
        </w:rPr>
      </w:pPr>
    </w:p>
    <w:p w:rsidR="007E0726" w:rsidRPr="00CE697F" w:rsidRDefault="007E0726" w:rsidP="007E0726">
      <w:pPr>
        <w:spacing w:after="0" w:line="360" w:lineRule="auto"/>
        <w:jc w:val="both"/>
        <w:rPr>
          <w:rFonts w:ascii="Palatino Linotype" w:eastAsia="Palatino Linotype" w:hAnsi="Palatino Linotype" w:cs="Palatino Linotype"/>
          <w:b/>
          <w:sz w:val="24"/>
          <w:szCs w:val="24"/>
        </w:rPr>
      </w:pPr>
      <w:r w:rsidRPr="00CE697F">
        <w:rPr>
          <w:rFonts w:ascii="Palatino Linotype" w:eastAsia="Palatino Linotype" w:hAnsi="Palatino Linotype" w:cs="Palatino Linotype"/>
          <w:b/>
          <w:sz w:val="24"/>
          <w:szCs w:val="24"/>
        </w:rPr>
        <w:t xml:space="preserve">Visto </w:t>
      </w:r>
      <w:r w:rsidRPr="00CE697F">
        <w:rPr>
          <w:rFonts w:ascii="Palatino Linotype" w:eastAsia="Palatino Linotype" w:hAnsi="Palatino Linotype" w:cs="Palatino Linotype"/>
          <w:sz w:val="24"/>
          <w:szCs w:val="24"/>
        </w:rPr>
        <w:t xml:space="preserve">el expediente relativo al recurso de revisión </w:t>
      </w:r>
      <w:r w:rsidRPr="00CE697F">
        <w:rPr>
          <w:rFonts w:ascii="Palatino Linotype" w:eastAsia="Palatino Linotype" w:hAnsi="Palatino Linotype" w:cs="Palatino Linotype"/>
          <w:b/>
          <w:sz w:val="24"/>
          <w:szCs w:val="24"/>
        </w:rPr>
        <w:t>02339/INFOEM/IP/RR/2023</w:t>
      </w:r>
      <w:r w:rsidRPr="00CE697F">
        <w:rPr>
          <w:rFonts w:ascii="Palatino Linotype" w:eastAsia="Palatino Linotype" w:hAnsi="Palatino Linotype" w:cs="Palatino Linotype"/>
          <w:sz w:val="24"/>
          <w:szCs w:val="24"/>
        </w:rPr>
        <w:t xml:space="preserve">, interpuesto por </w:t>
      </w:r>
      <w:r w:rsidR="00A9085A">
        <w:rPr>
          <w:rFonts w:ascii="Palatino Linotype" w:eastAsia="Palatino Linotype" w:hAnsi="Palatino Linotype" w:cs="Palatino Linotype"/>
          <w:b/>
          <w:sz w:val="24"/>
          <w:szCs w:val="24"/>
        </w:rPr>
        <w:t>XXXX XXXXXXX XX XXXXXXXXXX XX XXXXXXXXXX</w:t>
      </w:r>
      <w:bookmarkStart w:id="0" w:name="_GoBack"/>
      <w:bookmarkEnd w:id="0"/>
      <w:r w:rsidRPr="00CE697F">
        <w:rPr>
          <w:rFonts w:ascii="Palatino Linotype" w:eastAsia="Palatino Linotype" w:hAnsi="Palatino Linotype" w:cs="Palatino Linotype"/>
          <w:sz w:val="24"/>
          <w:szCs w:val="24"/>
        </w:rPr>
        <w:t>,</w:t>
      </w:r>
      <w:r w:rsidRPr="00CE697F">
        <w:rPr>
          <w:rFonts w:ascii="Palatino Linotype" w:eastAsia="Palatino Linotype" w:hAnsi="Palatino Linotype" w:cs="Palatino Linotype"/>
          <w:b/>
          <w:sz w:val="24"/>
          <w:szCs w:val="24"/>
        </w:rPr>
        <w:t xml:space="preserve"> </w:t>
      </w:r>
      <w:r w:rsidRPr="00CE697F">
        <w:rPr>
          <w:rFonts w:ascii="Palatino Linotype" w:eastAsia="Palatino Linotype" w:hAnsi="Palatino Linotype" w:cs="Palatino Linotype"/>
          <w:sz w:val="24"/>
          <w:szCs w:val="24"/>
        </w:rPr>
        <w:t xml:space="preserve">a quien en lo sucesivo se le denominara </w:t>
      </w:r>
      <w:r w:rsidRPr="00CE697F">
        <w:rPr>
          <w:rFonts w:ascii="Palatino Linotype" w:eastAsia="Palatino Linotype" w:hAnsi="Palatino Linotype" w:cs="Palatino Linotype"/>
          <w:b/>
          <w:sz w:val="24"/>
          <w:szCs w:val="24"/>
        </w:rPr>
        <w:t>LA PARTE RECURRENTE</w:t>
      </w:r>
      <w:r w:rsidRPr="00CE697F">
        <w:rPr>
          <w:rFonts w:ascii="Palatino Linotype" w:eastAsia="Palatino Linotype" w:hAnsi="Palatino Linotype" w:cs="Palatino Linotype"/>
          <w:sz w:val="24"/>
          <w:szCs w:val="24"/>
        </w:rPr>
        <w:t xml:space="preserve">, en contra de la respuesta a la solicitud de información con número de folio </w:t>
      </w:r>
      <w:r w:rsidR="00ED011A" w:rsidRPr="00CE697F">
        <w:rPr>
          <w:rFonts w:ascii="Palatino Linotype" w:eastAsia="Palatino Linotype" w:hAnsi="Palatino Linotype" w:cs="Palatino Linotype"/>
          <w:b/>
          <w:sz w:val="24"/>
          <w:szCs w:val="24"/>
        </w:rPr>
        <w:t>00008/PANALIEM/IP/2023</w:t>
      </w:r>
      <w:r w:rsidRPr="00CE697F">
        <w:rPr>
          <w:rFonts w:ascii="Palatino Linotype" w:eastAsia="Palatino Linotype" w:hAnsi="Palatino Linotype" w:cs="Palatino Linotype"/>
          <w:sz w:val="24"/>
          <w:szCs w:val="24"/>
        </w:rPr>
        <w:t xml:space="preserve">, por parte del </w:t>
      </w:r>
      <w:r w:rsidR="00ED011A" w:rsidRPr="00CE697F">
        <w:rPr>
          <w:rFonts w:ascii="Palatino Linotype" w:eastAsia="Palatino Linotype" w:hAnsi="Palatino Linotype" w:cs="Palatino Linotype"/>
          <w:b/>
          <w:sz w:val="24"/>
          <w:szCs w:val="24"/>
        </w:rPr>
        <w:t>Partido Nueva Alianza Estado de México</w:t>
      </w:r>
      <w:r w:rsidRPr="00CE697F">
        <w:rPr>
          <w:rFonts w:ascii="Palatino Linotype" w:eastAsia="Palatino Linotype" w:hAnsi="Palatino Linotype" w:cs="Palatino Linotype"/>
          <w:sz w:val="24"/>
          <w:szCs w:val="24"/>
        </w:rPr>
        <w:t xml:space="preserve">, en lo sucesivo </w:t>
      </w:r>
      <w:r w:rsidRPr="00CE697F">
        <w:rPr>
          <w:rFonts w:ascii="Palatino Linotype" w:eastAsia="Palatino Linotype" w:hAnsi="Palatino Linotype" w:cs="Palatino Linotype"/>
          <w:b/>
          <w:sz w:val="24"/>
          <w:szCs w:val="24"/>
        </w:rPr>
        <w:t>EL</w:t>
      </w:r>
      <w:r w:rsidRPr="00CE697F">
        <w:rPr>
          <w:rFonts w:ascii="Palatino Linotype" w:eastAsia="Palatino Linotype" w:hAnsi="Palatino Linotype" w:cs="Palatino Linotype"/>
          <w:sz w:val="24"/>
          <w:szCs w:val="24"/>
        </w:rPr>
        <w:t xml:space="preserve"> </w:t>
      </w:r>
      <w:r w:rsidRPr="00CE697F">
        <w:rPr>
          <w:rFonts w:ascii="Palatino Linotype" w:eastAsia="Palatino Linotype" w:hAnsi="Palatino Linotype" w:cs="Palatino Linotype"/>
          <w:b/>
          <w:sz w:val="24"/>
          <w:szCs w:val="24"/>
        </w:rPr>
        <w:t xml:space="preserve">SUJETO OBLIGADO; </w:t>
      </w:r>
      <w:r w:rsidRPr="00CE697F">
        <w:rPr>
          <w:rFonts w:ascii="Palatino Linotype" w:eastAsia="Palatino Linotype" w:hAnsi="Palatino Linotype" w:cs="Palatino Linotype"/>
          <w:sz w:val="24"/>
          <w:szCs w:val="24"/>
        </w:rPr>
        <w:t>se procede a dictar la presente resolución, con base en lo siguiente.</w:t>
      </w:r>
    </w:p>
    <w:p w:rsidR="00C77E6D" w:rsidRPr="00CE697F" w:rsidRDefault="00A9085A"/>
    <w:p w:rsidR="00ED011A" w:rsidRPr="00CE697F" w:rsidRDefault="00ED011A" w:rsidP="00ED011A">
      <w:pPr>
        <w:spacing w:after="0" w:line="360" w:lineRule="auto"/>
        <w:jc w:val="center"/>
        <w:rPr>
          <w:rFonts w:ascii="Palatino Linotype" w:eastAsia="Palatino Linotype" w:hAnsi="Palatino Linotype" w:cs="Palatino Linotype"/>
          <w:b/>
          <w:sz w:val="24"/>
        </w:rPr>
      </w:pPr>
      <w:r w:rsidRPr="00CE697F">
        <w:rPr>
          <w:rFonts w:ascii="Palatino Linotype" w:eastAsia="Palatino Linotype" w:hAnsi="Palatino Linotype" w:cs="Palatino Linotype"/>
          <w:b/>
          <w:sz w:val="24"/>
        </w:rPr>
        <w:t xml:space="preserve">A N T E C E D E N T E S </w:t>
      </w:r>
    </w:p>
    <w:p w:rsidR="00ED011A" w:rsidRPr="00CE697F" w:rsidRDefault="00ED011A" w:rsidP="00ED011A">
      <w:pPr>
        <w:spacing w:after="0" w:line="360" w:lineRule="auto"/>
        <w:jc w:val="both"/>
        <w:rPr>
          <w:rFonts w:ascii="Palatino Linotype" w:eastAsia="Palatino Linotype" w:hAnsi="Palatino Linotype" w:cs="Palatino Linotype"/>
          <w:sz w:val="24"/>
          <w:szCs w:val="24"/>
        </w:rPr>
      </w:pPr>
    </w:p>
    <w:p w:rsidR="00ED011A" w:rsidRPr="00CE697F" w:rsidRDefault="00ED011A" w:rsidP="00ED011A">
      <w:pPr>
        <w:spacing w:after="0" w:line="360" w:lineRule="auto"/>
        <w:ind w:right="49"/>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1.</w:t>
      </w:r>
      <w:r w:rsidRPr="00CE697F">
        <w:rPr>
          <w:rFonts w:ascii="Palatino Linotype" w:eastAsia="Palatino Linotype" w:hAnsi="Palatino Linotype" w:cs="Palatino Linotype"/>
          <w:sz w:val="24"/>
          <w:szCs w:val="24"/>
        </w:rPr>
        <w:t xml:space="preserve"> </w:t>
      </w:r>
      <w:r w:rsidRPr="00CE697F">
        <w:rPr>
          <w:rFonts w:ascii="Palatino Linotype" w:eastAsia="Palatino Linotype" w:hAnsi="Palatino Linotype" w:cs="Palatino Linotype"/>
          <w:b/>
          <w:sz w:val="24"/>
          <w:szCs w:val="24"/>
        </w:rPr>
        <w:t xml:space="preserve">SOLICITUD DE INFORMACIÓN. </w:t>
      </w:r>
      <w:r w:rsidRPr="00CE697F">
        <w:rPr>
          <w:rFonts w:ascii="Palatino Linotype" w:eastAsia="Palatino Linotype" w:hAnsi="Palatino Linotype" w:cs="Palatino Linotype"/>
          <w:sz w:val="24"/>
          <w:szCs w:val="24"/>
        </w:rPr>
        <w:t xml:space="preserve">Con fecha veintinueve de marzo de dos mil veintitrés, </w:t>
      </w:r>
      <w:r w:rsidRPr="00CE697F">
        <w:rPr>
          <w:rFonts w:ascii="Palatino Linotype" w:eastAsia="Palatino Linotype" w:hAnsi="Palatino Linotype" w:cs="Palatino Linotype"/>
          <w:b/>
          <w:sz w:val="24"/>
          <w:szCs w:val="24"/>
        </w:rPr>
        <w:t>LA PARTE RECURRENTE</w:t>
      </w:r>
      <w:r w:rsidRPr="00CE697F">
        <w:rPr>
          <w:rFonts w:ascii="Palatino Linotype" w:eastAsia="Palatino Linotype" w:hAnsi="Palatino Linotype" w:cs="Palatino Linotype"/>
          <w:sz w:val="24"/>
          <w:szCs w:val="24"/>
        </w:rPr>
        <w:t>, presentó a través del Sistema de Acceso a la Información Mexiquense (</w:t>
      </w:r>
      <w:r w:rsidRPr="00CE697F">
        <w:rPr>
          <w:rFonts w:ascii="Palatino Linotype" w:eastAsia="Palatino Linotype" w:hAnsi="Palatino Linotype" w:cs="Palatino Linotype"/>
          <w:b/>
          <w:sz w:val="24"/>
          <w:szCs w:val="24"/>
        </w:rPr>
        <w:t>SAIMEX)</w:t>
      </w:r>
      <w:r w:rsidRPr="00CE697F">
        <w:rPr>
          <w:rFonts w:ascii="Palatino Linotype" w:eastAsia="Palatino Linotype" w:hAnsi="Palatino Linotype" w:cs="Palatino Linotype"/>
          <w:sz w:val="24"/>
          <w:szCs w:val="24"/>
        </w:rPr>
        <w:t xml:space="preserve"> ante </w:t>
      </w:r>
      <w:r w:rsidRPr="00CE697F">
        <w:rPr>
          <w:rFonts w:ascii="Palatino Linotype" w:eastAsia="Palatino Linotype" w:hAnsi="Palatino Linotype" w:cs="Palatino Linotype"/>
          <w:b/>
          <w:sz w:val="24"/>
          <w:szCs w:val="24"/>
        </w:rPr>
        <w:t>EL SUJETO OBLIGADO</w:t>
      </w:r>
      <w:r w:rsidRPr="00CE697F">
        <w:rPr>
          <w:rFonts w:ascii="Palatino Linotype" w:eastAsia="Palatino Linotype" w:hAnsi="Palatino Linotype" w:cs="Palatino Linotype"/>
          <w:sz w:val="24"/>
          <w:szCs w:val="24"/>
        </w:rPr>
        <w:t>, solicitud de acceso a la información pública, registrada bajo el número de expediente</w:t>
      </w:r>
      <w:r w:rsidRPr="00CE697F">
        <w:rPr>
          <w:rFonts w:ascii="Palatino Linotype" w:eastAsia="Palatino Linotype" w:hAnsi="Palatino Linotype" w:cs="Palatino Linotype"/>
          <w:b/>
        </w:rPr>
        <w:t> </w:t>
      </w:r>
      <w:r w:rsidRPr="00CE697F">
        <w:rPr>
          <w:rFonts w:ascii="Palatino Linotype" w:eastAsia="Palatino Linotype" w:hAnsi="Palatino Linotype" w:cs="Palatino Linotype"/>
          <w:b/>
          <w:sz w:val="24"/>
          <w:szCs w:val="24"/>
        </w:rPr>
        <w:t>00008/PANALIEM/IP/2023</w:t>
      </w:r>
      <w:r w:rsidRPr="00CE697F">
        <w:rPr>
          <w:rFonts w:ascii="Palatino Linotype" w:eastAsia="Palatino Linotype" w:hAnsi="Palatino Linotype" w:cs="Palatino Linotype"/>
          <w:sz w:val="24"/>
          <w:szCs w:val="24"/>
        </w:rPr>
        <w:t>,</w:t>
      </w:r>
      <w:r w:rsidRPr="00CE697F">
        <w:rPr>
          <w:rFonts w:ascii="Palatino Linotype" w:eastAsia="Palatino Linotype" w:hAnsi="Palatino Linotype" w:cs="Palatino Linotype"/>
          <w:b/>
          <w:sz w:val="24"/>
          <w:szCs w:val="24"/>
        </w:rPr>
        <w:t xml:space="preserve"> </w:t>
      </w:r>
      <w:r w:rsidRPr="00CE697F">
        <w:rPr>
          <w:rFonts w:ascii="Palatino Linotype" w:eastAsia="Palatino Linotype" w:hAnsi="Palatino Linotype" w:cs="Palatino Linotype"/>
          <w:sz w:val="24"/>
          <w:szCs w:val="24"/>
        </w:rPr>
        <w:t>mediante la cual solicitó la siguiente información:</w:t>
      </w:r>
    </w:p>
    <w:p w:rsidR="00ED011A" w:rsidRPr="00CE697F" w:rsidRDefault="00ED011A" w:rsidP="00ED011A">
      <w:pPr>
        <w:spacing w:after="0" w:line="360" w:lineRule="auto"/>
        <w:ind w:right="49"/>
        <w:jc w:val="both"/>
        <w:rPr>
          <w:rFonts w:ascii="Palatino Linotype" w:eastAsia="Palatino Linotype" w:hAnsi="Palatino Linotype" w:cs="Palatino Linotype"/>
          <w:sz w:val="24"/>
          <w:szCs w:val="24"/>
        </w:rPr>
      </w:pPr>
    </w:p>
    <w:p w:rsidR="00ED011A" w:rsidRPr="00CE697F" w:rsidRDefault="00ED011A" w:rsidP="00ED011A">
      <w:pPr>
        <w:spacing w:after="0" w:line="276" w:lineRule="auto"/>
        <w:ind w:left="709" w:right="758"/>
        <w:jc w:val="both"/>
        <w:rPr>
          <w:rFonts w:ascii="Palatino Linotype" w:eastAsia="Palatino Linotype" w:hAnsi="Palatino Linotype" w:cs="Palatino Linotype"/>
          <w:i/>
        </w:rPr>
      </w:pPr>
      <w:r w:rsidRPr="00CE697F">
        <w:rPr>
          <w:rFonts w:ascii="Palatino Linotype" w:eastAsia="Palatino Linotype" w:hAnsi="Palatino Linotype" w:cs="Palatino Linotype"/>
          <w:i/>
        </w:rPr>
        <w:lastRenderedPageBreak/>
        <w:t>“A EFECTO DE AGOTAR EL PRINCIPIO DE DFINITIVIDAD, SOLICITO: TODA VEZ QUE EL DIRIGENTE ERIC SEVILLA MONTES DE OCA, DEL PARTIDO REVOLUCIONARIO INSTITUCIONAL, PARTIDO POLITICO INTEGRANTE DE LA COALICION VA POR EL ESTADO DE MÉXICO, QUE CONFORMA EL PRI-PAN-PANAL-PRD; INCITO A LA CACERIA Y/O CAPTURA Y/O DETENCION Y/O ACOSO Y/O SIMILARES O ANALOGAS HACIA MOVILIZADORES Y/O BRIGADISTAS Y/O SIMPATIZANTES Y/O MILITANTES DE MORENA, REQUIERO TODA LA EXPRESION DOCUMENTAL, GENERADA, EN POSESION O ADMINISTRADA SOBRE ESTA CIRCUNSTANCIA” (Sic).</w:t>
      </w:r>
    </w:p>
    <w:p w:rsidR="00ED011A" w:rsidRPr="00CE697F" w:rsidRDefault="00ED011A" w:rsidP="00ED011A">
      <w:pPr>
        <w:spacing w:after="0" w:line="276" w:lineRule="auto"/>
        <w:ind w:left="709" w:right="758"/>
        <w:jc w:val="both"/>
        <w:rPr>
          <w:rFonts w:ascii="Palatino Linotype" w:eastAsia="Palatino Linotype" w:hAnsi="Palatino Linotype" w:cs="Palatino Linotype"/>
          <w:i/>
        </w:rPr>
      </w:pPr>
    </w:p>
    <w:p w:rsidR="00ED011A" w:rsidRPr="00CE697F" w:rsidRDefault="00ED011A" w:rsidP="00ED011A">
      <w:pPr>
        <w:spacing w:after="0" w:line="360" w:lineRule="auto"/>
        <w:ind w:right="49"/>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Modalidad de entrega: A través del </w:t>
      </w:r>
      <w:r w:rsidRPr="00CE697F">
        <w:rPr>
          <w:rFonts w:ascii="Palatino Linotype" w:eastAsia="Palatino Linotype" w:hAnsi="Palatino Linotype" w:cs="Palatino Linotype"/>
          <w:b/>
          <w:sz w:val="24"/>
          <w:szCs w:val="24"/>
        </w:rPr>
        <w:t>SAIMEX</w:t>
      </w:r>
      <w:r w:rsidRPr="00CE697F">
        <w:rPr>
          <w:rFonts w:ascii="Palatino Linotype" w:eastAsia="Palatino Linotype" w:hAnsi="Palatino Linotype" w:cs="Palatino Linotype"/>
          <w:sz w:val="24"/>
          <w:szCs w:val="24"/>
        </w:rPr>
        <w:t>.</w:t>
      </w:r>
    </w:p>
    <w:p w:rsidR="00ED011A" w:rsidRPr="00CE697F" w:rsidRDefault="00ED011A"/>
    <w:p w:rsidR="00ED011A" w:rsidRPr="00CE697F" w:rsidRDefault="00ED011A" w:rsidP="00ED011A">
      <w:pPr>
        <w:spacing w:after="0" w:line="360" w:lineRule="auto"/>
        <w:contextualSpacing/>
        <w:jc w:val="both"/>
        <w:rPr>
          <w:rFonts w:ascii="Palatino Linotype" w:eastAsia="Palatino Linotype" w:hAnsi="Palatino Linotype" w:cs="Palatino Linotype"/>
        </w:rPr>
      </w:pPr>
      <w:r w:rsidRPr="00CE697F">
        <w:rPr>
          <w:rFonts w:ascii="Palatino Linotype" w:eastAsia="Palatino Linotype" w:hAnsi="Palatino Linotype" w:cs="Palatino Linotype"/>
          <w:b/>
          <w:sz w:val="24"/>
          <w:szCs w:val="24"/>
        </w:rPr>
        <w:t xml:space="preserve">2. RESPUESTA.  </w:t>
      </w:r>
      <w:r w:rsidRPr="00CE697F">
        <w:rPr>
          <w:rFonts w:ascii="Palatino Linotype" w:eastAsia="Palatino Linotype" w:hAnsi="Palatino Linotype" w:cs="Palatino Linotype"/>
          <w:sz w:val="24"/>
          <w:szCs w:val="24"/>
        </w:rPr>
        <w:t xml:space="preserve">Con fecha diecinueve de abril del dos mil veintitrés, </w:t>
      </w:r>
      <w:r w:rsidRPr="00CE697F">
        <w:rPr>
          <w:rFonts w:ascii="Palatino Linotype" w:eastAsia="Palatino Linotype" w:hAnsi="Palatino Linotype" w:cs="Palatino Linotype"/>
          <w:b/>
          <w:sz w:val="24"/>
          <w:szCs w:val="24"/>
        </w:rPr>
        <w:t>EL SUJETO OBLIGADO</w:t>
      </w:r>
      <w:r w:rsidRPr="00CE697F">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CE697F">
        <w:rPr>
          <w:rFonts w:ascii="Palatino Linotype" w:eastAsia="Palatino Linotype" w:hAnsi="Palatino Linotype" w:cs="Palatino Linotype"/>
        </w:rPr>
        <w:t xml:space="preserve"> </w:t>
      </w:r>
    </w:p>
    <w:p w:rsidR="00ED011A" w:rsidRPr="00CE697F" w:rsidRDefault="00ED011A" w:rsidP="00ED011A">
      <w:pPr>
        <w:spacing w:after="0" w:line="360" w:lineRule="auto"/>
        <w:jc w:val="both"/>
        <w:rPr>
          <w:rFonts w:ascii="Palatino Linotype" w:eastAsia="Palatino Linotype" w:hAnsi="Palatino Linotype" w:cs="Palatino Linotype"/>
        </w:rPr>
      </w:pPr>
    </w:p>
    <w:p w:rsidR="00ED011A" w:rsidRPr="00CE697F" w:rsidRDefault="00ED011A" w:rsidP="00ED011A">
      <w:pPr>
        <w:spacing w:after="0" w:line="276" w:lineRule="auto"/>
        <w:ind w:left="851" w:right="900"/>
        <w:jc w:val="both"/>
        <w:rPr>
          <w:rFonts w:ascii="Palatino Linotype" w:eastAsia="Palatino Linotype" w:hAnsi="Palatino Linotype" w:cs="Palatino Linotype"/>
          <w:i/>
        </w:rPr>
      </w:pPr>
      <w:r w:rsidRPr="00CE697F">
        <w:rPr>
          <w:rFonts w:ascii="Palatino Linotype" w:eastAsia="Palatino Linotype" w:hAnsi="Palatino Linotype" w:cs="Palatino Linotype"/>
          <w:i/>
        </w:rPr>
        <w:t>“Con fundamento en lo dispuesto por el art. 167 de la Ley de Transparencia Acceso a la Información Publica del Estado de México y Municipios, este instituto político declina competencia para atender la solicitud de información 0000/PANALIEM/IP/2023.</w:t>
      </w:r>
    </w:p>
    <w:p w:rsidR="00ED011A" w:rsidRPr="00CE697F" w:rsidRDefault="00ED011A" w:rsidP="00ED011A">
      <w:pPr>
        <w:spacing w:after="0" w:line="276" w:lineRule="auto"/>
        <w:ind w:left="851" w:right="900"/>
        <w:jc w:val="both"/>
        <w:rPr>
          <w:rFonts w:ascii="Palatino Linotype" w:eastAsia="Palatino Linotype" w:hAnsi="Palatino Linotype" w:cs="Palatino Linotype"/>
          <w:i/>
        </w:rPr>
      </w:pPr>
      <w:r w:rsidRPr="00CE697F">
        <w:rPr>
          <w:rFonts w:ascii="Palatino Linotype" w:eastAsia="Palatino Linotype" w:hAnsi="Palatino Linotype" w:cs="Palatino Linotype"/>
          <w:i/>
        </w:rPr>
        <w:t>ATENTAMENTE</w:t>
      </w:r>
    </w:p>
    <w:p w:rsidR="00ED011A" w:rsidRPr="00CE697F" w:rsidRDefault="00ED011A" w:rsidP="00ED011A">
      <w:pPr>
        <w:spacing w:after="0" w:line="276" w:lineRule="auto"/>
        <w:ind w:left="851" w:right="900"/>
        <w:jc w:val="both"/>
        <w:rPr>
          <w:rFonts w:ascii="Palatino Linotype" w:eastAsia="Palatino Linotype" w:hAnsi="Palatino Linotype" w:cs="Palatino Linotype"/>
          <w:i/>
        </w:rPr>
      </w:pPr>
      <w:r w:rsidRPr="00CE697F">
        <w:rPr>
          <w:rFonts w:ascii="Palatino Linotype" w:eastAsia="Palatino Linotype" w:hAnsi="Palatino Linotype" w:cs="Palatino Linotype"/>
          <w:i/>
        </w:rPr>
        <w:t>Lic. Ligia Rosalía Requenes Espinosa”</w:t>
      </w:r>
    </w:p>
    <w:p w:rsidR="00ED011A" w:rsidRPr="00CE697F" w:rsidRDefault="00ED011A" w:rsidP="00ED011A">
      <w:pPr>
        <w:rPr>
          <w:rFonts w:ascii="Palatino Linotype" w:eastAsia="Palatino Linotype" w:hAnsi="Palatino Linotype" w:cs="Palatino Linotype"/>
        </w:rPr>
      </w:pPr>
    </w:p>
    <w:p w:rsidR="00ED011A" w:rsidRPr="00CE697F" w:rsidRDefault="00ED011A" w:rsidP="00ED011A">
      <w:pPr>
        <w:spacing w:after="0"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 xml:space="preserve">EL SUJETO OBLIGADO </w:t>
      </w:r>
      <w:r w:rsidRPr="00CE697F">
        <w:rPr>
          <w:rFonts w:ascii="Palatino Linotype" w:eastAsia="Palatino Linotype" w:hAnsi="Palatino Linotype" w:cs="Palatino Linotype"/>
          <w:sz w:val="24"/>
          <w:szCs w:val="24"/>
        </w:rPr>
        <w:t xml:space="preserve">adjuntó el archivo electrónico: </w:t>
      </w:r>
    </w:p>
    <w:p w:rsidR="00ED011A" w:rsidRPr="00CE697F" w:rsidRDefault="00ED011A" w:rsidP="00ED011A">
      <w:pPr>
        <w:spacing w:after="0" w:line="360" w:lineRule="auto"/>
        <w:contextualSpacing/>
        <w:jc w:val="both"/>
        <w:rPr>
          <w:rFonts w:ascii="Palatino Linotype" w:eastAsia="Palatino Linotype" w:hAnsi="Palatino Linotype" w:cs="Palatino Linotype"/>
          <w:sz w:val="24"/>
          <w:szCs w:val="24"/>
        </w:rPr>
      </w:pPr>
    </w:p>
    <w:p w:rsidR="00ED011A" w:rsidRPr="00CE697F" w:rsidRDefault="00ED011A" w:rsidP="00ED011A">
      <w:pPr>
        <w:spacing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lastRenderedPageBreak/>
        <w:t>“</w:t>
      </w:r>
      <w:r w:rsidRPr="00CE697F">
        <w:rPr>
          <w:rFonts w:ascii="Palatino Linotype" w:eastAsia="Palatino Linotype" w:hAnsi="Palatino Linotype" w:cs="Palatino Linotype"/>
          <w:b/>
          <w:i/>
          <w:sz w:val="24"/>
          <w:szCs w:val="24"/>
          <w:u w:val="single"/>
        </w:rPr>
        <w:t>LEY DE TRANSPARENCIA Y ACCESO A LA INFORMACIÒN PÙBLICA DEL ESTADO DE MÈXICO Y MUNICIPIOS 2022.pdf</w:t>
      </w:r>
      <w:r w:rsidRPr="00CE697F">
        <w:rPr>
          <w:rFonts w:ascii="Palatino Linotype" w:eastAsia="Palatino Linotype" w:hAnsi="Palatino Linotype" w:cs="Palatino Linotype"/>
          <w:sz w:val="24"/>
          <w:szCs w:val="24"/>
        </w:rPr>
        <w:t xml:space="preserve">”: Ley de Transparencia y Acceso a la Información Pública del Estado de México y Municipios. </w:t>
      </w:r>
    </w:p>
    <w:p w:rsidR="00ED011A" w:rsidRPr="00CE697F" w:rsidRDefault="00ED011A" w:rsidP="00ED011A">
      <w:pPr>
        <w:spacing w:line="360" w:lineRule="auto"/>
        <w:contextualSpacing/>
        <w:jc w:val="both"/>
        <w:rPr>
          <w:rFonts w:ascii="Palatino Linotype" w:eastAsia="Palatino Linotype" w:hAnsi="Palatino Linotype" w:cs="Palatino Linotype"/>
          <w:sz w:val="24"/>
          <w:szCs w:val="24"/>
        </w:rPr>
      </w:pPr>
    </w:p>
    <w:p w:rsidR="00ED011A" w:rsidRPr="00CE697F" w:rsidRDefault="00ED011A" w:rsidP="00ED011A">
      <w:pPr>
        <w:spacing w:after="0" w:line="360" w:lineRule="auto"/>
        <w:ind w:right="-234"/>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 xml:space="preserve">3. DEL RECURSO DE REVISIÓN. </w:t>
      </w:r>
      <w:r w:rsidRPr="00CE697F">
        <w:rPr>
          <w:rFonts w:ascii="Palatino Linotype" w:eastAsia="Palatino Linotype" w:hAnsi="Palatino Linotype" w:cs="Palatino Linotype"/>
          <w:sz w:val="24"/>
          <w:szCs w:val="24"/>
        </w:rPr>
        <w:t>Inconforme con la respuesta del</w:t>
      </w:r>
      <w:r w:rsidRPr="00CE697F">
        <w:rPr>
          <w:rFonts w:ascii="Palatino Linotype" w:eastAsia="Palatino Linotype" w:hAnsi="Palatino Linotype" w:cs="Palatino Linotype"/>
          <w:b/>
          <w:sz w:val="24"/>
          <w:szCs w:val="24"/>
        </w:rPr>
        <w:t xml:space="preserve"> SUJETO OBLIGADO, </w:t>
      </w:r>
      <w:r w:rsidRPr="00CE697F">
        <w:rPr>
          <w:rFonts w:ascii="Palatino Linotype" w:eastAsia="Palatino Linotype" w:hAnsi="Palatino Linotype" w:cs="Palatino Linotype"/>
          <w:sz w:val="24"/>
          <w:szCs w:val="24"/>
        </w:rPr>
        <w:t>en fecha dos de mayo de dos mil veintitrés,</w:t>
      </w:r>
      <w:r w:rsidRPr="00CE697F">
        <w:rPr>
          <w:rFonts w:ascii="Palatino Linotype" w:eastAsia="Palatino Linotype" w:hAnsi="Palatino Linotype" w:cs="Palatino Linotype"/>
          <w:b/>
          <w:sz w:val="24"/>
          <w:szCs w:val="24"/>
        </w:rPr>
        <w:t xml:space="preserve"> LA PARTE RECURRENTE </w:t>
      </w:r>
      <w:r w:rsidRPr="00CE697F">
        <w:rPr>
          <w:rFonts w:ascii="Palatino Linotype" w:eastAsia="Palatino Linotype" w:hAnsi="Palatino Linotype" w:cs="Palatino Linotype"/>
          <w:sz w:val="24"/>
          <w:szCs w:val="24"/>
        </w:rPr>
        <w:t>interpuso el recurso de revisión, el cual fue registrado</w:t>
      </w:r>
      <w:r w:rsidRPr="00CE697F">
        <w:rPr>
          <w:rFonts w:ascii="Palatino Linotype" w:eastAsia="Palatino Linotype" w:hAnsi="Palatino Linotype" w:cs="Palatino Linotype"/>
          <w:b/>
          <w:sz w:val="24"/>
          <w:szCs w:val="24"/>
        </w:rPr>
        <w:t xml:space="preserve"> </w:t>
      </w:r>
      <w:r w:rsidRPr="00CE697F">
        <w:rPr>
          <w:rFonts w:ascii="Palatino Linotype" w:eastAsia="Palatino Linotype" w:hAnsi="Palatino Linotype" w:cs="Palatino Linotype"/>
          <w:sz w:val="24"/>
          <w:szCs w:val="24"/>
        </w:rPr>
        <w:t xml:space="preserve">en el sistema electrónico con el expediente número </w:t>
      </w:r>
      <w:r w:rsidRPr="00CE697F">
        <w:rPr>
          <w:rFonts w:ascii="Palatino Linotype" w:eastAsia="Palatino Linotype" w:hAnsi="Palatino Linotype" w:cs="Palatino Linotype"/>
          <w:b/>
          <w:sz w:val="24"/>
          <w:szCs w:val="24"/>
        </w:rPr>
        <w:t>06354/INFOEM/IP/RR/2023</w:t>
      </w:r>
      <w:r w:rsidRPr="00CE697F">
        <w:rPr>
          <w:rFonts w:ascii="Palatino Linotype" w:eastAsia="Palatino Linotype" w:hAnsi="Palatino Linotype" w:cs="Palatino Linotype"/>
          <w:sz w:val="24"/>
          <w:szCs w:val="24"/>
        </w:rPr>
        <w:t>, en el cual manifiesta, lo siguiente:</w:t>
      </w:r>
    </w:p>
    <w:p w:rsidR="00ED011A" w:rsidRPr="00CE697F" w:rsidRDefault="00ED011A" w:rsidP="00ED011A">
      <w:pPr>
        <w:spacing w:after="0" w:line="360" w:lineRule="auto"/>
        <w:ind w:right="-234"/>
        <w:jc w:val="both"/>
        <w:rPr>
          <w:rFonts w:ascii="Palatino Linotype" w:eastAsia="Palatino Linotype" w:hAnsi="Palatino Linotype" w:cs="Palatino Linotype"/>
          <w:b/>
          <w:sz w:val="24"/>
          <w:szCs w:val="24"/>
        </w:rPr>
      </w:pPr>
      <w:r w:rsidRPr="00CE697F">
        <w:rPr>
          <w:rFonts w:ascii="Palatino Linotype" w:eastAsia="Palatino Linotype" w:hAnsi="Palatino Linotype" w:cs="Palatino Linotype"/>
          <w:sz w:val="24"/>
          <w:szCs w:val="24"/>
        </w:rPr>
        <w:t xml:space="preserve"> </w:t>
      </w:r>
    </w:p>
    <w:p w:rsidR="00ED011A" w:rsidRPr="00CE697F" w:rsidRDefault="00ED011A" w:rsidP="00ED011A">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CE697F">
        <w:rPr>
          <w:rFonts w:ascii="Palatino Linotype" w:eastAsia="Palatino Linotype" w:hAnsi="Palatino Linotype" w:cs="Palatino Linotype"/>
          <w:b/>
          <w:i/>
          <w:sz w:val="24"/>
          <w:szCs w:val="24"/>
        </w:rPr>
        <w:t>Acto Impugnado:</w:t>
      </w:r>
    </w:p>
    <w:p w:rsidR="00ED011A" w:rsidRPr="00CE697F" w:rsidRDefault="00ED011A" w:rsidP="00ED011A">
      <w:pPr>
        <w:tabs>
          <w:tab w:val="left" w:pos="8222"/>
        </w:tabs>
        <w:spacing w:before="240" w:after="240" w:line="276" w:lineRule="auto"/>
        <w:ind w:left="851" w:right="616"/>
        <w:jc w:val="both"/>
        <w:rPr>
          <w:rFonts w:ascii="Palatino Linotype" w:eastAsia="Palatino Linotype" w:hAnsi="Palatino Linotype" w:cs="Palatino Linotype"/>
          <w:i/>
        </w:rPr>
      </w:pPr>
      <w:r w:rsidRPr="00CE697F">
        <w:rPr>
          <w:rFonts w:ascii="Palatino Linotype" w:eastAsia="Palatino Linotype" w:hAnsi="Palatino Linotype" w:cs="Palatino Linotype"/>
          <w:i/>
        </w:rPr>
        <w:t>“LA RESPUESTA DEL SUJETO OBLIGADO” [sic]</w:t>
      </w:r>
    </w:p>
    <w:p w:rsidR="00ED011A" w:rsidRPr="00CE697F" w:rsidRDefault="00ED011A" w:rsidP="00ED011A">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CE697F">
        <w:rPr>
          <w:rFonts w:ascii="Palatino Linotype" w:eastAsia="Palatino Linotype" w:hAnsi="Palatino Linotype" w:cs="Palatino Linotype"/>
          <w:b/>
          <w:i/>
          <w:sz w:val="24"/>
          <w:szCs w:val="24"/>
        </w:rPr>
        <w:t>Razones o Motivos de Inconformidad</w:t>
      </w:r>
      <w:r w:rsidRPr="00CE697F">
        <w:rPr>
          <w:rFonts w:ascii="Palatino Linotype" w:eastAsia="Palatino Linotype" w:hAnsi="Palatino Linotype" w:cs="Palatino Linotype"/>
          <w:i/>
          <w:sz w:val="24"/>
          <w:szCs w:val="24"/>
        </w:rPr>
        <w:t>:</w:t>
      </w:r>
    </w:p>
    <w:p w:rsidR="00ED011A" w:rsidRPr="00CE697F" w:rsidRDefault="00ED011A" w:rsidP="00ED011A">
      <w:pPr>
        <w:spacing w:before="240" w:after="0" w:line="276" w:lineRule="auto"/>
        <w:ind w:left="851" w:right="616"/>
        <w:jc w:val="both"/>
        <w:rPr>
          <w:rFonts w:ascii="Palatino Linotype" w:eastAsia="Palatino Linotype" w:hAnsi="Palatino Linotype" w:cs="Palatino Linotype"/>
          <w:i/>
        </w:rPr>
      </w:pPr>
      <w:r w:rsidRPr="00CE697F">
        <w:rPr>
          <w:rFonts w:ascii="Palatino Linotype" w:eastAsia="Palatino Linotype" w:hAnsi="Palatino Linotype" w:cs="Palatino Linotype"/>
          <w:i/>
          <w:sz w:val="24"/>
          <w:szCs w:val="24"/>
        </w:rPr>
        <w:t>“</w:t>
      </w:r>
      <w:r w:rsidRPr="00CE697F">
        <w:rPr>
          <w:rFonts w:ascii="Palatino Linotype" w:eastAsia="Palatino Linotype" w:hAnsi="Palatino Linotype" w:cs="Palatino Linotype"/>
          <w:i/>
        </w:rPr>
        <w:t xml:space="preserve">ESTO YA QUE COMO SIEMPRE, TRATA DE EVADIR SU OBLIGACION QUE LE IMPONE EL ARTICULO 1 DE NUESTRA CARTA MAGANA PARA PREVENIR, RESPETAR, PROTEGER Y GARANTIZAR LOS DERECHOS HUMANOS; ES POR TANTO, QUE SI EN AL ESPECIE, SE ESTA INCITANDO A UNA VIOLACION FLAGRANTE DE DERECHOS HUMANOS, COMO ES PRIVAR DE LA LIBERTAD Y/O CAZAR BRIGADITAS, DEVIENE EN LA OBLIGACION, CONFORME AL ARTICULO 1 DE LA CONSTITUCION FEDERAL, QUE GENERAR LA SALVAGUARDA PARA PROMOVER, RESPETAR, PROTEGER Y GARANTIZAR LOS DERECHOS HUMANOS, EN CONSECEUENCIA,E S NECESARIO QUE SE LE IMPONGA UNA BUSQUEDA EXHAUTIVA EN SU ESTRUTURA ISNTITUCIONAL, Y DE NO ECONTRAR REGISTRO, SE ESTABLEZCA DICTAMEN DE INEXISTENCIA DE LA INFORMACION, YA QUE DEBIO GENERAR, POSEEER O ADMINISTRAR AL RESPECTO. </w:t>
      </w:r>
      <w:r w:rsidRPr="00CE697F">
        <w:rPr>
          <w:rFonts w:ascii="Palatino Linotype" w:eastAsia="Palatino Linotype" w:hAnsi="Palatino Linotype" w:cs="Palatino Linotype"/>
          <w:i/>
        </w:rPr>
        <w:lastRenderedPageBreak/>
        <w:t>https://adnoticias.mx/pri-cazar-servidores-de-la-nacion-de-morena/ https://transeuntemx.com/2023/03/23/amenaza-pri-edomex-con-cazar-servidores-de-la-nacion-y-brigadistas-de-morena/” [sic]</w:t>
      </w:r>
    </w:p>
    <w:p w:rsidR="00ED011A" w:rsidRPr="00CE697F" w:rsidRDefault="00ED011A" w:rsidP="00ED011A">
      <w:pPr>
        <w:spacing w:line="360" w:lineRule="auto"/>
        <w:contextualSpacing/>
        <w:jc w:val="both"/>
        <w:rPr>
          <w:rFonts w:ascii="Palatino Linotype" w:eastAsia="Palatino Linotype" w:hAnsi="Palatino Linotype" w:cs="Palatino Linotype"/>
          <w:sz w:val="24"/>
          <w:szCs w:val="24"/>
        </w:rPr>
      </w:pPr>
    </w:p>
    <w:p w:rsidR="00ED011A" w:rsidRPr="00CE697F" w:rsidRDefault="00ED011A" w:rsidP="00ED011A">
      <w:pPr>
        <w:spacing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LA PARTE RECURRENTE</w:t>
      </w:r>
      <w:r w:rsidR="00F77CF0" w:rsidRPr="00CE697F">
        <w:rPr>
          <w:rFonts w:ascii="Palatino Linotype" w:eastAsia="Palatino Linotype" w:hAnsi="Palatino Linotype" w:cs="Palatino Linotype"/>
          <w:sz w:val="24"/>
          <w:szCs w:val="24"/>
        </w:rPr>
        <w:t xml:space="preserve">, adjuntó </w:t>
      </w:r>
      <w:r w:rsidRPr="00CE697F">
        <w:rPr>
          <w:rFonts w:ascii="Palatino Linotype" w:eastAsia="Palatino Linotype" w:hAnsi="Palatino Linotype" w:cs="Palatino Linotype"/>
          <w:sz w:val="24"/>
          <w:szCs w:val="24"/>
        </w:rPr>
        <w:t>el archivo electrónico:</w:t>
      </w:r>
    </w:p>
    <w:p w:rsidR="00ED011A" w:rsidRPr="00CE697F" w:rsidRDefault="00ED011A" w:rsidP="00ED011A">
      <w:pPr>
        <w:spacing w:line="360" w:lineRule="auto"/>
        <w:contextualSpacing/>
        <w:jc w:val="both"/>
        <w:rPr>
          <w:rFonts w:ascii="Palatino Linotype" w:eastAsia="Palatino Linotype" w:hAnsi="Palatino Linotype" w:cs="Palatino Linotype"/>
          <w:sz w:val="24"/>
          <w:szCs w:val="24"/>
        </w:rPr>
      </w:pPr>
    </w:p>
    <w:p w:rsidR="00ED011A" w:rsidRPr="00CE697F" w:rsidRDefault="00ED011A" w:rsidP="00ED011A">
      <w:pPr>
        <w:spacing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w:t>
      </w:r>
      <w:r w:rsidRPr="00CE697F">
        <w:rPr>
          <w:rFonts w:ascii="Palatino Linotype" w:eastAsia="Palatino Linotype" w:hAnsi="Palatino Linotype" w:cs="Palatino Linotype"/>
          <w:b/>
          <w:i/>
          <w:sz w:val="24"/>
          <w:szCs w:val="24"/>
          <w:u w:val="single"/>
        </w:rPr>
        <w:t>Coaliciones TEPJF.pdf</w:t>
      </w:r>
      <w:r w:rsidRPr="00CE697F">
        <w:rPr>
          <w:rFonts w:ascii="Palatino Linotype" w:eastAsia="Palatino Linotype" w:hAnsi="Palatino Linotype" w:cs="Palatino Linotype"/>
          <w:sz w:val="24"/>
          <w:szCs w:val="24"/>
        </w:rPr>
        <w:t xml:space="preserve">”: </w:t>
      </w:r>
      <w:r w:rsidR="00F92489" w:rsidRPr="00CE697F">
        <w:rPr>
          <w:rFonts w:ascii="Palatino Linotype" w:eastAsia="Palatino Linotype" w:hAnsi="Palatino Linotype" w:cs="Palatino Linotype"/>
          <w:sz w:val="24"/>
          <w:szCs w:val="24"/>
        </w:rPr>
        <w:t>Archivo de setenta y dos hojas, sin embargo, se adjunta la primera página a manera de ejemplo:</w:t>
      </w:r>
    </w:p>
    <w:p w:rsidR="00F92489" w:rsidRPr="00CE697F" w:rsidRDefault="00F92489" w:rsidP="00F92489">
      <w:pPr>
        <w:spacing w:line="360" w:lineRule="auto"/>
        <w:contextualSpacing/>
        <w:jc w:val="center"/>
        <w:rPr>
          <w:rFonts w:ascii="Palatino Linotype" w:eastAsia="Palatino Linotype" w:hAnsi="Palatino Linotype" w:cs="Palatino Linotype"/>
          <w:sz w:val="24"/>
          <w:szCs w:val="24"/>
        </w:rPr>
      </w:pPr>
      <w:r w:rsidRPr="00CE697F">
        <w:rPr>
          <w:noProof/>
          <w:lang w:eastAsia="es-MX"/>
        </w:rPr>
        <w:drawing>
          <wp:inline distT="0" distB="0" distL="0" distR="0" wp14:anchorId="58B38207" wp14:editId="6C3F7162">
            <wp:extent cx="3095625" cy="44276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3958" t="22632" r="28038" b="6156"/>
                    <a:stretch/>
                  </pic:blipFill>
                  <pic:spPr bwMode="auto">
                    <a:xfrm>
                      <a:off x="0" y="0"/>
                      <a:ext cx="3103982" cy="4439635"/>
                    </a:xfrm>
                    <a:prstGeom prst="rect">
                      <a:avLst/>
                    </a:prstGeom>
                    <a:ln>
                      <a:noFill/>
                    </a:ln>
                    <a:extLst>
                      <a:ext uri="{53640926-AAD7-44D8-BBD7-CCE9431645EC}">
                        <a14:shadowObscured xmlns:a14="http://schemas.microsoft.com/office/drawing/2010/main"/>
                      </a:ext>
                    </a:extLst>
                  </pic:spPr>
                </pic:pic>
              </a:graphicData>
            </a:graphic>
          </wp:inline>
        </w:drawing>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lastRenderedPageBreak/>
        <w:t xml:space="preserve">4. TURNO. </w:t>
      </w:r>
      <w:r w:rsidRPr="00CE697F">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E697F">
        <w:rPr>
          <w:rFonts w:ascii="Palatino Linotype" w:eastAsia="Palatino Linotype" w:hAnsi="Palatino Linotype" w:cs="Palatino Linotype"/>
          <w:b/>
          <w:sz w:val="24"/>
          <w:szCs w:val="24"/>
        </w:rPr>
        <w:t xml:space="preserve">Guadalupe Ramírez Peña, </w:t>
      </w:r>
      <w:r w:rsidRPr="00CE697F">
        <w:rPr>
          <w:rFonts w:ascii="Palatino Linotype" w:eastAsia="Palatino Linotype" w:hAnsi="Palatino Linotype" w:cs="Palatino Linotype"/>
          <w:sz w:val="24"/>
          <w:szCs w:val="24"/>
        </w:rPr>
        <w:t>a efecto de que analizara sobre su admisión o su desechamiento.</w:t>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p>
    <w:p w:rsidR="00F92489" w:rsidRPr="00CE697F" w:rsidRDefault="00F92489" w:rsidP="00F92489">
      <w:pPr>
        <w:spacing w:after="0"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5. ADMISIÓN DEL RECURSO DE REVISIÓN.</w:t>
      </w:r>
      <w:r w:rsidRPr="00CE697F">
        <w:rPr>
          <w:rFonts w:ascii="Palatino Linotype" w:eastAsia="Palatino Linotype" w:hAnsi="Palatino Linotype" w:cs="Palatino Linotype"/>
          <w:sz w:val="24"/>
          <w:szCs w:val="24"/>
        </w:rPr>
        <w:t xml:space="preserve"> Con fecha</w:t>
      </w:r>
      <w:r w:rsidRPr="00CE697F">
        <w:rPr>
          <w:rFonts w:ascii="Palatino Linotype" w:eastAsia="Palatino Linotype" w:hAnsi="Palatino Linotype" w:cs="Palatino Linotype"/>
          <w:b/>
          <w:sz w:val="24"/>
          <w:szCs w:val="24"/>
        </w:rPr>
        <w:t xml:space="preserve"> ocho de mayo de dos mil veintitrés, </w:t>
      </w:r>
      <w:r w:rsidRPr="00CE697F">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E697F">
        <w:rPr>
          <w:rFonts w:ascii="Palatino Linotype" w:eastAsia="Palatino Linotype" w:hAnsi="Palatino Linotype" w:cs="Palatino Linotype"/>
          <w:b/>
          <w:sz w:val="24"/>
          <w:szCs w:val="24"/>
        </w:rPr>
        <w:t xml:space="preserve">SUJETO OBLIGADO </w:t>
      </w:r>
      <w:r w:rsidRPr="00CE697F">
        <w:rPr>
          <w:rFonts w:ascii="Palatino Linotype" w:eastAsia="Palatino Linotype" w:hAnsi="Palatino Linotype" w:cs="Palatino Linotype"/>
          <w:sz w:val="24"/>
          <w:szCs w:val="24"/>
        </w:rPr>
        <w:t>presentará su informe justificado.</w:t>
      </w:r>
    </w:p>
    <w:p w:rsidR="00F92489" w:rsidRPr="00CE697F" w:rsidRDefault="00F92489" w:rsidP="00F92489">
      <w:pPr>
        <w:spacing w:line="360" w:lineRule="auto"/>
        <w:contextualSpacing/>
        <w:jc w:val="both"/>
        <w:rPr>
          <w:rFonts w:ascii="Palatino Linotype" w:eastAsia="Palatino Linotype" w:hAnsi="Palatino Linotype" w:cs="Palatino Linotype"/>
          <w:sz w:val="24"/>
          <w:szCs w:val="24"/>
        </w:rPr>
      </w:pPr>
    </w:p>
    <w:p w:rsidR="00F92489" w:rsidRPr="00CE697F" w:rsidRDefault="00F92489" w:rsidP="00F92489">
      <w:pPr>
        <w:spacing w:after="240"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6. MANIFESTACIONES</w:t>
      </w:r>
      <w:r w:rsidRPr="00CE697F">
        <w:rPr>
          <w:rFonts w:ascii="Palatino Linotype" w:eastAsia="Palatino Linotype" w:hAnsi="Palatino Linotype" w:cs="Palatino Linotype"/>
          <w:sz w:val="24"/>
          <w:szCs w:val="24"/>
        </w:rPr>
        <w:t xml:space="preserve">. </w:t>
      </w:r>
      <w:r w:rsidRPr="00CE697F">
        <w:rPr>
          <w:rFonts w:ascii="Palatino Linotype" w:eastAsia="Palatino Linotype" w:hAnsi="Palatino Linotype" w:cs="Palatino Linotype"/>
          <w:b/>
          <w:sz w:val="24"/>
          <w:szCs w:val="24"/>
        </w:rPr>
        <w:t xml:space="preserve">EL SUJETO OBLIGADO </w:t>
      </w:r>
      <w:r w:rsidRPr="00CE697F">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rsidR="00F92489" w:rsidRPr="00CE697F" w:rsidRDefault="00F92489" w:rsidP="00F92489">
      <w:pPr>
        <w:spacing w:line="360" w:lineRule="auto"/>
        <w:contextualSpacing/>
        <w:jc w:val="both"/>
        <w:rPr>
          <w:rFonts w:ascii="Palatino Linotype" w:eastAsia="Palatino Linotype" w:hAnsi="Palatino Linotype" w:cs="Palatino Linotype"/>
          <w:sz w:val="24"/>
          <w:szCs w:val="24"/>
        </w:rPr>
      </w:pPr>
      <w:r w:rsidRPr="00CE697F">
        <w:rPr>
          <w:noProof/>
          <w:lang w:eastAsia="es-MX"/>
        </w:rPr>
        <w:lastRenderedPageBreak/>
        <w:drawing>
          <wp:inline distT="0" distB="0" distL="0" distR="0" wp14:anchorId="0D8F1512" wp14:editId="4A8A439A">
            <wp:extent cx="5534025" cy="1496908"/>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92" t="25349" r="29396" b="54737"/>
                    <a:stretch/>
                  </pic:blipFill>
                  <pic:spPr bwMode="auto">
                    <a:xfrm>
                      <a:off x="0" y="0"/>
                      <a:ext cx="5580787" cy="1509557"/>
                    </a:xfrm>
                    <a:prstGeom prst="rect">
                      <a:avLst/>
                    </a:prstGeom>
                    <a:ln>
                      <a:noFill/>
                    </a:ln>
                    <a:extLst>
                      <a:ext uri="{53640926-AAD7-44D8-BBD7-CCE9431645EC}">
                        <a14:shadowObscured xmlns:a14="http://schemas.microsoft.com/office/drawing/2010/main"/>
                      </a:ext>
                    </a:extLst>
                  </pic:spPr>
                </pic:pic>
              </a:graphicData>
            </a:graphic>
          </wp:inline>
        </w:drawing>
      </w:r>
    </w:p>
    <w:p w:rsidR="00F92489" w:rsidRPr="00CE697F" w:rsidRDefault="00F92489" w:rsidP="00F92489">
      <w:pPr>
        <w:spacing w:line="360" w:lineRule="auto"/>
        <w:contextualSpacing/>
        <w:jc w:val="both"/>
        <w:rPr>
          <w:rFonts w:ascii="Palatino Linotype" w:eastAsia="Palatino Linotype" w:hAnsi="Palatino Linotype" w:cs="Palatino Linotype"/>
          <w:sz w:val="24"/>
          <w:szCs w:val="24"/>
        </w:rPr>
      </w:pPr>
    </w:p>
    <w:p w:rsidR="00F92489" w:rsidRPr="00CE697F" w:rsidRDefault="00F92489" w:rsidP="00F92489">
      <w:pPr>
        <w:spacing w:after="0"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7. AMPLIACIÓN DEL TÉRMINO PARA RESOLVER</w:t>
      </w:r>
      <w:r w:rsidRPr="00CE697F">
        <w:rPr>
          <w:rFonts w:ascii="Palatino Linotype" w:eastAsia="Palatino Linotype" w:hAnsi="Palatino Linotype" w:cs="Palatino Linotype"/>
          <w:sz w:val="24"/>
          <w:szCs w:val="24"/>
        </w:rPr>
        <w:t>.</w:t>
      </w:r>
      <w:r w:rsidRPr="00CE697F">
        <w:rPr>
          <w:rFonts w:ascii="Palatino Linotype" w:eastAsia="Palatino Linotype" w:hAnsi="Palatino Linotype" w:cs="Palatino Linotype"/>
        </w:rPr>
        <w:t xml:space="preserve"> </w:t>
      </w:r>
      <w:r w:rsidRPr="00CE697F">
        <w:rPr>
          <w:rFonts w:ascii="Palatino Linotype" w:eastAsia="Palatino Linotype" w:hAnsi="Palatino Linotype" w:cs="Palatino Linotype"/>
          <w:sz w:val="24"/>
          <w:szCs w:val="24"/>
        </w:rPr>
        <w:t xml:space="preserve">El </w:t>
      </w:r>
      <w:r w:rsidR="00D60E98" w:rsidRPr="00CE697F">
        <w:rPr>
          <w:rFonts w:ascii="Palatino Linotype" w:eastAsia="Palatino Linotype" w:hAnsi="Palatino Linotype" w:cs="Palatino Linotype"/>
          <w:sz w:val="24"/>
          <w:szCs w:val="24"/>
        </w:rPr>
        <w:t>dieciocho</w:t>
      </w:r>
      <w:r w:rsidRPr="00CE697F">
        <w:rPr>
          <w:rFonts w:ascii="Palatino Linotype" w:eastAsia="Palatino Linotype" w:hAnsi="Palatino Linotype" w:cs="Palatino Linotype"/>
          <w:sz w:val="24"/>
          <w:szCs w:val="24"/>
        </w:rPr>
        <w:t xml:space="preserve"> de octubre de dos mil veintitrés, se amplió el término para resolver el recurso de revisión en términos del artículo 181 párrafo tercero de la Ley de Transparencia y Acceso a la Información Pública del Estado de México y Municipios. </w:t>
      </w:r>
    </w:p>
    <w:p w:rsidR="00F92489" w:rsidRPr="00CE697F" w:rsidRDefault="00F92489" w:rsidP="00F92489">
      <w:pPr>
        <w:spacing w:line="360" w:lineRule="auto"/>
        <w:contextualSpacing/>
        <w:jc w:val="both"/>
        <w:rPr>
          <w:rFonts w:ascii="Palatino Linotype" w:eastAsia="Palatino Linotype" w:hAnsi="Palatino Linotype" w:cs="Palatino Linotype"/>
          <w:sz w:val="24"/>
          <w:szCs w:val="24"/>
        </w:rPr>
      </w:pPr>
    </w:p>
    <w:p w:rsidR="00F92489" w:rsidRPr="00CE697F" w:rsidRDefault="00F92489" w:rsidP="00F92489">
      <w:pPr>
        <w:spacing w:after="0"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F92489" w:rsidRPr="00CE697F" w:rsidRDefault="00F92489" w:rsidP="00F92489">
      <w:pPr>
        <w:spacing w:after="0" w:line="360" w:lineRule="auto"/>
        <w:contextualSpacing/>
        <w:jc w:val="both"/>
        <w:rPr>
          <w:rFonts w:ascii="Palatino Linotype" w:eastAsia="Palatino Linotype" w:hAnsi="Palatino Linotype" w:cs="Palatino Linotype"/>
          <w:sz w:val="24"/>
          <w:szCs w:val="24"/>
        </w:rPr>
      </w:pPr>
    </w:p>
    <w:p w:rsidR="00F92489" w:rsidRPr="00CE697F" w:rsidRDefault="00F92489" w:rsidP="00F92489">
      <w:pPr>
        <w:spacing w:after="0"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CE697F">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rsidR="00F92489" w:rsidRPr="00CE697F" w:rsidRDefault="00F92489" w:rsidP="00F92489">
      <w:pPr>
        <w:spacing w:after="0" w:line="360" w:lineRule="auto"/>
        <w:contextualSpacing/>
        <w:jc w:val="both"/>
        <w:rPr>
          <w:rFonts w:ascii="Palatino Linotype" w:eastAsia="Palatino Linotype" w:hAnsi="Palatino Linotype" w:cs="Palatino Linotype"/>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966EE" w:rsidRPr="00CE697F" w:rsidRDefault="00F966EE" w:rsidP="00F92489">
      <w:pPr>
        <w:spacing w:after="0" w:line="360" w:lineRule="auto"/>
        <w:jc w:val="both"/>
        <w:rPr>
          <w:rFonts w:ascii="Palatino Linotype" w:eastAsia="Palatino Linotype" w:hAnsi="Palatino Linotype" w:cs="Palatino Linotype"/>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p>
    <w:p w:rsidR="00F92489" w:rsidRPr="00CE697F" w:rsidRDefault="00F92489" w:rsidP="00F92489">
      <w:pPr>
        <w:numPr>
          <w:ilvl w:val="0"/>
          <w:numId w:val="2"/>
        </w:num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F92489" w:rsidRPr="00CE697F" w:rsidRDefault="00F92489" w:rsidP="00F92489">
      <w:pPr>
        <w:spacing w:after="0" w:line="360" w:lineRule="auto"/>
        <w:ind w:left="927"/>
        <w:jc w:val="both"/>
        <w:rPr>
          <w:rFonts w:ascii="Palatino Linotype" w:eastAsia="Palatino Linotype" w:hAnsi="Palatino Linotype" w:cs="Palatino Linotype"/>
          <w:sz w:val="24"/>
          <w:szCs w:val="24"/>
        </w:rPr>
      </w:pPr>
    </w:p>
    <w:p w:rsidR="00F92489" w:rsidRPr="00CE697F" w:rsidRDefault="00F92489" w:rsidP="00F92489">
      <w:pPr>
        <w:numPr>
          <w:ilvl w:val="0"/>
          <w:numId w:val="2"/>
        </w:num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Actividad Procesal del interesado. Acciones u omisiones del interesado.</w:t>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p>
    <w:p w:rsidR="00F92489" w:rsidRPr="00CE697F" w:rsidRDefault="00F92489" w:rsidP="00F92489">
      <w:pPr>
        <w:numPr>
          <w:ilvl w:val="0"/>
          <w:numId w:val="2"/>
        </w:num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rsidR="00F92489" w:rsidRPr="00CE697F" w:rsidRDefault="00F92489" w:rsidP="00F92489">
      <w:pPr>
        <w:spacing w:after="0" w:line="360" w:lineRule="auto"/>
        <w:ind w:left="708"/>
        <w:rPr>
          <w:rFonts w:ascii="Palatino Linotype" w:eastAsia="Palatino Linotype" w:hAnsi="Palatino Linotype" w:cs="Palatino Linotype"/>
          <w:sz w:val="24"/>
          <w:szCs w:val="24"/>
        </w:rPr>
      </w:pPr>
    </w:p>
    <w:p w:rsidR="00F92489" w:rsidRPr="00CE697F" w:rsidRDefault="00F92489" w:rsidP="00F92489">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La afectación generada en la situación jurídica de la persona involucrada en el proceso: Violación a sus derechos humanos.</w:t>
      </w:r>
    </w:p>
    <w:p w:rsidR="00F92489" w:rsidRPr="00CE697F" w:rsidRDefault="00F92489" w:rsidP="00F92489">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p>
    <w:p w:rsidR="00F92489" w:rsidRPr="00CE697F" w:rsidRDefault="00F92489" w:rsidP="00F92489">
      <w:pPr>
        <w:spacing w:after="0" w:line="360" w:lineRule="auto"/>
        <w:jc w:val="both"/>
        <w:rPr>
          <w:rFonts w:ascii="Palatino Linotype" w:eastAsia="Palatino Linotype" w:hAnsi="Palatino Linotype" w:cs="Palatino Linotype"/>
          <w:b/>
          <w:sz w:val="24"/>
          <w:szCs w:val="24"/>
        </w:rPr>
      </w:pPr>
      <w:r w:rsidRPr="00CE697F">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CE697F">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CE697F">
        <w:rPr>
          <w:rFonts w:ascii="Palatino Linotype" w:eastAsia="Palatino Linotype" w:hAnsi="Palatino Linotype" w:cs="Palatino Linotype"/>
          <w:sz w:val="24"/>
          <w:szCs w:val="24"/>
        </w:rPr>
        <w:t>, visible en la Gaceta del Seminario Judicial de la Federación con el registro digital 205635.</w:t>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w:t>
      </w:r>
      <w:r w:rsidRPr="00CE697F">
        <w:rPr>
          <w:rFonts w:ascii="Palatino Linotype" w:eastAsia="Palatino Linotype" w:hAnsi="Palatino Linotype" w:cs="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 </w:t>
      </w:r>
      <w:r w:rsidRPr="00CE697F">
        <w:rPr>
          <w:rFonts w:ascii="Palatino Linotype" w:eastAsia="Palatino Linotype" w:hAnsi="Palatino Linotype" w:cs="Palatino Linotype"/>
          <w:i/>
          <w:sz w:val="24"/>
          <w:szCs w:val="24"/>
        </w:rPr>
        <w:t>“PLAZO RAZONABLE PARA RESOLVER. DIMENSIÓN Y EFECTOS DE ESTE CONCEPTO CUANDO SE ADUCE EXCESIVA CARGA DE TRABAJO.”</w:t>
      </w:r>
      <w:r w:rsidRPr="00CE697F">
        <w:rPr>
          <w:rFonts w:ascii="Palatino Linotype" w:eastAsia="Palatino Linotype" w:hAnsi="Palatino Linotype" w:cs="Palatino Linotype"/>
          <w:sz w:val="24"/>
          <w:szCs w:val="24"/>
        </w:rPr>
        <w:t xml:space="preserve"> consultable en el Seminario Judicial de la Federación y su gaceta, con el registro digital 2002351.</w:t>
      </w:r>
    </w:p>
    <w:p w:rsidR="00F92489" w:rsidRPr="00CE697F" w:rsidRDefault="00F92489" w:rsidP="00F92489">
      <w:pPr>
        <w:spacing w:after="0" w:line="360" w:lineRule="auto"/>
        <w:jc w:val="both"/>
        <w:rPr>
          <w:rFonts w:ascii="Palatino Linotype" w:eastAsia="Palatino Linotype" w:hAnsi="Palatino Linotype" w:cs="Palatino Linotype"/>
          <w:b/>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CE697F">
        <w:rPr>
          <w:rFonts w:ascii="Palatino Linotype" w:eastAsia="Palatino Linotype" w:hAnsi="Palatino Linotype" w:cs="Palatino Linotype"/>
          <w:sz w:val="24"/>
          <w:szCs w:val="24"/>
        </w:rPr>
        <w:t>, visible en el Seminario Judicial de la Federación y su gaceta, con el registro digital 2002350.</w:t>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F92489" w:rsidRPr="00CE697F" w:rsidRDefault="00F92489" w:rsidP="00F92489">
      <w:pPr>
        <w:spacing w:line="360" w:lineRule="auto"/>
        <w:contextualSpacing/>
        <w:jc w:val="both"/>
        <w:rPr>
          <w:rFonts w:ascii="Palatino Linotype" w:eastAsia="Palatino Linotype" w:hAnsi="Palatino Linotype" w:cs="Palatino Linotype"/>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 xml:space="preserve">8. CIERRE DE INSTRUCCIÓN. </w:t>
      </w:r>
      <w:r w:rsidR="00D60E98" w:rsidRPr="00CE697F">
        <w:rPr>
          <w:rFonts w:ascii="Palatino Linotype" w:eastAsia="Palatino Linotype" w:hAnsi="Palatino Linotype" w:cs="Palatino Linotype"/>
          <w:sz w:val="24"/>
          <w:szCs w:val="24"/>
        </w:rPr>
        <w:t>El dieciocho</w:t>
      </w:r>
      <w:r w:rsidRPr="00CE697F">
        <w:rPr>
          <w:rFonts w:ascii="Palatino Linotype" w:eastAsia="Palatino Linotype" w:hAnsi="Palatino Linotype" w:cs="Palatino Linotype"/>
          <w:sz w:val="24"/>
          <w:szCs w:val="24"/>
        </w:rPr>
        <w:t xml:space="preserve"> de </w:t>
      </w:r>
      <w:r w:rsidR="00D60E98" w:rsidRPr="00CE697F">
        <w:rPr>
          <w:rFonts w:ascii="Palatino Linotype" w:eastAsia="Palatino Linotype" w:hAnsi="Palatino Linotype" w:cs="Palatino Linotype"/>
          <w:sz w:val="24"/>
          <w:szCs w:val="24"/>
        </w:rPr>
        <w:t>octu</w:t>
      </w:r>
      <w:r w:rsidRPr="00CE697F">
        <w:rPr>
          <w:rFonts w:ascii="Palatino Linotype" w:eastAsia="Palatino Linotype" w:hAnsi="Palatino Linotype" w:cs="Palatino Linotype"/>
          <w:sz w:val="24"/>
          <w:szCs w:val="24"/>
        </w:rPr>
        <w:t>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F92489" w:rsidRPr="00CE697F" w:rsidRDefault="00F92489" w:rsidP="00F92489">
      <w:pPr>
        <w:rPr>
          <w:rFonts w:ascii="Palatino Linotype" w:eastAsia="Palatino Linotype" w:hAnsi="Palatino Linotype" w:cs="Palatino Linotype"/>
          <w:sz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F92489" w:rsidRPr="00CE697F" w:rsidRDefault="00F92489" w:rsidP="00F92489">
      <w:pPr>
        <w:spacing w:line="360" w:lineRule="auto"/>
        <w:contextualSpacing/>
        <w:jc w:val="both"/>
        <w:rPr>
          <w:rFonts w:ascii="Palatino Linotype" w:eastAsia="Palatino Linotype" w:hAnsi="Palatino Linotype" w:cs="Palatino Linotype"/>
          <w:sz w:val="24"/>
          <w:szCs w:val="24"/>
        </w:rPr>
      </w:pPr>
    </w:p>
    <w:p w:rsidR="00F92489" w:rsidRPr="00CE697F" w:rsidRDefault="00F92489" w:rsidP="00F92489">
      <w:pPr>
        <w:widowControl w:val="0"/>
        <w:spacing w:after="0" w:line="360" w:lineRule="auto"/>
        <w:jc w:val="center"/>
        <w:rPr>
          <w:rFonts w:ascii="Palatino Linotype" w:eastAsia="Palatino Linotype" w:hAnsi="Palatino Linotype" w:cs="Palatino Linotype"/>
          <w:b/>
          <w:sz w:val="24"/>
          <w:szCs w:val="24"/>
        </w:rPr>
      </w:pPr>
      <w:r w:rsidRPr="00CE697F">
        <w:rPr>
          <w:rFonts w:ascii="Palatino Linotype" w:eastAsia="Palatino Linotype" w:hAnsi="Palatino Linotype" w:cs="Palatino Linotype"/>
          <w:b/>
          <w:sz w:val="24"/>
          <w:szCs w:val="24"/>
        </w:rPr>
        <w:t>C O N S I D E R A N D O S</w:t>
      </w:r>
    </w:p>
    <w:p w:rsidR="00F92489" w:rsidRPr="00CE697F" w:rsidRDefault="00F92489" w:rsidP="00F92489">
      <w:pPr>
        <w:widowControl w:val="0"/>
        <w:spacing w:after="0" w:line="360" w:lineRule="auto"/>
        <w:jc w:val="center"/>
        <w:rPr>
          <w:rFonts w:ascii="Palatino Linotype" w:eastAsia="Palatino Linotype" w:hAnsi="Palatino Linotype" w:cs="Palatino Linotype"/>
          <w:b/>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PRIMERO. COMPETENCIA.</w:t>
      </w:r>
      <w:r w:rsidRPr="00CE697F">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w:t>
      </w:r>
      <w:r w:rsidRPr="00CE697F">
        <w:rPr>
          <w:rFonts w:ascii="Palatino Linotype" w:eastAsia="Palatino Linotype" w:hAnsi="Palatino Linotype" w:cs="Palatino Linotype"/>
          <w:sz w:val="24"/>
          <w:szCs w:val="24"/>
        </w:rPr>
        <w:lastRenderedPageBreak/>
        <w:t>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F92489" w:rsidRPr="00CE697F" w:rsidRDefault="00F92489" w:rsidP="00F92489">
      <w:pPr>
        <w:spacing w:line="360" w:lineRule="auto"/>
        <w:contextualSpacing/>
        <w:jc w:val="both"/>
        <w:rPr>
          <w:rFonts w:ascii="Palatino Linotype" w:eastAsia="Palatino Linotype" w:hAnsi="Palatino Linotype" w:cs="Palatino Linotype"/>
          <w:sz w:val="24"/>
          <w:szCs w:val="24"/>
        </w:rPr>
      </w:pPr>
    </w:p>
    <w:p w:rsidR="00F92489" w:rsidRPr="00CE697F" w:rsidRDefault="00F92489" w:rsidP="00F92489">
      <w:pPr>
        <w:spacing w:after="0" w:line="360" w:lineRule="auto"/>
        <w:ind w:right="-234"/>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 xml:space="preserve">SEGUNDO. OPORTUNIDAD Y PROCEDIBILIDAD DEL RECURSO DE REVISIÓN.  </w:t>
      </w:r>
      <w:r w:rsidRPr="00CE697F">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p>
    <w:p w:rsidR="00F92489" w:rsidRPr="00CE697F" w:rsidRDefault="00F92489" w:rsidP="00F92489">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CE697F">
        <w:rPr>
          <w:rFonts w:ascii="Palatino Linotype" w:eastAsia="Palatino Linotype" w:hAnsi="Palatino Linotype" w:cs="Palatino Linotype"/>
          <w:b/>
          <w:sz w:val="24"/>
          <w:szCs w:val="24"/>
        </w:rPr>
        <w:t xml:space="preserve"> EL SUJETO OBLIGADO </w:t>
      </w:r>
      <w:r w:rsidRPr="00CE697F">
        <w:rPr>
          <w:rFonts w:ascii="Palatino Linotype" w:eastAsia="Palatino Linotype" w:hAnsi="Palatino Linotype" w:cs="Palatino Linotype"/>
          <w:sz w:val="24"/>
          <w:szCs w:val="24"/>
        </w:rPr>
        <w:t xml:space="preserve">emitió la respuesta, toda vez que esta fue pronunciada el día diecinueve de abril del año dos mil veintitrés, mientras que </w:t>
      </w:r>
      <w:r w:rsidRPr="00CE697F">
        <w:rPr>
          <w:rFonts w:ascii="Palatino Linotype" w:eastAsia="Palatino Linotype" w:hAnsi="Palatino Linotype" w:cs="Palatino Linotype"/>
          <w:b/>
          <w:sz w:val="24"/>
          <w:szCs w:val="24"/>
        </w:rPr>
        <w:t>LA PARTE</w:t>
      </w:r>
      <w:r w:rsidRPr="00CE697F">
        <w:rPr>
          <w:rFonts w:ascii="Palatino Linotype" w:eastAsia="Palatino Linotype" w:hAnsi="Palatino Linotype" w:cs="Palatino Linotype"/>
          <w:sz w:val="24"/>
          <w:szCs w:val="24"/>
        </w:rPr>
        <w:t xml:space="preserve"> </w:t>
      </w:r>
      <w:r w:rsidRPr="00CE697F">
        <w:rPr>
          <w:rFonts w:ascii="Palatino Linotype" w:eastAsia="Palatino Linotype" w:hAnsi="Palatino Linotype" w:cs="Palatino Linotype"/>
          <w:b/>
          <w:sz w:val="24"/>
          <w:szCs w:val="24"/>
        </w:rPr>
        <w:t>RECURRENTE</w:t>
      </w:r>
      <w:r w:rsidRPr="00CE697F">
        <w:rPr>
          <w:rFonts w:ascii="Palatino Linotype" w:eastAsia="Palatino Linotype" w:hAnsi="Palatino Linotype" w:cs="Palatino Linotype"/>
          <w:sz w:val="24"/>
          <w:szCs w:val="24"/>
        </w:rPr>
        <w:t xml:space="preserve"> interpuso el recurso de revisión en fecha </w:t>
      </w:r>
      <w:r w:rsidR="000948DD" w:rsidRPr="00CE697F">
        <w:rPr>
          <w:rFonts w:ascii="Palatino Linotype" w:eastAsia="Palatino Linotype" w:hAnsi="Palatino Linotype" w:cs="Palatino Linotype"/>
          <w:sz w:val="24"/>
          <w:szCs w:val="24"/>
        </w:rPr>
        <w:t>dos</w:t>
      </w:r>
      <w:r w:rsidRPr="00CE697F">
        <w:rPr>
          <w:rFonts w:ascii="Palatino Linotype" w:eastAsia="Palatino Linotype" w:hAnsi="Palatino Linotype" w:cs="Palatino Linotype"/>
          <w:sz w:val="24"/>
          <w:szCs w:val="24"/>
        </w:rPr>
        <w:t xml:space="preserve"> de </w:t>
      </w:r>
      <w:r w:rsidR="000948DD" w:rsidRPr="00CE697F">
        <w:rPr>
          <w:rFonts w:ascii="Palatino Linotype" w:eastAsia="Palatino Linotype" w:hAnsi="Palatino Linotype" w:cs="Palatino Linotype"/>
          <w:sz w:val="24"/>
          <w:szCs w:val="24"/>
        </w:rPr>
        <w:t>mayo</w:t>
      </w:r>
      <w:r w:rsidRPr="00CE697F">
        <w:rPr>
          <w:rFonts w:ascii="Palatino Linotype" w:eastAsia="Palatino Linotype" w:hAnsi="Palatino Linotype" w:cs="Palatino Linotype"/>
          <w:sz w:val="24"/>
          <w:szCs w:val="24"/>
        </w:rPr>
        <w:t xml:space="preserve"> de dos mil veintitrés, esto es al </w:t>
      </w:r>
      <w:r w:rsidR="000948DD" w:rsidRPr="00CE697F">
        <w:rPr>
          <w:rFonts w:ascii="Palatino Linotype" w:eastAsia="Palatino Linotype" w:hAnsi="Palatino Linotype" w:cs="Palatino Linotype"/>
          <w:sz w:val="24"/>
          <w:szCs w:val="24"/>
        </w:rPr>
        <w:t>octavo</w:t>
      </w:r>
      <w:r w:rsidRPr="00CE697F">
        <w:rPr>
          <w:rFonts w:ascii="Palatino Linotype" w:eastAsia="Palatino Linotype" w:hAnsi="Palatino Linotype" w:cs="Palatino Linotype"/>
          <w:sz w:val="24"/>
          <w:szCs w:val="24"/>
        </w:rPr>
        <w:t xml:space="preserve"> día hábil siguiente de haber recibido la respuesta. </w:t>
      </w:r>
    </w:p>
    <w:p w:rsidR="00F92489" w:rsidRPr="00CE697F" w:rsidRDefault="00F92489" w:rsidP="00F92489">
      <w:pPr>
        <w:spacing w:after="0" w:line="360" w:lineRule="auto"/>
        <w:jc w:val="both"/>
        <w:rPr>
          <w:rFonts w:ascii="Palatino Linotype" w:eastAsia="Palatino Linotype" w:hAnsi="Palatino Linotype" w:cs="Palatino Linotype"/>
          <w:sz w:val="24"/>
          <w:szCs w:val="24"/>
        </w:rPr>
      </w:pPr>
    </w:p>
    <w:p w:rsidR="000948DD" w:rsidRPr="00CE697F" w:rsidRDefault="000948DD" w:rsidP="000948DD">
      <w:pPr>
        <w:spacing w:after="0"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Además, por cuanto hace a la procedibilidad del recurso de revisión, es de suma importancia señalar que </w:t>
      </w:r>
      <w:r w:rsidRPr="00CE697F">
        <w:rPr>
          <w:rFonts w:ascii="Palatino Linotype" w:eastAsia="Palatino Linotype" w:hAnsi="Palatino Linotype" w:cs="Palatino Linotype"/>
          <w:b/>
          <w:sz w:val="24"/>
          <w:szCs w:val="24"/>
        </w:rPr>
        <w:t>LA PARTE</w:t>
      </w:r>
      <w:r w:rsidRPr="00CE697F">
        <w:rPr>
          <w:rFonts w:ascii="Palatino Linotype" w:eastAsia="Palatino Linotype" w:hAnsi="Palatino Linotype" w:cs="Palatino Linotype"/>
          <w:sz w:val="24"/>
          <w:szCs w:val="24"/>
        </w:rPr>
        <w:t xml:space="preserve"> </w:t>
      </w:r>
      <w:r w:rsidRPr="00CE697F">
        <w:rPr>
          <w:rFonts w:ascii="Palatino Linotype" w:eastAsia="Palatino Linotype" w:hAnsi="Palatino Linotype" w:cs="Palatino Linotype"/>
          <w:b/>
          <w:sz w:val="24"/>
          <w:szCs w:val="24"/>
        </w:rPr>
        <w:t>RECURRENTE</w:t>
      </w:r>
      <w:r w:rsidRPr="00CE697F">
        <w:rPr>
          <w:rFonts w:ascii="Palatino Linotype" w:eastAsia="Palatino Linotype" w:hAnsi="Palatino Linotype" w:cs="Palatino Linotype"/>
          <w:sz w:val="24"/>
          <w:szCs w:val="24"/>
        </w:rPr>
        <w:t xml:space="preserve">, </w:t>
      </w:r>
      <w:r w:rsidR="00F77CF0" w:rsidRPr="00CE697F">
        <w:rPr>
          <w:rFonts w:ascii="Palatino Linotype" w:eastAsia="Palatino Linotype" w:hAnsi="Palatino Linotype" w:cs="Palatino Linotype"/>
          <w:sz w:val="24"/>
          <w:szCs w:val="24"/>
        </w:rPr>
        <w:t xml:space="preserve">no proporcionó nombre </w:t>
      </w:r>
      <w:r w:rsidR="00F77CF0" w:rsidRPr="00CE697F">
        <w:rPr>
          <w:rFonts w:ascii="Palatino Linotype" w:eastAsia="Palatino Linotype" w:hAnsi="Palatino Linotype" w:cs="Palatino Linotype"/>
          <w:sz w:val="24"/>
          <w:szCs w:val="24"/>
        </w:rPr>
        <w:lastRenderedPageBreak/>
        <w:t xml:space="preserve">completo </w:t>
      </w:r>
      <w:r w:rsidRPr="00CE697F">
        <w:rPr>
          <w:rFonts w:ascii="Palatino Linotype" w:eastAsia="Palatino Linotype" w:hAnsi="Palatino Linotype" w:cs="Palatino Linotype"/>
          <w:sz w:val="24"/>
          <w:szCs w:val="24"/>
        </w:rPr>
        <w:t>como se advierte en el detalle de seguimiento del SAIMEX, no obstante lo anterior,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948DD" w:rsidRPr="00CE697F" w:rsidRDefault="000948DD" w:rsidP="000948DD">
      <w:pPr>
        <w:spacing w:after="0" w:line="360" w:lineRule="auto"/>
        <w:contextualSpacing/>
        <w:jc w:val="both"/>
        <w:rPr>
          <w:rFonts w:ascii="Palatino Linotype" w:eastAsia="Palatino Linotype" w:hAnsi="Palatino Linotype" w:cs="Palatino Linotype"/>
          <w:sz w:val="24"/>
          <w:szCs w:val="24"/>
        </w:rPr>
      </w:pPr>
    </w:p>
    <w:p w:rsidR="000948DD" w:rsidRPr="00CE697F" w:rsidRDefault="000948DD" w:rsidP="000948DD">
      <w:pPr>
        <w:spacing w:after="0" w:line="276" w:lineRule="auto"/>
        <w:ind w:left="851" w:right="902"/>
        <w:jc w:val="both"/>
        <w:rPr>
          <w:rFonts w:ascii="Palatino Linotype" w:eastAsia="Palatino Linotype" w:hAnsi="Palatino Linotype" w:cs="Palatino Linotype"/>
          <w:b/>
          <w:i/>
        </w:rPr>
      </w:pPr>
      <w:r w:rsidRPr="00CE697F">
        <w:rPr>
          <w:rFonts w:ascii="Palatino Linotype" w:eastAsia="Palatino Linotype" w:hAnsi="Palatino Linotype" w:cs="Palatino Linotype"/>
          <w:b/>
          <w:i/>
        </w:rPr>
        <w:t>"Las solicitudes anónimas, con nombre incompleto o seudónimo serán procedentes para su trámite por parte del sujeto obligado ante quien se presente. No podrá requerirse información adicional con motivo del nombre proporcionado por el solicitante."</w:t>
      </w:r>
    </w:p>
    <w:p w:rsidR="000948DD" w:rsidRPr="00CE697F" w:rsidRDefault="000948DD" w:rsidP="000948DD">
      <w:pPr>
        <w:spacing w:after="0" w:line="360" w:lineRule="auto"/>
        <w:ind w:left="851" w:right="902"/>
        <w:jc w:val="both"/>
        <w:rPr>
          <w:rFonts w:ascii="Palatino Linotype" w:eastAsia="Palatino Linotype" w:hAnsi="Palatino Linotype" w:cs="Palatino Linotype"/>
          <w:sz w:val="24"/>
          <w:szCs w:val="24"/>
        </w:rPr>
      </w:pPr>
    </w:p>
    <w:p w:rsidR="000948DD" w:rsidRPr="00CE697F" w:rsidRDefault="000948DD" w:rsidP="000948DD">
      <w:pPr>
        <w:spacing w:after="0" w:line="360" w:lineRule="auto"/>
        <w:jc w:val="both"/>
        <w:rPr>
          <w:rFonts w:ascii="Palatino Linotype" w:eastAsia="Palatino Linotype" w:hAnsi="Palatino Linotype" w:cs="Palatino Linotype"/>
          <w:b/>
          <w:sz w:val="24"/>
          <w:szCs w:val="24"/>
        </w:rPr>
      </w:pPr>
      <w:r w:rsidRPr="00CE697F">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E697F">
        <w:rPr>
          <w:rFonts w:ascii="Palatino Linotype" w:eastAsia="Palatino Linotype" w:hAnsi="Palatino Linotype" w:cs="Palatino Linotype"/>
          <w:b/>
          <w:sz w:val="24"/>
          <w:szCs w:val="24"/>
        </w:rPr>
        <w:t xml:space="preserve">EL SAIMEX.  </w:t>
      </w:r>
    </w:p>
    <w:p w:rsidR="000948DD" w:rsidRPr="00CE697F" w:rsidRDefault="000948DD" w:rsidP="00F92489">
      <w:pPr>
        <w:spacing w:after="0" w:line="360" w:lineRule="auto"/>
        <w:jc w:val="both"/>
        <w:rPr>
          <w:rFonts w:ascii="Palatino Linotype" w:eastAsia="Palatino Linotype" w:hAnsi="Palatino Linotype" w:cs="Palatino Linotype"/>
          <w:sz w:val="24"/>
          <w:szCs w:val="24"/>
        </w:rPr>
      </w:pPr>
    </w:p>
    <w:p w:rsidR="000948DD" w:rsidRPr="00CE697F" w:rsidRDefault="000948DD" w:rsidP="000948D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Finalmente, resulta procedente la interposición del recurso, según lo aducido por </w:t>
      </w:r>
      <w:r w:rsidRPr="00CE697F">
        <w:rPr>
          <w:rFonts w:ascii="Palatino Linotype" w:eastAsia="Palatino Linotype" w:hAnsi="Palatino Linotype" w:cs="Palatino Linotype"/>
          <w:b/>
          <w:sz w:val="24"/>
          <w:szCs w:val="24"/>
        </w:rPr>
        <w:t>la parte RECURRENTE</w:t>
      </w:r>
      <w:r w:rsidRPr="00CE697F">
        <w:rPr>
          <w:rFonts w:ascii="Palatino Linotype" w:eastAsia="Palatino Linotype" w:hAnsi="Palatino Linotype" w:cs="Palatino Linotype"/>
          <w:sz w:val="24"/>
          <w:szCs w:val="24"/>
        </w:rPr>
        <w:t xml:space="preserve"> en sus razones o motivos de inconformidad, de acuerdo al artículo 179, fracción I y IV de la Ley de Transparencia y Acceso a la Información Pública del Estado de México y Municipios; que a la letra dice:</w:t>
      </w:r>
    </w:p>
    <w:p w:rsidR="000948DD" w:rsidRPr="00CE697F" w:rsidRDefault="000948DD" w:rsidP="000948DD">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rsidR="000948DD" w:rsidRPr="00CE697F" w:rsidRDefault="000948DD" w:rsidP="000948DD">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E697F">
        <w:rPr>
          <w:rFonts w:ascii="Palatino Linotype" w:eastAsia="Palatino Linotype" w:hAnsi="Palatino Linotype" w:cs="Palatino Linotype"/>
          <w:b/>
          <w:i/>
        </w:rPr>
        <w:t>“Artículo 179</w:t>
      </w:r>
      <w:r w:rsidRPr="00CE697F">
        <w:rPr>
          <w:rFonts w:ascii="Palatino Linotype" w:eastAsia="Palatino Linotype" w:hAnsi="Palatino Linotype" w:cs="Palatino Linotype"/>
          <w:i/>
        </w:rPr>
        <w:t xml:space="preserve">. </w:t>
      </w:r>
      <w:r w:rsidRPr="00CE697F">
        <w:rPr>
          <w:rFonts w:ascii="Palatino Linotype" w:eastAsia="Palatino Linotype" w:hAnsi="Palatino Linotype" w:cs="Palatino Linotype"/>
          <w:b/>
          <w:i/>
        </w:rPr>
        <w:t>El recurso de revisión</w:t>
      </w:r>
      <w:r w:rsidRPr="00CE697F">
        <w:rPr>
          <w:rFonts w:ascii="Palatino Linotype" w:eastAsia="Palatino Linotype" w:hAnsi="Palatino Linotype" w:cs="Palatino Linotype"/>
          <w:i/>
        </w:rPr>
        <w:t xml:space="preserve"> es un medio de protección que la Ley otorga a los particulares, para hacer valer su derecho de acceso a la información pública, y procederá en contra de las siguientes causas:</w:t>
      </w:r>
    </w:p>
    <w:p w:rsidR="000948DD" w:rsidRPr="00CE697F" w:rsidRDefault="000948DD" w:rsidP="000948DD">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E697F">
        <w:rPr>
          <w:rFonts w:ascii="Palatino Linotype" w:eastAsia="Palatino Linotype" w:hAnsi="Palatino Linotype" w:cs="Palatino Linotype"/>
          <w:i/>
        </w:rPr>
        <w:lastRenderedPageBreak/>
        <w:t>I. La negativa a la información solicitada;</w:t>
      </w:r>
    </w:p>
    <w:p w:rsidR="000948DD" w:rsidRPr="00CE697F" w:rsidRDefault="000948DD" w:rsidP="000948DD">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E697F">
        <w:rPr>
          <w:rFonts w:ascii="Palatino Linotype" w:eastAsia="Palatino Linotype" w:hAnsi="Palatino Linotype" w:cs="Palatino Linotype"/>
          <w:i/>
        </w:rPr>
        <w:t>(…)</w:t>
      </w:r>
    </w:p>
    <w:p w:rsidR="000948DD" w:rsidRPr="00CE697F" w:rsidRDefault="000948DD" w:rsidP="000948DD">
      <w:pPr>
        <w:pBdr>
          <w:top w:val="nil"/>
          <w:left w:val="nil"/>
          <w:bottom w:val="nil"/>
          <w:right w:val="nil"/>
          <w:between w:val="nil"/>
        </w:pBdr>
        <w:spacing w:after="0"/>
        <w:ind w:left="992" w:right="1043"/>
        <w:jc w:val="both"/>
        <w:rPr>
          <w:rFonts w:ascii="Palatino Linotype" w:eastAsia="Palatino Linotype" w:hAnsi="Palatino Linotype" w:cs="Palatino Linotype"/>
          <w:b/>
          <w:i/>
        </w:rPr>
      </w:pPr>
      <w:r w:rsidRPr="00CE697F">
        <w:rPr>
          <w:rFonts w:ascii="Palatino Linotype" w:eastAsia="Palatino Linotype" w:hAnsi="Palatino Linotype" w:cs="Palatino Linotype"/>
          <w:i/>
        </w:rPr>
        <w:t>IV. La declaración de incompetencia por el sujeto obligado;</w:t>
      </w:r>
      <w:r w:rsidRPr="00CE697F">
        <w:rPr>
          <w:rFonts w:ascii="Palatino Linotype" w:eastAsia="Palatino Linotype" w:hAnsi="Palatino Linotype" w:cs="Palatino Linotype"/>
          <w:b/>
          <w:i/>
        </w:rPr>
        <w:t>”</w:t>
      </w:r>
    </w:p>
    <w:p w:rsidR="000948DD" w:rsidRPr="00CE697F" w:rsidRDefault="000948DD" w:rsidP="00F92489">
      <w:pPr>
        <w:spacing w:after="0" w:line="360" w:lineRule="auto"/>
        <w:jc w:val="both"/>
        <w:rPr>
          <w:rFonts w:ascii="Palatino Linotype" w:eastAsia="Palatino Linotype" w:hAnsi="Palatino Linotype" w:cs="Palatino Linotype"/>
          <w:sz w:val="24"/>
          <w:szCs w:val="24"/>
        </w:rPr>
      </w:pPr>
    </w:p>
    <w:p w:rsidR="000948DD" w:rsidRPr="00CE697F" w:rsidRDefault="000948DD" w:rsidP="000948DD">
      <w:pPr>
        <w:spacing w:line="360" w:lineRule="auto"/>
        <w:contextualSpacing/>
        <w:jc w:val="both"/>
        <w:rPr>
          <w:rFonts w:ascii="Palatino Linotype" w:hAnsi="Palatino Linotype"/>
          <w:sz w:val="24"/>
        </w:rPr>
      </w:pPr>
      <w:r w:rsidRPr="00CE697F">
        <w:rPr>
          <w:rFonts w:ascii="Palatino Linotype" w:eastAsia="Palatino Linotype" w:hAnsi="Palatino Linotype" w:cs="Palatino Linotype"/>
          <w:b/>
          <w:sz w:val="24"/>
        </w:rPr>
        <w:t xml:space="preserve">TERCERO. ANÁLISIS DE LAS CAUSALES DE SOBRESEIMIENTO. </w:t>
      </w:r>
      <w:r w:rsidRPr="00CE697F">
        <w:rPr>
          <w:rFonts w:ascii="Palatino Linotype" w:eastAsia="Palatino Linotype" w:hAnsi="Palatino Linotype" w:cs="Palatino Linotype"/>
          <w:sz w:val="24"/>
        </w:rPr>
        <w:t>E</w:t>
      </w:r>
      <w:r w:rsidRPr="00CE697F">
        <w:rPr>
          <w:rFonts w:ascii="Palatino Linotype" w:hAnsi="Palatino Linotype"/>
          <w:sz w:val="24"/>
        </w:rPr>
        <w:t>ste Instituto, realiza el estudio preferente y oficioso de las cuales de improcedencia, en el entendido de que las mismas deben ser analizadas sea que las hayan hecho valer o no las partes, por tratarse de una cuestión de orden público y de estudio preferente, atento a lo establecido por la Jurisprudencia número 940, publicada en la página 1538 de la Segunda Parte del Apéndice del Semanario Judicial de la Federación 1917-1918 que a la letra señala:</w:t>
      </w:r>
    </w:p>
    <w:p w:rsidR="000948DD" w:rsidRPr="00CE697F" w:rsidRDefault="000948DD" w:rsidP="000948DD">
      <w:pPr>
        <w:spacing w:line="360" w:lineRule="auto"/>
        <w:contextualSpacing/>
        <w:jc w:val="both"/>
        <w:rPr>
          <w:rFonts w:ascii="Palatino Linotype" w:eastAsia="Palatino Linotype" w:hAnsi="Palatino Linotype" w:cs="Palatino Linotype"/>
          <w:b/>
          <w:sz w:val="24"/>
        </w:rPr>
      </w:pPr>
    </w:p>
    <w:p w:rsidR="000948DD" w:rsidRPr="00CE697F" w:rsidRDefault="000948DD" w:rsidP="000948DD">
      <w:pPr>
        <w:pStyle w:val="NormalWeb"/>
        <w:spacing w:before="240" w:beforeAutospacing="0" w:after="240" w:afterAutospacing="0" w:line="276" w:lineRule="auto"/>
        <w:ind w:left="567" w:right="616"/>
        <w:contextualSpacing/>
        <w:jc w:val="both"/>
        <w:rPr>
          <w:rFonts w:ascii="Palatino Linotype" w:hAnsi="Palatino Linotype"/>
          <w:i/>
          <w:iCs/>
          <w:sz w:val="22"/>
          <w:szCs w:val="22"/>
        </w:rPr>
      </w:pPr>
      <w:r w:rsidRPr="00CE697F">
        <w:rPr>
          <w:rFonts w:ascii="Palatino Linotype" w:hAnsi="Palatino Linotype"/>
          <w:i/>
          <w:iCs/>
          <w:sz w:val="22"/>
          <w:szCs w:val="22"/>
        </w:rPr>
        <w:t>“Improcedencia: Sea que las partes la aleguen o no, debe examinarse previamente la procedencia del juicio de amparo, por ser cuestión de orden público en el juicio de garantías.”(Sic)</w:t>
      </w:r>
    </w:p>
    <w:p w:rsidR="000948DD" w:rsidRPr="00CE697F" w:rsidRDefault="000948DD" w:rsidP="000948DD">
      <w:pPr>
        <w:pStyle w:val="NormalWeb"/>
        <w:spacing w:before="240" w:beforeAutospacing="0" w:after="240" w:afterAutospacing="0" w:line="360" w:lineRule="auto"/>
        <w:ind w:left="567" w:right="616"/>
        <w:contextualSpacing/>
        <w:jc w:val="both"/>
        <w:rPr>
          <w:rFonts w:ascii="Palatino Linotype" w:hAnsi="Palatino Linotype"/>
        </w:rPr>
      </w:pPr>
    </w:p>
    <w:p w:rsidR="000948DD" w:rsidRPr="00CE697F" w:rsidRDefault="000948DD" w:rsidP="000948DD">
      <w:pPr>
        <w:pStyle w:val="NormalWeb"/>
        <w:spacing w:before="240" w:beforeAutospacing="0" w:after="240" w:afterAutospacing="0"/>
        <w:ind w:right="49"/>
        <w:jc w:val="both"/>
        <w:rPr>
          <w:rFonts w:ascii="Palatino Linotype" w:hAnsi="Palatino Linotype"/>
        </w:rPr>
      </w:pPr>
      <w:r w:rsidRPr="00CE697F">
        <w:rPr>
          <w:rFonts w:ascii="Palatino Linotype" w:hAnsi="Palatino Linotype"/>
        </w:rPr>
        <w:t>Por su parte los artículos 186, 191 y 192 de la Ley en cita, disponen lo siguiente:</w:t>
      </w:r>
    </w:p>
    <w:p w:rsidR="000948DD" w:rsidRPr="00CE697F" w:rsidRDefault="000948DD" w:rsidP="000948DD">
      <w:pPr>
        <w:pStyle w:val="NormalWeb"/>
        <w:spacing w:before="240" w:beforeAutospacing="0" w:after="240" w:afterAutospacing="0"/>
        <w:ind w:left="851" w:right="49"/>
        <w:jc w:val="both"/>
      </w:pPr>
      <w:r w:rsidRPr="00CE697F">
        <w:rPr>
          <w:rFonts w:ascii="Palatino Linotype" w:hAnsi="Palatino Linotype"/>
          <w:i/>
          <w:iCs/>
          <w:sz w:val="22"/>
          <w:szCs w:val="22"/>
        </w:rPr>
        <w:t>“Artículo 186. Las resoluciones del Instituto podrán:</w:t>
      </w:r>
    </w:p>
    <w:p w:rsidR="000948DD" w:rsidRPr="00CE697F" w:rsidRDefault="000948DD" w:rsidP="000948DD">
      <w:pPr>
        <w:pStyle w:val="NormalWeb"/>
        <w:spacing w:before="240" w:beforeAutospacing="0" w:after="240" w:afterAutospacing="0"/>
        <w:ind w:left="851" w:right="49"/>
        <w:contextualSpacing/>
        <w:jc w:val="both"/>
      </w:pPr>
      <w:r w:rsidRPr="00CE697F">
        <w:rPr>
          <w:rFonts w:ascii="Palatino Linotype" w:hAnsi="Palatino Linotype"/>
          <w:b/>
          <w:bCs/>
          <w:i/>
          <w:iCs/>
          <w:sz w:val="22"/>
          <w:szCs w:val="22"/>
        </w:rPr>
        <w:t>I. Desechar o sobreseer el recurso;</w:t>
      </w:r>
    </w:p>
    <w:p w:rsidR="000948DD" w:rsidRPr="00CE697F" w:rsidRDefault="000948DD" w:rsidP="000948DD">
      <w:pPr>
        <w:pStyle w:val="NormalWeb"/>
        <w:spacing w:before="240" w:beforeAutospacing="0" w:after="240" w:afterAutospacing="0"/>
        <w:ind w:left="851" w:right="49"/>
        <w:contextualSpacing/>
        <w:jc w:val="both"/>
      </w:pPr>
      <w:r w:rsidRPr="00CE697F">
        <w:rPr>
          <w:rFonts w:ascii="Palatino Linotype" w:hAnsi="Palatino Linotype"/>
          <w:i/>
          <w:iCs/>
          <w:sz w:val="22"/>
          <w:szCs w:val="22"/>
        </w:rPr>
        <w:t>II. Confirmar la respuesta del sujeto obligado;</w:t>
      </w:r>
    </w:p>
    <w:p w:rsidR="000948DD" w:rsidRPr="00CE697F" w:rsidRDefault="000948DD" w:rsidP="000948DD">
      <w:pPr>
        <w:pStyle w:val="NormalWeb"/>
        <w:spacing w:before="240" w:beforeAutospacing="0" w:after="240" w:afterAutospacing="0"/>
        <w:ind w:left="851" w:right="49"/>
        <w:contextualSpacing/>
        <w:jc w:val="both"/>
      </w:pPr>
      <w:r w:rsidRPr="00CE697F">
        <w:rPr>
          <w:rFonts w:ascii="Palatino Linotype" w:hAnsi="Palatino Linotype"/>
          <w:i/>
          <w:iCs/>
          <w:sz w:val="22"/>
          <w:szCs w:val="22"/>
        </w:rPr>
        <w:t>III. Revocar o modificar la respuesta del sujeto obligado; y</w:t>
      </w:r>
    </w:p>
    <w:p w:rsidR="000948DD" w:rsidRPr="00CE697F" w:rsidRDefault="000948DD" w:rsidP="000948DD">
      <w:pPr>
        <w:pStyle w:val="NormalWeb"/>
        <w:spacing w:before="240" w:beforeAutospacing="0" w:after="240" w:afterAutospacing="0"/>
        <w:ind w:left="851" w:right="49"/>
        <w:contextualSpacing/>
        <w:jc w:val="both"/>
        <w:rPr>
          <w:rFonts w:ascii="Palatino Linotype" w:hAnsi="Palatino Linotype"/>
          <w:i/>
          <w:iCs/>
          <w:sz w:val="22"/>
          <w:szCs w:val="22"/>
        </w:rPr>
      </w:pPr>
      <w:r w:rsidRPr="00CE697F">
        <w:rPr>
          <w:rFonts w:ascii="Palatino Linotype" w:hAnsi="Palatino Linotype"/>
          <w:i/>
          <w:iCs/>
          <w:sz w:val="22"/>
          <w:szCs w:val="22"/>
        </w:rPr>
        <w:t>IV. Ordenar la entrega de la información…”</w:t>
      </w:r>
    </w:p>
    <w:p w:rsidR="000948DD" w:rsidRPr="00CE697F" w:rsidRDefault="000948DD" w:rsidP="000948DD">
      <w:pPr>
        <w:pStyle w:val="NormalWeb"/>
        <w:spacing w:before="240" w:beforeAutospacing="0" w:after="240" w:afterAutospacing="0"/>
        <w:ind w:left="851" w:right="49"/>
        <w:contextualSpacing/>
        <w:jc w:val="both"/>
      </w:pP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t xml:space="preserve"> Artículo 191. El recurso será desechado por improcedente cuando:</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t>I. Sea extemporáneo por haber transcurrido el plazo establecido en la presente Ley, a partir de la respuesta;</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t>II. Se esté tramitando ante el Poder Judicial de la Federación algún recurso o medio de defensa interpuesto por el recurrente;</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lastRenderedPageBreak/>
        <w:t>III. No actualice alguno de los supuestos previstos en la presente Ley;</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t>IV. No se haya desahogado la prevención en los términos establecidos en la presente Ley;</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t>V. Se impugne la veracidad de la información proporcionada;</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b/>
          <w:bCs/>
          <w:i/>
          <w:iCs/>
          <w:sz w:val="22"/>
          <w:szCs w:val="22"/>
          <w:u w:val="single"/>
        </w:rPr>
        <w:t>VI. Se trate de una consulta</w:t>
      </w:r>
      <w:r w:rsidRPr="00CE697F">
        <w:rPr>
          <w:rFonts w:ascii="Palatino Linotype" w:hAnsi="Palatino Linotype"/>
          <w:b/>
          <w:bCs/>
          <w:i/>
          <w:iCs/>
          <w:sz w:val="22"/>
          <w:szCs w:val="22"/>
        </w:rPr>
        <w:t xml:space="preserve">, </w:t>
      </w:r>
      <w:r w:rsidRPr="00CE697F">
        <w:rPr>
          <w:rFonts w:ascii="Palatino Linotype" w:hAnsi="Palatino Linotype"/>
          <w:bCs/>
          <w:i/>
          <w:iCs/>
          <w:sz w:val="22"/>
          <w:szCs w:val="22"/>
        </w:rPr>
        <w:t>o trámite en específico; y</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t>VII. El recurrente amplíe su solicitud en el recurso de revisión, únicamente respecto de los nuevos contenidos.”</w:t>
      </w:r>
    </w:p>
    <w:p w:rsidR="000948DD" w:rsidRPr="00CE697F" w:rsidRDefault="000948DD" w:rsidP="000948DD">
      <w:pPr>
        <w:pStyle w:val="NormalWeb"/>
        <w:spacing w:before="240" w:beforeAutospacing="0" w:after="240" w:afterAutospacing="0"/>
        <w:ind w:left="567" w:right="616"/>
        <w:contextualSpacing/>
        <w:jc w:val="both"/>
        <w:rPr>
          <w:rFonts w:ascii="Palatino Linotype" w:hAnsi="Palatino Linotype"/>
          <w:i/>
          <w:iCs/>
          <w:sz w:val="22"/>
          <w:szCs w:val="22"/>
        </w:rPr>
      </w:pP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t>“Artículo 192. El recurso será sobreseído, en todo o en parte, cuando una vez admitido, se actualicen alguno de los siguientes supuestos:</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t>I. El recurrente se desista expresamente del recurso;</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t>II. El recurrente fallezca o, tratándose de personas jurídicas colectivas, se disuelva;</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t>III. El sujeto obligado responsable del acto lo modifique o revoque de tal manera que el recurso de revisión quede sin materia;</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b/>
          <w:bCs/>
          <w:i/>
          <w:iCs/>
          <w:sz w:val="22"/>
          <w:szCs w:val="22"/>
        </w:rPr>
        <w:t>IV. Admitido el recurso de revisión, aparezca alguna causal de improcedencia en los términos de la presente Ley; y</w:t>
      </w:r>
    </w:p>
    <w:p w:rsidR="000948DD" w:rsidRPr="00CE697F" w:rsidRDefault="000948DD" w:rsidP="000948DD">
      <w:pPr>
        <w:pStyle w:val="NormalWeb"/>
        <w:spacing w:before="240" w:beforeAutospacing="0" w:after="240" w:afterAutospacing="0"/>
        <w:ind w:left="851" w:right="616"/>
        <w:contextualSpacing/>
        <w:jc w:val="both"/>
      </w:pPr>
      <w:r w:rsidRPr="00CE697F">
        <w:rPr>
          <w:rFonts w:ascii="Palatino Linotype" w:hAnsi="Palatino Linotype"/>
          <w:i/>
          <w:iCs/>
          <w:sz w:val="22"/>
          <w:szCs w:val="22"/>
        </w:rPr>
        <w:t>V. Cuando por cualquier motivo quede sin materia el recurso.” (Sic)</w:t>
      </w:r>
    </w:p>
    <w:p w:rsidR="000948DD" w:rsidRPr="00CE697F" w:rsidRDefault="000948DD" w:rsidP="000948DD">
      <w:pPr>
        <w:pStyle w:val="NormalWeb"/>
        <w:spacing w:before="240" w:beforeAutospacing="0" w:after="240" w:afterAutospacing="0" w:line="360" w:lineRule="auto"/>
        <w:ind w:right="49"/>
        <w:jc w:val="both"/>
        <w:rPr>
          <w:rFonts w:ascii="Palatino Linotype" w:hAnsi="Palatino Linotype"/>
        </w:rPr>
      </w:pPr>
    </w:p>
    <w:p w:rsidR="000948DD" w:rsidRPr="00CE697F" w:rsidRDefault="000948DD" w:rsidP="000948DD">
      <w:pPr>
        <w:pStyle w:val="NormalWeb"/>
        <w:spacing w:before="240" w:beforeAutospacing="0" w:after="240" w:afterAutospacing="0" w:line="360" w:lineRule="auto"/>
        <w:ind w:right="49"/>
        <w:contextualSpacing/>
        <w:jc w:val="both"/>
      </w:pPr>
      <w:r w:rsidRPr="00CE697F">
        <w:rPr>
          <w:rFonts w:ascii="Palatino Linotype" w:hAnsi="Palatino Linotype"/>
        </w:rPr>
        <w:t>En el presente caso, en el análisis oficioso este Organismo Garante advierte que, una vez admitido el Recurso de Revisión y en su estudio a detalle, surgió una causal de improcedencia, prevista en el artículo 191 fracción VI de la Ley de Transparencia y Acceso a la Información Pública del Estado de México y Municipios</w:t>
      </w:r>
    </w:p>
    <w:p w:rsidR="000948DD" w:rsidRPr="00CE697F" w:rsidRDefault="000948DD" w:rsidP="000948DD">
      <w:pPr>
        <w:pStyle w:val="NormalWeb"/>
        <w:spacing w:before="240" w:beforeAutospacing="0" w:after="240" w:afterAutospacing="0" w:line="360" w:lineRule="auto"/>
        <w:ind w:right="49"/>
        <w:contextualSpacing/>
        <w:jc w:val="both"/>
        <w:rPr>
          <w:rFonts w:ascii="Palatino Linotype" w:eastAsia="Palatino Linotype" w:hAnsi="Palatino Linotype" w:cs="Palatino Linotype"/>
          <w:lang w:eastAsia="en-US"/>
        </w:rPr>
      </w:pPr>
    </w:p>
    <w:p w:rsidR="000948DD" w:rsidRPr="00CE697F" w:rsidRDefault="000948DD" w:rsidP="000948DD">
      <w:pPr>
        <w:pStyle w:val="NormalWeb"/>
        <w:spacing w:before="240" w:beforeAutospacing="0" w:after="240" w:afterAutospacing="0" w:line="360" w:lineRule="auto"/>
        <w:ind w:right="49"/>
        <w:contextualSpacing/>
        <w:jc w:val="both"/>
        <w:rPr>
          <w:rFonts w:ascii="Palatino Linotype" w:hAnsi="Palatino Linotype"/>
        </w:rPr>
      </w:pPr>
      <w:r w:rsidRPr="00CE697F">
        <w:rPr>
          <w:rFonts w:ascii="Palatino Linotype" w:hAnsi="Palatino Linotype"/>
        </w:rPr>
        <w:t>Cobrando aplicación lo previsto en la fracción IV del artículo 192, en razón a que al haber sido el recurso y al actualizarse una causal de improcedencia, debe ser sobreseído.</w:t>
      </w:r>
    </w:p>
    <w:p w:rsidR="000948DD" w:rsidRPr="00CE697F" w:rsidRDefault="000948DD" w:rsidP="000948DD">
      <w:pPr>
        <w:pStyle w:val="NormalWeb"/>
        <w:spacing w:before="240" w:beforeAutospacing="0" w:after="240" w:afterAutospacing="0" w:line="360" w:lineRule="auto"/>
        <w:ind w:right="49"/>
        <w:contextualSpacing/>
        <w:jc w:val="both"/>
      </w:pPr>
    </w:p>
    <w:p w:rsidR="000948DD" w:rsidRPr="00CE697F" w:rsidRDefault="000948DD" w:rsidP="000948DD">
      <w:pPr>
        <w:pStyle w:val="NormalWeb"/>
        <w:spacing w:before="240" w:beforeAutospacing="0" w:after="240" w:afterAutospacing="0" w:line="360" w:lineRule="auto"/>
        <w:ind w:right="49"/>
        <w:contextualSpacing/>
        <w:jc w:val="both"/>
        <w:rPr>
          <w:rFonts w:ascii="Palatino Linotype" w:hAnsi="Palatino Linotype"/>
        </w:rPr>
      </w:pPr>
      <w:r w:rsidRPr="00CE697F">
        <w:rPr>
          <w:rFonts w:ascii="Palatino Linotype" w:hAnsi="Palatino Linotype"/>
        </w:rPr>
        <w:lastRenderedPageBreak/>
        <w:t>En atención de lo anterior, se procede a analizar las cuestiones de hecho que dieron lugar a la improcedencia en concordancia con el apartado de causales de sobreseimiento.</w:t>
      </w:r>
    </w:p>
    <w:p w:rsidR="000948DD" w:rsidRPr="00CE697F" w:rsidRDefault="000948DD" w:rsidP="000948DD">
      <w:pPr>
        <w:pStyle w:val="NormalWeb"/>
        <w:spacing w:before="240" w:beforeAutospacing="0" w:after="240" w:afterAutospacing="0" w:line="360" w:lineRule="auto"/>
        <w:ind w:right="49"/>
        <w:contextualSpacing/>
        <w:jc w:val="both"/>
      </w:pPr>
    </w:p>
    <w:p w:rsidR="000948DD" w:rsidRPr="00CE697F" w:rsidRDefault="000948DD" w:rsidP="000948DD">
      <w:pPr>
        <w:pStyle w:val="NormalWeb"/>
        <w:spacing w:before="240" w:beforeAutospacing="0" w:after="240" w:afterAutospacing="0" w:line="360" w:lineRule="auto"/>
        <w:ind w:right="49"/>
        <w:contextualSpacing/>
        <w:jc w:val="both"/>
      </w:pPr>
      <w:r w:rsidRPr="00CE697F">
        <w:rPr>
          <w:rFonts w:ascii="Palatino Linotype" w:hAnsi="Palatino Linotype"/>
        </w:rPr>
        <w:t xml:space="preserve">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citado artículo 179, toda vez que </w:t>
      </w:r>
      <w:r w:rsidRPr="00CE697F">
        <w:rPr>
          <w:rFonts w:ascii="Palatino Linotype" w:hAnsi="Palatino Linotype"/>
          <w:b/>
        </w:rPr>
        <w:t>LA PARTE</w:t>
      </w:r>
      <w:r w:rsidRPr="00CE697F">
        <w:rPr>
          <w:rFonts w:ascii="Palatino Linotype" w:hAnsi="Palatino Linotype"/>
        </w:rPr>
        <w:t xml:space="preserve"> </w:t>
      </w:r>
      <w:r w:rsidRPr="00CE697F">
        <w:rPr>
          <w:rFonts w:ascii="Palatino Linotype" w:hAnsi="Palatino Linotype"/>
          <w:b/>
        </w:rPr>
        <w:t>RECURRENTE</w:t>
      </w:r>
      <w:r w:rsidRPr="00CE697F">
        <w:rPr>
          <w:rFonts w:ascii="Palatino Linotype" w:hAnsi="Palatino Linotype"/>
        </w:rPr>
        <w:t xml:space="preserve">, mediante el recurso de revisión, solicita le sea contestada una consulta para un caso específico. </w:t>
      </w:r>
    </w:p>
    <w:p w:rsidR="000948DD" w:rsidRPr="00CE697F" w:rsidRDefault="000948DD" w:rsidP="000948DD">
      <w:pPr>
        <w:pStyle w:val="NormalWeb"/>
        <w:spacing w:before="240" w:beforeAutospacing="0" w:after="240" w:afterAutospacing="0" w:line="360" w:lineRule="auto"/>
        <w:ind w:right="49"/>
        <w:contextualSpacing/>
        <w:jc w:val="both"/>
        <w:rPr>
          <w:rFonts w:ascii="Palatino Linotype" w:eastAsia="Palatino Linotype" w:hAnsi="Palatino Linotype" w:cs="Palatino Linotype"/>
          <w:lang w:eastAsia="en-US"/>
        </w:rPr>
      </w:pPr>
    </w:p>
    <w:p w:rsidR="000948DD" w:rsidRPr="00CE697F" w:rsidRDefault="000948DD" w:rsidP="000948DD">
      <w:pPr>
        <w:pStyle w:val="NormalWeb"/>
        <w:spacing w:before="240" w:beforeAutospacing="0" w:after="240" w:afterAutospacing="0" w:line="360" w:lineRule="auto"/>
        <w:ind w:right="49"/>
        <w:contextualSpacing/>
        <w:jc w:val="both"/>
        <w:rPr>
          <w:rFonts w:ascii="Palatino Linotype" w:hAnsi="Palatino Linotype"/>
        </w:rPr>
      </w:pPr>
      <w:r w:rsidRPr="00CE697F">
        <w:rPr>
          <w:rFonts w:ascii="Palatino Linotype" w:hAnsi="Palatino Linotype"/>
        </w:rPr>
        <w:t xml:space="preserve">A efecto de sustentar lo anterior, es imprescindible mencionar que, del análisis de la solicitud de información motivo del recurso de revisión que ahora se resuelve, se advierte que la parte solicitante requirió al </w:t>
      </w:r>
      <w:r w:rsidRPr="00CE697F">
        <w:rPr>
          <w:rFonts w:ascii="Palatino Linotype" w:hAnsi="Palatino Linotype"/>
          <w:b/>
        </w:rPr>
        <w:t>SUJETO OBLIGADO</w:t>
      </w:r>
      <w:r w:rsidRPr="00CE697F">
        <w:rPr>
          <w:rFonts w:ascii="Palatino Linotype" w:hAnsi="Palatino Linotype"/>
        </w:rPr>
        <w:t xml:space="preserve"> le proporcione información consistente en lo siguiente:</w:t>
      </w:r>
    </w:p>
    <w:p w:rsidR="000948DD" w:rsidRPr="00CE697F" w:rsidRDefault="000948DD" w:rsidP="000948DD">
      <w:pPr>
        <w:pStyle w:val="NormalWeb"/>
        <w:spacing w:before="240" w:beforeAutospacing="0" w:after="240" w:afterAutospacing="0" w:line="360" w:lineRule="auto"/>
        <w:ind w:right="49"/>
        <w:contextualSpacing/>
        <w:jc w:val="both"/>
      </w:pPr>
    </w:p>
    <w:p w:rsidR="000948DD" w:rsidRPr="00CE697F" w:rsidRDefault="000948DD" w:rsidP="000948DD">
      <w:pPr>
        <w:pStyle w:val="NormalWeb"/>
        <w:numPr>
          <w:ilvl w:val="0"/>
          <w:numId w:val="4"/>
        </w:numPr>
        <w:spacing w:before="240" w:beforeAutospacing="0" w:after="240" w:afterAutospacing="0" w:line="360" w:lineRule="auto"/>
        <w:ind w:right="49"/>
        <w:contextualSpacing/>
        <w:jc w:val="both"/>
        <w:rPr>
          <w:rFonts w:ascii="Palatino Linotype" w:hAnsi="Palatino Linotype"/>
        </w:rPr>
      </w:pPr>
      <w:r w:rsidRPr="00CE697F">
        <w:rPr>
          <w:rFonts w:ascii="Palatino Linotype" w:hAnsi="Palatino Linotype"/>
        </w:rPr>
        <w:t>Información generada por la cacería y/o captura y/o detención y/o acoso y/o similares o análogas hacia movilizadores y/o brigadistas y/o simpatizantes y/o militantes de morena.</w:t>
      </w:r>
    </w:p>
    <w:p w:rsidR="000948DD" w:rsidRPr="00CE697F" w:rsidRDefault="000948DD" w:rsidP="000948DD">
      <w:pPr>
        <w:pStyle w:val="NormalWeb"/>
        <w:spacing w:before="240" w:beforeAutospacing="0" w:after="240" w:afterAutospacing="0" w:line="360" w:lineRule="auto"/>
        <w:ind w:right="49"/>
        <w:contextualSpacing/>
        <w:jc w:val="both"/>
        <w:rPr>
          <w:rFonts w:ascii="Palatino Linotype" w:hAnsi="Palatino Linotype"/>
        </w:rPr>
      </w:pPr>
    </w:p>
    <w:p w:rsidR="00445236" w:rsidRPr="00CE697F" w:rsidRDefault="000948DD" w:rsidP="00445236">
      <w:pPr>
        <w:pStyle w:val="NormalWeb"/>
        <w:spacing w:before="240" w:beforeAutospacing="0" w:after="240" w:afterAutospacing="0" w:line="360" w:lineRule="auto"/>
        <w:ind w:right="49"/>
        <w:contextualSpacing/>
        <w:jc w:val="both"/>
        <w:rPr>
          <w:rFonts w:ascii="Palatino Linotype" w:eastAsia="Palatino Linotype" w:hAnsi="Palatino Linotype" w:cs="Palatino Linotype"/>
          <w:b/>
        </w:rPr>
      </w:pPr>
      <w:r w:rsidRPr="00CE697F">
        <w:rPr>
          <w:rFonts w:ascii="Palatino Linotype" w:eastAsia="Palatino Linotype" w:hAnsi="Palatino Linotype" w:cs="Palatino Linotype"/>
        </w:rPr>
        <w:lastRenderedPageBreak/>
        <w:t xml:space="preserve">De la solicitud se advierte, que el particular planteó una cuestión con la que pretendía que EL </w:t>
      </w:r>
      <w:r w:rsidRPr="00CE697F">
        <w:rPr>
          <w:rFonts w:ascii="Palatino Linotype" w:eastAsia="Palatino Linotype" w:hAnsi="Palatino Linotype" w:cs="Palatino Linotype"/>
          <w:b/>
        </w:rPr>
        <w:t>SUJETO OBLIGADO</w:t>
      </w:r>
      <w:r w:rsidRPr="00CE697F">
        <w:rPr>
          <w:rFonts w:ascii="Palatino Linotype" w:eastAsia="Palatino Linotype" w:hAnsi="Palatino Linotype" w:cs="Palatino Linotype"/>
        </w:rPr>
        <w:t xml:space="preserve"> le explicara una circunstancia para un caso específico, por lo que es obvio que el particular no está ejerciendo su derecho de acceso a la información pública; debido a que en la solicitud consiste en una consulta que no es factible atenderse vía acceso a la información, es decir, que dicho cuestionamiento se colme con documentos que obren en los archivos del </w:t>
      </w:r>
      <w:r w:rsidRPr="00CE697F">
        <w:rPr>
          <w:rFonts w:ascii="Palatino Linotype" w:eastAsia="Palatino Linotype" w:hAnsi="Palatino Linotype" w:cs="Palatino Linotype"/>
          <w:b/>
        </w:rPr>
        <w:t>SUJETO OBLIGADO.</w:t>
      </w:r>
    </w:p>
    <w:p w:rsidR="00445236" w:rsidRPr="00CE697F" w:rsidRDefault="00445236" w:rsidP="00445236">
      <w:pPr>
        <w:pStyle w:val="NormalWeb"/>
        <w:spacing w:before="240" w:beforeAutospacing="0" w:after="240" w:afterAutospacing="0" w:line="360" w:lineRule="auto"/>
        <w:ind w:right="49"/>
        <w:contextualSpacing/>
        <w:jc w:val="both"/>
        <w:rPr>
          <w:rFonts w:ascii="Palatino Linotype" w:eastAsia="Palatino Linotype" w:hAnsi="Palatino Linotype" w:cs="Palatino Linotype"/>
          <w:b/>
        </w:rPr>
      </w:pPr>
    </w:p>
    <w:p w:rsidR="00445236" w:rsidRPr="00CE697F" w:rsidRDefault="00445236" w:rsidP="00445236">
      <w:pPr>
        <w:pStyle w:val="NormalWeb"/>
        <w:spacing w:before="240" w:beforeAutospacing="0" w:after="240" w:afterAutospacing="0" w:line="360" w:lineRule="auto"/>
        <w:ind w:right="49"/>
        <w:contextualSpacing/>
        <w:jc w:val="both"/>
        <w:rPr>
          <w:rFonts w:ascii="Palatino Linotype" w:eastAsia="Palatino Linotype" w:hAnsi="Palatino Linotype" w:cs="Palatino Linotype"/>
        </w:rPr>
      </w:pPr>
      <w:r w:rsidRPr="00CE697F">
        <w:rPr>
          <w:rFonts w:ascii="Palatino Linotype" w:eastAsia="Palatino Linotype" w:hAnsi="Palatino Linotype" w:cs="Palatino Linotype"/>
        </w:rPr>
        <w:t>No obstante,</w:t>
      </w:r>
      <w:r w:rsidRPr="00CE697F">
        <w:rPr>
          <w:rFonts w:ascii="Palatino Linotype" w:eastAsia="Palatino Linotype" w:hAnsi="Palatino Linotype" w:cs="Palatino Linotype"/>
          <w:b/>
        </w:rPr>
        <w:t xml:space="preserve"> EL</w:t>
      </w:r>
      <w:r w:rsidRPr="00CE697F">
        <w:rPr>
          <w:rFonts w:ascii="Palatino Linotype" w:eastAsia="Palatino Linotype" w:hAnsi="Palatino Linotype" w:cs="Palatino Linotype"/>
        </w:rPr>
        <w:t xml:space="preserve"> </w:t>
      </w:r>
      <w:r w:rsidRPr="00CE697F">
        <w:rPr>
          <w:rFonts w:ascii="Palatino Linotype" w:eastAsia="Palatino Linotype" w:hAnsi="Palatino Linotype" w:cs="Palatino Linotype"/>
          <w:b/>
        </w:rPr>
        <w:t>SUJETO OBLIGADO</w:t>
      </w:r>
      <w:r w:rsidRPr="00CE697F">
        <w:rPr>
          <w:rFonts w:ascii="Palatino Linotype" w:eastAsia="Palatino Linotype" w:hAnsi="Palatino Linotype" w:cs="Palatino Linotype"/>
        </w:rPr>
        <w:t xml:space="preserve"> en aras de satisfacer el derecho de acceso a la información pública, emitió su respuesta en donde señala que declina la competencia para otorgar respuesta, adjuntando la Ley de Transparencia y Acceso a la Información Pública del Estado de México y Municipios.</w:t>
      </w:r>
    </w:p>
    <w:p w:rsidR="00445236" w:rsidRPr="00CE697F" w:rsidRDefault="00445236" w:rsidP="00445236">
      <w:pPr>
        <w:pStyle w:val="NormalWeb"/>
        <w:spacing w:before="240" w:beforeAutospacing="0" w:after="240" w:afterAutospacing="0" w:line="360" w:lineRule="auto"/>
        <w:ind w:right="49"/>
        <w:contextualSpacing/>
        <w:jc w:val="both"/>
        <w:rPr>
          <w:rFonts w:ascii="Palatino Linotype" w:eastAsia="Palatino Linotype" w:hAnsi="Palatino Linotype" w:cs="Palatino Linotype"/>
        </w:rPr>
      </w:pPr>
    </w:p>
    <w:p w:rsidR="00445236" w:rsidRPr="00CE697F" w:rsidRDefault="00445236" w:rsidP="00445236">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Conocida la respuesta por la particular, al no estar conforme con los términos de la misma, presentó el recurso de revisión que nos ocupa, mediante el cual señaló como motivo de inconformidad en lo medular que es necesario que se le imponga una búsqueda exhaustiva en su estructura institucional, y de no encontrar registro, se establezca dictamen de inexistencia de la información, ya que debió generar, poseer o administrar la información.</w:t>
      </w:r>
    </w:p>
    <w:p w:rsidR="00445236" w:rsidRPr="00CE697F" w:rsidRDefault="00445236" w:rsidP="00445236">
      <w:pPr>
        <w:spacing w:after="0" w:line="360" w:lineRule="auto"/>
        <w:jc w:val="both"/>
        <w:rPr>
          <w:rFonts w:ascii="Palatino Linotype" w:eastAsia="Palatino Linotype" w:hAnsi="Palatino Linotype" w:cs="Palatino Linotype"/>
          <w:sz w:val="24"/>
          <w:szCs w:val="24"/>
        </w:rPr>
      </w:pPr>
    </w:p>
    <w:p w:rsidR="00445236" w:rsidRPr="00CE697F" w:rsidRDefault="00445236" w:rsidP="00445236">
      <w:pPr>
        <w:spacing w:after="0" w:line="360" w:lineRule="auto"/>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lastRenderedPageBreak/>
        <w:t>Admitido el presente recurso de revisión, en términos del artículo 185 fracción II</w:t>
      </w:r>
      <w:r w:rsidRPr="00CE697F">
        <w:rPr>
          <w:rFonts w:ascii="Palatino Linotype" w:eastAsia="Palatino Linotype" w:hAnsi="Palatino Linotype" w:cs="Palatino Linotype"/>
          <w:sz w:val="24"/>
          <w:szCs w:val="24"/>
          <w:vertAlign w:val="superscript"/>
        </w:rPr>
        <w:footnoteReference w:id="1"/>
      </w:r>
      <w:r w:rsidRPr="00CE697F">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445236" w:rsidRPr="00CE697F" w:rsidRDefault="00445236" w:rsidP="00445236">
      <w:pPr>
        <w:spacing w:after="0" w:line="360" w:lineRule="auto"/>
        <w:jc w:val="both"/>
        <w:rPr>
          <w:rFonts w:ascii="Palatino Linotype" w:eastAsia="Palatino Linotype" w:hAnsi="Palatino Linotype" w:cs="Palatino Linotype"/>
          <w:sz w:val="24"/>
          <w:szCs w:val="24"/>
        </w:rPr>
      </w:pPr>
    </w:p>
    <w:p w:rsidR="00445236" w:rsidRPr="00CE697F" w:rsidRDefault="00445236" w:rsidP="0044523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Cabe resaltar que durante la etapa de manifestaciones </w:t>
      </w:r>
      <w:r w:rsidRPr="00CE697F">
        <w:rPr>
          <w:rFonts w:ascii="Palatino Linotype" w:eastAsia="Palatino Linotype" w:hAnsi="Palatino Linotype" w:cs="Palatino Linotype"/>
          <w:b/>
          <w:sz w:val="24"/>
          <w:szCs w:val="24"/>
        </w:rPr>
        <w:t>LA PARTE RECURRENTE</w:t>
      </w:r>
      <w:r w:rsidRPr="00CE697F">
        <w:rPr>
          <w:rFonts w:ascii="Palatino Linotype" w:eastAsia="Palatino Linotype" w:hAnsi="Palatino Linotype" w:cs="Palatino Linotype"/>
          <w:sz w:val="24"/>
          <w:szCs w:val="24"/>
        </w:rPr>
        <w:t xml:space="preserve"> fue omisa de rendir alegatos, por lo que respecta al</w:t>
      </w:r>
      <w:r w:rsidRPr="00CE697F">
        <w:rPr>
          <w:rFonts w:ascii="Palatino Linotype" w:eastAsia="Palatino Linotype" w:hAnsi="Palatino Linotype" w:cs="Palatino Linotype"/>
          <w:b/>
          <w:sz w:val="24"/>
          <w:szCs w:val="24"/>
        </w:rPr>
        <w:t xml:space="preserve"> SUJETO OBLIGADO</w:t>
      </w:r>
      <w:r w:rsidRPr="00CE697F">
        <w:rPr>
          <w:rFonts w:ascii="Palatino Linotype" w:eastAsia="Palatino Linotype" w:hAnsi="Palatino Linotype" w:cs="Palatino Linotype"/>
          <w:sz w:val="24"/>
          <w:szCs w:val="24"/>
        </w:rPr>
        <w:t xml:space="preserve"> también resultó omiso de remitir su informe justificado conforme a derecho les corresponde. </w:t>
      </w:r>
    </w:p>
    <w:p w:rsidR="00445236" w:rsidRPr="00CE697F" w:rsidRDefault="00445236" w:rsidP="00445236">
      <w:pPr>
        <w:spacing w:after="0" w:line="360" w:lineRule="auto"/>
        <w:contextualSpacing/>
        <w:jc w:val="both"/>
        <w:rPr>
          <w:rFonts w:ascii="Palatino Linotype" w:eastAsia="Palatino Linotype" w:hAnsi="Palatino Linotype" w:cs="Palatino Linotype"/>
          <w:sz w:val="28"/>
          <w:szCs w:val="24"/>
        </w:rPr>
      </w:pPr>
    </w:p>
    <w:p w:rsidR="00445236" w:rsidRPr="00CE697F" w:rsidRDefault="00445236" w:rsidP="00445236">
      <w:pPr>
        <w:spacing w:before="240" w:after="240" w:line="360" w:lineRule="auto"/>
        <w:contextualSpacing/>
        <w:jc w:val="both"/>
        <w:rPr>
          <w:rFonts w:ascii="Palatino Linotype" w:eastAsia="Palatino Linotype" w:hAnsi="Palatino Linotype" w:cs="Palatino Linotype"/>
          <w:sz w:val="24"/>
        </w:rPr>
      </w:pPr>
      <w:r w:rsidRPr="00CE697F">
        <w:rPr>
          <w:rFonts w:ascii="Palatino Linotype" w:eastAsia="Palatino Linotype" w:hAnsi="Palatino Linotype" w:cs="Palatino Linotype"/>
          <w:sz w:val="24"/>
        </w:rPr>
        <w:t>En tal contexto, del análisis realizado al expediente electrónico, se advierte que la solicitud no constituye un derecho de acceso a la información y por lo tanto no es atendible mediante una solicitud de acceso a la información pública, porque se tratan de una consulta para un caso específico, situación que conlleva a afirmar que se está en presencia del ejercicio del derecho de petición.</w:t>
      </w:r>
    </w:p>
    <w:p w:rsidR="00445236" w:rsidRPr="00CE697F" w:rsidRDefault="00445236" w:rsidP="00445236">
      <w:pPr>
        <w:spacing w:before="240" w:after="240" w:line="360" w:lineRule="auto"/>
        <w:contextualSpacing/>
        <w:jc w:val="both"/>
        <w:rPr>
          <w:rFonts w:ascii="Palatino Linotype" w:eastAsia="Palatino Linotype" w:hAnsi="Palatino Linotype" w:cs="Palatino Linotype"/>
          <w:sz w:val="24"/>
        </w:rPr>
      </w:pPr>
    </w:p>
    <w:p w:rsidR="00445236" w:rsidRPr="00CE697F" w:rsidRDefault="00445236" w:rsidP="00445236">
      <w:pPr>
        <w:spacing w:before="240" w:after="240" w:line="360" w:lineRule="auto"/>
        <w:contextualSpacing/>
        <w:jc w:val="both"/>
        <w:rPr>
          <w:rFonts w:ascii="Palatino Linotype" w:eastAsia="Palatino Linotype" w:hAnsi="Palatino Linotype" w:cs="Palatino Linotype"/>
          <w:sz w:val="24"/>
        </w:rPr>
      </w:pPr>
      <w:r w:rsidRPr="00CE697F">
        <w:rPr>
          <w:rFonts w:ascii="Palatino Linotype" w:eastAsia="Palatino Linotype" w:hAnsi="Palatino Linotype" w:cs="Palatino Linotype"/>
          <w:sz w:val="24"/>
        </w:rPr>
        <w:t>En ese sentido, es importante diferenciar lo que se entiende por derecho de petición y por derecho de acceso a la información pública.</w:t>
      </w:r>
    </w:p>
    <w:p w:rsidR="00445236" w:rsidRPr="00CE697F" w:rsidRDefault="00445236" w:rsidP="00445236">
      <w:pPr>
        <w:spacing w:before="240" w:after="240" w:line="360" w:lineRule="auto"/>
        <w:ind w:right="-91"/>
        <w:contextualSpacing/>
        <w:jc w:val="both"/>
        <w:rPr>
          <w:rFonts w:ascii="Palatino Linotype" w:eastAsia="Palatino Linotype" w:hAnsi="Palatino Linotype" w:cs="Palatino Linotype"/>
          <w:sz w:val="24"/>
        </w:rPr>
      </w:pPr>
      <w:r w:rsidRPr="00CE697F">
        <w:rPr>
          <w:rFonts w:ascii="Palatino Linotype" w:eastAsia="Palatino Linotype" w:hAnsi="Palatino Linotype" w:cs="Palatino Linotype"/>
          <w:sz w:val="24"/>
        </w:rPr>
        <w:t>Derecho de Petición:</w:t>
      </w:r>
    </w:p>
    <w:p w:rsidR="00445236" w:rsidRPr="00CE697F" w:rsidRDefault="00445236" w:rsidP="00445236">
      <w:pPr>
        <w:spacing w:before="240" w:after="240" w:line="360" w:lineRule="auto"/>
        <w:ind w:right="-91"/>
        <w:contextualSpacing/>
        <w:jc w:val="both"/>
        <w:rPr>
          <w:rFonts w:ascii="Palatino Linotype" w:eastAsia="Palatino Linotype" w:hAnsi="Palatino Linotype" w:cs="Palatino Linotype"/>
          <w:sz w:val="24"/>
        </w:rPr>
      </w:pPr>
    </w:p>
    <w:p w:rsidR="00445236" w:rsidRPr="00CE697F" w:rsidRDefault="00445236" w:rsidP="00445236">
      <w:pPr>
        <w:spacing w:before="240" w:after="240" w:line="360" w:lineRule="auto"/>
        <w:contextualSpacing/>
        <w:jc w:val="both"/>
        <w:rPr>
          <w:rFonts w:ascii="Palatino Linotype" w:eastAsia="Palatino Linotype" w:hAnsi="Palatino Linotype" w:cs="Palatino Linotype"/>
          <w:sz w:val="24"/>
        </w:rPr>
      </w:pPr>
      <w:r w:rsidRPr="00CE697F">
        <w:rPr>
          <w:rFonts w:ascii="Palatino Linotype" w:eastAsia="Palatino Linotype" w:hAnsi="Palatino Linotype" w:cs="Palatino Linotype"/>
          <w:sz w:val="24"/>
        </w:rPr>
        <w:lastRenderedPageBreak/>
        <w:t>El Doctor Ignacio Burgoa Orihuela refiere que derecho de petición: "...</w:t>
      </w:r>
      <w:r w:rsidRPr="00CE697F">
        <w:rPr>
          <w:rFonts w:ascii="Palatino Linotype" w:eastAsia="Palatino Linotype" w:hAnsi="Palatino Linotype" w:cs="Palatino Linotype"/>
          <w:i/>
          <w:sz w:val="24"/>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CE697F">
        <w:rPr>
          <w:rFonts w:ascii="Palatino Linotype" w:eastAsia="Palatino Linotype" w:hAnsi="Palatino Linotype" w:cs="Palatino Linotype"/>
          <w:sz w:val="24"/>
        </w:rPr>
        <w:t>"</w:t>
      </w:r>
      <w:r w:rsidRPr="00CE697F">
        <w:rPr>
          <w:rFonts w:ascii="Palatino Linotype" w:eastAsia="Palatino Linotype" w:hAnsi="Palatino Linotype" w:cs="Palatino Linotype"/>
          <w:sz w:val="24"/>
          <w:vertAlign w:val="superscript"/>
        </w:rPr>
        <w:footnoteReference w:id="2"/>
      </w:r>
      <w:r w:rsidRPr="00CE697F">
        <w:rPr>
          <w:rFonts w:ascii="Palatino Linotype" w:eastAsia="Palatino Linotype" w:hAnsi="Palatino Linotype" w:cs="Palatino Linotype"/>
          <w:sz w:val="24"/>
        </w:rPr>
        <w:t>(Sic)</w:t>
      </w:r>
    </w:p>
    <w:p w:rsidR="00445236" w:rsidRPr="00CE697F" w:rsidRDefault="00445236" w:rsidP="00445236">
      <w:pPr>
        <w:pBdr>
          <w:top w:val="nil"/>
          <w:left w:val="nil"/>
          <w:bottom w:val="nil"/>
          <w:right w:val="nil"/>
          <w:between w:val="nil"/>
        </w:pBdr>
        <w:spacing w:before="240" w:after="360" w:line="360" w:lineRule="auto"/>
        <w:contextualSpacing/>
        <w:jc w:val="both"/>
        <w:rPr>
          <w:rFonts w:ascii="Palatino Linotype" w:eastAsia="Palatino Linotype" w:hAnsi="Palatino Linotype" w:cs="Palatino Linotype"/>
          <w:i/>
          <w:sz w:val="24"/>
        </w:rPr>
      </w:pPr>
      <w:r w:rsidRPr="00CE697F">
        <w:rPr>
          <w:rFonts w:ascii="Palatino Linotype" w:eastAsia="Palatino Linotype" w:hAnsi="Palatino Linotype" w:cs="Palatino Linotype"/>
          <w:sz w:val="24"/>
        </w:rPr>
        <w:t xml:space="preserve">Por su parte, David Cienfuegos Salgado, concibe al derecho de petición como </w:t>
      </w:r>
      <w:r w:rsidRPr="00CE697F">
        <w:rPr>
          <w:rFonts w:ascii="Palatino Linotype" w:eastAsia="Palatino Linotype" w:hAnsi="Palatino Linotype" w:cs="Palatino Linotype"/>
          <w:i/>
          <w:sz w:val="24"/>
        </w:rPr>
        <w:t>“el derecho de toda persona a ser escuchado por quienes ejercen el poder público.</w:t>
      </w:r>
      <w:r w:rsidRPr="00CE697F">
        <w:rPr>
          <w:rFonts w:ascii="Palatino Linotype" w:eastAsia="Palatino Linotype" w:hAnsi="Palatino Linotype" w:cs="Palatino Linotype"/>
          <w:i/>
          <w:sz w:val="24"/>
          <w:vertAlign w:val="superscript"/>
        </w:rPr>
        <w:t xml:space="preserve"> </w:t>
      </w:r>
      <w:r w:rsidRPr="00CE697F">
        <w:rPr>
          <w:rFonts w:ascii="Palatino Linotype" w:eastAsia="Palatino Linotype" w:hAnsi="Palatino Linotype" w:cs="Palatino Linotype"/>
          <w:i/>
          <w:sz w:val="24"/>
          <w:vertAlign w:val="superscript"/>
        </w:rPr>
        <w:footnoteReference w:id="3"/>
      </w:r>
      <w:r w:rsidRPr="00CE697F">
        <w:rPr>
          <w:rFonts w:ascii="Palatino Linotype" w:eastAsia="Palatino Linotype" w:hAnsi="Palatino Linotype" w:cs="Palatino Linotype"/>
          <w:i/>
          <w:sz w:val="24"/>
        </w:rPr>
        <w:t xml:space="preserve">” (Sic) </w:t>
      </w:r>
    </w:p>
    <w:p w:rsidR="00445236" w:rsidRPr="00CE697F" w:rsidRDefault="00445236" w:rsidP="00445236">
      <w:pPr>
        <w:pBdr>
          <w:top w:val="nil"/>
          <w:left w:val="nil"/>
          <w:bottom w:val="nil"/>
          <w:right w:val="nil"/>
          <w:between w:val="nil"/>
        </w:pBdr>
        <w:spacing w:before="240" w:after="360" w:line="360" w:lineRule="auto"/>
        <w:contextualSpacing/>
        <w:jc w:val="both"/>
        <w:rPr>
          <w:rFonts w:ascii="Palatino Linotype" w:eastAsia="Palatino Linotype" w:hAnsi="Palatino Linotype" w:cs="Palatino Linotype"/>
          <w:i/>
          <w:sz w:val="24"/>
        </w:rPr>
      </w:pPr>
    </w:p>
    <w:p w:rsidR="00445236" w:rsidRPr="00CE697F" w:rsidRDefault="00445236" w:rsidP="00F966EE">
      <w:pPr>
        <w:spacing w:before="240" w:line="360" w:lineRule="auto"/>
        <w:contextualSpacing/>
        <w:jc w:val="both"/>
        <w:rPr>
          <w:rFonts w:ascii="Palatino Linotype" w:eastAsia="Palatino Linotype" w:hAnsi="Palatino Linotype" w:cs="Palatino Linotype"/>
          <w:sz w:val="24"/>
        </w:rPr>
      </w:pPr>
      <w:r w:rsidRPr="00CE697F">
        <w:rPr>
          <w:rFonts w:ascii="Palatino Linotype" w:eastAsia="Palatino Linotype" w:hAnsi="Palatino Linotype" w:cs="Palatino Linotype"/>
          <w:sz w:val="24"/>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CE697F">
        <w:rPr>
          <w:rFonts w:ascii="Palatino Linotype" w:eastAsia="Palatino Linotype" w:hAnsi="Palatino Linotype" w:cs="Palatino Linotype"/>
          <w:sz w:val="24"/>
          <w:vertAlign w:val="superscript"/>
        </w:rPr>
        <w:footnoteReference w:id="4"/>
      </w:r>
    </w:p>
    <w:p w:rsidR="00445236" w:rsidRPr="00CE697F" w:rsidRDefault="00445236" w:rsidP="00445236">
      <w:pPr>
        <w:spacing w:after="240" w:line="360" w:lineRule="auto"/>
        <w:ind w:right="-91"/>
        <w:contextualSpacing/>
        <w:jc w:val="both"/>
        <w:rPr>
          <w:rFonts w:ascii="Palatino Linotype" w:eastAsia="Palatino Linotype" w:hAnsi="Palatino Linotype" w:cs="Palatino Linotype"/>
          <w:sz w:val="24"/>
        </w:rPr>
      </w:pPr>
      <w:r w:rsidRPr="00CE697F">
        <w:rPr>
          <w:rFonts w:ascii="Palatino Linotype" w:eastAsia="Palatino Linotype" w:hAnsi="Palatino Linotype" w:cs="Palatino Linotype"/>
          <w:sz w:val="24"/>
        </w:rPr>
        <w:lastRenderedPageBreak/>
        <w:t>Derecho de Acceso a la Información Pública:</w:t>
      </w:r>
    </w:p>
    <w:p w:rsidR="00445236" w:rsidRPr="00CE697F" w:rsidRDefault="00445236" w:rsidP="00445236">
      <w:pPr>
        <w:spacing w:after="240" w:line="360" w:lineRule="auto"/>
        <w:ind w:right="-91"/>
        <w:contextualSpacing/>
        <w:jc w:val="both"/>
        <w:rPr>
          <w:rFonts w:ascii="Palatino Linotype" w:eastAsia="Palatino Linotype" w:hAnsi="Palatino Linotype" w:cs="Palatino Linotype"/>
          <w:sz w:val="24"/>
        </w:rPr>
      </w:pPr>
    </w:p>
    <w:p w:rsidR="00445236" w:rsidRPr="00CE697F" w:rsidRDefault="00445236" w:rsidP="00445236">
      <w:pPr>
        <w:pBdr>
          <w:top w:val="nil"/>
          <w:left w:val="nil"/>
          <w:bottom w:val="nil"/>
          <w:right w:val="nil"/>
          <w:between w:val="nil"/>
        </w:pBdr>
        <w:spacing w:line="360" w:lineRule="auto"/>
        <w:ind w:right="99"/>
        <w:contextualSpacing/>
        <w:jc w:val="both"/>
        <w:rPr>
          <w:rFonts w:ascii="Palatino Linotype" w:eastAsia="Palatino Linotype" w:hAnsi="Palatino Linotype" w:cs="Palatino Linotype"/>
          <w:sz w:val="24"/>
        </w:rPr>
      </w:pPr>
      <w:r w:rsidRPr="00CE697F">
        <w:rPr>
          <w:rFonts w:ascii="Palatino Linotype" w:eastAsia="Palatino Linotype" w:hAnsi="Palatino Linotype" w:cs="Palatino Linotype"/>
          <w:sz w:val="24"/>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445236" w:rsidRPr="00CE697F" w:rsidRDefault="00445236" w:rsidP="00445236">
      <w:pPr>
        <w:pBdr>
          <w:top w:val="nil"/>
          <w:left w:val="nil"/>
          <w:bottom w:val="nil"/>
          <w:right w:val="nil"/>
          <w:between w:val="nil"/>
        </w:pBdr>
        <w:spacing w:line="360" w:lineRule="auto"/>
        <w:ind w:left="93" w:right="116"/>
        <w:contextualSpacing/>
        <w:rPr>
          <w:sz w:val="24"/>
          <w:szCs w:val="23"/>
        </w:rPr>
      </w:pPr>
    </w:p>
    <w:p w:rsidR="00445236" w:rsidRPr="00CE697F" w:rsidRDefault="00445236" w:rsidP="00445236">
      <w:pPr>
        <w:pBdr>
          <w:top w:val="nil"/>
          <w:left w:val="nil"/>
          <w:bottom w:val="nil"/>
          <w:right w:val="nil"/>
          <w:between w:val="nil"/>
        </w:pBdr>
        <w:spacing w:line="360" w:lineRule="auto"/>
        <w:ind w:right="99"/>
        <w:contextualSpacing/>
        <w:jc w:val="both"/>
        <w:rPr>
          <w:rFonts w:ascii="Palatino Linotype" w:eastAsia="Palatino Linotype" w:hAnsi="Palatino Linotype" w:cs="Palatino Linotype"/>
          <w:sz w:val="24"/>
        </w:rPr>
      </w:pPr>
      <w:r w:rsidRPr="00CE697F">
        <w:rPr>
          <w:rFonts w:ascii="Palatino Linotype" w:eastAsia="Palatino Linotype" w:hAnsi="Palatino Linotype" w:cs="Palatino Linotype"/>
          <w:sz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CE697F">
        <w:rPr>
          <w:rFonts w:ascii="Palatino Linotype" w:eastAsia="Palatino Linotype" w:hAnsi="Palatino Linotype" w:cs="Palatino Linotype"/>
          <w:sz w:val="24"/>
          <w:vertAlign w:val="superscript"/>
        </w:rPr>
        <w:footnoteReference w:id="5"/>
      </w:r>
    </w:p>
    <w:p w:rsidR="00445236" w:rsidRPr="00CE697F" w:rsidRDefault="00445236" w:rsidP="00445236">
      <w:pPr>
        <w:pBdr>
          <w:top w:val="nil"/>
          <w:left w:val="nil"/>
          <w:bottom w:val="nil"/>
          <w:right w:val="nil"/>
          <w:between w:val="nil"/>
        </w:pBdr>
        <w:spacing w:line="360" w:lineRule="auto"/>
        <w:ind w:right="99"/>
        <w:contextualSpacing/>
        <w:jc w:val="both"/>
        <w:rPr>
          <w:rFonts w:ascii="Palatino Linotype" w:eastAsia="Palatino Linotype" w:hAnsi="Palatino Linotype" w:cs="Palatino Linotype"/>
          <w:sz w:val="24"/>
        </w:rPr>
      </w:pPr>
    </w:p>
    <w:p w:rsidR="00445236" w:rsidRPr="00CE697F" w:rsidRDefault="00445236" w:rsidP="00445236">
      <w:pPr>
        <w:pBdr>
          <w:top w:val="nil"/>
          <w:left w:val="nil"/>
          <w:bottom w:val="nil"/>
          <w:right w:val="nil"/>
          <w:between w:val="nil"/>
        </w:pBdr>
        <w:spacing w:line="360" w:lineRule="auto"/>
        <w:ind w:right="99"/>
        <w:contextualSpacing/>
        <w:jc w:val="both"/>
        <w:rPr>
          <w:rFonts w:ascii="Palatino Linotype" w:eastAsia="Palatino Linotype" w:hAnsi="Palatino Linotype" w:cs="Palatino Linotype"/>
          <w:sz w:val="24"/>
        </w:rPr>
      </w:pPr>
      <w:r w:rsidRPr="00CE697F">
        <w:rPr>
          <w:rFonts w:ascii="Palatino Linotype" w:eastAsia="Palatino Linotype" w:hAnsi="Palatino Linotype" w:cs="Palatino Linotype"/>
          <w:sz w:val="24"/>
        </w:rPr>
        <w:t xml:space="preserve">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w:t>
      </w:r>
      <w:r w:rsidRPr="00CE697F">
        <w:rPr>
          <w:rFonts w:ascii="Palatino Linotype" w:eastAsia="Palatino Linotype" w:hAnsi="Palatino Linotype" w:cs="Palatino Linotype"/>
          <w:sz w:val="24"/>
        </w:rPr>
        <w:lastRenderedPageBreak/>
        <w:t>personas y a la formación de opinión pública de calidad para poder participar y luego influir en la vida pública.”</w:t>
      </w:r>
      <w:r w:rsidRPr="00CE697F">
        <w:rPr>
          <w:rFonts w:ascii="Palatino Linotype" w:eastAsia="Palatino Linotype" w:hAnsi="Palatino Linotype" w:cs="Palatino Linotype"/>
          <w:sz w:val="24"/>
          <w:vertAlign w:val="superscript"/>
        </w:rPr>
        <w:footnoteReference w:id="6"/>
      </w:r>
    </w:p>
    <w:p w:rsidR="00445236" w:rsidRPr="00CE697F" w:rsidRDefault="00445236" w:rsidP="00445236">
      <w:pPr>
        <w:pBdr>
          <w:top w:val="nil"/>
          <w:left w:val="nil"/>
          <w:bottom w:val="nil"/>
          <w:right w:val="nil"/>
          <w:between w:val="nil"/>
        </w:pBdr>
        <w:spacing w:line="360" w:lineRule="auto"/>
        <w:ind w:right="96"/>
        <w:contextualSpacing/>
        <w:jc w:val="both"/>
        <w:rPr>
          <w:rFonts w:ascii="Palatino Linotype" w:eastAsia="Palatino Linotype" w:hAnsi="Palatino Linotype" w:cs="Palatino Linotype"/>
          <w:sz w:val="24"/>
        </w:rPr>
      </w:pPr>
    </w:p>
    <w:p w:rsidR="00445236" w:rsidRPr="00CE697F" w:rsidRDefault="00445236" w:rsidP="00445236">
      <w:pPr>
        <w:pBdr>
          <w:top w:val="nil"/>
          <w:left w:val="nil"/>
          <w:bottom w:val="nil"/>
          <w:right w:val="nil"/>
          <w:between w:val="nil"/>
        </w:pBdr>
        <w:spacing w:line="360" w:lineRule="auto"/>
        <w:ind w:right="96"/>
        <w:contextualSpacing/>
        <w:jc w:val="both"/>
        <w:rPr>
          <w:rFonts w:ascii="Palatino Linotype" w:eastAsia="Palatino Linotype" w:hAnsi="Palatino Linotype" w:cs="Palatino Linotype"/>
          <w:sz w:val="24"/>
        </w:rPr>
      </w:pPr>
      <w:r w:rsidRPr="00CE697F">
        <w:rPr>
          <w:rFonts w:ascii="Palatino Linotype" w:eastAsia="Palatino Linotype" w:hAnsi="Palatino Linotype" w:cs="Palatino Linotype"/>
          <w:sz w:val="24"/>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45236" w:rsidRPr="00CE697F" w:rsidRDefault="00445236" w:rsidP="00445236">
      <w:pPr>
        <w:pBdr>
          <w:top w:val="nil"/>
          <w:left w:val="nil"/>
          <w:bottom w:val="nil"/>
          <w:right w:val="nil"/>
          <w:between w:val="nil"/>
        </w:pBdr>
        <w:spacing w:line="360" w:lineRule="auto"/>
        <w:jc w:val="both"/>
        <w:rPr>
          <w:rFonts w:ascii="Palatino Linotype" w:eastAsia="Palatino Linotype" w:hAnsi="Palatino Linotype" w:cs="Palatino Linotype"/>
        </w:rPr>
      </w:pPr>
    </w:p>
    <w:p w:rsidR="00445236" w:rsidRPr="00CE697F" w:rsidRDefault="00445236" w:rsidP="00445236">
      <w:pPr>
        <w:spacing w:line="276" w:lineRule="auto"/>
        <w:ind w:left="567" w:right="567"/>
        <w:jc w:val="both"/>
        <w:rPr>
          <w:rFonts w:ascii="Palatino Linotype" w:eastAsia="Palatino Linotype" w:hAnsi="Palatino Linotype" w:cs="Palatino Linotype"/>
          <w:b/>
          <w:i/>
        </w:rPr>
      </w:pPr>
      <w:r w:rsidRPr="00CE697F">
        <w:rPr>
          <w:rFonts w:ascii="Palatino Linotype" w:eastAsia="Palatino Linotype" w:hAnsi="Palatino Linotype" w:cs="Palatino Linotype"/>
          <w:b/>
          <w:i/>
        </w:rPr>
        <w:t>“CRITERIO 0002-11</w:t>
      </w:r>
    </w:p>
    <w:p w:rsidR="00445236" w:rsidRPr="00CE697F" w:rsidRDefault="00445236" w:rsidP="00445236">
      <w:pPr>
        <w:spacing w:line="276" w:lineRule="auto"/>
        <w:ind w:left="567" w:right="567"/>
        <w:jc w:val="both"/>
        <w:rPr>
          <w:rFonts w:ascii="Palatino Linotype" w:eastAsia="Palatino Linotype" w:hAnsi="Palatino Linotype" w:cs="Palatino Linotype"/>
          <w:i/>
        </w:rPr>
      </w:pPr>
      <w:r w:rsidRPr="00CE697F">
        <w:rPr>
          <w:rFonts w:ascii="Palatino Linotype" w:eastAsia="Palatino Linotype" w:hAnsi="Palatino Linotype" w:cs="Palatino Linotype"/>
          <w:b/>
          <w:i/>
        </w:rPr>
        <w:t>INFORMACIÓN PÚBLICA, CONCEPTO DE, EN MATERIA DE TRANSPARENCIA. INTERPRETACIÓN TEMÁTICA DE LOS ARTÍCULOS 2, FRACCIÓN V, XV, Y XVI, 32, 4,11 Y 41.</w:t>
      </w:r>
      <w:r w:rsidRPr="00CE697F">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45236" w:rsidRPr="00CE697F" w:rsidRDefault="00445236" w:rsidP="00445236">
      <w:pPr>
        <w:spacing w:line="276" w:lineRule="auto"/>
        <w:ind w:left="567" w:right="567"/>
        <w:jc w:val="both"/>
        <w:rPr>
          <w:rFonts w:ascii="Palatino Linotype" w:eastAsia="Palatino Linotype" w:hAnsi="Palatino Linotype" w:cs="Palatino Linotype"/>
          <w:i/>
        </w:rPr>
      </w:pPr>
      <w:r w:rsidRPr="00CE697F">
        <w:rPr>
          <w:rFonts w:ascii="Palatino Linotype" w:eastAsia="Palatino Linotype" w:hAnsi="Palatino Linotype" w:cs="Palatino Linotype"/>
          <w:i/>
        </w:rPr>
        <w:t>En consecuencia el acceso a la información se refiere a que se cumplan cualquiera de los siguientes tres supuestos:</w:t>
      </w:r>
    </w:p>
    <w:p w:rsidR="00445236" w:rsidRPr="00CE697F" w:rsidRDefault="00445236" w:rsidP="00445236">
      <w:pPr>
        <w:spacing w:line="276" w:lineRule="auto"/>
        <w:ind w:left="567" w:right="567"/>
        <w:jc w:val="both"/>
        <w:rPr>
          <w:rFonts w:ascii="Palatino Linotype" w:eastAsia="Palatino Linotype" w:hAnsi="Palatino Linotype" w:cs="Palatino Linotype"/>
          <w:i/>
        </w:rPr>
      </w:pPr>
      <w:r w:rsidRPr="00CE697F">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445236" w:rsidRPr="00CE697F" w:rsidRDefault="00445236" w:rsidP="00445236">
      <w:pPr>
        <w:spacing w:line="276" w:lineRule="auto"/>
        <w:ind w:left="567" w:right="567"/>
        <w:jc w:val="both"/>
        <w:rPr>
          <w:rFonts w:ascii="Palatino Linotype" w:eastAsia="Palatino Linotype" w:hAnsi="Palatino Linotype" w:cs="Palatino Linotype"/>
          <w:i/>
        </w:rPr>
      </w:pPr>
      <w:r w:rsidRPr="00CE697F">
        <w:rPr>
          <w:rFonts w:ascii="Palatino Linotype" w:eastAsia="Palatino Linotype" w:hAnsi="Palatino Linotype" w:cs="Palatino Linotype"/>
          <w:i/>
        </w:rPr>
        <w:lastRenderedPageBreak/>
        <w:t>Que se trate de información registrada en cualquier soporte documental, que en ejercicio de las atribuciones conferidas, sea administrada por los Sujetos Obligados, y</w:t>
      </w:r>
    </w:p>
    <w:p w:rsidR="00445236" w:rsidRPr="00CE697F" w:rsidRDefault="00445236" w:rsidP="00445236">
      <w:pPr>
        <w:spacing w:line="276" w:lineRule="auto"/>
        <w:ind w:left="567" w:right="567"/>
        <w:jc w:val="both"/>
        <w:rPr>
          <w:rFonts w:ascii="Palatino Linotype" w:eastAsia="Palatino Linotype" w:hAnsi="Palatino Linotype" w:cs="Palatino Linotype"/>
          <w:i/>
        </w:rPr>
      </w:pPr>
      <w:r w:rsidRPr="00CE697F">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Obligados.”(Sic)</w:t>
      </w:r>
    </w:p>
    <w:p w:rsidR="00445236" w:rsidRPr="00CE697F" w:rsidRDefault="00445236" w:rsidP="00445236">
      <w:pPr>
        <w:pBdr>
          <w:top w:val="nil"/>
          <w:left w:val="nil"/>
          <w:bottom w:val="nil"/>
          <w:right w:val="nil"/>
          <w:between w:val="nil"/>
        </w:pBdr>
        <w:spacing w:line="360" w:lineRule="auto"/>
        <w:ind w:right="96"/>
        <w:jc w:val="both"/>
        <w:rPr>
          <w:rFonts w:ascii="Palatino Linotype" w:eastAsia="Palatino Linotype" w:hAnsi="Palatino Linotype" w:cs="Palatino Linotype"/>
        </w:rPr>
      </w:pPr>
    </w:p>
    <w:p w:rsidR="00445236" w:rsidRPr="00CE697F" w:rsidRDefault="00445236" w:rsidP="00445236">
      <w:pPr>
        <w:pBdr>
          <w:top w:val="nil"/>
          <w:left w:val="nil"/>
          <w:bottom w:val="nil"/>
          <w:right w:val="nil"/>
          <w:between w:val="nil"/>
        </w:pBdr>
        <w:spacing w:line="360" w:lineRule="auto"/>
        <w:ind w:right="96"/>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rPr>
        <w:t xml:space="preserve">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w:t>
      </w:r>
      <w:r w:rsidRPr="00CE697F">
        <w:rPr>
          <w:rFonts w:ascii="Palatino Linotype" w:eastAsia="Palatino Linotype" w:hAnsi="Palatino Linotype" w:cs="Palatino Linotype"/>
          <w:sz w:val="24"/>
          <w:szCs w:val="24"/>
        </w:rPr>
        <w:t>Obligados por la Ley de la Materia.</w:t>
      </w:r>
    </w:p>
    <w:p w:rsidR="00445236" w:rsidRPr="00CE697F" w:rsidRDefault="00445236" w:rsidP="00445236">
      <w:pPr>
        <w:spacing w:after="0" w:line="360" w:lineRule="auto"/>
        <w:contextualSpacing/>
        <w:jc w:val="both"/>
        <w:rPr>
          <w:rFonts w:ascii="Palatino Linotype" w:eastAsia="Palatino Linotype" w:hAnsi="Palatino Linotype" w:cs="Palatino Linotype"/>
          <w:b/>
          <w:sz w:val="24"/>
          <w:szCs w:val="24"/>
        </w:rPr>
      </w:pPr>
    </w:p>
    <w:p w:rsidR="00445236" w:rsidRPr="00CE697F" w:rsidRDefault="00445236" w:rsidP="00445236">
      <w:pPr>
        <w:pBdr>
          <w:top w:val="nil"/>
          <w:left w:val="nil"/>
          <w:bottom w:val="nil"/>
          <w:right w:val="nil"/>
          <w:between w:val="nil"/>
        </w:pBdr>
        <w:spacing w:line="360" w:lineRule="auto"/>
        <w:ind w:right="96"/>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Con base a lo anterior, tenemos que la parte </w:t>
      </w:r>
      <w:r w:rsidRPr="00CE697F">
        <w:rPr>
          <w:rFonts w:ascii="Palatino Linotype" w:eastAsia="Palatino Linotype" w:hAnsi="Palatino Linotype" w:cs="Palatino Linotype"/>
          <w:b/>
          <w:sz w:val="24"/>
          <w:szCs w:val="24"/>
        </w:rPr>
        <w:t>RECURRENTE</w:t>
      </w:r>
      <w:r w:rsidRPr="00CE697F">
        <w:rPr>
          <w:rFonts w:ascii="Palatino Linotype" w:eastAsia="Palatino Linotype" w:hAnsi="Palatino Linotype" w:cs="Palatino Linotype"/>
          <w:sz w:val="24"/>
          <w:szCs w:val="24"/>
        </w:rPr>
        <w:t xml:space="preserve"> en su solicitud de información requiere de una explicación o bien una razón a una consulta sobre un caso específico por parte del </w:t>
      </w:r>
      <w:r w:rsidRPr="00CE697F">
        <w:rPr>
          <w:rFonts w:ascii="Palatino Linotype" w:eastAsia="Palatino Linotype" w:hAnsi="Palatino Linotype" w:cs="Palatino Linotype"/>
          <w:b/>
          <w:sz w:val="24"/>
          <w:szCs w:val="24"/>
        </w:rPr>
        <w:t>SUJETO OBLIGADO</w:t>
      </w:r>
      <w:r w:rsidRPr="00CE697F">
        <w:rPr>
          <w:rFonts w:ascii="Palatino Linotype" w:eastAsia="Palatino Linotype" w:hAnsi="Palatino Linotype" w:cs="Palatino Linotype"/>
          <w:sz w:val="24"/>
          <w:szCs w:val="24"/>
        </w:rPr>
        <w:t>; por consiguiente, la entrega de una razón o la respuesta a cuestionamientos que no encuentren soporte documental alguno, por parte de los 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rsidR="00FA1D2D" w:rsidRPr="00CE697F" w:rsidRDefault="00FA1D2D" w:rsidP="00FA1D2D">
      <w:pPr>
        <w:pBdr>
          <w:top w:val="nil"/>
          <w:left w:val="nil"/>
          <w:bottom w:val="nil"/>
          <w:right w:val="nil"/>
          <w:between w:val="nil"/>
        </w:pBdr>
        <w:spacing w:line="360" w:lineRule="auto"/>
        <w:ind w:right="96"/>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lastRenderedPageBreak/>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sidRPr="00CE697F">
        <w:rPr>
          <w:rFonts w:ascii="Palatino Linotype" w:eastAsia="Palatino Linotype" w:hAnsi="Palatino Linotype" w:cs="Palatino Linotype"/>
          <w:b/>
          <w:sz w:val="24"/>
          <w:szCs w:val="24"/>
        </w:rPr>
        <w:t>SUJETO OBLIGADO</w:t>
      </w:r>
      <w:r w:rsidRPr="00CE697F">
        <w:rPr>
          <w:rFonts w:ascii="Palatino Linotype" w:eastAsia="Palatino Linotype" w:hAnsi="Palatino Linotype" w:cs="Palatino Linotype"/>
          <w:sz w:val="24"/>
          <w:szCs w:val="24"/>
        </w:rPr>
        <w:t xml:space="preserve"> aclare una inquietud.</w:t>
      </w:r>
    </w:p>
    <w:p w:rsidR="00F966EE" w:rsidRPr="00CE697F" w:rsidRDefault="00F966EE" w:rsidP="00FA1D2D">
      <w:pPr>
        <w:pBdr>
          <w:top w:val="nil"/>
          <w:left w:val="nil"/>
          <w:bottom w:val="nil"/>
          <w:right w:val="nil"/>
          <w:between w:val="nil"/>
        </w:pBdr>
        <w:spacing w:line="360" w:lineRule="auto"/>
        <w:ind w:right="96"/>
        <w:contextualSpacing/>
        <w:jc w:val="both"/>
        <w:rPr>
          <w:rFonts w:ascii="Palatino Linotype" w:eastAsia="Palatino Linotype" w:hAnsi="Palatino Linotype" w:cs="Palatino Linotype"/>
          <w:sz w:val="24"/>
          <w:szCs w:val="24"/>
        </w:rPr>
      </w:pPr>
    </w:p>
    <w:p w:rsidR="00FA1D2D" w:rsidRPr="00CE697F" w:rsidRDefault="00FA1D2D" w:rsidP="00FA1D2D">
      <w:pPr>
        <w:pBdr>
          <w:top w:val="nil"/>
          <w:left w:val="nil"/>
          <w:bottom w:val="nil"/>
          <w:right w:val="nil"/>
          <w:between w:val="nil"/>
        </w:pBdr>
        <w:spacing w:line="360" w:lineRule="auto"/>
        <w:ind w:right="96"/>
        <w:contextualSpacing/>
        <w:jc w:val="both"/>
        <w:rPr>
          <w:rFonts w:ascii="Palatino Linotype" w:eastAsia="Palatino Linotype" w:hAnsi="Palatino Linotype" w:cs="Palatino Linotype"/>
          <w:sz w:val="24"/>
        </w:rPr>
      </w:pPr>
      <w:r w:rsidRPr="00CE697F">
        <w:rPr>
          <w:rFonts w:ascii="Palatino Linotype" w:eastAsia="Palatino Linotype" w:hAnsi="Palatino Linotype" w:cs="Palatino Linotype"/>
          <w:sz w:val="24"/>
        </w:rPr>
        <w:t xml:space="preserve">En virtud de los argumentos expuestos con anterioridad así como del análisis realizado a las constancias que obran en el expediente electrónico del SAIMEX, identificado con folio </w:t>
      </w:r>
      <w:r w:rsidR="00F966EE" w:rsidRPr="00CE697F">
        <w:rPr>
          <w:rFonts w:ascii="Palatino Linotype" w:eastAsia="Palatino Linotype" w:hAnsi="Palatino Linotype" w:cs="Palatino Linotype"/>
          <w:b/>
          <w:sz w:val="24"/>
        </w:rPr>
        <w:t>00008/PANALIEM/IP/2023</w:t>
      </w:r>
      <w:r w:rsidRPr="00CE697F">
        <w:rPr>
          <w:rFonts w:ascii="Palatino Linotype" w:eastAsia="Palatino Linotype" w:hAnsi="Palatino Linotype" w:cs="Palatino Linotype"/>
          <w:sz w:val="24"/>
        </w:rPr>
        <w:t xml:space="preserve">, se determina sobreseer el </w:t>
      </w:r>
      <w:r w:rsidRPr="00CE697F">
        <w:rPr>
          <w:rFonts w:ascii="Palatino Linotype" w:eastAsia="Palatino Linotype" w:hAnsi="Palatino Linotype" w:cs="Palatino Linotype"/>
          <w:sz w:val="24"/>
        </w:rPr>
        <w:lastRenderedPageBreak/>
        <w:t xml:space="preserve">presente recurso de revisión número </w:t>
      </w:r>
      <w:r w:rsidRPr="00CE697F">
        <w:rPr>
          <w:rFonts w:ascii="Palatino Linotype" w:eastAsia="Palatino Linotype" w:hAnsi="Palatino Linotype" w:cs="Palatino Linotype"/>
          <w:b/>
          <w:sz w:val="24"/>
        </w:rPr>
        <w:t>0</w:t>
      </w:r>
      <w:r w:rsidR="00F966EE" w:rsidRPr="00CE697F">
        <w:rPr>
          <w:rFonts w:ascii="Palatino Linotype" w:eastAsia="Palatino Linotype" w:hAnsi="Palatino Linotype" w:cs="Palatino Linotype"/>
          <w:b/>
          <w:sz w:val="24"/>
        </w:rPr>
        <w:t>2339</w:t>
      </w:r>
      <w:r w:rsidRPr="00CE697F">
        <w:rPr>
          <w:rFonts w:ascii="Palatino Linotype" w:eastAsia="Palatino Linotype" w:hAnsi="Palatino Linotype" w:cs="Palatino Linotype"/>
          <w:b/>
          <w:sz w:val="24"/>
        </w:rPr>
        <w:t>/INFOEM/IP/RR/2023,</w:t>
      </w:r>
      <w:r w:rsidRPr="00CE697F">
        <w:rPr>
          <w:rFonts w:ascii="Verdana" w:hAnsi="Verdana"/>
          <w:b/>
          <w:bCs/>
          <w:sz w:val="24"/>
        </w:rPr>
        <w:t xml:space="preserve"> </w:t>
      </w:r>
      <w:r w:rsidRPr="00CE697F">
        <w:rPr>
          <w:rFonts w:ascii="Palatino Linotype" w:eastAsia="Palatino Linotype" w:hAnsi="Palatino Linotype" w:cs="Palatino Linotype"/>
          <w:sz w:val="24"/>
        </w:rPr>
        <w:t>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rsidR="00FA1D2D" w:rsidRPr="00CE697F" w:rsidRDefault="00FA1D2D" w:rsidP="00FA1D2D">
      <w:pPr>
        <w:pBdr>
          <w:top w:val="nil"/>
          <w:left w:val="nil"/>
          <w:bottom w:val="nil"/>
          <w:right w:val="nil"/>
          <w:between w:val="nil"/>
        </w:pBdr>
        <w:ind w:left="567" w:right="616"/>
        <w:jc w:val="both"/>
        <w:rPr>
          <w:rFonts w:ascii="Palatino Linotype" w:eastAsia="Palatino Linotype" w:hAnsi="Palatino Linotype" w:cs="Palatino Linotype"/>
          <w:i/>
        </w:rPr>
      </w:pPr>
    </w:p>
    <w:p w:rsidR="00FA1D2D" w:rsidRPr="00CE697F" w:rsidRDefault="00FA1D2D" w:rsidP="00FA1D2D">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CE697F">
        <w:rPr>
          <w:rFonts w:ascii="Palatino Linotype" w:eastAsia="Palatino Linotype" w:hAnsi="Palatino Linotype" w:cs="Palatino Linotype"/>
          <w:i/>
        </w:rPr>
        <w:t>“</w:t>
      </w:r>
      <w:r w:rsidRPr="00CE697F">
        <w:rPr>
          <w:rFonts w:ascii="Palatino Linotype" w:eastAsia="Palatino Linotype" w:hAnsi="Palatino Linotype" w:cs="Palatino Linotype"/>
          <w:b/>
          <w:i/>
        </w:rPr>
        <w:t>Artículo 192.</w:t>
      </w:r>
      <w:r w:rsidRPr="00CE697F">
        <w:rPr>
          <w:rFonts w:ascii="Palatino Linotype" w:eastAsia="Palatino Linotype" w:hAnsi="Palatino Linotype" w:cs="Palatino Linotype"/>
          <w:i/>
        </w:rPr>
        <w:t xml:space="preserve"> El recurso será sobreseído, en todo o en parte, cuando una vez admitido, se actualicen alguno de los siguientes supuestos:</w:t>
      </w:r>
    </w:p>
    <w:p w:rsidR="00FA1D2D" w:rsidRPr="00CE697F" w:rsidRDefault="00FA1D2D" w:rsidP="00FA1D2D">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CE697F">
        <w:rPr>
          <w:rFonts w:ascii="Palatino Linotype" w:eastAsia="Palatino Linotype" w:hAnsi="Palatino Linotype" w:cs="Palatino Linotype"/>
          <w:i/>
        </w:rPr>
        <w:t>…</w:t>
      </w:r>
    </w:p>
    <w:p w:rsidR="00FA1D2D" w:rsidRPr="00CE697F" w:rsidRDefault="00FA1D2D" w:rsidP="00FA1D2D">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CE697F">
        <w:rPr>
          <w:rFonts w:ascii="Palatino Linotype" w:eastAsia="Palatino Linotype" w:hAnsi="Palatino Linotype" w:cs="Palatino Linotype"/>
          <w:b/>
          <w:i/>
        </w:rPr>
        <w:t>IV</w:t>
      </w:r>
      <w:r w:rsidRPr="00CE697F">
        <w:rPr>
          <w:rFonts w:ascii="Palatino Linotype" w:eastAsia="Palatino Linotype" w:hAnsi="Palatino Linotype" w:cs="Palatino Linotype"/>
          <w:i/>
        </w:rPr>
        <w:t xml:space="preserve">. Admitido el recurso de revisión, </w:t>
      </w:r>
      <w:r w:rsidRPr="00CE697F">
        <w:rPr>
          <w:rFonts w:ascii="Palatino Linotype" w:eastAsia="Palatino Linotype" w:hAnsi="Palatino Linotype" w:cs="Palatino Linotype"/>
          <w:b/>
          <w:i/>
        </w:rPr>
        <w:t>aparezca alguna causal de improcedencia</w:t>
      </w:r>
      <w:r w:rsidRPr="00CE697F">
        <w:rPr>
          <w:rFonts w:ascii="Palatino Linotype" w:eastAsia="Palatino Linotype" w:hAnsi="Palatino Linotype" w:cs="Palatino Linotype"/>
          <w:i/>
        </w:rPr>
        <w:t xml:space="preserve"> en los términos de la presente Ley…</w:t>
      </w:r>
    </w:p>
    <w:p w:rsidR="00FA1D2D" w:rsidRPr="00CE697F" w:rsidRDefault="00FA1D2D" w:rsidP="00FA1D2D">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CE697F">
        <w:rPr>
          <w:rFonts w:ascii="Palatino Linotype" w:eastAsia="Palatino Linotype" w:hAnsi="Palatino Linotype" w:cs="Palatino Linotype"/>
          <w:b/>
          <w:i/>
        </w:rPr>
        <w:t>Artículo 191</w:t>
      </w:r>
      <w:r w:rsidRPr="00CE697F">
        <w:rPr>
          <w:rFonts w:ascii="Palatino Linotype" w:eastAsia="Palatino Linotype" w:hAnsi="Palatino Linotype" w:cs="Palatino Linotype"/>
          <w:i/>
        </w:rPr>
        <w:t xml:space="preserve">. </w:t>
      </w:r>
      <w:r w:rsidRPr="00CE697F">
        <w:rPr>
          <w:rFonts w:ascii="Palatino Linotype" w:eastAsia="Palatino Linotype" w:hAnsi="Palatino Linotype" w:cs="Palatino Linotype"/>
          <w:b/>
          <w:i/>
        </w:rPr>
        <w:t>El recurso</w:t>
      </w:r>
      <w:r w:rsidRPr="00CE697F">
        <w:rPr>
          <w:rFonts w:ascii="Palatino Linotype" w:eastAsia="Palatino Linotype" w:hAnsi="Palatino Linotype" w:cs="Palatino Linotype"/>
          <w:i/>
        </w:rPr>
        <w:t xml:space="preserve"> </w:t>
      </w:r>
      <w:r w:rsidRPr="00CE697F">
        <w:rPr>
          <w:rFonts w:ascii="Palatino Linotype" w:eastAsia="Palatino Linotype" w:hAnsi="Palatino Linotype" w:cs="Palatino Linotype"/>
          <w:b/>
          <w:i/>
        </w:rPr>
        <w:t xml:space="preserve">será </w:t>
      </w:r>
      <w:r w:rsidRPr="00CE697F">
        <w:rPr>
          <w:rFonts w:ascii="Palatino Linotype" w:eastAsia="Palatino Linotype" w:hAnsi="Palatino Linotype" w:cs="Palatino Linotype"/>
          <w:i/>
        </w:rPr>
        <w:t xml:space="preserve">desechado por </w:t>
      </w:r>
      <w:r w:rsidRPr="00CE697F">
        <w:rPr>
          <w:rFonts w:ascii="Palatino Linotype" w:eastAsia="Palatino Linotype" w:hAnsi="Palatino Linotype" w:cs="Palatino Linotype"/>
          <w:b/>
          <w:i/>
        </w:rPr>
        <w:t>improcedente cuando</w:t>
      </w:r>
      <w:r w:rsidRPr="00CE697F">
        <w:rPr>
          <w:rFonts w:ascii="Palatino Linotype" w:eastAsia="Palatino Linotype" w:hAnsi="Palatino Linotype" w:cs="Palatino Linotype"/>
          <w:i/>
        </w:rPr>
        <w:t>:</w:t>
      </w:r>
    </w:p>
    <w:p w:rsidR="00FA1D2D" w:rsidRPr="00CE697F" w:rsidRDefault="00FA1D2D" w:rsidP="00FA1D2D">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CE697F">
        <w:rPr>
          <w:rFonts w:ascii="Palatino Linotype" w:eastAsia="Palatino Linotype" w:hAnsi="Palatino Linotype" w:cs="Palatino Linotype"/>
          <w:i/>
        </w:rPr>
        <w:t>…</w:t>
      </w:r>
    </w:p>
    <w:p w:rsidR="00FA1D2D" w:rsidRPr="00CE697F" w:rsidRDefault="00FA1D2D" w:rsidP="00FA1D2D">
      <w:pPr>
        <w:pBdr>
          <w:top w:val="nil"/>
          <w:left w:val="nil"/>
          <w:bottom w:val="nil"/>
          <w:right w:val="nil"/>
          <w:between w:val="nil"/>
        </w:pBdr>
        <w:spacing w:line="276" w:lineRule="auto"/>
        <w:ind w:left="567" w:right="616"/>
        <w:jc w:val="both"/>
        <w:rPr>
          <w:rFonts w:ascii="Palatino Linotype" w:eastAsia="Palatino Linotype" w:hAnsi="Palatino Linotype" w:cs="Palatino Linotype"/>
          <w:i/>
        </w:rPr>
      </w:pPr>
      <w:r w:rsidRPr="00CE697F">
        <w:rPr>
          <w:rFonts w:ascii="Palatino Linotype" w:eastAsia="Palatino Linotype" w:hAnsi="Palatino Linotype" w:cs="Palatino Linotype"/>
          <w:b/>
          <w:i/>
        </w:rPr>
        <w:t>VI. Se trate de una consulta</w:t>
      </w:r>
      <w:r w:rsidRPr="00CE697F">
        <w:rPr>
          <w:rFonts w:ascii="Palatino Linotype" w:eastAsia="Palatino Linotype" w:hAnsi="Palatino Linotype" w:cs="Palatino Linotype"/>
          <w:i/>
        </w:rPr>
        <w:t>, o tramite en específico... (Sic)</w:t>
      </w:r>
    </w:p>
    <w:p w:rsidR="00FA1D2D" w:rsidRPr="00CE697F" w:rsidRDefault="00FA1D2D" w:rsidP="00FA1D2D">
      <w:pPr>
        <w:spacing w:line="360" w:lineRule="auto"/>
        <w:contextualSpacing/>
        <w:jc w:val="both"/>
        <w:rPr>
          <w:rFonts w:ascii="Palatino Linotype" w:eastAsia="Palatino Linotype" w:hAnsi="Palatino Linotype" w:cs="Palatino Linotype"/>
          <w:sz w:val="24"/>
          <w:szCs w:val="24"/>
        </w:rPr>
      </w:pPr>
    </w:p>
    <w:p w:rsidR="00FA1D2D" w:rsidRPr="00CE697F" w:rsidRDefault="00FA1D2D" w:rsidP="00FA1D2D">
      <w:pPr>
        <w:spacing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Siendo el </w:t>
      </w:r>
      <w:r w:rsidRPr="00CE697F">
        <w:rPr>
          <w:rFonts w:ascii="Palatino Linotype" w:eastAsia="Palatino Linotype" w:hAnsi="Palatino Linotype" w:cs="Palatino Linotype"/>
          <w:i/>
          <w:sz w:val="24"/>
          <w:szCs w:val="24"/>
        </w:rPr>
        <w:t>sobreseimiento</w:t>
      </w:r>
      <w:r w:rsidRPr="00CE697F">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rsidR="00FA1D2D" w:rsidRPr="00CE697F" w:rsidRDefault="00FA1D2D" w:rsidP="00FA1D2D">
      <w:pPr>
        <w:spacing w:line="360" w:lineRule="auto"/>
        <w:contextualSpacing/>
        <w:jc w:val="both"/>
        <w:rPr>
          <w:rFonts w:ascii="Palatino Linotype" w:eastAsia="Palatino Linotype" w:hAnsi="Palatino Linotype" w:cs="Palatino Linotype"/>
          <w:sz w:val="24"/>
          <w:szCs w:val="24"/>
        </w:rPr>
      </w:pPr>
    </w:p>
    <w:p w:rsidR="00FA1D2D" w:rsidRPr="00CE697F" w:rsidRDefault="00FA1D2D" w:rsidP="00FA1D2D">
      <w:pPr>
        <w:spacing w:after="240" w:line="360" w:lineRule="auto"/>
        <w:contextualSpacing/>
        <w:jc w:val="both"/>
        <w:rPr>
          <w:rFonts w:ascii="Palatino Linotype" w:eastAsia="Palatino Linotype" w:hAnsi="Palatino Linotype" w:cs="Palatino Linotype"/>
          <w:b/>
          <w:sz w:val="24"/>
          <w:szCs w:val="24"/>
        </w:rPr>
      </w:pPr>
      <w:r w:rsidRPr="00CE697F">
        <w:rPr>
          <w:rFonts w:ascii="Palatino Linotype" w:eastAsia="Palatino Linotype" w:hAnsi="Palatino Linotype" w:cs="Palatino Linotype"/>
          <w:sz w:val="24"/>
          <w:szCs w:val="24"/>
        </w:rPr>
        <w:lastRenderedPageBreak/>
        <w:t>“</w:t>
      </w:r>
      <w:r w:rsidRPr="00CE697F">
        <w:rPr>
          <w:rFonts w:ascii="Palatino Linotype" w:eastAsia="Palatino Linotype" w:hAnsi="Palatino Linotype" w:cs="Palatino Linotype"/>
          <w:b/>
          <w:sz w:val="24"/>
          <w:szCs w:val="24"/>
        </w:rPr>
        <w:t>SOBRESEIMIENTO, NO PERMITE ENTRAR AL ESTUDIO DE LAS CUESTIONES DE FONDO”</w:t>
      </w:r>
      <w:r w:rsidRPr="00CE697F">
        <w:rPr>
          <w:rFonts w:ascii="Palatino Linotype" w:eastAsia="Palatino Linotype" w:hAnsi="Palatino Linotype" w:cs="Palatino Linotype"/>
          <w:b/>
          <w:sz w:val="24"/>
          <w:szCs w:val="24"/>
          <w:vertAlign w:val="superscript"/>
        </w:rPr>
        <w:footnoteReference w:id="7"/>
      </w:r>
      <w:r w:rsidRPr="00CE697F">
        <w:rPr>
          <w:rFonts w:ascii="Palatino Linotype" w:eastAsia="Palatino Linotype" w:hAnsi="Palatino Linotype" w:cs="Palatino Linotype"/>
          <w:b/>
          <w:sz w:val="24"/>
          <w:szCs w:val="24"/>
        </w:rPr>
        <w:t>.</w:t>
      </w:r>
    </w:p>
    <w:p w:rsidR="00FA1D2D" w:rsidRPr="00CE697F" w:rsidRDefault="00FA1D2D" w:rsidP="00FA1D2D">
      <w:pPr>
        <w:spacing w:after="240" w:line="360" w:lineRule="auto"/>
        <w:contextualSpacing/>
        <w:jc w:val="both"/>
        <w:rPr>
          <w:rFonts w:ascii="Palatino Linotype" w:eastAsia="Palatino Linotype" w:hAnsi="Palatino Linotype" w:cs="Palatino Linotype"/>
          <w:sz w:val="24"/>
          <w:szCs w:val="24"/>
        </w:rPr>
      </w:pPr>
    </w:p>
    <w:p w:rsidR="00FA1D2D" w:rsidRPr="00CE697F" w:rsidRDefault="00FA1D2D" w:rsidP="00FA1D2D">
      <w:pPr>
        <w:spacing w:before="240" w:after="240"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Cabe destacar que la decisión de este órgano colegiado de sobreseer el recurso de revisión no implica una limitación o negación a la justicia, según lo ha establecido el Poder Judicial Federal, en el criterio con rubro “</w:t>
      </w:r>
      <w:r w:rsidRPr="00CE697F">
        <w:rPr>
          <w:rFonts w:ascii="Palatino Linotype" w:eastAsia="Palatino Linotype" w:hAnsi="Palatino Linotype" w:cs="Palatino Linotype"/>
          <w:b/>
          <w:sz w:val="24"/>
          <w:szCs w:val="24"/>
        </w:rPr>
        <w:t>DESECHAMIENTO O SOBRESEIMIENTO EN EL JUICIO DE AMPARO. NO IMPLICA DENEGACIÓN DE JUSTICIA NI GENERA INSEGURIDAD JURÍDICA”</w:t>
      </w:r>
      <w:r w:rsidRPr="00CE697F">
        <w:rPr>
          <w:rFonts w:ascii="Palatino Linotype" w:eastAsia="Palatino Linotype" w:hAnsi="Palatino Linotype" w:cs="Palatino Linotype"/>
          <w:b/>
          <w:sz w:val="24"/>
          <w:szCs w:val="24"/>
          <w:vertAlign w:val="superscript"/>
        </w:rPr>
        <w:footnoteReference w:id="8"/>
      </w:r>
      <w:r w:rsidRPr="00CE697F">
        <w:rPr>
          <w:rFonts w:ascii="Palatino Linotype" w:eastAsia="Palatino Linotype" w:hAnsi="Palatino Linotype" w:cs="Palatino Linotype"/>
          <w:sz w:val="24"/>
          <w:szCs w:val="24"/>
        </w:rPr>
        <w:t xml:space="preserve"> que es aplicable por analogía.</w:t>
      </w:r>
    </w:p>
    <w:p w:rsidR="001B3EAB" w:rsidRPr="00CE697F" w:rsidRDefault="001B3EAB" w:rsidP="00FA1D2D">
      <w:pPr>
        <w:spacing w:before="240" w:after="240" w:line="360" w:lineRule="auto"/>
        <w:contextualSpacing/>
        <w:jc w:val="both"/>
        <w:rPr>
          <w:rFonts w:ascii="Palatino Linotype" w:eastAsia="Palatino Linotype" w:hAnsi="Palatino Linotype" w:cs="Palatino Linotype"/>
          <w:sz w:val="24"/>
          <w:szCs w:val="24"/>
        </w:rPr>
      </w:pPr>
    </w:p>
    <w:p w:rsidR="00F966EE" w:rsidRPr="00CE697F" w:rsidRDefault="00F966EE" w:rsidP="00F966EE">
      <w:pPr>
        <w:spacing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t xml:space="preserve">Así, con fundamento en lo prescrito en los artículos 5 párrafos trigésimo segundo, trigésimo tercero y trigésimo cuarto fracciones IV y V de la Constitución Política del </w:t>
      </w:r>
      <w:r w:rsidRPr="00CE697F">
        <w:rPr>
          <w:rFonts w:ascii="Palatino Linotype" w:eastAsia="Palatino Linotype" w:hAnsi="Palatino Linotype" w:cs="Palatino Linotype"/>
          <w:sz w:val="24"/>
          <w:szCs w:val="24"/>
        </w:rPr>
        <w:lastRenderedPageBreak/>
        <w:t>Estado Libre y Soberano de México; 2, fracción II; 29, 36 fracciones I y II; 176, 178, 181, 185 de la Ley de Transparencia y Acceso a la Información Pública del Estado de México y Municipios, este Pleno:</w:t>
      </w:r>
    </w:p>
    <w:p w:rsidR="00FA1D2D" w:rsidRPr="00CE697F" w:rsidRDefault="00FA1D2D" w:rsidP="00FA1D2D">
      <w:pPr>
        <w:spacing w:line="360" w:lineRule="auto"/>
        <w:ind w:right="49"/>
        <w:contextualSpacing/>
        <w:jc w:val="both"/>
        <w:rPr>
          <w:rFonts w:ascii="Palatino Linotype" w:eastAsia="Palatino Linotype" w:hAnsi="Palatino Linotype" w:cs="Palatino Linotype"/>
          <w:sz w:val="24"/>
          <w:szCs w:val="24"/>
        </w:rPr>
      </w:pPr>
    </w:p>
    <w:p w:rsidR="00FA1D2D" w:rsidRPr="00CE697F" w:rsidRDefault="00FA1D2D" w:rsidP="00FA1D2D">
      <w:pPr>
        <w:spacing w:line="360" w:lineRule="auto"/>
        <w:ind w:left="360"/>
        <w:contextualSpacing/>
        <w:jc w:val="center"/>
        <w:rPr>
          <w:rFonts w:ascii="Palatino Linotype" w:eastAsia="Palatino Linotype" w:hAnsi="Palatino Linotype" w:cs="Palatino Linotype"/>
          <w:b/>
          <w:sz w:val="24"/>
          <w:szCs w:val="24"/>
        </w:rPr>
      </w:pPr>
      <w:r w:rsidRPr="00CE697F">
        <w:rPr>
          <w:rFonts w:ascii="Palatino Linotype" w:eastAsia="Palatino Linotype" w:hAnsi="Palatino Linotype" w:cs="Palatino Linotype"/>
          <w:b/>
          <w:sz w:val="24"/>
          <w:szCs w:val="24"/>
        </w:rPr>
        <w:t>R E S U E L V E:</w:t>
      </w:r>
    </w:p>
    <w:p w:rsidR="00FA1D2D" w:rsidRPr="00CE697F" w:rsidRDefault="00FA1D2D" w:rsidP="00FA1D2D">
      <w:pPr>
        <w:spacing w:line="360" w:lineRule="auto"/>
        <w:ind w:left="360"/>
        <w:contextualSpacing/>
        <w:jc w:val="center"/>
        <w:rPr>
          <w:rFonts w:ascii="Palatino Linotype" w:eastAsia="Palatino Linotype" w:hAnsi="Palatino Linotype" w:cs="Palatino Linotype"/>
          <w:b/>
          <w:sz w:val="24"/>
          <w:szCs w:val="24"/>
        </w:rPr>
      </w:pPr>
    </w:p>
    <w:p w:rsidR="00223798" w:rsidRPr="00CE697F" w:rsidRDefault="00FA1D2D" w:rsidP="00223798">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CE697F">
        <w:rPr>
          <w:rFonts w:ascii="Palatino Linotype" w:eastAsia="Palatino Linotype" w:hAnsi="Palatino Linotype" w:cs="Palatino Linotype"/>
          <w:b/>
          <w:sz w:val="24"/>
          <w:szCs w:val="24"/>
        </w:rPr>
        <w:t>Primero.</w:t>
      </w:r>
      <w:r w:rsidRPr="00CE697F">
        <w:rPr>
          <w:rFonts w:ascii="Palatino Linotype" w:eastAsia="Palatino Linotype" w:hAnsi="Palatino Linotype" w:cs="Palatino Linotype"/>
          <w:sz w:val="24"/>
          <w:szCs w:val="24"/>
        </w:rPr>
        <w:t xml:space="preserve"> Se </w:t>
      </w:r>
      <w:r w:rsidRPr="00CE697F">
        <w:rPr>
          <w:rFonts w:ascii="Palatino Linotype" w:eastAsia="Palatino Linotype" w:hAnsi="Palatino Linotype" w:cs="Palatino Linotype"/>
          <w:b/>
          <w:sz w:val="24"/>
          <w:szCs w:val="24"/>
        </w:rPr>
        <w:t>SOBRESEE</w:t>
      </w:r>
      <w:r w:rsidRPr="00CE697F">
        <w:rPr>
          <w:rFonts w:ascii="Palatino Linotype" w:eastAsia="Palatino Linotype" w:hAnsi="Palatino Linotype" w:cs="Palatino Linotype"/>
          <w:sz w:val="24"/>
          <w:szCs w:val="24"/>
        </w:rPr>
        <w:t xml:space="preserve"> el recurso de revisión número </w:t>
      </w:r>
      <w:r w:rsidRPr="00CE697F">
        <w:rPr>
          <w:rFonts w:ascii="Palatino Linotype" w:eastAsia="Palatino Linotype" w:hAnsi="Palatino Linotype" w:cs="Palatino Linotype"/>
          <w:b/>
          <w:sz w:val="24"/>
          <w:szCs w:val="24"/>
        </w:rPr>
        <w:t>0</w:t>
      </w:r>
      <w:r w:rsidR="00F966EE" w:rsidRPr="00CE697F">
        <w:rPr>
          <w:rFonts w:ascii="Palatino Linotype" w:eastAsia="Palatino Linotype" w:hAnsi="Palatino Linotype" w:cs="Palatino Linotype"/>
          <w:b/>
          <w:sz w:val="24"/>
          <w:szCs w:val="24"/>
        </w:rPr>
        <w:t>2339</w:t>
      </w:r>
      <w:r w:rsidRPr="00CE697F">
        <w:rPr>
          <w:rFonts w:ascii="Palatino Linotype" w:eastAsia="Palatino Linotype" w:hAnsi="Palatino Linotype" w:cs="Palatino Linotype"/>
          <w:b/>
          <w:sz w:val="24"/>
          <w:szCs w:val="24"/>
        </w:rPr>
        <w:t>/INFOEM/IP/RR/202</w:t>
      </w:r>
      <w:r w:rsidR="00F966EE" w:rsidRPr="00CE697F">
        <w:rPr>
          <w:rFonts w:ascii="Palatino Linotype" w:eastAsia="Palatino Linotype" w:hAnsi="Palatino Linotype" w:cs="Palatino Linotype"/>
          <w:b/>
          <w:sz w:val="24"/>
          <w:szCs w:val="24"/>
        </w:rPr>
        <w:t>3</w:t>
      </w:r>
      <w:r w:rsidRPr="00CE697F">
        <w:rPr>
          <w:rFonts w:ascii="Palatino Linotype" w:eastAsia="Palatino Linotype" w:hAnsi="Palatino Linotype" w:cs="Palatino Linotype"/>
          <w:sz w:val="24"/>
          <w:szCs w:val="24"/>
        </w:rPr>
        <w:t xml:space="preserve">, </w:t>
      </w:r>
      <w:r w:rsidR="00223798" w:rsidRPr="00CE697F">
        <w:rPr>
          <w:rFonts w:ascii="Palatino Linotype" w:hAnsi="Palatino Linotype" w:cs="Arial"/>
          <w:sz w:val="24"/>
          <w:szCs w:val="24"/>
          <w:lang w:val="es-ES_tradnl"/>
        </w:rPr>
        <w:t xml:space="preserve">de conformidad con el artículo 192, fracción IV por actualizarse la causal de improcedencia contenida en la fracción VI, del artículo 191, ambos de la Ley de Transparencia y Acceso a la Información Pública del Estado de México y Municipios, en términos del Considerando </w:t>
      </w:r>
      <w:r w:rsidR="00223798" w:rsidRPr="00CE697F">
        <w:rPr>
          <w:rFonts w:ascii="Palatino Linotype" w:hAnsi="Palatino Linotype" w:cs="Arial"/>
          <w:b/>
          <w:sz w:val="24"/>
          <w:szCs w:val="24"/>
          <w:lang w:val="es-ES_tradnl"/>
        </w:rPr>
        <w:t>TERCERO</w:t>
      </w:r>
      <w:r w:rsidR="00223798" w:rsidRPr="00CE697F">
        <w:rPr>
          <w:rFonts w:ascii="Palatino Linotype" w:hAnsi="Palatino Linotype" w:cs="Arial"/>
          <w:sz w:val="24"/>
          <w:szCs w:val="24"/>
          <w:lang w:val="es-ES_tradnl"/>
        </w:rPr>
        <w:t xml:space="preserve"> de la presente resolución</w:t>
      </w:r>
      <w:r w:rsidR="00223798" w:rsidRPr="00CE697F">
        <w:rPr>
          <w:rFonts w:ascii="Palatino Linotype" w:eastAsiaTheme="minorEastAsia" w:hAnsi="Palatino Linotype" w:cs="Arial"/>
          <w:sz w:val="24"/>
          <w:szCs w:val="24"/>
          <w:lang w:val="es-ES_tradnl" w:eastAsia="es-ES"/>
        </w:rPr>
        <w:t>.</w:t>
      </w:r>
    </w:p>
    <w:p w:rsidR="00F966EE" w:rsidRPr="00CE697F" w:rsidRDefault="00F966EE" w:rsidP="00FA1D2D">
      <w:pPr>
        <w:spacing w:line="360" w:lineRule="auto"/>
        <w:contextualSpacing/>
        <w:jc w:val="both"/>
        <w:rPr>
          <w:rFonts w:ascii="Palatino Linotype" w:eastAsia="Palatino Linotype" w:hAnsi="Palatino Linotype" w:cs="Palatino Linotype"/>
          <w:sz w:val="24"/>
          <w:szCs w:val="24"/>
        </w:rPr>
      </w:pPr>
    </w:p>
    <w:p w:rsidR="00FA1D2D" w:rsidRPr="00CE697F" w:rsidRDefault="00F966EE" w:rsidP="00FA1D2D">
      <w:pPr>
        <w:spacing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SEGUNDO.</w:t>
      </w:r>
      <w:r w:rsidR="00FA1D2D" w:rsidRPr="00CE697F">
        <w:rPr>
          <w:rFonts w:ascii="Palatino Linotype" w:eastAsia="Palatino Linotype" w:hAnsi="Palatino Linotype" w:cs="Palatino Linotype"/>
          <w:b/>
          <w:sz w:val="24"/>
          <w:szCs w:val="24"/>
        </w:rPr>
        <w:t xml:space="preserve"> Notifíquese vía SAIMEX</w:t>
      </w:r>
      <w:r w:rsidR="00FA1D2D" w:rsidRPr="00CE697F">
        <w:rPr>
          <w:rFonts w:ascii="Palatino Linotype" w:eastAsia="Palatino Linotype" w:hAnsi="Palatino Linotype" w:cs="Palatino Linotype"/>
          <w:b/>
          <w:i/>
          <w:sz w:val="24"/>
          <w:szCs w:val="24"/>
        </w:rPr>
        <w:t xml:space="preserve">, </w:t>
      </w:r>
      <w:r w:rsidR="00FA1D2D" w:rsidRPr="00CE697F">
        <w:rPr>
          <w:rFonts w:ascii="Palatino Linotype" w:eastAsia="Palatino Linotype" w:hAnsi="Palatino Linotype" w:cs="Palatino Linotype"/>
          <w:sz w:val="24"/>
          <w:szCs w:val="24"/>
        </w:rPr>
        <w:t xml:space="preserve">al Responsable de la Unidad de Transparencia del </w:t>
      </w:r>
      <w:r w:rsidR="00FA1D2D" w:rsidRPr="00CE697F">
        <w:rPr>
          <w:rFonts w:ascii="Palatino Linotype" w:eastAsia="Palatino Linotype" w:hAnsi="Palatino Linotype" w:cs="Palatino Linotype"/>
          <w:b/>
          <w:sz w:val="24"/>
          <w:szCs w:val="24"/>
        </w:rPr>
        <w:t>SUJETO OBLIGADO</w:t>
      </w:r>
      <w:r w:rsidR="00FA1D2D" w:rsidRPr="00CE697F">
        <w:rPr>
          <w:rFonts w:ascii="Palatino Linotype" w:eastAsia="Palatino Linotype" w:hAnsi="Palatino Linotype" w:cs="Palatino Linotype"/>
          <w:sz w:val="24"/>
          <w:szCs w:val="24"/>
        </w:rPr>
        <w:t xml:space="preserve"> la presente resolución, para su conocimiento, lo anterior en términos del artículo 189 de la Ley de Transparencia y Acceso a la Información Pública del Estado de México y Municipios.</w:t>
      </w:r>
    </w:p>
    <w:p w:rsidR="00340B54" w:rsidRPr="00CE697F" w:rsidRDefault="00340B54" w:rsidP="00FA1D2D">
      <w:pPr>
        <w:spacing w:line="360" w:lineRule="auto"/>
        <w:contextualSpacing/>
        <w:jc w:val="both"/>
        <w:rPr>
          <w:rFonts w:ascii="Palatino Linotype" w:eastAsia="Palatino Linotype" w:hAnsi="Palatino Linotype" w:cs="Palatino Linotype"/>
          <w:sz w:val="24"/>
          <w:szCs w:val="24"/>
        </w:rPr>
      </w:pPr>
    </w:p>
    <w:p w:rsidR="00FA1D2D" w:rsidRPr="00CE697F" w:rsidRDefault="00F966EE" w:rsidP="00FA1D2D">
      <w:pPr>
        <w:spacing w:after="240"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b/>
          <w:sz w:val="24"/>
          <w:szCs w:val="24"/>
        </w:rPr>
        <w:t>TERCERO</w:t>
      </w:r>
      <w:r w:rsidR="00FA1D2D" w:rsidRPr="00CE697F">
        <w:rPr>
          <w:rFonts w:ascii="Palatino Linotype" w:eastAsia="Palatino Linotype" w:hAnsi="Palatino Linotype" w:cs="Palatino Linotype"/>
          <w:b/>
          <w:sz w:val="24"/>
          <w:szCs w:val="24"/>
        </w:rPr>
        <w:t xml:space="preserve">. </w:t>
      </w:r>
      <w:r w:rsidR="00FA1D2D" w:rsidRPr="00CE697F">
        <w:rPr>
          <w:rFonts w:ascii="Palatino Linotype" w:hAnsi="Palatino Linotype"/>
          <w:b/>
          <w:bCs/>
          <w:sz w:val="24"/>
          <w:szCs w:val="24"/>
        </w:rPr>
        <w:t xml:space="preserve"> Notifíquese </w:t>
      </w:r>
      <w:r w:rsidR="00FA1D2D" w:rsidRPr="00CE697F">
        <w:rPr>
          <w:rFonts w:ascii="Palatino Linotype" w:hAnsi="Palatino Linotype"/>
          <w:sz w:val="24"/>
          <w:szCs w:val="24"/>
        </w:rPr>
        <w:t>vía SAIMEX</w:t>
      </w:r>
      <w:r w:rsidR="00FA1D2D" w:rsidRPr="00CE697F">
        <w:rPr>
          <w:rFonts w:ascii="Palatino Linotype" w:hAnsi="Palatino Linotype"/>
          <w:b/>
          <w:bCs/>
          <w:sz w:val="24"/>
          <w:szCs w:val="24"/>
        </w:rPr>
        <w:t xml:space="preserve">, </w:t>
      </w:r>
      <w:r w:rsidRPr="00CE697F">
        <w:rPr>
          <w:rFonts w:ascii="Palatino Linotype" w:hAnsi="Palatino Linotype"/>
          <w:sz w:val="24"/>
          <w:szCs w:val="24"/>
        </w:rPr>
        <w:t xml:space="preserve">la presente resolución a </w:t>
      </w:r>
      <w:r w:rsidRPr="00CE697F">
        <w:rPr>
          <w:rFonts w:ascii="Palatino Linotype" w:hAnsi="Palatino Linotype"/>
          <w:b/>
          <w:sz w:val="24"/>
          <w:szCs w:val="24"/>
        </w:rPr>
        <w:t>LA PARTE</w:t>
      </w:r>
      <w:r w:rsidR="00FA1D2D" w:rsidRPr="00CE697F">
        <w:rPr>
          <w:rFonts w:ascii="Palatino Linotype" w:hAnsi="Palatino Linotype"/>
          <w:sz w:val="24"/>
          <w:szCs w:val="24"/>
        </w:rPr>
        <w:t xml:space="preserve"> </w:t>
      </w:r>
      <w:r w:rsidR="00FA1D2D" w:rsidRPr="00CE697F">
        <w:rPr>
          <w:rFonts w:ascii="Palatino Linotype" w:hAnsi="Palatino Linotype"/>
          <w:b/>
          <w:bCs/>
          <w:sz w:val="24"/>
          <w:szCs w:val="24"/>
        </w:rPr>
        <w:t>RECURRENTE</w:t>
      </w:r>
      <w:r w:rsidR="00FA1D2D" w:rsidRPr="00CE697F">
        <w:rPr>
          <w:rFonts w:ascii="Palatino Linotype" w:hAnsi="Palatino Linotype"/>
          <w:sz w:val="24"/>
          <w:szCs w:val="24"/>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F966EE" w:rsidRPr="00CE697F" w:rsidRDefault="00F966EE" w:rsidP="00F966EE">
      <w:pPr>
        <w:spacing w:after="0" w:line="360" w:lineRule="auto"/>
        <w:contextualSpacing/>
        <w:jc w:val="both"/>
        <w:rPr>
          <w:rFonts w:ascii="Palatino Linotype" w:eastAsia="Palatino Linotype" w:hAnsi="Palatino Linotype" w:cs="Palatino Linotype"/>
          <w:sz w:val="24"/>
          <w:szCs w:val="24"/>
        </w:rPr>
      </w:pPr>
      <w:r w:rsidRPr="00CE697F">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w:t>
      </w:r>
      <w:r w:rsidR="00C03E09" w:rsidRPr="00CE697F">
        <w:rPr>
          <w:rFonts w:ascii="Palatino Linotype" w:eastAsia="Palatino Linotype" w:hAnsi="Palatino Linotype" w:cs="Palatino Linotype"/>
          <w:sz w:val="24"/>
          <w:szCs w:val="24"/>
        </w:rPr>
        <w:t>VEINTICINCO</w:t>
      </w:r>
      <w:r w:rsidRPr="00CE697F">
        <w:rPr>
          <w:rFonts w:ascii="Palatino Linotype" w:eastAsia="Palatino Linotype" w:hAnsi="Palatino Linotype" w:cs="Palatino Linotype"/>
          <w:sz w:val="24"/>
          <w:szCs w:val="24"/>
        </w:rPr>
        <w:t xml:space="preserve"> DE OCTUBRE DE DOS MIL VEINTITRÉS, ANTE EL SECRETARIO TÉCNICO DEL PLENO ALEXIS TAPIA RAMÍREZ. </w:t>
      </w:r>
    </w:p>
    <w:p w:rsidR="00F966EE" w:rsidRPr="00CE697F" w:rsidRDefault="00F966EE" w:rsidP="00F966EE">
      <w:pPr>
        <w:spacing w:after="280" w:line="360" w:lineRule="auto"/>
        <w:contextualSpacing/>
        <w:jc w:val="both"/>
        <w:rPr>
          <w:rFonts w:ascii="Palatino Linotype" w:hAnsi="Palatino Linotype"/>
          <w:sz w:val="24"/>
        </w:rPr>
      </w:pPr>
    </w:p>
    <w:p w:rsidR="000948DD" w:rsidRPr="00CE697F" w:rsidRDefault="000948DD"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p w:rsidR="00CE697F" w:rsidRPr="00CE697F" w:rsidRDefault="00CE697F" w:rsidP="000948DD">
      <w:pPr>
        <w:spacing w:line="360" w:lineRule="auto"/>
        <w:contextualSpacing/>
        <w:jc w:val="both"/>
        <w:rPr>
          <w:rFonts w:ascii="Palatino Linotype" w:eastAsia="Palatino Linotype" w:hAnsi="Palatino Linotype" w:cs="Palatino Linotype"/>
          <w:sz w:val="24"/>
          <w:szCs w:val="24"/>
        </w:rPr>
      </w:pPr>
    </w:p>
    <w:sectPr w:rsidR="00CE697F" w:rsidRPr="00CE697F" w:rsidSect="007E0726">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8DA" w:rsidRDefault="00D278DA" w:rsidP="007E0726">
      <w:pPr>
        <w:spacing w:after="0" w:line="240" w:lineRule="auto"/>
      </w:pPr>
      <w:r>
        <w:separator/>
      </w:r>
    </w:p>
  </w:endnote>
  <w:endnote w:type="continuationSeparator" w:id="0">
    <w:p w:rsidR="00D278DA" w:rsidRDefault="00D278DA" w:rsidP="007E0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6EE" w:rsidRDefault="00F966EE" w:rsidP="00F966EE">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9085A">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9085A">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F966EE" w:rsidRDefault="00F966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6EE" w:rsidRDefault="00F966EE" w:rsidP="00F966EE">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9085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9085A">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rsidR="00F966EE" w:rsidRDefault="00F966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8DA" w:rsidRDefault="00D278DA" w:rsidP="007E0726">
      <w:pPr>
        <w:spacing w:after="0" w:line="240" w:lineRule="auto"/>
      </w:pPr>
      <w:r>
        <w:separator/>
      </w:r>
    </w:p>
  </w:footnote>
  <w:footnote w:type="continuationSeparator" w:id="0">
    <w:p w:rsidR="00D278DA" w:rsidRDefault="00D278DA" w:rsidP="007E0726">
      <w:pPr>
        <w:spacing w:after="0" w:line="240" w:lineRule="auto"/>
      </w:pPr>
      <w:r>
        <w:continuationSeparator/>
      </w:r>
    </w:p>
  </w:footnote>
  <w:footnote w:id="1">
    <w:p w:rsidR="00445236" w:rsidRDefault="00445236" w:rsidP="00445236">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445236" w:rsidRDefault="00445236" w:rsidP="00445236">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445236" w:rsidRDefault="00445236" w:rsidP="0044523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3">
    <w:p w:rsidR="00445236" w:rsidRDefault="00445236" w:rsidP="00445236">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4">
    <w:p w:rsidR="00445236" w:rsidRDefault="00445236" w:rsidP="00445236">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5">
    <w:p w:rsidR="00445236" w:rsidRDefault="00445236" w:rsidP="00445236">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6">
    <w:p w:rsidR="00445236" w:rsidRDefault="00445236" w:rsidP="00445236">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 w:id="7">
    <w:p w:rsidR="00FA1D2D" w:rsidRDefault="00FA1D2D" w:rsidP="00FA1D2D">
      <w:pPr>
        <w:pBdr>
          <w:top w:val="nil"/>
          <w:left w:val="nil"/>
          <w:bottom w:val="nil"/>
          <w:right w:val="nil"/>
          <w:between w:val="nil"/>
        </w:pBdr>
        <w:spacing w:before="120" w:after="120"/>
        <w:jc w:val="both"/>
        <w:rPr>
          <w:rFonts w:ascii="Palatino Linotype" w:eastAsia="Palatino Linotype" w:hAnsi="Palatino Linotype" w:cs="Palatino Linotype"/>
          <w:color w:val="000000"/>
          <w:sz w:val="18"/>
          <w:szCs w:val="18"/>
          <w:highlight w:val="white"/>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Localización</w:t>
      </w:r>
      <w:r>
        <w:rPr>
          <w:rFonts w:ascii="Palatino Linotype" w:eastAsia="Palatino Linotype" w:hAnsi="Palatino Linotype" w:cs="Palatino Linotype"/>
          <w:color w:val="000000"/>
          <w:sz w:val="18"/>
          <w:szCs w:val="18"/>
        </w:rPr>
        <w:t>: 2</w:t>
      </w:r>
      <w:r>
        <w:rPr>
          <w:rFonts w:ascii="Palatino Linotype" w:eastAsia="Palatino Linotype" w:hAnsi="Palatino Linotype" w:cs="Palatino Linotype"/>
          <w:color w:val="000000"/>
          <w:sz w:val="18"/>
          <w:szCs w:val="18"/>
          <w:highlight w:val="white"/>
        </w:rPr>
        <w:t>13609. II.2o.183 K. Tribunales Colegiados de Circuito. Octava Época. Semanario Judicial de la Federación. Tomo XIII, Febrero de 1994, Pág. 420</w:t>
      </w:r>
    </w:p>
    <w:p w:rsidR="00FA1D2D" w:rsidRDefault="00FA1D2D" w:rsidP="00FA1D2D">
      <w:pPr>
        <w:pBdr>
          <w:top w:val="nil"/>
          <w:left w:val="nil"/>
          <w:bottom w:val="nil"/>
          <w:right w:val="nil"/>
          <w:between w:val="nil"/>
        </w:pBdr>
        <w:spacing w:before="120" w:after="120"/>
        <w:jc w:val="both"/>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8"/>
          <w:szCs w:val="18"/>
        </w:rPr>
        <w:t>Cuerpo de tesis:</w:t>
      </w:r>
      <w:r>
        <w:rPr>
          <w:rFonts w:ascii="Palatino Linotype" w:eastAsia="Palatino Linotype" w:hAnsi="Palatino Linotype" w:cs="Palatino Linotype"/>
          <w:color w:val="000000"/>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8">
    <w:p w:rsidR="00FA1D2D" w:rsidRDefault="00FA1D2D" w:rsidP="00FA1D2D">
      <w:pPr>
        <w:pBdr>
          <w:top w:val="nil"/>
          <w:left w:val="nil"/>
          <w:bottom w:val="nil"/>
          <w:right w:val="nil"/>
          <w:between w:val="nil"/>
        </w:pBdr>
        <w:jc w:val="both"/>
        <w:rPr>
          <w:rFonts w:ascii="Palatino Linotype" w:eastAsia="Palatino Linotype" w:hAnsi="Palatino Linotype" w:cs="Palatino Linotype"/>
          <w:color w:val="000000"/>
          <w:sz w:val="19"/>
          <w:szCs w:val="19"/>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19"/>
          <w:szCs w:val="19"/>
        </w:rPr>
        <w:t>Cuerpo de la tesis</w:t>
      </w:r>
      <w:r>
        <w:rPr>
          <w:rFonts w:ascii="Palatino Linotype" w:eastAsia="Palatino Linotype" w:hAnsi="Palatino Linotype" w:cs="Palatino Linotype"/>
          <w:color w:val="000000"/>
          <w:sz w:val="19"/>
          <w:szCs w:val="19"/>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2612" w:type="dxa"/>
      <w:tblLayout w:type="fixed"/>
      <w:tblLook w:val="0400" w:firstRow="0" w:lastRow="0" w:firstColumn="0" w:lastColumn="0" w:noHBand="0" w:noVBand="1"/>
    </w:tblPr>
    <w:tblGrid>
      <w:gridCol w:w="2553"/>
      <w:gridCol w:w="3687"/>
    </w:tblGrid>
    <w:tr w:rsidR="007E0726" w:rsidTr="00001A75">
      <w:tc>
        <w:tcPr>
          <w:tcW w:w="2553" w:type="dxa"/>
          <w:vAlign w:val="center"/>
        </w:tcPr>
        <w:p w:rsidR="007E0726" w:rsidRDefault="007E0726" w:rsidP="007E0726">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7" w:type="dxa"/>
          <w:vAlign w:val="center"/>
        </w:tcPr>
        <w:p w:rsidR="007E0726" w:rsidRDefault="00F966EE" w:rsidP="007E0726">
          <w:pPr>
            <w:rPr>
              <w:rFonts w:ascii="Palatino Linotype" w:eastAsia="Palatino Linotype" w:hAnsi="Palatino Linotype" w:cs="Palatino Linotype"/>
              <w:b/>
            </w:rPr>
          </w:pPr>
          <w:r w:rsidRPr="00F966EE">
            <w:rPr>
              <w:rFonts w:ascii="Palatino Linotype" w:eastAsia="Palatino Linotype" w:hAnsi="Palatino Linotype" w:cs="Palatino Linotype"/>
              <w:b/>
            </w:rPr>
            <w:t>02339/INFOEM</w:t>
          </w:r>
          <w:r w:rsidR="001B3EAB" w:rsidRPr="001B3EAB">
            <w:rPr>
              <w:rFonts w:ascii="Palatino Linotype" w:eastAsia="Palatino Linotype" w:hAnsi="Palatino Linotype" w:cs="Palatino Linotype"/>
              <w:b/>
              <w:color w:val="000000" w:themeColor="text1"/>
            </w:rPr>
            <w:t>/IP</w:t>
          </w:r>
          <w:r w:rsidRPr="001B3EAB">
            <w:rPr>
              <w:rFonts w:ascii="Palatino Linotype" w:eastAsia="Palatino Linotype" w:hAnsi="Palatino Linotype" w:cs="Palatino Linotype"/>
              <w:b/>
              <w:color w:val="000000" w:themeColor="text1"/>
            </w:rPr>
            <w:t>/</w:t>
          </w:r>
          <w:r w:rsidRPr="00F966EE">
            <w:rPr>
              <w:rFonts w:ascii="Palatino Linotype" w:eastAsia="Palatino Linotype" w:hAnsi="Palatino Linotype" w:cs="Palatino Linotype"/>
              <w:b/>
            </w:rPr>
            <w:t>RR/2023</w:t>
          </w:r>
        </w:p>
      </w:tc>
    </w:tr>
    <w:tr w:rsidR="007E0726" w:rsidTr="00001A75">
      <w:tc>
        <w:tcPr>
          <w:tcW w:w="2553" w:type="dxa"/>
          <w:vAlign w:val="center"/>
        </w:tcPr>
        <w:p w:rsidR="007E0726" w:rsidRDefault="007E0726" w:rsidP="007E072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7" w:type="dxa"/>
          <w:vAlign w:val="center"/>
        </w:tcPr>
        <w:p w:rsidR="007E0726" w:rsidRDefault="007E0726" w:rsidP="007E0726">
          <w:pPr>
            <w:jc w:val="both"/>
            <w:rPr>
              <w:rFonts w:ascii="Palatino Linotype" w:eastAsia="Palatino Linotype" w:hAnsi="Palatino Linotype" w:cs="Palatino Linotype"/>
              <w:b/>
              <w:color w:val="000000"/>
            </w:rPr>
          </w:pPr>
        </w:p>
      </w:tc>
    </w:tr>
    <w:tr w:rsidR="007E0726" w:rsidTr="00001A75">
      <w:trPr>
        <w:trHeight w:val="228"/>
      </w:trPr>
      <w:tc>
        <w:tcPr>
          <w:tcW w:w="2553" w:type="dxa"/>
          <w:vAlign w:val="center"/>
        </w:tcPr>
        <w:p w:rsidR="007E0726" w:rsidRDefault="007E0726" w:rsidP="007E072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7" w:type="dxa"/>
          <w:vAlign w:val="center"/>
        </w:tcPr>
        <w:p w:rsidR="007E0726" w:rsidRDefault="007E0726" w:rsidP="007E0726">
          <w:pPr>
            <w:jc w:val="both"/>
            <w:rPr>
              <w:rFonts w:ascii="Palatino Linotype" w:eastAsia="Palatino Linotype" w:hAnsi="Palatino Linotype" w:cs="Palatino Linotype"/>
              <w:b/>
            </w:rPr>
          </w:pPr>
          <w:r w:rsidRPr="007E0726">
            <w:rPr>
              <w:rFonts w:ascii="Palatino Linotype" w:eastAsia="Palatino Linotype" w:hAnsi="Palatino Linotype" w:cs="Palatino Linotype"/>
              <w:b/>
            </w:rPr>
            <w:t>Partido Nueva Alianza Estado de México</w:t>
          </w:r>
          <w:r>
            <w:rPr>
              <w:rFonts w:ascii="Palatino Linotype" w:eastAsia="Palatino Linotype" w:hAnsi="Palatino Linotype" w:cs="Palatino Linotype"/>
              <w:b/>
            </w:rPr>
            <w:t>.</w:t>
          </w:r>
        </w:p>
      </w:tc>
    </w:tr>
    <w:tr w:rsidR="007E0726" w:rsidTr="00001A75">
      <w:trPr>
        <w:trHeight w:val="80"/>
      </w:trPr>
      <w:tc>
        <w:tcPr>
          <w:tcW w:w="2553" w:type="dxa"/>
          <w:vAlign w:val="center"/>
        </w:tcPr>
        <w:p w:rsidR="007E0726" w:rsidRDefault="007E0726" w:rsidP="007E072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7" w:type="dxa"/>
          <w:vAlign w:val="center"/>
        </w:tcPr>
        <w:p w:rsidR="007E0726" w:rsidRDefault="007E0726" w:rsidP="007E0726">
          <w:pPr>
            <w:ind w:right="-533"/>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7E0726" w:rsidRDefault="00F966EE">
    <w:pPr>
      <w:pStyle w:val="Encabezado"/>
    </w:pPr>
    <w:r>
      <w:rPr>
        <w:noProof/>
        <w:lang w:eastAsia="es-MX"/>
      </w:rPr>
      <w:drawing>
        <wp:anchor distT="0" distB="0" distL="0" distR="0" simplePos="0" relativeHeight="251661312" behindDoc="1" locked="0" layoutInCell="1" hidden="0" allowOverlap="1" wp14:anchorId="0D09A5D3" wp14:editId="462B3E8F">
          <wp:simplePos x="0" y="0"/>
          <wp:positionH relativeFrom="column">
            <wp:posOffset>-674370</wp:posOffset>
          </wp:positionH>
          <wp:positionV relativeFrom="paragraph">
            <wp:posOffset>-1536700</wp:posOffset>
          </wp:positionV>
          <wp:extent cx="7648575" cy="9855835"/>
          <wp:effectExtent l="0" t="0" r="9525"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48575" cy="985583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2612" w:type="dxa"/>
      <w:tblLayout w:type="fixed"/>
      <w:tblLook w:val="0400" w:firstRow="0" w:lastRow="0" w:firstColumn="0" w:lastColumn="0" w:noHBand="0" w:noVBand="1"/>
    </w:tblPr>
    <w:tblGrid>
      <w:gridCol w:w="2553"/>
      <w:gridCol w:w="3687"/>
    </w:tblGrid>
    <w:tr w:rsidR="007E0726" w:rsidTr="00001A75">
      <w:tc>
        <w:tcPr>
          <w:tcW w:w="2553" w:type="dxa"/>
          <w:vAlign w:val="center"/>
        </w:tcPr>
        <w:p w:rsidR="007E0726" w:rsidRPr="001B3EAB" w:rsidRDefault="007E0726" w:rsidP="007E0726">
          <w:pPr>
            <w:rPr>
              <w:rFonts w:ascii="Palatino Linotype" w:eastAsia="Palatino Linotype" w:hAnsi="Palatino Linotype" w:cs="Palatino Linotype"/>
              <w:b/>
              <w:color w:val="000000" w:themeColor="text1"/>
            </w:rPr>
          </w:pPr>
          <w:r w:rsidRPr="001B3EAB">
            <w:rPr>
              <w:rFonts w:ascii="Palatino Linotype" w:eastAsia="Palatino Linotype" w:hAnsi="Palatino Linotype" w:cs="Palatino Linotype"/>
              <w:b/>
              <w:color w:val="000000" w:themeColor="text1"/>
            </w:rPr>
            <w:t>Recurso de Revisión:</w:t>
          </w:r>
        </w:p>
      </w:tc>
      <w:tc>
        <w:tcPr>
          <w:tcW w:w="3687" w:type="dxa"/>
          <w:vAlign w:val="center"/>
        </w:tcPr>
        <w:p w:rsidR="007E0726" w:rsidRPr="001B3EAB" w:rsidRDefault="007E0726" w:rsidP="001B3EAB">
          <w:pPr>
            <w:rPr>
              <w:rFonts w:ascii="Palatino Linotype" w:eastAsia="Palatino Linotype" w:hAnsi="Palatino Linotype" w:cs="Palatino Linotype"/>
              <w:b/>
              <w:color w:val="000000" w:themeColor="text1"/>
            </w:rPr>
          </w:pPr>
          <w:r w:rsidRPr="001B3EAB">
            <w:rPr>
              <w:rFonts w:ascii="Palatino Linotype" w:eastAsia="Palatino Linotype" w:hAnsi="Palatino Linotype" w:cs="Palatino Linotype"/>
              <w:b/>
              <w:color w:val="000000" w:themeColor="text1"/>
            </w:rPr>
            <w:t>02339/INFOEM/</w:t>
          </w:r>
          <w:r w:rsidR="001B3EAB" w:rsidRPr="001B3EAB">
            <w:rPr>
              <w:rFonts w:ascii="Palatino Linotype" w:eastAsia="Palatino Linotype" w:hAnsi="Palatino Linotype" w:cs="Palatino Linotype"/>
              <w:b/>
              <w:color w:val="000000" w:themeColor="text1"/>
            </w:rPr>
            <w:t>IP</w:t>
          </w:r>
          <w:r w:rsidRPr="001B3EAB">
            <w:rPr>
              <w:rFonts w:ascii="Palatino Linotype" w:eastAsia="Palatino Linotype" w:hAnsi="Palatino Linotype" w:cs="Palatino Linotype"/>
              <w:b/>
              <w:color w:val="000000" w:themeColor="text1"/>
            </w:rPr>
            <w:t>/RR/2023</w:t>
          </w:r>
        </w:p>
      </w:tc>
    </w:tr>
    <w:tr w:rsidR="007E0726" w:rsidTr="00001A75">
      <w:tc>
        <w:tcPr>
          <w:tcW w:w="2553" w:type="dxa"/>
          <w:vAlign w:val="center"/>
        </w:tcPr>
        <w:p w:rsidR="007E0726" w:rsidRDefault="007E0726" w:rsidP="007E0726">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7" w:type="dxa"/>
          <w:vAlign w:val="center"/>
        </w:tcPr>
        <w:p w:rsidR="007E0726" w:rsidRDefault="00A9085A" w:rsidP="00A9085A">
          <w:pPr>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 XXXXXXX XX XXXXXXXXXX XX XXXXXXXXXX</w:t>
          </w:r>
          <w:r w:rsidR="007E0726">
            <w:rPr>
              <w:rFonts w:ascii="Palatino Linotype" w:eastAsia="Palatino Linotype" w:hAnsi="Palatino Linotype" w:cs="Palatino Linotype"/>
              <w:b/>
              <w:color w:val="000000"/>
            </w:rPr>
            <w:t>.</w:t>
          </w:r>
        </w:p>
      </w:tc>
    </w:tr>
    <w:tr w:rsidR="007E0726" w:rsidTr="00001A75">
      <w:trPr>
        <w:trHeight w:val="228"/>
      </w:trPr>
      <w:tc>
        <w:tcPr>
          <w:tcW w:w="2553" w:type="dxa"/>
          <w:vAlign w:val="center"/>
        </w:tcPr>
        <w:p w:rsidR="007E0726" w:rsidRDefault="007E0726" w:rsidP="007E0726">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7" w:type="dxa"/>
          <w:vAlign w:val="center"/>
        </w:tcPr>
        <w:p w:rsidR="007E0726" w:rsidRDefault="007E0726" w:rsidP="007E0726">
          <w:pPr>
            <w:jc w:val="both"/>
            <w:rPr>
              <w:rFonts w:ascii="Palatino Linotype" w:eastAsia="Palatino Linotype" w:hAnsi="Palatino Linotype" w:cs="Palatino Linotype"/>
              <w:b/>
            </w:rPr>
          </w:pPr>
          <w:r w:rsidRPr="007E0726">
            <w:rPr>
              <w:rFonts w:ascii="Palatino Linotype" w:eastAsia="Palatino Linotype" w:hAnsi="Palatino Linotype" w:cs="Palatino Linotype"/>
              <w:b/>
            </w:rPr>
            <w:t>Partido Nueva Alianza Estado de México</w:t>
          </w:r>
          <w:r>
            <w:rPr>
              <w:rFonts w:ascii="Palatino Linotype" w:eastAsia="Palatino Linotype" w:hAnsi="Palatino Linotype" w:cs="Palatino Linotype"/>
              <w:b/>
            </w:rPr>
            <w:t>.</w:t>
          </w:r>
        </w:p>
      </w:tc>
    </w:tr>
    <w:tr w:rsidR="007E0726" w:rsidTr="00001A75">
      <w:trPr>
        <w:trHeight w:val="80"/>
      </w:trPr>
      <w:tc>
        <w:tcPr>
          <w:tcW w:w="2553" w:type="dxa"/>
          <w:vAlign w:val="center"/>
        </w:tcPr>
        <w:p w:rsidR="007E0726" w:rsidRDefault="007E0726" w:rsidP="007E0726">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7" w:type="dxa"/>
          <w:vAlign w:val="center"/>
        </w:tcPr>
        <w:p w:rsidR="007E0726" w:rsidRDefault="007E0726" w:rsidP="007E0726">
          <w:pPr>
            <w:ind w:right="-533"/>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rsidR="007E0726" w:rsidRDefault="007E0726">
    <w:pPr>
      <w:pStyle w:val="Encabezado"/>
    </w:pPr>
    <w:r>
      <w:rPr>
        <w:noProof/>
        <w:lang w:eastAsia="es-MX"/>
      </w:rPr>
      <w:drawing>
        <wp:anchor distT="0" distB="0" distL="0" distR="0" simplePos="0" relativeHeight="251659264" behindDoc="1" locked="0" layoutInCell="1" hidden="0" allowOverlap="1" wp14:anchorId="71E721CA" wp14:editId="4B0843DC">
          <wp:simplePos x="0" y="0"/>
          <wp:positionH relativeFrom="column">
            <wp:posOffset>-731520</wp:posOffset>
          </wp:positionH>
          <wp:positionV relativeFrom="paragraph">
            <wp:posOffset>-1536700</wp:posOffset>
          </wp:positionV>
          <wp:extent cx="7648575" cy="9855835"/>
          <wp:effectExtent l="0" t="0" r="9525"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48575" cy="985583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36FA2"/>
    <w:multiLevelType w:val="multilevel"/>
    <w:tmpl w:val="D6808FD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BF528E"/>
    <w:multiLevelType w:val="hybridMultilevel"/>
    <w:tmpl w:val="A232C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CB44CF1"/>
    <w:multiLevelType w:val="hybridMultilevel"/>
    <w:tmpl w:val="4F6A120E"/>
    <w:lvl w:ilvl="0" w:tplc="3676B820">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DA15AEF"/>
    <w:multiLevelType w:val="multilevel"/>
    <w:tmpl w:val="923222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26"/>
    <w:rsid w:val="000304E7"/>
    <w:rsid w:val="000948DD"/>
    <w:rsid w:val="001B3EAB"/>
    <w:rsid w:val="001D47DB"/>
    <w:rsid w:val="00223798"/>
    <w:rsid w:val="00340B54"/>
    <w:rsid w:val="00366112"/>
    <w:rsid w:val="00445236"/>
    <w:rsid w:val="007E0726"/>
    <w:rsid w:val="00945964"/>
    <w:rsid w:val="00A9085A"/>
    <w:rsid w:val="00C03E09"/>
    <w:rsid w:val="00C3039C"/>
    <w:rsid w:val="00C601E9"/>
    <w:rsid w:val="00CA4236"/>
    <w:rsid w:val="00CE697F"/>
    <w:rsid w:val="00D278DA"/>
    <w:rsid w:val="00D60E98"/>
    <w:rsid w:val="00EC3171"/>
    <w:rsid w:val="00ED011A"/>
    <w:rsid w:val="00F77CF0"/>
    <w:rsid w:val="00F92489"/>
    <w:rsid w:val="00F966EE"/>
    <w:rsid w:val="00FA1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600FC93-CC31-4410-BD12-38FC6C03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7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7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0726"/>
  </w:style>
  <w:style w:type="paragraph" w:styleId="Piedepgina">
    <w:name w:val="footer"/>
    <w:basedOn w:val="Normal"/>
    <w:link w:val="PiedepginaCar"/>
    <w:uiPriority w:val="99"/>
    <w:unhideWhenUsed/>
    <w:rsid w:val="007E07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0726"/>
  </w:style>
  <w:style w:type="paragraph" w:styleId="Prrafodelista">
    <w:name w:val="List Paragraph"/>
    <w:basedOn w:val="Normal"/>
    <w:uiPriority w:val="34"/>
    <w:qFormat/>
    <w:rsid w:val="000948DD"/>
    <w:pPr>
      <w:ind w:left="720"/>
      <w:contextualSpacing/>
    </w:pPr>
  </w:style>
  <w:style w:type="paragraph" w:styleId="NormalWeb">
    <w:name w:val="Normal (Web)"/>
    <w:basedOn w:val="Normal"/>
    <w:uiPriority w:val="99"/>
    <w:unhideWhenUsed/>
    <w:rsid w:val="000948D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3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4952</Words>
  <Characters>27239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2023-10-27T18:37:00Z</cp:lastPrinted>
  <dcterms:created xsi:type="dcterms:W3CDTF">2023-11-07T19:57:00Z</dcterms:created>
  <dcterms:modified xsi:type="dcterms:W3CDTF">2023-11-07T19:57:00Z</dcterms:modified>
</cp:coreProperties>
</file>