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A06846" w:rsidRPr="00B221F3">
        <w:rPr>
          <w:rFonts w:ascii="Palatino Linotype" w:eastAsia="Palatino Linotype" w:hAnsi="Palatino Linotype" w:cs="Palatino Linotype"/>
        </w:rPr>
        <w:t xml:space="preserve">catorce de junio </w:t>
      </w:r>
      <w:r w:rsidRPr="00B221F3">
        <w:rPr>
          <w:rFonts w:ascii="Palatino Linotype" w:eastAsia="Palatino Linotype" w:hAnsi="Palatino Linotype" w:cs="Palatino Linotype"/>
        </w:rPr>
        <w:t>de dos mil veintitrés.</w:t>
      </w:r>
    </w:p>
    <w:p w:rsidR="00B46B25" w:rsidRPr="00B221F3" w:rsidRDefault="00682350">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B221F3">
        <w:rPr>
          <w:rFonts w:ascii="Palatino Linotype" w:eastAsia="Palatino Linotype" w:hAnsi="Palatino Linotype" w:cs="Palatino Linotype"/>
          <w:b/>
        </w:rPr>
        <w:t xml:space="preserve">VISTOS </w:t>
      </w:r>
      <w:r w:rsidRPr="00B221F3">
        <w:rPr>
          <w:rFonts w:ascii="Palatino Linotype" w:eastAsia="Palatino Linotype" w:hAnsi="Palatino Linotype" w:cs="Palatino Linotype"/>
        </w:rPr>
        <w:t xml:space="preserve">los expedientes relativos a los recursos de revisión </w:t>
      </w:r>
      <w:r w:rsidR="00D57AF3" w:rsidRPr="00B221F3">
        <w:rPr>
          <w:rFonts w:ascii="Palatino Linotype" w:eastAsia="Palatino Linotype" w:hAnsi="Palatino Linotype" w:cs="Palatino Linotype"/>
          <w:b/>
        </w:rPr>
        <w:t>16184</w:t>
      </w:r>
      <w:r w:rsidRPr="00B221F3">
        <w:rPr>
          <w:rFonts w:ascii="Palatino Linotype" w:eastAsia="Palatino Linotype" w:hAnsi="Palatino Linotype" w:cs="Palatino Linotype"/>
          <w:b/>
        </w:rPr>
        <w:t xml:space="preserve">/INFOEM/IP/RR/2022, </w:t>
      </w:r>
      <w:r w:rsidR="00D57AF3" w:rsidRPr="00B221F3">
        <w:rPr>
          <w:rFonts w:ascii="Palatino Linotype" w:eastAsia="Palatino Linotype" w:hAnsi="Palatino Linotype" w:cs="Palatino Linotype"/>
          <w:b/>
        </w:rPr>
        <w:t>16185</w:t>
      </w:r>
      <w:r w:rsidRPr="00B221F3">
        <w:rPr>
          <w:rFonts w:ascii="Palatino Linotype" w:eastAsia="Palatino Linotype" w:hAnsi="Palatino Linotype" w:cs="Palatino Linotype"/>
          <w:b/>
        </w:rPr>
        <w:t xml:space="preserve">/INFOEM/IP/RR/2022, </w:t>
      </w:r>
      <w:r w:rsidR="00EB67B5" w:rsidRPr="00B221F3">
        <w:rPr>
          <w:rFonts w:ascii="Palatino Linotype" w:eastAsia="Palatino Linotype" w:hAnsi="Palatino Linotype" w:cs="Palatino Linotype"/>
          <w:b/>
        </w:rPr>
        <w:t>16186/INFOEM/IP/RR/2022</w:t>
      </w:r>
      <w:r w:rsidRPr="00B221F3">
        <w:rPr>
          <w:rFonts w:ascii="Palatino Linotype" w:eastAsia="Palatino Linotype" w:hAnsi="Palatino Linotype" w:cs="Palatino Linotype"/>
          <w:b/>
        </w:rPr>
        <w:t xml:space="preserve">, </w:t>
      </w:r>
      <w:r w:rsidR="00EB67B5" w:rsidRPr="00B221F3">
        <w:rPr>
          <w:rFonts w:ascii="Palatino Linotype" w:eastAsia="Palatino Linotype" w:hAnsi="Palatino Linotype" w:cs="Palatino Linotype"/>
          <w:b/>
        </w:rPr>
        <w:t>16187/INFOEM/IP/RR/2022</w:t>
      </w:r>
      <w:r w:rsidRPr="00B221F3">
        <w:rPr>
          <w:rFonts w:ascii="Palatino Linotype" w:eastAsia="Palatino Linotype" w:hAnsi="Palatino Linotype" w:cs="Palatino Linotype"/>
          <w:b/>
        </w:rPr>
        <w:t xml:space="preserve">, </w:t>
      </w:r>
      <w:r w:rsidR="00EB67B5" w:rsidRPr="00B221F3">
        <w:rPr>
          <w:rFonts w:ascii="Palatino Linotype" w:eastAsia="Palatino Linotype" w:hAnsi="Palatino Linotype" w:cs="Palatino Linotype"/>
          <w:b/>
        </w:rPr>
        <w:t>1618</w:t>
      </w:r>
      <w:r w:rsidR="00280104" w:rsidRPr="00B221F3">
        <w:rPr>
          <w:rFonts w:ascii="Palatino Linotype" w:eastAsia="Palatino Linotype" w:hAnsi="Palatino Linotype" w:cs="Palatino Linotype"/>
          <w:b/>
        </w:rPr>
        <w:t>8</w:t>
      </w:r>
      <w:r w:rsidR="00EB67B5" w:rsidRPr="00B221F3">
        <w:rPr>
          <w:rFonts w:ascii="Palatino Linotype" w:eastAsia="Palatino Linotype" w:hAnsi="Palatino Linotype" w:cs="Palatino Linotype"/>
          <w:b/>
        </w:rPr>
        <w:t>/INFOEM/IP/RR/2022,</w:t>
      </w:r>
      <w:r w:rsidR="00280104" w:rsidRPr="00B221F3">
        <w:rPr>
          <w:rFonts w:ascii="Palatino Linotype" w:eastAsia="Palatino Linotype" w:hAnsi="Palatino Linotype" w:cs="Palatino Linotype"/>
          <w:b/>
        </w:rPr>
        <w:t xml:space="preserve"> 16189/INFOEM/IP/RR/2022</w:t>
      </w:r>
      <w:r w:rsidR="00EB67B5" w:rsidRPr="00B221F3">
        <w:rPr>
          <w:rFonts w:ascii="Palatino Linotype" w:eastAsia="Palatino Linotype" w:hAnsi="Palatino Linotype" w:cs="Palatino Linotype"/>
          <w:b/>
        </w:rPr>
        <w:t xml:space="preserve"> 16190/INFOEM/IP/RR/2022. 16191/INFOEM/IP/RR/2022</w:t>
      </w:r>
      <w:r w:rsidRPr="00B221F3">
        <w:rPr>
          <w:rFonts w:ascii="Palatino Linotype" w:eastAsia="Palatino Linotype" w:hAnsi="Palatino Linotype" w:cs="Palatino Linotype"/>
          <w:b/>
        </w:rPr>
        <w:t xml:space="preserve">  </w:t>
      </w:r>
      <w:r w:rsidR="00EB67B5" w:rsidRPr="00B221F3">
        <w:rPr>
          <w:rFonts w:ascii="Palatino Linotype" w:eastAsia="Palatino Linotype" w:hAnsi="Palatino Linotype" w:cs="Palatino Linotype"/>
          <w:b/>
        </w:rPr>
        <w:t>16192</w:t>
      </w:r>
      <w:r w:rsidRPr="00B221F3">
        <w:rPr>
          <w:rFonts w:ascii="Palatino Linotype" w:eastAsia="Palatino Linotype" w:hAnsi="Palatino Linotype" w:cs="Palatino Linotype"/>
          <w:b/>
        </w:rPr>
        <w:t xml:space="preserve">/INFOEM/IP/RR/2022, </w:t>
      </w:r>
      <w:r w:rsidR="00280104" w:rsidRPr="00B221F3">
        <w:rPr>
          <w:rFonts w:ascii="Palatino Linotype" w:eastAsia="Palatino Linotype" w:hAnsi="Palatino Linotype" w:cs="Palatino Linotype"/>
          <w:b/>
        </w:rPr>
        <w:t>y 16193/INFOEM/IP/RR/2022</w:t>
      </w:r>
      <w:r w:rsidRPr="00B221F3">
        <w:rPr>
          <w:rFonts w:ascii="Palatino Linotype" w:eastAsia="Palatino Linotype" w:hAnsi="Palatino Linotype" w:cs="Palatino Linotype"/>
          <w:b/>
        </w:rPr>
        <w:t>acumulados</w:t>
      </w:r>
      <w:r w:rsidRPr="00B221F3">
        <w:rPr>
          <w:rFonts w:ascii="Palatino Linotype" w:eastAsia="Palatino Linotype" w:hAnsi="Palatino Linotype" w:cs="Palatino Linotype"/>
        </w:rPr>
        <w:t>, interpuestos por</w:t>
      </w:r>
      <w:r w:rsidR="00EB67B5" w:rsidRPr="00B221F3">
        <w:rPr>
          <w:rFonts w:ascii="Palatino Linotype" w:eastAsia="Palatino Linotype" w:hAnsi="Palatino Linotype" w:cs="Palatino Linotype"/>
        </w:rPr>
        <w:t xml:space="preserve"> </w:t>
      </w:r>
      <w:r w:rsidR="00270219">
        <w:rPr>
          <w:rFonts w:ascii="Palatino Linotype" w:eastAsia="Palatino Linotype" w:hAnsi="Palatino Linotype" w:cs="Palatino Linotype"/>
          <w:b/>
        </w:rPr>
        <w:t>XXXX XXXXXX XXXXX XXXXXX</w:t>
      </w:r>
      <w:bookmarkStart w:id="1" w:name="_GoBack"/>
      <w:bookmarkEnd w:id="1"/>
      <w:r w:rsidRPr="00B221F3">
        <w:rPr>
          <w:rFonts w:ascii="Palatino Linotype" w:eastAsia="Palatino Linotype" w:hAnsi="Palatino Linotype" w:cs="Palatino Linotype"/>
          <w:b/>
        </w:rPr>
        <w:t>,</w:t>
      </w:r>
      <w:r w:rsidRPr="00B221F3">
        <w:rPr>
          <w:rFonts w:ascii="Palatino Linotype" w:eastAsia="Palatino Linotype" w:hAnsi="Palatino Linotype" w:cs="Palatino Linotype"/>
        </w:rPr>
        <w:t xml:space="preserve"> en lo sucesivo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en contra de la respuesta sus solicitudes de información por parte del </w:t>
      </w:r>
      <w:r w:rsidR="00EB67B5" w:rsidRPr="00B221F3">
        <w:rPr>
          <w:rFonts w:ascii="Palatino Linotype" w:eastAsia="Palatino Linotype" w:hAnsi="Palatino Linotype" w:cs="Palatino Linotype"/>
          <w:b/>
        </w:rPr>
        <w:t>Ayuntamiento de Cuautitlán</w:t>
      </w:r>
      <w:r w:rsidRPr="00B221F3">
        <w:rPr>
          <w:rFonts w:ascii="Palatino Linotype" w:eastAsia="Palatino Linotype" w:hAnsi="Palatino Linotype" w:cs="Palatino Linotype"/>
        </w:rPr>
        <w:t xml:space="preserve">, en lo sucesivo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 xml:space="preserve">se procede a dictar la presente resolución, con base en lo siguiente. </w:t>
      </w:r>
    </w:p>
    <w:p w:rsidR="00B46B25" w:rsidRPr="00B221F3" w:rsidRDefault="0068235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221F3">
        <w:rPr>
          <w:rFonts w:ascii="Palatino Linotype" w:eastAsia="Palatino Linotype" w:hAnsi="Palatino Linotype" w:cs="Palatino Linotype"/>
          <w:b/>
        </w:rPr>
        <w:t>I. A N T E C E D E N T E S:</w:t>
      </w:r>
    </w:p>
    <w:p w:rsidR="00B46B25" w:rsidRPr="00B221F3" w:rsidRDefault="00682350">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B221F3">
        <w:rPr>
          <w:rFonts w:ascii="Palatino Linotype" w:eastAsia="Palatino Linotype" w:hAnsi="Palatino Linotype" w:cs="Palatino Linotype"/>
          <w:b/>
        </w:rPr>
        <w:t>1. Solicitudes de acceso a la información.</w:t>
      </w:r>
      <w:r w:rsidRPr="00B221F3">
        <w:rPr>
          <w:rFonts w:ascii="Palatino Linotype" w:eastAsia="Palatino Linotype" w:hAnsi="Palatino Linotype" w:cs="Palatino Linotype"/>
        </w:rPr>
        <w:t xml:space="preserve"> Con fecha </w:t>
      </w:r>
      <w:r w:rsidR="00EB67B5" w:rsidRPr="00B221F3">
        <w:rPr>
          <w:rFonts w:ascii="Palatino Linotype" w:eastAsia="Palatino Linotype" w:hAnsi="Palatino Linotype" w:cs="Palatino Linotype"/>
          <w:b/>
        </w:rPr>
        <w:t>diez de octubre</w:t>
      </w:r>
      <w:r w:rsidRPr="00B221F3">
        <w:rPr>
          <w:rFonts w:ascii="Palatino Linotype" w:eastAsia="Palatino Linotype" w:hAnsi="Palatino Linotype" w:cs="Palatino Linotype"/>
          <w:b/>
        </w:rPr>
        <w:t xml:space="preserve"> de dos mil veintidós, </w:t>
      </w:r>
      <w:r w:rsidRPr="00B221F3">
        <w:rPr>
          <w:rFonts w:ascii="Palatino Linotype" w:eastAsia="Palatino Linotype" w:hAnsi="Palatino Linotype" w:cs="Palatino Linotype"/>
        </w:rPr>
        <w:t>la persona solicitante</w:t>
      </w:r>
      <w:r w:rsidRPr="00B221F3">
        <w:rPr>
          <w:rFonts w:ascii="Palatino Linotype" w:eastAsia="Palatino Linotype" w:hAnsi="Palatino Linotype" w:cs="Palatino Linotype"/>
          <w:b/>
        </w:rPr>
        <w:t xml:space="preserve"> </w:t>
      </w:r>
      <w:r w:rsidRPr="00B221F3">
        <w:rPr>
          <w:rFonts w:ascii="Palatino Linotype" w:eastAsia="Palatino Linotype" w:hAnsi="Palatino Linotype" w:cs="Palatino Linotype"/>
        </w:rPr>
        <w:t xml:space="preserve">presentó, través del Sistema de Acceso a la Información Mexiquense, en lo subsecuente el </w:t>
      </w:r>
      <w:r w:rsidRPr="00B221F3">
        <w:rPr>
          <w:rFonts w:ascii="Palatino Linotype" w:eastAsia="Palatino Linotype" w:hAnsi="Palatino Linotype" w:cs="Palatino Linotype"/>
          <w:b/>
        </w:rPr>
        <w:t xml:space="preserve">SAIMEX, </w:t>
      </w:r>
      <w:r w:rsidRPr="00B221F3">
        <w:rPr>
          <w:rFonts w:ascii="Palatino Linotype" w:eastAsia="Palatino Linotype" w:hAnsi="Palatino Linotype" w:cs="Palatino Linotype"/>
        </w:rPr>
        <w:t xml:space="preserve">ante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las solicitudes de acceso a la información pública, mediante las cuales requirió la </w:t>
      </w:r>
      <w:proofErr w:type="gramStart"/>
      <w:r w:rsidRPr="00B221F3">
        <w:rPr>
          <w:rFonts w:ascii="Palatino Linotype" w:eastAsia="Palatino Linotype" w:hAnsi="Palatino Linotype" w:cs="Palatino Linotype"/>
        </w:rPr>
        <w:t>información</w:t>
      </w:r>
      <w:proofErr w:type="gramEnd"/>
      <w:r w:rsidRPr="00B221F3">
        <w:rPr>
          <w:rFonts w:ascii="Palatino Linotype" w:eastAsia="Palatino Linotype" w:hAnsi="Palatino Linotype" w:cs="Palatino Linotype"/>
        </w:rPr>
        <w:t xml:space="preserve"> siguiente:</w:t>
      </w:r>
    </w:p>
    <w:p w:rsidR="00280104" w:rsidRPr="00B221F3" w:rsidRDefault="00280104">
      <w:pPr>
        <w:spacing w:before="240" w:after="240" w:line="360" w:lineRule="auto"/>
        <w:jc w:val="both"/>
        <w:rPr>
          <w:rFonts w:ascii="Palatino Linotype" w:eastAsia="Palatino Linotype" w:hAnsi="Palatino Linotype" w:cs="Palatino Linotype"/>
        </w:rPr>
      </w:pPr>
    </w:p>
    <w:tbl>
      <w:tblPr>
        <w:tblStyle w:val="af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221F3" w:rsidRPr="00B221F3">
        <w:trPr>
          <w:jc w:val="center"/>
        </w:trPr>
        <w:tc>
          <w:tcPr>
            <w:tcW w:w="2972" w:type="dxa"/>
            <w:shd w:val="clear" w:color="auto" w:fill="A6A6A6"/>
          </w:tcPr>
          <w:p w:rsidR="00B46B25" w:rsidRPr="00B221F3" w:rsidRDefault="00682350">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lastRenderedPageBreak/>
              <w:t>Número de solicitud</w:t>
            </w:r>
          </w:p>
        </w:tc>
        <w:tc>
          <w:tcPr>
            <w:tcW w:w="5856" w:type="dxa"/>
            <w:shd w:val="clear" w:color="auto" w:fill="A6A6A6"/>
          </w:tcPr>
          <w:p w:rsidR="00B46B25" w:rsidRPr="00B221F3" w:rsidRDefault="00682350">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Información solicitada</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00389</w:t>
            </w:r>
            <w:r w:rsidR="00682350" w:rsidRPr="00B221F3">
              <w:rPr>
                <w:rFonts w:ascii="Palatino Linotype" w:eastAsia="Palatino Linotype" w:hAnsi="Palatino Linotype" w:cs="Palatino Linotype"/>
                <w:b/>
                <w:sz w:val="20"/>
                <w:szCs w:val="20"/>
              </w:rPr>
              <w:t>/</w:t>
            </w:r>
            <w:r w:rsidRPr="00B221F3">
              <w:rPr>
                <w:rFonts w:ascii="Palatino Linotype" w:eastAsia="Palatino Linotype" w:hAnsi="Palatino Linotype" w:cs="Palatino Linotype"/>
                <w:b/>
                <w:sz w:val="20"/>
                <w:szCs w:val="20"/>
              </w:rPr>
              <w:t>CUAUTIT/IP/2022</w:t>
            </w:r>
          </w:p>
          <w:p w:rsidR="00B46B2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16184</w:t>
            </w:r>
            <w:r w:rsidR="00682350" w:rsidRPr="00B221F3">
              <w:rPr>
                <w:rFonts w:ascii="Palatino Linotype" w:eastAsia="Palatino Linotype" w:hAnsi="Palatino Linotype" w:cs="Palatino Linotype"/>
                <w:b/>
                <w:sz w:val="20"/>
                <w:szCs w:val="20"/>
              </w:rPr>
              <w:t>/INFOEM/IP/RR/2022</w:t>
            </w:r>
          </w:p>
        </w:tc>
        <w:tc>
          <w:tcPr>
            <w:tcW w:w="5856" w:type="dxa"/>
          </w:tcPr>
          <w:p w:rsidR="00B46B25" w:rsidRPr="00B221F3" w:rsidRDefault="00682350"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EB67B5"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enero de 2022; dichas facturas deberán ser acompañadas del documento comprobatorio (soportes, evidencias, </w:t>
            </w:r>
            <w:proofErr w:type="spellStart"/>
            <w:r w:rsidR="00EB67B5" w:rsidRPr="00B221F3">
              <w:rPr>
                <w:rFonts w:ascii="Palatino Linotype" w:eastAsia="Palatino Linotype" w:hAnsi="Palatino Linotype" w:cs="Palatino Linotype"/>
                <w:i/>
                <w:sz w:val="20"/>
                <w:szCs w:val="20"/>
              </w:rPr>
              <w:t>etcetera</w:t>
            </w:r>
            <w:proofErr w:type="spellEnd"/>
            <w:r w:rsidR="00EB67B5" w:rsidRPr="00B221F3">
              <w:rPr>
                <w:rFonts w:ascii="Palatino Linotype" w:eastAsia="Palatino Linotype" w:hAnsi="Palatino Linotype" w:cs="Palatino Linotype"/>
                <w:i/>
                <w:sz w:val="20"/>
                <w:szCs w:val="20"/>
              </w:rPr>
              <w:t>&gt;) que soporte el pago de la factura.</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00390/CUAUTIT/IP/2022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16185/INFOEM/IP/RR/2022</w:t>
            </w:r>
          </w:p>
        </w:tc>
        <w:tc>
          <w:tcPr>
            <w:tcW w:w="5856" w:type="dxa"/>
          </w:tcPr>
          <w:p w:rsidR="00EB67B5" w:rsidRPr="00B221F3" w:rsidRDefault="00EB67B5"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febrero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00391/CUAUTIT/IP/2022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16186/INFOEM/IP/RR/2022</w:t>
            </w:r>
          </w:p>
        </w:tc>
        <w:tc>
          <w:tcPr>
            <w:tcW w:w="5856" w:type="dxa"/>
          </w:tcPr>
          <w:p w:rsidR="00EB67B5" w:rsidRPr="00B221F3" w:rsidRDefault="00EB67B5"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marzo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00392/CUAUTIT/IP/2022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16187/INFOEM/IP/RR/2022</w:t>
            </w:r>
          </w:p>
        </w:tc>
        <w:tc>
          <w:tcPr>
            <w:tcW w:w="5856" w:type="dxa"/>
          </w:tcPr>
          <w:p w:rsidR="00EB67B5" w:rsidRPr="00B221F3" w:rsidRDefault="00EB67B5"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abril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00393/CUAUTIT/IP/2022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16188/INFOEM/IP/RR/2022</w:t>
            </w:r>
          </w:p>
        </w:tc>
        <w:tc>
          <w:tcPr>
            <w:tcW w:w="5856" w:type="dxa"/>
          </w:tcPr>
          <w:p w:rsidR="00EB67B5" w:rsidRPr="00B221F3" w:rsidRDefault="00EB67B5"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mayo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00394/CUAUTIT/IP/2022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16189/INFOEM/IP/RR/2022</w:t>
            </w:r>
          </w:p>
        </w:tc>
        <w:tc>
          <w:tcPr>
            <w:tcW w:w="5856" w:type="dxa"/>
          </w:tcPr>
          <w:p w:rsidR="00EB67B5" w:rsidRPr="00B221F3" w:rsidRDefault="00EB67B5"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w:t>
            </w:r>
            <w:r w:rsidR="00F070E3" w:rsidRPr="00B221F3">
              <w:rPr>
                <w:rFonts w:ascii="Palatino Linotype" w:eastAsia="Palatino Linotype" w:hAnsi="Palatino Linotype" w:cs="Palatino Linotype"/>
                <w:i/>
                <w:sz w:val="20"/>
                <w:szCs w:val="20"/>
              </w:rPr>
              <w:t>junio</w:t>
            </w:r>
            <w:r w:rsidRPr="00B221F3">
              <w:rPr>
                <w:rFonts w:ascii="Palatino Linotype" w:eastAsia="Palatino Linotype" w:hAnsi="Palatino Linotype" w:cs="Palatino Linotype"/>
                <w:i/>
                <w:sz w:val="20"/>
                <w:szCs w:val="20"/>
              </w:rPr>
              <w:t xml:space="preserve">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00395/CUAUTIT/IP/2022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16190/INFOEM/IP/RR/2022</w:t>
            </w:r>
          </w:p>
        </w:tc>
        <w:tc>
          <w:tcPr>
            <w:tcW w:w="5856" w:type="dxa"/>
          </w:tcPr>
          <w:p w:rsidR="00EB67B5" w:rsidRPr="00B221F3" w:rsidRDefault="00EB67B5"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w:t>
            </w:r>
            <w:r w:rsidR="00F070E3" w:rsidRPr="00B221F3">
              <w:rPr>
                <w:rFonts w:ascii="Palatino Linotype" w:eastAsia="Palatino Linotype" w:hAnsi="Palatino Linotype" w:cs="Palatino Linotype"/>
                <w:i/>
                <w:sz w:val="20"/>
                <w:szCs w:val="20"/>
              </w:rPr>
              <w:t>julio</w:t>
            </w:r>
            <w:r w:rsidRPr="00B221F3">
              <w:rPr>
                <w:rFonts w:ascii="Palatino Linotype" w:eastAsia="Palatino Linotype" w:hAnsi="Palatino Linotype" w:cs="Palatino Linotype"/>
                <w:i/>
                <w:sz w:val="20"/>
                <w:szCs w:val="20"/>
              </w:rPr>
              <w:t xml:space="preserve">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lastRenderedPageBreak/>
              <w:t>00396/CUAUTIT/IP/2022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16191/INFOEM/IP/RR/2022</w:t>
            </w:r>
          </w:p>
        </w:tc>
        <w:tc>
          <w:tcPr>
            <w:tcW w:w="5856" w:type="dxa"/>
          </w:tcPr>
          <w:p w:rsidR="00EB67B5" w:rsidRPr="00B221F3" w:rsidRDefault="00EB67B5"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w:t>
            </w:r>
            <w:r w:rsidR="00F070E3" w:rsidRPr="00B221F3">
              <w:rPr>
                <w:rFonts w:ascii="Palatino Linotype" w:eastAsia="Palatino Linotype" w:hAnsi="Palatino Linotype" w:cs="Palatino Linotype"/>
                <w:i/>
                <w:sz w:val="20"/>
                <w:szCs w:val="20"/>
              </w:rPr>
              <w:t>agosto</w:t>
            </w:r>
            <w:r w:rsidRPr="00B221F3">
              <w:rPr>
                <w:rFonts w:ascii="Palatino Linotype" w:eastAsia="Palatino Linotype" w:hAnsi="Palatino Linotype" w:cs="Palatino Linotype"/>
                <w:i/>
                <w:sz w:val="20"/>
                <w:szCs w:val="20"/>
              </w:rPr>
              <w:t xml:space="preserve">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00397/CUAUTIT/IP/2022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16192/INFOEM/IP/RR/2022</w:t>
            </w:r>
          </w:p>
        </w:tc>
        <w:tc>
          <w:tcPr>
            <w:tcW w:w="5856" w:type="dxa"/>
          </w:tcPr>
          <w:p w:rsidR="00EB67B5" w:rsidRPr="00B221F3" w:rsidRDefault="00EB67B5"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w:t>
            </w:r>
            <w:r w:rsidR="00F070E3" w:rsidRPr="00B221F3">
              <w:rPr>
                <w:rFonts w:ascii="Palatino Linotype" w:eastAsia="Palatino Linotype" w:hAnsi="Palatino Linotype" w:cs="Palatino Linotype"/>
                <w:i/>
                <w:sz w:val="20"/>
                <w:szCs w:val="20"/>
              </w:rPr>
              <w:t>septiembre</w:t>
            </w:r>
            <w:r w:rsidRPr="00B221F3">
              <w:rPr>
                <w:rFonts w:ascii="Palatino Linotype" w:eastAsia="Palatino Linotype" w:hAnsi="Palatino Linotype" w:cs="Palatino Linotype"/>
                <w:i/>
                <w:sz w:val="20"/>
                <w:szCs w:val="20"/>
              </w:rPr>
              <w:t xml:space="preserve"> de 2022;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r w:rsidR="00B221F3" w:rsidRPr="00B221F3">
        <w:trPr>
          <w:jc w:val="center"/>
        </w:trPr>
        <w:tc>
          <w:tcPr>
            <w:tcW w:w="2972" w:type="dxa"/>
            <w:vAlign w:val="center"/>
          </w:tcPr>
          <w:p w:rsidR="00EB67B5" w:rsidRPr="00B221F3" w:rsidRDefault="00EB67B5" w:rsidP="00EB67B5">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00398/CUAUTIT/IP/2022</w:t>
            </w:r>
          </w:p>
          <w:p w:rsidR="00EB67B5" w:rsidRPr="00B221F3" w:rsidRDefault="00EB67B5" w:rsidP="00EB67B5">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16193/INFOEM/IP/RR/2022</w:t>
            </w:r>
          </w:p>
        </w:tc>
        <w:tc>
          <w:tcPr>
            <w:tcW w:w="5856" w:type="dxa"/>
          </w:tcPr>
          <w:p w:rsidR="00EB67B5" w:rsidRPr="00B221F3" w:rsidRDefault="00EB67B5" w:rsidP="00EB67B5">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“se me proporcione todas y cada una de las facturas, en versión pública, que haya pagado la tesorería municipal durante el mes de </w:t>
            </w:r>
            <w:r w:rsidR="00F070E3" w:rsidRPr="00B221F3">
              <w:rPr>
                <w:rFonts w:ascii="Palatino Linotype" w:eastAsia="Palatino Linotype" w:hAnsi="Palatino Linotype" w:cs="Palatino Linotype"/>
                <w:i/>
                <w:sz w:val="20"/>
                <w:szCs w:val="20"/>
              </w:rPr>
              <w:t xml:space="preserve">octubre de 2022 y hasta 5 días </w:t>
            </w:r>
            <w:proofErr w:type="spellStart"/>
            <w:r w:rsidR="00F070E3" w:rsidRPr="00B221F3">
              <w:rPr>
                <w:rFonts w:ascii="Palatino Linotype" w:eastAsia="Palatino Linotype" w:hAnsi="Palatino Linotype" w:cs="Palatino Linotype"/>
                <w:i/>
                <w:sz w:val="20"/>
                <w:szCs w:val="20"/>
              </w:rPr>
              <w:t>habiles</w:t>
            </w:r>
            <w:proofErr w:type="spellEnd"/>
            <w:r w:rsidR="00F070E3" w:rsidRPr="00B221F3">
              <w:rPr>
                <w:rFonts w:ascii="Palatino Linotype" w:eastAsia="Palatino Linotype" w:hAnsi="Palatino Linotype" w:cs="Palatino Linotype"/>
                <w:i/>
                <w:sz w:val="20"/>
                <w:szCs w:val="20"/>
              </w:rPr>
              <w:t xml:space="preserve"> antes de la respuesta</w:t>
            </w:r>
            <w:r w:rsidRPr="00B221F3">
              <w:rPr>
                <w:rFonts w:ascii="Palatino Linotype" w:eastAsia="Palatino Linotype" w:hAnsi="Palatino Linotype" w:cs="Palatino Linotype"/>
                <w:i/>
                <w:sz w:val="20"/>
                <w:szCs w:val="20"/>
              </w:rPr>
              <w:t xml:space="preserve">; dichas facturas deberán ser acompañadas del documento comprobatorio (soportes, evidencias, </w:t>
            </w:r>
            <w:proofErr w:type="spellStart"/>
            <w:r w:rsidRPr="00B221F3">
              <w:rPr>
                <w:rFonts w:ascii="Palatino Linotype" w:eastAsia="Palatino Linotype" w:hAnsi="Palatino Linotype" w:cs="Palatino Linotype"/>
                <w:i/>
                <w:sz w:val="20"/>
                <w:szCs w:val="20"/>
              </w:rPr>
              <w:t>etcetera</w:t>
            </w:r>
            <w:proofErr w:type="spellEnd"/>
            <w:r w:rsidRPr="00B221F3">
              <w:rPr>
                <w:rFonts w:ascii="Palatino Linotype" w:eastAsia="Palatino Linotype" w:hAnsi="Palatino Linotype" w:cs="Palatino Linotype"/>
                <w:i/>
                <w:sz w:val="20"/>
                <w:szCs w:val="20"/>
              </w:rPr>
              <w:t>&gt;) que soporte el pago de la factura.” (sic)</w:t>
            </w:r>
          </w:p>
        </w:tc>
      </w:tr>
    </w:tbl>
    <w:p w:rsidR="00B46B25" w:rsidRPr="00B221F3" w:rsidRDefault="00682350">
      <w:pPr>
        <w:spacing w:before="240" w:after="240" w:line="360" w:lineRule="auto"/>
        <w:jc w:val="both"/>
        <w:rPr>
          <w:rFonts w:ascii="Palatino Linotype" w:eastAsia="Palatino Linotype" w:hAnsi="Palatino Linotype" w:cs="Palatino Linotype"/>
        </w:rPr>
      </w:pPr>
      <w:bookmarkStart w:id="3" w:name="_heading=h.2et92p0" w:colFirst="0" w:colLast="0"/>
      <w:bookmarkEnd w:id="3"/>
      <w:r w:rsidRPr="00B221F3">
        <w:rPr>
          <w:rFonts w:ascii="Palatino Linotype" w:eastAsia="Palatino Linotype" w:hAnsi="Palatino Linotype" w:cs="Palatino Linotype"/>
          <w:b/>
        </w:rPr>
        <w:t xml:space="preserve">Modalidad elegida para la entrega de la información: </w:t>
      </w:r>
      <w:r w:rsidRPr="00B221F3">
        <w:rPr>
          <w:rFonts w:ascii="Palatino Linotype" w:eastAsia="Palatino Linotype" w:hAnsi="Palatino Linotype" w:cs="Palatino Linotype"/>
        </w:rPr>
        <w:t>a través del SAIMEX en todos los casos.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2. Respuesta. </w:t>
      </w:r>
      <w:r w:rsidRPr="00B221F3">
        <w:rPr>
          <w:rFonts w:ascii="Palatino Linotype" w:eastAsia="Palatino Linotype" w:hAnsi="Palatino Linotype" w:cs="Palatino Linotype"/>
        </w:rPr>
        <w:t>Con fecha</w:t>
      </w:r>
      <w:r w:rsidRPr="00B221F3">
        <w:rPr>
          <w:rFonts w:ascii="Palatino Linotype" w:eastAsia="Palatino Linotype" w:hAnsi="Palatino Linotype" w:cs="Palatino Linotype"/>
          <w:b/>
        </w:rPr>
        <w:t xml:space="preserve"> </w:t>
      </w:r>
      <w:r w:rsidR="00F070E3" w:rsidRPr="00B221F3">
        <w:rPr>
          <w:rFonts w:ascii="Palatino Linotype" w:eastAsia="Palatino Linotype" w:hAnsi="Palatino Linotype" w:cs="Palatino Linotype"/>
          <w:b/>
        </w:rPr>
        <w:t>veintiocho de octubre</w:t>
      </w:r>
      <w:r w:rsidRPr="00B221F3">
        <w:rPr>
          <w:rFonts w:ascii="Palatino Linotype" w:eastAsia="Palatino Linotype" w:hAnsi="Palatino Linotype" w:cs="Palatino Linotype"/>
          <w:b/>
        </w:rPr>
        <w:t xml:space="preserve"> de dos mil veintidós</w:t>
      </w:r>
      <w:r w:rsidRPr="00B221F3">
        <w:rPr>
          <w:rFonts w:ascii="Palatino Linotype" w:eastAsia="Palatino Linotype" w:hAnsi="Palatino Linotype" w:cs="Palatino Linotype"/>
        </w:rPr>
        <w:t xml:space="preserve">,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 xml:space="preserve">envió sus respuestas a las solicitudes de acceso a la información a través de SAIMEX, sustancialmente en los términos siguientes en ambos casos:   </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221F3" w:rsidRPr="00B221F3">
        <w:trPr>
          <w:jc w:val="center"/>
        </w:trPr>
        <w:tc>
          <w:tcPr>
            <w:tcW w:w="2972" w:type="dxa"/>
            <w:shd w:val="clear" w:color="auto" w:fill="A6A6A6"/>
          </w:tcPr>
          <w:p w:rsidR="00B46B25" w:rsidRPr="00B221F3" w:rsidRDefault="00682350">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Número de solicitud</w:t>
            </w:r>
          </w:p>
        </w:tc>
        <w:tc>
          <w:tcPr>
            <w:tcW w:w="5856" w:type="dxa"/>
            <w:shd w:val="clear" w:color="auto" w:fill="A6A6A6"/>
          </w:tcPr>
          <w:p w:rsidR="00B46B25" w:rsidRPr="00B221F3" w:rsidRDefault="00682350">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Información proporcionada</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00389/CUAUTIT/IP/2022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16184/INFOEM/IP/RR/2022</w:t>
            </w:r>
          </w:p>
        </w:tc>
        <w:tc>
          <w:tcPr>
            <w:tcW w:w="5856" w:type="dxa"/>
          </w:tcPr>
          <w:p w:rsidR="00F070E3" w:rsidRPr="00B221F3" w:rsidRDefault="00F070E3"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682350" w:rsidRPr="00B221F3">
              <w:rPr>
                <w:rFonts w:ascii="Palatino Linotype" w:eastAsia="Palatino Linotype" w:hAnsi="Palatino Linotype" w:cs="Palatino Linotype"/>
                <w:i/>
                <w:sz w:val="20"/>
                <w:szCs w:val="20"/>
              </w:rPr>
              <w:t>Buenas tardes, enviando un cordial saludo me permito brindar la información solicitada en la solicitud con folio 00389/CUAUTIT/IP/2022. Adjunto archivo.</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00390/CUAUTIT/IP/2022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16185/INFOEM/IP/RR/2022</w:t>
            </w:r>
          </w:p>
        </w:tc>
        <w:tc>
          <w:tcPr>
            <w:tcW w:w="5856" w:type="dxa"/>
          </w:tcPr>
          <w:p w:rsidR="00F070E3" w:rsidRPr="00B221F3" w:rsidRDefault="00F070E3"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682350" w:rsidRPr="00B221F3">
              <w:rPr>
                <w:rFonts w:ascii="Palatino Linotype" w:eastAsia="Palatino Linotype" w:hAnsi="Palatino Linotype" w:cs="Palatino Linotype"/>
                <w:i/>
                <w:sz w:val="20"/>
                <w:szCs w:val="20"/>
              </w:rPr>
              <w:t>Buenas tardes, enviando un cordial saludo me permito brindar la información solicitada en la solicitud con folio 00390/CUAUTIT/IP/2022. Adjunto archivo</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lastRenderedPageBreak/>
              <w:t>00391/CUAUTIT/IP/2022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16186/INFOEM/IP/RR/2022</w:t>
            </w:r>
          </w:p>
        </w:tc>
        <w:tc>
          <w:tcPr>
            <w:tcW w:w="5856" w:type="dxa"/>
          </w:tcPr>
          <w:p w:rsidR="00F070E3" w:rsidRPr="00B221F3" w:rsidRDefault="00F070E3"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682350" w:rsidRPr="00B221F3">
              <w:rPr>
                <w:rFonts w:ascii="Palatino Linotype" w:eastAsia="Palatino Linotype" w:hAnsi="Palatino Linotype" w:cs="Palatino Linotype"/>
                <w:i/>
                <w:sz w:val="20"/>
                <w:szCs w:val="20"/>
              </w:rPr>
              <w:t>Buenas tardes, enviando un cordial saludo me permito brindar la información solicitada en la solicitud con folio 00391/CUAUTIT/IP/2022. Adjunto archivo.</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00392/CUAUTIT/IP/2022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16187/INFOEM/IP/RR/2022</w:t>
            </w:r>
          </w:p>
        </w:tc>
        <w:tc>
          <w:tcPr>
            <w:tcW w:w="5856" w:type="dxa"/>
          </w:tcPr>
          <w:p w:rsidR="00F070E3" w:rsidRPr="00B221F3" w:rsidRDefault="00F070E3"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682350" w:rsidRPr="00B221F3">
              <w:rPr>
                <w:rFonts w:ascii="Palatino Linotype" w:eastAsia="Palatino Linotype" w:hAnsi="Palatino Linotype" w:cs="Palatino Linotype"/>
                <w:i/>
                <w:sz w:val="20"/>
                <w:szCs w:val="20"/>
              </w:rPr>
              <w:t>Buenas tardes, enviando un cordial saludo me permito brindar la información solicitada en la solicitud con folio 00392/CUAUTIT/IP/2022. Adjunto archivo.</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00393/CUAUTIT/IP/2022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16188/INFOEM/IP/RR/2022</w:t>
            </w:r>
          </w:p>
        </w:tc>
        <w:tc>
          <w:tcPr>
            <w:tcW w:w="5856" w:type="dxa"/>
          </w:tcPr>
          <w:p w:rsidR="00F070E3" w:rsidRPr="00B221F3" w:rsidRDefault="00F070E3"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w:t>
            </w:r>
            <w:r w:rsidR="00682350" w:rsidRPr="00B221F3">
              <w:rPr>
                <w:rFonts w:ascii="Palatino Linotype" w:eastAsia="Palatino Linotype" w:hAnsi="Palatino Linotype" w:cs="Palatino Linotype"/>
                <w:i/>
                <w:sz w:val="20"/>
                <w:szCs w:val="20"/>
              </w:rPr>
              <w:t>Buenas tardes, enviando un cordial saludo me permito brindar la información solicitada en la solicitud con folio 00393/CUAUTIT/IP/2022. Adjunto archivo</w:t>
            </w:r>
            <w:r w:rsidRPr="00B221F3">
              <w:rPr>
                <w:rFonts w:ascii="Palatino Linotype" w:eastAsia="Palatino Linotype" w:hAnsi="Palatino Linotype" w:cs="Palatino Linotype"/>
                <w:i/>
                <w:sz w:val="20"/>
                <w:szCs w:val="20"/>
              </w:rPr>
              <w:t>.”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00394/CUAUTIT/IP/2022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16189/INFOEM/IP/RR/2022</w:t>
            </w:r>
          </w:p>
        </w:tc>
        <w:tc>
          <w:tcPr>
            <w:tcW w:w="5856" w:type="dxa"/>
          </w:tcPr>
          <w:p w:rsidR="00F070E3" w:rsidRPr="00B221F3" w:rsidRDefault="00682350"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“Buenas tardes, enviando un cordial saludo me permito brindar la información solicitada en la solicitud con folio 00394/CUAUTIT/IP/2022. Adjunto archivo.”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00395/CUAUTIT/IP/2022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16190/INFOEM/IP/RR/2022</w:t>
            </w:r>
          </w:p>
        </w:tc>
        <w:tc>
          <w:tcPr>
            <w:tcW w:w="5856" w:type="dxa"/>
          </w:tcPr>
          <w:p w:rsidR="00F070E3" w:rsidRPr="00B221F3" w:rsidRDefault="00682350"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“Buenas tardes, enviando un cordial saludo me permito brindar la información solicitada en la solicitud con folio 00395/CUAUTIT/IP/2022. Adjunto archivo.”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00396/CUAUTIT/IP/2022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16191/INFOEM/IP/RR/2022</w:t>
            </w:r>
          </w:p>
        </w:tc>
        <w:tc>
          <w:tcPr>
            <w:tcW w:w="5856" w:type="dxa"/>
          </w:tcPr>
          <w:p w:rsidR="00F070E3" w:rsidRPr="00B221F3" w:rsidRDefault="00682350"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“Buenas tardes, enviando un cordial saludo me permito brindar la información solicitada en la solicitud con folio 00396/CUAUTIT/IP/2022. Adjunto archivo.”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00397/CUAUTIT/IP/2022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16192/INFOEM/IP/RR/2022</w:t>
            </w:r>
          </w:p>
        </w:tc>
        <w:tc>
          <w:tcPr>
            <w:tcW w:w="5856" w:type="dxa"/>
          </w:tcPr>
          <w:p w:rsidR="00F070E3" w:rsidRPr="00B221F3" w:rsidRDefault="00682350" w:rsidP="00682350">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“Buenas tardes, enviando un cordial saludo me permito brindar la información solicitada en la solicitud con folio 00397/CUAUTIT/IP/2022. Adjunto archivo.” (sic)</w:t>
            </w:r>
          </w:p>
        </w:tc>
      </w:tr>
      <w:tr w:rsidR="00B221F3" w:rsidRPr="00B221F3">
        <w:trPr>
          <w:jc w:val="center"/>
        </w:trPr>
        <w:tc>
          <w:tcPr>
            <w:tcW w:w="2972" w:type="dxa"/>
            <w:vAlign w:val="center"/>
          </w:tcPr>
          <w:p w:rsidR="00F070E3" w:rsidRPr="00B221F3" w:rsidRDefault="00F070E3" w:rsidP="00F070E3">
            <w:pPr>
              <w:spacing w:before="120" w:after="120"/>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00398/CUAUTIT/IP/2022</w:t>
            </w:r>
          </w:p>
          <w:p w:rsidR="00F070E3" w:rsidRPr="00B221F3" w:rsidRDefault="00F070E3" w:rsidP="00F070E3">
            <w:pPr>
              <w:spacing w:before="120" w:after="120"/>
              <w:jc w:val="center"/>
              <w:rPr>
                <w:rFonts w:ascii="Palatino Linotype" w:eastAsia="Palatino Linotype" w:hAnsi="Palatino Linotype" w:cs="Palatino Linotype"/>
                <w:b/>
                <w:i/>
                <w:sz w:val="20"/>
                <w:szCs w:val="20"/>
              </w:rPr>
            </w:pPr>
            <w:r w:rsidRPr="00B221F3">
              <w:rPr>
                <w:rFonts w:ascii="Palatino Linotype" w:eastAsia="Palatino Linotype" w:hAnsi="Palatino Linotype" w:cs="Palatino Linotype"/>
                <w:b/>
                <w:sz w:val="20"/>
                <w:szCs w:val="20"/>
              </w:rPr>
              <w:t>16193/INFOEM/IP/RR/2022</w:t>
            </w:r>
          </w:p>
        </w:tc>
        <w:tc>
          <w:tcPr>
            <w:tcW w:w="5856" w:type="dxa"/>
          </w:tcPr>
          <w:p w:rsidR="00F070E3" w:rsidRPr="00B221F3" w:rsidRDefault="00682350" w:rsidP="00F070E3">
            <w:pPr>
              <w:spacing w:before="120" w:after="120"/>
              <w:jc w:val="center"/>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“Buenas tardes, enviando un cordial saludo me permito brindar la información solicitada en la solicitud con folio 00398/CUAUTIT/IP/2022. Adjunto archivo.” (sic)</w:t>
            </w:r>
          </w:p>
        </w:tc>
      </w:tr>
    </w:tbl>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adjuntó lo siguiente:</w:t>
      </w:r>
    </w:p>
    <w:p w:rsidR="00682350"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 Oficios con números de folio ST/UT/1199/2022, ST/UT/1200/2022, ST/UT/1201/2022, ST/UT/1202/2022, ST/UT/1203/2022, ST/UT/1204/2022, ST/UT/1205/2022, ST/UT/1206/2022, ST/UT/1207/2022 y ST/UT/1208/2022, todos de fecha once de octubre de dos mil veintidós, signados por la Titular de Transparencia, mediante los </w:t>
      </w:r>
      <w:r w:rsidRPr="00B221F3">
        <w:rPr>
          <w:rFonts w:ascii="Palatino Linotype" w:eastAsia="Palatino Linotype" w:hAnsi="Palatino Linotype" w:cs="Palatino Linotype"/>
        </w:rPr>
        <w:lastRenderedPageBreak/>
        <w:t>cuales requiere al Tesorero Municipal gire sus apreciables instrucciones a quien sea necesario a efecto de que en el término de cinco días hábiles contados a partir de la recepción de los oficios, remita a la Unidad de Transparencia la información requerida en las solicitudes de información.</w:t>
      </w:r>
    </w:p>
    <w:p w:rsidR="00327ED0" w:rsidRPr="00B221F3" w:rsidRDefault="00682350" w:rsidP="00682350">
      <w:pPr>
        <w:spacing w:before="240" w:after="240" w:line="360" w:lineRule="auto"/>
        <w:jc w:val="both"/>
        <w:rPr>
          <w:rFonts w:ascii="Palatino Linotype" w:eastAsia="Palatino Linotype" w:hAnsi="Palatino Linotype" w:cs="Palatino Linotype"/>
          <w:i/>
        </w:rPr>
      </w:pPr>
      <w:r w:rsidRPr="00B221F3">
        <w:rPr>
          <w:rFonts w:ascii="Palatino Linotype" w:eastAsia="Palatino Linotype" w:hAnsi="Palatino Linotype" w:cs="Palatino Linotype"/>
        </w:rPr>
        <w:t>- Oficios con números de folio TMC/JFMC</w:t>
      </w:r>
      <w:r w:rsidR="00327ED0" w:rsidRPr="00B221F3">
        <w:rPr>
          <w:rFonts w:ascii="Palatino Linotype" w:eastAsia="Palatino Linotype" w:hAnsi="Palatino Linotype" w:cs="Palatino Linotype"/>
        </w:rPr>
        <w:t>/1248/2022, TMC/JFMC/1249/2022, TMC/JFMC/1250/2022, TMC/JFMC/1251/2022, TMC/JFMC/1252/2022, TMC/JFMC/1253/2022, TMC/JFMC/1254/2022, TMC/JFMC/1255/2022, TMC/JFMC/1256/2022 y TMC/JFMC/1257/2022, todos de fecha dieciocho de octubre de dos mil veintidós, signados por el Tesorero Municipal, mediante los cuales hace del conocimiento que la información solicitada está en proceso de revisión ante las autoridades competentes, por ser parte de la integración de la Cuenta Pública del Ejercicio fiscal 2022.</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3. Interposición de los recursos de revisión. </w:t>
      </w:r>
      <w:r w:rsidRPr="00B221F3">
        <w:rPr>
          <w:rFonts w:ascii="Palatino Linotype" w:eastAsia="Palatino Linotype" w:hAnsi="Palatino Linotype" w:cs="Palatino Linotype"/>
        </w:rPr>
        <w:t>Inconforme la persona solicitante con la</w:t>
      </w:r>
      <w:r w:rsidR="00327ED0" w:rsidRPr="00B221F3">
        <w:rPr>
          <w:rFonts w:ascii="Palatino Linotype" w:eastAsia="Palatino Linotype" w:hAnsi="Palatino Linotype" w:cs="Palatino Linotype"/>
        </w:rPr>
        <w:t xml:space="preserve"> respuesta</w:t>
      </w:r>
      <w:r w:rsidRPr="00B221F3">
        <w:rPr>
          <w:rFonts w:ascii="Palatino Linotype" w:eastAsia="Palatino Linotype" w:hAnsi="Palatino Linotype" w:cs="Palatino Linotype"/>
        </w:rPr>
        <w:t xml:space="preserve"> emitida por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en fechas </w:t>
      </w:r>
      <w:r w:rsidR="00327ED0" w:rsidRPr="00B221F3">
        <w:rPr>
          <w:rFonts w:ascii="Palatino Linotype" w:eastAsia="Palatino Linotype" w:hAnsi="Palatino Linotype" w:cs="Palatino Linotype"/>
          <w:b/>
        </w:rPr>
        <w:t>siete de noviembre</w:t>
      </w:r>
      <w:r w:rsidRPr="00B221F3">
        <w:rPr>
          <w:rFonts w:ascii="Palatino Linotype" w:eastAsia="Palatino Linotype" w:hAnsi="Palatino Linotype" w:cs="Palatino Linotype"/>
          <w:b/>
        </w:rPr>
        <w:t xml:space="preserve"> de dos mil veintidós</w:t>
      </w:r>
      <w:r w:rsidRPr="00B221F3">
        <w:rPr>
          <w:rFonts w:ascii="Palatino Linotype" w:eastAsia="Palatino Linotype" w:hAnsi="Palatino Linotype" w:cs="Palatino Linotype"/>
        </w:rPr>
        <w:t>, interpuso recursos de revisión a través del SAIMEX expresando lo siguiente:</w:t>
      </w:r>
    </w:p>
    <w:tbl>
      <w:tblPr>
        <w:tblStyle w:val="aff3"/>
        <w:tblW w:w="81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4"/>
        <w:gridCol w:w="4111"/>
      </w:tblGrid>
      <w:tr w:rsidR="00B221F3" w:rsidRPr="00B221F3" w:rsidTr="000E63D1">
        <w:trPr>
          <w:jc w:val="center"/>
        </w:trPr>
        <w:tc>
          <w:tcPr>
            <w:tcW w:w="4084" w:type="dxa"/>
            <w:shd w:val="clear" w:color="auto" w:fill="D9D9D9"/>
            <w:vAlign w:val="center"/>
          </w:tcPr>
          <w:p w:rsidR="000E63D1" w:rsidRPr="00B221F3" w:rsidRDefault="000E63D1">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Acto impugnado.</w:t>
            </w:r>
          </w:p>
        </w:tc>
        <w:tc>
          <w:tcPr>
            <w:tcW w:w="4111" w:type="dxa"/>
            <w:shd w:val="clear" w:color="auto" w:fill="D9D9D9"/>
            <w:vAlign w:val="center"/>
          </w:tcPr>
          <w:p w:rsidR="000E63D1" w:rsidRPr="00B221F3" w:rsidRDefault="000E63D1">
            <w:pPr>
              <w:jc w:val="center"/>
              <w:rPr>
                <w:rFonts w:ascii="Palatino Linotype" w:eastAsia="Palatino Linotype" w:hAnsi="Palatino Linotype" w:cs="Palatino Linotype"/>
                <w:b/>
                <w:sz w:val="20"/>
                <w:szCs w:val="20"/>
              </w:rPr>
            </w:pPr>
            <w:r w:rsidRPr="00B221F3">
              <w:rPr>
                <w:rFonts w:ascii="Palatino Linotype" w:eastAsia="Palatino Linotype" w:hAnsi="Palatino Linotype" w:cs="Palatino Linotype"/>
                <w:b/>
                <w:sz w:val="20"/>
                <w:szCs w:val="20"/>
              </w:rPr>
              <w:t>Motivos de inconformidad.</w:t>
            </w:r>
          </w:p>
        </w:tc>
      </w:tr>
      <w:tr w:rsidR="00B221F3" w:rsidRPr="00B221F3" w:rsidTr="000E63D1">
        <w:trPr>
          <w:jc w:val="center"/>
        </w:trPr>
        <w:tc>
          <w:tcPr>
            <w:tcW w:w="4084" w:type="dxa"/>
            <w:shd w:val="clear" w:color="auto" w:fill="auto"/>
          </w:tcPr>
          <w:p w:rsidR="000E63D1" w:rsidRPr="00B221F3" w:rsidRDefault="000E63D1" w:rsidP="002615C1">
            <w:pPr>
              <w:jc w:val="both"/>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t xml:space="preserve">“LA RESPUESTA OTORGADA ES ILEGAL Y VIOLENTA EL DERECHO DE ACCESO A LAINFORMACIÓN PÚBLICA YA QUE NO FUNDA NI MOTIVA LA NEGATIVA DE PROPORCIONAR LA INFORMACIÓN, NO OBSTANTE QUE DICHA INFORMACIÓN LA DEBE TENER EN MEDIOS IMPRESOS Y/O DIGITALES Y DEBEN OBRAR EN SUS ARCHIVOS. NO OBSTANTE LO ANTERIOR RESULTA EVIDENTE LA </w:t>
            </w:r>
            <w:r w:rsidRPr="00B221F3">
              <w:rPr>
                <w:rFonts w:ascii="Palatino Linotype" w:eastAsia="Palatino Linotype" w:hAnsi="Palatino Linotype" w:cs="Palatino Linotype"/>
                <w:i/>
                <w:sz w:val="20"/>
                <w:szCs w:val="20"/>
              </w:rPr>
              <w:lastRenderedPageBreak/>
              <w:t>TOTAL OPACIDAD CON QUE SE COMPORTA EL MUNICIPIO DE CUAUTITLAN YA QUE LAS RAZONES QUE HA SEÑALADO EN SUS MOTIVOS PARA PRORROGA NO SON ACORDES CON LAS REPUESTAS QUE DA SIENDO EL CASO QUE LAS RAZONES QUE DIO PARA LA PRORROGA, SIENDO ELLO EVIDENTEME ILEGAL, CONSTANTE Y PREMEDITADO.” (sic)</w:t>
            </w:r>
          </w:p>
        </w:tc>
        <w:tc>
          <w:tcPr>
            <w:tcW w:w="4111" w:type="dxa"/>
            <w:shd w:val="clear" w:color="auto" w:fill="auto"/>
          </w:tcPr>
          <w:p w:rsidR="000E63D1" w:rsidRPr="00B221F3" w:rsidRDefault="000E63D1" w:rsidP="000E63D1">
            <w:pPr>
              <w:jc w:val="both"/>
              <w:rPr>
                <w:rFonts w:ascii="Palatino Linotype" w:eastAsia="Palatino Linotype" w:hAnsi="Palatino Linotype" w:cs="Palatino Linotype"/>
                <w:i/>
                <w:sz w:val="20"/>
                <w:szCs w:val="20"/>
              </w:rPr>
            </w:pPr>
            <w:r w:rsidRPr="00B221F3">
              <w:rPr>
                <w:rFonts w:ascii="Palatino Linotype" w:eastAsia="Palatino Linotype" w:hAnsi="Palatino Linotype" w:cs="Palatino Linotype"/>
                <w:i/>
                <w:sz w:val="20"/>
                <w:szCs w:val="20"/>
              </w:rPr>
              <w:lastRenderedPageBreak/>
              <w:t xml:space="preserve">“LA RESPUESTA OTORGADA ES ILEGAL Y VIOLENTA EL DERECHO DE ACCESO A LAINFORMACIÓN PÚBLICA YA QUE NO FUNDA NI MOTIVA LA NEGATIVA DE PROPORCIONAR LA INFORMACIÓN, NO OBSTANTE QUE DICHA INFORMACIÓN LA DEBE TENER EN MEDIOS IMPRESOS Y/O DIGITALES Y DEBEN OBRAR EN SUS ARCHIVOS. NO OBSTANTE LO ANTERIOR RESULTA EVIDENTE LA </w:t>
            </w:r>
            <w:r w:rsidRPr="00B221F3">
              <w:rPr>
                <w:rFonts w:ascii="Palatino Linotype" w:eastAsia="Palatino Linotype" w:hAnsi="Palatino Linotype" w:cs="Palatino Linotype"/>
                <w:i/>
                <w:sz w:val="20"/>
                <w:szCs w:val="20"/>
              </w:rPr>
              <w:lastRenderedPageBreak/>
              <w:t>TOTAL OPACIDAD CON QUE SE COMPORTA EL MUNICIPIO DE CUAUTITLAN YA QUE LAS RAZONES QUE HA SEÑALADO EN SUS MOTIVOS PARA PRORROGA NO SON ACORDES CON LAS REPUESTAS QUE DA SIENDO EL CASO QUE LAS RAZONES QUE DIO PARA LA PRORROGA, SIENDO ELLO EVIDENTEME ILEGAL, CONSTANTE Y PREMEDITADO.” (sic)</w:t>
            </w:r>
          </w:p>
        </w:tc>
      </w:tr>
    </w:tbl>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 xml:space="preserve">La parte </w:t>
      </w:r>
      <w:r w:rsidRPr="00B221F3">
        <w:rPr>
          <w:rFonts w:ascii="Palatino Linotype" w:eastAsia="Palatino Linotype" w:hAnsi="Palatino Linotype" w:cs="Palatino Linotype"/>
          <w:b/>
        </w:rPr>
        <w:t xml:space="preserve">Recurrente </w:t>
      </w:r>
      <w:r w:rsidR="000E63D1" w:rsidRPr="00B221F3">
        <w:rPr>
          <w:rFonts w:ascii="Palatino Linotype" w:eastAsia="Palatino Linotype" w:hAnsi="Palatino Linotype" w:cs="Palatino Linotype"/>
        </w:rPr>
        <w:t xml:space="preserve">no </w:t>
      </w:r>
      <w:r w:rsidRPr="00B221F3">
        <w:rPr>
          <w:rFonts w:ascii="Palatino Linotype" w:eastAsia="Palatino Linotype" w:hAnsi="Palatino Linotype" w:cs="Palatino Linotype"/>
        </w:rPr>
        <w:t>adjuntó</w:t>
      </w:r>
      <w:r w:rsidR="00F13284" w:rsidRPr="00B221F3">
        <w:rPr>
          <w:rFonts w:ascii="Palatino Linotype" w:eastAsia="Palatino Linotype" w:hAnsi="Palatino Linotype" w:cs="Palatino Linotype"/>
        </w:rPr>
        <w:t xml:space="preserve"> </w:t>
      </w:r>
      <w:r w:rsidR="000E63D1" w:rsidRPr="00B221F3">
        <w:rPr>
          <w:rFonts w:ascii="Palatino Linotype" w:eastAsia="Palatino Linotype" w:hAnsi="Palatino Linotype" w:cs="Palatino Linotype"/>
        </w:rPr>
        <w:t>archivos</w:t>
      </w:r>
      <w:r w:rsidRPr="00B221F3">
        <w:rPr>
          <w:rFonts w:ascii="Palatino Linotype" w:eastAsia="Palatino Linotype" w:hAnsi="Palatino Linotype" w:cs="Palatino Linotype"/>
        </w:rPr>
        <w:t>.</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4. Turno.</w:t>
      </w:r>
      <w:r w:rsidRPr="00B221F3">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B221F3">
        <w:rPr>
          <w:rFonts w:ascii="Palatino Linotype" w:eastAsia="Palatino Linotype" w:hAnsi="Palatino Linotype" w:cs="Palatino Linotype"/>
          <w:b/>
        </w:rPr>
        <w:t xml:space="preserve"> Guadalupe Ramírez Peña, </w:t>
      </w:r>
      <w:r w:rsidR="00F13284" w:rsidRPr="00B221F3">
        <w:rPr>
          <w:rFonts w:ascii="Palatino Linotype" w:eastAsia="Palatino Linotype" w:hAnsi="Palatino Linotype" w:cs="Palatino Linotype"/>
          <w:b/>
        </w:rPr>
        <w:t xml:space="preserve">José Martínez Vilchis, Luis Gustavo Parra Noriega, </w:t>
      </w:r>
      <w:r w:rsidRPr="00B221F3">
        <w:rPr>
          <w:rFonts w:ascii="Palatino Linotype" w:eastAsia="Palatino Linotype" w:hAnsi="Palatino Linotype" w:cs="Palatino Linotype"/>
          <w:b/>
        </w:rPr>
        <w:t xml:space="preserve">Sharon Cristina Morales Martínez, Luis Gustavo Parra Noriega </w:t>
      </w:r>
      <w:r w:rsidRPr="00B221F3">
        <w:rPr>
          <w:rFonts w:ascii="Palatino Linotype" w:eastAsia="Palatino Linotype" w:hAnsi="Palatino Linotype" w:cs="Palatino Linotype"/>
        </w:rPr>
        <w:t xml:space="preserve">y </w:t>
      </w:r>
      <w:r w:rsidRPr="00B221F3">
        <w:rPr>
          <w:rFonts w:ascii="Palatino Linotype" w:eastAsia="Palatino Linotype" w:hAnsi="Palatino Linotype" w:cs="Palatino Linotype"/>
          <w:b/>
        </w:rPr>
        <w:t xml:space="preserve">María del Rosario Mejía Ayala, </w:t>
      </w:r>
      <w:r w:rsidRPr="00B221F3">
        <w:rPr>
          <w:rFonts w:ascii="Palatino Linotype" w:eastAsia="Palatino Linotype" w:hAnsi="Palatino Linotype" w:cs="Palatino Linotype"/>
        </w:rPr>
        <w:t xml:space="preserve">a efecto de que analizaran sobre su admisión o su </w:t>
      </w:r>
      <w:proofErr w:type="spellStart"/>
      <w:r w:rsidRPr="00B221F3">
        <w:rPr>
          <w:rFonts w:ascii="Palatino Linotype" w:eastAsia="Palatino Linotype" w:hAnsi="Palatino Linotype" w:cs="Palatino Linotype"/>
        </w:rPr>
        <w:t>desechamiento</w:t>
      </w:r>
      <w:proofErr w:type="spellEnd"/>
      <w:r w:rsidRPr="00B221F3">
        <w:rPr>
          <w:rFonts w:ascii="Palatino Linotype" w:eastAsia="Palatino Linotype" w:hAnsi="Palatino Linotype" w:cs="Palatino Linotype"/>
        </w:rPr>
        <w:t xml:space="preserve">. </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5. Admisión de los Recursos de Revisión. </w:t>
      </w:r>
      <w:r w:rsidRPr="00B221F3">
        <w:rPr>
          <w:rFonts w:ascii="Palatino Linotype" w:eastAsia="Palatino Linotype" w:hAnsi="Palatino Linotype" w:cs="Palatino Linotype"/>
        </w:rPr>
        <w:t xml:space="preserve">En fechas </w:t>
      </w:r>
      <w:r w:rsidR="00F13284" w:rsidRPr="00B221F3">
        <w:rPr>
          <w:rFonts w:ascii="Palatino Linotype" w:eastAsia="Palatino Linotype" w:hAnsi="Palatino Linotype" w:cs="Palatino Linotype"/>
          <w:b/>
        </w:rPr>
        <w:t xml:space="preserve">ocho, nueve, diez, once, catorce y quince de noviembre </w:t>
      </w:r>
      <w:r w:rsidRPr="00B221F3">
        <w:rPr>
          <w:rFonts w:ascii="Palatino Linotype" w:eastAsia="Palatino Linotype" w:hAnsi="Palatino Linotype" w:cs="Palatino Linotype"/>
          <w:b/>
        </w:rPr>
        <w:t>de dos mil veintidós</w:t>
      </w:r>
      <w:r w:rsidRPr="00B221F3">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rsidR="00B46B25" w:rsidRPr="00B221F3" w:rsidRDefault="0068235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6. Acumulación de los recursos de revisión. </w:t>
      </w:r>
      <w:r w:rsidRPr="00B221F3">
        <w:rPr>
          <w:rFonts w:ascii="Palatino Linotype" w:eastAsia="Palatino Linotype" w:hAnsi="Palatino Linotype" w:cs="Palatino Linotype"/>
        </w:rPr>
        <w:t xml:space="preserve">Al respecto cabe señalar, que el Pleno de este Instituto, en la </w:t>
      </w:r>
      <w:r w:rsidR="00F13284" w:rsidRPr="00B221F3">
        <w:rPr>
          <w:rFonts w:ascii="Palatino Linotype" w:eastAsia="Palatino Linotype" w:hAnsi="Palatino Linotype" w:cs="Palatino Linotype"/>
          <w:b/>
        </w:rPr>
        <w:t>Cuadragésima Segunda</w:t>
      </w:r>
      <w:r w:rsidRPr="00B221F3">
        <w:rPr>
          <w:rFonts w:ascii="Palatino Linotype" w:eastAsia="Palatino Linotype" w:hAnsi="Palatino Linotype" w:cs="Palatino Linotype"/>
          <w:b/>
        </w:rPr>
        <w:t xml:space="preserve"> Sesión</w:t>
      </w:r>
      <w:r w:rsidRPr="00B221F3">
        <w:rPr>
          <w:rFonts w:ascii="Palatino Linotype" w:eastAsia="Palatino Linotype" w:hAnsi="Palatino Linotype" w:cs="Palatino Linotype"/>
        </w:rPr>
        <w:t xml:space="preserve"> </w:t>
      </w:r>
      <w:r w:rsidRPr="00B221F3">
        <w:rPr>
          <w:rFonts w:ascii="Palatino Linotype" w:eastAsia="Palatino Linotype" w:hAnsi="Palatino Linotype" w:cs="Palatino Linotype"/>
          <w:b/>
        </w:rPr>
        <w:t>Ordinaria</w:t>
      </w:r>
      <w:r w:rsidRPr="00B221F3">
        <w:rPr>
          <w:rFonts w:ascii="Palatino Linotype" w:eastAsia="Palatino Linotype" w:hAnsi="Palatino Linotype" w:cs="Palatino Linotype"/>
        </w:rPr>
        <w:t xml:space="preserve"> de fecha</w:t>
      </w:r>
      <w:r w:rsidRPr="00B221F3">
        <w:rPr>
          <w:rFonts w:ascii="Palatino Linotype" w:eastAsia="Palatino Linotype" w:hAnsi="Palatino Linotype" w:cs="Palatino Linotype"/>
          <w:b/>
        </w:rPr>
        <w:t xml:space="preserve"> </w:t>
      </w:r>
      <w:r w:rsidR="00F13284" w:rsidRPr="00B221F3">
        <w:rPr>
          <w:rFonts w:ascii="Palatino Linotype" w:eastAsia="Palatino Linotype" w:hAnsi="Palatino Linotype" w:cs="Palatino Linotype"/>
          <w:b/>
        </w:rPr>
        <w:t xml:space="preserve">dieciocho </w:t>
      </w:r>
      <w:r w:rsidR="00F13284" w:rsidRPr="00B221F3">
        <w:rPr>
          <w:rFonts w:ascii="Palatino Linotype" w:eastAsia="Palatino Linotype" w:hAnsi="Palatino Linotype" w:cs="Palatino Linotype"/>
          <w:b/>
        </w:rPr>
        <w:lastRenderedPageBreak/>
        <w:t>de noviembre d</w:t>
      </w:r>
      <w:r w:rsidRPr="00B221F3">
        <w:rPr>
          <w:rFonts w:ascii="Palatino Linotype" w:eastAsia="Palatino Linotype" w:hAnsi="Palatino Linotype" w:cs="Palatino Linotype"/>
          <w:b/>
        </w:rPr>
        <w:t>e dos mil veintidós</w:t>
      </w:r>
      <w:r w:rsidRPr="00B221F3">
        <w:rPr>
          <w:rFonts w:ascii="Palatino Linotype" w:eastAsia="Palatino Linotype" w:hAnsi="Palatino Linotype" w:cs="Palatino Linotype"/>
        </w:rPr>
        <w:t xml:space="preserve">, ordenó la acumulación de los expedientes citados, a efecto de que la Comisionada </w:t>
      </w:r>
      <w:r w:rsidRPr="00B221F3">
        <w:rPr>
          <w:rFonts w:ascii="Palatino Linotype" w:eastAsia="Palatino Linotype" w:hAnsi="Palatino Linotype" w:cs="Palatino Linotype"/>
          <w:b/>
        </w:rPr>
        <w:t xml:space="preserve">Guadalupe Ramírez Peña </w:t>
      </w:r>
      <w:r w:rsidRPr="00B221F3">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B46B25" w:rsidRPr="00B221F3" w:rsidRDefault="0068235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B221F3">
        <w:rPr>
          <w:rFonts w:ascii="Palatino Linotype" w:eastAsia="Palatino Linotype" w:hAnsi="Palatino Linotype" w:cs="Palatino Linotype"/>
          <w:b/>
          <w:i/>
          <w:sz w:val="22"/>
          <w:szCs w:val="22"/>
        </w:rPr>
        <w:t>Código de Procedimientos Administrativos del Estado de México</w:t>
      </w:r>
    </w:p>
    <w:p w:rsidR="00B46B25" w:rsidRPr="00B221F3" w:rsidRDefault="0068235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B221F3">
        <w:rPr>
          <w:rFonts w:ascii="Palatino Linotype" w:eastAsia="Palatino Linotype" w:hAnsi="Palatino Linotype" w:cs="Palatino Linotype"/>
          <w:b/>
          <w:i/>
          <w:sz w:val="22"/>
          <w:szCs w:val="22"/>
        </w:rPr>
        <w:t>“Artículo 18.-</w:t>
      </w:r>
      <w:r w:rsidRPr="00B221F3">
        <w:rPr>
          <w:rFonts w:ascii="Palatino Linotype" w:eastAsia="Palatino Linotype" w:hAnsi="Palatino Linotype" w:cs="Palatino Linotype"/>
          <w:i/>
          <w:sz w:val="22"/>
          <w:szCs w:val="22"/>
        </w:rPr>
        <w:t xml:space="preserve"> </w:t>
      </w:r>
      <w:r w:rsidRPr="00B221F3">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B221F3">
        <w:rPr>
          <w:rFonts w:ascii="Palatino Linotype" w:eastAsia="Palatino Linotype" w:hAnsi="Palatino Linotype" w:cs="Palatino Linotype"/>
          <w:i/>
          <w:sz w:val="22"/>
          <w:szCs w:val="22"/>
        </w:rPr>
        <w:t xml:space="preserve"> o a petición de parte, </w:t>
      </w:r>
      <w:r w:rsidRPr="00B221F3">
        <w:rPr>
          <w:rFonts w:ascii="Palatino Linotype" w:eastAsia="Palatino Linotype" w:hAnsi="Palatino Linotype" w:cs="Palatino Linotype"/>
          <w:b/>
          <w:i/>
          <w:sz w:val="22"/>
          <w:szCs w:val="22"/>
        </w:rPr>
        <w:t>cuando las partes</w:t>
      </w:r>
      <w:r w:rsidRPr="00B221F3">
        <w:rPr>
          <w:rFonts w:ascii="Palatino Linotype" w:eastAsia="Palatino Linotype" w:hAnsi="Palatino Linotype" w:cs="Palatino Linotype"/>
          <w:i/>
          <w:sz w:val="22"/>
          <w:szCs w:val="22"/>
        </w:rPr>
        <w:t xml:space="preserve"> o los actos administrativos sean iguales, se trate de actos conexos o </w:t>
      </w:r>
      <w:r w:rsidRPr="00B221F3">
        <w:rPr>
          <w:rFonts w:ascii="Palatino Linotype" w:eastAsia="Palatino Linotype" w:hAnsi="Palatino Linotype" w:cs="Palatino Linotype"/>
          <w:b/>
          <w:i/>
          <w:sz w:val="22"/>
          <w:szCs w:val="22"/>
        </w:rPr>
        <w:t>resulte conveniente el trámite unificado de los asuntos, para evitar la emisión de resoluciones contradictorias</w:t>
      </w:r>
      <w:r w:rsidRPr="00B221F3">
        <w:rPr>
          <w:rFonts w:ascii="Palatino Linotype" w:eastAsia="Palatino Linotype" w:hAnsi="Palatino Linotype" w:cs="Palatino Linotype"/>
          <w:i/>
          <w:sz w:val="22"/>
          <w:szCs w:val="22"/>
        </w:rPr>
        <w:t>. La misma regla se aplicará, en lo conducente, para la separación de los expedientes.”</w:t>
      </w:r>
    </w:p>
    <w:p w:rsidR="00B46B25" w:rsidRPr="00B221F3" w:rsidRDefault="0068235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B221F3">
        <w:rPr>
          <w:rFonts w:ascii="Palatino Linotype" w:eastAsia="Palatino Linotype" w:hAnsi="Palatino Linotype" w:cs="Palatino Linotype"/>
          <w:b/>
          <w:i/>
          <w:sz w:val="22"/>
          <w:szCs w:val="22"/>
        </w:rPr>
        <w:t>Ley de Transparencia y Acceso a la Información Pública del Estado de México y Municipios</w:t>
      </w:r>
    </w:p>
    <w:p w:rsidR="00B46B25" w:rsidRPr="00B221F3" w:rsidRDefault="00682350">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B221F3">
        <w:rPr>
          <w:rFonts w:ascii="Palatino Linotype" w:eastAsia="Palatino Linotype" w:hAnsi="Palatino Linotype" w:cs="Palatino Linotype"/>
          <w:b/>
          <w:i/>
          <w:sz w:val="22"/>
          <w:szCs w:val="22"/>
        </w:rPr>
        <w:t>“Artículo 195.-</w:t>
      </w:r>
      <w:r w:rsidRPr="00B221F3">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F13284" w:rsidRPr="00B221F3" w:rsidRDefault="00682350">
      <w:pPr>
        <w:spacing w:before="240" w:after="240" w:line="360" w:lineRule="auto"/>
        <w:ind w:right="49"/>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7. Manifestaciones. </w:t>
      </w:r>
      <w:r w:rsidR="002C4524" w:rsidRPr="00B221F3">
        <w:rPr>
          <w:rFonts w:ascii="Palatino Linotype" w:eastAsia="Palatino Linotype" w:hAnsi="Palatino Linotype" w:cs="Palatino Linotype"/>
        </w:rPr>
        <w:t xml:space="preserve">De las constancias que obran en los expedientes electrónicos del SAIMEX se desprende que el </w:t>
      </w:r>
      <w:r w:rsidR="002C4524" w:rsidRPr="00B221F3">
        <w:rPr>
          <w:rFonts w:ascii="Palatino Linotype" w:eastAsia="Palatino Linotype" w:hAnsi="Palatino Linotype" w:cs="Palatino Linotype"/>
          <w:b/>
        </w:rPr>
        <w:t>Sujeto Obligado</w:t>
      </w:r>
      <w:r w:rsidR="002C4524" w:rsidRPr="00B221F3">
        <w:rPr>
          <w:rFonts w:ascii="Palatino Linotype" w:eastAsia="Palatino Linotype" w:hAnsi="Palatino Linotype" w:cs="Palatino Linotype"/>
        </w:rPr>
        <w:t xml:space="preserve"> no rindió informe justificado, del mismo modo la parte </w:t>
      </w:r>
      <w:r w:rsidR="002C4524" w:rsidRPr="00B221F3">
        <w:rPr>
          <w:rFonts w:ascii="Palatino Linotype" w:eastAsia="Palatino Linotype" w:hAnsi="Palatino Linotype" w:cs="Palatino Linotype"/>
          <w:b/>
        </w:rPr>
        <w:t>Recurrente</w:t>
      </w:r>
      <w:r w:rsidR="002C4524" w:rsidRPr="00B221F3">
        <w:rPr>
          <w:rFonts w:ascii="Palatino Linotype" w:eastAsia="Palatino Linotype" w:hAnsi="Palatino Linotype" w:cs="Palatino Linotype"/>
        </w:rPr>
        <w:t xml:space="preserve"> omitió realizar manifestaciones, como se observa a continuación:</w:t>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lastRenderedPageBreak/>
        <w:drawing>
          <wp:inline distT="0" distB="0" distL="0" distR="0" wp14:anchorId="05C0D2CB" wp14:editId="51636E51">
            <wp:extent cx="5580000" cy="1605119"/>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000" cy="1605119"/>
                    </a:xfrm>
                    <a:prstGeom prst="rect">
                      <a:avLst/>
                    </a:prstGeom>
                    <a:noFill/>
                    <a:ln>
                      <a:noFill/>
                    </a:ln>
                  </pic:spPr>
                </pic:pic>
              </a:graphicData>
            </a:graphic>
          </wp:inline>
        </w:drawing>
      </w:r>
    </w:p>
    <w:p w:rsidR="00F1328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6E8BF895" wp14:editId="0ACC6032">
            <wp:extent cx="5580000" cy="1613966"/>
            <wp:effectExtent l="0" t="0" r="190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1613966"/>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5D931F93" wp14:editId="702F3A31">
            <wp:extent cx="5580000" cy="1605119"/>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000" cy="1605119"/>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5ED86A4D" wp14:editId="2F72F998">
            <wp:extent cx="5580000" cy="1588057"/>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0000" cy="1588057"/>
                    </a:xfrm>
                    <a:prstGeom prst="rect">
                      <a:avLst/>
                    </a:prstGeom>
                    <a:noFill/>
                    <a:ln>
                      <a:noFill/>
                    </a:ln>
                  </pic:spPr>
                </pic:pic>
              </a:graphicData>
            </a:graphic>
          </wp:inline>
        </w:drawing>
      </w:r>
    </w:p>
    <w:p w:rsidR="00F1328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lastRenderedPageBreak/>
        <w:drawing>
          <wp:inline distT="0" distB="0" distL="0" distR="0" wp14:anchorId="68DE0C17" wp14:editId="2982C053">
            <wp:extent cx="5580000" cy="1605119"/>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000" cy="1605119"/>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1818EE32" wp14:editId="0F76B6EE">
            <wp:extent cx="5580000" cy="1605119"/>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000" cy="1605119"/>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585475DE" wp14:editId="3B3AA256">
            <wp:extent cx="5580000" cy="1613966"/>
            <wp:effectExtent l="0" t="0" r="190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0000" cy="1613966"/>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53728B2B" wp14:editId="6C51C6DC">
            <wp:extent cx="5598000" cy="1602055"/>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8000" cy="1602055"/>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lastRenderedPageBreak/>
        <w:drawing>
          <wp:inline distT="0" distB="0" distL="0" distR="0" wp14:anchorId="1846E8C0" wp14:editId="735BC6EB">
            <wp:extent cx="5607050" cy="16129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7050" cy="1612900"/>
                    </a:xfrm>
                    <a:prstGeom prst="rect">
                      <a:avLst/>
                    </a:prstGeom>
                    <a:noFill/>
                    <a:ln>
                      <a:noFill/>
                    </a:ln>
                  </pic:spPr>
                </pic:pic>
              </a:graphicData>
            </a:graphic>
          </wp:inline>
        </w:drawing>
      </w:r>
    </w:p>
    <w:p w:rsidR="002C4524" w:rsidRPr="00B221F3" w:rsidRDefault="002C4524" w:rsidP="002C4524">
      <w:pPr>
        <w:spacing w:before="240" w:after="240" w:line="360" w:lineRule="auto"/>
        <w:ind w:right="49"/>
        <w:jc w:val="center"/>
        <w:rPr>
          <w:rFonts w:ascii="Palatino Linotype" w:eastAsia="Palatino Linotype" w:hAnsi="Palatino Linotype" w:cs="Palatino Linotype"/>
          <w:b/>
        </w:rPr>
      </w:pPr>
      <w:r w:rsidRPr="00B221F3">
        <w:rPr>
          <w:rFonts w:ascii="Palatino Linotype" w:eastAsia="Palatino Linotype" w:hAnsi="Palatino Linotype" w:cs="Palatino Linotype"/>
          <w:b/>
          <w:noProof/>
          <w:lang w:eastAsia="es-MX"/>
        </w:rPr>
        <w:drawing>
          <wp:inline distT="0" distB="0" distL="0" distR="0" wp14:anchorId="22EB15EA" wp14:editId="2FB48541">
            <wp:extent cx="5607050" cy="160464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7050" cy="1604645"/>
                    </a:xfrm>
                    <a:prstGeom prst="rect">
                      <a:avLst/>
                    </a:prstGeom>
                    <a:noFill/>
                    <a:ln>
                      <a:noFill/>
                    </a:ln>
                  </pic:spPr>
                </pic:pic>
              </a:graphicData>
            </a:graphic>
          </wp:inline>
        </w:drawing>
      </w:r>
    </w:p>
    <w:p w:rsidR="002C4524" w:rsidRPr="00B221F3" w:rsidRDefault="00682350" w:rsidP="002C4524">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8. </w:t>
      </w:r>
      <w:r w:rsidR="002C4524" w:rsidRPr="00B221F3">
        <w:rPr>
          <w:rFonts w:ascii="Palatino Linotype" w:eastAsia="Palatino Linotype" w:hAnsi="Palatino Linotype" w:cs="Palatino Linotype"/>
          <w:b/>
        </w:rPr>
        <w:t xml:space="preserve">Cierre de Instrucción. </w:t>
      </w:r>
      <w:r w:rsidR="002C4524" w:rsidRPr="00B221F3">
        <w:rPr>
          <w:rFonts w:ascii="Palatino Linotype" w:eastAsia="Palatino Linotype" w:hAnsi="Palatino Linotype" w:cs="Palatino Linotype"/>
        </w:rPr>
        <w:t xml:space="preserve">En fecha </w:t>
      </w:r>
      <w:r w:rsidR="002C4524" w:rsidRPr="00B221F3">
        <w:rPr>
          <w:rFonts w:ascii="Palatino Linotype" w:eastAsia="Palatino Linotype" w:hAnsi="Palatino Linotype" w:cs="Palatino Linotype"/>
          <w:b/>
        </w:rPr>
        <w:t>veintiséis de enero de dos mil veintitrés</w:t>
      </w:r>
      <w:r w:rsidR="002C4524" w:rsidRPr="00B221F3">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w:t>
      </w:r>
      <w:r w:rsidR="008D6BEA" w:rsidRPr="00B221F3">
        <w:rPr>
          <w:rFonts w:ascii="Palatino Linotype" w:eastAsia="Palatino Linotype" w:hAnsi="Palatino Linotype" w:cs="Palatino Linotype"/>
        </w:rPr>
        <w:t xml:space="preserve">los </w:t>
      </w:r>
      <w:r w:rsidR="002C4524" w:rsidRPr="00B221F3">
        <w:rPr>
          <w:rFonts w:ascii="Palatino Linotype" w:eastAsia="Palatino Linotype" w:hAnsi="Palatino Linotype" w:cs="Palatino Linotype"/>
        </w:rPr>
        <w:t>medios de impugnación se acordó el cierre de instrucción y se procede a formular la resolución que en derecho corresponda.</w:t>
      </w:r>
    </w:p>
    <w:p w:rsidR="00B46B25" w:rsidRPr="00B221F3" w:rsidRDefault="002C4524">
      <w:pPr>
        <w:spacing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9. </w:t>
      </w:r>
      <w:r w:rsidR="00682350" w:rsidRPr="00B221F3">
        <w:rPr>
          <w:rFonts w:ascii="Palatino Linotype" w:eastAsia="Palatino Linotype" w:hAnsi="Palatino Linotype" w:cs="Palatino Linotype"/>
          <w:b/>
        </w:rPr>
        <w:t>Ampliación del término para resolver</w:t>
      </w:r>
      <w:r w:rsidR="00682350" w:rsidRPr="00B221F3">
        <w:rPr>
          <w:rFonts w:ascii="Palatino Linotype" w:eastAsia="Palatino Linotype" w:hAnsi="Palatino Linotype" w:cs="Palatino Linotype"/>
        </w:rPr>
        <w:t xml:space="preserve">. En fecha </w:t>
      </w:r>
      <w:r w:rsidRPr="00B221F3">
        <w:rPr>
          <w:rFonts w:ascii="Palatino Linotype" w:eastAsia="Palatino Linotype" w:hAnsi="Palatino Linotype" w:cs="Palatino Linotype"/>
          <w:b/>
        </w:rPr>
        <w:t>veintinueve de mayo de dos mil veintitrés</w:t>
      </w:r>
      <w:r w:rsidR="00682350" w:rsidRPr="00B221F3">
        <w:rPr>
          <w:rFonts w:ascii="Palatino Linotype" w:eastAsia="Palatino Linotype" w:hAnsi="Palatino Linotype" w:cs="Palatino Linotype"/>
        </w:rPr>
        <w:t xml:space="preserve">, se amplió el término para resolver </w:t>
      </w:r>
      <w:r w:rsidR="008D6BEA" w:rsidRPr="00B221F3">
        <w:rPr>
          <w:rFonts w:ascii="Palatino Linotype" w:eastAsia="Palatino Linotype" w:hAnsi="Palatino Linotype" w:cs="Palatino Linotype"/>
        </w:rPr>
        <w:t xml:space="preserve">los recursos </w:t>
      </w:r>
      <w:r w:rsidR="00682350" w:rsidRPr="00B221F3">
        <w:rPr>
          <w:rFonts w:ascii="Palatino Linotype" w:eastAsia="Palatino Linotype" w:hAnsi="Palatino Linotype" w:cs="Palatino Linotype"/>
        </w:rPr>
        <w:t xml:space="preserve">de revisión en términos </w:t>
      </w:r>
      <w:r w:rsidR="00682350" w:rsidRPr="00B221F3">
        <w:rPr>
          <w:rFonts w:ascii="Palatino Linotype" w:eastAsia="Palatino Linotype" w:hAnsi="Palatino Linotype" w:cs="Palatino Linotype"/>
        </w:rPr>
        <w:lastRenderedPageBreak/>
        <w:t>del artículo 181 párrafo tercero de la Ley de Transparencia y Acceso a la Información Pública del Estado de México y Municipios.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B221F3">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B46B25" w:rsidRPr="00B221F3" w:rsidRDefault="00682350">
      <w:pPr>
        <w:spacing w:before="240" w:after="240" w:line="360" w:lineRule="auto"/>
        <w:jc w:val="both"/>
        <w:rPr>
          <w:rFonts w:ascii="Palatino Linotype" w:eastAsia="Palatino Linotype" w:hAnsi="Palatino Linotype" w:cs="Palatino Linotype"/>
          <w:strike/>
        </w:rPr>
      </w:pPr>
      <w:r w:rsidRPr="00B221F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B221F3">
        <w:rPr>
          <w:rFonts w:ascii="Palatino Linotype" w:eastAsia="Palatino Linotype" w:hAnsi="Palatino Linotype" w:cs="Palatino Linotype"/>
        </w:rPr>
        <w:t>su resolución atentos</w:t>
      </w:r>
      <w:proofErr w:type="gramEnd"/>
      <w:r w:rsidRPr="00B221F3">
        <w:rPr>
          <w:rFonts w:ascii="Palatino Linotype" w:eastAsia="Palatino Linotype" w:hAnsi="Palatino Linotype" w:cs="Palatino Linotype"/>
        </w:rPr>
        <w:t xml:space="preserve"> a los siguientes criterios: </w:t>
      </w:r>
    </w:p>
    <w:p w:rsidR="00B46B25" w:rsidRPr="00B221F3" w:rsidRDefault="0068235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46B25" w:rsidRPr="00B221F3" w:rsidRDefault="0068235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B221F3">
        <w:rPr>
          <w:rFonts w:ascii="Palatino Linotype" w:eastAsia="Palatino Linotype" w:hAnsi="Palatino Linotype" w:cs="Palatino Linotype"/>
        </w:rPr>
        <w:t>Actividad Procesal del interesado. Acciones u omisiones del interesado.</w:t>
      </w:r>
    </w:p>
    <w:p w:rsidR="00B46B25" w:rsidRPr="00B221F3" w:rsidRDefault="0068235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B221F3">
        <w:rPr>
          <w:rFonts w:ascii="Palatino Linotype" w:eastAsia="Palatino Linotype" w:hAnsi="Palatino Linotype" w:cs="Palatino Linotype"/>
        </w:rPr>
        <w:t>Conducta de la Autoridad: Las Acciones u omisiones realizadas en el procedimiento. Así como si la autoridad actuó con la debida diligencia.</w:t>
      </w:r>
    </w:p>
    <w:p w:rsidR="00B46B25" w:rsidRPr="00B221F3" w:rsidRDefault="00682350">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B221F3">
        <w:rPr>
          <w:rFonts w:ascii="Palatino Linotype" w:eastAsia="Palatino Linotype" w:hAnsi="Palatino Linotype" w:cs="Palatino Linotype"/>
        </w:rPr>
        <w:t>La afectación generada en la situación jurídica de la persona involucrada en el proceso: Violación a sus derechos humanos.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46B25" w:rsidRPr="00B221F3" w:rsidRDefault="00682350">
      <w:pPr>
        <w:spacing w:before="240" w:after="240" w:line="360" w:lineRule="auto"/>
        <w:jc w:val="both"/>
        <w:rPr>
          <w:rFonts w:ascii="Palatino Linotype" w:eastAsia="Palatino Linotype" w:hAnsi="Palatino Linotype" w:cs="Palatino Linotype"/>
          <w:b/>
        </w:rPr>
      </w:pPr>
      <w:r w:rsidRPr="00B221F3">
        <w:rPr>
          <w:rFonts w:ascii="Palatino Linotype" w:eastAsia="Palatino Linotype" w:hAnsi="Palatino Linotype" w:cs="Palatino Linotype"/>
        </w:rPr>
        <w:lastRenderedPageBreak/>
        <w:t>Argumento que encuentra sustento en la jurisprudencia P</w:t>
      </w:r>
      <w:proofErr w:type="gramStart"/>
      <w:r w:rsidRPr="00B221F3">
        <w:rPr>
          <w:rFonts w:ascii="Palatino Linotype" w:eastAsia="Palatino Linotype" w:hAnsi="Palatino Linotype" w:cs="Palatino Linotype"/>
        </w:rPr>
        <w:t>./</w:t>
      </w:r>
      <w:proofErr w:type="gramEnd"/>
      <w:r w:rsidRPr="00B221F3">
        <w:rPr>
          <w:rFonts w:ascii="Palatino Linotype" w:eastAsia="Palatino Linotype" w:hAnsi="Palatino Linotype" w:cs="Palatino Linotype"/>
        </w:rPr>
        <w:t xml:space="preserve">J. 32/92 emitida por el Pleno de la Suprema Corte de Justicia de la Nación de rubro </w:t>
      </w:r>
      <w:r w:rsidRPr="00B221F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221F3">
        <w:rPr>
          <w:rFonts w:ascii="Palatino Linotype" w:eastAsia="Palatino Linotype" w:hAnsi="Palatino Linotype" w:cs="Palatino Linotype"/>
        </w:rPr>
        <w:t>, visible en la Gaceta del Seminario Judicial de la Federación con el registro digital 205635.</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46B25" w:rsidRPr="00B221F3" w:rsidRDefault="00682350">
      <w:pPr>
        <w:spacing w:before="240" w:after="240"/>
        <w:ind w:left="851" w:right="900"/>
        <w:jc w:val="both"/>
        <w:rPr>
          <w:rFonts w:ascii="Palatino Linotype" w:eastAsia="Palatino Linotype" w:hAnsi="Palatino Linotype" w:cs="Palatino Linotype"/>
          <w:sz w:val="22"/>
          <w:szCs w:val="22"/>
        </w:rPr>
      </w:pPr>
      <w:r w:rsidRPr="00B221F3">
        <w:rPr>
          <w:rFonts w:ascii="Palatino Linotype" w:eastAsia="Palatino Linotype" w:hAnsi="Palatino Linotype" w:cs="Palatino Linotype"/>
          <w:sz w:val="22"/>
          <w:szCs w:val="22"/>
        </w:rPr>
        <w:t xml:space="preserve"> </w:t>
      </w:r>
      <w:r w:rsidRPr="00B221F3">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B221F3">
        <w:rPr>
          <w:rFonts w:ascii="Palatino Linotype" w:eastAsia="Palatino Linotype" w:hAnsi="Palatino Linotype" w:cs="Palatino Linotype"/>
          <w:b/>
          <w:i/>
          <w:sz w:val="22"/>
          <w:szCs w:val="22"/>
        </w:rPr>
        <w:lastRenderedPageBreak/>
        <w:t>TRABAJO</w:t>
      </w:r>
      <w:r w:rsidRPr="00B221F3">
        <w:rPr>
          <w:rFonts w:ascii="Palatino Linotype" w:eastAsia="Palatino Linotype" w:hAnsi="Palatino Linotype" w:cs="Palatino Linotype"/>
          <w:i/>
          <w:sz w:val="22"/>
          <w:szCs w:val="22"/>
        </w:rPr>
        <w:t>.”</w:t>
      </w:r>
      <w:r w:rsidRPr="00B221F3">
        <w:rPr>
          <w:rFonts w:ascii="Palatino Linotype" w:eastAsia="Palatino Linotype" w:hAnsi="Palatino Linotype" w:cs="Palatino Linotype"/>
          <w:sz w:val="22"/>
          <w:szCs w:val="22"/>
        </w:rPr>
        <w:t xml:space="preserve"> consultable en el Seminario Judicial de la Federación y su gaceta, con el registro digital 2002351.</w:t>
      </w:r>
    </w:p>
    <w:p w:rsidR="00B46B25" w:rsidRPr="00B221F3" w:rsidRDefault="00682350">
      <w:pPr>
        <w:spacing w:before="240" w:after="240"/>
        <w:ind w:left="851" w:right="900"/>
        <w:jc w:val="both"/>
        <w:rPr>
          <w:rFonts w:ascii="Palatino Linotype" w:eastAsia="Palatino Linotype" w:hAnsi="Palatino Linotype" w:cs="Palatino Linotype"/>
          <w:sz w:val="22"/>
          <w:szCs w:val="22"/>
        </w:rPr>
      </w:pPr>
      <w:r w:rsidRPr="00B221F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221F3">
        <w:rPr>
          <w:rFonts w:ascii="Palatino Linotype" w:eastAsia="Palatino Linotype" w:hAnsi="Palatino Linotype" w:cs="Palatino Linotype"/>
          <w:sz w:val="22"/>
          <w:szCs w:val="22"/>
        </w:rPr>
        <w:t>, visible en el Seminario Judicial de la Federación y su gaceta, con el registro digital 2002350.</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B46B25" w:rsidRPr="00B221F3" w:rsidRDefault="0068235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221F3">
        <w:rPr>
          <w:rFonts w:ascii="Palatino Linotype" w:eastAsia="Palatino Linotype" w:hAnsi="Palatino Linotype" w:cs="Palatino Linotype"/>
          <w:b/>
        </w:rPr>
        <w:t>II. C O N S I D E R A N D O 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Primero. Competencia.</w:t>
      </w:r>
      <w:r w:rsidRPr="00B221F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w:t>
      </w:r>
      <w:r w:rsidR="008D6BEA" w:rsidRPr="00B221F3">
        <w:rPr>
          <w:rFonts w:ascii="Palatino Linotype" w:eastAsia="Palatino Linotype" w:hAnsi="Palatino Linotype" w:cs="Palatino Linotype"/>
        </w:rPr>
        <w:t>o y Municipios; 9, fracciones I,</w:t>
      </w:r>
      <w:r w:rsidRPr="00B221F3">
        <w:rPr>
          <w:rFonts w:ascii="Palatino Linotype" w:eastAsia="Palatino Linotype" w:hAnsi="Palatino Linotype" w:cs="Palatino Linotype"/>
        </w:rPr>
        <w:t xml:space="preserve"> XXIII</w:t>
      </w:r>
      <w:r w:rsidR="008D6BEA" w:rsidRPr="00B221F3">
        <w:rPr>
          <w:rFonts w:ascii="Palatino Linotype" w:eastAsia="Palatino Linotype" w:hAnsi="Palatino Linotype" w:cs="Palatino Linotype"/>
        </w:rPr>
        <w:t xml:space="preserve"> y XXIV</w:t>
      </w:r>
      <w:r w:rsidRPr="00B221F3">
        <w:rPr>
          <w:rFonts w:ascii="Palatino Linotype" w:eastAsia="Palatino Linotype" w:hAnsi="Palatino Linotype" w:cs="Palatino Linotype"/>
        </w:rPr>
        <w:t xml:space="preserve"> y 11 del </w:t>
      </w:r>
      <w:r w:rsidRPr="00B221F3">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Segundo. Oportunidad y </w:t>
      </w:r>
      <w:proofErr w:type="spellStart"/>
      <w:r w:rsidRPr="00B221F3">
        <w:rPr>
          <w:rFonts w:ascii="Palatino Linotype" w:eastAsia="Palatino Linotype" w:hAnsi="Palatino Linotype" w:cs="Palatino Linotype"/>
          <w:b/>
        </w:rPr>
        <w:t>Procedibilidad</w:t>
      </w:r>
      <w:proofErr w:type="spellEnd"/>
      <w:r w:rsidRPr="00B221F3">
        <w:rPr>
          <w:rFonts w:ascii="Palatino Linotype" w:eastAsia="Palatino Linotype" w:hAnsi="Palatino Linotype" w:cs="Palatino Linotype"/>
          <w:b/>
        </w:rPr>
        <w:t xml:space="preserve"> del Recurso de Revisión</w:t>
      </w:r>
      <w:r w:rsidRPr="00B221F3">
        <w:rPr>
          <w:rFonts w:ascii="Palatino Linotype" w:eastAsia="Palatino Linotype" w:hAnsi="Palatino Linotype" w:cs="Palatino Linotype"/>
        </w:rPr>
        <w:t xml:space="preserve">. Previo al estudio del fondo del asunto, se procede a analizar los requisitos de oportunidad y </w:t>
      </w:r>
      <w:proofErr w:type="spellStart"/>
      <w:r w:rsidRPr="00B221F3">
        <w:rPr>
          <w:rFonts w:ascii="Palatino Linotype" w:eastAsia="Palatino Linotype" w:hAnsi="Palatino Linotype" w:cs="Palatino Linotype"/>
        </w:rPr>
        <w:t>procedibilidad</w:t>
      </w:r>
      <w:proofErr w:type="spellEnd"/>
      <w:r w:rsidRPr="00B221F3">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 xml:space="preserve">remitió la respuesta a las solicitudes de información el día </w:t>
      </w:r>
      <w:r w:rsidR="00592A0B" w:rsidRPr="00B221F3">
        <w:rPr>
          <w:rFonts w:ascii="Palatino Linotype" w:eastAsia="Palatino Linotype" w:hAnsi="Palatino Linotype" w:cs="Palatino Linotype"/>
          <w:b/>
        </w:rPr>
        <w:t>veintiocho de octubre</w:t>
      </w:r>
      <w:r w:rsidRPr="00B221F3">
        <w:rPr>
          <w:rFonts w:ascii="Palatino Linotype" w:eastAsia="Palatino Linotype" w:hAnsi="Palatino Linotype" w:cs="Palatino Linotype"/>
          <w:b/>
        </w:rPr>
        <w:t xml:space="preserve"> de dos mil veintidós, </w:t>
      </w:r>
      <w:r w:rsidRPr="00B221F3">
        <w:rPr>
          <w:rFonts w:ascii="Palatino Linotype" w:eastAsia="Palatino Linotype" w:hAnsi="Palatino Linotype" w:cs="Palatino Linotype"/>
        </w:rPr>
        <w:t xml:space="preserve">mientras que los recursos de revisión interpuestos por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se tuvieron por presentados </w:t>
      </w:r>
      <w:r w:rsidR="00592A0B" w:rsidRPr="00B221F3">
        <w:rPr>
          <w:rFonts w:ascii="Palatino Linotype" w:eastAsia="Palatino Linotype" w:hAnsi="Palatino Linotype" w:cs="Palatino Linotype"/>
        </w:rPr>
        <w:t xml:space="preserve">el día </w:t>
      </w:r>
      <w:r w:rsidR="00592A0B" w:rsidRPr="00B221F3">
        <w:rPr>
          <w:rFonts w:ascii="Palatino Linotype" w:eastAsia="Palatino Linotype" w:hAnsi="Palatino Linotype" w:cs="Palatino Linotype"/>
          <w:b/>
        </w:rPr>
        <w:t>siete de noviembre d</w:t>
      </w:r>
      <w:r w:rsidRPr="00B221F3">
        <w:rPr>
          <w:rFonts w:ascii="Palatino Linotype" w:eastAsia="Palatino Linotype" w:hAnsi="Palatino Linotype" w:cs="Palatino Linotype"/>
          <w:b/>
        </w:rPr>
        <w:t>e dos mil veintidós</w:t>
      </w:r>
      <w:r w:rsidRPr="00B221F3">
        <w:rPr>
          <w:rFonts w:ascii="Palatino Linotype" w:eastAsia="Palatino Linotype" w:hAnsi="Palatino Linotype" w:cs="Palatino Linotype"/>
        </w:rPr>
        <w:t xml:space="preserve">, esto es, al </w:t>
      </w:r>
      <w:r w:rsidR="00592A0B" w:rsidRPr="00B221F3">
        <w:rPr>
          <w:rFonts w:ascii="Palatino Linotype" w:eastAsia="Palatino Linotype" w:hAnsi="Palatino Linotype" w:cs="Palatino Linotype"/>
        </w:rPr>
        <w:t xml:space="preserve">quinto </w:t>
      </w:r>
      <w:r w:rsidRPr="00B221F3">
        <w:rPr>
          <w:rFonts w:ascii="Palatino Linotype" w:eastAsia="Palatino Linotype" w:hAnsi="Palatino Linotype" w:cs="Palatino Linotype"/>
        </w:rPr>
        <w:t>día hábil posterior en que tuvo conocimiento de las respuestas impugnadas, respectivamente.</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En e</w:t>
      </w:r>
      <w:r w:rsidR="008D6BEA" w:rsidRPr="00B221F3">
        <w:rPr>
          <w:rFonts w:ascii="Palatino Linotype" w:eastAsia="Palatino Linotype" w:hAnsi="Palatino Linotype" w:cs="Palatino Linotype"/>
        </w:rPr>
        <w:t xml:space="preserve">ste sentido, se concluye que los presentes recursos </w:t>
      </w:r>
      <w:r w:rsidRPr="00B221F3">
        <w:rPr>
          <w:rFonts w:ascii="Palatino Linotype" w:eastAsia="Palatino Linotype" w:hAnsi="Palatino Linotype" w:cs="Palatino Linotype"/>
        </w:rPr>
        <w:t>de revisión se encuentra</w:t>
      </w:r>
      <w:r w:rsidR="008D6BEA" w:rsidRPr="00B221F3">
        <w:rPr>
          <w:rFonts w:ascii="Palatino Linotype" w:eastAsia="Palatino Linotype" w:hAnsi="Palatino Linotype" w:cs="Palatino Linotype"/>
        </w:rPr>
        <w:t>n</w:t>
      </w:r>
      <w:r w:rsidRPr="00B221F3">
        <w:rPr>
          <w:rFonts w:ascii="Palatino Linotype" w:eastAsia="Palatino Linotype" w:hAnsi="Palatino Linotype" w:cs="Palatino Linotype"/>
        </w:rPr>
        <w:t xml:space="preserve"> dentro de los márgenes temporales previstos en las disposiciones legales referidas.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Al mismo tiempo, por cuanto hace a la </w:t>
      </w:r>
      <w:proofErr w:type="spellStart"/>
      <w:r w:rsidRPr="00B221F3">
        <w:rPr>
          <w:rFonts w:ascii="Palatino Linotype" w:eastAsia="Palatino Linotype" w:hAnsi="Palatino Linotype" w:cs="Palatino Linotype"/>
        </w:rPr>
        <w:t>procedibilidad</w:t>
      </w:r>
      <w:proofErr w:type="spellEnd"/>
      <w:r w:rsidRPr="00B221F3">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w:t>
      </w:r>
      <w:r w:rsidRPr="00B221F3">
        <w:rPr>
          <w:rFonts w:ascii="Palatino Linotype" w:eastAsia="Palatino Linotype" w:hAnsi="Palatino Linotype" w:cs="Palatino Linotype"/>
        </w:rPr>
        <w:lastRenderedPageBreak/>
        <w:t>México y Municipios, en atención a que fueron presentados mediante el formato visible en el SAIMEX.</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Finalmente, se advierte que resulta procedente la interposición de los recursos, según lo manifestado por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en sus motivos de inconformidad, de acuerdo al artículo 179, fracción </w:t>
      </w:r>
      <w:r w:rsidR="00592A0B" w:rsidRPr="00B221F3">
        <w:rPr>
          <w:rFonts w:ascii="Palatino Linotype" w:eastAsia="Palatino Linotype" w:hAnsi="Palatino Linotype" w:cs="Palatino Linotype"/>
        </w:rPr>
        <w:t>I</w:t>
      </w:r>
      <w:r w:rsidRPr="00B221F3">
        <w:rPr>
          <w:rFonts w:ascii="Palatino Linotype" w:eastAsia="Palatino Linotype" w:hAnsi="Palatino Linotype" w:cs="Palatino Linotype"/>
        </w:rPr>
        <w:t xml:space="preserve"> del ordenamiento legal citado, que a la letra dice: </w:t>
      </w:r>
    </w:p>
    <w:p w:rsidR="00B46B25" w:rsidRPr="00B221F3" w:rsidRDefault="00682350" w:rsidP="00592A0B">
      <w:pPr>
        <w:spacing w:before="120" w:after="120"/>
        <w:ind w:left="993"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r w:rsidRPr="00B221F3">
        <w:rPr>
          <w:rFonts w:ascii="Palatino Linotype" w:eastAsia="Palatino Linotype" w:hAnsi="Palatino Linotype" w:cs="Palatino Linotype"/>
          <w:b/>
          <w:i/>
          <w:sz w:val="22"/>
          <w:szCs w:val="22"/>
        </w:rPr>
        <w:t>Artículo 179.</w:t>
      </w:r>
      <w:r w:rsidRPr="00B221F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46B25" w:rsidRPr="00B221F3" w:rsidRDefault="00592A0B">
      <w:pPr>
        <w:spacing w:before="120" w:after="120"/>
        <w:ind w:left="1134"/>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 xml:space="preserve">I. </w:t>
      </w:r>
      <w:r w:rsidRPr="00B221F3">
        <w:rPr>
          <w:rFonts w:ascii="Palatino Linotype" w:eastAsia="Palatino Linotype" w:hAnsi="Palatino Linotype" w:cs="Palatino Linotype"/>
          <w:i/>
          <w:sz w:val="22"/>
          <w:szCs w:val="22"/>
        </w:rPr>
        <w:t>La negativa a la información solicitada</w:t>
      </w:r>
      <w:r w:rsidR="00682350" w:rsidRPr="00B221F3">
        <w:rPr>
          <w:rFonts w:ascii="Palatino Linotype" w:eastAsia="Palatino Linotype" w:hAnsi="Palatino Linotype" w:cs="Palatino Linotype"/>
          <w:sz w:val="22"/>
          <w:szCs w:val="22"/>
        </w:rPr>
        <w:t>;</w:t>
      </w:r>
      <w:r w:rsidR="00682350" w:rsidRPr="00B221F3">
        <w:rPr>
          <w:rFonts w:ascii="Palatino Linotype" w:eastAsia="Palatino Linotype" w:hAnsi="Palatino Linotype" w:cs="Palatino Linotype"/>
          <w:i/>
          <w:sz w:val="22"/>
          <w:szCs w:val="22"/>
        </w:rPr>
        <w:t>”</w:t>
      </w:r>
    </w:p>
    <w:p w:rsidR="00B46B25" w:rsidRPr="00B221F3" w:rsidRDefault="00682350">
      <w:pPr>
        <w:tabs>
          <w:tab w:val="left" w:pos="8647"/>
        </w:tabs>
        <w:spacing w:before="240" w:after="240" w:line="360" w:lineRule="auto"/>
        <w:jc w:val="both"/>
        <w:rPr>
          <w:rFonts w:ascii="Palatino Linotype" w:eastAsia="Palatino Linotype" w:hAnsi="Palatino Linotype" w:cs="Palatino Linotype"/>
          <w:b/>
        </w:rPr>
      </w:pPr>
      <w:r w:rsidRPr="00B221F3">
        <w:rPr>
          <w:rFonts w:ascii="Palatino Linotype" w:eastAsia="Palatino Linotype" w:hAnsi="Palatino Linotype" w:cs="Palatino Linotype"/>
          <w:b/>
        </w:rPr>
        <w:t xml:space="preserve">Tercero. Materia de la revisión. </w:t>
      </w:r>
      <w:r w:rsidRPr="00B221F3">
        <w:rPr>
          <w:rFonts w:ascii="Palatino Linotype" w:eastAsia="Palatino Linotype" w:hAnsi="Palatino Linotype" w:cs="Palatino Linotype"/>
        </w:rPr>
        <w:t xml:space="preserve">Este Organismo Garante procede del análisis de los agravios hechos valer por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Cuarto. Estudio del asunto. </w:t>
      </w:r>
      <w:r w:rsidRPr="00B221F3">
        <w:rPr>
          <w:rFonts w:ascii="Palatino Linotype" w:eastAsia="Palatino Linotype" w:hAnsi="Palatino Linotype" w:cs="Palatino Linotype"/>
        </w:rPr>
        <w:t xml:space="preserve">Del análisis de la solicitud de información, motivo del recurso de revisión que ahora se resuelve se advierte que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requirió al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le proporcione, información consistente en lo siguiente:</w:t>
      </w:r>
    </w:p>
    <w:p w:rsidR="00B46B25" w:rsidRPr="00B221F3" w:rsidRDefault="00592A0B">
      <w:pPr>
        <w:tabs>
          <w:tab w:val="left" w:pos="709"/>
        </w:tabs>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Del uno de enero al diez de octubre de dos mil veintidós</w:t>
      </w:r>
      <w:r w:rsidR="00682350" w:rsidRPr="00B221F3">
        <w:rPr>
          <w:rFonts w:ascii="Palatino Linotype" w:eastAsia="Palatino Linotype" w:hAnsi="Palatino Linotype" w:cs="Palatino Linotype"/>
        </w:rPr>
        <w:t>:</w:t>
      </w:r>
    </w:p>
    <w:p w:rsidR="00B46B25" w:rsidRPr="00B221F3" w:rsidRDefault="00682350" w:rsidP="004A2810">
      <w:pPr>
        <w:tabs>
          <w:tab w:val="left" w:pos="709"/>
        </w:tabs>
        <w:spacing w:before="240" w:after="240" w:line="360" w:lineRule="auto"/>
        <w:ind w:left="426"/>
        <w:jc w:val="both"/>
        <w:rPr>
          <w:rFonts w:ascii="Palatino Linotype" w:eastAsia="Palatino Linotype" w:hAnsi="Palatino Linotype" w:cs="Palatino Linotype"/>
        </w:rPr>
      </w:pPr>
      <w:r w:rsidRPr="00B221F3">
        <w:rPr>
          <w:rFonts w:ascii="Palatino Linotype" w:eastAsia="Palatino Linotype" w:hAnsi="Palatino Linotype" w:cs="Palatino Linotype"/>
        </w:rPr>
        <w:t>1</w:t>
      </w:r>
      <w:r w:rsidR="004A2810" w:rsidRPr="00B221F3">
        <w:t>. T</w:t>
      </w:r>
      <w:r w:rsidR="004A2810" w:rsidRPr="00B221F3">
        <w:rPr>
          <w:rFonts w:ascii="Palatino Linotype" w:eastAsia="Palatino Linotype" w:hAnsi="Palatino Linotype" w:cs="Palatino Linotype"/>
        </w:rPr>
        <w:t>odas y cada una de las facturas, en versión pública, que haya pagado la Tesorería Municipal, acompañadas del documento comprobatorio (soportes, evidencias, etcétera) que soporte el pago de la factura.</w:t>
      </w:r>
    </w:p>
    <w:p w:rsidR="00AC13F5" w:rsidRPr="00B221F3" w:rsidRDefault="00AC13F5" w:rsidP="00AC13F5">
      <w:pPr>
        <w:tabs>
          <w:tab w:val="left" w:pos="709"/>
        </w:tabs>
        <w:spacing w:before="240" w:after="240" w:line="360" w:lineRule="auto"/>
        <w:jc w:val="both"/>
        <w:rPr>
          <w:rFonts w:ascii="Palatino Linotype" w:eastAsia="Palatino Linotype" w:hAnsi="Palatino Linotype" w:cs="Palatino Linotype"/>
        </w:rPr>
      </w:pPr>
      <w:r w:rsidRPr="00B221F3">
        <w:rPr>
          <w:rFonts w:ascii="Palatino Linotype" w:hAnsi="Palatino Linotype"/>
        </w:rPr>
        <w:lastRenderedPageBreak/>
        <w:t>No pasa inadvertido que la persona solicitante requirió información hasta cinco días hábiles antes de proporcionar la respuesta, sin embargo, dicho requerimiento es invalido, toda vez que el mismo está encaminado a obtener información que  el Sujeto Obligado no había generado a la fecha de presentación de la solicitud, por lo tanto, al no obrar en sus archivos, es evidente que se encontraba imposibilitado para atender favorablemente la solicitud respecto de dicho periodo. En consecuencia el soporte documental que es susceptible de entrega es aquel con el que contaba al diez de octubre de dos mil veintidós, es decir, al día en el que se presentó la solicitud</w:t>
      </w:r>
    </w:p>
    <w:p w:rsidR="00856830"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En respuesta,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a través de la Unidad de Transparencia</w:t>
      </w:r>
      <w:r w:rsidR="004A2810" w:rsidRPr="00B221F3">
        <w:rPr>
          <w:rFonts w:ascii="Palatino Linotype" w:eastAsia="Palatino Linotype" w:hAnsi="Palatino Linotype" w:cs="Palatino Linotype"/>
        </w:rPr>
        <w:t xml:space="preserve"> hizo del conocimiento de la persona solicitante el pronunciamiento emitido por el Tesorero Municipal, quien, en atención a las solicitudes de información, </w:t>
      </w:r>
      <w:r w:rsidRPr="00B221F3">
        <w:rPr>
          <w:rFonts w:ascii="Palatino Linotype" w:eastAsia="Palatino Linotype" w:hAnsi="Palatino Linotype" w:cs="Palatino Linotype"/>
        </w:rPr>
        <w:t xml:space="preserve"> </w:t>
      </w:r>
      <w:r w:rsidR="00F01495" w:rsidRPr="00B221F3">
        <w:rPr>
          <w:rFonts w:ascii="Palatino Linotype" w:eastAsia="Palatino Linotype" w:hAnsi="Palatino Linotype" w:cs="Palatino Linotype"/>
        </w:rPr>
        <w:t>manifestó que la información solicitada estaba en proceso de revisión ante las autoridades competentes, por ser parte de la integración de la Cuenta Pública del Ejercicio fiscal 2022.</w:t>
      </w:r>
    </w:p>
    <w:p w:rsidR="00F01495" w:rsidRPr="00B221F3" w:rsidRDefault="00F01495" w:rsidP="00F01495">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Al no estar conforme con los términos de la respuesta otorgada a sus solicitudes, la persona solicitante interpuso los recursos de revisión que ahora nos ocupan, en los que señaló como motivo de inconformidad que “</w:t>
      </w:r>
      <w:r w:rsidRPr="00B221F3">
        <w:rPr>
          <w:rFonts w:ascii="Palatino Linotype" w:eastAsia="Palatino Linotype" w:hAnsi="Palatino Linotype" w:cs="Palatino Linotype"/>
          <w:i/>
        </w:rPr>
        <w:t xml:space="preserve">LA RESPUESTA OTORGADA ES ILEGAL Y VIOLENTA EL DERECHO DE ACCESO A LAINFORMACIÓN PÚBLICA YA QUE NO FUNDA NI MOTIVA LA NEGATIVA DE PROPORCIONAR LA INFORMACIÓN, NO OBSTANTE QUE DICHA INFORMACIÓN LA DEBE TENER EN MEDIOS IMPRESOS Y/O DIGITALES Y DEBEN OBRAR EN SUS ARCHIVOS. NO OBSTANTE LO ANTERIOR RESULTA EVIDENTE LA TOTAL OPACIDAD CON QUE SE COMPORTA EL MUNICIPIO DE CUAUTITLAN YA QUE LAS RAZONES </w:t>
      </w:r>
      <w:r w:rsidRPr="00B221F3">
        <w:rPr>
          <w:rFonts w:ascii="Palatino Linotype" w:eastAsia="Palatino Linotype" w:hAnsi="Palatino Linotype" w:cs="Palatino Linotype"/>
          <w:i/>
        </w:rPr>
        <w:lastRenderedPageBreak/>
        <w:t>QUE HA SEÑALADO EN SUS MOTIVOS PARA PRORROGA NO SON ACORDES CON LAS REPUESTAS QUE DA SIENDO EL CASO QUE LAS RAZONES QUE DIO PARA LA PRORROGA, SIENDO ELLO EVIDENTEME ILEGAL, CONSTANTE Y PREMEDITADO.” (</w:t>
      </w:r>
      <w:proofErr w:type="gramStart"/>
      <w:r w:rsidRPr="00B221F3">
        <w:rPr>
          <w:rFonts w:ascii="Palatino Linotype" w:eastAsia="Palatino Linotype" w:hAnsi="Palatino Linotype" w:cs="Palatino Linotype"/>
          <w:i/>
        </w:rPr>
        <w:t>sic</w:t>
      </w:r>
      <w:proofErr w:type="gramEnd"/>
      <w:r w:rsidRPr="00B221F3">
        <w:rPr>
          <w:rFonts w:ascii="Palatino Linotype" w:eastAsia="Palatino Linotype" w:hAnsi="Palatino Linotype" w:cs="Palatino Linotype"/>
          <w:i/>
        </w:rPr>
        <w:t>)</w:t>
      </w:r>
      <w:r w:rsidRPr="00B221F3">
        <w:rPr>
          <w:rFonts w:ascii="Palatino Linotype" w:eastAsia="Palatino Linotype" w:hAnsi="Palatino Linotype" w:cs="Palatino Linotype"/>
        </w:rPr>
        <w:t xml:space="preserve">, advirtiendo que la razón principal de su inconformidad es la negativa de proporcionar la información. </w:t>
      </w:r>
    </w:p>
    <w:p w:rsidR="00F01495" w:rsidRPr="00B221F3" w:rsidRDefault="00F01495" w:rsidP="00F01495">
      <w:pPr>
        <w:spacing w:before="280" w:after="28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Una vez admitido el recurso de revisión, en términos del artículo 185 fracción II</w:t>
      </w:r>
      <w:r w:rsidRPr="00B221F3">
        <w:rPr>
          <w:rFonts w:ascii="Palatino Linotype" w:eastAsia="Palatino Linotype" w:hAnsi="Palatino Linotype" w:cs="Palatino Linotype"/>
          <w:vertAlign w:val="superscript"/>
        </w:rPr>
        <w:footnoteReference w:id="1"/>
      </w:r>
      <w:r w:rsidRPr="00B221F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rsidR="00312A0A" w:rsidRPr="00B221F3" w:rsidRDefault="00F01495" w:rsidP="00312A0A">
      <w:pPr>
        <w:pStyle w:val="NormalWeb"/>
        <w:spacing w:line="360" w:lineRule="auto"/>
        <w:jc w:val="both"/>
        <w:rPr>
          <w:rFonts w:ascii="Palatino Linotype" w:hAnsi="Palatino Linotype"/>
        </w:rPr>
      </w:pPr>
      <w:r w:rsidRPr="00B221F3">
        <w:rPr>
          <w:rFonts w:ascii="Palatino Linotype" w:hAnsi="Palatino Linotype" w:cs="Arial"/>
        </w:rPr>
        <w:t xml:space="preserve">Por consiguiente, </w:t>
      </w:r>
      <w:r w:rsidRPr="00B221F3">
        <w:rPr>
          <w:rFonts w:ascii="Palatino Linotype" w:hAnsi="Palatino Linotype"/>
        </w:rPr>
        <w:t xml:space="preserve">se procede al análisis de los requerimientos planteados por la persona solicitante y las respuestas proporcionadas por el </w:t>
      </w:r>
      <w:r w:rsidRPr="00B221F3">
        <w:rPr>
          <w:rFonts w:ascii="Palatino Linotype" w:eastAsia="Calibri" w:hAnsi="Palatino Linotype" w:cs="Arial"/>
          <w:b/>
          <w:bCs/>
          <w:lang w:val="es-ES_tradnl"/>
        </w:rPr>
        <w:t>Sujeto Obligado</w:t>
      </w:r>
      <w:r w:rsidRPr="00B221F3">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rsidR="00A16FA8" w:rsidRPr="00B221F3" w:rsidRDefault="00F01495" w:rsidP="00312A0A">
      <w:pPr>
        <w:pStyle w:val="NormalWeb"/>
        <w:spacing w:line="360" w:lineRule="auto"/>
        <w:jc w:val="both"/>
        <w:rPr>
          <w:rFonts w:ascii="Palatino Linotype" w:hAnsi="Palatino Linotype"/>
        </w:rPr>
      </w:pPr>
      <w:r w:rsidRPr="00B221F3">
        <w:rPr>
          <w:rFonts w:ascii="Palatino Linotype" w:hAnsi="Palatino Linotype"/>
        </w:rPr>
        <w:lastRenderedPageBreak/>
        <w:t>En este sentido, recordemos que en observancia de lo previsto en los artículos 53</w:t>
      </w:r>
      <w:r w:rsidRPr="00B221F3">
        <w:rPr>
          <w:rStyle w:val="Refdenotaalpie"/>
          <w:rFonts w:ascii="Palatino Linotype" w:hAnsi="Palatino Linotype"/>
        </w:rPr>
        <w:footnoteReference w:id="2"/>
      </w:r>
      <w:r w:rsidRPr="00B221F3">
        <w:rPr>
          <w:rFonts w:ascii="Palatino Linotype" w:hAnsi="Palatino Linotype"/>
        </w:rPr>
        <w:t xml:space="preserve"> fracciones II y IV y  162</w:t>
      </w:r>
      <w:r w:rsidRPr="00B221F3">
        <w:rPr>
          <w:rStyle w:val="Refdenotaalpie"/>
          <w:rFonts w:ascii="Palatino Linotype" w:hAnsi="Palatino Linotype"/>
        </w:rPr>
        <w:footnoteReference w:id="3"/>
      </w:r>
      <w:r w:rsidRPr="00B221F3">
        <w:rPr>
          <w:rFonts w:ascii="Palatino Linotype" w:hAnsi="Palatino Linotype"/>
        </w:rPr>
        <w:t xml:space="preserve"> de la Ley de la Materia, la Unidad de Transparencia turnó las solicitudes de información a la Tesorería Municipal, al ser la dependencia encargada de </w:t>
      </w:r>
      <w:r w:rsidR="00B23FFE" w:rsidRPr="00B221F3">
        <w:rPr>
          <w:rFonts w:ascii="Palatino Linotype" w:hAnsi="Palatino Linotype"/>
        </w:rPr>
        <w:t>administrar la hacienda pública municipal y de llevar los registros contables, financieros y administrativos de los ingresos, egresos e inventarios, de conformidad con el artículo 95, fracciones I y II  de la Ley Orgánica Municipal del Estado de México y M</w:t>
      </w:r>
      <w:r w:rsidR="00D3541F" w:rsidRPr="00B221F3">
        <w:rPr>
          <w:rFonts w:ascii="Palatino Linotype" w:hAnsi="Palatino Linotype"/>
        </w:rPr>
        <w:t>unicipios, misma que no negó la existencia de la informaci</w:t>
      </w:r>
      <w:r w:rsidR="000E0460" w:rsidRPr="00B221F3">
        <w:rPr>
          <w:rFonts w:ascii="Palatino Linotype" w:hAnsi="Palatino Linotype"/>
        </w:rPr>
        <w:t>ón, sino que el ar</w:t>
      </w:r>
      <w:r w:rsidR="00A16FA8" w:rsidRPr="00B221F3">
        <w:rPr>
          <w:rFonts w:ascii="Palatino Linotype" w:hAnsi="Palatino Linotype"/>
        </w:rPr>
        <w:t xml:space="preserve">gumento principal para negar la entrega </w:t>
      </w:r>
      <w:r w:rsidR="00000DD8" w:rsidRPr="00B221F3">
        <w:rPr>
          <w:rFonts w:ascii="Palatino Linotype" w:hAnsi="Palatino Linotype"/>
        </w:rPr>
        <w:t xml:space="preserve">fue que, al ser parte de la integración de la Cuenta Pública, se encontraba en proceso de revisión ante las autoridades competentes, </w:t>
      </w:r>
      <w:r w:rsidR="00B00A28" w:rsidRPr="00B221F3">
        <w:rPr>
          <w:rFonts w:ascii="Palatino Linotype" w:hAnsi="Palatino Linotype"/>
        </w:rPr>
        <w:t xml:space="preserve">es decir, </w:t>
      </w:r>
      <w:r w:rsidR="00000DD8" w:rsidRPr="00B221F3">
        <w:rPr>
          <w:rFonts w:ascii="Palatino Linotype" w:hAnsi="Palatino Linotype"/>
        </w:rPr>
        <w:t>restringió el derecho de acceso a la información</w:t>
      </w:r>
      <w:r w:rsidR="00A16FA8" w:rsidRPr="00B221F3">
        <w:rPr>
          <w:rFonts w:ascii="Palatino Linotype" w:hAnsi="Palatino Linotype"/>
        </w:rPr>
        <w:t xml:space="preserve"> de la persona solicitante.</w:t>
      </w:r>
    </w:p>
    <w:p w:rsidR="00A16FA8" w:rsidRPr="00B221F3" w:rsidRDefault="00A16FA8" w:rsidP="00A16FA8">
      <w:pPr>
        <w:spacing w:before="240" w:after="240" w:line="360" w:lineRule="auto"/>
        <w:jc w:val="both"/>
        <w:rPr>
          <w:rFonts w:ascii="Palatino Linotype" w:eastAsia="Palatino Linotype" w:hAnsi="Palatino Linotype" w:cs="Palatino Linotype"/>
        </w:rPr>
      </w:pPr>
      <w:r w:rsidRPr="00B221F3">
        <w:rPr>
          <w:rFonts w:ascii="Palatino Linotype" w:hAnsi="Palatino Linotype"/>
        </w:rPr>
        <w:t xml:space="preserve">Al respecto es oportuno mencionar </w:t>
      </w:r>
      <w:r w:rsidRPr="00B221F3">
        <w:rPr>
          <w:rFonts w:ascii="Palatino Linotype" w:eastAsia="Palatino Linotype" w:hAnsi="Palatino Linotype" w:cs="Palatino Linotype"/>
        </w:rPr>
        <w:t>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A16FA8" w:rsidRPr="00B221F3" w:rsidRDefault="00A16FA8" w:rsidP="00F01495">
      <w:pPr>
        <w:spacing w:before="240" w:after="240" w:line="360" w:lineRule="auto"/>
        <w:jc w:val="both"/>
        <w:rPr>
          <w:rFonts w:ascii="Palatino Linotype" w:eastAsia="Palatino Linotype" w:hAnsi="Palatino Linotype" w:cs="Palatino Linotype"/>
          <w:sz w:val="18"/>
          <w:szCs w:val="18"/>
        </w:rPr>
      </w:pPr>
      <w:r w:rsidRPr="00B221F3">
        <w:rPr>
          <w:rFonts w:ascii="Palatino Linotype" w:eastAsia="Palatino Linotype" w:hAnsi="Palatino Linotype" w:cs="Palatino Linotype"/>
        </w:rPr>
        <w:t xml:space="preserve">Así, se entiende como información reservada aquella que se clasifica de manera temporal cuya divulgación pueda causar algún daño; y como información confidencial, la relacionada con los secretos bancario, fiduciario, industrial, </w:t>
      </w:r>
      <w:r w:rsidRPr="00B221F3">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221F3">
        <w:rPr>
          <w:rFonts w:ascii="Palatino Linotype" w:eastAsia="Palatino Linotype" w:hAnsi="Palatino Linotype" w:cs="Palatino Linotype"/>
          <w:sz w:val="18"/>
          <w:szCs w:val="18"/>
        </w:rPr>
        <w:t xml:space="preserve">. </w:t>
      </w:r>
    </w:p>
    <w:p w:rsidR="001D4A31" w:rsidRPr="00B221F3" w:rsidRDefault="00A16FA8" w:rsidP="00A16FA8">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No obstante, es de señalar que </w:t>
      </w:r>
      <w:r w:rsidR="00634E26" w:rsidRPr="00B221F3">
        <w:rPr>
          <w:rFonts w:ascii="Palatino Linotype" w:eastAsia="Palatino Linotype" w:hAnsi="Palatino Linotype" w:cs="Palatino Linotype"/>
        </w:rPr>
        <w:t xml:space="preserve">la información que es materia de la solicitud, no actualiza ninguno de los supuestos </w:t>
      </w:r>
      <w:r w:rsidRPr="00B221F3">
        <w:rPr>
          <w:rFonts w:ascii="Palatino Linotype" w:eastAsia="Palatino Linotype" w:hAnsi="Palatino Linotype" w:cs="Palatino Linotype"/>
        </w:rPr>
        <w:t xml:space="preserve">de clasificación total </w:t>
      </w:r>
      <w:r w:rsidR="00634E26" w:rsidRPr="00B221F3">
        <w:rPr>
          <w:rFonts w:ascii="Palatino Linotype" w:eastAsia="Palatino Linotype" w:hAnsi="Palatino Linotype" w:cs="Palatino Linotype"/>
        </w:rPr>
        <w:t xml:space="preserve">que </w:t>
      </w:r>
      <w:r w:rsidR="00EA5C5C" w:rsidRPr="00B221F3">
        <w:rPr>
          <w:rFonts w:ascii="Palatino Linotype" w:eastAsia="Palatino Linotype" w:hAnsi="Palatino Linotype" w:cs="Palatino Linotype"/>
        </w:rPr>
        <w:t>la</w:t>
      </w:r>
      <w:r w:rsidRPr="00B221F3">
        <w:rPr>
          <w:rFonts w:ascii="Palatino Linotype" w:eastAsia="Palatino Linotype" w:hAnsi="Palatino Linotype" w:cs="Palatino Linotype"/>
        </w:rPr>
        <w:t xml:space="preserve"> normativa aplicable contempla, por lo tanto no se justifica la restricción al Derecho humano de acceso de la persona solicitante.</w:t>
      </w:r>
    </w:p>
    <w:p w:rsidR="00A16FA8" w:rsidRPr="00B221F3" w:rsidRDefault="00A16FA8" w:rsidP="00A16FA8">
      <w:pPr>
        <w:spacing w:before="240" w:after="240" w:line="360" w:lineRule="auto"/>
        <w:jc w:val="both"/>
        <w:rPr>
          <w:rFonts w:ascii="Palatino Linotype" w:eastAsia="Calibri" w:hAnsi="Palatino Linotype" w:cs="Tahoma"/>
          <w:iCs/>
          <w:szCs w:val="22"/>
          <w:lang w:val="es-ES" w:eastAsia="es-ES_tradnl"/>
        </w:rPr>
      </w:pPr>
      <w:r w:rsidRPr="00B221F3">
        <w:rPr>
          <w:rFonts w:ascii="Palatino Linotype" w:eastAsia="Calibri" w:hAnsi="Palatino Linotype" w:cs="Tahoma"/>
          <w:iCs/>
          <w:szCs w:val="22"/>
          <w:lang w:val="es-ES" w:eastAsia="es-ES_tradnl"/>
        </w:rPr>
        <w:t>Aunado a lo anterior</w:t>
      </w:r>
      <w:r w:rsidR="00EA5C5C" w:rsidRPr="00B221F3">
        <w:rPr>
          <w:rFonts w:ascii="Palatino Linotype" w:eastAsia="Calibri" w:hAnsi="Palatino Linotype" w:cs="Tahoma"/>
          <w:iCs/>
          <w:szCs w:val="22"/>
          <w:lang w:val="es-ES" w:eastAsia="es-ES_tradnl"/>
        </w:rPr>
        <w:t xml:space="preserve">, es preciso </w:t>
      </w:r>
      <w:r w:rsidRPr="00B221F3">
        <w:rPr>
          <w:rFonts w:ascii="Palatino Linotype" w:eastAsia="Calibri" w:hAnsi="Palatino Linotype" w:cs="Tahoma"/>
          <w:iCs/>
          <w:szCs w:val="22"/>
          <w:lang w:val="es-ES" w:eastAsia="es-ES_tradnl"/>
        </w:rPr>
        <w:t>mencionar</w:t>
      </w:r>
      <w:r w:rsidR="00EA5C5C" w:rsidRPr="00B221F3">
        <w:rPr>
          <w:rFonts w:ascii="Palatino Linotype" w:eastAsia="Calibri" w:hAnsi="Palatino Linotype" w:cs="Tahoma"/>
          <w:iCs/>
          <w:szCs w:val="22"/>
          <w:lang w:val="es-ES" w:eastAsia="es-ES_tradnl"/>
        </w:rPr>
        <w:t xml:space="preserve"> que en materia de transparencia, para que resulte procedente la entrega de la información que se solicite, es necesario que esta obre en cualquier documento que el Sujeto Obligado, genere, posea o administre,</w:t>
      </w:r>
      <w:r w:rsidRPr="00B221F3">
        <w:rPr>
          <w:rFonts w:ascii="Palatino Linotype" w:eastAsia="Calibri" w:hAnsi="Palatino Linotype" w:cs="Tahoma"/>
          <w:iCs/>
          <w:szCs w:val="22"/>
          <w:lang w:val="es-ES" w:eastAsia="es-ES_tradnl"/>
        </w:rPr>
        <w:t xml:space="preserve"> en el caso concreto, </w:t>
      </w:r>
      <w:r w:rsidR="00EA5C5C" w:rsidRPr="00B221F3">
        <w:rPr>
          <w:rFonts w:ascii="Palatino Linotype" w:eastAsia="Calibri" w:hAnsi="Palatino Linotype" w:cs="Tahoma"/>
          <w:iCs/>
          <w:szCs w:val="22"/>
          <w:lang w:val="es-ES" w:eastAsia="es-ES_tradnl"/>
        </w:rPr>
        <w:t xml:space="preserve">los documentos como ya ha quedado establecido y como el mismo </w:t>
      </w:r>
      <w:r w:rsidRPr="00B221F3">
        <w:rPr>
          <w:rFonts w:ascii="Palatino Linotype" w:eastAsia="Calibri" w:hAnsi="Palatino Linotype" w:cs="Tahoma"/>
          <w:b/>
          <w:iCs/>
          <w:szCs w:val="22"/>
          <w:lang w:val="es-ES" w:eastAsia="es-ES_tradnl"/>
        </w:rPr>
        <w:t>Sujeto Obligado</w:t>
      </w:r>
      <w:r w:rsidRPr="00B221F3">
        <w:rPr>
          <w:rFonts w:ascii="Palatino Linotype" w:eastAsia="Calibri" w:hAnsi="Palatino Linotype" w:cs="Tahoma"/>
          <w:iCs/>
          <w:szCs w:val="22"/>
          <w:lang w:val="es-ES" w:eastAsia="es-ES_tradnl"/>
        </w:rPr>
        <w:t xml:space="preserve"> refirió en respuesta, </w:t>
      </w:r>
      <w:r w:rsidR="00EA5C5C" w:rsidRPr="00B221F3">
        <w:rPr>
          <w:rFonts w:ascii="Palatino Linotype" w:eastAsia="Calibri" w:hAnsi="Palatino Linotype" w:cs="Tahoma"/>
          <w:iCs/>
          <w:szCs w:val="22"/>
          <w:lang w:val="es-ES" w:eastAsia="es-ES_tradnl"/>
        </w:rPr>
        <w:t xml:space="preserve">obran en sus archivos, por lo que resulta poco garante </w:t>
      </w:r>
      <w:r w:rsidR="00280104" w:rsidRPr="00B221F3">
        <w:rPr>
          <w:rFonts w:ascii="Palatino Linotype" w:eastAsia="Calibri" w:hAnsi="Palatino Linotype" w:cs="Tahoma"/>
          <w:iCs/>
          <w:szCs w:val="22"/>
          <w:lang w:val="es-ES" w:eastAsia="es-ES_tradnl"/>
        </w:rPr>
        <w:t xml:space="preserve">negar la entrega de la información al referir que </w:t>
      </w:r>
      <w:r w:rsidR="00EA5C5C" w:rsidRPr="00B221F3">
        <w:rPr>
          <w:rFonts w:ascii="Palatino Linotype" w:eastAsia="Calibri" w:hAnsi="Palatino Linotype" w:cs="Tahoma"/>
          <w:iCs/>
          <w:szCs w:val="22"/>
          <w:lang w:val="es-ES" w:eastAsia="es-ES_tradnl"/>
        </w:rPr>
        <w:t xml:space="preserve">la </w:t>
      </w:r>
      <w:r w:rsidR="00EA5C5C" w:rsidRPr="00B221F3">
        <w:rPr>
          <w:rFonts w:ascii="Palatino Linotype" w:eastAsia="Calibri" w:hAnsi="Palatino Linotype" w:cs="Tahoma"/>
          <w:i/>
          <w:iCs/>
          <w:szCs w:val="22"/>
          <w:lang w:val="es-ES" w:eastAsia="es-ES_tradnl"/>
        </w:rPr>
        <w:t xml:space="preserve">información solicitada </w:t>
      </w:r>
      <w:r w:rsidR="00280104" w:rsidRPr="00B221F3">
        <w:rPr>
          <w:rFonts w:ascii="Palatino Linotype" w:eastAsia="Calibri" w:hAnsi="Palatino Linotype" w:cs="Tahoma"/>
          <w:i/>
          <w:iCs/>
          <w:szCs w:val="22"/>
          <w:lang w:val="es-ES" w:eastAsia="es-ES_tradnl"/>
        </w:rPr>
        <w:t>se encuentra en proceso de revisión</w:t>
      </w:r>
      <w:r w:rsidR="00EA5C5C" w:rsidRPr="00B221F3">
        <w:rPr>
          <w:rFonts w:ascii="Palatino Linotype" w:eastAsia="Calibri" w:hAnsi="Palatino Linotype" w:cs="Tahoma"/>
          <w:i/>
          <w:iCs/>
          <w:szCs w:val="22"/>
          <w:lang w:val="es-ES" w:eastAsia="es-ES_tradnl"/>
        </w:rPr>
        <w:t>,</w:t>
      </w:r>
      <w:r w:rsidR="00EA5C5C" w:rsidRPr="00B221F3">
        <w:rPr>
          <w:rFonts w:ascii="Palatino Linotype" w:eastAsia="Calibri" w:hAnsi="Palatino Linotype" w:cs="Tahoma"/>
          <w:iCs/>
          <w:szCs w:val="22"/>
          <w:lang w:val="es-ES" w:eastAsia="es-ES_tradnl"/>
        </w:rPr>
        <w:t xml:space="preserve"> </w:t>
      </w:r>
      <w:r w:rsidRPr="00B221F3">
        <w:rPr>
          <w:rFonts w:ascii="Palatino Linotype" w:eastAsia="Calibri" w:hAnsi="Palatino Linotype" w:cs="Tahoma"/>
          <w:iCs/>
          <w:szCs w:val="22"/>
          <w:lang w:val="es-ES" w:eastAsia="es-ES_tradnl"/>
        </w:rPr>
        <w:t xml:space="preserve">ya que con dicha determinación </w:t>
      </w:r>
      <w:r w:rsidR="00EA5C5C" w:rsidRPr="00B221F3">
        <w:rPr>
          <w:rFonts w:ascii="Palatino Linotype" w:eastAsia="Calibri" w:hAnsi="Palatino Linotype" w:cs="Tahoma"/>
          <w:iCs/>
          <w:szCs w:val="22"/>
          <w:lang w:val="es-ES" w:eastAsia="es-ES_tradnl"/>
        </w:rPr>
        <w:t>solo se dilata la atención del derecho de acc</w:t>
      </w:r>
      <w:r w:rsidRPr="00B221F3">
        <w:rPr>
          <w:rFonts w:ascii="Palatino Linotype" w:eastAsia="Calibri" w:hAnsi="Palatino Linotype" w:cs="Tahoma"/>
          <w:iCs/>
          <w:szCs w:val="22"/>
          <w:lang w:val="es-ES" w:eastAsia="es-ES_tradnl"/>
        </w:rPr>
        <w:t>eso a la información pública de la parte</w:t>
      </w:r>
      <w:r w:rsidR="00EA5C5C" w:rsidRPr="00B221F3">
        <w:rPr>
          <w:rFonts w:ascii="Palatino Linotype" w:eastAsia="Calibri" w:hAnsi="Palatino Linotype" w:cs="Tahoma"/>
          <w:iCs/>
          <w:szCs w:val="22"/>
          <w:lang w:val="es-ES" w:eastAsia="es-ES_tradnl"/>
        </w:rPr>
        <w:t xml:space="preserve"> </w:t>
      </w:r>
      <w:r w:rsidRPr="00B221F3">
        <w:rPr>
          <w:rFonts w:ascii="Palatino Linotype" w:eastAsia="Calibri" w:hAnsi="Palatino Linotype" w:cs="Tahoma"/>
          <w:b/>
          <w:iCs/>
          <w:szCs w:val="22"/>
          <w:lang w:val="es-ES" w:eastAsia="es-ES_tradnl"/>
        </w:rPr>
        <w:t xml:space="preserve">Recurrente, </w:t>
      </w:r>
      <w:r w:rsidRPr="00B221F3">
        <w:rPr>
          <w:rFonts w:ascii="Palatino Linotype" w:eastAsia="Calibri" w:hAnsi="Palatino Linotype" w:cs="Tahoma"/>
          <w:iCs/>
          <w:szCs w:val="22"/>
          <w:lang w:val="es-ES" w:eastAsia="es-ES_tradnl"/>
        </w:rPr>
        <w:t>ya que al tratarse de documentos públicos que por su naturaleza no sufren modificación alguna, deben proporcionarse.</w:t>
      </w:r>
    </w:p>
    <w:p w:rsidR="00EA5C5C" w:rsidRPr="00B221F3" w:rsidRDefault="00A16FA8" w:rsidP="00E4417B">
      <w:pPr>
        <w:spacing w:before="240" w:after="240" w:line="360" w:lineRule="auto"/>
        <w:jc w:val="both"/>
        <w:rPr>
          <w:rFonts w:ascii="Palatino Linotype" w:eastAsia="Calibri" w:hAnsi="Palatino Linotype" w:cs="Tahoma"/>
          <w:iCs/>
          <w:szCs w:val="22"/>
          <w:lang w:val="es-ES" w:eastAsia="es-ES_tradnl"/>
        </w:rPr>
      </w:pPr>
      <w:r w:rsidRPr="00B221F3">
        <w:rPr>
          <w:rFonts w:ascii="Palatino Linotype" w:eastAsia="Calibri" w:hAnsi="Palatino Linotype" w:cs="Tahoma"/>
          <w:iCs/>
          <w:szCs w:val="22"/>
          <w:lang w:val="es-ES" w:eastAsia="es-ES_tradnl"/>
        </w:rPr>
        <w:t xml:space="preserve">Lo anterior se estima así en virtud de que los documentos base de la solicitud, es decir, las facturas y los comprobantes de pago de las mismas, </w:t>
      </w:r>
      <w:r w:rsidR="00E4417B" w:rsidRPr="00B221F3">
        <w:rPr>
          <w:rFonts w:ascii="Palatino Linotype" w:eastAsia="Calibri" w:hAnsi="Palatino Linotype" w:cs="Tahoma"/>
          <w:iCs/>
          <w:szCs w:val="22"/>
          <w:lang w:val="es-ES" w:eastAsia="es-ES_tradnl"/>
        </w:rPr>
        <w:t xml:space="preserve">se relacionan con facultades que </w:t>
      </w:r>
      <w:r w:rsidR="00EA5C5C" w:rsidRPr="00B221F3">
        <w:rPr>
          <w:rFonts w:ascii="Palatino Linotype" w:eastAsia="Calibri" w:hAnsi="Palatino Linotype" w:cs="Tahoma"/>
          <w:iCs/>
          <w:szCs w:val="22"/>
          <w:lang w:val="es-ES" w:eastAsia="es-ES_tradnl"/>
        </w:rPr>
        <w:t>ya fue</w:t>
      </w:r>
      <w:r w:rsidR="00E4417B" w:rsidRPr="00B221F3">
        <w:rPr>
          <w:rFonts w:ascii="Palatino Linotype" w:eastAsia="Calibri" w:hAnsi="Palatino Linotype" w:cs="Tahoma"/>
          <w:iCs/>
          <w:szCs w:val="22"/>
          <w:lang w:val="es-ES" w:eastAsia="es-ES_tradnl"/>
        </w:rPr>
        <w:t>ron ejecutadas</w:t>
      </w:r>
      <w:r w:rsidR="00EA5C5C" w:rsidRPr="00B221F3">
        <w:rPr>
          <w:rFonts w:ascii="Palatino Linotype" w:eastAsia="Calibri" w:hAnsi="Palatino Linotype" w:cs="Tahoma"/>
          <w:iCs/>
          <w:szCs w:val="22"/>
          <w:lang w:val="es-ES" w:eastAsia="es-ES_tradnl"/>
        </w:rPr>
        <w:t xml:space="preserve"> por </w:t>
      </w:r>
      <w:r w:rsidR="00280104" w:rsidRPr="00B221F3">
        <w:rPr>
          <w:rFonts w:ascii="Palatino Linotype" w:eastAsia="Calibri" w:hAnsi="Palatino Linotype" w:cs="Tahoma"/>
          <w:iCs/>
          <w:szCs w:val="22"/>
          <w:lang w:val="es-ES" w:eastAsia="es-ES_tradnl"/>
        </w:rPr>
        <w:t xml:space="preserve">el </w:t>
      </w:r>
      <w:r w:rsidR="00280104" w:rsidRPr="00B221F3">
        <w:rPr>
          <w:rFonts w:ascii="Palatino Linotype" w:eastAsia="Calibri" w:hAnsi="Palatino Linotype" w:cs="Tahoma"/>
          <w:b/>
          <w:iCs/>
          <w:szCs w:val="22"/>
          <w:lang w:val="es-ES" w:eastAsia="es-ES_tradnl"/>
        </w:rPr>
        <w:t>Sujeto O</w:t>
      </w:r>
      <w:r w:rsidR="00EA5C5C" w:rsidRPr="00B221F3">
        <w:rPr>
          <w:rFonts w:ascii="Palatino Linotype" w:eastAsia="Calibri" w:hAnsi="Palatino Linotype" w:cs="Tahoma"/>
          <w:b/>
          <w:iCs/>
          <w:szCs w:val="22"/>
          <w:lang w:val="es-ES" w:eastAsia="es-ES_tradnl"/>
        </w:rPr>
        <w:t>bligado</w:t>
      </w:r>
      <w:r w:rsidR="00E4417B" w:rsidRPr="00B221F3">
        <w:rPr>
          <w:rFonts w:ascii="Palatino Linotype" w:eastAsia="Calibri" w:hAnsi="Palatino Linotype" w:cs="Tahoma"/>
          <w:b/>
          <w:iCs/>
          <w:szCs w:val="22"/>
          <w:lang w:val="es-ES" w:eastAsia="es-ES_tradnl"/>
        </w:rPr>
        <w:t>,</w:t>
      </w:r>
      <w:r w:rsidR="00EA5C5C" w:rsidRPr="00B221F3">
        <w:rPr>
          <w:rFonts w:ascii="Palatino Linotype" w:eastAsia="Calibri" w:hAnsi="Palatino Linotype" w:cs="Tahoma"/>
          <w:iCs/>
          <w:szCs w:val="22"/>
          <w:lang w:val="es-ES" w:eastAsia="es-ES_tradnl"/>
        </w:rPr>
        <w:t xml:space="preserve"> esto es ya fue </w:t>
      </w:r>
      <w:r w:rsidR="00E4417B" w:rsidRPr="00B221F3">
        <w:rPr>
          <w:rFonts w:ascii="Palatino Linotype" w:eastAsia="Calibri" w:hAnsi="Palatino Linotype" w:cs="Tahoma"/>
          <w:iCs/>
          <w:szCs w:val="22"/>
          <w:lang w:val="es-ES" w:eastAsia="es-ES_tradnl"/>
        </w:rPr>
        <w:t>efectuado</w:t>
      </w:r>
      <w:r w:rsidR="00EA5C5C" w:rsidRPr="00B221F3">
        <w:rPr>
          <w:rFonts w:ascii="Palatino Linotype" w:eastAsia="Calibri" w:hAnsi="Palatino Linotype" w:cs="Tahoma"/>
          <w:iCs/>
          <w:szCs w:val="22"/>
          <w:lang w:val="es-ES" w:eastAsia="es-ES_tradnl"/>
        </w:rPr>
        <w:t xml:space="preserve"> </w:t>
      </w:r>
      <w:r w:rsidR="00EA5C5C" w:rsidRPr="00B221F3">
        <w:rPr>
          <w:rFonts w:ascii="Palatino Linotype" w:eastAsia="Calibri" w:hAnsi="Palatino Linotype" w:cs="Tahoma"/>
          <w:iCs/>
          <w:szCs w:val="22"/>
          <w:lang w:val="es-ES" w:eastAsia="es-ES_tradnl"/>
        </w:rPr>
        <w:lastRenderedPageBreak/>
        <w:t>un pago por parte del Ayuntamiento</w:t>
      </w:r>
      <w:r w:rsidR="00E4417B" w:rsidRPr="00B221F3">
        <w:rPr>
          <w:rFonts w:ascii="Palatino Linotype" w:eastAsia="Calibri" w:hAnsi="Palatino Linotype" w:cs="Tahoma"/>
          <w:iCs/>
          <w:szCs w:val="22"/>
          <w:lang w:val="es-ES" w:eastAsia="es-ES_tradnl"/>
        </w:rPr>
        <w:t xml:space="preserve"> en ejercicio de sus funciones, en tal sentido, a</w:t>
      </w:r>
      <w:r w:rsidR="00EA5C5C" w:rsidRPr="00B221F3">
        <w:rPr>
          <w:rFonts w:ascii="Palatino Linotype" w:eastAsia="Calibri" w:hAnsi="Palatino Linotype" w:cs="Tahoma"/>
          <w:iCs/>
          <w:szCs w:val="22"/>
          <w:lang w:val="es-ES" w:eastAsia="es-ES_tradnl"/>
        </w:rPr>
        <w:t xml:space="preserve">l </w:t>
      </w:r>
      <w:r w:rsidR="00E4417B" w:rsidRPr="00B221F3">
        <w:rPr>
          <w:rFonts w:ascii="Palatino Linotype" w:eastAsia="Calibri" w:hAnsi="Palatino Linotype" w:cs="Tahoma"/>
          <w:iCs/>
          <w:szCs w:val="22"/>
          <w:lang w:val="es-ES" w:eastAsia="es-ES_tradnl"/>
        </w:rPr>
        <w:t>estar intrínsecamente relacionada la información de mérito con el</w:t>
      </w:r>
      <w:r w:rsidR="00EA5C5C" w:rsidRPr="00B221F3">
        <w:rPr>
          <w:rFonts w:ascii="Palatino Linotype" w:eastAsia="Calibri" w:hAnsi="Palatino Linotype" w:cs="Tahoma"/>
          <w:iCs/>
          <w:szCs w:val="22"/>
          <w:lang w:val="es-ES" w:eastAsia="es-ES_tradnl"/>
        </w:rPr>
        <w:t xml:space="preserve"> </w:t>
      </w:r>
      <w:r w:rsidR="00E4417B" w:rsidRPr="00B221F3">
        <w:rPr>
          <w:rFonts w:ascii="Palatino Linotype" w:eastAsia="Calibri" w:hAnsi="Palatino Linotype" w:cs="Tahoma"/>
          <w:iCs/>
          <w:szCs w:val="22"/>
          <w:lang w:val="es-ES" w:eastAsia="es-ES_tradnl"/>
        </w:rPr>
        <w:t>ejercicio</w:t>
      </w:r>
      <w:r w:rsidR="00EA5C5C" w:rsidRPr="00B221F3">
        <w:rPr>
          <w:rFonts w:ascii="Palatino Linotype" w:eastAsia="Calibri" w:hAnsi="Palatino Linotype" w:cs="Tahoma"/>
          <w:iCs/>
          <w:szCs w:val="22"/>
          <w:lang w:val="es-ES" w:eastAsia="es-ES_tradnl"/>
        </w:rPr>
        <w:t xml:space="preserve"> de </w:t>
      </w:r>
      <w:r w:rsidR="00E4417B" w:rsidRPr="00B221F3">
        <w:rPr>
          <w:rFonts w:ascii="Palatino Linotype" w:eastAsia="Calibri" w:hAnsi="Palatino Linotype" w:cs="Tahoma"/>
          <w:iCs/>
          <w:szCs w:val="22"/>
          <w:lang w:val="es-ES" w:eastAsia="es-ES_tradnl"/>
        </w:rPr>
        <w:t>recursos</w:t>
      </w:r>
      <w:r w:rsidR="00EA5C5C" w:rsidRPr="00B221F3">
        <w:rPr>
          <w:rFonts w:ascii="Palatino Linotype" w:eastAsia="Calibri" w:hAnsi="Palatino Linotype" w:cs="Tahoma"/>
          <w:iCs/>
          <w:szCs w:val="22"/>
          <w:lang w:val="es-ES" w:eastAsia="es-ES_tradnl"/>
        </w:rPr>
        <w:t xml:space="preserve"> </w:t>
      </w:r>
      <w:r w:rsidR="00E4417B" w:rsidRPr="00B221F3">
        <w:rPr>
          <w:rFonts w:ascii="Palatino Linotype" w:eastAsia="Calibri" w:hAnsi="Palatino Linotype" w:cs="Tahoma"/>
          <w:iCs/>
          <w:szCs w:val="22"/>
          <w:lang w:val="es-ES" w:eastAsia="es-ES_tradnl"/>
        </w:rPr>
        <w:t>del erario público</w:t>
      </w:r>
      <w:r w:rsidR="00EA5C5C" w:rsidRPr="00B221F3">
        <w:rPr>
          <w:rFonts w:ascii="Palatino Linotype" w:eastAsia="Calibri" w:hAnsi="Palatino Linotype" w:cs="Tahoma"/>
          <w:iCs/>
          <w:szCs w:val="22"/>
          <w:lang w:val="es-ES" w:eastAsia="es-ES_tradnl"/>
        </w:rPr>
        <w:t xml:space="preserve">, </w:t>
      </w:r>
      <w:r w:rsidR="00E4417B" w:rsidRPr="00B221F3">
        <w:rPr>
          <w:rFonts w:ascii="Palatino Linotype" w:eastAsia="Calibri" w:hAnsi="Palatino Linotype" w:cs="Tahoma"/>
          <w:iCs/>
          <w:szCs w:val="22"/>
          <w:lang w:val="es-ES" w:eastAsia="es-ES_tradnl"/>
        </w:rPr>
        <w:t>reviste el carácter de pública.</w:t>
      </w:r>
    </w:p>
    <w:p w:rsidR="00E4417B" w:rsidRPr="00B221F3" w:rsidRDefault="00E4417B" w:rsidP="00E4417B">
      <w:pPr>
        <w:spacing w:before="240" w:after="240" w:line="360" w:lineRule="auto"/>
        <w:ind w:right="-28"/>
        <w:jc w:val="both"/>
        <w:rPr>
          <w:rFonts w:ascii="Palatino Linotype" w:eastAsia="Calibri" w:hAnsi="Palatino Linotype" w:cs="Tahoma"/>
          <w:bCs/>
          <w:iCs/>
          <w:lang w:val="es-ES_tradnl"/>
        </w:rPr>
      </w:pPr>
      <w:r w:rsidRPr="00B221F3">
        <w:rPr>
          <w:rFonts w:ascii="Palatino Linotype" w:eastAsia="Calibri" w:hAnsi="Palatino Linotype" w:cs="Tahoma"/>
          <w:bCs/>
          <w:iCs/>
          <w:lang w:val="es-ES_tradnl"/>
        </w:rPr>
        <w:t>Situación que se robustece, con el artículo 23, penúltimo párrafo, de la Ley de Transparencia y Acceso a la Información Pública del Estado de México y Municipios, que establece que los Sujetos Obligados, deberán hacer pública toda aquella información relativa a los montos y las personas a quienes se le entreguen, por cualquier motivo, recursos públicos, a saber:</w:t>
      </w:r>
    </w:p>
    <w:p w:rsidR="00280104" w:rsidRPr="00B221F3" w:rsidRDefault="00E4417B" w:rsidP="00E4417B">
      <w:pPr>
        <w:spacing w:before="120" w:after="120"/>
        <w:ind w:left="851" w:right="902"/>
        <w:jc w:val="both"/>
        <w:rPr>
          <w:rFonts w:ascii="Palatino Linotype" w:hAnsi="Palatino Linotype"/>
          <w:i/>
        </w:rPr>
      </w:pPr>
      <w:r w:rsidRPr="00B221F3">
        <w:rPr>
          <w:rFonts w:ascii="Palatino Linotype" w:hAnsi="Palatino Linotype"/>
          <w:i/>
        </w:rPr>
        <w:t xml:space="preserve"> </w:t>
      </w:r>
      <w:r w:rsidR="00280104" w:rsidRPr="00B221F3">
        <w:rPr>
          <w:rFonts w:ascii="Palatino Linotype" w:hAnsi="Palatino Linotype"/>
          <w:i/>
        </w:rPr>
        <w:t>“</w:t>
      </w:r>
      <w:r w:rsidR="00280104" w:rsidRPr="00B221F3">
        <w:rPr>
          <w:rFonts w:ascii="Palatino Linotype" w:hAnsi="Palatino Linotype"/>
          <w:b/>
          <w:i/>
        </w:rPr>
        <w:t>Artículo 23</w:t>
      </w:r>
      <w:proofErr w:type="gramStart"/>
      <w:r w:rsidR="00280104" w:rsidRPr="00B221F3">
        <w:rPr>
          <w:rFonts w:ascii="Palatino Linotype" w:hAnsi="Palatino Linotype"/>
          <w:i/>
        </w:rPr>
        <w:t>..</w:t>
      </w:r>
      <w:proofErr w:type="gramEnd"/>
    </w:p>
    <w:p w:rsidR="00280104" w:rsidRPr="00B221F3" w:rsidRDefault="00280104" w:rsidP="00E4417B">
      <w:pPr>
        <w:spacing w:before="120" w:after="120"/>
        <w:ind w:left="851" w:right="902"/>
        <w:jc w:val="both"/>
        <w:rPr>
          <w:rFonts w:ascii="Palatino Linotype" w:eastAsia="Calibri" w:hAnsi="Palatino Linotype" w:cs="Tahoma"/>
          <w:i/>
          <w:iCs/>
          <w:sz w:val="22"/>
          <w:szCs w:val="22"/>
          <w:lang w:val="es-ES" w:eastAsia="es-ES_tradnl"/>
        </w:rPr>
      </w:pPr>
      <w:r w:rsidRPr="00B221F3">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A5C5C" w:rsidRPr="00B221F3" w:rsidRDefault="00EA5C5C" w:rsidP="00E4417B">
      <w:pPr>
        <w:spacing w:before="240" w:after="240" w:line="360" w:lineRule="auto"/>
        <w:jc w:val="both"/>
        <w:rPr>
          <w:rFonts w:ascii="Palatino Linotype" w:eastAsia="Calibri" w:hAnsi="Palatino Linotype" w:cs="Tahoma"/>
          <w:iCs/>
          <w:szCs w:val="22"/>
          <w:lang w:val="es-ES" w:eastAsia="es-ES_tradnl"/>
        </w:rPr>
      </w:pPr>
      <w:r w:rsidRPr="00B221F3">
        <w:rPr>
          <w:rFonts w:ascii="Palatino Linotype" w:eastAsia="Calibri" w:hAnsi="Palatino Linotype" w:cs="Tahoma"/>
          <w:iCs/>
          <w:szCs w:val="22"/>
          <w:lang w:val="es-ES" w:eastAsia="es-ES_tradnl"/>
        </w:rPr>
        <w:t>Asimismo, resulta prudente tomar en consideración lo plasmado en el criterio 09/2004 emitido por la Suprema Corte de Justicia de la Nación, e incluso referido por el Particular en sus motivos de inconformidad cuya literalidad es la siguiente:</w:t>
      </w:r>
    </w:p>
    <w:p w:rsidR="00EA5C5C" w:rsidRPr="00B221F3" w:rsidRDefault="00EA5C5C" w:rsidP="00E4417B">
      <w:pPr>
        <w:tabs>
          <w:tab w:val="left" w:pos="4962"/>
        </w:tabs>
        <w:spacing w:before="120" w:after="120"/>
        <w:ind w:left="851" w:right="902"/>
        <w:jc w:val="both"/>
        <w:rPr>
          <w:rFonts w:ascii="Palatino Linotype" w:eastAsia="Calibri" w:hAnsi="Palatino Linotype" w:cs="Tahoma"/>
          <w:i/>
          <w:iCs/>
          <w:sz w:val="22"/>
          <w:szCs w:val="22"/>
          <w:lang w:val="es-ES" w:eastAsia="es-ES_tradnl"/>
        </w:rPr>
      </w:pPr>
      <w:r w:rsidRPr="00B221F3">
        <w:rPr>
          <w:rFonts w:ascii="Palatino Linotype" w:eastAsia="Calibri" w:hAnsi="Palatino Linotype" w:cs="Tahoma"/>
          <w:i/>
          <w:iCs/>
          <w:sz w:val="22"/>
          <w:szCs w:val="22"/>
          <w:lang w:val="es-ES" w:eastAsia="es-ES_tradnl"/>
        </w:rPr>
        <w:t>"</w:t>
      </w:r>
      <w:r w:rsidRPr="00B221F3">
        <w:rPr>
          <w:rFonts w:ascii="Palatino Linotype" w:eastAsia="Calibri" w:hAnsi="Palatino Linotype" w:cs="Tahoma"/>
          <w:b/>
          <w:i/>
          <w:iCs/>
          <w:sz w:val="22"/>
          <w:szCs w:val="22"/>
          <w:lang w:val="es-ES" w:eastAsia="es-ES_tradnl"/>
        </w:rPr>
        <w:t>INFORMACIÓN SUJETA A REVISIÓN. SI YA CONSTA EN UN DOCUMENTO DEFINITIVO, DEBE PERMITIRSE EL ACCESO A ÉSTE</w:t>
      </w:r>
      <w:r w:rsidRPr="00B221F3">
        <w:rPr>
          <w:rFonts w:ascii="Palatino Linotype" w:eastAsia="Calibri" w:hAnsi="Palatino Linotype" w:cs="Tahoma"/>
          <w:i/>
          <w:iCs/>
          <w:sz w:val="22"/>
          <w:szCs w:val="22"/>
          <w:lang w:val="es-ES" w:eastAsia="es-ES_tradnl"/>
        </w:rPr>
        <w:t>.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w:t>
      </w:r>
      <w:r w:rsidR="00E4417B" w:rsidRPr="00B221F3">
        <w:rPr>
          <w:rFonts w:ascii="Palatino Linotype" w:eastAsia="Calibri" w:hAnsi="Palatino Linotype" w:cs="Tahoma"/>
          <w:i/>
          <w:iCs/>
          <w:sz w:val="22"/>
          <w:szCs w:val="22"/>
          <w:lang w:val="es-ES" w:eastAsia="es-ES_tradnl"/>
        </w:rPr>
        <w:t>e con una presentación distinta.</w:t>
      </w:r>
      <w:r w:rsidRPr="00B221F3">
        <w:rPr>
          <w:rFonts w:ascii="Palatino Linotype" w:eastAsia="Calibri" w:hAnsi="Palatino Linotype" w:cs="Tahoma"/>
          <w:i/>
          <w:iCs/>
          <w:sz w:val="22"/>
          <w:szCs w:val="22"/>
          <w:lang w:val="es-ES" w:eastAsia="es-ES_tradnl"/>
        </w:rPr>
        <w:t>"</w:t>
      </w:r>
    </w:p>
    <w:p w:rsidR="00E4417B" w:rsidRPr="00B221F3" w:rsidRDefault="00EA5C5C" w:rsidP="00E4417B">
      <w:pPr>
        <w:tabs>
          <w:tab w:val="left" w:pos="4962"/>
        </w:tabs>
        <w:spacing w:before="240" w:after="240" w:line="360" w:lineRule="auto"/>
        <w:jc w:val="both"/>
        <w:rPr>
          <w:rFonts w:ascii="Palatino Linotype" w:eastAsia="Calibri" w:hAnsi="Palatino Linotype" w:cs="Tahoma"/>
          <w:iCs/>
          <w:szCs w:val="22"/>
          <w:lang w:val="es-ES" w:eastAsia="es-ES_tradnl"/>
        </w:rPr>
      </w:pPr>
      <w:r w:rsidRPr="00B221F3">
        <w:rPr>
          <w:rFonts w:ascii="Palatino Linotype" w:eastAsia="Calibri" w:hAnsi="Palatino Linotype" w:cs="Tahoma"/>
          <w:iCs/>
          <w:szCs w:val="22"/>
          <w:lang w:val="es-ES" w:eastAsia="es-ES_tradnl"/>
        </w:rPr>
        <w:lastRenderedPageBreak/>
        <w:t xml:space="preserve">Del anterior criterio se puede deducir que para el caso de acceso sobre documentos que se encuentren en un proceso de revisión no debe implicar la falta </w:t>
      </w:r>
      <w:r w:rsidR="00E4417B" w:rsidRPr="00B221F3">
        <w:rPr>
          <w:rFonts w:ascii="Palatino Linotype" w:eastAsia="Calibri" w:hAnsi="Palatino Linotype" w:cs="Tahoma"/>
          <w:iCs/>
          <w:szCs w:val="22"/>
          <w:lang w:val="es-ES" w:eastAsia="es-ES_tradnl"/>
        </w:rPr>
        <w:t xml:space="preserve">de disponibilidad </w:t>
      </w:r>
      <w:r w:rsidRPr="00B221F3">
        <w:rPr>
          <w:rFonts w:ascii="Palatino Linotype" w:eastAsia="Calibri" w:hAnsi="Palatino Linotype" w:cs="Tahoma"/>
          <w:iCs/>
          <w:szCs w:val="22"/>
          <w:lang w:val="es-ES" w:eastAsia="es-ES_tradnl"/>
        </w:rPr>
        <w:t xml:space="preserve">de estos, siempre que sean definitivos, por lo que deberá permitirse el acceso a los mismos, aun cuando no se encuentren cumplimentadas las obligaciones contraídas. </w:t>
      </w:r>
    </w:p>
    <w:p w:rsidR="00D554CD" w:rsidRPr="00B221F3" w:rsidRDefault="00E4417B" w:rsidP="00E4417B">
      <w:pPr>
        <w:tabs>
          <w:tab w:val="left" w:pos="4962"/>
        </w:tabs>
        <w:spacing w:before="240" w:after="240" w:line="360" w:lineRule="auto"/>
        <w:jc w:val="both"/>
        <w:rPr>
          <w:rFonts w:ascii="Palatino Linotype" w:eastAsia="Calibri" w:hAnsi="Palatino Linotype" w:cs="Tahoma"/>
          <w:iCs/>
          <w:szCs w:val="22"/>
          <w:lang w:val="es-ES" w:eastAsia="es-ES_tradnl"/>
        </w:rPr>
      </w:pPr>
      <w:r w:rsidRPr="00B221F3">
        <w:rPr>
          <w:rFonts w:ascii="Palatino Linotype" w:eastAsia="Calibri" w:hAnsi="Palatino Linotype" w:cs="Tahoma"/>
          <w:iCs/>
          <w:szCs w:val="22"/>
          <w:lang w:val="es-ES" w:eastAsia="es-ES_tradnl"/>
        </w:rPr>
        <w:t xml:space="preserve">De lo hasta aquí expuesto, </w:t>
      </w:r>
      <w:r w:rsidR="00226990" w:rsidRPr="00B221F3">
        <w:rPr>
          <w:rFonts w:ascii="Palatino Linotype" w:eastAsia="Palatino Linotype" w:hAnsi="Palatino Linotype" w:cs="Palatino Linotype"/>
        </w:rPr>
        <w:t>es</w:t>
      </w:r>
      <w:r w:rsidR="00EA5C5C" w:rsidRPr="00B221F3">
        <w:rPr>
          <w:rFonts w:ascii="Palatino Linotype" w:eastAsia="Palatino Linotype" w:hAnsi="Palatino Linotype" w:cs="Palatino Linotype"/>
        </w:rPr>
        <w:t xml:space="preserve"> procedente </w:t>
      </w:r>
      <w:r w:rsidR="00EA5C5C" w:rsidRPr="00B221F3">
        <w:rPr>
          <w:rFonts w:ascii="Palatino Linotype" w:hAnsi="Palatino Linotype"/>
        </w:rPr>
        <w:t>ordenar la entrega de las facturas generadas del uno de enero al diez de octubre de dos mil veinte, así como el soporte documental del pago correspondiente, en versión pública de ser procedente.</w:t>
      </w:r>
    </w:p>
    <w:p w:rsidR="00856830" w:rsidRPr="00B221F3" w:rsidRDefault="001D4A31" w:rsidP="001D4A31">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P</w:t>
      </w:r>
      <w:r w:rsidR="00634E26" w:rsidRPr="00B221F3">
        <w:rPr>
          <w:rFonts w:ascii="Palatino Linotype" w:eastAsia="Palatino Linotype" w:hAnsi="Palatino Linotype" w:cs="Palatino Linotype"/>
        </w:rPr>
        <w:t xml:space="preserve">ara efectos de lo anterior, </w:t>
      </w:r>
      <w:r w:rsidR="00856830" w:rsidRPr="00B221F3">
        <w:rPr>
          <w:rFonts w:ascii="Palatino Linotype" w:eastAsia="Palatino Linotype" w:hAnsi="Palatino Linotype" w:cs="Palatino Linotype"/>
        </w:rPr>
        <w:t>no obsta mencionar que el Glosario de Términos Hacendarios que emite el Instituto Hacendario del Estado de México, define el término “factura” como el documento fiscal que emite la persona física o moral para comprobar la venta o adquisición de un bien y/o servicio.</w:t>
      </w:r>
    </w:p>
    <w:p w:rsidR="00856830" w:rsidRPr="00B221F3" w:rsidRDefault="00856830" w:rsidP="00856830">
      <w:pPr>
        <w:spacing w:before="240" w:after="240" w:line="360" w:lineRule="auto"/>
        <w:ind w:right="51"/>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856830" w:rsidRPr="00B221F3" w:rsidRDefault="00856830" w:rsidP="00856830">
      <w:pPr>
        <w:spacing w:before="240" w:after="240" w:line="360" w:lineRule="auto"/>
        <w:ind w:right="49"/>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Aunado a ello, los artículos 342, 343, 344 y 345 del Código Financiero del Estado de México y Municipios, disponen el sistema y las políticas que deben seguirse para </w:t>
      </w:r>
      <w:r w:rsidRPr="00B221F3">
        <w:rPr>
          <w:rFonts w:ascii="Palatino Linotype" w:eastAsia="Palatino Linotype" w:hAnsi="Palatino Linotype" w:cs="Palatino Linotype"/>
        </w:rPr>
        <w:lastRenderedPageBreak/>
        <w:t>llevar el registro contable y presupuestal de las operaciones financieras, en los siguientes términos:</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r w:rsidRPr="00B221F3">
        <w:rPr>
          <w:rFonts w:ascii="Palatino Linotype" w:eastAsia="Palatino Linotype" w:hAnsi="Palatino Linotype" w:cs="Palatino Linotype"/>
          <w:b/>
          <w:i/>
          <w:sz w:val="22"/>
          <w:szCs w:val="22"/>
        </w:rPr>
        <w:t>Artículo 342.-</w:t>
      </w:r>
      <w:r w:rsidRPr="00B221F3">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B221F3">
        <w:rPr>
          <w:rFonts w:ascii="Palatino Linotype" w:eastAsia="Palatino Linotype" w:hAnsi="Palatino Linotype" w:cs="Palatino Linotype"/>
          <w:i/>
          <w:sz w:val="22"/>
          <w:szCs w:val="22"/>
        </w:rPr>
        <w:t>presupuestación</w:t>
      </w:r>
      <w:proofErr w:type="spellEnd"/>
      <w:r w:rsidRPr="00B221F3">
        <w:rPr>
          <w:rFonts w:ascii="Palatino Linotype" w:eastAsia="Palatino Linotype" w:hAnsi="Palatino Linotype" w:cs="Palatino Linotype"/>
          <w:i/>
          <w:sz w:val="22"/>
          <w:szCs w:val="22"/>
        </w:rPr>
        <w:t>, evaluación y contabilidad gubernamental.</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En el caso de los municipios,</w:t>
      </w:r>
      <w:r w:rsidRPr="00B221F3">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B221F3">
        <w:rPr>
          <w:rFonts w:ascii="Palatino Linotype" w:eastAsia="Palatino Linotype" w:hAnsi="Palatino Linotype" w:cs="Palatino Linotype"/>
          <w:b/>
          <w:i/>
          <w:sz w:val="22"/>
          <w:szCs w:val="22"/>
        </w:rPr>
        <w:t xml:space="preserve">planeación, programación, </w:t>
      </w:r>
      <w:proofErr w:type="spellStart"/>
      <w:r w:rsidRPr="00B221F3">
        <w:rPr>
          <w:rFonts w:ascii="Palatino Linotype" w:eastAsia="Palatino Linotype" w:hAnsi="Palatino Linotype" w:cs="Palatino Linotype"/>
          <w:b/>
          <w:i/>
          <w:sz w:val="22"/>
          <w:szCs w:val="22"/>
        </w:rPr>
        <w:t>presupuestación</w:t>
      </w:r>
      <w:proofErr w:type="spellEnd"/>
      <w:r w:rsidRPr="00B221F3">
        <w:rPr>
          <w:rFonts w:ascii="Palatino Linotype" w:eastAsia="Palatino Linotype" w:hAnsi="Palatino Linotype" w:cs="Palatino Linotype"/>
          <w:b/>
          <w:i/>
          <w:sz w:val="22"/>
          <w:szCs w:val="22"/>
        </w:rPr>
        <w:t>, evaluación y contabilidad gubernamental</w:t>
      </w:r>
      <w:r w:rsidRPr="00B221F3">
        <w:rPr>
          <w:rFonts w:ascii="Palatino Linotype" w:eastAsia="Palatino Linotype" w:hAnsi="Palatino Linotype" w:cs="Palatino Linotype"/>
          <w:i/>
          <w:sz w:val="22"/>
          <w:szCs w:val="22"/>
        </w:rPr>
        <w:t>, que se aprueben en el marco del Sistema de Coordinación Hacendaria del Estado de México.</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Artículo 343.-</w:t>
      </w:r>
      <w:r w:rsidRPr="00B221F3">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rsidR="00856830" w:rsidRPr="00B221F3" w:rsidRDefault="00856830" w:rsidP="00856830">
      <w:pPr>
        <w:spacing w:before="120" w:after="120"/>
        <w:ind w:left="862" w:right="86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B221F3">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B221F3">
        <w:rPr>
          <w:rFonts w:ascii="Palatino Linotype" w:eastAsia="Palatino Linotype" w:hAnsi="Palatino Linotype" w:cs="Palatino Linotype"/>
          <w:b/>
          <w:i/>
          <w:sz w:val="22"/>
          <w:szCs w:val="22"/>
        </w:rPr>
        <w:t>.</w:t>
      </w:r>
    </w:p>
    <w:p w:rsidR="00856830" w:rsidRPr="00B221F3" w:rsidRDefault="00856830" w:rsidP="00856830">
      <w:pPr>
        <w:spacing w:before="120" w:after="120"/>
        <w:ind w:left="862" w:right="86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B221F3">
        <w:rPr>
          <w:rFonts w:ascii="Palatino Linotype" w:eastAsia="Palatino Linotype" w:hAnsi="Palatino Linotype" w:cs="Palatino Linotype"/>
          <w:i/>
          <w:sz w:val="22"/>
          <w:szCs w:val="22"/>
        </w:rPr>
        <w:t xml:space="preserve">según corresponda, así como de los órganos internos de control, </w:t>
      </w:r>
      <w:r w:rsidRPr="00B221F3">
        <w:rPr>
          <w:rFonts w:ascii="Palatino Linotype" w:eastAsia="Palatino Linotype" w:hAnsi="Palatino Linotype" w:cs="Palatino Linotype"/>
          <w:b/>
          <w:i/>
          <w:sz w:val="22"/>
          <w:szCs w:val="22"/>
        </w:rPr>
        <w:t>por un término de cinco años,</w:t>
      </w:r>
      <w:r w:rsidRPr="00B221F3">
        <w:rPr>
          <w:rFonts w:ascii="Palatino Linotype" w:eastAsia="Palatino Linotype" w:hAnsi="Palatino Linotype" w:cs="Palatino Linotype"/>
          <w:i/>
          <w:sz w:val="22"/>
          <w:szCs w:val="22"/>
        </w:rPr>
        <w:t xml:space="preserve"> contados a partir del ejercicio presupuestal siguiente al que corresponda,</w:t>
      </w:r>
      <w:r w:rsidRPr="00B221F3">
        <w:rPr>
          <w:rFonts w:ascii="Palatino Linotype" w:eastAsia="Palatino Linotype" w:hAnsi="Palatino Linotype" w:cs="Palatino Linotype"/>
          <w:b/>
          <w:i/>
          <w:sz w:val="22"/>
          <w:szCs w:val="22"/>
        </w:rPr>
        <w:t xml:space="preserve"> en el caso de los Municipios, dicha obligación corresponderá a la Tesorería.</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lastRenderedPageBreak/>
        <w:t>Tratándose de documentos de carácter histórico, se estará a lo dispuesto por la legislación de la materia.</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p>
    <w:p w:rsidR="00856830" w:rsidRPr="00B221F3" w:rsidRDefault="00856830" w:rsidP="00856830">
      <w:pPr>
        <w:spacing w:before="120" w:after="120"/>
        <w:ind w:left="862" w:right="86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Artículo 345.-</w:t>
      </w:r>
      <w:r w:rsidRPr="00B221F3">
        <w:rPr>
          <w:rFonts w:ascii="Palatino Linotype" w:eastAsia="Palatino Linotype" w:hAnsi="Palatino Linotype" w:cs="Palatino Linotype"/>
          <w:i/>
          <w:sz w:val="22"/>
          <w:szCs w:val="22"/>
        </w:rPr>
        <w:t xml:space="preserve"> </w:t>
      </w:r>
      <w:r w:rsidRPr="00B221F3">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B221F3">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B221F3">
        <w:rPr>
          <w:rFonts w:ascii="Palatino Linotype" w:eastAsia="Palatino Linotype" w:hAnsi="Palatino Linotype" w:cs="Palatino Linotype"/>
          <w:b/>
          <w:i/>
          <w:sz w:val="22"/>
          <w:szCs w:val="22"/>
        </w:rPr>
        <w:t>.</w:t>
      </w:r>
    </w:p>
    <w:p w:rsidR="00856830" w:rsidRPr="00B221F3" w:rsidRDefault="00856830" w:rsidP="00856830">
      <w:pPr>
        <w:spacing w:before="120" w:after="120"/>
        <w:ind w:left="862" w:right="86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B221F3">
        <w:rPr>
          <w:rFonts w:ascii="Palatino Linotype" w:eastAsia="Palatino Linotype" w:hAnsi="Palatino Linotype" w:cs="Palatino Linotype"/>
          <w:b/>
          <w:i/>
          <w:sz w:val="22"/>
          <w:szCs w:val="22"/>
        </w:rPr>
        <w:t>deberán estar agregados en forma electrónica a cada póliza de registro contable</w:t>
      </w:r>
      <w:r w:rsidRPr="00B221F3">
        <w:rPr>
          <w:rFonts w:ascii="Palatino Linotype" w:eastAsia="Palatino Linotype" w:hAnsi="Palatino Linotype" w:cs="Palatino Linotype"/>
          <w:i/>
          <w:sz w:val="22"/>
          <w:szCs w:val="22"/>
        </w:rPr>
        <w:t>.</w:t>
      </w:r>
    </w:p>
    <w:p w:rsidR="00856830" w:rsidRPr="00B221F3" w:rsidRDefault="00856830" w:rsidP="00856830">
      <w:pPr>
        <w:spacing w:before="120" w:after="120"/>
        <w:ind w:left="862" w:right="86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B221F3">
        <w:rPr>
          <w:rFonts w:ascii="Palatino Linotype" w:eastAsia="Palatino Linotype" w:hAnsi="Palatino Linotype" w:cs="Palatino Linotype"/>
          <w:b/>
          <w:i/>
          <w:sz w:val="22"/>
          <w:szCs w:val="22"/>
        </w:rPr>
        <w:t>”</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B221F3">
        <w:rPr>
          <w:rFonts w:ascii="Palatino Linotype" w:eastAsia="Palatino Linotype" w:hAnsi="Palatino Linotype" w:cs="Palatino Linotype"/>
        </w:rPr>
        <w:t>presupuestación</w:t>
      </w:r>
      <w:proofErr w:type="spellEnd"/>
      <w:r w:rsidRPr="00B221F3">
        <w:rPr>
          <w:rFonts w:ascii="Palatino Linotype" w:eastAsia="Palatino Linotype" w:hAnsi="Palatino Linotype" w:cs="Palatino Linotype"/>
        </w:rPr>
        <w:t>, evaluación y contabilidad gubernamental.</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B221F3">
        <w:rPr>
          <w:rFonts w:ascii="Palatino Linotype" w:eastAsia="Palatino Linotype" w:hAnsi="Palatino Linotype" w:cs="Palatino Linotype"/>
        </w:rPr>
        <w:lastRenderedPageBreak/>
        <w:t>Presupuestación</w:t>
      </w:r>
      <w:proofErr w:type="spellEnd"/>
      <w:r w:rsidRPr="00B221F3">
        <w:rPr>
          <w:rFonts w:ascii="Palatino Linotype" w:eastAsia="Palatino Linotype" w:hAnsi="Palatino Linotype" w:cs="Palatino Linotype"/>
        </w:rPr>
        <w:t xml:space="preserve"> y Evaluación en la Administración Pública”</w:t>
      </w:r>
      <w:r w:rsidRPr="00B221F3">
        <w:rPr>
          <w:rFonts w:ascii="Palatino Linotype" w:eastAsia="Palatino Linotype" w:hAnsi="Palatino Linotype" w:cs="Palatino Linotype"/>
          <w:vertAlign w:val="superscript"/>
        </w:rPr>
        <w:footnoteReference w:id="4"/>
      </w:r>
      <w:r w:rsidRPr="00B221F3">
        <w:rPr>
          <w:rFonts w:ascii="Palatino Linotype" w:eastAsia="Palatino Linotype" w:hAnsi="Palatino Linotype" w:cs="Palatino Linotype"/>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856830" w:rsidRPr="00B221F3" w:rsidRDefault="00856830" w:rsidP="00856830">
      <w:pPr>
        <w:spacing w:before="120" w:after="120"/>
        <w:ind w:left="851" w:right="900" w:hanging="9"/>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“REGISTRO CONTABLE</w:t>
      </w:r>
    </w:p>
    <w:p w:rsidR="00856830" w:rsidRPr="00B221F3" w:rsidRDefault="00856830" w:rsidP="00856830">
      <w:pPr>
        <w:spacing w:before="120" w:after="120"/>
        <w:ind w:left="851" w:right="900" w:hanging="9"/>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856830" w:rsidRPr="00B221F3" w:rsidRDefault="00856830" w:rsidP="00856830">
      <w:pPr>
        <w:spacing w:before="120" w:after="120"/>
        <w:ind w:left="851" w:right="900" w:hanging="9"/>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“REGISTRO PRESUPUESTARIO</w:t>
      </w:r>
    </w:p>
    <w:p w:rsidR="00856830" w:rsidRPr="00B221F3" w:rsidRDefault="00856830" w:rsidP="00856830">
      <w:pPr>
        <w:spacing w:before="120" w:after="120"/>
        <w:ind w:left="851" w:right="900" w:hanging="9"/>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856830" w:rsidRPr="00B221F3" w:rsidRDefault="00856830" w:rsidP="00856830">
      <w:pPr>
        <w:spacing w:before="240" w:after="240" w:line="360" w:lineRule="auto"/>
        <w:ind w:right="51"/>
        <w:jc w:val="both"/>
        <w:rPr>
          <w:rFonts w:ascii="Palatino Linotype" w:eastAsia="Palatino Linotype" w:hAnsi="Palatino Linotype" w:cs="Palatino Linotype"/>
        </w:rPr>
      </w:pPr>
      <w:r w:rsidRPr="00B221F3">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Igualmente, los preceptos legales citados señalan que los Sujetos Obligados deben contar con una unidad administrativa que registra contablemente el efecto </w:t>
      </w:r>
      <w:r w:rsidRPr="00B221F3">
        <w:rPr>
          <w:rFonts w:ascii="Palatino Linotype" w:eastAsia="Palatino Linotype" w:hAnsi="Palatino Linotype" w:cs="Palatino Linotype"/>
        </w:rPr>
        <w:lastRenderedPageBreak/>
        <w:t>patrimonial y presupuestal de las operaciones financieras que realizan, en el momento en que ocurran, con base en el sistema y políticas de registro establecidas.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Correlativo a lo anterior, es preciso referir una definición de </w:t>
      </w:r>
      <w:r w:rsidRPr="00B221F3">
        <w:rPr>
          <w:rFonts w:ascii="Palatino Linotype" w:eastAsia="Palatino Linotype" w:hAnsi="Palatino Linotype" w:cs="Palatino Linotype"/>
          <w:i/>
        </w:rPr>
        <w:t>póliza contable</w:t>
      </w:r>
      <w:r w:rsidRPr="00B221F3">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rsidR="00856830" w:rsidRPr="00B221F3" w:rsidRDefault="00856830" w:rsidP="00856830">
      <w:pPr>
        <w:spacing w:before="120" w:after="120"/>
        <w:ind w:left="862" w:right="90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i/>
          <w:sz w:val="22"/>
          <w:szCs w:val="22"/>
        </w:rPr>
        <w:t>“</w:t>
      </w:r>
      <w:r w:rsidRPr="00B221F3">
        <w:rPr>
          <w:rFonts w:ascii="Palatino Linotype" w:eastAsia="Palatino Linotype" w:hAnsi="Palatino Linotype" w:cs="Palatino Linotype"/>
          <w:b/>
          <w:i/>
          <w:sz w:val="22"/>
          <w:szCs w:val="22"/>
        </w:rPr>
        <w:t>PÓLIZA CONTABLE</w:t>
      </w:r>
    </w:p>
    <w:p w:rsidR="00856830" w:rsidRPr="00B221F3" w:rsidRDefault="00856830" w:rsidP="00856830">
      <w:pPr>
        <w:spacing w:before="120" w:after="120"/>
        <w:ind w:left="862"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rsidR="00856830" w:rsidRPr="00B221F3" w:rsidRDefault="00856830" w:rsidP="00856830">
      <w:pPr>
        <w:spacing w:before="240" w:after="240" w:line="360" w:lineRule="auto"/>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rPr>
        <w:t xml:space="preserve">Así, se advierte que la </w:t>
      </w:r>
      <w:r w:rsidRPr="00B221F3">
        <w:rPr>
          <w:rFonts w:ascii="Palatino Linotype" w:eastAsia="Palatino Linotype" w:hAnsi="Palatino Linotype" w:cs="Palatino Linotype"/>
          <w:i/>
        </w:rPr>
        <w:t>póliza contable</w:t>
      </w:r>
      <w:r w:rsidRPr="00B221F3">
        <w:rPr>
          <w:rFonts w:ascii="Palatino Linotype" w:eastAsia="Palatino Linotype" w:hAnsi="Palatino Linotype" w:cs="Palatino Linotype"/>
        </w:rPr>
        <w:t xml:space="preserve"> constituye un registro contable y presupuestal con el que cuentan los Municipios para el registro de operaciones relacionadas con ingresos y egresos y </w:t>
      </w:r>
      <w:r w:rsidRPr="00B221F3">
        <w:rPr>
          <w:rFonts w:ascii="Palatino Linotype" w:eastAsia="Palatino Linotype" w:hAnsi="Palatino Linotype" w:cs="Palatino Linotype"/>
          <w:b/>
          <w:u w:val="single"/>
        </w:rPr>
        <w:t>se anexan los documentos o comprobantes que justifiquen las anotaciones y cantidades en ellas registradas</w:t>
      </w:r>
      <w:r w:rsidRPr="00B221F3">
        <w:rPr>
          <w:rFonts w:ascii="Palatino Linotype" w:eastAsia="Palatino Linotype" w:hAnsi="Palatino Linotype" w:cs="Palatino Linotype"/>
        </w:rPr>
        <w:t>, lo que permite la identificación plena de dichas operaciones.</w:t>
      </w:r>
    </w:p>
    <w:p w:rsidR="00856830" w:rsidRPr="00B221F3" w:rsidRDefault="00856830" w:rsidP="00856830">
      <w:pPr>
        <w:spacing w:before="240" w:after="240" w:line="360" w:lineRule="auto"/>
        <w:jc w:val="both"/>
        <w:rPr>
          <w:rFonts w:ascii="Palatino Linotype" w:eastAsia="Palatino Linotype" w:hAnsi="Palatino Linotype" w:cs="Palatino Linotype"/>
          <w:b/>
          <w:u w:val="single"/>
        </w:rPr>
      </w:pPr>
      <w:r w:rsidRPr="00B221F3">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B221F3">
        <w:rPr>
          <w:rFonts w:ascii="Palatino Linotype" w:eastAsia="Palatino Linotype" w:hAnsi="Palatino Linotype" w:cs="Palatino Linotype"/>
          <w:i/>
        </w:rPr>
        <w:t>pólizas de egresos e ingresos</w:t>
      </w:r>
      <w:r w:rsidRPr="00B221F3">
        <w:rPr>
          <w:rFonts w:ascii="Palatino Linotype" w:eastAsia="Palatino Linotype" w:hAnsi="Palatino Linotype" w:cs="Palatino Linotype"/>
        </w:rPr>
        <w:t xml:space="preserve">, </w:t>
      </w:r>
      <w:r w:rsidRPr="00B221F3">
        <w:rPr>
          <w:rFonts w:ascii="Palatino Linotype" w:eastAsia="Palatino Linotype" w:hAnsi="Palatino Linotype" w:cs="Palatino Linotype"/>
          <w:b/>
        </w:rPr>
        <w:t xml:space="preserve">las primeras son aquellas en las cuales </w:t>
      </w:r>
      <w:r w:rsidRPr="00B221F3">
        <w:rPr>
          <w:rFonts w:ascii="Palatino Linotype" w:eastAsia="Palatino Linotype" w:hAnsi="Palatino Linotype" w:cs="Palatino Linotype"/>
          <w:b/>
          <w:u w:val="single"/>
        </w:rPr>
        <w:t>se anotan diariamente las operaciones que representan gastos, es decir, salidas de dinero</w:t>
      </w:r>
      <w:r w:rsidRPr="00B221F3">
        <w:rPr>
          <w:rFonts w:ascii="Palatino Linotype" w:eastAsia="Palatino Linotype" w:hAnsi="Palatino Linotype" w:cs="Palatino Linotype"/>
        </w:rPr>
        <w:t xml:space="preserve"> para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las que además, </w:t>
      </w:r>
      <w:r w:rsidRPr="00B221F3">
        <w:rPr>
          <w:rFonts w:ascii="Palatino Linotype" w:eastAsia="Palatino Linotype" w:hAnsi="Palatino Linotype" w:cs="Palatino Linotype"/>
          <w:b/>
          <w:u w:val="single"/>
        </w:rPr>
        <w:t>deben encontrarse acompañadas de las documentales que sirven de soporte de dicho movimiento</w:t>
      </w:r>
      <w:r w:rsidRPr="00B221F3">
        <w:rPr>
          <w:rFonts w:ascii="Palatino Linotype" w:eastAsia="Palatino Linotype" w:hAnsi="Palatino Linotype" w:cs="Palatino Linotype"/>
        </w:rPr>
        <w:t xml:space="preserve">, en atención a las segundas, registran todas la entradas de dinero independientemente de la modalidad, </w:t>
      </w:r>
      <w:r w:rsidRPr="00B221F3">
        <w:rPr>
          <w:rFonts w:ascii="Palatino Linotype" w:eastAsia="Palatino Linotype" w:hAnsi="Palatino Linotype" w:cs="Palatino Linotype"/>
          <w:b/>
          <w:u w:val="single"/>
        </w:rPr>
        <w:t>ya sea en efectivo, transferencia, cheque o pagaré, mediante la expedición de facturas.</w:t>
      </w:r>
    </w:p>
    <w:p w:rsidR="00856830" w:rsidRPr="00B221F3" w:rsidRDefault="00856830" w:rsidP="00856830">
      <w:pPr>
        <w:spacing w:before="240" w:after="240" w:line="360" w:lineRule="auto"/>
        <w:ind w:right="51"/>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 xml:space="preserve">Atento a lo anterior, como ya ha sido mencionado en la normatividad antes citada, todo registro contable y presupuestal deberá estar soportado con los documentos comprobatorios originales, como lo son las </w:t>
      </w:r>
      <w:r w:rsidRPr="00B221F3">
        <w:rPr>
          <w:rFonts w:ascii="Palatino Linotype" w:eastAsia="Palatino Linotype" w:hAnsi="Palatino Linotype" w:cs="Palatino Linotype"/>
          <w:i/>
        </w:rPr>
        <w:t>facturas o comprobantes fiscales digitales por internet,</w:t>
      </w:r>
      <w:r w:rsidRPr="00B221F3">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En este tenor, se puede advertir que los documentos que pueden satisfacer el requerimiento de la persona solicitante serían precisamente los documentos o comprobantes que justifiquen las anotaciones y cantidades en ellas, que acompañan los registros contables del ente fiscalizable.</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En este sentido, cabe referir que la Ley de Fiscalización Superior del Estado de México, señala en su artículo 8, fracción XI, lo siguiente: </w:t>
      </w:r>
    </w:p>
    <w:p w:rsidR="00856830" w:rsidRPr="00B221F3" w:rsidRDefault="00856830" w:rsidP="00856830">
      <w:pPr>
        <w:spacing w:before="120" w:after="12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“Artículo 8</w:t>
      </w:r>
      <w:r w:rsidRPr="00B221F3">
        <w:rPr>
          <w:rFonts w:ascii="Palatino Linotype" w:eastAsia="Palatino Linotype" w:hAnsi="Palatino Linotype" w:cs="Palatino Linotype"/>
          <w:i/>
          <w:sz w:val="22"/>
          <w:szCs w:val="22"/>
        </w:rPr>
        <w:t>. El Órgano Superior tendrá las siguientes atribuciones:</w:t>
      </w:r>
    </w:p>
    <w:p w:rsidR="00856830" w:rsidRPr="00B221F3" w:rsidRDefault="00856830" w:rsidP="00856830">
      <w:pPr>
        <w:spacing w:before="120" w:after="120"/>
        <w:ind w:left="1134"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p>
    <w:p w:rsidR="00856830" w:rsidRPr="00B221F3" w:rsidRDefault="00856830" w:rsidP="00856830">
      <w:pPr>
        <w:spacing w:before="120" w:after="120"/>
        <w:ind w:left="1134"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XI.</w:t>
      </w:r>
      <w:r w:rsidRPr="00B221F3">
        <w:rPr>
          <w:rFonts w:ascii="Palatino Linotype" w:eastAsia="Palatino Linotype" w:hAnsi="Palatino Linotype" w:cs="Palatino Linotype"/>
          <w:i/>
          <w:sz w:val="22"/>
          <w:szCs w:val="22"/>
        </w:rPr>
        <w:t xml:space="preserve"> </w:t>
      </w:r>
      <w:r w:rsidRPr="00B221F3">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B221F3">
        <w:rPr>
          <w:rFonts w:ascii="Palatino Linotype" w:eastAsia="Palatino Linotype" w:hAnsi="Palatino Linotype" w:cs="Palatino Linotype"/>
          <w:i/>
          <w:sz w:val="22"/>
          <w:szCs w:val="22"/>
        </w:rPr>
        <w:t>…”</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Así,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w:t>
      </w:r>
      <w:r w:rsidRPr="00B221F3">
        <w:rPr>
          <w:rFonts w:ascii="Palatino Linotype" w:eastAsia="Palatino Linotype" w:hAnsi="Palatino Linotype" w:cs="Palatino Linotype"/>
        </w:rPr>
        <w:lastRenderedPageBreak/>
        <w:t>integrando la información en cuatro Módulos que contienen la información que se detalla a continuación:</w:t>
      </w:r>
    </w:p>
    <w:p w:rsidR="00856830" w:rsidRPr="00B221F3" w:rsidRDefault="00634E26" w:rsidP="00856830">
      <w:pPr>
        <w:spacing w:before="240" w:after="240" w:line="360" w:lineRule="auto"/>
        <w:jc w:val="center"/>
        <w:rPr>
          <w:rFonts w:ascii="Palatino Linotype" w:eastAsia="Palatino Linotype" w:hAnsi="Palatino Linotype" w:cs="Palatino Linotype"/>
        </w:rPr>
      </w:pPr>
      <w:r w:rsidRPr="00B221F3">
        <w:rPr>
          <w:rFonts w:ascii="Palatino Linotype" w:eastAsia="Palatino Linotype" w:hAnsi="Palatino Linotype" w:cs="Palatino Linotype"/>
          <w:noProof/>
          <w:lang w:eastAsia="es-MX"/>
        </w:rPr>
        <w:drawing>
          <wp:inline distT="0" distB="0" distL="0" distR="0" wp14:anchorId="3B68E0E3" wp14:editId="418828E0">
            <wp:extent cx="3240000" cy="1722565"/>
            <wp:effectExtent l="0" t="0" r="0" b="0"/>
            <wp:docPr id="56396804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t="5011" b="4799"/>
                    <a:stretch>
                      <a:fillRect/>
                    </a:stretch>
                  </pic:blipFill>
                  <pic:spPr>
                    <a:xfrm>
                      <a:off x="0" y="0"/>
                      <a:ext cx="3240000" cy="1722565"/>
                    </a:xfrm>
                    <a:prstGeom prst="rect">
                      <a:avLst/>
                    </a:prstGeom>
                    <a:ln/>
                  </pic:spPr>
                </pic:pic>
              </a:graphicData>
            </a:graphic>
          </wp:inline>
        </w:drawing>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 su vez los Módulos se dividen en </w:t>
      </w:r>
      <w:proofErr w:type="spellStart"/>
      <w:r w:rsidRPr="00B221F3">
        <w:rPr>
          <w:rFonts w:ascii="Palatino Linotype" w:eastAsia="Palatino Linotype" w:hAnsi="Palatino Linotype" w:cs="Palatino Linotype"/>
        </w:rPr>
        <w:t>submódulos</w:t>
      </w:r>
      <w:proofErr w:type="spellEnd"/>
      <w:r w:rsidRPr="00B221F3">
        <w:rPr>
          <w:rFonts w:ascii="Palatino Linotype" w:eastAsia="Palatino Linotype" w:hAnsi="Palatino Linotype" w:cs="Palatino Linotype"/>
        </w:rPr>
        <w:t xml:space="preserve">, de los que destaca, en relación con el análisis que nos ocupa, el </w:t>
      </w:r>
      <w:proofErr w:type="spellStart"/>
      <w:r w:rsidRPr="00B221F3">
        <w:rPr>
          <w:rFonts w:ascii="Palatino Linotype" w:eastAsia="Palatino Linotype" w:hAnsi="Palatino Linotype" w:cs="Palatino Linotype"/>
        </w:rPr>
        <w:t>submódulo</w:t>
      </w:r>
      <w:proofErr w:type="spellEnd"/>
      <w:r w:rsidRPr="00B221F3">
        <w:rPr>
          <w:rFonts w:ascii="Palatino Linotype" w:eastAsia="Palatino Linotype" w:hAnsi="Palatino Linotype" w:cs="Palatino Linotype"/>
        </w:rPr>
        <w:t xml:space="preserve"> relativo a “Pólizas”, del Módulo 1:</w:t>
      </w:r>
    </w:p>
    <w:p w:rsidR="00856830" w:rsidRPr="00B221F3" w:rsidRDefault="00856830" w:rsidP="00856830">
      <w:pPr>
        <w:spacing w:before="240" w:after="240" w:line="360" w:lineRule="auto"/>
        <w:jc w:val="center"/>
        <w:rPr>
          <w:rFonts w:ascii="Palatino Linotype" w:eastAsia="Palatino Linotype" w:hAnsi="Palatino Linotype" w:cs="Palatino Linotype"/>
        </w:rPr>
      </w:pPr>
      <w:r w:rsidRPr="00B221F3">
        <w:rPr>
          <w:noProof/>
          <w:lang w:eastAsia="es-MX"/>
        </w:rPr>
        <mc:AlternateContent>
          <mc:Choice Requires="wps">
            <w:drawing>
              <wp:anchor distT="0" distB="0" distL="114300" distR="114300" simplePos="0" relativeHeight="251659264" behindDoc="0" locked="0" layoutInCell="1" hidden="0" allowOverlap="1" wp14:anchorId="1F94ECFF" wp14:editId="2F54C163">
                <wp:simplePos x="0" y="0"/>
                <wp:positionH relativeFrom="column">
                  <wp:posOffset>472440</wp:posOffset>
                </wp:positionH>
                <wp:positionV relativeFrom="paragraph">
                  <wp:posOffset>2299970</wp:posOffset>
                </wp:positionV>
                <wp:extent cx="4932680" cy="714375"/>
                <wp:effectExtent l="19050" t="19050" r="20320" b="28575"/>
                <wp:wrapNone/>
                <wp:docPr id="563968043" name="Rectángulo 563968043"/>
                <wp:cNvGraphicFramePr/>
                <a:graphic xmlns:a="http://schemas.openxmlformats.org/drawingml/2006/main">
                  <a:graphicData uri="http://schemas.microsoft.com/office/word/2010/wordprocessingShape">
                    <wps:wsp>
                      <wps:cNvSpPr/>
                      <wps:spPr>
                        <a:xfrm>
                          <a:off x="0" y="0"/>
                          <a:ext cx="4932680" cy="714375"/>
                        </a:xfrm>
                        <a:prstGeom prst="rect">
                          <a:avLst/>
                        </a:prstGeom>
                        <a:noFill/>
                        <a:ln w="28575" cap="flat" cmpd="sng">
                          <a:solidFill>
                            <a:srgbClr val="C00000"/>
                          </a:solidFill>
                          <a:prstDash val="solid"/>
                          <a:round/>
                          <a:headEnd type="none" w="sm" len="sm"/>
                          <a:tailEnd type="none" w="sm" len="sm"/>
                        </a:ln>
                      </wps:spPr>
                      <wps:txbx>
                        <w:txbxContent>
                          <w:p w:rsidR="00856830" w:rsidRDefault="00856830" w:rsidP="00856830">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1F94ECFF" id="Rectángulo 563968043" o:spid="_x0000_s1026" style="position:absolute;left:0;text-align:left;margin-left:37.2pt;margin-top:181.1pt;width:388.4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" filled="f" strokecolor="#c00000" strokeweight="2.25pt">
                <v:stroke startarrowwidth="narrow" startarrowlength="short" endarrowwidth="narrow" endarrowlength="short" joinstyle="round"/>
                <v:textbox inset="2.53958mm,2.53958mm,2.53958mm,2.53958mm">
                  <w:txbxContent>
                    <w:p w:rsidR="00856830" w:rsidRDefault="00856830" w:rsidP="00856830">
                      <w:pPr>
                        <w:textDirection w:val="btLr"/>
                      </w:pPr>
                    </w:p>
                  </w:txbxContent>
                </v:textbox>
              </v:rect>
            </w:pict>
          </mc:Fallback>
        </mc:AlternateContent>
      </w:r>
      <w:r w:rsidRPr="00B221F3">
        <w:rPr>
          <w:rFonts w:ascii="Palatino Linotype" w:eastAsia="Palatino Linotype" w:hAnsi="Palatino Linotype" w:cs="Palatino Linotype"/>
          <w:noProof/>
          <w:lang w:eastAsia="es-MX"/>
        </w:rPr>
        <w:drawing>
          <wp:inline distT="0" distB="0" distL="0" distR="0" wp14:anchorId="618BC921" wp14:editId="4AAFF2D8">
            <wp:extent cx="5148000" cy="3031829"/>
            <wp:effectExtent l="0" t="0" r="0" b="0"/>
            <wp:docPr id="5639680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148000" cy="3031829"/>
                    </a:xfrm>
                    <a:prstGeom prst="rect">
                      <a:avLst/>
                    </a:prstGeom>
                    <a:ln/>
                  </pic:spPr>
                </pic:pic>
              </a:graphicData>
            </a:graphic>
          </wp:inline>
        </w:drawing>
      </w:r>
    </w:p>
    <w:p w:rsidR="00856830" w:rsidRPr="00B221F3" w:rsidRDefault="00856830" w:rsidP="00856830">
      <w:pPr>
        <w:spacing w:before="240" w:after="240" w:line="360" w:lineRule="auto"/>
        <w:jc w:val="both"/>
        <w:rPr>
          <w:rFonts w:ascii="Palatino Linotype" w:eastAsia="Palatino Linotype" w:hAnsi="Palatino Linotype" w:cs="Palatino Linotype"/>
        </w:rPr>
      </w:pPr>
      <w:bookmarkStart w:id="4" w:name="_heading=h.26in1rg" w:colFirst="0" w:colLast="0"/>
      <w:bookmarkEnd w:id="4"/>
      <w:r w:rsidRPr="00B221F3">
        <w:rPr>
          <w:rFonts w:ascii="Palatino Linotype" w:eastAsia="Palatino Linotype" w:hAnsi="Palatino Linotype" w:cs="Palatino Linotype"/>
        </w:rPr>
        <w:t xml:space="preserve">Como se advierte en la imagen anterior, el </w:t>
      </w:r>
      <w:proofErr w:type="spellStart"/>
      <w:r w:rsidRPr="00B221F3">
        <w:rPr>
          <w:rFonts w:ascii="Palatino Linotype" w:eastAsia="Palatino Linotype" w:hAnsi="Palatino Linotype" w:cs="Palatino Linotype"/>
        </w:rPr>
        <w:t>submódulo</w:t>
      </w:r>
      <w:proofErr w:type="spellEnd"/>
      <w:r w:rsidRPr="00B221F3">
        <w:rPr>
          <w:rFonts w:ascii="Palatino Linotype" w:eastAsia="Palatino Linotype" w:hAnsi="Palatino Linotype" w:cs="Palatino Linotype"/>
        </w:rPr>
        <w:t xml:space="preserve"> “Pólizas”, se integra por las pólizas de ingresos, las pólizas de diario, y las p</w:t>
      </w:r>
      <w:r w:rsidRPr="00B221F3">
        <w:rPr>
          <w:rFonts w:ascii="Palatino Linotype" w:eastAsia="Palatino Linotype" w:hAnsi="Palatino Linotype" w:cs="Palatino Linotype"/>
          <w:b/>
          <w:u w:val="single"/>
        </w:rPr>
        <w:t xml:space="preserve">ólizas de egresos y las pólizas de </w:t>
      </w:r>
      <w:r w:rsidRPr="00B221F3">
        <w:rPr>
          <w:rFonts w:ascii="Palatino Linotype" w:eastAsia="Palatino Linotype" w:hAnsi="Palatino Linotype" w:cs="Palatino Linotype"/>
          <w:b/>
          <w:u w:val="single"/>
        </w:rPr>
        <w:lastRenderedPageBreak/>
        <w:t>cheque,</w:t>
      </w:r>
      <w:r w:rsidRPr="00B221F3">
        <w:rPr>
          <w:rFonts w:ascii="Palatino Linotype" w:eastAsia="Palatino Linotype" w:hAnsi="Palatino Linotype" w:cs="Palatino Linotype"/>
        </w:rPr>
        <w:t xml:space="preserve"> </w:t>
      </w:r>
      <w:r w:rsidRPr="00B221F3">
        <w:rPr>
          <w:rFonts w:ascii="Palatino Linotype" w:eastAsia="Palatino Linotype" w:hAnsi="Palatino Linotype" w:cs="Palatino Linotype"/>
          <w:b/>
          <w:u w:val="single"/>
        </w:rPr>
        <w:t>cada tipo con los respectivos documentos comprobatorios</w:t>
      </w:r>
      <w:r w:rsidRPr="00B221F3">
        <w:rPr>
          <w:rFonts w:ascii="Palatino Linotype" w:eastAsia="Palatino Linotype" w:hAnsi="Palatino Linotype" w:cs="Palatino Linotype"/>
          <w:u w:val="single"/>
        </w:rPr>
        <w:t>,</w:t>
      </w:r>
      <w:r w:rsidRPr="00B221F3">
        <w:rPr>
          <w:rFonts w:ascii="Palatino Linotype" w:eastAsia="Palatino Linotype" w:hAnsi="Palatino Linotype" w:cs="Palatino Linotype"/>
        </w:rPr>
        <w:t xml:space="preserve"> información que se debe grabar en 3 discos compactos, cada uno con un mes del trimestre, de conformidad con los Lineamientos para la integración y entrega del Informe Trimestral, como se ilustra a continuación:</w:t>
      </w:r>
    </w:p>
    <w:p w:rsidR="00856830" w:rsidRPr="00B221F3" w:rsidRDefault="00856830" w:rsidP="00856830">
      <w:pPr>
        <w:spacing w:before="240" w:after="240" w:line="360" w:lineRule="auto"/>
        <w:jc w:val="both"/>
        <w:rPr>
          <w:rFonts w:ascii="Palatino Linotype" w:eastAsia="Palatino Linotype" w:hAnsi="Palatino Linotype" w:cs="Palatino Linotype"/>
        </w:rPr>
      </w:pPr>
    </w:p>
    <w:p w:rsidR="00856830" w:rsidRPr="00B221F3" w:rsidRDefault="00856830" w:rsidP="00856830">
      <w:pPr>
        <w:spacing w:before="240" w:after="240" w:line="360" w:lineRule="auto"/>
        <w:jc w:val="center"/>
        <w:rPr>
          <w:rFonts w:ascii="Palatino Linotype" w:eastAsia="Palatino Linotype" w:hAnsi="Palatino Linotype" w:cs="Palatino Linotype"/>
        </w:rPr>
      </w:pPr>
      <w:r w:rsidRPr="00B221F3">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5B042BF9" wp14:editId="4A17D1B0">
                <wp:simplePos x="0" y="0"/>
                <wp:positionH relativeFrom="column">
                  <wp:posOffset>4481498</wp:posOffset>
                </wp:positionH>
                <wp:positionV relativeFrom="paragraph">
                  <wp:posOffset>1359535</wp:posOffset>
                </wp:positionV>
                <wp:extent cx="238125" cy="133350"/>
                <wp:effectExtent l="57150" t="38100" r="47625" b="95250"/>
                <wp:wrapNone/>
                <wp:docPr id="12" name="Conector recto de flecha 12"/>
                <wp:cNvGraphicFramePr/>
                <a:graphic xmlns:a="http://schemas.openxmlformats.org/drawingml/2006/main">
                  <a:graphicData uri="http://schemas.microsoft.com/office/word/2010/wordprocessingShape">
                    <wps:wsp>
                      <wps:cNvCnPr/>
                      <wps:spPr>
                        <a:xfrm flipH="1">
                          <a:off x="0" y="0"/>
                          <a:ext cx="238125" cy="13335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CD6EA8" id="_x0000_t32" coordsize="21600,21600" o:spt="32" o:oned="t" path="m,l21600,21600e" filled="f">
                <v:path arrowok="t" fillok="f" o:connecttype="none"/>
                <o:lock v:ext="edit" shapetype="t"/>
              </v:shapetype>
              <v:shape id="Conector recto de flecha 12" o:spid="_x0000_s1026" type="#_x0000_t32" style="position:absolute;margin-left:352.85pt;margin-top:107.05pt;width:18.75pt;height:1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" strokecolor="#c00000" strokeweight="3pt">
                <v:stroke endarrow="block" joinstyle="miter"/>
              </v:shape>
            </w:pict>
          </mc:Fallback>
        </mc:AlternateContent>
      </w:r>
      <w:r w:rsidRPr="00B221F3">
        <w:rPr>
          <w:rFonts w:ascii="Palatino Linotype" w:eastAsia="Palatino Linotype" w:hAnsi="Palatino Linotype" w:cs="Palatino Linotype"/>
          <w:noProof/>
          <w:lang w:eastAsia="es-MX"/>
        </w:rPr>
        <w:drawing>
          <wp:inline distT="0" distB="0" distL="0" distR="0" wp14:anchorId="0ED42BCD" wp14:editId="7CA1094C">
            <wp:extent cx="3600000" cy="2090320"/>
            <wp:effectExtent l="0" t="0" r="635"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00000" cy="2090320"/>
                    </a:xfrm>
                    <a:prstGeom prst="rect">
                      <a:avLst/>
                    </a:prstGeom>
                    <a:noFill/>
                    <a:ln>
                      <a:noFill/>
                    </a:ln>
                  </pic:spPr>
                </pic:pic>
              </a:graphicData>
            </a:graphic>
          </wp:inline>
        </w:drawing>
      </w:r>
    </w:p>
    <w:p w:rsidR="00634E26" w:rsidRPr="00B221F3" w:rsidRDefault="00634E26" w:rsidP="00634E26">
      <w:pPr>
        <w:spacing w:before="240" w:after="240" w:line="360" w:lineRule="auto"/>
        <w:jc w:val="both"/>
        <w:rPr>
          <w:rFonts w:ascii="Palatino Linotype" w:eastAsia="Palatino Linotype" w:hAnsi="Palatino Linotype" w:cs="Palatino Linotype"/>
        </w:rPr>
      </w:pPr>
      <w:bookmarkStart w:id="5" w:name="_heading=h.35nkun2" w:colFirst="0" w:colLast="0"/>
      <w:bookmarkEnd w:id="5"/>
      <w:r w:rsidRPr="00B221F3">
        <w:rPr>
          <w:rFonts w:ascii="Palatino Linotype" w:eastAsia="Palatino Linotype" w:hAnsi="Palatino Linotype" w:cs="Palatino Linotype"/>
        </w:rPr>
        <w:t>Así, derivado de la interpretación del requerimiento de información, se considera que la persona solicitante se encuentra interesada en</w:t>
      </w:r>
      <w:r w:rsidR="00DF1703" w:rsidRPr="00B221F3">
        <w:rPr>
          <w:rFonts w:ascii="Palatino Linotype" w:eastAsia="Palatino Linotype" w:hAnsi="Palatino Linotype" w:cs="Palatino Linotype"/>
        </w:rPr>
        <w:t xml:space="preserve"> </w:t>
      </w:r>
      <w:r w:rsidR="00DF1703" w:rsidRPr="00B221F3">
        <w:rPr>
          <w:rFonts w:ascii="Palatino Linotype" w:eastAsia="Palatino Linotype" w:hAnsi="Palatino Linotype" w:cs="Palatino Linotype"/>
          <w:i/>
        </w:rPr>
        <w:t xml:space="preserve">las pólizas de egresos o las pólizas </w:t>
      </w:r>
      <w:r w:rsidR="00DF1703" w:rsidRPr="00B221F3">
        <w:rPr>
          <w:rFonts w:ascii="Palatino Linotype" w:eastAsia="Palatino Linotype" w:hAnsi="Palatino Linotype" w:cs="Palatino Linotype"/>
          <w:b/>
          <w:i/>
        </w:rPr>
        <w:t>de cheque</w:t>
      </w:r>
      <w:r w:rsidR="00DF1703" w:rsidRPr="00B221F3">
        <w:rPr>
          <w:rFonts w:ascii="Palatino Linotype" w:eastAsia="Palatino Linotype" w:hAnsi="Palatino Linotype" w:cs="Palatino Linotype"/>
          <w:i/>
        </w:rPr>
        <w:t xml:space="preserve"> </w:t>
      </w:r>
      <w:r w:rsidRPr="00B221F3">
        <w:rPr>
          <w:rFonts w:ascii="Palatino Linotype" w:eastAsia="Palatino Linotype" w:hAnsi="Palatino Linotype" w:cs="Palatino Linotype"/>
        </w:rPr>
        <w:t xml:space="preserve">teniendo por finalidad las primeras la de registrar cualquier operación contable en la que se produzca una salida de efectivo o erogaciones, y las segundas en caso de tratarse de una erogación que se realiza a través de un cheque, </w:t>
      </w:r>
      <w:r w:rsidR="00DF1703" w:rsidRPr="00B221F3">
        <w:rPr>
          <w:rFonts w:ascii="Palatino Linotype" w:eastAsia="Palatino Linotype" w:hAnsi="Palatino Linotype" w:cs="Palatino Linotype"/>
        </w:rPr>
        <w:t xml:space="preserve">así como en y los </w:t>
      </w:r>
      <w:r w:rsidR="00DF1703" w:rsidRPr="00B221F3">
        <w:rPr>
          <w:rFonts w:ascii="Palatino Linotype" w:eastAsia="Palatino Linotype" w:hAnsi="Palatino Linotype" w:cs="Palatino Linotype"/>
          <w:i/>
        </w:rPr>
        <w:t>documentos comprobatorios que las amparan</w:t>
      </w:r>
      <w:r w:rsidR="00DF1703" w:rsidRPr="00B221F3">
        <w:rPr>
          <w:rFonts w:ascii="Palatino Linotype" w:eastAsia="Palatino Linotype" w:hAnsi="Palatino Linotype" w:cs="Palatino Linotype"/>
        </w:rPr>
        <w:t xml:space="preserve">, es decir los Comprobantes Fiscales Digitales por Internet, </w:t>
      </w:r>
      <w:r w:rsidRPr="00B221F3">
        <w:rPr>
          <w:rFonts w:ascii="Palatino Linotype" w:eastAsia="Palatino Linotype" w:hAnsi="Palatino Linotype" w:cs="Palatino Linotype"/>
        </w:rPr>
        <w:t xml:space="preserve">documentos que por su naturaleza, forman parte del informe trimestral que el </w:t>
      </w:r>
      <w:r w:rsidRPr="00B221F3">
        <w:rPr>
          <w:rFonts w:ascii="Palatino Linotype" w:eastAsia="Palatino Linotype" w:hAnsi="Palatino Linotype" w:cs="Palatino Linotype"/>
          <w:b/>
        </w:rPr>
        <w:t xml:space="preserve">Sujeto Obligado </w:t>
      </w:r>
      <w:r w:rsidR="00DF1703" w:rsidRPr="00B221F3">
        <w:rPr>
          <w:rFonts w:ascii="Palatino Linotype" w:eastAsia="Palatino Linotype" w:hAnsi="Palatino Linotype" w:cs="Palatino Linotype"/>
        </w:rPr>
        <w:t>debe remitir al OSFEM</w:t>
      </w:r>
      <w:r w:rsidRPr="00B221F3">
        <w:rPr>
          <w:rFonts w:ascii="Palatino Linotype" w:eastAsia="Palatino Linotype" w:hAnsi="Palatino Linotype" w:cs="Palatino Linotype"/>
        </w:rPr>
        <w:t>.</w:t>
      </w:r>
    </w:p>
    <w:p w:rsidR="00DF1703" w:rsidRPr="00B221F3" w:rsidRDefault="00DF1703" w:rsidP="00DF1703">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Asimismo, es preciso mencionar que el Instructivo del Módulo 1, establece los formatos así como el instructivo de llenado para el adecuado cumplimiento de la </w:t>
      </w:r>
      <w:r w:rsidRPr="00B221F3">
        <w:rPr>
          <w:rFonts w:ascii="Palatino Linotype" w:eastAsia="Palatino Linotype" w:hAnsi="Palatino Linotype" w:cs="Palatino Linotype"/>
        </w:rPr>
        <w:lastRenderedPageBreak/>
        <w:t>presentación del Informe, del cual se desprende que el formato correspondiente a las Pólizas de egresos y las Pólizas de cheque, debe contener en el apartado de “Descripción”, de manera breve y especifica el hecho que generó el asiento, observando el siguiente orden:</w:t>
      </w:r>
    </w:p>
    <w:p w:rsidR="00DF1703" w:rsidRPr="00B221F3" w:rsidRDefault="00DF1703" w:rsidP="00DF1703">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noProof/>
          <w:lang w:eastAsia="es-MX"/>
        </w:rPr>
        <w:drawing>
          <wp:inline distT="0" distB="0" distL="0" distR="0" wp14:anchorId="48EEA0CB" wp14:editId="059B7313">
            <wp:extent cx="5610225" cy="140017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0225" cy="1400175"/>
                    </a:xfrm>
                    <a:prstGeom prst="rect">
                      <a:avLst/>
                    </a:prstGeom>
                    <a:noFill/>
                    <a:ln>
                      <a:noFill/>
                    </a:ln>
                  </pic:spPr>
                </pic:pic>
              </a:graphicData>
            </a:graphic>
          </wp:inline>
        </w:drawing>
      </w:r>
    </w:p>
    <w:p w:rsidR="00DF1703" w:rsidRPr="00B221F3" w:rsidRDefault="00DF1703" w:rsidP="00DF1703">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Como se advierte, en la descripción de la póliza de egresos y de cheque debe referir el número de Comprobantes Fiscales Digitales por Internet, </w:t>
      </w:r>
      <w:proofErr w:type="spellStart"/>
      <w:r w:rsidRPr="00B221F3">
        <w:rPr>
          <w:rFonts w:ascii="Palatino Linotype" w:eastAsia="Palatino Linotype" w:hAnsi="Palatino Linotype" w:cs="Palatino Linotype"/>
        </w:rPr>
        <w:t>CFDI´s</w:t>
      </w:r>
      <w:proofErr w:type="spellEnd"/>
      <w:r w:rsidRPr="00B221F3">
        <w:rPr>
          <w:rFonts w:ascii="Palatino Linotype" w:eastAsia="Palatino Linotype" w:hAnsi="Palatino Linotype" w:cs="Palatino Linotype"/>
        </w:rPr>
        <w:t>, que integran la póliza correspondiente.</w:t>
      </w:r>
    </w:p>
    <w:p w:rsidR="00DF1703" w:rsidRPr="00B221F3" w:rsidRDefault="00DF1703" w:rsidP="00DF1703">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Con base en lo anterior, en observancia del principio de máxima publicidad, se reitera que para tener por colmado el requerimiento de información, es dable ordenar la entrega de las facturas pagadas por la Tesorería Municipal del uno de enero al diez </w:t>
      </w:r>
      <w:r w:rsidR="00195432" w:rsidRPr="00B221F3">
        <w:rPr>
          <w:rFonts w:ascii="Palatino Linotype" w:eastAsia="Palatino Linotype" w:hAnsi="Palatino Linotype" w:cs="Palatino Linotype"/>
        </w:rPr>
        <w:t>de octubre de dos mil veintidós</w:t>
      </w:r>
      <w:r w:rsidR="008863BA" w:rsidRPr="00B221F3">
        <w:rPr>
          <w:rFonts w:ascii="Palatino Linotype" w:eastAsia="Palatino Linotype" w:hAnsi="Palatino Linotype" w:cs="Palatino Linotype"/>
        </w:rPr>
        <w:t>,</w:t>
      </w:r>
      <w:r w:rsidR="00195432" w:rsidRPr="00B221F3">
        <w:rPr>
          <w:rFonts w:ascii="Palatino Linotype" w:eastAsia="Palatino Linotype" w:hAnsi="Palatino Linotype" w:cs="Palatino Linotype"/>
        </w:rPr>
        <w:t xml:space="preserve"> acompañadas de los documentos </w:t>
      </w:r>
      <w:r w:rsidR="008863BA" w:rsidRPr="00B221F3">
        <w:rPr>
          <w:rFonts w:ascii="Palatino Linotype" w:eastAsia="Palatino Linotype" w:hAnsi="Palatino Linotype" w:cs="Palatino Linotype"/>
        </w:rPr>
        <w:t>comprobatorios</w:t>
      </w:r>
      <w:r w:rsidR="00195432" w:rsidRPr="00B221F3">
        <w:rPr>
          <w:rFonts w:ascii="Palatino Linotype" w:eastAsia="Palatino Linotype" w:hAnsi="Palatino Linotype" w:cs="Palatino Linotype"/>
        </w:rPr>
        <w:t xml:space="preserve"> que soporten el pago</w:t>
      </w:r>
      <w:r w:rsidR="008863BA" w:rsidRPr="00B221F3">
        <w:rPr>
          <w:rFonts w:ascii="Palatino Linotype" w:eastAsia="Palatino Linotype" w:hAnsi="Palatino Linotype" w:cs="Palatino Linotype"/>
        </w:rPr>
        <w:t xml:space="preserve">, de manera enunciativa, más no limitativa, </w:t>
      </w:r>
      <w:r w:rsidR="00195432" w:rsidRPr="00B221F3">
        <w:rPr>
          <w:rFonts w:ascii="Palatino Linotype" w:eastAsia="Palatino Linotype" w:hAnsi="Palatino Linotype" w:cs="Palatino Linotype"/>
        </w:rPr>
        <w:t xml:space="preserve">la evidencia de la </w:t>
      </w:r>
      <w:r w:rsidR="008863BA" w:rsidRPr="00B221F3">
        <w:rPr>
          <w:rFonts w:ascii="Palatino Linotype" w:eastAsia="Palatino Linotype" w:hAnsi="Palatino Linotype" w:cs="Palatino Linotype"/>
        </w:rPr>
        <w:t>transferencia</w:t>
      </w:r>
      <w:r w:rsidR="00195432" w:rsidRPr="00B221F3">
        <w:rPr>
          <w:rFonts w:ascii="Palatino Linotype" w:eastAsia="Palatino Linotype" w:hAnsi="Palatino Linotype" w:cs="Palatino Linotype"/>
        </w:rPr>
        <w:t xml:space="preserve"> o la as </w:t>
      </w:r>
      <w:r w:rsidR="008863BA" w:rsidRPr="00B221F3">
        <w:rPr>
          <w:rFonts w:ascii="Palatino Linotype" w:eastAsia="Palatino Linotype" w:hAnsi="Palatino Linotype" w:cs="Palatino Linotype"/>
        </w:rPr>
        <w:t>pólizas</w:t>
      </w:r>
      <w:r w:rsidR="00195432" w:rsidRPr="00B221F3">
        <w:rPr>
          <w:rFonts w:ascii="Palatino Linotype" w:eastAsia="Palatino Linotype" w:hAnsi="Palatino Linotype" w:cs="Palatino Linotype"/>
        </w:rPr>
        <w:t xml:space="preserve"> de</w:t>
      </w:r>
      <w:r w:rsidR="008863BA" w:rsidRPr="00B221F3">
        <w:rPr>
          <w:rFonts w:ascii="Palatino Linotype" w:eastAsia="Palatino Linotype" w:hAnsi="Palatino Linotype" w:cs="Palatino Linotype"/>
        </w:rPr>
        <w:t xml:space="preserve"> egresos o de</w:t>
      </w:r>
      <w:r w:rsidR="00195432" w:rsidRPr="00B221F3">
        <w:rPr>
          <w:rFonts w:ascii="Palatino Linotype" w:eastAsia="Palatino Linotype" w:hAnsi="Palatino Linotype" w:cs="Palatino Linotype"/>
        </w:rPr>
        <w:t xml:space="preserve"> cheque </w:t>
      </w:r>
      <w:r w:rsidRPr="00B221F3">
        <w:rPr>
          <w:rFonts w:ascii="Palatino Linotype" w:eastAsia="Palatino Linotype" w:hAnsi="Palatino Linotype" w:cs="Palatino Linotype"/>
        </w:rPr>
        <w:t xml:space="preserve"> conforme al considerando siguiente.</w:t>
      </w:r>
    </w:p>
    <w:p w:rsidR="00856830" w:rsidRPr="00B221F3" w:rsidRDefault="00856830" w:rsidP="00856830">
      <w:pPr>
        <w:spacing w:before="240" w:after="240" w:line="360" w:lineRule="auto"/>
        <w:ind w:right="51"/>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De lo hasta aquí expuesto, se concluye que los motivos de inconformidad de la parte </w:t>
      </w:r>
      <w:r w:rsidRPr="00B221F3">
        <w:rPr>
          <w:rFonts w:ascii="Palatino Linotype" w:eastAsia="Palatino Linotype" w:hAnsi="Palatino Linotype" w:cs="Palatino Linotype"/>
          <w:b/>
        </w:rPr>
        <w:t xml:space="preserve">Recurrente </w:t>
      </w:r>
      <w:r w:rsidRPr="00B221F3">
        <w:rPr>
          <w:rFonts w:ascii="Palatino Linotype" w:eastAsia="Palatino Linotype" w:hAnsi="Palatino Linotype" w:cs="Palatino Linotype"/>
        </w:rPr>
        <w:t xml:space="preserve">devienen fundados, siendo procedente </w:t>
      </w:r>
      <w:r w:rsidRPr="00B221F3">
        <w:rPr>
          <w:rFonts w:ascii="Palatino Linotype" w:eastAsia="Palatino Linotype" w:hAnsi="Palatino Linotype" w:cs="Palatino Linotype"/>
          <w:i/>
        </w:rPr>
        <w:t xml:space="preserve">Revocar </w:t>
      </w:r>
      <w:r w:rsidRPr="00B221F3">
        <w:rPr>
          <w:rFonts w:ascii="Palatino Linotype" w:eastAsia="Palatino Linotype" w:hAnsi="Palatino Linotype" w:cs="Palatino Linotype"/>
        </w:rPr>
        <w:t xml:space="preserve">la respuesta proporcionada por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 xml:space="preserve">en términos del artículo 186 fracción III de </w:t>
      </w:r>
      <w:r w:rsidRPr="00B221F3">
        <w:rPr>
          <w:rFonts w:ascii="Palatino Linotype" w:eastAsia="Palatino Linotype" w:hAnsi="Palatino Linotype" w:cs="Palatino Linotype"/>
        </w:rPr>
        <w:lastRenderedPageBreak/>
        <w:t>la Ley de Transparencia y Acceso a la Información Pública del Estado de México y Municipios.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Quinto. Versión Pública.</w:t>
      </w:r>
      <w:r w:rsidRPr="00B221F3">
        <w:rPr>
          <w:rFonts w:ascii="Palatino Linotype" w:eastAsia="Palatino Linotype" w:hAnsi="Palatino Linotype" w:cs="Palatino Linotype"/>
          <w:sz w:val="28"/>
          <w:szCs w:val="28"/>
        </w:rPr>
        <w:t xml:space="preserve"> </w:t>
      </w:r>
      <w:r w:rsidRPr="00B221F3">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sin menoscabo al derecho a la protección de los datos personales de terceros.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B221F3">
        <w:rPr>
          <w:rFonts w:ascii="Palatino Linotype" w:eastAsia="Palatino Linotype" w:hAnsi="Palatino Linotype" w:cs="Palatino Linotype"/>
        </w:rPr>
        <w:t>fracción</w:t>
      </w:r>
      <w:proofErr w:type="gramEnd"/>
      <w:r w:rsidRPr="00B221F3">
        <w:rPr>
          <w:rFonts w:ascii="Palatino Linotype" w:eastAsia="Palatino Linotype" w:hAnsi="Palatino Linotype" w:cs="Palatino Linotype"/>
        </w:rPr>
        <w:t xml:space="preserve"> I de la Ley de Transparencia y Acceso a la Información Pública del Estado de México y Municipios que establecen:</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t>“</w:t>
      </w:r>
      <w:r w:rsidRPr="00B221F3">
        <w:rPr>
          <w:rFonts w:ascii="Palatino Linotype" w:eastAsia="Palatino Linotype" w:hAnsi="Palatino Linotype" w:cs="Palatino Linotype"/>
          <w:b/>
          <w:i/>
          <w:sz w:val="22"/>
          <w:szCs w:val="21"/>
        </w:rPr>
        <w:t>Artículo 3</w:t>
      </w:r>
      <w:r w:rsidRPr="00B221F3">
        <w:rPr>
          <w:rFonts w:ascii="Palatino Linotype" w:eastAsia="Palatino Linotype" w:hAnsi="Palatino Linotype" w:cs="Palatino Linotype"/>
          <w:i/>
          <w:sz w:val="22"/>
          <w:szCs w:val="21"/>
        </w:rPr>
        <w:t>. Para los efectos de la presente Ley se entenderá por:</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t>[…]</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IX. Datos personales</w:t>
      </w:r>
      <w:r w:rsidRPr="00B221F3">
        <w:rPr>
          <w:rFonts w:ascii="Palatino Linotype" w:eastAsia="Palatino Linotype" w:hAnsi="Palatino Linotype" w:cs="Palatino Linotype"/>
          <w:i/>
          <w:sz w:val="22"/>
          <w:szCs w:val="21"/>
        </w:rPr>
        <w:t xml:space="preserve">: La información concerniente a una persona, identificada o identificable según lo dispuesto por la Ley de Protección de Datos Personales del Estado de México; </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XX. Información clasificada</w:t>
      </w:r>
      <w:r w:rsidRPr="00B221F3">
        <w:rPr>
          <w:rFonts w:ascii="Palatino Linotype" w:eastAsia="Palatino Linotype" w:hAnsi="Palatino Linotype" w:cs="Palatino Linotype"/>
          <w:i/>
          <w:sz w:val="22"/>
          <w:szCs w:val="21"/>
        </w:rPr>
        <w:t>: Aquella considerada por la presente Ley como reservada o confidencial;</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XXI. Información confidencial</w:t>
      </w:r>
      <w:r w:rsidRPr="00B221F3">
        <w:rPr>
          <w:rFonts w:ascii="Palatino Linotype" w:eastAsia="Palatino Linotype" w:hAnsi="Palatino Linotype" w:cs="Palatino Linotype"/>
          <w:i/>
          <w:sz w:val="22"/>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XLV. Versión pública</w:t>
      </w:r>
      <w:r w:rsidRPr="00B221F3">
        <w:rPr>
          <w:rFonts w:ascii="Palatino Linotype" w:eastAsia="Palatino Linotype" w:hAnsi="Palatino Linotype" w:cs="Palatino Linotype"/>
          <w:i/>
          <w:sz w:val="22"/>
          <w:szCs w:val="21"/>
        </w:rPr>
        <w:t>: Documento en el que se elimine, suprime o borra la información clasificada como reservada o confidencial para permitir su acceso.</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lastRenderedPageBreak/>
        <w:t>[…]</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Artículo 91.</w:t>
      </w:r>
      <w:r w:rsidRPr="00B221F3">
        <w:rPr>
          <w:rFonts w:ascii="Palatino Linotype" w:eastAsia="Palatino Linotype" w:hAnsi="Palatino Linotype" w:cs="Palatino Linotype"/>
          <w:i/>
          <w:sz w:val="22"/>
          <w:szCs w:val="21"/>
        </w:rPr>
        <w:t xml:space="preserve"> El acceso a la información pública será restringido excepcionalmente, cuando ésta sea clasificada como reservada o confidencial.</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Artículo 132</w:t>
      </w:r>
      <w:r w:rsidRPr="00B221F3">
        <w:rPr>
          <w:rFonts w:ascii="Palatino Linotype" w:eastAsia="Palatino Linotype" w:hAnsi="Palatino Linotype" w:cs="Palatino Linotype"/>
          <w:i/>
          <w:sz w:val="22"/>
          <w:szCs w:val="21"/>
        </w:rPr>
        <w:t>. La clasificación de la información se llevará a cabo en el momento en que:</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w:t>
      </w:r>
      <w:r w:rsidRPr="00B221F3">
        <w:rPr>
          <w:rFonts w:ascii="Palatino Linotype" w:eastAsia="Palatino Linotype" w:hAnsi="Palatino Linotype" w:cs="Palatino Linotype"/>
          <w:i/>
          <w:sz w:val="22"/>
          <w:szCs w:val="21"/>
        </w:rPr>
        <w:t xml:space="preserve"> Se reciba una solicitud de acceso a la información;</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II.</w:t>
      </w:r>
      <w:r w:rsidRPr="00B221F3">
        <w:rPr>
          <w:rFonts w:ascii="Palatino Linotype" w:eastAsia="Palatino Linotype" w:hAnsi="Palatino Linotype" w:cs="Palatino Linotype"/>
          <w:i/>
          <w:sz w:val="22"/>
          <w:szCs w:val="21"/>
        </w:rPr>
        <w:t xml:space="preserve"> Se determine mediante resolución de autoridad competente; o</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III.</w:t>
      </w:r>
      <w:r w:rsidRPr="00B221F3">
        <w:rPr>
          <w:rFonts w:ascii="Palatino Linotype" w:eastAsia="Palatino Linotype" w:hAnsi="Palatino Linotype" w:cs="Palatino Linotype"/>
          <w:i/>
          <w:sz w:val="22"/>
          <w:szCs w:val="21"/>
        </w:rPr>
        <w:t xml:space="preserve"> Se generen versiones públicas para dar cumplimiento a las obligaciones de transparencia previstas en esta Ley.</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t>[…]</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Artículo 143.</w:t>
      </w:r>
      <w:r w:rsidRPr="00B221F3">
        <w:rPr>
          <w:rFonts w:ascii="Palatino Linotype" w:eastAsia="Palatino Linotype" w:hAnsi="Palatino Linotype" w:cs="Palatino Linotype"/>
          <w:i/>
          <w:sz w:val="22"/>
          <w:szCs w:val="21"/>
        </w:rPr>
        <w:t xml:space="preserve"> Para los efectos de esta Ley se considera información confidencial, la clasificada como tal, de manera permanente, por su naturaleza, cuando:</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w:t>
      </w:r>
      <w:r w:rsidRPr="00B221F3">
        <w:rPr>
          <w:rFonts w:ascii="Palatino Linotype" w:eastAsia="Palatino Linotype" w:hAnsi="Palatino Linotype" w:cs="Palatino Linotype"/>
          <w:i/>
          <w:sz w:val="22"/>
          <w:szCs w:val="21"/>
        </w:rPr>
        <w:t xml:space="preserve"> Se refiera a la información privada y los datos personales concernientes a una persona física o </w:t>
      </w:r>
      <w:proofErr w:type="gramStart"/>
      <w:r w:rsidRPr="00B221F3">
        <w:rPr>
          <w:rFonts w:ascii="Palatino Linotype" w:eastAsia="Palatino Linotype" w:hAnsi="Palatino Linotype" w:cs="Palatino Linotype"/>
          <w:i/>
          <w:sz w:val="22"/>
          <w:szCs w:val="21"/>
        </w:rPr>
        <w:t>jurídico</w:t>
      </w:r>
      <w:proofErr w:type="gramEnd"/>
      <w:r w:rsidRPr="00B221F3">
        <w:rPr>
          <w:rFonts w:ascii="Palatino Linotype" w:eastAsia="Palatino Linotype" w:hAnsi="Palatino Linotype" w:cs="Palatino Linotype"/>
          <w:i/>
          <w:sz w:val="22"/>
          <w:szCs w:val="21"/>
        </w:rPr>
        <w:t xml:space="preserve"> colectiva identificada o identificable;</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II.</w:t>
      </w:r>
      <w:r w:rsidRPr="00B221F3">
        <w:rPr>
          <w:rFonts w:ascii="Palatino Linotype" w:eastAsia="Palatino Linotype" w:hAnsi="Palatino Linotype" w:cs="Palatino Linotype"/>
          <w:i/>
          <w:sz w:val="22"/>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b/>
          <w:i/>
          <w:sz w:val="22"/>
          <w:szCs w:val="21"/>
        </w:rPr>
        <w:t>III.</w:t>
      </w:r>
      <w:r w:rsidRPr="00B221F3">
        <w:rPr>
          <w:rFonts w:ascii="Palatino Linotype" w:eastAsia="Palatino Linotype" w:hAnsi="Palatino Linotype" w:cs="Palatino Linotype"/>
          <w:i/>
          <w:sz w:val="22"/>
          <w:szCs w:val="21"/>
        </w:rPr>
        <w:t xml:space="preserve"> La que presenten los particulares a los sujetos obligados, de conformidad con lo dispuesto por las leyes o los tratados internacionales.</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t>La información confidencial no estará sujeta a temporalidad alguna y sólo podrán tener acceso a ella los titulares de la misma, sus representantes y los servidores públicos facultados para ello.</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1"/>
        </w:rPr>
      </w:pPr>
      <w:r w:rsidRPr="00B221F3">
        <w:rPr>
          <w:rFonts w:ascii="Palatino Linotype" w:eastAsia="Palatino Linotype" w:hAnsi="Palatino Linotype" w:cs="Palatino Linotype"/>
          <w:i/>
          <w:sz w:val="22"/>
          <w:szCs w:val="21"/>
        </w:rPr>
        <w:t>No se considerará confidencial la información que se encuentre en los registros públicos o en fuentes de acceso público, ni tampoco la que sea considerada por la presente ley como información pública.”</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B221F3">
        <w:rPr>
          <w:rFonts w:ascii="Palatino Linotype" w:eastAsia="Palatino Linotype" w:hAnsi="Palatino Linotype" w:cs="Palatino Linotype"/>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r w:rsidRPr="00B221F3">
        <w:rPr>
          <w:rFonts w:ascii="Palatino Linotype" w:eastAsia="Palatino Linotype" w:hAnsi="Palatino Linotype" w:cs="Palatino Linotype"/>
          <w:b/>
          <w:i/>
          <w:sz w:val="22"/>
          <w:szCs w:val="22"/>
        </w:rPr>
        <w:t>Quincuagésimo sexto.</w:t>
      </w:r>
      <w:r w:rsidRPr="00B221F3">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Quincuagésimo séptimo.</w:t>
      </w:r>
      <w:r w:rsidRPr="00B221F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w:t>
      </w:r>
      <w:r w:rsidRPr="00B221F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II.</w:t>
      </w:r>
      <w:r w:rsidRPr="00B221F3">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856830" w:rsidRPr="00B221F3" w:rsidRDefault="00856830" w:rsidP="00856830">
      <w:pPr>
        <w:spacing w:before="120" w:after="120"/>
        <w:ind w:left="1134"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III.</w:t>
      </w:r>
      <w:r w:rsidRPr="00B221F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Quincuagésimo octavo</w:t>
      </w:r>
      <w:r w:rsidRPr="00B221F3">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La </w:t>
      </w:r>
      <w:r w:rsidRPr="00B221F3">
        <w:rPr>
          <w:rFonts w:ascii="Palatino Linotype" w:eastAsia="Palatino Linotype" w:hAnsi="Palatino Linotype" w:cs="Palatino Linotype"/>
          <w:b/>
        </w:rPr>
        <w:t>clave de elector</w:t>
      </w:r>
      <w:r w:rsidRPr="00B221F3">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B221F3">
        <w:rPr>
          <w:rFonts w:ascii="Palatino Linotype" w:eastAsia="Palatino Linotype" w:hAnsi="Palatino Linotype" w:cs="Palatino Linotype"/>
        </w:rPr>
        <w:t>homoclave</w:t>
      </w:r>
      <w:proofErr w:type="spellEnd"/>
      <w:r w:rsidRPr="00B221F3">
        <w:rPr>
          <w:rFonts w:ascii="Palatino Linotype" w:eastAsia="Palatino Linotype" w:hAnsi="Palatino Linotype" w:cs="Palatino Linotype"/>
        </w:rPr>
        <w:t xml:space="preserve"> que distingue a su titular de cualquier otro homónimo, por lo tanto, se trata de un dato personal que debe ser protegido.</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El </w:t>
      </w:r>
      <w:r w:rsidRPr="00B221F3">
        <w:rPr>
          <w:rFonts w:ascii="Palatino Linotype" w:eastAsia="Palatino Linotype" w:hAnsi="Palatino Linotype" w:cs="Palatino Linotype"/>
          <w:b/>
        </w:rPr>
        <w:t>número de OCR,</w:t>
      </w:r>
      <w:r w:rsidRPr="00B221F3">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B221F3">
        <w:rPr>
          <w:rFonts w:ascii="Palatino Linotype" w:eastAsia="Palatino Linotype" w:hAnsi="Palatino Linotype" w:cs="Palatino Linotype"/>
        </w:rPr>
        <w:t>geoelectoral</w:t>
      </w:r>
      <w:proofErr w:type="spellEnd"/>
      <w:r w:rsidRPr="00B221F3">
        <w:rPr>
          <w:rFonts w:ascii="Palatino Linotype" w:eastAsia="Palatino Linotype" w:hAnsi="Palatino Linotype" w:cs="Palatino Linotype"/>
        </w:rPr>
        <w:t xml:space="preserve"> ahí contenida, por lo que es susceptible de resguardarse.</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La </w:t>
      </w:r>
      <w:r w:rsidRPr="00B221F3">
        <w:rPr>
          <w:rFonts w:ascii="Palatino Linotype" w:eastAsia="Palatino Linotype" w:hAnsi="Palatino Linotype" w:cs="Palatino Linotype"/>
          <w:b/>
        </w:rPr>
        <w:t>clave única del registro de población,</w:t>
      </w:r>
      <w:r w:rsidRPr="00B221F3">
        <w:rPr>
          <w:rFonts w:ascii="Palatino Linotype" w:eastAsia="Palatino Linotype" w:hAnsi="Palatino Linotype" w:cs="Palatino Linotype"/>
          <w:i/>
        </w:rPr>
        <w:t xml:space="preserve"> </w:t>
      </w:r>
      <w:r w:rsidRPr="00B221F3">
        <w:rPr>
          <w:rFonts w:ascii="Palatino Linotype" w:eastAsia="Palatino Linotype" w:hAnsi="Palatino Linotype" w:cs="Palatino Linotype"/>
        </w:rPr>
        <w:t xml:space="preserve">se integra por datos personales que sólo conciernen al particular titular de la misma, como lo son su nombre, apellidos, fecha </w:t>
      </w:r>
      <w:r w:rsidRPr="00B221F3">
        <w:rPr>
          <w:rFonts w:ascii="Palatino Linotype" w:eastAsia="Palatino Linotype" w:hAnsi="Palatino Linotype" w:cs="Palatino Linotype"/>
        </w:rPr>
        <w:lastRenderedPageBreak/>
        <w:t>de nacimiento, lugar de nacimiento y sexo. Dichos datos, constituyen información que distingue plenamente a una persona física del resto de los habitantes del país, por lo está considerada como información confidencial.</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Igualmente, resulta importante destacar que el </w:t>
      </w:r>
      <w:r w:rsidRPr="00B221F3">
        <w:rPr>
          <w:rFonts w:ascii="Palatino Linotype" w:eastAsia="Palatino Linotype" w:hAnsi="Palatino Linotype" w:cs="Palatino Linotype"/>
          <w:i/>
        </w:rPr>
        <w:t>número de cuenta bancaria</w:t>
      </w:r>
      <w:r w:rsidRPr="00B221F3">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 xml:space="preserve">En esa virtud, este Pleno determina que dicha información no puede ser del dominio público, toda vez que se podría dar un uso inadecuado a la misma o cometer algún ilícito o fraude como ya ha sido expuesto. </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856830" w:rsidRPr="00B221F3" w:rsidRDefault="00856830" w:rsidP="00856830">
      <w:pPr>
        <w:spacing w:before="240" w:after="24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“Cuentas bancarias y/o CLABE interbancaria de personas físicas y morales privadas.</w:t>
      </w:r>
      <w:r w:rsidRPr="00B221F3">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56830" w:rsidRPr="00B221F3" w:rsidRDefault="00856830" w:rsidP="00856830">
      <w:pPr>
        <w:spacing w:before="240" w:after="24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B221F3">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 xml:space="preserve">Por cuanto hace al </w:t>
      </w:r>
      <w:r w:rsidRPr="00B221F3">
        <w:rPr>
          <w:rFonts w:ascii="Palatino Linotype" w:eastAsia="Palatino Linotype" w:hAnsi="Palatino Linotype" w:cs="Palatino Linotype"/>
          <w:b/>
        </w:rPr>
        <w:t xml:space="preserve">Registro Federal de Contribuyentes (RFC) </w:t>
      </w:r>
      <w:r w:rsidRPr="00B221F3">
        <w:rPr>
          <w:rFonts w:ascii="Palatino Linotype" w:eastAsia="Palatino Linotype" w:hAnsi="Palatino Linotype" w:cs="Palatino Linotype"/>
        </w:rPr>
        <w:t>y</w:t>
      </w:r>
      <w:r w:rsidRPr="00B221F3">
        <w:rPr>
          <w:rFonts w:ascii="Palatino Linotype" w:eastAsia="Palatino Linotype" w:hAnsi="Palatino Linotype" w:cs="Palatino Linotype"/>
          <w:b/>
        </w:rPr>
        <w:t xml:space="preserve"> el domicilio fiscal </w:t>
      </w:r>
      <w:r w:rsidRPr="00B221F3">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B221F3">
        <w:rPr>
          <w:rFonts w:ascii="Palatino Linotype" w:eastAsia="Palatino Linotype" w:hAnsi="Palatino Linotype" w:cs="Palatino Linotype"/>
          <w:b/>
        </w:rPr>
        <w:t>no puede considerarse como información clasificada lo relativo a su nombre, registro federal de contribuyentes y domicilio fiscal</w:t>
      </w:r>
      <w:r w:rsidRPr="00B221F3">
        <w:rPr>
          <w:rFonts w:ascii="Palatino Linotype" w:eastAsia="Palatino Linotype" w:hAnsi="Palatino Linotype" w:cs="Palatino Linotype"/>
        </w:rPr>
        <w:t>, atento a que dicha información es la que puede generar certeza en los gobernados en que se está ejerciendo debidamente el presupuesto.</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lastRenderedPageBreak/>
        <w:t>Robustece lo anterior el criterio orientador 04/21 emitido por el Instituto Nacional de Transparencia, Acceso a la Información y Protección de Datos Personales, INAI, el cual refiere:</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 xml:space="preserve">“Registro Federal de Contribuyentes (RFC) de personas físicas proveedoras o contratistas. </w:t>
      </w:r>
      <w:r w:rsidRPr="00B221F3">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Relacionado con lo anterior, el </w:t>
      </w:r>
      <w:r w:rsidRPr="00B221F3">
        <w:rPr>
          <w:rFonts w:ascii="Palatino Linotype" w:eastAsia="Palatino Linotype" w:hAnsi="Palatino Linotype" w:cs="Palatino Linotype"/>
          <w:b/>
        </w:rPr>
        <w:t>nombre de las personas físicas</w:t>
      </w:r>
      <w:r w:rsidRPr="00B221F3">
        <w:rPr>
          <w:rFonts w:ascii="Palatino Linotype" w:eastAsia="Palatino Linotype" w:hAnsi="Palatino Linotype" w:cs="Palatino Linotype"/>
        </w:rPr>
        <w:t xml:space="preserve"> o los </w:t>
      </w:r>
      <w:r w:rsidRPr="00B221F3">
        <w:rPr>
          <w:rFonts w:ascii="Palatino Linotype" w:eastAsia="Palatino Linotype" w:hAnsi="Palatino Linotype" w:cs="Palatino Linotype"/>
          <w:b/>
        </w:rPr>
        <w:t>representantes legales de las personas morales</w:t>
      </w:r>
      <w:r w:rsidRPr="00B221F3">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856830" w:rsidRPr="00B221F3" w:rsidRDefault="00856830" w:rsidP="00856830">
      <w:pPr>
        <w:spacing w:before="240" w:after="240" w:line="360" w:lineRule="auto"/>
        <w:ind w:right="50"/>
        <w:jc w:val="both"/>
        <w:rPr>
          <w:rFonts w:ascii="Palatino Linotype" w:eastAsia="Palatino Linotype" w:hAnsi="Palatino Linotype" w:cs="Palatino Linotype"/>
        </w:rPr>
      </w:pPr>
      <w:r w:rsidRPr="00B221F3">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lastRenderedPageBreak/>
        <w:t>“</w:t>
      </w:r>
      <w:r w:rsidRPr="00B221F3">
        <w:rPr>
          <w:rFonts w:ascii="Palatino Linotype" w:eastAsia="Palatino Linotype" w:hAnsi="Palatino Linotype" w:cs="Palatino Linotype"/>
          <w:b/>
          <w:i/>
          <w:sz w:val="22"/>
          <w:szCs w:val="22"/>
        </w:rPr>
        <w:t>Artículo 23.</w:t>
      </w:r>
      <w:r w:rsidRPr="00B221F3">
        <w:rPr>
          <w:rFonts w:ascii="Palatino Linotype" w:eastAsia="Palatino Linotype" w:hAnsi="Palatino Linotype" w:cs="Palatino Linotype"/>
          <w:i/>
          <w:sz w:val="22"/>
          <w:szCs w:val="22"/>
        </w:rPr>
        <w:t xml:space="preserve"> (…)</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56830" w:rsidRPr="00B221F3" w:rsidRDefault="00856830" w:rsidP="00856830">
      <w:pPr>
        <w:spacing w:before="280" w:after="28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rsidR="00856830" w:rsidRPr="00B221F3" w:rsidRDefault="00856830" w:rsidP="00856830">
      <w:pPr>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“Datos de identificación del representante o apoderado legal.</w:t>
      </w:r>
      <w:r w:rsidRPr="00B221F3">
        <w:rPr>
          <w:rFonts w:ascii="Palatino Linotype" w:eastAsia="Palatino Linotype" w:hAnsi="Palatino Linotype" w:cs="Palatino Linotype"/>
          <w:i/>
          <w:sz w:val="22"/>
          <w:szCs w:val="22"/>
        </w:rPr>
        <w:t xml:space="preserve"> </w:t>
      </w:r>
      <w:r w:rsidRPr="00B221F3">
        <w:rPr>
          <w:rFonts w:ascii="Palatino Linotype" w:eastAsia="Palatino Linotype" w:hAnsi="Palatino Linotype" w:cs="Palatino Linotype"/>
          <w:b/>
          <w:i/>
          <w:sz w:val="22"/>
          <w:szCs w:val="22"/>
        </w:rPr>
        <w:t xml:space="preserve">Naturaleza jurídica. </w:t>
      </w:r>
      <w:r w:rsidRPr="00B221F3">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B221F3">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B221F3">
        <w:rPr>
          <w:rFonts w:ascii="Palatino Linotype" w:eastAsia="Palatino Linotype" w:hAnsi="Palatino Linotype" w:cs="Palatino Linotype"/>
          <w:i/>
          <w:sz w:val="22"/>
          <w:szCs w:val="22"/>
        </w:rPr>
        <w:t>.”</w:t>
      </w:r>
    </w:p>
    <w:p w:rsidR="00856830" w:rsidRPr="00B221F3" w:rsidRDefault="001B0E4F" w:rsidP="00856830">
      <w:pPr>
        <w:spacing w:before="240" w:after="240" w:line="360" w:lineRule="auto"/>
        <w:jc w:val="both"/>
        <w:rPr>
          <w:rFonts w:ascii="Palatino Linotype" w:hAnsi="Palatino Linotype" w:cs="Arial"/>
        </w:rPr>
      </w:pPr>
      <w:r w:rsidRPr="00B221F3">
        <w:rPr>
          <w:rFonts w:ascii="Palatino Linotype" w:eastAsia="Palatino Linotype" w:hAnsi="Palatino Linotype" w:cs="Palatino Linotype"/>
        </w:rPr>
        <w:t>En</w:t>
      </w:r>
      <w:r w:rsidR="00856830" w:rsidRPr="00B221F3">
        <w:rPr>
          <w:rFonts w:ascii="Palatino Linotype" w:eastAsia="Palatino Linotype" w:hAnsi="Palatino Linotype" w:cs="Palatino Linotype"/>
        </w:rPr>
        <w:t xml:space="preserve"> el caso del </w:t>
      </w:r>
      <w:r w:rsidR="00856830" w:rsidRPr="00B221F3">
        <w:rPr>
          <w:rFonts w:ascii="Palatino Linotype" w:eastAsia="Palatino Linotype" w:hAnsi="Palatino Linotype" w:cs="Palatino Linotype"/>
          <w:b/>
        </w:rPr>
        <w:t>f</w:t>
      </w:r>
      <w:r w:rsidR="00856830" w:rsidRPr="00B221F3">
        <w:rPr>
          <w:rFonts w:ascii="Palatino Linotype" w:hAnsi="Palatino Linotype" w:cs="Arial"/>
          <w:b/>
        </w:rPr>
        <w:t>olio fiscal</w:t>
      </w:r>
      <w:r w:rsidR="00856830" w:rsidRPr="00B221F3">
        <w:rPr>
          <w:rFonts w:ascii="Palatino Linotype" w:hAnsi="Palatino Linotype" w:cs="Arial"/>
        </w:rPr>
        <w:t xml:space="preserve">, la </w:t>
      </w:r>
      <w:r w:rsidR="00856830" w:rsidRPr="00B221F3">
        <w:rPr>
          <w:rFonts w:ascii="Palatino Linotype" w:hAnsi="Palatino Linotype" w:cs="Arial"/>
          <w:b/>
        </w:rPr>
        <w:t xml:space="preserve">cadena original, </w:t>
      </w:r>
      <w:r w:rsidR="00856830" w:rsidRPr="00B221F3">
        <w:rPr>
          <w:rFonts w:ascii="Palatino Linotype" w:hAnsi="Palatino Linotype" w:cs="Arial"/>
        </w:rPr>
        <w:t>los</w:t>
      </w:r>
      <w:r w:rsidR="00856830" w:rsidRPr="00B221F3">
        <w:rPr>
          <w:rFonts w:ascii="Palatino Linotype" w:hAnsi="Palatino Linotype" w:cs="Arial"/>
          <w:b/>
        </w:rPr>
        <w:t xml:space="preserve"> códigos bidimensionales o códigos QR,</w:t>
      </w:r>
      <w:r w:rsidR="00856830" w:rsidRPr="00B221F3">
        <w:rPr>
          <w:rFonts w:ascii="Palatino Linotype" w:hAnsi="Palatino Linotype" w:cs="Arial"/>
        </w:rPr>
        <w:t xml:space="preserve"> y, en general, cualquier información de carácter fiscal, </w:t>
      </w:r>
      <w:r w:rsidR="00856830" w:rsidRPr="00B221F3">
        <w:rPr>
          <w:rFonts w:ascii="Palatino Linotype" w:eastAsia="Palatino Linotype" w:hAnsi="Palatino Linotype" w:cs="Palatino Linotype"/>
        </w:rPr>
        <w:t xml:space="preserve"> pudiera contener un Comprobante Fiscal Digital por Internet, CFDI,  se debe hacer un análisis caso por caso, con la finalidad de determinar si de dicha información se </w:t>
      </w:r>
      <w:r w:rsidR="00856830" w:rsidRPr="00B221F3">
        <w:rPr>
          <w:rFonts w:ascii="Palatino Linotype" w:hAnsi="Palatino Linotype" w:cs="Arial"/>
        </w:rPr>
        <w:t xml:space="preserve">pueden obtener datos personales que no sean susceptibles de conocimiento público, como por ejemplo la Clave Única del Registro de Población, que, de difundirse, pudieran hacer identificable a una persona, debiendo, </w:t>
      </w:r>
      <w:r w:rsidR="00312A0A" w:rsidRPr="00B221F3">
        <w:rPr>
          <w:rFonts w:ascii="Palatino Linotype" w:hAnsi="Palatino Linotype" w:cs="Arial"/>
        </w:rPr>
        <w:t>de ser el caso</w:t>
      </w:r>
      <w:r w:rsidR="00856830" w:rsidRPr="00B221F3">
        <w:rPr>
          <w:rFonts w:ascii="Palatino Linotype" w:hAnsi="Palatino Linotype" w:cs="Arial"/>
        </w:rPr>
        <w:t>,  clasificarse como información confidencial, de manera fundada y motivada en términos del artículo 143, fracción I de la Ley de Transparencia y Acceso a la Información Pública de</w:t>
      </w:r>
      <w:r w:rsidR="00312A0A" w:rsidRPr="00B221F3">
        <w:rPr>
          <w:rFonts w:ascii="Palatino Linotype" w:hAnsi="Palatino Linotype" w:cs="Arial"/>
        </w:rPr>
        <w:t>l Estado de México y Municipios, de lo contrario</w:t>
      </w:r>
      <w:r w:rsidR="00704B53" w:rsidRPr="00B221F3">
        <w:rPr>
          <w:rFonts w:ascii="Palatino Linotype" w:hAnsi="Palatino Linotype" w:cs="Arial"/>
        </w:rPr>
        <w:t>,</w:t>
      </w:r>
      <w:r w:rsidR="00312A0A" w:rsidRPr="00B221F3">
        <w:rPr>
          <w:rFonts w:ascii="Palatino Linotype" w:hAnsi="Palatino Linotype" w:cs="Arial"/>
        </w:rPr>
        <w:t xml:space="preserve"> no es procedente su clasificación.</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Con base en lo expuesto, se insiste que en la versión pública de los documentos que se ordenan se deben testar aquellos elementos señalados en la presente resolución, </w:t>
      </w:r>
      <w:r w:rsidRPr="00B221F3">
        <w:rPr>
          <w:rFonts w:ascii="Palatino Linotype" w:eastAsia="Palatino Linotype" w:hAnsi="Palatino Linotype" w:cs="Palatino Linotype"/>
        </w:rPr>
        <w:lastRenderedPageBreak/>
        <w:t>en el entendido de que debe ser pública toda la demás información relacionada que no encuadre en los conceptos anteriores.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Asimismo, se destaca que la versión pública que elabore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De este modo, la versión pública que elabore el </w:t>
      </w:r>
      <w:r w:rsidRPr="00B221F3">
        <w:rPr>
          <w:rFonts w:ascii="Palatino Linotype" w:eastAsia="Palatino Linotype" w:hAnsi="Palatino Linotype" w:cs="Palatino Linotype"/>
          <w:b/>
        </w:rPr>
        <w:t xml:space="preserve">Sujeto Obligado </w:t>
      </w:r>
      <w:r w:rsidRPr="00B221F3">
        <w:rPr>
          <w:rFonts w:ascii="Palatino Linotype" w:eastAsia="Palatino Linotype" w:hAnsi="Palatino Linotype" w:cs="Palatino Linotype"/>
        </w:rPr>
        <w:t>debe acompañarse del</w:t>
      </w:r>
      <w:r w:rsidRPr="00B221F3">
        <w:rPr>
          <w:rFonts w:ascii="Palatino Linotype" w:eastAsia="Palatino Linotype" w:hAnsi="Palatino Linotype" w:cs="Palatino Linotype"/>
          <w:b/>
        </w:rPr>
        <w:t xml:space="preserve"> </w:t>
      </w:r>
      <w:r w:rsidRPr="00B221F3">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B221F3">
        <w:rPr>
          <w:rFonts w:ascii="Palatino Linotype" w:eastAsia="Palatino Linotype" w:hAnsi="Palatino Linotype" w:cs="Palatino Linotype"/>
          <w:b/>
          <w:u w:val="single"/>
        </w:rPr>
        <w:lastRenderedPageBreak/>
        <w:t>razones, motivos o circunstancias especiales</w:t>
      </w:r>
      <w:r w:rsidRPr="00B221F3">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rsidR="00856830" w:rsidRPr="00B221F3" w:rsidRDefault="00856830" w:rsidP="00856830">
      <w:pPr>
        <w:spacing w:before="120" w:after="12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“Quincuagésimo segundo</w:t>
      </w:r>
      <w:r w:rsidRPr="00B221F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B221F3">
        <w:rPr>
          <w:rFonts w:ascii="Palatino Linotype" w:eastAsia="Palatino Linotype" w:hAnsi="Palatino Linotype" w:cs="Palatino Linotype"/>
          <w:i/>
          <w:sz w:val="22"/>
          <w:szCs w:val="22"/>
        </w:rPr>
        <w:t>sobreposición</w:t>
      </w:r>
      <w:proofErr w:type="spellEnd"/>
      <w:r w:rsidRPr="00B221F3">
        <w:rPr>
          <w:rFonts w:ascii="Palatino Linotype" w:eastAsia="Palatino Linotype" w:hAnsi="Palatino Linotype" w:cs="Palatino Linotype"/>
          <w:i/>
          <w:sz w:val="22"/>
          <w:szCs w:val="22"/>
        </w:rPr>
        <w:t xml:space="preserve"> de contenido distinto al autorizado por el Comité.</w:t>
      </w:r>
    </w:p>
    <w:p w:rsidR="00856830" w:rsidRPr="00B221F3" w:rsidRDefault="00856830" w:rsidP="00856830">
      <w:pPr>
        <w:spacing w:before="120" w:after="12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 xml:space="preserve">En el caso </w:t>
      </w:r>
      <w:proofErr w:type="spellStart"/>
      <w:r w:rsidRPr="00B221F3">
        <w:rPr>
          <w:rFonts w:ascii="Palatino Linotype" w:eastAsia="Palatino Linotype" w:hAnsi="Palatino Linotype" w:cs="Palatino Linotype"/>
          <w:i/>
          <w:sz w:val="22"/>
          <w:szCs w:val="22"/>
        </w:rPr>
        <w:t>especifico</w:t>
      </w:r>
      <w:proofErr w:type="spellEnd"/>
      <w:r w:rsidRPr="00B221F3">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rsidR="00856830" w:rsidRPr="00B221F3" w:rsidRDefault="00856830" w:rsidP="00856830">
      <w:pPr>
        <w:spacing w:before="120" w:after="120"/>
        <w:ind w:left="1134"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w:t>
      </w:r>
      <w:r w:rsidRPr="00B221F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856830" w:rsidRPr="00B221F3" w:rsidRDefault="00856830" w:rsidP="00856830">
      <w:pPr>
        <w:spacing w:before="120" w:after="120"/>
        <w:ind w:left="1134"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II.</w:t>
      </w:r>
      <w:r w:rsidRPr="00B221F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856830" w:rsidRPr="00B221F3" w:rsidRDefault="00856830" w:rsidP="00856830">
      <w:pPr>
        <w:spacing w:before="120" w:after="120"/>
        <w:ind w:left="1134"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III.</w:t>
      </w:r>
      <w:r w:rsidRPr="00B221F3">
        <w:rPr>
          <w:rFonts w:ascii="Palatino Linotype" w:eastAsia="Palatino Linotype" w:hAnsi="Palatino Linotype" w:cs="Palatino Linotype"/>
          <w:i/>
          <w:sz w:val="22"/>
          <w:szCs w:val="22"/>
        </w:rPr>
        <w:t xml:space="preserve"> Señalar las personas o instancias autorizadas a acceder a la información clasificada.</w:t>
      </w:r>
    </w:p>
    <w:p w:rsidR="00856830" w:rsidRPr="00B221F3" w:rsidRDefault="00856830" w:rsidP="00856830">
      <w:pPr>
        <w:spacing w:before="120" w:after="120"/>
        <w:ind w:left="851" w:right="900"/>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856830" w:rsidRPr="00B221F3" w:rsidRDefault="00856830" w:rsidP="00856830">
      <w:pPr>
        <w:spacing w:before="240" w:after="240" w:line="360" w:lineRule="auto"/>
        <w:ind w:right="50"/>
        <w:jc w:val="both"/>
        <w:rPr>
          <w:rFonts w:ascii="Palatino Linotype" w:eastAsia="Palatino Linotype" w:hAnsi="Palatino Linotype" w:cs="Palatino Linotype"/>
          <w:sz w:val="22"/>
          <w:szCs w:val="22"/>
        </w:rPr>
      </w:pPr>
      <w:r w:rsidRPr="00B221F3">
        <w:rPr>
          <w:rFonts w:ascii="Palatino Linotype" w:eastAsia="Palatino Linotype" w:hAnsi="Palatino Linotype" w:cs="Palatino Linotype"/>
        </w:rPr>
        <w:t xml:space="preserve">Deberá observar el Lineamiento Quincuagésimo tercero de los Lineamientos Generales en Materia de Clasificación y Desclasificación de la Información </w:t>
      </w:r>
      <w:proofErr w:type="spellStart"/>
      <w:r w:rsidRPr="00B221F3">
        <w:rPr>
          <w:rFonts w:ascii="Palatino Linotype" w:eastAsia="Palatino Linotype" w:hAnsi="Palatino Linotype" w:cs="Palatino Linotype"/>
        </w:rPr>
        <w:lastRenderedPageBreak/>
        <w:t>supraindicados</w:t>
      </w:r>
      <w:proofErr w:type="spellEnd"/>
      <w:r w:rsidRPr="00B221F3">
        <w:rPr>
          <w:rFonts w:ascii="Palatino Linotype" w:eastAsia="Palatino Linotype" w:hAnsi="Palatino Linotype" w:cs="Palatino Linotype"/>
        </w:rPr>
        <w:t xml:space="preserve">, que establece los formatos para la clasificación de los documentos, conforme a lo siguiente: </w:t>
      </w:r>
    </w:p>
    <w:p w:rsidR="00856830" w:rsidRPr="00B221F3" w:rsidRDefault="00856830" w:rsidP="00856830">
      <w:pPr>
        <w:ind w:left="851" w:right="900"/>
        <w:jc w:val="center"/>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CAPÍTULO VIII</w:t>
      </w:r>
    </w:p>
    <w:p w:rsidR="00856830" w:rsidRPr="00B221F3" w:rsidRDefault="00856830" w:rsidP="00856830">
      <w:pPr>
        <w:ind w:left="851" w:right="900"/>
        <w:jc w:val="center"/>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sz w:val="22"/>
          <w:szCs w:val="22"/>
        </w:rPr>
        <w:t xml:space="preserve">DE LOS ELEMENTOS PARA LA CLASIFICACIÓN </w:t>
      </w:r>
    </w:p>
    <w:p w:rsidR="00856830" w:rsidRPr="00B221F3" w:rsidRDefault="00856830" w:rsidP="00856830">
      <w:pPr>
        <w:ind w:left="851" w:right="900"/>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b/>
          <w:i/>
          <w:sz w:val="22"/>
          <w:szCs w:val="22"/>
        </w:rPr>
        <w:t xml:space="preserve">Quincuagésimo tercero. </w:t>
      </w:r>
      <w:r w:rsidRPr="00B221F3">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B221F3">
        <w:rPr>
          <w:rFonts w:ascii="Palatino Linotype" w:eastAsia="Palatino Linotype" w:hAnsi="Palatino Linotype" w:cs="Palatino Linotype"/>
          <w:b/>
          <w:i/>
          <w:sz w:val="22"/>
          <w:szCs w:val="22"/>
        </w:rPr>
        <w:t xml:space="preserve">, </w:t>
      </w:r>
      <w:r w:rsidRPr="00B221F3">
        <w:rPr>
          <w:rFonts w:ascii="Palatino Linotype" w:eastAsia="Palatino Linotype" w:hAnsi="Palatino Linotype" w:cs="Palatino Linotype"/>
          <w:i/>
          <w:sz w:val="22"/>
          <w:szCs w:val="22"/>
        </w:rPr>
        <w:t xml:space="preserve">es el siguiente: </w:t>
      </w:r>
    </w:p>
    <w:p w:rsidR="00856830" w:rsidRPr="00B221F3" w:rsidRDefault="00856830" w:rsidP="00856830">
      <w:pPr>
        <w:spacing w:before="120" w:after="120"/>
        <w:ind w:left="851" w:right="90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noProof/>
          <w:sz w:val="22"/>
          <w:szCs w:val="22"/>
          <w:lang w:eastAsia="es-MX"/>
        </w:rPr>
        <w:drawing>
          <wp:inline distT="0" distB="0" distL="0" distR="0" wp14:anchorId="379A65E3" wp14:editId="394381F8">
            <wp:extent cx="4295775" cy="2952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rsidR="00856830" w:rsidRPr="00B221F3" w:rsidRDefault="00856830" w:rsidP="00856830">
      <w:pPr>
        <w:spacing w:before="120" w:after="120"/>
        <w:ind w:left="851" w:right="90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noProof/>
          <w:sz w:val="22"/>
          <w:szCs w:val="22"/>
          <w:lang w:eastAsia="es-MX"/>
        </w:rPr>
        <w:drawing>
          <wp:inline distT="0" distB="0" distL="0" distR="0" wp14:anchorId="6DDDCC06" wp14:editId="70E90693">
            <wp:extent cx="4333875" cy="775252"/>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23">
                      <a:extLst>
                        <a:ext uri="{28A0092B-C50C-407E-A947-70E740481C1C}">
                          <a14:useLocalDpi xmlns:a14="http://schemas.microsoft.com/office/drawing/2010/main" val="0"/>
                        </a:ext>
                      </a:extLst>
                    </a:blip>
                    <a:srcRect t="30908" b="57868"/>
                    <a:stretch/>
                  </pic:blipFill>
                  <pic:spPr bwMode="auto">
                    <a:xfrm>
                      <a:off x="0" y="0"/>
                      <a:ext cx="4333875" cy="775252"/>
                    </a:xfrm>
                    <a:prstGeom prst="rect">
                      <a:avLst/>
                    </a:prstGeom>
                    <a:noFill/>
                    <a:ln>
                      <a:noFill/>
                    </a:ln>
                    <a:extLst>
                      <a:ext uri="{53640926-AAD7-44D8-BBD7-CCE9431645EC}">
                        <a14:shadowObscured xmlns:a14="http://schemas.microsoft.com/office/drawing/2010/main"/>
                      </a:ext>
                    </a:extLst>
                  </pic:spPr>
                </pic:pic>
              </a:graphicData>
            </a:graphic>
          </wp:inline>
        </w:drawing>
      </w:r>
    </w:p>
    <w:p w:rsidR="00856830" w:rsidRPr="00B221F3" w:rsidRDefault="00856830" w:rsidP="00856830">
      <w:pPr>
        <w:spacing w:before="120" w:after="120"/>
        <w:ind w:left="851" w:right="902"/>
        <w:jc w:val="both"/>
        <w:rPr>
          <w:rFonts w:ascii="Palatino Linotype" w:eastAsia="Palatino Linotype" w:hAnsi="Palatino Linotype" w:cs="Palatino Linotype"/>
          <w:b/>
          <w:i/>
          <w:sz w:val="22"/>
          <w:szCs w:val="22"/>
        </w:rPr>
      </w:pPr>
      <w:r w:rsidRPr="00B221F3">
        <w:rPr>
          <w:rFonts w:ascii="Palatino Linotype" w:eastAsia="Palatino Linotype" w:hAnsi="Palatino Linotype" w:cs="Palatino Linotype"/>
          <w:b/>
          <w:i/>
          <w:noProof/>
          <w:sz w:val="22"/>
          <w:szCs w:val="22"/>
          <w:lang w:eastAsia="es-MX"/>
        </w:rPr>
        <w:drawing>
          <wp:inline distT="0" distB="0" distL="0" distR="0" wp14:anchorId="36AE341B" wp14:editId="5411CFA4">
            <wp:extent cx="4330700" cy="396561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23">
                      <a:extLst>
                        <a:ext uri="{28A0092B-C50C-407E-A947-70E740481C1C}">
                          <a14:useLocalDpi xmlns:a14="http://schemas.microsoft.com/office/drawing/2010/main" val="0"/>
                        </a:ext>
                      </a:extLst>
                    </a:blip>
                    <a:srcRect t="41711" b="833"/>
                    <a:stretch/>
                  </pic:blipFill>
                  <pic:spPr bwMode="auto">
                    <a:xfrm>
                      <a:off x="0" y="0"/>
                      <a:ext cx="4333875" cy="3968523"/>
                    </a:xfrm>
                    <a:prstGeom prst="rect">
                      <a:avLst/>
                    </a:prstGeom>
                    <a:noFill/>
                    <a:ln>
                      <a:noFill/>
                    </a:ln>
                    <a:extLst>
                      <a:ext uri="{53640926-AAD7-44D8-BBD7-CCE9431645EC}">
                        <a14:shadowObscured xmlns:a14="http://schemas.microsoft.com/office/drawing/2010/main"/>
                      </a:ext>
                    </a:extLst>
                  </pic:spPr>
                </pic:pic>
              </a:graphicData>
            </a:graphic>
          </wp:inline>
        </w:drawing>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lastRenderedPageBreak/>
        <w:t>Los documentos que integren un expediente reservado en su totalidad no deberán marcarse en lo individual.</w:t>
      </w:r>
    </w:p>
    <w:p w:rsidR="00856830" w:rsidRPr="00B221F3" w:rsidRDefault="00856830" w:rsidP="00856830">
      <w:pPr>
        <w:spacing w:before="120" w:after="120"/>
        <w:ind w:left="851" w:right="902"/>
        <w:jc w:val="both"/>
        <w:rPr>
          <w:rFonts w:ascii="Palatino Linotype" w:eastAsia="Palatino Linotype" w:hAnsi="Palatino Linotype" w:cs="Palatino Linotype"/>
          <w:i/>
          <w:sz w:val="22"/>
          <w:szCs w:val="22"/>
        </w:rPr>
      </w:pPr>
      <w:r w:rsidRPr="00B221F3">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Asimismo, deberá observar los Lineamientos Quincuagésimo sexto, Quincuagésimo séptimo y Quincuagésimo octavo, establecen lo siguiente:</w:t>
      </w:r>
    </w:p>
    <w:p w:rsidR="00856830" w:rsidRPr="00B221F3" w:rsidRDefault="00856830" w:rsidP="00856830">
      <w:pPr>
        <w:spacing w:before="120" w:after="120"/>
        <w:ind w:left="851" w:right="902"/>
        <w:jc w:val="both"/>
        <w:rPr>
          <w:rFonts w:ascii="Palatino Linotype" w:hAnsi="Palatino Linotype"/>
          <w:i/>
          <w:iCs/>
          <w:sz w:val="22"/>
          <w:szCs w:val="22"/>
        </w:rPr>
      </w:pPr>
      <w:r w:rsidRPr="00B221F3">
        <w:rPr>
          <w:rFonts w:ascii="Palatino Linotype" w:hAnsi="Palatino Linotype"/>
          <w:i/>
          <w:iCs/>
          <w:sz w:val="22"/>
          <w:szCs w:val="22"/>
        </w:rPr>
        <w:t>“</w:t>
      </w:r>
      <w:r w:rsidRPr="00B221F3">
        <w:rPr>
          <w:rFonts w:ascii="Palatino Linotype" w:hAnsi="Palatino Linotype"/>
          <w:b/>
          <w:bCs/>
          <w:i/>
          <w:iCs/>
          <w:sz w:val="22"/>
          <w:szCs w:val="22"/>
        </w:rPr>
        <w:t>Quincuagésimo sexto</w:t>
      </w:r>
      <w:r w:rsidRPr="00B221F3">
        <w:rPr>
          <w:rFonts w:ascii="Palatino Linotype" w:hAnsi="Palatino Linotype"/>
          <w:i/>
          <w:iCs/>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856830" w:rsidRPr="00B221F3" w:rsidRDefault="00856830" w:rsidP="00856830">
      <w:pPr>
        <w:spacing w:before="120" w:after="120"/>
        <w:ind w:left="851" w:right="902"/>
        <w:jc w:val="both"/>
        <w:rPr>
          <w:rFonts w:ascii="Palatino Linotype" w:hAnsi="Palatino Linotype"/>
          <w:i/>
          <w:iCs/>
          <w:sz w:val="22"/>
          <w:szCs w:val="22"/>
        </w:rPr>
      </w:pPr>
      <w:r w:rsidRPr="00B221F3">
        <w:rPr>
          <w:rFonts w:ascii="Palatino Linotype" w:hAnsi="Palatino Linotype"/>
          <w:b/>
          <w:bCs/>
          <w:i/>
          <w:iCs/>
          <w:sz w:val="22"/>
          <w:szCs w:val="22"/>
        </w:rPr>
        <w:t>Quincuagésimo séptimo</w:t>
      </w:r>
      <w:r w:rsidRPr="00B221F3">
        <w:rPr>
          <w:rFonts w:ascii="Palatino Linotype" w:hAnsi="Palatino Linotype"/>
          <w:i/>
          <w:iCs/>
          <w:sz w:val="22"/>
          <w:szCs w:val="22"/>
        </w:rPr>
        <w:t xml:space="preserve">. Se considera, en principio, como información pública y no podrá omitirse de las versiones públicas la siguiente: </w:t>
      </w:r>
    </w:p>
    <w:p w:rsidR="00856830" w:rsidRPr="00B221F3" w:rsidRDefault="00856830" w:rsidP="00856830">
      <w:pPr>
        <w:spacing w:before="120" w:after="120"/>
        <w:ind w:left="1134" w:right="902"/>
        <w:jc w:val="both"/>
        <w:rPr>
          <w:rFonts w:ascii="Palatino Linotype" w:hAnsi="Palatino Linotype"/>
          <w:i/>
          <w:iCs/>
          <w:sz w:val="22"/>
          <w:szCs w:val="22"/>
        </w:rPr>
      </w:pPr>
      <w:r w:rsidRPr="00B221F3">
        <w:rPr>
          <w:rFonts w:ascii="Palatino Linotype" w:hAnsi="Palatino Linotype"/>
          <w:b/>
          <w:bCs/>
          <w:i/>
          <w:iCs/>
          <w:sz w:val="22"/>
          <w:szCs w:val="22"/>
        </w:rPr>
        <w:t>I</w:t>
      </w:r>
      <w:r w:rsidRPr="00B221F3">
        <w:rPr>
          <w:rFonts w:ascii="Palatino Linotype" w:hAnsi="Palatino Linotype"/>
          <w:i/>
          <w:iCs/>
          <w:sz w:val="22"/>
          <w:szCs w:val="22"/>
        </w:rPr>
        <w:t xml:space="preserve">. La relativa a las Obligaciones de Transparencia que contempla el Título V de la Ley General y las demás disposiciones legales aplicables; </w:t>
      </w:r>
    </w:p>
    <w:p w:rsidR="00856830" w:rsidRPr="00B221F3" w:rsidRDefault="00856830" w:rsidP="00856830">
      <w:pPr>
        <w:spacing w:before="120" w:after="120"/>
        <w:ind w:left="1134" w:right="902"/>
        <w:jc w:val="both"/>
        <w:rPr>
          <w:rFonts w:ascii="Palatino Linotype" w:eastAsia="Palatino Linotype" w:hAnsi="Palatino Linotype" w:cs="Palatino Linotype"/>
          <w:i/>
          <w:iCs/>
          <w:sz w:val="22"/>
          <w:szCs w:val="22"/>
        </w:rPr>
      </w:pPr>
      <w:r w:rsidRPr="00B221F3">
        <w:rPr>
          <w:rFonts w:ascii="Palatino Linotype" w:hAnsi="Palatino Linotype"/>
          <w:b/>
          <w:bCs/>
          <w:i/>
          <w:iCs/>
          <w:sz w:val="22"/>
          <w:szCs w:val="22"/>
        </w:rPr>
        <w:t>II.</w:t>
      </w:r>
      <w:r w:rsidRPr="00B221F3">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856830" w:rsidRPr="00B221F3" w:rsidRDefault="00856830" w:rsidP="00856830">
      <w:pPr>
        <w:spacing w:before="120" w:after="120"/>
        <w:ind w:left="1134" w:right="902"/>
        <w:jc w:val="both"/>
        <w:rPr>
          <w:rFonts w:ascii="Palatino Linotype" w:hAnsi="Palatino Linotype"/>
          <w:i/>
          <w:iCs/>
          <w:sz w:val="22"/>
          <w:szCs w:val="22"/>
        </w:rPr>
      </w:pPr>
      <w:r w:rsidRPr="00B221F3">
        <w:rPr>
          <w:rFonts w:ascii="Palatino Linotype" w:hAnsi="Palatino Linotype"/>
          <w:b/>
          <w:bCs/>
          <w:i/>
          <w:iCs/>
          <w:sz w:val="22"/>
          <w:szCs w:val="22"/>
        </w:rPr>
        <w:t>III</w:t>
      </w:r>
      <w:r w:rsidRPr="00B221F3">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856830" w:rsidRPr="00B221F3" w:rsidRDefault="00856830" w:rsidP="00856830">
      <w:pPr>
        <w:spacing w:before="120" w:after="120"/>
        <w:ind w:left="851" w:right="902"/>
        <w:jc w:val="both"/>
        <w:rPr>
          <w:rFonts w:ascii="Palatino Linotype" w:eastAsia="Palatino Linotype" w:hAnsi="Palatino Linotype" w:cs="Palatino Linotype"/>
          <w:i/>
          <w:iCs/>
          <w:sz w:val="22"/>
          <w:szCs w:val="22"/>
        </w:rPr>
      </w:pPr>
      <w:r w:rsidRPr="00B221F3">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B221F3">
        <w:rPr>
          <w:rFonts w:ascii="Palatino Linotype" w:eastAsia="Palatino Linotype" w:hAnsi="Palatino Linotype" w:cs="Palatino Linotype"/>
          <w:i/>
          <w:iCs/>
          <w:sz w:val="22"/>
          <w:szCs w:val="22"/>
        </w:rPr>
        <w:t xml:space="preserve"> </w:t>
      </w:r>
    </w:p>
    <w:p w:rsidR="00856830" w:rsidRPr="00B221F3" w:rsidRDefault="00856830" w:rsidP="00856830">
      <w:pPr>
        <w:spacing w:before="120" w:after="120"/>
        <w:ind w:left="851" w:right="902"/>
        <w:jc w:val="both"/>
        <w:rPr>
          <w:rFonts w:ascii="Palatino Linotype" w:eastAsia="Palatino Linotype" w:hAnsi="Palatino Linotype" w:cs="Palatino Linotype"/>
          <w:i/>
          <w:iCs/>
          <w:sz w:val="22"/>
          <w:szCs w:val="22"/>
        </w:rPr>
      </w:pPr>
      <w:r w:rsidRPr="00B221F3">
        <w:rPr>
          <w:rFonts w:ascii="Palatino Linotype" w:hAnsi="Palatino Linotype"/>
          <w:b/>
          <w:bCs/>
          <w:i/>
          <w:iCs/>
          <w:sz w:val="22"/>
          <w:szCs w:val="22"/>
        </w:rPr>
        <w:t>Quincuagésimo octavo</w:t>
      </w:r>
      <w:r w:rsidRPr="00B221F3">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rsidR="00856830" w:rsidRPr="00B221F3" w:rsidRDefault="00856830" w:rsidP="0085683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w:t>
      </w:r>
      <w:r w:rsidRPr="00B221F3">
        <w:rPr>
          <w:rFonts w:ascii="Palatino Linotype" w:eastAsia="Palatino Linotype" w:hAnsi="Palatino Linotype" w:cs="Palatino Linotype"/>
        </w:rPr>
        <w:lastRenderedPageBreak/>
        <w:t xml:space="preserve">debe estar debidamente fundado y motivado, en el que se expongan los fundamentos y razonamientos que llevaron al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46B25" w:rsidRPr="00B221F3" w:rsidRDefault="00682350">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B221F3">
        <w:rPr>
          <w:rFonts w:ascii="Palatino Linotype" w:eastAsia="Palatino Linotype" w:hAnsi="Palatino Linotype" w:cs="Palatino Linotype"/>
          <w:b/>
        </w:rPr>
        <w:t>III. R E S U E L V E:</w:t>
      </w:r>
    </w:p>
    <w:p w:rsidR="00B46B25" w:rsidRPr="00B221F3" w:rsidRDefault="00682350">
      <w:pPr>
        <w:spacing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Primero. </w:t>
      </w:r>
      <w:r w:rsidRPr="00B221F3">
        <w:rPr>
          <w:rFonts w:ascii="Palatino Linotype" w:eastAsia="Palatino Linotype" w:hAnsi="Palatino Linotype" w:cs="Palatino Linotype"/>
        </w:rPr>
        <w:t xml:space="preserve">Resultan </w:t>
      </w:r>
      <w:r w:rsidRPr="00B221F3">
        <w:rPr>
          <w:rFonts w:ascii="Palatino Linotype" w:eastAsia="Palatino Linotype" w:hAnsi="Palatino Linotype" w:cs="Palatino Linotype"/>
          <w:b/>
        </w:rPr>
        <w:t>fundados</w:t>
      </w:r>
      <w:r w:rsidRPr="00B221F3">
        <w:rPr>
          <w:rFonts w:ascii="Palatino Linotype" w:eastAsia="Palatino Linotype" w:hAnsi="Palatino Linotype" w:cs="Palatino Linotype"/>
        </w:rPr>
        <w:t xml:space="preserve"> los motivos de inconformidad hechos valer por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en los recursos de revisión </w:t>
      </w:r>
      <w:r w:rsidR="00856830" w:rsidRPr="00B221F3">
        <w:rPr>
          <w:rFonts w:ascii="Palatino Linotype" w:eastAsia="Palatino Linotype" w:hAnsi="Palatino Linotype" w:cs="Palatino Linotype"/>
          <w:b/>
        </w:rPr>
        <w:t>16184/INFOEM/IP/RR/2022, 16185/INFOEM/IP/RR/2022, 16186/INFOEM/IP/RR/2022, 16187/INFOEM/IP/RR/2022,</w:t>
      </w:r>
      <w:r w:rsidR="00280104" w:rsidRPr="00B221F3">
        <w:rPr>
          <w:rFonts w:ascii="Palatino Linotype" w:eastAsia="Palatino Linotype" w:hAnsi="Palatino Linotype" w:cs="Palatino Linotype"/>
          <w:b/>
        </w:rPr>
        <w:t xml:space="preserve"> 16188/INFOEM/IP/RR/2022</w:t>
      </w:r>
      <w:r w:rsidR="00856830" w:rsidRPr="00B221F3">
        <w:rPr>
          <w:rFonts w:ascii="Palatino Linotype" w:eastAsia="Palatino Linotype" w:hAnsi="Palatino Linotype" w:cs="Palatino Linotype"/>
          <w:b/>
        </w:rPr>
        <w:t xml:space="preserve"> 16189/INFOEM/IP/RR/2022, 16190/INFOEM/IP/RR</w:t>
      </w:r>
      <w:r w:rsidR="00280104" w:rsidRPr="00B221F3">
        <w:rPr>
          <w:rFonts w:ascii="Palatino Linotype" w:eastAsia="Palatino Linotype" w:hAnsi="Palatino Linotype" w:cs="Palatino Linotype"/>
          <w:b/>
        </w:rPr>
        <w:t>/2022. 16191/INFOEM/IP/RR/2022,</w:t>
      </w:r>
      <w:r w:rsidR="00856830" w:rsidRPr="00B221F3">
        <w:rPr>
          <w:rFonts w:ascii="Palatino Linotype" w:eastAsia="Palatino Linotype" w:hAnsi="Palatino Linotype" w:cs="Palatino Linotype"/>
        </w:rPr>
        <w:t xml:space="preserve"> </w:t>
      </w:r>
      <w:r w:rsidR="00856830" w:rsidRPr="00B221F3">
        <w:rPr>
          <w:rFonts w:ascii="Palatino Linotype" w:eastAsia="Palatino Linotype" w:hAnsi="Palatino Linotype" w:cs="Palatino Linotype"/>
          <w:b/>
        </w:rPr>
        <w:t>16192/INFOEM/IP/RR/2022</w:t>
      </w:r>
      <w:r w:rsidR="00280104" w:rsidRPr="00B221F3">
        <w:rPr>
          <w:rFonts w:ascii="Palatino Linotype" w:eastAsia="Palatino Linotype" w:hAnsi="Palatino Linotype" w:cs="Palatino Linotype"/>
          <w:b/>
        </w:rPr>
        <w:t xml:space="preserve"> y 16193/INFOEM/IP/RR/2022</w:t>
      </w:r>
      <w:r w:rsidRPr="00B221F3">
        <w:rPr>
          <w:rFonts w:ascii="Palatino Linotype" w:eastAsia="Palatino Linotype" w:hAnsi="Palatino Linotype" w:cs="Palatino Linotype"/>
          <w:b/>
        </w:rPr>
        <w:t>,</w:t>
      </w:r>
      <w:r w:rsidR="00280104" w:rsidRPr="00B221F3">
        <w:rPr>
          <w:rFonts w:ascii="Palatino Linotype" w:eastAsia="Palatino Linotype" w:hAnsi="Palatino Linotype" w:cs="Palatino Linotype"/>
          <w:b/>
        </w:rPr>
        <w:t xml:space="preserve"> </w:t>
      </w:r>
      <w:r w:rsidRPr="00B221F3">
        <w:rPr>
          <w:rFonts w:ascii="Palatino Linotype" w:eastAsia="Palatino Linotype" w:hAnsi="Palatino Linotype" w:cs="Palatino Linotype"/>
        </w:rPr>
        <w:t xml:space="preserve">por lo que, en términos del Considerando </w:t>
      </w:r>
      <w:r w:rsidRPr="00B221F3">
        <w:rPr>
          <w:rFonts w:ascii="Palatino Linotype" w:eastAsia="Palatino Linotype" w:hAnsi="Palatino Linotype" w:cs="Palatino Linotype"/>
          <w:b/>
        </w:rPr>
        <w:t>Cuarto</w:t>
      </w:r>
      <w:r w:rsidRPr="00B221F3">
        <w:rPr>
          <w:rFonts w:ascii="Palatino Linotype" w:eastAsia="Palatino Linotype" w:hAnsi="Palatino Linotype" w:cs="Palatino Linotype"/>
        </w:rPr>
        <w:t xml:space="preserve"> de la presente resolución, se</w:t>
      </w:r>
      <w:r w:rsidRPr="00B221F3">
        <w:rPr>
          <w:rFonts w:ascii="Palatino Linotype" w:eastAsia="Palatino Linotype" w:hAnsi="Palatino Linotype" w:cs="Palatino Linotype"/>
          <w:b/>
        </w:rPr>
        <w:t xml:space="preserve"> </w:t>
      </w:r>
      <w:r w:rsidR="00856830" w:rsidRPr="00B221F3">
        <w:rPr>
          <w:rFonts w:ascii="Palatino Linotype" w:eastAsia="Palatino Linotype" w:hAnsi="Palatino Linotype" w:cs="Palatino Linotype"/>
          <w:b/>
        </w:rPr>
        <w:t xml:space="preserve">Revocan </w:t>
      </w:r>
      <w:r w:rsidRPr="00B221F3">
        <w:rPr>
          <w:rFonts w:ascii="Palatino Linotype" w:eastAsia="Palatino Linotype" w:hAnsi="Palatino Linotype" w:cs="Palatino Linotype"/>
        </w:rPr>
        <w:t>la</w:t>
      </w:r>
      <w:r w:rsidR="00856830" w:rsidRPr="00B221F3">
        <w:rPr>
          <w:rFonts w:ascii="Palatino Linotype" w:eastAsia="Palatino Linotype" w:hAnsi="Palatino Linotype" w:cs="Palatino Linotype"/>
        </w:rPr>
        <w:t>s</w:t>
      </w:r>
      <w:r w:rsidRPr="00B221F3">
        <w:rPr>
          <w:rFonts w:ascii="Palatino Linotype" w:eastAsia="Palatino Linotype" w:hAnsi="Palatino Linotype" w:cs="Palatino Linotype"/>
        </w:rPr>
        <w:t xml:space="preserve"> respuesta</w:t>
      </w:r>
      <w:r w:rsidR="00856830" w:rsidRPr="00B221F3">
        <w:rPr>
          <w:rFonts w:ascii="Palatino Linotype" w:eastAsia="Palatino Linotype" w:hAnsi="Palatino Linotype" w:cs="Palatino Linotype"/>
        </w:rPr>
        <w:t>s</w:t>
      </w:r>
      <w:r w:rsidRPr="00B221F3">
        <w:rPr>
          <w:rFonts w:ascii="Palatino Linotype" w:eastAsia="Palatino Linotype" w:hAnsi="Palatino Linotype" w:cs="Palatino Linotype"/>
        </w:rPr>
        <w:t xml:space="preserve"> emitida por el </w:t>
      </w:r>
      <w:r w:rsidRPr="00B221F3">
        <w:rPr>
          <w:rFonts w:ascii="Palatino Linotype" w:eastAsia="Palatino Linotype" w:hAnsi="Palatino Linotype" w:cs="Palatino Linotype"/>
          <w:b/>
        </w:rPr>
        <w:t>Sujeto Obliga</w:t>
      </w:r>
      <w:r w:rsidR="00856830" w:rsidRPr="00B221F3">
        <w:rPr>
          <w:rFonts w:ascii="Palatino Linotype" w:eastAsia="Palatino Linotype" w:hAnsi="Palatino Linotype" w:cs="Palatino Linotype"/>
          <w:b/>
        </w:rPr>
        <w:t>do.</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lastRenderedPageBreak/>
        <w:t>Segundo</w:t>
      </w:r>
      <w:r w:rsidRPr="00B221F3">
        <w:rPr>
          <w:rFonts w:ascii="Palatino Linotype" w:eastAsia="Palatino Linotype" w:hAnsi="Palatino Linotype" w:cs="Palatino Linotype"/>
        </w:rPr>
        <w:t xml:space="preserve"> Se </w:t>
      </w:r>
      <w:r w:rsidRPr="00B221F3">
        <w:rPr>
          <w:rFonts w:ascii="Palatino Linotype" w:eastAsia="Palatino Linotype" w:hAnsi="Palatino Linotype" w:cs="Palatino Linotype"/>
          <w:b/>
        </w:rPr>
        <w:t>Ordena</w:t>
      </w:r>
      <w:r w:rsidRPr="00B221F3">
        <w:rPr>
          <w:rFonts w:ascii="Palatino Linotype" w:eastAsia="Palatino Linotype" w:hAnsi="Palatino Linotype" w:cs="Palatino Linotype"/>
        </w:rPr>
        <w:t xml:space="preserve"> al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en términos de los Considerandos </w:t>
      </w:r>
      <w:r w:rsidRPr="00B221F3">
        <w:rPr>
          <w:rFonts w:ascii="Palatino Linotype" w:eastAsia="Palatino Linotype" w:hAnsi="Palatino Linotype" w:cs="Palatino Linotype"/>
          <w:b/>
        </w:rPr>
        <w:t xml:space="preserve">Cuarto </w:t>
      </w:r>
      <w:r w:rsidRPr="00B221F3">
        <w:rPr>
          <w:rFonts w:ascii="Palatino Linotype" w:eastAsia="Palatino Linotype" w:hAnsi="Palatino Linotype" w:cs="Palatino Linotype"/>
        </w:rPr>
        <w:t xml:space="preserve">y </w:t>
      </w:r>
      <w:r w:rsidRPr="00B221F3">
        <w:rPr>
          <w:rFonts w:ascii="Palatino Linotype" w:eastAsia="Palatino Linotype" w:hAnsi="Palatino Linotype" w:cs="Palatino Linotype"/>
          <w:b/>
        </w:rPr>
        <w:t xml:space="preserve">Quinto </w:t>
      </w:r>
      <w:r w:rsidRPr="00B221F3">
        <w:rPr>
          <w:rFonts w:ascii="Palatino Linotype" w:eastAsia="Palatino Linotype" w:hAnsi="Palatino Linotype" w:cs="Palatino Linotype"/>
        </w:rPr>
        <w:t>de esta resolución, haga entrega, vía SAIMEX, en versión pública de ser procedente, de lo siguiente:</w:t>
      </w:r>
    </w:p>
    <w:p w:rsidR="00B46B25" w:rsidRPr="00B221F3" w:rsidRDefault="00682350" w:rsidP="00856830">
      <w:pPr>
        <w:spacing w:before="240" w:after="240" w:line="360" w:lineRule="auto"/>
        <w:ind w:left="284"/>
        <w:jc w:val="both"/>
        <w:rPr>
          <w:rFonts w:ascii="Palatino Linotype" w:eastAsia="Palatino Linotype" w:hAnsi="Palatino Linotype" w:cs="Palatino Linotype"/>
        </w:rPr>
      </w:pPr>
      <w:bookmarkStart w:id="6" w:name="_heading=h.2s8eyo1" w:colFirst="0" w:colLast="0"/>
      <w:bookmarkEnd w:id="6"/>
      <w:r w:rsidRPr="00B221F3">
        <w:rPr>
          <w:rFonts w:ascii="Palatino Linotype" w:eastAsia="Palatino Linotype" w:hAnsi="Palatino Linotype" w:cs="Palatino Linotype"/>
        </w:rPr>
        <w:t xml:space="preserve">1. </w:t>
      </w:r>
      <w:r w:rsidR="00856830" w:rsidRPr="00B221F3">
        <w:rPr>
          <w:rFonts w:ascii="Palatino Linotype" w:eastAsia="Palatino Linotype" w:hAnsi="Palatino Linotype" w:cs="Palatino Linotype"/>
        </w:rPr>
        <w:t xml:space="preserve">Todas las facturas pagadas por la Tesorería Municipal del uno de enero al diez de octubre de dos mil veintidós, acompañadas del documento comprobatorio del pago correspondiente. </w:t>
      </w:r>
    </w:p>
    <w:p w:rsidR="00856830" w:rsidRPr="00B221F3" w:rsidRDefault="00856830" w:rsidP="00856830">
      <w:pPr>
        <w:ind w:left="284" w:right="49"/>
        <w:jc w:val="both"/>
        <w:rPr>
          <w:rFonts w:ascii="Palatino Linotype" w:eastAsia="Palatino Linotype" w:hAnsi="Palatino Linotype" w:cs="Palatino Linotype"/>
          <w:i/>
          <w:sz w:val="20"/>
          <w:szCs w:val="20"/>
        </w:rPr>
      </w:pPr>
      <w:bookmarkStart w:id="7" w:name="_heading=h.3rdcrjn" w:colFirst="0" w:colLast="0"/>
      <w:bookmarkEnd w:id="7"/>
      <w:r w:rsidRPr="00B221F3">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B221F3">
        <w:rPr>
          <w:rFonts w:ascii="Palatino Linotype" w:eastAsia="Palatino Linotype" w:hAnsi="Palatino Linotype" w:cs="Palatino Linotype"/>
          <w:b/>
          <w:i/>
          <w:sz w:val="20"/>
          <w:szCs w:val="20"/>
        </w:rPr>
        <w:t>Recurrente</w:t>
      </w:r>
      <w:r w:rsidRPr="00B221F3">
        <w:rPr>
          <w:rFonts w:ascii="Palatino Linotype" w:eastAsia="Palatino Linotype" w:hAnsi="Palatino Linotype" w:cs="Palatino Linotype"/>
          <w:i/>
          <w:sz w:val="20"/>
          <w:szCs w:val="20"/>
        </w:rPr>
        <w:t>, mismo que igualmente hará de su conocimiento.</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Tercero. Notifíquese, </w:t>
      </w:r>
      <w:r w:rsidRPr="00B221F3">
        <w:rPr>
          <w:rFonts w:ascii="Palatino Linotype" w:eastAsia="Palatino Linotype" w:hAnsi="Palatino Linotype" w:cs="Palatino Linotype"/>
        </w:rPr>
        <w:t>vía</w:t>
      </w:r>
      <w:r w:rsidRPr="00B221F3">
        <w:rPr>
          <w:rFonts w:ascii="Palatino Linotype" w:eastAsia="Palatino Linotype" w:hAnsi="Palatino Linotype" w:cs="Palatino Linotype"/>
          <w:b/>
        </w:rPr>
        <w:t xml:space="preserve"> SAIMEX, </w:t>
      </w:r>
      <w:r w:rsidRPr="00B221F3">
        <w:rPr>
          <w:rFonts w:ascii="Palatino Linotype" w:eastAsia="Palatino Linotype" w:hAnsi="Palatino Linotype" w:cs="Palatino Linotype"/>
        </w:rPr>
        <w:t>al Titular de la Unidad de Transparencia del</w:t>
      </w:r>
      <w:r w:rsidRPr="00B221F3">
        <w:rPr>
          <w:rFonts w:ascii="Palatino Linotype" w:eastAsia="Palatino Linotype" w:hAnsi="Palatino Linotype" w:cs="Palatino Linotype"/>
          <w:b/>
        </w:rPr>
        <w:t xml:space="preserve"> Sujeto Obligado, </w:t>
      </w:r>
      <w:r w:rsidRPr="00B221F3">
        <w:rPr>
          <w:rFonts w:ascii="Palatino Linotype" w:eastAsia="Palatino Linotype" w:hAnsi="Palatino Linotype" w:cs="Palatino Linotype"/>
        </w:rPr>
        <w:t>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B221F3">
        <w:rPr>
          <w:rFonts w:ascii="Palatino Linotype" w:eastAsia="Palatino Linotype" w:hAnsi="Palatino Linotype" w:cs="Palatino Linotype"/>
        </w:rPr>
        <w:lastRenderedPageBreak/>
        <w:t xml:space="preserve">procedente, el </w:t>
      </w:r>
      <w:r w:rsidRPr="00B221F3">
        <w:rPr>
          <w:rFonts w:ascii="Palatino Linotype" w:eastAsia="Palatino Linotype" w:hAnsi="Palatino Linotype" w:cs="Palatino Linotype"/>
          <w:b/>
        </w:rPr>
        <w:t>Sujeto Obligado</w:t>
      </w:r>
      <w:r w:rsidRPr="00B221F3">
        <w:rPr>
          <w:rFonts w:ascii="Palatino Linotype" w:eastAsia="Palatino Linotype" w:hAnsi="Palatino Linotype" w:cs="Palatino Linotype"/>
        </w:rPr>
        <w:t xml:space="preserve"> de manera fundada y motivada, podrá solicitar una ampliación de plazo para el cumplimiento de la presente resolución.</w:t>
      </w:r>
    </w:p>
    <w:p w:rsidR="00B46B25" w:rsidRPr="00B221F3" w:rsidRDefault="00682350">
      <w:pPr>
        <w:spacing w:before="240" w:after="240" w:line="360" w:lineRule="auto"/>
        <w:jc w:val="both"/>
        <w:rPr>
          <w:rFonts w:ascii="Palatino Linotype" w:eastAsia="Palatino Linotype" w:hAnsi="Palatino Linotype" w:cs="Palatino Linotype"/>
        </w:rPr>
      </w:pPr>
      <w:r w:rsidRPr="00B221F3">
        <w:rPr>
          <w:rFonts w:ascii="Palatino Linotype" w:eastAsia="Palatino Linotype" w:hAnsi="Palatino Linotype" w:cs="Palatino Linotype"/>
          <w:b/>
        </w:rPr>
        <w:t xml:space="preserve">Cuarto.  Notifíquese, </w:t>
      </w:r>
      <w:r w:rsidRPr="00B221F3">
        <w:rPr>
          <w:rFonts w:ascii="Palatino Linotype" w:eastAsia="Palatino Linotype" w:hAnsi="Palatino Linotype" w:cs="Palatino Linotype"/>
        </w:rPr>
        <w:t xml:space="preserve">vía </w:t>
      </w:r>
      <w:r w:rsidRPr="00B221F3">
        <w:rPr>
          <w:rFonts w:ascii="Palatino Linotype" w:eastAsia="Palatino Linotype" w:hAnsi="Palatino Linotype" w:cs="Palatino Linotype"/>
          <w:b/>
        </w:rPr>
        <w:t>SAIMEX</w:t>
      </w:r>
      <w:r w:rsidRPr="00B221F3">
        <w:rPr>
          <w:rFonts w:ascii="Palatino Linotype" w:eastAsia="Palatino Linotype" w:hAnsi="Palatino Linotype" w:cs="Palatino Linotype"/>
        </w:rPr>
        <w:t xml:space="preserve">, a la parte </w:t>
      </w:r>
      <w:r w:rsidRPr="00B221F3">
        <w:rPr>
          <w:rFonts w:ascii="Palatino Linotype" w:eastAsia="Palatino Linotype" w:hAnsi="Palatino Linotype" w:cs="Palatino Linotype"/>
          <w:b/>
        </w:rPr>
        <w:t>Recurrente</w:t>
      </w:r>
      <w:r w:rsidRPr="00B221F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46B25" w:rsidRPr="00B221F3" w:rsidRDefault="00682350">
      <w:pPr>
        <w:spacing w:line="360" w:lineRule="auto"/>
        <w:ind w:right="49"/>
        <w:jc w:val="both"/>
        <w:rPr>
          <w:rFonts w:ascii="Palatino Linotype" w:eastAsia="Palatino Linotype" w:hAnsi="Palatino Linotype" w:cs="Palatino Linotype"/>
        </w:rPr>
      </w:pPr>
      <w:r w:rsidRPr="00B221F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3521" w:rsidRPr="00B221F3">
        <w:rPr>
          <w:rFonts w:ascii="Palatino Linotype" w:eastAsia="Palatino Linotype" w:hAnsi="Palatino Linotype" w:cs="Palatino Linotype"/>
        </w:rPr>
        <w:t>,</w:t>
      </w:r>
      <w:r w:rsidRPr="00B221F3">
        <w:rPr>
          <w:rFonts w:ascii="Palatino Linotype" w:eastAsia="Palatino Linotype" w:hAnsi="Palatino Linotype" w:cs="Palatino Linotype"/>
        </w:rPr>
        <w:t xml:space="preserve"> EN LA </w:t>
      </w:r>
      <w:r w:rsidR="00856830" w:rsidRPr="00B221F3">
        <w:rPr>
          <w:rFonts w:ascii="Palatino Linotype" w:eastAsia="Palatino Linotype" w:hAnsi="Palatino Linotype" w:cs="Palatino Linotype"/>
        </w:rPr>
        <w:t xml:space="preserve">VIGÉSIMO SEGUNDA SESIÓN ORDINARIA, CELEBRADA EL CATORCE DE JUNIO </w:t>
      </w:r>
      <w:r w:rsidRPr="00B221F3">
        <w:rPr>
          <w:rFonts w:ascii="Palatino Linotype" w:eastAsia="Palatino Linotype" w:hAnsi="Palatino Linotype" w:cs="Palatino Linotype"/>
        </w:rPr>
        <w:t>DE DOS MIL VEINTITRÉS, ANTE EL SECRETARIO TÉCNICO DEL PLENO ALEXIS TAPIA RAMÍREZ.</w:t>
      </w:r>
    </w:p>
    <w:p w:rsidR="00E33521" w:rsidRPr="00B221F3" w:rsidRDefault="00E33521">
      <w:pPr>
        <w:spacing w:line="360" w:lineRule="auto"/>
        <w:ind w:right="49"/>
        <w:jc w:val="both"/>
        <w:rPr>
          <w:rFonts w:ascii="Palatino Linotype" w:eastAsia="Palatino Linotype" w:hAnsi="Palatino Linotype" w:cs="Palatino Linotype"/>
        </w:rPr>
        <w:sectPr w:rsidR="00E33521" w:rsidRPr="00B221F3">
          <w:headerReference w:type="default" r:id="rId24"/>
          <w:footerReference w:type="default" r:id="rId25"/>
          <w:headerReference w:type="first" r:id="rId26"/>
          <w:footerReference w:type="first" r:id="rId27"/>
          <w:pgSz w:w="12240" w:h="15840"/>
          <w:pgMar w:top="1985" w:right="1701" w:bottom="1701" w:left="1701" w:header="709" w:footer="709" w:gutter="0"/>
          <w:pgNumType w:start="1"/>
          <w:cols w:space="720"/>
          <w:titlePg/>
        </w:sectPr>
      </w:pPr>
      <w:r w:rsidRPr="00B221F3">
        <w:rPr>
          <w:rFonts w:ascii="Palatino Linotype" w:eastAsia="Palatino Linotype" w:hAnsi="Palatino Linotype" w:cs="Palatino Linotype"/>
          <w:noProof/>
          <w:lang w:eastAsia="es-MX"/>
        </w:rPr>
        <mc:AlternateContent>
          <mc:Choice Requires="wps">
            <w:drawing>
              <wp:anchor distT="0" distB="0" distL="114300" distR="114300" simplePos="0" relativeHeight="251661312" behindDoc="0" locked="0" layoutInCell="1" allowOverlap="1" wp14:anchorId="4A57ACA1" wp14:editId="20868577">
                <wp:simplePos x="0" y="0"/>
                <wp:positionH relativeFrom="margin">
                  <wp:align>right</wp:align>
                </wp:positionH>
                <wp:positionV relativeFrom="paragraph">
                  <wp:posOffset>5081</wp:posOffset>
                </wp:positionV>
                <wp:extent cx="5591175" cy="2095500"/>
                <wp:effectExtent l="19050" t="19050" r="28575" b="19050"/>
                <wp:wrapNone/>
                <wp:docPr id="11" name="Conector recto 11"/>
                <wp:cNvGraphicFramePr/>
                <a:graphic xmlns:a="http://schemas.openxmlformats.org/drawingml/2006/main">
                  <a:graphicData uri="http://schemas.microsoft.com/office/word/2010/wordprocessingShape">
                    <wps:wsp>
                      <wps:cNvCnPr/>
                      <wps:spPr>
                        <a:xfrm>
                          <a:off x="0" y="0"/>
                          <a:ext cx="5591175" cy="2095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0657E" id="Conector recto 1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4pt" to="829.3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" strokecolor="black [3200]" strokeweight="2.25pt">
                <v:stroke joinstyle="miter"/>
                <w10:wrap anchorx="margin"/>
              </v:line>
            </w:pict>
          </mc:Fallback>
        </mc:AlternateContent>
      </w:r>
    </w:p>
    <w:p w:rsidR="00B46B25" w:rsidRPr="00B221F3" w:rsidRDefault="00B46B25">
      <w:pPr>
        <w:tabs>
          <w:tab w:val="left" w:pos="709"/>
        </w:tabs>
        <w:spacing w:before="240" w:after="240" w:line="360" w:lineRule="auto"/>
        <w:jc w:val="both"/>
        <w:rPr>
          <w:rFonts w:ascii="Palatino Linotype" w:eastAsia="Palatino Linotype" w:hAnsi="Palatino Linotype" w:cs="Palatino Linotype"/>
        </w:rPr>
      </w:pPr>
    </w:p>
    <w:p w:rsidR="00B46B25" w:rsidRPr="00B221F3" w:rsidRDefault="00B46B25">
      <w:pPr>
        <w:rPr>
          <w:rFonts w:ascii="Palatino Linotype" w:eastAsia="Palatino Linotype" w:hAnsi="Palatino Linotype" w:cs="Palatino Linotype"/>
        </w:rPr>
      </w:pPr>
      <w:bookmarkStart w:id="8" w:name="_heading=h.tyjcwt" w:colFirst="0" w:colLast="0"/>
      <w:bookmarkEnd w:id="8"/>
    </w:p>
    <w:p w:rsidR="00B46B25" w:rsidRPr="00B221F3" w:rsidRDefault="00B46B25">
      <w:pPr>
        <w:rPr>
          <w:rFonts w:ascii="Palatino Linotype" w:eastAsia="Palatino Linotype" w:hAnsi="Palatino Linotype" w:cs="Palatino Linotype"/>
        </w:rPr>
      </w:pPr>
    </w:p>
    <w:sectPr w:rsidR="00B46B25" w:rsidRPr="00B221F3">
      <w:headerReference w:type="first" r:id="rId28"/>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80" w:rsidRDefault="00730380">
      <w:r>
        <w:separator/>
      </w:r>
    </w:p>
  </w:endnote>
  <w:endnote w:type="continuationSeparator" w:id="0">
    <w:p w:rsidR="00730380" w:rsidRDefault="0073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50" w:rsidRDefault="006823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21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219">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682350" w:rsidRDefault="00682350">
    <w:pPr>
      <w:pBdr>
        <w:top w:val="nil"/>
        <w:left w:val="nil"/>
        <w:bottom w:val="nil"/>
        <w:right w:val="nil"/>
        <w:between w:val="nil"/>
      </w:pBdr>
      <w:tabs>
        <w:tab w:val="center" w:pos="4252"/>
        <w:tab w:val="right" w:pos="8504"/>
      </w:tabs>
      <w:rPr>
        <w:color w:val="000000"/>
      </w:rPr>
    </w:pPr>
  </w:p>
  <w:p w:rsidR="00682350" w:rsidRDefault="0068235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50" w:rsidRDefault="0068235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7021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70219">
      <w:rPr>
        <w:rFonts w:ascii="Arial" w:eastAsia="Arial" w:hAnsi="Arial" w:cs="Arial"/>
        <w:b/>
        <w:noProof/>
        <w:color w:val="000000"/>
        <w:sz w:val="20"/>
        <w:szCs w:val="20"/>
      </w:rPr>
      <w:t>47</w:t>
    </w:r>
    <w:r>
      <w:rPr>
        <w:rFonts w:ascii="Arial" w:eastAsia="Arial" w:hAnsi="Arial" w:cs="Arial"/>
        <w:b/>
        <w:color w:val="000000"/>
        <w:sz w:val="20"/>
        <w:szCs w:val="20"/>
      </w:rPr>
      <w:fldChar w:fldCharType="end"/>
    </w:r>
  </w:p>
  <w:p w:rsidR="00682350" w:rsidRDefault="0068235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80" w:rsidRDefault="00730380">
      <w:r>
        <w:separator/>
      </w:r>
    </w:p>
  </w:footnote>
  <w:footnote w:type="continuationSeparator" w:id="0">
    <w:p w:rsidR="00730380" w:rsidRDefault="00730380">
      <w:r>
        <w:continuationSeparator/>
      </w:r>
    </w:p>
  </w:footnote>
  <w:footnote w:id="1">
    <w:p w:rsidR="00F01495" w:rsidRPr="00312A0A" w:rsidRDefault="00F01495" w:rsidP="00F0149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12A0A">
        <w:rPr>
          <w:rFonts w:ascii="Palatino Linotype" w:hAnsi="Palatino Linotype"/>
          <w:sz w:val="16"/>
          <w:szCs w:val="16"/>
          <w:vertAlign w:val="superscript"/>
        </w:rPr>
        <w:footnoteRef/>
      </w:r>
      <w:r w:rsidRPr="00312A0A">
        <w:rPr>
          <w:rFonts w:ascii="Palatino Linotype" w:eastAsia="Palatino Linotype" w:hAnsi="Palatino Linotype" w:cs="Palatino Linotype"/>
          <w:color w:val="000000"/>
          <w:sz w:val="16"/>
          <w:szCs w:val="16"/>
        </w:rPr>
        <w:t xml:space="preserve"> “</w:t>
      </w:r>
      <w:r w:rsidRPr="00312A0A">
        <w:rPr>
          <w:rFonts w:ascii="Palatino Linotype" w:eastAsia="Palatino Linotype" w:hAnsi="Palatino Linotype" w:cs="Palatino Linotype"/>
          <w:b/>
          <w:color w:val="000000"/>
          <w:sz w:val="16"/>
          <w:szCs w:val="16"/>
        </w:rPr>
        <w:t>Artículo 185.</w:t>
      </w:r>
      <w:r w:rsidRPr="00312A0A">
        <w:rPr>
          <w:rFonts w:ascii="Palatino Linotype" w:eastAsia="Palatino Linotype" w:hAnsi="Palatino Linotype" w:cs="Palatino Linotype"/>
          <w:color w:val="000000"/>
          <w:sz w:val="16"/>
          <w:szCs w:val="16"/>
        </w:rPr>
        <w:t xml:space="preserve"> El Instituto resolverá el recurso de revisión conforme a lo siguiente: (…)</w:t>
      </w:r>
    </w:p>
    <w:p w:rsidR="00F01495" w:rsidRPr="00312A0A" w:rsidRDefault="00F01495" w:rsidP="00F0149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12A0A">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F01495" w:rsidRPr="00312A0A" w:rsidRDefault="00F01495" w:rsidP="00F01495">
      <w:pPr>
        <w:pStyle w:val="Textonotapie"/>
        <w:jc w:val="both"/>
        <w:rPr>
          <w:rFonts w:ascii="Palatino Linotype" w:hAnsi="Palatino Linotype"/>
          <w:sz w:val="16"/>
          <w:szCs w:val="16"/>
        </w:rPr>
      </w:pPr>
      <w:r w:rsidRPr="00312A0A">
        <w:rPr>
          <w:rStyle w:val="Refdenotaalpie"/>
          <w:rFonts w:ascii="Palatino Linotype" w:hAnsi="Palatino Linotype"/>
          <w:sz w:val="16"/>
          <w:szCs w:val="16"/>
        </w:rPr>
        <w:footnoteRef/>
      </w:r>
      <w:r w:rsidRPr="00312A0A">
        <w:rPr>
          <w:rFonts w:ascii="Palatino Linotype" w:hAnsi="Palatino Linotype"/>
          <w:sz w:val="16"/>
          <w:szCs w:val="16"/>
        </w:rPr>
        <w:t xml:space="preserve"> Artículo 53. Las Unidades de Transparencia tendrán las siguientes funciones:</w:t>
      </w:r>
    </w:p>
    <w:p w:rsidR="00F01495" w:rsidRPr="00312A0A" w:rsidRDefault="00F01495" w:rsidP="00F01495">
      <w:pPr>
        <w:pStyle w:val="Textonotapie"/>
        <w:jc w:val="both"/>
        <w:rPr>
          <w:rFonts w:ascii="Palatino Linotype" w:hAnsi="Palatino Linotype"/>
          <w:sz w:val="16"/>
          <w:szCs w:val="16"/>
        </w:rPr>
      </w:pPr>
      <w:r w:rsidRPr="00312A0A">
        <w:rPr>
          <w:rFonts w:ascii="Palatino Linotype" w:hAnsi="Palatino Linotype"/>
          <w:sz w:val="16"/>
          <w:szCs w:val="16"/>
        </w:rPr>
        <w:t>II. Recibir, tramitar y dar respuesta a las solicitudes de acceso a la información;</w:t>
      </w:r>
    </w:p>
    <w:p w:rsidR="00F01495" w:rsidRPr="00312A0A" w:rsidRDefault="00F01495" w:rsidP="00F01495">
      <w:pPr>
        <w:pStyle w:val="Textonotapie"/>
        <w:jc w:val="both"/>
        <w:rPr>
          <w:rFonts w:ascii="Palatino Linotype" w:hAnsi="Palatino Linotype"/>
          <w:sz w:val="16"/>
          <w:szCs w:val="16"/>
        </w:rPr>
      </w:pPr>
      <w:r w:rsidRPr="00312A0A">
        <w:rPr>
          <w:rFonts w:ascii="Palatino Linotype" w:hAnsi="Palatino Linotype"/>
          <w:sz w:val="16"/>
          <w:szCs w:val="16"/>
        </w:rPr>
        <w:t>IV. Realizar, con efectividad, los trámites internos necesarios para la atención de las solicitudes de acceso a la información;</w:t>
      </w:r>
    </w:p>
  </w:footnote>
  <w:footnote w:id="3">
    <w:p w:rsidR="00F01495" w:rsidRPr="00312A0A" w:rsidRDefault="00F01495" w:rsidP="00F01495">
      <w:pPr>
        <w:pStyle w:val="Textonotapie"/>
        <w:jc w:val="both"/>
        <w:rPr>
          <w:rFonts w:ascii="Palatino Linotype" w:hAnsi="Palatino Linotype"/>
          <w:sz w:val="16"/>
          <w:szCs w:val="16"/>
        </w:rPr>
      </w:pPr>
      <w:r w:rsidRPr="00312A0A">
        <w:rPr>
          <w:rStyle w:val="Refdenotaalpie"/>
          <w:rFonts w:ascii="Palatino Linotype" w:hAnsi="Palatino Linotype"/>
          <w:sz w:val="16"/>
          <w:szCs w:val="16"/>
        </w:rPr>
        <w:footnoteRef/>
      </w:r>
      <w:r w:rsidRPr="00312A0A">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856830" w:rsidRPr="00312A0A" w:rsidRDefault="00856830" w:rsidP="00856830">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312A0A">
        <w:rPr>
          <w:vertAlign w:val="superscript"/>
        </w:rPr>
        <w:footnoteRef/>
      </w:r>
      <w:r w:rsidRPr="00312A0A">
        <w:rPr>
          <w:rFonts w:ascii="Palatino Linotype" w:eastAsia="Palatino Linotype" w:hAnsi="Palatino Linotype" w:cs="Palatino Linotype"/>
          <w:color w:val="000000"/>
          <w:sz w:val="16"/>
          <w:szCs w:val="16"/>
        </w:rPr>
        <w:t xml:space="preserve"> Consultable en: </w:t>
      </w:r>
    </w:p>
    <w:p w:rsidR="00856830" w:rsidRPr="00312A0A" w:rsidRDefault="00270219" w:rsidP="00856830">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856830" w:rsidRPr="00312A0A">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856830" w:rsidRPr="00312A0A">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50" w:rsidRDefault="00682350">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1943672A" wp14:editId="49D985E8">
          <wp:simplePos x="0" y="0"/>
          <wp:positionH relativeFrom="column">
            <wp:posOffset>-990590</wp:posOffset>
          </wp:positionH>
          <wp:positionV relativeFrom="paragraph">
            <wp:posOffset>-412741</wp:posOffset>
          </wp:positionV>
          <wp:extent cx="7635163" cy="9944100"/>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6"/>
      <w:tblW w:w="5812" w:type="dxa"/>
      <w:tblInd w:w="3119" w:type="dxa"/>
      <w:tblLayout w:type="fixed"/>
      <w:tblLook w:val="0400" w:firstRow="0" w:lastRow="0" w:firstColumn="0" w:lastColumn="0" w:noHBand="0" w:noVBand="1"/>
    </w:tblPr>
    <w:tblGrid>
      <w:gridCol w:w="2694"/>
      <w:gridCol w:w="3118"/>
    </w:tblGrid>
    <w:tr w:rsidR="00682350">
      <w:tc>
        <w:tcPr>
          <w:tcW w:w="2694"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682350" w:rsidRDefault="00682350" w:rsidP="00D57A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16184/INFOEM/IP/RR/2022 y acumulados</w:t>
          </w:r>
        </w:p>
      </w:tc>
    </w:tr>
    <w:tr w:rsidR="00682350">
      <w:trPr>
        <w:trHeight w:val="228"/>
      </w:trPr>
      <w:tc>
        <w:tcPr>
          <w:tcW w:w="2694"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682350" w:rsidRDefault="00682350">
          <w:pPr>
            <w:jc w:val="both"/>
            <w:rPr>
              <w:rFonts w:ascii="Palatino Linotype" w:eastAsia="Palatino Linotype" w:hAnsi="Palatino Linotype" w:cs="Palatino Linotype"/>
              <w:b/>
              <w:sz w:val="22"/>
              <w:szCs w:val="22"/>
            </w:rPr>
          </w:pPr>
          <w:r w:rsidRPr="00D57AF3">
            <w:rPr>
              <w:rFonts w:ascii="Palatino Linotype" w:eastAsia="Palatino Linotype" w:hAnsi="Palatino Linotype" w:cs="Palatino Linotype"/>
              <w:b/>
              <w:sz w:val="22"/>
              <w:szCs w:val="22"/>
            </w:rPr>
            <w:t>Ayuntamiento de Cuautitlán</w:t>
          </w:r>
        </w:p>
      </w:tc>
    </w:tr>
    <w:tr w:rsidR="00682350">
      <w:tc>
        <w:tcPr>
          <w:tcW w:w="2694"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682350" w:rsidRDefault="0068235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82350" w:rsidRDefault="0068235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50" w:rsidRDefault="0068235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5"/>
      <w:tblW w:w="5953" w:type="dxa"/>
      <w:tblInd w:w="3119" w:type="dxa"/>
      <w:tblLayout w:type="fixed"/>
      <w:tblLook w:val="0400" w:firstRow="0" w:lastRow="0" w:firstColumn="0" w:lastColumn="0" w:noHBand="0" w:noVBand="1"/>
    </w:tblPr>
    <w:tblGrid>
      <w:gridCol w:w="2551"/>
      <w:gridCol w:w="3402"/>
    </w:tblGrid>
    <w:tr w:rsidR="00682350">
      <w:tc>
        <w:tcPr>
          <w:tcW w:w="2551"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rsidR="00682350" w:rsidRDefault="00682350" w:rsidP="00D57A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16184/INFOEM/IP/RR/2022 y acumulados</w:t>
          </w:r>
        </w:p>
      </w:tc>
    </w:tr>
    <w:tr w:rsidR="00682350">
      <w:tc>
        <w:tcPr>
          <w:tcW w:w="2551" w:type="dxa"/>
          <w:vAlign w:val="center"/>
        </w:tcPr>
        <w:p w:rsidR="00682350" w:rsidRDefault="0068235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rsidR="00682350" w:rsidRDefault="00270219" w:rsidP="0027021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 XXXXXX</w:t>
          </w:r>
          <w:r w:rsidR="00682350">
            <w:rPr>
              <w:noProof/>
              <w:lang w:eastAsia="es-MX"/>
            </w:rPr>
            <w:drawing>
              <wp:anchor distT="0" distB="0" distL="0" distR="0" simplePos="0" relativeHeight="251659264" behindDoc="1" locked="0" layoutInCell="1" hidden="0" allowOverlap="1" wp14:anchorId="38F2F258" wp14:editId="5B47E45F">
                <wp:simplePos x="0" y="0"/>
                <wp:positionH relativeFrom="column">
                  <wp:posOffset>-4685661</wp:posOffset>
                </wp:positionH>
                <wp:positionV relativeFrom="paragraph">
                  <wp:posOffset>-913759</wp:posOffset>
                </wp:positionV>
                <wp:extent cx="7635240" cy="9942830"/>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682350">
      <w:trPr>
        <w:trHeight w:val="228"/>
      </w:trPr>
      <w:tc>
        <w:tcPr>
          <w:tcW w:w="2551"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rsidR="00682350" w:rsidRDefault="00682350" w:rsidP="00D57AF3">
          <w:pPr>
            <w:jc w:val="both"/>
            <w:rPr>
              <w:rFonts w:ascii="Palatino Linotype" w:eastAsia="Palatino Linotype" w:hAnsi="Palatino Linotype" w:cs="Palatino Linotype"/>
              <w:b/>
              <w:sz w:val="22"/>
              <w:szCs w:val="22"/>
            </w:rPr>
          </w:pPr>
          <w:r w:rsidRPr="00D57AF3">
            <w:rPr>
              <w:rFonts w:ascii="Palatino Linotype" w:eastAsia="Palatino Linotype" w:hAnsi="Palatino Linotype" w:cs="Palatino Linotype"/>
              <w:b/>
              <w:sz w:val="22"/>
              <w:szCs w:val="22"/>
            </w:rPr>
            <w:t>Ayuntamiento de Cuautitlán</w:t>
          </w:r>
        </w:p>
      </w:tc>
    </w:tr>
    <w:tr w:rsidR="00682350">
      <w:tc>
        <w:tcPr>
          <w:tcW w:w="2551" w:type="dxa"/>
          <w:vAlign w:val="center"/>
        </w:tcPr>
        <w:p w:rsidR="00682350" w:rsidRDefault="0068235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rsidR="00682350" w:rsidRDefault="0068235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82350" w:rsidRDefault="0068235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350" w:rsidRDefault="0068235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682350" w:rsidRDefault="0068235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82686"/>
    <w:multiLevelType w:val="multilevel"/>
    <w:tmpl w:val="3EDCEF5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F8E716B"/>
    <w:multiLevelType w:val="multilevel"/>
    <w:tmpl w:val="A712DA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25"/>
    <w:rsid w:val="00000DD8"/>
    <w:rsid w:val="0003565D"/>
    <w:rsid w:val="000E0460"/>
    <w:rsid w:val="000E63D1"/>
    <w:rsid w:val="00195432"/>
    <w:rsid w:val="001B0E4F"/>
    <w:rsid w:val="001D4A31"/>
    <w:rsid w:val="001D524B"/>
    <w:rsid w:val="00226990"/>
    <w:rsid w:val="002615C1"/>
    <w:rsid w:val="00264BC4"/>
    <w:rsid w:val="00270219"/>
    <w:rsid w:val="00280104"/>
    <w:rsid w:val="00290CA4"/>
    <w:rsid w:val="00291377"/>
    <w:rsid w:val="002C4524"/>
    <w:rsid w:val="002E67C5"/>
    <w:rsid w:val="00312A0A"/>
    <w:rsid w:val="0032116C"/>
    <w:rsid w:val="00327ED0"/>
    <w:rsid w:val="003749D7"/>
    <w:rsid w:val="003847F2"/>
    <w:rsid w:val="004936C5"/>
    <w:rsid w:val="004A2810"/>
    <w:rsid w:val="00592A0B"/>
    <w:rsid w:val="00634E26"/>
    <w:rsid w:val="00637062"/>
    <w:rsid w:val="00657C10"/>
    <w:rsid w:val="00682350"/>
    <w:rsid w:val="00704B53"/>
    <w:rsid w:val="00730380"/>
    <w:rsid w:val="007946ED"/>
    <w:rsid w:val="00856830"/>
    <w:rsid w:val="00876783"/>
    <w:rsid w:val="008863BA"/>
    <w:rsid w:val="008D6BEA"/>
    <w:rsid w:val="008E0C09"/>
    <w:rsid w:val="008E3C49"/>
    <w:rsid w:val="008E5B9E"/>
    <w:rsid w:val="009C75B6"/>
    <w:rsid w:val="009E60A6"/>
    <w:rsid w:val="00A06846"/>
    <w:rsid w:val="00A16FA8"/>
    <w:rsid w:val="00A41742"/>
    <w:rsid w:val="00AB5773"/>
    <w:rsid w:val="00AC13F5"/>
    <w:rsid w:val="00B00A28"/>
    <w:rsid w:val="00B221F3"/>
    <w:rsid w:val="00B23FFE"/>
    <w:rsid w:val="00B46B25"/>
    <w:rsid w:val="00C9033B"/>
    <w:rsid w:val="00CF7E2C"/>
    <w:rsid w:val="00D21F94"/>
    <w:rsid w:val="00D3541F"/>
    <w:rsid w:val="00D554CD"/>
    <w:rsid w:val="00D57AF3"/>
    <w:rsid w:val="00DF1703"/>
    <w:rsid w:val="00E33521"/>
    <w:rsid w:val="00E4417B"/>
    <w:rsid w:val="00EA5C5C"/>
    <w:rsid w:val="00EB67B5"/>
    <w:rsid w:val="00EF7519"/>
    <w:rsid w:val="00F01495"/>
    <w:rsid w:val="00F070E3"/>
    <w:rsid w:val="00F13284"/>
    <w:rsid w:val="00FA1F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5C61F-4D9F-4EF5-B836-C7DCB0F9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15" w:type="dxa"/>
        <w:bottom w:w="0" w:type="dxa"/>
        <w:right w:w="115" w:type="dxa"/>
      </w:tblCellMar>
    </w:tblPr>
  </w:style>
  <w:style w:type="table" w:customStyle="1" w:styleId="a0">
    <w:basedOn w:val="TableNormal6"/>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6"/>
    <w:tblPr>
      <w:tblStyleRowBandSize w:val="1"/>
      <w:tblStyleColBandSize w:val="1"/>
      <w:tblCellMar>
        <w:top w:w="0" w:type="dxa"/>
        <w:left w:w="108" w:type="dxa"/>
        <w:bottom w:w="0" w:type="dxa"/>
        <w:right w:w="108" w:type="dxa"/>
      </w:tblCellMar>
    </w:tblPr>
  </w:style>
  <w:style w:type="table" w:customStyle="1" w:styleId="a2">
    <w:basedOn w:val="TableNormal6"/>
    <w:tblPr>
      <w:tblStyleRowBandSize w:val="1"/>
      <w:tblStyleColBandSize w:val="1"/>
      <w:tblCellMar>
        <w:top w:w="0" w:type="dxa"/>
        <w:left w:w="108" w:type="dxa"/>
        <w:bottom w:w="0" w:type="dxa"/>
        <w:right w:w="108"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rPr>
      <w:rFonts w:ascii="Calibri" w:eastAsia="Calibri" w:hAnsi="Calibri" w:cs="Calibri"/>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15" w:type="dxa"/>
        <w:bottom w:w="0" w:type="dxa"/>
        <w:right w:w="115" w:type="dxa"/>
      </w:tblCellMar>
    </w:tblPr>
  </w:style>
  <w:style w:type="table" w:customStyle="1" w:styleId="afe">
    <w:basedOn w:val="TableNormal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EPVASv4fq1mBhAlmtf7Ug+Yw==">CgMxLjAyCWguMzBqMHpsbDIIaC5namRneHMyCWguMmV0OTJwMDIJaC4yNmluMXJnMgloLjJzOGV5bzEyCWguM3JkY3JqbjIIaC50eWpjd3Q4AHIhMWpoV3N2S0hkLW9MLVAwRjl5RjM3X19iZ0VtWUdmV2ZZ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4B75D-779B-456D-B0D3-027472C5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10661</Words>
  <Characters>58640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2023-06-16T17:00:00Z</cp:lastPrinted>
  <dcterms:created xsi:type="dcterms:W3CDTF">2023-06-28T22:37:00Z</dcterms:created>
  <dcterms:modified xsi:type="dcterms:W3CDTF">2023-06-28T22:37:00Z</dcterms:modified>
</cp:coreProperties>
</file>