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DD072" w14:textId="77777777" w:rsidR="00905E09" w:rsidRPr="008E4418" w:rsidRDefault="00CE232F">
      <w:pPr>
        <w:spacing w:before="240" w:after="240" w:line="360" w:lineRule="auto"/>
        <w:jc w:val="both"/>
        <w:rPr>
          <w:rFonts w:ascii="Palatino Linotype" w:eastAsia="Palatino Linotype" w:hAnsi="Palatino Linotype" w:cs="Palatino Linotype"/>
          <w:b/>
        </w:rPr>
      </w:pPr>
      <w:r w:rsidRPr="008E441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seis de noviembre de dos mil veinticuatro. </w:t>
      </w:r>
    </w:p>
    <w:p w14:paraId="34926AE0" w14:textId="7572DA41"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b/>
        </w:rPr>
        <w:t>VISTO</w:t>
      </w:r>
      <w:r w:rsidRPr="008E4418">
        <w:rPr>
          <w:rFonts w:ascii="Palatino Linotype" w:eastAsia="Palatino Linotype" w:hAnsi="Palatino Linotype" w:cs="Palatino Linotype"/>
        </w:rPr>
        <w:t xml:space="preserve"> el expediente formado con motivo del recurso de revisión </w:t>
      </w:r>
      <w:r w:rsidRPr="008E4418">
        <w:rPr>
          <w:rFonts w:ascii="Palatino Linotype" w:eastAsia="Palatino Linotype" w:hAnsi="Palatino Linotype" w:cs="Palatino Linotype"/>
          <w:b/>
        </w:rPr>
        <w:t>05789/INFOEM/IP/RR/2024</w:t>
      </w:r>
      <w:r w:rsidRPr="008E4418">
        <w:rPr>
          <w:rFonts w:ascii="Palatino Linotype" w:eastAsia="Palatino Linotype" w:hAnsi="Palatino Linotype" w:cs="Palatino Linotype"/>
        </w:rPr>
        <w:t>, interpuesto por</w:t>
      </w:r>
      <w:r w:rsidRPr="008E4418">
        <w:rPr>
          <w:rFonts w:ascii="Palatino Linotype" w:eastAsia="Palatino Linotype" w:hAnsi="Palatino Linotype" w:cs="Palatino Linotype"/>
          <w:b/>
        </w:rPr>
        <w:t xml:space="preserve"> </w:t>
      </w:r>
      <w:r w:rsidR="00816945" w:rsidRPr="00816945">
        <w:rPr>
          <w:rFonts w:ascii="Palatino Linotype" w:eastAsia="Palatino Linotype" w:hAnsi="Palatino Linotype" w:cs="Palatino Linotype"/>
          <w:b/>
        </w:rPr>
        <w:t>XXXXXXX XX X</w:t>
      </w:r>
      <w:r w:rsidRPr="008E4418">
        <w:rPr>
          <w:rFonts w:ascii="Palatino Linotype" w:eastAsia="Palatino Linotype" w:hAnsi="Palatino Linotype" w:cs="Palatino Linotype"/>
          <w:b/>
        </w:rPr>
        <w:t>,</w:t>
      </w:r>
      <w:r w:rsidRPr="008E4418">
        <w:rPr>
          <w:rFonts w:ascii="Palatino Linotype" w:eastAsia="Palatino Linotype" w:hAnsi="Palatino Linotype" w:cs="Palatino Linotype"/>
        </w:rPr>
        <w:t xml:space="preserve"> en lo sucesivo</w:t>
      </w:r>
      <w:r w:rsidRPr="008E4418">
        <w:rPr>
          <w:rFonts w:ascii="Palatino Linotype" w:eastAsia="Palatino Linotype" w:hAnsi="Palatino Linotype" w:cs="Palatino Linotype"/>
          <w:b/>
        </w:rPr>
        <w:t xml:space="preserve"> </w:t>
      </w:r>
      <w:r w:rsidRPr="008E4418">
        <w:rPr>
          <w:rFonts w:ascii="Palatino Linotype" w:eastAsia="Palatino Linotype" w:hAnsi="Palatino Linotype" w:cs="Palatino Linotype"/>
        </w:rPr>
        <w:t xml:space="preserve">la parte </w:t>
      </w:r>
      <w:r w:rsidRPr="008E4418">
        <w:rPr>
          <w:rFonts w:ascii="Palatino Linotype" w:eastAsia="Palatino Linotype" w:hAnsi="Palatino Linotype" w:cs="Palatino Linotype"/>
          <w:b/>
        </w:rPr>
        <w:t>Recurrente,</w:t>
      </w:r>
      <w:r w:rsidRPr="008E4418">
        <w:rPr>
          <w:rFonts w:ascii="Palatino Linotype" w:eastAsia="Palatino Linotype" w:hAnsi="Palatino Linotype" w:cs="Palatino Linotype"/>
        </w:rPr>
        <w:t xml:space="preserve"> en contra de la falta de respuesta a la solicitud de información con número de folio </w:t>
      </w:r>
      <w:r w:rsidRPr="008E4418">
        <w:rPr>
          <w:rFonts w:ascii="Palatino Linotype" w:eastAsia="Palatino Linotype" w:hAnsi="Palatino Linotype" w:cs="Palatino Linotype"/>
          <w:b/>
        </w:rPr>
        <w:t xml:space="preserve">00218/LAPAZ/IP/2024, </w:t>
      </w:r>
      <w:r w:rsidRPr="008E4418">
        <w:rPr>
          <w:rFonts w:ascii="Palatino Linotype" w:eastAsia="Palatino Linotype" w:hAnsi="Palatino Linotype" w:cs="Palatino Linotype"/>
        </w:rPr>
        <w:t xml:space="preserve">por parte del </w:t>
      </w:r>
      <w:r w:rsidRPr="008E4418">
        <w:rPr>
          <w:rFonts w:ascii="Palatino Linotype" w:eastAsia="Palatino Linotype" w:hAnsi="Palatino Linotype" w:cs="Palatino Linotype"/>
          <w:b/>
        </w:rPr>
        <w:t xml:space="preserve">Ayuntamiento de la Paz, </w:t>
      </w:r>
      <w:r w:rsidRPr="008E4418">
        <w:rPr>
          <w:rFonts w:ascii="Palatino Linotype" w:eastAsia="Palatino Linotype" w:hAnsi="Palatino Linotype" w:cs="Palatino Linotype"/>
        </w:rPr>
        <w:t xml:space="preserve">en lo sucesivo el </w:t>
      </w:r>
      <w:r w:rsidRPr="008E4418">
        <w:rPr>
          <w:rFonts w:ascii="Palatino Linotype" w:eastAsia="Palatino Linotype" w:hAnsi="Palatino Linotype" w:cs="Palatino Linotype"/>
          <w:b/>
        </w:rPr>
        <w:t xml:space="preserve">Sujeto Obligado, </w:t>
      </w:r>
      <w:r w:rsidRPr="008E4418">
        <w:rPr>
          <w:rFonts w:ascii="Palatino Linotype" w:eastAsia="Palatino Linotype" w:hAnsi="Palatino Linotype" w:cs="Palatino Linotype"/>
        </w:rPr>
        <w:t xml:space="preserve">se procede a dictar la presente resolución con base en los siguientes: </w:t>
      </w:r>
    </w:p>
    <w:p w14:paraId="701AD576" w14:textId="77777777" w:rsidR="00905E09" w:rsidRPr="008E4418" w:rsidRDefault="00CE232F">
      <w:pPr>
        <w:spacing w:before="240" w:after="240" w:line="360" w:lineRule="auto"/>
        <w:jc w:val="center"/>
        <w:rPr>
          <w:rFonts w:ascii="Palatino Linotype" w:eastAsia="Palatino Linotype" w:hAnsi="Palatino Linotype" w:cs="Palatino Linotype"/>
          <w:b/>
        </w:rPr>
      </w:pPr>
      <w:r w:rsidRPr="008E4418">
        <w:rPr>
          <w:rFonts w:ascii="Palatino Linotype" w:eastAsia="Palatino Linotype" w:hAnsi="Palatino Linotype" w:cs="Palatino Linotype"/>
          <w:b/>
        </w:rPr>
        <w:t>I. A N T E C E D E N T E S</w:t>
      </w:r>
    </w:p>
    <w:p w14:paraId="507BF1A6" w14:textId="77777777" w:rsidR="00905E09" w:rsidRPr="008E4418" w:rsidRDefault="00CE232F">
      <w:pPr>
        <w:spacing w:before="240" w:after="240" w:line="360" w:lineRule="auto"/>
        <w:jc w:val="both"/>
        <w:rPr>
          <w:rFonts w:ascii="Palatino Linotype" w:eastAsia="Palatino Linotype" w:hAnsi="Palatino Linotype" w:cs="Palatino Linotype"/>
        </w:rPr>
      </w:pPr>
      <w:bookmarkStart w:id="0" w:name="_heading=h.4d34og8" w:colFirst="0" w:colLast="0"/>
      <w:bookmarkEnd w:id="0"/>
      <w:r w:rsidRPr="008E4418">
        <w:rPr>
          <w:rFonts w:ascii="Palatino Linotype" w:eastAsia="Palatino Linotype" w:hAnsi="Palatino Linotype" w:cs="Palatino Linotype"/>
          <w:b/>
        </w:rPr>
        <w:t>1. Solicitud de acceso a la información.</w:t>
      </w:r>
      <w:r w:rsidRPr="008E4418">
        <w:rPr>
          <w:rFonts w:ascii="Palatino Linotype" w:eastAsia="Palatino Linotype" w:hAnsi="Palatino Linotype" w:cs="Palatino Linotype"/>
        </w:rPr>
        <w:t xml:space="preserve"> El </w:t>
      </w:r>
      <w:r w:rsidRPr="008E4418">
        <w:rPr>
          <w:rFonts w:ascii="Palatino Linotype" w:eastAsia="Palatino Linotype" w:hAnsi="Palatino Linotype" w:cs="Palatino Linotype"/>
          <w:b/>
        </w:rPr>
        <w:t xml:space="preserve">treinta de agosto de dos mil veinticuatro, </w:t>
      </w:r>
      <w:r w:rsidRPr="008E4418">
        <w:rPr>
          <w:rFonts w:ascii="Palatino Linotype" w:eastAsia="Palatino Linotype" w:hAnsi="Palatino Linotype" w:cs="Palatino Linotype"/>
        </w:rPr>
        <w:t xml:space="preserve">la parte </w:t>
      </w:r>
      <w:r w:rsidRPr="008E4418">
        <w:rPr>
          <w:rFonts w:ascii="Palatino Linotype" w:eastAsia="Palatino Linotype" w:hAnsi="Palatino Linotype" w:cs="Palatino Linotype"/>
          <w:b/>
        </w:rPr>
        <w:t xml:space="preserve">Recurrente </w:t>
      </w:r>
      <w:r w:rsidRPr="008E4418">
        <w:rPr>
          <w:rFonts w:ascii="Palatino Linotype" w:eastAsia="Palatino Linotype" w:hAnsi="Palatino Linotype" w:cs="Palatino Linotype"/>
        </w:rPr>
        <w:t xml:space="preserve">presentó, a través del Sistema de Acceso a la Información Mexiquense, en lo subsecuente el </w:t>
      </w:r>
      <w:r w:rsidRPr="008E4418">
        <w:rPr>
          <w:rFonts w:ascii="Palatino Linotype" w:eastAsia="Palatino Linotype" w:hAnsi="Palatino Linotype" w:cs="Palatino Linotype"/>
          <w:b/>
        </w:rPr>
        <w:t xml:space="preserve">SAIMEX, </w:t>
      </w:r>
      <w:r w:rsidRPr="008E4418">
        <w:rPr>
          <w:rFonts w:ascii="Palatino Linotype" w:eastAsia="Palatino Linotype" w:hAnsi="Palatino Linotype" w:cs="Palatino Linotype"/>
        </w:rPr>
        <w:t xml:space="preserve">ante el </w:t>
      </w:r>
      <w:r w:rsidRPr="008E4418">
        <w:rPr>
          <w:rFonts w:ascii="Palatino Linotype" w:eastAsia="Palatino Linotype" w:hAnsi="Palatino Linotype" w:cs="Palatino Linotype"/>
          <w:b/>
        </w:rPr>
        <w:t>Sujeto Obligado</w:t>
      </w:r>
      <w:r w:rsidRPr="008E4418">
        <w:rPr>
          <w:rFonts w:ascii="Palatino Linotype" w:eastAsia="Palatino Linotype" w:hAnsi="Palatino Linotype" w:cs="Palatino Linotype"/>
        </w:rPr>
        <w:t xml:space="preserve">, la solicitud de acceso a la información pública, mediante la cual requirió la información siguiente: </w:t>
      </w:r>
    </w:p>
    <w:p w14:paraId="3DF248CB" w14:textId="77777777" w:rsidR="00905E09" w:rsidRPr="008E4418" w:rsidRDefault="00CE232F">
      <w:pPr>
        <w:spacing w:before="120" w:after="12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8E4418">
        <w:rPr>
          <w:rFonts w:ascii="Palatino Linotype" w:eastAsia="Palatino Linotype" w:hAnsi="Palatino Linotype" w:cs="Palatino Linotype"/>
          <w:i/>
          <w:sz w:val="22"/>
          <w:szCs w:val="22"/>
        </w:rPr>
        <w:t xml:space="preserve"> “Solicito los siguientes reportes que sin pretextos o excusas de argucias legales o evasivas sin fundamento jurídico legal obran en sus archivos del Ente </w:t>
      </w:r>
      <w:proofErr w:type="spellStart"/>
      <w:r w:rsidRPr="008E4418">
        <w:rPr>
          <w:rFonts w:ascii="Palatino Linotype" w:eastAsia="Palatino Linotype" w:hAnsi="Palatino Linotype" w:cs="Palatino Linotype"/>
          <w:i/>
          <w:sz w:val="22"/>
          <w:szCs w:val="22"/>
        </w:rPr>
        <w:t>Publico</w:t>
      </w:r>
      <w:proofErr w:type="spellEnd"/>
      <w:r w:rsidRPr="008E4418">
        <w:rPr>
          <w:rFonts w:ascii="Palatino Linotype" w:eastAsia="Palatino Linotype" w:hAnsi="Palatino Linotype" w:cs="Palatino Linotype"/>
          <w:i/>
          <w:sz w:val="22"/>
          <w:szCs w:val="22"/>
        </w:rPr>
        <w:t xml:space="preserve"> Obligado y que sin ningún pretexto se pueden extraer de sus portales en no </w:t>
      </w:r>
      <w:proofErr w:type="spellStart"/>
      <w:r w:rsidRPr="008E4418">
        <w:rPr>
          <w:rFonts w:ascii="Palatino Linotype" w:eastAsia="Palatino Linotype" w:hAnsi="Palatino Linotype" w:cs="Palatino Linotype"/>
          <w:i/>
          <w:sz w:val="22"/>
          <w:szCs w:val="22"/>
        </w:rPr>
        <w:t>mas</w:t>
      </w:r>
      <w:proofErr w:type="spellEnd"/>
      <w:r w:rsidRPr="008E4418">
        <w:rPr>
          <w:rFonts w:ascii="Palatino Linotype" w:eastAsia="Palatino Linotype" w:hAnsi="Palatino Linotype" w:cs="Palatino Linotype"/>
          <w:i/>
          <w:sz w:val="22"/>
          <w:szCs w:val="22"/>
        </w:rPr>
        <w:t xml:space="preserve"> de 30 minutos tal cual se solicitan de manera, ordenada, clara, precisa y puntual y que se enfatizan obran en sus archivos. Esperando se pueda tener a la brevedad. Sin tener que seguir </w:t>
      </w:r>
      <w:proofErr w:type="spellStart"/>
      <w:r w:rsidRPr="008E4418">
        <w:rPr>
          <w:rFonts w:ascii="Palatino Linotype" w:eastAsia="Palatino Linotype" w:hAnsi="Palatino Linotype" w:cs="Palatino Linotype"/>
          <w:i/>
          <w:sz w:val="22"/>
          <w:szCs w:val="22"/>
        </w:rPr>
        <w:t>litigimos</w:t>
      </w:r>
      <w:proofErr w:type="spellEnd"/>
      <w:r w:rsidRPr="008E4418">
        <w:rPr>
          <w:rFonts w:ascii="Palatino Linotype" w:eastAsia="Palatino Linotype" w:hAnsi="Palatino Linotype" w:cs="Palatino Linotype"/>
          <w:i/>
          <w:sz w:val="22"/>
          <w:szCs w:val="22"/>
        </w:rPr>
        <w:t xml:space="preserve"> de Recursos de Revisión esto debido a trabas por servidores </w:t>
      </w:r>
      <w:proofErr w:type="spellStart"/>
      <w:r w:rsidRPr="008E4418">
        <w:rPr>
          <w:rFonts w:ascii="Palatino Linotype" w:eastAsia="Palatino Linotype" w:hAnsi="Palatino Linotype" w:cs="Palatino Linotype"/>
          <w:i/>
          <w:sz w:val="22"/>
          <w:szCs w:val="22"/>
        </w:rPr>
        <w:t>publicos</w:t>
      </w:r>
      <w:proofErr w:type="spellEnd"/>
      <w:r w:rsidRPr="008E4418">
        <w:rPr>
          <w:rFonts w:ascii="Palatino Linotype" w:eastAsia="Palatino Linotype" w:hAnsi="Palatino Linotype" w:cs="Palatino Linotype"/>
          <w:i/>
          <w:sz w:val="22"/>
          <w:szCs w:val="22"/>
        </w:rPr>
        <w:t xml:space="preserve"> o desconocimiento de sus archivos se me haga llegar en formato </w:t>
      </w:r>
      <w:proofErr w:type="spellStart"/>
      <w:r w:rsidRPr="008E4418">
        <w:rPr>
          <w:rFonts w:ascii="Palatino Linotype" w:eastAsia="Palatino Linotype" w:hAnsi="Palatino Linotype" w:cs="Palatino Linotype"/>
          <w:i/>
          <w:sz w:val="22"/>
          <w:szCs w:val="22"/>
        </w:rPr>
        <w:t>pdf</w:t>
      </w:r>
      <w:proofErr w:type="spellEnd"/>
      <w:r w:rsidRPr="008E4418">
        <w:rPr>
          <w:rFonts w:ascii="Palatino Linotype" w:eastAsia="Palatino Linotype" w:hAnsi="Palatino Linotype" w:cs="Palatino Linotype"/>
          <w:i/>
          <w:sz w:val="22"/>
          <w:szCs w:val="22"/>
        </w:rPr>
        <w:t xml:space="preserve">. Vía datos adjuntos o link de nube por correo electrónico. Agradezco la atención quedo pendiente de lo solicitado. Gracias. *El visor de nómina por sueldos y salarios, es un reporte que baja el tesorero del municipio de la plataforma del SAT en unos pocos minutos, usando la clave CIEC o la FIEL. del año 2020 a la feche de esta solicitud Arroja los dos resultados que ocupo: 1) Diferencia a cargo </w:t>
      </w:r>
      <w:r w:rsidRPr="008E4418">
        <w:rPr>
          <w:rFonts w:ascii="Palatino Linotype" w:eastAsia="Palatino Linotype" w:hAnsi="Palatino Linotype" w:cs="Palatino Linotype"/>
          <w:i/>
          <w:sz w:val="22"/>
          <w:szCs w:val="22"/>
        </w:rPr>
        <w:lastRenderedPageBreak/>
        <w:t xml:space="preserve">o a favor o en contra 2) ISR retenido que a su vez es el monto histórico recuperado por conducto de la </w:t>
      </w:r>
      <w:proofErr w:type="gramStart"/>
      <w:r w:rsidRPr="008E4418">
        <w:rPr>
          <w:rFonts w:ascii="Palatino Linotype" w:eastAsia="Palatino Linotype" w:hAnsi="Palatino Linotype" w:cs="Palatino Linotype"/>
          <w:i/>
          <w:sz w:val="22"/>
          <w:szCs w:val="22"/>
        </w:rPr>
        <w:t>Secretaria</w:t>
      </w:r>
      <w:proofErr w:type="gramEnd"/>
      <w:r w:rsidRPr="008E4418">
        <w:rPr>
          <w:rFonts w:ascii="Palatino Linotype" w:eastAsia="Palatino Linotype" w:hAnsi="Palatino Linotype" w:cs="Palatino Linotype"/>
          <w:i/>
          <w:sz w:val="22"/>
          <w:szCs w:val="22"/>
        </w:rPr>
        <w:t xml:space="preserve"> de Finanzas del Estado. El visor de nómina por asimilados a salarios. Le aplican los comentarios del visor de salarios. Éstos dos visores se requieren por el municipio, y las paramunicipales También se solicita: *Reporte emitido por la </w:t>
      </w:r>
      <w:proofErr w:type="gramStart"/>
      <w:r w:rsidRPr="008E4418">
        <w:rPr>
          <w:rFonts w:ascii="Palatino Linotype" w:eastAsia="Palatino Linotype" w:hAnsi="Palatino Linotype" w:cs="Palatino Linotype"/>
          <w:i/>
          <w:sz w:val="22"/>
          <w:szCs w:val="22"/>
        </w:rPr>
        <w:t>Secretaria</w:t>
      </w:r>
      <w:proofErr w:type="gramEnd"/>
      <w:r w:rsidRPr="008E4418">
        <w:rPr>
          <w:rFonts w:ascii="Palatino Linotype" w:eastAsia="Palatino Linotype" w:hAnsi="Palatino Linotype" w:cs="Palatino Linotype"/>
          <w:i/>
          <w:sz w:val="22"/>
          <w:szCs w:val="22"/>
        </w:rPr>
        <w:t xml:space="preserve"> de Finanzas del Estado que comprende desde el año 2015 a la fecha en el que se especifica el monto del ISR que se obtuvo en devolución. *Reporte emitido por el software de contabilidad gubernamental en el que se pueda apreciar el control del saldo pendiente de recuperar del ISR participable. Puede ser el auxiliar contable de una cuenta de activo, una nota de desglose a los estados financieros. Se adjunta ejemplo en archivo </w:t>
      </w:r>
      <w:proofErr w:type="spellStart"/>
      <w:r w:rsidRPr="008E4418">
        <w:rPr>
          <w:rFonts w:ascii="Palatino Linotype" w:eastAsia="Palatino Linotype" w:hAnsi="Palatino Linotype" w:cs="Palatino Linotype"/>
          <w:i/>
          <w:sz w:val="22"/>
          <w:szCs w:val="22"/>
        </w:rPr>
        <w:t>pdf</w:t>
      </w:r>
      <w:proofErr w:type="spellEnd"/>
      <w:r w:rsidRPr="008E4418">
        <w:rPr>
          <w:rFonts w:ascii="Palatino Linotype" w:eastAsia="Palatino Linotype" w:hAnsi="Palatino Linotype" w:cs="Palatino Linotype"/>
          <w:i/>
          <w:sz w:val="22"/>
          <w:szCs w:val="22"/>
        </w:rPr>
        <w:t xml:space="preserve">. de un Ente </w:t>
      </w:r>
      <w:proofErr w:type="spellStart"/>
      <w:r w:rsidRPr="008E4418">
        <w:rPr>
          <w:rFonts w:ascii="Palatino Linotype" w:eastAsia="Palatino Linotype" w:hAnsi="Palatino Linotype" w:cs="Palatino Linotype"/>
          <w:i/>
          <w:sz w:val="22"/>
          <w:szCs w:val="22"/>
        </w:rPr>
        <w:t>Publico</w:t>
      </w:r>
      <w:proofErr w:type="spellEnd"/>
      <w:r w:rsidRPr="008E4418">
        <w:rPr>
          <w:rFonts w:ascii="Palatino Linotype" w:eastAsia="Palatino Linotype" w:hAnsi="Palatino Linotype" w:cs="Palatino Linotype"/>
          <w:i/>
          <w:sz w:val="22"/>
          <w:szCs w:val="22"/>
        </w:rPr>
        <w:t xml:space="preserve"> Municipal del estado de Guanajuato para que les sirva de ejemplo y no existan dudas de lo que se está requiriendo. Y como se me entrego de una forma total, en una sola </w:t>
      </w:r>
      <w:proofErr w:type="gramStart"/>
      <w:r w:rsidRPr="008E4418">
        <w:rPr>
          <w:rFonts w:ascii="Palatino Linotype" w:eastAsia="Palatino Linotype" w:hAnsi="Palatino Linotype" w:cs="Palatino Linotype"/>
          <w:i/>
          <w:sz w:val="22"/>
          <w:szCs w:val="22"/>
        </w:rPr>
        <w:t>exhibición ,</w:t>
      </w:r>
      <w:proofErr w:type="gramEnd"/>
      <w:r w:rsidRPr="008E4418">
        <w:rPr>
          <w:rFonts w:ascii="Palatino Linotype" w:eastAsia="Palatino Linotype" w:hAnsi="Palatino Linotype" w:cs="Palatino Linotype"/>
          <w:i/>
          <w:sz w:val="22"/>
          <w:szCs w:val="22"/>
        </w:rPr>
        <w:t xml:space="preserve"> clara y legiblemente y sobre todo ordenada.</w:t>
      </w:r>
      <w:r w:rsidRPr="008E4418">
        <w:rPr>
          <w:rFonts w:ascii="Palatino Linotype" w:eastAsia="Palatino Linotype" w:hAnsi="Palatino Linotype" w:cs="Palatino Linotype"/>
          <w:b/>
          <w:i/>
          <w:sz w:val="22"/>
          <w:szCs w:val="22"/>
        </w:rPr>
        <w:t>”</w:t>
      </w:r>
      <w:r w:rsidRPr="008E4418">
        <w:rPr>
          <w:rFonts w:ascii="Palatino Linotype" w:eastAsia="Palatino Linotype" w:hAnsi="Palatino Linotype" w:cs="Palatino Linotype"/>
          <w:i/>
          <w:sz w:val="22"/>
          <w:szCs w:val="22"/>
        </w:rPr>
        <w:t xml:space="preserve"> (sic) </w:t>
      </w:r>
    </w:p>
    <w:p w14:paraId="12DF6545" w14:textId="77777777" w:rsidR="00905E09" w:rsidRPr="008E4418" w:rsidRDefault="00CE232F">
      <w:pPr>
        <w:spacing w:before="240" w:after="240" w:line="360" w:lineRule="auto"/>
        <w:jc w:val="both"/>
        <w:rPr>
          <w:rFonts w:ascii="Palatino Linotype" w:eastAsia="Palatino Linotype" w:hAnsi="Palatino Linotype" w:cs="Palatino Linotype"/>
        </w:rPr>
      </w:pPr>
      <w:bookmarkStart w:id="2" w:name="_heading=h.3dy6vkm" w:colFirst="0" w:colLast="0"/>
      <w:bookmarkEnd w:id="2"/>
      <w:r w:rsidRPr="008E4418">
        <w:rPr>
          <w:rFonts w:ascii="Palatino Linotype" w:eastAsia="Palatino Linotype" w:hAnsi="Palatino Linotype" w:cs="Palatino Linotype"/>
          <w:b/>
        </w:rPr>
        <w:t xml:space="preserve">Modalidad de Entrega: </w:t>
      </w:r>
      <w:r w:rsidRPr="008E4418">
        <w:rPr>
          <w:rFonts w:ascii="Palatino Linotype" w:eastAsia="Palatino Linotype" w:hAnsi="Palatino Linotype" w:cs="Palatino Linotype"/>
        </w:rPr>
        <w:t>Cualquier otro medio, incluido los electrónicos (USB, SD,  CD-ROM), por correo electrónico y a través del Sistema de Acceso a la Información Mexiquense, SAIMEX; asimismo, señaló como medio para recibir información o notificaciones, correo electrónico, como se advierte a continuación:</w:t>
      </w:r>
    </w:p>
    <w:p w14:paraId="1F3CD386"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noProof/>
        </w:rPr>
        <w:drawing>
          <wp:inline distT="0" distB="0" distL="0" distR="0" wp14:anchorId="2954E94C" wp14:editId="3986D350">
            <wp:extent cx="5612130" cy="560070"/>
            <wp:effectExtent l="0" t="0" r="0" b="0"/>
            <wp:docPr id="214013193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
                    <a:srcRect/>
                    <a:stretch>
                      <a:fillRect/>
                    </a:stretch>
                  </pic:blipFill>
                  <pic:spPr>
                    <a:xfrm>
                      <a:off x="0" y="0"/>
                      <a:ext cx="5612130" cy="560070"/>
                    </a:xfrm>
                    <a:prstGeom prst="rect">
                      <a:avLst/>
                    </a:prstGeom>
                    <a:ln/>
                  </pic:spPr>
                </pic:pic>
              </a:graphicData>
            </a:graphic>
          </wp:inline>
        </w:drawing>
      </w:r>
    </w:p>
    <w:p w14:paraId="7B8B6BC8"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La persona solicitante adjuntó como ejemplo de la información que requiere, la respuesta a la solicitud con número de folio 110196500054524, presentada ante el municipio de Irapuato, Guanajuato, en la cual se requirió de igual forma, del Visor de nómina por sueldos y salarios, y por asimilados a salarios, la entrega de los resultados: Diferencia a cargo o a favor, o en contra, e ISR retenido; así como el Reporte emitido por la Secretaría de Finanzas del Estado en el que se especifica el monto del ISR que se obtuvo en devolución, y el Reporte emitido por el software de contabilidad gubernamental en el que se pueda apreciar el control del saldo pendiente de recuperar del ISR participable, y el Sujeto Obligado proporciono los </w:t>
      </w:r>
      <w:r w:rsidRPr="008E4418">
        <w:rPr>
          <w:rFonts w:ascii="Palatino Linotype" w:eastAsia="Palatino Linotype" w:hAnsi="Palatino Linotype" w:cs="Palatino Linotype"/>
        </w:rPr>
        <w:lastRenderedPageBreak/>
        <w:t>formatos: Vista anual acumulada, Detalle del “Total por Sueldos y Salarios” y Detalle del “Total por Asimilados a Salarios”, de los ejercicios 2020 a 2024  obtenidos del aplicativo Visor de Comprobantes de Nómina del Patrón, del Servicio de Administración Tributaria, SAT; el Reporte emitido desde la página de la Secretaría de Finanzas, Inversión y Administración del Gobierno del Estado de Guanajuato, en el que se especifica el monto del ISR que se obtuvo en devolución; y finalmente manifestó que no contaba con el software de contabilidad gubernamental referido.</w:t>
      </w:r>
    </w:p>
    <w:p w14:paraId="2EB2C906"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b/>
        </w:rPr>
        <w:t xml:space="preserve">2. Solicitud de Aclaración. </w:t>
      </w:r>
      <w:r w:rsidRPr="008E4418">
        <w:rPr>
          <w:rFonts w:ascii="Palatino Linotype" w:eastAsia="Palatino Linotype" w:hAnsi="Palatino Linotype" w:cs="Palatino Linotype"/>
        </w:rPr>
        <w:t xml:space="preserve">El </w:t>
      </w:r>
      <w:r w:rsidRPr="008E4418">
        <w:rPr>
          <w:rFonts w:ascii="Palatino Linotype" w:eastAsia="Palatino Linotype" w:hAnsi="Palatino Linotype" w:cs="Palatino Linotype"/>
          <w:b/>
        </w:rPr>
        <w:t xml:space="preserve">seis de septiembre de dos mil veinticuatro, </w:t>
      </w:r>
      <w:r w:rsidRPr="008E4418">
        <w:rPr>
          <w:rFonts w:ascii="Palatino Linotype" w:eastAsia="Palatino Linotype" w:hAnsi="Palatino Linotype" w:cs="Palatino Linotype"/>
        </w:rPr>
        <w:t xml:space="preserve">el </w:t>
      </w:r>
      <w:r w:rsidRPr="008E4418">
        <w:rPr>
          <w:rFonts w:ascii="Palatino Linotype" w:eastAsia="Palatino Linotype" w:hAnsi="Palatino Linotype" w:cs="Palatino Linotype"/>
          <w:b/>
        </w:rPr>
        <w:t>Sujeto Obligado</w:t>
      </w:r>
      <w:r w:rsidRPr="008E4418">
        <w:rPr>
          <w:rFonts w:ascii="Palatino Linotype" w:eastAsia="Palatino Linotype" w:hAnsi="Palatino Linotype" w:cs="Palatino Linotype"/>
        </w:rPr>
        <w:t xml:space="preserve"> requirió a la persona solicitante</w:t>
      </w:r>
      <w:r w:rsidRPr="008E4418">
        <w:rPr>
          <w:rFonts w:ascii="Palatino Linotype" w:eastAsia="Palatino Linotype" w:hAnsi="Palatino Linotype" w:cs="Palatino Linotype"/>
          <w:b/>
        </w:rPr>
        <w:t xml:space="preserve"> </w:t>
      </w:r>
      <w:r w:rsidRPr="008E4418">
        <w:rPr>
          <w:rFonts w:ascii="Palatino Linotype" w:eastAsia="Palatino Linotype" w:hAnsi="Palatino Linotype" w:cs="Palatino Linotype"/>
        </w:rPr>
        <w:t>aclarara la solicitud de información pública planteada, en los siguientes términos:</w:t>
      </w:r>
    </w:p>
    <w:p w14:paraId="1BD6BE47"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 xml:space="preserve">“Con fundamento en el </w:t>
      </w:r>
      <w:proofErr w:type="spellStart"/>
      <w:r w:rsidRPr="008E4418">
        <w:rPr>
          <w:rFonts w:ascii="Palatino Linotype" w:eastAsia="Palatino Linotype" w:hAnsi="Palatino Linotype" w:cs="Palatino Linotype"/>
          <w:i/>
          <w:sz w:val="22"/>
          <w:szCs w:val="22"/>
        </w:rPr>
        <w:t>articulo</w:t>
      </w:r>
      <w:proofErr w:type="spellEnd"/>
      <w:r w:rsidRPr="008E4418">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184E6E21"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1.- ¿A QUE SE REGIERE CON CLAVE CIEC?</w:t>
      </w:r>
    </w:p>
    <w:p w14:paraId="13E3B4A5"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14:paraId="2195CA73" w14:textId="77777777" w:rsidR="00905E09" w:rsidRPr="008E4418" w:rsidRDefault="00CE232F">
      <w:pPr>
        <w:spacing w:before="240" w:after="240" w:line="360" w:lineRule="auto"/>
        <w:ind w:right="49"/>
        <w:jc w:val="both"/>
        <w:rPr>
          <w:rFonts w:ascii="Palatino Linotype" w:eastAsia="Palatino Linotype" w:hAnsi="Palatino Linotype" w:cs="Palatino Linotype"/>
        </w:rPr>
      </w:pPr>
      <w:r w:rsidRPr="008E4418">
        <w:rPr>
          <w:rFonts w:ascii="Palatino Linotype" w:eastAsia="Palatino Linotype" w:hAnsi="Palatino Linotype" w:cs="Palatino Linotype"/>
          <w:b/>
        </w:rPr>
        <w:t xml:space="preserve">3. Interposición del recurso de revisión. </w:t>
      </w:r>
      <w:r w:rsidRPr="008E4418">
        <w:rPr>
          <w:rFonts w:ascii="Palatino Linotype" w:eastAsia="Palatino Linotype" w:hAnsi="Palatino Linotype" w:cs="Palatino Linotype"/>
        </w:rPr>
        <w:t xml:space="preserve">Inconforme con la falta de respuesta por parte del </w:t>
      </w:r>
      <w:r w:rsidRPr="008E4418">
        <w:rPr>
          <w:rFonts w:ascii="Palatino Linotype" w:eastAsia="Palatino Linotype" w:hAnsi="Palatino Linotype" w:cs="Palatino Linotype"/>
          <w:b/>
        </w:rPr>
        <w:t>Sujeto Obligado</w:t>
      </w:r>
      <w:r w:rsidRPr="008E4418">
        <w:rPr>
          <w:rFonts w:ascii="Palatino Linotype" w:eastAsia="Palatino Linotype" w:hAnsi="Palatino Linotype" w:cs="Palatino Linotype"/>
        </w:rPr>
        <w:t>, el</w:t>
      </w:r>
      <w:r w:rsidRPr="008E4418">
        <w:rPr>
          <w:rFonts w:ascii="Palatino Linotype" w:eastAsia="Palatino Linotype" w:hAnsi="Palatino Linotype" w:cs="Palatino Linotype"/>
          <w:b/>
        </w:rPr>
        <w:t xml:space="preserve"> veinticuatro de septiembre de dos mil veinticuatro, </w:t>
      </w:r>
      <w:r w:rsidRPr="008E4418">
        <w:rPr>
          <w:rFonts w:ascii="Palatino Linotype" w:eastAsia="Palatino Linotype" w:hAnsi="Palatino Linotype" w:cs="Palatino Linotype"/>
        </w:rPr>
        <w:t xml:space="preserve">la parte </w:t>
      </w:r>
      <w:r w:rsidRPr="008E4418">
        <w:rPr>
          <w:rFonts w:ascii="Palatino Linotype" w:eastAsia="Palatino Linotype" w:hAnsi="Palatino Linotype" w:cs="Palatino Linotype"/>
          <w:b/>
        </w:rPr>
        <w:t>Recurrente</w:t>
      </w:r>
      <w:r w:rsidRPr="008E4418">
        <w:rPr>
          <w:rFonts w:ascii="Palatino Linotype" w:eastAsia="Palatino Linotype" w:hAnsi="Palatino Linotype" w:cs="Palatino Linotype"/>
        </w:rPr>
        <w:t xml:space="preserve"> interpuso el recurso de revisión a través de </w:t>
      </w:r>
      <w:r w:rsidRPr="008E4418">
        <w:rPr>
          <w:rFonts w:ascii="Palatino Linotype" w:eastAsia="Palatino Linotype" w:hAnsi="Palatino Linotype" w:cs="Palatino Linotype"/>
          <w:b/>
        </w:rPr>
        <w:t xml:space="preserve">SAIMEX, </w:t>
      </w:r>
      <w:r w:rsidRPr="008E4418">
        <w:rPr>
          <w:rFonts w:ascii="Palatino Linotype" w:eastAsia="Palatino Linotype" w:hAnsi="Palatino Linotype" w:cs="Palatino Linotype"/>
        </w:rPr>
        <w:t>en donde se manifestó de la siguiente manera:</w:t>
      </w:r>
    </w:p>
    <w:p w14:paraId="0A847393" w14:textId="77777777" w:rsidR="00905E09" w:rsidRPr="008E4418" w:rsidRDefault="00CE232F">
      <w:pPr>
        <w:spacing w:before="240" w:after="240" w:line="360" w:lineRule="auto"/>
        <w:ind w:right="49"/>
        <w:jc w:val="both"/>
        <w:rPr>
          <w:rFonts w:ascii="Palatino Linotype" w:eastAsia="Palatino Linotype" w:hAnsi="Palatino Linotype" w:cs="Palatino Linotype"/>
          <w:b/>
        </w:rPr>
      </w:pPr>
      <w:r w:rsidRPr="008E4418">
        <w:rPr>
          <w:rFonts w:ascii="Palatino Linotype" w:eastAsia="Palatino Linotype" w:hAnsi="Palatino Linotype" w:cs="Palatino Linotype"/>
          <w:b/>
        </w:rPr>
        <w:t xml:space="preserve">Acto impugnado: </w:t>
      </w:r>
    </w:p>
    <w:p w14:paraId="1652810F" w14:textId="77777777" w:rsidR="00905E09" w:rsidRPr="008E4418" w:rsidRDefault="00CE232F">
      <w:pPr>
        <w:tabs>
          <w:tab w:val="left" w:pos="2745"/>
        </w:tabs>
        <w:spacing w:before="240" w:after="240"/>
        <w:ind w:left="851" w:right="900"/>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“La no respuesta en el tiempo establecido por ley a mi solicitud de reportes” (sic)</w:t>
      </w:r>
    </w:p>
    <w:p w14:paraId="762DC7D4" w14:textId="77777777" w:rsidR="00905E09" w:rsidRPr="008E4418" w:rsidRDefault="00CE232F">
      <w:pPr>
        <w:spacing w:line="360" w:lineRule="auto"/>
        <w:jc w:val="both"/>
        <w:rPr>
          <w:rFonts w:ascii="Palatino Linotype" w:eastAsia="Palatino Linotype" w:hAnsi="Palatino Linotype" w:cs="Palatino Linotype"/>
        </w:rPr>
      </w:pPr>
      <w:bookmarkStart w:id="3" w:name="_heading=h.30j0zll" w:colFirst="0" w:colLast="0"/>
      <w:bookmarkEnd w:id="3"/>
      <w:r w:rsidRPr="008E4418">
        <w:rPr>
          <w:rFonts w:ascii="Palatino Linotype" w:eastAsia="Palatino Linotype" w:hAnsi="Palatino Linotype" w:cs="Palatino Linotype"/>
          <w:b/>
        </w:rPr>
        <w:t>Y, Razones o motivos de inconformidad</w:t>
      </w:r>
      <w:r w:rsidRPr="008E4418">
        <w:rPr>
          <w:rFonts w:ascii="Palatino Linotype" w:eastAsia="Palatino Linotype" w:hAnsi="Palatino Linotype" w:cs="Palatino Linotype"/>
        </w:rPr>
        <w:t>:</w:t>
      </w:r>
    </w:p>
    <w:p w14:paraId="555816BC" w14:textId="77777777" w:rsidR="00905E09" w:rsidRPr="008E4418" w:rsidRDefault="00CE232F">
      <w:pPr>
        <w:tabs>
          <w:tab w:val="left" w:pos="2745"/>
        </w:tabs>
        <w:spacing w:before="240" w:after="240"/>
        <w:ind w:left="851" w:right="900"/>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lastRenderedPageBreak/>
        <w:t xml:space="preserve">“Por la NO respuesta a la solicitud realizada de manera clara y precisa por mi persona por lo tanto por la NEGACIÓN de la información. Es realmente molesto tantas evasivas a entregar archivos reportes que obran en sus archivos y que además se les mando un ejemplo claro y exacto de lo solicitado. Ojalá con este Recurso de Revisión ya no hagan más pernicioso el tema y me lo envíen a la brevedad de manera COMPLETA, ORDENADA, LEGIBLE Y TODA la información requerida y por favor que sea a mi Correo Electrónico que es el que solicito se haga llegar y </w:t>
      </w:r>
      <w:r w:rsidRPr="008E4418">
        <w:rPr>
          <w:rFonts w:ascii="Palatino Linotype" w:eastAsia="Palatino Linotype" w:hAnsi="Palatino Linotype" w:cs="Palatino Linotype"/>
          <w:b/>
          <w:i/>
          <w:sz w:val="22"/>
          <w:szCs w:val="22"/>
        </w:rPr>
        <w:t>no por medio de su plataforma SAIMEX</w:t>
      </w:r>
      <w:r w:rsidRPr="008E4418">
        <w:rPr>
          <w:rFonts w:ascii="Palatino Linotype" w:eastAsia="Palatino Linotype" w:hAnsi="Palatino Linotype" w:cs="Palatino Linotype"/>
          <w:i/>
          <w:sz w:val="22"/>
          <w:szCs w:val="22"/>
        </w:rPr>
        <w:t xml:space="preserve"> que es tediosa y poco entendible y de total desagrado para manejar para </w:t>
      </w:r>
      <w:proofErr w:type="spellStart"/>
      <w:r w:rsidRPr="008E4418">
        <w:rPr>
          <w:rFonts w:ascii="Palatino Linotype" w:eastAsia="Palatino Linotype" w:hAnsi="Palatino Linotype" w:cs="Palatino Linotype"/>
          <w:i/>
          <w:sz w:val="22"/>
          <w:szCs w:val="22"/>
        </w:rPr>
        <w:t>mi</w:t>
      </w:r>
      <w:proofErr w:type="spellEnd"/>
      <w:r w:rsidRPr="008E4418">
        <w:rPr>
          <w:rFonts w:ascii="Palatino Linotype" w:eastAsia="Palatino Linotype" w:hAnsi="Palatino Linotype" w:cs="Palatino Linotype"/>
          <w:i/>
          <w:sz w:val="22"/>
          <w:szCs w:val="22"/>
        </w:rPr>
        <w:t>. Gracias. Adjunto nuevamente ejemplo de la solicitud requerida” (sic)</w:t>
      </w:r>
    </w:p>
    <w:p w14:paraId="2F6D1AEA" w14:textId="77777777" w:rsidR="00905E09" w:rsidRPr="008E4418" w:rsidRDefault="00CE232F">
      <w:pPr>
        <w:spacing w:before="240" w:after="240" w:line="360" w:lineRule="auto"/>
        <w:ind w:right="51"/>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La parte </w:t>
      </w:r>
      <w:r w:rsidRPr="008E4418">
        <w:rPr>
          <w:rFonts w:ascii="Palatino Linotype" w:eastAsia="Palatino Linotype" w:hAnsi="Palatino Linotype" w:cs="Palatino Linotype"/>
          <w:b/>
        </w:rPr>
        <w:t xml:space="preserve">Recurrente </w:t>
      </w:r>
      <w:r w:rsidRPr="008E4418">
        <w:rPr>
          <w:rFonts w:ascii="Palatino Linotype" w:eastAsia="Palatino Linotype" w:hAnsi="Palatino Linotype" w:cs="Palatino Linotype"/>
        </w:rPr>
        <w:t>adjuntó nuevamente la respuesta a la solicitud con número de folio 110196500054524, presentada ante el municipio de Irapuato, Guanajuato.</w:t>
      </w:r>
    </w:p>
    <w:p w14:paraId="07AE5D13" w14:textId="77777777" w:rsidR="00905E09" w:rsidRPr="008E4418" w:rsidRDefault="00CE232F">
      <w:pPr>
        <w:spacing w:before="240" w:after="240" w:line="360" w:lineRule="auto"/>
        <w:ind w:right="51"/>
        <w:jc w:val="both"/>
        <w:rPr>
          <w:rFonts w:ascii="Palatino Linotype" w:eastAsia="Palatino Linotype" w:hAnsi="Palatino Linotype" w:cs="Palatino Linotype"/>
        </w:rPr>
      </w:pPr>
      <w:r w:rsidRPr="008E4418">
        <w:rPr>
          <w:rFonts w:ascii="Palatino Linotype" w:eastAsia="Palatino Linotype" w:hAnsi="Palatino Linotype" w:cs="Palatino Linotype"/>
          <w:b/>
        </w:rPr>
        <w:t xml:space="preserve">4. Turno. </w:t>
      </w:r>
      <w:r w:rsidRPr="008E4418">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8E4418">
        <w:rPr>
          <w:rFonts w:ascii="Palatino Linotype" w:eastAsia="Palatino Linotype" w:hAnsi="Palatino Linotype" w:cs="Palatino Linotype"/>
          <w:b/>
        </w:rPr>
        <w:t xml:space="preserve">Guadalupe Ramírez Peña, </w:t>
      </w:r>
      <w:r w:rsidRPr="008E4418">
        <w:rPr>
          <w:rFonts w:ascii="Palatino Linotype" w:eastAsia="Palatino Linotype" w:hAnsi="Palatino Linotype" w:cs="Palatino Linotype"/>
        </w:rPr>
        <w:t xml:space="preserve">a efecto de que analizara sobre su admisión o su </w:t>
      </w:r>
      <w:proofErr w:type="spellStart"/>
      <w:r w:rsidRPr="008E4418">
        <w:rPr>
          <w:rFonts w:ascii="Palatino Linotype" w:eastAsia="Palatino Linotype" w:hAnsi="Palatino Linotype" w:cs="Palatino Linotype"/>
        </w:rPr>
        <w:t>desechamiento</w:t>
      </w:r>
      <w:proofErr w:type="spellEnd"/>
      <w:r w:rsidRPr="008E4418">
        <w:rPr>
          <w:rFonts w:ascii="Palatino Linotype" w:eastAsia="Palatino Linotype" w:hAnsi="Palatino Linotype" w:cs="Palatino Linotype"/>
        </w:rPr>
        <w:t>.</w:t>
      </w:r>
    </w:p>
    <w:p w14:paraId="4735621E"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b/>
        </w:rPr>
        <w:t>5. Admisión del Recurso de revisión.</w:t>
      </w:r>
      <w:r w:rsidRPr="008E4418">
        <w:rPr>
          <w:rFonts w:ascii="Palatino Linotype" w:eastAsia="Palatino Linotype" w:hAnsi="Palatino Linotype" w:cs="Palatino Linotype"/>
        </w:rPr>
        <w:t xml:space="preserve"> El </w:t>
      </w:r>
      <w:r w:rsidRPr="008E4418">
        <w:rPr>
          <w:rFonts w:ascii="Palatino Linotype" w:eastAsia="Palatino Linotype" w:hAnsi="Palatino Linotype" w:cs="Palatino Linotype"/>
          <w:b/>
        </w:rPr>
        <w:t xml:space="preserve">veintisiete de septiembre de dos mil veinticuatro, </w:t>
      </w:r>
      <w:r w:rsidRPr="008E4418">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8E4418">
        <w:rPr>
          <w:rFonts w:ascii="Palatino Linotype" w:eastAsia="Palatino Linotype" w:hAnsi="Palatino Linotype" w:cs="Palatino Linotype"/>
          <w:b/>
        </w:rPr>
        <w:t xml:space="preserve">Sujeto Obligado </w:t>
      </w:r>
      <w:r w:rsidRPr="008E4418">
        <w:rPr>
          <w:rFonts w:ascii="Palatino Linotype" w:eastAsia="Palatino Linotype" w:hAnsi="Palatino Linotype" w:cs="Palatino Linotype"/>
        </w:rPr>
        <w:t>presentara su informe justificado.</w:t>
      </w:r>
    </w:p>
    <w:p w14:paraId="6601E5EC" w14:textId="77777777" w:rsidR="00905E09" w:rsidRPr="008E4418" w:rsidRDefault="00CE232F">
      <w:pPr>
        <w:spacing w:before="240" w:after="240" w:line="360" w:lineRule="auto"/>
        <w:jc w:val="both"/>
        <w:rPr>
          <w:rFonts w:ascii="Palatino Linotype" w:eastAsia="Palatino Linotype" w:hAnsi="Palatino Linotype" w:cs="Palatino Linotype"/>
        </w:rPr>
      </w:pPr>
      <w:bookmarkStart w:id="4" w:name="_heading=h.2s8eyo1" w:colFirst="0" w:colLast="0"/>
      <w:bookmarkEnd w:id="4"/>
      <w:r w:rsidRPr="008E4418">
        <w:rPr>
          <w:rFonts w:ascii="Palatino Linotype" w:eastAsia="Palatino Linotype" w:hAnsi="Palatino Linotype" w:cs="Palatino Linotype"/>
          <w:b/>
        </w:rPr>
        <w:lastRenderedPageBreak/>
        <w:t>6. Manifestaciones</w:t>
      </w:r>
      <w:r w:rsidRPr="008E4418">
        <w:rPr>
          <w:rFonts w:ascii="Palatino Linotype" w:eastAsia="Palatino Linotype" w:hAnsi="Palatino Linotype" w:cs="Palatino Linotype"/>
        </w:rPr>
        <w:t xml:space="preserve">. El </w:t>
      </w:r>
      <w:r w:rsidRPr="008E4418">
        <w:rPr>
          <w:rFonts w:ascii="Palatino Linotype" w:eastAsia="Palatino Linotype" w:hAnsi="Palatino Linotype" w:cs="Palatino Linotype"/>
          <w:b/>
        </w:rPr>
        <w:t xml:space="preserve">veintisiete de septiembre de dos mil veinticuatro, </w:t>
      </w:r>
      <w:r w:rsidRPr="008E4418">
        <w:rPr>
          <w:rFonts w:ascii="Palatino Linotype" w:eastAsia="Palatino Linotype" w:hAnsi="Palatino Linotype" w:cs="Palatino Linotype"/>
        </w:rPr>
        <w:t xml:space="preserve">la parte </w:t>
      </w:r>
      <w:r w:rsidRPr="008E4418">
        <w:rPr>
          <w:rFonts w:ascii="Palatino Linotype" w:eastAsia="Palatino Linotype" w:hAnsi="Palatino Linotype" w:cs="Palatino Linotype"/>
          <w:b/>
        </w:rPr>
        <w:t xml:space="preserve">Recurrente </w:t>
      </w:r>
      <w:r w:rsidRPr="008E4418">
        <w:rPr>
          <w:rFonts w:ascii="Palatino Linotype" w:eastAsia="Palatino Linotype" w:hAnsi="Palatino Linotype" w:cs="Palatino Linotype"/>
        </w:rPr>
        <w:t>remitió a través de SAIMEX la respuesta a la solicitud con número de folio 110196500054524, presentada ante el municipio de Irapuato, Guanajuato.</w:t>
      </w:r>
    </w:p>
    <w:p w14:paraId="71DE8472" w14:textId="77777777" w:rsidR="00905E09" w:rsidRPr="008E4418" w:rsidRDefault="00CE232F">
      <w:pPr>
        <w:widowControl w:val="0"/>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Por su parte el </w:t>
      </w:r>
      <w:r w:rsidRPr="008E4418">
        <w:rPr>
          <w:rFonts w:ascii="Palatino Linotype" w:eastAsia="Palatino Linotype" w:hAnsi="Palatino Linotype" w:cs="Palatino Linotype"/>
          <w:b/>
        </w:rPr>
        <w:t xml:space="preserve">Sujeto Obligado </w:t>
      </w:r>
      <w:r w:rsidRPr="008E4418">
        <w:rPr>
          <w:rFonts w:ascii="Palatino Linotype" w:eastAsia="Palatino Linotype" w:hAnsi="Palatino Linotype" w:cs="Palatino Linotype"/>
        </w:rPr>
        <w:t>fue omiso en rendir su informe justificado, como se observa a continuación:</w:t>
      </w:r>
    </w:p>
    <w:p w14:paraId="008BF0F8" w14:textId="77777777" w:rsidR="00905E09" w:rsidRPr="008E4418" w:rsidRDefault="00CE232F">
      <w:pPr>
        <w:widowControl w:val="0"/>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noProof/>
        </w:rPr>
        <w:drawing>
          <wp:inline distT="0" distB="0" distL="0" distR="0" wp14:anchorId="04658194" wp14:editId="4528B241">
            <wp:extent cx="5612130" cy="1955165"/>
            <wp:effectExtent l="0" t="0" r="0" b="0"/>
            <wp:docPr id="214013194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5612130" cy="1955165"/>
                    </a:xfrm>
                    <a:prstGeom prst="rect">
                      <a:avLst/>
                    </a:prstGeom>
                    <a:ln/>
                  </pic:spPr>
                </pic:pic>
              </a:graphicData>
            </a:graphic>
          </wp:inline>
        </w:drawing>
      </w:r>
    </w:p>
    <w:p w14:paraId="13A80EC5" w14:textId="77777777" w:rsidR="00905E09" w:rsidRPr="008E4418" w:rsidRDefault="00CE232F">
      <w:pPr>
        <w:widowControl w:val="0"/>
        <w:spacing w:before="240" w:after="240" w:line="360" w:lineRule="auto"/>
        <w:jc w:val="both"/>
        <w:rPr>
          <w:rFonts w:ascii="Palatino Linotype" w:eastAsia="Palatino Linotype" w:hAnsi="Palatino Linotype" w:cs="Palatino Linotype"/>
          <w:b/>
        </w:rPr>
      </w:pPr>
      <w:r w:rsidRPr="008E4418">
        <w:rPr>
          <w:rFonts w:ascii="Palatino Linotype" w:eastAsia="Palatino Linotype" w:hAnsi="Palatino Linotype" w:cs="Palatino Linotype"/>
          <w:b/>
        </w:rPr>
        <w:t xml:space="preserve">7. Cierre de instrucción. </w:t>
      </w:r>
      <w:r w:rsidRPr="008E4418">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8E4418">
        <w:rPr>
          <w:rFonts w:ascii="Palatino Linotype" w:eastAsia="Palatino Linotype" w:hAnsi="Palatino Linotype" w:cs="Palatino Linotype"/>
          <w:b/>
        </w:rPr>
        <w:t>veintitrés de octubre de dos mil veinticuatro</w:t>
      </w:r>
      <w:r w:rsidRPr="008E4418">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14B69A5"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520A842" w14:textId="77777777" w:rsidR="00905E09" w:rsidRPr="008E4418" w:rsidRDefault="00905E09">
      <w:pPr>
        <w:spacing w:before="240" w:after="240" w:line="360" w:lineRule="auto"/>
        <w:jc w:val="both"/>
        <w:rPr>
          <w:rFonts w:ascii="Palatino Linotype" w:eastAsia="Palatino Linotype" w:hAnsi="Palatino Linotype" w:cs="Palatino Linotype"/>
        </w:rPr>
      </w:pPr>
    </w:p>
    <w:p w14:paraId="40E3CED8" w14:textId="77777777" w:rsidR="00905E09" w:rsidRPr="008E4418" w:rsidRDefault="00905E09">
      <w:pPr>
        <w:spacing w:before="240" w:after="240" w:line="360" w:lineRule="auto"/>
        <w:jc w:val="both"/>
        <w:rPr>
          <w:rFonts w:ascii="Palatino Linotype" w:eastAsia="Palatino Linotype" w:hAnsi="Palatino Linotype" w:cs="Palatino Linotype"/>
        </w:rPr>
      </w:pPr>
    </w:p>
    <w:p w14:paraId="7E831503" w14:textId="77777777" w:rsidR="00905E09" w:rsidRPr="008E4418" w:rsidRDefault="00CE232F">
      <w:pPr>
        <w:widowControl w:val="0"/>
        <w:spacing w:before="240" w:after="240" w:line="360" w:lineRule="auto"/>
        <w:jc w:val="center"/>
        <w:rPr>
          <w:rFonts w:ascii="Palatino Linotype" w:eastAsia="Palatino Linotype" w:hAnsi="Palatino Linotype" w:cs="Palatino Linotype"/>
          <w:b/>
        </w:rPr>
      </w:pPr>
      <w:r w:rsidRPr="008E4418">
        <w:rPr>
          <w:rFonts w:ascii="Palatino Linotype" w:eastAsia="Palatino Linotype" w:hAnsi="Palatino Linotype" w:cs="Palatino Linotype"/>
          <w:b/>
        </w:rPr>
        <w:lastRenderedPageBreak/>
        <w:t>II. C O N S I D E R A N D O S</w:t>
      </w:r>
    </w:p>
    <w:p w14:paraId="05CA02D6"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b/>
        </w:rPr>
        <w:t>Primero. Competencia.</w:t>
      </w:r>
      <w:r w:rsidRPr="008E4418">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1DB9134" w14:textId="77777777" w:rsidR="00905E09" w:rsidRPr="008E4418" w:rsidRDefault="00CE232F">
      <w:pPr>
        <w:spacing w:line="360" w:lineRule="auto"/>
        <w:jc w:val="both"/>
        <w:rPr>
          <w:rFonts w:ascii="Palatino Linotype" w:eastAsia="Palatino Linotype" w:hAnsi="Palatino Linotype" w:cs="Palatino Linotype"/>
        </w:rPr>
      </w:pPr>
      <w:bookmarkStart w:id="5" w:name="_heading=h.tyjcwt" w:colFirst="0" w:colLast="0"/>
      <w:bookmarkEnd w:id="5"/>
      <w:r w:rsidRPr="008E4418">
        <w:rPr>
          <w:rFonts w:ascii="Palatino Linotype" w:eastAsia="Palatino Linotype" w:hAnsi="Palatino Linotype" w:cs="Palatino Linotype"/>
          <w:b/>
        </w:rPr>
        <w:t xml:space="preserve">Segundo. Causales de improcedencia y sobreseimiento. </w:t>
      </w:r>
      <w:r w:rsidRPr="008E4418">
        <w:rPr>
          <w:rFonts w:ascii="Palatino Linotype" w:eastAsia="Palatino Linotype" w:hAnsi="Palatino Linotype" w:cs="Palatino Linotype"/>
        </w:rPr>
        <w:t xml:space="preserve">De las constancias que forman parte del Recurso de Revisión, se advierte que previo al estudio del fondo de la </w:t>
      </w:r>
      <w:r w:rsidRPr="008E4418">
        <w:rPr>
          <w:rFonts w:ascii="Palatino Linotype" w:eastAsia="Palatino Linotype" w:hAnsi="Palatino Linotype" w:cs="Palatino Linotype"/>
          <w:i/>
        </w:rPr>
        <w:t>litis</w:t>
      </w:r>
      <w:r w:rsidRPr="008E4418">
        <w:rPr>
          <w:rFonts w:ascii="Palatino Linotype" w:eastAsia="Palatino Linotype" w:hAnsi="Palatino Linotype" w:cs="Palatino Linotype"/>
        </w:rPr>
        <w:t>, es necesario estudiar las causales de improcedencia, para determinar lo que en Derecho proceda.</w:t>
      </w:r>
    </w:p>
    <w:p w14:paraId="4F5E39FA"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b/>
        </w:rPr>
        <w:t>Causales de improcedencia.</w:t>
      </w:r>
    </w:p>
    <w:p w14:paraId="6CE30D99" w14:textId="77777777" w:rsidR="00905E09" w:rsidRPr="008E4418" w:rsidRDefault="00CE232F">
      <w:pPr>
        <w:spacing w:before="240" w:after="240" w:line="360" w:lineRule="auto"/>
        <w:ind w:right="-28"/>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w:t>
      </w:r>
      <w:r w:rsidRPr="008E4418">
        <w:rPr>
          <w:rFonts w:ascii="Palatino Linotype" w:eastAsia="Palatino Linotype" w:hAnsi="Palatino Linotype" w:cs="Palatino Linotype"/>
        </w:rPr>
        <w:lastRenderedPageBreak/>
        <w:t>desechado cualquier Recurso de Revisión que actualice alguno de los supuestos establecidos en el artículo 191 de la Ley de Transparencia y Acceso a la Información Pública del Estado de México y Municipios, por ser improcedente.</w:t>
      </w:r>
    </w:p>
    <w:p w14:paraId="5D8DA85B"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En el presente caso, </w:t>
      </w:r>
      <w:r w:rsidRPr="008E4418">
        <w:rPr>
          <w:rFonts w:ascii="Palatino Linotype" w:eastAsia="Palatino Linotype" w:hAnsi="Palatino Linotype" w:cs="Palatino Linotype"/>
          <w:b/>
        </w:rPr>
        <w:t>no se actualiza ninguna de las causales de improcedencia</w:t>
      </w:r>
      <w:r w:rsidRPr="008E4418">
        <w:rPr>
          <w:rFonts w:ascii="Palatino Linotype" w:eastAsia="Palatino Linotype" w:hAnsi="Palatino Linotype" w:cs="Palatino Linotype"/>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parte </w:t>
      </w:r>
      <w:r w:rsidRPr="008E4418">
        <w:rPr>
          <w:rFonts w:ascii="Palatino Linotype" w:eastAsia="Palatino Linotype" w:hAnsi="Palatino Linotype" w:cs="Palatino Linotype"/>
          <w:b/>
        </w:rPr>
        <w:t>Recurrente</w:t>
      </w:r>
      <w:r w:rsidRPr="008E4418">
        <w:rPr>
          <w:rFonts w:ascii="Palatino Linotype" w:eastAsia="Palatino Linotype" w:hAnsi="Palatino Linotype" w:cs="Palatino Linotype"/>
        </w:rPr>
        <w:t xml:space="preserve"> ante otra instancia; no existió prevención alguna; la veracidad de la respuesta no formó parte del agravio; ni se realizó una consulta o ampliación a los alcances del requerimiento informativo; además de que el medio de impugnación fue presentado en tiempo.</w:t>
      </w:r>
    </w:p>
    <w:p w14:paraId="1E809BFA" w14:textId="77777777" w:rsidR="00905E09" w:rsidRPr="008E4418" w:rsidRDefault="00CE232F">
      <w:pPr>
        <w:spacing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Además, por cuanto hace a la procedibilidad del recurso de revisión, es de suma importancia señalar que la parte</w:t>
      </w:r>
      <w:r w:rsidRPr="008E4418">
        <w:rPr>
          <w:rFonts w:ascii="Palatino Linotype" w:eastAsia="Palatino Linotype" w:hAnsi="Palatino Linotype" w:cs="Palatino Linotype"/>
          <w:b/>
        </w:rPr>
        <w:t xml:space="preserve"> Recurrente</w:t>
      </w:r>
      <w:r w:rsidRPr="008E4418">
        <w:rPr>
          <w:rFonts w:ascii="Palatino Linotype" w:eastAsia="Palatino Linotype" w:hAnsi="Palatino Linotype" w:cs="Palatino Linotype"/>
        </w:rPr>
        <w:t xml:space="preserve">, no señaló </w:t>
      </w:r>
      <w:r w:rsidRPr="008E4418">
        <w:rPr>
          <w:rFonts w:ascii="Palatino Linotype" w:eastAsia="Palatino Linotype" w:hAnsi="Palatino Linotype" w:cs="Palatino Linotype"/>
          <w:b/>
        </w:rPr>
        <w:t>nombre</w:t>
      </w:r>
      <w:r w:rsidRPr="008E4418">
        <w:rPr>
          <w:rFonts w:ascii="Palatino Linotype" w:eastAsia="Palatino Linotype" w:hAnsi="Palatino Linotype" w:cs="Palatino Linotype"/>
        </w:rPr>
        <w:t xml:space="preserve"> </w:t>
      </w:r>
      <w:r w:rsidRPr="008E4418">
        <w:rPr>
          <w:rFonts w:ascii="Palatino Linotype" w:eastAsia="Palatino Linotype" w:hAnsi="Palatino Linotype" w:cs="Palatino Linotype"/>
          <w:b/>
        </w:rPr>
        <w:t>completo</w:t>
      </w:r>
      <w:r w:rsidRPr="008E4418">
        <w:rPr>
          <w:rFonts w:ascii="Palatino Linotype" w:eastAsia="Palatino Linotype" w:hAnsi="Palatino Linotype" w:cs="Palatino Linotype"/>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6EC9565"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r w:rsidRPr="008E4418">
        <w:rPr>
          <w:rFonts w:ascii="Palatino Linotype" w:eastAsia="Palatino Linotype" w:hAnsi="Palatino Linotype" w:cs="Palatino Linotype"/>
          <w:b/>
          <w:i/>
          <w:sz w:val="22"/>
          <w:szCs w:val="22"/>
        </w:rPr>
        <w:t>Las solicitudes anónimas</w:t>
      </w:r>
      <w:r w:rsidRPr="008E4418">
        <w:rPr>
          <w:rFonts w:ascii="Palatino Linotype" w:eastAsia="Palatino Linotype" w:hAnsi="Palatino Linotype" w:cs="Palatino Linotype"/>
          <w:i/>
          <w:sz w:val="22"/>
          <w:szCs w:val="22"/>
        </w:rPr>
        <w:t xml:space="preserve">, con nombre incompleto o </w:t>
      </w:r>
      <w:r w:rsidRPr="008E4418">
        <w:rPr>
          <w:rFonts w:ascii="Palatino Linotype" w:eastAsia="Palatino Linotype" w:hAnsi="Palatino Linotype" w:cs="Palatino Linotype"/>
          <w:b/>
          <w:i/>
          <w:sz w:val="22"/>
          <w:szCs w:val="22"/>
        </w:rPr>
        <w:t>seudónimo</w:t>
      </w:r>
      <w:r w:rsidRPr="008E4418">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7D2C19C8" w14:textId="77777777" w:rsidR="00905E09" w:rsidRPr="008E4418" w:rsidRDefault="00CE232F">
      <w:pPr>
        <w:spacing w:before="240" w:after="240" w:line="360" w:lineRule="auto"/>
        <w:jc w:val="both"/>
        <w:rPr>
          <w:rFonts w:ascii="Palatino Linotype" w:eastAsia="Palatino Linotype" w:hAnsi="Palatino Linotype" w:cs="Palatino Linotype"/>
          <w:b/>
        </w:rPr>
      </w:pPr>
      <w:r w:rsidRPr="008E4418">
        <w:rPr>
          <w:rFonts w:ascii="Palatino Linotype" w:eastAsia="Palatino Linotype" w:hAnsi="Palatino Linotype" w:cs="Palatino Linotype"/>
        </w:rPr>
        <w:lastRenderedPageBreak/>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8E4418">
        <w:rPr>
          <w:rFonts w:ascii="Palatino Linotype" w:eastAsia="Palatino Linotype" w:hAnsi="Palatino Linotype" w:cs="Palatino Linotype"/>
          <w:b/>
        </w:rPr>
        <w:t xml:space="preserve"> SAIMEX.</w:t>
      </w:r>
    </w:p>
    <w:p w14:paraId="1FE6028C" w14:textId="77777777" w:rsidR="00905E09" w:rsidRPr="008E4418" w:rsidRDefault="00CE232F">
      <w:pPr>
        <w:pBdr>
          <w:top w:val="nil"/>
          <w:left w:val="nil"/>
          <w:bottom w:val="nil"/>
          <w:right w:val="nil"/>
          <w:between w:val="nil"/>
        </w:pBdr>
        <w:spacing w:before="240" w:after="240" w:line="360" w:lineRule="auto"/>
        <w:jc w:val="both"/>
      </w:pPr>
      <w:r w:rsidRPr="008E4418">
        <w:rPr>
          <w:rFonts w:ascii="Palatino Linotype" w:eastAsia="Palatino Linotype" w:hAnsi="Palatino Linotype" w:cs="Palatino Linotype"/>
        </w:rPr>
        <w:t>Finalmente, antes de entrar al estudio de la presente resolución es preciso determinar si resulta procedente la interposición del recurso de revisión, toda vez que se actualizan la hipótesis prevista en el artículo 179, fracción VII de la ley de la materia, que a la letra dice:</w:t>
      </w:r>
    </w:p>
    <w:p w14:paraId="55FC761F" w14:textId="77777777" w:rsidR="00905E09" w:rsidRPr="008E4418" w:rsidRDefault="00CE232F">
      <w:pPr>
        <w:pBdr>
          <w:top w:val="nil"/>
          <w:left w:val="nil"/>
          <w:bottom w:val="nil"/>
          <w:right w:val="nil"/>
          <w:between w:val="nil"/>
        </w:pBdr>
        <w:spacing w:line="276" w:lineRule="auto"/>
        <w:ind w:left="851" w:right="851"/>
        <w:jc w:val="both"/>
        <w:rPr>
          <w:sz w:val="22"/>
          <w:szCs w:val="22"/>
        </w:rPr>
      </w:pPr>
      <w:r w:rsidRPr="008E4418">
        <w:rPr>
          <w:rFonts w:ascii="Palatino Linotype" w:eastAsia="Palatino Linotype" w:hAnsi="Palatino Linotype" w:cs="Palatino Linotype"/>
          <w:i/>
          <w:sz w:val="22"/>
          <w:szCs w:val="22"/>
        </w:rPr>
        <w:t>“</w:t>
      </w:r>
      <w:r w:rsidRPr="008E4418">
        <w:rPr>
          <w:rFonts w:ascii="Palatino Linotype" w:eastAsia="Palatino Linotype" w:hAnsi="Palatino Linotype" w:cs="Palatino Linotype"/>
          <w:b/>
          <w:i/>
          <w:sz w:val="22"/>
          <w:szCs w:val="22"/>
        </w:rPr>
        <w:t xml:space="preserve">Artículo 179. </w:t>
      </w:r>
      <w:r w:rsidRPr="008E4418">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14C651E" w14:textId="77777777" w:rsidR="00905E09" w:rsidRPr="008E4418" w:rsidRDefault="00CE232F">
      <w:pPr>
        <w:pBdr>
          <w:top w:val="nil"/>
          <w:left w:val="nil"/>
          <w:bottom w:val="nil"/>
          <w:right w:val="nil"/>
          <w:between w:val="nil"/>
        </w:pBdr>
        <w:spacing w:line="276" w:lineRule="auto"/>
        <w:ind w:left="1134" w:right="851"/>
        <w:jc w:val="both"/>
        <w:rPr>
          <w:sz w:val="22"/>
          <w:szCs w:val="22"/>
        </w:rPr>
      </w:pPr>
      <w:r w:rsidRPr="008E4418">
        <w:rPr>
          <w:rFonts w:ascii="Palatino Linotype" w:eastAsia="Palatino Linotype" w:hAnsi="Palatino Linotype" w:cs="Palatino Linotype"/>
          <w:i/>
          <w:sz w:val="22"/>
          <w:szCs w:val="22"/>
        </w:rPr>
        <w:t>…</w:t>
      </w:r>
    </w:p>
    <w:p w14:paraId="7AD01247" w14:textId="77777777" w:rsidR="00905E09" w:rsidRPr="008E4418" w:rsidRDefault="00CE232F">
      <w:pPr>
        <w:pBdr>
          <w:top w:val="nil"/>
          <w:left w:val="nil"/>
          <w:bottom w:val="nil"/>
          <w:right w:val="nil"/>
          <w:between w:val="nil"/>
        </w:pBdr>
        <w:spacing w:line="276" w:lineRule="auto"/>
        <w:ind w:left="1134" w:right="851"/>
        <w:jc w:val="both"/>
        <w:rPr>
          <w:sz w:val="22"/>
          <w:szCs w:val="22"/>
        </w:rPr>
      </w:pPr>
      <w:r w:rsidRPr="008E4418">
        <w:rPr>
          <w:rFonts w:ascii="Palatino Linotype" w:eastAsia="Palatino Linotype" w:hAnsi="Palatino Linotype" w:cs="Palatino Linotype"/>
          <w:b/>
          <w:i/>
          <w:sz w:val="22"/>
          <w:szCs w:val="22"/>
        </w:rPr>
        <w:t xml:space="preserve">VII. </w:t>
      </w:r>
      <w:r w:rsidRPr="008E4418">
        <w:rPr>
          <w:rFonts w:ascii="Palatino Linotype" w:eastAsia="Palatino Linotype" w:hAnsi="Palatino Linotype" w:cs="Palatino Linotype"/>
          <w:i/>
          <w:sz w:val="22"/>
          <w:szCs w:val="22"/>
        </w:rPr>
        <w:t>La falta de respuesta a una solicitud de acceso a la información</w:t>
      </w:r>
      <w:r w:rsidRPr="008E4418">
        <w:rPr>
          <w:rFonts w:ascii="Palatino Linotype" w:eastAsia="Palatino Linotype" w:hAnsi="Palatino Linotype" w:cs="Palatino Linotype"/>
          <w:b/>
          <w:i/>
          <w:sz w:val="22"/>
          <w:szCs w:val="22"/>
        </w:rPr>
        <w:t>;</w:t>
      </w:r>
      <w:r w:rsidRPr="008E4418">
        <w:rPr>
          <w:rFonts w:ascii="Palatino Linotype" w:eastAsia="Palatino Linotype" w:hAnsi="Palatino Linotype" w:cs="Palatino Linotype"/>
          <w:i/>
          <w:sz w:val="22"/>
          <w:szCs w:val="22"/>
        </w:rPr>
        <w:t>”</w:t>
      </w:r>
    </w:p>
    <w:p w14:paraId="1B5A1A97" w14:textId="77777777" w:rsidR="00905E09" w:rsidRPr="008E4418" w:rsidRDefault="00CE232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El precepto legal citado, establece como supuesto de procedencia del recurso de revisión, en aquellos casos en que la parte </w:t>
      </w:r>
      <w:r w:rsidRPr="008E4418">
        <w:rPr>
          <w:rFonts w:ascii="Palatino Linotype" w:eastAsia="Palatino Linotype" w:hAnsi="Palatino Linotype" w:cs="Palatino Linotype"/>
          <w:b/>
        </w:rPr>
        <w:t xml:space="preserve">Recurrente </w:t>
      </w:r>
      <w:r w:rsidRPr="008E4418">
        <w:rPr>
          <w:rFonts w:ascii="Palatino Linotype" w:eastAsia="Palatino Linotype" w:hAnsi="Palatino Linotype" w:cs="Palatino Linotype"/>
        </w:rPr>
        <w:t xml:space="preserve">estime negado el acceso a la información por la falta de respuesta a una solicitud por el Sujeto Obligado, en este asunto se actualiza la hipótesis jurídica citada, en atención a que la parte </w:t>
      </w:r>
      <w:r w:rsidRPr="008E4418">
        <w:rPr>
          <w:rFonts w:ascii="Palatino Linotype" w:eastAsia="Palatino Linotype" w:hAnsi="Palatino Linotype" w:cs="Palatino Linotype"/>
          <w:b/>
        </w:rPr>
        <w:t>Recurrente</w:t>
      </w:r>
      <w:r w:rsidRPr="008E4418">
        <w:rPr>
          <w:rFonts w:ascii="Palatino Linotype" w:eastAsia="Palatino Linotype" w:hAnsi="Palatino Linotype" w:cs="Palatino Linotype"/>
        </w:rPr>
        <w:t xml:space="preserve"> combate falta de respuesta por el </w:t>
      </w:r>
      <w:r w:rsidRPr="008E4418">
        <w:rPr>
          <w:rFonts w:ascii="Palatino Linotype" w:eastAsia="Palatino Linotype" w:hAnsi="Palatino Linotype" w:cs="Palatino Linotype"/>
          <w:b/>
        </w:rPr>
        <w:t>Sujeto Obligado</w:t>
      </w:r>
      <w:r w:rsidRPr="008E4418">
        <w:rPr>
          <w:rFonts w:ascii="Palatino Linotype" w:eastAsia="Palatino Linotype" w:hAnsi="Palatino Linotype" w:cs="Palatino Linotype"/>
        </w:rPr>
        <w:t xml:space="preserve"> y expresa motivos de inconformidad en contra de dicha circunstancia.</w:t>
      </w:r>
    </w:p>
    <w:p w14:paraId="6ABAE2CD" w14:textId="77777777" w:rsidR="00905E09" w:rsidRPr="008E4418" w:rsidRDefault="00CE232F">
      <w:pPr>
        <w:spacing w:before="240" w:after="240" w:line="360" w:lineRule="auto"/>
        <w:ind w:right="-28"/>
        <w:jc w:val="both"/>
        <w:rPr>
          <w:rFonts w:ascii="Palatino Linotype" w:eastAsia="Palatino Linotype" w:hAnsi="Palatino Linotype" w:cs="Palatino Linotype"/>
        </w:rPr>
      </w:pPr>
      <w:r w:rsidRPr="008E4418">
        <w:rPr>
          <w:rFonts w:ascii="Palatino Linotype" w:eastAsia="Palatino Linotype" w:hAnsi="Palatino Linotype" w:cs="Palatino Linotype"/>
          <w:b/>
        </w:rPr>
        <w:t>Causales de sobreseimiento.</w:t>
      </w:r>
    </w:p>
    <w:p w14:paraId="1E9BCB69"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Por ser de previo y especial pronunciamiento, este Instituto analiza si se actualiza alguna causal de sobreseimiento.</w:t>
      </w:r>
    </w:p>
    <w:p w14:paraId="59D73510"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lastRenderedPageBreak/>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parte </w:t>
      </w:r>
      <w:r w:rsidRPr="008E4418">
        <w:rPr>
          <w:rFonts w:ascii="Palatino Linotype" w:eastAsia="Palatino Linotype" w:hAnsi="Palatino Linotype" w:cs="Palatino Linotype"/>
          <w:b/>
        </w:rPr>
        <w:t>Recurrente</w:t>
      </w:r>
      <w:r w:rsidRPr="008E4418">
        <w:rPr>
          <w:rFonts w:ascii="Palatino Linotype" w:eastAsia="Palatino Linotype" w:hAnsi="Palatino Linotype" w:cs="Palatino Linotype"/>
        </w:rPr>
        <w:t xml:space="preserve"> se haya desistido del recurso, haya fallecido, sobreviniera alguna causal de improcedencia, que el </w:t>
      </w:r>
      <w:r w:rsidRPr="008E4418">
        <w:rPr>
          <w:rFonts w:ascii="Palatino Linotype" w:eastAsia="Palatino Linotype" w:hAnsi="Palatino Linotype" w:cs="Palatino Linotype"/>
          <w:b/>
        </w:rPr>
        <w:t>Sujeto Obligado</w:t>
      </w:r>
      <w:r w:rsidRPr="008E4418">
        <w:rPr>
          <w:rFonts w:ascii="Palatino Linotype" w:eastAsia="Palatino Linotype" w:hAnsi="Palatino Linotype" w:cs="Palatino Linotype"/>
        </w:rPr>
        <w:t xml:space="preserve"> hubiese modificado o revocado el acto impugnado o bien, haya quedado sin materia.</w:t>
      </w:r>
    </w:p>
    <w:p w14:paraId="301B9050" w14:textId="77777777" w:rsidR="00905E09" w:rsidRPr="008E4418" w:rsidRDefault="00CE232F">
      <w:pPr>
        <w:spacing w:before="240" w:after="240" w:line="360" w:lineRule="auto"/>
        <w:ind w:right="-28"/>
        <w:jc w:val="both"/>
        <w:rPr>
          <w:rFonts w:ascii="Palatino Linotype" w:eastAsia="Palatino Linotype" w:hAnsi="Palatino Linotype" w:cs="Palatino Linotype"/>
        </w:rPr>
      </w:pPr>
      <w:r w:rsidRPr="008E4418">
        <w:rPr>
          <w:rFonts w:ascii="Palatino Linotype" w:eastAsia="Palatino Linotype" w:hAnsi="Palatino Linotype" w:cs="Palatino Linotype"/>
        </w:rPr>
        <w:t>Por tales motivos, se considera procedente entrar al fondo del presente asunto.</w:t>
      </w:r>
    </w:p>
    <w:p w14:paraId="2C7C1D50"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b/>
        </w:rPr>
        <w:t xml:space="preserve">Tercero. Materia de la revisión. </w:t>
      </w:r>
      <w:r w:rsidRPr="008E4418">
        <w:rPr>
          <w:rFonts w:ascii="Palatino Linotype" w:eastAsia="Palatino Linotype" w:hAnsi="Palatino Linotype" w:cs="Palatino Linotype"/>
        </w:rPr>
        <w:t xml:space="preserve">Este Organismo Garante procede del análisis de los agravios hechos valer por la parte </w:t>
      </w:r>
      <w:r w:rsidRPr="008E4418">
        <w:rPr>
          <w:rFonts w:ascii="Palatino Linotype" w:eastAsia="Palatino Linotype" w:hAnsi="Palatino Linotype" w:cs="Palatino Linotype"/>
          <w:b/>
        </w:rPr>
        <w:t>Recurrente</w:t>
      </w:r>
      <w:r w:rsidRPr="008E4418">
        <w:rPr>
          <w:rFonts w:ascii="Palatino Linotype" w:eastAsia="Palatino Linotype" w:hAnsi="Palatino Linotype" w:cs="Palatino Linotype"/>
        </w:rPr>
        <w:t xml:space="preserve">, a fin de determinar si se violenta en perjuicio de éste, el derecho de acceso a la información previsto en la Constitución Política de los Estados Unidos Mexicanos y en la Constitución Política del Estado Libre y Soberano de México. </w:t>
      </w:r>
    </w:p>
    <w:p w14:paraId="307D4E25"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b/>
        </w:rPr>
        <w:t xml:space="preserve">Cuarto. Estudio del asunto. </w:t>
      </w:r>
      <w:r w:rsidRPr="008E4418">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22BB13D"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r w:rsidRPr="008E4418">
        <w:rPr>
          <w:rFonts w:ascii="Palatino Linotype" w:eastAsia="Palatino Linotype" w:hAnsi="Palatino Linotype" w:cs="Palatino Linotype"/>
          <w:b/>
          <w:i/>
          <w:sz w:val="22"/>
          <w:szCs w:val="22"/>
        </w:rPr>
        <w:t>Artículo 4</w:t>
      </w:r>
      <w:r w:rsidRPr="008E441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w:t>
      </w:r>
      <w:r w:rsidRPr="008E4418">
        <w:rPr>
          <w:rFonts w:ascii="Palatino Linotype" w:eastAsia="Palatino Linotype" w:hAnsi="Palatino Linotype" w:cs="Palatino Linotype"/>
          <w:i/>
          <w:sz w:val="22"/>
          <w:szCs w:val="22"/>
        </w:rPr>
        <w:lastRenderedPageBreak/>
        <w:t xml:space="preserve">solicitar información pública, sin necesidad de acreditar personalidad ni interés jurídico. </w:t>
      </w:r>
    </w:p>
    <w:p w14:paraId="713B5C28"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8E441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D4B530F"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8E4418">
        <w:rPr>
          <w:rFonts w:ascii="Palatino Linotype" w:eastAsia="Palatino Linotype" w:hAnsi="Palatino Linotype" w:cs="Palatino Linotype"/>
          <w:i/>
          <w:sz w:val="22"/>
          <w:szCs w:val="22"/>
        </w:rPr>
        <w:t>.”</w:t>
      </w:r>
    </w:p>
    <w:p w14:paraId="1DBE28EA"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33450E8"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“Artículo 12.-</w:t>
      </w:r>
      <w:r w:rsidRPr="008E441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9109B17"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7D1A8DC7" w14:textId="77777777" w:rsidR="00905E09" w:rsidRPr="008E4418" w:rsidRDefault="00CE232F">
      <w:pPr>
        <w:spacing w:before="240" w:after="240" w:line="360" w:lineRule="auto"/>
        <w:ind w:right="-93"/>
        <w:jc w:val="both"/>
        <w:rPr>
          <w:rFonts w:ascii="Palatino Linotype" w:eastAsia="Palatino Linotype" w:hAnsi="Palatino Linotype" w:cs="Palatino Linotype"/>
        </w:rPr>
      </w:pPr>
      <w:r w:rsidRPr="008E4418">
        <w:rPr>
          <w:rFonts w:ascii="Palatino Linotype" w:eastAsia="Palatino Linotype" w:hAnsi="Palatino Linotype" w:cs="Palatino Linotype"/>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7EBE15FB"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Sirve de apoyo a lo anterior, el Criterio de Interpretación con clave de control SO/003/2017, emitido por el Pleno del Instituto Nacional de Transparencia, Acceso a la Información y Protección de Datos Personales,  INAI, que dispone lo siguiente:</w:t>
      </w:r>
      <w:r w:rsidRPr="008E4418">
        <w:rPr>
          <w:rFonts w:ascii="Palatino Linotype" w:eastAsia="Palatino Linotype" w:hAnsi="Palatino Linotype" w:cs="Palatino Linotype"/>
          <w:b/>
        </w:rPr>
        <w:t xml:space="preserve"> </w:t>
      </w:r>
    </w:p>
    <w:p w14:paraId="5D5E46C7"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r w:rsidRPr="008E4418">
        <w:rPr>
          <w:rFonts w:ascii="Palatino Linotype" w:eastAsia="Palatino Linotype" w:hAnsi="Palatino Linotype" w:cs="Palatino Linotype"/>
          <w:b/>
          <w:i/>
          <w:sz w:val="22"/>
          <w:szCs w:val="22"/>
        </w:rPr>
        <w:t>No existe obligación de elaborar documentos ad hoc para atender las solicitudes de acceso a la información.</w:t>
      </w:r>
      <w:r w:rsidRPr="008E4418">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04CE1F3B" w14:textId="77777777" w:rsidR="00905E09" w:rsidRPr="008E4418" w:rsidRDefault="00CE232F">
      <w:pPr>
        <w:spacing w:before="120" w:after="12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290D33A" w14:textId="77777777" w:rsidR="00905E09" w:rsidRPr="008E4418" w:rsidRDefault="00CE232F">
      <w:pPr>
        <w:spacing w:before="120" w:after="12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9044C23"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r w:rsidRPr="008E4418">
        <w:rPr>
          <w:rFonts w:ascii="Palatino Linotype" w:eastAsia="Palatino Linotype" w:hAnsi="Palatino Linotype" w:cs="Palatino Linotype"/>
          <w:b/>
          <w:i/>
          <w:sz w:val="22"/>
          <w:szCs w:val="22"/>
        </w:rPr>
        <w:t xml:space="preserve">Artículo 3. </w:t>
      </w:r>
      <w:r w:rsidRPr="008E4418">
        <w:rPr>
          <w:rFonts w:ascii="Palatino Linotype" w:eastAsia="Palatino Linotype" w:hAnsi="Palatino Linotype" w:cs="Palatino Linotype"/>
          <w:i/>
          <w:sz w:val="22"/>
          <w:szCs w:val="22"/>
        </w:rPr>
        <w:t>Para los efectos de la presente Ley se entenderá por:</w:t>
      </w:r>
    </w:p>
    <w:p w14:paraId="74E99C20"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p>
    <w:p w14:paraId="4117676B"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XI. Documento:</w:t>
      </w:r>
      <w:r w:rsidRPr="008E4418">
        <w:rPr>
          <w:rFonts w:ascii="Palatino Linotype" w:eastAsia="Palatino Linotype" w:hAnsi="Palatino Linotype" w:cs="Palatino Linotype"/>
          <w:i/>
          <w:sz w:val="22"/>
          <w:szCs w:val="22"/>
        </w:rPr>
        <w:t xml:space="preserve"> Los expedientes, reportes, estudios, actas</w:t>
      </w:r>
      <w:r w:rsidRPr="008E4418">
        <w:rPr>
          <w:rFonts w:ascii="Palatino Linotype" w:eastAsia="Palatino Linotype" w:hAnsi="Palatino Linotype" w:cs="Palatino Linotype"/>
          <w:b/>
          <w:i/>
          <w:sz w:val="22"/>
          <w:szCs w:val="22"/>
        </w:rPr>
        <w:t>,</w:t>
      </w:r>
      <w:r w:rsidRPr="008E4418">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9E74E03"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9A89045"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sz w:val="22"/>
          <w:szCs w:val="22"/>
        </w:rPr>
        <w:t>“</w:t>
      </w:r>
      <w:r w:rsidRPr="008E4418">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8E4418">
        <w:rPr>
          <w:rFonts w:ascii="Palatino Linotype" w:eastAsia="Palatino Linotype" w:hAnsi="Palatino Linotype" w:cs="Palatino Linotype"/>
          <w:i/>
          <w:sz w:val="22"/>
          <w:szCs w:val="22"/>
        </w:rPr>
        <w:t xml:space="preserve"> De conformidad con los artículos antes referidos, el derecho de acceso a la información pública, se </w:t>
      </w:r>
      <w:r w:rsidRPr="008E4418">
        <w:rPr>
          <w:rFonts w:ascii="Palatino Linotype" w:eastAsia="Palatino Linotype" w:hAnsi="Palatino Linotype" w:cs="Palatino Linotype"/>
          <w:i/>
          <w:sz w:val="22"/>
          <w:szCs w:val="22"/>
        </w:rPr>
        <w:lastRenderedPageBreak/>
        <w:t>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2B39656"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E9B310A"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32B537A2"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6D240403"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19BACFD8" w14:textId="77777777" w:rsidR="00905E09" w:rsidRPr="008E4418" w:rsidRDefault="00CE232F">
      <w:pPr>
        <w:spacing w:before="240" w:after="240" w:line="360" w:lineRule="auto"/>
        <w:ind w:right="51"/>
        <w:jc w:val="both"/>
        <w:rPr>
          <w:rFonts w:ascii="Palatino Linotype" w:eastAsia="Palatino Linotype" w:hAnsi="Palatino Linotype" w:cs="Palatino Linotype"/>
        </w:rPr>
      </w:pPr>
      <w:r w:rsidRPr="008E4418">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EC4428C"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w:t>
      </w:r>
      <w:r w:rsidRPr="008E4418">
        <w:rPr>
          <w:rFonts w:ascii="Palatino Linotype" w:eastAsia="Palatino Linotype" w:hAnsi="Palatino Linotype" w:cs="Palatino Linotype"/>
        </w:rPr>
        <w:lastRenderedPageBreak/>
        <w:t>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A39CDBA" w14:textId="77777777" w:rsidR="00905E09" w:rsidRPr="008E4418" w:rsidRDefault="00CE232F">
      <w:pPr>
        <w:spacing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6961C61"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En este tenor, a través de la solicitud de información, motivo del recurso de revisión que ahora se resuelve, se advierte que la parte </w:t>
      </w:r>
      <w:r w:rsidRPr="008E4418">
        <w:rPr>
          <w:rFonts w:ascii="Palatino Linotype" w:eastAsia="Palatino Linotype" w:hAnsi="Palatino Linotype" w:cs="Palatino Linotype"/>
          <w:b/>
        </w:rPr>
        <w:t>Recurrente</w:t>
      </w:r>
      <w:r w:rsidRPr="008E4418">
        <w:rPr>
          <w:rFonts w:ascii="Palatino Linotype" w:eastAsia="Palatino Linotype" w:hAnsi="Palatino Linotype" w:cs="Palatino Linotype"/>
        </w:rPr>
        <w:t xml:space="preserve"> requirió al </w:t>
      </w:r>
      <w:r w:rsidRPr="008E4418">
        <w:rPr>
          <w:rFonts w:ascii="Palatino Linotype" w:eastAsia="Palatino Linotype" w:hAnsi="Palatino Linotype" w:cs="Palatino Linotype"/>
          <w:b/>
        </w:rPr>
        <w:t xml:space="preserve">Sujeto Obligado </w:t>
      </w:r>
      <w:r w:rsidRPr="008E4418">
        <w:rPr>
          <w:rFonts w:ascii="Palatino Linotype" w:eastAsia="Palatino Linotype" w:hAnsi="Palatino Linotype" w:cs="Palatino Linotype"/>
        </w:rPr>
        <w:t>le proporcione, información consistente en lo siguiente:</w:t>
      </w:r>
    </w:p>
    <w:p w14:paraId="57CB9DD6" w14:textId="77777777" w:rsidR="00905E09" w:rsidRPr="008E4418" w:rsidRDefault="00CE232F">
      <w:pPr>
        <w:spacing w:before="240" w:after="240" w:line="360" w:lineRule="auto"/>
        <w:ind w:left="284" w:right="51"/>
        <w:jc w:val="both"/>
        <w:rPr>
          <w:rFonts w:ascii="Palatino Linotype" w:eastAsia="Palatino Linotype" w:hAnsi="Palatino Linotype" w:cs="Palatino Linotype"/>
        </w:rPr>
      </w:pPr>
      <w:r w:rsidRPr="008E4418">
        <w:rPr>
          <w:rFonts w:ascii="Palatino Linotype" w:eastAsia="Palatino Linotype" w:hAnsi="Palatino Linotype" w:cs="Palatino Linotype"/>
        </w:rPr>
        <w:t>1. Del visor de nómina por sueldos y salarios, y por asimilados a salarios, de enero de dos mil veinte a agosto de dos mil veinticuatro.</w:t>
      </w:r>
    </w:p>
    <w:p w14:paraId="39730A76" w14:textId="77777777" w:rsidR="00905E09" w:rsidRPr="008E4418" w:rsidRDefault="00CE232F">
      <w:pPr>
        <w:spacing w:before="120" w:after="120" w:line="360" w:lineRule="auto"/>
        <w:ind w:left="567" w:right="51"/>
        <w:jc w:val="both"/>
        <w:rPr>
          <w:rFonts w:ascii="Palatino Linotype" w:eastAsia="Palatino Linotype" w:hAnsi="Palatino Linotype" w:cs="Palatino Linotype"/>
        </w:rPr>
      </w:pPr>
      <w:r w:rsidRPr="008E4418">
        <w:rPr>
          <w:rFonts w:ascii="Palatino Linotype" w:eastAsia="Palatino Linotype" w:hAnsi="Palatino Linotype" w:cs="Palatino Linotype"/>
        </w:rPr>
        <w:t>a. Diferencia de ISR a cargo o a favor, o en contra.</w:t>
      </w:r>
    </w:p>
    <w:p w14:paraId="0D65240A" w14:textId="77777777" w:rsidR="00905E09" w:rsidRPr="008E4418" w:rsidRDefault="00CE232F">
      <w:pPr>
        <w:spacing w:before="120" w:after="120" w:line="360" w:lineRule="auto"/>
        <w:ind w:left="567" w:right="51"/>
        <w:jc w:val="both"/>
        <w:rPr>
          <w:rFonts w:ascii="Palatino Linotype" w:eastAsia="Palatino Linotype" w:hAnsi="Palatino Linotype" w:cs="Palatino Linotype"/>
        </w:rPr>
      </w:pPr>
      <w:r w:rsidRPr="008E4418">
        <w:rPr>
          <w:rFonts w:ascii="Palatino Linotype" w:eastAsia="Palatino Linotype" w:hAnsi="Palatino Linotype" w:cs="Palatino Linotype"/>
        </w:rPr>
        <w:t>b. ISR retenido, correspondiente al monto histórico recuperado por conducto de la Secretaria de Finanzas del Estado.</w:t>
      </w:r>
    </w:p>
    <w:p w14:paraId="7C245EEF" w14:textId="77777777" w:rsidR="00905E09" w:rsidRPr="008E4418" w:rsidRDefault="00CE232F">
      <w:pPr>
        <w:spacing w:before="240" w:after="240" w:line="360" w:lineRule="auto"/>
        <w:ind w:left="284" w:right="51"/>
        <w:jc w:val="both"/>
        <w:rPr>
          <w:rFonts w:ascii="Palatino Linotype" w:eastAsia="Palatino Linotype" w:hAnsi="Palatino Linotype" w:cs="Palatino Linotype"/>
        </w:rPr>
      </w:pPr>
      <w:r w:rsidRPr="008E4418">
        <w:rPr>
          <w:rFonts w:ascii="Palatino Linotype" w:eastAsia="Palatino Linotype" w:hAnsi="Palatino Linotype" w:cs="Palatino Linotype"/>
        </w:rPr>
        <w:lastRenderedPageBreak/>
        <w:t>2. Reporte emitido por la Secretaría de Finanzas del Estado en el que se especifica el monto del ISR que se obtuvo en devolución, de enero de dos mil quince a agosto de dos mil veinticuatro.</w:t>
      </w:r>
    </w:p>
    <w:p w14:paraId="1A5AE5B9" w14:textId="77777777" w:rsidR="00905E09" w:rsidRPr="008E4418" w:rsidRDefault="00CE232F">
      <w:pPr>
        <w:spacing w:before="240" w:after="240" w:line="360" w:lineRule="auto"/>
        <w:ind w:left="284" w:right="51"/>
        <w:jc w:val="both"/>
        <w:rPr>
          <w:rFonts w:ascii="Palatino Linotype" w:eastAsia="Palatino Linotype" w:hAnsi="Palatino Linotype" w:cs="Palatino Linotype"/>
        </w:rPr>
      </w:pPr>
      <w:r w:rsidRPr="008E4418">
        <w:rPr>
          <w:rFonts w:ascii="Palatino Linotype" w:eastAsia="Palatino Linotype" w:hAnsi="Palatino Linotype" w:cs="Palatino Linotype"/>
        </w:rPr>
        <w:t>3. Reporte emitido por el software de contabilidad gubernamental en el que se pueda apreciar el control del saldo pendiente de recuperar del ISR participable, al treinta de agosto de dos mil veinticuatro. Puede ser el auxiliar contable de una cuenta de activo, una nota de desglose a los estados financieros.</w:t>
      </w:r>
    </w:p>
    <w:p w14:paraId="2C2B9717" w14:textId="77777777" w:rsidR="00905E09" w:rsidRPr="008E4418" w:rsidRDefault="00CE232F">
      <w:pPr>
        <w:spacing w:before="240" w:after="240" w:line="360" w:lineRule="auto"/>
        <w:ind w:right="51"/>
        <w:jc w:val="both"/>
        <w:rPr>
          <w:rFonts w:ascii="Palatino Linotype" w:eastAsia="Palatino Linotype" w:hAnsi="Palatino Linotype" w:cs="Palatino Linotype"/>
        </w:rPr>
      </w:pPr>
      <w:r w:rsidRPr="008E4418">
        <w:rPr>
          <w:rFonts w:ascii="Palatino Linotype" w:eastAsia="Palatino Linotype" w:hAnsi="Palatino Linotype" w:cs="Palatino Linotype"/>
        </w:rPr>
        <w:t>Asimismo, precisó que el visor de nómina es un reporte que puede ser descargado de la plataforma del SAT, usando la clave CIEC o la FIEL, y adjuntó como muestra de la información que requiere, la respuesta a la solicitud con número de folio 110196500054524, presentada ante el municipio de Irapuato, Guanajuato, que contiene la información que es del interés de la persona solicitante. A continuación, se agregan algunos ejemplos, para mejor referencia:</w:t>
      </w:r>
    </w:p>
    <w:p w14:paraId="1F501FA1" w14:textId="77777777" w:rsidR="00905E09" w:rsidRPr="008E4418" w:rsidRDefault="00CE232F">
      <w:pPr>
        <w:spacing w:before="240" w:after="240" w:line="360" w:lineRule="auto"/>
        <w:ind w:right="51"/>
        <w:jc w:val="both"/>
        <w:rPr>
          <w:rFonts w:ascii="Palatino Linotype" w:eastAsia="Palatino Linotype" w:hAnsi="Palatino Linotype" w:cs="Palatino Linotype"/>
        </w:rPr>
      </w:pPr>
      <w:r w:rsidRPr="008E4418">
        <w:rPr>
          <w:noProof/>
        </w:rPr>
        <mc:AlternateContent>
          <mc:Choice Requires="wpg">
            <w:drawing>
              <wp:anchor distT="0" distB="0" distL="114300" distR="114300" simplePos="0" relativeHeight="251658240" behindDoc="0" locked="0" layoutInCell="1" hidden="0" allowOverlap="1" wp14:anchorId="454B36E3" wp14:editId="7185830B">
                <wp:simplePos x="0" y="0"/>
                <wp:positionH relativeFrom="column">
                  <wp:posOffset>101601</wp:posOffset>
                </wp:positionH>
                <wp:positionV relativeFrom="paragraph">
                  <wp:posOffset>0</wp:posOffset>
                </wp:positionV>
                <wp:extent cx="5546928" cy="3066374"/>
                <wp:effectExtent l="0" t="0" r="0" b="0"/>
                <wp:wrapNone/>
                <wp:docPr id="2140131923" name="Conector recto de flecha 2140131923"/>
                <wp:cNvGraphicFramePr/>
                <a:graphic xmlns:a="http://schemas.openxmlformats.org/drawingml/2006/main">
                  <a:graphicData uri="http://schemas.microsoft.com/office/word/2010/wordprocessingShape">
                    <wps:wsp>
                      <wps:cNvCnPr/>
                      <wps:spPr>
                        <a:xfrm>
                          <a:off x="2597936" y="2272213"/>
                          <a:ext cx="5496128" cy="3015574"/>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5546928" cy="3066374"/>
                <wp:effectExtent b="0" l="0" r="0" t="0"/>
                <wp:wrapNone/>
                <wp:docPr id="2140131923" name="image35.png"/>
                <a:graphic>
                  <a:graphicData uri="http://schemas.openxmlformats.org/drawingml/2006/picture">
                    <pic:pic>
                      <pic:nvPicPr>
                        <pic:cNvPr id="0" name="image35.png"/>
                        <pic:cNvPicPr preferRelativeResize="0"/>
                      </pic:nvPicPr>
                      <pic:blipFill>
                        <a:blip r:embed="rId10"/>
                        <a:srcRect/>
                        <a:stretch>
                          <a:fillRect/>
                        </a:stretch>
                      </pic:blipFill>
                      <pic:spPr>
                        <a:xfrm>
                          <a:off x="0" y="0"/>
                          <a:ext cx="5546928" cy="3066374"/>
                        </a:xfrm>
                        <a:prstGeom prst="rect"/>
                        <a:ln/>
                      </pic:spPr>
                    </pic:pic>
                  </a:graphicData>
                </a:graphic>
              </wp:anchor>
            </w:drawing>
          </mc:Fallback>
        </mc:AlternateContent>
      </w:r>
    </w:p>
    <w:p w14:paraId="5FDA27E5" w14:textId="77777777" w:rsidR="00905E09" w:rsidRPr="008E4418" w:rsidRDefault="00905E09">
      <w:pPr>
        <w:spacing w:before="240" w:after="240" w:line="360" w:lineRule="auto"/>
        <w:ind w:right="51"/>
        <w:jc w:val="both"/>
        <w:rPr>
          <w:rFonts w:ascii="Palatino Linotype" w:eastAsia="Palatino Linotype" w:hAnsi="Palatino Linotype" w:cs="Palatino Linotype"/>
        </w:rPr>
      </w:pPr>
    </w:p>
    <w:p w14:paraId="4F39762D" w14:textId="77777777" w:rsidR="00905E09" w:rsidRPr="008E4418" w:rsidRDefault="00905E09">
      <w:pPr>
        <w:spacing w:before="240" w:after="240" w:line="360" w:lineRule="auto"/>
        <w:ind w:right="51"/>
        <w:jc w:val="both"/>
        <w:rPr>
          <w:rFonts w:ascii="Palatino Linotype" w:eastAsia="Palatino Linotype" w:hAnsi="Palatino Linotype" w:cs="Palatino Linotype"/>
        </w:rPr>
      </w:pPr>
    </w:p>
    <w:p w14:paraId="6A776B18" w14:textId="77777777" w:rsidR="00905E09" w:rsidRPr="008E4418" w:rsidRDefault="00905E09">
      <w:pPr>
        <w:spacing w:before="240" w:after="240" w:line="360" w:lineRule="auto"/>
        <w:ind w:right="51"/>
        <w:jc w:val="both"/>
        <w:rPr>
          <w:rFonts w:ascii="Palatino Linotype" w:eastAsia="Palatino Linotype" w:hAnsi="Palatino Linotype" w:cs="Palatino Linotype"/>
        </w:rPr>
      </w:pPr>
    </w:p>
    <w:p w14:paraId="02547441" w14:textId="77777777" w:rsidR="00905E09" w:rsidRPr="008E4418" w:rsidRDefault="00905E09">
      <w:pPr>
        <w:spacing w:before="240" w:after="240" w:line="360" w:lineRule="auto"/>
        <w:ind w:right="51"/>
        <w:jc w:val="both"/>
        <w:rPr>
          <w:rFonts w:ascii="Palatino Linotype" w:eastAsia="Palatino Linotype" w:hAnsi="Palatino Linotype" w:cs="Palatino Linotype"/>
        </w:rPr>
      </w:pPr>
    </w:p>
    <w:p w14:paraId="7CFC90BD" w14:textId="77777777" w:rsidR="00905E09" w:rsidRPr="008E4418" w:rsidRDefault="00905E09">
      <w:pPr>
        <w:spacing w:before="240" w:after="240" w:line="360" w:lineRule="auto"/>
        <w:ind w:right="51"/>
        <w:jc w:val="both"/>
        <w:rPr>
          <w:rFonts w:ascii="Palatino Linotype" w:eastAsia="Palatino Linotype" w:hAnsi="Palatino Linotype" w:cs="Palatino Linotype"/>
        </w:rPr>
      </w:pPr>
    </w:p>
    <w:p w14:paraId="0049AC89" w14:textId="77777777" w:rsidR="00905E09" w:rsidRPr="008E4418" w:rsidRDefault="00CE232F">
      <w:pPr>
        <w:spacing w:before="240" w:after="240" w:line="360" w:lineRule="auto"/>
        <w:ind w:right="51"/>
        <w:jc w:val="both"/>
        <w:rPr>
          <w:rFonts w:ascii="Palatino Linotype" w:eastAsia="Palatino Linotype" w:hAnsi="Palatino Linotype" w:cs="Palatino Linotype"/>
          <w:b/>
        </w:rPr>
      </w:pPr>
      <w:r w:rsidRPr="008E4418">
        <w:rPr>
          <w:rFonts w:ascii="Palatino Linotype" w:eastAsia="Palatino Linotype" w:hAnsi="Palatino Linotype" w:cs="Palatino Linotype"/>
          <w:b/>
        </w:rPr>
        <w:lastRenderedPageBreak/>
        <w:t>Del aplicativo Visor de Comprobantes de Nómina del Patrón, del Servicio de Administración Tributaria, SAT:</w:t>
      </w:r>
    </w:p>
    <w:p w14:paraId="256CB05B" w14:textId="77777777" w:rsidR="00905E09" w:rsidRPr="008E4418" w:rsidRDefault="00CE232F">
      <w:pPr>
        <w:spacing w:before="240" w:after="240" w:line="360" w:lineRule="auto"/>
        <w:jc w:val="both"/>
        <w:rPr>
          <w:rFonts w:ascii="Palatino Linotype" w:eastAsia="Palatino Linotype" w:hAnsi="Palatino Linotype" w:cs="Palatino Linotype"/>
          <w:b/>
        </w:rPr>
      </w:pPr>
      <w:r w:rsidRPr="008E4418">
        <w:rPr>
          <w:rFonts w:ascii="Palatino Linotype" w:eastAsia="Palatino Linotype" w:hAnsi="Palatino Linotype" w:cs="Palatino Linotype"/>
          <w:b/>
        </w:rPr>
        <w:t>Vista anual acumulada – Ejercicio 2020</w:t>
      </w:r>
    </w:p>
    <w:p w14:paraId="55B64975"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noProof/>
        </w:rPr>
        <w:drawing>
          <wp:inline distT="0" distB="0" distL="0" distR="0" wp14:anchorId="2A01425F" wp14:editId="0D5BF647">
            <wp:extent cx="5612130" cy="2275840"/>
            <wp:effectExtent l="0" t="0" r="0" b="0"/>
            <wp:docPr id="21401319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612130" cy="2275840"/>
                    </a:xfrm>
                    <a:prstGeom prst="rect">
                      <a:avLst/>
                    </a:prstGeom>
                    <a:ln/>
                  </pic:spPr>
                </pic:pic>
              </a:graphicData>
            </a:graphic>
          </wp:inline>
        </w:drawing>
      </w:r>
    </w:p>
    <w:tbl>
      <w:tblPr>
        <w:tblStyle w:val="af6"/>
        <w:tblW w:w="8828"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8E4418" w:rsidRPr="008E4418" w14:paraId="59E1F9DE" w14:textId="77777777">
        <w:trPr>
          <w:jc w:val="center"/>
        </w:trPr>
        <w:tc>
          <w:tcPr>
            <w:tcW w:w="4414" w:type="dxa"/>
            <w:shd w:val="clear" w:color="auto" w:fill="BFBFBF"/>
          </w:tcPr>
          <w:p w14:paraId="4D2CF0C9" w14:textId="77777777" w:rsidR="00905E09" w:rsidRPr="008E4418" w:rsidRDefault="00CE232F">
            <w:pPr>
              <w:spacing w:before="120" w:after="120"/>
              <w:jc w:val="center"/>
              <w:rPr>
                <w:rFonts w:ascii="Palatino Linotype" w:eastAsia="Palatino Linotype" w:hAnsi="Palatino Linotype" w:cs="Palatino Linotype"/>
                <w:b/>
                <w:sz w:val="20"/>
                <w:szCs w:val="20"/>
              </w:rPr>
            </w:pPr>
            <w:r w:rsidRPr="008E4418">
              <w:rPr>
                <w:rFonts w:ascii="Palatino Linotype" w:eastAsia="Palatino Linotype" w:hAnsi="Palatino Linotype" w:cs="Palatino Linotype"/>
                <w:b/>
                <w:sz w:val="20"/>
                <w:szCs w:val="20"/>
              </w:rPr>
              <w:t xml:space="preserve">Detalle del “Total por Sueldos y Salarios” </w:t>
            </w:r>
          </w:p>
          <w:p w14:paraId="501E1C58" w14:textId="77777777" w:rsidR="00905E09" w:rsidRPr="008E4418" w:rsidRDefault="00CE232F">
            <w:pPr>
              <w:spacing w:before="120" w:after="120"/>
              <w:jc w:val="center"/>
              <w:rPr>
                <w:rFonts w:ascii="Palatino Linotype" w:eastAsia="Palatino Linotype" w:hAnsi="Palatino Linotype" w:cs="Palatino Linotype"/>
                <w:b/>
                <w:sz w:val="20"/>
                <w:szCs w:val="20"/>
              </w:rPr>
            </w:pPr>
            <w:r w:rsidRPr="008E4418">
              <w:rPr>
                <w:rFonts w:ascii="Palatino Linotype" w:eastAsia="Palatino Linotype" w:hAnsi="Palatino Linotype" w:cs="Palatino Linotype"/>
                <w:b/>
                <w:sz w:val="20"/>
                <w:szCs w:val="20"/>
              </w:rPr>
              <w:t xml:space="preserve"> Ejercicio 2020</w:t>
            </w:r>
          </w:p>
        </w:tc>
        <w:tc>
          <w:tcPr>
            <w:tcW w:w="4414" w:type="dxa"/>
            <w:shd w:val="clear" w:color="auto" w:fill="BFBFBF"/>
          </w:tcPr>
          <w:p w14:paraId="2E324731" w14:textId="77777777" w:rsidR="00905E09" w:rsidRPr="008E4418" w:rsidRDefault="00CE232F">
            <w:pPr>
              <w:spacing w:before="120" w:after="120"/>
              <w:jc w:val="center"/>
              <w:rPr>
                <w:rFonts w:ascii="Palatino Linotype" w:eastAsia="Palatino Linotype" w:hAnsi="Palatino Linotype" w:cs="Palatino Linotype"/>
                <w:sz w:val="20"/>
                <w:szCs w:val="20"/>
              </w:rPr>
            </w:pPr>
            <w:r w:rsidRPr="008E4418">
              <w:rPr>
                <w:rFonts w:ascii="Palatino Linotype" w:eastAsia="Palatino Linotype" w:hAnsi="Palatino Linotype" w:cs="Palatino Linotype"/>
                <w:b/>
                <w:sz w:val="20"/>
                <w:szCs w:val="20"/>
              </w:rPr>
              <w:t>Detalle del “Total por Asimilados a Salarios” Ejercicio 2020</w:t>
            </w:r>
          </w:p>
        </w:tc>
      </w:tr>
      <w:tr w:rsidR="00905E09" w:rsidRPr="008E4418" w14:paraId="161BB34E" w14:textId="77777777">
        <w:trPr>
          <w:jc w:val="center"/>
        </w:trPr>
        <w:tc>
          <w:tcPr>
            <w:tcW w:w="4414" w:type="dxa"/>
          </w:tcPr>
          <w:p w14:paraId="4D3B9609" w14:textId="77777777" w:rsidR="00905E09" w:rsidRPr="008E4418" w:rsidRDefault="00CE232F">
            <w:pPr>
              <w:spacing w:before="120" w:after="120"/>
              <w:jc w:val="center"/>
              <w:rPr>
                <w:rFonts w:ascii="Palatino Linotype" w:eastAsia="Palatino Linotype" w:hAnsi="Palatino Linotype" w:cs="Palatino Linotype"/>
                <w:sz w:val="20"/>
                <w:szCs w:val="20"/>
              </w:rPr>
            </w:pPr>
            <w:r w:rsidRPr="008E4418">
              <w:rPr>
                <w:rFonts w:ascii="Palatino Linotype" w:eastAsia="Palatino Linotype" w:hAnsi="Palatino Linotype" w:cs="Palatino Linotype"/>
                <w:noProof/>
              </w:rPr>
              <w:drawing>
                <wp:inline distT="0" distB="0" distL="0" distR="0" wp14:anchorId="1C03CB60" wp14:editId="589DE396">
                  <wp:extent cx="2520000" cy="1710000"/>
                  <wp:effectExtent l="0" t="0" r="0" b="0"/>
                  <wp:docPr id="214013194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520000" cy="1710000"/>
                          </a:xfrm>
                          <a:prstGeom prst="rect">
                            <a:avLst/>
                          </a:prstGeom>
                          <a:ln/>
                        </pic:spPr>
                      </pic:pic>
                    </a:graphicData>
                  </a:graphic>
                </wp:inline>
              </w:drawing>
            </w:r>
          </w:p>
        </w:tc>
        <w:tc>
          <w:tcPr>
            <w:tcW w:w="4414" w:type="dxa"/>
          </w:tcPr>
          <w:p w14:paraId="01F7AFB0" w14:textId="77777777" w:rsidR="00905E09" w:rsidRPr="008E4418" w:rsidRDefault="00CE232F">
            <w:pPr>
              <w:spacing w:before="120" w:after="120"/>
              <w:jc w:val="both"/>
              <w:rPr>
                <w:rFonts w:ascii="Palatino Linotype" w:eastAsia="Palatino Linotype" w:hAnsi="Palatino Linotype" w:cs="Palatino Linotype"/>
                <w:sz w:val="20"/>
                <w:szCs w:val="20"/>
              </w:rPr>
            </w:pPr>
            <w:r w:rsidRPr="008E4418">
              <w:rPr>
                <w:rFonts w:ascii="Palatino Linotype" w:eastAsia="Palatino Linotype" w:hAnsi="Palatino Linotype" w:cs="Palatino Linotype"/>
                <w:noProof/>
              </w:rPr>
              <w:drawing>
                <wp:inline distT="0" distB="0" distL="0" distR="0" wp14:anchorId="3C30D6CC" wp14:editId="38AD19C4">
                  <wp:extent cx="2520000" cy="1793483"/>
                  <wp:effectExtent l="0" t="0" r="0" b="0"/>
                  <wp:docPr id="21401319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520000" cy="1793483"/>
                          </a:xfrm>
                          <a:prstGeom prst="rect">
                            <a:avLst/>
                          </a:prstGeom>
                          <a:ln/>
                        </pic:spPr>
                      </pic:pic>
                    </a:graphicData>
                  </a:graphic>
                </wp:inline>
              </w:drawing>
            </w:r>
          </w:p>
        </w:tc>
      </w:tr>
    </w:tbl>
    <w:p w14:paraId="3FBA6BF0" w14:textId="77777777" w:rsidR="00905E09" w:rsidRPr="008E4418" w:rsidRDefault="00905E09">
      <w:pPr>
        <w:spacing w:line="360" w:lineRule="auto"/>
        <w:jc w:val="both"/>
        <w:rPr>
          <w:rFonts w:ascii="Palatino Linotype" w:eastAsia="Palatino Linotype" w:hAnsi="Palatino Linotype" w:cs="Palatino Linotype"/>
          <w:b/>
        </w:rPr>
      </w:pPr>
    </w:p>
    <w:p w14:paraId="6DCBB44C" w14:textId="77777777" w:rsidR="00905E09" w:rsidRPr="008E4418" w:rsidRDefault="00905E09">
      <w:pPr>
        <w:spacing w:line="360" w:lineRule="auto"/>
        <w:jc w:val="both"/>
        <w:rPr>
          <w:rFonts w:ascii="Palatino Linotype" w:eastAsia="Palatino Linotype" w:hAnsi="Palatino Linotype" w:cs="Palatino Linotype"/>
          <w:b/>
        </w:rPr>
      </w:pPr>
    </w:p>
    <w:p w14:paraId="3AD0A6D8" w14:textId="77777777" w:rsidR="00905E09" w:rsidRPr="008E4418" w:rsidRDefault="00905E09">
      <w:pPr>
        <w:spacing w:line="360" w:lineRule="auto"/>
        <w:jc w:val="both"/>
        <w:rPr>
          <w:rFonts w:ascii="Palatino Linotype" w:eastAsia="Palatino Linotype" w:hAnsi="Palatino Linotype" w:cs="Palatino Linotype"/>
          <w:b/>
        </w:rPr>
      </w:pPr>
    </w:p>
    <w:p w14:paraId="719D8136" w14:textId="77777777" w:rsidR="00905E09" w:rsidRPr="008E4418" w:rsidRDefault="00CE232F">
      <w:pPr>
        <w:spacing w:line="360" w:lineRule="auto"/>
        <w:jc w:val="both"/>
        <w:rPr>
          <w:rFonts w:ascii="Palatino Linotype" w:eastAsia="Palatino Linotype" w:hAnsi="Palatino Linotype" w:cs="Palatino Linotype"/>
          <w:b/>
        </w:rPr>
      </w:pPr>
      <w:r w:rsidRPr="008E4418">
        <w:rPr>
          <w:rFonts w:ascii="Palatino Linotype" w:eastAsia="Palatino Linotype" w:hAnsi="Palatino Linotype" w:cs="Palatino Linotype"/>
          <w:b/>
        </w:rPr>
        <w:lastRenderedPageBreak/>
        <w:t>Reporte emitido por la Secretaría de Finanzas del Estado de Guanajuato, en el que se especifica el monto del ISR que se obtuvo en devolución:</w:t>
      </w:r>
    </w:p>
    <w:p w14:paraId="4272DF2A" w14:textId="77777777" w:rsidR="00905E09" w:rsidRPr="008E4418" w:rsidRDefault="00CE232F">
      <w:pPr>
        <w:spacing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noProof/>
        </w:rPr>
        <w:drawing>
          <wp:inline distT="0" distB="0" distL="0" distR="0" wp14:anchorId="63C23CE2" wp14:editId="2DA68B49">
            <wp:extent cx="5612130" cy="4127129"/>
            <wp:effectExtent l="0" t="0" r="0" b="0"/>
            <wp:docPr id="21401319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b="8639"/>
                    <a:stretch>
                      <a:fillRect/>
                    </a:stretch>
                  </pic:blipFill>
                  <pic:spPr>
                    <a:xfrm>
                      <a:off x="0" y="0"/>
                      <a:ext cx="5612130" cy="4127129"/>
                    </a:xfrm>
                    <a:prstGeom prst="rect">
                      <a:avLst/>
                    </a:prstGeom>
                    <a:ln/>
                  </pic:spPr>
                </pic:pic>
              </a:graphicData>
            </a:graphic>
          </wp:inline>
        </w:drawing>
      </w:r>
    </w:p>
    <w:p w14:paraId="4BE8337C" w14:textId="77777777" w:rsidR="00905E09" w:rsidRPr="008E4418" w:rsidRDefault="00CE232F">
      <w:pPr>
        <w:tabs>
          <w:tab w:val="left" w:pos="709"/>
        </w:tabs>
        <w:spacing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Una vez analizada la solicitud, la Unidad de Transparencia del </w:t>
      </w:r>
      <w:r w:rsidRPr="008E4418">
        <w:rPr>
          <w:rFonts w:ascii="Palatino Linotype" w:eastAsia="Palatino Linotype" w:hAnsi="Palatino Linotype" w:cs="Palatino Linotype"/>
          <w:b/>
        </w:rPr>
        <w:t>Sujeto Obligado</w:t>
      </w:r>
      <w:r w:rsidRPr="008E4418">
        <w:rPr>
          <w:rFonts w:ascii="Palatino Linotype" w:eastAsia="Palatino Linotype" w:hAnsi="Palatino Linotype" w:cs="Palatino Linotype"/>
        </w:rPr>
        <w:t xml:space="preserve">, en ejercicio de la facultad conferida en el artículo 159, primer párrafo de la Ley de Transparencia y Acceso a la Información Pública del Estado de México, el </w:t>
      </w:r>
      <w:r w:rsidRPr="008E4418">
        <w:rPr>
          <w:rFonts w:ascii="Palatino Linotype" w:eastAsia="Palatino Linotype" w:hAnsi="Palatino Linotype" w:cs="Palatino Linotype"/>
          <w:b/>
        </w:rPr>
        <w:t>Sujeto Obligado</w:t>
      </w:r>
      <w:r w:rsidRPr="008E4418">
        <w:rPr>
          <w:rFonts w:ascii="Palatino Linotype" w:eastAsia="Palatino Linotype" w:hAnsi="Palatino Linotype" w:cs="Palatino Linotype"/>
        </w:rPr>
        <w:t xml:space="preserve"> a través de la Titular de la Unidad de Transparencia, requirió a la persona solicitante al quinto día hábil posterior a la presentación de la solicitud, un pronunciamiento de aclaración en los siguientes términos: </w:t>
      </w:r>
      <w:r w:rsidRPr="008E4418">
        <w:rPr>
          <w:rFonts w:ascii="Palatino Linotype" w:eastAsia="Palatino Linotype" w:hAnsi="Palatino Linotype" w:cs="Palatino Linotype"/>
          <w:i/>
          <w:sz w:val="22"/>
          <w:szCs w:val="22"/>
        </w:rPr>
        <w:t>“¿A QUE SE REGIERE CON CLAVE CIEC?”</w:t>
      </w:r>
      <w:r w:rsidRPr="008E4418">
        <w:rPr>
          <w:rFonts w:ascii="Palatino Linotype" w:eastAsia="Palatino Linotype" w:hAnsi="Palatino Linotype" w:cs="Palatino Linotype"/>
        </w:rPr>
        <w:t xml:space="preserve"> (sic) e hizo de su conocimiento que contaba con un plazo de diez días hábiles contados a partir del día de notificación para el desahogo del mismo, en caso </w:t>
      </w:r>
      <w:r w:rsidRPr="008E4418">
        <w:rPr>
          <w:rFonts w:ascii="Palatino Linotype" w:eastAsia="Palatino Linotype" w:hAnsi="Palatino Linotype" w:cs="Palatino Linotype"/>
        </w:rPr>
        <w:lastRenderedPageBreak/>
        <w:t>contrario, la solicitud de información se tendría por no presentada quedando a salvo sus derechos para volver a presentarla de así convenir a sus intereses.</w:t>
      </w:r>
    </w:p>
    <w:p w14:paraId="260C0519" w14:textId="77777777" w:rsidR="00905E09" w:rsidRPr="008E4418" w:rsidRDefault="00CE232F">
      <w:pPr>
        <w:tabs>
          <w:tab w:val="left" w:pos="7605"/>
        </w:tabs>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Como se advierte en los antecedentes de la presente resolución, la persona solicitante no desahogo el requerimiento de información en el plazo establecido para tal efecto, e interpuso el recurso de revisión que nos ocupa, por medio del cual alegó la falta de respuesta en el plazo fijado por la Ley, y por tanto la negativa de la información.</w:t>
      </w:r>
    </w:p>
    <w:p w14:paraId="362C5CE2" w14:textId="77777777" w:rsidR="00905E09" w:rsidRPr="008E4418" w:rsidRDefault="00CE232F">
      <w:pPr>
        <w:tabs>
          <w:tab w:val="left" w:pos="7605"/>
        </w:tabs>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En este sentido, se estima que el Derecho Humano de acceso a la información pública accionado por la persona solicitante se vulneró, pues, a través de una interpretación equívoca de un precepto legal, el </w:t>
      </w:r>
      <w:r w:rsidRPr="008E4418">
        <w:rPr>
          <w:rFonts w:ascii="Palatino Linotype" w:eastAsia="Palatino Linotype" w:hAnsi="Palatino Linotype" w:cs="Palatino Linotype"/>
          <w:b/>
        </w:rPr>
        <w:t>Sujeto Obligado</w:t>
      </w:r>
      <w:r w:rsidRPr="008E4418">
        <w:rPr>
          <w:rFonts w:ascii="Palatino Linotype" w:eastAsia="Palatino Linotype" w:hAnsi="Palatino Linotype" w:cs="Palatino Linotype"/>
        </w:rPr>
        <w:t xml:space="preserve"> justificó la negativa de la información que le fue solicitada.</w:t>
      </w:r>
    </w:p>
    <w:p w14:paraId="5EF42AE8" w14:textId="77777777" w:rsidR="00905E09" w:rsidRPr="008E4418" w:rsidRDefault="00CE232F">
      <w:pPr>
        <w:spacing w:before="240" w:after="240" w:line="372"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A efecto de sustentar dicho argumento, se menciona que efectivamente, la Ley de la Materia confiere a los Sujetos Obligados la potestad de que, por una sola vez, requieran a los solicitantes para que proporcionen datos adicionales que les permitan localizar la información a la que desean acceder, dentro de los cinco días posteriores a la recepción de la solicitud.</w:t>
      </w:r>
    </w:p>
    <w:p w14:paraId="581EFA32" w14:textId="77777777" w:rsidR="00905E09" w:rsidRPr="008E4418" w:rsidRDefault="00CE232F">
      <w:pPr>
        <w:spacing w:before="240" w:after="240" w:line="372"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Asimismo, para aplicar dicha facultad, debe actualizarse el supuesto jurídico que consiste en que los términos de la solicitud sean imprecisos, que los datos proporcionados sean insuficientes o incompletos, impidiendo a los Sujetos Obligados tener certeza de la información deben ubicar y entregar.</w:t>
      </w:r>
    </w:p>
    <w:p w14:paraId="377129EE" w14:textId="77777777" w:rsidR="00905E09" w:rsidRPr="008E4418" w:rsidRDefault="00CE232F">
      <w:pPr>
        <w:spacing w:before="240" w:after="240" w:line="372"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Es así que, a consideración de este Organismo Garante el </w:t>
      </w:r>
      <w:r w:rsidRPr="008E4418">
        <w:rPr>
          <w:rFonts w:ascii="Palatino Linotype" w:eastAsia="Palatino Linotype" w:hAnsi="Palatino Linotype" w:cs="Palatino Linotype"/>
          <w:b/>
        </w:rPr>
        <w:t>Sujeto Obligado hizo un uso excesivo del requerimiento de aclaración</w:t>
      </w:r>
      <w:r w:rsidRPr="008E4418">
        <w:rPr>
          <w:rFonts w:ascii="Palatino Linotype" w:eastAsia="Palatino Linotype" w:hAnsi="Palatino Linotype" w:cs="Palatino Linotype"/>
        </w:rPr>
        <w:t xml:space="preserve">, pues si bien el requerimiento se </w:t>
      </w:r>
      <w:r w:rsidRPr="008E4418">
        <w:rPr>
          <w:rFonts w:ascii="Palatino Linotype" w:eastAsia="Palatino Linotype" w:hAnsi="Palatino Linotype" w:cs="Palatino Linotype"/>
        </w:rPr>
        <w:lastRenderedPageBreak/>
        <w:t>encuentra dentro del plazo legal establecido, no pasa inadvertido que los términos de la solicitud son claros y permiten identificar la información que es del interés de la persona solicitante, puesto que contextualizó el requerimiento de información, al referir que los visores de nómina se trataban de reportes descargables en el portal del SAT, con la clave CIEC o la FIEL.</w:t>
      </w:r>
    </w:p>
    <w:p w14:paraId="0B625A2B" w14:textId="77777777" w:rsidR="00905E09" w:rsidRPr="008E4418" w:rsidRDefault="00CE232F">
      <w:pPr>
        <w:spacing w:before="240" w:after="240" w:line="372"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En este sentido, de acuerdo con la información disponible en el portal del Servicio de Administración Tributaria, SAT, la Clave de Identificación Electrónica Confidencial, o CIEC, conocida solamente como Contraseña, funciona como una clave de acceso compuesta por el Registro Federal de Contribuyentes, RFC, de la entidad y una contraseña generada por el propio contribuyente, por lo que es el medio de identificación de cualquier persona física o persona moral dada de alta en el Servicio de Administración Tributaria, SAT, a través de la cual se accede al buzón tributario, se pagan impuestos, se realizan movimientos al RFC, entre otros trámites.</w:t>
      </w:r>
    </w:p>
    <w:p w14:paraId="5729DAC4" w14:textId="77777777" w:rsidR="00905E09" w:rsidRPr="008E4418" w:rsidRDefault="00CE232F">
      <w:pPr>
        <w:spacing w:before="240" w:after="240" w:line="372"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Mientras que la Firma Electrónica Avanzada, FIEL, conocida como </w:t>
      </w:r>
      <w:proofErr w:type="spellStart"/>
      <w:r w:rsidRPr="008E4418">
        <w:rPr>
          <w:rFonts w:ascii="Palatino Linotype" w:eastAsia="Palatino Linotype" w:hAnsi="Palatino Linotype" w:cs="Palatino Linotype"/>
        </w:rPr>
        <w:t>e.firma</w:t>
      </w:r>
      <w:proofErr w:type="spellEnd"/>
      <w:r w:rsidRPr="008E4418">
        <w:rPr>
          <w:rFonts w:ascii="Palatino Linotype" w:eastAsia="Palatino Linotype" w:hAnsi="Palatino Linotype" w:cs="Palatino Linotype"/>
        </w:rPr>
        <w:t>, es un elemento de seguridad compuesto por dos archivos cifrados: un certificado que actúa como tarjeta de identidad (.</w:t>
      </w:r>
      <w:proofErr w:type="spellStart"/>
      <w:r w:rsidRPr="008E4418">
        <w:rPr>
          <w:rFonts w:ascii="Palatino Linotype" w:eastAsia="Palatino Linotype" w:hAnsi="Palatino Linotype" w:cs="Palatino Linotype"/>
        </w:rPr>
        <w:t>cer</w:t>
      </w:r>
      <w:proofErr w:type="spellEnd"/>
      <w:r w:rsidRPr="008E4418">
        <w:rPr>
          <w:rFonts w:ascii="Palatino Linotype" w:eastAsia="Palatino Linotype" w:hAnsi="Palatino Linotype" w:cs="Palatino Linotype"/>
        </w:rPr>
        <w:t>) y una llave privada (.</w:t>
      </w:r>
      <w:proofErr w:type="spellStart"/>
      <w:r w:rsidRPr="008E4418">
        <w:rPr>
          <w:rFonts w:ascii="Palatino Linotype" w:eastAsia="Palatino Linotype" w:hAnsi="Palatino Linotype" w:cs="Palatino Linotype"/>
        </w:rPr>
        <w:t>key</w:t>
      </w:r>
      <w:proofErr w:type="spellEnd"/>
      <w:r w:rsidRPr="008E4418">
        <w:rPr>
          <w:rFonts w:ascii="Palatino Linotype" w:eastAsia="Palatino Linotype" w:hAnsi="Palatino Linotype" w:cs="Palatino Linotype"/>
        </w:rPr>
        <w:t>), protegida por una contraseña, que al tener la validez de una firma autógrafa no solo es válida en el portal del SAT, sino que también se puede utilizar en otras entidades gubernamentales y en el ámbito privado.</w:t>
      </w:r>
    </w:p>
    <w:p w14:paraId="7BBA856A" w14:textId="77777777" w:rsidR="00905E09" w:rsidRPr="008E4418" w:rsidRDefault="00CE232F">
      <w:pPr>
        <w:spacing w:before="240" w:after="240" w:line="372"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Por lo tanto, se concluye que la aclaración pretendida por la Unidad de Transparencia no era necesaria, aunado al hecho de que la persona solicitante señaló como medio de notificación el correo electrónico, sin que se advierta en el expediente </w:t>
      </w:r>
      <w:r w:rsidRPr="008E4418">
        <w:rPr>
          <w:rFonts w:ascii="Palatino Linotype" w:eastAsia="Palatino Linotype" w:hAnsi="Palatino Linotype" w:cs="Palatino Linotype"/>
        </w:rPr>
        <w:lastRenderedPageBreak/>
        <w:t>constancia alguna de que el requerimiento de información hubiese sido notificado por dicha vía, por tanto, se justifica la interposición del recurso de revisión ante la falta de contestación al requerimiento de información, hipótesis de procedencia que se encuentra prevista en el artículo 179, fracción VII, de la Ley de Transparencia y Acceso a la Información Pública del Estado de México y Municipios.</w:t>
      </w:r>
    </w:p>
    <w:p w14:paraId="3D9D2925" w14:textId="77777777" w:rsidR="00905E09" w:rsidRPr="008E4418" w:rsidRDefault="00CE232F">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8E4418">
        <w:rPr>
          <w:rFonts w:ascii="Palatino Linotype" w:eastAsia="Palatino Linotype" w:hAnsi="Palatino Linotype" w:cs="Palatino Linotype"/>
        </w:rPr>
        <w:t>Una vez precisado lo anterior, previo al análisis de fondo del presente asunto, es oportuno referir que no escapa de la óptica de este Organismo Garante que la persona solicitante, al momento de interponer su recurso de revisión, realizó diversos planteamientos subjetivos, tales como “</w:t>
      </w:r>
      <w:r w:rsidRPr="008E4418">
        <w:rPr>
          <w:rFonts w:ascii="Palatino Linotype" w:eastAsia="Palatino Linotype" w:hAnsi="Palatino Linotype" w:cs="Palatino Linotype"/>
          <w:i/>
        </w:rPr>
        <w:t>Es realmente molesto tantas evasivas a entregar archivos reportes que obran en sus archivos y que además se les mando un ejemplo claro y exacto de lo solicitado. Ojalá con este Recurso de Revisión ya no hagan más pernicioso el tema</w:t>
      </w:r>
      <w:r w:rsidRPr="008E4418">
        <w:rPr>
          <w:rFonts w:ascii="Palatino Linotype" w:eastAsia="Palatino Linotype" w:hAnsi="Palatino Linotype" w:cs="Palatino Linotype"/>
        </w:rPr>
        <w:t>” … “</w:t>
      </w:r>
      <w:r w:rsidRPr="008E4418">
        <w:rPr>
          <w:rFonts w:ascii="Palatino Linotype" w:eastAsia="Palatino Linotype" w:hAnsi="Palatino Linotype" w:cs="Palatino Linotype"/>
          <w:i/>
        </w:rPr>
        <w:t>es tediosa y poco entendible y de total desagrado para manejar para mi</w:t>
      </w:r>
      <w:r w:rsidRPr="008E4418">
        <w:rPr>
          <w:rFonts w:ascii="Palatino Linotype" w:eastAsia="Palatino Linotype" w:hAnsi="Palatino Linotype" w:cs="Palatino Linotype"/>
        </w:rPr>
        <w:t>” (sic), ante lo cual se puntualiza que el Derecho al acceso a la información pública constituye una prerrogativa para acceder a documentos o registros de información pública generada o en posesión de los Sujetos Obligados,  motivo por el cual, este Organismo Garante precisa que dichas manifestaciones no son susceptibles de ser tomadas en consideración en la resolución del presente asunto, toda vez que no constituyen el ejercicio de un Derecho de acceso a la información pública, sino más bien el ejercicio de un Derecho de expresión, cuya finalidad consiste en contextualizar sus motivos de inconformidad. En este sentido, se trata de manifestaciones sobre las cuales este Instituto no está facultado para pronunciarse.</w:t>
      </w:r>
    </w:p>
    <w:p w14:paraId="5140512C" w14:textId="77777777" w:rsidR="00905E09" w:rsidRPr="008E4418" w:rsidRDefault="00CE232F">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En segundo lugar, es imprescindible mencionar que las Unidades de Transparencia, son el área responsable en cada Sujeto Obligado para dar atención a las solicitudes </w:t>
      </w:r>
      <w:r w:rsidRPr="008E4418">
        <w:rPr>
          <w:rFonts w:ascii="Palatino Linotype" w:eastAsia="Palatino Linotype" w:hAnsi="Palatino Linotype" w:cs="Palatino Linotype"/>
        </w:rPr>
        <w:lastRenderedPageBreak/>
        <w:t>de información que se realicen al amparo de la Ley, el responsable de dicha área funge como enlace entre el Sujeto Obligado y los solicitantes, y tiene bajo su responsabilidad el tramitar internamente la solicitud de información.</w:t>
      </w:r>
    </w:p>
    <w:p w14:paraId="2B76F1EF"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0D2C1559" w14:textId="77777777" w:rsidR="00905E09" w:rsidRPr="008E4418" w:rsidRDefault="00CE232F">
      <w:pPr>
        <w:spacing w:before="240" w:after="240" w:line="360" w:lineRule="auto"/>
        <w:ind w:right="51"/>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w:t>
      </w:r>
      <w:r w:rsidRPr="008E4418">
        <w:rPr>
          <w:rFonts w:ascii="Palatino Linotype" w:eastAsia="Palatino Linotype" w:hAnsi="Palatino Linotype" w:cs="Palatino Linotype"/>
        </w:rPr>
        <w:lastRenderedPageBreak/>
        <w:t>de la Ley de la Ley de Transparencia y Acceso a la Información Pública del Estado de México y Municipios.</w:t>
      </w:r>
    </w:p>
    <w:p w14:paraId="6F3BC1A9"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De lo manifestado con antelación se advierte que el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6281516D"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Ahora bien, toda vez que la persona solicitante requirió información del municipio y las paramunicipales, entendidas estas últimas como las dependencias que forman parte de la Administración Pública Municipal creadas para auxiliar a la administración central para realizar alguna actividad considerada estratégica o privada, la prestación de algún servicio público o social, o la aplicación de recursos con fines específicos, pudiendo ser entidades paramunicipales, organismos descentralizados, empresas, fideicomisos, o cualquier otro tipo de institución, organización o unidad administrativa pública de características similares, es preciso señalar que de acuerdo con los artículos 36, 40 y 41 del Bando Municipal de La Paz   la administración pública municipal se organiza de la siguiente forma:</w:t>
      </w:r>
    </w:p>
    <w:p w14:paraId="161DA522"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r w:rsidRPr="008E4418">
        <w:rPr>
          <w:rFonts w:ascii="Palatino Linotype" w:eastAsia="Palatino Linotype" w:hAnsi="Palatino Linotype" w:cs="Palatino Linotype"/>
          <w:b/>
          <w:i/>
          <w:sz w:val="22"/>
          <w:szCs w:val="22"/>
        </w:rPr>
        <w:t>Artículo 36</w:t>
      </w:r>
      <w:r w:rsidRPr="008E4418">
        <w:rPr>
          <w:rFonts w:ascii="Palatino Linotype" w:eastAsia="Palatino Linotype" w:hAnsi="Palatino Linotype" w:cs="Palatino Linotype"/>
          <w:i/>
          <w:sz w:val="22"/>
          <w:szCs w:val="22"/>
        </w:rPr>
        <w:t xml:space="preserve">. La estructura orgánica de la Administración Pública Municipal, y de los Organismos Públicos Descentralizados se encargará del despacho de los asuntos que le sean encomendados por la persona Titular de la Presidencia Municipal, en el ejercicio de su facultad delegatoria y estará estructurado conforme a lo siguiente: </w:t>
      </w:r>
    </w:p>
    <w:p w14:paraId="0A54B75C"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 xml:space="preserve">● Organigrama de la Administración Pública Municipal 2022-2024 </w:t>
      </w:r>
    </w:p>
    <w:p w14:paraId="6F0B0C20"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 xml:space="preserve">● Organigrama del O.P.D.A.P.A.S </w:t>
      </w:r>
    </w:p>
    <w:p w14:paraId="15DD2150"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lastRenderedPageBreak/>
        <w:t xml:space="preserve">● Organigrama del Sistema Municipal del DIF </w:t>
      </w:r>
    </w:p>
    <w:p w14:paraId="5F53ACF0"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 Organigrama del IMCUFIDE</w:t>
      </w:r>
    </w:p>
    <w:p w14:paraId="281E59D7" w14:textId="77777777" w:rsidR="00905E09" w:rsidRPr="008E4418" w:rsidRDefault="00CE232F">
      <w:pPr>
        <w:spacing w:before="120" w:after="120"/>
        <w:ind w:left="851" w:right="902"/>
        <w:jc w:val="both"/>
        <w:rPr>
          <w:rFonts w:ascii="Palatino Linotype" w:eastAsia="Palatino Linotype" w:hAnsi="Palatino Linotype" w:cs="Palatino Linotype"/>
          <w:b/>
          <w:i/>
          <w:sz w:val="22"/>
          <w:szCs w:val="22"/>
        </w:rPr>
      </w:pPr>
      <w:r w:rsidRPr="008E4418">
        <w:rPr>
          <w:rFonts w:ascii="Palatino Linotype" w:eastAsia="Palatino Linotype" w:hAnsi="Palatino Linotype" w:cs="Palatino Linotype"/>
          <w:b/>
          <w:i/>
          <w:sz w:val="22"/>
          <w:szCs w:val="22"/>
        </w:rPr>
        <w:t>...</w:t>
      </w:r>
    </w:p>
    <w:p w14:paraId="2F69611A"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Artículo 40</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b/>
          <w:i/>
          <w:sz w:val="22"/>
          <w:szCs w:val="22"/>
        </w:rPr>
        <w:t>Son organismos públicos descentralizados</w:t>
      </w:r>
      <w:r w:rsidRPr="008E4418">
        <w:rPr>
          <w:rFonts w:ascii="Palatino Linotype" w:eastAsia="Palatino Linotype" w:hAnsi="Palatino Linotype" w:cs="Palatino Linotype"/>
          <w:i/>
          <w:sz w:val="22"/>
          <w:szCs w:val="22"/>
        </w:rPr>
        <w:t xml:space="preserve"> de la Administración Pública Municipal, los siguientes:</w:t>
      </w:r>
    </w:p>
    <w:p w14:paraId="78BEEDAC"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I.</w:t>
      </w:r>
      <w:r w:rsidRPr="008E4418">
        <w:rPr>
          <w:rFonts w:ascii="Palatino Linotype" w:eastAsia="Palatino Linotype" w:hAnsi="Palatino Linotype" w:cs="Palatino Linotype"/>
          <w:i/>
          <w:sz w:val="22"/>
          <w:szCs w:val="22"/>
        </w:rPr>
        <w:t xml:space="preserve"> El Sistema Municipal para el Desarrollo Integral de la Familia (DIF) del Municipio de La Paz; sin perjuicio de lo dispuesto por la normatividad aplicable, podrá implementar programas en beneficio de los habitantes del Municipio, así mismo los servidores públicos coadyuvarán las acciones destinadas a mejorar las condiciones de estancia y calidad de vida de la ciudadanía; </w:t>
      </w:r>
    </w:p>
    <w:p w14:paraId="4FB0C769"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II</w:t>
      </w:r>
      <w:r w:rsidRPr="008E4418">
        <w:rPr>
          <w:rFonts w:ascii="Palatino Linotype" w:eastAsia="Palatino Linotype" w:hAnsi="Palatino Linotype" w:cs="Palatino Linotype"/>
          <w:i/>
          <w:sz w:val="22"/>
          <w:szCs w:val="22"/>
        </w:rPr>
        <w:t xml:space="preserve">. El Organismo Público Descentralizado para la prestación de los Servicios de Agua Potable, Alcantarillado y Saneamiento (OPDAPAS) del Municipio de La Paz, sin perjuicio de lo dispuesto por la normatividad aplicable, podrá implementar los programas previamente aprobados por el Consejo Directivo y el Ayuntamiento, tendientes a difundir la cultura de pago entre la población, ampliar la base de contribuyentes, estimular el pago oportuno y recuperar sus créditos fiscales; y </w:t>
      </w:r>
    </w:p>
    <w:p w14:paraId="4BDEDE96"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III</w:t>
      </w:r>
      <w:r w:rsidRPr="008E4418">
        <w:rPr>
          <w:rFonts w:ascii="Palatino Linotype" w:eastAsia="Palatino Linotype" w:hAnsi="Palatino Linotype" w:cs="Palatino Linotype"/>
          <w:i/>
          <w:sz w:val="22"/>
          <w:szCs w:val="22"/>
        </w:rPr>
        <w:t xml:space="preserve">. El Instituto Municipal de Cultura Física y Deporte de La Paz, asegurará el cumplimiento del deber de un servicio público como es el deporte y la cultura física, con personalidad jurídica y patrimonio propio. </w:t>
      </w:r>
    </w:p>
    <w:p w14:paraId="400DF95C"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Estos organismos descentralizados tendrán personalidad jurídica, patrimonios propios, y coadyuvarán con el Ayuntamiento en el ejercicio de las funciones, desarrollo de actividades y prestación de servicios públicos municipales, en los términos de las leyes que los rigen, del presente Bando y demás ordenamientos jurídicos estatales y municipales.</w:t>
      </w:r>
    </w:p>
    <w:p w14:paraId="7324023B"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Artículo 41</w:t>
      </w:r>
      <w:r w:rsidRPr="008E4418">
        <w:rPr>
          <w:rFonts w:ascii="Palatino Linotype" w:eastAsia="Palatino Linotype" w:hAnsi="Palatino Linotype" w:cs="Palatino Linotype"/>
          <w:i/>
          <w:sz w:val="22"/>
          <w:szCs w:val="22"/>
        </w:rPr>
        <w:t>. La Defensoría Municipal de Derechos Humanos, es un órgano avalado por el Ayuntamiento, con autonomía en sus decisiones, quien para el desarrollo de sus funciones deberá coordinarse con la Comisión de Derechos Humanos del Estado de México y en su caso con la Comisión Nacional de Derechos Humanos.</w:t>
      </w:r>
    </w:p>
    <w:p w14:paraId="47767A09"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p>
    <w:p w14:paraId="273474A0"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Como se advierte, la administración pública municipal de La Paz, adopta las formas de organización centralizada y descentralizada.</w:t>
      </w:r>
    </w:p>
    <w:p w14:paraId="226AF14C" w14:textId="77777777" w:rsidR="00905E09" w:rsidRPr="008E4418" w:rsidRDefault="00CE232F">
      <w:pPr>
        <w:tabs>
          <w:tab w:val="left" w:pos="284"/>
        </w:tabs>
        <w:spacing w:before="240" w:after="240" w:line="360" w:lineRule="auto"/>
        <w:ind w:right="51"/>
        <w:jc w:val="both"/>
        <w:rPr>
          <w:rFonts w:ascii="Palatino Linotype" w:eastAsia="Palatino Linotype" w:hAnsi="Palatino Linotype" w:cs="Palatino Linotype"/>
          <w:b/>
        </w:rPr>
      </w:pPr>
      <w:r w:rsidRPr="008E4418">
        <w:rPr>
          <w:rFonts w:ascii="Palatino Linotype" w:eastAsia="Palatino Linotype" w:hAnsi="Palatino Linotype" w:cs="Palatino Linotype"/>
        </w:rPr>
        <w:lastRenderedPageBreak/>
        <w:t xml:space="preserve">En este tenor, es de suma importancia mencionar que en materia de transparencia el </w:t>
      </w:r>
      <w:r w:rsidRPr="008E4418">
        <w:rPr>
          <w:rFonts w:ascii="Palatino Linotype" w:eastAsia="Palatino Linotype" w:hAnsi="Palatino Linotype" w:cs="Palatino Linotype"/>
          <w:b/>
        </w:rPr>
        <w:t xml:space="preserve">Ayuntamiento de La Paz, </w:t>
      </w:r>
      <w:r w:rsidRPr="008E4418">
        <w:rPr>
          <w:rFonts w:ascii="Palatino Linotype" w:eastAsia="Palatino Linotype" w:hAnsi="Palatino Linotype" w:cs="Palatino Linotype"/>
        </w:rPr>
        <w:t>el</w:t>
      </w:r>
      <w:r w:rsidRPr="008E4418">
        <w:rPr>
          <w:rFonts w:ascii="Palatino Linotype" w:eastAsia="Palatino Linotype" w:hAnsi="Palatino Linotype" w:cs="Palatino Linotype"/>
          <w:b/>
        </w:rPr>
        <w:t xml:space="preserve"> Organismo Público Descentralizado para la Prestación de los Servicios de Agua Potable, Alcantarillado y Saneamiento del Municipio de La Paz, México, “OPDAPAS”, </w:t>
      </w:r>
      <w:r w:rsidRPr="008E4418">
        <w:rPr>
          <w:rFonts w:ascii="Palatino Linotype" w:eastAsia="Palatino Linotype" w:hAnsi="Palatino Linotype" w:cs="Palatino Linotype"/>
        </w:rPr>
        <w:t xml:space="preserve">el </w:t>
      </w:r>
      <w:r w:rsidRPr="008E4418">
        <w:rPr>
          <w:rFonts w:ascii="Palatino Linotype" w:eastAsia="Palatino Linotype" w:hAnsi="Palatino Linotype" w:cs="Palatino Linotype"/>
          <w:b/>
        </w:rPr>
        <w:t xml:space="preserve">Sistema Municipal para el Desarrollo Integral de la Familia de La Paz, </w:t>
      </w:r>
      <w:r w:rsidRPr="008E4418">
        <w:rPr>
          <w:rFonts w:ascii="Palatino Linotype" w:eastAsia="Palatino Linotype" w:hAnsi="Palatino Linotype" w:cs="Palatino Linotype"/>
        </w:rPr>
        <w:t xml:space="preserve">y </w:t>
      </w:r>
      <w:r w:rsidRPr="008E4418">
        <w:rPr>
          <w:rFonts w:ascii="Palatino Linotype" w:eastAsia="Palatino Linotype" w:hAnsi="Palatino Linotype" w:cs="Palatino Linotype"/>
          <w:b/>
        </w:rPr>
        <w:t xml:space="preserve">el Instituto Municipal de Cultura Física y Deporte de La Paz, </w:t>
      </w:r>
      <w:r w:rsidRPr="008E4418">
        <w:rPr>
          <w:rFonts w:ascii="Palatino Linotype" w:eastAsia="Palatino Linotype" w:hAnsi="Palatino Linotype" w:cs="Palatino Linotype"/>
          <w:b/>
          <w:u w:val="single"/>
        </w:rPr>
        <w:t>son reconocidos como Sujetos Obligados</w:t>
      </w:r>
      <w:r w:rsidRPr="008E4418">
        <w:rPr>
          <w:rFonts w:ascii="Palatino Linotype" w:eastAsia="Palatino Linotype" w:hAnsi="Palatino Linotype" w:cs="Palatino Linotype"/>
        </w:rPr>
        <w:t xml:space="preserve"> de conformidad con el Padrón de Sujetos Obligados en materia de Transparencia y Acceso a la Información Pública del Estado de México y Municipios aprobado por el Pleno de este Instituto el veintisiete de enero de dos mil diecisiete y sus modificaciones posteriores, como se ilustra a continuación para mejor referencia:</w:t>
      </w:r>
    </w:p>
    <w:p w14:paraId="7BB7BBE9" w14:textId="77777777" w:rsidR="00905E09" w:rsidRPr="008E4418" w:rsidRDefault="00CE232F">
      <w:pPr>
        <w:tabs>
          <w:tab w:val="left" w:pos="284"/>
        </w:tabs>
        <w:spacing w:before="120" w:after="120"/>
        <w:ind w:right="51"/>
        <w:jc w:val="both"/>
        <w:rPr>
          <w:rFonts w:ascii="Palatino Linotype" w:eastAsia="Palatino Linotype" w:hAnsi="Palatino Linotype" w:cs="Palatino Linotype"/>
        </w:rPr>
      </w:pPr>
      <w:r w:rsidRPr="008E4418">
        <w:rPr>
          <w:rFonts w:ascii="Palatino Linotype" w:eastAsia="Palatino Linotype" w:hAnsi="Palatino Linotype" w:cs="Palatino Linotype"/>
          <w:noProof/>
        </w:rPr>
        <w:drawing>
          <wp:inline distT="0" distB="0" distL="0" distR="0" wp14:anchorId="693A398C" wp14:editId="79BE9B61">
            <wp:extent cx="5612130" cy="300355"/>
            <wp:effectExtent l="0" t="0" r="0" b="0"/>
            <wp:docPr id="21401319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612130" cy="300355"/>
                    </a:xfrm>
                    <a:prstGeom prst="rect">
                      <a:avLst/>
                    </a:prstGeom>
                    <a:ln/>
                  </pic:spPr>
                </pic:pic>
              </a:graphicData>
            </a:graphic>
          </wp:inline>
        </w:drawing>
      </w:r>
    </w:p>
    <w:p w14:paraId="52B0C88A" w14:textId="77777777" w:rsidR="00905E09" w:rsidRPr="008E4418" w:rsidRDefault="00CE232F">
      <w:pPr>
        <w:tabs>
          <w:tab w:val="left" w:pos="284"/>
        </w:tabs>
        <w:spacing w:before="120" w:after="120"/>
        <w:ind w:right="51"/>
        <w:jc w:val="both"/>
        <w:rPr>
          <w:rFonts w:ascii="Palatino Linotype" w:eastAsia="Palatino Linotype" w:hAnsi="Palatino Linotype" w:cs="Palatino Linotype"/>
        </w:rPr>
      </w:pPr>
      <w:r w:rsidRPr="008E4418">
        <w:rPr>
          <w:noProof/>
        </w:rPr>
        <w:drawing>
          <wp:inline distT="0" distB="0" distL="0" distR="0" wp14:anchorId="205BCB2E" wp14:editId="7C8E6FC3">
            <wp:extent cx="5612130" cy="324485"/>
            <wp:effectExtent l="0" t="0" r="0" b="0"/>
            <wp:docPr id="214013194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5612130" cy="324485"/>
                    </a:xfrm>
                    <a:prstGeom prst="rect">
                      <a:avLst/>
                    </a:prstGeom>
                    <a:ln/>
                  </pic:spPr>
                </pic:pic>
              </a:graphicData>
            </a:graphic>
          </wp:inline>
        </w:drawing>
      </w:r>
    </w:p>
    <w:p w14:paraId="630A2960" w14:textId="77777777" w:rsidR="00905E09" w:rsidRPr="008E4418" w:rsidRDefault="00CE232F">
      <w:pPr>
        <w:tabs>
          <w:tab w:val="left" w:pos="284"/>
        </w:tabs>
        <w:spacing w:before="120" w:after="120"/>
        <w:ind w:right="51"/>
        <w:jc w:val="both"/>
        <w:rPr>
          <w:rFonts w:ascii="Palatino Linotype" w:eastAsia="Palatino Linotype" w:hAnsi="Palatino Linotype" w:cs="Palatino Linotype"/>
        </w:rPr>
      </w:pPr>
      <w:r w:rsidRPr="008E4418">
        <w:rPr>
          <w:rFonts w:ascii="Palatino Linotype" w:eastAsia="Palatino Linotype" w:hAnsi="Palatino Linotype" w:cs="Palatino Linotype"/>
          <w:noProof/>
        </w:rPr>
        <w:drawing>
          <wp:inline distT="0" distB="0" distL="0" distR="0" wp14:anchorId="7F6273B0" wp14:editId="7EFD1DD8">
            <wp:extent cx="5612130" cy="607060"/>
            <wp:effectExtent l="0" t="0" r="0" b="0"/>
            <wp:docPr id="21401319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612130" cy="607060"/>
                    </a:xfrm>
                    <a:prstGeom prst="rect">
                      <a:avLst/>
                    </a:prstGeom>
                    <a:ln/>
                  </pic:spPr>
                </pic:pic>
              </a:graphicData>
            </a:graphic>
          </wp:inline>
        </w:drawing>
      </w:r>
    </w:p>
    <w:p w14:paraId="17E24083" w14:textId="77777777" w:rsidR="00905E09" w:rsidRPr="008E4418" w:rsidRDefault="00CE232F">
      <w:pPr>
        <w:tabs>
          <w:tab w:val="left" w:pos="284"/>
        </w:tabs>
        <w:spacing w:before="120" w:after="120"/>
        <w:ind w:right="51"/>
        <w:jc w:val="both"/>
        <w:rPr>
          <w:rFonts w:ascii="Palatino Linotype" w:eastAsia="Palatino Linotype" w:hAnsi="Palatino Linotype" w:cs="Palatino Linotype"/>
        </w:rPr>
      </w:pPr>
      <w:r w:rsidRPr="008E4418">
        <w:rPr>
          <w:noProof/>
        </w:rPr>
        <w:drawing>
          <wp:inline distT="0" distB="0" distL="0" distR="0" wp14:anchorId="4F6EF1DC" wp14:editId="6E4171A4">
            <wp:extent cx="5612130" cy="544830"/>
            <wp:effectExtent l="0" t="0" r="0" b="0"/>
            <wp:docPr id="214013194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8"/>
                    <a:srcRect/>
                    <a:stretch>
                      <a:fillRect/>
                    </a:stretch>
                  </pic:blipFill>
                  <pic:spPr>
                    <a:xfrm>
                      <a:off x="0" y="0"/>
                      <a:ext cx="5612130" cy="544830"/>
                    </a:xfrm>
                    <a:prstGeom prst="rect">
                      <a:avLst/>
                    </a:prstGeom>
                    <a:ln/>
                  </pic:spPr>
                </pic:pic>
              </a:graphicData>
            </a:graphic>
          </wp:inline>
        </w:drawing>
      </w:r>
    </w:p>
    <w:p w14:paraId="5DD1A5FF" w14:textId="77777777" w:rsidR="00905E09" w:rsidRPr="008E4418" w:rsidRDefault="00CE232F">
      <w:pPr>
        <w:tabs>
          <w:tab w:val="left" w:pos="284"/>
        </w:tabs>
        <w:spacing w:before="120" w:after="120"/>
        <w:ind w:right="51"/>
        <w:jc w:val="both"/>
        <w:rPr>
          <w:rFonts w:ascii="Palatino Linotype" w:eastAsia="Palatino Linotype" w:hAnsi="Palatino Linotype" w:cs="Palatino Linotype"/>
        </w:rPr>
      </w:pPr>
      <w:r w:rsidRPr="008E4418">
        <w:rPr>
          <w:rFonts w:ascii="Palatino Linotype" w:eastAsia="Palatino Linotype" w:hAnsi="Palatino Linotype" w:cs="Palatino Linotype"/>
          <w:noProof/>
        </w:rPr>
        <w:drawing>
          <wp:inline distT="0" distB="0" distL="0" distR="0" wp14:anchorId="5FB18FEC" wp14:editId="39EB2794">
            <wp:extent cx="5612130" cy="334010"/>
            <wp:effectExtent l="0" t="0" r="0" b="0"/>
            <wp:docPr id="21401319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5612130" cy="334010"/>
                    </a:xfrm>
                    <a:prstGeom prst="rect">
                      <a:avLst/>
                    </a:prstGeom>
                    <a:ln/>
                  </pic:spPr>
                </pic:pic>
              </a:graphicData>
            </a:graphic>
          </wp:inline>
        </w:drawing>
      </w:r>
    </w:p>
    <w:p w14:paraId="4EDA219F" w14:textId="77777777" w:rsidR="00905E09" w:rsidRPr="008E4418" w:rsidRDefault="00CE232F">
      <w:pPr>
        <w:tabs>
          <w:tab w:val="left" w:pos="284"/>
        </w:tabs>
        <w:spacing w:before="120" w:after="120"/>
        <w:ind w:right="51"/>
        <w:jc w:val="both"/>
        <w:rPr>
          <w:rFonts w:ascii="Palatino Linotype" w:eastAsia="Palatino Linotype" w:hAnsi="Palatino Linotype" w:cs="Palatino Linotype"/>
        </w:rPr>
      </w:pPr>
      <w:r w:rsidRPr="008E4418">
        <w:rPr>
          <w:noProof/>
        </w:rPr>
        <w:drawing>
          <wp:inline distT="0" distB="0" distL="0" distR="0" wp14:anchorId="0D5A2040" wp14:editId="5593F5AA">
            <wp:extent cx="5612130" cy="334645"/>
            <wp:effectExtent l="0" t="0" r="0" b="0"/>
            <wp:docPr id="214013194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0"/>
                    <a:srcRect/>
                    <a:stretch>
                      <a:fillRect/>
                    </a:stretch>
                  </pic:blipFill>
                  <pic:spPr>
                    <a:xfrm>
                      <a:off x="0" y="0"/>
                      <a:ext cx="5612130" cy="334645"/>
                    </a:xfrm>
                    <a:prstGeom prst="rect">
                      <a:avLst/>
                    </a:prstGeom>
                    <a:ln/>
                  </pic:spPr>
                </pic:pic>
              </a:graphicData>
            </a:graphic>
          </wp:inline>
        </w:drawing>
      </w:r>
    </w:p>
    <w:p w14:paraId="21489F83" w14:textId="77777777" w:rsidR="00905E09" w:rsidRPr="008E4418" w:rsidRDefault="00CE232F">
      <w:pPr>
        <w:tabs>
          <w:tab w:val="left" w:pos="284"/>
        </w:tabs>
        <w:spacing w:before="120" w:after="120"/>
        <w:ind w:right="51"/>
        <w:jc w:val="both"/>
        <w:rPr>
          <w:rFonts w:ascii="Palatino Linotype" w:eastAsia="Palatino Linotype" w:hAnsi="Palatino Linotype" w:cs="Palatino Linotype"/>
        </w:rPr>
      </w:pPr>
      <w:r w:rsidRPr="008E4418">
        <w:rPr>
          <w:rFonts w:ascii="Palatino Linotype" w:eastAsia="Palatino Linotype" w:hAnsi="Palatino Linotype" w:cs="Palatino Linotype"/>
          <w:noProof/>
        </w:rPr>
        <w:drawing>
          <wp:inline distT="0" distB="0" distL="0" distR="0" wp14:anchorId="2844605D" wp14:editId="62318EF3">
            <wp:extent cx="5612130" cy="299720"/>
            <wp:effectExtent l="0" t="0" r="0" b="0"/>
            <wp:docPr id="214013195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1"/>
                    <a:srcRect/>
                    <a:stretch>
                      <a:fillRect/>
                    </a:stretch>
                  </pic:blipFill>
                  <pic:spPr>
                    <a:xfrm>
                      <a:off x="0" y="0"/>
                      <a:ext cx="5612130" cy="299720"/>
                    </a:xfrm>
                    <a:prstGeom prst="rect">
                      <a:avLst/>
                    </a:prstGeom>
                    <a:ln/>
                  </pic:spPr>
                </pic:pic>
              </a:graphicData>
            </a:graphic>
          </wp:inline>
        </w:drawing>
      </w:r>
    </w:p>
    <w:p w14:paraId="7A1C3AC1" w14:textId="77777777" w:rsidR="00905E09" w:rsidRPr="008E4418" w:rsidRDefault="00CE232F">
      <w:pPr>
        <w:tabs>
          <w:tab w:val="left" w:pos="284"/>
        </w:tabs>
        <w:spacing w:before="120" w:after="120"/>
        <w:ind w:right="51"/>
        <w:jc w:val="both"/>
        <w:rPr>
          <w:rFonts w:ascii="Palatino Linotype" w:eastAsia="Palatino Linotype" w:hAnsi="Palatino Linotype" w:cs="Palatino Linotype"/>
        </w:rPr>
      </w:pPr>
      <w:r w:rsidRPr="008E4418">
        <w:rPr>
          <w:noProof/>
        </w:rPr>
        <w:drawing>
          <wp:inline distT="0" distB="0" distL="0" distR="0" wp14:anchorId="2245DED7" wp14:editId="6D829A6C">
            <wp:extent cx="5612130" cy="331470"/>
            <wp:effectExtent l="0" t="0" r="0" b="0"/>
            <wp:docPr id="214013195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5612130" cy="331470"/>
                    </a:xfrm>
                    <a:prstGeom prst="rect">
                      <a:avLst/>
                    </a:prstGeom>
                    <a:ln/>
                  </pic:spPr>
                </pic:pic>
              </a:graphicData>
            </a:graphic>
          </wp:inline>
        </w:drawing>
      </w:r>
    </w:p>
    <w:p w14:paraId="2806F9F9" w14:textId="77777777" w:rsidR="00905E09" w:rsidRPr="008E4418" w:rsidRDefault="00CE232F">
      <w:pPr>
        <w:spacing w:before="240" w:after="240" w:line="360" w:lineRule="auto"/>
        <w:ind w:right="51"/>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Por consiguiente, el Ayuntamiento de La Paz es responsable de transparentar la información de las dependencias que integren la estructura orgánica centralizada, </w:t>
      </w:r>
      <w:r w:rsidRPr="008E4418">
        <w:rPr>
          <w:rFonts w:ascii="Palatino Linotype" w:eastAsia="Palatino Linotype" w:hAnsi="Palatino Linotype" w:cs="Palatino Linotype"/>
        </w:rPr>
        <w:lastRenderedPageBreak/>
        <w:t xml:space="preserve">mientras que los organismos públicos descentralizados municipales </w:t>
      </w:r>
      <w:r w:rsidRPr="008E4418">
        <w:rPr>
          <w:rFonts w:ascii="Palatino Linotype" w:eastAsia="Palatino Linotype" w:hAnsi="Palatino Linotype" w:cs="Palatino Linotype"/>
          <w:b/>
        </w:rPr>
        <w:t>están dotados de personalidad jurídica propia, patrimonio propio y autonomía en el manejo de sus recursos,</w:t>
      </w:r>
      <w:r w:rsidRPr="008E4418">
        <w:rPr>
          <w:rFonts w:ascii="Palatino Linotype" w:eastAsia="Palatino Linotype" w:hAnsi="Palatino Linotype" w:cs="Palatino Linotype"/>
        </w:rPr>
        <w:t xml:space="preserve"> cuentan</w:t>
      </w:r>
      <w:r w:rsidRPr="008E4418">
        <w:rPr>
          <w:rFonts w:ascii="Palatino Linotype" w:eastAsia="Palatino Linotype" w:hAnsi="Palatino Linotype" w:cs="Palatino Linotype"/>
          <w:b/>
        </w:rPr>
        <w:t xml:space="preserve"> c</w:t>
      </w:r>
      <w:r w:rsidRPr="008E4418">
        <w:rPr>
          <w:rFonts w:ascii="Palatino Linotype" w:eastAsia="Palatino Linotype" w:hAnsi="Palatino Linotype" w:cs="Palatino Linotype"/>
        </w:rPr>
        <w:t xml:space="preserve">on su propio objeto, marco normativo, atribuciones y estructura orgánica para el cumplimiento de las mismas, y son reconocidos como Sujetos Obligados en materia de transparencia, son responsables de transparentar por sí mismos la información que generen, administren y/o posean en el ejercicio de sus atribuciones, advirtiéndose una notoria incompetencia por parte del </w:t>
      </w:r>
      <w:r w:rsidRPr="008E4418">
        <w:rPr>
          <w:rFonts w:ascii="Palatino Linotype" w:eastAsia="Palatino Linotype" w:hAnsi="Palatino Linotype" w:cs="Palatino Linotype"/>
          <w:b/>
        </w:rPr>
        <w:t xml:space="preserve">Sujeto Obligado </w:t>
      </w:r>
      <w:r w:rsidRPr="008E4418">
        <w:rPr>
          <w:rFonts w:ascii="Palatino Linotype" w:eastAsia="Palatino Linotype" w:hAnsi="Palatino Linotype" w:cs="Palatino Linotype"/>
        </w:rPr>
        <w:t>para proporcionar información respecto de estos últimos.</w:t>
      </w:r>
    </w:p>
    <w:p w14:paraId="2EB082AD" w14:textId="77777777" w:rsidR="00905E09" w:rsidRPr="008E4418" w:rsidRDefault="00CE232F">
      <w:pPr>
        <w:spacing w:line="360" w:lineRule="auto"/>
        <w:ind w:right="49"/>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Dicho lo anterior, es de recordar, respecto a la Declaración de Incompetencia, que la Ley de Transparencia y Acceso a la Información Pública del Estado de México, establece en los artículos 49, fracción II y 167, lo siguiente: </w:t>
      </w:r>
    </w:p>
    <w:p w14:paraId="4491E9AF" w14:textId="77777777" w:rsidR="00905E09" w:rsidRPr="008E4418" w:rsidRDefault="00905E09">
      <w:pPr>
        <w:tabs>
          <w:tab w:val="left" w:pos="1134"/>
        </w:tabs>
        <w:spacing w:line="360" w:lineRule="auto"/>
        <w:ind w:left="567" w:right="902"/>
        <w:jc w:val="both"/>
        <w:rPr>
          <w:rFonts w:ascii="Palatino Linotype" w:eastAsia="Palatino Linotype" w:hAnsi="Palatino Linotype" w:cs="Palatino Linotype"/>
          <w:i/>
          <w:sz w:val="22"/>
          <w:szCs w:val="22"/>
        </w:rPr>
      </w:pPr>
    </w:p>
    <w:p w14:paraId="2CBEB950" w14:textId="77777777" w:rsidR="00905E09" w:rsidRPr="008E4418" w:rsidRDefault="00CE232F">
      <w:pPr>
        <w:tabs>
          <w:tab w:val="left" w:pos="1134"/>
          <w:tab w:val="left" w:pos="1276"/>
        </w:tabs>
        <w:spacing w:line="276" w:lineRule="auto"/>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r w:rsidRPr="008E4418">
        <w:rPr>
          <w:rFonts w:ascii="Palatino Linotype" w:eastAsia="Palatino Linotype" w:hAnsi="Palatino Linotype" w:cs="Palatino Linotype"/>
          <w:b/>
          <w:i/>
          <w:sz w:val="22"/>
          <w:szCs w:val="22"/>
        </w:rPr>
        <w:t>Artículo 49.</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b/>
          <w:i/>
          <w:sz w:val="22"/>
          <w:szCs w:val="22"/>
        </w:rPr>
        <w:t>Los Comités de Transparencia</w:t>
      </w:r>
      <w:r w:rsidRPr="008E4418">
        <w:rPr>
          <w:rFonts w:ascii="Palatino Linotype" w:eastAsia="Palatino Linotype" w:hAnsi="Palatino Linotype" w:cs="Palatino Linotype"/>
          <w:i/>
          <w:sz w:val="22"/>
          <w:szCs w:val="22"/>
        </w:rPr>
        <w:t xml:space="preserve"> tendrán las siguientes atribuciones:</w:t>
      </w:r>
    </w:p>
    <w:p w14:paraId="2BD80AA1" w14:textId="77777777" w:rsidR="00905E09" w:rsidRPr="008E4418" w:rsidRDefault="00CE232F">
      <w:pPr>
        <w:tabs>
          <w:tab w:val="left" w:pos="1134"/>
        </w:tabs>
        <w:spacing w:line="276" w:lineRule="auto"/>
        <w:ind w:left="1134" w:right="902"/>
        <w:jc w:val="both"/>
        <w:rPr>
          <w:rFonts w:ascii="Palatino Linotype" w:eastAsia="Palatino Linotype" w:hAnsi="Palatino Linotype" w:cs="Palatino Linotype"/>
          <w:b/>
          <w:i/>
          <w:sz w:val="22"/>
          <w:szCs w:val="22"/>
        </w:rPr>
      </w:pPr>
      <w:r w:rsidRPr="008E4418">
        <w:rPr>
          <w:rFonts w:ascii="Palatino Linotype" w:eastAsia="Palatino Linotype" w:hAnsi="Palatino Linotype" w:cs="Palatino Linotype"/>
          <w:b/>
          <w:i/>
          <w:sz w:val="22"/>
          <w:szCs w:val="22"/>
        </w:rPr>
        <w:t>...</w:t>
      </w:r>
    </w:p>
    <w:p w14:paraId="1A1C90CA" w14:textId="77777777" w:rsidR="00905E09" w:rsidRPr="008E4418" w:rsidRDefault="00CE232F">
      <w:pPr>
        <w:tabs>
          <w:tab w:val="left" w:pos="1134"/>
        </w:tabs>
        <w:spacing w:line="276" w:lineRule="auto"/>
        <w:ind w:left="1134" w:right="902"/>
        <w:jc w:val="both"/>
        <w:rPr>
          <w:rFonts w:ascii="Palatino Linotype" w:eastAsia="Palatino Linotype" w:hAnsi="Palatino Linotype" w:cs="Palatino Linotype"/>
          <w:b/>
          <w:i/>
          <w:sz w:val="22"/>
          <w:szCs w:val="22"/>
          <w:u w:val="single"/>
        </w:rPr>
      </w:pPr>
      <w:r w:rsidRPr="008E4418">
        <w:rPr>
          <w:rFonts w:ascii="Palatino Linotype" w:eastAsia="Palatino Linotype" w:hAnsi="Palatino Linotype" w:cs="Palatino Linotype"/>
          <w:b/>
          <w:i/>
          <w:sz w:val="22"/>
          <w:szCs w:val="22"/>
        </w:rPr>
        <w:t>II.</w:t>
      </w:r>
      <w:r w:rsidRPr="008E4418">
        <w:rPr>
          <w:rFonts w:ascii="Calibri" w:eastAsia="Calibri" w:hAnsi="Calibri" w:cs="Calibri"/>
          <w:sz w:val="22"/>
          <w:szCs w:val="22"/>
        </w:rPr>
        <w:t xml:space="preserve"> </w:t>
      </w:r>
      <w:r w:rsidRPr="008E4418">
        <w:rPr>
          <w:rFonts w:ascii="Palatino Linotype" w:eastAsia="Palatino Linotype" w:hAnsi="Palatino Linotype" w:cs="Palatino Linotype"/>
          <w:b/>
          <w:i/>
          <w:sz w:val="22"/>
          <w:szCs w:val="22"/>
        </w:rPr>
        <w:t>Confirmar, modificar o revocar</w:t>
      </w:r>
      <w:r w:rsidRPr="008E4418">
        <w:rPr>
          <w:rFonts w:ascii="Palatino Linotype" w:eastAsia="Palatino Linotype" w:hAnsi="Palatino Linotype" w:cs="Palatino Linotype"/>
          <w:i/>
          <w:sz w:val="22"/>
          <w:szCs w:val="22"/>
        </w:rPr>
        <w:t xml:space="preserve"> las determinaciones que en materia de ampliación del plazo de respuesta, clasificación de la información </w:t>
      </w:r>
      <w:r w:rsidRPr="008E4418">
        <w:rPr>
          <w:rFonts w:ascii="Palatino Linotype" w:eastAsia="Palatino Linotype" w:hAnsi="Palatino Linotype" w:cs="Palatino Linotype"/>
          <w:b/>
          <w:i/>
          <w:sz w:val="22"/>
          <w:szCs w:val="22"/>
        </w:rPr>
        <w:t>y declaración</w:t>
      </w:r>
      <w:r w:rsidRPr="008E4418">
        <w:rPr>
          <w:rFonts w:ascii="Palatino Linotype" w:eastAsia="Palatino Linotype" w:hAnsi="Palatino Linotype" w:cs="Palatino Linotype"/>
          <w:i/>
          <w:sz w:val="22"/>
          <w:szCs w:val="22"/>
        </w:rPr>
        <w:t xml:space="preserve"> de inexistencia o </w:t>
      </w:r>
      <w:r w:rsidRPr="008E4418">
        <w:rPr>
          <w:rFonts w:ascii="Palatino Linotype" w:eastAsia="Palatino Linotype" w:hAnsi="Palatino Linotype" w:cs="Palatino Linotype"/>
          <w:b/>
          <w:i/>
          <w:sz w:val="22"/>
          <w:szCs w:val="22"/>
        </w:rPr>
        <w:t>de incompetencia realicen los titulares de las áreas de los sujetos obligados;</w:t>
      </w:r>
    </w:p>
    <w:p w14:paraId="54EB681A" w14:textId="77777777" w:rsidR="00905E09" w:rsidRPr="008E4418" w:rsidRDefault="00CE232F">
      <w:pPr>
        <w:tabs>
          <w:tab w:val="left" w:pos="1134"/>
        </w:tabs>
        <w:spacing w:line="276" w:lineRule="auto"/>
        <w:ind w:left="851" w:right="902"/>
        <w:jc w:val="both"/>
        <w:rPr>
          <w:rFonts w:ascii="Palatino Linotype" w:eastAsia="Palatino Linotype" w:hAnsi="Palatino Linotype" w:cs="Palatino Linotype"/>
          <w:b/>
          <w:i/>
          <w:sz w:val="22"/>
          <w:szCs w:val="22"/>
        </w:rPr>
      </w:pPr>
      <w:r w:rsidRPr="008E4418">
        <w:rPr>
          <w:rFonts w:ascii="Palatino Linotype" w:eastAsia="Palatino Linotype" w:hAnsi="Palatino Linotype" w:cs="Palatino Linotype"/>
          <w:b/>
          <w:i/>
          <w:sz w:val="22"/>
          <w:szCs w:val="22"/>
        </w:rPr>
        <w:t>...</w:t>
      </w:r>
    </w:p>
    <w:p w14:paraId="66059BAA" w14:textId="77777777" w:rsidR="00905E09" w:rsidRPr="008E4418" w:rsidRDefault="00CE232F">
      <w:pPr>
        <w:tabs>
          <w:tab w:val="left" w:pos="1134"/>
        </w:tabs>
        <w:spacing w:line="276" w:lineRule="auto"/>
        <w:ind w:left="851" w:right="902"/>
        <w:jc w:val="both"/>
        <w:rPr>
          <w:rFonts w:ascii="Palatino Linotype" w:eastAsia="Palatino Linotype" w:hAnsi="Palatino Linotype" w:cs="Palatino Linotype"/>
          <w:b/>
          <w:i/>
          <w:sz w:val="22"/>
          <w:szCs w:val="22"/>
        </w:rPr>
      </w:pPr>
      <w:r w:rsidRPr="008E4418">
        <w:rPr>
          <w:rFonts w:ascii="Palatino Linotype" w:eastAsia="Palatino Linotype" w:hAnsi="Palatino Linotype" w:cs="Palatino Linotype"/>
          <w:b/>
          <w:i/>
          <w:sz w:val="22"/>
          <w:szCs w:val="22"/>
        </w:rPr>
        <w:t>Artículo 167</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b/>
          <w:i/>
          <w:sz w:val="22"/>
          <w:szCs w:val="22"/>
        </w:rPr>
        <w:t>Cuando las unidades de transparencia determinen la notoria incompetencia</w:t>
      </w:r>
      <w:r w:rsidRPr="008E4418">
        <w:rPr>
          <w:rFonts w:ascii="Palatino Linotype" w:eastAsia="Palatino Linotype" w:hAnsi="Palatino Linotype" w:cs="Palatino Linotype"/>
          <w:i/>
          <w:sz w:val="22"/>
          <w:szCs w:val="22"/>
        </w:rPr>
        <w:t xml:space="preserve"> por parte de los sujetos obligados, dentro del ámbito de aplicación, para atender la solicitud de acceso a la información, </w:t>
      </w:r>
      <w:r w:rsidRPr="008E4418">
        <w:rPr>
          <w:rFonts w:ascii="Palatino Linotype" w:eastAsia="Palatino Linotype" w:hAnsi="Palatino Linotype" w:cs="Palatino Linotype"/>
          <w:b/>
          <w:i/>
          <w:sz w:val="22"/>
          <w:szCs w:val="22"/>
        </w:rPr>
        <w:t>deberán comunicarlo al solicitante, dentro de los tres días hábiles posteriores a la recepción de la solicitud</w:t>
      </w:r>
      <w:r w:rsidRPr="008E4418">
        <w:rPr>
          <w:rFonts w:ascii="Palatino Linotype" w:eastAsia="Palatino Linotype" w:hAnsi="Palatino Linotype" w:cs="Palatino Linotype"/>
          <w:i/>
          <w:sz w:val="22"/>
          <w:szCs w:val="22"/>
        </w:rPr>
        <w:t xml:space="preserve"> y, </w:t>
      </w:r>
      <w:r w:rsidRPr="008E4418">
        <w:rPr>
          <w:rFonts w:ascii="Palatino Linotype" w:eastAsia="Palatino Linotype" w:hAnsi="Palatino Linotype" w:cs="Palatino Linotype"/>
          <w:b/>
          <w:i/>
          <w:sz w:val="22"/>
          <w:szCs w:val="22"/>
        </w:rPr>
        <w:t>en su caso orientar al solicitante, el o los sujetos obligados competentes.”</w:t>
      </w:r>
    </w:p>
    <w:p w14:paraId="0031AA05" w14:textId="77777777" w:rsidR="00905E09" w:rsidRPr="008E4418" w:rsidRDefault="00CE232F">
      <w:pPr>
        <w:tabs>
          <w:tab w:val="left" w:pos="142"/>
          <w:tab w:val="left" w:pos="284"/>
        </w:tabs>
        <w:spacing w:before="240" w:after="240" w:line="360" w:lineRule="auto"/>
        <w:jc w:val="both"/>
        <w:rPr>
          <w:rFonts w:ascii="Palatino Linotype" w:eastAsia="Palatino Linotype" w:hAnsi="Palatino Linotype" w:cs="Palatino Linotype"/>
          <w:b/>
        </w:rPr>
      </w:pPr>
      <w:r w:rsidRPr="008E4418">
        <w:rPr>
          <w:rFonts w:ascii="Palatino Linotype" w:eastAsia="Palatino Linotype" w:hAnsi="Palatino Linotype" w:cs="Palatino Linotype"/>
        </w:rPr>
        <w:t xml:space="preserve">De los preceptos citados se desprende que es atribución del Comité de Transparencia confirmar, modificar o revocar, en su caso, la declaración de </w:t>
      </w:r>
      <w:r w:rsidRPr="008E4418">
        <w:rPr>
          <w:rFonts w:ascii="Palatino Linotype" w:eastAsia="Palatino Linotype" w:hAnsi="Palatino Linotype" w:cs="Palatino Linotype"/>
        </w:rPr>
        <w:lastRenderedPageBreak/>
        <w:t>incompetencia,</w:t>
      </w:r>
      <w:r w:rsidRPr="008E4418">
        <w:rPr>
          <w:rFonts w:ascii="Palatino Linotype" w:eastAsia="Palatino Linotype" w:hAnsi="Palatino Linotype" w:cs="Palatino Linotype"/>
          <w:b/>
        </w:rPr>
        <w:t xml:space="preserve"> en aquellos casos en los que no se trate de una notoria incompetencia. </w:t>
      </w:r>
    </w:p>
    <w:p w14:paraId="0C542C74" w14:textId="77777777" w:rsidR="00905E09" w:rsidRPr="008E4418" w:rsidRDefault="00CE232F">
      <w:pPr>
        <w:tabs>
          <w:tab w:val="left" w:pos="142"/>
          <w:tab w:val="left" w:pos="284"/>
        </w:tabs>
        <w:spacing w:before="240" w:after="240" w:line="360" w:lineRule="auto"/>
        <w:jc w:val="both"/>
        <w:rPr>
          <w:rFonts w:ascii="Palatino Linotype" w:eastAsia="Palatino Linotype" w:hAnsi="Palatino Linotype" w:cs="Palatino Linotype"/>
          <w:u w:val="single"/>
        </w:rPr>
      </w:pPr>
      <w:r w:rsidRPr="008E4418">
        <w:rPr>
          <w:rFonts w:ascii="Palatino Linotype" w:eastAsia="Palatino Linotype" w:hAnsi="Palatino Linotype" w:cs="Palatino Linotype"/>
        </w:rPr>
        <w:t xml:space="preserve">Puesto que la Ley también prevé que dicho acuerdo no es necesario cuando la Unidad de Transparencia determine que la incompetencia es notoria dando un plazo de tres días hábiles para hacerlo del conocimiento de la persona solicitante. En otras palabras, la Ley de la Materia confiere a las Unidades de Transparencia la posibilidad de notificar la incompetencia cuando ésta sea notoria, siendo innecesario que dicha circunstancia sea sometida a consideración de los integrantes del Comité de Transparencia </w:t>
      </w:r>
      <w:r w:rsidRPr="008E4418">
        <w:rPr>
          <w:rFonts w:ascii="Palatino Linotype" w:eastAsia="Palatino Linotype" w:hAnsi="Palatino Linotype" w:cs="Palatino Linotype"/>
          <w:u w:val="single"/>
        </w:rPr>
        <w:t xml:space="preserve">para su aprobación. </w:t>
      </w:r>
    </w:p>
    <w:p w14:paraId="143A1F2F" w14:textId="77777777" w:rsidR="00905E09" w:rsidRPr="008E4418" w:rsidRDefault="00CE232F">
      <w:pPr>
        <w:tabs>
          <w:tab w:val="left" w:pos="142"/>
          <w:tab w:val="left" w:pos="284"/>
        </w:tabs>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Como sustento de lo anterior, resulta aplicable el Criterio de Interpretación con Clave de control SO/002/2020, emitido por el Instituto Nacional de Transparencia, Acceso a la Información, y Protección de Datos Personales, INAI, que lleva por rubro y texto los siguientes:  </w:t>
      </w:r>
    </w:p>
    <w:p w14:paraId="14CB030B" w14:textId="77777777" w:rsidR="00905E09" w:rsidRPr="008E4418" w:rsidRDefault="00CE232F">
      <w:pPr>
        <w:pBdr>
          <w:top w:val="nil"/>
          <w:left w:val="nil"/>
          <w:bottom w:val="nil"/>
          <w:right w:val="nil"/>
          <w:between w:val="nil"/>
        </w:pBdr>
        <w:spacing w:before="240" w:after="24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“Declaración de incompetencia por parte del Comité, cuando no sea notoria o manifiesta.</w:t>
      </w:r>
      <w:r w:rsidRPr="008E4418">
        <w:rPr>
          <w:rFonts w:ascii="Palatino Linotype" w:eastAsia="Palatino Linotype" w:hAnsi="Palatino Linotype" w:cs="Palatino Linotype"/>
          <w:i/>
          <w:sz w:val="22"/>
          <w:szCs w:val="22"/>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4B407155" w14:textId="77777777" w:rsidR="00905E09" w:rsidRPr="008E4418" w:rsidRDefault="00CE232F">
      <w:pPr>
        <w:tabs>
          <w:tab w:val="left" w:pos="142"/>
          <w:tab w:val="left" w:pos="284"/>
        </w:tabs>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8E4418">
        <w:rPr>
          <w:rFonts w:ascii="Palatino Linotype" w:eastAsia="Palatino Linotype" w:hAnsi="Palatino Linotype" w:cs="Palatino Linotype"/>
          <w:b/>
        </w:rPr>
        <w:t xml:space="preserve"> </w:t>
      </w:r>
      <w:r w:rsidRPr="008E4418">
        <w:rPr>
          <w:rFonts w:ascii="Palatino Linotype" w:eastAsia="Palatino Linotype" w:hAnsi="Palatino Linotype" w:cs="Palatino Linotype"/>
          <w:b/>
          <w:u w:val="single"/>
        </w:rPr>
        <w:t>duda razonable sobre la administración del documento materia de la solicitud de información</w:t>
      </w:r>
      <w:r w:rsidRPr="008E4418">
        <w:rPr>
          <w:rFonts w:ascii="Palatino Linotype" w:eastAsia="Palatino Linotype" w:hAnsi="Palatino Linotype" w:cs="Palatino Linotype"/>
        </w:rPr>
        <w:t>, como se lee enseguida:</w:t>
      </w:r>
    </w:p>
    <w:p w14:paraId="0248B225" w14:textId="77777777" w:rsidR="00905E09" w:rsidRPr="008E4418" w:rsidRDefault="00CE232F">
      <w:pPr>
        <w:tabs>
          <w:tab w:val="left" w:pos="1418"/>
        </w:tabs>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lastRenderedPageBreak/>
        <w:t xml:space="preserve">“DECLARATORIA DE INCOMPETENCIA DEL SUJETO OBLIGADO. SUPUESTO PARA CONFIRMARLA POR ACUERDO DEL COMITÉ DE TRANSPARENCIA. </w:t>
      </w:r>
      <w:r w:rsidRPr="008E4418">
        <w:rPr>
          <w:rFonts w:ascii="Palatino Linotype" w:eastAsia="Palatino Linotype" w:hAnsi="Palatino Linotype" w:cs="Palatino Linotype"/>
          <w:i/>
          <w:sz w:val="22"/>
          <w:szCs w:val="22"/>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8E4418">
        <w:rPr>
          <w:rFonts w:ascii="Palatino Linotype" w:eastAsia="Palatino Linotype" w:hAnsi="Palatino Linotype" w:cs="Palatino Linotype"/>
          <w:b/>
          <w:i/>
          <w:sz w:val="22"/>
          <w:szCs w:val="22"/>
        </w:rPr>
        <w:t xml:space="preserve">al ejercer el derecho de acceso a la información pública cabe la posibilidad de que existan atribuciones concurrentes entre dos o más Sujetos Obligados que </w:t>
      </w:r>
      <w:r w:rsidRPr="008E4418">
        <w:rPr>
          <w:rFonts w:ascii="Palatino Linotype" w:eastAsia="Palatino Linotype" w:hAnsi="Palatino Linotype" w:cs="Palatino Linotype"/>
          <w:b/>
          <w:i/>
          <w:sz w:val="22"/>
          <w:szCs w:val="22"/>
          <w:u w:val="single"/>
        </w:rPr>
        <w:t>impiden determinar dentro del término legal de tres días hábiles</w:t>
      </w:r>
      <w:r w:rsidRPr="008E4418">
        <w:rPr>
          <w:rFonts w:ascii="Palatino Linotype" w:eastAsia="Palatino Linotype" w:hAnsi="Palatino Linotype" w:cs="Palatino Linotype"/>
          <w:b/>
          <w:i/>
          <w:sz w:val="22"/>
          <w:szCs w:val="22"/>
        </w:rPr>
        <w:t>, si se posee o no la información por el Sujeto Obligado requerid</w:t>
      </w:r>
      <w:r w:rsidRPr="008E4418">
        <w:rPr>
          <w:rFonts w:ascii="Palatino Linotype" w:eastAsia="Palatino Linotype" w:hAnsi="Palatino Linotype" w:cs="Palatino Linotype"/>
          <w:i/>
          <w:sz w:val="22"/>
          <w:szCs w:val="22"/>
        </w:rPr>
        <w:t>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39E6F295" w14:textId="77777777" w:rsidR="00905E09" w:rsidRPr="008E4418" w:rsidRDefault="00CE232F">
      <w:pPr>
        <w:tabs>
          <w:tab w:val="left" w:pos="142"/>
          <w:tab w:val="left" w:pos="284"/>
        </w:tabs>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En el caso particular, dado que ha quedado demostrado que el </w:t>
      </w:r>
      <w:r w:rsidRPr="008E4418">
        <w:rPr>
          <w:rFonts w:ascii="Palatino Linotype" w:eastAsia="Palatino Linotype" w:hAnsi="Palatino Linotype" w:cs="Palatino Linotype"/>
          <w:b/>
        </w:rPr>
        <w:t xml:space="preserve">Organismo Público Descentralizado para la Prestación de los Servicios de Agua Potable, Alcantarillado y Saneamiento del Municipio de La Paz, México, “OPDAPAS”, </w:t>
      </w:r>
      <w:r w:rsidRPr="008E4418">
        <w:rPr>
          <w:rFonts w:ascii="Palatino Linotype" w:eastAsia="Palatino Linotype" w:hAnsi="Palatino Linotype" w:cs="Palatino Linotype"/>
        </w:rPr>
        <w:t xml:space="preserve">el </w:t>
      </w:r>
      <w:r w:rsidRPr="008E4418">
        <w:rPr>
          <w:rFonts w:ascii="Palatino Linotype" w:eastAsia="Palatino Linotype" w:hAnsi="Palatino Linotype" w:cs="Palatino Linotype"/>
          <w:b/>
        </w:rPr>
        <w:t xml:space="preserve">Sistema Municipal para el Desarrollo Integral de la Familia de La Paz, </w:t>
      </w:r>
      <w:r w:rsidRPr="008E4418">
        <w:rPr>
          <w:rFonts w:ascii="Palatino Linotype" w:eastAsia="Palatino Linotype" w:hAnsi="Palatino Linotype" w:cs="Palatino Linotype"/>
        </w:rPr>
        <w:t xml:space="preserve">y </w:t>
      </w:r>
      <w:r w:rsidRPr="008E4418">
        <w:rPr>
          <w:rFonts w:ascii="Palatino Linotype" w:eastAsia="Palatino Linotype" w:hAnsi="Palatino Linotype" w:cs="Palatino Linotype"/>
          <w:b/>
        </w:rPr>
        <w:t xml:space="preserve">el Instituto Municipal de Cultura Física y Deporte de La Paz, </w:t>
      </w:r>
      <w:r w:rsidRPr="008E4418">
        <w:rPr>
          <w:rFonts w:ascii="Palatino Linotype" w:eastAsia="Palatino Linotype" w:hAnsi="Palatino Linotype" w:cs="Palatino Linotype"/>
        </w:rPr>
        <w:t xml:space="preserve">son reconocidos como Sujetos Obligados en materia de transparencia, se estima que la incompetencia del </w:t>
      </w:r>
      <w:r w:rsidRPr="008E4418">
        <w:rPr>
          <w:rFonts w:ascii="Palatino Linotype" w:eastAsia="Palatino Linotype" w:hAnsi="Palatino Linotype" w:cs="Palatino Linotype"/>
        </w:rPr>
        <w:lastRenderedPageBreak/>
        <w:t>Sujeto Obligado es notoria, por lo tanto resulta innecesaria la emisión de una declaratoria formal de incompetencia a través del Comité de Transparencia.</w:t>
      </w:r>
    </w:p>
    <w:p w14:paraId="6BF5205C"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Sin embargo, se insta al </w:t>
      </w:r>
      <w:r w:rsidRPr="008E4418">
        <w:rPr>
          <w:rFonts w:ascii="Palatino Linotype" w:eastAsia="Palatino Linotype" w:hAnsi="Palatino Linotype" w:cs="Palatino Linotype"/>
          <w:b/>
        </w:rPr>
        <w:t>Sujeto Obligado</w:t>
      </w:r>
      <w:r w:rsidRPr="008E4418">
        <w:rPr>
          <w:rFonts w:ascii="Palatino Linotype" w:eastAsia="Palatino Linotype" w:hAnsi="Palatino Linotype" w:cs="Palatino Linotype"/>
        </w:rPr>
        <w:t xml:space="preserve"> para que en próximas ocasiones observe las formalidades y plazos que prevén las leyes de la materia a efecto de no vulnerar el derecho de acceso a la información de los particulares, asimismo, se hace de su conocimiento que el mismo artículo 167 de la Ley de la Materia, en su párrafo segundo concede, a los Sujetos Obligados, la posibilidad de atender de manera parcial las solicitudes de acceso a la información, dando respuesta únicamente respecto de aquellos requerimientos sobre los cuales se tiene competencia dentro del plazo de quince días hábiles contados a partir del día siguiente a la presentación de la solicitud, de conformidad con el párrafo primero del artículo 163 de la Ley de la Materia, y, respecto de la información sobre la cual se es incompetente, declarar la incompetencia en el término de tres días hábiles posteriores a la recepción de la solicitud.</w:t>
      </w:r>
    </w:p>
    <w:p w14:paraId="35E75F49"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En las relatadas circunstancias se dejan a salvo los derechos de la parte </w:t>
      </w:r>
      <w:r w:rsidRPr="008E4418">
        <w:rPr>
          <w:rFonts w:ascii="Palatino Linotype" w:eastAsia="Palatino Linotype" w:hAnsi="Palatino Linotype" w:cs="Palatino Linotype"/>
          <w:b/>
        </w:rPr>
        <w:t>Recurrente</w:t>
      </w:r>
      <w:r w:rsidRPr="008E4418">
        <w:rPr>
          <w:rFonts w:ascii="Palatino Linotype" w:eastAsia="Palatino Linotype" w:hAnsi="Palatino Linotype" w:cs="Palatino Linotype"/>
        </w:rPr>
        <w:t xml:space="preserve"> para que, en caso de considerarlo oportuno a sus intereses formule una nueva solicitud de información ante los Sujetos Obligados competentes.</w:t>
      </w:r>
    </w:p>
    <w:p w14:paraId="083F42B9" w14:textId="77777777" w:rsidR="00905E09" w:rsidRPr="008E4418" w:rsidRDefault="00CE232F">
      <w:pPr>
        <w:spacing w:before="240" w:after="240" w:line="360" w:lineRule="auto"/>
        <w:ind w:right="49"/>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Una vez precisado lo anterior, respecto al caso que nos ocupa, es de destacar que del análisis de las constancias que obran en el expediente electrónico en el que se actúa, no se advirtió que la Unidad de Transparencia hubiera observado el procedimiento de búsqueda previsto en los artículos 53 fracción II y 162 de la Ley de Transparencia y Acceso a la Información Pública del Estado de México y Municipios, toda vez que no se observa que hubiera turnado la solicitud a las áreas </w:t>
      </w:r>
      <w:r w:rsidRPr="008E4418">
        <w:rPr>
          <w:rFonts w:ascii="Palatino Linotype" w:eastAsia="Palatino Linotype" w:hAnsi="Palatino Linotype" w:cs="Palatino Linotype"/>
        </w:rPr>
        <w:lastRenderedPageBreak/>
        <w:t>que de acuerdo a sus competencias, facultades y funciones pudieran generar, administrar o poseer la información que es del interés de la persona solicitante, como pudiera ser la Tesorería Municipal o la Dirección de Administración y Finanzas, sino que por cuenta propia determinó solicitar una aclaración del requerimiento de información a la persona solicitante.</w:t>
      </w:r>
    </w:p>
    <w:p w14:paraId="7DEF6674"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Cabe señalar que la Tesorería Municipal es el órgano encargado de la recaudación de los ingresos municipales y </w:t>
      </w:r>
      <w:r w:rsidRPr="008E4418">
        <w:rPr>
          <w:rFonts w:ascii="Palatino Linotype" w:eastAsia="Palatino Linotype" w:hAnsi="Palatino Linotype" w:cs="Palatino Linotype"/>
          <w:b/>
        </w:rPr>
        <w:t>responsable de realizar las erogaciones</w:t>
      </w:r>
      <w:r w:rsidRPr="008E4418">
        <w:rPr>
          <w:rFonts w:ascii="Palatino Linotype" w:eastAsia="Palatino Linotype" w:hAnsi="Palatino Linotype" w:cs="Palatino Linotype"/>
        </w:rPr>
        <w:t xml:space="preserve"> que haga el ayuntamiento </w:t>
      </w:r>
      <w:r w:rsidRPr="008E4418">
        <w:rPr>
          <w:rFonts w:ascii="Palatino Linotype" w:eastAsia="Palatino Linotype" w:hAnsi="Palatino Linotype" w:cs="Palatino Linotype"/>
          <w:b/>
        </w:rPr>
        <w:t>a través de los registros contables, financieros y administrativos</w:t>
      </w:r>
      <w:r w:rsidRPr="008E4418">
        <w:rPr>
          <w:rFonts w:ascii="Palatino Linotype" w:eastAsia="Palatino Linotype" w:hAnsi="Palatino Linotype" w:cs="Palatino Linotype"/>
        </w:rPr>
        <w:t xml:space="preserve"> de los ingresos, </w:t>
      </w:r>
      <w:r w:rsidRPr="008E4418">
        <w:rPr>
          <w:rFonts w:ascii="Palatino Linotype" w:eastAsia="Palatino Linotype" w:hAnsi="Palatino Linotype" w:cs="Palatino Linotype"/>
          <w:b/>
        </w:rPr>
        <w:t>egresos</w:t>
      </w:r>
      <w:r w:rsidRPr="008E4418">
        <w:rPr>
          <w:rFonts w:ascii="Palatino Linotype" w:eastAsia="Palatino Linotype" w:hAnsi="Palatino Linotype" w:cs="Palatino Linotype"/>
        </w:rPr>
        <w:t xml:space="preserve"> e inventarios; participar en la formulación de Convenios Fiscales; así como de </w:t>
      </w:r>
      <w:r w:rsidRPr="008E4418">
        <w:rPr>
          <w:rFonts w:ascii="Palatino Linotype" w:eastAsia="Palatino Linotype" w:hAnsi="Palatino Linotype" w:cs="Palatino Linotype"/>
          <w:b/>
          <w:u w:val="single"/>
        </w:rPr>
        <w:t>recaudar y administrar los ingresos que se deriven de la suscripción de convenios, acuerdos o la emisión de declaratorias de coordinación; los relativos a las transferencias otorgadas a favor del Municipio en el marco del Sistema Nacional o Estatal de Coordinación Fiscal</w:t>
      </w:r>
      <w:r w:rsidRPr="008E4418">
        <w:rPr>
          <w:rFonts w:ascii="Palatino Linotype" w:eastAsia="Palatino Linotype" w:hAnsi="Palatino Linotype" w:cs="Palatino Linotype"/>
        </w:rPr>
        <w:t>, o los que reciba por cualquier otro concepto; dar cumplimiento a las leyes, convenios de coordinación fiscal y demás que en materia hacendaria celebre el Ayuntamiento con el Estado, entre otras atribuciones, de conformidad con lo establecido en los artículos 93 y 95, fracciones I,  IV, VIII, XIX y XX, de la Ley Orgánica Municipal del Estado de México, a saber:</w:t>
      </w:r>
    </w:p>
    <w:p w14:paraId="643A79A2"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r w:rsidRPr="008E4418">
        <w:rPr>
          <w:rFonts w:ascii="Palatino Linotype" w:eastAsia="Palatino Linotype" w:hAnsi="Palatino Linotype" w:cs="Palatino Linotype"/>
          <w:b/>
          <w:i/>
          <w:sz w:val="22"/>
          <w:szCs w:val="22"/>
        </w:rPr>
        <w:t>Artículo 93</w:t>
      </w:r>
      <w:r w:rsidRPr="008E4418">
        <w:rPr>
          <w:rFonts w:ascii="Palatino Linotype" w:eastAsia="Palatino Linotype" w:hAnsi="Palatino Linotype" w:cs="Palatino Linotype"/>
          <w:i/>
          <w:sz w:val="22"/>
          <w:szCs w:val="22"/>
        </w:rPr>
        <w:t>.- La tesorería municipal es el órgano encargado de la recaudación de los ingresos municipales y responsable de realizar las erogaciones que haga el ayuntamiento.</w:t>
      </w:r>
    </w:p>
    <w:p w14:paraId="325921AE"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p>
    <w:p w14:paraId="206DE448"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Artículo 95</w:t>
      </w:r>
      <w:r w:rsidRPr="008E4418">
        <w:rPr>
          <w:rFonts w:ascii="Palatino Linotype" w:eastAsia="Palatino Linotype" w:hAnsi="Palatino Linotype" w:cs="Palatino Linotype"/>
          <w:i/>
          <w:sz w:val="22"/>
          <w:szCs w:val="22"/>
        </w:rPr>
        <w:t xml:space="preserve">.- Son atribuciones del tesorero municipal: </w:t>
      </w:r>
    </w:p>
    <w:p w14:paraId="32DB705B"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I</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b/>
          <w:i/>
          <w:sz w:val="22"/>
          <w:szCs w:val="22"/>
        </w:rPr>
        <w:t>Administrar la hacienda pública municipal</w:t>
      </w:r>
      <w:r w:rsidRPr="008E4418">
        <w:rPr>
          <w:rFonts w:ascii="Palatino Linotype" w:eastAsia="Palatino Linotype" w:hAnsi="Palatino Linotype" w:cs="Palatino Linotype"/>
          <w:i/>
          <w:sz w:val="22"/>
          <w:szCs w:val="22"/>
        </w:rPr>
        <w:t>, de conformidad con las disposiciones legales aplicables;</w:t>
      </w:r>
    </w:p>
    <w:p w14:paraId="27721080"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p>
    <w:p w14:paraId="5DEFD63D"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lastRenderedPageBreak/>
        <w:t>IV.</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b/>
          <w:i/>
          <w:sz w:val="22"/>
          <w:szCs w:val="22"/>
          <w:u w:val="single"/>
        </w:rPr>
        <w:t>Llevar los registros contables, financieros y administrativos</w:t>
      </w:r>
      <w:r w:rsidRPr="008E4418">
        <w:rPr>
          <w:rFonts w:ascii="Palatino Linotype" w:eastAsia="Palatino Linotype" w:hAnsi="Palatino Linotype" w:cs="Palatino Linotype"/>
          <w:b/>
          <w:i/>
          <w:sz w:val="22"/>
          <w:szCs w:val="22"/>
        </w:rPr>
        <w:t xml:space="preserve"> de los ingresos, egresos</w:t>
      </w:r>
      <w:r w:rsidRPr="008E4418">
        <w:rPr>
          <w:rFonts w:ascii="Palatino Linotype" w:eastAsia="Palatino Linotype" w:hAnsi="Palatino Linotype" w:cs="Palatino Linotype"/>
          <w:i/>
          <w:sz w:val="22"/>
          <w:szCs w:val="22"/>
        </w:rPr>
        <w:t>, e inventarios;</w:t>
      </w:r>
    </w:p>
    <w:p w14:paraId="54FAD6E6"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p>
    <w:p w14:paraId="36130F3F"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VIII</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b/>
          <w:i/>
          <w:sz w:val="22"/>
          <w:szCs w:val="22"/>
        </w:rPr>
        <w:t>Participar en la formulación de Convenios Fiscales</w:t>
      </w:r>
      <w:r w:rsidRPr="008E4418">
        <w:rPr>
          <w:rFonts w:ascii="Palatino Linotype" w:eastAsia="Palatino Linotype" w:hAnsi="Palatino Linotype" w:cs="Palatino Linotype"/>
          <w:i/>
          <w:sz w:val="22"/>
          <w:szCs w:val="22"/>
        </w:rPr>
        <w:t xml:space="preserve"> y ejercer las atribuciones que le correspondan en el ámbito de su competencia;</w:t>
      </w:r>
    </w:p>
    <w:p w14:paraId="143CA7A0"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p>
    <w:p w14:paraId="75F76064"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XIX.</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b/>
          <w:i/>
          <w:sz w:val="22"/>
          <w:szCs w:val="22"/>
          <w:u w:val="single"/>
        </w:rPr>
        <w:t>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w:t>
      </w:r>
      <w:r w:rsidRPr="008E4418">
        <w:rPr>
          <w:rFonts w:ascii="Palatino Linotype" w:eastAsia="Palatino Linotype" w:hAnsi="Palatino Linotype" w:cs="Palatino Linotype"/>
          <w:i/>
          <w:sz w:val="22"/>
          <w:szCs w:val="22"/>
        </w:rPr>
        <w:t>; así como el importe de las sanciones por infracciones impuestas por las autoridades competentes, por la inobservancia de las diversas disposiciones y ordenamientos legales, constituyendo los créditos fiscales correspondientes;</w:t>
      </w:r>
    </w:p>
    <w:p w14:paraId="2E39D02B"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XX.</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b/>
          <w:i/>
          <w:sz w:val="22"/>
          <w:szCs w:val="22"/>
          <w:u w:val="single"/>
        </w:rPr>
        <w:t>Dar cumplimiento a las leyes, convenios de coordinación fiscal y demás que en materia hacendaria celebre el Ayuntamiento con el Estado;</w:t>
      </w:r>
      <w:r w:rsidRPr="008E4418">
        <w:rPr>
          <w:rFonts w:ascii="Palatino Linotype" w:eastAsia="Palatino Linotype" w:hAnsi="Palatino Linotype" w:cs="Palatino Linotype"/>
          <w:b/>
          <w:i/>
          <w:sz w:val="22"/>
          <w:szCs w:val="22"/>
        </w:rPr>
        <w:t xml:space="preserve"> autorizar la suficiencia presupuestal</w:t>
      </w:r>
      <w:r w:rsidRPr="008E4418">
        <w:rPr>
          <w:rFonts w:ascii="Palatino Linotype" w:eastAsia="Palatino Linotype" w:hAnsi="Palatino Linotype" w:cs="Palatino Linotype"/>
          <w:i/>
          <w:sz w:val="22"/>
          <w:szCs w:val="22"/>
        </w:rPr>
        <w:t xml:space="preserve"> para la adquisición de bienes y servicios requeridos por las áreas, de conformidad con el articulo su presupuesto autorizado para cada ejercicio, en términos de los artículos 93 y 95 de la Ley Orgánica Municipal del Estado de México.”</w:t>
      </w:r>
    </w:p>
    <w:p w14:paraId="7AF3D490"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No obstante, en el caso concreto dichas atribuciones, así como las relativas al control del personal que labora en el ayuntamiento, el pago de nómina y retener el impuesto sobre la renta correspondiente, son encomendadas a la Dirección General de Administración y Finanzas, como se desprende del artículo 81 del Reglamento Orgánico de La Administración Pública Municipal de La Paz, que en su parte conducente dispone lo siguiente:</w:t>
      </w:r>
    </w:p>
    <w:p w14:paraId="772E9B6F"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r w:rsidRPr="008E4418">
        <w:rPr>
          <w:rFonts w:ascii="Palatino Linotype" w:eastAsia="Palatino Linotype" w:hAnsi="Palatino Linotype" w:cs="Palatino Linotype"/>
          <w:b/>
          <w:i/>
          <w:sz w:val="22"/>
          <w:szCs w:val="22"/>
        </w:rPr>
        <w:t>Artículo 81. El responsable de La Dirección General de Administración y Finanzas</w:t>
      </w:r>
      <w:r w:rsidRPr="008E4418">
        <w:rPr>
          <w:rFonts w:ascii="Palatino Linotype" w:eastAsia="Palatino Linotype" w:hAnsi="Palatino Linotype" w:cs="Palatino Linotype"/>
          <w:i/>
          <w:sz w:val="22"/>
          <w:szCs w:val="22"/>
        </w:rPr>
        <w:t xml:space="preserve"> tendrá las atribuciones, responsabilidades y funciones que le otorguen las leyes, reglamentos y demás disposiciones aplicables en la materia, así como las que a continuación se establecen:</w:t>
      </w:r>
    </w:p>
    <w:p w14:paraId="520DECBB"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r w:rsidRPr="008E4418">
        <w:rPr>
          <w:rFonts w:ascii="Palatino Linotype" w:eastAsia="Palatino Linotype" w:hAnsi="Palatino Linotype" w:cs="Palatino Linotype"/>
          <w:i/>
          <w:sz w:val="22"/>
          <w:szCs w:val="22"/>
        </w:rPr>
        <w:br/>
      </w:r>
      <w:r w:rsidRPr="008E4418">
        <w:rPr>
          <w:rFonts w:ascii="Palatino Linotype" w:eastAsia="Palatino Linotype" w:hAnsi="Palatino Linotype" w:cs="Palatino Linotype"/>
          <w:b/>
          <w:i/>
          <w:sz w:val="22"/>
          <w:szCs w:val="22"/>
        </w:rPr>
        <w:t>II</w:t>
      </w:r>
      <w:r w:rsidRPr="008E4418">
        <w:rPr>
          <w:rFonts w:ascii="Palatino Linotype" w:eastAsia="Palatino Linotype" w:hAnsi="Palatino Linotype" w:cs="Palatino Linotype"/>
          <w:i/>
          <w:sz w:val="22"/>
          <w:szCs w:val="22"/>
        </w:rPr>
        <w:t xml:space="preserve">. Diseñar e instrumentar la política fiscal de la Hacienda Pública Municipal, </w:t>
      </w:r>
      <w:r w:rsidRPr="008E4418">
        <w:rPr>
          <w:rFonts w:ascii="Palatino Linotype" w:eastAsia="Palatino Linotype" w:hAnsi="Palatino Linotype" w:cs="Palatino Linotype"/>
          <w:i/>
          <w:sz w:val="22"/>
          <w:szCs w:val="22"/>
        </w:rPr>
        <w:lastRenderedPageBreak/>
        <w:t>sustentándose en el diagnóstico de los niveles de tributación y la evaluación del potencial recaudatorio, considerando al efecto las condiciones generales de la economía y las particulares de los diversos sectores de contribuyentes en el Municipio;</w:t>
      </w:r>
    </w:p>
    <w:p w14:paraId="7B3FA210"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III.</w:t>
      </w:r>
      <w:r w:rsidRPr="008E4418">
        <w:rPr>
          <w:rFonts w:ascii="Palatino Linotype" w:eastAsia="Palatino Linotype" w:hAnsi="Palatino Linotype" w:cs="Palatino Linotype"/>
          <w:i/>
          <w:sz w:val="22"/>
          <w:szCs w:val="22"/>
        </w:rPr>
        <w:t xml:space="preserve"> Administrar la Hacienda Pública Municipal, de conformidad con las disposiciones legales aplicables;</w:t>
      </w:r>
    </w:p>
    <w:p w14:paraId="533941BD"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IV.</w:t>
      </w:r>
      <w:r w:rsidRPr="008E4418">
        <w:rPr>
          <w:rFonts w:ascii="Palatino Linotype" w:eastAsia="Palatino Linotype" w:hAnsi="Palatino Linotype" w:cs="Palatino Linotype"/>
          <w:i/>
          <w:sz w:val="22"/>
          <w:szCs w:val="22"/>
        </w:rPr>
        <w:t xml:space="preserve"> Vigilar el cumplimiento de las disposiciones legales de carácter financiero y demás de su ramo aplicables al Municipio;</w:t>
      </w:r>
    </w:p>
    <w:p w14:paraId="569BC84D"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V.</w:t>
      </w:r>
      <w:r w:rsidRPr="008E4418">
        <w:rPr>
          <w:rFonts w:ascii="Palatino Linotype" w:eastAsia="Palatino Linotype" w:hAnsi="Palatino Linotype" w:cs="Palatino Linotype"/>
          <w:i/>
          <w:sz w:val="22"/>
          <w:szCs w:val="22"/>
        </w:rPr>
        <w:t xml:space="preserve"> Elaborar las proyecciones cuantitativas de los ingresos del Municipio, estableciendo metas de recaudación que permitan el oportuno y correcto financiamiento del gasto, con base en principios de disponibilidad, suficiencia y liquidez;</w:t>
      </w:r>
    </w:p>
    <w:p w14:paraId="3160073E"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VI.</w:t>
      </w:r>
      <w:r w:rsidRPr="008E4418">
        <w:rPr>
          <w:rFonts w:ascii="Palatino Linotype" w:eastAsia="Palatino Linotype" w:hAnsi="Palatino Linotype" w:cs="Palatino Linotype"/>
          <w:i/>
          <w:sz w:val="22"/>
          <w:szCs w:val="22"/>
        </w:rPr>
        <w:t xml:space="preserve"> Analizar y evaluar mensualmente el cumplimiento de las proyecciones cuantitativas del ingreso, en coordinación con las diferentes áreas generadoras de ingresos, su comportamiento y evolución, con el fin de instrumentar las acciones correctivas;</w:t>
      </w:r>
    </w:p>
    <w:p w14:paraId="4C02A41F"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VII.</w:t>
      </w:r>
      <w:r w:rsidRPr="008E4418">
        <w:rPr>
          <w:rFonts w:ascii="Palatino Linotype" w:eastAsia="Palatino Linotype" w:hAnsi="Palatino Linotype" w:cs="Palatino Linotype"/>
          <w:i/>
          <w:sz w:val="22"/>
          <w:szCs w:val="22"/>
        </w:rPr>
        <w:t xml:space="preserve"> Elaborar el presupuesto de ingresos, sometiéndolo a consideración del Ayuntamiento, a través de la Presidenta Municipal, para su aprobación;</w:t>
      </w:r>
    </w:p>
    <w:p w14:paraId="1C5F27DC"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VIII.</w:t>
      </w:r>
      <w:r w:rsidRPr="008E4418">
        <w:rPr>
          <w:rFonts w:ascii="Palatino Linotype" w:eastAsia="Palatino Linotype" w:hAnsi="Palatino Linotype" w:cs="Palatino Linotype"/>
          <w:i/>
          <w:sz w:val="22"/>
          <w:szCs w:val="22"/>
        </w:rPr>
        <w:t xml:space="preserve"> Elaborar el presupuesto de egresos, sometiéndolo a consideración del Ayuntamiento, a través de la Presidenta Municipal, para su aprobación;</w:t>
      </w:r>
      <w:r w:rsidRPr="008E4418">
        <w:rPr>
          <w:rFonts w:ascii="Palatino Linotype" w:eastAsia="Palatino Linotype" w:hAnsi="Palatino Linotype" w:cs="Palatino Linotype"/>
          <w:i/>
          <w:sz w:val="22"/>
          <w:szCs w:val="22"/>
        </w:rPr>
        <w:br/>
        <w:t>…</w:t>
      </w:r>
    </w:p>
    <w:p w14:paraId="0988DA4C"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XII. Participar en la formulación, modificación, vigilancia y cumplimiento de los convenios y acuerdos de colaboración administrativa en materia fiscal</w:t>
      </w:r>
      <w:r w:rsidRPr="008E4418">
        <w:rPr>
          <w:rFonts w:ascii="Palatino Linotype" w:eastAsia="Palatino Linotype" w:hAnsi="Palatino Linotype" w:cs="Palatino Linotype"/>
          <w:i/>
          <w:sz w:val="22"/>
          <w:szCs w:val="22"/>
        </w:rPr>
        <w:t>, en los términos que determine la legislación vigente</w:t>
      </w:r>
      <w:r w:rsidRPr="008E4418">
        <w:rPr>
          <w:rFonts w:ascii="Palatino Linotype" w:eastAsia="Palatino Linotype" w:hAnsi="Palatino Linotype" w:cs="Palatino Linotype"/>
          <w:b/>
          <w:i/>
          <w:sz w:val="22"/>
          <w:szCs w:val="22"/>
        </w:rPr>
        <w:t xml:space="preserve">, </w:t>
      </w:r>
      <w:r w:rsidRPr="008E4418">
        <w:rPr>
          <w:rFonts w:ascii="Palatino Linotype" w:eastAsia="Palatino Linotype" w:hAnsi="Palatino Linotype" w:cs="Palatino Linotype"/>
          <w:b/>
          <w:i/>
          <w:sz w:val="22"/>
          <w:szCs w:val="22"/>
          <w:u w:val="single"/>
        </w:rPr>
        <w:t>gestionando la entrega oportuna de las cantidades que correspondan al Municipio</w:t>
      </w:r>
      <w:r w:rsidRPr="008E4418">
        <w:rPr>
          <w:rFonts w:ascii="Palatino Linotype" w:eastAsia="Palatino Linotype" w:hAnsi="Palatino Linotype" w:cs="Palatino Linotype"/>
          <w:i/>
          <w:sz w:val="22"/>
          <w:szCs w:val="22"/>
        </w:rPr>
        <w:t xml:space="preserve"> y administrarlas conforme a la normativa aplicable;</w:t>
      </w:r>
    </w:p>
    <w:p w14:paraId="622B5200"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p>
    <w:p w14:paraId="32F5B346"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XXII</w:t>
      </w:r>
      <w:r w:rsidRPr="008E4418">
        <w:rPr>
          <w:rFonts w:ascii="Palatino Linotype" w:eastAsia="Palatino Linotype" w:hAnsi="Palatino Linotype" w:cs="Palatino Linotype"/>
          <w:i/>
          <w:sz w:val="22"/>
          <w:szCs w:val="22"/>
        </w:rPr>
        <w:t>. Diseñar y aprobar las formas oficiales en que deban presentarse las</w:t>
      </w:r>
      <w:r w:rsidRPr="008E4418">
        <w:rPr>
          <w:rFonts w:ascii="Palatino Linotype" w:eastAsia="Palatino Linotype" w:hAnsi="Palatino Linotype" w:cs="Palatino Linotype"/>
          <w:i/>
          <w:sz w:val="22"/>
          <w:szCs w:val="22"/>
        </w:rPr>
        <w:br/>
        <w:t>declaraciones, manifestaciones o avisos fiscales, así como las formas que deban documentar los procedimientos administrativos de la competencia de la Dirección General de Administración y Finanzas;</w:t>
      </w:r>
    </w:p>
    <w:p w14:paraId="16EB6624"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u w:val="single"/>
        </w:rPr>
        <w:t>XXIII. Gestionar, recaudar, registrar y administrar los ingresos derivados del Sistema Nacional de Coordinación Fiscal, así como los apoyos federales que deriven de convenios, acuerdos o declaratorias en materia administrativa que al efecto se celebren o realicen</w:t>
      </w:r>
      <w:r w:rsidRPr="008E4418">
        <w:rPr>
          <w:rFonts w:ascii="Palatino Linotype" w:eastAsia="Palatino Linotype" w:hAnsi="Palatino Linotype" w:cs="Palatino Linotype"/>
          <w:i/>
          <w:sz w:val="22"/>
          <w:szCs w:val="22"/>
        </w:rPr>
        <w:t>;</w:t>
      </w:r>
    </w:p>
    <w:p w14:paraId="5FBA2128"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lastRenderedPageBreak/>
        <w:t>XXIV.</w:t>
      </w:r>
      <w:r w:rsidRPr="008E4418">
        <w:rPr>
          <w:rFonts w:ascii="Palatino Linotype" w:eastAsia="Palatino Linotype" w:hAnsi="Palatino Linotype" w:cs="Palatino Linotype"/>
          <w:i/>
          <w:sz w:val="22"/>
          <w:szCs w:val="22"/>
        </w:rPr>
        <w:t xml:space="preserve"> Supervisar que la documentación contable y presupuestal relativa a los ingresos se encuentre debidamente integrada de acuerdo a las políticas y lineamientos en materia de control contable y presupuestal previstas en la normativa aplicable y elaborar los informes concernientes a la recaudación y captación de ingresos, para la presentación de informes mensuales y de la cuenta pública;</w:t>
      </w:r>
    </w:p>
    <w:p w14:paraId="0296F093"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p>
    <w:p w14:paraId="7397E03C"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XXXVII.</w:t>
      </w:r>
      <w:r w:rsidRPr="008E4418">
        <w:rPr>
          <w:rFonts w:ascii="Palatino Linotype" w:eastAsia="Palatino Linotype" w:hAnsi="Palatino Linotype" w:cs="Palatino Linotype"/>
          <w:i/>
          <w:sz w:val="22"/>
          <w:szCs w:val="22"/>
        </w:rPr>
        <w:t xml:space="preserve"> Administrar las funciones operativas inherentes a la recaudación,</w:t>
      </w:r>
      <w:r w:rsidRPr="008E4418">
        <w:rPr>
          <w:rFonts w:ascii="Palatino Linotype" w:eastAsia="Palatino Linotype" w:hAnsi="Palatino Linotype" w:cs="Palatino Linotype"/>
          <w:i/>
          <w:sz w:val="22"/>
          <w:szCs w:val="22"/>
        </w:rPr>
        <w:br/>
        <w:t>comprobación, determinación y cobro de los ingresos federales coordinados, de conformidad con los convenios relativos y las disposiciones legales aplicables;</w:t>
      </w:r>
      <w:r w:rsidRPr="008E4418">
        <w:rPr>
          <w:rFonts w:ascii="Palatino Linotype" w:eastAsia="Palatino Linotype" w:hAnsi="Palatino Linotype" w:cs="Palatino Linotype"/>
          <w:i/>
          <w:sz w:val="22"/>
          <w:szCs w:val="22"/>
        </w:rPr>
        <w:br/>
        <w:t>XXXVIII. Administrar, recaudar, comprobar, determinar, notificar y cobrar las contribuciones, productos, aprovechamientos y los accesorios, conforme a la Ley de Ingresos aplicable;</w:t>
      </w:r>
    </w:p>
    <w:p w14:paraId="24825DC7"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p>
    <w:p w14:paraId="38546F23"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XLVI.</w:t>
      </w:r>
      <w:r w:rsidRPr="008E4418">
        <w:rPr>
          <w:rFonts w:ascii="Palatino Linotype" w:eastAsia="Palatino Linotype" w:hAnsi="Palatino Linotype" w:cs="Palatino Linotype"/>
          <w:i/>
          <w:sz w:val="22"/>
          <w:szCs w:val="22"/>
        </w:rPr>
        <w:t xml:space="preserve"> Integrar los calendarios de gasto, administraciones, ampliaciones y</w:t>
      </w:r>
      <w:r w:rsidRPr="008E4418">
        <w:rPr>
          <w:rFonts w:ascii="Palatino Linotype" w:eastAsia="Palatino Linotype" w:hAnsi="Palatino Linotype" w:cs="Palatino Linotype"/>
          <w:i/>
          <w:sz w:val="22"/>
          <w:szCs w:val="22"/>
        </w:rPr>
        <w:br/>
        <w:t>reducciones líquidas, liberaciones, retenciones, recalendarizaciones y traspasos presupuestales de las Unidades Administrativas, en términos de la normativa aplicable y de la disponibilidad financiera, en coordinación con la Secretaría Técnica Municipal;</w:t>
      </w:r>
    </w:p>
    <w:p w14:paraId="1A38755F"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p>
    <w:p w14:paraId="02FB8752"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LII.</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b/>
          <w:i/>
          <w:sz w:val="22"/>
          <w:szCs w:val="22"/>
        </w:rPr>
        <w:t>Realizar los pagos derivados del ejercicio del presupuesto de egresos del Municipio</w:t>
      </w:r>
      <w:r w:rsidRPr="008E4418">
        <w:rPr>
          <w:rFonts w:ascii="Palatino Linotype" w:eastAsia="Palatino Linotype" w:hAnsi="Palatino Linotype" w:cs="Palatino Linotype"/>
          <w:i/>
          <w:sz w:val="22"/>
          <w:szCs w:val="22"/>
        </w:rPr>
        <w:t>, de conformidad con el programa operativo anual de inversión y gasto público y los calendarios aprobados en el mismo y de acuerdo a los procedimientos establecidos para tal efecto;</w:t>
      </w:r>
      <w:r w:rsidRPr="008E4418">
        <w:rPr>
          <w:rFonts w:ascii="Palatino Linotype" w:eastAsia="Palatino Linotype" w:hAnsi="Palatino Linotype" w:cs="Palatino Linotype"/>
          <w:i/>
          <w:sz w:val="22"/>
          <w:szCs w:val="22"/>
        </w:rPr>
        <w:br/>
      </w:r>
      <w:r w:rsidRPr="008E4418">
        <w:rPr>
          <w:rFonts w:ascii="Palatino Linotype" w:eastAsia="Palatino Linotype" w:hAnsi="Palatino Linotype" w:cs="Palatino Linotype"/>
          <w:b/>
          <w:i/>
          <w:sz w:val="22"/>
          <w:szCs w:val="22"/>
        </w:rPr>
        <w:t>LIII.</w:t>
      </w:r>
      <w:r w:rsidRPr="008E4418">
        <w:rPr>
          <w:rFonts w:ascii="Palatino Linotype" w:eastAsia="Palatino Linotype" w:hAnsi="Palatino Linotype" w:cs="Palatino Linotype"/>
          <w:i/>
          <w:sz w:val="22"/>
          <w:szCs w:val="22"/>
        </w:rPr>
        <w:t xml:space="preserve"> Supervisar que la documentación contable y presupuestal relativa a los egresos se encuentre debidamente integrada de acuerdo a las políticas y lineamientos en materia de control contable y presupuestal previstas en la normativa aplicable y elaborar los informes concernientes al ejercicio del presupuesto de egresos, para la presentación de informes mensuales y de la cuenta pública;</w:t>
      </w:r>
    </w:p>
    <w:p w14:paraId="0683050C"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r w:rsidRPr="008E4418">
        <w:rPr>
          <w:rFonts w:ascii="Palatino Linotype" w:eastAsia="Palatino Linotype" w:hAnsi="Palatino Linotype" w:cs="Palatino Linotype"/>
          <w:i/>
          <w:sz w:val="22"/>
          <w:szCs w:val="22"/>
        </w:rPr>
        <w:br/>
      </w:r>
      <w:r w:rsidRPr="008E4418">
        <w:rPr>
          <w:rFonts w:ascii="Palatino Linotype" w:eastAsia="Palatino Linotype" w:hAnsi="Palatino Linotype" w:cs="Palatino Linotype"/>
          <w:b/>
          <w:i/>
          <w:sz w:val="22"/>
          <w:szCs w:val="22"/>
        </w:rPr>
        <w:t>LVII.</w:t>
      </w:r>
      <w:r w:rsidRPr="008E4418">
        <w:rPr>
          <w:rFonts w:ascii="Palatino Linotype" w:eastAsia="Palatino Linotype" w:hAnsi="Palatino Linotype" w:cs="Palatino Linotype"/>
          <w:i/>
          <w:sz w:val="22"/>
          <w:szCs w:val="22"/>
        </w:rPr>
        <w:t xml:space="preserve"> Instrumentar, desarrollar y controlar de conformidad con la normativa aplicable, el sistema de contabilidad gubernamental;</w:t>
      </w:r>
    </w:p>
    <w:p w14:paraId="6B654FF0"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LVIII.</w:t>
      </w:r>
      <w:r w:rsidRPr="008E4418">
        <w:rPr>
          <w:rFonts w:ascii="Palatino Linotype" w:eastAsia="Palatino Linotype" w:hAnsi="Palatino Linotype" w:cs="Palatino Linotype"/>
          <w:i/>
          <w:sz w:val="22"/>
          <w:szCs w:val="22"/>
        </w:rPr>
        <w:t xml:space="preserve"> Realizar y mantener actualizados los registros contables del Municipio;</w:t>
      </w:r>
      <w:r w:rsidRPr="008E4418">
        <w:rPr>
          <w:rFonts w:ascii="Palatino Linotype" w:eastAsia="Palatino Linotype" w:hAnsi="Palatino Linotype" w:cs="Palatino Linotype"/>
          <w:i/>
          <w:sz w:val="22"/>
          <w:szCs w:val="22"/>
        </w:rPr>
        <w:br/>
      </w:r>
      <w:r w:rsidRPr="008E4418">
        <w:rPr>
          <w:rFonts w:ascii="Palatino Linotype" w:eastAsia="Palatino Linotype" w:hAnsi="Palatino Linotype" w:cs="Palatino Linotype"/>
          <w:b/>
          <w:i/>
          <w:sz w:val="22"/>
          <w:szCs w:val="22"/>
        </w:rPr>
        <w:t>LIX.</w:t>
      </w:r>
      <w:r w:rsidRPr="008E4418">
        <w:rPr>
          <w:rFonts w:ascii="Palatino Linotype" w:eastAsia="Palatino Linotype" w:hAnsi="Palatino Linotype" w:cs="Palatino Linotype"/>
          <w:i/>
          <w:sz w:val="22"/>
          <w:szCs w:val="22"/>
        </w:rPr>
        <w:t xml:space="preserve"> Resguardar los archivos contables y financieros del Municipio;</w:t>
      </w:r>
    </w:p>
    <w:p w14:paraId="28B88BF6"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lastRenderedPageBreak/>
        <w:t>LX.</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b/>
          <w:i/>
          <w:sz w:val="22"/>
          <w:szCs w:val="22"/>
        </w:rPr>
        <w:t>Instrumentar los sistemas electrónicos para el control y registro del ingreso,</w:t>
      </w:r>
      <w:r w:rsidRPr="008E4418">
        <w:rPr>
          <w:rFonts w:ascii="Palatino Linotype" w:eastAsia="Palatino Linotype" w:hAnsi="Palatino Linotype" w:cs="Palatino Linotype"/>
          <w:i/>
          <w:sz w:val="22"/>
          <w:szCs w:val="22"/>
        </w:rPr>
        <w:t xml:space="preserve"> el control y registro del patrimonio público, el control y registro de la inversión y gasto públicos y para el registro y control de los contribuyentes y facilitar el cumplimiento de sus obligaciones y el ejercicio de sus derechos;</w:t>
      </w:r>
      <w:r w:rsidRPr="008E4418">
        <w:rPr>
          <w:rFonts w:ascii="Palatino Linotype" w:eastAsia="Palatino Linotype" w:hAnsi="Palatino Linotype" w:cs="Palatino Linotype"/>
          <w:i/>
          <w:sz w:val="22"/>
          <w:szCs w:val="22"/>
        </w:rPr>
        <w:br/>
        <w:t>…</w:t>
      </w:r>
    </w:p>
    <w:p w14:paraId="4ADE2892"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LXVI.</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b/>
          <w:i/>
          <w:sz w:val="22"/>
          <w:szCs w:val="22"/>
        </w:rPr>
        <w:t>Planear, coordinar, comprobar y controlar la administración y aprovechamiento de los recursos humanos</w:t>
      </w:r>
      <w:r w:rsidRPr="008E4418">
        <w:rPr>
          <w:rFonts w:ascii="Palatino Linotype" w:eastAsia="Palatino Linotype" w:hAnsi="Palatino Linotype" w:cs="Palatino Linotype"/>
          <w:i/>
          <w:sz w:val="22"/>
          <w:szCs w:val="22"/>
        </w:rPr>
        <w:t>, materiales y de prestación de servicios que requieran las Unidades Administrativas;</w:t>
      </w:r>
    </w:p>
    <w:p w14:paraId="47C73877"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p>
    <w:p w14:paraId="40CDF563"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LXXXV.</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b/>
          <w:i/>
          <w:sz w:val="22"/>
          <w:szCs w:val="22"/>
        </w:rPr>
        <w:t>Llevar el registro y control del personal que labore en la Administración</w:t>
      </w:r>
      <w:r w:rsidRPr="008E4418">
        <w:rPr>
          <w:rFonts w:ascii="Palatino Linotype" w:eastAsia="Palatino Linotype" w:hAnsi="Palatino Linotype" w:cs="Palatino Linotype"/>
          <w:i/>
          <w:sz w:val="22"/>
          <w:szCs w:val="22"/>
        </w:rPr>
        <w:t xml:space="preserve"> Pública Municipal Centralizada;</w:t>
      </w:r>
    </w:p>
    <w:p w14:paraId="384BADBC"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LXXXVI</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b/>
          <w:i/>
          <w:sz w:val="22"/>
          <w:szCs w:val="22"/>
        </w:rPr>
        <w:t>Elaborar y controlar la nómina de pago, y coordinar con el área correspondiente el pago oportuno</w:t>
      </w:r>
      <w:r w:rsidRPr="008E4418">
        <w:rPr>
          <w:rFonts w:ascii="Palatino Linotype" w:eastAsia="Palatino Linotype" w:hAnsi="Palatino Linotype" w:cs="Palatino Linotype"/>
          <w:i/>
          <w:sz w:val="22"/>
          <w:szCs w:val="22"/>
        </w:rPr>
        <w:t xml:space="preserve"> de los salarios a los servidores públicos;</w:t>
      </w:r>
      <w:r w:rsidRPr="008E4418">
        <w:rPr>
          <w:rFonts w:ascii="Palatino Linotype" w:eastAsia="Palatino Linotype" w:hAnsi="Palatino Linotype" w:cs="Palatino Linotype"/>
          <w:i/>
          <w:sz w:val="22"/>
          <w:szCs w:val="22"/>
        </w:rPr>
        <w:br/>
        <w:t>…</w:t>
      </w:r>
      <w:r w:rsidRPr="008E4418">
        <w:rPr>
          <w:rFonts w:ascii="Palatino Linotype" w:eastAsia="Palatino Linotype" w:hAnsi="Palatino Linotype" w:cs="Palatino Linotype"/>
          <w:i/>
          <w:sz w:val="22"/>
          <w:szCs w:val="22"/>
        </w:rPr>
        <w:br/>
      </w:r>
      <w:r w:rsidRPr="008E4418">
        <w:rPr>
          <w:rFonts w:ascii="Palatino Linotype" w:eastAsia="Palatino Linotype" w:hAnsi="Palatino Linotype" w:cs="Palatino Linotype"/>
          <w:b/>
          <w:i/>
          <w:sz w:val="22"/>
          <w:szCs w:val="22"/>
        </w:rPr>
        <w:t xml:space="preserve">LXXXIX. </w:t>
      </w:r>
      <w:r w:rsidRPr="008E4418">
        <w:rPr>
          <w:rFonts w:ascii="Palatino Linotype" w:eastAsia="Palatino Linotype" w:hAnsi="Palatino Linotype" w:cs="Palatino Linotype"/>
          <w:b/>
          <w:i/>
          <w:sz w:val="22"/>
          <w:szCs w:val="22"/>
          <w:u w:val="single"/>
        </w:rPr>
        <w:t>Retener el impuesto sobre la renta de los servidores públicos</w:t>
      </w:r>
      <w:r w:rsidRPr="008E4418">
        <w:rPr>
          <w:rFonts w:ascii="Palatino Linotype" w:eastAsia="Palatino Linotype" w:hAnsi="Palatino Linotype" w:cs="Palatino Linotype"/>
          <w:b/>
          <w:i/>
          <w:sz w:val="22"/>
          <w:szCs w:val="22"/>
          <w:u w:val="single"/>
        </w:rPr>
        <w:br/>
        <w:t>municipales</w:t>
      </w:r>
      <w:r w:rsidRPr="008E4418">
        <w:rPr>
          <w:rFonts w:ascii="Palatino Linotype" w:eastAsia="Palatino Linotype" w:hAnsi="Palatino Linotype" w:cs="Palatino Linotype"/>
          <w:i/>
          <w:sz w:val="22"/>
          <w:szCs w:val="22"/>
          <w:u w:val="single"/>
        </w:rPr>
        <w:t>;</w:t>
      </w:r>
      <w:r w:rsidRPr="008E4418">
        <w:rPr>
          <w:rFonts w:ascii="Palatino Linotype" w:eastAsia="Palatino Linotype" w:hAnsi="Palatino Linotype" w:cs="Palatino Linotype"/>
          <w:i/>
          <w:sz w:val="22"/>
          <w:szCs w:val="22"/>
        </w:rPr>
        <w:t>”</w:t>
      </w:r>
    </w:p>
    <w:p w14:paraId="4A54C5CF"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En tal sentido, es evidente que el Derecho Humano de acceso a la Información no puede tenerse por satisfecho, al no haberse agotado el procedimiento de búsqueda en todas las áreas competentes y no haber dado respuesta solicitud, por tanto, es dable ordenar la búsqueda exhaustiva y razonable de la información, a efectos de que se haga entrega del soporte documental donde conste lo solicitado.</w:t>
      </w:r>
    </w:p>
    <w:p w14:paraId="31357F1A" w14:textId="77777777" w:rsidR="00905E09" w:rsidRPr="008E4418" w:rsidRDefault="00CE232F">
      <w:pPr>
        <w:spacing w:before="240" w:after="240" w:line="360" w:lineRule="auto"/>
        <w:ind w:right="51"/>
        <w:jc w:val="both"/>
        <w:rPr>
          <w:rFonts w:ascii="Palatino Linotype" w:eastAsia="Palatino Linotype" w:hAnsi="Palatino Linotype" w:cs="Palatino Linotype"/>
        </w:rPr>
      </w:pPr>
      <w:r w:rsidRPr="008E4418">
        <w:rPr>
          <w:rFonts w:ascii="Palatino Linotype" w:eastAsia="Palatino Linotype" w:hAnsi="Palatino Linotype" w:cs="Palatino Linotype"/>
        </w:rPr>
        <w:t>Para efectos de lo anterior, es oportuno hacer las siguientes precisiones:</w:t>
      </w:r>
    </w:p>
    <w:p w14:paraId="6C59C74F"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Respecto al </w:t>
      </w:r>
      <w:r w:rsidRPr="008E4418">
        <w:rPr>
          <w:rFonts w:ascii="Palatino Linotype" w:eastAsia="Palatino Linotype" w:hAnsi="Palatino Linotype" w:cs="Palatino Linotype"/>
          <w:b/>
        </w:rPr>
        <w:t>punto 1</w:t>
      </w:r>
      <w:r w:rsidRPr="008E4418">
        <w:rPr>
          <w:rFonts w:ascii="Palatino Linotype" w:eastAsia="Palatino Linotype" w:hAnsi="Palatino Linotype" w:cs="Palatino Linotype"/>
        </w:rPr>
        <w:t xml:space="preserve"> de la solicitud por medio del cual se requiere, del visor de nómina por sueldos y salarios, y asimilados a salarios, la diferencia a cargo o a favor, o en contra; y el ISR retenido, correspondiente al monto histórico recuperado por conducto de la Secretaria de Finanzas del Estado, de enero de dos mil veinte a agosto de dos mil veinticuatro, es preciso referir, en primer lugar, que las personas físicas y </w:t>
      </w:r>
      <w:r w:rsidRPr="008E4418">
        <w:rPr>
          <w:rFonts w:ascii="Palatino Linotype" w:eastAsia="Palatino Linotype" w:hAnsi="Palatino Linotype" w:cs="Palatino Linotype"/>
        </w:rPr>
        <w:lastRenderedPageBreak/>
        <w:t>morales están obligadas al pago del Impuesto Sobre la Renta respecto de todos sus ingresos, en los términos establecidos en el artículo 1 de la Ley del Impuesto Sobre la Renta.</w:t>
      </w:r>
    </w:p>
    <w:p w14:paraId="4B400AC0"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En el caso de las personas físicas, se consideran 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w:t>
      </w:r>
      <w:r w:rsidRPr="008E4418">
        <w:rPr>
          <w:rFonts w:ascii="Palatino Linotype" w:eastAsia="Palatino Linotype" w:hAnsi="Palatino Linotype" w:cs="Palatino Linotype"/>
          <w:b/>
          <w:u w:val="single"/>
        </w:rPr>
        <w:t xml:space="preserve">encontrándose obligadas las personas físicas o morales que hagan pagos por dichos conceptos, a efectuar las retenciones y enteros mensuales, </w:t>
      </w:r>
      <w:r w:rsidRPr="008E4418">
        <w:rPr>
          <w:rFonts w:ascii="Palatino Linotype" w:eastAsia="Palatino Linotype" w:hAnsi="Palatino Linotype" w:cs="Palatino Linotype"/>
        </w:rPr>
        <w:t>que tendrán el carácter de pagos provisionales a cuenta del impuesto anual;</w:t>
      </w:r>
      <w:r w:rsidRPr="008E4418">
        <w:rPr>
          <w:rFonts w:ascii="Palatino Linotype" w:eastAsia="Palatino Linotype" w:hAnsi="Palatino Linotype" w:cs="Palatino Linotype"/>
          <w:b/>
        </w:rPr>
        <w:t xml:space="preserve"> </w:t>
      </w:r>
      <w:r w:rsidRPr="008E4418">
        <w:rPr>
          <w:rFonts w:ascii="Palatino Linotype" w:eastAsia="Palatino Linotype" w:hAnsi="Palatino Linotype" w:cs="Palatino Linotype"/>
          <w:b/>
          <w:u w:val="single"/>
        </w:rPr>
        <w:t>expedir y entregar comprobantes fiscales respectivos</w:t>
      </w:r>
      <w:r w:rsidRPr="008E4418">
        <w:rPr>
          <w:rFonts w:ascii="Palatino Linotype" w:eastAsia="Palatino Linotype" w:hAnsi="Palatino Linotype" w:cs="Palatino Linotype"/>
        </w:rPr>
        <w:t xml:space="preserve">, así como </w:t>
      </w:r>
      <w:r w:rsidRPr="008E4418">
        <w:rPr>
          <w:rFonts w:ascii="Palatino Linotype" w:eastAsia="Palatino Linotype" w:hAnsi="Palatino Linotype" w:cs="Palatino Linotype"/>
          <w:b/>
          <w:u w:val="single"/>
        </w:rPr>
        <w:t>calcular el impuesto anual de cada persona que le hubiere prestado servicios personales subordinados</w:t>
      </w:r>
      <w:r w:rsidRPr="008E4418">
        <w:rPr>
          <w:rFonts w:ascii="Palatino Linotype" w:eastAsia="Palatino Linotype" w:hAnsi="Palatino Linotype" w:cs="Palatino Linotype"/>
        </w:rPr>
        <w:t>, de conformidad con los artículos 94, fracciones I y IV, 96 párrafo primero, 97 párrafo primero y 99, fracciones I y III del Capítulo I De los ingresos por salarios y en general por la prestación de un servicio personal subordinado, del Título IV De las personas  físicas, de la Ley del Impuesto Sobre la Renta, a saber:</w:t>
      </w:r>
    </w:p>
    <w:p w14:paraId="72E934B3" w14:textId="77777777" w:rsidR="00905E09" w:rsidRPr="008E4418" w:rsidRDefault="00CE232F">
      <w:pPr>
        <w:tabs>
          <w:tab w:val="left" w:pos="7938"/>
        </w:tabs>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 xml:space="preserve">“Artículo 94. </w:t>
      </w:r>
      <w:r w:rsidRPr="008E4418">
        <w:rPr>
          <w:rFonts w:ascii="Palatino Linotype" w:eastAsia="Palatino Linotype" w:hAnsi="Palatino Linotype" w:cs="Palatino Linotype"/>
          <w:b/>
          <w:i/>
          <w:sz w:val="22"/>
          <w:szCs w:val="22"/>
          <w:u w:val="single"/>
        </w:rPr>
        <w:t>Se consideran ingresos por la prestación de un servicio personal subordinado</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b/>
          <w:i/>
          <w:sz w:val="22"/>
          <w:szCs w:val="22"/>
        </w:rPr>
        <w:t>los salarios y demás prestaciones que deriven de una relación laboral</w:t>
      </w:r>
      <w:r w:rsidRPr="008E4418">
        <w:rPr>
          <w:rFonts w:ascii="Palatino Linotype" w:eastAsia="Palatino Linotype" w:hAnsi="Palatino Linotype" w:cs="Palatino Linotype"/>
          <w:i/>
          <w:sz w:val="22"/>
          <w:szCs w:val="22"/>
        </w:rPr>
        <w:t xml:space="preserve">, incluyendo </w:t>
      </w:r>
      <w:r w:rsidRPr="008E4418">
        <w:rPr>
          <w:rFonts w:ascii="Palatino Linotype" w:eastAsia="Palatino Linotype" w:hAnsi="Palatino Linotype" w:cs="Palatino Linotype"/>
          <w:b/>
          <w:i/>
          <w:sz w:val="22"/>
          <w:szCs w:val="22"/>
        </w:rPr>
        <w:t>la participación de los trabajadores en las utilidades de las empresas</w:t>
      </w:r>
      <w:r w:rsidRPr="008E4418">
        <w:rPr>
          <w:rFonts w:ascii="Palatino Linotype" w:eastAsia="Palatino Linotype" w:hAnsi="Palatino Linotype" w:cs="Palatino Linotype"/>
          <w:i/>
          <w:sz w:val="22"/>
          <w:szCs w:val="22"/>
        </w:rPr>
        <w:t xml:space="preserve"> y </w:t>
      </w:r>
      <w:r w:rsidRPr="008E4418">
        <w:rPr>
          <w:rFonts w:ascii="Palatino Linotype" w:eastAsia="Palatino Linotype" w:hAnsi="Palatino Linotype" w:cs="Palatino Linotype"/>
          <w:b/>
          <w:i/>
          <w:sz w:val="22"/>
          <w:szCs w:val="22"/>
        </w:rPr>
        <w:t>las prestaciones percibidas como consecuencia de la terminación de la relación laboral</w:t>
      </w:r>
      <w:r w:rsidRPr="008E4418">
        <w:rPr>
          <w:rFonts w:ascii="Palatino Linotype" w:eastAsia="Palatino Linotype" w:hAnsi="Palatino Linotype" w:cs="Palatino Linotype"/>
          <w:i/>
          <w:sz w:val="22"/>
          <w:szCs w:val="22"/>
        </w:rPr>
        <w:t xml:space="preserve">. Para los efectos de este impuesto, </w:t>
      </w:r>
      <w:r w:rsidRPr="008E4418">
        <w:rPr>
          <w:rFonts w:ascii="Palatino Linotype" w:eastAsia="Palatino Linotype" w:hAnsi="Palatino Linotype" w:cs="Palatino Linotype"/>
          <w:b/>
          <w:i/>
          <w:sz w:val="22"/>
          <w:szCs w:val="22"/>
        </w:rPr>
        <w:t xml:space="preserve">se asimilan a estos ingresos </w:t>
      </w:r>
      <w:r w:rsidRPr="008E4418">
        <w:rPr>
          <w:rFonts w:ascii="Palatino Linotype" w:eastAsia="Palatino Linotype" w:hAnsi="Palatino Linotype" w:cs="Palatino Linotype"/>
          <w:i/>
          <w:sz w:val="22"/>
          <w:szCs w:val="22"/>
        </w:rPr>
        <w:t>los siguientes:</w:t>
      </w:r>
    </w:p>
    <w:p w14:paraId="7797A5C5" w14:textId="77777777" w:rsidR="00905E09" w:rsidRPr="008E4418" w:rsidRDefault="00CE232F">
      <w:pPr>
        <w:tabs>
          <w:tab w:val="left" w:pos="7938"/>
        </w:tabs>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I. Las remuneraciones y demás prestaciones, obtenidas por los funcionarios y trabajadores de</w:t>
      </w:r>
      <w:r w:rsidRPr="008E4418">
        <w:rPr>
          <w:rFonts w:ascii="Palatino Linotype" w:eastAsia="Palatino Linotype" w:hAnsi="Palatino Linotype" w:cs="Palatino Linotype"/>
          <w:i/>
          <w:sz w:val="22"/>
          <w:szCs w:val="22"/>
        </w:rPr>
        <w:t xml:space="preserve"> la Federación, de las entidades federativas y de </w:t>
      </w:r>
      <w:r w:rsidRPr="008E4418">
        <w:rPr>
          <w:rFonts w:ascii="Palatino Linotype" w:eastAsia="Palatino Linotype" w:hAnsi="Palatino Linotype" w:cs="Palatino Linotype"/>
          <w:b/>
          <w:i/>
          <w:sz w:val="22"/>
          <w:szCs w:val="22"/>
        </w:rPr>
        <w:t>los municipios</w:t>
      </w:r>
      <w:r w:rsidRPr="008E4418">
        <w:rPr>
          <w:rFonts w:ascii="Palatino Linotype" w:eastAsia="Palatino Linotype" w:hAnsi="Palatino Linotype" w:cs="Palatino Linotype"/>
          <w:i/>
          <w:sz w:val="22"/>
          <w:szCs w:val="22"/>
        </w:rPr>
        <w:t>, aun cuando sean por concepto de gastos no sujetos a comprobación, así como los obtenidos por los miembros de las fuerzas armadas.</w:t>
      </w:r>
    </w:p>
    <w:p w14:paraId="0FBF6264" w14:textId="77777777" w:rsidR="00905E09" w:rsidRPr="008E4418" w:rsidRDefault="00CE232F">
      <w:pPr>
        <w:tabs>
          <w:tab w:val="left" w:pos="7938"/>
        </w:tabs>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p>
    <w:p w14:paraId="3C2E587E" w14:textId="77777777" w:rsidR="00905E09" w:rsidRPr="008E4418" w:rsidRDefault="00CE232F">
      <w:pPr>
        <w:tabs>
          <w:tab w:val="left" w:pos="7938"/>
        </w:tabs>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lastRenderedPageBreak/>
        <w:t>IV.</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b/>
          <w:i/>
          <w:sz w:val="22"/>
          <w:szCs w:val="22"/>
        </w:rPr>
        <w:t>Los honorarios a personas que presten servicios preponderantemente a un prestatario</w:t>
      </w:r>
      <w:r w:rsidRPr="008E4418">
        <w:rPr>
          <w:rFonts w:ascii="Palatino Linotype" w:eastAsia="Palatino Linotype" w:hAnsi="Palatino Linotype" w:cs="Palatino Linotype"/>
          <w:i/>
          <w:sz w:val="22"/>
          <w:szCs w:val="22"/>
        </w:rPr>
        <w:t xml:space="preserve">, siempre que los mismos se lleven a cabo </w:t>
      </w:r>
      <w:r w:rsidRPr="008E4418">
        <w:rPr>
          <w:rFonts w:ascii="Palatino Linotype" w:eastAsia="Palatino Linotype" w:hAnsi="Palatino Linotype" w:cs="Palatino Linotype"/>
          <w:b/>
          <w:i/>
          <w:sz w:val="22"/>
          <w:szCs w:val="22"/>
        </w:rPr>
        <w:t>en las instalaciones de este último</w:t>
      </w:r>
      <w:r w:rsidRPr="008E4418">
        <w:t>.</w:t>
      </w:r>
    </w:p>
    <w:p w14:paraId="59059C29" w14:textId="77777777" w:rsidR="00905E09" w:rsidRPr="008E4418" w:rsidRDefault="00CE232F">
      <w:pPr>
        <w:tabs>
          <w:tab w:val="left" w:pos="7938"/>
        </w:tabs>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 xml:space="preserve">Artículo 96. </w:t>
      </w:r>
      <w:r w:rsidRPr="008E4418">
        <w:rPr>
          <w:rFonts w:ascii="Palatino Linotype" w:eastAsia="Palatino Linotype" w:hAnsi="Palatino Linotype" w:cs="Palatino Linotype"/>
          <w:b/>
          <w:i/>
          <w:sz w:val="22"/>
          <w:szCs w:val="22"/>
          <w:u w:val="single"/>
        </w:rPr>
        <w:t>Quienes hagan pagos por los conceptos a que se refiere este Capítulo están obligados a efectuar retenciones y enteros mensuales</w:t>
      </w:r>
      <w:r w:rsidRPr="008E4418">
        <w:rPr>
          <w:rFonts w:ascii="Palatino Linotype" w:eastAsia="Palatino Linotype" w:hAnsi="Palatino Linotype" w:cs="Palatino Linotype"/>
          <w:i/>
          <w:sz w:val="22"/>
          <w:szCs w:val="22"/>
          <w:u w:val="single"/>
        </w:rPr>
        <w:t xml:space="preserve"> </w:t>
      </w:r>
      <w:r w:rsidRPr="008E4418">
        <w:rPr>
          <w:rFonts w:ascii="Palatino Linotype" w:eastAsia="Palatino Linotype" w:hAnsi="Palatino Linotype" w:cs="Palatino Linotype"/>
          <w:i/>
          <w:sz w:val="22"/>
          <w:szCs w:val="22"/>
        </w:rPr>
        <w:t>que tendrán el carácter de pagos provisionales a cuenta del impuesto anual. No se efectuará retención a las personas que en el mes únicamente perciban un salario mínimo general correspondiente al área geográfica del contribuyente.</w:t>
      </w:r>
    </w:p>
    <w:p w14:paraId="4744A830" w14:textId="77777777" w:rsidR="00905E09" w:rsidRPr="008E4418" w:rsidRDefault="00CE232F">
      <w:pPr>
        <w:tabs>
          <w:tab w:val="left" w:pos="7938"/>
        </w:tabs>
        <w:spacing w:before="120" w:after="120"/>
        <w:ind w:left="851" w:right="902"/>
        <w:jc w:val="both"/>
        <w:rPr>
          <w:rFonts w:ascii="Palatino Linotype" w:eastAsia="Palatino Linotype" w:hAnsi="Palatino Linotype" w:cs="Palatino Linotype"/>
          <w:b/>
          <w:i/>
          <w:sz w:val="22"/>
          <w:szCs w:val="22"/>
        </w:rPr>
      </w:pPr>
      <w:r w:rsidRPr="008E4418">
        <w:rPr>
          <w:rFonts w:ascii="Palatino Linotype" w:eastAsia="Palatino Linotype" w:hAnsi="Palatino Linotype" w:cs="Palatino Linotype"/>
          <w:b/>
          <w:i/>
          <w:sz w:val="22"/>
          <w:szCs w:val="22"/>
        </w:rPr>
        <w:t>…</w:t>
      </w:r>
    </w:p>
    <w:p w14:paraId="2FF5045E" w14:textId="77777777" w:rsidR="00905E09" w:rsidRPr="008E4418" w:rsidRDefault="00CE232F">
      <w:pPr>
        <w:tabs>
          <w:tab w:val="left" w:pos="7938"/>
        </w:tabs>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Artículo 97</w:t>
      </w:r>
      <w:r w:rsidRPr="008E4418">
        <w:rPr>
          <w:rFonts w:ascii="Palatino Linotype" w:eastAsia="Palatino Linotype" w:hAnsi="Palatino Linotype" w:cs="Palatino Linotype"/>
          <w:i/>
          <w:sz w:val="22"/>
          <w:szCs w:val="22"/>
        </w:rPr>
        <w:t>. Las personas obligadas a efectuar retenciones en los términos del artículo 96 de esta Ley, calcularán el impuesto anual de cada persona que le hubiere prestado servicios personales subordinados.</w:t>
      </w:r>
    </w:p>
    <w:p w14:paraId="65B55633" w14:textId="77777777" w:rsidR="00905E09" w:rsidRPr="008E4418" w:rsidRDefault="00CE232F">
      <w:pPr>
        <w:tabs>
          <w:tab w:val="left" w:pos="7938"/>
        </w:tabs>
        <w:spacing w:before="120" w:after="120"/>
        <w:ind w:left="851" w:right="902"/>
        <w:jc w:val="both"/>
        <w:rPr>
          <w:rFonts w:ascii="Palatino Linotype" w:eastAsia="Palatino Linotype" w:hAnsi="Palatino Linotype" w:cs="Palatino Linotype"/>
          <w:b/>
          <w:i/>
          <w:sz w:val="22"/>
          <w:szCs w:val="22"/>
        </w:rPr>
      </w:pPr>
      <w:r w:rsidRPr="008E4418">
        <w:rPr>
          <w:rFonts w:ascii="Palatino Linotype" w:eastAsia="Palatino Linotype" w:hAnsi="Palatino Linotype" w:cs="Palatino Linotype"/>
          <w:b/>
          <w:i/>
          <w:sz w:val="22"/>
          <w:szCs w:val="22"/>
        </w:rPr>
        <w:t>…</w:t>
      </w:r>
    </w:p>
    <w:p w14:paraId="78B8CA60" w14:textId="77777777" w:rsidR="00905E09" w:rsidRPr="008E4418" w:rsidRDefault="00CE232F">
      <w:pPr>
        <w:tabs>
          <w:tab w:val="left" w:pos="7938"/>
        </w:tabs>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Artículo 99.</w:t>
      </w:r>
      <w:r w:rsidRPr="008E4418">
        <w:rPr>
          <w:rFonts w:ascii="Palatino Linotype" w:eastAsia="Palatino Linotype" w:hAnsi="Palatino Linotype" w:cs="Palatino Linotype"/>
          <w:i/>
          <w:sz w:val="22"/>
          <w:szCs w:val="22"/>
        </w:rPr>
        <w:t xml:space="preserve"> Quienes hagan pagos por los conceptos a que se refiere este Capítulo, tendrán las siguientes obligaciones: </w:t>
      </w:r>
    </w:p>
    <w:p w14:paraId="6438BBA2" w14:textId="77777777" w:rsidR="00905E09" w:rsidRPr="008E4418" w:rsidRDefault="00CE232F">
      <w:pPr>
        <w:tabs>
          <w:tab w:val="left" w:pos="7938"/>
        </w:tabs>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 xml:space="preserve">I. Efectuar las retenciones </w:t>
      </w:r>
      <w:r w:rsidRPr="008E4418">
        <w:rPr>
          <w:rFonts w:ascii="Palatino Linotype" w:eastAsia="Palatino Linotype" w:hAnsi="Palatino Linotype" w:cs="Palatino Linotype"/>
          <w:i/>
          <w:sz w:val="22"/>
          <w:szCs w:val="22"/>
        </w:rPr>
        <w:t>señaladas en el artículo 96 de esta Ley.</w:t>
      </w:r>
    </w:p>
    <w:p w14:paraId="6F83324E" w14:textId="77777777" w:rsidR="00905E09" w:rsidRPr="008E4418" w:rsidRDefault="00CE232F">
      <w:pPr>
        <w:tabs>
          <w:tab w:val="left" w:pos="7938"/>
        </w:tabs>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p>
    <w:p w14:paraId="172DCF3A" w14:textId="77777777" w:rsidR="00905E09" w:rsidRPr="008E4418" w:rsidRDefault="00CE232F">
      <w:pPr>
        <w:tabs>
          <w:tab w:val="left" w:pos="7938"/>
        </w:tabs>
        <w:spacing w:before="120" w:after="120"/>
        <w:ind w:left="1134" w:right="902"/>
        <w:jc w:val="both"/>
        <w:rPr>
          <w:rFonts w:ascii="Palatino Linotype" w:eastAsia="Palatino Linotype" w:hAnsi="Palatino Linotype" w:cs="Palatino Linotype"/>
          <w:i/>
          <w:sz w:val="20"/>
          <w:szCs w:val="20"/>
        </w:rPr>
      </w:pPr>
      <w:r w:rsidRPr="008E4418">
        <w:rPr>
          <w:rFonts w:ascii="Palatino Linotype" w:eastAsia="Palatino Linotype" w:hAnsi="Palatino Linotype" w:cs="Palatino Linotype"/>
          <w:b/>
          <w:i/>
          <w:sz w:val="22"/>
          <w:szCs w:val="22"/>
        </w:rPr>
        <w:t>III.</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b/>
          <w:i/>
          <w:sz w:val="22"/>
          <w:szCs w:val="22"/>
        </w:rPr>
        <w:t>Expedir y entregar comprobantes fiscales</w:t>
      </w:r>
      <w:r w:rsidRPr="008E4418">
        <w:rPr>
          <w:rFonts w:ascii="Palatino Linotype" w:eastAsia="Palatino Linotype" w:hAnsi="Palatino Linotype" w:cs="Palatino Linotype"/>
          <w:i/>
          <w:sz w:val="22"/>
          <w:szCs w:val="22"/>
        </w:rPr>
        <w:t xml:space="preserve"> a las personas que reciban pagos por los conceptos a que se refiere este Capítulo, </w:t>
      </w:r>
      <w:r w:rsidRPr="008E4418">
        <w:rPr>
          <w:rFonts w:ascii="Palatino Linotype" w:eastAsia="Palatino Linotype" w:hAnsi="Palatino Linotype" w:cs="Palatino Linotype"/>
          <w:b/>
          <w:i/>
          <w:sz w:val="22"/>
          <w:szCs w:val="22"/>
        </w:rPr>
        <w:t>en la fecha en que se realice la erogación correspondiente</w:t>
      </w:r>
      <w:r w:rsidRPr="008E4418">
        <w:rPr>
          <w:rFonts w:ascii="Palatino Linotype" w:eastAsia="Palatino Linotype" w:hAnsi="Palatino Linotype" w:cs="Palatino Linotype"/>
          <w:i/>
          <w:sz w:val="22"/>
          <w:szCs w:val="22"/>
        </w:rPr>
        <w:t>, los cuales podrán utilizarse como constancia o recibo de pago para efectos de la legislación laboral a que se refieren los artículos 132 fracciones VII y VIII, y 804, primer párrafo, fracciones II y IV, de la Ley Federal de Trabajo.”</w:t>
      </w:r>
    </w:p>
    <w:p w14:paraId="5373A555" w14:textId="77777777" w:rsidR="00905E09" w:rsidRPr="008E4418" w:rsidRDefault="00CE232F">
      <w:pPr>
        <w:spacing w:before="240" w:after="240" w:line="360" w:lineRule="auto"/>
        <w:jc w:val="both"/>
      </w:pPr>
      <w:r w:rsidRPr="008E4418">
        <w:rPr>
          <w:rFonts w:ascii="Palatino Linotype" w:eastAsia="Palatino Linotype" w:hAnsi="Palatino Linotype" w:cs="Palatino Linotype"/>
        </w:rPr>
        <w:t xml:space="preserve">No obsta mencionar que los pagos, que a su vez sean ingresos en los términos del Capítulo I De los ingresos por salarios y en general por la prestación de un servicio personal subordinado, del Título IV De las personas  físicas, de la Ley del Impuesto Sobre la Renta, se podrán deducir, para lo cual </w:t>
      </w:r>
      <w:r w:rsidRPr="008E4418">
        <w:rPr>
          <w:rFonts w:ascii="Palatino Linotype" w:eastAsia="Palatino Linotype" w:hAnsi="Palatino Linotype" w:cs="Palatino Linotype"/>
          <w:b/>
        </w:rPr>
        <w:t xml:space="preserve">las erogaciones por </w:t>
      </w:r>
      <w:r w:rsidRPr="008E4418">
        <w:rPr>
          <w:b/>
        </w:rPr>
        <w:t xml:space="preserve">concepto de </w:t>
      </w:r>
      <w:r w:rsidRPr="008E4418">
        <w:rPr>
          <w:rFonts w:ascii="Palatino Linotype" w:eastAsia="Palatino Linotype" w:hAnsi="Palatino Linotype" w:cs="Palatino Linotype"/>
          <w:b/>
        </w:rPr>
        <w:t>remuneración, las retenciones correspondientes y las deducciones del impuesto local por salarios y, en general, por la prestación de un servicio personal independiente</w:t>
      </w:r>
      <w:r w:rsidRPr="008E4418">
        <w:rPr>
          <w:rFonts w:ascii="Palatino Linotype" w:eastAsia="Palatino Linotype" w:hAnsi="Palatino Linotype" w:cs="Palatino Linotype"/>
        </w:rPr>
        <w:t xml:space="preserve">, </w:t>
      </w:r>
      <w:r w:rsidRPr="008E4418">
        <w:rPr>
          <w:rFonts w:ascii="Palatino Linotype" w:eastAsia="Palatino Linotype" w:hAnsi="Palatino Linotype" w:cs="Palatino Linotype"/>
          <w:b/>
          <w:u w:val="single"/>
        </w:rPr>
        <w:t>deben constar en comprobantes fiscales</w:t>
      </w:r>
      <w:r w:rsidRPr="008E4418">
        <w:rPr>
          <w:rFonts w:ascii="Palatino Linotype" w:eastAsia="Palatino Linotype" w:hAnsi="Palatino Linotype" w:cs="Palatino Linotype"/>
        </w:rPr>
        <w:t xml:space="preserve"> emitidos en términos del Código Fiscal de la Federación, además del cumplimiento de las obligaciones y </w:t>
      </w:r>
      <w:r w:rsidRPr="008E4418">
        <w:rPr>
          <w:rFonts w:ascii="Palatino Linotype" w:eastAsia="Palatino Linotype" w:hAnsi="Palatino Linotype" w:cs="Palatino Linotype"/>
        </w:rPr>
        <w:lastRenderedPageBreak/>
        <w:t>disposiciones que la Ley del Impuesto Sobre la Renta establezcan al respecto, como se desprende el artículo 27, fracción V, de la referida Ley, que en su parte conducente señala lo siguiente:</w:t>
      </w:r>
    </w:p>
    <w:p w14:paraId="169A8FBD"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“Artículo 27</w:t>
      </w:r>
      <w:r w:rsidRPr="008E4418">
        <w:rPr>
          <w:rFonts w:ascii="Palatino Linotype" w:eastAsia="Palatino Linotype" w:hAnsi="Palatino Linotype" w:cs="Palatino Linotype"/>
          <w:i/>
          <w:sz w:val="22"/>
          <w:szCs w:val="22"/>
        </w:rPr>
        <w:t>. Las deducciones autorizadas en este Título deberán reunir los siguientes requisitos:</w:t>
      </w:r>
    </w:p>
    <w:p w14:paraId="428901AE"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p>
    <w:p w14:paraId="1D1236A5" w14:textId="77777777" w:rsidR="00905E09" w:rsidRPr="008E4418" w:rsidRDefault="00CE232F">
      <w:pPr>
        <w:spacing w:before="120" w:after="120"/>
        <w:ind w:left="1134" w:right="902"/>
        <w:jc w:val="both"/>
        <w:rPr>
          <w:rFonts w:ascii="Palatino Linotype" w:eastAsia="Palatino Linotype" w:hAnsi="Palatino Linotype" w:cs="Palatino Linotype"/>
          <w:b/>
          <w:i/>
          <w:sz w:val="22"/>
          <w:szCs w:val="22"/>
        </w:rPr>
      </w:pPr>
      <w:r w:rsidRPr="008E4418">
        <w:rPr>
          <w:rFonts w:ascii="Palatino Linotype" w:eastAsia="Palatino Linotype" w:hAnsi="Palatino Linotype" w:cs="Palatino Linotype"/>
          <w:b/>
          <w:i/>
          <w:sz w:val="22"/>
          <w:szCs w:val="22"/>
        </w:rPr>
        <w:t>V…</w:t>
      </w:r>
    </w:p>
    <w:p w14:paraId="5EC727E3"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 xml:space="preserve">Los pagos que a la vez sean ingresos en los términos del Capítulo I del Título IV, de esta Ley, </w:t>
      </w:r>
      <w:r w:rsidRPr="008E4418">
        <w:rPr>
          <w:rFonts w:ascii="Palatino Linotype" w:eastAsia="Palatino Linotype" w:hAnsi="Palatino Linotype" w:cs="Palatino Linotype"/>
          <w:b/>
          <w:i/>
          <w:sz w:val="22"/>
          <w:szCs w:val="22"/>
        </w:rPr>
        <w:t xml:space="preserve">se podrán deducir siempre que las erogaciones por concepto de remuneración, las retenciones correspondientes y las deducciones del impuesto local por salarios y, en general, por la prestación de un servicio personal independiente, </w:t>
      </w:r>
      <w:r w:rsidRPr="008E4418">
        <w:rPr>
          <w:rFonts w:ascii="Palatino Linotype" w:eastAsia="Palatino Linotype" w:hAnsi="Palatino Linotype" w:cs="Palatino Linotype"/>
          <w:b/>
          <w:i/>
          <w:sz w:val="22"/>
          <w:szCs w:val="22"/>
          <w:u w:val="single"/>
        </w:rPr>
        <w:t>consten en comprobantes fiscales emitidos en términos del Código Fiscal de la Federación</w:t>
      </w:r>
      <w:r w:rsidRPr="008E4418">
        <w:rPr>
          <w:rFonts w:ascii="Palatino Linotype" w:eastAsia="Palatino Linotype" w:hAnsi="Palatino Linotype" w:cs="Palatino Linotype"/>
          <w:i/>
          <w:sz w:val="22"/>
          <w:szCs w:val="22"/>
        </w:rPr>
        <w:t xml:space="preserve"> y se cumpla con las obligaciones a que se refiere el artículo 99, fracciones I, II, III y V de la presente Ley, así como las disposiciones que, en su caso, regulen el subsidio para el empleo y los contribuyentes cumplan con la obligación de inscribir a los trabajadores en el Instituto Mexicano del Seguro Social cuando estén obligados a ello, en los términos de las leyes de seguridad social. “</w:t>
      </w:r>
    </w:p>
    <w:p w14:paraId="19522867"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Con base en lo previo, los municipios, al estar obligados a realizar el pago a los servidores públicos por los servicios prestados, de conformidad con el artículo 71 de la Ley del Trabajo de los Servidores Públicos del Estado de México, están obligados a retener el Impuesto Sobre la Renta y enterarlo a más tardar el día 17 del mes inmediato posterior a aquel que corresponda el pago, al Servicio de Administración Tributaria, SAT, al ser la dependencia que se encarga de la recaudación, impuestos y la vigilancia del cumplimiento de las obligaciones fiscales por parte de los contribuyentes.</w:t>
      </w:r>
    </w:p>
    <w:p w14:paraId="7FE4B155"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lastRenderedPageBreak/>
        <w:t>Para tales efectos, la entidad retenedora –el municipio-, debe entregar un comprobante fiscal que ampare las respectivas retenciones conforme a lo establecido en los artículos 29 párrafo primero y 32-G fracción I del Código Fiscal de la Federación, a saber:</w:t>
      </w:r>
    </w:p>
    <w:p w14:paraId="037419BF" w14:textId="77777777" w:rsidR="00905E09" w:rsidRPr="008E4418" w:rsidRDefault="00CE232F">
      <w:pPr>
        <w:spacing w:before="120" w:after="120"/>
        <w:ind w:left="851" w:right="900"/>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“Artículo 29.</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b/>
          <w:i/>
          <w:sz w:val="22"/>
          <w:szCs w:val="22"/>
        </w:rPr>
        <w:t xml:space="preserve">Cuando las leyes fiscales </w:t>
      </w:r>
      <w:r w:rsidRPr="008E4418">
        <w:rPr>
          <w:rFonts w:ascii="Palatino Linotype" w:eastAsia="Palatino Linotype" w:hAnsi="Palatino Linotype" w:cs="Palatino Linotype"/>
          <w:b/>
          <w:i/>
          <w:sz w:val="22"/>
          <w:szCs w:val="22"/>
          <w:u w:val="single"/>
        </w:rPr>
        <w:t>establezcan la obligación de expedir comprobantes fiscales</w:t>
      </w:r>
      <w:r w:rsidRPr="008E4418">
        <w:rPr>
          <w:rFonts w:ascii="Palatino Linotype" w:eastAsia="Palatino Linotype" w:hAnsi="Palatino Linotype" w:cs="Palatino Linotype"/>
          <w:b/>
          <w:i/>
          <w:sz w:val="22"/>
          <w:szCs w:val="22"/>
        </w:rPr>
        <w:t xml:space="preserve"> por los actos o actividades que realicen, por los ingresos que se perciban o por las retenciones de contribuciones que efectúen</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i/>
          <w:sz w:val="22"/>
          <w:szCs w:val="22"/>
          <w:u w:val="single"/>
        </w:rPr>
        <w:t>l</w:t>
      </w:r>
      <w:r w:rsidRPr="008E4418">
        <w:rPr>
          <w:rFonts w:ascii="Palatino Linotype" w:eastAsia="Palatino Linotype" w:hAnsi="Palatino Linotype" w:cs="Palatino Linotype"/>
          <w:b/>
          <w:i/>
          <w:sz w:val="22"/>
          <w:szCs w:val="22"/>
          <w:u w:val="single"/>
        </w:rPr>
        <w:t>os contribuyentes deberán emitirlos mediante documentos digitales a través de la página de Internet del Servicio de Administración Tributaria</w:t>
      </w:r>
      <w:r w:rsidRPr="008E4418">
        <w:rPr>
          <w:rFonts w:ascii="Palatino Linotype" w:eastAsia="Palatino Linotype" w:hAnsi="Palatino Linotype" w:cs="Palatino Linotype"/>
          <w:i/>
          <w:sz w:val="22"/>
          <w:szCs w:val="22"/>
        </w:rPr>
        <w:t xml:space="preserve">. Las personas que adquieran bienes, disfruten de su uso o goce temporal, reciban servicios, realicen pagos parciales o diferidos que liquidan saldos de comprobantes fiscales digitales por Internet, o </w:t>
      </w:r>
      <w:r w:rsidRPr="008E4418">
        <w:rPr>
          <w:rFonts w:ascii="Palatino Linotype" w:eastAsia="Palatino Linotype" w:hAnsi="Palatino Linotype" w:cs="Palatino Linotype"/>
          <w:b/>
          <w:i/>
          <w:sz w:val="22"/>
          <w:szCs w:val="22"/>
        </w:rPr>
        <w:t xml:space="preserve">aquéllas a las que les hubieren retenido contribuciones deberán solicitar el comprobante fiscal digital por Internet respectivo. </w:t>
      </w:r>
      <w:r w:rsidRPr="008E4418">
        <w:rPr>
          <w:rFonts w:ascii="Palatino Linotype" w:eastAsia="Palatino Linotype" w:hAnsi="Palatino Linotype" w:cs="Palatino Linotype"/>
          <w:i/>
          <w:sz w:val="22"/>
          <w:szCs w:val="22"/>
        </w:rPr>
        <w:t>Los contribuyentes que exporten mercancías que no sean objeto de enajenación o cuya enajenación sea a título gratuito, deberán expedir el comprobante fiscal digital por Internet que ampare la operación.</w:t>
      </w:r>
    </w:p>
    <w:p w14:paraId="180C5E46" w14:textId="77777777" w:rsidR="00905E09" w:rsidRPr="008E4418" w:rsidRDefault="00CE232F">
      <w:pPr>
        <w:ind w:left="851" w:right="567"/>
        <w:jc w:val="both"/>
        <w:rPr>
          <w:rFonts w:ascii="Palatino Linotype" w:eastAsia="Palatino Linotype" w:hAnsi="Palatino Linotype" w:cs="Palatino Linotype"/>
          <w:b/>
          <w:i/>
        </w:rPr>
      </w:pPr>
      <w:r w:rsidRPr="008E4418">
        <w:rPr>
          <w:rFonts w:ascii="Palatino Linotype" w:eastAsia="Palatino Linotype" w:hAnsi="Palatino Linotype" w:cs="Palatino Linotype"/>
          <w:b/>
          <w:i/>
        </w:rPr>
        <w:t>…</w:t>
      </w:r>
    </w:p>
    <w:p w14:paraId="2D896B83" w14:textId="77777777" w:rsidR="00905E09" w:rsidRPr="008E4418" w:rsidRDefault="00CE232F">
      <w:pPr>
        <w:spacing w:before="120" w:after="120"/>
        <w:ind w:left="851" w:right="902"/>
        <w:jc w:val="both"/>
        <w:rPr>
          <w:rFonts w:ascii="Palatino Linotype" w:eastAsia="Palatino Linotype" w:hAnsi="Palatino Linotype" w:cs="Palatino Linotype"/>
          <w:b/>
          <w:i/>
          <w:sz w:val="22"/>
          <w:szCs w:val="22"/>
        </w:rPr>
      </w:pPr>
      <w:r w:rsidRPr="008E4418">
        <w:rPr>
          <w:rFonts w:ascii="Palatino Linotype" w:eastAsia="Palatino Linotype" w:hAnsi="Palatino Linotype" w:cs="Palatino Linotype"/>
          <w:b/>
          <w:i/>
          <w:sz w:val="22"/>
          <w:szCs w:val="22"/>
        </w:rPr>
        <w:t>Artículo 32-G.</w:t>
      </w:r>
      <w:r w:rsidRPr="008E4418">
        <w:rPr>
          <w:rFonts w:ascii="Palatino Linotype" w:eastAsia="Palatino Linotype" w:hAnsi="Palatino Linotype" w:cs="Palatino Linotype"/>
          <w:i/>
          <w:sz w:val="22"/>
          <w:szCs w:val="22"/>
        </w:rPr>
        <w:t xml:space="preserve"> La Federación, las Entidades Federativas, el Distrito Federal, y sus Organismos Descentralizados, así como </w:t>
      </w:r>
      <w:r w:rsidRPr="008E4418">
        <w:rPr>
          <w:rFonts w:ascii="Palatino Linotype" w:eastAsia="Palatino Linotype" w:hAnsi="Palatino Linotype" w:cs="Palatino Linotype"/>
          <w:b/>
          <w:i/>
          <w:sz w:val="22"/>
          <w:szCs w:val="22"/>
        </w:rPr>
        <w:t>los Municipios,</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b/>
          <w:i/>
          <w:sz w:val="22"/>
          <w:szCs w:val="22"/>
        </w:rPr>
        <w:t xml:space="preserve">tendrán la </w:t>
      </w:r>
      <w:r w:rsidRPr="008E4418">
        <w:rPr>
          <w:rFonts w:ascii="Palatino Linotype" w:eastAsia="Palatino Linotype" w:hAnsi="Palatino Linotype" w:cs="Palatino Linotype"/>
          <w:b/>
          <w:i/>
          <w:sz w:val="22"/>
          <w:szCs w:val="22"/>
          <w:u w:val="single"/>
        </w:rPr>
        <w:t>obligación de presentar ante las autoridades fiscales</w:t>
      </w:r>
      <w:r w:rsidRPr="008E4418">
        <w:rPr>
          <w:rFonts w:ascii="Palatino Linotype" w:eastAsia="Palatino Linotype" w:hAnsi="Palatino Linotype" w:cs="Palatino Linotype"/>
          <w:b/>
          <w:i/>
          <w:sz w:val="22"/>
          <w:szCs w:val="22"/>
        </w:rPr>
        <w:t>, a través de los medios y formatos electrónicos que señale el Servicio de Administración, la información relativa a:</w:t>
      </w:r>
    </w:p>
    <w:p w14:paraId="0BEE5064"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I</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b/>
          <w:i/>
          <w:sz w:val="22"/>
          <w:szCs w:val="22"/>
        </w:rPr>
        <w:t xml:space="preserve">Las personas a las que en el mes inmediato anterior </w:t>
      </w:r>
      <w:r w:rsidRPr="008E4418">
        <w:rPr>
          <w:rFonts w:ascii="Palatino Linotype" w:eastAsia="Palatino Linotype" w:hAnsi="Palatino Linotype" w:cs="Palatino Linotype"/>
          <w:b/>
          <w:i/>
          <w:sz w:val="22"/>
          <w:szCs w:val="22"/>
          <w:u w:val="single"/>
        </w:rPr>
        <w:t>les hubieren efectuado retenciones de impuesto sobre la renta</w:t>
      </w:r>
      <w:r w:rsidRPr="008E4418">
        <w:rPr>
          <w:rFonts w:ascii="Palatino Linotype" w:eastAsia="Palatino Linotype" w:hAnsi="Palatino Linotype" w:cs="Palatino Linotype"/>
          <w:b/>
          <w:i/>
          <w:sz w:val="22"/>
          <w:szCs w:val="22"/>
        </w:rPr>
        <w:t>,</w:t>
      </w:r>
      <w:r w:rsidRPr="008E4418">
        <w:rPr>
          <w:rFonts w:ascii="Palatino Linotype" w:eastAsia="Palatino Linotype" w:hAnsi="Palatino Linotype" w:cs="Palatino Linotype"/>
          <w:i/>
          <w:sz w:val="22"/>
          <w:szCs w:val="22"/>
        </w:rPr>
        <w:t xml:space="preserve"> así como de los residentes en el extranjero a los que les hayan efectuado pagos de acuerdo con lo previsto en el Título V de la Ley del Impuesto sobre la Renta.”</w:t>
      </w:r>
    </w:p>
    <w:p w14:paraId="508ED0F6"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Ahora bien, para efecto de optimizar y agilizar la presentación de la Declaración Anual del Impuesto Sobre la Renta, el Servicio de Administración Tributaria, SAT, desarrollo los Visores de comprobantes de nómina tanto para el patrón como para el trabajador, que se constituyes como una herramienta en línea que permite a los trabajadores consultar los ingresos y retenciones por concepto de sueldos, salarios, </w:t>
      </w:r>
      <w:r w:rsidRPr="008E4418">
        <w:rPr>
          <w:rFonts w:ascii="Palatino Linotype" w:eastAsia="Palatino Linotype" w:hAnsi="Palatino Linotype" w:cs="Palatino Linotype"/>
        </w:rPr>
        <w:lastRenderedPageBreak/>
        <w:t xml:space="preserve">asimilados a salarios y pagos por separación, manifestados al SAT por el patrón, a través de los </w:t>
      </w:r>
      <w:proofErr w:type="spellStart"/>
      <w:r w:rsidRPr="008E4418">
        <w:rPr>
          <w:rFonts w:ascii="Palatino Linotype" w:eastAsia="Palatino Linotype" w:hAnsi="Palatino Linotype" w:cs="Palatino Linotype"/>
        </w:rPr>
        <w:t>CFDIs</w:t>
      </w:r>
      <w:proofErr w:type="spellEnd"/>
      <w:r w:rsidRPr="008E4418">
        <w:rPr>
          <w:rFonts w:ascii="Palatino Linotype" w:eastAsia="Palatino Linotype" w:hAnsi="Palatino Linotype" w:cs="Palatino Linotype"/>
        </w:rPr>
        <w:t xml:space="preserve"> de nómina expedidos; y a los </w:t>
      </w:r>
      <w:r w:rsidRPr="008E4418">
        <w:rPr>
          <w:rFonts w:ascii="Palatino Linotype" w:eastAsia="Palatino Linotype" w:hAnsi="Palatino Linotype" w:cs="Palatino Linotype"/>
          <w:i/>
        </w:rPr>
        <w:t>patrones</w:t>
      </w:r>
      <w:r w:rsidRPr="008E4418">
        <w:rPr>
          <w:rFonts w:ascii="Palatino Linotype" w:eastAsia="Palatino Linotype" w:hAnsi="Palatino Linotype" w:cs="Palatino Linotype"/>
        </w:rPr>
        <w:t xml:space="preserve">, conocer oportunamente la información que será pre-llenada en la Declaración Anual para la deducción de nómina, consultar los pagos realizados de los trabajadores de forma acumulada, verificar la información de forma individual de cada uno de los empleados a los que se le haya expedido un </w:t>
      </w:r>
      <w:proofErr w:type="spellStart"/>
      <w:r w:rsidRPr="008E4418">
        <w:rPr>
          <w:rFonts w:ascii="Palatino Linotype" w:eastAsia="Palatino Linotype" w:hAnsi="Palatino Linotype" w:cs="Palatino Linotype"/>
        </w:rPr>
        <w:t>CFDIs</w:t>
      </w:r>
      <w:proofErr w:type="spellEnd"/>
      <w:r w:rsidRPr="008E4418">
        <w:rPr>
          <w:rFonts w:ascii="Palatino Linotype" w:eastAsia="Palatino Linotype" w:hAnsi="Palatino Linotype" w:cs="Palatino Linotype"/>
        </w:rPr>
        <w:t xml:space="preserve"> de nómina, identificar oportunamente errores en la información timbrada y en su caso corregirla, adicionalmente pueden realizarse conciliaciones del impuesto retenido de todos los trabajadores asentado en los comprobantes, contra el impuesto enterado en los pagos provisionales por concepto de ISR Retenciones por Sueldos y Salarios y de ISR Retenciones por Asimilados a Salarios, es decir, permite verificar que el ISR retenido o timbrado se haya enterado -pagado-.</w:t>
      </w:r>
    </w:p>
    <w:p w14:paraId="11F355E5"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Atento a lo anterior, se colige que </w:t>
      </w:r>
      <w:r w:rsidRPr="008E4418">
        <w:rPr>
          <w:rFonts w:ascii="Palatino Linotype" w:eastAsia="Palatino Linotype" w:hAnsi="Palatino Linotype" w:cs="Palatino Linotype"/>
          <w:b/>
          <w:u w:val="single"/>
        </w:rPr>
        <w:t>la información que requiere la persona solicitante</w:t>
      </w:r>
      <w:r w:rsidRPr="008E4418">
        <w:rPr>
          <w:rFonts w:ascii="Palatino Linotype" w:eastAsia="Palatino Linotype" w:hAnsi="Palatino Linotype" w:cs="Palatino Linotype"/>
          <w:b/>
        </w:rPr>
        <w:t xml:space="preserve"> en el punto en estudio, </w:t>
      </w:r>
      <w:r w:rsidRPr="008E4418">
        <w:rPr>
          <w:rFonts w:ascii="Palatino Linotype" w:eastAsia="Palatino Linotype" w:hAnsi="Palatino Linotype" w:cs="Palatino Linotype"/>
          <w:b/>
          <w:u w:val="single"/>
        </w:rPr>
        <w:t>se obtiene del Visor de comprobantes de nómina para el patrón</w:t>
      </w:r>
      <w:r w:rsidRPr="008E4418">
        <w:rPr>
          <w:rFonts w:ascii="Palatino Linotype" w:eastAsia="Palatino Linotype" w:hAnsi="Palatino Linotype" w:cs="Palatino Linotype"/>
        </w:rPr>
        <w:t>, que se localiza en el portal de internet del SAT, concretamente en el apartado de Declaraciones</w:t>
      </w:r>
      <w:r w:rsidRPr="008E4418">
        <w:rPr>
          <w:rFonts w:ascii="Palatino Linotype" w:eastAsia="Palatino Linotype" w:hAnsi="Palatino Linotype" w:cs="Palatino Linotype"/>
          <w:vertAlign w:val="superscript"/>
        </w:rPr>
        <w:footnoteReference w:id="1"/>
      </w:r>
      <w:r w:rsidRPr="008E4418">
        <w:rPr>
          <w:rFonts w:ascii="Palatino Linotype" w:eastAsia="Palatino Linotype" w:hAnsi="Palatino Linotype" w:cs="Palatino Linotype"/>
        </w:rPr>
        <w:t xml:space="preserve">, y, para acceder a la misma, es necesario autenticarse con el RFC y la contraseña o </w:t>
      </w:r>
      <w:proofErr w:type="spellStart"/>
      <w:r w:rsidRPr="008E4418">
        <w:rPr>
          <w:rFonts w:ascii="Palatino Linotype" w:eastAsia="Palatino Linotype" w:hAnsi="Palatino Linotype" w:cs="Palatino Linotype"/>
        </w:rPr>
        <w:t>e.firma</w:t>
      </w:r>
      <w:proofErr w:type="spellEnd"/>
      <w:r w:rsidRPr="008E4418">
        <w:rPr>
          <w:rFonts w:ascii="Palatino Linotype" w:eastAsia="Palatino Linotype" w:hAnsi="Palatino Linotype" w:cs="Palatino Linotype"/>
        </w:rPr>
        <w:t>, como se ilustra en seguida para mejor referencia:</w:t>
      </w:r>
    </w:p>
    <w:p w14:paraId="3F32F494" w14:textId="77777777" w:rsidR="00905E09" w:rsidRPr="008E4418" w:rsidRDefault="00CE232F">
      <w:pPr>
        <w:spacing w:before="240" w:after="240" w:line="360" w:lineRule="auto"/>
        <w:jc w:val="center"/>
        <w:rPr>
          <w:rFonts w:ascii="Palatino Linotype" w:eastAsia="Palatino Linotype" w:hAnsi="Palatino Linotype" w:cs="Palatino Linotype"/>
        </w:rPr>
      </w:pPr>
      <w:r w:rsidRPr="008E4418">
        <w:rPr>
          <w:rFonts w:ascii="Palatino Linotype" w:eastAsia="Palatino Linotype" w:hAnsi="Palatino Linotype" w:cs="Palatino Linotype"/>
          <w:noProof/>
        </w:rPr>
        <w:lastRenderedPageBreak/>
        <w:drawing>
          <wp:inline distT="0" distB="0" distL="0" distR="0" wp14:anchorId="466B038A" wp14:editId="1273AAF7">
            <wp:extent cx="3420000" cy="5517693"/>
            <wp:effectExtent l="0" t="0" r="0" b="0"/>
            <wp:docPr id="214013195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3420000" cy="5517693"/>
                    </a:xfrm>
                    <a:prstGeom prst="rect">
                      <a:avLst/>
                    </a:prstGeom>
                    <a:ln/>
                  </pic:spPr>
                </pic:pic>
              </a:graphicData>
            </a:graphic>
          </wp:inline>
        </w:drawing>
      </w:r>
    </w:p>
    <w:p w14:paraId="20DDA90F"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Los documentos que pueden obtenerse del </w:t>
      </w:r>
      <w:r w:rsidRPr="008E4418">
        <w:rPr>
          <w:rFonts w:ascii="Palatino Linotype" w:eastAsia="Palatino Linotype" w:hAnsi="Palatino Linotype" w:cs="Palatino Linotype"/>
          <w:b/>
        </w:rPr>
        <w:t xml:space="preserve">Visor de comprobantes de nómina para el patrón, </w:t>
      </w:r>
      <w:r w:rsidRPr="008E4418">
        <w:rPr>
          <w:rFonts w:ascii="Palatino Linotype" w:eastAsia="Palatino Linotype" w:hAnsi="Palatino Linotype" w:cs="Palatino Linotype"/>
        </w:rPr>
        <w:t>son los siguientes</w:t>
      </w:r>
    </w:p>
    <w:p w14:paraId="72AB6F60" w14:textId="77777777" w:rsidR="00905E09" w:rsidRPr="008E4418" w:rsidRDefault="00CE232F">
      <w:pPr>
        <w:spacing w:before="240" w:after="240" w:line="360" w:lineRule="auto"/>
        <w:jc w:val="center"/>
        <w:rPr>
          <w:rFonts w:ascii="Palatino Linotype" w:eastAsia="Palatino Linotype" w:hAnsi="Palatino Linotype" w:cs="Palatino Linotype"/>
        </w:rPr>
      </w:pPr>
      <w:r w:rsidRPr="008E4418">
        <w:rPr>
          <w:rFonts w:ascii="Palatino Linotype" w:eastAsia="Palatino Linotype" w:hAnsi="Palatino Linotype" w:cs="Palatino Linotype"/>
          <w:noProof/>
        </w:rPr>
        <w:lastRenderedPageBreak/>
        <w:drawing>
          <wp:inline distT="0" distB="0" distL="0" distR="0" wp14:anchorId="7A72736F" wp14:editId="13C361E3">
            <wp:extent cx="4601217" cy="2600688"/>
            <wp:effectExtent l="0" t="0" r="0" b="0"/>
            <wp:docPr id="214013195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4601217" cy="2600688"/>
                    </a:xfrm>
                    <a:prstGeom prst="rect">
                      <a:avLst/>
                    </a:prstGeom>
                    <a:ln/>
                  </pic:spPr>
                </pic:pic>
              </a:graphicData>
            </a:graphic>
          </wp:inline>
        </w:drawing>
      </w:r>
    </w:p>
    <w:p w14:paraId="35DCA84B"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Además, cabe señalar que en el Portal referido se localiza la Guía de Usuario del Visor de comprobantes de nómina del patrón, en la cual se establecen las modalidades de consulta de la información, como se observa a continuación:</w:t>
      </w:r>
    </w:p>
    <w:p w14:paraId="6D3106CE"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noProof/>
        </w:rPr>
        <w:drawing>
          <wp:inline distT="0" distB="0" distL="0" distR="0" wp14:anchorId="498EFEFB" wp14:editId="0DD8C1E5">
            <wp:extent cx="5608955" cy="972185"/>
            <wp:effectExtent l="0" t="0" r="0" b="0"/>
            <wp:docPr id="214013195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a:stretch>
                      <a:fillRect/>
                    </a:stretch>
                  </pic:blipFill>
                  <pic:spPr>
                    <a:xfrm>
                      <a:off x="0" y="0"/>
                      <a:ext cx="5608955" cy="972185"/>
                    </a:xfrm>
                    <a:prstGeom prst="rect">
                      <a:avLst/>
                    </a:prstGeom>
                    <a:ln/>
                  </pic:spPr>
                </pic:pic>
              </a:graphicData>
            </a:graphic>
          </wp:inline>
        </w:drawing>
      </w:r>
      <w:r w:rsidRPr="008E4418">
        <w:rPr>
          <w:noProof/>
        </w:rPr>
        <mc:AlternateContent>
          <mc:Choice Requires="wpg">
            <w:drawing>
              <wp:anchor distT="0" distB="0" distL="114300" distR="114300" simplePos="0" relativeHeight="251659264" behindDoc="0" locked="0" layoutInCell="1" hidden="0" allowOverlap="1" wp14:anchorId="4F933872" wp14:editId="5DE9477A">
                <wp:simplePos x="0" y="0"/>
                <wp:positionH relativeFrom="column">
                  <wp:posOffset>317500</wp:posOffset>
                </wp:positionH>
                <wp:positionV relativeFrom="paragraph">
                  <wp:posOffset>215900</wp:posOffset>
                </wp:positionV>
                <wp:extent cx="249155" cy="667000"/>
                <wp:effectExtent l="0" t="0" r="0" b="0"/>
                <wp:wrapNone/>
                <wp:docPr id="2140131919" name="Abrir llave 2140131919"/>
                <wp:cNvGraphicFramePr/>
                <a:graphic xmlns:a="http://schemas.openxmlformats.org/drawingml/2006/main">
                  <a:graphicData uri="http://schemas.microsoft.com/office/word/2010/wordprocessingShape">
                    <wps:wsp>
                      <wps:cNvSpPr/>
                      <wps:spPr>
                        <a:xfrm>
                          <a:off x="5284923" y="3510000"/>
                          <a:ext cx="122155" cy="540000"/>
                        </a:xfrm>
                        <a:prstGeom prst="leftBrace">
                          <a:avLst>
                            <a:gd name="adj1" fmla="val 8333"/>
                            <a:gd name="adj2" fmla="val 50000"/>
                          </a:avLst>
                        </a:prstGeom>
                        <a:noFill/>
                        <a:ln w="25400" cap="flat" cmpd="sng">
                          <a:solidFill>
                            <a:srgbClr val="C00000"/>
                          </a:solidFill>
                          <a:prstDash val="solid"/>
                          <a:round/>
                          <a:headEnd type="none" w="sm" len="sm"/>
                          <a:tailEnd type="none" w="sm" len="sm"/>
                        </a:ln>
                      </wps:spPr>
                      <wps:txbx>
                        <w:txbxContent>
                          <w:p w14:paraId="2A704B7F" w14:textId="77777777" w:rsidR="00905E09" w:rsidRDefault="00905E09">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317500</wp:posOffset>
                </wp:positionH>
                <wp:positionV relativeFrom="paragraph">
                  <wp:posOffset>215900</wp:posOffset>
                </wp:positionV>
                <wp:extent cx="249155" cy="667000"/>
                <wp:effectExtent b="0" l="0" r="0" t="0"/>
                <wp:wrapNone/>
                <wp:docPr id="2140131919" name="image27.png"/>
                <a:graphic>
                  <a:graphicData uri="http://schemas.openxmlformats.org/drawingml/2006/picture">
                    <pic:pic>
                      <pic:nvPicPr>
                        <pic:cNvPr id="0" name="image27.png"/>
                        <pic:cNvPicPr preferRelativeResize="0"/>
                      </pic:nvPicPr>
                      <pic:blipFill>
                        <a:blip r:embed="rId26"/>
                        <a:srcRect/>
                        <a:stretch>
                          <a:fillRect/>
                        </a:stretch>
                      </pic:blipFill>
                      <pic:spPr>
                        <a:xfrm>
                          <a:off x="0" y="0"/>
                          <a:ext cx="249155" cy="667000"/>
                        </a:xfrm>
                        <a:prstGeom prst="rect"/>
                        <a:ln/>
                      </pic:spPr>
                    </pic:pic>
                  </a:graphicData>
                </a:graphic>
              </wp:anchor>
            </w:drawing>
          </mc:Fallback>
        </mc:AlternateContent>
      </w:r>
    </w:p>
    <w:p w14:paraId="0CDF0A92"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La información a la cual desea acceder la persona solicitante corresponde con la generada a partir de la Consulta Global, misma que permite al retenedor conocer la información global o acumulada que asentó en los comprobantes de todos sus trabajadores, de forma mensual –</w:t>
      </w:r>
      <w:r w:rsidRPr="008E4418">
        <w:rPr>
          <w:rFonts w:ascii="Palatino Linotype" w:eastAsia="Palatino Linotype" w:hAnsi="Palatino Linotype" w:cs="Palatino Linotype"/>
          <w:sz w:val="22"/>
          <w:szCs w:val="22"/>
        </w:rPr>
        <w:t>de la cual se obtienen los reportes Detalle del “Total por Sueldos y Salarios” y Detalle del “Total por Asimilados a Salarios”-</w:t>
      </w:r>
      <w:r w:rsidRPr="008E4418">
        <w:rPr>
          <w:rFonts w:ascii="Palatino Linotype" w:eastAsia="Palatino Linotype" w:hAnsi="Palatino Linotype" w:cs="Palatino Linotype"/>
        </w:rPr>
        <w:t>,  y que contempla, además, las modalidades de consulta: “Vista anual acumulada” –</w:t>
      </w:r>
      <w:r w:rsidRPr="008E4418">
        <w:rPr>
          <w:rFonts w:ascii="Palatino Linotype" w:eastAsia="Palatino Linotype" w:hAnsi="Palatino Linotype" w:cs="Palatino Linotype"/>
          <w:sz w:val="20"/>
          <w:szCs w:val="20"/>
        </w:rPr>
        <w:t>de la cual se obtiene el documento Vista anual acumulada</w:t>
      </w:r>
      <w:r w:rsidRPr="008E4418">
        <w:rPr>
          <w:rFonts w:ascii="Palatino Linotype" w:eastAsia="Palatino Linotype" w:hAnsi="Palatino Linotype" w:cs="Palatino Linotype"/>
        </w:rPr>
        <w:t>-, “Vista anual” y “Vista mensual”.</w:t>
      </w:r>
    </w:p>
    <w:p w14:paraId="63A52EB8" w14:textId="77777777" w:rsidR="00905E09" w:rsidRPr="008E4418" w:rsidRDefault="00CE232F">
      <w:pPr>
        <w:spacing w:before="240" w:after="240" w:line="360" w:lineRule="auto"/>
        <w:ind w:right="49"/>
        <w:jc w:val="both"/>
        <w:rPr>
          <w:rFonts w:ascii="Palatino Linotype" w:eastAsia="Palatino Linotype" w:hAnsi="Palatino Linotype" w:cs="Palatino Linotype"/>
        </w:rPr>
      </w:pPr>
      <w:r w:rsidRPr="008E4418">
        <w:rPr>
          <w:rFonts w:ascii="Palatino Linotype" w:eastAsia="Palatino Linotype" w:hAnsi="Palatino Linotype" w:cs="Palatino Linotype"/>
        </w:rPr>
        <w:lastRenderedPageBreak/>
        <w:t xml:space="preserve">Con la finalidad de esclarecer el argumento anterior, es oportuno referir que de conformidad con el procedimiento de consulta de la información previsto en la Guía de Usuario del Visor de comprobantes de nómina del patrón, al seleccionar la opción “Consultar información Global”, se muestra un resumen de los </w:t>
      </w:r>
      <w:proofErr w:type="spellStart"/>
      <w:r w:rsidRPr="008E4418">
        <w:rPr>
          <w:rFonts w:ascii="Palatino Linotype" w:eastAsia="Palatino Linotype" w:hAnsi="Palatino Linotype" w:cs="Palatino Linotype"/>
        </w:rPr>
        <w:t>CFDIs</w:t>
      </w:r>
      <w:proofErr w:type="spellEnd"/>
      <w:r w:rsidRPr="008E4418">
        <w:rPr>
          <w:rFonts w:ascii="Palatino Linotype" w:eastAsia="Palatino Linotype" w:hAnsi="Palatino Linotype" w:cs="Palatino Linotype"/>
        </w:rPr>
        <w:t xml:space="preserve"> de nómina que se expidieron por conceptos de sueldos y salarios, y asimilados a salarios, y </w:t>
      </w:r>
      <w:r w:rsidRPr="008E4418">
        <w:rPr>
          <w:rFonts w:ascii="Palatino Linotype" w:eastAsia="Palatino Linotype" w:hAnsi="Palatino Linotype" w:cs="Palatino Linotype"/>
          <w:b/>
        </w:rPr>
        <w:t xml:space="preserve">para conocer la información mensual relativa a la diferencia de ISR retenido y enterado por el ente retenedor </w:t>
      </w:r>
      <w:r w:rsidRPr="008E4418">
        <w:rPr>
          <w:rFonts w:ascii="Palatino Linotype" w:eastAsia="Palatino Linotype" w:hAnsi="Palatino Linotype" w:cs="Palatino Linotype"/>
          <w:sz w:val="22"/>
          <w:szCs w:val="22"/>
        </w:rPr>
        <w:t>–es decir, el ISR a favor o en contra-</w:t>
      </w:r>
      <w:r w:rsidRPr="008E4418">
        <w:rPr>
          <w:rFonts w:ascii="Palatino Linotype" w:eastAsia="Palatino Linotype" w:hAnsi="Palatino Linotype" w:cs="Palatino Linotype"/>
          <w:b/>
        </w:rPr>
        <w:t>, por sueldos y salarios, y por asimilados a salarios</w:t>
      </w:r>
      <w:r w:rsidRPr="008E4418">
        <w:rPr>
          <w:rFonts w:ascii="Palatino Linotype" w:eastAsia="Palatino Linotype" w:hAnsi="Palatino Linotype" w:cs="Palatino Linotype"/>
        </w:rPr>
        <w:t xml:space="preserve">, basta con dar clic en la opción ”Ver Detalle” que aparece en cada concepto, obteniendo como resultado en la pantalla, los reportes Detalle del “Total por Sueldos y Salarios” y Detalle del “Total por Asimilados a Salarios”, como se observa en la siguientes imágenes extraídas de la Guía: </w:t>
      </w:r>
    </w:p>
    <w:p w14:paraId="52FE4513" w14:textId="77777777" w:rsidR="00905E09" w:rsidRPr="008E4418" w:rsidRDefault="00CE232F">
      <w:pPr>
        <w:spacing w:before="240" w:after="240" w:line="360" w:lineRule="auto"/>
        <w:ind w:right="49"/>
        <w:jc w:val="both"/>
        <w:rPr>
          <w:rFonts w:ascii="Palatino Linotype" w:eastAsia="Palatino Linotype" w:hAnsi="Palatino Linotype" w:cs="Palatino Linotype"/>
        </w:rPr>
      </w:pPr>
      <w:r w:rsidRPr="008E4418">
        <w:rPr>
          <w:rFonts w:ascii="Palatino Linotype" w:eastAsia="Palatino Linotype" w:hAnsi="Palatino Linotype" w:cs="Palatino Linotype"/>
          <w:noProof/>
        </w:rPr>
        <w:drawing>
          <wp:inline distT="0" distB="0" distL="0" distR="0" wp14:anchorId="5967F9E5" wp14:editId="04EAB996">
            <wp:extent cx="5612130" cy="2475781"/>
            <wp:effectExtent l="0" t="0" r="0" b="0"/>
            <wp:docPr id="214013195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b="63920"/>
                    <a:stretch>
                      <a:fillRect/>
                    </a:stretch>
                  </pic:blipFill>
                  <pic:spPr>
                    <a:xfrm>
                      <a:off x="0" y="0"/>
                      <a:ext cx="5612130" cy="2475781"/>
                    </a:xfrm>
                    <a:prstGeom prst="rect">
                      <a:avLst/>
                    </a:prstGeom>
                    <a:ln/>
                  </pic:spPr>
                </pic:pic>
              </a:graphicData>
            </a:graphic>
          </wp:inline>
        </w:drawing>
      </w:r>
    </w:p>
    <w:p w14:paraId="7FACC9E2" w14:textId="77777777" w:rsidR="00905E09" w:rsidRPr="008E4418" w:rsidRDefault="00CE232F">
      <w:pPr>
        <w:spacing w:before="240" w:after="240" w:line="360" w:lineRule="auto"/>
        <w:ind w:right="49"/>
        <w:jc w:val="both"/>
        <w:rPr>
          <w:rFonts w:ascii="Palatino Linotype" w:eastAsia="Palatino Linotype" w:hAnsi="Palatino Linotype" w:cs="Palatino Linotype"/>
        </w:rPr>
      </w:pPr>
      <w:r w:rsidRPr="008E4418">
        <w:rPr>
          <w:rFonts w:ascii="Palatino Linotype" w:eastAsia="Palatino Linotype" w:hAnsi="Palatino Linotype" w:cs="Palatino Linotype"/>
          <w:noProof/>
        </w:rPr>
        <w:lastRenderedPageBreak/>
        <w:drawing>
          <wp:inline distT="0" distB="0" distL="0" distR="0" wp14:anchorId="3BDE587B" wp14:editId="5BF527DF">
            <wp:extent cx="5612130" cy="4420534"/>
            <wp:effectExtent l="0" t="0" r="0" b="0"/>
            <wp:docPr id="214013195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t="35578"/>
                    <a:stretch>
                      <a:fillRect/>
                    </a:stretch>
                  </pic:blipFill>
                  <pic:spPr>
                    <a:xfrm>
                      <a:off x="0" y="0"/>
                      <a:ext cx="5612130" cy="4420534"/>
                    </a:xfrm>
                    <a:prstGeom prst="rect">
                      <a:avLst/>
                    </a:prstGeom>
                    <a:ln/>
                  </pic:spPr>
                </pic:pic>
              </a:graphicData>
            </a:graphic>
          </wp:inline>
        </w:drawing>
      </w:r>
    </w:p>
    <w:p w14:paraId="22C9D718" w14:textId="77777777" w:rsidR="00905E09" w:rsidRPr="008E4418" w:rsidRDefault="00CE232F">
      <w:pPr>
        <w:spacing w:before="240" w:after="240" w:line="360" w:lineRule="auto"/>
        <w:ind w:right="49"/>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Respecto al reporte de ISR retenido correspondiente al monto histórico recuperado por conducto de la Secretaria de Finanzas del Estado, se precisa que en el siguiente nivel de consulta de la información, es decir, en la modalidad “Vista anual acumulada”, se muestra el </w:t>
      </w:r>
      <w:r w:rsidRPr="008E4418">
        <w:rPr>
          <w:rFonts w:ascii="Palatino Linotype" w:eastAsia="Palatino Linotype" w:hAnsi="Palatino Linotype" w:cs="Palatino Linotype"/>
          <w:b/>
        </w:rPr>
        <w:t>registro del Acumulado Anual Total,</w:t>
      </w:r>
      <w:r w:rsidRPr="008E4418">
        <w:rPr>
          <w:rFonts w:ascii="Palatino Linotype" w:eastAsia="Palatino Linotype" w:hAnsi="Palatino Linotype" w:cs="Palatino Linotype"/>
        </w:rPr>
        <w:t xml:space="preserve"> que contiene los pagos acumulados realizados a los trabajadores </w:t>
      </w:r>
      <w:r w:rsidRPr="008E4418">
        <w:rPr>
          <w:rFonts w:ascii="Palatino Linotype" w:eastAsia="Palatino Linotype" w:hAnsi="Palatino Linotype" w:cs="Palatino Linotype"/>
          <w:b/>
          <w:u w:val="single"/>
        </w:rPr>
        <w:t>durante el ejercicio</w:t>
      </w:r>
      <w:r w:rsidRPr="008E4418">
        <w:rPr>
          <w:rFonts w:ascii="Palatino Linotype" w:eastAsia="Palatino Linotype" w:hAnsi="Palatino Linotype" w:cs="Palatino Linotype"/>
        </w:rPr>
        <w:t>, y se integra de las columnas siguientes: Concepto, Salarios, Indemnización, Total sueldos, Asimilados a salarios y un Total pagado por nómina, es decir, contiene una columna que integra un gran total resumido de cada concepto, además del número de trabajadores, así como también el</w:t>
      </w:r>
      <w:r w:rsidRPr="008E4418">
        <w:rPr>
          <w:rFonts w:ascii="Palatino Linotype" w:eastAsia="Palatino Linotype" w:hAnsi="Palatino Linotype" w:cs="Palatino Linotype"/>
          <w:b/>
        </w:rPr>
        <w:t xml:space="preserve"> </w:t>
      </w:r>
      <w:r w:rsidRPr="008E4418">
        <w:rPr>
          <w:rFonts w:ascii="Palatino Linotype" w:eastAsia="Palatino Linotype" w:hAnsi="Palatino Linotype" w:cs="Palatino Linotype"/>
          <w:b/>
          <w:u w:val="single"/>
        </w:rPr>
        <w:t>total de ISR retenido e ISR enterado</w:t>
      </w:r>
      <w:r w:rsidRPr="008E4418">
        <w:rPr>
          <w:rFonts w:ascii="Palatino Linotype" w:eastAsia="Palatino Linotype" w:hAnsi="Palatino Linotype" w:cs="Palatino Linotype"/>
        </w:rPr>
        <w:t xml:space="preserve">. Asimismo, </w:t>
      </w:r>
      <w:r w:rsidRPr="008E4418">
        <w:rPr>
          <w:rFonts w:ascii="Palatino Linotype" w:eastAsia="Palatino Linotype" w:hAnsi="Palatino Linotype" w:cs="Palatino Linotype"/>
        </w:rPr>
        <w:lastRenderedPageBreak/>
        <w:t>al dar clic en el ícono PDF, es posible generar un documento con la información que se visualiza en el aplicativo, como se ilustra a continuación para mejor referencia:</w:t>
      </w:r>
    </w:p>
    <w:p w14:paraId="344D6E17" w14:textId="77777777" w:rsidR="00905E09" w:rsidRPr="008E4418" w:rsidRDefault="00CE232F">
      <w:pPr>
        <w:spacing w:before="240" w:after="240" w:line="360" w:lineRule="auto"/>
        <w:ind w:right="49"/>
        <w:jc w:val="center"/>
        <w:rPr>
          <w:rFonts w:ascii="Palatino Linotype" w:eastAsia="Palatino Linotype" w:hAnsi="Palatino Linotype" w:cs="Palatino Linotype"/>
        </w:rPr>
      </w:pPr>
      <w:bookmarkStart w:id="6" w:name="_heading=h.1t3h5sf" w:colFirst="0" w:colLast="0"/>
      <w:bookmarkEnd w:id="6"/>
      <w:r w:rsidRPr="008E4418">
        <w:rPr>
          <w:rFonts w:ascii="Palatino Linotype" w:eastAsia="Palatino Linotype" w:hAnsi="Palatino Linotype" w:cs="Palatino Linotype"/>
          <w:noProof/>
        </w:rPr>
        <w:drawing>
          <wp:inline distT="0" distB="0" distL="0" distR="0" wp14:anchorId="670770E6" wp14:editId="23830E0F">
            <wp:extent cx="5040000" cy="3043481"/>
            <wp:effectExtent l="0" t="0" r="0" b="0"/>
            <wp:docPr id="214013195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8"/>
                    <a:srcRect/>
                    <a:stretch>
                      <a:fillRect/>
                    </a:stretch>
                  </pic:blipFill>
                  <pic:spPr>
                    <a:xfrm>
                      <a:off x="0" y="0"/>
                      <a:ext cx="5040000" cy="3043481"/>
                    </a:xfrm>
                    <a:prstGeom prst="rect">
                      <a:avLst/>
                    </a:prstGeom>
                    <a:ln/>
                  </pic:spPr>
                </pic:pic>
              </a:graphicData>
            </a:graphic>
          </wp:inline>
        </w:drawing>
      </w:r>
      <w:r w:rsidRPr="008E4418">
        <w:rPr>
          <w:rFonts w:ascii="Palatino Linotype" w:eastAsia="Palatino Linotype" w:hAnsi="Palatino Linotype" w:cs="Palatino Linotype"/>
          <w:noProof/>
        </w:rPr>
        <w:drawing>
          <wp:inline distT="0" distB="0" distL="0" distR="0" wp14:anchorId="75BF1B81" wp14:editId="3F8F1DB2">
            <wp:extent cx="5040000" cy="3380192"/>
            <wp:effectExtent l="0" t="0" r="0" b="0"/>
            <wp:docPr id="21401319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5040000" cy="3380192"/>
                    </a:xfrm>
                    <a:prstGeom prst="rect">
                      <a:avLst/>
                    </a:prstGeom>
                    <a:ln/>
                  </pic:spPr>
                </pic:pic>
              </a:graphicData>
            </a:graphic>
          </wp:inline>
        </w:drawing>
      </w:r>
    </w:p>
    <w:p w14:paraId="19852EF1" w14:textId="77777777" w:rsidR="00CE232F" w:rsidRPr="008E4418" w:rsidRDefault="00CE232F" w:rsidP="00CE232F">
      <w:pPr>
        <w:spacing w:before="240" w:after="240" w:line="360" w:lineRule="auto"/>
        <w:ind w:right="49"/>
        <w:jc w:val="both"/>
        <w:rPr>
          <w:rFonts w:ascii="Palatino Linotype" w:eastAsia="Palatino Linotype" w:hAnsi="Palatino Linotype" w:cs="Palatino Linotype"/>
        </w:rPr>
      </w:pPr>
      <w:r w:rsidRPr="008E4418">
        <w:rPr>
          <w:rFonts w:ascii="Palatino Linotype" w:eastAsia="Palatino Linotype" w:hAnsi="Palatino Linotype" w:cs="Palatino Linotype"/>
        </w:rPr>
        <w:lastRenderedPageBreak/>
        <w:t xml:space="preserve">En esta línea de pensamiento, dado que el </w:t>
      </w:r>
      <w:r w:rsidRPr="008E4418">
        <w:rPr>
          <w:rFonts w:ascii="Palatino Linotype" w:eastAsia="Palatino Linotype" w:hAnsi="Palatino Linotype" w:cs="Palatino Linotype"/>
          <w:b/>
        </w:rPr>
        <w:t xml:space="preserve">Sujeto Obligado, </w:t>
      </w:r>
      <w:r w:rsidRPr="008E4418">
        <w:rPr>
          <w:rFonts w:ascii="Palatino Linotype" w:eastAsia="Palatino Linotype" w:hAnsi="Palatino Linotype" w:cs="Palatino Linotype"/>
        </w:rPr>
        <w:t xml:space="preserve">al ser un ente retenedor del Impuesto Sobre la Renta que se genere por ingresos por salarios -y en general por la prestación de un servicio personal subordinado-, y encontrarse constreñido a generar y entregar un CFDI que ampare dichas retenciones para el cumplimiento de las obligaciones fiscales que le impone la Ley, para lo cual es indispensable que se encuentre inscrito en el Registro Federal de Contribuyentes y cuente con la clave correspondiente de RFC, así como una contraseña y una firma electrónica o </w:t>
      </w:r>
      <w:proofErr w:type="spellStart"/>
      <w:r w:rsidRPr="008E4418">
        <w:rPr>
          <w:rFonts w:ascii="Palatino Linotype" w:eastAsia="Palatino Linotype" w:hAnsi="Palatino Linotype" w:cs="Palatino Linotype"/>
        </w:rPr>
        <w:t>e.firma</w:t>
      </w:r>
      <w:proofErr w:type="spellEnd"/>
      <w:r w:rsidRPr="008E4418">
        <w:rPr>
          <w:rFonts w:ascii="Palatino Linotype" w:eastAsia="Palatino Linotype" w:hAnsi="Palatino Linotype" w:cs="Palatino Linotype"/>
        </w:rPr>
        <w:t xml:space="preserve">, se concluye que se encuentra en posibilidad de entregar la información que es tema de estudio, toda vez que </w:t>
      </w:r>
      <w:r w:rsidRPr="008E4418">
        <w:rPr>
          <w:rFonts w:ascii="Palatino Linotype" w:eastAsia="Palatino Linotype" w:hAnsi="Palatino Linotype" w:cs="Palatino Linotype"/>
          <w:b/>
          <w:u w:val="single"/>
        </w:rPr>
        <w:t xml:space="preserve">la información alojada en el aplicativo </w:t>
      </w:r>
      <w:r w:rsidRPr="008E4418">
        <w:rPr>
          <w:rFonts w:ascii="Palatino Linotype" w:eastAsia="Palatino Linotype" w:hAnsi="Palatino Linotype" w:cs="Palatino Linotype"/>
          <w:b/>
          <w:i/>
          <w:u w:val="single"/>
        </w:rPr>
        <w:t>Visor de comprobantes de nómina del patrón</w:t>
      </w:r>
      <w:r w:rsidRPr="008E4418">
        <w:rPr>
          <w:rFonts w:ascii="Palatino Linotype" w:eastAsia="Palatino Linotype" w:hAnsi="Palatino Linotype" w:cs="Palatino Linotype"/>
          <w:b/>
          <w:u w:val="single"/>
        </w:rPr>
        <w:t xml:space="preserve"> del SAT -al cual tiene acceso a través de su clave de RFC, y su contraseña o </w:t>
      </w:r>
      <w:proofErr w:type="spellStart"/>
      <w:r w:rsidRPr="008E4418">
        <w:rPr>
          <w:rFonts w:ascii="Palatino Linotype" w:eastAsia="Palatino Linotype" w:hAnsi="Palatino Linotype" w:cs="Palatino Linotype"/>
          <w:b/>
          <w:u w:val="single"/>
        </w:rPr>
        <w:t>e.firma</w:t>
      </w:r>
      <w:proofErr w:type="spellEnd"/>
      <w:r w:rsidRPr="008E4418">
        <w:rPr>
          <w:rFonts w:ascii="Palatino Linotype" w:eastAsia="Palatino Linotype" w:hAnsi="Palatino Linotype" w:cs="Palatino Linotype"/>
          <w:b/>
          <w:u w:val="single"/>
        </w:rPr>
        <w:t xml:space="preserve">-, se alimenta de forma automática mediante el timbrado de los </w:t>
      </w:r>
      <w:proofErr w:type="spellStart"/>
      <w:r w:rsidRPr="008E4418">
        <w:rPr>
          <w:rFonts w:ascii="Palatino Linotype" w:eastAsia="Palatino Linotype" w:hAnsi="Palatino Linotype" w:cs="Palatino Linotype"/>
          <w:b/>
          <w:u w:val="single"/>
        </w:rPr>
        <w:t>CFDIs</w:t>
      </w:r>
      <w:proofErr w:type="spellEnd"/>
      <w:r w:rsidRPr="008E4418">
        <w:rPr>
          <w:rFonts w:ascii="Palatino Linotype" w:eastAsia="Palatino Linotype" w:hAnsi="Palatino Linotype" w:cs="Palatino Linotype"/>
          <w:b/>
          <w:u w:val="single"/>
        </w:rPr>
        <w:t xml:space="preserve"> de  nómina, una vez que estos se generan</w:t>
      </w:r>
      <w:r w:rsidRPr="008E4418">
        <w:rPr>
          <w:rFonts w:ascii="Palatino Linotype" w:eastAsia="Palatino Linotype" w:hAnsi="Palatino Linotype" w:cs="Palatino Linotype"/>
        </w:rPr>
        <w:t xml:space="preserve">, siendo información que administra como usuario del portal de Trámites y Servicios del SAT; por consiguiente, es procedente ordenar se haga entrega de los reportes generados en dicho aplicativo, referentemente en formato PDF, o en el que se hubieran generado, correspondientes al </w:t>
      </w:r>
      <w:r w:rsidRPr="008E4418">
        <w:rPr>
          <w:rFonts w:ascii="Palatino Linotype" w:eastAsia="Palatino Linotype" w:hAnsi="Palatino Linotype" w:cs="Palatino Linotype"/>
          <w:b/>
        </w:rPr>
        <w:t>Detalle del “Total por Sueldos y Salarios” y Detalle del “Total por Asimilados a Salarios”,</w:t>
      </w:r>
      <w:r w:rsidRPr="008E4418">
        <w:rPr>
          <w:rFonts w:ascii="Palatino Linotype" w:eastAsia="Palatino Linotype" w:hAnsi="Palatino Linotype" w:cs="Palatino Linotype"/>
        </w:rPr>
        <w:t xml:space="preserve"> los cuales </w:t>
      </w:r>
      <w:r w:rsidRPr="008E4418">
        <w:rPr>
          <w:rFonts w:ascii="Palatino Linotype" w:eastAsia="Palatino Linotype" w:hAnsi="Palatino Linotype" w:cs="Palatino Linotype"/>
          <w:b/>
          <w:u w:val="single"/>
        </w:rPr>
        <w:t>dan cuenta de la diferencia del ISR retenido y enterado de forma mensual</w:t>
      </w:r>
      <w:r w:rsidRPr="008E4418">
        <w:rPr>
          <w:rFonts w:ascii="Palatino Linotype" w:eastAsia="Palatino Linotype" w:hAnsi="Palatino Linotype" w:cs="Palatino Linotype"/>
        </w:rPr>
        <w:t xml:space="preserve">; así como la </w:t>
      </w:r>
      <w:r w:rsidRPr="008E4418">
        <w:rPr>
          <w:rFonts w:ascii="Palatino Linotype" w:eastAsia="Palatino Linotype" w:hAnsi="Palatino Linotype" w:cs="Palatino Linotype"/>
          <w:b/>
        </w:rPr>
        <w:t>Vista anual acumulada</w:t>
      </w:r>
      <w:r w:rsidRPr="008E4418">
        <w:rPr>
          <w:rFonts w:ascii="Palatino Linotype" w:eastAsia="Palatino Linotype" w:hAnsi="Palatino Linotype" w:cs="Palatino Linotype"/>
        </w:rPr>
        <w:t xml:space="preserve">, que </w:t>
      </w:r>
      <w:r w:rsidRPr="008E4418">
        <w:rPr>
          <w:rFonts w:ascii="Palatino Linotype" w:eastAsia="Palatino Linotype" w:hAnsi="Palatino Linotype" w:cs="Palatino Linotype"/>
          <w:b/>
          <w:u w:val="single"/>
        </w:rPr>
        <w:t>da cuenta del total de ISR retenido por ejercicio,</w:t>
      </w:r>
      <w:r w:rsidRPr="008E4418">
        <w:rPr>
          <w:rFonts w:ascii="Palatino Linotype" w:eastAsia="Palatino Linotype" w:hAnsi="Palatino Linotype" w:cs="Palatino Linotype"/>
        </w:rPr>
        <w:t xml:space="preserve"> de cuyo análisis la persona solicitante podrá advertir el monto recuperado por la Secretaría de Finanzas de la entidad, del uno de enero de dos mil veinte al treinta de agosto de dos mil veinticuatro.</w:t>
      </w:r>
    </w:p>
    <w:p w14:paraId="25668B13"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No obstante, no debe perderse de vista que la normatividad aplicable no establece como obligatorio el uso de dicha herramienta o aplicativo, por lo que si la </w:t>
      </w:r>
      <w:r w:rsidRPr="008E4418">
        <w:rPr>
          <w:rFonts w:ascii="Palatino Linotype" w:eastAsia="Palatino Linotype" w:hAnsi="Palatino Linotype" w:cs="Palatino Linotype"/>
        </w:rPr>
        <w:lastRenderedPageBreak/>
        <w:t xml:space="preserve">información a la que se hace referencia no obra en los archivos del </w:t>
      </w:r>
      <w:r w:rsidRPr="008E4418">
        <w:rPr>
          <w:rFonts w:ascii="Palatino Linotype" w:eastAsia="Palatino Linotype" w:hAnsi="Palatino Linotype" w:cs="Palatino Linotype"/>
          <w:b/>
        </w:rPr>
        <w:t xml:space="preserve">Sujeto Obligado, </w:t>
      </w:r>
      <w:r w:rsidRPr="008E4418">
        <w:rPr>
          <w:rFonts w:ascii="Palatino Linotype" w:eastAsia="Palatino Linotype" w:hAnsi="Palatino Linotype" w:cs="Palatino Linotype"/>
        </w:rPr>
        <w:t>bastará con que así se haga del conocimiento de la persona solicitante para tener por colmado el requerimiento de información, en términos de lo dispuesto por el artículo 19, párrafo segundo de la Ley de Transparencia y Acceso a la Información Pública del Estado de México y Municipios, a saber:</w:t>
      </w:r>
    </w:p>
    <w:p w14:paraId="69F2223B"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r w:rsidRPr="008E4418">
        <w:rPr>
          <w:rFonts w:ascii="Palatino Linotype" w:eastAsia="Palatino Linotype" w:hAnsi="Palatino Linotype" w:cs="Palatino Linotype"/>
          <w:b/>
          <w:i/>
          <w:sz w:val="22"/>
          <w:szCs w:val="22"/>
        </w:rPr>
        <w:t>Artículo 19</w:t>
      </w:r>
      <w:r w:rsidRPr="008E4418">
        <w:rPr>
          <w:rFonts w:ascii="Palatino Linotype" w:eastAsia="Palatino Linotype" w:hAnsi="Palatino Linotype" w:cs="Palatino Linotype"/>
          <w:i/>
          <w:sz w:val="22"/>
          <w:szCs w:val="22"/>
        </w:rPr>
        <w:t>…</w:t>
      </w:r>
    </w:p>
    <w:p w14:paraId="09181278"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7B8941AF" w14:textId="77777777" w:rsidR="00905E09" w:rsidRPr="008E4418" w:rsidRDefault="00CE232F">
      <w:pPr>
        <w:spacing w:before="240" w:after="240" w:line="360" w:lineRule="auto"/>
        <w:ind w:right="49"/>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Lo anterior es así en virtud de que los entes públicos únicamente se encuentran obligados a entregar aquella información que les sea requerida y que hubieran generado, administren o posean y obre en sus archivos, en estado en el que se encuentre, más no se les constriñe a procesar, generar o resumir información, realizar cálculos, practicar investigaciones o elaborar documentos </w:t>
      </w:r>
      <w:r w:rsidRPr="008E4418">
        <w:rPr>
          <w:rFonts w:ascii="Palatino Linotype" w:eastAsia="Palatino Linotype" w:hAnsi="Palatino Linotype" w:cs="Palatino Linotype"/>
          <w:i/>
        </w:rPr>
        <w:t>ad hoc</w:t>
      </w:r>
      <w:r w:rsidRPr="008E4418">
        <w:rPr>
          <w:rFonts w:ascii="Palatino Linotype" w:eastAsia="Palatino Linotype" w:hAnsi="Palatino Linotype" w:cs="Palatino Linotype"/>
        </w:rPr>
        <w:t xml:space="preserve"> para presentarla conforme al interés de los solicitantes, lo cual, toma sustento en el párrafo segundo del artículo 12 de la Ley de Transparencia y Acceso a la Información Pública del Estado de México y Municipios, y el Criterio de interpretación SO/003/2017 del Instituto Nacional de Transparencia, Acceso a la Información y Protección de Datos Personales, referidos con antelación.</w:t>
      </w:r>
    </w:p>
    <w:p w14:paraId="5BA9CA56"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Por otro lado, respecto de los </w:t>
      </w:r>
      <w:r w:rsidRPr="008E4418">
        <w:rPr>
          <w:rFonts w:ascii="Palatino Linotype" w:eastAsia="Palatino Linotype" w:hAnsi="Palatino Linotype" w:cs="Palatino Linotype"/>
          <w:b/>
        </w:rPr>
        <w:t xml:space="preserve">puntos 2 </w:t>
      </w:r>
      <w:r w:rsidRPr="008E4418">
        <w:rPr>
          <w:rFonts w:ascii="Palatino Linotype" w:eastAsia="Palatino Linotype" w:hAnsi="Palatino Linotype" w:cs="Palatino Linotype"/>
        </w:rPr>
        <w:t xml:space="preserve">y </w:t>
      </w:r>
      <w:r w:rsidRPr="008E4418">
        <w:rPr>
          <w:rFonts w:ascii="Palatino Linotype" w:eastAsia="Palatino Linotype" w:hAnsi="Palatino Linotype" w:cs="Palatino Linotype"/>
          <w:b/>
        </w:rPr>
        <w:t>3</w:t>
      </w:r>
      <w:r w:rsidRPr="008E4418">
        <w:rPr>
          <w:rFonts w:ascii="Palatino Linotype" w:eastAsia="Palatino Linotype" w:hAnsi="Palatino Linotype" w:cs="Palatino Linotype"/>
        </w:rPr>
        <w:t xml:space="preserve">, mediante los cuales se requirió el reporte emitido por la Secretaría de Finanzas del Estado en el que se especifique el monto del ISR que se obtuvo en devolución, de enero de dos mil quince a agosto de dos mil veinticuatro, y el reporte emitido por el software de contabilidad gubernamental en el que se pueda apreciar el control del saldo pendiente de recuperar del ISR </w:t>
      </w:r>
      <w:r w:rsidRPr="008E4418">
        <w:rPr>
          <w:rFonts w:ascii="Palatino Linotype" w:eastAsia="Palatino Linotype" w:hAnsi="Palatino Linotype" w:cs="Palatino Linotype"/>
        </w:rPr>
        <w:lastRenderedPageBreak/>
        <w:t>participable, al treinta de agosto de dos mil veinticuatro, se menciona en primera instancia, que derivado del timbrado de la nómina, los entes públicos pueden acceder al beneficio fiscal de obtener la devolución de las retenciones de ISR enteradas sobre los sueldos que paguen a los trabajadores; esto, de conformidad con el artículo 3-B de la Ley de Coordinación Fiscal, a saber:</w:t>
      </w:r>
    </w:p>
    <w:p w14:paraId="1BC43783"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“Artículo 3-B</w:t>
      </w:r>
      <w:r w:rsidRPr="008E4418">
        <w:rPr>
          <w:rFonts w:ascii="Palatino Linotype" w:eastAsia="Palatino Linotype" w:hAnsi="Palatino Linotype" w:cs="Palatino Linotype"/>
          <w:i/>
          <w:sz w:val="22"/>
          <w:szCs w:val="22"/>
        </w:rPr>
        <w:t xml:space="preserve">.- Las </w:t>
      </w:r>
      <w:r w:rsidRPr="008E4418">
        <w:rPr>
          <w:rFonts w:ascii="Palatino Linotype" w:eastAsia="Palatino Linotype" w:hAnsi="Palatino Linotype" w:cs="Palatino Linotype"/>
          <w:b/>
          <w:i/>
          <w:sz w:val="22"/>
          <w:szCs w:val="22"/>
        </w:rPr>
        <w:t xml:space="preserve">entidades </w:t>
      </w:r>
      <w:r w:rsidRPr="008E4418">
        <w:rPr>
          <w:rFonts w:ascii="Palatino Linotype" w:eastAsia="Palatino Linotype" w:hAnsi="Palatino Linotype" w:cs="Palatino Linotype"/>
          <w:b/>
          <w:i/>
          <w:sz w:val="22"/>
          <w:szCs w:val="22"/>
          <w:u w:val="single"/>
        </w:rPr>
        <w:t>adheridas al Sistema Nacional de Coordinación Fiscal</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b/>
          <w:i/>
          <w:sz w:val="22"/>
          <w:szCs w:val="22"/>
        </w:rPr>
        <w:t>participarán al 100% de la recaudación que se obtenga del impuesto sobre la renta</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b/>
          <w:i/>
          <w:sz w:val="22"/>
          <w:szCs w:val="22"/>
          <w:u w:val="single"/>
        </w:rPr>
        <w:t>que efectivamente se entere a la Federación</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b/>
          <w:i/>
          <w:sz w:val="22"/>
          <w:szCs w:val="22"/>
        </w:rPr>
        <w:t>correspondiente al salario del personal que preste o desempeñe un servicio personal subordinado en las dependencias</w:t>
      </w:r>
      <w:r w:rsidRPr="008E4418">
        <w:rPr>
          <w:rFonts w:ascii="Palatino Linotype" w:eastAsia="Palatino Linotype" w:hAnsi="Palatino Linotype" w:cs="Palatino Linotype"/>
          <w:i/>
          <w:sz w:val="22"/>
          <w:szCs w:val="22"/>
        </w:rPr>
        <w:t xml:space="preserve"> de la entidad federativa, </w:t>
      </w:r>
      <w:r w:rsidRPr="008E4418">
        <w:rPr>
          <w:rFonts w:ascii="Palatino Linotype" w:eastAsia="Palatino Linotype" w:hAnsi="Palatino Linotype" w:cs="Palatino Linotype"/>
          <w:b/>
          <w:i/>
          <w:sz w:val="22"/>
          <w:szCs w:val="22"/>
        </w:rPr>
        <w:t>del municipio</w:t>
      </w:r>
      <w:r w:rsidRPr="008E4418">
        <w:rPr>
          <w:rFonts w:ascii="Palatino Linotype" w:eastAsia="Palatino Linotype" w:hAnsi="Palatino Linotype" w:cs="Palatino Linotype"/>
          <w:i/>
          <w:sz w:val="22"/>
          <w:szCs w:val="22"/>
        </w:rPr>
        <w:t xml:space="preserve"> o demarcación territorial del Distrito Federal, </w:t>
      </w:r>
      <w:r w:rsidRPr="008E4418">
        <w:rPr>
          <w:rFonts w:ascii="Palatino Linotype" w:eastAsia="Palatino Linotype" w:hAnsi="Palatino Linotype" w:cs="Palatino Linotype"/>
          <w:b/>
          <w:i/>
          <w:sz w:val="22"/>
          <w:szCs w:val="22"/>
        </w:rPr>
        <w:t>así como en sus respectivos organismos autónomos y entidades</w:t>
      </w:r>
      <w:r w:rsidRPr="008E4418">
        <w:rPr>
          <w:rFonts w:ascii="Palatino Linotype" w:eastAsia="Palatino Linotype" w:hAnsi="Palatino Linotype" w:cs="Palatino Linotype"/>
          <w:i/>
          <w:sz w:val="22"/>
          <w:szCs w:val="22"/>
        </w:rPr>
        <w:t xml:space="preserve"> paraestatales y </w:t>
      </w:r>
      <w:r w:rsidRPr="008E4418">
        <w:rPr>
          <w:rFonts w:ascii="Palatino Linotype" w:eastAsia="Palatino Linotype" w:hAnsi="Palatino Linotype" w:cs="Palatino Linotype"/>
          <w:b/>
          <w:i/>
          <w:sz w:val="22"/>
          <w:szCs w:val="22"/>
        </w:rPr>
        <w:t>paramunicipales</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b/>
          <w:i/>
          <w:sz w:val="22"/>
          <w:szCs w:val="22"/>
          <w:u w:val="single"/>
        </w:rPr>
        <w:t>siempre que el salario sea efectivamente pagado por los entes mencionados con cargo a sus participaciones u otros ingresos locales</w:t>
      </w:r>
      <w:r w:rsidRPr="008E4418">
        <w:rPr>
          <w:rFonts w:ascii="Palatino Linotype" w:eastAsia="Palatino Linotype" w:hAnsi="Palatino Linotype" w:cs="Palatino Linotype"/>
          <w:i/>
          <w:sz w:val="22"/>
          <w:szCs w:val="22"/>
        </w:rPr>
        <w:t xml:space="preserve">. </w:t>
      </w:r>
    </w:p>
    <w:p w14:paraId="51925024"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 xml:space="preserve">Para efectos del párrafo anterior, se considerará la recaudación que se obtenga por el Impuesto sobre la Renta, una vez descontadas las devoluciones por dicho concepto. </w:t>
      </w:r>
    </w:p>
    <w:p w14:paraId="75194DB7"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u w:val="single"/>
        </w:rPr>
      </w:pPr>
      <w:r w:rsidRPr="008E4418">
        <w:rPr>
          <w:rFonts w:ascii="Palatino Linotype" w:eastAsia="Palatino Linotype" w:hAnsi="Palatino Linotype" w:cs="Palatino Linotype"/>
          <w:i/>
          <w:sz w:val="22"/>
          <w:szCs w:val="22"/>
        </w:rPr>
        <w:t xml:space="preserve">Asimismo, para que resulte aplicable lo dispuesto en el primer párrafo de este artículo, </w:t>
      </w:r>
      <w:r w:rsidRPr="008E4418">
        <w:rPr>
          <w:rFonts w:ascii="Palatino Linotype" w:eastAsia="Palatino Linotype" w:hAnsi="Palatino Linotype" w:cs="Palatino Linotype"/>
          <w:b/>
          <w:i/>
          <w:sz w:val="22"/>
          <w:szCs w:val="22"/>
          <w:u w:val="single"/>
        </w:rPr>
        <w:t>las entidades deberán enterar a la Federación el 100% de la retención que deben efectuar del Impuesto sobre la Renta</w:t>
      </w:r>
      <w:r w:rsidRPr="008E4418">
        <w:rPr>
          <w:rFonts w:ascii="Palatino Linotype" w:eastAsia="Palatino Linotype" w:hAnsi="Palatino Linotype" w:cs="Palatino Linotype"/>
          <w:b/>
          <w:i/>
          <w:sz w:val="22"/>
          <w:szCs w:val="22"/>
        </w:rPr>
        <w:t xml:space="preserve"> correspondiente a los ingresos por salarios que las entidades paguen </w:t>
      </w:r>
      <w:r w:rsidRPr="008E4418">
        <w:rPr>
          <w:rFonts w:ascii="Palatino Linotype" w:eastAsia="Palatino Linotype" w:hAnsi="Palatino Linotype" w:cs="Palatino Linotype"/>
          <w:b/>
          <w:i/>
          <w:sz w:val="22"/>
          <w:szCs w:val="22"/>
          <w:u w:val="single"/>
        </w:rPr>
        <w:t>con cargo a recursos federales</w:t>
      </w:r>
      <w:r w:rsidRPr="008E4418">
        <w:rPr>
          <w:rFonts w:ascii="Palatino Linotype" w:eastAsia="Palatino Linotype" w:hAnsi="Palatino Linotype" w:cs="Palatino Linotype"/>
          <w:i/>
          <w:sz w:val="22"/>
          <w:szCs w:val="22"/>
          <w:u w:val="single"/>
        </w:rPr>
        <w:t>.</w:t>
      </w:r>
    </w:p>
    <w:p w14:paraId="66C7611C"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 xml:space="preserve">Las entidades deberán participar a sus municipios o demarcaciones territoriales, el 100% de la recaudación del impuesto </w:t>
      </w:r>
      <w:r w:rsidRPr="008E4418">
        <w:rPr>
          <w:rFonts w:ascii="Palatino Linotype" w:eastAsia="Palatino Linotype" w:hAnsi="Palatino Linotype" w:cs="Palatino Linotype"/>
          <w:i/>
          <w:sz w:val="22"/>
          <w:szCs w:val="22"/>
        </w:rPr>
        <w:t xml:space="preserve">al que se refiere el párrafo primero de este artículo, </w:t>
      </w:r>
      <w:r w:rsidRPr="008E4418">
        <w:rPr>
          <w:rFonts w:ascii="Palatino Linotype" w:eastAsia="Palatino Linotype" w:hAnsi="Palatino Linotype" w:cs="Palatino Linotype"/>
          <w:b/>
          <w:i/>
          <w:sz w:val="22"/>
          <w:szCs w:val="22"/>
        </w:rPr>
        <w:t>correspondiente al personal que preste o desempeñe un servicio personal subordinado en el municipio o demarcación territorial de que se trate</w:t>
      </w:r>
      <w:r w:rsidRPr="008E4418">
        <w:rPr>
          <w:rFonts w:ascii="Palatino Linotype" w:eastAsia="Palatino Linotype" w:hAnsi="Palatino Linotype" w:cs="Palatino Linotype"/>
          <w:i/>
          <w:sz w:val="22"/>
          <w:szCs w:val="22"/>
        </w:rPr>
        <w:t>.”</w:t>
      </w:r>
    </w:p>
    <w:p w14:paraId="09E5644A"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Cabe señalar que dicho precepto legal se reformó mediante Decreto por el que se reforman y adicionan diversas disposiciones de la Ley de Coordinación Fiscal y de la Ley General de Contabilidad Gubernamental, publicado el nueve de diciembre de </w:t>
      </w:r>
      <w:r w:rsidRPr="008E4418">
        <w:rPr>
          <w:rFonts w:ascii="Palatino Linotype" w:eastAsia="Palatino Linotype" w:hAnsi="Palatino Linotype" w:cs="Palatino Linotype"/>
        </w:rPr>
        <w:lastRenderedPageBreak/>
        <w:t xml:space="preserve">dos mil trece en el Diario Oficial de la Federación, y </w:t>
      </w:r>
      <w:r w:rsidRPr="008E4418">
        <w:rPr>
          <w:rFonts w:ascii="Palatino Linotype" w:eastAsia="Palatino Linotype" w:hAnsi="Palatino Linotype" w:cs="Palatino Linotype"/>
          <w:b/>
          <w:u w:val="single"/>
        </w:rPr>
        <w:t>entró en vigor el uno de enero de dos mil quince</w:t>
      </w:r>
      <w:r w:rsidRPr="008E4418">
        <w:rPr>
          <w:rFonts w:ascii="Palatino Linotype" w:eastAsia="Palatino Linotype" w:hAnsi="Palatino Linotype" w:cs="Palatino Linotype"/>
          <w:b/>
        </w:rPr>
        <w:t xml:space="preserve">, </w:t>
      </w:r>
      <w:r w:rsidRPr="008E4418">
        <w:rPr>
          <w:rFonts w:ascii="Palatino Linotype" w:eastAsia="Palatino Linotype" w:hAnsi="Palatino Linotype" w:cs="Palatino Linotype"/>
        </w:rPr>
        <w:t>de conformidad con el Transitorio Noveno, a saber:</w:t>
      </w:r>
    </w:p>
    <w:p w14:paraId="40451AB0"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“Noveno.-</w:t>
      </w:r>
      <w:r w:rsidRPr="008E4418">
        <w:rPr>
          <w:rFonts w:ascii="Palatino Linotype" w:eastAsia="Palatino Linotype" w:hAnsi="Palatino Linotype" w:cs="Palatino Linotype"/>
          <w:i/>
          <w:sz w:val="22"/>
          <w:szCs w:val="22"/>
        </w:rPr>
        <w:t> Lo previsto en la fracción II del artículo 2o. de la Ley de Coordinación Fiscal, respecto a la no inclusión en la recaudación federal participable del Impuesto sobre la Renta por concepto de salarios y, en general, por la prestación de un servicio personal subordinado causado por los servidores públicos; así como </w:t>
      </w:r>
      <w:r w:rsidRPr="008E4418">
        <w:rPr>
          <w:rFonts w:ascii="Palatino Linotype" w:eastAsia="Palatino Linotype" w:hAnsi="Palatino Linotype" w:cs="Palatino Linotype"/>
          <w:b/>
          <w:i/>
          <w:sz w:val="22"/>
          <w:szCs w:val="22"/>
        </w:rPr>
        <w:t>lo dispuesto en el artículo 3-B</w:t>
      </w:r>
      <w:r w:rsidRPr="008E4418">
        <w:rPr>
          <w:rFonts w:ascii="Palatino Linotype" w:eastAsia="Palatino Linotype" w:hAnsi="Palatino Linotype" w:cs="Palatino Linotype"/>
          <w:i/>
          <w:sz w:val="22"/>
          <w:szCs w:val="22"/>
        </w:rPr>
        <w:t xml:space="preserve"> de dicha Ley, </w:t>
      </w:r>
      <w:r w:rsidRPr="008E4418">
        <w:rPr>
          <w:rFonts w:ascii="Palatino Linotype" w:eastAsia="Palatino Linotype" w:hAnsi="Palatino Linotype" w:cs="Palatino Linotype"/>
          <w:b/>
          <w:i/>
          <w:sz w:val="22"/>
          <w:szCs w:val="22"/>
          <w:u w:val="single"/>
        </w:rPr>
        <w:t>entrarán en vigor el 1 de enero de 2015</w:t>
      </w:r>
      <w:r w:rsidRPr="008E4418">
        <w:rPr>
          <w:rFonts w:ascii="Palatino Linotype" w:eastAsia="Palatino Linotype" w:hAnsi="Palatino Linotype" w:cs="Palatino Linotype"/>
          <w:i/>
          <w:sz w:val="22"/>
          <w:szCs w:val="22"/>
        </w:rPr>
        <w:t>.”</w:t>
      </w:r>
    </w:p>
    <w:p w14:paraId="361DA76E"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En este sentido, se colige que a partir del uno de enero de dos mil quince -fecha a partir de la cual se solicita la información-, las entidades adheridas al Sistema Nacional de Coordinación Fiscal,  participan al 100% de la recaudación que se obtenga del Impuesto Sobre la Renta que efectivamente se entere a la federación, correspondiente al salario del personal que preste o desempeñe un servicio personal subordinado en las dependencias de la entidad federativa, del municipio o alcaldía de la Ciudad de México, así como en sus respectivos organismos autónomos y entidades paraestatales y paramunicipales, bajo dos premisas fundamentales: </w:t>
      </w:r>
    </w:p>
    <w:p w14:paraId="2AAD0A78" w14:textId="77777777" w:rsidR="00905E09" w:rsidRPr="008E4418" w:rsidRDefault="00CE232F">
      <w:pPr>
        <w:spacing w:before="240" w:after="240" w:line="360" w:lineRule="auto"/>
        <w:ind w:left="284"/>
        <w:jc w:val="both"/>
        <w:rPr>
          <w:rFonts w:ascii="Palatino Linotype" w:eastAsia="Palatino Linotype" w:hAnsi="Palatino Linotype" w:cs="Palatino Linotype"/>
        </w:rPr>
      </w:pPr>
      <w:r w:rsidRPr="008E4418">
        <w:rPr>
          <w:rFonts w:ascii="Palatino Linotype" w:eastAsia="Palatino Linotype" w:hAnsi="Palatino Linotype" w:cs="Palatino Linotype"/>
        </w:rPr>
        <w:t>1. Que el salario sea efectivamente pagado con cargo a sus participaciones u otros ingresos locales.</w:t>
      </w:r>
    </w:p>
    <w:p w14:paraId="4B775976" w14:textId="77777777" w:rsidR="00905E09" w:rsidRPr="008E4418" w:rsidRDefault="00CE232F">
      <w:pPr>
        <w:spacing w:before="240" w:after="240" w:line="360" w:lineRule="auto"/>
        <w:ind w:left="284"/>
        <w:jc w:val="both"/>
        <w:rPr>
          <w:rFonts w:ascii="Palatino Linotype" w:eastAsia="Palatino Linotype" w:hAnsi="Palatino Linotype" w:cs="Palatino Linotype"/>
        </w:rPr>
      </w:pPr>
      <w:r w:rsidRPr="008E4418">
        <w:rPr>
          <w:rFonts w:ascii="Palatino Linotype" w:eastAsia="Palatino Linotype" w:hAnsi="Palatino Linotype" w:cs="Palatino Linotype"/>
        </w:rPr>
        <w:t>2. Que hayan enterado a la Federación el 100% del ISR de los salarios que paguen con cargo a recursos federales.</w:t>
      </w:r>
    </w:p>
    <w:p w14:paraId="3CAFE2BA"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Asimismo, dado que no existía antecedente para distinguir el origen de los recursos utilizados en el pago de los sueldos y salarios del personal de los entes públicos, y por lo tanto del ISR, la Unidad de Coordinación con Entidades Federativas, UCEF y el Servicio de Administración Tributaria, SAT, implementaron un mecanismo para </w:t>
      </w:r>
      <w:r w:rsidRPr="008E4418">
        <w:rPr>
          <w:rFonts w:ascii="Palatino Linotype" w:eastAsia="Palatino Linotype" w:hAnsi="Palatino Linotype" w:cs="Palatino Linotype"/>
        </w:rPr>
        <w:lastRenderedPageBreak/>
        <w:t>su identificación, el cual que se lleva a cabo a través del Comprobante Fiscal Digital por Internet de nómina, cuyo complemento de percepciones se modificó para incluir el origen de los recursos con los que se paga los sueldos y salarios y con ello se determinan los montos que se participan por concepto de ISR a los entes públicos.</w:t>
      </w:r>
    </w:p>
    <w:p w14:paraId="4299D1C3"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De conformidad con las Reglas de operación para la aplicación del artículo 3-B de la Ley de Coordinación Fiscal, el proceso de identificación y validación del pago de sueldos y salarios y del ISR por fuente de financiamiento se lleva a cabo, de forma general, conforme el procedimiento siguiente: </w:t>
      </w:r>
    </w:p>
    <w:p w14:paraId="2210F7AA" w14:textId="77777777" w:rsidR="00905E09" w:rsidRPr="008E4418" w:rsidRDefault="00CE232F">
      <w:pPr>
        <w:spacing w:before="120" w:after="120" w:line="360" w:lineRule="auto"/>
        <w:ind w:left="284"/>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 Los entes públicos deben cumplir con sus obligaciones de retención y entero de ISR, </w:t>
      </w:r>
      <w:r w:rsidRPr="008E4418">
        <w:rPr>
          <w:rFonts w:ascii="Palatino Linotype" w:eastAsia="Palatino Linotype" w:hAnsi="Palatino Linotype" w:cs="Palatino Linotype"/>
          <w:b/>
        </w:rPr>
        <w:t xml:space="preserve">así como expedir y entregar los comprobantes fiscales a las personas que reciban pagos por salarios, y en general por la prestación de un servicio personal subordinado, </w:t>
      </w:r>
      <w:r w:rsidRPr="008E4418">
        <w:rPr>
          <w:rFonts w:ascii="Palatino Linotype" w:eastAsia="Palatino Linotype" w:hAnsi="Palatino Linotype" w:cs="Palatino Linotype"/>
        </w:rPr>
        <w:t>en términos de lo dispuesto por los artículos 96 y 99, fracción III de la Ley del Impuesto sobre la Renta, y que utilicen correctamente las claves en del Catálogo Atributo: Tipo Percepción del Complemento del CFDI comprobante CFDI de nómina.</w:t>
      </w:r>
    </w:p>
    <w:p w14:paraId="7FF9F5B8" w14:textId="77777777" w:rsidR="00905E09" w:rsidRPr="008E4418" w:rsidRDefault="00CE232F">
      <w:pPr>
        <w:spacing w:before="120" w:after="120" w:line="360" w:lineRule="auto"/>
        <w:ind w:left="284"/>
        <w:jc w:val="both"/>
        <w:rPr>
          <w:rFonts w:ascii="Palatino Linotype" w:eastAsia="Palatino Linotype" w:hAnsi="Palatino Linotype" w:cs="Palatino Linotype"/>
        </w:rPr>
      </w:pPr>
      <w:r w:rsidRPr="008E4418">
        <w:rPr>
          <w:rFonts w:ascii="Palatino Linotype" w:eastAsia="Palatino Linotype" w:hAnsi="Palatino Linotype" w:cs="Palatino Linotype"/>
        </w:rPr>
        <w:t>• La UCEF solicita a las entidades federativas que mensualmente ratifiquen el listado de claves del Registro Federal de Contribuyentes (RFC) de sus entes públicos que pagan sueldos y salarios en términos de lo señalado en el artículo 3-B de la Ley de Coordinación Fiscal, y una vez recibida la información es enviada al SAT.</w:t>
      </w:r>
    </w:p>
    <w:p w14:paraId="33548031" w14:textId="77777777" w:rsidR="00905E09" w:rsidRPr="008E4418" w:rsidRDefault="00CE232F">
      <w:pPr>
        <w:spacing w:before="120" w:after="120" w:line="360" w:lineRule="auto"/>
        <w:ind w:left="284"/>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 El SAT valida la información de los CFDI de nómina correspondientes al periodo, a efecto de identificar por cada RFC los importes de la retención del ISR pagado con participaciones u otros ingresos locales y el pagado con recursos </w:t>
      </w:r>
      <w:r w:rsidRPr="008E4418">
        <w:rPr>
          <w:rFonts w:ascii="Palatino Linotype" w:eastAsia="Palatino Linotype" w:hAnsi="Palatino Linotype" w:cs="Palatino Linotype"/>
        </w:rPr>
        <w:lastRenderedPageBreak/>
        <w:t>federales, lo cual es validado con las declaraciones del ISR del mismo periodo; en su caso, el SAT informa a las entidades federativas las inconsistencias u omisiones resultantes, para que éstas subsanen las omisiones o realicen las aclaraciones o correcciones procedentes.</w:t>
      </w:r>
    </w:p>
    <w:p w14:paraId="4BC6A474" w14:textId="77777777" w:rsidR="00905E09" w:rsidRPr="008E4418" w:rsidRDefault="00CE232F">
      <w:pPr>
        <w:spacing w:before="120" w:after="120" w:line="360" w:lineRule="auto"/>
        <w:ind w:left="284"/>
        <w:jc w:val="both"/>
        <w:rPr>
          <w:rFonts w:ascii="Palatino Linotype" w:eastAsia="Palatino Linotype" w:hAnsi="Palatino Linotype" w:cs="Palatino Linotype"/>
        </w:rPr>
      </w:pPr>
      <w:r w:rsidRPr="008E4418">
        <w:rPr>
          <w:rFonts w:ascii="Palatino Linotype" w:eastAsia="Palatino Linotype" w:hAnsi="Palatino Linotype" w:cs="Palatino Linotype"/>
        </w:rPr>
        <w:t>• El SAT remite mensualmente a la UCEF el informe de los entes públicos que elaboraron correctamente sus CFDI de nómina, para efecto de que dicha Unidad determine los montos susceptibles de ser participados a las entidades federativas.</w:t>
      </w:r>
    </w:p>
    <w:p w14:paraId="1E9FC904" w14:textId="77777777" w:rsidR="00905E09" w:rsidRPr="008E4418" w:rsidRDefault="00CE232F">
      <w:pPr>
        <w:spacing w:before="120" w:after="120" w:line="360" w:lineRule="auto"/>
        <w:ind w:left="284"/>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 La UCEF lleva un registro de los montos acumulados del ISR participado a las entidades federativas y lo coteja con los informes que recibe del SAT para determinar las cantidades a entregar por concepto ISR que se entera a la Federación. </w:t>
      </w:r>
    </w:p>
    <w:p w14:paraId="72EF4DE1" w14:textId="77777777" w:rsidR="00905E09" w:rsidRPr="008E4418" w:rsidRDefault="00CE232F">
      <w:pPr>
        <w:spacing w:before="120" w:after="120" w:line="360" w:lineRule="auto"/>
        <w:ind w:left="284"/>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 El SAT informa anualmente a la UCEF acerca de los entes públicos a los que se hayan detectado diferencias en el entero del 100% de la retención que deben efectuar del ISR, así como de los montos correspondientes a las devoluciones del ISR efectuadas, para efectos de que dicha Unidad realice los ajustes respectivos. </w:t>
      </w:r>
    </w:p>
    <w:p w14:paraId="618BB01D" w14:textId="77777777" w:rsidR="00905E09" w:rsidRPr="008E4418" w:rsidRDefault="00CE232F">
      <w:pPr>
        <w:spacing w:before="120" w:after="120" w:line="360" w:lineRule="auto"/>
        <w:ind w:left="284"/>
        <w:jc w:val="both"/>
        <w:rPr>
          <w:rFonts w:ascii="Palatino Linotype" w:eastAsia="Palatino Linotype" w:hAnsi="Palatino Linotype" w:cs="Palatino Linotype"/>
          <w:b/>
        </w:rPr>
      </w:pPr>
      <w:r w:rsidRPr="008E4418">
        <w:rPr>
          <w:rFonts w:ascii="Palatino Linotype" w:eastAsia="Palatino Linotype" w:hAnsi="Palatino Linotype" w:cs="Palatino Linotype"/>
        </w:rPr>
        <w:t xml:space="preserve">• Por su parte, </w:t>
      </w:r>
      <w:r w:rsidRPr="008E4418">
        <w:rPr>
          <w:rFonts w:ascii="Palatino Linotype" w:eastAsia="Palatino Linotype" w:hAnsi="Palatino Linotype" w:cs="Palatino Linotype"/>
          <w:b/>
          <w:u w:val="single"/>
        </w:rPr>
        <w:t>las entidades federativas participarán a sus municipios</w:t>
      </w:r>
      <w:r w:rsidRPr="008E4418">
        <w:rPr>
          <w:rFonts w:ascii="Palatino Linotype" w:eastAsia="Palatino Linotype" w:hAnsi="Palatino Linotype" w:cs="Palatino Linotype"/>
          <w:b/>
        </w:rPr>
        <w:t xml:space="preserve"> </w:t>
      </w:r>
      <w:r w:rsidRPr="008E4418">
        <w:rPr>
          <w:rFonts w:ascii="Palatino Linotype" w:eastAsia="Palatino Linotype" w:hAnsi="Palatino Linotype" w:cs="Palatino Linotype"/>
        </w:rPr>
        <w:t>o alcaldías en el caso de la CDMX,</w:t>
      </w:r>
      <w:r w:rsidRPr="008E4418">
        <w:rPr>
          <w:rFonts w:ascii="Palatino Linotype" w:eastAsia="Palatino Linotype" w:hAnsi="Palatino Linotype" w:cs="Palatino Linotype"/>
          <w:b/>
        </w:rPr>
        <w:t xml:space="preserve"> el ISR que a éstos les corresponda en términos de lo señalado en el artículo 3-B de la Ley de Coordinación Fiscal, dentro de los 5 días siguientes a su recepción.</w:t>
      </w:r>
    </w:p>
    <w:p w14:paraId="46F040A5" w14:textId="77777777" w:rsidR="00905E09" w:rsidRPr="008E4418" w:rsidRDefault="00CE232F">
      <w:pPr>
        <w:spacing w:before="120" w:after="120" w:line="276" w:lineRule="auto"/>
        <w:jc w:val="center"/>
        <w:rPr>
          <w:rFonts w:ascii="Palatino Linotype" w:eastAsia="Palatino Linotype" w:hAnsi="Palatino Linotype" w:cs="Palatino Linotype"/>
          <w:b/>
        </w:rPr>
      </w:pPr>
      <w:r w:rsidRPr="008E4418">
        <w:rPr>
          <w:noProof/>
        </w:rPr>
        <w:lastRenderedPageBreak/>
        <w:drawing>
          <wp:inline distT="0" distB="0" distL="0" distR="0" wp14:anchorId="70731CFD" wp14:editId="0B2C0243">
            <wp:extent cx="5612130" cy="2599055"/>
            <wp:effectExtent l="0" t="0" r="0" b="0"/>
            <wp:docPr id="21401319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5612130" cy="2599055"/>
                    </a:xfrm>
                    <a:prstGeom prst="rect">
                      <a:avLst/>
                    </a:prstGeom>
                    <a:ln/>
                  </pic:spPr>
                </pic:pic>
              </a:graphicData>
            </a:graphic>
          </wp:inline>
        </w:drawing>
      </w:r>
    </w:p>
    <w:p w14:paraId="09ECDA4E"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Ahora bien, derivado de la consulta del portal del Sistema Nacional de Coordinación Fiscal, se advirtió que el Estado de México pertenece a dicho Sistema, por lo tanto, se infiere que si es susceptible de participar en obtención del 100% de la recaudación del Impuesto Sobre la Renta enterado a la Federación por los conceptos establecidos en el Capítulo I De los ingresos por salarios y en general por la prestación de un servicio personal subordinado, del Título IV De las personas  físicas, de la Ley del Impuesto Sobre la Renta:</w:t>
      </w:r>
    </w:p>
    <w:p w14:paraId="5E7F8613" w14:textId="77777777" w:rsidR="00905E09" w:rsidRPr="008E4418" w:rsidRDefault="00CE232F">
      <w:pPr>
        <w:spacing w:before="240" w:after="240" w:line="360" w:lineRule="auto"/>
        <w:jc w:val="center"/>
        <w:rPr>
          <w:rFonts w:ascii="Palatino Linotype" w:eastAsia="Palatino Linotype" w:hAnsi="Palatino Linotype" w:cs="Palatino Linotype"/>
          <w:sz w:val="22"/>
          <w:szCs w:val="22"/>
        </w:rPr>
      </w:pPr>
      <w:r w:rsidRPr="008E4418">
        <w:rPr>
          <w:rFonts w:ascii="Palatino Linotype" w:eastAsia="Palatino Linotype" w:hAnsi="Palatino Linotype" w:cs="Palatino Linotype"/>
          <w:noProof/>
          <w:sz w:val="22"/>
          <w:szCs w:val="22"/>
        </w:rPr>
        <w:drawing>
          <wp:inline distT="0" distB="0" distL="0" distR="0" wp14:anchorId="325F6AA1" wp14:editId="118A755D">
            <wp:extent cx="3420000" cy="2182485"/>
            <wp:effectExtent l="0" t="0" r="0" b="0"/>
            <wp:docPr id="21401319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3420000" cy="2182485"/>
                    </a:xfrm>
                    <a:prstGeom prst="rect">
                      <a:avLst/>
                    </a:prstGeom>
                    <a:ln/>
                  </pic:spPr>
                </pic:pic>
              </a:graphicData>
            </a:graphic>
          </wp:inline>
        </w:drawing>
      </w:r>
      <w:r w:rsidRPr="008E4418">
        <w:rPr>
          <w:noProof/>
        </w:rPr>
        <mc:AlternateContent>
          <mc:Choice Requires="wpg">
            <w:drawing>
              <wp:anchor distT="0" distB="0" distL="114300" distR="114300" simplePos="0" relativeHeight="251660288" behindDoc="0" locked="0" layoutInCell="1" hidden="0" allowOverlap="1" wp14:anchorId="07C52038" wp14:editId="3071B6FF">
                <wp:simplePos x="0" y="0"/>
                <wp:positionH relativeFrom="column">
                  <wp:posOffset>2362200</wp:posOffset>
                </wp:positionH>
                <wp:positionV relativeFrom="paragraph">
                  <wp:posOffset>1625600</wp:posOffset>
                </wp:positionV>
                <wp:extent cx="533560" cy="598973"/>
                <wp:effectExtent l="0" t="0" r="0" b="0"/>
                <wp:wrapNone/>
                <wp:docPr id="2140131925" name="Rectángulo 2140131925"/>
                <wp:cNvGraphicFramePr/>
                <a:graphic xmlns:a="http://schemas.openxmlformats.org/drawingml/2006/main">
                  <a:graphicData uri="http://schemas.microsoft.com/office/word/2010/wordprocessingShape">
                    <wps:wsp>
                      <wps:cNvSpPr/>
                      <wps:spPr>
                        <a:xfrm>
                          <a:off x="5136370" y="3537664"/>
                          <a:ext cx="419260" cy="484673"/>
                        </a:xfrm>
                        <a:prstGeom prst="rect">
                          <a:avLst/>
                        </a:prstGeom>
                        <a:noFill/>
                        <a:ln w="28575" cap="flat" cmpd="sng">
                          <a:solidFill>
                            <a:srgbClr val="C00000"/>
                          </a:solidFill>
                          <a:prstDash val="solid"/>
                          <a:round/>
                          <a:headEnd type="none" w="sm" len="sm"/>
                          <a:tailEnd type="none" w="sm" len="sm"/>
                        </a:ln>
                      </wps:spPr>
                      <wps:txbx>
                        <w:txbxContent>
                          <w:p w14:paraId="5F666C1D" w14:textId="77777777" w:rsidR="00905E09" w:rsidRDefault="00905E09">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2362200</wp:posOffset>
                </wp:positionH>
                <wp:positionV relativeFrom="paragraph">
                  <wp:posOffset>1625600</wp:posOffset>
                </wp:positionV>
                <wp:extent cx="533560" cy="598973"/>
                <wp:effectExtent b="0" l="0" r="0" t="0"/>
                <wp:wrapNone/>
                <wp:docPr id="2140131925" name="image37.png"/>
                <a:graphic>
                  <a:graphicData uri="http://schemas.openxmlformats.org/drawingml/2006/picture">
                    <pic:pic>
                      <pic:nvPicPr>
                        <pic:cNvPr id="0" name="image37.png"/>
                        <pic:cNvPicPr preferRelativeResize="0"/>
                      </pic:nvPicPr>
                      <pic:blipFill>
                        <a:blip r:embed="rId32"/>
                        <a:srcRect/>
                        <a:stretch>
                          <a:fillRect/>
                        </a:stretch>
                      </pic:blipFill>
                      <pic:spPr>
                        <a:xfrm>
                          <a:off x="0" y="0"/>
                          <a:ext cx="533560" cy="598973"/>
                        </a:xfrm>
                        <a:prstGeom prst="rect"/>
                        <a:ln/>
                      </pic:spPr>
                    </pic:pic>
                  </a:graphicData>
                </a:graphic>
              </wp:anchor>
            </w:drawing>
          </mc:Fallback>
        </mc:AlternateContent>
      </w:r>
    </w:p>
    <w:p w14:paraId="5D477964"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lastRenderedPageBreak/>
        <w:t>Como se precisó en líneas anteriores, a partir del uno de enero de dos mil quince las entidades adheridas al Sistema Nacional de Coordinación Fiscal, participaron al 100% de la recaudación que se obtuvo del ISR que efectivamente se enteró a la Federación, correspondiente al salario del personal que preste o desempeñe un servicio personal subordinado en las dependencias del ente público respectivo, y sus organismos autónomos y entidades paraestatales y paramunicipales.</w:t>
      </w:r>
    </w:p>
    <w:p w14:paraId="1A08E026"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Lo anterior se robustece con el artículo 1° de Ley de Ingresos de los Municipios del Estado de México para el ejercicio 2015, en donde se visualiza  que dicho instrumento normativo contempló como ingreso para los municipios, el relativo al Impuesto Sobre la Renta efectivamente enterado a la Federación, correspondiente al salario de su personal que preste o desempeñe un servicio personal subordinado así como de sus organismos públicos descentralizados, que en su parte conducente dispone lo siguiente:</w:t>
      </w:r>
    </w:p>
    <w:p w14:paraId="618BDE14" w14:textId="77777777" w:rsidR="00905E09" w:rsidRPr="008E4418" w:rsidRDefault="00CE232F">
      <w:pPr>
        <w:spacing w:before="120" w:after="120"/>
        <w:ind w:left="851" w:right="760"/>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r w:rsidRPr="008E4418">
        <w:rPr>
          <w:rFonts w:ascii="Palatino Linotype" w:eastAsia="Palatino Linotype" w:hAnsi="Palatino Linotype" w:cs="Palatino Linotype"/>
          <w:b/>
          <w:i/>
          <w:sz w:val="22"/>
          <w:szCs w:val="22"/>
        </w:rPr>
        <w:t>Artículo 1.- La hacienda pública de los municipios</w:t>
      </w:r>
      <w:r w:rsidRPr="008E4418">
        <w:rPr>
          <w:rFonts w:ascii="Palatino Linotype" w:eastAsia="Palatino Linotype" w:hAnsi="Palatino Linotype" w:cs="Palatino Linotype"/>
          <w:i/>
          <w:sz w:val="22"/>
          <w:szCs w:val="22"/>
        </w:rPr>
        <w:t xml:space="preserve"> del Estado de México, </w:t>
      </w:r>
      <w:r w:rsidRPr="008E4418">
        <w:rPr>
          <w:rFonts w:ascii="Palatino Linotype" w:eastAsia="Palatino Linotype" w:hAnsi="Palatino Linotype" w:cs="Palatino Linotype"/>
          <w:b/>
          <w:i/>
          <w:sz w:val="22"/>
          <w:szCs w:val="22"/>
        </w:rPr>
        <w:t>percibirá durante el ejercicio fiscal del año 2015, los ingresos provenientes</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b/>
          <w:i/>
          <w:sz w:val="22"/>
          <w:szCs w:val="22"/>
        </w:rPr>
        <w:t>de los conceptos</w:t>
      </w:r>
      <w:r w:rsidRPr="008E4418">
        <w:rPr>
          <w:rFonts w:ascii="Palatino Linotype" w:eastAsia="Palatino Linotype" w:hAnsi="Palatino Linotype" w:cs="Palatino Linotype"/>
          <w:i/>
          <w:sz w:val="22"/>
          <w:szCs w:val="22"/>
        </w:rPr>
        <w:t xml:space="preserve"> que a continuación se enumeran:</w:t>
      </w:r>
    </w:p>
    <w:p w14:paraId="4DD3A205" w14:textId="77777777" w:rsidR="00905E09" w:rsidRPr="008E4418" w:rsidRDefault="00CE232F">
      <w:pPr>
        <w:spacing w:before="120" w:after="120"/>
        <w:ind w:left="851" w:right="760"/>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p>
    <w:p w14:paraId="4AFB8437" w14:textId="77777777" w:rsidR="00905E09" w:rsidRPr="008E4418" w:rsidRDefault="00CE232F">
      <w:pPr>
        <w:spacing w:before="120" w:after="120"/>
        <w:ind w:left="851" w:right="760"/>
        <w:jc w:val="both"/>
        <w:rPr>
          <w:rFonts w:ascii="Palatino Linotype" w:eastAsia="Palatino Linotype" w:hAnsi="Palatino Linotype" w:cs="Palatino Linotype"/>
          <w:b/>
          <w:i/>
          <w:sz w:val="22"/>
          <w:szCs w:val="22"/>
        </w:rPr>
      </w:pPr>
      <w:r w:rsidRPr="008E4418">
        <w:rPr>
          <w:rFonts w:ascii="Palatino Linotype" w:eastAsia="Palatino Linotype" w:hAnsi="Palatino Linotype" w:cs="Palatino Linotype"/>
          <w:b/>
          <w:i/>
          <w:sz w:val="22"/>
          <w:szCs w:val="22"/>
        </w:rPr>
        <w:t>8. PARTICIPACIONES, APORTACIONES, CONVENIOS Y SUBSIDIOS:</w:t>
      </w:r>
    </w:p>
    <w:p w14:paraId="2E0C0920" w14:textId="77777777" w:rsidR="00905E09" w:rsidRPr="008E4418" w:rsidRDefault="00CE232F">
      <w:pPr>
        <w:spacing w:before="120" w:after="120"/>
        <w:ind w:left="1134" w:right="760"/>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p>
    <w:p w14:paraId="1EC6CD9E" w14:textId="77777777" w:rsidR="00905E09" w:rsidRPr="008E4418" w:rsidRDefault="00CE232F">
      <w:pPr>
        <w:spacing w:before="120" w:after="120"/>
        <w:ind w:left="1134" w:right="760"/>
        <w:jc w:val="both"/>
        <w:rPr>
          <w:rFonts w:ascii="Palatino Linotype" w:eastAsia="Palatino Linotype" w:hAnsi="Palatino Linotype" w:cs="Palatino Linotype"/>
          <w:b/>
          <w:i/>
          <w:sz w:val="22"/>
          <w:szCs w:val="22"/>
        </w:rPr>
      </w:pPr>
      <w:r w:rsidRPr="008E4418">
        <w:rPr>
          <w:rFonts w:ascii="Palatino Linotype" w:eastAsia="Palatino Linotype" w:hAnsi="Palatino Linotype" w:cs="Palatino Linotype"/>
          <w:b/>
          <w:i/>
          <w:sz w:val="22"/>
          <w:szCs w:val="22"/>
        </w:rPr>
        <w:t xml:space="preserve">8.1.9. El Impuesto Sobre la Renta efectivamente enterado a la Federación, </w:t>
      </w:r>
      <w:r w:rsidRPr="008E4418">
        <w:rPr>
          <w:rFonts w:ascii="Palatino Linotype" w:eastAsia="Palatino Linotype" w:hAnsi="Palatino Linotype" w:cs="Palatino Linotype"/>
          <w:i/>
          <w:sz w:val="22"/>
          <w:szCs w:val="22"/>
        </w:rPr>
        <w:t>correspondiente al salario de su personal que preste o desempeñe un servicio personal subordinado así como de sus organismos públicos descentralizados.</w:t>
      </w:r>
      <w:r w:rsidRPr="008E4418">
        <w:rPr>
          <w:rFonts w:ascii="Palatino Linotype" w:eastAsia="Palatino Linotype" w:hAnsi="Palatino Linotype" w:cs="Palatino Linotype"/>
          <w:b/>
          <w:i/>
          <w:sz w:val="22"/>
          <w:szCs w:val="22"/>
        </w:rPr>
        <w:t xml:space="preserve">” </w:t>
      </w:r>
    </w:p>
    <w:p w14:paraId="4BCAFAB1"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Para efectuar la asignación de dichas participaciones, nuestra entidad federativa se ciñe a lo establecido en las Reglas para la Asignación de las Participaciones Federales </w:t>
      </w:r>
      <w:r w:rsidRPr="008E4418">
        <w:rPr>
          <w:rFonts w:ascii="Palatino Linotype" w:eastAsia="Palatino Linotype" w:hAnsi="Palatino Linotype" w:cs="Palatino Linotype"/>
        </w:rPr>
        <w:lastRenderedPageBreak/>
        <w:t xml:space="preserve">y Estatales a los Municipios del Estado de México, las cuales, en su parte conducente disponen lo siguiente: </w:t>
      </w:r>
    </w:p>
    <w:p w14:paraId="45003F67"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r w:rsidRPr="008E4418">
        <w:rPr>
          <w:rFonts w:ascii="Palatino Linotype" w:eastAsia="Palatino Linotype" w:hAnsi="Palatino Linotype" w:cs="Palatino Linotype"/>
          <w:b/>
          <w:i/>
          <w:sz w:val="22"/>
          <w:szCs w:val="22"/>
        </w:rPr>
        <w:t>Secretaría</w:t>
      </w:r>
      <w:r w:rsidRPr="008E4418">
        <w:rPr>
          <w:rFonts w:ascii="Palatino Linotype" w:eastAsia="Palatino Linotype" w:hAnsi="Palatino Linotype" w:cs="Palatino Linotype"/>
          <w:i/>
          <w:sz w:val="22"/>
          <w:szCs w:val="22"/>
        </w:rPr>
        <w:t xml:space="preserve">, a la </w:t>
      </w:r>
      <w:r w:rsidRPr="008E4418">
        <w:rPr>
          <w:rFonts w:ascii="Palatino Linotype" w:eastAsia="Palatino Linotype" w:hAnsi="Palatino Linotype" w:cs="Palatino Linotype"/>
          <w:b/>
          <w:i/>
          <w:sz w:val="22"/>
          <w:szCs w:val="22"/>
          <w:u w:val="single"/>
        </w:rPr>
        <w:t>Secretaría de Finanzas del Gobierno del Estado de México</w:t>
      </w:r>
    </w:p>
    <w:p w14:paraId="358D29DC"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p>
    <w:p w14:paraId="038BB5CA"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Tercera</w:t>
      </w:r>
      <w:r w:rsidRPr="008E4418">
        <w:rPr>
          <w:rFonts w:ascii="Palatino Linotype" w:eastAsia="Palatino Linotype" w:hAnsi="Palatino Linotype" w:cs="Palatino Linotype"/>
          <w:i/>
          <w:sz w:val="22"/>
          <w:szCs w:val="22"/>
        </w:rPr>
        <w:t>.- El Estado de México deberá liquidar a los municipios, a más tardar el último día hábil de cada mes, el monto que por concepto de participaciones provisionales Federales y Estatales, les corresponde. Para tal efecto, l</w:t>
      </w:r>
      <w:r w:rsidRPr="008E4418">
        <w:rPr>
          <w:rFonts w:ascii="Palatino Linotype" w:eastAsia="Palatino Linotype" w:hAnsi="Palatino Linotype" w:cs="Palatino Linotype"/>
          <w:b/>
          <w:i/>
          <w:sz w:val="22"/>
          <w:szCs w:val="22"/>
          <w:u w:val="single"/>
        </w:rPr>
        <w:t>a Secretaría emitirá una Constancia desglosando las participaciones</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b/>
          <w:i/>
          <w:sz w:val="22"/>
          <w:szCs w:val="22"/>
        </w:rPr>
        <w:t>por cada uno de los conceptos señalados en el artículo 219 del Código Financiero.</w:t>
      </w:r>
    </w:p>
    <w:p w14:paraId="21C9CA32"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p>
    <w:p w14:paraId="555EA266" w14:textId="77777777" w:rsidR="00905E09" w:rsidRPr="008E4418" w:rsidRDefault="00CE232F">
      <w:pPr>
        <w:spacing w:before="120" w:after="120"/>
        <w:ind w:left="851" w:right="902"/>
        <w:jc w:val="both"/>
        <w:rPr>
          <w:rFonts w:ascii="Palatino Linotype" w:eastAsia="Palatino Linotype" w:hAnsi="Palatino Linotype" w:cs="Palatino Linotype"/>
          <w:b/>
          <w:i/>
          <w:sz w:val="22"/>
          <w:szCs w:val="22"/>
        </w:rPr>
      </w:pPr>
      <w:r w:rsidRPr="008E4418">
        <w:rPr>
          <w:rFonts w:ascii="Palatino Linotype" w:eastAsia="Palatino Linotype" w:hAnsi="Palatino Linotype" w:cs="Palatino Linotype"/>
          <w:b/>
          <w:i/>
          <w:sz w:val="22"/>
          <w:szCs w:val="22"/>
        </w:rPr>
        <w:t>DEL CÁLCULO DE PARTICIPACIONES POR CONCEPTO DEL ISR</w:t>
      </w:r>
    </w:p>
    <w:p w14:paraId="2A8912C6"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Novena</w:t>
      </w:r>
      <w:r w:rsidRPr="008E4418">
        <w:rPr>
          <w:rFonts w:ascii="Palatino Linotype" w:eastAsia="Palatino Linotype" w:hAnsi="Palatino Linotype" w:cs="Palatino Linotype"/>
          <w:i/>
          <w:sz w:val="22"/>
          <w:szCs w:val="22"/>
        </w:rPr>
        <w:t xml:space="preserve">.- De conformidad con lo establecido en el artículo 223 del Código Financiero, </w:t>
      </w:r>
      <w:r w:rsidRPr="008E4418">
        <w:rPr>
          <w:rFonts w:ascii="Palatino Linotype" w:eastAsia="Palatino Linotype" w:hAnsi="Palatino Linotype" w:cs="Palatino Linotype"/>
          <w:b/>
          <w:i/>
          <w:sz w:val="22"/>
          <w:szCs w:val="22"/>
        </w:rPr>
        <w:t xml:space="preserve">las participaciones derivadas del Impuesto Sobre la Renta correspondientes a cada Ayuntamiento y sus organismos públicos descentralizados </w:t>
      </w:r>
      <w:r w:rsidRPr="008E4418">
        <w:rPr>
          <w:rFonts w:ascii="Palatino Linotype" w:eastAsia="Palatino Linotype" w:hAnsi="Palatino Linotype" w:cs="Palatino Linotype"/>
          <w:b/>
          <w:i/>
          <w:sz w:val="22"/>
          <w:szCs w:val="22"/>
          <w:u w:val="single"/>
        </w:rPr>
        <w:t>se transferirán a cada municipio conforme al monto efectivamente enterado a la federación</w:t>
      </w:r>
      <w:r w:rsidRPr="008E4418">
        <w:rPr>
          <w:rFonts w:ascii="Palatino Linotype" w:eastAsia="Palatino Linotype" w:hAnsi="Palatino Linotype" w:cs="Palatino Linotype"/>
          <w:i/>
          <w:sz w:val="22"/>
          <w:szCs w:val="22"/>
        </w:rPr>
        <w:t>.”</w:t>
      </w:r>
    </w:p>
    <w:p w14:paraId="67A20919"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De lo hasta aquí expuesto, se concluye que la federación transfiere recursos a las entidades federativas por concepto de participaciones federales, las cuales se encuentran previstas en el Ramo General 28 Participaciones a Entidades Federativas y Municipios del Gasto no programable contemplado en el Presupuesto de Egresos la Federación de cada ejercicio fiscal, entre las que se encuentra la participación de la recaudación que se obtenga del ISR efectivamente enterado correspondiente al salario del personal de los entes públicos; la entidad federativa a su vez, cuenta con la obligación de participar a los municipios el ISR que a éstos y a sus organismos públicos descentralizados les corresponda.</w:t>
      </w:r>
    </w:p>
    <w:p w14:paraId="4E43F5BF" w14:textId="77777777" w:rsidR="00905E09" w:rsidRPr="008E4418" w:rsidRDefault="00CE232F">
      <w:pPr>
        <w:spacing w:before="240" w:after="240" w:line="360" w:lineRule="auto"/>
        <w:jc w:val="both"/>
        <w:rPr>
          <w:rFonts w:ascii="Palatino Linotype" w:eastAsia="Palatino Linotype" w:hAnsi="Palatino Linotype" w:cs="Palatino Linotype"/>
        </w:rPr>
      </w:pPr>
      <w:bookmarkStart w:id="7" w:name="_heading=h.2et92p0" w:colFirst="0" w:colLast="0"/>
      <w:bookmarkEnd w:id="7"/>
      <w:r w:rsidRPr="008E4418">
        <w:rPr>
          <w:rFonts w:ascii="Palatino Linotype" w:eastAsia="Palatino Linotype" w:hAnsi="Palatino Linotype" w:cs="Palatino Linotype"/>
        </w:rPr>
        <w:t xml:space="preserve">En otras palabras, la entidad federativa, a través de la Secretaría de Finanzas es responsable de transferir a los municipios las participaciones derivadas del </w:t>
      </w:r>
      <w:r w:rsidRPr="008E4418">
        <w:rPr>
          <w:rFonts w:ascii="Palatino Linotype" w:eastAsia="Palatino Linotype" w:hAnsi="Palatino Linotype" w:cs="Palatino Linotype"/>
        </w:rPr>
        <w:lastRenderedPageBreak/>
        <w:t xml:space="preserve">Impuesto Sobre la Renta, que le corresponda a los ayuntamientos y a sus organismos descentralizados, </w:t>
      </w:r>
      <w:r w:rsidRPr="008E4418">
        <w:rPr>
          <w:rFonts w:ascii="Palatino Linotype" w:eastAsia="Palatino Linotype" w:hAnsi="Palatino Linotype" w:cs="Palatino Linotype"/>
          <w:b/>
          <w:u w:val="single"/>
        </w:rPr>
        <w:t>lo que se traduce en la imposibilidad de los organismos descentralizados para atender los requerimientos de información en estudio</w:t>
      </w:r>
      <w:r w:rsidRPr="008E4418">
        <w:rPr>
          <w:rFonts w:ascii="Palatino Linotype" w:eastAsia="Palatino Linotype" w:hAnsi="Palatino Linotype" w:cs="Palatino Linotype"/>
        </w:rPr>
        <w:t>, siendo el ayuntamiento el competente para contar con la información requerida.</w:t>
      </w:r>
    </w:p>
    <w:p w14:paraId="20378F48"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Robustece lo anterior el artículo 223 del Código Financiero del Estado de México, a saber:  </w:t>
      </w:r>
    </w:p>
    <w:p w14:paraId="0E809068" w14:textId="77777777" w:rsidR="00905E09" w:rsidRPr="008E4418" w:rsidRDefault="00CE232F">
      <w:pPr>
        <w:spacing w:before="240" w:after="240"/>
        <w:ind w:left="851" w:right="900"/>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r w:rsidRPr="008E4418">
        <w:rPr>
          <w:rFonts w:ascii="Palatino Linotype" w:eastAsia="Palatino Linotype" w:hAnsi="Palatino Linotype" w:cs="Palatino Linotype"/>
          <w:b/>
          <w:i/>
          <w:sz w:val="22"/>
          <w:szCs w:val="22"/>
        </w:rPr>
        <w:t>Artículo 223</w:t>
      </w:r>
      <w:r w:rsidRPr="008E4418">
        <w:rPr>
          <w:rFonts w:ascii="Palatino Linotype" w:eastAsia="Palatino Linotype" w:hAnsi="Palatino Linotype" w:cs="Palatino Linotype"/>
          <w:i/>
          <w:sz w:val="22"/>
          <w:szCs w:val="22"/>
        </w:rPr>
        <w:t xml:space="preserve">.- </w:t>
      </w:r>
      <w:r w:rsidRPr="008E4418">
        <w:rPr>
          <w:rFonts w:ascii="Palatino Linotype" w:eastAsia="Palatino Linotype" w:hAnsi="Palatino Linotype" w:cs="Palatino Linotype"/>
          <w:b/>
          <w:i/>
          <w:sz w:val="22"/>
          <w:szCs w:val="22"/>
        </w:rPr>
        <w:t>Las participaciones derivadas del Impuesto Sobre la Renta</w:t>
      </w:r>
      <w:r w:rsidRPr="008E4418">
        <w:rPr>
          <w:rFonts w:ascii="Palatino Linotype" w:eastAsia="Palatino Linotype" w:hAnsi="Palatino Linotype" w:cs="Palatino Linotype"/>
          <w:i/>
          <w:sz w:val="22"/>
          <w:szCs w:val="22"/>
        </w:rPr>
        <w:t xml:space="preserve"> correspondientes a cada Ayuntamiento y sus organismos públicos descentralizados </w:t>
      </w:r>
      <w:r w:rsidRPr="008E4418">
        <w:rPr>
          <w:rFonts w:ascii="Palatino Linotype" w:eastAsia="Palatino Linotype" w:hAnsi="Palatino Linotype" w:cs="Palatino Linotype"/>
          <w:b/>
          <w:i/>
          <w:sz w:val="22"/>
          <w:szCs w:val="22"/>
          <w:u w:val="single"/>
        </w:rPr>
        <w:t>se transferirán a cada municipio</w:t>
      </w:r>
      <w:r w:rsidRPr="008E4418">
        <w:rPr>
          <w:rFonts w:ascii="Palatino Linotype" w:eastAsia="Palatino Linotype" w:hAnsi="Palatino Linotype" w:cs="Palatino Linotype"/>
          <w:i/>
          <w:sz w:val="22"/>
          <w:szCs w:val="22"/>
        </w:rPr>
        <w:t xml:space="preserve"> conforme al monto efectivamente enterado a la federación.”</w:t>
      </w:r>
    </w:p>
    <w:p w14:paraId="753091B0"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Y, si bien es cierto la Secretaría de Finanzas transfiere los recursos por concepto de participaciones a los municipios y genera la Constancia en la que desglosa las participaciones, no menos cierto es que la información también puede ser obtenida por los propios municipios.</w:t>
      </w:r>
    </w:p>
    <w:p w14:paraId="6351F7B5"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Como sustento de lo anterior, el artículo 6, antepenúltimo párrafo de la Ley de Coordinación Fiscal, dispone que la entidad federativa, por medio de la dependencia competente -la Secretaría de Finanzas-, cuenta con la obligación de publicar a más tardar el 15 de febrero de cada ejercicio, en el Periódico Oficial, así como en su página oficial de Internet, el calendario de entrega, porcentaje, fórmulas y variables utilizadas, así como los </w:t>
      </w:r>
      <w:r w:rsidRPr="008E4418">
        <w:rPr>
          <w:rFonts w:ascii="Palatino Linotype" w:eastAsia="Palatino Linotype" w:hAnsi="Palatino Linotype" w:cs="Palatino Linotype"/>
          <w:b/>
          <w:u w:val="single"/>
        </w:rPr>
        <w:t>montos estimados, de las participaciones que las entidades reciban y de las que tengan obligación de participar a sus municipios o demarcaciones territoriales</w:t>
      </w:r>
      <w:r w:rsidRPr="008E4418">
        <w:rPr>
          <w:rFonts w:ascii="Palatino Linotype" w:eastAsia="Palatino Linotype" w:hAnsi="Palatino Linotype" w:cs="Palatino Linotype"/>
        </w:rPr>
        <w:t xml:space="preserve">, así como a </w:t>
      </w:r>
      <w:r w:rsidRPr="008E4418">
        <w:rPr>
          <w:rFonts w:ascii="Palatino Linotype" w:eastAsia="Palatino Linotype" w:hAnsi="Palatino Linotype" w:cs="Palatino Linotype"/>
          <w:b/>
          <w:u w:val="single"/>
        </w:rPr>
        <w:t>publicar trimestralmente</w:t>
      </w:r>
      <w:r w:rsidRPr="008E4418">
        <w:rPr>
          <w:rFonts w:ascii="Palatino Linotype" w:eastAsia="Palatino Linotype" w:hAnsi="Palatino Linotype" w:cs="Palatino Linotype"/>
        </w:rPr>
        <w:t xml:space="preserve"> de a través de los mismos medios, </w:t>
      </w:r>
      <w:r w:rsidRPr="008E4418">
        <w:rPr>
          <w:rFonts w:ascii="Palatino Linotype" w:eastAsia="Palatino Linotype" w:hAnsi="Palatino Linotype" w:cs="Palatino Linotype"/>
          <w:b/>
          <w:u w:val="single"/>
        </w:rPr>
        <w:t>el importe de las participaciones entregadas y, en su caso, el ajuste realizado al término de cada ejercicio fiscal</w:t>
      </w:r>
      <w:r w:rsidRPr="008E4418">
        <w:rPr>
          <w:rFonts w:ascii="Palatino Linotype" w:eastAsia="Palatino Linotype" w:hAnsi="Palatino Linotype" w:cs="Palatino Linotype"/>
        </w:rPr>
        <w:t xml:space="preserve">, publicaciones que se </w:t>
      </w:r>
      <w:r w:rsidRPr="008E4418">
        <w:rPr>
          <w:rFonts w:ascii="Palatino Linotype" w:eastAsia="Palatino Linotype" w:hAnsi="Palatino Linotype" w:cs="Palatino Linotype"/>
        </w:rPr>
        <w:lastRenderedPageBreak/>
        <w:t>deberán realizar conforme a los lineamientos que al efecto emita la Secretaría de Hacienda y Crédito Público, por lo que en estricto sentido, dicha información se encuentra disponible y es de acceso público, como se ilustra a continuación respecto del ejercicio 2023, a manera de ejemplo:</w:t>
      </w:r>
    </w:p>
    <w:p w14:paraId="5A98D4D0"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noProof/>
        </w:rPr>
        <w:drawing>
          <wp:inline distT="0" distB="0" distL="0" distR="0" wp14:anchorId="15862663" wp14:editId="567B5DF5">
            <wp:extent cx="5612130" cy="1105535"/>
            <wp:effectExtent l="0" t="0" r="0" b="0"/>
            <wp:docPr id="21401319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a:stretch>
                      <a:fillRect/>
                    </a:stretch>
                  </pic:blipFill>
                  <pic:spPr>
                    <a:xfrm>
                      <a:off x="0" y="0"/>
                      <a:ext cx="5612130" cy="1105535"/>
                    </a:xfrm>
                    <a:prstGeom prst="rect">
                      <a:avLst/>
                    </a:prstGeom>
                    <a:ln/>
                  </pic:spPr>
                </pic:pic>
              </a:graphicData>
            </a:graphic>
          </wp:inline>
        </w:drawing>
      </w:r>
    </w:p>
    <w:p w14:paraId="34290548"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noProof/>
        </w:rPr>
        <w:drawing>
          <wp:inline distT="0" distB="0" distL="0" distR="0" wp14:anchorId="55D07078" wp14:editId="38779E16">
            <wp:extent cx="5612130" cy="450850"/>
            <wp:effectExtent l="0" t="0" r="0" b="0"/>
            <wp:docPr id="214013193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a:srcRect/>
                    <a:stretch>
                      <a:fillRect/>
                    </a:stretch>
                  </pic:blipFill>
                  <pic:spPr>
                    <a:xfrm>
                      <a:off x="0" y="0"/>
                      <a:ext cx="5612130" cy="450850"/>
                    </a:xfrm>
                    <a:prstGeom prst="rect">
                      <a:avLst/>
                    </a:prstGeom>
                    <a:ln/>
                  </pic:spPr>
                </pic:pic>
              </a:graphicData>
            </a:graphic>
          </wp:inline>
        </w:drawing>
      </w:r>
      <w:r w:rsidRPr="008E4418">
        <w:rPr>
          <w:rFonts w:ascii="Palatino Linotype" w:eastAsia="Palatino Linotype" w:hAnsi="Palatino Linotype" w:cs="Palatino Linotype"/>
          <w:noProof/>
        </w:rPr>
        <w:drawing>
          <wp:inline distT="0" distB="0" distL="0" distR="0" wp14:anchorId="5FF87A72" wp14:editId="5A7E5A0E">
            <wp:extent cx="5612130" cy="109220"/>
            <wp:effectExtent l="0" t="0" r="0" b="0"/>
            <wp:docPr id="21401319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a:off x="0" y="0"/>
                      <a:ext cx="5612130" cy="109220"/>
                    </a:xfrm>
                    <a:prstGeom prst="rect">
                      <a:avLst/>
                    </a:prstGeom>
                    <a:ln/>
                  </pic:spPr>
                </pic:pic>
              </a:graphicData>
            </a:graphic>
          </wp:inline>
        </w:drawing>
      </w:r>
    </w:p>
    <w:p w14:paraId="24BC6D34" w14:textId="77777777" w:rsidR="00905E09" w:rsidRPr="008E4418" w:rsidRDefault="00CE232F">
      <w:pPr>
        <w:spacing w:before="240" w:after="240" w:line="360" w:lineRule="auto"/>
        <w:jc w:val="center"/>
        <w:rPr>
          <w:rFonts w:ascii="Palatino Linotype" w:eastAsia="Palatino Linotype" w:hAnsi="Palatino Linotype" w:cs="Palatino Linotype"/>
        </w:rPr>
      </w:pPr>
      <w:r w:rsidRPr="008E4418">
        <w:rPr>
          <w:rFonts w:ascii="Palatino Linotype" w:eastAsia="Palatino Linotype" w:hAnsi="Palatino Linotype" w:cs="Palatino Linotype"/>
          <w:noProof/>
        </w:rPr>
        <w:drawing>
          <wp:inline distT="0" distB="0" distL="0" distR="0" wp14:anchorId="3C51A17B" wp14:editId="22ACAFB8">
            <wp:extent cx="4356000" cy="3240000"/>
            <wp:effectExtent l="0" t="0" r="0" b="0"/>
            <wp:docPr id="214013193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a:stretch>
                      <a:fillRect/>
                    </a:stretch>
                  </pic:blipFill>
                  <pic:spPr>
                    <a:xfrm>
                      <a:off x="0" y="0"/>
                      <a:ext cx="4356000" cy="3240000"/>
                    </a:xfrm>
                    <a:prstGeom prst="rect">
                      <a:avLst/>
                    </a:prstGeom>
                    <a:ln/>
                  </pic:spPr>
                </pic:pic>
              </a:graphicData>
            </a:graphic>
          </wp:inline>
        </w:drawing>
      </w:r>
      <w:r w:rsidRPr="008E4418">
        <w:rPr>
          <w:rFonts w:ascii="Palatino Linotype" w:eastAsia="Palatino Linotype" w:hAnsi="Palatino Linotype" w:cs="Palatino Linotype"/>
        </w:rPr>
        <w:t xml:space="preserve"> </w:t>
      </w:r>
    </w:p>
    <w:p w14:paraId="6BB639C2" w14:textId="77777777" w:rsidR="00905E09" w:rsidRPr="008E4418" w:rsidRDefault="00CE232F">
      <w:pPr>
        <w:spacing w:before="240" w:after="240" w:line="360" w:lineRule="auto"/>
        <w:jc w:val="center"/>
        <w:rPr>
          <w:rFonts w:ascii="Palatino Linotype" w:eastAsia="Palatino Linotype" w:hAnsi="Palatino Linotype" w:cs="Palatino Linotype"/>
        </w:rPr>
      </w:pPr>
      <w:r w:rsidRPr="008E4418">
        <w:rPr>
          <w:rFonts w:ascii="Palatino Linotype" w:eastAsia="Palatino Linotype" w:hAnsi="Palatino Linotype" w:cs="Palatino Linotype"/>
          <w:noProof/>
        </w:rPr>
        <w:lastRenderedPageBreak/>
        <w:drawing>
          <wp:inline distT="0" distB="0" distL="0" distR="0" wp14:anchorId="55DDFCFC" wp14:editId="403F32E7">
            <wp:extent cx="5081247" cy="2664414"/>
            <wp:effectExtent l="0" t="0" r="0" b="0"/>
            <wp:docPr id="21401319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a:stretch>
                      <a:fillRect/>
                    </a:stretch>
                  </pic:blipFill>
                  <pic:spPr>
                    <a:xfrm>
                      <a:off x="0" y="0"/>
                      <a:ext cx="5081247" cy="2664414"/>
                    </a:xfrm>
                    <a:prstGeom prst="rect">
                      <a:avLst/>
                    </a:prstGeom>
                    <a:ln/>
                  </pic:spPr>
                </pic:pic>
              </a:graphicData>
            </a:graphic>
          </wp:inline>
        </w:drawing>
      </w:r>
      <w:r w:rsidRPr="008E4418">
        <w:rPr>
          <w:rFonts w:ascii="Palatino Linotype" w:eastAsia="Palatino Linotype" w:hAnsi="Palatino Linotype" w:cs="Palatino Linotype"/>
        </w:rPr>
        <w:t xml:space="preserve"> </w:t>
      </w:r>
      <w:r w:rsidRPr="008E4418">
        <w:rPr>
          <w:noProof/>
        </w:rPr>
        <mc:AlternateContent>
          <mc:Choice Requires="wpg">
            <w:drawing>
              <wp:anchor distT="0" distB="0" distL="114300" distR="114300" simplePos="0" relativeHeight="251661312" behindDoc="0" locked="0" layoutInCell="1" hidden="0" allowOverlap="1" wp14:anchorId="53909C36" wp14:editId="6DC5AAB7">
                <wp:simplePos x="0" y="0"/>
                <wp:positionH relativeFrom="column">
                  <wp:posOffset>660400</wp:posOffset>
                </wp:positionH>
                <wp:positionV relativeFrom="paragraph">
                  <wp:posOffset>1473200</wp:posOffset>
                </wp:positionV>
                <wp:extent cx="1564532" cy="669587"/>
                <wp:effectExtent l="0" t="0" r="0" b="0"/>
                <wp:wrapNone/>
                <wp:docPr id="2140131924" name="Rectángulo 2140131924"/>
                <wp:cNvGraphicFramePr/>
                <a:graphic xmlns:a="http://schemas.openxmlformats.org/drawingml/2006/main">
                  <a:graphicData uri="http://schemas.microsoft.com/office/word/2010/wordprocessingShape">
                    <wps:wsp>
                      <wps:cNvSpPr/>
                      <wps:spPr>
                        <a:xfrm>
                          <a:off x="4601834" y="3483307"/>
                          <a:ext cx="1488332" cy="593387"/>
                        </a:xfrm>
                        <a:prstGeom prst="rect">
                          <a:avLst/>
                        </a:prstGeom>
                        <a:noFill/>
                        <a:ln w="38100" cap="flat" cmpd="sng">
                          <a:solidFill>
                            <a:srgbClr val="C00000"/>
                          </a:solidFill>
                          <a:prstDash val="solid"/>
                          <a:round/>
                          <a:headEnd type="none" w="sm" len="sm"/>
                          <a:tailEnd type="none" w="sm" len="sm"/>
                        </a:ln>
                      </wps:spPr>
                      <wps:txbx>
                        <w:txbxContent>
                          <w:p w14:paraId="16E76ACF" w14:textId="77777777" w:rsidR="00905E09" w:rsidRDefault="00905E09">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660400</wp:posOffset>
                </wp:positionH>
                <wp:positionV relativeFrom="paragraph">
                  <wp:posOffset>1473200</wp:posOffset>
                </wp:positionV>
                <wp:extent cx="1564532" cy="669587"/>
                <wp:effectExtent b="0" l="0" r="0" t="0"/>
                <wp:wrapNone/>
                <wp:docPr id="2140131924" name="image36.png"/>
                <a:graphic>
                  <a:graphicData uri="http://schemas.openxmlformats.org/drawingml/2006/picture">
                    <pic:pic>
                      <pic:nvPicPr>
                        <pic:cNvPr id="0" name="image36.png"/>
                        <pic:cNvPicPr preferRelativeResize="0"/>
                      </pic:nvPicPr>
                      <pic:blipFill>
                        <a:blip r:embed="rId38"/>
                        <a:srcRect/>
                        <a:stretch>
                          <a:fillRect/>
                        </a:stretch>
                      </pic:blipFill>
                      <pic:spPr>
                        <a:xfrm>
                          <a:off x="0" y="0"/>
                          <a:ext cx="1564532" cy="669587"/>
                        </a:xfrm>
                        <a:prstGeom prst="rect"/>
                        <a:ln/>
                      </pic:spPr>
                    </pic:pic>
                  </a:graphicData>
                </a:graphic>
              </wp:anchor>
            </w:drawing>
          </mc:Fallback>
        </mc:AlternateContent>
      </w:r>
    </w:p>
    <w:p w14:paraId="48D2A776" w14:textId="77777777" w:rsidR="00905E09" w:rsidRPr="008E4418" w:rsidRDefault="00CE232F">
      <w:pPr>
        <w:spacing w:before="240" w:after="240" w:line="360" w:lineRule="auto"/>
        <w:jc w:val="center"/>
        <w:rPr>
          <w:rFonts w:ascii="Palatino Linotype" w:eastAsia="Palatino Linotype" w:hAnsi="Palatino Linotype" w:cs="Palatino Linotype"/>
        </w:rPr>
      </w:pPr>
      <w:r w:rsidRPr="008E4418">
        <w:rPr>
          <w:rFonts w:ascii="Palatino Linotype" w:eastAsia="Palatino Linotype" w:hAnsi="Palatino Linotype" w:cs="Palatino Linotype"/>
          <w:noProof/>
        </w:rPr>
        <w:drawing>
          <wp:inline distT="0" distB="0" distL="0" distR="0" wp14:anchorId="53332C49" wp14:editId="6D36C575">
            <wp:extent cx="5612130" cy="700405"/>
            <wp:effectExtent l="0" t="0" r="0" b="0"/>
            <wp:docPr id="214013193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9"/>
                    <a:srcRect/>
                    <a:stretch>
                      <a:fillRect/>
                    </a:stretch>
                  </pic:blipFill>
                  <pic:spPr>
                    <a:xfrm>
                      <a:off x="0" y="0"/>
                      <a:ext cx="5612130" cy="700405"/>
                    </a:xfrm>
                    <a:prstGeom prst="rect">
                      <a:avLst/>
                    </a:prstGeom>
                    <a:ln/>
                  </pic:spPr>
                </pic:pic>
              </a:graphicData>
            </a:graphic>
          </wp:inline>
        </w:drawing>
      </w:r>
      <w:r w:rsidRPr="008E4418">
        <w:rPr>
          <w:noProof/>
        </w:rPr>
        <mc:AlternateContent>
          <mc:Choice Requires="wpg">
            <w:drawing>
              <wp:anchor distT="0" distB="0" distL="114300" distR="114300" simplePos="0" relativeHeight="251662336" behindDoc="0" locked="0" layoutInCell="1" hidden="0" allowOverlap="1" wp14:anchorId="69420AA5" wp14:editId="259F4092">
                <wp:simplePos x="0" y="0"/>
                <wp:positionH relativeFrom="column">
                  <wp:posOffset>4914900</wp:posOffset>
                </wp:positionH>
                <wp:positionV relativeFrom="paragraph">
                  <wp:posOffset>-203199</wp:posOffset>
                </wp:positionV>
                <wp:extent cx="345661" cy="258141"/>
                <wp:effectExtent l="0" t="0" r="0" b="0"/>
                <wp:wrapNone/>
                <wp:docPr id="2140131921" name="Conector recto de flecha 2140131921"/>
                <wp:cNvGraphicFramePr/>
                <a:graphic xmlns:a="http://schemas.openxmlformats.org/drawingml/2006/main">
                  <a:graphicData uri="http://schemas.microsoft.com/office/word/2010/wordprocessingShape">
                    <wps:wsp>
                      <wps:cNvCnPr/>
                      <wps:spPr>
                        <a:xfrm>
                          <a:off x="5198570" y="3676330"/>
                          <a:ext cx="294861" cy="207341"/>
                        </a:xfrm>
                        <a:prstGeom prst="straightConnector1">
                          <a:avLst/>
                        </a:prstGeom>
                        <a:noFill/>
                        <a:ln w="25400" cap="flat" cmpd="sng">
                          <a:solidFill>
                            <a:srgbClr val="C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4914900</wp:posOffset>
                </wp:positionH>
                <wp:positionV relativeFrom="paragraph">
                  <wp:posOffset>-203199</wp:posOffset>
                </wp:positionV>
                <wp:extent cx="345661" cy="258141"/>
                <wp:effectExtent b="0" l="0" r="0" t="0"/>
                <wp:wrapNone/>
                <wp:docPr id="2140131921" name="image32.png"/>
                <a:graphic>
                  <a:graphicData uri="http://schemas.openxmlformats.org/drawingml/2006/picture">
                    <pic:pic>
                      <pic:nvPicPr>
                        <pic:cNvPr id="0" name="image32.png"/>
                        <pic:cNvPicPr preferRelativeResize="0"/>
                      </pic:nvPicPr>
                      <pic:blipFill>
                        <a:blip r:embed="rId40"/>
                        <a:srcRect/>
                        <a:stretch>
                          <a:fillRect/>
                        </a:stretch>
                      </pic:blipFill>
                      <pic:spPr>
                        <a:xfrm>
                          <a:off x="0" y="0"/>
                          <a:ext cx="345661" cy="258141"/>
                        </a:xfrm>
                        <a:prstGeom prst="rect"/>
                        <a:ln/>
                      </pic:spPr>
                    </pic:pic>
                  </a:graphicData>
                </a:graphic>
              </wp:anchor>
            </w:drawing>
          </mc:Fallback>
        </mc:AlternateContent>
      </w:r>
      <w:r w:rsidRPr="008E4418">
        <w:rPr>
          <w:noProof/>
        </w:rPr>
        <mc:AlternateContent>
          <mc:Choice Requires="wpg">
            <w:drawing>
              <wp:anchor distT="0" distB="0" distL="114300" distR="114300" simplePos="0" relativeHeight="251663360" behindDoc="0" locked="0" layoutInCell="1" hidden="0" allowOverlap="1" wp14:anchorId="697CF8B4" wp14:editId="7A5DFF28">
                <wp:simplePos x="0" y="0"/>
                <wp:positionH relativeFrom="column">
                  <wp:posOffset>3136900</wp:posOffset>
                </wp:positionH>
                <wp:positionV relativeFrom="paragraph">
                  <wp:posOffset>63500</wp:posOffset>
                </wp:positionV>
                <wp:extent cx="252013" cy="231549"/>
                <wp:effectExtent l="0" t="0" r="0" b="0"/>
                <wp:wrapNone/>
                <wp:docPr id="2140131922" name="Conector recto de flecha 2140131922"/>
                <wp:cNvGraphicFramePr/>
                <a:graphic xmlns:a="http://schemas.openxmlformats.org/drawingml/2006/main">
                  <a:graphicData uri="http://schemas.microsoft.com/office/word/2010/wordprocessingShape">
                    <wps:wsp>
                      <wps:cNvCnPr/>
                      <wps:spPr>
                        <a:xfrm flipH="1">
                          <a:off x="5245394" y="3689626"/>
                          <a:ext cx="201213" cy="180749"/>
                        </a:xfrm>
                        <a:prstGeom prst="straightConnector1">
                          <a:avLst/>
                        </a:prstGeom>
                        <a:noFill/>
                        <a:ln w="25400" cap="flat" cmpd="sng">
                          <a:solidFill>
                            <a:srgbClr val="C0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3136900</wp:posOffset>
                </wp:positionH>
                <wp:positionV relativeFrom="paragraph">
                  <wp:posOffset>63500</wp:posOffset>
                </wp:positionV>
                <wp:extent cx="252013" cy="231549"/>
                <wp:effectExtent b="0" l="0" r="0" t="0"/>
                <wp:wrapNone/>
                <wp:docPr id="2140131922" name="image34.png"/>
                <a:graphic>
                  <a:graphicData uri="http://schemas.openxmlformats.org/drawingml/2006/picture">
                    <pic:pic>
                      <pic:nvPicPr>
                        <pic:cNvPr id="0" name="image34.png"/>
                        <pic:cNvPicPr preferRelativeResize="0"/>
                      </pic:nvPicPr>
                      <pic:blipFill>
                        <a:blip r:embed="rId41"/>
                        <a:srcRect/>
                        <a:stretch>
                          <a:fillRect/>
                        </a:stretch>
                      </pic:blipFill>
                      <pic:spPr>
                        <a:xfrm>
                          <a:off x="0" y="0"/>
                          <a:ext cx="252013" cy="231549"/>
                        </a:xfrm>
                        <a:prstGeom prst="rect"/>
                        <a:ln/>
                      </pic:spPr>
                    </pic:pic>
                  </a:graphicData>
                </a:graphic>
              </wp:anchor>
            </w:drawing>
          </mc:Fallback>
        </mc:AlternateContent>
      </w:r>
    </w:p>
    <w:p w14:paraId="546F2791"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Cabe señalar que de la consulta de participaciones a municipios, se genera un documento el cual puede descargarse en formato Excel.  </w:t>
      </w:r>
    </w:p>
    <w:p w14:paraId="474DCD60"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De igual forma se señala que la Constancia mensual de liquidación de participaciones de los municipios del Estado de México, se puede obtener por los propios municipios bajo la siguiente serie de pasos establecida en el portal del Registro Estatal de Trámites y Servicios:</w:t>
      </w:r>
    </w:p>
    <w:p w14:paraId="0ECCC4B4" w14:textId="77777777" w:rsidR="00905E09" w:rsidRPr="008E4418" w:rsidRDefault="00CE232F">
      <w:pPr>
        <w:spacing w:before="240" w:after="240" w:line="360" w:lineRule="auto"/>
        <w:jc w:val="both"/>
        <w:rPr>
          <w:rFonts w:ascii="Palatino Linotype" w:eastAsia="Palatino Linotype" w:hAnsi="Palatino Linotype" w:cs="Palatino Linotype"/>
          <w:b/>
        </w:rPr>
      </w:pPr>
      <w:r w:rsidRPr="008E4418">
        <w:rPr>
          <w:rFonts w:ascii="Palatino Linotype" w:eastAsia="Palatino Linotype" w:hAnsi="Palatino Linotype" w:cs="Palatino Linotype"/>
          <w:b/>
        </w:rPr>
        <w:t>Constancia mensual de liquidación de participaciones de los municipios del Estado de México</w:t>
      </w:r>
    </w:p>
    <w:p w14:paraId="60A2E549" w14:textId="77777777" w:rsidR="00905E09" w:rsidRPr="008E4418" w:rsidRDefault="00CE232F">
      <w:pPr>
        <w:spacing w:before="240" w:after="240" w:line="276" w:lineRule="auto"/>
        <w:ind w:left="284"/>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1. Deberá ingresar a la página web de la Secretaría de Finanzas: </w:t>
      </w:r>
      <w:hyperlink r:id="rId42">
        <w:r w:rsidRPr="008E4418">
          <w:rPr>
            <w:rFonts w:ascii="Palatino Linotype" w:eastAsia="Palatino Linotype" w:hAnsi="Palatino Linotype" w:cs="Palatino Linotype"/>
            <w:u w:val="single"/>
          </w:rPr>
          <w:t>https://sfpya.edomexico.gob.mx/participaciones/</w:t>
        </w:r>
      </w:hyperlink>
      <w:r w:rsidRPr="008E4418">
        <w:rPr>
          <w:rFonts w:ascii="Palatino Linotype" w:eastAsia="Palatino Linotype" w:hAnsi="Palatino Linotype" w:cs="Palatino Linotype"/>
        </w:rPr>
        <w:t xml:space="preserve"> </w:t>
      </w:r>
    </w:p>
    <w:p w14:paraId="64430EB0" w14:textId="77777777" w:rsidR="00905E09" w:rsidRPr="008E4418" w:rsidRDefault="00CE232F">
      <w:pPr>
        <w:spacing w:before="240" w:after="240" w:line="276" w:lineRule="auto"/>
        <w:ind w:left="284"/>
        <w:jc w:val="both"/>
        <w:rPr>
          <w:rFonts w:ascii="Palatino Linotype" w:eastAsia="Palatino Linotype" w:hAnsi="Palatino Linotype" w:cs="Palatino Linotype"/>
        </w:rPr>
      </w:pPr>
      <w:r w:rsidRPr="008E4418">
        <w:rPr>
          <w:rFonts w:ascii="Palatino Linotype" w:eastAsia="Palatino Linotype" w:hAnsi="Palatino Linotype" w:cs="Palatino Linotype"/>
        </w:rPr>
        <w:lastRenderedPageBreak/>
        <w:t>2. Una vez dentro de la página, seleccionar la opción de "Participaciones a Municipios".</w:t>
      </w:r>
    </w:p>
    <w:p w14:paraId="7B9768B9" w14:textId="77777777" w:rsidR="00905E09" w:rsidRPr="008E4418" w:rsidRDefault="00CE232F">
      <w:pPr>
        <w:spacing w:before="240" w:after="240" w:line="276" w:lineRule="auto"/>
        <w:ind w:left="284"/>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 3. Dar clic en al apartado de “Constancias de Participaciones”, aparecerá un cuadro con diferentes opciones (Municipio, año y mes), dependiendo del municipio y temporalidad. </w:t>
      </w:r>
    </w:p>
    <w:p w14:paraId="7A998BE5" w14:textId="77777777" w:rsidR="00905E09" w:rsidRPr="008E4418" w:rsidRDefault="00CE232F">
      <w:pPr>
        <w:spacing w:before="240" w:after="240" w:line="276" w:lineRule="auto"/>
        <w:ind w:left="284"/>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4. Seleccione el municipio, año y mes del que desea obtener la constancia de liquidación de participaciones y oprima el botón "Generar". </w:t>
      </w:r>
    </w:p>
    <w:p w14:paraId="6F98D8C8" w14:textId="77777777" w:rsidR="00905E09" w:rsidRPr="008E4418" w:rsidRDefault="00CE232F">
      <w:pPr>
        <w:spacing w:before="240" w:after="240" w:line="276" w:lineRule="auto"/>
        <w:ind w:left="284"/>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5. El sistema generar una constancia sin validez oficial, a modo de consulta. </w:t>
      </w:r>
    </w:p>
    <w:p w14:paraId="55C175F4" w14:textId="77777777" w:rsidR="00905E09" w:rsidRPr="008E4418" w:rsidRDefault="00CE232F">
      <w:pPr>
        <w:spacing w:before="240" w:after="240" w:line="276" w:lineRule="auto"/>
        <w:ind w:left="284"/>
        <w:jc w:val="both"/>
        <w:rPr>
          <w:rFonts w:ascii="Palatino Linotype" w:eastAsia="Palatino Linotype" w:hAnsi="Palatino Linotype" w:cs="Palatino Linotype"/>
        </w:rPr>
      </w:pPr>
      <w:r w:rsidRPr="008E4418">
        <w:rPr>
          <w:rFonts w:ascii="Palatino Linotype" w:eastAsia="Palatino Linotype" w:hAnsi="Palatino Linotype" w:cs="Palatino Linotype"/>
        </w:rPr>
        <w:t>En caso de ser servidora o servidor público municipal y a fin de obtener la constancia de liquidación de participaciones con validez oficial, una vez generada la constancia sin validez oficial:</w:t>
      </w:r>
    </w:p>
    <w:p w14:paraId="79D6F0DF" w14:textId="77777777" w:rsidR="00905E09" w:rsidRPr="008E4418" w:rsidRDefault="00CE232F">
      <w:pPr>
        <w:spacing w:before="240" w:after="240" w:line="276" w:lineRule="auto"/>
        <w:ind w:left="284"/>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6. Deberá presionar el botón "COMPROBANTE" situado en la parte inferior de la pantalla, deberá Introducir el "Usuario" y "Contraseña". </w:t>
      </w:r>
    </w:p>
    <w:p w14:paraId="45E3960B" w14:textId="77777777" w:rsidR="00905E09" w:rsidRPr="008E4418" w:rsidRDefault="00CE232F">
      <w:pPr>
        <w:spacing w:before="240" w:after="240" w:line="276" w:lineRule="auto"/>
        <w:ind w:left="284"/>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7. Seleccionar la opción “Constancias de liquidación oficiales”. </w:t>
      </w:r>
    </w:p>
    <w:p w14:paraId="470007BA" w14:textId="77777777" w:rsidR="00905E09" w:rsidRPr="008E4418" w:rsidRDefault="00CE232F">
      <w:pPr>
        <w:spacing w:before="240" w:after="240" w:line="276" w:lineRule="auto"/>
        <w:ind w:left="284"/>
        <w:jc w:val="both"/>
        <w:rPr>
          <w:rFonts w:ascii="Palatino Linotype" w:eastAsia="Palatino Linotype" w:hAnsi="Palatino Linotype" w:cs="Palatino Linotype"/>
        </w:rPr>
      </w:pPr>
      <w:r w:rsidRPr="008E4418">
        <w:rPr>
          <w:rFonts w:ascii="Palatino Linotype" w:eastAsia="Palatino Linotype" w:hAnsi="Palatino Linotype" w:cs="Palatino Linotype"/>
        </w:rPr>
        <w:t>8. Por último, seleccionar el mes deseado y el sistema generará la constancia con sello digital.</w:t>
      </w:r>
    </w:p>
    <w:p w14:paraId="67353B57"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Cabe resaltar que al ejecutar los pasos establecidos en los numerales del 1 al 5 este Organismo Garante logró obtener la siguiente constancia de liquidación de participaciones en la que se puede observar el monto por el concepto de participaciones en el que se aprecia el monto por Impuesto Sobre la Renta, tal como se ilustra en la siguiente imagen: </w:t>
      </w:r>
    </w:p>
    <w:p w14:paraId="00327178" w14:textId="77777777" w:rsidR="00905E09" w:rsidRPr="008E4418" w:rsidRDefault="00905E09">
      <w:pPr>
        <w:spacing w:before="240" w:after="240" w:line="360" w:lineRule="auto"/>
        <w:jc w:val="both"/>
        <w:rPr>
          <w:rFonts w:ascii="Palatino Linotype" w:eastAsia="Palatino Linotype" w:hAnsi="Palatino Linotype" w:cs="Palatino Linotype"/>
        </w:rPr>
      </w:pPr>
    </w:p>
    <w:p w14:paraId="2A37BB8C" w14:textId="77777777" w:rsidR="00905E09" w:rsidRPr="008E4418" w:rsidRDefault="00905E09">
      <w:pPr>
        <w:spacing w:before="240" w:after="240" w:line="360" w:lineRule="auto"/>
        <w:jc w:val="both"/>
        <w:rPr>
          <w:rFonts w:ascii="Palatino Linotype" w:eastAsia="Palatino Linotype" w:hAnsi="Palatino Linotype" w:cs="Palatino Linotype"/>
        </w:rPr>
      </w:pPr>
    </w:p>
    <w:p w14:paraId="3722B11E" w14:textId="77777777" w:rsidR="00905E09" w:rsidRPr="008E4418" w:rsidRDefault="00CE232F">
      <w:pPr>
        <w:spacing w:before="240" w:after="240" w:line="360" w:lineRule="auto"/>
        <w:jc w:val="center"/>
        <w:rPr>
          <w:rFonts w:ascii="Palatino Linotype" w:eastAsia="Palatino Linotype" w:hAnsi="Palatino Linotype" w:cs="Palatino Linotype"/>
        </w:rPr>
      </w:pPr>
      <w:r w:rsidRPr="008E4418">
        <w:rPr>
          <w:rFonts w:ascii="Palatino Linotype" w:eastAsia="Palatino Linotype" w:hAnsi="Palatino Linotype" w:cs="Palatino Linotype"/>
          <w:noProof/>
        </w:rPr>
        <w:lastRenderedPageBreak/>
        <w:drawing>
          <wp:inline distT="0" distB="0" distL="0" distR="0" wp14:anchorId="0312A5B5" wp14:editId="7D6BD41C">
            <wp:extent cx="5039428" cy="7459116"/>
            <wp:effectExtent l="0" t="0" r="0" b="0"/>
            <wp:docPr id="21401319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3"/>
                    <a:srcRect/>
                    <a:stretch>
                      <a:fillRect/>
                    </a:stretch>
                  </pic:blipFill>
                  <pic:spPr>
                    <a:xfrm>
                      <a:off x="0" y="0"/>
                      <a:ext cx="5039428" cy="7459116"/>
                    </a:xfrm>
                    <a:prstGeom prst="rect">
                      <a:avLst/>
                    </a:prstGeom>
                    <a:ln/>
                  </pic:spPr>
                </pic:pic>
              </a:graphicData>
            </a:graphic>
          </wp:inline>
        </w:drawing>
      </w:r>
    </w:p>
    <w:p w14:paraId="48F1AA28" w14:textId="77777777" w:rsidR="00905E09" w:rsidRPr="008E4418" w:rsidRDefault="00CE232F">
      <w:pPr>
        <w:spacing w:before="240" w:after="240" w:line="360" w:lineRule="auto"/>
        <w:ind w:right="49"/>
        <w:jc w:val="both"/>
        <w:rPr>
          <w:rFonts w:ascii="Palatino Linotype" w:eastAsia="Palatino Linotype" w:hAnsi="Palatino Linotype" w:cs="Palatino Linotype"/>
        </w:rPr>
      </w:pPr>
      <w:r w:rsidRPr="008E4418">
        <w:rPr>
          <w:rFonts w:ascii="Palatino Linotype" w:eastAsia="Palatino Linotype" w:hAnsi="Palatino Linotype" w:cs="Palatino Linotype"/>
        </w:rPr>
        <w:lastRenderedPageBreak/>
        <w:t xml:space="preserve">Con base en lo previo, se colige que el </w:t>
      </w:r>
      <w:r w:rsidRPr="008E4418">
        <w:rPr>
          <w:rFonts w:ascii="Palatino Linotype" w:eastAsia="Palatino Linotype" w:hAnsi="Palatino Linotype" w:cs="Palatino Linotype"/>
          <w:b/>
        </w:rPr>
        <w:t>Sujeto Obligado</w:t>
      </w:r>
      <w:r w:rsidRPr="008E4418">
        <w:rPr>
          <w:rFonts w:ascii="Palatino Linotype" w:eastAsia="Palatino Linotype" w:hAnsi="Palatino Linotype" w:cs="Palatino Linotype"/>
        </w:rPr>
        <w:t xml:space="preserve"> cuenta con facultades para generar, poseer y/o administrar la información solicitada en los requerimientos en estudio, en razón de que las participaciones fueron recibidas y formaron parte de la hacienda pública municipal, en consecuencia es procedente ordenar la búsqueda exhaustiva y razonable en las áreas que resulten competentes, y se proceda a la entrega del reporte emitido por la Secretaría de Finanzas del Estado de México, en el que se especifique el monto del ISR que se obtuvo en devolución del uno de enero de dos mil quince al treinta de agosto de dos mil veinticuatro, así como el reporte emitido por el software de contabilidad gubernamental en el que se pueda apreciar el control del saldo pendiente de recuperar del ISR participable, al treinta de agosto de dos mil veinticuatro, preferentemente en formato PDF, o en el que se hubiera generado.</w:t>
      </w:r>
    </w:p>
    <w:p w14:paraId="7A19ADB3"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Asimismo, se precisa que para el caso de no localizar información respecto del reporte emitido por el software de contabilidad gubernamental en el que se pueda apreciar el control del saldo pendiente de recuperar del ISR participable, bastará con que así se haga del conocimiento de la persona solicitante para tener por colmado el requerimiento de información, en términos de lo dispuesto por el artículo 19, párrafo segundo de la Ley de Transparencia y Acceso a la Información Pública del Estado de México y Municipios, referido con antelación.</w:t>
      </w:r>
    </w:p>
    <w:p w14:paraId="46299ED1" w14:textId="77777777" w:rsidR="00905E09" w:rsidRPr="008E4418" w:rsidRDefault="00CE232F">
      <w:pPr>
        <w:spacing w:before="120" w:after="120" w:line="360" w:lineRule="auto"/>
        <w:ind w:right="49"/>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Finalmente, respecto a la modalidad de entrega, es imprescindible mencionar que el acceso a la información debe darse en la medida de entrega y de </w:t>
      </w:r>
      <w:proofErr w:type="spellStart"/>
      <w:r w:rsidRPr="008E4418">
        <w:rPr>
          <w:rFonts w:ascii="Palatino Linotype" w:eastAsia="Palatino Linotype" w:hAnsi="Palatino Linotype" w:cs="Palatino Linotype"/>
        </w:rPr>
        <w:t>envio</w:t>
      </w:r>
      <w:proofErr w:type="spellEnd"/>
      <w:r w:rsidRPr="008E4418">
        <w:rPr>
          <w:rFonts w:ascii="Palatino Linotype" w:eastAsia="Palatino Linotype" w:hAnsi="Palatino Linotype" w:cs="Palatino Linotype"/>
        </w:rPr>
        <w:t xml:space="preserve"> elegidos por las personas solicitantes, según dispone el artículo 164 de la Ley de Transparencia y Acceso a la Información Pública del Estado de México y Municipios,  que es del tenor literal siguiente:</w:t>
      </w:r>
    </w:p>
    <w:p w14:paraId="45BE9C41"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lastRenderedPageBreak/>
        <w:t>”</w:t>
      </w:r>
      <w:r w:rsidRPr="008E4418">
        <w:rPr>
          <w:rFonts w:ascii="Palatino Linotype" w:eastAsia="Palatino Linotype" w:hAnsi="Palatino Linotype" w:cs="Palatino Linotype"/>
          <w:b/>
          <w:i/>
          <w:sz w:val="22"/>
          <w:szCs w:val="22"/>
        </w:rPr>
        <w:t>Artículo 164</w:t>
      </w:r>
      <w:r w:rsidRPr="008E4418">
        <w:rPr>
          <w:rFonts w:ascii="Palatino Linotype" w:eastAsia="Palatino Linotype" w:hAnsi="Palatino Linotype" w:cs="Palatino Linotype"/>
          <w:i/>
          <w:sz w:val="22"/>
          <w:szCs w:val="22"/>
        </w:rPr>
        <w:t>. El acceso se dará en la modalidad de entrega y, en su caso, de envío elegidos por el solicitante. Cuando la información no pueda entregarse o enviarse en la modalidad solicitada, el sujeto obligado deberá ofrecer otra u otras modalidades de entrega.</w:t>
      </w:r>
    </w:p>
    <w:p w14:paraId="3C7D4BC5" w14:textId="77777777" w:rsidR="00905E09" w:rsidRPr="008E4418" w:rsidRDefault="00CE232F">
      <w:pPr>
        <w:spacing w:before="120" w:after="120"/>
        <w:ind w:left="851" w:right="902"/>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En cualquier caso, se deberá fundar y motivar la necesidad de ofrecer otras modalidades.”</w:t>
      </w:r>
    </w:p>
    <w:p w14:paraId="2DD09C75"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En el caso concreto, dado que la persona solicitante señaló como modalidad de entrega, cualquier otro medio incluido los electrónicos y correo electrónico, tal y como se precisó en el antecedente 1 de la presente resolución, y en los motivos de inconformidad alegados en el recurso de revisión que se resuelve, insistió en la entrega a través de correo electrónico, se estima que la información debe entregarse a través del SAIMEX y correo electrónico.</w:t>
      </w:r>
    </w:p>
    <w:p w14:paraId="370F10D1" w14:textId="77777777" w:rsidR="00905E09" w:rsidRPr="008E4418" w:rsidRDefault="00CE232F">
      <w:pPr>
        <w:spacing w:before="240" w:after="240" w:line="360" w:lineRule="auto"/>
        <w:ind w:right="51"/>
        <w:jc w:val="both"/>
        <w:rPr>
          <w:rFonts w:ascii="Palatino Linotype" w:eastAsia="Palatino Linotype" w:hAnsi="Palatino Linotype" w:cs="Palatino Linotype"/>
        </w:rPr>
      </w:pPr>
      <w:bookmarkStart w:id="8" w:name="_heading=h.lnxbz9" w:colFirst="0" w:colLast="0"/>
      <w:bookmarkEnd w:id="8"/>
      <w:r w:rsidRPr="008E4418">
        <w:rPr>
          <w:rFonts w:ascii="Palatino Linotype" w:eastAsia="Palatino Linotype" w:hAnsi="Palatino Linotype" w:cs="Palatino Linotype"/>
        </w:rPr>
        <w:t xml:space="preserve">De lo hasta aquí expuesto, se concluye que los motivos de inconformidad de la parte </w:t>
      </w:r>
      <w:r w:rsidRPr="008E4418">
        <w:rPr>
          <w:rFonts w:ascii="Palatino Linotype" w:eastAsia="Palatino Linotype" w:hAnsi="Palatino Linotype" w:cs="Palatino Linotype"/>
          <w:b/>
        </w:rPr>
        <w:t xml:space="preserve">Recurrente </w:t>
      </w:r>
      <w:r w:rsidRPr="008E4418">
        <w:rPr>
          <w:rFonts w:ascii="Palatino Linotype" w:eastAsia="Palatino Linotype" w:hAnsi="Palatino Linotype" w:cs="Palatino Linotype"/>
        </w:rPr>
        <w:t xml:space="preserve">devienen fundados, siendo procedente </w:t>
      </w:r>
      <w:r w:rsidRPr="008E4418">
        <w:rPr>
          <w:rFonts w:ascii="Palatino Linotype" w:eastAsia="Palatino Linotype" w:hAnsi="Palatino Linotype" w:cs="Palatino Linotype"/>
          <w:i/>
        </w:rPr>
        <w:t xml:space="preserve">Ordenar </w:t>
      </w:r>
      <w:r w:rsidRPr="008E4418">
        <w:rPr>
          <w:rFonts w:ascii="Palatino Linotype" w:eastAsia="Palatino Linotype" w:hAnsi="Palatino Linotype" w:cs="Palatino Linotype"/>
        </w:rPr>
        <w:t xml:space="preserve">al </w:t>
      </w:r>
      <w:r w:rsidRPr="008E4418">
        <w:rPr>
          <w:rFonts w:ascii="Palatino Linotype" w:eastAsia="Palatino Linotype" w:hAnsi="Palatino Linotype" w:cs="Palatino Linotype"/>
          <w:b/>
        </w:rPr>
        <w:t xml:space="preserve">Sujeto Obligado </w:t>
      </w:r>
      <w:r w:rsidRPr="008E4418">
        <w:rPr>
          <w:rFonts w:ascii="Palatino Linotype" w:eastAsia="Palatino Linotype" w:hAnsi="Palatino Linotype" w:cs="Palatino Linotype"/>
        </w:rPr>
        <w:t>la entrega de la información</w:t>
      </w:r>
      <w:r w:rsidRPr="008E4418">
        <w:rPr>
          <w:rFonts w:ascii="Palatino Linotype" w:eastAsia="Palatino Linotype" w:hAnsi="Palatino Linotype" w:cs="Palatino Linotype"/>
          <w:b/>
        </w:rPr>
        <w:t xml:space="preserve"> </w:t>
      </w:r>
      <w:r w:rsidRPr="008E4418">
        <w:rPr>
          <w:rFonts w:ascii="Palatino Linotype" w:eastAsia="Palatino Linotype" w:hAnsi="Palatino Linotype" w:cs="Palatino Linotype"/>
        </w:rPr>
        <w:t>en términos del artículo 186 fracción IV de la Ley de Transparencia y Acceso a la Información Pública del Estado de México y Municipios.</w:t>
      </w:r>
    </w:p>
    <w:p w14:paraId="5804F35F"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b/>
        </w:rPr>
        <w:t>Quinto. Versión Pública.</w:t>
      </w:r>
      <w:r w:rsidRPr="008E4418">
        <w:rPr>
          <w:rFonts w:ascii="Palatino Linotype" w:eastAsia="Palatino Linotype" w:hAnsi="Palatino Linotype" w:cs="Palatino Linotype"/>
          <w:sz w:val="28"/>
          <w:szCs w:val="28"/>
        </w:rPr>
        <w:t xml:space="preserve"> </w:t>
      </w:r>
      <w:r w:rsidRPr="008E4418">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8E4418">
        <w:rPr>
          <w:rFonts w:ascii="Palatino Linotype" w:eastAsia="Palatino Linotype" w:hAnsi="Palatino Linotype" w:cs="Palatino Linotype"/>
          <w:b/>
        </w:rPr>
        <w:t>Sujeto Obligado</w:t>
      </w:r>
      <w:r w:rsidRPr="008E4418">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sidRPr="008E4418">
        <w:rPr>
          <w:rFonts w:ascii="Palatino Linotype" w:eastAsia="Palatino Linotype" w:hAnsi="Palatino Linotype" w:cs="Palatino Linotype"/>
          <w:b/>
        </w:rPr>
        <w:t>Recurrente,</w:t>
      </w:r>
      <w:r w:rsidRPr="008E4418">
        <w:rPr>
          <w:rFonts w:ascii="Palatino Linotype" w:eastAsia="Palatino Linotype" w:hAnsi="Palatino Linotype" w:cs="Palatino Linotype"/>
        </w:rPr>
        <w:t xml:space="preserve"> sin menoscabo al derecho a la protección de los datos personales de terceros, que les identifiquen o les hagan identificables.</w:t>
      </w:r>
    </w:p>
    <w:p w14:paraId="50F96E5C"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lastRenderedPageBreak/>
        <w:t>Lo anterior de conformidad con lo que señalan los artículos 3 fracciones IX, XX, XXI y XLV, 91, 132, 137 y 143, fracción I de la Ley de Transparencia y Acceso a la Información Pública del Estado de México y Municipios que establecen:</w:t>
      </w:r>
    </w:p>
    <w:p w14:paraId="0C0B9A04"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r w:rsidRPr="008E4418">
        <w:rPr>
          <w:rFonts w:ascii="Palatino Linotype" w:eastAsia="Palatino Linotype" w:hAnsi="Palatino Linotype" w:cs="Palatino Linotype"/>
          <w:b/>
          <w:i/>
          <w:sz w:val="22"/>
          <w:szCs w:val="22"/>
        </w:rPr>
        <w:t>Artículo 3</w:t>
      </w:r>
      <w:r w:rsidRPr="008E4418">
        <w:rPr>
          <w:rFonts w:ascii="Palatino Linotype" w:eastAsia="Palatino Linotype" w:hAnsi="Palatino Linotype" w:cs="Palatino Linotype"/>
          <w:i/>
          <w:sz w:val="22"/>
          <w:szCs w:val="22"/>
        </w:rPr>
        <w:t>. Para los efectos de la presente Ley se entenderá por:</w:t>
      </w:r>
    </w:p>
    <w:p w14:paraId="34202FB8"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p>
    <w:p w14:paraId="51D37C63"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IX. Datos personales</w:t>
      </w:r>
      <w:r w:rsidRPr="008E4418">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957B3F0"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XX. Información clasificada</w:t>
      </w:r>
      <w:r w:rsidRPr="008E4418">
        <w:rPr>
          <w:rFonts w:ascii="Palatino Linotype" w:eastAsia="Palatino Linotype" w:hAnsi="Palatino Linotype" w:cs="Palatino Linotype"/>
          <w:i/>
          <w:sz w:val="22"/>
          <w:szCs w:val="22"/>
        </w:rPr>
        <w:t>: Aquella considerada por la presente Ley como reservada o confidencial;</w:t>
      </w:r>
    </w:p>
    <w:p w14:paraId="749ECD16"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 xml:space="preserve">XXI. Información confidencial: </w:t>
      </w:r>
      <w:r w:rsidRPr="008E4418">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B2EA91A"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XLV. Versión pública:</w:t>
      </w:r>
      <w:r w:rsidRPr="008E4418">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1819F156"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p>
    <w:p w14:paraId="364C2E22"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Artículo 91.</w:t>
      </w:r>
      <w:r w:rsidRPr="008E4418">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2392A98B"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Artículo 132.</w:t>
      </w:r>
      <w:r w:rsidRPr="008E4418">
        <w:rPr>
          <w:rFonts w:ascii="Palatino Linotype" w:eastAsia="Palatino Linotype" w:hAnsi="Palatino Linotype" w:cs="Palatino Linotype"/>
          <w:i/>
          <w:sz w:val="22"/>
          <w:szCs w:val="22"/>
        </w:rPr>
        <w:t xml:space="preserve"> La clasificación de la información se llevará a cabo en el momento en que:</w:t>
      </w:r>
    </w:p>
    <w:p w14:paraId="4C7EEF25"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I</w:t>
      </w:r>
      <w:r w:rsidRPr="008E4418">
        <w:rPr>
          <w:rFonts w:ascii="Palatino Linotype" w:eastAsia="Palatino Linotype" w:hAnsi="Palatino Linotype" w:cs="Palatino Linotype"/>
          <w:i/>
          <w:sz w:val="22"/>
          <w:szCs w:val="22"/>
        </w:rPr>
        <w:t>. Se reciba una solicitud de acceso a la información;</w:t>
      </w:r>
    </w:p>
    <w:p w14:paraId="3CA93A61"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II.</w:t>
      </w:r>
      <w:r w:rsidRPr="008E4418">
        <w:rPr>
          <w:rFonts w:ascii="Palatino Linotype" w:eastAsia="Palatino Linotype" w:hAnsi="Palatino Linotype" w:cs="Palatino Linotype"/>
          <w:i/>
          <w:sz w:val="22"/>
          <w:szCs w:val="22"/>
        </w:rPr>
        <w:t xml:space="preserve"> Se determine mediante resolución de autoridad competente; o</w:t>
      </w:r>
    </w:p>
    <w:p w14:paraId="43317035"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III.</w:t>
      </w:r>
      <w:r w:rsidRPr="008E4418">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5AAA7A58"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p>
    <w:p w14:paraId="59245AAF"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Artículo 137.</w:t>
      </w:r>
      <w:r w:rsidRPr="008E4418">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2B7C7CF" w14:textId="77777777" w:rsidR="00905E09" w:rsidRPr="008E4418" w:rsidRDefault="00CE232F">
      <w:pPr>
        <w:spacing w:before="120" w:after="120"/>
        <w:ind w:left="851" w:right="902"/>
        <w:jc w:val="both"/>
        <w:rPr>
          <w:rFonts w:ascii="Palatino Linotype" w:eastAsia="Palatino Linotype" w:hAnsi="Palatino Linotype" w:cs="Palatino Linotype"/>
          <w:b/>
          <w:i/>
          <w:sz w:val="22"/>
          <w:szCs w:val="22"/>
        </w:rPr>
      </w:pPr>
      <w:r w:rsidRPr="008E4418">
        <w:rPr>
          <w:rFonts w:ascii="Palatino Linotype" w:eastAsia="Palatino Linotype" w:hAnsi="Palatino Linotype" w:cs="Palatino Linotype"/>
          <w:b/>
          <w:i/>
          <w:sz w:val="22"/>
          <w:szCs w:val="22"/>
        </w:rPr>
        <w:lastRenderedPageBreak/>
        <w:t>…</w:t>
      </w:r>
    </w:p>
    <w:p w14:paraId="3F79410B"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Artículo 143</w:t>
      </w:r>
      <w:r w:rsidRPr="008E4418">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9C10B9A"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I.</w:t>
      </w:r>
      <w:r w:rsidRPr="008E4418">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DE6ED28"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F250C0B"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RPr="008E4418">
        <w:rPr>
          <w:rFonts w:ascii="Palatino Linotype" w:eastAsia="Palatino Linotype" w:hAnsi="Palatino Linotype" w:cs="Palatino Linotype"/>
          <w:b/>
        </w:rPr>
        <w:t>Sujeto Obligado</w:t>
      </w:r>
      <w:r w:rsidRPr="008E4418">
        <w:rPr>
          <w:rFonts w:ascii="Palatino Linotype" w:eastAsia="Palatino Linotype" w:hAnsi="Palatino Linotype" w:cs="Palatino Linotype"/>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B4BED38" w14:textId="77777777" w:rsidR="00905E09" w:rsidRPr="008E4418" w:rsidRDefault="00CE232F">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8E4418">
        <w:rPr>
          <w:rFonts w:ascii="Palatino Linotype" w:eastAsia="Palatino Linotype" w:hAnsi="Palatino Linotype" w:cs="Palatino Linotype"/>
        </w:rPr>
        <w:lastRenderedPageBreak/>
        <w:t xml:space="preserve">Respecto a las formalidades que deberá llevar el acuerdo de clasificación que deberá emitir el </w:t>
      </w:r>
      <w:r w:rsidRPr="008E4418">
        <w:rPr>
          <w:rFonts w:ascii="Palatino Linotype" w:eastAsia="Palatino Linotype" w:hAnsi="Palatino Linotype" w:cs="Palatino Linotype"/>
          <w:b/>
        </w:rPr>
        <w:t>Sujeto Obligado</w:t>
      </w:r>
      <w:r w:rsidRPr="008E4418">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0AD8546A"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 xml:space="preserve"> “Quincuagésimo. </w:t>
      </w:r>
      <w:r w:rsidRPr="008E4418">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82B1C88" w14:textId="77777777" w:rsidR="00905E09" w:rsidRPr="008E4418" w:rsidRDefault="00CE232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 xml:space="preserve">Quincuagésimo primero. </w:t>
      </w:r>
      <w:r w:rsidRPr="008E4418">
        <w:rPr>
          <w:rFonts w:ascii="Palatino Linotype" w:eastAsia="Palatino Linotype" w:hAnsi="Palatino Linotype" w:cs="Palatino Linotype"/>
          <w:i/>
          <w:sz w:val="22"/>
          <w:szCs w:val="22"/>
        </w:rPr>
        <w:t xml:space="preserve">Toda acta del Comité de Transparencia deberá contener: </w:t>
      </w:r>
    </w:p>
    <w:p w14:paraId="18F265D3" w14:textId="77777777" w:rsidR="00905E09" w:rsidRPr="008E4418" w:rsidRDefault="00CE232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I.</w:t>
      </w:r>
      <w:r w:rsidRPr="008E4418">
        <w:rPr>
          <w:rFonts w:ascii="Palatino Linotype" w:eastAsia="Palatino Linotype" w:hAnsi="Palatino Linotype" w:cs="Palatino Linotype"/>
          <w:i/>
          <w:sz w:val="22"/>
          <w:szCs w:val="22"/>
        </w:rPr>
        <w:t xml:space="preserve"> El número de sesión y fecha; </w:t>
      </w:r>
    </w:p>
    <w:p w14:paraId="26391005" w14:textId="77777777" w:rsidR="00905E09" w:rsidRPr="008E4418" w:rsidRDefault="00CE232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II</w:t>
      </w:r>
      <w:r w:rsidRPr="008E4418">
        <w:rPr>
          <w:rFonts w:ascii="Palatino Linotype" w:eastAsia="Palatino Linotype" w:hAnsi="Palatino Linotype" w:cs="Palatino Linotype"/>
          <w:i/>
          <w:sz w:val="22"/>
          <w:szCs w:val="22"/>
        </w:rPr>
        <w:t xml:space="preserve">. El nombre del área que solicitó la clasificación de información; </w:t>
      </w:r>
    </w:p>
    <w:p w14:paraId="7628446A" w14:textId="77777777" w:rsidR="00905E09" w:rsidRPr="008E4418" w:rsidRDefault="00CE232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III</w:t>
      </w:r>
      <w:r w:rsidRPr="008E4418">
        <w:rPr>
          <w:rFonts w:ascii="Palatino Linotype" w:eastAsia="Palatino Linotype" w:hAnsi="Palatino Linotype" w:cs="Palatino Linotype"/>
          <w:i/>
          <w:sz w:val="22"/>
          <w:szCs w:val="22"/>
        </w:rPr>
        <w:t xml:space="preserve">. La fundamentación legal y motivación correspondiente; </w:t>
      </w:r>
    </w:p>
    <w:p w14:paraId="01D583FB" w14:textId="77777777" w:rsidR="00905E09" w:rsidRPr="008E4418" w:rsidRDefault="00CE232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IV</w:t>
      </w:r>
      <w:r w:rsidRPr="008E4418">
        <w:rPr>
          <w:rFonts w:ascii="Palatino Linotype" w:eastAsia="Palatino Linotype" w:hAnsi="Palatino Linotype" w:cs="Palatino Linotype"/>
          <w:i/>
          <w:sz w:val="22"/>
          <w:szCs w:val="22"/>
        </w:rPr>
        <w:t xml:space="preserve">. La resolución o resoluciones aprobadas; y </w:t>
      </w:r>
    </w:p>
    <w:p w14:paraId="7734F631" w14:textId="77777777" w:rsidR="00905E09" w:rsidRPr="008E4418" w:rsidRDefault="00CE232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V</w:t>
      </w:r>
      <w:r w:rsidRPr="008E4418">
        <w:rPr>
          <w:rFonts w:ascii="Palatino Linotype" w:eastAsia="Palatino Linotype" w:hAnsi="Palatino Linotype" w:cs="Palatino Linotype"/>
          <w:i/>
          <w:sz w:val="22"/>
          <w:szCs w:val="22"/>
        </w:rPr>
        <w:t xml:space="preserve">. La rúbrica o firma digital de cada integrante del Comité de Transparencia. </w:t>
      </w:r>
    </w:p>
    <w:p w14:paraId="45D5B6FB" w14:textId="77777777" w:rsidR="00905E09" w:rsidRPr="008E4418" w:rsidRDefault="00CE232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32D98B6F" w14:textId="77777777" w:rsidR="00905E09" w:rsidRPr="008E4418" w:rsidRDefault="00CE232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I.</w:t>
      </w:r>
      <w:r w:rsidRPr="008E4418">
        <w:rPr>
          <w:rFonts w:ascii="Palatino Linotype" w:eastAsia="Palatino Linotype" w:hAnsi="Palatino Linotype" w:cs="Palatino Linotype"/>
          <w:i/>
          <w:sz w:val="22"/>
          <w:szCs w:val="22"/>
        </w:rPr>
        <w:t xml:space="preserve"> Los motivos y razonamientos que sustenten la confirmación o modificación de la prueba de daño;</w:t>
      </w:r>
    </w:p>
    <w:p w14:paraId="5EC6E967" w14:textId="77777777" w:rsidR="00905E09" w:rsidRPr="008E4418" w:rsidRDefault="00CE232F">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8E4418">
        <w:rPr>
          <w:rFonts w:ascii="Palatino Linotype" w:eastAsia="Palatino Linotype" w:hAnsi="Palatino Linotype" w:cs="Palatino Linotype"/>
          <w:b/>
          <w:i/>
          <w:sz w:val="22"/>
          <w:szCs w:val="22"/>
        </w:rPr>
        <w:t>II</w:t>
      </w:r>
      <w:r w:rsidRPr="008E4418">
        <w:rPr>
          <w:rFonts w:ascii="Palatino Linotype" w:eastAsia="Palatino Linotype" w:hAnsi="Palatino Linotype" w:cs="Palatino Linotype"/>
          <w:i/>
          <w:sz w:val="22"/>
          <w:szCs w:val="22"/>
        </w:rPr>
        <w:t>. Descripción de las partes o secciones reservadas, en caso de clasificación parcial</w:t>
      </w:r>
      <w:r w:rsidRPr="008E4418">
        <w:rPr>
          <w:rFonts w:ascii="Palatino Linotype" w:eastAsia="Palatino Linotype" w:hAnsi="Palatino Linotype" w:cs="Palatino Linotype"/>
          <w:b/>
          <w:i/>
          <w:sz w:val="22"/>
          <w:szCs w:val="22"/>
        </w:rPr>
        <w:t xml:space="preserve">; </w:t>
      </w:r>
    </w:p>
    <w:p w14:paraId="0FF50A95" w14:textId="77777777" w:rsidR="00905E09" w:rsidRPr="008E4418" w:rsidRDefault="00CE232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III.</w:t>
      </w:r>
      <w:r w:rsidRPr="008E4418">
        <w:rPr>
          <w:rFonts w:ascii="Palatino Linotype" w:eastAsia="Palatino Linotype" w:hAnsi="Palatino Linotype" w:cs="Palatino Linotype"/>
          <w:i/>
          <w:sz w:val="22"/>
          <w:szCs w:val="22"/>
        </w:rPr>
        <w:t xml:space="preserve"> El periodo por el que mantendrá su clasificación y fecha de expiración; y </w:t>
      </w:r>
    </w:p>
    <w:p w14:paraId="46A3BAC3" w14:textId="77777777" w:rsidR="00905E09" w:rsidRPr="008E4418" w:rsidRDefault="00CE232F">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IV.</w:t>
      </w:r>
      <w:r w:rsidRPr="008E4418">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1240B35E" w14:textId="77777777" w:rsidR="00905E09" w:rsidRPr="008E4418" w:rsidRDefault="00CE232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572DDF89" w14:textId="77777777" w:rsidR="00905E09" w:rsidRPr="008E4418" w:rsidRDefault="00CE232F">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5E56210"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lastRenderedPageBreak/>
        <w:t>Asimismo, para la elaboración de las versiones públicas se deberán observar las formalidades establecidas en los Lineamientos Quincuagésimo segundo, Quincuagésimo cuarto, Quincuagésimo quinto, Quincuagésimo séptimo y Quincuagésimo octavo, que establecen lo siguiente:</w:t>
      </w:r>
    </w:p>
    <w:p w14:paraId="1BEFCABE" w14:textId="77777777" w:rsidR="00905E09" w:rsidRPr="008E4418" w:rsidRDefault="00CE232F">
      <w:pPr>
        <w:spacing w:before="120" w:after="120"/>
        <w:ind w:left="851" w:right="900"/>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r w:rsidRPr="008E4418">
        <w:rPr>
          <w:rFonts w:ascii="Palatino Linotype" w:eastAsia="Palatino Linotype" w:hAnsi="Palatino Linotype" w:cs="Palatino Linotype"/>
          <w:b/>
          <w:i/>
          <w:sz w:val="22"/>
          <w:szCs w:val="22"/>
        </w:rPr>
        <w:t>Quincuagésimo segundo</w:t>
      </w:r>
      <w:r w:rsidRPr="008E4418">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941A713" w14:textId="77777777" w:rsidR="00905E09" w:rsidRPr="008E4418" w:rsidRDefault="00CE232F">
      <w:pPr>
        <w:spacing w:before="120" w:after="120"/>
        <w:ind w:left="851" w:right="900"/>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6B36BC1" w14:textId="77777777" w:rsidR="00905E09" w:rsidRPr="008E4418" w:rsidRDefault="00CE232F">
      <w:pPr>
        <w:spacing w:before="120" w:after="120"/>
        <w:ind w:left="1134" w:right="900"/>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I.</w:t>
      </w:r>
      <w:r w:rsidRPr="008E4418">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6C399B82" w14:textId="77777777" w:rsidR="00905E09" w:rsidRPr="008E4418" w:rsidRDefault="00CE232F">
      <w:pPr>
        <w:spacing w:before="120" w:after="120"/>
        <w:ind w:left="1134" w:right="900"/>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II.</w:t>
      </w:r>
      <w:r w:rsidRPr="008E4418">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790FC69B" w14:textId="77777777" w:rsidR="00905E09" w:rsidRPr="008E4418" w:rsidRDefault="00CE232F">
      <w:pPr>
        <w:spacing w:before="120" w:after="120"/>
        <w:ind w:left="1134" w:right="900"/>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III.</w:t>
      </w:r>
      <w:r w:rsidRPr="008E4418">
        <w:rPr>
          <w:rFonts w:ascii="Palatino Linotype" w:eastAsia="Palatino Linotype" w:hAnsi="Palatino Linotype" w:cs="Palatino Linotype"/>
          <w:i/>
          <w:sz w:val="22"/>
          <w:szCs w:val="22"/>
        </w:rPr>
        <w:t xml:space="preserve"> Señalar las personas o instancias autorizadas a acceder a la información clasificada.</w:t>
      </w:r>
    </w:p>
    <w:p w14:paraId="6D43163A" w14:textId="77777777" w:rsidR="00905E09" w:rsidRPr="008E4418" w:rsidRDefault="00CE232F">
      <w:pPr>
        <w:spacing w:before="120" w:after="120"/>
        <w:ind w:left="851" w:right="900"/>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41B89AE4" w14:textId="77777777" w:rsidR="00905E09" w:rsidRPr="008E4418" w:rsidRDefault="00CE232F">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w:t>
      </w:r>
    </w:p>
    <w:p w14:paraId="621B055A" w14:textId="77777777" w:rsidR="00905E09" w:rsidRPr="008E4418" w:rsidRDefault="00CE232F">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8E4418">
        <w:rPr>
          <w:rFonts w:ascii="Palatino Linotype" w:eastAsia="Palatino Linotype" w:hAnsi="Palatino Linotype" w:cs="Palatino Linotype"/>
          <w:b/>
          <w:i/>
          <w:sz w:val="22"/>
          <w:szCs w:val="22"/>
        </w:rPr>
        <w:t xml:space="preserve">Quincuagésimo cuarto. </w:t>
      </w:r>
      <w:r w:rsidRPr="008E4418">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8E4418">
        <w:rPr>
          <w:rFonts w:ascii="Palatino Linotype" w:eastAsia="Palatino Linotype" w:hAnsi="Palatino Linotype" w:cs="Palatino Linotype"/>
          <w:b/>
          <w:i/>
          <w:sz w:val="22"/>
          <w:szCs w:val="22"/>
        </w:rPr>
        <w:t xml:space="preserve"> </w:t>
      </w:r>
    </w:p>
    <w:p w14:paraId="41A93672"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 xml:space="preserve">Quincuagésimo quinto. </w:t>
      </w:r>
      <w:r w:rsidRPr="008E4418">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8E4418">
        <w:rPr>
          <w:rFonts w:ascii="Palatino Linotype" w:eastAsia="Palatino Linotype" w:hAnsi="Palatino Linotype" w:cs="Palatino Linotype"/>
          <w:i/>
          <w:sz w:val="22"/>
          <w:szCs w:val="22"/>
        </w:rPr>
        <w:t>testado</w:t>
      </w:r>
      <w:proofErr w:type="spellEnd"/>
      <w:r w:rsidRPr="008E4418">
        <w:rPr>
          <w:rFonts w:ascii="Palatino Linotype" w:eastAsia="Palatino Linotype" w:hAnsi="Palatino Linotype" w:cs="Palatino Linotype"/>
          <w:i/>
          <w:sz w:val="22"/>
          <w:szCs w:val="22"/>
        </w:rPr>
        <w:t xml:space="preserve">, que sean encargadas de la adecuada elaboración o supervisión de las versiones públicas de </w:t>
      </w:r>
      <w:r w:rsidRPr="008E4418">
        <w:rPr>
          <w:rFonts w:ascii="Palatino Linotype" w:eastAsia="Palatino Linotype" w:hAnsi="Palatino Linotype" w:cs="Palatino Linotype"/>
          <w:i/>
          <w:sz w:val="22"/>
          <w:szCs w:val="22"/>
        </w:rPr>
        <w:lastRenderedPageBreak/>
        <w:t>los documentos o expedientes, verificando que cumplan con los requisitos señalados en las Leyes Generales, los presentes Lineamientos y demás normativa aplicable antes de su confirmación por el Comité de Transparencia.</w:t>
      </w:r>
    </w:p>
    <w:p w14:paraId="139A8AB5" w14:textId="77777777" w:rsidR="00905E09" w:rsidRPr="008E4418" w:rsidRDefault="00CE232F">
      <w:pPr>
        <w:spacing w:before="120" w:after="120"/>
        <w:ind w:left="851" w:right="902"/>
        <w:jc w:val="both"/>
        <w:rPr>
          <w:rFonts w:ascii="Palatino Linotype" w:eastAsia="Palatino Linotype" w:hAnsi="Palatino Linotype" w:cs="Palatino Linotype"/>
          <w:b/>
          <w:i/>
          <w:sz w:val="22"/>
          <w:szCs w:val="22"/>
        </w:rPr>
      </w:pPr>
      <w:r w:rsidRPr="008E4418">
        <w:rPr>
          <w:rFonts w:ascii="Palatino Linotype" w:eastAsia="Palatino Linotype" w:hAnsi="Palatino Linotype" w:cs="Palatino Linotype"/>
          <w:b/>
          <w:i/>
          <w:sz w:val="22"/>
          <w:szCs w:val="22"/>
        </w:rPr>
        <w:t>...</w:t>
      </w:r>
    </w:p>
    <w:p w14:paraId="2AC80CAF"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Quincuagésimo séptimo</w:t>
      </w:r>
      <w:r w:rsidRPr="008E4418">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79B61A0"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I</w:t>
      </w:r>
      <w:r w:rsidRPr="008E4418">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7EFD1EF9"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II.</w:t>
      </w:r>
      <w:r w:rsidRPr="008E4418">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4F9A2D38" w14:textId="77777777" w:rsidR="00905E09" w:rsidRPr="008E4418" w:rsidRDefault="00CE232F">
      <w:pPr>
        <w:spacing w:before="120" w:after="120"/>
        <w:ind w:left="1134"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III</w:t>
      </w:r>
      <w:r w:rsidRPr="008E4418">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68C5936F"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7EB5FE35" w14:textId="77777777" w:rsidR="00905E09" w:rsidRPr="008E4418" w:rsidRDefault="00CE232F">
      <w:pPr>
        <w:spacing w:before="120" w:after="120"/>
        <w:ind w:left="851" w:right="902"/>
        <w:jc w:val="both"/>
        <w:rPr>
          <w:rFonts w:ascii="Palatino Linotype" w:eastAsia="Palatino Linotype" w:hAnsi="Palatino Linotype" w:cs="Palatino Linotype"/>
          <w:i/>
          <w:sz w:val="22"/>
          <w:szCs w:val="22"/>
        </w:rPr>
      </w:pPr>
      <w:r w:rsidRPr="008E4418">
        <w:rPr>
          <w:rFonts w:ascii="Palatino Linotype" w:eastAsia="Palatino Linotype" w:hAnsi="Palatino Linotype" w:cs="Palatino Linotype"/>
          <w:b/>
          <w:i/>
          <w:sz w:val="22"/>
          <w:szCs w:val="22"/>
        </w:rPr>
        <w:t>Quincuagésimo octavo</w:t>
      </w:r>
      <w:r w:rsidRPr="008E4418">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26E6453F"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t>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14:paraId="6AFB3D74" w14:textId="77777777" w:rsidR="00905E09" w:rsidRPr="008E4418" w:rsidRDefault="00CE232F">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8E4418">
        <w:rPr>
          <w:rFonts w:ascii="Palatino Linotype" w:eastAsia="Palatino Linotype" w:hAnsi="Palatino Linotype" w:cs="Palatino Linotype"/>
          <w:b/>
        </w:rPr>
        <w:t>III. R E S U E L V E</w:t>
      </w:r>
    </w:p>
    <w:p w14:paraId="4371747D" w14:textId="77777777" w:rsidR="00905E09" w:rsidRPr="008E4418" w:rsidRDefault="00CE232F">
      <w:pPr>
        <w:spacing w:before="240" w:after="240" w:line="360" w:lineRule="auto"/>
        <w:ind w:right="49"/>
        <w:jc w:val="both"/>
        <w:rPr>
          <w:rFonts w:ascii="Palatino Linotype" w:eastAsia="Palatino Linotype" w:hAnsi="Palatino Linotype" w:cs="Palatino Linotype"/>
        </w:rPr>
      </w:pPr>
      <w:bookmarkStart w:id="9" w:name="_heading=h.26in1rg" w:colFirst="0" w:colLast="0"/>
      <w:bookmarkEnd w:id="9"/>
      <w:r w:rsidRPr="008E4418">
        <w:rPr>
          <w:rFonts w:ascii="Palatino Linotype" w:eastAsia="Palatino Linotype" w:hAnsi="Palatino Linotype" w:cs="Palatino Linotype"/>
          <w:b/>
        </w:rPr>
        <w:t xml:space="preserve">Primero. </w:t>
      </w:r>
      <w:r w:rsidRPr="008E4418">
        <w:rPr>
          <w:rFonts w:ascii="Palatino Linotype" w:eastAsia="Palatino Linotype" w:hAnsi="Palatino Linotype" w:cs="Palatino Linotype"/>
        </w:rPr>
        <w:t xml:space="preserve">Resultan </w:t>
      </w:r>
      <w:r w:rsidRPr="008E4418">
        <w:rPr>
          <w:rFonts w:ascii="Palatino Linotype" w:eastAsia="Palatino Linotype" w:hAnsi="Palatino Linotype" w:cs="Palatino Linotype"/>
          <w:b/>
        </w:rPr>
        <w:t>fundados</w:t>
      </w:r>
      <w:r w:rsidRPr="008E4418">
        <w:rPr>
          <w:rFonts w:ascii="Palatino Linotype" w:eastAsia="Palatino Linotype" w:hAnsi="Palatino Linotype" w:cs="Palatino Linotype"/>
        </w:rPr>
        <w:t xml:space="preserve"> los motivos de inconformidad de la parte </w:t>
      </w:r>
      <w:r w:rsidRPr="008E4418">
        <w:rPr>
          <w:rFonts w:ascii="Palatino Linotype" w:eastAsia="Palatino Linotype" w:hAnsi="Palatino Linotype" w:cs="Palatino Linotype"/>
          <w:b/>
        </w:rPr>
        <w:t>Recurrente</w:t>
      </w:r>
      <w:r w:rsidRPr="008E4418">
        <w:rPr>
          <w:rFonts w:ascii="Palatino Linotype" w:eastAsia="Palatino Linotype" w:hAnsi="Palatino Linotype" w:cs="Palatino Linotype"/>
        </w:rPr>
        <w:t xml:space="preserve">, en términos del Considerando </w:t>
      </w:r>
      <w:r w:rsidRPr="008E4418">
        <w:rPr>
          <w:rFonts w:ascii="Palatino Linotype" w:eastAsia="Palatino Linotype" w:hAnsi="Palatino Linotype" w:cs="Palatino Linotype"/>
          <w:b/>
        </w:rPr>
        <w:t>Cuarto</w:t>
      </w:r>
      <w:r w:rsidRPr="008E4418">
        <w:rPr>
          <w:rFonts w:ascii="Palatino Linotype" w:eastAsia="Palatino Linotype" w:hAnsi="Palatino Linotype" w:cs="Palatino Linotype"/>
        </w:rPr>
        <w:t xml:space="preserve"> de la presente resolución.</w:t>
      </w:r>
    </w:p>
    <w:p w14:paraId="728EC83B" w14:textId="77777777" w:rsidR="00905E09" w:rsidRPr="008E4418" w:rsidRDefault="00CE232F">
      <w:pPr>
        <w:tabs>
          <w:tab w:val="left" w:pos="5040"/>
        </w:tabs>
        <w:spacing w:before="240" w:after="240" w:line="360" w:lineRule="auto"/>
        <w:ind w:right="49"/>
        <w:jc w:val="both"/>
        <w:rPr>
          <w:rFonts w:ascii="Palatino Linotype" w:eastAsia="Palatino Linotype" w:hAnsi="Palatino Linotype" w:cs="Palatino Linotype"/>
        </w:rPr>
      </w:pPr>
      <w:r w:rsidRPr="008E4418">
        <w:rPr>
          <w:rFonts w:ascii="Palatino Linotype" w:eastAsia="Palatino Linotype" w:hAnsi="Palatino Linotype" w:cs="Palatino Linotype"/>
          <w:b/>
        </w:rPr>
        <w:lastRenderedPageBreak/>
        <w:t xml:space="preserve">Segundo. </w:t>
      </w:r>
      <w:r w:rsidRPr="008E4418">
        <w:rPr>
          <w:rFonts w:ascii="Palatino Linotype" w:eastAsia="Palatino Linotype" w:hAnsi="Palatino Linotype" w:cs="Palatino Linotype"/>
        </w:rPr>
        <w:t xml:space="preserve">Se </w:t>
      </w:r>
      <w:r w:rsidRPr="008E4418">
        <w:rPr>
          <w:rFonts w:ascii="Palatino Linotype" w:eastAsia="Palatino Linotype" w:hAnsi="Palatino Linotype" w:cs="Palatino Linotype"/>
          <w:b/>
        </w:rPr>
        <w:t xml:space="preserve">Ordena </w:t>
      </w:r>
      <w:r w:rsidRPr="008E4418">
        <w:rPr>
          <w:rFonts w:ascii="Palatino Linotype" w:eastAsia="Palatino Linotype" w:hAnsi="Palatino Linotype" w:cs="Palatino Linotype"/>
        </w:rPr>
        <w:t xml:space="preserve">al </w:t>
      </w:r>
      <w:r w:rsidRPr="008E4418">
        <w:rPr>
          <w:rFonts w:ascii="Palatino Linotype" w:eastAsia="Palatino Linotype" w:hAnsi="Palatino Linotype" w:cs="Palatino Linotype"/>
          <w:b/>
        </w:rPr>
        <w:t xml:space="preserve">Sujeto Obligado, </w:t>
      </w:r>
      <w:r w:rsidRPr="008E4418">
        <w:rPr>
          <w:rFonts w:ascii="Palatino Linotype" w:eastAsia="Palatino Linotype" w:hAnsi="Palatino Linotype" w:cs="Palatino Linotype"/>
        </w:rPr>
        <w:t xml:space="preserve">a efecto de que de trámite a la Solicitud de Acceso a la Información Pública </w:t>
      </w:r>
      <w:r w:rsidRPr="008E4418">
        <w:rPr>
          <w:rFonts w:ascii="Palatino Linotype" w:eastAsia="Palatino Linotype" w:hAnsi="Palatino Linotype" w:cs="Palatino Linotype"/>
          <w:b/>
        </w:rPr>
        <w:t xml:space="preserve">00218/LAPAZ/IP/2024, </w:t>
      </w:r>
      <w:r w:rsidRPr="008E4418">
        <w:rPr>
          <w:rFonts w:ascii="Palatino Linotype" w:eastAsia="Palatino Linotype" w:hAnsi="Palatino Linotype" w:cs="Palatino Linotype"/>
        </w:rPr>
        <w:t>que dio origen al recurso de revisión</w:t>
      </w:r>
      <w:r w:rsidRPr="008E4418">
        <w:rPr>
          <w:rFonts w:ascii="Palatino Linotype" w:eastAsia="Palatino Linotype" w:hAnsi="Palatino Linotype" w:cs="Palatino Linotype"/>
          <w:b/>
        </w:rPr>
        <w:t> 05789/INFOEM/IP/RR/2024</w:t>
      </w:r>
      <w:r w:rsidRPr="008E4418">
        <w:rPr>
          <w:rFonts w:ascii="Palatino Linotype" w:eastAsia="Palatino Linotype" w:hAnsi="Palatino Linotype" w:cs="Palatino Linotype"/>
        </w:rPr>
        <w:t>,</w:t>
      </w:r>
      <w:r w:rsidRPr="008E4418">
        <w:rPr>
          <w:rFonts w:ascii="Palatino Linotype" w:eastAsia="Palatino Linotype" w:hAnsi="Palatino Linotype" w:cs="Palatino Linotype"/>
          <w:b/>
        </w:rPr>
        <w:t xml:space="preserve"> </w:t>
      </w:r>
      <w:r w:rsidRPr="008E4418">
        <w:rPr>
          <w:rFonts w:ascii="Palatino Linotype" w:eastAsia="Palatino Linotype" w:hAnsi="Palatino Linotype" w:cs="Palatino Linotype"/>
        </w:rPr>
        <w:t xml:space="preserve">y en términos de los </w:t>
      </w:r>
      <w:r w:rsidRPr="008E4418">
        <w:rPr>
          <w:rFonts w:ascii="Palatino Linotype" w:eastAsia="Palatino Linotype" w:hAnsi="Palatino Linotype" w:cs="Palatino Linotype"/>
          <w:b/>
        </w:rPr>
        <w:t xml:space="preserve">Considerandos Cuarto </w:t>
      </w:r>
      <w:r w:rsidRPr="008E4418">
        <w:rPr>
          <w:rFonts w:ascii="Palatino Linotype" w:eastAsia="Palatino Linotype" w:hAnsi="Palatino Linotype" w:cs="Palatino Linotype"/>
        </w:rPr>
        <w:t xml:space="preserve">y </w:t>
      </w:r>
      <w:r w:rsidRPr="008E4418">
        <w:rPr>
          <w:rFonts w:ascii="Palatino Linotype" w:eastAsia="Palatino Linotype" w:hAnsi="Palatino Linotype" w:cs="Palatino Linotype"/>
          <w:b/>
        </w:rPr>
        <w:t>Quinto</w:t>
      </w:r>
      <w:r w:rsidRPr="008E4418">
        <w:rPr>
          <w:rFonts w:ascii="Palatino Linotype" w:eastAsia="Palatino Linotype" w:hAnsi="Palatino Linotype" w:cs="Palatino Linotype"/>
        </w:rPr>
        <w:t xml:space="preserve"> de esta resolución, haga entrega vía </w:t>
      </w:r>
      <w:r w:rsidRPr="008E4418">
        <w:rPr>
          <w:rFonts w:ascii="Palatino Linotype" w:eastAsia="Palatino Linotype" w:hAnsi="Palatino Linotype" w:cs="Palatino Linotype"/>
          <w:b/>
        </w:rPr>
        <w:t xml:space="preserve">SAIMEX </w:t>
      </w:r>
      <w:r w:rsidRPr="008E4418">
        <w:rPr>
          <w:rFonts w:ascii="Palatino Linotype" w:eastAsia="Palatino Linotype" w:hAnsi="Palatino Linotype" w:cs="Palatino Linotype"/>
        </w:rPr>
        <w:t>y correo electrónico, previa búsqueda exhaustiva y razonable, en versión pública de ser procedente,</w:t>
      </w:r>
      <w:r w:rsidRPr="008E4418">
        <w:rPr>
          <w:rFonts w:ascii="Palatino Linotype" w:eastAsia="Palatino Linotype" w:hAnsi="Palatino Linotype" w:cs="Palatino Linotype"/>
          <w:b/>
        </w:rPr>
        <w:t xml:space="preserve"> </w:t>
      </w:r>
      <w:r w:rsidRPr="008E4418">
        <w:rPr>
          <w:rFonts w:ascii="Palatino Linotype" w:eastAsia="Palatino Linotype" w:hAnsi="Palatino Linotype" w:cs="Palatino Linotype"/>
        </w:rPr>
        <w:t>de lo siguiente preferentemente en formato PDF o en el que se hubiera generado:</w:t>
      </w:r>
    </w:p>
    <w:p w14:paraId="6AA4840E" w14:textId="77777777" w:rsidR="00905E09" w:rsidRPr="008E4418" w:rsidRDefault="00CE232F">
      <w:pPr>
        <w:pBdr>
          <w:top w:val="nil"/>
          <w:left w:val="nil"/>
          <w:bottom w:val="nil"/>
          <w:right w:val="nil"/>
          <w:between w:val="nil"/>
        </w:pBdr>
        <w:spacing w:before="240" w:line="360" w:lineRule="auto"/>
        <w:ind w:left="284"/>
        <w:jc w:val="both"/>
        <w:rPr>
          <w:rFonts w:ascii="Palatino Linotype" w:eastAsia="Palatino Linotype" w:hAnsi="Palatino Linotype" w:cs="Palatino Linotype"/>
        </w:rPr>
      </w:pPr>
      <w:r w:rsidRPr="008E4418">
        <w:rPr>
          <w:rFonts w:ascii="Palatino Linotype" w:eastAsia="Palatino Linotype" w:hAnsi="Palatino Linotype" w:cs="Palatino Linotype"/>
        </w:rPr>
        <w:t xml:space="preserve">1. Reportes del aplicativo “Visor de comprobantes de nómina del patrón” del SAT, del uno de enero de dos mil veinte al treinta de agosto de dos mil veinticuatro: </w:t>
      </w:r>
    </w:p>
    <w:p w14:paraId="446AFA68" w14:textId="77777777" w:rsidR="00905E09" w:rsidRPr="008E4418" w:rsidRDefault="00CE232F">
      <w:pPr>
        <w:pBdr>
          <w:top w:val="nil"/>
          <w:left w:val="nil"/>
          <w:bottom w:val="nil"/>
          <w:right w:val="nil"/>
          <w:between w:val="nil"/>
        </w:pBdr>
        <w:spacing w:before="240" w:line="276" w:lineRule="auto"/>
        <w:ind w:left="567"/>
        <w:jc w:val="both"/>
        <w:rPr>
          <w:rFonts w:ascii="Palatino Linotype" w:eastAsia="Palatino Linotype" w:hAnsi="Palatino Linotype" w:cs="Palatino Linotype"/>
        </w:rPr>
      </w:pPr>
      <w:r w:rsidRPr="008E4418">
        <w:rPr>
          <w:rFonts w:ascii="Palatino Linotype" w:eastAsia="Palatino Linotype" w:hAnsi="Palatino Linotype" w:cs="Palatino Linotype"/>
        </w:rPr>
        <w:t>a. Detalle del “Total por Sueldos y Salarios”.</w:t>
      </w:r>
    </w:p>
    <w:p w14:paraId="57154225" w14:textId="77777777" w:rsidR="00905E09" w:rsidRPr="008E4418" w:rsidRDefault="00CE232F">
      <w:pPr>
        <w:pBdr>
          <w:top w:val="nil"/>
          <w:left w:val="nil"/>
          <w:bottom w:val="nil"/>
          <w:right w:val="nil"/>
          <w:between w:val="nil"/>
        </w:pBdr>
        <w:spacing w:before="240" w:line="276" w:lineRule="auto"/>
        <w:ind w:left="567"/>
        <w:jc w:val="both"/>
        <w:rPr>
          <w:rFonts w:ascii="Palatino Linotype" w:eastAsia="Palatino Linotype" w:hAnsi="Palatino Linotype" w:cs="Palatino Linotype"/>
        </w:rPr>
      </w:pPr>
      <w:r w:rsidRPr="008E4418">
        <w:rPr>
          <w:rFonts w:ascii="Palatino Linotype" w:eastAsia="Palatino Linotype" w:hAnsi="Palatino Linotype" w:cs="Palatino Linotype"/>
        </w:rPr>
        <w:t>b. Detalle del “Total por Asimilados a Salarios”.</w:t>
      </w:r>
    </w:p>
    <w:p w14:paraId="65976187" w14:textId="77777777" w:rsidR="00905E09" w:rsidRPr="008E4418" w:rsidRDefault="00CE232F">
      <w:pPr>
        <w:pBdr>
          <w:top w:val="nil"/>
          <w:left w:val="nil"/>
          <w:bottom w:val="nil"/>
          <w:right w:val="nil"/>
          <w:between w:val="nil"/>
        </w:pBdr>
        <w:spacing w:before="240" w:line="276" w:lineRule="auto"/>
        <w:ind w:left="567"/>
        <w:jc w:val="both"/>
        <w:rPr>
          <w:rFonts w:ascii="Palatino Linotype" w:eastAsia="Palatino Linotype" w:hAnsi="Palatino Linotype" w:cs="Palatino Linotype"/>
        </w:rPr>
      </w:pPr>
      <w:r w:rsidRPr="008E4418">
        <w:rPr>
          <w:rFonts w:ascii="Palatino Linotype" w:eastAsia="Palatino Linotype" w:hAnsi="Palatino Linotype" w:cs="Palatino Linotype"/>
        </w:rPr>
        <w:t>c. Vista anual acumulada.</w:t>
      </w:r>
    </w:p>
    <w:p w14:paraId="7B855AF2" w14:textId="77777777" w:rsidR="00905E09" w:rsidRPr="008E4418" w:rsidRDefault="00CE232F">
      <w:pPr>
        <w:spacing w:before="240" w:after="240" w:line="360" w:lineRule="auto"/>
        <w:ind w:left="284" w:right="51"/>
        <w:jc w:val="both"/>
        <w:rPr>
          <w:rFonts w:ascii="Palatino Linotype" w:eastAsia="Palatino Linotype" w:hAnsi="Palatino Linotype" w:cs="Palatino Linotype"/>
        </w:rPr>
      </w:pPr>
      <w:r w:rsidRPr="008E4418">
        <w:rPr>
          <w:rFonts w:ascii="Palatino Linotype" w:eastAsia="Palatino Linotype" w:hAnsi="Palatino Linotype" w:cs="Palatino Linotype"/>
        </w:rPr>
        <w:t>2. Reporte emitido por la Secretaría de Finanzas del Estado de México, relativa al monto del ISR que se obtuvo en devolución</w:t>
      </w:r>
      <w:r w:rsidRPr="008E4418">
        <w:t xml:space="preserve"> </w:t>
      </w:r>
      <w:r w:rsidRPr="008E4418">
        <w:rPr>
          <w:rFonts w:ascii="Palatino Linotype" w:eastAsia="Palatino Linotype" w:hAnsi="Palatino Linotype" w:cs="Palatino Linotype"/>
        </w:rPr>
        <w:t>del uno de enero de dos mil quince al treinta de agosto de dos mil veinticuatro.</w:t>
      </w:r>
    </w:p>
    <w:p w14:paraId="45FEED20" w14:textId="77777777" w:rsidR="00905E09" w:rsidRPr="008E4418" w:rsidRDefault="00CE232F">
      <w:pPr>
        <w:spacing w:before="240" w:after="240" w:line="360" w:lineRule="auto"/>
        <w:ind w:left="284" w:right="51"/>
        <w:jc w:val="both"/>
        <w:rPr>
          <w:rFonts w:ascii="Palatino Linotype" w:eastAsia="Palatino Linotype" w:hAnsi="Palatino Linotype" w:cs="Palatino Linotype"/>
        </w:rPr>
      </w:pPr>
      <w:r w:rsidRPr="008E4418">
        <w:rPr>
          <w:rFonts w:ascii="Palatino Linotype" w:eastAsia="Palatino Linotype" w:hAnsi="Palatino Linotype" w:cs="Palatino Linotype"/>
        </w:rPr>
        <w:t>3. Reporte emitido por el software de contabilidad gubernamental en el que se pueda apreciar el control del saldo pendiente de recuperar del ISR participable, al treinta de agosto de dos mil veinticuatro.</w:t>
      </w:r>
    </w:p>
    <w:p w14:paraId="5FDBBE2A" w14:textId="77777777" w:rsidR="00905E09" w:rsidRPr="008E4418" w:rsidRDefault="00CE232F">
      <w:pPr>
        <w:tabs>
          <w:tab w:val="left" w:pos="5040"/>
        </w:tabs>
        <w:spacing w:before="120" w:after="120"/>
        <w:ind w:left="284" w:right="51"/>
        <w:jc w:val="both"/>
        <w:rPr>
          <w:rFonts w:ascii="Palatino Linotype" w:eastAsia="Palatino Linotype" w:hAnsi="Palatino Linotype" w:cs="Palatino Linotype"/>
          <w:b/>
          <w:i/>
          <w:sz w:val="20"/>
          <w:szCs w:val="20"/>
        </w:rPr>
      </w:pPr>
      <w:r w:rsidRPr="008E4418">
        <w:rPr>
          <w:rFonts w:ascii="Palatino Linotype" w:eastAsia="Palatino Linotype" w:hAnsi="Palatino Linotype" w:cs="Palatino Linotype"/>
          <w:i/>
          <w:sz w:val="20"/>
          <w:szCs w:val="20"/>
        </w:rPr>
        <w:t xml:space="preserve">De ser procedente la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8E4418">
        <w:rPr>
          <w:rFonts w:ascii="Palatino Linotype" w:eastAsia="Palatino Linotype" w:hAnsi="Palatino Linotype" w:cs="Palatino Linotype"/>
          <w:b/>
          <w:i/>
          <w:sz w:val="20"/>
          <w:szCs w:val="20"/>
        </w:rPr>
        <w:t>Recurrente.</w:t>
      </w:r>
    </w:p>
    <w:p w14:paraId="0C1B2D6C" w14:textId="77777777" w:rsidR="00905E09" w:rsidRPr="008E4418" w:rsidRDefault="00CE232F">
      <w:pPr>
        <w:spacing w:before="240" w:after="240"/>
        <w:ind w:left="284"/>
        <w:jc w:val="both"/>
        <w:rPr>
          <w:rFonts w:ascii="Palatino Linotype" w:eastAsia="Palatino Linotype" w:hAnsi="Palatino Linotype" w:cs="Palatino Linotype"/>
          <w:i/>
          <w:sz w:val="20"/>
          <w:szCs w:val="20"/>
        </w:rPr>
      </w:pPr>
      <w:r w:rsidRPr="008E4418">
        <w:rPr>
          <w:rFonts w:ascii="Palatino Linotype" w:eastAsia="Palatino Linotype" w:hAnsi="Palatino Linotype" w:cs="Palatino Linotype"/>
          <w:i/>
          <w:sz w:val="20"/>
          <w:szCs w:val="20"/>
        </w:rPr>
        <w:t xml:space="preserve">En el supuesto que la información ordenada en los puntos 1 y 3 no obre en los archivos del </w:t>
      </w:r>
      <w:r w:rsidRPr="008E4418">
        <w:rPr>
          <w:rFonts w:ascii="Palatino Linotype" w:eastAsia="Palatino Linotype" w:hAnsi="Palatino Linotype" w:cs="Palatino Linotype"/>
          <w:b/>
          <w:i/>
          <w:sz w:val="20"/>
          <w:szCs w:val="20"/>
        </w:rPr>
        <w:t>Sujeto Obligado</w:t>
      </w:r>
      <w:r w:rsidRPr="008E4418">
        <w:rPr>
          <w:rFonts w:ascii="Palatino Linotype" w:eastAsia="Palatino Linotype" w:hAnsi="Palatino Linotype" w:cs="Palatino Linotype"/>
          <w:i/>
          <w:sz w:val="20"/>
          <w:szCs w:val="20"/>
        </w:rPr>
        <w:t xml:space="preserve">, bastará con que así lo haga del conocimiento de la parte </w:t>
      </w:r>
      <w:r w:rsidRPr="008E4418">
        <w:rPr>
          <w:rFonts w:ascii="Palatino Linotype" w:eastAsia="Palatino Linotype" w:hAnsi="Palatino Linotype" w:cs="Palatino Linotype"/>
          <w:b/>
          <w:i/>
          <w:sz w:val="20"/>
          <w:szCs w:val="20"/>
        </w:rPr>
        <w:t>Recurrente</w:t>
      </w:r>
      <w:r w:rsidRPr="008E4418">
        <w:rPr>
          <w:rFonts w:ascii="Palatino Linotype" w:eastAsia="Palatino Linotype" w:hAnsi="Palatino Linotype" w:cs="Palatino Linotype"/>
          <w:i/>
          <w:sz w:val="20"/>
          <w:szCs w:val="20"/>
        </w:rPr>
        <w:t xml:space="preserve">, en términos del artículo 19, párrafo </w:t>
      </w:r>
      <w:r w:rsidRPr="008E4418">
        <w:rPr>
          <w:rFonts w:ascii="Palatino Linotype" w:eastAsia="Palatino Linotype" w:hAnsi="Palatino Linotype" w:cs="Palatino Linotype"/>
          <w:i/>
          <w:sz w:val="20"/>
          <w:szCs w:val="20"/>
        </w:rPr>
        <w:lastRenderedPageBreak/>
        <w:t>segundo de la Ley de Transparencia y Acceso a la Información Pública del Estado de México y Municipios, para tener por colmado el requerimiento de información.</w:t>
      </w:r>
    </w:p>
    <w:p w14:paraId="09AA4BC0"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b/>
        </w:rPr>
        <w:t xml:space="preserve">Tercero. Notifíquese, </w:t>
      </w:r>
      <w:r w:rsidRPr="008E4418">
        <w:rPr>
          <w:rFonts w:ascii="Palatino Linotype" w:eastAsia="Palatino Linotype" w:hAnsi="Palatino Linotype" w:cs="Palatino Linotype"/>
        </w:rPr>
        <w:t xml:space="preserve">vía </w:t>
      </w:r>
      <w:r w:rsidRPr="008E4418">
        <w:rPr>
          <w:rFonts w:ascii="Palatino Linotype" w:eastAsia="Palatino Linotype" w:hAnsi="Palatino Linotype" w:cs="Palatino Linotype"/>
          <w:b/>
        </w:rPr>
        <w:t>SAIMEX</w:t>
      </w:r>
      <w:r w:rsidRPr="008E4418">
        <w:rPr>
          <w:rFonts w:ascii="Palatino Linotype" w:eastAsia="Palatino Linotype" w:hAnsi="Palatino Linotype" w:cs="Palatino Linotype"/>
        </w:rPr>
        <w:t xml:space="preserve">, al Titular de la Unidad de Transparencia del </w:t>
      </w:r>
      <w:r w:rsidRPr="008E4418">
        <w:rPr>
          <w:rFonts w:ascii="Palatino Linotype" w:eastAsia="Palatino Linotype" w:hAnsi="Palatino Linotype" w:cs="Palatino Linotype"/>
          <w:b/>
        </w:rPr>
        <w:t>Sujeto Obligado,</w:t>
      </w:r>
      <w:r w:rsidRPr="008E4418">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528AB1D" w14:textId="77777777" w:rsidR="00905E09" w:rsidRPr="008E4418" w:rsidRDefault="00CE232F">
      <w:pPr>
        <w:spacing w:before="240" w:after="240" w:line="360" w:lineRule="auto"/>
        <w:jc w:val="both"/>
        <w:rPr>
          <w:rFonts w:ascii="Palatino Linotype" w:eastAsia="Palatino Linotype" w:hAnsi="Palatino Linotype" w:cs="Palatino Linotype"/>
        </w:rPr>
      </w:pPr>
      <w:bookmarkStart w:id="10" w:name="_heading=h.17dp8vu" w:colFirst="0" w:colLast="0"/>
      <w:bookmarkEnd w:id="10"/>
      <w:r w:rsidRPr="008E4418">
        <w:rPr>
          <w:rFonts w:ascii="Palatino Linotype" w:eastAsia="Palatino Linotype" w:hAnsi="Palatino Linotype" w:cs="Palatino Linotype"/>
          <w:b/>
        </w:rPr>
        <w:t xml:space="preserve">Cuarto.  Notifíquese, </w:t>
      </w:r>
      <w:r w:rsidRPr="008E4418">
        <w:rPr>
          <w:rFonts w:ascii="Palatino Linotype" w:eastAsia="Palatino Linotype" w:hAnsi="Palatino Linotype" w:cs="Palatino Linotype"/>
        </w:rPr>
        <w:t xml:space="preserve">vía </w:t>
      </w:r>
      <w:r w:rsidRPr="008E4418">
        <w:rPr>
          <w:rFonts w:ascii="Palatino Linotype" w:eastAsia="Palatino Linotype" w:hAnsi="Palatino Linotype" w:cs="Palatino Linotype"/>
          <w:b/>
        </w:rPr>
        <w:t>SAIMEX</w:t>
      </w:r>
      <w:r w:rsidRPr="008E4418">
        <w:rPr>
          <w:rFonts w:ascii="Palatino Linotype" w:eastAsia="Palatino Linotype" w:hAnsi="Palatino Linotype" w:cs="Palatino Linotype"/>
        </w:rPr>
        <w:t xml:space="preserve"> y </w:t>
      </w:r>
      <w:r w:rsidRPr="008E4418">
        <w:rPr>
          <w:rFonts w:ascii="Palatino Linotype" w:eastAsia="Palatino Linotype" w:hAnsi="Palatino Linotype" w:cs="Palatino Linotype"/>
          <w:b/>
        </w:rPr>
        <w:t>correo electrónico</w:t>
      </w:r>
      <w:r w:rsidRPr="008E4418">
        <w:rPr>
          <w:rFonts w:ascii="Palatino Linotype" w:eastAsia="Palatino Linotype" w:hAnsi="Palatino Linotype" w:cs="Palatino Linotype"/>
        </w:rPr>
        <w:t xml:space="preserve"> a la parte </w:t>
      </w:r>
      <w:r w:rsidRPr="008E4418">
        <w:rPr>
          <w:rFonts w:ascii="Palatino Linotype" w:eastAsia="Palatino Linotype" w:hAnsi="Palatino Linotype" w:cs="Palatino Linotype"/>
          <w:b/>
        </w:rPr>
        <w:t>Recurrente</w:t>
      </w:r>
      <w:r w:rsidRPr="008E4418">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439515F" w14:textId="77777777" w:rsidR="00905E09" w:rsidRPr="008E4418" w:rsidRDefault="00CE232F">
      <w:pPr>
        <w:spacing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b/>
        </w:rPr>
        <w:t xml:space="preserve">Quinto. Notifíquese, </w:t>
      </w:r>
      <w:r w:rsidRPr="008E4418">
        <w:rPr>
          <w:rFonts w:ascii="Palatino Linotype" w:eastAsia="Palatino Linotype" w:hAnsi="Palatino Linotype" w:cs="Palatino Linotype"/>
        </w:rPr>
        <w:t xml:space="preserve">a la parte </w:t>
      </w:r>
      <w:r w:rsidRPr="008E4418">
        <w:rPr>
          <w:rFonts w:ascii="Palatino Linotype" w:eastAsia="Palatino Linotype" w:hAnsi="Palatino Linotype" w:cs="Palatino Linotype"/>
          <w:b/>
        </w:rPr>
        <w:t xml:space="preserve">Recurrente </w:t>
      </w:r>
      <w:r w:rsidRPr="008E4418">
        <w:rPr>
          <w:rFonts w:ascii="Palatino Linotype" w:eastAsia="Palatino Linotype" w:hAnsi="Palatino Linotype" w:cs="Palatino Linotype"/>
        </w:rPr>
        <w:t xml:space="preserve">que la respuesta que dé </w:t>
      </w:r>
      <w:r w:rsidRPr="008E4418">
        <w:rPr>
          <w:rFonts w:ascii="Palatino Linotype" w:eastAsia="Palatino Linotype" w:hAnsi="Palatino Linotype" w:cs="Palatino Linotype"/>
          <w:b/>
        </w:rPr>
        <w:t>el Sujeto Obligado</w:t>
      </w:r>
      <w:r w:rsidRPr="008E4418">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05F3A18D" w14:textId="77777777" w:rsidR="00905E09" w:rsidRPr="008E4418" w:rsidRDefault="00CE232F">
      <w:pPr>
        <w:spacing w:before="240" w:after="240" w:line="360" w:lineRule="auto"/>
        <w:jc w:val="both"/>
        <w:rPr>
          <w:rFonts w:ascii="Palatino Linotype" w:eastAsia="Palatino Linotype" w:hAnsi="Palatino Linotype" w:cs="Palatino Linotype"/>
        </w:rPr>
      </w:pPr>
      <w:r w:rsidRPr="008E4418">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w:t>
      </w:r>
      <w:r w:rsidR="008558D9">
        <w:rPr>
          <w:rFonts w:ascii="Palatino Linotype" w:eastAsia="Palatino Linotype" w:hAnsi="Palatino Linotype" w:cs="Palatino Linotype"/>
        </w:rPr>
        <w:t>EZ PEÑA</w:t>
      </w:r>
      <w:r w:rsidRPr="008E4418">
        <w:rPr>
          <w:rFonts w:ascii="Palatino Linotype" w:eastAsia="Palatino Linotype" w:hAnsi="Palatino Linotype" w:cs="Palatino Linotype"/>
        </w:rPr>
        <w:t xml:space="preserve"> </w:t>
      </w:r>
      <w:r w:rsidR="008558D9">
        <w:rPr>
          <w:rFonts w:ascii="Palatino Linotype" w:eastAsia="Palatino Linotype" w:hAnsi="Palatino Linotype" w:cs="Palatino Linotype"/>
        </w:rPr>
        <w:t>(</w:t>
      </w:r>
      <w:r w:rsidRPr="008E4418">
        <w:rPr>
          <w:rFonts w:ascii="Palatino Linotype" w:hAnsi="Palatino Linotype"/>
        </w:rPr>
        <w:t>EMITIENDO VOTO PARTICULAR</w:t>
      </w:r>
      <w:r w:rsidR="008558D9">
        <w:rPr>
          <w:rFonts w:ascii="Palatino Linotype" w:hAnsi="Palatino Linotype"/>
        </w:rPr>
        <w:t>)</w:t>
      </w:r>
      <w:r w:rsidRPr="008E4418">
        <w:rPr>
          <w:rFonts w:ascii="Palatino Linotype" w:eastAsia="Palatino Linotype" w:hAnsi="Palatino Linotype" w:cs="Palatino Linotype"/>
        </w:rPr>
        <w:t>, EN LA TRIGÉSIMA OCTAVA SESIÓN ORDINARIA CELEBRADA EL SEIS DE NOVIEMBRE DE DOS MIL VEINTICUATRO, ANTE EL SECRETARIO TÉCNICO DEL PLENO ALEXIS TAPIA RAMÍREZ.</w:t>
      </w:r>
    </w:p>
    <w:p w14:paraId="6E89513F" w14:textId="77777777" w:rsidR="00905E09" w:rsidRPr="008E4418" w:rsidRDefault="00905E09">
      <w:pPr>
        <w:spacing w:before="240" w:after="240" w:line="360" w:lineRule="auto"/>
        <w:jc w:val="both"/>
        <w:rPr>
          <w:rFonts w:ascii="Palatino Linotype" w:eastAsia="Palatino Linotype" w:hAnsi="Palatino Linotype" w:cs="Palatino Linotype"/>
        </w:rPr>
      </w:pPr>
    </w:p>
    <w:p w14:paraId="24FED27A" w14:textId="77777777" w:rsidR="00905E09" w:rsidRPr="008E4418" w:rsidRDefault="00905E09">
      <w:pPr>
        <w:spacing w:before="240" w:after="240" w:line="360" w:lineRule="auto"/>
        <w:jc w:val="both"/>
        <w:rPr>
          <w:rFonts w:ascii="Palatino Linotype" w:eastAsia="Palatino Linotype" w:hAnsi="Palatino Linotype" w:cs="Palatino Linotype"/>
        </w:rPr>
      </w:pPr>
    </w:p>
    <w:p w14:paraId="5EDD5E12" w14:textId="77777777" w:rsidR="00905E09" w:rsidRPr="008E4418" w:rsidRDefault="00905E09">
      <w:pPr>
        <w:spacing w:before="240" w:after="240" w:line="360" w:lineRule="auto"/>
        <w:jc w:val="both"/>
        <w:rPr>
          <w:rFonts w:ascii="Palatino Linotype" w:eastAsia="Palatino Linotype" w:hAnsi="Palatino Linotype" w:cs="Palatino Linotype"/>
        </w:rPr>
      </w:pPr>
    </w:p>
    <w:p w14:paraId="6D6ECAE1" w14:textId="77777777" w:rsidR="00905E09" w:rsidRPr="008E4418" w:rsidRDefault="00905E09">
      <w:pPr>
        <w:spacing w:before="240" w:after="240" w:line="360" w:lineRule="auto"/>
        <w:jc w:val="both"/>
        <w:rPr>
          <w:rFonts w:ascii="Palatino Linotype" w:eastAsia="Palatino Linotype" w:hAnsi="Palatino Linotype" w:cs="Palatino Linotype"/>
        </w:rPr>
      </w:pPr>
    </w:p>
    <w:p w14:paraId="4E69FA9F" w14:textId="77777777" w:rsidR="00905E09" w:rsidRPr="008E4418" w:rsidRDefault="00905E09">
      <w:pPr>
        <w:spacing w:before="240" w:after="240" w:line="360" w:lineRule="auto"/>
        <w:jc w:val="both"/>
        <w:rPr>
          <w:rFonts w:ascii="Palatino Linotype" w:eastAsia="Palatino Linotype" w:hAnsi="Palatino Linotype" w:cs="Palatino Linotype"/>
        </w:rPr>
      </w:pPr>
    </w:p>
    <w:p w14:paraId="52C07A5B" w14:textId="77777777" w:rsidR="00905E09" w:rsidRPr="008E4418" w:rsidRDefault="00905E09">
      <w:pPr>
        <w:spacing w:before="240" w:after="240" w:line="360" w:lineRule="auto"/>
        <w:jc w:val="both"/>
        <w:rPr>
          <w:rFonts w:ascii="Palatino Linotype" w:eastAsia="Palatino Linotype" w:hAnsi="Palatino Linotype" w:cs="Palatino Linotype"/>
        </w:rPr>
      </w:pPr>
    </w:p>
    <w:p w14:paraId="3D22D1AC" w14:textId="77777777" w:rsidR="00905E09" w:rsidRPr="008E4418" w:rsidRDefault="00905E09">
      <w:pPr>
        <w:spacing w:before="240" w:after="240" w:line="360" w:lineRule="auto"/>
        <w:jc w:val="both"/>
        <w:rPr>
          <w:rFonts w:ascii="Palatino Linotype" w:eastAsia="Palatino Linotype" w:hAnsi="Palatino Linotype" w:cs="Palatino Linotype"/>
        </w:rPr>
      </w:pPr>
    </w:p>
    <w:p w14:paraId="7BD27A70" w14:textId="77777777" w:rsidR="00905E09" w:rsidRPr="008E4418" w:rsidRDefault="00905E09">
      <w:pPr>
        <w:spacing w:before="240" w:after="240" w:line="360" w:lineRule="auto"/>
        <w:jc w:val="both"/>
        <w:rPr>
          <w:rFonts w:ascii="Palatino Linotype" w:eastAsia="Palatino Linotype" w:hAnsi="Palatino Linotype" w:cs="Palatino Linotype"/>
        </w:rPr>
      </w:pPr>
    </w:p>
    <w:p w14:paraId="54B01B6A" w14:textId="77777777" w:rsidR="00905E09" w:rsidRPr="008E4418" w:rsidRDefault="00905E09">
      <w:pPr>
        <w:spacing w:before="240" w:after="240" w:line="360" w:lineRule="auto"/>
        <w:jc w:val="both"/>
        <w:rPr>
          <w:rFonts w:ascii="Palatino Linotype" w:eastAsia="Palatino Linotype" w:hAnsi="Palatino Linotype" w:cs="Palatino Linotype"/>
        </w:rPr>
      </w:pPr>
    </w:p>
    <w:p w14:paraId="03188DC0" w14:textId="77777777" w:rsidR="00905E09" w:rsidRPr="008E4418" w:rsidRDefault="00905E09">
      <w:pPr>
        <w:spacing w:before="240" w:after="240" w:line="360" w:lineRule="auto"/>
        <w:jc w:val="both"/>
        <w:rPr>
          <w:rFonts w:ascii="Palatino Linotype" w:eastAsia="Palatino Linotype" w:hAnsi="Palatino Linotype" w:cs="Palatino Linotype"/>
        </w:rPr>
      </w:pPr>
    </w:p>
    <w:p w14:paraId="6002A2DD" w14:textId="77777777" w:rsidR="00905E09" w:rsidRPr="008E4418" w:rsidRDefault="00905E09">
      <w:pPr>
        <w:spacing w:before="240" w:after="240" w:line="360" w:lineRule="auto"/>
        <w:jc w:val="both"/>
        <w:rPr>
          <w:rFonts w:ascii="Palatino Linotype" w:eastAsia="Palatino Linotype" w:hAnsi="Palatino Linotype" w:cs="Palatino Linotype"/>
        </w:rPr>
      </w:pPr>
    </w:p>
    <w:p w14:paraId="602EE741" w14:textId="77777777" w:rsidR="00905E09" w:rsidRPr="008E4418" w:rsidRDefault="00905E09">
      <w:pPr>
        <w:spacing w:before="240" w:after="240" w:line="360" w:lineRule="auto"/>
        <w:jc w:val="both"/>
        <w:rPr>
          <w:rFonts w:ascii="Palatino Linotype" w:eastAsia="Palatino Linotype" w:hAnsi="Palatino Linotype" w:cs="Palatino Linotype"/>
        </w:rPr>
      </w:pPr>
    </w:p>
    <w:p w14:paraId="026A99D6" w14:textId="77777777" w:rsidR="00905E09" w:rsidRPr="008E4418" w:rsidRDefault="00905E09">
      <w:pPr>
        <w:spacing w:before="240" w:after="240" w:line="360" w:lineRule="auto"/>
        <w:jc w:val="both"/>
        <w:rPr>
          <w:rFonts w:ascii="Palatino Linotype" w:eastAsia="Palatino Linotype" w:hAnsi="Palatino Linotype" w:cs="Palatino Linotype"/>
        </w:rPr>
      </w:pPr>
    </w:p>
    <w:p w14:paraId="4E9C4576" w14:textId="77777777" w:rsidR="00905E09" w:rsidRPr="008E4418" w:rsidRDefault="00905E09">
      <w:pPr>
        <w:spacing w:before="240" w:after="240" w:line="360" w:lineRule="auto"/>
        <w:jc w:val="both"/>
        <w:rPr>
          <w:rFonts w:ascii="Palatino Linotype" w:eastAsia="Palatino Linotype" w:hAnsi="Palatino Linotype" w:cs="Palatino Linotype"/>
        </w:rPr>
      </w:pPr>
    </w:p>
    <w:p w14:paraId="5C21ABD7" w14:textId="77777777" w:rsidR="00905E09" w:rsidRPr="008E4418" w:rsidRDefault="00905E09">
      <w:pPr>
        <w:spacing w:before="240" w:after="240" w:line="360" w:lineRule="auto"/>
        <w:jc w:val="both"/>
        <w:rPr>
          <w:rFonts w:ascii="Palatino Linotype" w:eastAsia="Palatino Linotype" w:hAnsi="Palatino Linotype" w:cs="Palatino Linotype"/>
        </w:rPr>
      </w:pPr>
    </w:p>
    <w:p w14:paraId="12CA3E23" w14:textId="77777777" w:rsidR="00905E09" w:rsidRPr="008E4418" w:rsidRDefault="00905E09">
      <w:pPr>
        <w:spacing w:before="240" w:after="240" w:line="360" w:lineRule="auto"/>
        <w:jc w:val="both"/>
        <w:rPr>
          <w:rFonts w:ascii="Palatino Linotype" w:eastAsia="Palatino Linotype" w:hAnsi="Palatino Linotype" w:cs="Palatino Linotype"/>
        </w:rPr>
      </w:pPr>
      <w:bookmarkStart w:id="11" w:name="_heading=h.3rdcrjn" w:colFirst="0" w:colLast="0"/>
      <w:bookmarkEnd w:id="11"/>
    </w:p>
    <w:p w14:paraId="73BE6ED2" w14:textId="77777777" w:rsidR="00905E09" w:rsidRPr="008E4418" w:rsidRDefault="00905E09">
      <w:pPr>
        <w:spacing w:before="240" w:after="240" w:line="360" w:lineRule="auto"/>
        <w:jc w:val="both"/>
        <w:rPr>
          <w:rFonts w:ascii="Palatino Linotype" w:eastAsia="Palatino Linotype" w:hAnsi="Palatino Linotype" w:cs="Palatino Linotype"/>
        </w:rPr>
      </w:pPr>
    </w:p>
    <w:p w14:paraId="6BAE71A3" w14:textId="77777777" w:rsidR="00905E09" w:rsidRPr="008E4418" w:rsidRDefault="00905E09">
      <w:pPr>
        <w:spacing w:before="240" w:after="240" w:line="360" w:lineRule="auto"/>
        <w:jc w:val="both"/>
        <w:rPr>
          <w:rFonts w:ascii="Palatino Linotype" w:eastAsia="Palatino Linotype" w:hAnsi="Palatino Linotype" w:cs="Palatino Linotype"/>
        </w:rPr>
      </w:pPr>
    </w:p>
    <w:p w14:paraId="1E4A6417" w14:textId="77777777" w:rsidR="00905E09" w:rsidRPr="008E4418" w:rsidRDefault="00905E09">
      <w:pPr>
        <w:spacing w:before="240" w:after="240" w:line="360" w:lineRule="auto"/>
        <w:jc w:val="both"/>
        <w:rPr>
          <w:rFonts w:ascii="Palatino Linotype" w:eastAsia="Palatino Linotype" w:hAnsi="Palatino Linotype" w:cs="Palatino Linotype"/>
        </w:rPr>
      </w:pPr>
    </w:p>
    <w:p w14:paraId="26EE9329" w14:textId="77777777" w:rsidR="00905E09" w:rsidRPr="008E4418" w:rsidRDefault="00905E09">
      <w:pPr>
        <w:spacing w:before="240" w:after="240" w:line="360" w:lineRule="auto"/>
        <w:jc w:val="both"/>
        <w:rPr>
          <w:rFonts w:ascii="Palatino Linotype" w:eastAsia="Palatino Linotype" w:hAnsi="Palatino Linotype" w:cs="Palatino Linotype"/>
        </w:rPr>
      </w:pPr>
    </w:p>
    <w:p w14:paraId="29904657" w14:textId="77777777" w:rsidR="00905E09" w:rsidRPr="008E4418" w:rsidRDefault="00905E09">
      <w:pPr>
        <w:spacing w:before="240" w:after="240" w:line="360" w:lineRule="auto"/>
        <w:jc w:val="both"/>
        <w:rPr>
          <w:rFonts w:ascii="Palatino Linotype" w:eastAsia="Palatino Linotype" w:hAnsi="Palatino Linotype" w:cs="Palatino Linotype"/>
        </w:rPr>
      </w:pPr>
    </w:p>
    <w:p w14:paraId="1EE74529" w14:textId="77777777" w:rsidR="00905E09" w:rsidRPr="008E4418" w:rsidRDefault="00905E09">
      <w:pPr>
        <w:spacing w:before="240" w:after="240" w:line="360" w:lineRule="auto"/>
        <w:jc w:val="center"/>
        <w:rPr>
          <w:rFonts w:ascii="Palatino Linotype" w:eastAsia="Palatino Linotype" w:hAnsi="Palatino Linotype" w:cs="Palatino Linotype"/>
        </w:rPr>
      </w:pPr>
      <w:bookmarkStart w:id="12" w:name="_heading=h.1fob9te" w:colFirst="0" w:colLast="0"/>
      <w:bookmarkEnd w:id="12"/>
    </w:p>
    <w:sectPr w:rsidR="00905E09" w:rsidRPr="008E4418">
      <w:headerReference w:type="default" r:id="rId44"/>
      <w:footerReference w:type="default" r:id="rId45"/>
      <w:headerReference w:type="first" r:id="rId46"/>
      <w:footerReference w:type="first" r:id="rId4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5DA3E" w14:textId="77777777" w:rsidR="00584796" w:rsidRDefault="00584796">
      <w:r>
        <w:separator/>
      </w:r>
    </w:p>
  </w:endnote>
  <w:endnote w:type="continuationSeparator" w:id="0">
    <w:p w14:paraId="39D92E21" w14:textId="77777777" w:rsidR="00584796" w:rsidRDefault="00584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430A5" w14:textId="77777777" w:rsidR="00905E09" w:rsidRDefault="00CE232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866FC">
      <w:rPr>
        <w:rFonts w:ascii="Palatino Linotype" w:eastAsia="Palatino Linotype" w:hAnsi="Palatino Linotype" w:cs="Palatino Linotype"/>
        <w:b/>
        <w:noProof/>
        <w:color w:val="000000"/>
        <w:sz w:val="20"/>
        <w:szCs w:val="20"/>
      </w:rPr>
      <w:t>68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866FC">
      <w:rPr>
        <w:rFonts w:ascii="Palatino Linotype" w:eastAsia="Palatino Linotype" w:hAnsi="Palatino Linotype" w:cs="Palatino Linotype"/>
        <w:b/>
        <w:noProof/>
        <w:color w:val="000000"/>
        <w:sz w:val="20"/>
        <w:szCs w:val="20"/>
      </w:rPr>
      <w:t>68</w:t>
    </w:r>
    <w:r>
      <w:rPr>
        <w:rFonts w:ascii="Palatino Linotype" w:eastAsia="Palatino Linotype" w:hAnsi="Palatino Linotype" w:cs="Palatino Linotype"/>
        <w:b/>
        <w:color w:val="000000"/>
        <w:sz w:val="20"/>
        <w:szCs w:val="20"/>
      </w:rPr>
      <w:fldChar w:fldCharType="end"/>
    </w:r>
  </w:p>
  <w:p w14:paraId="623B15FD" w14:textId="77777777" w:rsidR="00905E09" w:rsidRDefault="00905E0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BDD76" w14:textId="77777777" w:rsidR="00905E09" w:rsidRDefault="00CE232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866F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866FC">
      <w:rPr>
        <w:rFonts w:ascii="Palatino Linotype" w:eastAsia="Palatino Linotype" w:hAnsi="Palatino Linotype" w:cs="Palatino Linotype"/>
        <w:b/>
        <w:noProof/>
        <w:color w:val="000000"/>
        <w:sz w:val="20"/>
        <w:szCs w:val="20"/>
      </w:rPr>
      <w:t>68</w:t>
    </w:r>
    <w:r>
      <w:rPr>
        <w:rFonts w:ascii="Palatino Linotype" w:eastAsia="Palatino Linotype" w:hAnsi="Palatino Linotype" w:cs="Palatino Linotype"/>
        <w:b/>
        <w:color w:val="000000"/>
        <w:sz w:val="20"/>
        <w:szCs w:val="20"/>
      </w:rPr>
      <w:fldChar w:fldCharType="end"/>
    </w:r>
  </w:p>
  <w:p w14:paraId="4D8BBDB3" w14:textId="77777777" w:rsidR="00905E09" w:rsidRDefault="00905E0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541B1" w14:textId="77777777" w:rsidR="00584796" w:rsidRDefault="00584796">
      <w:r>
        <w:separator/>
      </w:r>
    </w:p>
  </w:footnote>
  <w:footnote w:type="continuationSeparator" w:id="0">
    <w:p w14:paraId="39DEEBE8" w14:textId="77777777" w:rsidR="00584796" w:rsidRDefault="00584796">
      <w:r>
        <w:continuationSeparator/>
      </w:r>
    </w:p>
  </w:footnote>
  <w:footnote w:id="1">
    <w:p w14:paraId="5BD89BE1" w14:textId="77777777" w:rsidR="00905E09" w:rsidRDefault="00CE232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https://www.sat.gob.mx/declaracion/90887/consulta-el-visor-de-comprobantes-de-nomina-para-el-patron-</w:t>
        </w:r>
      </w:hyperlink>
      <w:r>
        <w:rPr>
          <w:rFonts w:ascii="Palatino Linotype" w:eastAsia="Palatino Linotype" w:hAnsi="Palatino Linotype" w:cs="Palatino Linotype"/>
          <w:color w:val="000000"/>
          <w:sz w:val="16"/>
          <w:szCs w:val="16"/>
        </w:rPr>
        <w:t xml:space="preserve"> </w:t>
      </w:r>
    </w:p>
    <w:p w14:paraId="1FE0DACF" w14:textId="77777777" w:rsidR="00905E09" w:rsidRDefault="00CE232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o </w:t>
      </w:r>
      <w:hyperlink r:id="rId2">
        <w:r>
          <w:rPr>
            <w:rFonts w:ascii="Palatino Linotype" w:eastAsia="Palatino Linotype" w:hAnsi="Palatino Linotype" w:cs="Palatino Linotype"/>
            <w:color w:val="0000FF"/>
            <w:sz w:val="16"/>
            <w:szCs w:val="16"/>
            <w:u w:val="single"/>
          </w:rPr>
          <w:t>https://www.sat.gob.mx/personas/declaraciones</w:t>
        </w:r>
      </w:hyperlink>
      <w:r>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A8E97" w14:textId="77777777" w:rsidR="00905E09" w:rsidRDefault="00CE232F">
    <w:pPr>
      <w:rPr>
        <w:rFonts w:ascii="Cambria" w:eastAsia="Cambria" w:hAnsi="Cambria" w:cs="Cambria"/>
        <w:color w:val="000000"/>
      </w:rPr>
    </w:pPr>
    <w:r>
      <w:rPr>
        <w:noProof/>
      </w:rPr>
      <w:drawing>
        <wp:anchor distT="0" distB="0" distL="0" distR="0" simplePos="0" relativeHeight="251658240" behindDoc="1" locked="0" layoutInCell="1" hidden="0" allowOverlap="1" wp14:anchorId="795515FE" wp14:editId="5039B705">
          <wp:simplePos x="0" y="0"/>
          <wp:positionH relativeFrom="column">
            <wp:posOffset>-1080100</wp:posOffset>
          </wp:positionH>
          <wp:positionV relativeFrom="paragraph">
            <wp:posOffset>-488274</wp:posOffset>
          </wp:positionV>
          <wp:extent cx="7809865" cy="10165715"/>
          <wp:effectExtent l="0" t="0" r="0" b="0"/>
          <wp:wrapNone/>
          <wp:docPr id="21401319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953" w:type="dxa"/>
      <w:tblInd w:w="3261" w:type="dxa"/>
      <w:tblLayout w:type="fixed"/>
      <w:tblLook w:val="0400" w:firstRow="0" w:lastRow="0" w:firstColumn="0" w:lastColumn="0" w:noHBand="0" w:noVBand="1"/>
    </w:tblPr>
    <w:tblGrid>
      <w:gridCol w:w="2489"/>
      <w:gridCol w:w="3464"/>
    </w:tblGrid>
    <w:tr w:rsidR="00905E09" w14:paraId="14869C07" w14:textId="77777777">
      <w:tc>
        <w:tcPr>
          <w:tcW w:w="2489" w:type="dxa"/>
          <w:shd w:val="clear" w:color="auto" w:fill="auto"/>
        </w:tcPr>
        <w:p w14:paraId="0F6CF713" w14:textId="77777777" w:rsidR="00905E09" w:rsidRDefault="00CE23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24F3A90" w14:textId="77777777" w:rsidR="00905E09" w:rsidRDefault="00CE232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05789/INFOEM/IP/RR/2024</w:t>
          </w:r>
        </w:p>
      </w:tc>
    </w:tr>
    <w:tr w:rsidR="00905E09" w14:paraId="0FF5BFCB" w14:textId="77777777">
      <w:trPr>
        <w:trHeight w:val="228"/>
      </w:trPr>
      <w:tc>
        <w:tcPr>
          <w:tcW w:w="2489" w:type="dxa"/>
          <w:shd w:val="clear" w:color="auto" w:fill="auto"/>
          <w:vAlign w:val="center"/>
        </w:tcPr>
        <w:p w14:paraId="0B1C79BC" w14:textId="77777777" w:rsidR="00905E09" w:rsidRDefault="00CE23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E76D5D2" w14:textId="77777777" w:rsidR="00905E09" w:rsidRDefault="00CE232F">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la Paz</w:t>
          </w:r>
        </w:p>
      </w:tc>
    </w:tr>
    <w:tr w:rsidR="00905E09" w14:paraId="777F7582" w14:textId="77777777">
      <w:tc>
        <w:tcPr>
          <w:tcW w:w="2489" w:type="dxa"/>
          <w:shd w:val="clear" w:color="auto" w:fill="auto"/>
          <w:vAlign w:val="center"/>
        </w:tcPr>
        <w:p w14:paraId="61CB94CD" w14:textId="77777777" w:rsidR="00905E09" w:rsidRDefault="00CE232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A18764E" w14:textId="77777777" w:rsidR="00905E09" w:rsidRDefault="00CE232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FCC00FF" w14:textId="77777777" w:rsidR="00905E09" w:rsidRDefault="00CE232F">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9781" w14:textId="77777777" w:rsidR="00905E09" w:rsidRDefault="00CE232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r>
      <w:rPr>
        <w:noProof/>
      </w:rPr>
      <w:drawing>
        <wp:anchor distT="0" distB="0" distL="0" distR="0" simplePos="0" relativeHeight="251659264" behindDoc="1" locked="0" layoutInCell="1" hidden="0" allowOverlap="1" wp14:anchorId="512F1D7F" wp14:editId="178B7372">
          <wp:simplePos x="0" y="0"/>
          <wp:positionH relativeFrom="column">
            <wp:posOffset>-1080126</wp:posOffset>
          </wp:positionH>
          <wp:positionV relativeFrom="paragraph">
            <wp:posOffset>-369901</wp:posOffset>
          </wp:positionV>
          <wp:extent cx="7809865" cy="10165715"/>
          <wp:effectExtent l="0" t="0" r="0" b="0"/>
          <wp:wrapNone/>
          <wp:docPr id="21401319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8"/>
      <w:tblW w:w="5953" w:type="dxa"/>
      <w:tblInd w:w="3261" w:type="dxa"/>
      <w:tblLayout w:type="fixed"/>
      <w:tblLook w:val="0400" w:firstRow="0" w:lastRow="0" w:firstColumn="0" w:lastColumn="0" w:noHBand="0" w:noVBand="1"/>
    </w:tblPr>
    <w:tblGrid>
      <w:gridCol w:w="2489"/>
      <w:gridCol w:w="3464"/>
    </w:tblGrid>
    <w:tr w:rsidR="00905E09" w14:paraId="306B3E25" w14:textId="77777777">
      <w:tc>
        <w:tcPr>
          <w:tcW w:w="2489" w:type="dxa"/>
          <w:shd w:val="clear" w:color="auto" w:fill="auto"/>
        </w:tcPr>
        <w:p w14:paraId="30601ACA" w14:textId="77777777" w:rsidR="00905E09" w:rsidRDefault="00CE23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1F072A6" w14:textId="77777777" w:rsidR="00905E09" w:rsidRDefault="00CE232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05789/INFOEM/IP/RR/2024</w:t>
          </w:r>
        </w:p>
      </w:tc>
    </w:tr>
    <w:tr w:rsidR="00905E09" w14:paraId="57FE6277" w14:textId="77777777">
      <w:tc>
        <w:tcPr>
          <w:tcW w:w="2489" w:type="dxa"/>
          <w:shd w:val="clear" w:color="auto" w:fill="auto"/>
        </w:tcPr>
        <w:p w14:paraId="1D3BE464" w14:textId="77777777" w:rsidR="00905E09" w:rsidRDefault="00CE23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1DB586BA" w14:textId="7008BCA9" w:rsidR="00905E09" w:rsidRDefault="0081694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 X</w:t>
          </w:r>
        </w:p>
      </w:tc>
    </w:tr>
    <w:tr w:rsidR="00905E09" w14:paraId="1CCD9B45" w14:textId="77777777">
      <w:trPr>
        <w:trHeight w:val="228"/>
      </w:trPr>
      <w:tc>
        <w:tcPr>
          <w:tcW w:w="2489" w:type="dxa"/>
          <w:shd w:val="clear" w:color="auto" w:fill="auto"/>
          <w:vAlign w:val="center"/>
        </w:tcPr>
        <w:p w14:paraId="5514415A" w14:textId="77777777" w:rsidR="00905E09" w:rsidRDefault="00CE23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51BF689" w14:textId="77777777" w:rsidR="00905E09" w:rsidRDefault="00CE232F">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la Paz</w:t>
          </w:r>
        </w:p>
      </w:tc>
    </w:tr>
    <w:tr w:rsidR="00905E09" w14:paraId="21E3E74F" w14:textId="77777777">
      <w:tc>
        <w:tcPr>
          <w:tcW w:w="2489" w:type="dxa"/>
          <w:shd w:val="clear" w:color="auto" w:fill="auto"/>
          <w:vAlign w:val="center"/>
        </w:tcPr>
        <w:p w14:paraId="16CA7412" w14:textId="77777777" w:rsidR="00905E09" w:rsidRDefault="00CE232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FD38D62" w14:textId="77777777" w:rsidR="00905E09" w:rsidRDefault="00CE232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F2D7B2B" w14:textId="77777777" w:rsidR="00905E09" w:rsidRDefault="00905E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10C96"/>
    <w:multiLevelType w:val="multilevel"/>
    <w:tmpl w:val="012C3F7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E09"/>
    <w:rsid w:val="000866FC"/>
    <w:rsid w:val="00386F06"/>
    <w:rsid w:val="00584796"/>
    <w:rsid w:val="00816945"/>
    <w:rsid w:val="008558D9"/>
    <w:rsid w:val="008E4418"/>
    <w:rsid w:val="00905E09"/>
    <w:rsid w:val="00CE232F"/>
    <w:rsid w:val="00EA61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A1E11"/>
  <w15:docId w15:val="{1BB46BD9-B2A7-4E9B-A745-C81E4D8B7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171"/>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9"/>
    <w:tblPr>
      <w:tblStyleRowBandSize w:val="1"/>
      <w:tblStyleColBandSize w:val="1"/>
      <w:tblCellMar>
        <w:left w:w="115" w:type="dxa"/>
        <w:right w:w="115" w:type="dxa"/>
      </w:tblCellMar>
    </w:tblPr>
  </w:style>
  <w:style w:type="table" w:customStyle="1" w:styleId="a0">
    <w:basedOn w:val="TableNormal9"/>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806B5C"/>
    <w:rPr>
      <w:vertAlign w:val="superscript"/>
    </w:rPr>
  </w:style>
  <w:style w:type="table" w:customStyle="1" w:styleId="a1">
    <w:basedOn w:val="TableNormal9"/>
    <w:tblPr>
      <w:tblStyleRowBandSize w:val="1"/>
      <w:tblStyleColBandSize w:val="1"/>
      <w:tblCellMar>
        <w:left w:w="115" w:type="dxa"/>
        <w:right w:w="115" w:type="dxa"/>
      </w:tblCellMar>
    </w:tblPr>
  </w:style>
  <w:style w:type="table" w:customStyle="1" w:styleId="a2">
    <w:basedOn w:val="TableNormal9"/>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8"/>
    <w:tblPr>
      <w:tblStyleRowBandSize w:val="1"/>
      <w:tblStyleColBandSize w:val="1"/>
      <w:tblCellMar>
        <w:left w:w="115" w:type="dxa"/>
        <w:right w:w="115" w:type="dxa"/>
      </w:tblCellMar>
    </w:tblPr>
  </w:style>
  <w:style w:type="table" w:customStyle="1" w:styleId="a4">
    <w:basedOn w:val="TableNormal8"/>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table" w:customStyle="1" w:styleId="a5">
    <w:basedOn w:val="TableNormal7"/>
    <w:tblPr>
      <w:tblStyleRowBandSize w:val="1"/>
      <w:tblStyleColBandSize w:val="1"/>
      <w:tblCellMar>
        <w:left w:w="115" w:type="dxa"/>
        <w:right w:w="115" w:type="dxa"/>
      </w:tblCellMar>
    </w:tblPr>
  </w:style>
  <w:style w:type="table" w:customStyle="1" w:styleId="a6">
    <w:basedOn w:val="TableNormal7"/>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4D7E58"/>
    <w:rPr>
      <w:color w:val="605E5C"/>
      <w:shd w:val="clear" w:color="auto" w:fill="E1DFDD"/>
    </w:rPr>
  </w:style>
  <w:style w:type="table" w:customStyle="1" w:styleId="a7">
    <w:basedOn w:val="TableNormal6"/>
    <w:tblPr>
      <w:tblStyleRowBandSize w:val="1"/>
      <w:tblStyleColBandSize w:val="1"/>
      <w:tblCellMar>
        <w:left w:w="115" w:type="dxa"/>
        <w:right w:w="115" w:type="dxa"/>
      </w:tblCellMar>
    </w:tblPr>
  </w:style>
  <w:style w:type="table" w:customStyle="1" w:styleId="a8">
    <w:basedOn w:val="TableNormal6"/>
    <w:tblPr>
      <w:tblStyleRowBandSize w:val="1"/>
      <w:tblStyleColBandSize w:val="1"/>
      <w:tblCellMar>
        <w:left w:w="115" w:type="dxa"/>
        <w:right w:w="115" w:type="dxa"/>
      </w:tblCellMar>
    </w:tblPr>
  </w:style>
  <w:style w:type="character" w:customStyle="1" w:styleId="object">
    <w:name w:val="object"/>
    <w:basedOn w:val="Fuentedeprrafopredeter"/>
    <w:rsid w:val="003E1B7B"/>
  </w:style>
  <w:style w:type="character" w:styleId="Textoennegrita">
    <w:name w:val="Strong"/>
    <w:basedOn w:val="Fuentedeprrafopredeter"/>
    <w:uiPriority w:val="22"/>
    <w:qFormat/>
    <w:rsid w:val="003E1B7B"/>
    <w:rPr>
      <w:b/>
      <w:bCs/>
    </w:r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576276"/>
    <w:rPr>
      <w:color w:val="605E5C"/>
      <w:shd w:val="clear" w:color="auto" w:fill="E1DFDD"/>
    </w:rPr>
  </w:style>
  <w:style w:type="paragraph" w:styleId="Textoindependiente">
    <w:name w:val="Body Text"/>
    <w:basedOn w:val="Normal"/>
    <w:link w:val="TextoindependienteCar"/>
    <w:uiPriority w:val="1"/>
    <w:qFormat/>
    <w:rsid w:val="001E4A02"/>
    <w:pPr>
      <w:widowControl w:val="0"/>
      <w:autoSpaceDE w:val="0"/>
      <w:autoSpaceDN w:val="0"/>
    </w:pPr>
    <w:rPr>
      <w:rFonts w:ascii="Arial" w:eastAsia="Arial" w:hAnsi="Arial" w:cs="Arial"/>
      <w:sz w:val="19"/>
      <w:szCs w:val="19"/>
      <w:lang w:val="es-ES" w:eastAsia="en-US"/>
    </w:rPr>
  </w:style>
  <w:style w:type="character" w:customStyle="1" w:styleId="TextoindependienteCar">
    <w:name w:val="Texto independiente Car"/>
    <w:basedOn w:val="Fuentedeprrafopredeter"/>
    <w:link w:val="Textoindependiente"/>
    <w:uiPriority w:val="1"/>
    <w:rsid w:val="001E4A02"/>
    <w:rPr>
      <w:rFonts w:ascii="Arial" w:eastAsia="Arial" w:hAnsi="Arial" w:cs="Arial"/>
      <w:sz w:val="19"/>
      <w:szCs w:val="19"/>
      <w:lang w:val="es-ES" w:eastAsia="en-US"/>
    </w:r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08" w:type="dxa"/>
        <w:right w:w="108"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27.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hyperlink" Target="https://sfpya.edomexico.gob.mx/participaciones/"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37.png"/><Relationship Id="rId37" Type="http://schemas.openxmlformats.org/officeDocument/2006/relationships/image" Target="media/image28.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35.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36.png"/><Relationship Id="rId46"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sat.gob.mx/personas/declaraciones" TargetMode="External"/><Relationship Id="rId1" Type="http://schemas.openxmlformats.org/officeDocument/2006/relationships/hyperlink" Target="https://www.sat.gob.mx/declaracion/90887/consulta-el-visor-de-comprobantes-de-nomina-para-el-patr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UTbDLRU7R0RQpNL/mmZQ67pmSw==">CgMxLjAyCWguNGQzNG9nODIIaC5namRneHMyCWguM2R5NnZrbTIJaC4zMGowemxsMgloLjJzOGV5bzEyCGgudHlqY3d0MgloLjF0M2g1c2YyCWguMmV0OTJwMDIIaC5sbnhiejkyCWguMjZpbjFyZzIJaC4xN2RwOHZ1MgloLjNyZGNyam4yCWguMWZvYjl0ZTgAciExZjhvRmZYZlNlOWRUVVpHLXhRNmhOcFBJUkJxNnRqTTM=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68</Pages>
  <Words>15974</Words>
  <Characters>87861</Characters>
  <Application>Microsoft Office Word</Application>
  <DocSecurity>0</DocSecurity>
  <Lines>732</Lines>
  <Paragraphs>207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2024-11-07T21:35:00Z</cp:lastPrinted>
  <dcterms:created xsi:type="dcterms:W3CDTF">2024-11-29T18:27:00Z</dcterms:created>
  <dcterms:modified xsi:type="dcterms:W3CDTF">2024-11-29T18:27:00Z</dcterms:modified>
</cp:coreProperties>
</file>