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B07658" w14:textId="1B3CB3D9" w:rsidR="000E48BC" w:rsidRPr="007813EC" w:rsidRDefault="000E48BC" w:rsidP="005136D5">
      <w:pPr>
        <w:shd w:val="clear" w:color="auto" w:fill="FFFFFF"/>
        <w:spacing w:after="0" w:line="360" w:lineRule="auto"/>
        <w:jc w:val="both"/>
        <w:rPr>
          <w:rFonts w:ascii="Palatino Linotype" w:eastAsia="Times New Roman" w:hAnsi="Palatino Linotype" w:cs="Arial"/>
          <w:sz w:val="24"/>
          <w:szCs w:val="24"/>
          <w:lang w:eastAsia="es-MX"/>
        </w:rPr>
      </w:pPr>
      <w:r w:rsidRPr="007813EC">
        <w:rPr>
          <w:rFonts w:ascii="Palatino Linotype" w:eastAsia="Times New Roman" w:hAnsi="Palatino Linotype" w:cs="Arial"/>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634130">
        <w:rPr>
          <w:rFonts w:ascii="Palatino Linotype" w:eastAsia="Times New Roman" w:hAnsi="Palatino Linotype" w:cs="Arial"/>
          <w:sz w:val="24"/>
          <w:szCs w:val="24"/>
          <w:lang w:eastAsia="es-MX"/>
        </w:rPr>
        <w:t>once de septiembre</w:t>
      </w:r>
      <w:r w:rsidR="0043656E" w:rsidRPr="007813EC">
        <w:rPr>
          <w:rFonts w:ascii="Palatino Linotype" w:eastAsia="Times New Roman" w:hAnsi="Palatino Linotype" w:cs="Arial"/>
          <w:sz w:val="24"/>
          <w:szCs w:val="24"/>
          <w:lang w:eastAsia="es-MX"/>
        </w:rPr>
        <w:t xml:space="preserve"> </w:t>
      </w:r>
      <w:r w:rsidRPr="007813EC">
        <w:rPr>
          <w:rFonts w:ascii="Palatino Linotype" w:eastAsia="Times New Roman" w:hAnsi="Palatino Linotype" w:cs="Arial"/>
          <w:sz w:val="24"/>
          <w:szCs w:val="24"/>
          <w:lang w:eastAsia="es-MX"/>
        </w:rPr>
        <w:t>de dos mil veinti</w:t>
      </w:r>
      <w:r w:rsidR="00E179EA" w:rsidRPr="007813EC">
        <w:rPr>
          <w:rFonts w:ascii="Palatino Linotype" w:eastAsia="Times New Roman" w:hAnsi="Palatino Linotype" w:cs="Arial"/>
          <w:sz w:val="24"/>
          <w:szCs w:val="24"/>
          <w:lang w:eastAsia="es-MX"/>
        </w:rPr>
        <w:t>cuatro</w:t>
      </w:r>
      <w:r w:rsidRPr="007813EC">
        <w:rPr>
          <w:rFonts w:ascii="Palatino Linotype" w:eastAsia="Times New Roman" w:hAnsi="Palatino Linotype" w:cs="Arial"/>
          <w:sz w:val="24"/>
          <w:szCs w:val="24"/>
          <w:lang w:eastAsia="es-MX"/>
        </w:rPr>
        <w:t>.</w:t>
      </w:r>
    </w:p>
    <w:p w14:paraId="2CB8D0A8" w14:textId="77777777" w:rsidR="000E48BC" w:rsidRPr="007813EC" w:rsidRDefault="000E48BC" w:rsidP="005136D5">
      <w:pPr>
        <w:shd w:val="clear" w:color="auto" w:fill="FFFFFF"/>
        <w:spacing w:after="0" w:line="360" w:lineRule="auto"/>
        <w:jc w:val="both"/>
        <w:rPr>
          <w:rFonts w:ascii="Palatino Linotype" w:eastAsia="Times New Roman" w:hAnsi="Palatino Linotype" w:cs="Arial"/>
          <w:sz w:val="24"/>
          <w:szCs w:val="24"/>
          <w:lang w:eastAsia="es-MX"/>
        </w:rPr>
      </w:pPr>
    </w:p>
    <w:p w14:paraId="492989D5" w14:textId="28F71AE3" w:rsidR="000E48BC" w:rsidRPr="007813EC" w:rsidRDefault="00A275A3" w:rsidP="005136D5">
      <w:pPr>
        <w:tabs>
          <w:tab w:val="left" w:pos="1701"/>
        </w:tabs>
        <w:spacing w:after="0" w:line="360" w:lineRule="auto"/>
        <w:jc w:val="both"/>
        <w:rPr>
          <w:rFonts w:ascii="Palatino Linotype" w:hAnsi="Palatino Linotype" w:cs="Arial"/>
          <w:b/>
          <w:sz w:val="24"/>
          <w:szCs w:val="24"/>
        </w:rPr>
      </w:pPr>
      <w:r w:rsidRPr="007813EC">
        <w:rPr>
          <w:rFonts w:ascii="Palatino Linotype" w:hAnsi="Palatino Linotype" w:cs="Arial"/>
          <w:b/>
          <w:sz w:val="24"/>
          <w:szCs w:val="24"/>
        </w:rPr>
        <w:t>VISTO</w:t>
      </w:r>
      <w:r w:rsidRPr="007813EC">
        <w:rPr>
          <w:rFonts w:ascii="Palatino Linotype" w:hAnsi="Palatino Linotype" w:cs="Arial"/>
          <w:sz w:val="24"/>
          <w:szCs w:val="24"/>
        </w:rPr>
        <w:t xml:space="preserve"> </w:t>
      </w:r>
      <w:r w:rsidR="003A1B33" w:rsidRPr="007813EC">
        <w:rPr>
          <w:rFonts w:ascii="Palatino Linotype" w:hAnsi="Palatino Linotype" w:cs="Arial"/>
          <w:sz w:val="24"/>
          <w:szCs w:val="24"/>
        </w:rPr>
        <w:t>e</w:t>
      </w:r>
      <w:r w:rsidRPr="007813EC">
        <w:rPr>
          <w:rFonts w:ascii="Palatino Linotype" w:hAnsi="Palatino Linotype" w:cs="Arial"/>
          <w:sz w:val="24"/>
          <w:szCs w:val="24"/>
        </w:rPr>
        <w:t>l expediente electrónico</w:t>
      </w:r>
      <w:r w:rsidR="003A1B33" w:rsidRPr="007813EC">
        <w:rPr>
          <w:rFonts w:ascii="Palatino Linotype" w:hAnsi="Palatino Linotype" w:cs="Arial"/>
          <w:sz w:val="24"/>
          <w:szCs w:val="24"/>
        </w:rPr>
        <w:t xml:space="preserve"> formado</w:t>
      </w:r>
      <w:r w:rsidRPr="007813EC">
        <w:rPr>
          <w:rFonts w:ascii="Palatino Linotype" w:hAnsi="Palatino Linotype" w:cs="Arial"/>
          <w:sz w:val="24"/>
          <w:szCs w:val="24"/>
        </w:rPr>
        <w:t xml:space="preserve"> con motivo del recurso de revisión con número </w:t>
      </w:r>
      <w:r w:rsidR="00B62642">
        <w:rPr>
          <w:rFonts w:ascii="Palatino Linotype" w:hAnsi="Palatino Linotype" w:cs="Arial"/>
          <w:b/>
          <w:bCs/>
          <w:sz w:val="24"/>
          <w:szCs w:val="24"/>
          <w:lang w:eastAsia="es-MX"/>
        </w:rPr>
        <w:t>04100/INFOEM/IP/RR/2024</w:t>
      </w:r>
      <w:r w:rsidR="000E48BC" w:rsidRPr="007813EC">
        <w:rPr>
          <w:rFonts w:ascii="Palatino Linotype" w:hAnsi="Palatino Linotype" w:cs="Arial"/>
          <w:sz w:val="24"/>
          <w:szCs w:val="24"/>
        </w:rPr>
        <w:t xml:space="preserve">, </w:t>
      </w:r>
      <w:r w:rsidR="00AE6CFE" w:rsidRPr="007813EC">
        <w:rPr>
          <w:rFonts w:ascii="Palatino Linotype" w:eastAsia="Palatino Linotype" w:hAnsi="Palatino Linotype" w:cs="Palatino Linotype"/>
          <w:sz w:val="24"/>
          <w:szCs w:val="24"/>
        </w:rPr>
        <w:t>promovido por un particular que tanto al momento de ingresar la solicitud de información como de interponer el recurso de revisión,</w:t>
      </w:r>
      <w:r w:rsidR="00B62642">
        <w:rPr>
          <w:rFonts w:ascii="Palatino Linotype" w:eastAsia="Palatino Linotype" w:hAnsi="Palatino Linotype" w:cs="Palatino Linotype"/>
          <w:sz w:val="24"/>
          <w:szCs w:val="24"/>
        </w:rPr>
        <w:t xml:space="preserve"> no</w:t>
      </w:r>
      <w:r w:rsidR="00AE6CFE" w:rsidRPr="007813EC">
        <w:rPr>
          <w:rFonts w:ascii="Palatino Linotype" w:eastAsia="Palatino Linotype" w:hAnsi="Palatino Linotype" w:cs="Palatino Linotype"/>
          <w:sz w:val="24"/>
          <w:szCs w:val="24"/>
        </w:rPr>
        <w:t xml:space="preserve"> señaló nombre o seudónimo con el cual desee ser identificado</w:t>
      </w:r>
      <w:r w:rsidR="000E48BC" w:rsidRPr="007813EC">
        <w:rPr>
          <w:rFonts w:ascii="Palatino Linotype" w:eastAsia="Palatino Linotype" w:hAnsi="Palatino Linotype" w:cs="Palatino Linotype"/>
          <w:b/>
          <w:sz w:val="24"/>
          <w:szCs w:val="24"/>
        </w:rPr>
        <w:t>,</w:t>
      </w:r>
      <w:r w:rsidR="000E48BC" w:rsidRPr="007813EC">
        <w:rPr>
          <w:rFonts w:ascii="Palatino Linotype" w:hAnsi="Palatino Linotype"/>
          <w:sz w:val="24"/>
          <w:szCs w:val="24"/>
        </w:rPr>
        <w:t xml:space="preserve"> quien en lo sucesivo se le denominara como</w:t>
      </w:r>
      <w:r w:rsidR="00583C45" w:rsidRPr="007813EC">
        <w:rPr>
          <w:rFonts w:ascii="Palatino Linotype" w:hAnsi="Palatino Linotype"/>
          <w:sz w:val="24"/>
          <w:szCs w:val="24"/>
        </w:rPr>
        <w:t xml:space="preserve"> la parte </w:t>
      </w:r>
      <w:r w:rsidR="000E48BC" w:rsidRPr="007813EC">
        <w:rPr>
          <w:rFonts w:ascii="Palatino Linotype" w:hAnsi="Palatino Linotype"/>
          <w:b/>
          <w:sz w:val="24"/>
          <w:szCs w:val="24"/>
        </w:rPr>
        <w:t>Recurrente</w:t>
      </w:r>
      <w:r w:rsidR="003A1B33" w:rsidRPr="007813EC">
        <w:rPr>
          <w:rFonts w:ascii="Palatino Linotype" w:hAnsi="Palatino Linotype" w:cs="Arial"/>
          <w:sz w:val="24"/>
          <w:szCs w:val="24"/>
        </w:rPr>
        <w:t>, en contra de la</w:t>
      </w:r>
      <w:r w:rsidR="000E48BC" w:rsidRPr="007813EC">
        <w:rPr>
          <w:rFonts w:ascii="Palatino Linotype" w:hAnsi="Palatino Linotype" w:cs="Arial"/>
          <w:sz w:val="24"/>
          <w:szCs w:val="24"/>
        </w:rPr>
        <w:t xml:space="preserve"> respuesta del </w:t>
      </w:r>
      <w:r w:rsidR="00B62642">
        <w:rPr>
          <w:rFonts w:ascii="Palatino Linotype" w:hAnsi="Palatino Linotype" w:cs="Arial"/>
          <w:b/>
          <w:sz w:val="24"/>
          <w:szCs w:val="24"/>
        </w:rPr>
        <w:t>Ayuntamiento de Morelos</w:t>
      </w:r>
      <w:r w:rsidR="000E48BC" w:rsidRPr="007813EC">
        <w:rPr>
          <w:rFonts w:ascii="Palatino Linotype" w:hAnsi="Palatino Linotype" w:cs="Arial"/>
          <w:b/>
          <w:sz w:val="24"/>
          <w:szCs w:val="24"/>
        </w:rPr>
        <w:t xml:space="preserve">, </w:t>
      </w:r>
      <w:r w:rsidR="000E48BC" w:rsidRPr="007813EC">
        <w:rPr>
          <w:rFonts w:ascii="Palatino Linotype" w:hAnsi="Palatino Linotype" w:cs="Arial"/>
          <w:sz w:val="24"/>
          <w:szCs w:val="24"/>
        </w:rPr>
        <w:t>en lo subsecuente</w:t>
      </w:r>
      <w:r w:rsidR="000E48BC" w:rsidRPr="007813EC">
        <w:rPr>
          <w:rFonts w:ascii="Palatino Linotype" w:hAnsi="Palatino Linotype" w:cs="Arial"/>
          <w:b/>
          <w:sz w:val="24"/>
          <w:szCs w:val="24"/>
        </w:rPr>
        <w:t xml:space="preserve"> el Sujeto Obligado, </w:t>
      </w:r>
      <w:r w:rsidR="000E48BC" w:rsidRPr="007813EC">
        <w:rPr>
          <w:rFonts w:ascii="Palatino Linotype" w:hAnsi="Palatino Linotype" w:cs="Arial"/>
          <w:sz w:val="24"/>
          <w:szCs w:val="24"/>
        </w:rPr>
        <w:t>se procede a dictar la presente resolución.</w:t>
      </w:r>
    </w:p>
    <w:p w14:paraId="5999912F" w14:textId="77777777" w:rsidR="000E48BC" w:rsidRPr="007813EC" w:rsidRDefault="000E48BC" w:rsidP="005136D5">
      <w:pPr>
        <w:tabs>
          <w:tab w:val="left" w:pos="6960"/>
        </w:tabs>
        <w:spacing w:after="0" w:line="360" w:lineRule="auto"/>
        <w:jc w:val="both"/>
        <w:rPr>
          <w:rFonts w:ascii="Palatino Linotype" w:hAnsi="Palatino Linotype" w:cs="Arial"/>
          <w:sz w:val="24"/>
          <w:szCs w:val="24"/>
        </w:rPr>
      </w:pPr>
    </w:p>
    <w:p w14:paraId="7363ABFC" w14:textId="77777777" w:rsidR="000E48BC" w:rsidRPr="007813EC" w:rsidRDefault="000E48BC" w:rsidP="005136D5">
      <w:pPr>
        <w:spacing w:after="0" w:line="360" w:lineRule="auto"/>
        <w:jc w:val="center"/>
        <w:rPr>
          <w:rFonts w:ascii="Palatino Linotype" w:hAnsi="Palatino Linotype" w:cs="Arial"/>
          <w:b/>
          <w:sz w:val="28"/>
          <w:szCs w:val="24"/>
        </w:rPr>
      </w:pPr>
      <w:r w:rsidRPr="007813EC">
        <w:rPr>
          <w:rFonts w:ascii="Palatino Linotype" w:hAnsi="Palatino Linotype" w:cs="Arial"/>
          <w:b/>
          <w:sz w:val="28"/>
          <w:szCs w:val="24"/>
        </w:rPr>
        <w:t>A N T E C E D E N T E S</w:t>
      </w:r>
    </w:p>
    <w:p w14:paraId="51C9E2AC" w14:textId="77777777" w:rsidR="000E48BC" w:rsidRPr="007813EC" w:rsidRDefault="000E48BC" w:rsidP="005136D5">
      <w:pPr>
        <w:spacing w:after="0" w:line="360" w:lineRule="auto"/>
        <w:rPr>
          <w:rFonts w:ascii="Palatino Linotype" w:hAnsi="Palatino Linotype" w:cs="Arial"/>
          <w:b/>
          <w:sz w:val="24"/>
          <w:szCs w:val="24"/>
        </w:rPr>
      </w:pPr>
    </w:p>
    <w:p w14:paraId="4909D1B3" w14:textId="7C2FB82A" w:rsidR="00A275A3" w:rsidRPr="007813EC" w:rsidRDefault="000E48BC" w:rsidP="005136D5">
      <w:pPr>
        <w:spacing w:after="0" w:line="360" w:lineRule="auto"/>
        <w:jc w:val="both"/>
        <w:rPr>
          <w:rFonts w:ascii="Palatino Linotype" w:hAnsi="Palatino Linotype" w:cs="Arial"/>
          <w:sz w:val="24"/>
          <w:szCs w:val="24"/>
        </w:rPr>
      </w:pPr>
      <w:r w:rsidRPr="007813EC">
        <w:rPr>
          <w:rFonts w:ascii="Palatino Linotype" w:hAnsi="Palatino Linotype" w:cs="Arial"/>
          <w:b/>
          <w:sz w:val="28"/>
          <w:szCs w:val="28"/>
        </w:rPr>
        <w:t xml:space="preserve">PRIMERO. </w:t>
      </w:r>
      <w:r w:rsidRPr="007813EC">
        <w:rPr>
          <w:rFonts w:ascii="Palatino Linotype" w:hAnsi="Palatino Linotype" w:cs="Arial"/>
          <w:sz w:val="24"/>
          <w:szCs w:val="24"/>
        </w:rPr>
        <w:t xml:space="preserve">Con fecha </w:t>
      </w:r>
      <w:r w:rsidR="00B62642">
        <w:rPr>
          <w:rFonts w:ascii="Palatino Linotype" w:hAnsi="Palatino Linotype" w:cs="Arial"/>
          <w:sz w:val="24"/>
          <w:szCs w:val="24"/>
        </w:rPr>
        <w:t xml:space="preserve">once de junio </w:t>
      </w:r>
      <w:r w:rsidR="003A1B33" w:rsidRPr="007813EC">
        <w:rPr>
          <w:rFonts w:ascii="Palatino Linotype" w:hAnsi="Palatino Linotype" w:cs="Arial"/>
          <w:sz w:val="24"/>
          <w:szCs w:val="24"/>
        </w:rPr>
        <w:t>de dos mil veinticuatro</w:t>
      </w:r>
      <w:r w:rsidRPr="007813EC">
        <w:rPr>
          <w:rFonts w:ascii="Palatino Linotype" w:hAnsi="Palatino Linotype" w:cs="Arial"/>
          <w:sz w:val="24"/>
          <w:szCs w:val="24"/>
        </w:rPr>
        <w:t xml:space="preserve">, </w:t>
      </w:r>
      <w:r w:rsidR="0058141C" w:rsidRPr="007813EC">
        <w:rPr>
          <w:rFonts w:ascii="Palatino Linotype" w:hAnsi="Palatino Linotype" w:cs="Arial"/>
          <w:sz w:val="24"/>
          <w:szCs w:val="24"/>
        </w:rPr>
        <w:t>la parte</w:t>
      </w:r>
      <w:r w:rsidRPr="007813EC">
        <w:rPr>
          <w:rFonts w:ascii="Palatino Linotype" w:hAnsi="Palatino Linotype" w:cs="Arial"/>
          <w:b/>
          <w:sz w:val="24"/>
          <w:szCs w:val="24"/>
        </w:rPr>
        <w:t xml:space="preserve"> Recurrente</w:t>
      </w:r>
      <w:r w:rsidR="00583C45" w:rsidRPr="007813EC">
        <w:rPr>
          <w:rFonts w:ascii="Palatino Linotype" w:hAnsi="Palatino Linotype" w:cs="Arial"/>
          <w:sz w:val="24"/>
          <w:szCs w:val="24"/>
        </w:rPr>
        <w:t xml:space="preserve"> presentó a través d</w:t>
      </w:r>
      <w:r w:rsidR="001037B3" w:rsidRPr="007813EC">
        <w:rPr>
          <w:rFonts w:ascii="Palatino Linotype" w:hAnsi="Palatino Linotype" w:cs="Arial"/>
          <w:sz w:val="24"/>
          <w:szCs w:val="24"/>
        </w:rPr>
        <w:t>e</w:t>
      </w:r>
      <w:r w:rsidR="00B62642">
        <w:rPr>
          <w:rFonts w:ascii="Palatino Linotype" w:hAnsi="Palatino Linotype" w:cs="Arial"/>
          <w:sz w:val="24"/>
          <w:szCs w:val="24"/>
        </w:rPr>
        <w:t xml:space="preserve"> </w:t>
      </w:r>
      <w:r w:rsidRPr="007813EC">
        <w:rPr>
          <w:rFonts w:ascii="Palatino Linotype" w:hAnsi="Palatino Linotype" w:cs="Arial"/>
          <w:sz w:val="24"/>
          <w:szCs w:val="24"/>
        </w:rPr>
        <w:t>l</w:t>
      </w:r>
      <w:r w:rsidR="00B62642">
        <w:rPr>
          <w:rFonts w:ascii="Palatino Linotype" w:hAnsi="Palatino Linotype" w:cs="Arial"/>
          <w:sz w:val="24"/>
          <w:szCs w:val="24"/>
        </w:rPr>
        <w:t xml:space="preserve">a Plataforma Nacional de Transparencia </w:t>
      </w:r>
      <w:r w:rsidR="00B62642" w:rsidRPr="00B62642">
        <w:rPr>
          <w:rFonts w:ascii="Palatino Linotype" w:hAnsi="Palatino Linotype" w:cs="Arial"/>
          <w:b/>
          <w:bCs/>
          <w:sz w:val="24"/>
          <w:szCs w:val="24"/>
        </w:rPr>
        <w:t>PNT</w:t>
      </w:r>
      <w:r w:rsidR="00B62642">
        <w:rPr>
          <w:rFonts w:ascii="Palatino Linotype" w:hAnsi="Palatino Linotype" w:cs="Arial"/>
          <w:sz w:val="24"/>
          <w:szCs w:val="24"/>
        </w:rPr>
        <w:t>, la cual se encuentra estrechamente vinculada con el</w:t>
      </w:r>
      <w:r w:rsidRPr="007813EC">
        <w:rPr>
          <w:rFonts w:ascii="Palatino Linotype" w:hAnsi="Palatino Linotype" w:cs="Arial"/>
          <w:sz w:val="24"/>
          <w:szCs w:val="24"/>
        </w:rPr>
        <w:t xml:space="preserve"> Sistema de Acceso a la Información Mexiquense, en lo posterior el </w:t>
      </w:r>
      <w:r w:rsidRPr="007813EC">
        <w:rPr>
          <w:rFonts w:ascii="Palatino Linotype" w:hAnsi="Palatino Linotype" w:cs="Arial"/>
          <w:b/>
          <w:sz w:val="24"/>
          <w:szCs w:val="24"/>
        </w:rPr>
        <w:t>SAIMEX</w:t>
      </w:r>
      <w:r w:rsidRPr="007813EC">
        <w:rPr>
          <w:rFonts w:ascii="Palatino Linotype" w:hAnsi="Palatino Linotype" w:cs="Arial"/>
          <w:sz w:val="24"/>
          <w:szCs w:val="24"/>
        </w:rPr>
        <w:t xml:space="preserve">, ante </w:t>
      </w:r>
      <w:r w:rsidRPr="007813EC">
        <w:rPr>
          <w:rFonts w:ascii="Palatino Linotype" w:hAnsi="Palatino Linotype" w:cs="Arial"/>
          <w:b/>
          <w:sz w:val="24"/>
          <w:szCs w:val="24"/>
        </w:rPr>
        <w:t>el Sujeto Obligado</w:t>
      </w:r>
      <w:r w:rsidRPr="007813EC">
        <w:rPr>
          <w:rFonts w:ascii="Palatino Linotype" w:hAnsi="Palatino Linotype" w:cs="Arial"/>
          <w:sz w:val="24"/>
          <w:szCs w:val="24"/>
        </w:rPr>
        <w:t xml:space="preserve">, solicitud de acceso a la información pública, la cual </w:t>
      </w:r>
      <w:r w:rsidR="00A275A3" w:rsidRPr="007813EC">
        <w:rPr>
          <w:rFonts w:ascii="Palatino Linotype" w:hAnsi="Palatino Linotype" w:cs="Arial"/>
          <w:sz w:val="24"/>
          <w:szCs w:val="24"/>
        </w:rPr>
        <w:t>qued</w:t>
      </w:r>
      <w:r w:rsidR="003A1B33" w:rsidRPr="007813EC">
        <w:rPr>
          <w:rFonts w:ascii="Palatino Linotype" w:hAnsi="Palatino Linotype" w:cs="Arial"/>
          <w:sz w:val="24"/>
          <w:szCs w:val="24"/>
        </w:rPr>
        <w:t xml:space="preserve">ó </w:t>
      </w:r>
      <w:r w:rsidR="00A275A3" w:rsidRPr="007813EC">
        <w:rPr>
          <w:rFonts w:ascii="Palatino Linotype" w:hAnsi="Palatino Linotype" w:cs="Arial"/>
          <w:sz w:val="24"/>
          <w:szCs w:val="24"/>
        </w:rPr>
        <w:t xml:space="preserve">registrada bajo </w:t>
      </w:r>
      <w:r w:rsidR="003A1B33" w:rsidRPr="007813EC">
        <w:rPr>
          <w:rFonts w:ascii="Palatino Linotype" w:hAnsi="Palatino Linotype" w:cs="Arial"/>
          <w:sz w:val="24"/>
          <w:szCs w:val="24"/>
        </w:rPr>
        <w:t>e</w:t>
      </w:r>
      <w:r w:rsidR="00A275A3" w:rsidRPr="007813EC">
        <w:rPr>
          <w:rFonts w:ascii="Palatino Linotype" w:hAnsi="Palatino Linotype" w:cs="Arial"/>
          <w:sz w:val="24"/>
          <w:szCs w:val="24"/>
        </w:rPr>
        <w:t>l número de expedientes</w:t>
      </w:r>
      <w:r w:rsidR="00A275A3" w:rsidRPr="007813EC">
        <w:rPr>
          <w:rFonts w:ascii="Palatino Linotype" w:hAnsi="Palatino Linotype" w:cs="Arial"/>
          <w:b/>
          <w:sz w:val="24"/>
          <w:szCs w:val="24"/>
        </w:rPr>
        <w:t xml:space="preserve"> </w:t>
      </w:r>
      <w:r w:rsidR="00B62642">
        <w:rPr>
          <w:rFonts w:ascii="Palatino Linotype" w:hAnsi="Palatino Linotype" w:cs="Arial"/>
          <w:b/>
          <w:bCs/>
          <w:sz w:val="24"/>
          <w:szCs w:val="24"/>
        </w:rPr>
        <w:t>00045/MORELOS/IP/2024</w:t>
      </w:r>
      <w:r w:rsidR="003A1B33" w:rsidRPr="007813EC">
        <w:rPr>
          <w:rFonts w:ascii="Palatino Linotype" w:hAnsi="Palatino Linotype" w:cs="Arial"/>
          <w:b/>
          <w:bCs/>
          <w:sz w:val="24"/>
          <w:szCs w:val="24"/>
        </w:rPr>
        <w:t>,</w:t>
      </w:r>
      <w:r w:rsidR="00F20DD7" w:rsidRPr="007813EC">
        <w:rPr>
          <w:rFonts w:ascii="Palatino Linotype" w:hAnsi="Palatino Linotype" w:cs="Arial"/>
          <w:b/>
          <w:bCs/>
          <w:sz w:val="24"/>
          <w:szCs w:val="24"/>
        </w:rPr>
        <w:t xml:space="preserve"> </w:t>
      </w:r>
      <w:r w:rsidR="00A275A3" w:rsidRPr="007813EC">
        <w:rPr>
          <w:rFonts w:ascii="Palatino Linotype" w:hAnsi="Palatino Linotype" w:cs="Arial"/>
          <w:sz w:val="24"/>
          <w:szCs w:val="24"/>
        </w:rPr>
        <w:t>mediante la cual solicitó información en el tenor siguiente:</w:t>
      </w:r>
    </w:p>
    <w:p w14:paraId="18BEAB7A" w14:textId="77777777" w:rsidR="000E48BC" w:rsidRPr="007813EC" w:rsidRDefault="000E48BC" w:rsidP="005136D5">
      <w:pPr>
        <w:spacing w:after="0" w:line="360" w:lineRule="auto"/>
        <w:jc w:val="both"/>
        <w:rPr>
          <w:rFonts w:ascii="Palatino Linotype" w:hAnsi="Palatino Linotype" w:cs="Arial"/>
          <w:sz w:val="24"/>
          <w:szCs w:val="24"/>
        </w:rPr>
      </w:pPr>
    </w:p>
    <w:p w14:paraId="7B234C95" w14:textId="5DAC5DFF" w:rsidR="004602FD" w:rsidRPr="007813EC" w:rsidRDefault="003A1B33" w:rsidP="005136D5">
      <w:pPr>
        <w:spacing w:after="0" w:line="240" w:lineRule="auto"/>
        <w:ind w:left="567" w:right="567"/>
        <w:jc w:val="both"/>
        <w:rPr>
          <w:rFonts w:ascii="Palatino Linotype" w:hAnsi="Palatino Linotype" w:cs="Arial"/>
          <w:i/>
          <w:szCs w:val="24"/>
        </w:rPr>
      </w:pPr>
      <w:r w:rsidRPr="007813EC">
        <w:rPr>
          <w:rFonts w:ascii="Palatino Linotype" w:hAnsi="Palatino Linotype" w:cs="Arial"/>
          <w:i/>
          <w:szCs w:val="24"/>
        </w:rPr>
        <w:t>“</w:t>
      </w:r>
      <w:r w:rsidR="00B62642" w:rsidRPr="00B62642">
        <w:rPr>
          <w:rFonts w:ascii="Palatino Linotype" w:hAnsi="Palatino Linotype" w:cs="Arial"/>
          <w:i/>
          <w:szCs w:val="24"/>
        </w:rPr>
        <w:t>Se solicita en formato XLS compatible con Excel, la base de datos del padrón actualizado de licencias otorgadas para la operación de establecimientos en</w:t>
      </w:r>
      <w:r w:rsidR="00B62642">
        <w:rPr>
          <w:rFonts w:ascii="Palatino Linotype" w:hAnsi="Palatino Linotype" w:cs="Arial"/>
          <w:i/>
          <w:szCs w:val="24"/>
        </w:rPr>
        <w:t xml:space="preserve"> </w:t>
      </w:r>
      <w:r w:rsidR="00B62642" w:rsidRPr="00B62642">
        <w:rPr>
          <w:rFonts w:ascii="Palatino Linotype" w:hAnsi="Palatino Linotype" w:cs="Arial"/>
          <w:i/>
          <w:szCs w:val="24"/>
        </w:rPr>
        <w:t xml:space="preserve">los que se vende o consumen bebidas alcohólicas, otorgadas por la Dirección de Mejora Regulatoria, así como, su giro o </w:t>
      </w:r>
      <w:r w:rsidR="00B62642" w:rsidRPr="00B62642">
        <w:rPr>
          <w:rFonts w:ascii="Palatino Linotype" w:hAnsi="Palatino Linotype" w:cs="Arial"/>
          <w:i/>
          <w:szCs w:val="24"/>
        </w:rPr>
        <w:lastRenderedPageBreak/>
        <w:t>modalidad, dirección de los</w:t>
      </w:r>
      <w:r w:rsidR="00B62642">
        <w:rPr>
          <w:rFonts w:ascii="Palatino Linotype" w:hAnsi="Palatino Linotype" w:cs="Arial"/>
          <w:i/>
          <w:szCs w:val="24"/>
        </w:rPr>
        <w:t xml:space="preserve"> </w:t>
      </w:r>
      <w:r w:rsidR="00B62642" w:rsidRPr="00B62642">
        <w:rPr>
          <w:rFonts w:ascii="Palatino Linotype" w:hAnsi="Palatino Linotype" w:cs="Arial"/>
          <w:i/>
          <w:szCs w:val="24"/>
        </w:rPr>
        <w:t>establecimientos, los nombres y/o razones sociales de los titulares, y el hipervínculo del documento en el que obre cada una de las licencias.</w:t>
      </w:r>
      <w:r w:rsidRPr="007813EC">
        <w:rPr>
          <w:rFonts w:ascii="Palatino Linotype" w:hAnsi="Palatino Linotype" w:cs="Arial"/>
          <w:i/>
          <w:szCs w:val="24"/>
        </w:rPr>
        <w:t>”</w:t>
      </w:r>
    </w:p>
    <w:p w14:paraId="143DF2A8" w14:textId="77777777" w:rsidR="001037B3" w:rsidRPr="007813EC" w:rsidRDefault="001037B3" w:rsidP="005136D5">
      <w:pPr>
        <w:tabs>
          <w:tab w:val="left" w:pos="5647"/>
        </w:tabs>
        <w:spacing w:after="0" w:line="360" w:lineRule="auto"/>
        <w:jc w:val="both"/>
        <w:rPr>
          <w:rFonts w:ascii="Palatino Linotype" w:eastAsia="Times New Roman" w:hAnsi="Palatino Linotype" w:cs="Times New Roman"/>
          <w:sz w:val="24"/>
          <w:szCs w:val="24"/>
          <w:lang w:val="es-ES_tradnl" w:eastAsia="es-ES"/>
        </w:rPr>
      </w:pPr>
    </w:p>
    <w:p w14:paraId="2792DAB1" w14:textId="3E235895" w:rsidR="000E48BC" w:rsidRPr="007813EC" w:rsidRDefault="000E48BC" w:rsidP="005136D5">
      <w:pPr>
        <w:tabs>
          <w:tab w:val="left" w:pos="5647"/>
        </w:tabs>
        <w:spacing w:after="0" w:line="360" w:lineRule="auto"/>
        <w:jc w:val="both"/>
        <w:rPr>
          <w:rFonts w:ascii="Palatino Linotype" w:hAnsi="Palatino Linotype"/>
          <w:sz w:val="24"/>
          <w:szCs w:val="24"/>
        </w:rPr>
      </w:pPr>
      <w:r w:rsidRPr="007813EC">
        <w:rPr>
          <w:rFonts w:ascii="Palatino Linotype" w:eastAsia="Times New Roman" w:hAnsi="Palatino Linotype" w:cs="Times New Roman"/>
          <w:sz w:val="24"/>
          <w:szCs w:val="24"/>
          <w:lang w:val="es-ES_tradnl" w:eastAsia="es-ES"/>
        </w:rPr>
        <w:t xml:space="preserve">Modalidad de entrega: </w:t>
      </w:r>
      <w:r w:rsidR="00B62642">
        <w:rPr>
          <w:rFonts w:ascii="Palatino Linotype" w:hAnsi="Palatino Linotype"/>
          <w:b/>
          <w:i/>
          <w:sz w:val="24"/>
          <w:szCs w:val="24"/>
        </w:rPr>
        <w:t xml:space="preserve">correo electrónico y </w:t>
      </w:r>
      <w:r w:rsidR="00B62642" w:rsidRPr="00B62642">
        <w:rPr>
          <w:rFonts w:ascii="Palatino Linotype" w:hAnsi="Palatino Linotype"/>
          <w:b/>
          <w:i/>
          <w:sz w:val="24"/>
          <w:szCs w:val="24"/>
        </w:rPr>
        <w:t>Electrónico a través del sistema de solicitudes de acceso la</w:t>
      </w:r>
      <w:r w:rsidR="00B62642">
        <w:rPr>
          <w:rFonts w:ascii="Palatino Linotype" w:hAnsi="Palatino Linotype"/>
          <w:b/>
          <w:i/>
          <w:sz w:val="24"/>
          <w:szCs w:val="24"/>
        </w:rPr>
        <w:t xml:space="preserve"> información</w:t>
      </w:r>
    </w:p>
    <w:p w14:paraId="47DC92F7" w14:textId="14804FF7" w:rsidR="00656B9E" w:rsidRPr="007813EC" w:rsidRDefault="00656B9E" w:rsidP="005136D5">
      <w:pPr>
        <w:tabs>
          <w:tab w:val="left" w:pos="5647"/>
        </w:tabs>
        <w:spacing w:after="0" w:line="360" w:lineRule="auto"/>
        <w:jc w:val="both"/>
        <w:rPr>
          <w:rFonts w:ascii="Palatino Linotype" w:hAnsi="Palatino Linotype"/>
          <w:sz w:val="24"/>
          <w:szCs w:val="24"/>
        </w:rPr>
      </w:pPr>
    </w:p>
    <w:p w14:paraId="579BA888" w14:textId="7F9AF642" w:rsidR="001037B3" w:rsidRPr="007813EC" w:rsidRDefault="00546040" w:rsidP="005136D5">
      <w:pPr>
        <w:spacing w:after="0" w:line="360" w:lineRule="auto"/>
        <w:jc w:val="both"/>
        <w:rPr>
          <w:rFonts w:ascii="Palatino Linotype" w:eastAsia="Times New Roman" w:hAnsi="Palatino Linotype" w:cs="Times New Roman"/>
          <w:sz w:val="24"/>
          <w:szCs w:val="24"/>
          <w:lang w:val="es-ES" w:eastAsia="es-ES"/>
        </w:rPr>
      </w:pPr>
      <w:r w:rsidRPr="007813EC">
        <w:rPr>
          <w:rFonts w:ascii="Palatino Linotype" w:hAnsi="Palatino Linotype" w:cs="Arial"/>
          <w:b/>
          <w:sz w:val="28"/>
          <w:szCs w:val="24"/>
        </w:rPr>
        <w:t>SEGUNDO</w:t>
      </w:r>
      <w:r w:rsidRPr="007813EC">
        <w:rPr>
          <w:rFonts w:ascii="Palatino Linotype" w:hAnsi="Palatino Linotype" w:cs="Arial"/>
          <w:b/>
          <w:sz w:val="24"/>
          <w:szCs w:val="24"/>
        </w:rPr>
        <w:t xml:space="preserve">. </w:t>
      </w:r>
      <w:r w:rsidR="001037B3" w:rsidRPr="007813EC">
        <w:rPr>
          <w:rFonts w:ascii="Palatino Linotype" w:hAnsi="Palatino Linotype" w:cs="Arial"/>
          <w:sz w:val="24"/>
          <w:szCs w:val="24"/>
        </w:rPr>
        <w:t xml:space="preserve">De conformidad con las constancias electrónicas del expediente, se observa que el </w:t>
      </w:r>
      <w:r w:rsidR="001037B3" w:rsidRPr="007813EC">
        <w:rPr>
          <w:rFonts w:ascii="Palatino Linotype" w:hAnsi="Palatino Linotype" w:cs="Arial"/>
          <w:b/>
          <w:sz w:val="24"/>
          <w:szCs w:val="24"/>
        </w:rPr>
        <w:t>Sujeto Obligado</w:t>
      </w:r>
      <w:r w:rsidR="001037B3" w:rsidRPr="007813EC">
        <w:rPr>
          <w:rFonts w:ascii="Palatino Linotype" w:hAnsi="Palatino Linotype" w:cs="Arial"/>
          <w:sz w:val="24"/>
          <w:szCs w:val="24"/>
        </w:rPr>
        <w:t>,</w:t>
      </w:r>
      <w:r w:rsidR="001037B3" w:rsidRPr="007813EC">
        <w:rPr>
          <w:rFonts w:ascii="Palatino Linotype" w:eastAsia="Times New Roman" w:hAnsi="Palatino Linotype" w:cs="Times New Roman"/>
          <w:sz w:val="24"/>
          <w:szCs w:val="24"/>
          <w:lang w:val="es-ES" w:eastAsia="es-ES"/>
        </w:rPr>
        <w:t xml:space="preserve"> en fecha </w:t>
      </w:r>
      <w:r w:rsidR="0008615F">
        <w:rPr>
          <w:rFonts w:ascii="Palatino Linotype" w:eastAsia="Times New Roman" w:hAnsi="Palatino Linotype" w:cs="Times New Roman"/>
          <w:sz w:val="24"/>
          <w:szCs w:val="24"/>
          <w:lang w:val="es-ES" w:eastAsia="es-ES"/>
        </w:rPr>
        <w:t xml:space="preserve">veinticinco de junio </w:t>
      </w:r>
      <w:r w:rsidR="00656792" w:rsidRPr="007813EC">
        <w:rPr>
          <w:rFonts w:ascii="Palatino Linotype" w:eastAsia="Times New Roman" w:hAnsi="Palatino Linotype" w:cs="Times New Roman"/>
          <w:sz w:val="24"/>
          <w:szCs w:val="24"/>
          <w:lang w:val="es-ES" w:eastAsia="es-ES"/>
        </w:rPr>
        <w:t>d</w:t>
      </w:r>
      <w:r w:rsidR="001037B3" w:rsidRPr="007813EC">
        <w:rPr>
          <w:rFonts w:ascii="Palatino Linotype" w:eastAsia="Times New Roman" w:hAnsi="Palatino Linotype" w:cs="Times New Roman"/>
          <w:sz w:val="24"/>
          <w:szCs w:val="24"/>
          <w:lang w:val="es-ES" w:eastAsia="es-ES"/>
        </w:rPr>
        <w:t>e dos mil veinticuatro, el</w:t>
      </w:r>
      <w:r w:rsidR="001037B3" w:rsidRPr="007813EC">
        <w:rPr>
          <w:rFonts w:ascii="Palatino Linotype" w:eastAsia="Times New Roman" w:hAnsi="Palatino Linotype" w:cs="Times New Roman"/>
          <w:b/>
          <w:sz w:val="24"/>
          <w:szCs w:val="24"/>
          <w:lang w:val="es-ES" w:eastAsia="es-ES"/>
        </w:rPr>
        <w:t xml:space="preserve"> Sujeto Obligado </w:t>
      </w:r>
      <w:r w:rsidR="001037B3" w:rsidRPr="007813EC">
        <w:rPr>
          <w:rFonts w:ascii="Palatino Linotype" w:eastAsia="Times New Roman" w:hAnsi="Palatino Linotype" w:cs="Times New Roman"/>
          <w:sz w:val="24"/>
          <w:szCs w:val="24"/>
          <w:lang w:val="es-ES" w:eastAsia="es-ES"/>
        </w:rPr>
        <w:t>emitió respuesta, en los términos siguientes:</w:t>
      </w:r>
    </w:p>
    <w:p w14:paraId="099D5B27" w14:textId="77777777" w:rsidR="001037B3" w:rsidRPr="007813EC" w:rsidRDefault="001037B3" w:rsidP="005136D5">
      <w:pPr>
        <w:spacing w:after="0" w:line="360" w:lineRule="auto"/>
        <w:jc w:val="both"/>
        <w:rPr>
          <w:rFonts w:ascii="Palatino Linotype" w:eastAsia="Times New Roman" w:hAnsi="Palatino Linotype" w:cs="Times New Roman"/>
          <w:sz w:val="24"/>
          <w:szCs w:val="24"/>
          <w:lang w:val="es-ES" w:eastAsia="es-ES"/>
        </w:rPr>
      </w:pPr>
    </w:p>
    <w:p w14:paraId="261C0AAC" w14:textId="46226009" w:rsidR="0008615F" w:rsidRDefault="003A1B33" w:rsidP="005136D5">
      <w:pPr>
        <w:spacing w:after="0" w:line="240" w:lineRule="auto"/>
        <w:ind w:left="567" w:right="567"/>
        <w:jc w:val="both"/>
        <w:rPr>
          <w:rFonts w:ascii="Palatino Linotype" w:hAnsi="Palatino Linotype" w:cs="Arial"/>
          <w:i/>
          <w:szCs w:val="24"/>
        </w:rPr>
      </w:pPr>
      <w:r w:rsidRPr="007813EC">
        <w:rPr>
          <w:rFonts w:ascii="Palatino Linotype" w:hAnsi="Palatino Linotype" w:cs="Arial"/>
          <w:i/>
          <w:szCs w:val="24"/>
        </w:rPr>
        <w:t>“</w:t>
      </w:r>
      <w:r w:rsidR="0008615F" w:rsidRPr="0008615F">
        <w:rPr>
          <w:rFonts w:ascii="Palatino Linotype" w:hAnsi="Palatino Linotype" w:cs="Arial"/>
          <w:i/>
          <w:szCs w:val="24"/>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FCB15A8" w14:textId="77777777" w:rsidR="0008615F" w:rsidRPr="0008615F" w:rsidRDefault="0008615F" w:rsidP="005136D5">
      <w:pPr>
        <w:spacing w:after="0" w:line="240" w:lineRule="auto"/>
        <w:ind w:left="567" w:right="567"/>
        <w:jc w:val="both"/>
        <w:rPr>
          <w:rFonts w:ascii="Palatino Linotype" w:hAnsi="Palatino Linotype" w:cs="Arial"/>
          <w:i/>
          <w:szCs w:val="24"/>
        </w:rPr>
      </w:pPr>
    </w:p>
    <w:p w14:paraId="5FCDB483" w14:textId="1CD22D59" w:rsidR="003A1B33" w:rsidRPr="007813EC" w:rsidRDefault="0008615F" w:rsidP="005136D5">
      <w:pPr>
        <w:spacing w:after="0" w:line="240" w:lineRule="auto"/>
        <w:ind w:left="567" w:right="567"/>
        <w:jc w:val="both"/>
        <w:rPr>
          <w:rFonts w:ascii="Palatino Linotype" w:hAnsi="Palatino Linotype" w:cs="Arial"/>
          <w:iCs/>
          <w:szCs w:val="24"/>
        </w:rPr>
      </w:pPr>
      <w:r w:rsidRPr="0008615F">
        <w:rPr>
          <w:rFonts w:ascii="Palatino Linotype" w:hAnsi="Palatino Linotype" w:cs="Arial"/>
          <w:i/>
          <w:szCs w:val="24"/>
        </w:rPr>
        <w:t>Se emite respuesta a la solicitud 00045/MORELOS/IP/2024</w:t>
      </w:r>
      <w:r w:rsidR="00656792" w:rsidRPr="007813EC">
        <w:rPr>
          <w:rFonts w:ascii="Palatino Linotype" w:hAnsi="Palatino Linotype" w:cs="Arial"/>
          <w:i/>
          <w:szCs w:val="24"/>
        </w:rPr>
        <w:t>”</w:t>
      </w:r>
      <w:r w:rsidR="00656792" w:rsidRPr="007813EC">
        <w:rPr>
          <w:rFonts w:ascii="Palatino Linotype" w:hAnsi="Palatino Linotype" w:cs="Arial"/>
          <w:iCs/>
          <w:szCs w:val="24"/>
        </w:rPr>
        <w:t xml:space="preserve"> (sic)</w:t>
      </w:r>
    </w:p>
    <w:p w14:paraId="7192ECD7" w14:textId="77777777" w:rsidR="001922A2" w:rsidRPr="007813EC" w:rsidRDefault="001922A2" w:rsidP="005136D5">
      <w:pPr>
        <w:spacing w:after="0" w:line="360" w:lineRule="auto"/>
        <w:jc w:val="both"/>
        <w:rPr>
          <w:rFonts w:ascii="Palatino Linotype" w:eastAsia="Times New Roman" w:hAnsi="Palatino Linotype" w:cs="Times New Roman"/>
          <w:sz w:val="24"/>
          <w:szCs w:val="24"/>
          <w:lang w:eastAsia="es-ES"/>
        </w:rPr>
      </w:pPr>
    </w:p>
    <w:p w14:paraId="2C94D97C" w14:textId="44A828C0" w:rsidR="001037B3" w:rsidRPr="007813EC" w:rsidRDefault="001037B3" w:rsidP="005136D5">
      <w:pPr>
        <w:spacing w:after="0" w:line="360" w:lineRule="auto"/>
        <w:jc w:val="both"/>
        <w:rPr>
          <w:rFonts w:ascii="Palatino Linotype" w:eastAsia="Times New Roman" w:hAnsi="Palatino Linotype" w:cs="Times New Roman"/>
          <w:sz w:val="24"/>
          <w:szCs w:val="24"/>
          <w:lang w:eastAsia="es-ES"/>
        </w:rPr>
      </w:pPr>
      <w:r w:rsidRPr="007813EC">
        <w:rPr>
          <w:rFonts w:ascii="Palatino Linotype" w:eastAsia="Times New Roman" w:hAnsi="Palatino Linotype" w:cs="Times New Roman"/>
          <w:sz w:val="24"/>
          <w:szCs w:val="24"/>
          <w:lang w:eastAsia="es-ES"/>
        </w:rPr>
        <w:t xml:space="preserve">Asimismo, se hace constar que el </w:t>
      </w:r>
      <w:r w:rsidRPr="007813EC">
        <w:rPr>
          <w:rFonts w:ascii="Palatino Linotype" w:eastAsia="Times New Roman" w:hAnsi="Palatino Linotype" w:cs="Times New Roman"/>
          <w:b/>
          <w:bCs/>
          <w:sz w:val="24"/>
          <w:szCs w:val="24"/>
          <w:lang w:eastAsia="es-ES"/>
        </w:rPr>
        <w:t>Sujeto Obligado</w:t>
      </w:r>
      <w:r w:rsidRPr="007813EC">
        <w:rPr>
          <w:rFonts w:ascii="Palatino Linotype" w:eastAsia="Times New Roman" w:hAnsi="Palatino Linotype" w:cs="Times New Roman"/>
          <w:sz w:val="24"/>
          <w:szCs w:val="24"/>
          <w:lang w:eastAsia="es-ES"/>
        </w:rPr>
        <w:t xml:space="preserve"> adjuntó </w:t>
      </w:r>
      <w:r w:rsidR="00656792" w:rsidRPr="007813EC">
        <w:rPr>
          <w:rFonts w:ascii="Palatino Linotype" w:eastAsia="Times New Roman" w:hAnsi="Palatino Linotype" w:cs="Times New Roman"/>
          <w:sz w:val="24"/>
          <w:szCs w:val="24"/>
          <w:lang w:eastAsia="es-ES"/>
        </w:rPr>
        <w:t>el</w:t>
      </w:r>
      <w:r w:rsidRPr="007813EC">
        <w:rPr>
          <w:rFonts w:ascii="Palatino Linotype" w:eastAsia="Times New Roman" w:hAnsi="Palatino Linotype" w:cs="Times New Roman"/>
          <w:sz w:val="24"/>
          <w:szCs w:val="24"/>
          <w:lang w:eastAsia="es-ES"/>
        </w:rPr>
        <w:t xml:space="preserve"> documento electrónico </w:t>
      </w:r>
      <w:r w:rsidRPr="007813EC">
        <w:rPr>
          <w:rFonts w:ascii="Palatino Linotype" w:eastAsia="Times New Roman" w:hAnsi="Palatino Linotype" w:cs="Times New Roman"/>
          <w:i/>
          <w:sz w:val="24"/>
          <w:szCs w:val="24"/>
          <w:lang w:eastAsia="es-ES"/>
        </w:rPr>
        <w:t>“</w:t>
      </w:r>
      <w:r w:rsidR="0008615F" w:rsidRPr="0008615F">
        <w:rPr>
          <w:rFonts w:ascii="Palatino Linotype" w:eastAsia="Times New Roman" w:hAnsi="Palatino Linotype" w:cs="Times New Roman"/>
          <w:b/>
          <w:i/>
          <w:sz w:val="24"/>
          <w:szCs w:val="24"/>
          <w:lang w:eastAsia="es-ES"/>
        </w:rPr>
        <w:t>Respuesta solicitud 45.pdf</w:t>
      </w:r>
      <w:r w:rsidRPr="007813EC">
        <w:rPr>
          <w:rFonts w:ascii="Palatino Linotype" w:eastAsia="Times New Roman" w:hAnsi="Palatino Linotype" w:cs="Times New Roman"/>
          <w:i/>
          <w:sz w:val="24"/>
          <w:szCs w:val="24"/>
          <w:lang w:eastAsia="es-ES"/>
        </w:rPr>
        <w:t>”</w:t>
      </w:r>
      <w:r w:rsidRPr="007813EC">
        <w:rPr>
          <w:rFonts w:ascii="Palatino Linotype" w:eastAsia="Times New Roman" w:hAnsi="Palatino Linotype" w:cs="Times New Roman"/>
          <w:sz w:val="24"/>
          <w:szCs w:val="24"/>
          <w:lang w:eastAsia="es-ES"/>
        </w:rPr>
        <w:t xml:space="preserve">, </w:t>
      </w:r>
      <w:r w:rsidR="00656792" w:rsidRPr="007813EC">
        <w:rPr>
          <w:rFonts w:ascii="Palatino Linotype" w:eastAsia="Times New Roman" w:hAnsi="Palatino Linotype" w:cs="Times New Roman"/>
          <w:sz w:val="24"/>
          <w:szCs w:val="24"/>
          <w:lang w:eastAsia="es-ES"/>
        </w:rPr>
        <w:t>el</w:t>
      </w:r>
      <w:r w:rsidRPr="007813EC">
        <w:rPr>
          <w:rFonts w:ascii="Palatino Linotype" w:eastAsia="Times New Roman" w:hAnsi="Palatino Linotype" w:cs="Times New Roman"/>
          <w:sz w:val="24"/>
          <w:szCs w:val="24"/>
          <w:lang w:eastAsia="es-ES"/>
        </w:rPr>
        <w:t xml:space="preserve"> cual habrá ser objeto de estudio y análisis en el apartado correspondiente.</w:t>
      </w:r>
    </w:p>
    <w:p w14:paraId="65683ABE" w14:textId="77777777" w:rsidR="001037B3" w:rsidRPr="007813EC" w:rsidRDefault="001037B3" w:rsidP="005136D5">
      <w:pPr>
        <w:spacing w:after="0" w:line="360" w:lineRule="auto"/>
        <w:jc w:val="both"/>
        <w:rPr>
          <w:rFonts w:ascii="Palatino Linotype" w:eastAsia="Times New Roman" w:hAnsi="Palatino Linotype" w:cs="Times New Roman"/>
          <w:sz w:val="24"/>
          <w:szCs w:val="24"/>
          <w:lang w:eastAsia="es-ES"/>
        </w:rPr>
      </w:pPr>
    </w:p>
    <w:p w14:paraId="6AA27CEA" w14:textId="694D9F23" w:rsidR="000E48BC" w:rsidRDefault="0008615F" w:rsidP="005136D5">
      <w:pPr>
        <w:spacing w:after="0" w:line="360" w:lineRule="auto"/>
        <w:jc w:val="both"/>
        <w:rPr>
          <w:rFonts w:ascii="Palatino Linotype" w:eastAsia="Times New Roman" w:hAnsi="Palatino Linotype" w:cs="Arial"/>
          <w:sz w:val="24"/>
          <w:szCs w:val="24"/>
          <w:lang w:val="es-ES" w:eastAsia="es-ES"/>
        </w:rPr>
      </w:pPr>
      <w:r>
        <w:rPr>
          <w:rFonts w:ascii="Palatino Linotype" w:hAnsi="Palatino Linotype" w:cs="Arial"/>
          <w:b/>
          <w:sz w:val="28"/>
          <w:szCs w:val="24"/>
        </w:rPr>
        <w:t>TERCERO</w:t>
      </w:r>
      <w:r w:rsidR="000E48BC" w:rsidRPr="007813EC">
        <w:rPr>
          <w:rFonts w:ascii="Palatino Linotype" w:hAnsi="Palatino Linotype" w:cs="Arial"/>
          <w:b/>
          <w:sz w:val="24"/>
          <w:szCs w:val="24"/>
        </w:rPr>
        <w:t>.</w:t>
      </w:r>
      <w:r w:rsidR="000E48BC" w:rsidRPr="007813EC">
        <w:rPr>
          <w:rFonts w:ascii="Palatino Linotype" w:hAnsi="Palatino Linotype" w:cs="Arial"/>
          <w:sz w:val="24"/>
          <w:szCs w:val="24"/>
        </w:rPr>
        <w:t xml:space="preserve"> </w:t>
      </w:r>
      <w:r w:rsidR="000E48BC" w:rsidRPr="007813EC">
        <w:rPr>
          <w:rFonts w:ascii="Palatino Linotype" w:eastAsia="Times New Roman" w:hAnsi="Palatino Linotype" w:cs="Arial"/>
          <w:sz w:val="24"/>
          <w:szCs w:val="24"/>
          <w:lang w:val="es-ES" w:eastAsia="es-ES"/>
        </w:rPr>
        <w:t xml:space="preserve">Inconforme con la respuesta proporcionada, </w:t>
      </w:r>
      <w:r w:rsidR="006D6E8F" w:rsidRPr="007813EC">
        <w:rPr>
          <w:rFonts w:ascii="Palatino Linotype" w:eastAsia="Times New Roman" w:hAnsi="Palatino Linotype" w:cs="Arial"/>
          <w:sz w:val="24"/>
          <w:szCs w:val="24"/>
          <w:lang w:val="es-ES" w:eastAsia="es-ES"/>
        </w:rPr>
        <w:t xml:space="preserve">el día </w:t>
      </w:r>
      <w:r>
        <w:rPr>
          <w:rFonts w:ascii="Palatino Linotype" w:eastAsia="Times New Roman" w:hAnsi="Palatino Linotype" w:cs="Arial"/>
          <w:sz w:val="24"/>
          <w:szCs w:val="24"/>
          <w:lang w:val="es-ES" w:eastAsia="es-ES"/>
        </w:rPr>
        <w:t xml:space="preserve">tres de julio </w:t>
      </w:r>
      <w:r w:rsidR="006D6E8F" w:rsidRPr="007813EC">
        <w:rPr>
          <w:rFonts w:ascii="Palatino Linotype" w:eastAsia="Times New Roman" w:hAnsi="Palatino Linotype" w:cs="Arial"/>
          <w:sz w:val="24"/>
          <w:szCs w:val="24"/>
          <w:lang w:val="es-ES" w:eastAsia="es-ES"/>
        </w:rPr>
        <w:t>de dos mil veinticuatro</w:t>
      </w:r>
      <w:r w:rsidR="000E48BC" w:rsidRPr="007813EC">
        <w:rPr>
          <w:rFonts w:ascii="Palatino Linotype" w:eastAsia="Times New Roman" w:hAnsi="Palatino Linotype" w:cs="Arial"/>
          <w:sz w:val="24"/>
          <w:szCs w:val="24"/>
          <w:lang w:val="es-ES" w:eastAsia="es-ES"/>
        </w:rPr>
        <w:t xml:space="preserve">, </w:t>
      </w:r>
      <w:r w:rsidR="002F2EC3" w:rsidRPr="007813EC">
        <w:rPr>
          <w:rFonts w:ascii="Palatino Linotype" w:eastAsia="Times New Roman" w:hAnsi="Palatino Linotype" w:cs="Arial"/>
          <w:sz w:val="24"/>
          <w:szCs w:val="24"/>
          <w:lang w:val="es-ES" w:eastAsia="es-ES"/>
        </w:rPr>
        <w:t>la parte</w:t>
      </w:r>
      <w:r w:rsidR="000E48BC" w:rsidRPr="007813EC">
        <w:rPr>
          <w:rFonts w:ascii="Palatino Linotype" w:eastAsia="Times New Roman" w:hAnsi="Palatino Linotype" w:cs="Arial"/>
          <w:b/>
          <w:sz w:val="24"/>
          <w:szCs w:val="24"/>
          <w:lang w:val="es-ES" w:eastAsia="es-ES"/>
        </w:rPr>
        <w:t xml:space="preserve"> Recurrente</w:t>
      </w:r>
      <w:r w:rsidR="000E48BC" w:rsidRPr="007813EC">
        <w:rPr>
          <w:rFonts w:ascii="Palatino Linotype" w:eastAsia="Times New Roman" w:hAnsi="Palatino Linotype" w:cs="Arial"/>
          <w:sz w:val="24"/>
          <w:szCs w:val="24"/>
          <w:lang w:val="es-ES" w:eastAsia="es-ES"/>
        </w:rPr>
        <w:t xml:space="preserve"> interpuso recurso de revisión, quedando registrado</w:t>
      </w:r>
      <w:r w:rsidR="00A83393" w:rsidRPr="007813EC">
        <w:rPr>
          <w:rFonts w:ascii="Palatino Linotype" w:eastAsia="Times New Roman" w:hAnsi="Palatino Linotype" w:cs="Arial"/>
          <w:sz w:val="24"/>
          <w:szCs w:val="24"/>
          <w:lang w:val="es-ES" w:eastAsia="es-ES"/>
        </w:rPr>
        <w:t>s</w:t>
      </w:r>
      <w:r w:rsidR="000E48BC" w:rsidRPr="007813EC">
        <w:rPr>
          <w:rFonts w:ascii="Palatino Linotype" w:eastAsia="Times New Roman" w:hAnsi="Palatino Linotype" w:cs="Arial"/>
          <w:sz w:val="24"/>
          <w:szCs w:val="24"/>
          <w:lang w:val="es-ES" w:eastAsia="es-ES"/>
        </w:rPr>
        <w:t xml:space="preserve"> en el</w:t>
      </w:r>
      <w:r w:rsidR="000E48BC" w:rsidRPr="007813EC">
        <w:rPr>
          <w:rFonts w:ascii="Palatino Linotype" w:eastAsia="Arial Unicode MS" w:hAnsi="Palatino Linotype" w:cs="Arial"/>
          <w:b/>
          <w:sz w:val="24"/>
          <w:szCs w:val="24"/>
          <w:lang w:val="es-ES" w:eastAsia="es-ES"/>
        </w:rPr>
        <w:t xml:space="preserve"> SAIMEX</w:t>
      </w:r>
      <w:r w:rsidR="000E48BC" w:rsidRPr="007813EC">
        <w:rPr>
          <w:rFonts w:ascii="Palatino Linotype" w:eastAsia="Arial Unicode MS" w:hAnsi="Palatino Linotype" w:cs="Arial"/>
          <w:sz w:val="24"/>
          <w:szCs w:val="24"/>
          <w:lang w:val="es-ES" w:eastAsia="es-ES"/>
        </w:rPr>
        <w:t xml:space="preserve"> </w:t>
      </w:r>
      <w:r w:rsidR="00D41136" w:rsidRPr="007813EC">
        <w:rPr>
          <w:rFonts w:ascii="Palatino Linotype" w:eastAsia="Arial Unicode MS" w:hAnsi="Palatino Linotype" w:cs="Arial"/>
          <w:sz w:val="24"/>
          <w:szCs w:val="24"/>
          <w:lang w:val="es-ES" w:eastAsia="es-ES"/>
        </w:rPr>
        <w:t xml:space="preserve">con </w:t>
      </w:r>
      <w:r w:rsidR="003A1B33" w:rsidRPr="007813EC">
        <w:rPr>
          <w:rFonts w:ascii="Palatino Linotype" w:eastAsia="Arial Unicode MS" w:hAnsi="Palatino Linotype" w:cs="Arial"/>
          <w:sz w:val="24"/>
          <w:szCs w:val="24"/>
          <w:lang w:val="es-ES" w:eastAsia="es-ES"/>
        </w:rPr>
        <w:t>e</w:t>
      </w:r>
      <w:r w:rsidR="00D41136" w:rsidRPr="007813EC">
        <w:rPr>
          <w:rFonts w:ascii="Palatino Linotype" w:eastAsia="Arial Unicode MS" w:hAnsi="Palatino Linotype" w:cs="Arial"/>
          <w:sz w:val="24"/>
          <w:szCs w:val="24"/>
          <w:lang w:val="es-ES" w:eastAsia="es-ES"/>
        </w:rPr>
        <w:t xml:space="preserve">l número de recurso </w:t>
      </w:r>
      <w:r w:rsidR="00B62642">
        <w:rPr>
          <w:rFonts w:ascii="Palatino Linotype" w:hAnsi="Palatino Linotype" w:cs="Arial"/>
          <w:b/>
          <w:bCs/>
          <w:sz w:val="24"/>
          <w:szCs w:val="24"/>
          <w:lang w:eastAsia="es-MX"/>
        </w:rPr>
        <w:t>04100/INFOEM/IP/RR/2024</w:t>
      </w:r>
      <w:r w:rsidR="00D41136" w:rsidRPr="007813EC">
        <w:rPr>
          <w:rFonts w:ascii="Palatino Linotype" w:eastAsia="Times New Roman" w:hAnsi="Palatino Linotype" w:cs="Times New Roman"/>
          <w:b/>
          <w:sz w:val="24"/>
          <w:szCs w:val="24"/>
          <w:lang w:val="es-ES" w:eastAsia="es-ES"/>
        </w:rPr>
        <w:t xml:space="preserve">, </w:t>
      </w:r>
      <w:r w:rsidR="00D41136" w:rsidRPr="007813EC">
        <w:rPr>
          <w:rFonts w:ascii="Palatino Linotype" w:eastAsia="Times New Roman" w:hAnsi="Palatino Linotype" w:cs="Arial"/>
          <w:sz w:val="24"/>
          <w:szCs w:val="24"/>
          <w:lang w:val="es-ES" w:eastAsia="es-ES"/>
        </w:rPr>
        <w:t xml:space="preserve">en los que expresó </w:t>
      </w:r>
      <w:r>
        <w:rPr>
          <w:rFonts w:ascii="Palatino Linotype" w:eastAsia="Times New Roman" w:hAnsi="Palatino Linotype" w:cs="Arial"/>
          <w:sz w:val="24"/>
          <w:szCs w:val="24"/>
          <w:lang w:val="es-ES" w:eastAsia="es-ES"/>
        </w:rPr>
        <w:t>únicamente como</w:t>
      </w:r>
      <w:r w:rsidR="00D41136" w:rsidRPr="007813EC">
        <w:rPr>
          <w:rFonts w:ascii="Palatino Linotype" w:eastAsia="Times New Roman" w:hAnsi="Palatino Linotype" w:cs="Arial"/>
          <w:sz w:val="24"/>
          <w:szCs w:val="24"/>
          <w:lang w:val="es-ES" w:eastAsia="es-ES"/>
        </w:rPr>
        <w:t xml:space="preserve"> </w:t>
      </w:r>
      <w:r w:rsidR="00D41136" w:rsidRPr="00634130">
        <w:rPr>
          <w:rFonts w:ascii="Palatino Linotype" w:eastAsia="Times New Roman" w:hAnsi="Palatino Linotype" w:cs="Arial"/>
          <w:b/>
          <w:bCs/>
          <w:sz w:val="24"/>
          <w:szCs w:val="24"/>
          <w:lang w:val="es-ES" w:eastAsia="es-ES"/>
        </w:rPr>
        <w:t>acto impugnado</w:t>
      </w:r>
      <w:r w:rsidR="00D41136" w:rsidRPr="007813EC">
        <w:rPr>
          <w:rFonts w:ascii="Palatino Linotype" w:eastAsia="Times New Roman" w:hAnsi="Palatino Linotype" w:cs="Arial"/>
          <w:sz w:val="24"/>
          <w:szCs w:val="24"/>
          <w:lang w:val="es-ES" w:eastAsia="es-ES"/>
        </w:rPr>
        <w:t>, lo siguiente:</w:t>
      </w:r>
    </w:p>
    <w:p w14:paraId="44B889A5" w14:textId="77777777" w:rsidR="0008615F" w:rsidRPr="007813EC" w:rsidRDefault="0008615F" w:rsidP="005136D5">
      <w:pPr>
        <w:spacing w:after="0" w:line="360" w:lineRule="auto"/>
        <w:jc w:val="both"/>
        <w:rPr>
          <w:rFonts w:ascii="Palatino Linotype" w:eastAsia="Times New Roman" w:hAnsi="Palatino Linotype" w:cs="Arial"/>
          <w:sz w:val="24"/>
          <w:szCs w:val="24"/>
          <w:lang w:val="es-ES" w:eastAsia="es-ES"/>
        </w:rPr>
      </w:pPr>
    </w:p>
    <w:p w14:paraId="17515F51" w14:textId="2F44629B" w:rsidR="003A1B33" w:rsidRPr="007813EC" w:rsidRDefault="003A1B33" w:rsidP="005136D5">
      <w:pPr>
        <w:spacing w:after="0" w:line="240" w:lineRule="auto"/>
        <w:ind w:left="567" w:right="567"/>
        <w:jc w:val="both"/>
        <w:rPr>
          <w:rFonts w:ascii="Palatino Linotype" w:eastAsia="Times New Roman" w:hAnsi="Palatino Linotype" w:cs="Arial"/>
          <w:iCs/>
          <w:sz w:val="24"/>
          <w:szCs w:val="24"/>
          <w:lang w:val="es-ES" w:eastAsia="es-ES"/>
        </w:rPr>
      </w:pPr>
      <w:r w:rsidRPr="007813EC">
        <w:rPr>
          <w:rFonts w:ascii="Palatino Linotype" w:hAnsi="Palatino Linotype" w:cs="Arial"/>
          <w:i/>
          <w:szCs w:val="24"/>
        </w:rPr>
        <w:t>“</w:t>
      </w:r>
      <w:r w:rsidR="0008615F" w:rsidRPr="0008615F">
        <w:rPr>
          <w:rFonts w:ascii="Palatino Linotype" w:hAnsi="Palatino Linotype" w:cs="Arial"/>
          <w:i/>
          <w:szCs w:val="24"/>
        </w:rPr>
        <w:t xml:space="preserve">C. RESPONSABLE DE LA TRANSPARENCIA, ACCESO A LA INFORMACION PÚBLICA MUNICIPAL Y PROTECCIÓN DE DATOS PERSONALES DEL AYUNTAMIENTO DE MORELOS ESTADO DE MÉXICO PRESENTE. Asunto: Se promueve recurso de revisión. </w:t>
      </w:r>
      <w:r w:rsidR="005F2EC0">
        <w:rPr>
          <w:rFonts w:ascii="Palatino Linotype" w:hAnsi="Palatino Linotype" w:cs="Arial"/>
          <w:i/>
          <w:szCs w:val="24"/>
        </w:rPr>
        <w:t>XXXXXXXXXXXXXXXXXXX</w:t>
      </w:r>
      <w:r w:rsidR="0008615F" w:rsidRPr="0008615F">
        <w:rPr>
          <w:rFonts w:ascii="Palatino Linotype" w:hAnsi="Palatino Linotype" w:cs="Arial"/>
          <w:i/>
          <w:szCs w:val="24"/>
        </w:rPr>
        <w:t xml:space="preserve">, por mi propio derecho, </w:t>
      </w:r>
      <w:r w:rsidR="0008615F" w:rsidRPr="0008615F">
        <w:rPr>
          <w:rFonts w:ascii="Palatino Linotype" w:hAnsi="Palatino Linotype" w:cs="Arial"/>
          <w:i/>
          <w:szCs w:val="24"/>
        </w:rPr>
        <w:lastRenderedPageBreak/>
        <w:t xml:space="preserve">(en adelante EL RECURRENTE), con el debido respeto comparezco y expongo: En términos de los artículos 10, 11, 12, 15, 16, 17, 23 fracción IV, 176, 177, 178, 179 fracción I , 183, 184, 185, 151, 152 y demás aplicables de la Ley de Transparencia y Acceso a la Información Pública del estado de México y sus Municipios, los artículos 11, 12 y 27 del Reglamento de Ley de Transparencia y Acceso a la Información Pública del estado de México y sus Municipios; vengo a interponer en tiempo y forma legales RECURSO DE REVISIÓN en contra de la RESPUESTA A MI SOLICITUD DE ACCESO A LA INFORMACIÓN, de fecha 25 de junio de 2024, con número de folio TAI/105/IV/2024, realizada en fecha 25 de junio de 2024, a través de la cual, el c. Diego </w:t>
      </w:r>
      <w:proofErr w:type="spellStart"/>
      <w:r w:rsidR="0008615F" w:rsidRPr="0008615F">
        <w:rPr>
          <w:rFonts w:ascii="Palatino Linotype" w:hAnsi="Palatino Linotype" w:cs="Arial"/>
          <w:i/>
          <w:szCs w:val="24"/>
        </w:rPr>
        <w:t>Ivan</w:t>
      </w:r>
      <w:proofErr w:type="spellEnd"/>
      <w:r w:rsidR="0008615F" w:rsidRPr="0008615F">
        <w:rPr>
          <w:rFonts w:ascii="Palatino Linotype" w:hAnsi="Palatino Linotype" w:cs="Arial"/>
          <w:i/>
          <w:szCs w:val="24"/>
        </w:rPr>
        <w:t xml:space="preserve"> Medina Reyes Responsable de la unidad de la transparencia, acceso a la información pública municipal y protección de datos personales del ayuntamiento del </w:t>
      </w:r>
      <w:proofErr w:type="spellStart"/>
      <w:r w:rsidR="0008615F" w:rsidRPr="0008615F">
        <w:rPr>
          <w:rFonts w:ascii="Palatino Linotype" w:hAnsi="Palatino Linotype" w:cs="Arial"/>
          <w:i/>
          <w:szCs w:val="24"/>
        </w:rPr>
        <w:t>Capulhuac</w:t>
      </w:r>
      <w:proofErr w:type="spellEnd"/>
      <w:r w:rsidR="0008615F" w:rsidRPr="0008615F">
        <w:rPr>
          <w:rFonts w:ascii="Palatino Linotype" w:hAnsi="Palatino Linotype" w:cs="Arial"/>
          <w:i/>
          <w:szCs w:val="24"/>
        </w:rPr>
        <w:t xml:space="preserve"> estado de México, informó que la información solicitada no maneja base de datos de padrones actualizados de Licencias por la Operación de establecimientos en las que se v</w:t>
      </w:r>
      <w:bookmarkStart w:id="0" w:name="_GoBack"/>
      <w:bookmarkEnd w:id="0"/>
      <w:r w:rsidR="0008615F" w:rsidRPr="0008615F">
        <w:rPr>
          <w:rFonts w:ascii="Palatino Linotype" w:hAnsi="Palatino Linotype" w:cs="Arial"/>
          <w:i/>
          <w:szCs w:val="24"/>
        </w:rPr>
        <w:t xml:space="preserve">enden o consumen bebidas alcohólicas sin fundamento o motivación de alguna Ley, norma o reglamento que lo mencione o establezca el cual no se cumple con lo establecido en esta ley.. AGRAVIOS: PRIMERO. La RESPUESTA A MI SOLICITUD DE ACCESO A LA INFORMACIÓN, de fecha 25 de junio de 2024, con número de folio TAI/105/IV/2024, es ilegal, por no encontrarse fundada y motivada. Al respecto, conviene señalar que el principio de fundamentación y motivación implica un razonamiento lógico jurídico, consistente en una adecuación real de los hechos generadores del acto y la norma jurídica aplicada. Derivado de lo anterior, resultan aplicables los siguientes criterios adoptados por el propio Poder Judicial de la Federación, en torno a la fundamentación y motivación de los actos de autoridad: “FUNDAMENTACIÓN Y MOTIVACIÓN. De acuerdo con el artículo 16 de la Constitución Federal, todo acto de autoridad debe estar adecuado y suficientemente fundado y motivado, entendiéndose por lo primero que ha de expresarse con precisión el precepto legal aplicable al caso y, por lo segundo, que también debe señalarse con precisión, las circunstancias especiales razones particulares o causas inmediatas que se hayan tenido en consideración para la emisión del acto; siendo necesario, además, que exista adecuación entre los motivos aducidos y su configuración en las hipótesis normativas". "ARTICULO 16 CONSTITUCIONAL. El requisito de fundamentación y motivación exigido por el artículo 16 Constitucional, al tener el rango de una garantía individual implica una obligación para las autoridades, de cualquier categoría que éstas sean, de actuar siempre con apego a las leyes y a la propia Constitución, de manera que sus actos no aparezcan emitidos arbitrariamente." "MOTIVACION. La motivación exigida por el artículo 16 Constitucional consiste en el razonamiento, contenido en el texto mismo del acto autoritario de molestia, según el cual quien lo emitió llegó a la conclusión de que el acto concreto al cual se dirige se ajusta exactamente a las prevenciones de determinados preceptos legales. Es decir, motivar un acto es externar las consideraciones relativas a las circunstancias de hecho que se formuló la autoridad para establecer la adecuación del caso concreto a la hipótesis legal." SEGUNDO. Con fundamento en el artículo 24 en su fracción XI de la Ley de Transparencia y Acceso a la Información Pública para el Estado de México y sus </w:t>
      </w:r>
      <w:r w:rsidR="0008615F" w:rsidRPr="0008615F">
        <w:rPr>
          <w:rFonts w:ascii="Palatino Linotype" w:hAnsi="Palatino Linotype" w:cs="Arial"/>
          <w:i/>
          <w:szCs w:val="24"/>
        </w:rPr>
        <w:lastRenderedPageBreak/>
        <w:t>Municipios señala que los sujetos obligados deberán cumplir con las obligaciones según corresponda según su naturaleza, señalando del mismo modo en el artículo 25 de la ley de referencia.</w:t>
      </w:r>
      <w:r w:rsidRPr="007813EC">
        <w:rPr>
          <w:rFonts w:ascii="Palatino Linotype" w:hAnsi="Palatino Linotype" w:cs="Arial"/>
          <w:i/>
          <w:szCs w:val="24"/>
        </w:rPr>
        <w:t>”</w:t>
      </w:r>
    </w:p>
    <w:p w14:paraId="27C25A81" w14:textId="230F027D" w:rsidR="003A1B33" w:rsidRPr="007813EC" w:rsidRDefault="003A1B33" w:rsidP="005136D5">
      <w:pPr>
        <w:spacing w:after="0" w:line="360" w:lineRule="auto"/>
        <w:ind w:right="51"/>
        <w:jc w:val="both"/>
        <w:rPr>
          <w:rFonts w:ascii="Palatino Linotype" w:eastAsia="Times New Roman" w:hAnsi="Palatino Linotype" w:cs="Arial"/>
          <w:sz w:val="24"/>
          <w:szCs w:val="24"/>
          <w:lang w:val="es-ES" w:eastAsia="es-ES"/>
        </w:rPr>
      </w:pPr>
    </w:p>
    <w:p w14:paraId="6616C38E" w14:textId="608F7CF7" w:rsidR="00D41136" w:rsidRPr="007813EC" w:rsidRDefault="00D41136" w:rsidP="005136D5">
      <w:pPr>
        <w:spacing w:after="0" w:line="360" w:lineRule="auto"/>
        <w:ind w:right="49"/>
        <w:jc w:val="both"/>
        <w:rPr>
          <w:rFonts w:ascii="Palatino Linotype" w:eastAsia="Times New Roman" w:hAnsi="Palatino Linotype" w:cs="Arial"/>
          <w:sz w:val="24"/>
          <w:szCs w:val="24"/>
          <w:lang w:val="es-ES_tradnl" w:eastAsia="es-ES"/>
        </w:rPr>
      </w:pPr>
      <w:r w:rsidRPr="007813EC">
        <w:rPr>
          <w:rFonts w:ascii="Palatino Linotype" w:hAnsi="Palatino Linotype" w:cs="Arial"/>
          <w:sz w:val="24"/>
          <w:szCs w:val="24"/>
          <w:lang w:val="es-ES"/>
        </w:rPr>
        <w:t xml:space="preserve">Recurso de revisión que, </w:t>
      </w:r>
      <w:r w:rsidRPr="007813EC">
        <w:rPr>
          <w:rFonts w:ascii="Palatino Linotype" w:eastAsia="Times New Roman" w:hAnsi="Palatino Linotype" w:cs="Arial"/>
          <w:sz w:val="24"/>
          <w:szCs w:val="24"/>
          <w:lang w:val="es-ES_tradnl" w:eastAsia="es-ES"/>
        </w:rPr>
        <w:t>se envi</w:t>
      </w:r>
      <w:r w:rsidR="003A1B33" w:rsidRPr="007813EC">
        <w:rPr>
          <w:rFonts w:ascii="Palatino Linotype" w:eastAsia="Times New Roman" w:hAnsi="Palatino Linotype" w:cs="Arial"/>
          <w:sz w:val="24"/>
          <w:szCs w:val="24"/>
          <w:lang w:val="es-ES_tradnl" w:eastAsia="es-ES"/>
        </w:rPr>
        <w:t xml:space="preserve">ó </w:t>
      </w:r>
      <w:r w:rsidRPr="007813EC">
        <w:rPr>
          <w:rFonts w:ascii="Palatino Linotype" w:eastAsia="Times New Roman" w:hAnsi="Palatino Linotype" w:cs="Arial"/>
          <w:sz w:val="24"/>
          <w:szCs w:val="24"/>
          <w:lang w:val="es-ES_tradnl" w:eastAsia="es-ES"/>
        </w:rPr>
        <w:t xml:space="preserve">electrónicamente al Instituto de </w:t>
      </w:r>
      <w:r w:rsidRPr="007813EC">
        <w:rPr>
          <w:rFonts w:ascii="Palatino Linotype" w:eastAsia="Arial Unicode MS" w:hAnsi="Palatino Linotype" w:cs="Arial"/>
          <w:sz w:val="24"/>
          <w:szCs w:val="24"/>
          <w:lang w:val="es-ES" w:eastAsia="es-ES"/>
        </w:rPr>
        <w:t>Transparencia</w:t>
      </w:r>
      <w:r w:rsidRPr="007813EC">
        <w:rPr>
          <w:rFonts w:ascii="Palatino Linotype" w:eastAsia="Times New Roman" w:hAnsi="Palatino Linotype" w:cs="Arial"/>
          <w:sz w:val="24"/>
          <w:szCs w:val="24"/>
          <w:lang w:val="es-ES_tradnl" w:eastAsia="es-ES"/>
        </w:rPr>
        <w:t xml:space="preserve">, Acceso a la Información Pública y Protección de Datos Personales del Estado de México y Municipios y con fundamento en el artículo 185 fracción I de la </w:t>
      </w:r>
      <w:r w:rsidRPr="007813EC">
        <w:rPr>
          <w:rFonts w:ascii="Palatino Linotype" w:eastAsia="Times New Roman" w:hAnsi="Palatino Linotype" w:cs="Times New Roman"/>
          <w:sz w:val="24"/>
          <w:szCs w:val="24"/>
          <w:lang w:val="es-ES" w:eastAsia="es-ES"/>
        </w:rPr>
        <w:t>Ley de Transparencia y Acceso a la Información Pública del Estado de México y Municipios</w:t>
      </w:r>
      <w:r w:rsidRPr="007813EC">
        <w:rPr>
          <w:rFonts w:ascii="Palatino Linotype" w:eastAsia="Times New Roman" w:hAnsi="Palatino Linotype" w:cs="Arial"/>
          <w:sz w:val="24"/>
          <w:szCs w:val="24"/>
          <w:lang w:val="es-ES_tradnl" w:eastAsia="es-ES"/>
        </w:rPr>
        <w:t>, se turn</w:t>
      </w:r>
      <w:r w:rsidR="003A1B33" w:rsidRPr="007813EC">
        <w:rPr>
          <w:rFonts w:ascii="Palatino Linotype" w:eastAsia="Times New Roman" w:hAnsi="Palatino Linotype" w:cs="Arial"/>
          <w:sz w:val="24"/>
          <w:szCs w:val="24"/>
          <w:lang w:val="es-ES_tradnl" w:eastAsia="es-ES"/>
        </w:rPr>
        <w:t xml:space="preserve">ó </w:t>
      </w:r>
      <w:r w:rsidRPr="007813EC">
        <w:rPr>
          <w:rFonts w:ascii="Palatino Linotype" w:eastAsia="Times New Roman" w:hAnsi="Palatino Linotype" w:cs="Arial"/>
          <w:sz w:val="24"/>
          <w:szCs w:val="24"/>
          <w:lang w:val="es-ES_tradnl" w:eastAsia="es-ES"/>
        </w:rPr>
        <w:t>a través del</w:t>
      </w:r>
      <w:r w:rsidRPr="007813EC">
        <w:rPr>
          <w:rFonts w:ascii="Palatino Linotype" w:eastAsia="Arial Unicode MS" w:hAnsi="Palatino Linotype" w:cs="Arial"/>
          <w:sz w:val="24"/>
          <w:szCs w:val="24"/>
          <w:lang w:val="es-ES_tradnl" w:eastAsia="es-ES"/>
        </w:rPr>
        <w:t xml:space="preserve"> </w:t>
      </w:r>
      <w:r w:rsidRPr="007813EC">
        <w:rPr>
          <w:rFonts w:ascii="Palatino Linotype" w:eastAsia="Arial Unicode MS" w:hAnsi="Palatino Linotype" w:cs="Arial"/>
          <w:b/>
          <w:sz w:val="24"/>
          <w:szCs w:val="24"/>
          <w:lang w:val="es-ES_tradnl" w:eastAsia="es-ES"/>
        </w:rPr>
        <w:t>SAIMEX</w:t>
      </w:r>
      <w:r w:rsidRPr="007813EC">
        <w:rPr>
          <w:rFonts w:ascii="Palatino Linotype" w:eastAsia="Times New Roman" w:hAnsi="Palatino Linotype" w:cs="Times New Roman"/>
          <w:sz w:val="24"/>
          <w:szCs w:val="24"/>
          <w:lang w:val="es-ES" w:eastAsia="es-ES"/>
        </w:rPr>
        <w:t xml:space="preserve"> al </w:t>
      </w:r>
      <w:r w:rsidRPr="007813EC">
        <w:rPr>
          <w:rFonts w:ascii="Palatino Linotype" w:eastAsia="Times New Roman" w:hAnsi="Palatino Linotype" w:cs="Arial"/>
          <w:sz w:val="24"/>
          <w:szCs w:val="24"/>
          <w:lang w:val="es-ES_tradnl" w:eastAsia="es-ES"/>
        </w:rPr>
        <w:t>Comisionado</w:t>
      </w:r>
      <w:r w:rsidR="003A1B33" w:rsidRPr="007813EC">
        <w:rPr>
          <w:rFonts w:ascii="Palatino Linotype" w:eastAsia="Times New Roman" w:hAnsi="Palatino Linotype" w:cs="Arial"/>
          <w:sz w:val="24"/>
          <w:szCs w:val="24"/>
          <w:lang w:val="es-ES_tradnl" w:eastAsia="es-ES"/>
        </w:rPr>
        <w:t xml:space="preserve"> Presidente </w:t>
      </w:r>
      <w:r w:rsidR="003A1B33" w:rsidRPr="007813EC">
        <w:rPr>
          <w:rFonts w:ascii="Palatino Linotype" w:eastAsia="Times New Roman" w:hAnsi="Palatino Linotype" w:cs="Arial"/>
          <w:b/>
          <w:sz w:val="24"/>
          <w:szCs w:val="24"/>
          <w:lang w:val="es-ES_tradnl" w:eastAsia="es-ES"/>
        </w:rPr>
        <w:t>JOSÉ MARTÍNEZ VILCHIS</w:t>
      </w:r>
      <w:r w:rsidRPr="007813EC">
        <w:rPr>
          <w:rFonts w:ascii="Palatino Linotype" w:eastAsia="Times New Roman" w:hAnsi="Palatino Linotype" w:cs="Arial"/>
          <w:b/>
          <w:sz w:val="24"/>
          <w:szCs w:val="24"/>
          <w:lang w:val="es-ES_tradnl" w:eastAsia="es-ES"/>
        </w:rPr>
        <w:t xml:space="preserve">, </w:t>
      </w:r>
      <w:r w:rsidRPr="007813EC">
        <w:rPr>
          <w:rFonts w:ascii="Palatino Linotype" w:eastAsia="Times New Roman" w:hAnsi="Palatino Linotype" w:cs="Arial"/>
          <w:sz w:val="24"/>
          <w:szCs w:val="24"/>
          <w:lang w:val="es-ES_tradnl" w:eastAsia="es-ES"/>
        </w:rPr>
        <w:t xml:space="preserve">a efecto de que decretara su admisión o </w:t>
      </w:r>
      <w:proofErr w:type="spellStart"/>
      <w:r w:rsidRPr="007813EC">
        <w:rPr>
          <w:rFonts w:ascii="Palatino Linotype" w:eastAsia="Times New Roman" w:hAnsi="Palatino Linotype" w:cs="Arial"/>
          <w:sz w:val="24"/>
          <w:szCs w:val="24"/>
          <w:lang w:val="es-ES_tradnl" w:eastAsia="es-ES"/>
        </w:rPr>
        <w:t>desechamiento</w:t>
      </w:r>
      <w:proofErr w:type="spellEnd"/>
      <w:r w:rsidRPr="007813EC">
        <w:rPr>
          <w:rFonts w:ascii="Palatino Linotype" w:eastAsia="Times New Roman" w:hAnsi="Palatino Linotype" w:cs="Arial"/>
          <w:sz w:val="24"/>
          <w:szCs w:val="24"/>
          <w:lang w:val="es-ES_tradnl" w:eastAsia="es-ES"/>
        </w:rPr>
        <w:t>.</w:t>
      </w:r>
    </w:p>
    <w:p w14:paraId="7BBA03CB" w14:textId="77777777" w:rsidR="00AF1825" w:rsidRPr="007813EC" w:rsidRDefault="00AF1825" w:rsidP="005136D5">
      <w:pPr>
        <w:spacing w:after="0" w:line="360" w:lineRule="auto"/>
        <w:ind w:right="49"/>
        <w:jc w:val="both"/>
        <w:rPr>
          <w:rFonts w:ascii="Palatino Linotype" w:eastAsia="Times New Roman" w:hAnsi="Palatino Linotype" w:cs="Arial"/>
          <w:sz w:val="24"/>
          <w:szCs w:val="24"/>
          <w:lang w:val="es-ES_tradnl" w:eastAsia="es-ES"/>
        </w:rPr>
      </w:pPr>
    </w:p>
    <w:p w14:paraId="1258FD60" w14:textId="076F7ACC" w:rsidR="000E48BC" w:rsidRPr="007813EC" w:rsidRDefault="0008615F" w:rsidP="005136D5">
      <w:pPr>
        <w:spacing w:after="0" w:line="360" w:lineRule="auto"/>
        <w:ind w:right="49"/>
        <w:jc w:val="both"/>
        <w:rPr>
          <w:rFonts w:ascii="Palatino Linotype" w:eastAsia="Times New Roman" w:hAnsi="Palatino Linotype" w:cs="Arial"/>
          <w:sz w:val="24"/>
          <w:szCs w:val="24"/>
          <w:lang w:val="es-ES" w:eastAsia="es-ES"/>
        </w:rPr>
      </w:pPr>
      <w:r>
        <w:rPr>
          <w:rFonts w:ascii="Palatino Linotype" w:eastAsia="Times New Roman" w:hAnsi="Palatino Linotype" w:cs="Arial"/>
          <w:b/>
          <w:sz w:val="28"/>
          <w:szCs w:val="28"/>
          <w:lang w:val="es-ES_tradnl" w:eastAsia="es-ES"/>
        </w:rPr>
        <w:t>CUARTO</w:t>
      </w:r>
      <w:r w:rsidR="000E48BC" w:rsidRPr="007813EC">
        <w:rPr>
          <w:rFonts w:ascii="Palatino Linotype" w:eastAsia="Times New Roman" w:hAnsi="Palatino Linotype" w:cs="Arial"/>
          <w:b/>
          <w:sz w:val="28"/>
          <w:szCs w:val="28"/>
          <w:lang w:val="es-ES_tradnl" w:eastAsia="es-ES"/>
        </w:rPr>
        <w:t xml:space="preserve">. </w:t>
      </w:r>
      <w:r w:rsidR="000E48BC" w:rsidRPr="007813EC">
        <w:rPr>
          <w:rFonts w:ascii="Palatino Linotype" w:eastAsia="Times New Roman" w:hAnsi="Palatino Linotype" w:cs="Arial"/>
          <w:sz w:val="24"/>
          <w:szCs w:val="24"/>
          <w:lang w:val="es-ES_tradnl" w:eastAsia="es-ES"/>
        </w:rPr>
        <w:t>E</w:t>
      </w:r>
      <w:r w:rsidR="000E48BC" w:rsidRPr="007813EC">
        <w:rPr>
          <w:rFonts w:ascii="Palatino Linotype" w:eastAsia="Times New Roman" w:hAnsi="Palatino Linotype" w:cs="Arial"/>
          <w:sz w:val="24"/>
          <w:szCs w:val="24"/>
          <w:lang w:val="es-ES" w:eastAsia="es-ES"/>
        </w:rPr>
        <w:t>n fecha</w:t>
      </w:r>
      <w:r w:rsidR="004B6CF3" w:rsidRPr="007813EC">
        <w:rPr>
          <w:rFonts w:ascii="Palatino Linotype" w:eastAsia="Times New Roman" w:hAnsi="Palatino Linotype" w:cs="Arial"/>
          <w:sz w:val="24"/>
          <w:szCs w:val="24"/>
          <w:lang w:val="es-ES" w:eastAsia="es-ES"/>
        </w:rPr>
        <w:t xml:space="preserve"> </w:t>
      </w:r>
      <w:r>
        <w:rPr>
          <w:rFonts w:ascii="Palatino Linotype" w:eastAsia="Times New Roman" w:hAnsi="Palatino Linotype" w:cs="Arial"/>
          <w:sz w:val="24"/>
          <w:szCs w:val="24"/>
          <w:lang w:val="es-ES" w:eastAsia="es-ES"/>
        </w:rPr>
        <w:t xml:space="preserve">ocho de julio </w:t>
      </w:r>
      <w:r w:rsidR="00DC4AE1" w:rsidRPr="007813EC">
        <w:rPr>
          <w:rFonts w:ascii="Palatino Linotype" w:eastAsia="Times New Roman" w:hAnsi="Palatino Linotype" w:cs="Arial"/>
          <w:sz w:val="24"/>
          <w:szCs w:val="24"/>
          <w:lang w:val="es-ES" w:eastAsia="es-ES"/>
        </w:rPr>
        <w:t>d</w:t>
      </w:r>
      <w:r w:rsidR="004B6CF3" w:rsidRPr="007813EC">
        <w:rPr>
          <w:rFonts w:ascii="Palatino Linotype" w:eastAsia="Times New Roman" w:hAnsi="Palatino Linotype" w:cs="Arial"/>
          <w:sz w:val="24"/>
          <w:szCs w:val="24"/>
          <w:lang w:val="es-ES" w:eastAsia="es-ES"/>
        </w:rPr>
        <w:t xml:space="preserve">e </w:t>
      </w:r>
      <w:r w:rsidR="000E48BC" w:rsidRPr="007813EC">
        <w:rPr>
          <w:rFonts w:ascii="Palatino Linotype" w:eastAsia="Times New Roman" w:hAnsi="Palatino Linotype" w:cs="Arial"/>
          <w:sz w:val="24"/>
          <w:szCs w:val="24"/>
          <w:lang w:val="es-ES" w:eastAsia="es-ES"/>
        </w:rPr>
        <w:t>dos mil veinti</w:t>
      </w:r>
      <w:r w:rsidR="004B6CF3" w:rsidRPr="007813EC">
        <w:rPr>
          <w:rFonts w:ascii="Palatino Linotype" w:eastAsia="Times New Roman" w:hAnsi="Palatino Linotype" w:cs="Arial"/>
          <w:sz w:val="24"/>
          <w:szCs w:val="24"/>
          <w:lang w:val="es-ES" w:eastAsia="es-ES"/>
        </w:rPr>
        <w:t>cuatro</w:t>
      </w:r>
      <w:r w:rsidR="000E48BC" w:rsidRPr="007813EC">
        <w:rPr>
          <w:rFonts w:ascii="Palatino Linotype" w:eastAsia="Times New Roman" w:hAnsi="Palatino Linotype" w:cs="Arial"/>
          <w:sz w:val="24"/>
          <w:szCs w:val="24"/>
          <w:lang w:val="es-ES" w:eastAsia="es-ES"/>
        </w:rPr>
        <w:t>, atento</w:t>
      </w:r>
      <w:r w:rsidR="00A83393" w:rsidRPr="007813EC">
        <w:rPr>
          <w:rFonts w:ascii="Palatino Linotype" w:eastAsia="Times New Roman" w:hAnsi="Palatino Linotype" w:cs="Arial"/>
          <w:sz w:val="24"/>
          <w:szCs w:val="24"/>
          <w:lang w:val="es-ES" w:eastAsia="es-ES"/>
        </w:rPr>
        <w:t>s</w:t>
      </w:r>
      <w:r w:rsidR="000E48BC" w:rsidRPr="007813EC">
        <w:rPr>
          <w:rFonts w:ascii="Palatino Linotype" w:eastAsia="Times New Roman" w:hAnsi="Palatino Linotype" w:cs="Arial"/>
          <w:sz w:val="24"/>
          <w:szCs w:val="24"/>
          <w:lang w:val="es-ES" w:eastAsia="es-ES"/>
        </w:rPr>
        <w:t xml:space="preserve"> a lo dispuesto en el </w:t>
      </w:r>
      <w:r w:rsidR="000E48BC" w:rsidRPr="007813EC">
        <w:rPr>
          <w:rFonts w:ascii="Palatino Linotype" w:eastAsia="Times New Roman" w:hAnsi="Palatino Linotype" w:cs="Arial"/>
          <w:sz w:val="24"/>
          <w:szCs w:val="24"/>
          <w:lang w:val="es-ES_tradnl" w:eastAsia="es-ES"/>
        </w:rPr>
        <w:t>artículo</w:t>
      </w:r>
      <w:r w:rsidR="000E48BC" w:rsidRPr="007813EC">
        <w:rPr>
          <w:rFonts w:ascii="Palatino Linotype" w:eastAsia="Times New Roman" w:hAnsi="Palatino Linotype" w:cs="Arial"/>
          <w:sz w:val="24"/>
          <w:szCs w:val="24"/>
          <w:lang w:val="es-ES" w:eastAsia="es-ES"/>
        </w:rPr>
        <w:t xml:space="preserve"> 185 fracciones I, II y IV </w:t>
      </w:r>
      <w:r w:rsidR="000E48BC" w:rsidRPr="007813EC">
        <w:rPr>
          <w:rFonts w:ascii="Palatino Linotype" w:eastAsia="Times New Roman" w:hAnsi="Palatino Linotype" w:cs="Arial"/>
          <w:sz w:val="24"/>
          <w:szCs w:val="24"/>
          <w:lang w:val="es-ES_tradnl" w:eastAsia="es-ES"/>
        </w:rPr>
        <w:t xml:space="preserve">de la </w:t>
      </w:r>
      <w:r w:rsidR="000E48BC" w:rsidRPr="007813EC">
        <w:rPr>
          <w:rFonts w:ascii="Palatino Linotype" w:eastAsia="Times New Roman" w:hAnsi="Palatino Linotype" w:cs="Times New Roman"/>
          <w:sz w:val="24"/>
          <w:szCs w:val="24"/>
          <w:lang w:val="es-ES" w:eastAsia="es-ES"/>
        </w:rPr>
        <w:t>Ley de Transparencia y Acceso a la Información Pública del Estado de México y Municipios, se a</w:t>
      </w:r>
      <w:r w:rsidR="000E48BC" w:rsidRPr="007813EC">
        <w:rPr>
          <w:rFonts w:ascii="Palatino Linotype" w:eastAsia="Times New Roman" w:hAnsi="Palatino Linotype" w:cs="Arial"/>
          <w:sz w:val="24"/>
          <w:szCs w:val="24"/>
          <w:lang w:val="es-ES" w:eastAsia="es-ES"/>
        </w:rPr>
        <w:t>cordó la admisión a trámite del referido recurso de revisión, así como la integración del expediente respectivo, que se pus</w:t>
      </w:r>
      <w:r w:rsidR="00132F30" w:rsidRPr="007813EC">
        <w:rPr>
          <w:rFonts w:ascii="Palatino Linotype" w:eastAsia="Times New Roman" w:hAnsi="Palatino Linotype" w:cs="Arial"/>
          <w:sz w:val="24"/>
          <w:szCs w:val="24"/>
          <w:lang w:val="es-ES" w:eastAsia="es-ES"/>
        </w:rPr>
        <w:t xml:space="preserve">o </w:t>
      </w:r>
      <w:r w:rsidR="000E48BC" w:rsidRPr="007813EC">
        <w:rPr>
          <w:rFonts w:ascii="Palatino Linotype" w:eastAsia="Times New Roman" w:hAnsi="Palatino Linotype" w:cs="Arial"/>
          <w:sz w:val="24"/>
          <w:szCs w:val="24"/>
          <w:lang w:val="es-ES" w:eastAsia="es-ES"/>
        </w:rPr>
        <w:t>a disposición de las partes, para que en un plazo máximo de siete días hábiles, realizarán manifestaciones y ofrecieran las pruebas y alegatos que a su derecho conviniera o exhibieran el informe justificado, según fuera el caso.</w:t>
      </w:r>
    </w:p>
    <w:p w14:paraId="7AFCF6BB" w14:textId="77777777" w:rsidR="00D41136" w:rsidRPr="007813EC" w:rsidRDefault="00D41136" w:rsidP="005136D5">
      <w:pPr>
        <w:spacing w:after="0" w:line="360" w:lineRule="auto"/>
        <w:ind w:right="49"/>
        <w:jc w:val="both"/>
        <w:rPr>
          <w:rFonts w:ascii="Palatino Linotype" w:eastAsia="Times New Roman" w:hAnsi="Palatino Linotype" w:cs="Arial"/>
          <w:sz w:val="24"/>
          <w:szCs w:val="24"/>
          <w:lang w:val="es-ES" w:eastAsia="es-ES"/>
        </w:rPr>
      </w:pPr>
    </w:p>
    <w:p w14:paraId="08CC6B4E" w14:textId="684B609C" w:rsidR="0008615F" w:rsidRDefault="0008615F" w:rsidP="005136D5">
      <w:pPr>
        <w:spacing w:after="0" w:line="360" w:lineRule="auto"/>
        <w:jc w:val="both"/>
        <w:rPr>
          <w:rFonts w:ascii="Palatino Linotype" w:hAnsi="Palatino Linotype" w:cs="Arial"/>
          <w:sz w:val="24"/>
          <w:szCs w:val="24"/>
        </w:rPr>
      </w:pPr>
      <w:r>
        <w:rPr>
          <w:rFonts w:ascii="Palatino Linotype" w:hAnsi="Palatino Linotype" w:cs="Arial"/>
          <w:b/>
          <w:sz w:val="28"/>
          <w:szCs w:val="28"/>
        </w:rPr>
        <w:t>QUINTO</w:t>
      </w:r>
      <w:r w:rsidR="000E48BC" w:rsidRPr="007813EC">
        <w:rPr>
          <w:rFonts w:ascii="Palatino Linotype" w:hAnsi="Palatino Linotype" w:cs="Arial"/>
          <w:b/>
          <w:sz w:val="28"/>
          <w:szCs w:val="28"/>
        </w:rPr>
        <w:t xml:space="preserve">. </w:t>
      </w:r>
      <w:r w:rsidR="00132F30" w:rsidRPr="007813EC">
        <w:rPr>
          <w:rFonts w:ascii="Palatino Linotype" w:hAnsi="Palatino Linotype" w:cs="Arial"/>
          <w:sz w:val="24"/>
          <w:szCs w:val="24"/>
        </w:rPr>
        <w:t xml:space="preserve">Una vez abierta la etapa de instrucción, se advierte que el </w:t>
      </w:r>
      <w:r w:rsidR="00132F30" w:rsidRPr="007813EC">
        <w:rPr>
          <w:rFonts w:ascii="Palatino Linotype" w:hAnsi="Palatino Linotype" w:cs="Arial"/>
          <w:b/>
          <w:sz w:val="24"/>
          <w:szCs w:val="24"/>
        </w:rPr>
        <w:t>Sujeto Obligado</w:t>
      </w:r>
      <w:r w:rsidR="00132F30" w:rsidRPr="007813EC">
        <w:rPr>
          <w:rFonts w:ascii="Palatino Linotype" w:hAnsi="Palatino Linotype" w:cs="Arial"/>
          <w:sz w:val="24"/>
          <w:szCs w:val="24"/>
        </w:rPr>
        <w:t xml:space="preserve"> </w:t>
      </w:r>
      <w:r w:rsidR="00F12110" w:rsidRPr="007813EC">
        <w:rPr>
          <w:rFonts w:ascii="Palatino Linotype" w:hAnsi="Palatino Linotype" w:cs="Arial"/>
          <w:sz w:val="24"/>
          <w:szCs w:val="24"/>
        </w:rPr>
        <w:t>fue</w:t>
      </w:r>
      <w:r>
        <w:rPr>
          <w:rFonts w:ascii="Palatino Linotype" w:hAnsi="Palatino Linotype" w:cs="Arial"/>
          <w:sz w:val="24"/>
          <w:szCs w:val="24"/>
        </w:rPr>
        <w:t xml:space="preserve"> </w:t>
      </w:r>
      <w:r w:rsidR="00F12110" w:rsidRPr="007813EC">
        <w:rPr>
          <w:rFonts w:ascii="Palatino Linotype" w:hAnsi="Palatino Linotype" w:cs="Arial"/>
          <w:sz w:val="24"/>
          <w:szCs w:val="24"/>
        </w:rPr>
        <w:t>omiso en rendir el informe justificado</w:t>
      </w:r>
      <w:r>
        <w:rPr>
          <w:rFonts w:ascii="Palatino Linotype" w:hAnsi="Palatino Linotype" w:cs="Arial"/>
          <w:sz w:val="24"/>
          <w:szCs w:val="24"/>
        </w:rPr>
        <w:t xml:space="preserve">. Asimismo, </w:t>
      </w:r>
      <w:r w:rsidRPr="007813EC">
        <w:rPr>
          <w:rFonts w:ascii="Palatino Linotype" w:hAnsi="Palatino Linotype" w:cs="Arial"/>
          <w:sz w:val="24"/>
          <w:szCs w:val="24"/>
        </w:rPr>
        <w:t xml:space="preserve">la parte </w:t>
      </w:r>
      <w:r w:rsidRPr="007813EC">
        <w:rPr>
          <w:rFonts w:ascii="Palatino Linotype" w:hAnsi="Palatino Linotype" w:cs="Arial"/>
          <w:b/>
          <w:sz w:val="24"/>
          <w:szCs w:val="24"/>
        </w:rPr>
        <w:t>Recurrente</w:t>
      </w:r>
      <w:r w:rsidR="00F12110" w:rsidRPr="007813EC">
        <w:rPr>
          <w:rFonts w:ascii="Palatino Linotype" w:hAnsi="Palatino Linotype" w:cs="Arial"/>
          <w:sz w:val="24"/>
          <w:szCs w:val="24"/>
        </w:rPr>
        <w:t xml:space="preserve"> </w:t>
      </w:r>
      <w:r>
        <w:rPr>
          <w:rFonts w:ascii="Palatino Linotype" w:hAnsi="Palatino Linotype" w:cs="Arial"/>
          <w:sz w:val="24"/>
          <w:szCs w:val="24"/>
        </w:rPr>
        <w:t xml:space="preserve">presentó </w:t>
      </w:r>
      <w:r w:rsidR="00287260" w:rsidRPr="007813EC">
        <w:rPr>
          <w:rFonts w:ascii="Palatino Linotype" w:hAnsi="Palatino Linotype" w:cs="Arial"/>
          <w:sz w:val="24"/>
          <w:szCs w:val="24"/>
        </w:rPr>
        <w:t>las manifestaciones que a sus intereses conviniera,</w:t>
      </w:r>
      <w:r>
        <w:rPr>
          <w:rFonts w:ascii="Palatino Linotype" w:hAnsi="Palatino Linotype" w:cs="Arial"/>
          <w:sz w:val="24"/>
          <w:szCs w:val="24"/>
        </w:rPr>
        <w:t xml:space="preserve"> por medio del documento electrónico </w:t>
      </w:r>
      <w:r>
        <w:rPr>
          <w:rFonts w:ascii="Palatino Linotype" w:hAnsi="Palatino Linotype" w:cs="Arial"/>
          <w:i/>
          <w:iCs/>
          <w:sz w:val="24"/>
          <w:szCs w:val="24"/>
        </w:rPr>
        <w:t>“</w:t>
      </w:r>
      <w:r w:rsidRPr="0008615F">
        <w:rPr>
          <w:rFonts w:ascii="Palatino Linotype" w:hAnsi="Palatino Linotype" w:cs="Arial"/>
          <w:b/>
          <w:bCs/>
          <w:i/>
          <w:iCs/>
          <w:sz w:val="24"/>
          <w:szCs w:val="24"/>
        </w:rPr>
        <w:t>anexo 737.pdf</w:t>
      </w:r>
      <w:r>
        <w:rPr>
          <w:rFonts w:ascii="Palatino Linotype" w:hAnsi="Palatino Linotype" w:cs="Arial"/>
          <w:i/>
          <w:iCs/>
          <w:sz w:val="24"/>
          <w:szCs w:val="24"/>
        </w:rPr>
        <w:t>”</w:t>
      </w:r>
      <w:r>
        <w:rPr>
          <w:rFonts w:ascii="Palatino Linotype" w:hAnsi="Palatino Linotype" w:cs="Arial"/>
          <w:sz w:val="24"/>
          <w:szCs w:val="24"/>
        </w:rPr>
        <w:t xml:space="preserve">. </w:t>
      </w:r>
    </w:p>
    <w:p w14:paraId="3A64154C" w14:textId="77777777" w:rsidR="0008615F" w:rsidRDefault="0008615F" w:rsidP="005136D5">
      <w:pPr>
        <w:spacing w:after="0" w:line="360" w:lineRule="auto"/>
        <w:jc w:val="both"/>
        <w:rPr>
          <w:rFonts w:ascii="Palatino Linotype" w:hAnsi="Palatino Linotype" w:cs="Arial"/>
          <w:sz w:val="24"/>
          <w:szCs w:val="24"/>
        </w:rPr>
      </w:pPr>
    </w:p>
    <w:p w14:paraId="5592603D" w14:textId="253D43F0" w:rsidR="00132F30" w:rsidRPr="007813EC" w:rsidRDefault="0008615F" w:rsidP="005136D5">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De igual manera, </w:t>
      </w:r>
      <w:r w:rsidR="00132F30" w:rsidRPr="007813EC">
        <w:rPr>
          <w:rFonts w:ascii="Palatino Linotype" w:hAnsi="Palatino Linotype" w:cs="Arial"/>
          <w:sz w:val="24"/>
          <w:szCs w:val="24"/>
        </w:rPr>
        <w:t>se aprecia que no se llevaron a cabo audiencias durante la sustan</w:t>
      </w:r>
      <w:r w:rsidR="000430C0" w:rsidRPr="007813EC">
        <w:rPr>
          <w:rFonts w:ascii="Palatino Linotype" w:hAnsi="Palatino Linotype" w:cs="Arial"/>
          <w:sz w:val="24"/>
          <w:szCs w:val="24"/>
        </w:rPr>
        <w:t>ciación del recurso de revisión</w:t>
      </w:r>
      <w:r w:rsidR="00132F30" w:rsidRPr="007813EC">
        <w:rPr>
          <w:rFonts w:ascii="Palatino Linotype" w:hAnsi="Palatino Linotype" w:cs="Arial"/>
          <w:sz w:val="24"/>
          <w:szCs w:val="24"/>
        </w:rPr>
        <w:t xml:space="preserve"> todo lo anterior en términos de los artículos 185 </w:t>
      </w:r>
      <w:r w:rsidR="00132F30" w:rsidRPr="007813EC">
        <w:rPr>
          <w:rFonts w:ascii="Palatino Linotype" w:hAnsi="Palatino Linotype" w:cs="Arial"/>
          <w:sz w:val="24"/>
          <w:szCs w:val="24"/>
        </w:rPr>
        <w:lastRenderedPageBreak/>
        <w:t>fracciones II y IV, y 195 de la Ley de Transparencia y Acceso a la Información Pública del Estado de México y Municipios.</w:t>
      </w:r>
    </w:p>
    <w:p w14:paraId="0667A159" w14:textId="77777777" w:rsidR="00F92C04" w:rsidRPr="007813EC" w:rsidRDefault="00F92C04" w:rsidP="005136D5">
      <w:pPr>
        <w:spacing w:after="0" w:line="360" w:lineRule="auto"/>
        <w:jc w:val="both"/>
        <w:rPr>
          <w:rFonts w:ascii="Palatino Linotype" w:hAnsi="Palatino Linotype" w:cs="Arial"/>
          <w:sz w:val="24"/>
          <w:szCs w:val="24"/>
        </w:rPr>
      </w:pPr>
    </w:p>
    <w:p w14:paraId="3C07F7FF" w14:textId="739C223A" w:rsidR="00F12110" w:rsidRPr="007813EC" w:rsidRDefault="0008615F" w:rsidP="005136D5">
      <w:pPr>
        <w:spacing w:after="0" w:line="360" w:lineRule="auto"/>
        <w:ind w:right="49"/>
        <w:jc w:val="both"/>
        <w:rPr>
          <w:rFonts w:ascii="Palatino Linotype" w:eastAsia="Times New Roman" w:hAnsi="Palatino Linotype" w:cs="Arial"/>
          <w:sz w:val="24"/>
          <w:szCs w:val="24"/>
          <w:lang w:val="es-ES" w:eastAsia="es-ES"/>
        </w:rPr>
      </w:pPr>
      <w:r>
        <w:rPr>
          <w:rFonts w:ascii="Palatino Linotype" w:hAnsi="Palatino Linotype" w:cs="Arial"/>
          <w:b/>
          <w:sz w:val="28"/>
          <w:szCs w:val="28"/>
        </w:rPr>
        <w:t>SEXTO</w:t>
      </w:r>
      <w:r w:rsidR="000E48BC" w:rsidRPr="007813EC">
        <w:rPr>
          <w:rFonts w:ascii="Palatino Linotype" w:hAnsi="Palatino Linotype" w:cs="Arial"/>
          <w:b/>
          <w:sz w:val="28"/>
          <w:szCs w:val="28"/>
        </w:rPr>
        <w:t>.</w:t>
      </w:r>
      <w:r w:rsidR="000E48BC" w:rsidRPr="007813EC">
        <w:rPr>
          <w:rFonts w:ascii="Palatino Linotype" w:hAnsi="Palatino Linotype" w:cs="Arial"/>
          <w:bCs/>
          <w:sz w:val="28"/>
          <w:szCs w:val="28"/>
        </w:rPr>
        <w:t xml:space="preserve"> </w:t>
      </w:r>
      <w:r w:rsidR="00F12110" w:rsidRPr="007813EC">
        <w:rPr>
          <w:rFonts w:ascii="Palatino Linotype" w:eastAsia="Times New Roman" w:hAnsi="Palatino Linotype" w:cs="Arial"/>
          <w:sz w:val="24"/>
          <w:szCs w:val="24"/>
          <w:lang w:val="es-ES" w:eastAsia="es-ES"/>
        </w:rPr>
        <w:t xml:space="preserve">Una vez transcurrido </w:t>
      </w:r>
      <w:r>
        <w:rPr>
          <w:rFonts w:ascii="Palatino Linotype" w:eastAsia="Times New Roman" w:hAnsi="Palatino Linotype" w:cs="Arial"/>
          <w:sz w:val="24"/>
          <w:szCs w:val="24"/>
          <w:lang w:val="es-ES" w:eastAsia="es-ES"/>
        </w:rPr>
        <w:t>e</w:t>
      </w:r>
      <w:r w:rsidR="00F12110" w:rsidRPr="007813EC">
        <w:rPr>
          <w:rFonts w:ascii="Palatino Linotype" w:eastAsia="Times New Roman" w:hAnsi="Palatino Linotype" w:cs="Arial"/>
          <w:sz w:val="24"/>
          <w:szCs w:val="24"/>
          <w:lang w:val="es-ES" w:eastAsia="es-ES"/>
        </w:rPr>
        <w:t xml:space="preserve">l periodo otorgado a las partes de siete días hábiles para realizar sus manifestaciones en el acuerdo de admisión, y no habiendo prueba pendiente por desahogar, ni que documentos que integrar al expediente electrónico, se decretó el cierre de instrucción en fecha </w:t>
      </w:r>
      <w:r w:rsidR="00F92C04" w:rsidRPr="007813EC">
        <w:rPr>
          <w:rFonts w:ascii="Palatino Linotype" w:eastAsia="Times New Roman" w:hAnsi="Palatino Linotype" w:cs="Arial"/>
          <w:sz w:val="24"/>
          <w:szCs w:val="24"/>
          <w:lang w:val="es-ES" w:eastAsia="es-ES"/>
        </w:rPr>
        <w:t>dieci</w:t>
      </w:r>
      <w:r>
        <w:rPr>
          <w:rFonts w:ascii="Palatino Linotype" w:eastAsia="Times New Roman" w:hAnsi="Palatino Linotype" w:cs="Arial"/>
          <w:sz w:val="24"/>
          <w:szCs w:val="24"/>
          <w:lang w:val="es-ES" w:eastAsia="es-ES"/>
        </w:rPr>
        <w:t xml:space="preserve">ocho de julio </w:t>
      </w:r>
      <w:r w:rsidR="00F12110" w:rsidRPr="007813EC">
        <w:rPr>
          <w:rFonts w:ascii="Palatino Linotype" w:eastAsia="Times New Roman" w:hAnsi="Palatino Linotype" w:cs="Arial"/>
          <w:sz w:val="24"/>
          <w:szCs w:val="24"/>
          <w:lang w:val="es-ES" w:eastAsia="es-ES"/>
        </w:rPr>
        <w:t>de dos mil veinticuatro, en términos del artículo 185 fracción VI de la Ley de Transparencia y Acceso a la Información Pública del Estado de México y Municipios, ordenándose turnar los expedientes a la resolución que en derecho proceda.</w:t>
      </w:r>
    </w:p>
    <w:p w14:paraId="4E03FA28" w14:textId="77777777" w:rsidR="00DC4AE1" w:rsidRPr="007813EC" w:rsidRDefault="00DC4AE1" w:rsidP="005136D5">
      <w:pPr>
        <w:spacing w:after="0" w:line="360" w:lineRule="auto"/>
        <w:ind w:right="49"/>
        <w:jc w:val="both"/>
        <w:rPr>
          <w:rFonts w:ascii="Palatino Linotype" w:eastAsia="Times New Roman" w:hAnsi="Palatino Linotype" w:cs="Arial"/>
          <w:sz w:val="24"/>
          <w:szCs w:val="24"/>
          <w:lang w:val="es-ES" w:eastAsia="es-ES"/>
        </w:rPr>
      </w:pPr>
    </w:p>
    <w:p w14:paraId="1F32C911" w14:textId="5494346F" w:rsidR="00F12110" w:rsidRPr="007813EC" w:rsidRDefault="00B933D1" w:rsidP="005136D5">
      <w:pPr>
        <w:spacing w:after="0" w:line="360" w:lineRule="auto"/>
        <w:jc w:val="both"/>
        <w:rPr>
          <w:rFonts w:ascii="Palatino Linotype" w:hAnsi="Palatino Linotype" w:cs="Arial"/>
          <w:sz w:val="24"/>
          <w:szCs w:val="24"/>
        </w:rPr>
      </w:pPr>
      <w:r w:rsidRPr="007813EC">
        <w:rPr>
          <w:rFonts w:ascii="Palatino Linotype" w:hAnsi="Palatino Linotype" w:cs="Arial"/>
          <w:b/>
          <w:sz w:val="28"/>
          <w:szCs w:val="28"/>
        </w:rPr>
        <w:t>OCTAVO</w:t>
      </w:r>
      <w:r w:rsidR="00DC4AE1" w:rsidRPr="007813EC">
        <w:rPr>
          <w:rFonts w:ascii="Palatino Linotype" w:hAnsi="Palatino Linotype" w:cs="Arial"/>
          <w:b/>
          <w:sz w:val="28"/>
          <w:szCs w:val="28"/>
        </w:rPr>
        <w:t>.</w:t>
      </w:r>
      <w:r w:rsidR="00DC4AE1" w:rsidRPr="007813EC">
        <w:rPr>
          <w:rFonts w:ascii="Palatino Linotype" w:hAnsi="Palatino Linotype" w:cs="Arial"/>
          <w:bCs/>
          <w:sz w:val="28"/>
          <w:szCs w:val="28"/>
        </w:rPr>
        <w:t xml:space="preserve"> </w:t>
      </w:r>
      <w:r w:rsidR="00F12110" w:rsidRPr="007813EC">
        <w:rPr>
          <w:rFonts w:ascii="Palatino Linotype" w:hAnsi="Palatino Linotype" w:cs="Arial"/>
          <w:sz w:val="24"/>
          <w:szCs w:val="24"/>
        </w:rPr>
        <w:t xml:space="preserve">De las constancias que integran el expediente electrónico, se advierte que ha transcurrido el término de Ley, para la emisión de la resolución en el presente recurso de revisión, por lo que en fecha </w:t>
      </w:r>
      <w:r w:rsidR="00634130">
        <w:rPr>
          <w:rFonts w:ascii="Palatino Linotype" w:hAnsi="Palatino Linotype" w:cs="Arial"/>
          <w:sz w:val="24"/>
          <w:szCs w:val="24"/>
        </w:rPr>
        <w:t>cuatro</w:t>
      </w:r>
      <w:r w:rsidR="0008615F">
        <w:rPr>
          <w:rFonts w:ascii="Palatino Linotype" w:hAnsi="Palatino Linotype" w:cs="Arial"/>
          <w:sz w:val="24"/>
          <w:szCs w:val="24"/>
        </w:rPr>
        <w:t xml:space="preserve"> de septiembre </w:t>
      </w:r>
      <w:r w:rsidR="00F12110" w:rsidRPr="007813EC">
        <w:rPr>
          <w:rFonts w:ascii="Palatino Linotype" w:hAnsi="Palatino Linotype" w:cs="Arial"/>
          <w:sz w:val="24"/>
          <w:szCs w:val="24"/>
        </w:rPr>
        <w:t>de dos mil veinticuatro,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7A585462" w14:textId="77777777" w:rsidR="00F12110" w:rsidRPr="007813EC" w:rsidRDefault="00F12110" w:rsidP="005136D5">
      <w:pPr>
        <w:spacing w:after="0" w:line="360" w:lineRule="auto"/>
        <w:jc w:val="both"/>
        <w:rPr>
          <w:rFonts w:ascii="Palatino Linotype" w:hAnsi="Palatino Linotype" w:cs="Arial"/>
          <w:sz w:val="24"/>
          <w:szCs w:val="24"/>
        </w:rPr>
      </w:pPr>
    </w:p>
    <w:p w14:paraId="00B577FB" w14:textId="77777777" w:rsidR="000E48BC" w:rsidRPr="007813EC" w:rsidRDefault="000E48BC" w:rsidP="005136D5">
      <w:pPr>
        <w:spacing w:after="0" w:line="360" w:lineRule="auto"/>
        <w:jc w:val="center"/>
        <w:rPr>
          <w:rFonts w:ascii="Palatino Linotype" w:hAnsi="Palatino Linotype" w:cs="Arial"/>
          <w:sz w:val="24"/>
          <w:szCs w:val="24"/>
        </w:rPr>
      </w:pPr>
      <w:r w:rsidRPr="007813EC">
        <w:rPr>
          <w:rFonts w:ascii="Palatino Linotype" w:hAnsi="Palatino Linotype" w:cs="Arial"/>
          <w:b/>
          <w:sz w:val="28"/>
          <w:szCs w:val="24"/>
        </w:rPr>
        <w:t xml:space="preserve">C O N S I D E R A N D O </w:t>
      </w:r>
    </w:p>
    <w:p w14:paraId="4CC885F7" w14:textId="77777777" w:rsidR="000E48BC" w:rsidRPr="007813EC" w:rsidRDefault="000E48BC" w:rsidP="005136D5">
      <w:pPr>
        <w:spacing w:after="0" w:line="360" w:lineRule="auto"/>
        <w:jc w:val="center"/>
        <w:rPr>
          <w:rFonts w:ascii="Palatino Linotype" w:hAnsi="Palatino Linotype" w:cs="Arial"/>
          <w:sz w:val="24"/>
          <w:szCs w:val="24"/>
        </w:rPr>
      </w:pPr>
    </w:p>
    <w:p w14:paraId="43C82DE5" w14:textId="77777777" w:rsidR="000E48BC" w:rsidRPr="007813EC" w:rsidRDefault="000E48BC" w:rsidP="005136D5">
      <w:pPr>
        <w:spacing w:after="0" w:line="360" w:lineRule="auto"/>
        <w:jc w:val="both"/>
        <w:rPr>
          <w:rFonts w:ascii="Palatino Linotype" w:hAnsi="Palatino Linotype" w:cs="Arial"/>
          <w:sz w:val="28"/>
          <w:szCs w:val="28"/>
        </w:rPr>
      </w:pPr>
      <w:r w:rsidRPr="007813EC">
        <w:rPr>
          <w:rFonts w:ascii="Palatino Linotype" w:hAnsi="Palatino Linotype" w:cs="Arial"/>
          <w:b/>
          <w:sz w:val="28"/>
          <w:szCs w:val="28"/>
        </w:rPr>
        <w:t xml:space="preserve">PRIMERO. </w:t>
      </w:r>
      <w:r w:rsidRPr="007813EC">
        <w:rPr>
          <w:rFonts w:ascii="Palatino Linotype" w:hAnsi="Palatino Linotype" w:cs="Arial"/>
          <w:b/>
          <w:sz w:val="26"/>
          <w:szCs w:val="26"/>
        </w:rPr>
        <w:t>De la competencia</w:t>
      </w:r>
      <w:r w:rsidRPr="007813EC">
        <w:rPr>
          <w:rFonts w:ascii="Palatino Linotype" w:hAnsi="Palatino Linotype" w:cs="Arial"/>
          <w:sz w:val="26"/>
          <w:szCs w:val="26"/>
        </w:rPr>
        <w:t>.</w:t>
      </w:r>
    </w:p>
    <w:p w14:paraId="71959556" w14:textId="77777777" w:rsidR="000E48BC" w:rsidRPr="007813EC" w:rsidRDefault="000E48BC" w:rsidP="005136D5">
      <w:pPr>
        <w:spacing w:after="0" w:line="360" w:lineRule="auto"/>
        <w:jc w:val="both"/>
        <w:rPr>
          <w:rFonts w:ascii="Palatino Linotype" w:hAnsi="Palatino Linotype" w:cs="Arial"/>
          <w:sz w:val="24"/>
          <w:szCs w:val="24"/>
        </w:rPr>
      </w:pPr>
      <w:r w:rsidRPr="007813EC">
        <w:rPr>
          <w:rFonts w:ascii="Palatino Linotype" w:hAnsi="Palatino Linotype" w:cs="Arial"/>
          <w:sz w:val="24"/>
          <w:szCs w:val="24"/>
        </w:rPr>
        <w:t xml:space="preserve">Este Instituto de Transparencia, Acceso a la Información Pública y Protección de Datos Personales del Estado de México y Municipios, es competente para conocer y resolver </w:t>
      </w:r>
      <w:r w:rsidRPr="007813EC">
        <w:rPr>
          <w:rFonts w:ascii="Palatino Linotype" w:hAnsi="Palatino Linotype" w:cs="Arial"/>
          <w:sz w:val="24"/>
          <w:szCs w:val="24"/>
        </w:rPr>
        <w:lastRenderedPageBreak/>
        <w:t xml:space="preserve">los presentes recursos de revisión interpuestos por el ahora </w:t>
      </w:r>
      <w:r w:rsidRPr="007813EC">
        <w:rPr>
          <w:rFonts w:ascii="Palatino Linotype" w:hAnsi="Palatino Linotype" w:cs="Arial"/>
          <w:b/>
          <w:sz w:val="24"/>
          <w:szCs w:val="24"/>
        </w:rPr>
        <w:t>Recurrente</w:t>
      </w:r>
      <w:r w:rsidRPr="007813EC">
        <w:rPr>
          <w:rFonts w:ascii="Palatino Linotype" w:hAnsi="Palatino Linotype" w:cs="Arial"/>
          <w:sz w:val="24"/>
          <w:szCs w:val="24"/>
        </w:rPr>
        <w:t>, conforme a lo dispuesto en los artículos 6, apartado A, fracción IV de la Constitución Política de los Estados Unidos Mexicanos; 5, párrafos trigésimo segundo,</w:t>
      </w:r>
      <w:r w:rsidR="00DA0488" w:rsidRPr="007813EC">
        <w:rPr>
          <w:rFonts w:ascii="Palatino Linotype" w:hAnsi="Palatino Linotype" w:cs="Arial"/>
          <w:sz w:val="24"/>
          <w:szCs w:val="24"/>
        </w:rPr>
        <w:t xml:space="preserve"> trigésimo tercero y trigésimo cuarto,</w:t>
      </w:r>
      <w:r w:rsidRPr="007813EC">
        <w:rPr>
          <w:rFonts w:ascii="Palatino Linotype" w:hAnsi="Palatino Linotype" w:cs="Arial"/>
          <w:sz w:val="24"/>
          <w:szCs w:val="24"/>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4FA3C42B" w14:textId="77777777" w:rsidR="00F92C04" w:rsidRPr="007813EC" w:rsidRDefault="00F92C04" w:rsidP="005136D5">
      <w:pPr>
        <w:spacing w:after="0" w:line="360" w:lineRule="auto"/>
        <w:jc w:val="both"/>
        <w:rPr>
          <w:rFonts w:ascii="Palatino Linotype" w:hAnsi="Palatino Linotype" w:cs="Arial"/>
          <w:sz w:val="24"/>
          <w:szCs w:val="24"/>
        </w:rPr>
      </w:pPr>
    </w:p>
    <w:p w14:paraId="1234ABFA" w14:textId="08EFA5BB" w:rsidR="000E48BC" w:rsidRPr="007813EC" w:rsidRDefault="000E48BC" w:rsidP="005136D5">
      <w:pPr>
        <w:autoSpaceDE w:val="0"/>
        <w:autoSpaceDN w:val="0"/>
        <w:adjustRightInd w:val="0"/>
        <w:spacing w:after="0" w:line="360" w:lineRule="auto"/>
        <w:jc w:val="both"/>
        <w:rPr>
          <w:rFonts w:ascii="Palatino Linotype" w:hAnsi="Palatino Linotype" w:cs="Arial"/>
          <w:bCs/>
          <w:sz w:val="24"/>
          <w:szCs w:val="24"/>
        </w:rPr>
      </w:pPr>
      <w:r w:rsidRPr="007813EC">
        <w:rPr>
          <w:rFonts w:ascii="Palatino Linotype" w:hAnsi="Palatino Linotype" w:cs="Arial"/>
          <w:b/>
          <w:sz w:val="28"/>
          <w:szCs w:val="28"/>
        </w:rPr>
        <w:t>SEGUNDO. Del alcance del recurso de revisión.</w:t>
      </w:r>
      <w:r w:rsidRPr="007813EC">
        <w:rPr>
          <w:rFonts w:ascii="Palatino Linotype" w:hAnsi="Palatino Linotype" w:cs="Arial"/>
          <w:bCs/>
          <w:sz w:val="28"/>
          <w:szCs w:val="28"/>
        </w:rPr>
        <w:t xml:space="preserve"> </w:t>
      </w:r>
    </w:p>
    <w:p w14:paraId="09B64E78" w14:textId="58A997A9" w:rsidR="000E48BC" w:rsidRPr="007813EC" w:rsidRDefault="000E48BC" w:rsidP="005136D5">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r w:rsidRPr="007813EC">
        <w:rPr>
          <w:rFonts w:ascii="Palatino Linotype" w:eastAsia="Palatino Linotype" w:hAnsi="Palatino Linotype" w:cs="Palatino Linotype"/>
          <w:sz w:val="24"/>
          <w:szCs w:val="24"/>
          <w:lang w:val="es-ES_tradnl" w:eastAsia="es-MX"/>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7D2C19C3" w14:textId="77777777" w:rsidR="00F92C04" w:rsidRPr="007813EC" w:rsidRDefault="00F92C04" w:rsidP="005136D5">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p>
    <w:p w14:paraId="6EBFC000" w14:textId="77777777" w:rsidR="00AE6CFE" w:rsidRPr="007813EC" w:rsidRDefault="00AE6CFE" w:rsidP="005136D5">
      <w:pPr>
        <w:autoSpaceDE w:val="0"/>
        <w:autoSpaceDN w:val="0"/>
        <w:adjustRightInd w:val="0"/>
        <w:spacing w:after="0" w:line="360" w:lineRule="auto"/>
        <w:jc w:val="both"/>
        <w:rPr>
          <w:rFonts w:ascii="Palatino Linotype" w:hAnsi="Palatino Linotype" w:cs="Arial"/>
          <w:sz w:val="24"/>
          <w:szCs w:val="24"/>
        </w:rPr>
      </w:pPr>
      <w:r w:rsidRPr="007813EC">
        <w:rPr>
          <w:rFonts w:ascii="Palatino Linotype" w:hAnsi="Palatino Linotype" w:cs="Arial"/>
          <w:sz w:val="24"/>
          <w:szCs w:val="24"/>
        </w:rPr>
        <w:t xml:space="preserve">Así mismo, esta Ponencia considera importante abordar el análisis de los requisitos de </w:t>
      </w:r>
      <w:proofErr w:type="spellStart"/>
      <w:r w:rsidRPr="007813EC">
        <w:rPr>
          <w:rFonts w:ascii="Palatino Linotype" w:hAnsi="Palatino Linotype" w:cs="Arial"/>
          <w:sz w:val="24"/>
          <w:szCs w:val="24"/>
        </w:rPr>
        <w:t>procedibilidad</w:t>
      </w:r>
      <w:proofErr w:type="spellEnd"/>
      <w:r w:rsidRPr="007813EC">
        <w:rPr>
          <w:rFonts w:ascii="Palatino Linotype" w:hAnsi="Palatino Linotype" w:cs="Arial"/>
          <w:sz w:val="24"/>
          <w:szCs w:val="24"/>
        </w:rPr>
        <w:t xml:space="preserve"> de los recursos de revisión, así el artículo 180 de la Ley de Transparencia y Acceso a la Información Pública del Estado de México y Municipios, que establece lo siguiente:</w:t>
      </w:r>
    </w:p>
    <w:p w14:paraId="4D35A813" w14:textId="77777777" w:rsidR="00AE6CFE" w:rsidRPr="007813EC" w:rsidRDefault="00AE6CFE" w:rsidP="005136D5">
      <w:pPr>
        <w:autoSpaceDE w:val="0"/>
        <w:autoSpaceDN w:val="0"/>
        <w:adjustRightInd w:val="0"/>
        <w:spacing w:after="0" w:line="360" w:lineRule="auto"/>
        <w:jc w:val="both"/>
        <w:rPr>
          <w:rFonts w:ascii="Palatino Linotype" w:hAnsi="Palatino Linotype" w:cs="Arial"/>
          <w:sz w:val="24"/>
          <w:szCs w:val="24"/>
        </w:rPr>
      </w:pPr>
    </w:p>
    <w:p w14:paraId="1E7DC648" w14:textId="77777777" w:rsidR="00AE6CFE" w:rsidRPr="007813EC" w:rsidRDefault="00AE6CFE" w:rsidP="005136D5">
      <w:pPr>
        <w:autoSpaceDE w:val="0"/>
        <w:autoSpaceDN w:val="0"/>
        <w:adjustRightInd w:val="0"/>
        <w:spacing w:after="0" w:line="240" w:lineRule="auto"/>
        <w:ind w:left="567" w:right="567"/>
        <w:jc w:val="both"/>
        <w:rPr>
          <w:rFonts w:ascii="Palatino Linotype" w:hAnsi="Palatino Linotype" w:cs="Arial"/>
          <w:i/>
          <w:szCs w:val="24"/>
        </w:rPr>
      </w:pPr>
      <w:r w:rsidRPr="007813EC">
        <w:rPr>
          <w:rFonts w:ascii="Palatino Linotype" w:hAnsi="Palatino Linotype" w:cs="Arial"/>
          <w:i/>
          <w:szCs w:val="24"/>
        </w:rPr>
        <w:lastRenderedPageBreak/>
        <w:t>“</w:t>
      </w:r>
      <w:r w:rsidRPr="007813EC">
        <w:rPr>
          <w:rFonts w:ascii="Palatino Linotype" w:hAnsi="Palatino Linotype" w:cs="Arial"/>
          <w:b/>
          <w:i/>
          <w:szCs w:val="24"/>
        </w:rPr>
        <w:t>Artículo 180</w:t>
      </w:r>
      <w:r w:rsidRPr="007813EC">
        <w:rPr>
          <w:rFonts w:ascii="Palatino Linotype" w:hAnsi="Palatino Linotype" w:cs="Arial"/>
          <w:i/>
          <w:szCs w:val="24"/>
        </w:rPr>
        <w:t xml:space="preserve">. El recurso de revisión contendrá: </w:t>
      </w:r>
    </w:p>
    <w:p w14:paraId="5A2C88C7" w14:textId="77777777" w:rsidR="00AE6CFE" w:rsidRPr="007813EC" w:rsidRDefault="00AE6CFE" w:rsidP="005136D5">
      <w:pPr>
        <w:autoSpaceDE w:val="0"/>
        <w:autoSpaceDN w:val="0"/>
        <w:adjustRightInd w:val="0"/>
        <w:spacing w:after="0" w:line="240" w:lineRule="auto"/>
        <w:ind w:left="567" w:right="567"/>
        <w:jc w:val="both"/>
        <w:rPr>
          <w:rFonts w:ascii="Palatino Linotype" w:hAnsi="Palatino Linotype" w:cs="Arial"/>
          <w:i/>
          <w:szCs w:val="24"/>
        </w:rPr>
      </w:pPr>
      <w:r w:rsidRPr="007813EC">
        <w:rPr>
          <w:rFonts w:ascii="Palatino Linotype" w:hAnsi="Palatino Linotype" w:cs="Arial"/>
          <w:b/>
          <w:i/>
          <w:szCs w:val="24"/>
        </w:rPr>
        <w:t>I</w:t>
      </w:r>
      <w:r w:rsidRPr="007813EC">
        <w:rPr>
          <w:rFonts w:ascii="Palatino Linotype" w:hAnsi="Palatino Linotype" w:cs="Arial"/>
          <w:i/>
          <w:szCs w:val="24"/>
        </w:rPr>
        <w:t xml:space="preserve">. El Sujeto Obligado ante la cual se presentó la solicitud; </w:t>
      </w:r>
    </w:p>
    <w:p w14:paraId="79882536" w14:textId="77777777" w:rsidR="00AE6CFE" w:rsidRPr="007813EC" w:rsidRDefault="00AE6CFE" w:rsidP="005136D5">
      <w:pPr>
        <w:autoSpaceDE w:val="0"/>
        <w:autoSpaceDN w:val="0"/>
        <w:adjustRightInd w:val="0"/>
        <w:spacing w:after="0" w:line="240" w:lineRule="auto"/>
        <w:ind w:left="567" w:right="567"/>
        <w:jc w:val="both"/>
        <w:rPr>
          <w:rFonts w:ascii="Palatino Linotype" w:hAnsi="Palatino Linotype" w:cs="Arial"/>
          <w:i/>
          <w:szCs w:val="24"/>
        </w:rPr>
      </w:pPr>
      <w:r w:rsidRPr="007813EC">
        <w:rPr>
          <w:rFonts w:ascii="Palatino Linotype" w:hAnsi="Palatino Linotype" w:cs="Arial"/>
          <w:b/>
          <w:i/>
          <w:szCs w:val="24"/>
        </w:rPr>
        <w:t>II</w:t>
      </w:r>
      <w:r w:rsidRPr="007813EC">
        <w:rPr>
          <w:rFonts w:ascii="Palatino Linotype" w:hAnsi="Palatino Linotype" w:cs="Arial"/>
          <w:i/>
          <w:szCs w:val="24"/>
        </w:rPr>
        <w:t xml:space="preserve">. </w:t>
      </w:r>
      <w:r w:rsidRPr="007813EC">
        <w:rPr>
          <w:rFonts w:ascii="Palatino Linotype" w:hAnsi="Palatino Linotype" w:cs="Arial"/>
          <w:i/>
          <w:szCs w:val="24"/>
          <w:u w:val="single"/>
        </w:rPr>
        <w:t>El nombre del solicitante</w:t>
      </w:r>
      <w:r w:rsidRPr="007813EC">
        <w:rPr>
          <w:rFonts w:ascii="Palatino Linotype" w:hAnsi="Palatino Linotype" w:cs="Arial"/>
          <w:i/>
          <w:szCs w:val="24"/>
        </w:rPr>
        <w:t xml:space="preserve"> que recurre o de su representante y, en su caso, del tercero interesado, así como la dirección o medio que señale para recibir notificaciones; </w:t>
      </w:r>
    </w:p>
    <w:p w14:paraId="77089089" w14:textId="77777777" w:rsidR="00AE6CFE" w:rsidRPr="007813EC" w:rsidRDefault="00AE6CFE" w:rsidP="005136D5">
      <w:pPr>
        <w:autoSpaceDE w:val="0"/>
        <w:autoSpaceDN w:val="0"/>
        <w:adjustRightInd w:val="0"/>
        <w:spacing w:after="0" w:line="240" w:lineRule="auto"/>
        <w:ind w:left="567" w:right="567"/>
        <w:jc w:val="both"/>
        <w:rPr>
          <w:rFonts w:ascii="Palatino Linotype" w:hAnsi="Palatino Linotype" w:cs="Arial"/>
          <w:i/>
          <w:szCs w:val="24"/>
        </w:rPr>
      </w:pPr>
      <w:r w:rsidRPr="007813EC">
        <w:rPr>
          <w:rFonts w:ascii="Palatino Linotype" w:hAnsi="Palatino Linotype" w:cs="Arial"/>
          <w:b/>
          <w:i/>
          <w:szCs w:val="24"/>
        </w:rPr>
        <w:t>III</w:t>
      </w:r>
      <w:r w:rsidRPr="007813EC">
        <w:rPr>
          <w:rFonts w:ascii="Palatino Linotype" w:hAnsi="Palatino Linotype" w:cs="Arial"/>
          <w:i/>
          <w:szCs w:val="24"/>
        </w:rPr>
        <w:t xml:space="preserve">. El número de folio de respuesta de la solicitud de acceso; </w:t>
      </w:r>
    </w:p>
    <w:p w14:paraId="1E9DC4CB" w14:textId="77777777" w:rsidR="00AE6CFE" w:rsidRPr="007813EC" w:rsidRDefault="00AE6CFE" w:rsidP="005136D5">
      <w:pPr>
        <w:autoSpaceDE w:val="0"/>
        <w:autoSpaceDN w:val="0"/>
        <w:adjustRightInd w:val="0"/>
        <w:spacing w:after="0" w:line="240" w:lineRule="auto"/>
        <w:ind w:left="567" w:right="567"/>
        <w:jc w:val="both"/>
        <w:rPr>
          <w:rFonts w:ascii="Palatino Linotype" w:hAnsi="Palatino Linotype" w:cs="Arial"/>
          <w:i/>
          <w:szCs w:val="24"/>
        </w:rPr>
      </w:pPr>
      <w:r w:rsidRPr="007813EC">
        <w:rPr>
          <w:rFonts w:ascii="Palatino Linotype" w:hAnsi="Palatino Linotype" w:cs="Arial"/>
          <w:b/>
          <w:i/>
          <w:szCs w:val="24"/>
        </w:rPr>
        <w:t>IV</w:t>
      </w:r>
      <w:r w:rsidRPr="007813EC">
        <w:rPr>
          <w:rFonts w:ascii="Palatino Linotype" w:hAnsi="Palatino Linotype" w:cs="Arial"/>
          <w:i/>
          <w:szCs w:val="24"/>
        </w:rPr>
        <w:t xml:space="preserve">. La fecha en que fue notificada la respuesta al solicitante o tuvo conocimiento del acto reclamado, o de presentación de la solicitud, en caso de falta de respuesta; </w:t>
      </w:r>
    </w:p>
    <w:p w14:paraId="25935E50" w14:textId="77777777" w:rsidR="00AE6CFE" w:rsidRPr="007813EC" w:rsidRDefault="00AE6CFE" w:rsidP="005136D5">
      <w:pPr>
        <w:autoSpaceDE w:val="0"/>
        <w:autoSpaceDN w:val="0"/>
        <w:adjustRightInd w:val="0"/>
        <w:spacing w:after="0" w:line="240" w:lineRule="auto"/>
        <w:ind w:left="567" w:right="567"/>
        <w:jc w:val="both"/>
        <w:rPr>
          <w:rFonts w:ascii="Palatino Linotype" w:hAnsi="Palatino Linotype" w:cs="Arial"/>
          <w:i/>
          <w:szCs w:val="24"/>
        </w:rPr>
      </w:pPr>
      <w:r w:rsidRPr="007813EC">
        <w:rPr>
          <w:rFonts w:ascii="Palatino Linotype" w:hAnsi="Palatino Linotype" w:cs="Arial"/>
          <w:b/>
          <w:i/>
          <w:szCs w:val="24"/>
        </w:rPr>
        <w:t>V</w:t>
      </w:r>
      <w:r w:rsidRPr="007813EC">
        <w:rPr>
          <w:rFonts w:ascii="Palatino Linotype" w:hAnsi="Palatino Linotype" w:cs="Arial"/>
          <w:i/>
          <w:szCs w:val="24"/>
        </w:rPr>
        <w:t xml:space="preserve">. El acto que se recurre; </w:t>
      </w:r>
    </w:p>
    <w:p w14:paraId="2195F03E" w14:textId="77777777" w:rsidR="00AE6CFE" w:rsidRPr="007813EC" w:rsidRDefault="00AE6CFE" w:rsidP="005136D5">
      <w:pPr>
        <w:autoSpaceDE w:val="0"/>
        <w:autoSpaceDN w:val="0"/>
        <w:adjustRightInd w:val="0"/>
        <w:spacing w:after="0" w:line="240" w:lineRule="auto"/>
        <w:ind w:left="567" w:right="567"/>
        <w:jc w:val="both"/>
        <w:rPr>
          <w:rFonts w:ascii="Palatino Linotype" w:hAnsi="Palatino Linotype" w:cs="Arial"/>
          <w:i/>
          <w:szCs w:val="24"/>
        </w:rPr>
      </w:pPr>
      <w:r w:rsidRPr="007813EC">
        <w:rPr>
          <w:rFonts w:ascii="Palatino Linotype" w:hAnsi="Palatino Linotype" w:cs="Arial"/>
          <w:b/>
          <w:i/>
          <w:szCs w:val="24"/>
        </w:rPr>
        <w:t>VI</w:t>
      </w:r>
      <w:r w:rsidRPr="007813EC">
        <w:rPr>
          <w:rFonts w:ascii="Palatino Linotype" w:hAnsi="Palatino Linotype" w:cs="Arial"/>
          <w:i/>
          <w:szCs w:val="24"/>
        </w:rPr>
        <w:t xml:space="preserve">. Las razones o motivos de inconformidad; </w:t>
      </w:r>
    </w:p>
    <w:p w14:paraId="102E3173" w14:textId="77777777" w:rsidR="00AE6CFE" w:rsidRPr="007813EC" w:rsidRDefault="00AE6CFE" w:rsidP="005136D5">
      <w:pPr>
        <w:autoSpaceDE w:val="0"/>
        <w:autoSpaceDN w:val="0"/>
        <w:adjustRightInd w:val="0"/>
        <w:spacing w:after="0" w:line="240" w:lineRule="auto"/>
        <w:ind w:left="567" w:right="567"/>
        <w:jc w:val="both"/>
        <w:rPr>
          <w:rFonts w:ascii="Palatino Linotype" w:hAnsi="Palatino Linotype" w:cs="Arial"/>
          <w:i/>
          <w:szCs w:val="24"/>
        </w:rPr>
      </w:pPr>
      <w:r w:rsidRPr="007813EC">
        <w:rPr>
          <w:rFonts w:ascii="Palatino Linotype" w:hAnsi="Palatino Linotype" w:cs="Arial"/>
          <w:b/>
          <w:i/>
          <w:szCs w:val="24"/>
        </w:rPr>
        <w:t>VII</w:t>
      </w:r>
      <w:r w:rsidRPr="007813EC">
        <w:rPr>
          <w:rFonts w:ascii="Palatino Linotype" w:hAnsi="Palatino Linotype" w:cs="Arial"/>
          <w:i/>
          <w:szCs w:val="24"/>
        </w:rPr>
        <w:t xml:space="preserve">. La copia de la respuesta que se impugna y, en su caso, de la notificación correspondiente, en el caso de respuesta de la solicitud; y </w:t>
      </w:r>
    </w:p>
    <w:p w14:paraId="572BC1B9" w14:textId="77777777" w:rsidR="00AE6CFE" w:rsidRPr="007813EC" w:rsidRDefault="00AE6CFE" w:rsidP="005136D5">
      <w:pPr>
        <w:autoSpaceDE w:val="0"/>
        <w:autoSpaceDN w:val="0"/>
        <w:adjustRightInd w:val="0"/>
        <w:spacing w:after="0" w:line="240" w:lineRule="auto"/>
        <w:ind w:left="567" w:right="567"/>
        <w:jc w:val="both"/>
        <w:rPr>
          <w:rFonts w:ascii="Palatino Linotype" w:hAnsi="Palatino Linotype" w:cs="Arial"/>
          <w:i/>
          <w:szCs w:val="24"/>
        </w:rPr>
      </w:pPr>
      <w:r w:rsidRPr="007813EC">
        <w:rPr>
          <w:rFonts w:ascii="Palatino Linotype" w:hAnsi="Palatino Linotype" w:cs="Arial"/>
          <w:b/>
          <w:i/>
          <w:szCs w:val="24"/>
        </w:rPr>
        <w:t>VIII</w:t>
      </w:r>
      <w:r w:rsidRPr="007813EC">
        <w:rPr>
          <w:rFonts w:ascii="Palatino Linotype" w:hAnsi="Palatino Linotype" w:cs="Arial"/>
          <w:i/>
          <w:szCs w:val="24"/>
        </w:rPr>
        <w:t xml:space="preserve">. Firma del Recurrente, en su caso, cuando se presente por escrito, requisito sin el cual se dará trámite al recurso. </w:t>
      </w:r>
    </w:p>
    <w:p w14:paraId="44B3B1D8" w14:textId="77777777" w:rsidR="00AE6CFE" w:rsidRPr="007813EC" w:rsidRDefault="00AE6CFE" w:rsidP="005136D5">
      <w:pPr>
        <w:autoSpaceDE w:val="0"/>
        <w:autoSpaceDN w:val="0"/>
        <w:adjustRightInd w:val="0"/>
        <w:spacing w:after="0" w:line="240" w:lineRule="auto"/>
        <w:ind w:left="567" w:right="567"/>
        <w:jc w:val="both"/>
        <w:rPr>
          <w:rFonts w:ascii="Palatino Linotype" w:hAnsi="Palatino Linotype" w:cs="Arial"/>
          <w:i/>
          <w:szCs w:val="24"/>
        </w:rPr>
      </w:pPr>
      <w:r w:rsidRPr="007813EC">
        <w:rPr>
          <w:rFonts w:ascii="Palatino Linotype" w:hAnsi="Palatino Linotype" w:cs="Arial"/>
          <w:i/>
          <w:szCs w:val="24"/>
        </w:rPr>
        <w:t xml:space="preserve">Adicionalmente, se podrán anexar las pruebas y demás elementos que considere procedentes someter a juicio del Instituto. </w:t>
      </w:r>
    </w:p>
    <w:p w14:paraId="3CBA8AEE" w14:textId="77777777" w:rsidR="00AE6CFE" w:rsidRPr="007813EC" w:rsidRDefault="00AE6CFE" w:rsidP="005136D5">
      <w:pPr>
        <w:autoSpaceDE w:val="0"/>
        <w:autoSpaceDN w:val="0"/>
        <w:adjustRightInd w:val="0"/>
        <w:spacing w:after="0" w:line="240" w:lineRule="auto"/>
        <w:ind w:left="567" w:right="567"/>
        <w:jc w:val="both"/>
        <w:rPr>
          <w:rFonts w:ascii="Palatino Linotype" w:hAnsi="Palatino Linotype" w:cs="Arial"/>
          <w:i/>
          <w:szCs w:val="24"/>
        </w:rPr>
      </w:pPr>
      <w:r w:rsidRPr="007813EC">
        <w:rPr>
          <w:rFonts w:ascii="Palatino Linotype" w:hAnsi="Palatino Linotype" w:cs="Arial"/>
          <w:i/>
          <w:szCs w:val="24"/>
        </w:rPr>
        <w:t xml:space="preserve">En ningún caso será necesario que el particular ratifique el recurso de revisión interpuesto. </w:t>
      </w:r>
    </w:p>
    <w:p w14:paraId="5B708FAC" w14:textId="77777777" w:rsidR="00AE6CFE" w:rsidRPr="007813EC" w:rsidRDefault="00AE6CFE" w:rsidP="005136D5">
      <w:pPr>
        <w:autoSpaceDE w:val="0"/>
        <w:autoSpaceDN w:val="0"/>
        <w:adjustRightInd w:val="0"/>
        <w:spacing w:after="0" w:line="240" w:lineRule="auto"/>
        <w:ind w:left="567" w:right="567"/>
        <w:jc w:val="both"/>
        <w:rPr>
          <w:rFonts w:ascii="Palatino Linotype" w:hAnsi="Palatino Linotype" w:cs="Arial"/>
          <w:szCs w:val="24"/>
        </w:rPr>
      </w:pPr>
      <w:r w:rsidRPr="007813EC">
        <w:rPr>
          <w:rFonts w:ascii="Palatino Linotype" w:hAnsi="Palatino Linotype" w:cs="Arial"/>
          <w:i/>
          <w:szCs w:val="24"/>
          <w:u w:val="single"/>
        </w:rPr>
        <w:t>En caso de que el recurso se interponga de manera electrónica no será indispensable que contengan los requisitos establecidos en las fracciones II, IV, VII y VIII.”</w:t>
      </w:r>
    </w:p>
    <w:p w14:paraId="084490B4" w14:textId="77777777" w:rsidR="00AE6CFE" w:rsidRPr="007813EC" w:rsidRDefault="00AE6CFE" w:rsidP="005136D5">
      <w:pPr>
        <w:autoSpaceDE w:val="0"/>
        <w:autoSpaceDN w:val="0"/>
        <w:adjustRightInd w:val="0"/>
        <w:spacing w:after="0" w:line="240" w:lineRule="auto"/>
        <w:ind w:left="567" w:right="567"/>
        <w:jc w:val="both"/>
        <w:rPr>
          <w:rFonts w:ascii="Palatino Linotype" w:hAnsi="Palatino Linotype" w:cs="Arial"/>
          <w:szCs w:val="24"/>
        </w:rPr>
      </w:pPr>
    </w:p>
    <w:p w14:paraId="49700D5A" w14:textId="77777777" w:rsidR="00AE6CFE" w:rsidRPr="007813EC" w:rsidRDefault="00AE6CFE" w:rsidP="005136D5">
      <w:pPr>
        <w:autoSpaceDE w:val="0"/>
        <w:autoSpaceDN w:val="0"/>
        <w:adjustRightInd w:val="0"/>
        <w:spacing w:after="0" w:line="240" w:lineRule="auto"/>
        <w:ind w:left="567" w:right="567"/>
        <w:jc w:val="right"/>
        <w:rPr>
          <w:rFonts w:ascii="Palatino Linotype" w:hAnsi="Palatino Linotype" w:cs="Arial"/>
          <w:szCs w:val="24"/>
        </w:rPr>
      </w:pPr>
      <w:r w:rsidRPr="007813EC">
        <w:rPr>
          <w:rFonts w:ascii="Palatino Linotype" w:hAnsi="Palatino Linotype" w:cs="Arial"/>
          <w:szCs w:val="24"/>
        </w:rPr>
        <w:t>(Énfasis añadido)</w:t>
      </w:r>
    </w:p>
    <w:p w14:paraId="6ABD05DE" w14:textId="77777777" w:rsidR="00AE6CFE" w:rsidRPr="007813EC" w:rsidRDefault="00AE6CFE" w:rsidP="005136D5">
      <w:pPr>
        <w:autoSpaceDE w:val="0"/>
        <w:autoSpaceDN w:val="0"/>
        <w:adjustRightInd w:val="0"/>
        <w:spacing w:after="0" w:line="360" w:lineRule="auto"/>
        <w:jc w:val="both"/>
        <w:rPr>
          <w:rFonts w:ascii="Palatino Linotype" w:hAnsi="Palatino Linotype" w:cs="Arial"/>
          <w:sz w:val="24"/>
          <w:szCs w:val="24"/>
        </w:rPr>
      </w:pPr>
    </w:p>
    <w:p w14:paraId="7096FD1F" w14:textId="199E9C0A" w:rsidR="00AE6CFE" w:rsidRPr="007813EC" w:rsidRDefault="00AE6CFE" w:rsidP="005136D5">
      <w:pPr>
        <w:autoSpaceDE w:val="0"/>
        <w:autoSpaceDN w:val="0"/>
        <w:adjustRightInd w:val="0"/>
        <w:spacing w:after="0" w:line="360" w:lineRule="auto"/>
        <w:jc w:val="both"/>
        <w:rPr>
          <w:rFonts w:ascii="Palatino Linotype" w:hAnsi="Palatino Linotype" w:cs="Arial"/>
          <w:sz w:val="24"/>
          <w:szCs w:val="24"/>
        </w:rPr>
      </w:pPr>
      <w:r w:rsidRPr="007813EC">
        <w:rPr>
          <w:rFonts w:ascii="Palatino Linotype" w:hAnsi="Palatino Linotype" w:cs="Arial"/>
          <w:sz w:val="24"/>
          <w:szCs w:val="24"/>
        </w:rPr>
        <w:t xml:space="preserve">En principio, de una interpretación del artículo transcrito se observan los requisitos que deberán contener los recursos de revisión; sobre el particular, de la revisión del expediente electrónico del SAIMEX se desprende que el solicitante y ahora </w:t>
      </w:r>
      <w:r w:rsidRPr="007813EC">
        <w:rPr>
          <w:rFonts w:ascii="Palatino Linotype" w:hAnsi="Palatino Linotype" w:cs="Arial"/>
          <w:b/>
          <w:sz w:val="24"/>
          <w:szCs w:val="24"/>
        </w:rPr>
        <w:t>Recurrente</w:t>
      </w:r>
      <w:r w:rsidRPr="007813EC">
        <w:rPr>
          <w:rFonts w:ascii="Palatino Linotype" w:hAnsi="Palatino Linotype" w:cs="Arial"/>
          <w:sz w:val="24"/>
          <w:szCs w:val="24"/>
        </w:rPr>
        <w:t xml:space="preserve">, en ejercicio de su derecho de acceso a la información pública, no proporcionó un nombre para que sea identificado, ya que en el apartado de “DATOS DEL SOLICITANTE”, </w:t>
      </w:r>
      <w:r w:rsidR="003A3885">
        <w:rPr>
          <w:rFonts w:ascii="Palatino Linotype" w:hAnsi="Palatino Linotype" w:cs="Arial"/>
          <w:sz w:val="24"/>
          <w:szCs w:val="24"/>
        </w:rPr>
        <w:t xml:space="preserve">no </w:t>
      </w:r>
      <w:r w:rsidRPr="007813EC">
        <w:rPr>
          <w:rFonts w:ascii="Palatino Linotype" w:hAnsi="Palatino Linotype" w:cs="Arial"/>
          <w:sz w:val="24"/>
          <w:szCs w:val="24"/>
        </w:rPr>
        <w:t>señalo</w:t>
      </w:r>
      <w:r w:rsidR="00F92C04" w:rsidRPr="007813EC">
        <w:rPr>
          <w:rFonts w:ascii="Palatino Linotype" w:hAnsi="Palatino Linotype" w:cs="Arial"/>
          <w:sz w:val="24"/>
          <w:szCs w:val="24"/>
        </w:rPr>
        <w:t xml:space="preserve"> como</w:t>
      </w:r>
      <w:r w:rsidRPr="007813EC">
        <w:rPr>
          <w:rFonts w:ascii="Palatino Linotype" w:hAnsi="Palatino Linotype" w:cs="Arial"/>
          <w:sz w:val="24"/>
          <w:szCs w:val="24"/>
        </w:rPr>
        <w:t xml:space="preserve"> nombre o seudónimo con el cual desee identificarse, por lo que no tiene certeza sobre su identidad, lo que en estricto sentido, no se colmarían los requisitos establecidos en el citado artículo 180 de la Ley de Transparencia.</w:t>
      </w:r>
    </w:p>
    <w:p w14:paraId="6B79888B" w14:textId="77777777" w:rsidR="00AE6CFE" w:rsidRPr="007813EC" w:rsidRDefault="00AE6CFE" w:rsidP="005136D5">
      <w:pPr>
        <w:autoSpaceDE w:val="0"/>
        <w:autoSpaceDN w:val="0"/>
        <w:adjustRightInd w:val="0"/>
        <w:spacing w:after="0" w:line="360" w:lineRule="auto"/>
        <w:jc w:val="both"/>
        <w:rPr>
          <w:rFonts w:ascii="Palatino Linotype" w:hAnsi="Palatino Linotype" w:cs="Arial"/>
          <w:sz w:val="24"/>
          <w:szCs w:val="24"/>
        </w:rPr>
      </w:pPr>
    </w:p>
    <w:p w14:paraId="3078271F" w14:textId="77777777" w:rsidR="00AE6CFE" w:rsidRPr="007813EC" w:rsidRDefault="00AE6CFE" w:rsidP="005136D5">
      <w:pPr>
        <w:autoSpaceDE w:val="0"/>
        <w:autoSpaceDN w:val="0"/>
        <w:adjustRightInd w:val="0"/>
        <w:spacing w:after="0" w:line="360" w:lineRule="auto"/>
        <w:jc w:val="both"/>
        <w:rPr>
          <w:rFonts w:ascii="Palatino Linotype" w:hAnsi="Palatino Linotype" w:cs="Arial"/>
          <w:sz w:val="24"/>
          <w:szCs w:val="24"/>
        </w:rPr>
      </w:pPr>
      <w:r w:rsidRPr="007813EC">
        <w:rPr>
          <w:rFonts w:ascii="Palatino Linotype" w:hAnsi="Palatino Linotype" w:cs="Arial"/>
          <w:sz w:val="24"/>
          <w:szCs w:val="24"/>
        </w:rPr>
        <w:t xml:space="preserve">No obstante lo anterior, debe destacarse que el artículo 15 de Ley de Transparencia y Acceso a la Información Pública del Estado de México y Municipios prevé que toda </w:t>
      </w:r>
      <w:r w:rsidRPr="007813EC">
        <w:rPr>
          <w:rFonts w:ascii="Palatino Linotype" w:hAnsi="Palatino Linotype" w:cs="Arial"/>
          <w:sz w:val="24"/>
          <w:szCs w:val="24"/>
        </w:rPr>
        <w:lastRenderedPageBreak/>
        <w:t xml:space="preserve">persona tendrá acceso a la información sin necesidad de acreditar interés alguno o justificar su utilización, de lo que se infiere que para el ejercicio del derecho de acceso a la información pública, el nombre no es un requisito </w:t>
      </w:r>
      <w:r w:rsidRPr="007813EC">
        <w:rPr>
          <w:rFonts w:ascii="Palatino Linotype" w:hAnsi="Palatino Linotype" w:cs="Arial"/>
          <w:i/>
          <w:sz w:val="24"/>
          <w:szCs w:val="24"/>
        </w:rPr>
        <w:t>sine qua non</w:t>
      </w:r>
      <w:r w:rsidRPr="007813EC">
        <w:rPr>
          <w:rFonts w:ascii="Palatino Linotype" w:hAnsi="Palatino Linotype" w:cs="Arial"/>
          <w:sz w:val="24"/>
          <w:szCs w:val="24"/>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0C819606" w14:textId="77777777" w:rsidR="00AE6CFE" w:rsidRPr="007813EC" w:rsidRDefault="00AE6CFE" w:rsidP="005136D5">
      <w:pPr>
        <w:autoSpaceDE w:val="0"/>
        <w:autoSpaceDN w:val="0"/>
        <w:adjustRightInd w:val="0"/>
        <w:spacing w:after="0" w:line="360" w:lineRule="auto"/>
        <w:jc w:val="both"/>
        <w:rPr>
          <w:rFonts w:ascii="Palatino Linotype" w:hAnsi="Palatino Linotype" w:cs="Arial"/>
          <w:sz w:val="24"/>
          <w:szCs w:val="24"/>
        </w:rPr>
      </w:pPr>
    </w:p>
    <w:p w14:paraId="62651BC6" w14:textId="77777777" w:rsidR="00AE6CFE" w:rsidRPr="007813EC" w:rsidRDefault="00AE6CFE" w:rsidP="005136D5">
      <w:pPr>
        <w:autoSpaceDE w:val="0"/>
        <w:autoSpaceDN w:val="0"/>
        <w:adjustRightInd w:val="0"/>
        <w:spacing w:after="0" w:line="360" w:lineRule="auto"/>
        <w:jc w:val="both"/>
        <w:rPr>
          <w:rFonts w:ascii="Palatino Linotype" w:hAnsi="Palatino Linotype" w:cs="Arial"/>
          <w:sz w:val="24"/>
          <w:szCs w:val="24"/>
        </w:rPr>
      </w:pPr>
      <w:r w:rsidRPr="007813EC">
        <w:rPr>
          <w:rFonts w:ascii="Palatino Linotype" w:hAnsi="Palatino Linotype" w:cs="Arial"/>
          <w:sz w:val="24"/>
          <w:szCs w:val="24"/>
        </w:rPr>
        <w:t>Correlativo a ello, cabe mencionar que los artículos 6, Apartado A, fracciones I, III, V y VI de la Constitución Política de los Estados Unidos Mexicanos y 5, párrafos trigésimo, trigésimo primero y trigésimo segundo, fracciones I y III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 preceptos cuyo texto y sentido literal es el siguiente:</w:t>
      </w:r>
    </w:p>
    <w:p w14:paraId="5BE77297" w14:textId="77777777" w:rsidR="00AE6CFE" w:rsidRPr="007813EC" w:rsidRDefault="00AE6CFE" w:rsidP="005136D5">
      <w:pPr>
        <w:autoSpaceDE w:val="0"/>
        <w:autoSpaceDN w:val="0"/>
        <w:adjustRightInd w:val="0"/>
        <w:spacing w:after="0" w:line="360" w:lineRule="auto"/>
        <w:jc w:val="both"/>
        <w:rPr>
          <w:rFonts w:ascii="Palatino Linotype" w:hAnsi="Palatino Linotype" w:cs="Arial"/>
          <w:sz w:val="24"/>
          <w:szCs w:val="24"/>
        </w:rPr>
      </w:pPr>
    </w:p>
    <w:p w14:paraId="5923E7C4" w14:textId="77777777" w:rsidR="00AE6CFE" w:rsidRPr="007813EC" w:rsidRDefault="00AE6CFE" w:rsidP="005136D5">
      <w:pPr>
        <w:autoSpaceDE w:val="0"/>
        <w:autoSpaceDN w:val="0"/>
        <w:adjustRightInd w:val="0"/>
        <w:spacing w:after="0" w:line="240" w:lineRule="auto"/>
        <w:jc w:val="center"/>
        <w:rPr>
          <w:rFonts w:ascii="Palatino Linotype" w:hAnsi="Palatino Linotype" w:cs="Arial"/>
          <w:b/>
          <w:i/>
        </w:rPr>
      </w:pPr>
      <w:r w:rsidRPr="007813EC">
        <w:rPr>
          <w:rFonts w:ascii="Palatino Linotype" w:hAnsi="Palatino Linotype" w:cs="Arial"/>
          <w:b/>
          <w:i/>
        </w:rPr>
        <w:t>Constitución Política de los Estados Unidos Mexicanos</w:t>
      </w:r>
    </w:p>
    <w:p w14:paraId="517F2D08" w14:textId="77777777" w:rsidR="00AE6CFE" w:rsidRPr="007813EC" w:rsidRDefault="00AE6CFE" w:rsidP="005136D5">
      <w:pPr>
        <w:autoSpaceDE w:val="0"/>
        <w:autoSpaceDN w:val="0"/>
        <w:adjustRightInd w:val="0"/>
        <w:spacing w:after="0" w:line="240" w:lineRule="auto"/>
        <w:jc w:val="both"/>
        <w:rPr>
          <w:rFonts w:ascii="Palatino Linotype" w:hAnsi="Palatino Linotype" w:cs="Arial"/>
        </w:rPr>
      </w:pPr>
    </w:p>
    <w:p w14:paraId="16EF7C27" w14:textId="77777777" w:rsidR="00AE6CFE" w:rsidRPr="007813EC" w:rsidRDefault="00AE6CFE" w:rsidP="005136D5">
      <w:pPr>
        <w:autoSpaceDE w:val="0"/>
        <w:autoSpaceDN w:val="0"/>
        <w:adjustRightInd w:val="0"/>
        <w:spacing w:after="0" w:line="240" w:lineRule="auto"/>
        <w:ind w:left="567" w:right="567"/>
        <w:jc w:val="both"/>
        <w:rPr>
          <w:rFonts w:ascii="Palatino Linotype" w:hAnsi="Palatino Linotype" w:cs="Arial"/>
          <w:i/>
        </w:rPr>
      </w:pPr>
      <w:r w:rsidRPr="007813EC">
        <w:rPr>
          <w:rFonts w:ascii="Palatino Linotype" w:hAnsi="Palatino Linotype" w:cs="Arial"/>
          <w:i/>
        </w:rPr>
        <w:t>“</w:t>
      </w:r>
      <w:r w:rsidRPr="007813EC">
        <w:rPr>
          <w:rFonts w:ascii="Palatino Linotype" w:hAnsi="Palatino Linotype" w:cs="Arial"/>
          <w:b/>
          <w:i/>
        </w:rPr>
        <w:t>Artículo 6o</w:t>
      </w:r>
      <w:r w:rsidRPr="007813EC">
        <w:rPr>
          <w:rFonts w:ascii="Palatino Linotype" w:hAnsi="Palatino Linotype" w:cs="Arial"/>
          <w:i/>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14:paraId="7C7A9B63" w14:textId="77777777" w:rsidR="00AE6CFE" w:rsidRPr="007813EC" w:rsidRDefault="00AE6CFE" w:rsidP="005136D5">
      <w:pPr>
        <w:autoSpaceDE w:val="0"/>
        <w:autoSpaceDN w:val="0"/>
        <w:adjustRightInd w:val="0"/>
        <w:spacing w:after="0" w:line="240" w:lineRule="auto"/>
        <w:ind w:left="567" w:right="567"/>
        <w:jc w:val="both"/>
        <w:rPr>
          <w:rFonts w:ascii="Palatino Linotype" w:hAnsi="Palatino Linotype" w:cs="Arial"/>
          <w:i/>
          <w:szCs w:val="24"/>
        </w:rPr>
      </w:pPr>
      <w:r w:rsidRPr="007813EC">
        <w:rPr>
          <w:rFonts w:ascii="Palatino Linotype" w:hAnsi="Palatino Linotype" w:cs="Arial"/>
          <w:i/>
          <w:szCs w:val="24"/>
        </w:rPr>
        <w:t>Toda persona tiene derecho al libre acceso a información plural y oportuna, así como a buscar, recibir y difundir información e ideas de toda índole por cualquier medio de expresión.</w:t>
      </w:r>
    </w:p>
    <w:p w14:paraId="06A82027" w14:textId="77777777" w:rsidR="00AE6CFE" w:rsidRPr="007813EC" w:rsidRDefault="00AE6CFE" w:rsidP="005136D5">
      <w:pPr>
        <w:autoSpaceDE w:val="0"/>
        <w:autoSpaceDN w:val="0"/>
        <w:adjustRightInd w:val="0"/>
        <w:spacing w:after="0" w:line="240" w:lineRule="auto"/>
        <w:ind w:left="567" w:right="567"/>
        <w:jc w:val="both"/>
        <w:rPr>
          <w:rFonts w:ascii="Palatino Linotype" w:hAnsi="Palatino Linotype" w:cs="Arial"/>
          <w:i/>
          <w:szCs w:val="24"/>
        </w:rPr>
      </w:pPr>
      <w:r w:rsidRPr="007813EC">
        <w:rPr>
          <w:rFonts w:ascii="Palatino Linotype" w:hAnsi="Palatino Linotype" w:cs="Arial"/>
          <w:i/>
          <w:szCs w:val="24"/>
        </w:rPr>
        <w:t>Para efectos de lo dispuesto en el presente artículo se observará lo siguiente:</w:t>
      </w:r>
    </w:p>
    <w:p w14:paraId="7AE61CF4" w14:textId="77777777" w:rsidR="00AE6CFE" w:rsidRPr="007813EC" w:rsidRDefault="00AE6CFE" w:rsidP="005136D5">
      <w:pPr>
        <w:autoSpaceDE w:val="0"/>
        <w:autoSpaceDN w:val="0"/>
        <w:adjustRightInd w:val="0"/>
        <w:spacing w:after="0" w:line="240" w:lineRule="auto"/>
        <w:ind w:left="567" w:right="567"/>
        <w:jc w:val="both"/>
        <w:rPr>
          <w:rFonts w:ascii="Palatino Linotype" w:hAnsi="Palatino Linotype" w:cs="Arial"/>
          <w:i/>
          <w:szCs w:val="24"/>
        </w:rPr>
      </w:pPr>
      <w:r w:rsidRPr="007813EC">
        <w:rPr>
          <w:rFonts w:ascii="Palatino Linotype" w:hAnsi="Palatino Linotype" w:cs="Arial"/>
          <w:b/>
          <w:i/>
          <w:szCs w:val="24"/>
        </w:rPr>
        <w:t>A</w:t>
      </w:r>
      <w:r w:rsidRPr="007813EC">
        <w:rPr>
          <w:rFonts w:ascii="Palatino Linotype" w:hAnsi="Palatino Linotype" w:cs="Arial"/>
          <w:i/>
          <w:szCs w:val="24"/>
        </w:rPr>
        <w:t>. Para el ejercicio del derecho de acceso a la información, la Federación, los Estados y el Distrito Federal, en el ámbito de sus respectivas competencias, se regirán por los siguientes principios y bases:</w:t>
      </w:r>
    </w:p>
    <w:p w14:paraId="68F1C3F5" w14:textId="77777777" w:rsidR="00AE6CFE" w:rsidRPr="007813EC" w:rsidRDefault="00AE6CFE" w:rsidP="005136D5">
      <w:pPr>
        <w:autoSpaceDE w:val="0"/>
        <w:autoSpaceDN w:val="0"/>
        <w:adjustRightInd w:val="0"/>
        <w:spacing w:after="0" w:line="240" w:lineRule="auto"/>
        <w:ind w:left="567" w:right="567"/>
        <w:jc w:val="both"/>
        <w:rPr>
          <w:rFonts w:ascii="Palatino Linotype" w:hAnsi="Palatino Linotype" w:cs="Arial"/>
          <w:i/>
          <w:szCs w:val="24"/>
        </w:rPr>
      </w:pPr>
      <w:r w:rsidRPr="007813EC">
        <w:rPr>
          <w:rFonts w:ascii="Palatino Linotype" w:hAnsi="Palatino Linotype" w:cs="Arial"/>
          <w:b/>
          <w:i/>
          <w:szCs w:val="24"/>
        </w:rPr>
        <w:t>I</w:t>
      </w:r>
      <w:r w:rsidRPr="007813EC">
        <w:rPr>
          <w:rFonts w:ascii="Palatino Linotype" w:hAnsi="Palatino Linotype" w:cs="Arial"/>
          <w:i/>
          <w:szCs w:val="24"/>
        </w:rPr>
        <w:t xml:space="preserve">. Toda la información en posesión de cualquier autoridad, entidad, órgano y organismo de los Poderes Ejecutivo, Legislativo y Judicial, órganos autónomos, partidos políticos, </w:t>
      </w:r>
      <w:r w:rsidRPr="007813EC">
        <w:rPr>
          <w:rFonts w:ascii="Palatino Linotype" w:hAnsi="Palatino Linotype" w:cs="Arial"/>
          <w:i/>
          <w:szCs w:val="24"/>
        </w:rPr>
        <w:lastRenderedPageBreak/>
        <w:t>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1DF79002" w14:textId="77777777" w:rsidR="00AE6CFE" w:rsidRPr="007813EC" w:rsidRDefault="00AE6CFE" w:rsidP="005136D5">
      <w:pPr>
        <w:autoSpaceDE w:val="0"/>
        <w:autoSpaceDN w:val="0"/>
        <w:adjustRightInd w:val="0"/>
        <w:spacing w:after="0" w:line="240" w:lineRule="auto"/>
        <w:ind w:left="567" w:right="567"/>
        <w:jc w:val="both"/>
        <w:rPr>
          <w:rFonts w:ascii="Palatino Linotype" w:hAnsi="Palatino Linotype" w:cs="Arial"/>
          <w:i/>
          <w:szCs w:val="24"/>
        </w:rPr>
      </w:pPr>
      <w:r w:rsidRPr="007813EC">
        <w:rPr>
          <w:rFonts w:ascii="Palatino Linotype" w:hAnsi="Palatino Linotype" w:cs="Arial"/>
          <w:i/>
          <w:szCs w:val="24"/>
        </w:rPr>
        <w:t>…</w:t>
      </w:r>
    </w:p>
    <w:p w14:paraId="3D5C55D3" w14:textId="77777777" w:rsidR="00AE6CFE" w:rsidRPr="007813EC" w:rsidRDefault="00AE6CFE" w:rsidP="005136D5">
      <w:pPr>
        <w:autoSpaceDE w:val="0"/>
        <w:autoSpaceDN w:val="0"/>
        <w:adjustRightInd w:val="0"/>
        <w:spacing w:after="0" w:line="240" w:lineRule="auto"/>
        <w:ind w:left="567" w:right="567"/>
        <w:jc w:val="both"/>
        <w:rPr>
          <w:rFonts w:ascii="Palatino Linotype" w:hAnsi="Palatino Linotype" w:cs="Arial"/>
          <w:i/>
          <w:szCs w:val="24"/>
        </w:rPr>
      </w:pPr>
      <w:r w:rsidRPr="007813EC">
        <w:rPr>
          <w:rFonts w:ascii="Palatino Linotype" w:hAnsi="Palatino Linotype" w:cs="Arial"/>
          <w:b/>
          <w:i/>
          <w:szCs w:val="24"/>
        </w:rPr>
        <w:t>III.</w:t>
      </w:r>
      <w:r w:rsidRPr="007813EC">
        <w:rPr>
          <w:rFonts w:ascii="Palatino Linotype" w:hAnsi="Palatino Linotype" w:cs="Arial"/>
          <w:i/>
          <w:szCs w:val="24"/>
        </w:rPr>
        <w:t xml:space="preserve"> Toda persona, sin necesidad de acreditar interés alguno o justificar su utilización, tendrá acceso gratuito a la información pública, a sus datos personales o a la rectificación de éstos.</w:t>
      </w:r>
    </w:p>
    <w:p w14:paraId="1A5542DE" w14:textId="77777777" w:rsidR="00AE6CFE" w:rsidRPr="007813EC" w:rsidRDefault="00AE6CFE" w:rsidP="005136D5">
      <w:pPr>
        <w:autoSpaceDE w:val="0"/>
        <w:autoSpaceDN w:val="0"/>
        <w:adjustRightInd w:val="0"/>
        <w:spacing w:after="0" w:line="240" w:lineRule="auto"/>
        <w:ind w:left="567" w:right="567"/>
        <w:jc w:val="both"/>
        <w:rPr>
          <w:rFonts w:ascii="Palatino Linotype" w:hAnsi="Palatino Linotype" w:cs="Arial"/>
          <w:i/>
          <w:szCs w:val="24"/>
        </w:rPr>
      </w:pPr>
      <w:r w:rsidRPr="007813EC">
        <w:rPr>
          <w:rFonts w:ascii="Palatino Linotype" w:hAnsi="Palatino Linotype" w:cs="Arial"/>
          <w:i/>
          <w:szCs w:val="24"/>
        </w:rPr>
        <w:t>…</w:t>
      </w:r>
    </w:p>
    <w:p w14:paraId="53F2EF80" w14:textId="77777777" w:rsidR="00AE6CFE" w:rsidRPr="007813EC" w:rsidRDefault="00AE6CFE" w:rsidP="005136D5">
      <w:pPr>
        <w:autoSpaceDE w:val="0"/>
        <w:autoSpaceDN w:val="0"/>
        <w:adjustRightInd w:val="0"/>
        <w:spacing w:after="0" w:line="240" w:lineRule="auto"/>
        <w:ind w:left="567" w:right="567"/>
        <w:jc w:val="both"/>
        <w:rPr>
          <w:rFonts w:ascii="Palatino Linotype" w:hAnsi="Palatino Linotype" w:cs="Arial"/>
          <w:i/>
          <w:szCs w:val="24"/>
        </w:rPr>
      </w:pPr>
      <w:r w:rsidRPr="007813EC">
        <w:rPr>
          <w:rFonts w:ascii="Palatino Linotype" w:hAnsi="Palatino Linotype" w:cs="Arial"/>
          <w:b/>
          <w:i/>
          <w:szCs w:val="24"/>
        </w:rPr>
        <w:t>V</w:t>
      </w:r>
      <w:r w:rsidRPr="007813EC">
        <w:rPr>
          <w:rFonts w:ascii="Palatino Linotype" w:hAnsi="Palatino Linotype" w:cs="Arial"/>
          <w:i/>
          <w:szCs w:val="24"/>
        </w:rPr>
        <w:t>.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29DAEBD3" w14:textId="77777777" w:rsidR="00AE6CFE" w:rsidRPr="007813EC" w:rsidRDefault="00AE6CFE" w:rsidP="005136D5">
      <w:pPr>
        <w:autoSpaceDE w:val="0"/>
        <w:autoSpaceDN w:val="0"/>
        <w:adjustRightInd w:val="0"/>
        <w:spacing w:after="0" w:line="240" w:lineRule="auto"/>
        <w:ind w:left="567" w:right="567"/>
        <w:jc w:val="both"/>
        <w:rPr>
          <w:rFonts w:ascii="Palatino Linotype" w:hAnsi="Palatino Linotype" w:cs="Arial"/>
          <w:i/>
          <w:szCs w:val="24"/>
        </w:rPr>
      </w:pPr>
      <w:r w:rsidRPr="007813EC">
        <w:rPr>
          <w:rFonts w:ascii="Palatino Linotype" w:hAnsi="Palatino Linotype" w:cs="Arial"/>
          <w:b/>
          <w:i/>
          <w:szCs w:val="24"/>
        </w:rPr>
        <w:t>VI.</w:t>
      </w:r>
      <w:r w:rsidRPr="007813EC">
        <w:rPr>
          <w:rFonts w:ascii="Palatino Linotype" w:hAnsi="Palatino Linotype" w:cs="Arial"/>
          <w:i/>
          <w:szCs w:val="24"/>
        </w:rPr>
        <w:t xml:space="preserve"> Las leyes determinarán la manera en que los sujetos obligados deberán hacer pública la información relativa a los recursos públicos que entreguen a personas físicas o morales.”</w:t>
      </w:r>
    </w:p>
    <w:p w14:paraId="4E95CDD3" w14:textId="77777777" w:rsidR="00AE6CFE" w:rsidRPr="007813EC" w:rsidRDefault="00AE6CFE" w:rsidP="005136D5">
      <w:pPr>
        <w:autoSpaceDE w:val="0"/>
        <w:autoSpaceDN w:val="0"/>
        <w:adjustRightInd w:val="0"/>
        <w:spacing w:after="0" w:line="240" w:lineRule="auto"/>
        <w:ind w:left="567" w:right="567"/>
        <w:jc w:val="both"/>
        <w:rPr>
          <w:rFonts w:ascii="Palatino Linotype" w:hAnsi="Palatino Linotype" w:cs="Arial"/>
          <w:i/>
          <w:szCs w:val="24"/>
        </w:rPr>
      </w:pPr>
      <w:r w:rsidRPr="007813EC">
        <w:rPr>
          <w:rFonts w:ascii="Palatino Linotype" w:hAnsi="Palatino Linotype" w:cs="Arial"/>
          <w:i/>
          <w:szCs w:val="24"/>
        </w:rPr>
        <w:t>…</w:t>
      </w:r>
    </w:p>
    <w:p w14:paraId="6405FF20" w14:textId="77777777" w:rsidR="00AE6CFE" w:rsidRPr="007813EC" w:rsidRDefault="00AE6CFE" w:rsidP="005136D5">
      <w:pPr>
        <w:autoSpaceDE w:val="0"/>
        <w:autoSpaceDN w:val="0"/>
        <w:adjustRightInd w:val="0"/>
        <w:spacing w:after="0" w:line="240" w:lineRule="auto"/>
        <w:ind w:left="567" w:right="567"/>
        <w:jc w:val="both"/>
        <w:rPr>
          <w:rFonts w:ascii="Palatino Linotype" w:hAnsi="Palatino Linotype" w:cs="Arial"/>
          <w:i/>
          <w:szCs w:val="24"/>
        </w:rPr>
      </w:pPr>
      <w:r w:rsidRPr="007813EC">
        <w:rPr>
          <w:rFonts w:ascii="Palatino Linotype" w:hAnsi="Palatino Linotype" w:cs="Arial"/>
          <w:i/>
          <w:szCs w:val="24"/>
        </w:rPr>
        <w:t>La ley establecerá aquella información que se considere reservada o confidencial.</w:t>
      </w:r>
    </w:p>
    <w:p w14:paraId="4ADA76E7" w14:textId="77777777" w:rsidR="00AE6CFE" w:rsidRPr="007813EC" w:rsidRDefault="00AE6CFE" w:rsidP="005136D5">
      <w:pPr>
        <w:autoSpaceDE w:val="0"/>
        <w:autoSpaceDN w:val="0"/>
        <w:adjustRightInd w:val="0"/>
        <w:spacing w:after="0" w:line="240" w:lineRule="auto"/>
        <w:ind w:left="567" w:right="567"/>
        <w:jc w:val="both"/>
        <w:rPr>
          <w:rFonts w:ascii="Palatino Linotype" w:hAnsi="Palatino Linotype" w:cs="Arial"/>
          <w:i/>
          <w:szCs w:val="24"/>
        </w:rPr>
      </w:pPr>
    </w:p>
    <w:p w14:paraId="3A1067F7" w14:textId="77777777" w:rsidR="00AE6CFE" w:rsidRPr="007813EC" w:rsidRDefault="00AE6CFE" w:rsidP="005136D5">
      <w:pPr>
        <w:autoSpaceDE w:val="0"/>
        <w:autoSpaceDN w:val="0"/>
        <w:adjustRightInd w:val="0"/>
        <w:spacing w:after="0" w:line="240" w:lineRule="auto"/>
        <w:ind w:left="567" w:right="567"/>
        <w:jc w:val="center"/>
        <w:rPr>
          <w:rFonts w:ascii="Palatino Linotype" w:hAnsi="Palatino Linotype" w:cs="Arial"/>
          <w:b/>
          <w:i/>
          <w:szCs w:val="24"/>
        </w:rPr>
      </w:pPr>
      <w:r w:rsidRPr="007813EC">
        <w:rPr>
          <w:rFonts w:ascii="Palatino Linotype" w:hAnsi="Palatino Linotype" w:cs="Arial"/>
          <w:b/>
          <w:i/>
          <w:szCs w:val="24"/>
        </w:rPr>
        <w:t>Constitución Política del Estado Libre y Soberano de México</w:t>
      </w:r>
    </w:p>
    <w:p w14:paraId="227145B9" w14:textId="77777777" w:rsidR="00AE6CFE" w:rsidRPr="007813EC" w:rsidRDefault="00AE6CFE" w:rsidP="005136D5">
      <w:pPr>
        <w:autoSpaceDE w:val="0"/>
        <w:autoSpaceDN w:val="0"/>
        <w:adjustRightInd w:val="0"/>
        <w:spacing w:after="0" w:line="240" w:lineRule="auto"/>
        <w:ind w:left="567" w:right="567"/>
        <w:jc w:val="both"/>
        <w:rPr>
          <w:rFonts w:ascii="Palatino Linotype" w:hAnsi="Palatino Linotype" w:cs="Arial"/>
          <w:i/>
          <w:szCs w:val="24"/>
        </w:rPr>
      </w:pPr>
    </w:p>
    <w:p w14:paraId="6E8C9F9F" w14:textId="77777777" w:rsidR="00AE6CFE" w:rsidRPr="007813EC" w:rsidRDefault="00AE6CFE" w:rsidP="005136D5">
      <w:pPr>
        <w:autoSpaceDE w:val="0"/>
        <w:autoSpaceDN w:val="0"/>
        <w:adjustRightInd w:val="0"/>
        <w:spacing w:after="0" w:line="240" w:lineRule="auto"/>
        <w:ind w:left="567" w:right="567"/>
        <w:jc w:val="both"/>
        <w:rPr>
          <w:rFonts w:ascii="Palatino Linotype" w:hAnsi="Palatino Linotype" w:cs="Arial"/>
          <w:i/>
          <w:szCs w:val="24"/>
        </w:rPr>
      </w:pPr>
      <w:r w:rsidRPr="007813EC">
        <w:rPr>
          <w:rFonts w:ascii="Palatino Linotype" w:hAnsi="Palatino Linotype" w:cs="Arial"/>
          <w:i/>
          <w:szCs w:val="24"/>
        </w:rPr>
        <w:t>“</w:t>
      </w:r>
      <w:r w:rsidRPr="007813EC">
        <w:rPr>
          <w:rFonts w:ascii="Palatino Linotype" w:hAnsi="Palatino Linotype" w:cs="Arial"/>
          <w:b/>
          <w:i/>
          <w:szCs w:val="24"/>
        </w:rPr>
        <w:t>Artículo 5</w:t>
      </w:r>
      <w:r w:rsidRPr="007813EC">
        <w:rPr>
          <w:rFonts w:ascii="Palatino Linotype" w:hAnsi="Palatino Linotype" w:cs="Arial"/>
          <w:i/>
          <w:szCs w:val="24"/>
        </w:rPr>
        <w:t xml:space="preserve">. … </w:t>
      </w:r>
    </w:p>
    <w:p w14:paraId="23D499AA" w14:textId="77777777" w:rsidR="00AE6CFE" w:rsidRPr="007813EC" w:rsidRDefault="00AE6CFE" w:rsidP="005136D5">
      <w:pPr>
        <w:autoSpaceDE w:val="0"/>
        <w:autoSpaceDN w:val="0"/>
        <w:adjustRightInd w:val="0"/>
        <w:spacing w:after="0" w:line="240" w:lineRule="auto"/>
        <w:ind w:left="567" w:right="567"/>
        <w:jc w:val="both"/>
        <w:rPr>
          <w:rFonts w:ascii="Palatino Linotype" w:hAnsi="Palatino Linotype" w:cs="Arial"/>
          <w:i/>
          <w:szCs w:val="24"/>
        </w:rPr>
      </w:pPr>
      <w:r w:rsidRPr="007813EC">
        <w:rPr>
          <w:rFonts w:ascii="Palatino Linotype" w:hAnsi="Palatino Linotype" w:cs="Arial"/>
          <w:i/>
          <w:szCs w:val="24"/>
        </w:rPr>
        <w:t>…</w:t>
      </w:r>
    </w:p>
    <w:p w14:paraId="2E17CED3" w14:textId="77777777" w:rsidR="00AE6CFE" w:rsidRPr="007813EC" w:rsidRDefault="00AE6CFE" w:rsidP="005136D5">
      <w:pPr>
        <w:autoSpaceDE w:val="0"/>
        <w:autoSpaceDN w:val="0"/>
        <w:adjustRightInd w:val="0"/>
        <w:spacing w:after="0" w:line="240" w:lineRule="auto"/>
        <w:ind w:left="567" w:right="567"/>
        <w:jc w:val="both"/>
        <w:rPr>
          <w:rFonts w:ascii="Palatino Linotype" w:hAnsi="Palatino Linotype" w:cs="Arial"/>
          <w:i/>
          <w:szCs w:val="24"/>
        </w:rPr>
      </w:pPr>
      <w:r w:rsidRPr="007813EC">
        <w:rPr>
          <w:rFonts w:ascii="Palatino Linotype" w:hAnsi="Palatino Linotype" w:cs="Arial"/>
          <w:i/>
          <w:szCs w:val="24"/>
        </w:rPr>
        <w:t>El derecho a la información será garantizado por el Estado. La ley establecerá las previsiones que permitan asegurar la protección, el respeto y la difusión de este derecho.</w:t>
      </w:r>
    </w:p>
    <w:p w14:paraId="626633BD" w14:textId="77777777" w:rsidR="00AE6CFE" w:rsidRPr="007813EC" w:rsidRDefault="00AE6CFE" w:rsidP="005136D5">
      <w:pPr>
        <w:autoSpaceDE w:val="0"/>
        <w:autoSpaceDN w:val="0"/>
        <w:adjustRightInd w:val="0"/>
        <w:spacing w:after="0" w:line="240" w:lineRule="auto"/>
        <w:ind w:left="567" w:right="567"/>
        <w:jc w:val="both"/>
        <w:rPr>
          <w:rFonts w:ascii="Palatino Linotype" w:hAnsi="Palatino Linotype" w:cs="Arial"/>
          <w:i/>
          <w:szCs w:val="24"/>
        </w:rPr>
      </w:pPr>
      <w:r w:rsidRPr="007813EC">
        <w:rPr>
          <w:rFonts w:ascii="Palatino Linotype" w:hAnsi="Palatino Linotype" w:cs="Arial"/>
          <w:i/>
          <w:szCs w:val="24"/>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05DBD79E" w14:textId="77777777" w:rsidR="00AE6CFE" w:rsidRPr="007813EC" w:rsidRDefault="00AE6CFE" w:rsidP="005136D5">
      <w:pPr>
        <w:autoSpaceDE w:val="0"/>
        <w:autoSpaceDN w:val="0"/>
        <w:adjustRightInd w:val="0"/>
        <w:spacing w:after="0" w:line="240" w:lineRule="auto"/>
        <w:ind w:left="567" w:right="567"/>
        <w:jc w:val="both"/>
        <w:rPr>
          <w:rFonts w:ascii="Palatino Linotype" w:hAnsi="Palatino Linotype" w:cs="Arial"/>
          <w:i/>
          <w:szCs w:val="24"/>
        </w:rPr>
      </w:pPr>
      <w:r w:rsidRPr="007813EC">
        <w:rPr>
          <w:rFonts w:ascii="Palatino Linotype" w:hAnsi="Palatino Linotype" w:cs="Arial"/>
          <w:i/>
          <w:szCs w:val="24"/>
        </w:rPr>
        <w:t>Este derecho se regirá por los principios y bases siguientes:</w:t>
      </w:r>
    </w:p>
    <w:p w14:paraId="5DEB88D6" w14:textId="77777777" w:rsidR="00AE6CFE" w:rsidRPr="007813EC" w:rsidRDefault="00AE6CFE" w:rsidP="005136D5">
      <w:pPr>
        <w:autoSpaceDE w:val="0"/>
        <w:autoSpaceDN w:val="0"/>
        <w:adjustRightInd w:val="0"/>
        <w:spacing w:after="0" w:line="240" w:lineRule="auto"/>
        <w:ind w:left="567" w:right="567"/>
        <w:jc w:val="both"/>
        <w:rPr>
          <w:rFonts w:ascii="Palatino Linotype" w:hAnsi="Palatino Linotype" w:cs="Arial"/>
          <w:i/>
          <w:szCs w:val="24"/>
        </w:rPr>
      </w:pPr>
      <w:r w:rsidRPr="007813EC">
        <w:rPr>
          <w:rFonts w:ascii="Palatino Linotype" w:hAnsi="Palatino Linotype" w:cs="Arial"/>
          <w:b/>
          <w:i/>
          <w:szCs w:val="24"/>
        </w:rPr>
        <w:t>I</w:t>
      </w:r>
      <w:r w:rsidRPr="007813EC">
        <w:rPr>
          <w:rFonts w:ascii="Palatino Linotype" w:hAnsi="Palatino Linotype" w:cs="Arial"/>
          <w:i/>
          <w:szCs w:val="24"/>
        </w:rPr>
        <w:t xml:space="preserv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w:t>
      </w:r>
      <w:r w:rsidRPr="007813EC">
        <w:rPr>
          <w:rFonts w:ascii="Palatino Linotype" w:hAnsi="Palatino Linotype" w:cs="Arial"/>
          <w:i/>
          <w:szCs w:val="24"/>
        </w:rPr>
        <w:lastRenderedPageBreak/>
        <w:t>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2FED5BAD" w14:textId="77777777" w:rsidR="00AE6CFE" w:rsidRPr="007813EC" w:rsidRDefault="00AE6CFE" w:rsidP="005136D5">
      <w:pPr>
        <w:autoSpaceDE w:val="0"/>
        <w:autoSpaceDN w:val="0"/>
        <w:adjustRightInd w:val="0"/>
        <w:spacing w:after="0" w:line="240" w:lineRule="auto"/>
        <w:ind w:left="567" w:right="567"/>
        <w:jc w:val="both"/>
        <w:rPr>
          <w:rFonts w:ascii="Palatino Linotype" w:hAnsi="Palatino Linotype" w:cs="Arial"/>
          <w:i/>
          <w:szCs w:val="24"/>
        </w:rPr>
      </w:pPr>
      <w:r w:rsidRPr="007813EC">
        <w:rPr>
          <w:rFonts w:ascii="Palatino Linotype" w:hAnsi="Palatino Linotype" w:cs="Arial"/>
          <w:i/>
          <w:szCs w:val="24"/>
        </w:rPr>
        <w:t>…</w:t>
      </w:r>
    </w:p>
    <w:p w14:paraId="3FE2BED5" w14:textId="77777777" w:rsidR="00AE6CFE" w:rsidRPr="007813EC" w:rsidRDefault="00AE6CFE" w:rsidP="005136D5">
      <w:pPr>
        <w:autoSpaceDE w:val="0"/>
        <w:autoSpaceDN w:val="0"/>
        <w:adjustRightInd w:val="0"/>
        <w:spacing w:after="0" w:line="240" w:lineRule="auto"/>
        <w:ind w:left="567" w:right="567"/>
        <w:jc w:val="both"/>
        <w:rPr>
          <w:rFonts w:ascii="Palatino Linotype" w:hAnsi="Palatino Linotype" w:cs="Arial"/>
          <w:i/>
          <w:szCs w:val="24"/>
        </w:rPr>
      </w:pPr>
      <w:r w:rsidRPr="007813EC">
        <w:rPr>
          <w:rFonts w:ascii="Palatino Linotype" w:hAnsi="Palatino Linotype" w:cs="Arial"/>
          <w:b/>
          <w:i/>
          <w:szCs w:val="24"/>
        </w:rPr>
        <w:t>III</w:t>
      </w:r>
      <w:r w:rsidRPr="007813EC">
        <w:rPr>
          <w:rFonts w:ascii="Palatino Linotype" w:hAnsi="Palatino Linotype" w:cs="Arial"/>
          <w:i/>
          <w:szCs w:val="24"/>
        </w:rPr>
        <w:t>. Toda persona, sin necesidad de acreditar interés alguno o justificar su utilización, tendrá acceso gratuito a la información pública, a sus datos personales o a la rectificación de éstos.”</w:t>
      </w:r>
    </w:p>
    <w:p w14:paraId="78BFDA0D" w14:textId="77777777" w:rsidR="00AE6CFE" w:rsidRPr="007813EC" w:rsidRDefault="00AE6CFE" w:rsidP="005136D5">
      <w:pPr>
        <w:autoSpaceDE w:val="0"/>
        <w:autoSpaceDN w:val="0"/>
        <w:adjustRightInd w:val="0"/>
        <w:spacing w:after="0" w:line="240" w:lineRule="auto"/>
        <w:ind w:left="567" w:right="567"/>
        <w:jc w:val="right"/>
        <w:rPr>
          <w:rFonts w:ascii="Palatino Linotype" w:hAnsi="Palatino Linotype" w:cs="Arial"/>
          <w:szCs w:val="24"/>
        </w:rPr>
      </w:pPr>
      <w:r w:rsidRPr="007813EC">
        <w:rPr>
          <w:rFonts w:ascii="Palatino Linotype" w:hAnsi="Palatino Linotype" w:cs="Arial"/>
          <w:szCs w:val="24"/>
        </w:rPr>
        <w:t>(Énfasis añadido)</w:t>
      </w:r>
    </w:p>
    <w:p w14:paraId="731D1B68" w14:textId="77777777" w:rsidR="00AE6CFE" w:rsidRPr="007813EC" w:rsidRDefault="00AE6CFE" w:rsidP="005136D5">
      <w:pPr>
        <w:autoSpaceDE w:val="0"/>
        <w:autoSpaceDN w:val="0"/>
        <w:adjustRightInd w:val="0"/>
        <w:spacing w:after="0" w:line="360" w:lineRule="auto"/>
        <w:jc w:val="both"/>
        <w:rPr>
          <w:rFonts w:ascii="Palatino Linotype" w:hAnsi="Palatino Linotype" w:cs="Arial"/>
          <w:sz w:val="24"/>
          <w:szCs w:val="24"/>
        </w:rPr>
      </w:pPr>
    </w:p>
    <w:p w14:paraId="3EB15A32" w14:textId="4EA17E81" w:rsidR="00AE6CFE" w:rsidRPr="007813EC" w:rsidRDefault="00AE6CFE" w:rsidP="005136D5">
      <w:pPr>
        <w:autoSpaceDE w:val="0"/>
        <w:autoSpaceDN w:val="0"/>
        <w:adjustRightInd w:val="0"/>
        <w:spacing w:after="0" w:line="360" w:lineRule="auto"/>
        <w:jc w:val="both"/>
        <w:rPr>
          <w:rFonts w:ascii="Palatino Linotype" w:hAnsi="Palatino Linotype" w:cs="Arial"/>
          <w:sz w:val="24"/>
          <w:szCs w:val="24"/>
        </w:rPr>
      </w:pPr>
      <w:r w:rsidRPr="007813EC">
        <w:rPr>
          <w:rFonts w:ascii="Palatino Linotype" w:hAnsi="Palatino Linotype" w:cs="Arial"/>
          <w:sz w:val="24"/>
          <w:szCs w:val="24"/>
        </w:rPr>
        <w:t>Por otra parte, del contenido del artículo 1 de la Constitución Política de los Estados Unidos Mexicanos, se destaca lo siguiente:</w:t>
      </w:r>
    </w:p>
    <w:p w14:paraId="247EEAAA" w14:textId="77777777" w:rsidR="00A57ED7" w:rsidRPr="007813EC" w:rsidRDefault="00A57ED7" w:rsidP="005136D5">
      <w:pPr>
        <w:autoSpaceDE w:val="0"/>
        <w:autoSpaceDN w:val="0"/>
        <w:adjustRightInd w:val="0"/>
        <w:spacing w:after="0" w:line="360" w:lineRule="auto"/>
        <w:jc w:val="both"/>
        <w:rPr>
          <w:rFonts w:ascii="Palatino Linotype" w:hAnsi="Palatino Linotype" w:cs="Arial"/>
          <w:sz w:val="24"/>
          <w:szCs w:val="24"/>
        </w:rPr>
      </w:pPr>
    </w:p>
    <w:p w14:paraId="43163259" w14:textId="77777777" w:rsidR="00AE6CFE" w:rsidRPr="007813EC" w:rsidRDefault="00AE6CFE" w:rsidP="005136D5">
      <w:pPr>
        <w:autoSpaceDE w:val="0"/>
        <w:autoSpaceDN w:val="0"/>
        <w:adjustRightInd w:val="0"/>
        <w:spacing w:after="0" w:line="240" w:lineRule="auto"/>
        <w:ind w:left="567" w:right="567"/>
        <w:jc w:val="both"/>
        <w:rPr>
          <w:rFonts w:ascii="Palatino Linotype" w:hAnsi="Palatino Linotype" w:cs="Arial"/>
          <w:i/>
          <w:szCs w:val="24"/>
        </w:rPr>
      </w:pPr>
      <w:r w:rsidRPr="007813EC">
        <w:rPr>
          <w:rFonts w:ascii="Palatino Linotype" w:hAnsi="Palatino Linotype" w:cs="Arial"/>
          <w:i/>
          <w:szCs w:val="24"/>
        </w:rPr>
        <w:t>“</w:t>
      </w:r>
      <w:r w:rsidRPr="007813EC">
        <w:rPr>
          <w:rFonts w:ascii="Palatino Linotype" w:hAnsi="Palatino Linotype" w:cs="Arial"/>
          <w:b/>
          <w:i/>
          <w:szCs w:val="24"/>
        </w:rPr>
        <w:t>Artículo 1o.</w:t>
      </w:r>
      <w:r w:rsidRPr="007813EC">
        <w:rPr>
          <w:rFonts w:ascii="Palatino Linotype" w:hAnsi="Palatino Linotype" w:cs="Arial"/>
          <w:i/>
          <w:szCs w:val="24"/>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45966137" w14:textId="77777777" w:rsidR="00AE6CFE" w:rsidRPr="007813EC" w:rsidRDefault="00AE6CFE" w:rsidP="005136D5">
      <w:pPr>
        <w:autoSpaceDE w:val="0"/>
        <w:autoSpaceDN w:val="0"/>
        <w:adjustRightInd w:val="0"/>
        <w:spacing w:after="0" w:line="240" w:lineRule="auto"/>
        <w:ind w:left="567" w:right="567"/>
        <w:jc w:val="both"/>
        <w:rPr>
          <w:rFonts w:ascii="Palatino Linotype" w:hAnsi="Palatino Linotype" w:cs="Arial"/>
          <w:i/>
          <w:szCs w:val="24"/>
        </w:rPr>
      </w:pPr>
      <w:r w:rsidRPr="007813EC">
        <w:rPr>
          <w:rFonts w:ascii="Palatino Linotype" w:hAnsi="Palatino Linotype" w:cs="Arial"/>
          <w:i/>
          <w:szCs w:val="24"/>
        </w:rPr>
        <w:t>Las normas relativas a los derechos humanos se interpretarán de conformidad con esta Constitución y con los tratados internacionales de la materia favoreciendo en todo tiempo a las personas la protección más amplia.</w:t>
      </w:r>
    </w:p>
    <w:p w14:paraId="351C4F80" w14:textId="77777777" w:rsidR="00AE6CFE" w:rsidRPr="007813EC" w:rsidRDefault="00AE6CFE" w:rsidP="005136D5">
      <w:pPr>
        <w:autoSpaceDE w:val="0"/>
        <w:autoSpaceDN w:val="0"/>
        <w:adjustRightInd w:val="0"/>
        <w:spacing w:after="0" w:line="240" w:lineRule="auto"/>
        <w:ind w:left="567" w:right="567"/>
        <w:jc w:val="both"/>
        <w:rPr>
          <w:rFonts w:ascii="Palatino Linotype" w:hAnsi="Palatino Linotype" w:cs="Arial"/>
          <w:i/>
          <w:szCs w:val="24"/>
        </w:rPr>
      </w:pPr>
      <w:r w:rsidRPr="007813EC">
        <w:rPr>
          <w:rFonts w:ascii="Palatino Linotype" w:hAnsi="Palatino Linotype" w:cs="Arial"/>
          <w:i/>
          <w:szCs w:val="24"/>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1A22B725" w14:textId="77777777" w:rsidR="00AE6CFE" w:rsidRPr="007813EC" w:rsidRDefault="00AE6CFE" w:rsidP="005136D5">
      <w:pPr>
        <w:autoSpaceDE w:val="0"/>
        <w:autoSpaceDN w:val="0"/>
        <w:adjustRightInd w:val="0"/>
        <w:spacing w:after="0" w:line="360" w:lineRule="auto"/>
        <w:jc w:val="both"/>
        <w:rPr>
          <w:rFonts w:ascii="Palatino Linotype" w:hAnsi="Palatino Linotype" w:cs="Arial"/>
          <w:sz w:val="24"/>
          <w:szCs w:val="24"/>
        </w:rPr>
      </w:pPr>
    </w:p>
    <w:p w14:paraId="40D8D185" w14:textId="77777777" w:rsidR="00AE6CFE" w:rsidRPr="007813EC" w:rsidRDefault="00AE6CFE" w:rsidP="005136D5">
      <w:pPr>
        <w:autoSpaceDE w:val="0"/>
        <w:autoSpaceDN w:val="0"/>
        <w:adjustRightInd w:val="0"/>
        <w:spacing w:after="0" w:line="360" w:lineRule="auto"/>
        <w:jc w:val="both"/>
        <w:rPr>
          <w:rFonts w:ascii="Palatino Linotype" w:hAnsi="Palatino Linotype" w:cs="Arial"/>
          <w:sz w:val="24"/>
          <w:szCs w:val="24"/>
        </w:rPr>
      </w:pPr>
      <w:r w:rsidRPr="007813EC">
        <w:rPr>
          <w:rFonts w:ascii="Palatino Linotype" w:hAnsi="Palatino Linotype" w:cs="Arial"/>
          <w:sz w:val="24"/>
          <w:szCs w:val="24"/>
        </w:rPr>
        <w:t xml:space="preserve">En esa virtud, de una interpretación sistemática, armónica y progresiva del derecho humano de acceso a la información pública se reitera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w:t>
      </w:r>
      <w:r w:rsidRPr="007813EC">
        <w:rPr>
          <w:rFonts w:ascii="Palatino Linotype" w:hAnsi="Palatino Linotype" w:cs="Arial"/>
          <w:sz w:val="24"/>
          <w:szCs w:val="24"/>
        </w:rPr>
        <w:lastRenderedPageBreak/>
        <w:t>o no contener un nombre que identifique al solicitante o que permita tener certeza sobre su identidad.</w:t>
      </w:r>
    </w:p>
    <w:p w14:paraId="58EAB54E" w14:textId="77777777" w:rsidR="00AE6CFE" w:rsidRPr="007813EC" w:rsidRDefault="00AE6CFE" w:rsidP="005136D5">
      <w:pPr>
        <w:autoSpaceDE w:val="0"/>
        <w:autoSpaceDN w:val="0"/>
        <w:adjustRightInd w:val="0"/>
        <w:spacing w:after="0" w:line="360" w:lineRule="auto"/>
        <w:jc w:val="both"/>
        <w:rPr>
          <w:rFonts w:ascii="Palatino Linotype" w:hAnsi="Palatino Linotype" w:cs="Arial"/>
          <w:sz w:val="24"/>
          <w:szCs w:val="24"/>
        </w:rPr>
      </w:pPr>
    </w:p>
    <w:p w14:paraId="3F3A50F2" w14:textId="77777777" w:rsidR="00AE6CFE" w:rsidRPr="007813EC" w:rsidRDefault="00AE6CFE" w:rsidP="005136D5">
      <w:pPr>
        <w:autoSpaceDE w:val="0"/>
        <w:autoSpaceDN w:val="0"/>
        <w:adjustRightInd w:val="0"/>
        <w:spacing w:after="0" w:line="360" w:lineRule="auto"/>
        <w:jc w:val="both"/>
        <w:rPr>
          <w:rFonts w:ascii="Palatino Linotype" w:hAnsi="Palatino Linotype" w:cs="Arial"/>
          <w:sz w:val="24"/>
          <w:szCs w:val="24"/>
        </w:rPr>
      </w:pPr>
      <w:r w:rsidRPr="007813EC">
        <w:rPr>
          <w:rFonts w:ascii="Palatino Linotype" w:hAnsi="Palatino Linotype" w:cs="Arial"/>
          <w:sz w:val="24"/>
          <w:szCs w:val="24"/>
        </w:rPr>
        <w:t>Robustece lo anterior, el Criterio 6/2014 del entonces Instituto Federal de Acceso a la Información y Protección de Datos (IFAI) hoy Instituto Nacional de Transparencia, Acceso a la Información y Protección de Datos Personales (INAI), el cual se reproduce para una mayor referencia:</w:t>
      </w:r>
    </w:p>
    <w:p w14:paraId="3B402510" w14:textId="77777777" w:rsidR="00AE6CFE" w:rsidRPr="007813EC" w:rsidRDefault="00AE6CFE" w:rsidP="005136D5">
      <w:pPr>
        <w:autoSpaceDE w:val="0"/>
        <w:autoSpaceDN w:val="0"/>
        <w:adjustRightInd w:val="0"/>
        <w:spacing w:after="0" w:line="360" w:lineRule="auto"/>
        <w:jc w:val="both"/>
        <w:rPr>
          <w:rFonts w:ascii="Palatino Linotype" w:hAnsi="Palatino Linotype" w:cs="Arial"/>
          <w:sz w:val="24"/>
          <w:szCs w:val="24"/>
        </w:rPr>
      </w:pPr>
    </w:p>
    <w:p w14:paraId="26DAA5CA" w14:textId="77777777" w:rsidR="00AE6CFE" w:rsidRPr="007813EC" w:rsidRDefault="00AE6CFE" w:rsidP="005136D5">
      <w:pPr>
        <w:autoSpaceDE w:val="0"/>
        <w:autoSpaceDN w:val="0"/>
        <w:adjustRightInd w:val="0"/>
        <w:spacing w:after="0" w:line="240" w:lineRule="auto"/>
        <w:ind w:left="567" w:right="567"/>
        <w:jc w:val="both"/>
        <w:rPr>
          <w:rFonts w:ascii="Palatino Linotype" w:hAnsi="Palatino Linotype" w:cs="Arial"/>
          <w:i/>
          <w:szCs w:val="24"/>
        </w:rPr>
      </w:pPr>
      <w:r w:rsidRPr="007813EC">
        <w:rPr>
          <w:rFonts w:ascii="Palatino Linotype" w:hAnsi="Palatino Linotype" w:cs="Arial"/>
          <w:i/>
          <w:szCs w:val="24"/>
        </w:rPr>
        <w:t>“</w:t>
      </w:r>
      <w:r w:rsidRPr="007813EC">
        <w:rPr>
          <w:rFonts w:ascii="Palatino Linotype" w:hAnsi="Palatino Linotype" w:cs="Arial"/>
          <w:b/>
          <w:i/>
          <w:szCs w:val="24"/>
        </w:rPr>
        <w:t>Acceso a información gubernamental. No debe condicionarse a que el solicitante acredite su personalidad, demuestre interés alguno o justifique su utilización.</w:t>
      </w:r>
      <w:r w:rsidRPr="007813EC">
        <w:rPr>
          <w:rFonts w:ascii="Palatino Linotype" w:hAnsi="Palatino Linotype" w:cs="Arial"/>
          <w:i/>
          <w:szCs w:val="24"/>
        </w:rPr>
        <w:t xml:space="preserve"> De conformidad con lo dispuesto en los artículos 6o., apartado A, fracción III de la Constitución Política de los Estados Unidos Mexicanos, y 1º, 2º, 4º y 40 de la Ley Federal de Transparencia y Acceso a la Información Pública Gubernamental, la respuesta a una solicitud de acceso a información y entrega de la misma, no debe estar condicionada a que el particular acredite su personalidad, demuestre interés alguno o justifique su utilización, en virtud de que los sujetos obligados no deben requerir al solicitante mayores requisitos que los establecidos en la Ley. En este sentido, las dependencias y entidades, sólo deberán asegurarse de que, en su caso, se haya cubierto el pago de reproducción y envío de la información, mediante la exhibición del recibo correspondiente.</w:t>
      </w:r>
    </w:p>
    <w:p w14:paraId="2D16FB18" w14:textId="77777777" w:rsidR="00AE6CFE" w:rsidRPr="007813EC" w:rsidRDefault="00AE6CFE" w:rsidP="005136D5">
      <w:pPr>
        <w:autoSpaceDE w:val="0"/>
        <w:autoSpaceDN w:val="0"/>
        <w:adjustRightInd w:val="0"/>
        <w:spacing w:after="0" w:line="240" w:lineRule="auto"/>
        <w:ind w:left="567" w:right="567"/>
        <w:jc w:val="both"/>
        <w:rPr>
          <w:rFonts w:ascii="Palatino Linotype" w:hAnsi="Palatino Linotype" w:cs="Arial"/>
          <w:i/>
          <w:sz w:val="20"/>
          <w:szCs w:val="24"/>
        </w:rPr>
      </w:pPr>
      <w:r w:rsidRPr="007813EC">
        <w:rPr>
          <w:rFonts w:ascii="Palatino Linotype" w:hAnsi="Palatino Linotype" w:cs="Arial"/>
          <w:i/>
          <w:sz w:val="20"/>
          <w:szCs w:val="24"/>
        </w:rPr>
        <w:t>Resoluciones</w:t>
      </w:r>
    </w:p>
    <w:p w14:paraId="65AB90D9" w14:textId="77777777" w:rsidR="00AE6CFE" w:rsidRPr="007813EC" w:rsidRDefault="00AE6CFE" w:rsidP="005136D5">
      <w:pPr>
        <w:autoSpaceDE w:val="0"/>
        <w:autoSpaceDN w:val="0"/>
        <w:adjustRightInd w:val="0"/>
        <w:spacing w:after="0" w:line="240" w:lineRule="auto"/>
        <w:ind w:left="567" w:right="567"/>
        <w:jc w:val="both"/>
        <w:rPr>
          <w:rFonts w:ascii="Palatino Linotype" w:hAnsi="Palatino Linotype" w:cs="Arial"/>
          <w:i/>
          <w:sz w:val="20"/>
          <w:szCs w:val="24"/>
        </w:rPr>
      </w:pPr>
      <w:r w:rsidRPr="007813EC">
        <w:rPr>
          <w:rFonts w:ascii="Palatino Linotype" w:hAnsi="Palatino Linotype" w:cs="Arial"/>
          <w:i/>
          <w:sz w:val="20"/>
          <w:szCs w:val="24"/>
        </w:rPr>
        <w:t>• RDA 5275/13. Interpuesto en contra de la Secretaría de la Defensa Nacional. Comisionado Ponente Ángel Trinidad Zaldívar.</w:t>
      </w:r>
    </w:p>
    <w:p w14:paraId="01E0B977" w14:textId="77777777" w:rsidR="00AE6CFE" w:rsidRPr="007813EC" w:rsidRDefault="00AE6CFE" w:rsidP="005136D5">
      <w:pPr>
        <w:autoSpaceDE w:val="0"/>
        <w:autoSpaceDN w:val="0"/>
        <w:adjustRightInd w:val="0"/>
        <w:spacing w:after="0" w:line="240" w:lineRule="auto"/>
        <w:ind w:left="567" w:right="567"/>
        <w:jc w:val="both"/>
        <w:rPr>
          <w:rFonts w:ascii="Palatino Linotype" w:hAnsi="Palatino Linotype" w:cs="Arial"/>
          <w:i/>
          <w:sz w:val="20"/>
          <w:szCs w:val="24"/>
        </w:rPr>
      </w:pPr>
      <w:r w:rsidRPr="007813EC">
        <w:rPr>
          <w:rFonts w:ascii="Palatino Linotype" w:hAnsi="Palatino Linotype" w:cs="Arial"/>
          <w:i/>
          <w:sz w:val="20"/>
          <w:szCs w:val="24"/>
        </w:rPr>
        <w:t xml:space="preserve">• RDA 2937/13. Interpuesto en contra de LICONSA, S.A. de C.V. Comisionado. Ponente Gerardo </w:t>
      </w:r>
      <w:proofErr w:type="spellStart"/>
      <w:r w:rsidRPr="007813EC">
        <w:rPr>
          <w:rFonts w:ascii="Palatino Linotype" w:hAnsi="Palatino Linotype" w:cs="Arial"/>
          <w:i/>
          <w:sz w:val="20"/>
          <w:szCs w:val="24"/>
        </w:rPr>
        <w:t>Laveaga</w:t>
      </w:r>
      <w:proofErr w:type="spellEnd"/>
      <w:r w:rsidRPr="007813EC">
        <w:rPr>
          <w:rFonts w:ascii="Palatino Linotype" w:hAnsi="Palatino Linotype" w:cs="Arial"/>
          <w:i/>
          <w:sz w:val="20"/>
          <w:szCs w:val="24"/>
        </w:rPr>
        <w:t xml:space="preserve"> Rendón.</w:t>
      </w:r>
    </w:p>
    <w:p w14:paraId="2537BB89" w14:textId="77777777" w:rsidR="00AE6CFE" w:rsidRPr="007813EC" w:rsidRDefault="00AE6CFE" w:rsidP="005136D5">
      <w:pPr>
        <w:autoSpaceDE w:val="0"/>
        <w:autoSpaceDN w:val="0"/>
        <w:adjustRightInd w:val="0"/>
        <w:spacing w:after="0" w:line="240" w:lineRule="auto"/>
        <w:ind w:left="567" w:right="567"/>
        <w:jc w:val="both"/>
        <w:rPr>
          <w:rFonts w:ascii="Palatino Linotype" w:hAnsi="Palatino Linotype" w:cs="Arial"/>
          <w:i/>
          <w:sz w:val="20"/>
          <w:szCs w:val="24"/>
        </w:rPr>
      </w:pPr>
      <w:r w:rsidRPr="007813EC">
        <w:rPr>
          <w:rFonts w:ascii="Palatino Linotype" w:hAnsi="Palatino Linotype" w:cs="Arial"/>
          <w:i/>
          <w:sz w:val="20"/>
          <w:szCs w:val="24"/>
        </w:rPr>
        <w:t xml:space="preserve">• RDA 3609/12. Interpuesto en contra de la Secretaría de Educación Pública. Comisionada Ponente Sigrid </w:t>
      </w:r>
      <w:proofErr w:type="spellStart"/>
      <w:r w:rsidRPr="007813EC">
        <w:rPr>
          <w:rFonts w:ascii="Palatino Linotype" w:hAnsi="Palatino Linotype" w:cs="Arial"/>
          <w:i/>
          <w:sz w:val="20"/>
          <w:szCs w:val="24"/>
        </w:rPr>
        <w:t>Arzt</w:t>
      </w:r>
      <w:proofErr w:type="spellEnd"/>
      <w:r w:rsidRPr="007813EC">
        <w:rPr>
          <w:rFonts w:ascii="Palatino Linotype" w:hAnsi="Palatino Linotype" w:cs="Arial"/>
          <w:i/>
          <w:sz w:val="20"/>
          <w:szCs w:val="24"/>
        </w:rPr>
        <w:t xml:space="preserve"> Colunga.</w:t>
      </w:r>
    </w:p>
    <w:p w14:paraId="66223E2D" w14:textId="77777777" w:rsidR="00AE6CFE" w:rsidRPr="007813EC" w:rsidRDefault="00AE6CFE" w:rsidP="005136D5">
      <w:pPr>
        <w:autoSpaceDE w:val="0"/>
        <w:autoSpaceDN w:val="0"/>
        <w:adjustRightInd w:val="0"/>
        <w:spacing w:after="0" w:line="240" w:lineRule="auto"/>
        <w:ind w:left="567" w:right="567"/>
        <w:jc w:val="both"/>
        <w:rPr>
          <w:rFonts w:ascii="Palatino Linotype" w:hAnsi="Palatino Linotype" w:cs="Arial"/>
          <w:i/>
          <w:sz w:val="20"/>
          <w:szCs w:val="24"/>
        </w:rPr>
      </w:pPr>
      <w:r w:rsidRPr="007813EC">
        <w:rPr>
          <w:rFonts w:ascii="Palatino Linotype" w:hAnsi="Palatino Linotype" w:cs="Arial"/>
          <w:i/>
          <w:sz w:val="20"/>
          <w:szCs w:val="24"/>
        </w:rPr>
        <w:t>• RDA 3361/12. Interpuesto en contra del Servicio de Administración Tributaria. Comisionada Ponente María Elena Pérez-Jaén Zermeño.</w:t>
      </w:r>
    </w:p>
    <w:p w14:paraId="4AB83929" w14:textId="77777777" w:rsidR="00AE6CFE" w:rsidRPr="007813EC" w:rsidRDefault="00AE6CFE" w:rsidP="005136D5">
      <w:pPr>
        <w:autoSpaceDE w:val="0"/>
        <w:autoSpaceDN w:val="0"/>
        <w:adjustRightInd w:val="0"/>
        <w:spacing w:after="0" w:line="240" w:lineRule="auto"/>
        <w:ind w:left="567" w:right="567"/>
        <w:jc w:val="both"/>
        <w:rPr>
          <w:rFonts w:ascii="Palatino Linotype" w:hAnsi="Palatino Linotype" w:cs="Arial"/>
          <w:i/>
          <w:sz w:val="20"/>
          <w:szCs w:val="24"/>
        </w:rPr>
      </w:pPr>
      <w:r w:rsidRPr="007813EC">
        <w:rPr>
          <w:rFonts w:ascii="Palatino Linotype" w:hAnsi="Palatino Linotype" w:cs="Arial"/>
          <w:i/>
          <w:sz w:val="20"/>
          <w:szCs w:val="24"/>
        </w:rPr>
        <w:t xml:space="preserve">• RDA 0563/12. Interpuesto en contra de la Secretaría de la Función Pública. Comisionada Ponente Jacqueline </w:t>
      </w:r>
      <w:proofErr w:type="spellStart"/>
      <w:r w:rsidRPr="007813EC">
        <w:rPr>
          <w:rFonts w:ascii="Palatino Linotype" w:hAnsi="Palatino Linotype" w:cs="Arial"/>
          <w:i/>
          <w:sz w:val="20"/>
          <w:szCs w:val="24"/>
        </w:rPr>
        <w:t>Peschard</w:t>
      </w:r>
      <w:proofErr w:type="spellEnd"/>
      <w:r w:rsidRPr="007813EC">
        <w:rPr>
          <w:rFonts w:ascii="Palatino Linotype" w:hAnsi="Palatino Linotype" w:cs="Arial"/>
          <w:i/>
          <w:sz w:val="20"/>
          <w:szCs w:val="24"/>
        </w:rPr>
        <w:t xml:space="preserve"> Mariscal.”</w:t>
      </w:r>
    </w:p>
    <w:p w14:paraId="1875BA8E" w14:textId="77777777" w:rsidR="00AE6CFE" w:rsidRPr="007813EC" w:rsidRDefault="00AE6CFE" w:rsidP="005136D5">
      <w:pPr>
        <w:autoSpaceDE w:val="0"/>
        <w:autoSpaceDN w:val="0"/>
        <w:adjustRightInd w:val="0"/>
        <w:spacing w:after="0" w:line="360" w:lineRule="auto"/>
        <w:jc w:val="both"/>
        <w:rPr>
          <w:rFonts w:ascii="Palatino Linotype" w:hAnsi="Palatino Linotype" w:cs="Arial"/>
          <w:sz w:val="24"/>
          <w:szCs w:val="24"/>
        </w:rPr>
      </w:pPr>
    </w:p>
    <w:p w14:paraId="77829932" w14:textId="529006FD" w:rsidR="00AE6CFE" w:rsidRPr="007813EC" w:rsidRDefault="00AE6CFE" w:rsidP="005136D5">
      <w:pPr>
        <w:autoSpaceDE w:val="0"/>
        <w:autoSpaceDN w:val="0"/>
        <w:adjustRightInd w:val="0"/>
        <w:spacing w:after="0" w:line="360" w:lineRule="auto"/>
        <w:jc w:val="both"/>
        <w:rPr>
          <w:rFonts w:ascii="Palatino Linotype" w:hAnsi="Palatino Linotype" w:cs="Arial"/>
          <w:sz w:val="24"/>
          <w:szCs w:val="24"/>
        </w:rPr>
      </w:pPr>
      <w:r w:rsidRPr="007813EC">
        <w:rPr>
          <w:rFonts w:ascii="Palatino Linotype" w:hAnsi="Palatino Linotype" w:cs="Arial"/>
          <w:sz w:val="24"/>
          <w:szCs w:val="24"/>
        </w:rPr>
        <w:t xml:space="preserve">En ese orden de ideas, se estima que el requerimiento relativo al nombre como presupuesto de </w:t>
      </w:r>
      <w:proofErr w:type="spellStart"/>
      <w:r w:rsidRPr="007813EC">
        <w:rPr>
          <w:rFonts w:ascii="Palatino Linotype" w:hAnsi="Palatino Linotype" w:cs="Arial"/>
          <w:sz w:val="24"/>
          <w:szCs w:val="24"/>
        </w:rPr>
        <w:t>procedibilidad</w:t>
      </w:r>
      <w:proofErr w:type="spellEnd"/>
      <w:r w:rsidRPr="007813EC">
        <w:rPr>
          <w:rFonts w:ascii="Palatino Linotype" w:hAnsi="Palatino Linotype" w:cs="Arial"/>
          <w:sz w:val="24"/>
          <w:szCs w:val="24"/>
        </w:rPr>
        <w:t xml:space="preserve"> podría limitar el ejercicio del derecho de acceso a la información pública, debido a que el hecho de solicitar la identificación de</w:t>
      </w:r>
      <w:r w:rsidR="003A3885">
        <w:rPr>
          <w:rFonts w:ascii="Palatino Linotype" w:hAnsi="Palatino Linotype" w:cs="Arial"/>
          <w:sz w:val="24"/>
          <w:szCs w:val="24"/>
        </w:rPr>
        <w:t xml:space="preserve"> </w:t>
      </w:r>
      <w:r w:rsidRPr="007813EC">
        <w:rPr>
          <w:rFonts w:ascii="Palatino Linotype" w:hAnsi="Palatino Linotype" w:cs="Arial"/>
          <w:sz w:val="24"/>
          <w:szCs w:val="24"/>
        </w:rPr>
        <w:t>l</w:t>
      </w:r>
      <w:r w:rsidR="003A3885">
        <w:rPr>
          <w:rFonts w:ascii="Palatino Linotype" w:hAnsi="Palatino Linotype" w:cs="Arial"/>
          <w:sz w:val="24"/>
          <w:szCs w:val="24"/>
        </w:rPr>
        <w:t>a parte</w:t>
      </w:r>
      <w:r w:rsidRPr="007813EC">
        <w:rPr>
          <w:rFonts w:ascii="Palatino Linotype" w:hAnsi="Palatino Linotype" w:cs="Arial"/>
          <w:sz w:val="24"/>
          <w:szCs w:val="24"/>
        </w:rPr>
        <w:t xml:space="preserve"> </w:t>
      </w:r>
      <w:r w:rsidRPr="007813EC">
        <w:rPr>
          <w:rFonts w:ascii="Palatino Linotype" w:hAnsi="Palatino Linotype" w:cs="Arial"/>
          <w:b/>
          <w:sz w:val="24"/>
          <w:szCs w:val="24"/>
        </w:rPr>
        <w:lastRenderedPageBreak/>
        <w:t>Recurrente</w:t>
      </w:r>
      <w:r w:rsidRPr="007813EC">
        <w:rPr>
          <w:rFonts w:ascii="Palatino Linotype" w:hAnsi="Palatino Linotype" w:cs="Arial"/>
          <w:sz w:val="24"/>
          <w:szCs w:val="24"/>
        </w:rPr>
        <w:t xml:space="preserve"> a través de dicho dato personal, en ciertos extremos se equipara a una exigencia acerca de su interés o justificación de su utilización, lo que materialmente haría nugatorio un derecho fundamental.</w:t>
      </w:r>
    </w:p>
    <w:p w14:paraId="2BE5B1B3" w14:textId="77777777" w:rsidR="00F12110" w:rsidRPr="007813EC" w:rsidRDefault="00F12110" w:rsidP="005136D5">
      <w:pPr>
        <w:autoSpaceDE w:val="0"/>
        <w:autoSpaceDN w:val="0"/>
        <w:adjustRightInd w:val="0"/>
        <w:spacing w:after="0" w:line="360" w:lineRule="auto"/>
        <w:jc w:val="both"/>
        <w:rPr>
          <w:rFonts w:ascii="Palatino Linotype" w:hAnsi="Palatino Linotype" w:cs="Arial"/>
          <w:sz w:val="24"/>
          <w:szCs w:val="24"/>
        </w:rPr>
      </w:pPr>
    </w:p>
    <w:p w14:paraId="683C1B88" w14:textId="77777777" w:rsidR="00AE6CFE" w:rsidRPr="007813EC" w:rsidRDefault="00AE6CFE" w:rsidP="005136D5">
      <w:pPr>
        <w:autoSpaceDE w:val="0"/>
        <w:autoSpaceDN w:val="0"/>
        <w:adjustRightInd w:val="0"/>
        <w:spacing w:after="0" w:line="360" w:lineRule="auto"/>
        <w:jc w:val="both"/>
        <w:rPr>
          <w:rFonts w:ascii="Palatino Linotype" w:hAnsi="Palatino Linotype" w:cs="Arial"/>
          <w:sz w:val="24"/>
          <w:szCs w:val="24"/>
        </w:rPr>
      </w:pPr>
      <w:r w:rsidRPr="007813EC">
        <w:rPr>
          <w:rFonts w:ascii="Palatino Linotype" w:hAnsi="Palatino Linotype" w:cs="Arial"/>
          <w:sz w:val="24"/>
          <w:szCs w:val="24"/>
        </w:rPr>
        <w:t>Aunado a ello, para el estudio de la materia sobre la que se resuelven los recursos de revisión resulta intrascendente el nombre de la persona que lo hubiere promovido, en virtud de que tanto la Constitución Federal, como la Constitución Política del Estado Libre y Soberano de México, reconocen la prerrogativa de los individuos para no acreditar dicho interés o justificar su utilización, por lo que este Órgano Garante en la materia se encuentra impedido para realizar dicho análisis, en la inteligencia de que al limitar un derecho humano, como lo es el derecho de acceso a la información pública, por una cuestión procedimental.</w:t>
      </w:r>
    </w:p>
    <w:p w14:paraId="64F920B9" w14:textId="77777777" w:rsidR="00A83393" w:rsidRPr="007813EC" w:rsidRDefault="00A83393" w:rsidP="005136D5">
      <w:pPr>
        <w:autoSpaceDE w:val="0"/>
        <w:autoSpaceDN w:val="0"/>
        <w:adjustRightInd w:val="0"/>
        <w:spacing w:after="0" w:line="360" w:lineRule="auto"/>
        <w:jc w:val="both"/>
        <w:rPr>
          <w:rFonts w:ascii="Palatino Linotype" w:hAnsi="Palatino Linotype" w:cs="Arial"/>
          <w:sz w:val="24"/>
          <w:szCs w:val="24"/>
        </w:rPr>
      </w:pPr>
    </w:p>
    <w:p w14:paraId="44693DC3" w14:textId="77777777" w:rsidR="00AE6CFE" w:rsidRPr="007813EC" w:rsidRDefault="00AE6CFE" w:rsidP="005136D5">
      <w:pPr>
        <w:autoSpaceDE w:val="0"/>
        <w:autoSpaceDN w:val="0"/>
        <w:adjustRightInd w:val="0"/>
        <w:spacing w:after="0" w:line="360" w:lineRule="auto"/>
        <w:jc w:val="both"/>
        <w:rPr>
          <w:rFonts w:ascii="Palatino Linotype" w:hAnsi="Palatino Linotype" w:cs="Arial"/>
          <w:sz w:val="24"/>
          <w:szCs w:val="24"/>
        </w:rPr>
      </w:pPr>
      <w:r w:rsidRPr="007813EC">
        <w:rPr>
          <w:rFonts w:ascii="Palatino Linotype" w:hAnsi="Palatino Linotype" w:cs="Arial"/>
          <w:sz w:val="24"/>
          <w:szCs w:val="24"/>
        </w:rPr>
        <w:t xml:space="preserve">En consecuencia, dado lo expuesto y fundado con anterioridad, se estima que el requisito relativo al nombre del Recurrente no constituye un presupuesto indispensable de </w:t>
      </w:r>
      <w:proofErr w:type="spellStart"/>
      <w:r w:rsidRPr="007813EC">
        <w:rPr>
          <w:rFonts w:ascii="Palatino Linotype" w:hAnsi="Palatino Linotype" w:cs="Arial"/>
          <w:sz w:val="24"/>
          <w:szCs w:val="24"/>
        </w:rPr>
        <w:t>procedibilidad</w:t>
      </w:r>
      <w:proofErr w:type="spellEnd"/>
      <w:r w:rsidRPr="007813EC">
        <w:rPr>
          <w:rFonts w:ascii="Palatino Linotype" w:hAnsi="Palatino Linotype" w:cs="Arial"/>
          <w:sz w:val="24"/>
          <w:szCs w:val="24"/>
        </w:rPr>
        <w:t xml:space="preserve">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del expediente, de las que se desprende que el Recurrente, es la misma persona que realizó la solicitud de acceso a la información pública que ahora se impugna.</w:t>
      </w:r>
    </w:p>
    <w:p w14:paraId="2266A3AA" w14:textId="5FA7F3AD" w:rsidR="00AE6CFE" w:rsidRPr="007813EC" w:rsidRDefault="00AE6CFE" w:rsidP="005136D5">
      <w:pPr>
        <w:autoSpaceDE w:val="0"/>
        <w:autoSpaceDN w:val="0"/>
        <w:adjustRightInd w:val="0"/>
        <w:spacing w:after="0" w:line="360" w:lineRule="auto"/>
        <w:jc w:val="both"/>
        <w:rPr>
          <w:rFonts w:ascii="Palatino Linotype" w:hAnsi="Palatino Linotype" w:cs="Arial"/>
          <w:sz w:val="24"/>
          <w:szCs w:val="24"/>
        </w:rPr>
      </w:pPr>
      <w:r w:rsidRPr="007813EC">
        <w:rPr>
          <w:rFonts w:ascii="Palatino Linotype" w:hAnsi="Palatino Linotype" w:cs="Arial"/>
          <w:sz w:val="24"/>
          <w:szCs w:val="24"/>
        </w:rPr>
        <w:lastRenderedPageBreak/>
        <w:t xml:space="preserve">De igual manera, el propio artículo 180 de la Ley de Transparencia local, en su último párrafo establece que cuando el recurso se interponga de manera electrónica, no será indispensable que contenga determinados requisitos, entre ellos, el nombre del Recurrente, por lo </w:t>
      </w:r>
      <w:r w:rsidR="00CE35C8" w:rsidRPr="007813EC">
        <w:rPr>
          <w:rFonts w:ascii="Palatino Linotype" w:hAnsi="Palatino Linotype" w:cs="Arial"/>
          <w:sz w:val="24"/>
          <w:szCs w:val="24"/>
        </w:rPr>
        <w:t>que,</w:t>
      </w:r>
      <w:r w:rsidRPr="007813EC">
        <w:rPr>
          <w:rFonts w:ascii="Palatino Linotype" w:hAnsi="Palatino Linotype" w:cs="Arial"/>
          <w:sz w:val="24"/>
          <w:szCs w:val="24"/>
        </w:rPr>
        <w:t xml:space="preserve"> en el presente caso, al haber sido presentado el recurso de revisión vía SAIMEX, dicho requisito resulta innecesario.</w:t>
      </w:r>
    </w:p>
    <w:p w14:paraId="56A167D4" w14:textId="77777777" w:rsidR="00AE6CFE" w:rsidRPr="007813EC" w:rsidRDefault="00AE6CFE" w:rsidP="005136D5">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p>
    <w:p w14:paraId="09191D44" w14:textId="77777777" w:rsidR="000E48BC" w:rsidRPr="007813EC" w:rsidRDefault="000E48BC" w:rsidP="005136D5">
      <w:pPr>
        <w:autoSpaceDE w:val="0"/>
        <w:autoSpaceDN w:val="0"/>
        <w:adjustRightInd w:val="0"/>
        <w:spacing w:after="0" w:line="360" w:lineRule="auto"/>
        <w:jc w:val="both"/>
        <w:rPr>
          <w:rFonts w:ascii="Palatino Linotype" w:hAnsi="Palatino Linotype" w:cs="Arial"/>
          <w:b/>
          <w:sz w:val="28"/>
          <w:szCs w:val="28"/>
        </w:rPr>
      </w:pPr>
      <w:r w:rsidRPr="007813EC">
        <w:rPr>
          <w:rFonts w:ascii="Palatino Linotype" w:hAnsi="Palatino Linotype" w:cs="Arial"/>
          <w:b/>
          <w:sz w:val="28"/>
          <w:szCs w:val="28"/>
        </w:rPr>
        <w:t xml:space="preserve">TERCERO. Del estudio de las causas de improcedencia. </w:t>
      </w:r>
    </w:p>
    <w:p w14:paraId="238466BD" w14:textId="77777777" w:rsidR="000E48BC" w:rsidRPr="007813EC" w:rsidRDefault="000E48BC" w:rsidP="005136D5">
      <w:pPr>
        <w:autoSpaceDE w:val="0"/>
        <w:autoSpaceDN w:val="0"/>
        <w:adjustRightInd w:val="0"/>
        <w:spacing w:after="0" w:line="360" w:lineRule="auto"/>
        <w:jc w:val="both"/>
        <w:rPr>
          <w:rFonts w:ascii="Palatino Linotype" w:hAnsi="Palatino Linotype" w:cs="Arial"/>
          <w:sz w:val="24"/>
          <w:szCs w:val="24"/>
        </w:rPr>
      </w:pPr>
      <w:r w:rsidRPr="007813EC">
        <w:rPr>
          <w:rFonts w:ascii="Palatino Linotype" w:hAnsi="Palatino Linotype" w:cs="Arial"/>
          <w:sz w:val="24"/>
          <w:szCs w:val="24"/>
        </w:rPr>
        <w:t xml:space="preserve">El estudio de las causas de improcedencia que se hagan valer por las partes o que se advierta de oficio por este </w:t>
      </w:r>
      <w:proofErr w:type="spellStart"/>
      <w:r w:rsidRPr="007813EC">
        <w:rPr>
          <w:rFonts w:ascii="Palatino Linotype" w:hAnsi="Palatino Linotype" w:cs="Arial"/>
          <w:sz w:val="24"/>
          <w:szCs w:val="24"/>
        </w:rPr>
        <w:t>Resolutor</w:t>
      </w:r>
      <w:proofErr w:type="spellEnd"/>
      <w:r w:rsidRPr="007813EC">
        <w:rPr>
          <w:rFonts w:ascii="Palatino Linotype" w:hAnsi="Palatino Linotype" w:cs="Arial"/>
          <w:sz w:val="24"/>
          <w:szCs w:val="24"/>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p>
    <w:p w14:paraId="29661A82" w14:textId="77777777" w:rsidR="000E48BC" w:rsidRPr="007813EC" w:rsidRDefault="000E48BC" w:rsidP="005136D5">
      <w:pPr>
        <w:autoSpaceDE w:val="0"/>
        <w:autoSpaceDN w:val="0"/>
        <w:adjustRightInd w:val="0"/>
        <w:spacing w:after="0" w:line="360" w:lineRule="auto"/>
        <w:jc w:val="both"/>
        <w:rPr>
          <w:rFonts w:ascii="Palatino Linotype" w:hAnsi="Palatino Linotype" w:cs="Arial"/>
          <w:sz w:val="24"/>
          <w:szCs w:val="24"/>
        </w:rPr>
      </w:pPr>
    </w:p>
    <w:p w14:paraId="4D13A965" w14:textId="77777777" w:rsidR="000E48BC" w:rsidRPr="007813EC" w:rsidRDefault="000E48BC" w:rsidP="005136D5">
      <w:pPr>
        <w:spacing w:after="0" w:line="240" w:lineRule="auto"/>
        <w:ind w:left="567" w:right="567"/>
        <w:jc w:val="both"/>
        <w:rPr>
          <w:rFonts w:ascii="Palatino Linotype" w:hAnsi="Palatino Linotype" w:cs="Arial"/>
        </w:rPr>
      </w:pPr>
      <w:r w:rsidRPr="007813EC">
        <w:rPr>
          <w:rFonts w:ascii="Palatino Linotype" w:hAnsi="Palatino Linotype"/>
          <w:b/>
          <w:bCs/>
          <w:i/>
        </w:rPr>
        <w:t xml:space="preserve">IMPROCEDENCIA Y SOBRESEIMIENTO EN EL JUICIO DE AMPARO. LAS CAUSAS PREVISTAS EN LOS ARTÍCULOS 73 Y 74 DE LA LEY DE LA MATERIA, RESPECTIVAMENTE, NO SON INCOMPATIBLES CON EL ARTÍCULO 25.1 DE LA CONVENCIÓN AMERICANA SOBRE DERECHOS HUMANOS. </w:t>
      </w:r>
      <w:r w:rsidRPr="007813EC">
        <w:rPr>
          <w:rFonts w:ascii="Palatino Linotype" w:hAnsi="Palatino Linotype"/>
          <w:i/>
        </w:rPr>
        <w:t xml:space="preserve">Del examen de compatibilidad de los artículos </w:t>
      </w:r>
      <w:hyperlink r:id="rId8" w:history="1">
        <w:r w:rsidRPr="007813EC">
          <w:rPr>
            <w:rFonts w:ascii="Palatino Linotype" w:eastAsia="Calibri" w:hAnsi="Palatino Linotype"/>
            <w:i/>
            <w:u w:val="single"/>
          </w:rPr>
          <w:t>73 y 74 de la Ley de Amparo</w:t>
        </w:r>
      </w:hyperlink>
      <w:r w:rsidRPr="007813EC">
        <w:rPr>
          <w:rFonts w:ascii="Palatino Linotype" w:eastAsia="Calibri" w:hAnsi="Palatino Linotype"/>
          <w:i/>
          <w:u w:val="single"/>
        </w:rPr>
        <w:t xml:space="preserve"> </w:t>
      </w:r>
      <w:r w:rsidRPr="007813EC">
        <w:rPr>
          <w:rFonts w:ascii="Palatino Linotype" w:hAnsi="Palatino Linotype"/>
          <w:i/>
        </w:rPr>
        <w:t xml:space="preserve">con el artículo </w:t>
      </w:r>
      <w:hyperlink r:id="rId9" w:history="1">
        <w:r w:rsidRPr="007813EC">
          <w:rPr>
            <w:rFonts w:ascii="Palatino Linotype" w:eastAsia="Calibri" w:hAnsi="Palatino Linotype"/>
            <w:i/>
            <w:u w:val="single"/>
          </w:rPr>
          <w:t>25.1 de la Convención Americana sobre Derechos Humanos</w:t>
        </w:r>
      </w:hyperlink>
      <w:r w:rsidRPr="007813EC">
        <w:rPr>
          <w:rFonts w:ascii="Palatino Linotype" w:hAnsi="Palatino Linotype"/>
          <w:i/>
        </w:rPr>
        <w:t xml:space="preserve"> </w:t>
      </w:r>
      <w:r w:rsidRPr="007813EC">
        <w:rPr>
          <w:rFonts w:ascii="Palatino Linotype" w:hAnsi="Palatino Linotype"/>
          <w:b/>
          <w:i/>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7813EC">
        <w:rPr>
          <w:rFonts w:ascii="Palatino Linotype" w:hAnsi="Palatino Linotype"/>
          <w:i/>
        </w:rPr>
        <w:t xml:space="preserve"> en virtud de que el propósito de condicionar el acceso a los tribunales para evitar un sobrecargo de casos sin mérito, es en sí legítimo, por lo que esa compatibilidad, en cuanto </w:t>
      </w:r>
      <w:r w:rsidRPr="007813EC">
        <w:rPr>
          <w:rFonts w:ascii="Palatino Linotype" w:hAnsi="Palatino Linotype"/>
          <w:i/>
        </w:rPr>
        <w:lastRenderedPageBreak/>
        <w:t xml:space="preserve">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7813EC">
        <w:rPr>
          <w:rFonts w:ascii="Palatino Linotype" w:hAnsi="Palatino Linotype"/>
          <w:i/>
        </w:rPr>
        <w:t>concesoria</w:t>
      </w:r>
      <w:proofErr w:type="spellEnd"/>
      <w:r w:rsidRPr="007813EC">
        <w:rPr>
          <w:rFonts w:ascii="Palatino Linotype" w:hAnsi="Palatino Linotype"/>
          <w:i/>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06565C11" w14:textId="77777777" w:rsidR="000E48BC" w:rsidRPr="007813EC" w:rsidRDefault="000E48BC" w:rsidP="005136D5">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A169985" w14:textId="77777777" w:rsidR="000E48BC" w:rsidRPr="007813EC" w:rsidRDefault="000E48BC" w:rsidP="005136D5">
      <w:pPr>
        <w:autoSpaceDE w:val="0"/>
        <w:autoSpaceDN w:val="0"/>
        <w:adjustRightInd w:val="0"/>
        <w:spacing w:after="0" w:line="360" w:lineRule="auto"/>
        <w:jc w:val="both"/>
        <w:rPr>
          <w:rFonts w:ascii="Palatino Linotype" w:hAnsi="Palatino Linotype" w:cs="Arial"/>
          <w:sz w:val="24"/>
          <w:szCs w:val="24"/>
        </w:rPr>
      </w:pPr>
      <w:r w:rsidRPr="007813EC">
        <w:rPr>
          <w:rFonts w:ascii="Palatino Linotype" w:hAnsi="Palatino Linotype" w:cs="Arial"/>
          <w:sz w:val="24"/>
          <w:szCs w:val="24"/>
        </w:rPr>
        <w:t>Por lo que</w:t>
      </w:r>
      <w:r w:rsidR="005E7EB6" w:rsidRPr="007813EC">
        <w:rPr>
          <w:rFonts w:ascii="Palatino Linotype" w:hAnsi="Palatino Linotype" w:cs="Arial"/>
          <w:sz w:val="24"/>
          <w:szCs w:val="24"/>
        </w:rPr>
        <w:t>,</w:t>
      </w:r>
      <w:r w:rsidRPr="007813EC">
        <w:rPr>
          <w:rFonts w:ascii="Palatino Linotype" w:hAnsi="Palatino Linotype" w:cs="Arial"/>
          <w:sz w:val="24"/>
          <w:szCs w:val="24"/>
        </w:rPr>
        <w:t xml:space="preserve"> una vez </w:t>
      </w:r>
      <w:r w:rsidR="005E7EB6" w:rsidRPr="007813EC">
        <w:rPr>
          <w:rFonts w:ascii="Palatino Linotype" w:hAnsi="Palatino Linotype" w:cs="Arial"/>
          <w:sz w:val="24"/>
          <w:szCs w:val="24"/>
        </w:rPr>
        <w:t xml:space="preserve">analizadas las constancias de los </w:t>
      </w:r>
      <w:r w:rsidRPr="007813EC">
        <w:rPr>
          <w:rFonts w:ascii="Palatino Linotype" w:hAnsi="Palatino Linotype" w:cs="Arial"/>
          <w:sz w:val="24"/>
          <w:szCs w:val="24"/>
        </w:rPr>
        <w:t>expediente</w:t>
      </w:r>
      <w:r w:rsidR="005E7EB6" w:rsidRPr="007813EC">
        <w:rPr>
          <w:rFonts w:ascii="Palatino Linotype" w:hAnsi="Palatino Linotype" w:cs="Arial"/>
          <w:sz w:val="24"/>
          <w:szCs w:val="24"/>
        </w:rPr>
        <w:t xml:space="preserve">s, se cae en la cuenta de que, </w:t>
      </w:r>
      <w:r w:rsidRPr="007813EC">
        <w:rPr>
          <w:rFonts w:ascii="Palatino Linotype" w:hAnsi="Palatino Linotype" w:cs="Arial"/>
          <w:sz w:val="24"/>
          <w:szCs w:val="24"/>
        </w:rPr>
        <w:t>no se actualiza ninguna de las casuales a continuación transcritas:</w:t>
      </w:r>
    </w:p>
    <w:p w14:paraId="640C9134" w14:textId="77777777" w:rsidR="0043656E" w:rsidRPr="007813EC" w:rsidRDefault="0043656E" w:rsidP="005136D5">
      <w:pPr>
        <w:autoSpaceDE w:val="0"/>
        <w:autoSpaceDN w:val="0"/>
        <w:adjustRightInd w:val="0"/>
        <w:spacing w:after="0" w:line="360" w:lineRule="auto"/>
        <w:jc w:val="both"/>
        <w:rPr>
          <w:rFonts w:ascii="Palatino Linotype" w:hAnsi="Palatino Linotype" w:cs="Arial"/>
          <w:sz w:val="24"/>
          <w:szCs w:val="24"/>
        </w:rPr>
      </w:pPr>
    </w:p>
    <w:p w14:paraId="44648474" w14:textId="77777777" w:rsidR="000E48BC" w:rsidRPr="007813EC" w:rsidRDefault="000E48BC" w:rsidP="005136D5">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7813EC">
        <w:rPr>
          <w:rFonts w:ascii="Palatino Linotype" w:eastAsia="Times New Roman" w:hAnsi="Palatino Linotype" w:cs="Arial"/>
          <w:i/>
          <w:lang w:val="es-ES" w:eastAsia="es-ES"/>
        </w:rPr>
        <w:t>“</w:t>
      </w:r>
      <w:r w:rsidRPr="007813EC">
        <w:rPr>
          <w:rFonts w:ascii="Palatino Linotype" w:eastAsia="Times New Roman" w:hAnsi="Palatino Linotype" w:cs="Arial"/>
          <w:b/>
          <w:i/>
          <w:lang w:val="es-ES" w:eastAsia="es-ES"/>
        </w:rPr>
        <w:t>Artículo 191</w:t>
      </w:r>
      <w:r w:rsidRPr="007813EC">
        <w:rPr>
          <w:rFonts w:ascii="Palatino Linotype" w:eastAsia="Times New Roman" w:hAnsi="Palatino Linotype" w:cs="Arial"/>
          <w:i/>
          <w:lang w:val="es-ES" w:eastAsia="es-ES"/>
        </w:rPr>
        <w:t xml:space="preserve">. El recurso será desechado por improcedente cuando:  </w:t>
      </w:r>
    </w:p>
    <w:p w14:paraId="5F3A3CCA" w14:textId="77777777" w:rsidR="000E48BC" w:rsidRPr="007813EC" w:rsidRDefault="000E48BC" w:rsidP="005136D5">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7813EC">
        <w:rPr>
          <w:rFonts w:ascii="Palatino Linotype" w:eastAsia="Times New Roman" w:hAnsi="Palatino Linotype" w:cs="Arial"/>
          <w:b/>
          <w:i/>
          <w:lang w:val="es-ES" w:eastAsia="es-ES"/>
        </w:rPr>
        <w:t>I</w:t>
      </w:r>
      <w:r w:rsidRPr="007813EC">
        <w:rPr>
          <w:rFonts w:ascii="Palatino Linotype" w:eastAsia="Times New Roman" w:hAnsi="Palatino Linotype" w:cs="Arial"/>
          <w:i/>
          <w:lang w:val="es-ES" w:eastAsia="es-ES"/>
        </w:rPr>
        <w:t xml:space="preserve">. Sea extemporáneo por haber transcurrido el plazo establecido en la presente Ley, a partir de la respuesta;  </w:t>
      </w:r>
    </w:p>
    <w:p w14:paraId="583B0BBD" w14:textId="77777777" w:rsidR="000E48BC" w:rsidRPr="007813EC" w:rsidRDefault="000E48BC" w:rsidP="005136D5">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7813EC">
        <w:rPr>
          <w:rFonts w:ascii="Palatino Linotype" w:eastAsia="Times New Roman" w:hAnsi="Palatino Linotype" w:cs="Arial"/>
          <w:b/>
          <w:i/>
          <w:lang w:val="es-ES" w:eastAsia="es-ES"/>
        </w:rPr>
        <w:t>II</w:t>
      </w:r>
      <w:r w:rsidRPr="007813EC">
        <w:rPr>
          <w:rFonts w:ascii="Palatino Linotype" w:eastAsia="Times New Roman" w:hAnsi="Palatino Linotype" w:cs="Arial"/>
          <w:i/>
          <w:lang w:val="es-ES" w:eastAsia="es-ES"/>
        </w:rPr>
        <w:t xml:space="preserve">. Se esté tramitando ante el Poder Judicial de la Federación algún recurso o medio de defensa interpuesto por el recurrente;  </w:t>
      </w:r>
    </w:p>
    <w:p w14:paraId="6C3E4340" w14:textId="77777777" w:rsidR="000E48BC" w:rsidRPr="007813EC" w:rsidRDefault="000E48BC" w:rsidP="005136D5">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7813EC">
        <w:rPr>
          <w:rFonts w:ascii="Palatino Linotype" w:eastAsia="Times New Roman" w:hAnsi="Palatino Linotype" w:cs="Arial"/>
          <w:b/>
          <w:i/>
          <w:lang w:val="es-ES" w:eastAsia="es-ES"/>
        </w:rPr>
        <w:t>III</w:t>
      </w:r>
      <w:r w:rsidRPr="007813EC">
        <w:rPr>
          <w:rFonts w:ascii="Palatino Linotype" w:eastAsia="Times New Roman" w:hAnsi="Palatino Linotype" w:cs="Arial"/>
          <w:i/>
          <w:lang w:val="es-ES" w:eastAsia="es-ES"/>
        </w:rPr>
        <w:t xml:space="preserve">. No actualice alguno de los supuestos previstos en la presente Ley;  </w:t>
      </w:r>
    </w:p>
    <w:p w14:paraId="2BA6D62D" w14:textId="77777777" w:rsidR="000E48BC" w:rsidRPr="007813EC" w:rsidRDefault="000E48BC" w:rsidP="005136D5">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7813EC">
        <w:rPr>
          <w:rFonts w:ascii="Palatino Linotype" w:eastAsia="Times New Roman" w:hAnsi="Palatino Linotype" w:cs="Arial"/>
          <w:b/>
          <w:i/>
          <w:lang w:val="es-ES" w:eastAsia="es-ES"/>
        </w:rPr>
        <w:t>IV</w:t>
      </w:r>
      <w:r w:rsidRPr="007813EC">
        <w:rPr>
          <w:rFonts w:ascii="Palatino Linotype" w:eastAsia="Times New Roman" w:hAnsi="Palatino Linotype" w:cs="Arial"/>
          <w:i/>
          <w:lang w:val="es-ES" w:eastAsia="es-ES"/>
        </w:rPr>
        <w:t xml:space="preserve">. No se haya desahogado la prevención en los términos establecidos en la presente Ley;  </w:t>
      </w:r>
    </w:p>
    <w:p w14:paraId="3A7353CA" w14:textId="77777777" w:rsidR="000E48BC" w:rsidRPr="007813EC" w:rsidRDefault="000E48BC" w:rsidP="005136D5">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7813EC">
        <w:rPr>
          <w:rFonts w:ascii="Palatino Linotype" w:eastAsia="Times New Roman" w:hAnsi="Palatino Linotype" w:cs="Arial"/>
          <w:b/>
          <w:i/>
          <w:lang w:val="es-ES" w:eastAsia="es-ES"/>
        </w:rPr>
        <w:t>V</w:t>
      </w:r>
      <w:r w:rsidRPr="007813EC">
        <w:rPr>
          <w:rFonts w:ascii="Palatino Linotype" w:eastAsia="Times New Roman" w:hAnsi="Palatino Linotype" w:cs="Arial"/>
          <w:i/>
          <w:lang w:val="es-ES" w:eastAsia="es-ES"/>
        </w:rPr>
        <w:t xml:space="preserve">. Se impugne la veracidad de la información proporcionada;  </w:t>
      </w:r>
    </w:p>
    <w:p w14:paraId="7562453F" w14:textId="77777777" w:rsidR="000E48BC" w:rsidRPr="007813EC" w:rsidRDefault="000E48BC" w:rsidP="005136D5">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7813EC">
        <w:rPr>
          <w:rFonts w:ascii="Palatino Linotype" w:eastAsia="Times New Roman" w:hAnsi="Palatino Linotype" w:cs="Arial"/>
          <w:b/>
          <w:i/>
          <w:lang w:val="es-ES" w:eastAsia="es-ES"/>
        </w:rPr>
        <w:t>VI</w:t>
      </w:r>
      <w:r w:rsidRPr="007813EC">
        <w:rPr>
          <w:rFonts w:ascii="Palatino Linotype" w:eastAsia="Times New Roman" w:hAnsi="Palatino Linotype" w:cs="Arial"/>
          <w:i/>
          <w:lang w:val="es-ES" w:eastAsia="es-ES"/>
        </w:rPr>
        <w:t xml:space="preserve">. Se trate de una consulta, o trámite en específico; y  </w:t>
      </w:r>
    </w:p>
    <w:p w14:paraId="56076C0F" w14:textId="77777777" w:rsidR="000E48BC" w:rsidRPr="007813EC" w:rsidRDefault="000E48BC" w:rsidP="005136D5">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7813EC">
        <w:rPr>
          <w:rFonts w:ascii="Palatino Linotype" w:eastAsia="Times New Roman" w:hAnsi="Palatino Linotype" w:cs="Arial"/>
          <w:b/>
          <w:i/>
          <w:lang w:val="es-ES" w:eastAsia="es-ES"/>
        </w:rPr>
        <w:t>VII</w:t>
      </w:r>
      <w:r w:rsidRPr="007813EC">
        <w:rPr>
          <w:rFonts w:ascii="Palatino Linotype" w:eastAsia="Times New Roman" w:hAnsi="Palatino Linotype" w:cs="Arial"/>
          <w:i/>
          <w:lang w:val="es-ES" w:eastAsia="es-ES"/>
        </w:rPr>
        <w:t>. El recurrente amplíe su solicitud en el recurso de revisión, únicamente respecto de los nuevos contenidos.”</w:t>
      </w:r>
    </w:p>
    <w:p w14:paraId="75C9641F" w14:textId="77777777" w:rsidR="000E48BC" w:rsidRPr="007813EC" w:rsidRDefault="000E48BC" w:rsidP="005136D5">
      <w:pPr>
        <w:autoSpaceDE w:val="0"/>
        <w:autoSpaceDN w:val="0"/>
        <w:adjustRightInd w:val="0"/>
        <w:spacing w:after="0" w:line="360" w:lineRule="auto"/>
        <w:jc w:val="both"/>
        <w:rPr>
          <w:rFonts w:ascii="Palatino Linotype" w:hAnsi="Palatino Linotype" w:cs="Arial"/>
          <w:sz w:val="24"/>
          <w:szCs w:val="24"/>
        </w:rPr>
      </w:pPr>
    </w:p>
    <w:p w14:paraId="4A12EFF3" w14:textId="77777777" w:rsidR="000E48BC" w:rsidRPr="007813EC" w:rsidRDefault="000E48BC" w:rsidP="005136D5">
      <w:pPr>
        <w:autoSpaceDE w:val="0"/>
        <w:autoSpaceDN w:val="0"/>
        <w:adjustRightInd w:val="0"/>
        <w:spacing w:after="0" w:line="360" w:lineRule="auto"/>
        <w:jc w:val="both"/>
        <w:rPr>
          <w:rFonts w:ascii="Palatino Linotype" w:hAnsi="Palatino Linotype" w:cs="Arial"/>
          <w:sz w:val="24"/>
          <w:szCs w:val="24"/>
        </w:rPr>
      </w:pPr>
      <w:r w:rsidRPr="007813EC">
        <w:rPr>
          <w:rFonts w:ascii="Palatino Linotype" w:hAnsi="Palatino Linotype" w:cs="Arial"/>
          <w:sz w:val="24"/>
          <w:szCs w:val="24"/>
        </w:rPr>
        <w:t xml:space="preserve">Ya que no fue interpuesto de forma extemporánea, no se está tramitando ante el Poder Judicial Federal, no es una consulta, o trámite en específico, ni tampoco se advierte que </w:t>
      </w:r>
      <w:r w:rsidR="00924E63" w:rsidRPr="007813EC">
        <w:rPr>
          <w:rFonts w:ascii="Palatino Linotype" w:hAnsi="Palatino Linotype" w:cs="Arial"/>
          <w:sz w:val="24"/>
          <w:szCs w:val="24"/>
        </w:rPr>
        <w:t>la parte</w:t>
      </w:r>
      <w:r w:rsidRPr="007813EC">
        <w:rPr>
          <w:rFonts w:ascii="Palatino Linotype" w:hAnsi="Palatino Linotype" w:cs="Arial"/>
          <w:b/>
          <w:sz w:val="24"/>
          <w:szCs w:val="24"/>
        </w:rPr>
        <w:t xml:space="preserve"> </w:t>
      </w:r>
      <w:r w:rsidR="00924E63" w:rsidRPr="007813EC">
        <w:rPr>
          <w:rFonts w:ascii="Palatino Linotype" w:hAnsi="Palatino Linotype" w:cs="Arial"/>
          <w:b/>
          <w:sz w:val="24"/>
          <w:szCs w:val="24"/>
        </w:rPr>
        <w:t>Recurrente</w:t>
      </w:r>
      <w:r w:rsidR="00924E63" w:rsidRPr="007813EC">
        <w:rPr>
          <w:rFonts w:ascii="Palatino Linotype" w:hAnsi="Palatino Linotype" w:cs="Arial"/>
          <w:sz w:val="24"/>
          <w:szCs w:val="24"/>
        </w:rPr>
        <w:t xml:space="preserve"> </w:t>
      </w:r>
      <w:r w:rsidRPr="007813EC">
        <w:rPr>
          <w:rFonts w:ascii="Palatino Linotype" w:hAnsi="Palatino Linotype" w:cs="Arial"/>
          <w:sz w:val="24"/>
          <w:szCs w:val="24"/>
        </w:rPr>
        <w:t>amplíe su solicitud en el recurso de revisión, por lo que al no existir causas de improcedencia invocadas por las partes ni advertidas de oficio, este Órgano Garante de la Transparencia se avoca al análisis del fondo del asunto que nos ocupa.</w:t>
      </w:r>
    </w:p>
    <w:p w14:paraId="538C0C53" w14:textId="77777777" w:rsidR="009A421F" w:rsidRPr="007813EC" w:rsidRDefault="009A421F" w:rsidP="005136D5">
      <w:pPr>
        <w:autoSpaceDE w:val="0"/>
        <w:autoSpaceDN w:val="0"/>
        <w:adjustRightInd w:val="0"/>
        <w:spacing w:after="0" w:line="360" w:lineRule="auto"/>
        <w:jc w:val="both"/>
        <w:rPr>
          <w:rFonts w:ascii="Palatino Linotype" w:hAnsi="Palatino Linotype" w:cs="Arial"/>
          <w:sz w:val="24"/>
          <w:szCs w:val="24"/>
        </w:rPr>
      </w:pPr>
    </w:p>
    <w:p w14:paraId="3EC1BE32" w14:textId="77777777" w:rsidR="000E48BC" w:rsidRPr="007813EC" w:rsidRDefault="000E48BC" w:rsidP="005136D5">
      <w:pPr>
        <w:widowControl w:val="0"/>
        <w:autoSpaceDE w:val="0"/>
        <w:autoSpaceDN w:val="0"/>
        <w:adjustRightInd w:val="0"/>
        <w:spacing w:after="0" w:line="360" w:lineRule="auto"/>
        <w:jc w:val="both"/>
        <w:rPr>
          <w:rFonts w:ascii="Palatino Linotype" w:eastAsia="Times New Roman" w:hAnsi="Palatino Linotype" w:cs="Arial"/>
          <w:b/>
          <w:sz w:val="28"/>
          <w:szCs w:val="28"/>
          <w:lang w:val="es-ES" w:eastAsia="es-ES"/>
        </w:rPr>
      </w:pPr>
      <w:r w:rsidRPr="007813EC">
        <w:rPr>
          <w:rFonts w:ascii="Palatino Linotype" w:eastAsia="Times New Roman" w:hAnsi="Palatino Linotype" w:cs="Arial"/>
          <w:b/>
          <w:sz w:val="28"/>
          <w:szCs w:val="28"/>
          <w:lang w:val="es-ES" w:eastAsia="es-ES"/>
        </w:rPr>
        <w:lastRenderedPageBreak/>
        <w:t xml:space="preserve">CUARTO. </w:t>
      </w:r>
      <w:r w:rsidRPr="007813EC">
        <w:rPr>
          <w:rFonts w:ascii="Palatino Linotype" w:eastAsia="Times New Roman" w:hAnsi="Palatino Linotype" w:cs="Arial"/>
          <w:b/>
          <w:sz w:val="26"/>
          <w:szCs w:val="26"/>
          <w:lang w:val="es-ES" w:eastAsia="es-ES"/>
        </w:rPr>
        <w:t>Estudio y resolución de los recursos de revisión.</w:t>
      </w:r>
    </w:p>
    <w:p w14:paraId="29AA492D" w14:textId="77777777" w:rsidR="000E48BC" w:rsidRPr="007813EC" w:rsidRDefault="000E48BC" w:rsidP="005136D5">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7813EC">
        <w:rPr>
          <w:rFonts w:ascii="Palatino Linotype" w:eastAsia="Times New Roman" w:hAnsi="Palatino Linotype" w:cs="Arial"/>
          <w:sz w:val="24"/>
          <w:szCs w:val="24"/>
          <w:lang w:val="es-ES" w:eastAsia="es-ES"/>
        </w:rPr>
        <w:t>Se procede al análisis de</w:t>
      </w:r>
      <w:r w:rsidR="009A421F" w:rsidRPr="007813EC">
        <w:rPr>
          <w:rFonts w:ascii="Palatino Linotype" w:eastAsia="Times New Roman" w:hAnsi="Palatino Linotype" w:cs="Arial"/>
          <w:sz w:val="24"/>
          <w:szCs w:val="24"/>
          <w:lang w:val="es-ES" w:eastAsia="es-ES"/>
        </w:rPr>
        <w:t xml:space="preserve"> </w:t>
      </w:r>
      <w:r w:rsidRPr="007813EC">
        <w:rPr>
          <w:rFonts w:ascii="Palatino Linotype" w:eastAsia="Times New Roman" w:hAnsi="Palatino Linotype" w:cs="Arial"/>
          <w:sz w:val="24"/>
          <w:szCs w:val="24"/>
          <w:lang w:val="es-ES" w:eastAsia="es-ES"/>
        </w:rPr>
        <w:t>l</w:t>
      </w:r>
      <w:r w:rsidR="009A421F" w:rsidRPr="007813EC">
        <w:rPr>
          <w:rFonts w:ascii="Palatino Linotype" w:eastAsia="Times New Roman" w:hAnsi="Palatino Linotype" w:cs="Arial"/>
          <w:sz w:val="24"/>
          <w:szCs w:val="24"/>
          <w:lang w:val="es-ES" w:eastAsia="es-ES"/>
        </w:rPr>
        <w:t>os</w:t>
      </w:r>
      <w:r w:rsidRPr="007813EC">
        <w:rPr>
          <w:rFonts w:ascii="Palatino Linotype" w:eastAsia="Times New Roman" w:hAnsi="Palatino Linotype" w:cs="Arial"/>
          <w:sz w:val="24"/>
          <w:szCs w:val="24"/>
          <w:lang w:val="es-ES" w:eastAsia="es-ES"/>
        </w:rPr>
        <w:t xml:space="preserve"> presente</w:t>
      </w:r>
      <w:r w:rsidR="009A421F" w:rsidRPr="007813EC">
        <w:rPr>
          <w:rFonts w:ascii="Palatino Linotype" w:eastAsia="Times New Roman" w:hAnsi="Palatino Linotype" w:cs="Arial"/>
          <w:sz w:val="24"/>
          <w:szCs w:val="24"/>
          <w:lang w:val="es-ES" w:eastAsia="es-ES"/>
        </w:rPr>
        <w:t>s</w:t>
      </w:r>
      <w:r w:rsidRPr="007813EC">
        <w:rPr>
          <w:rFonts w:ascii="Palatino Linotype" w:eastAsia="Times New Roman" w:hAnsi="Palatino Linotype" w:cs="Arial"/>
          <w:sz w:val="24"/>
          <w:szCs w:val="24"/>
          <w:lang w:val="es-ES" w:eastAsia="es-ES"/>
        </w:rPr>
        <w:t xml:space="preserve"> recurso</w:t>
      </w:r>
      <w:r w:rsidR="009A421F" w:rsidRPr="007813EC">
        <w:rPr>
          <w:rFonts w:ascii="Palatino Linotype" w:eastAsia="Times New Roman" w:hAnsi="Palatino Linotype" w:cs="Arial"/>
          <w:sz w:val="24"/>
          <w:szCs w:val="24"/>
          <w:lang w:val="es-ES" w:eastAsia="es-ES"/>
        </w:rPr>
        <w:t>s</w:t>
      </w:r>
      <w:r w:rsidRPr="007813EC">
        <w:rPr>
          <w:rFonts w:ascii="Palatino Linotype" w:eastAsia="Times New Roman" w:hAnsi="Palatino Linotype" w:cs="Arial"/>
          <w:sz w:val="24"/>
          <w:szCs w:val="24"/>
          <w:lang w:val="es-ES" w:eastAsia="es-ES"/>
        </w:rPr>
        <w:t>, así como al contenido íntegro de las actuaciones que obran en el expediente electrónico, para así estar en posibilidades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04C601FE" w14:textId="77777777" w:rsidR="00CE4D2D" w:rsidRPr="007813EC" w:rsidRDefault="00CE4D2D" w:rsidP="005136D5">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B471B0E" w14:textId="49EE0A05" w:rsidR="000E48BC" w:rsidRPr="007813EC" w:rsidRDefault="000E48BC" w:rsidP="005136D5">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7813EC">
        <w:rPr>
          <w:rFonts w:ascii="Palatino Linotype" w:eastAsia="Times New Roman" w:hAnsi="Palatino Linotype" w:cs="Arial"/>
          <w:sz w:val="24"/>
          <w:szCs w:val="24"/>
          <w:lang w:val="es-ES" w:eastAsia="es-ES"/>
        </w:rPr>
        <w:t>Atentos a la redacción de la solicitud de información,</w:t>
      </w:r>
      <w:r w:rsidR="00D01984" w:rsidRPr="007813EC">
        <w:rPr>
          <w:rFonts w:ascii="Palatino Linotype" w:eastAsia="Times New Roman" w:hAnsi="Palatino Linotype" w:cs="Arial"/>
          <w:sz w:val="24"/>
          <w:szCs w:val="24"/>
          <w:lang w:val="es-ES" w:eastAsia="es-ES"/>
        </w:rPr>
        <w:t xml:space="preserve"> </w:t>
      </w:r>
      <w:r w:rsidRPr="007813EC">
        <w:rPr>
          <w:rFonts w:ascii="Palatino Linotype" w:eastAsia="Times New Roman" w:hAnsi="Palatino Linotype" w:cs="Arial"/>
          <w:sz w:val="24"/>
          <w:szCs w:val="24"/>
          <w:lang w:val="es-ES" w:eastAsia="es-ES"/>
        </w:rPr>
        <w:t xml:space="preserve">se puede apreciar que </w:t>
      </w:r>
      <w:r w:rsidR="00924E63" w:rsidRPr="007813EC">
        <w:rPr>
          <w:rFonts w:ascii="Palatino Linotype" w:eastAsia="Times New Roman" w:hAnsi="Palatino Linotype" w:cs="Arial"/>
          <w:sz w:val="24"/>
          <w:szCs w:val="24"/>
          <w:lang w:val="es-ES" w:eastAsia="es-ES"/>
        </w:rPr>
        <w:t>la parte</w:t>
      </w:r>
      <w:r w:rsidRPr="007813EC">
        <w:rPr>
          <w:rFonts w:ascii="Palatino Linotype" w:eastAsia="Times New Roman" w:hAnsi="Palatino Linotype" w:cs="Arial"/>
          <w:sz w:val="24"/>
          <w:szCs w:val="24"/>
          <w:lang w:val="es-ES" w:eastAsia="es-ES"/>
        </w:rPr>
        <w:t xml:space="preserve"> </w:t>
      </w:r>
      <w:r w:rsidRPr="007813EC">
        <w:rPr>
          <w:rFonts w:ascii="Palatino Linotype" w:eastAsia="Times New Roman" w:hAnsi="Palatino Linotype" w:cs="Arial"/>
          <w:b/>
          <w:sz w:val="24"/>
          <w:szCs w:val="24"/>
          <w:lang w:val="es-ES" w:eastAsia="es-ES"/>
        </w:rPr>
        <w:t>Recurrente</w:t>
      </w:r>
      <w:r w:rsidRPr="007813EC">
        <w:rPr>
          <w:rFonts w:ascii="Palatino Linotype" w:eastAsia="Times New Roman" w:hAnsi="Palatino Linotype" w:cs="Arial"/>
          <w:sz w:val="24"/>
          <w:szCs w:val="24"/>
          <w:lang w:val="es-ES" w:eastAsia="es-ES"/>
        </w:rPr>
        <w:t xml:space="preserve"> </w:t>
      </w:r>
      <w:r w:rsidR="006833DD" w:rsidRPr="007813EC">
        <w:rPr>
          <w:rFonts w:ascii="Palatino Linotype" w:eastAsia="Times New Roman" w:hAnsi="Palatino Linotype" w:cs="Arial"/>
          <w:sz w:val="24"/>
          <w:szCs w:val="24"/>
          <w:lang w:val="es-ES" w:eastAsia="es-ES"/>
        </w:rPr>
        <w:t>peticiona</w:t>
      </w:r>
      <w:r w:rsidR="00974D14">
        <w:rPr>
          <w:rFonts w:ascii="Palatino Linotype" w:eastAsia="Times New Roman" w:hAnsi="Palatino Linotype" w:cs="Arial"/>
          <w:sz w:val="24"/>
          <w:szCs w:val="24"/>
          <w:lang w:val="es-ES" w:eastAsia="es-ES"/>
        </w:rPr>
        <w:t xml:space="preserve"> </w:t>
      </w:r>
      <w:r w:rsidR="00974D14" w:rsidRPr="00974D14">
        <w:rPr>
          <w:rFonts w:ascii="Palatino Linotype" w:eastAsia="Times New Roman" w:hAnsi="Palatino Linotype" w:cs="Arial"/>
          <w:sz w:val="24"/>
          <w:szCs w:val="24"/>
          <w:lang w:val="es-ES" w:eastAsia="es-ES"/>
        </w:rPr>
        <w:t>en formato XLS compatible con Excel</w:t>
      </w:r>
      <w:r w:rsidRPr="007813EC">
        <w:rPr>
          <w:rFonts w:ascii="Palatino Linotype" w:eastAsia="Times New Roman" w:hAnsi="Palatino Linotype" w:cs="Arial"/>
          <w:sz w:val="24"/>
          <w:szCs w:val="24"/>
          <w:lang w:val="es-ES" w:eastAsia="es-ES"/>
        </w:rPr>
        <w:t>:</w:t>
      </w:r>
    </w:p>
    <w:p w14:paraId="31E5C140" w14:textId="77777777" w:rsidR="000729B1" w:rsidRPr="007813EC" w:rsidRDefault="000729B1" w:rsidP="005136D5">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42AD017" w14:textId="152A6A84" w:rsidR="009E7EC8" w:rsidRPr="007813EC" w:rsidRDefault="00974D14" w:rsidP="005136D5">
      <w:pPr>
        <w:pStyle w:val="Prrafodelista"/>
        <w:numPr>
          <w:ilvl w:val="0"/>
          <w:numId w:val="35"/>
        </w:numPr>
        <w:autoSpaceDE w:val="0"/>
        <w:autoSpaceDN w:val="0"/>
        <w:adjustRightInd w:val="0"/>
        <w:spacing w:line="360" w:lineRule="auto"/>
        <w:jc w:val="both"/>
        <w:rPr>
          <w:rFonts w:ascii="Palatino Linotype" w:hAnsi="Palatino Linotype" w:cs="Arial"/>
        </w:rPr>
      </w:pPr>
      <w:r w:rsidRPr="00974D14">
        <w:rPr>
          <w:rFonts w:ascii="Palatino Linotype" w:hAnsi="Palatino Linotype" w:cs="Arial"/>
        </w:rPr>
        <w:t>la base de datos del padrón actualizado de licencias otorgadas para la operación de establecimientos en los que se vende o consumen bebidas alcohólicas, otorgadas por la Dirección de Mejora Regulatoria, así como, su giro o modalidad, dirección de los establecimientos, los nombres y/o razones sociales de los titulares, y el hipervínculo del documento en el que obre cada una de las licencias.</w:t>
      </w:r>
    </w:p>
    <w:p w14:paraId="697DE017" w14:textId="42927534" w:rsidR="009E7EC8" w:rsidRDefault="009E7EC8" w:rsidP="005136D5">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7A72C1A" w14:textId="66865D38" w:rsidR="001F1033" w:rsidRDefault="001F1033" w:rsidP="005136D5">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1F1033">
        <w:rPr>
          <w:rFonts w:ascii="Palatino Linotype" w:eastAsia="Times New Roman" w:hAnsi="Palatino Linotype" w:cs="Arial"/>
          <w:sz w:val="24"/>
          <w:szCs w:val="24"/>
          <w:lang w:val="es-ES" w:eastAsia="es-ES"/>
        </w:rPr>
        <w:t xml:space="preserve">Primeramente, si bien es cierto que la parte </w:t>
      </w:r>
      <w:r w:rsidRPr="001F1033">
        <w:rPr>
          <w:rFonts w:ascii="Palatino Linotype" w:eastAsia="Times New Roman" w:hAnsi="Palatino Linotype" w:cs="Arial"/>
          <w:b/>
          <w:bCs/>
          <w:sz w:val="24"/>
          <w:szCs w:val="24"/>
          <w:lang w:val="es-ES" w:eastAsia="es-ES"/>
        </w:rPr>
        <w:t>Recurrente</w:t>
      </w:r>
      <w:r w:rsidRPr="001F1033">
        <w:rPr>
          <w:rFonts w:ascii="Palatino Linotype" w:eastAsia="Times New Roman" w:hAnsi="Palatino Linotype" w:cs="Arial"/>
          <w:sz w:val="24"/>
          <w:szCs w:val="24"/>
          <w:lang w:val="es-ES" w:eastAsia="es-ES"/>
        </w:rPr>
        <w:t xml:space="preserve"> no señaló de manera precisa la temporalidad de la información que requiere, lo cierto es que, de la solicitud se advierte que el particular </w:t>
      </w:r>
      <w:r w:rsidRPr="001F1033">
        <w:rPr>
          <w:rFonts w:ascii="Palatino Linotype" w:eastAsia="Times New Roman" w:hAnsi="Palatino Linotype" w:cs="Arial"/>
          <w:b/>
          <w:bCs/>
          <w:sz w:val="24"/>
          <w:szCs w:val="24"/>
          <w:lang w:val="es-ES" w:eastAsia="es-ES"/>
        </w:rPr>
        <w:t>requiere la entrega del padrón actualizado y las licencias que correspondan con dicho padrón</w:t>
      </w:r>
      <w:r w:rsidRPr="001F1033">
        <w:rPr>
          <w:rFonts w:ascii="Palatino Linotype" w:eastAsia="Times New Roman" w:hAnsi="Palatino Linotype" w:cs="Arial"/>
          <w:sz w:val="24"/>
          <w:szCs w:val="24"/>
          <w:lang w:val="es-ES" w:eastAsia="es-ES"/>
        </w:rPr>
        <w:t xml:space="preserve">; por lo que, se advierte que </w:t>
      </w:r>
      <w:r w:rsidRPr="001F1033">
        <w:rPr>
          <w:rFonts w:ascii="Palatino Linotype" w:eastAsia="Times New Roman" w:hAnsi="Palatino Linotype" w:cs="Arial"/>
          <w:b/>
          <w:bCs/>
          <w:sz w:val="24"/>
          <w:szCs w:val="24"/>
          <w:lang w:val="es-ES" w:eastAsia="es-ES"/>
        </w:rPr>
        <w:t xml:space="preserve">solicita la </w:t>
      </w:r>
      <w:r w:rsidRPr="001F1033">
        <w:rPr>
          <w:rFonts w:ascii="Palatino Linotype" w:eastAsia="Times New Roman" w:hAnsi="Palatino Linotype" w:cs="Arial"/>
          <w:b/>
          <w:bCs/>
          <w:sz w:val="24"/>
          <w:szCs w:val="24"/>
          <w:lang w:val="es-ES" w:eastAsia="es-ES"/>
        </w:rPr>
        <w:lastRenderedPageBreak/>
        <w:t>información vigente a la fecha de la solicitud</w:t>
      </w:r>
      <w:r w:rsidRPr="001F1033">
        <w:rPr>
          <w:rFonts w:ascii="Palatino Linotype" w:eastAsia="Times New Roman" w:hAnsi="Palatino Linotype" w:cs="Arial"/>
          <w:sz w:val="24"/>
          <w:szCs w:val="24"/>
          <w:lang w:val="es-ES" w:eastAsia="es-ES"/>
        </w:rPr>
        <w:t>, esto es, al once de junio de dos mil veinticuatro.</w:t>
      </w:r>
    </w:p>
    <w:p w14:paraId="703FDBBA" w14:textId="77777777" w:rsidR="001F1033" w:rsidRPr="007813EC" w:rsidRDefault="001F1033" w:rsidP="005136D5">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9D0F8AA" w14:textId="22924907" w:rsidR="009E7EC8" w:rsidRPr="007813EC" w:rsidRDefault="001F1033" w:rsidP="005136D5">
      <w:pPr>
        <w:autoSpaceDE w:val="0"/>
        <w:autoSpaceDN w:val="0"/>
        <w:adjustRightInd w:val="0"/>
        <w:spacing w:after="0" w:line="360" w:lineRule="auto"/>
        <w:jc w:val="both"/>
        <w:rPr>
          <w:rFonts w:ascii="Palatino Linotype" w:eastAsia="Times New Roman" w:hAnsi="Palatino Linotype" w:cs="Times New Roman"/>
          <w:sz w:val="24"/>
          <w:szCs w:val="24"/>
          <w:lang w:eastAsia="es-ES"/>
        </w:rPr>
      </w:pPr>
      <w:r>
        <w:rPr>
          <w:rFonts w:ascii="Palatino Linotype" w:eastAsia="Times New Roman" w:hAnsi="Palatino Linotype" w:cs="Arial"/>
          <w:sz w:val="24"/>
          <w:szCs w:val="24"/>
          <w:lang w:val="es-ES" w:eastAsia="es-ES"/>
        </w:rPr>
        <w:t xml:space="preserve">Acotado lo anterior, de conformidad con las constancias, se observa que, </w:t>
      </w:r>
      <w:r w:rsidR="009E7EC8" w:rsidRPr="007813EC">
        <w:rPr>
          <w:rFonts w:ascii="Palatino Linotype" w:eastAsia="Times New Roman" w:hAnsi="Palatino Linotype" w:cs="Arial"/>
          <w:sz w:val="24"/>
          <w:szCs w:val="24"/>
          <w:lang w:val="es-ES" w:eastAsia="es-ES"/>
        </w:rPr>
        <w:t xml:space="preserve">el </w:t>
      </w:r>
      <w:r w:rsidR="009E7EC8" w:rsidRPr="007813EC">
        <w:rPr>
          <w:rFonts w:ascii="Palatino Linotype" w:eastAsia="Times New Roman" w:hAnsi="Palatino Linotype" w:cs="Arial"/>
          <w:b/>
          <w:sz w:val="24"/>
          <w:szCs w:val="24"/>
          <w:lang w:val="es-ES" w:eastAsia="es-ES"/>
        </w:rPr>
        <w:t>Sujeto Obligado</w:t>
      </w:r>
      <w:r w:rsidR="009E7EC8" w:rsidRPr="007813EC">
        <w:rPr>
          <w:rFonts w:ascii="Palatino Linotype" w:eastAsia="Times New Roman" w:hAnsi="Palatino Linotype" w:cs="Arial"/>
          <w:sz w:val="24"/>
          <w:szCs w:val="24"/>
          <w:lang w:val="es-ES" w:eastAsia="es-ES"/>
        </w:rPr>
        <w:t xml:space="preserve"> </w:t>
      </w:r>
      <w:r w:rsidR="00245FAF" w:rsidRPr="007813EC">
        <w:rPr>
          <w:rFonts w:ascii="Palatino Linotype" w:eastAsia="Times New Roman" w:hAnsi="Palatino Linotype" w:cs="Arial"/>
          <w:sz w:val="24"/>
          <w:szCs w:val="24"/>
          <w:lang w:val="es-ES" w:eastAsia="es-ES"/>
        </w:rPr>
        <w:t>emitió respuesta por medio d</w:t>
      </w:r>
      <w:r w:rsidR="00245FAF" w:rsidRPr="007813EC">
        <w:rPr>
          <w:rFonts w:ascii="Palatino Linotype" w:eastAsia="Times New Roman" w:hAnsi="Palatino Linotype" w:cs="Times New Roman"/>
          <w:sz w:val="24"/>
          <w:szCs w:val="24"/>
          <w:lang w:eastAsia="es-ES"/>
        </w:rPr>
        <w:t xml:space="preserve">el archivo electrónico </w:t>
      </w:r>
      <w:r w:rsidR="00245FAF" w:rsidRPr="007813EC">
        <w:rPr>
          <w:rFonts w:ascii="Palatino Linotype" w:eastAsia="Times New Roman" w:hAnsi="Palatino Linotype" w:cs="Times New Roman"/>
          <w:i/>
          <w:sz w:val="24"/>
          <w:szCs w:val="24"/>
          <w:lang w:eastAsia="es-ES"/>
        </w:rPr>
        <w:t>“</w:t>
      </w:r>
      <w:r w:rsidR="00974D14" w:rsidRPr="00974D14">
        <w:rPr>
          <w:rFonts w:ascii="Palatino Linotype" w:eastAsia="Times New Roman" w:hAnsi="Palatino Linotype" w:cs="Times New Roman"/>
          <w:b/>
          <w:i/>
          <w:sz w:val="24"/>
          <w:szCs w:val="24"/>
          <w:lang w:eastAsia="es-ES"/>
        </w:rPr>
        <w:t>Respuesta solicitud 45.pdf</w:t>
      </w:r>
      <w:r w:rsidR="00245FAF" w:rsidRPr="007813EC">
        <w:rPr>
          <w:rFonts w:ascii="Palatino Linotype" w:eastAsia="Times New Roman" w:hAnsi="Palatino Linotype" w:cs="Times New Roman"/>
          <w:i/>
          <w:sz w:val="24"/>
          <w:szCs w:val="24"/>
          <w:lang w:eastAsia="es-ES"/>
        </w:rPr>
        <w:t>”</w:t>
      </w:r>
      <w:r w:rsidR="00974D14">
        <w:rPr>
          <w:rFonts w:ascii="Palatino Linotype" w:eastAsia="Times New Roman" w:hAnsi="Palatino Linotype" w:cs="Times New Roman"/>
          <w:sz w:val="24"/>
          <w:szCs w:val="24"/>
          <w:lang w:eastAsia="es-ES"/>
        </w:rPr>
        <w:t xml:space="preserve">. Archivo integrado por los oficios </w:t>
      </w:r>
      <w:r w:rsidR="00245FAF" w:rsidRPr="007813EC">
        <w:rPr>
          <w:rFonts w:ascii="Palatino Linotype" w:eastAsia="Times New Roman" w:hAnsi="Palatino Linotype" w:cs="Times New Roman"/>
          <w:sz w:val="24"/>
          <w:szCs w:val="24"/>
          <w:lang w:eastAsia="es-ES"/>
        </w:rPr>
        <w:t>siguientes:</w:t>
      </w:r>
    </w:p>
    <w:p w14:paraId="09DE9DFC" w14:textId="77777777" w:rsidR="00245FAF" w:rsidRPr="007813EC" w:rsidRDefault="00245FAF" w:rsidP="005136D5">
      <w:pPr>
        <w:autoSpaceDE w:val="0"/>
        <w:autoSpaceDN w:val="0"/>
        <w:adjustRightInd w:val="0"/>
        <w:spacing w:after="0" w:line="360" w:lineRule="auto"/>
        <w:jc w:val="both"/>
        <w:rPr>
          <w:rFonts w:ascii="Palatino Linotype" w:eastAsia="Times New Roman" w:hAnsi="Palatino Linotype" w:cs="Times New Roman"/>
          <w:sz w:val="24"/>
          <w:szCs w:val="24"/>
          <w:lang w:eastAsia="es-ES"/>
        </w:rPr>
      </w:pPr>
    </w:p>
    <w:p w14:paraId="3C5F7981" w14:textId="2517276B" w:rsidR="00245FAF" w:rsidRPr="007813EC" w:rsidRDefault="00245FAF" w:rsidP="005136D5">
      <w:pPr>
        <w:pStyle w:val="Prrafodelista"/>
        <w:numPr>
          <w:ilvl w:val="0"/>
          <w:numId w:val="36"/>
        </w:numPr>
        <w:autoSpaceDE w:val="0"/>
        <w:autoSpaceDN w:val="0"/>
        <w:adjustRightInd w:val="0"/>
        <w:spacing w:line="360" w:lineRule="auto"/>
        <w:jc w:val="both"/>
        <w:rPr>
          <w:rFonts w:ascii="Palatino Linotype" w:hAnsi="Palatino Linotype"/>
        </w:rPr>
      </w:pPr>
      <w:r w:rsidRPr="007813EC">
        <w:rPr>
          <w:rFonts w:ascii="Palatino Linotype" w:hAnsi="Palatino Linotype"/>
        </w:rPr>
        <w:t xml:space="preserve">Oficio </w:t>
      </w:r>
      <w:r w:rsidR="00974D14">
        <w:rPr>
          <w:rFonts w:ascii="Palatino Linotype" w:hAnsi="Palatino Linotype"/>
        </w:rPr>
        <w:t xml:space="preserve">TAI/105/IV/2024 </w:t>
      </w:r>
      <w:r w:rsidRPr="007813EC">
        <w:rPr>
          <w:rFonts w:ascii="Palatino Linotype" w:hAnsi="Palatino Linotype"/>
        </w:rPr>
        <w:t xml:space="preserve">a través del cual la Titular de la Unidad de Transparencia del Sujeto Obligado, </w:t>
      </w:r>
      <w:r w:rsidR="00974D14">
        <w:rPr>
          <w:rFonts w:ascii="Palatino Linotype" w:hAnsi="Palatino Linotype"/>
        </w:rPr>
        <w:t>informó haber turnado el requerimiento al servidor público habilitado de la Coordinación de Desarrollo Económico, quien emitió su respuesta a través del oficio DG/DE/039/2024</w:t>
      </w:r>
      <w:r w:rsidRPr="007813EC">
        <w:rPr>
          <w:rFonts w:ascii="Palatino Linotype" w:hAnsi="Palatino Linotype"/>
        </w:rPr>
        <w:t>.</w:t>
      </w:r>
    </w:p>
    <w:p w14:paraId="3C0110EC" w14:textId="26028749" w:rsidR="00974D14" w:rsidRDefault="00245FAF" w:rsidP="005136D5">
      <w:pPr>
        <w:pStyle w:val="Prrafodelista"/>
        <w:numPr>
          <w:ilvl w:val="0"/>
          <w:numId w:val="36"/>
        </w:numPr>
        <w:autoSpaceDE w:val="0"/>
        <w:autoSpaceDN w:val="0"/>
        <w:adjustRightInd w:val="0"/>
        <w:spacing w:line="360" w:lineRule="auto"/>
        <w:jc w:val="both"/>
        <w:rPr>
          <w:rFonts w:ascii="Palatino Linotype" w:hAnsi="Palatino Linotype"/>
        </w:rPr>
      </w:pPr>
      <w:r w:rsidRPr="007813EC">
        <w:rPr>
          <w:rFonts w:ascii="Palatino Linotype" w:hAnsi="Palatino Linotype"/>
        </w:rPr>
        <w:t xml:space="preserve">Oficio </w:t>
      </w:r>
      <w:r w:rsidR="00974D14" w:rsidRPr="00974D14">
        <w:rPr>
          <w:rFonts w:ascii="Palatino Linotype" w:hAnsi="Palatino Linotype"/>
        </w:rPr>
        <w:t>DG/DE/039/2024</w:t>
      </w:r>
      <w:r w:rsidR="00974D14">
        <w:rPr>
          <w:rFonts w:ascii="Palatino Linotype" w:hAnsi="Palatino Linotype"/>
        </w:rPr>
        <w:t xml:space="preserve"> remitido por </w:t>
      </w:r>
      <w:r w:rsidR="00974D14" w:rsidRPr="00974D14">
        <w:rPr>
          <w:rFonts w:ascii="Palatino Linotype" w:hAnsi="Palatino Linotype"/>
        </w:rPr>
        <w:t>la Coordinación de Desarrollo Económico</w:t>
      </w:r>
      <w:r w:rsidR="00974D14">
        <w:rPr>
          <w:rFonts w:ascii="Palatino Linotype" w:hAnsi="Palatino Linotype"/>
        </w:rPr>
        <w:t xml:space="preserve"> a la</w:t>
      </w:r>
      <w:r w:rsidR="00974D14" w:rsidRPr="00974D14">
        <w:rPr>
          <w:rFonts w:ascii="Palatino Linotype" w:hAnsi="Palatino Linotype"/>
        </w:rPr>
        <w:t xml:space="preserve"> Titular de la Unidad de Transparencia</w:t>
      </w:r>
      <w:r w:rsidR="00974D14">
        <w:rPr>
          <w:rFonts w:ascii="Palatino Linotype" w:hAnsi="Palatino Linotype"/>
        </w:rPr>
        <w:t>, ambos</w:t>
      </w:r>
      <w:r w:rsidR="00974D14" w:rsidRPr="00974D14">
        <w:rPr>
          <w:rFonts w:ascii="Palatino Linotype" w:hAnsi="Palatino Linotype"/>
        </w:rPr>
        <w:t xml:space="preserve"> del Sujeto Obligado</w:t>
      </w:r>
      <w:r w:rsidR="00974D14">
        <w:rPr>
          <w:rFonts w:ascii="Palatino Linotype" w:hAnsi="Palatino Linotype"/>
        </w:rPr>
        <w:t xml:space="preserve">, </w:t>
      </w:r>
      <w:r w:rsidR="007773C4">
        <w:rPr>
          <w:rFonts w:ascii="Palatino Linotype" w:hAnsi="Palatino Linotype"/>
        </w:rPr>
        <w:t>mediante el cual informó sustancialmente lo siguiente:</w:t>
      </w:r>
    </w:p>
    <w:p w14:paraId="4A0CC254" w14:textId="6687DCF1" w:rsidR="007773C4" w:rsidRDefault="007773C4" w:rsidP="005136D5">
      <w:pPr>
        <w:pStyle w:val="Prrafodelista"/>
        <w:autoSpaceDE w:val="0"/>
        <w:autoSpaceDN w:val="0"/>
        <w:adjustRightInd w:val="0"/>
        <w:spacing w:line="360" w:lineRule="auto"/>
        <w:ind w:left="720"/>
        <w:jc w:val="both"/>
        <w:rPr>
          <w:rFonts w:ascii="Palatino Linotype" w:hAnsi="Palatino Linotype"/>
        </w:rPr>
      </w:pPr>
    </w:p>
    <w:p w14:paraId="53773547" w14:textId="40DFE436" w:rsidR="007773C4" w:rsidRDefault="007773C4" w:rsidP="005136D5">
      <w:pPr>
        <w:pStyle w:val="Prrafodelista"/>
        <w:autoSpaceDE w:val="0"/>
        <w:autoSpaceDN w:val="0"/>
        <w:adjustRightInd w:val="0"/>
        <w:ind w:left="720"/>
        <w:jc w:val="both"/>
        <w:rPr>
          <w:rFonts w:ascii="Palatino Linotype" w:hAnsi="Palatino Linotype"/>
          <w:i/>
          <w:iCs/>
          <w:sz w:val="22"/>
          <w:szCs w:val="22"/>
        </w:rPr>
      </w:pPr>
      <w:r>
        <w:rPr>
          <w:rFonts w:ascii="Palatino Linotype" w:hAnsi="Palatino Linotype"/>
          <w:i/>
          <w:iCs/>
          <w:sz w:val="22"/>
          <w:szCs w:val="22"/>
        </w:rPr>
        <w:t>“</w:t>
      </w:r>
      <w:r w:rsidRPr="007773C4">
        <w:rPr>
          <w:rFonts w:ascii="Palatino Linotype" w:hAnsi="Palatino Linotype"/>
          <w:i/>
          <w:iCs/>
          <w:sz w:val="22"/>
          <w:szCs w:val="22"/>
        </w:rPr>
        <w:t>En razón de lo solicitado y con fundamento de los artículos 6, 40 y 45 fracciones</w:t>
      </w:r>
      <w:r>
        <w:rPr>
          <w:rFonts w:ascii="Palatino Linotype" w:hAnsi="Palatino Linotype"/>
          <w:i/>
          <w:iCs/>
          <w:sz w:val="22"/>
          <w:szCs w:val="22"/>
        </w:rPr>
        <w:t xml:space="preserve"> I, II, IV, V </w:t>
      </w:r>
      <w:r w:rsidRPr="007773C4">
        <w:rPr>
          <w:rFonts w:ascii="Palatino Linotype" w:hAnsi="Palatino Linotype"/>
          <w:i/>
          <w:iCs/>
          <w:sz w:val="22"/>
          <w:szCs w:val="22"/>
        </w:rPr>
        <w:t>y VIII de la Ley de Protección de Datos Personales en Posesión de Sujetos Obligados del</w:t>
      </w:r>
      <w:r>
        <w:rPr>
          <w:rFonts w:ascii="Palatino Linotype" w:hAnsi="Palatino Linotype"/>
          <w:i/>
          <w:iCs/>
          <w:sz w:val="22"/>
          <w:szCs w:val="22"/>
        </w:rPr>
        <w:t xml:space="preserve"> </w:t>
      </w:r>
      <w:r w:rsidRPr="007773C4">
        <w:rPr>
          <w:rFonts w:ascii="Palatino Linotype" w:hAnsi="Palatino Linotype"/>
          <w:i/>
          <w:iCs/>
          <w:sz w:val="22"/>
          <w:szCs w:val="22"/>
        </w:rPr>
        <w:t>Estado de México y Municipios, informo a usted que tratándose de datos personales y</w:t>
      </w:r>
      <w:r>
        <w:rPr>
          <w:rFonts w:ascii="Palatino Linotype" w:hAnsi="Palatino Linotype"/>
          <w:i/>
          <w:iCs/>
          <w:sz w:val="22"/>
          <w:szCs w:val="22"/>
        </w:rPr>
        <w:t xml:space="preserve"> </w:t>
      </w:r>
      <w:r w:rsidRPr="007773C4">
        <w:rPr>
          <w:rFonts w:ascii="Palatino Linotype" w:hAnsi="Palatino Linotype"/>
          <w:i/>
          <w:iCs/>
          <w:sz w:val="22"/>
          <w:szCs w:val="22"/>
        </w:rPr>
        <w:t xml:space="preserve">dadas las circunstancias los altos índices de extorción que se han dado, </w:t>
      </w:r>
      <w:r w:rsidRPr="007773C4">
        <w:rPr>
          <w:rFonts w:ascii="Palatino Linotype" w:hAnsi="Palatino Linotype"/>
          <w:i/>
          <w:iCs/>
          <w:sz w:val="22"/>
          <w:szCs w:val="22"/>
          <w:u w:val="single"/>
        </w:rPr>
        <w:t>no se puede emitir la información solicitada.</w:t>
      </w:r>
      <w:r w:rsidRPr="007773C4">
        <w:rPr>
          <w:rFonts w:ascii="Palatino Linotype" w:hAnsi="Palatino Linotype"/>
          <w:i/>
          <w:iCs/>
          <w:sz w:val="22"/>
          <w:szCs w:val="22"/>
        </w:rPr>
        <w:t xml:space="preserve"> </w:t>
      </w:r>
    </w:p>
    <w:p w14:paraId="565E22A7" w14:textId="77777777" w:rsidR="007773C4" w:rsidRPr="007773C4" w:rsidRDefault="007773C4" w:rsidP="005136D5">
      <w:pPr>
        <w:pStyle w:val="Prrafodelista"/>
        <w:autoSpaceDE w:val="0"/>
        <w:autoSpaceDN w:val="0"/>
        <w:adjustRightInd w:val="0"/>
        <w:ind w:left="720"/>
        <w:jc w:val="both"/>
        <w:rPr>
          <w:rFonts w:ascii="Palatino Linotype" w:hAnsi="Palatino Linotype"/>
          <w:i/>
          <w:iCs/>
          <w:sz w:val="22"/>
          <w:szCs w:val="22"/>
        </w:rPr>
      </w:pPr>
    </w:p>
    <w:p w14:paraId="0533EDE2" w14:textId="3E6CFEFD" w:rsidR="007773C4" w:rsidRDefault="007773C4" w:rsidP="005136D5">
      <w:pPr>
        <w:pStyle w:val="Prrafodelista"/>
        <w:autoSpaceDE w:val="0"/>
        <w:autoSpaceDN w:val="0"/>
        <w:adjustRightInd w:val="0"/>
        <w:ind w:left="720"/>
        <w:jc w:val="both"/>
        <w:rPr>
          <w:rFonts w:ascii="Palatino Linotype" w:hAnsi="Palatino Linotype"/>
          <w:sz w:val="22"/>
          <w:szCs w:val="22"/>
        </w:rPr>
      </w:pPr>
      <w:r w:rsidRPr="007773C4">
        <w:rPr>
          <w:rFonts w:ascii="Palatino Linotype" w:hAnsi="Palatino Linotype"/>
          <w:i/>
          <w:iCs/>
          <w:sz w:val="22"/>
          <w:szCs w:val="22"/>
        </w:rPr>
        <w:t xml:space="preserve">Sin embargo se hace mención de manera general que esta Coordinación </w:t>
      </w:r>
      <w:r w:rsidRPr="007773C4">
        <w:rPr>
          <w:rFonts w:ascii="Palatino Linotype" w:hAnsi="Palatino Linotype"/>
          <w:i/>
          <w:iCs/>
          <w:sz w:val="22"/>
          <w:szCs w:val="22"/>
          <w:u w:val="single"/>
        </w:rPr>
        <w:t>a la fecha actual solo cuenta con tres licencias de funcionamiento expedidas para venta de bebidas alcohólicas, una de menor y dos de mayor a 12º en botella cerrada.</w:t>
      </w:r>
      <w:r>
        <w:rPr>
          <w:rFonts w:ascii="Palatino Linotype" w:hAnsi="Palatino Linotype"/>
          <w:i/>
          <w:iCs/>
          <w:sz w:val="22"/>
          <w:szCs w:val="22"/>
        </w:rPr>
        <w:t>”</w:t>
      </w:r>
    </w:p>
    <w:p w14:paraId="767EF3DE" w14:textId="7D59B402" w:rsidR="007773C4" w:rsidRPr="007773C4" w:rsidRDefault="007773C4" w:rsidP="005136D5">
      <w:pPr>
        <w:pStyle w:val="Prrafodelista"/>
        <w:autoSpaceDE w:val="0"/>
        <w:autoSpaceDN w:val="0"/>
        <w:adjustRightInd w:val="0"/>
        <w:ind w:left="720"/>
        <w:jc w:val="right"/>
        <w:rPr>
          <w:rFonts w:ascii="Palatino Linotype" w:hAnsi="Palatino Linotype"/>
          <w:sz w:val="22"/>
          <w:szCs w:val="22"/>
        </w:rPr>
      </w:pPr>
      <w:r>
        <w:rPr>
          <w:rFonts w:ascii="Palatino Linotype" w:hAnsi="Palatino Linotype"/>
          <w:sz w:val="22"/>
          <w:szCs w:val="22"/>
        </w:rPr>
        <w:t>(Énfasis añadido)</w:t>
      </w:r>
    </w:p>
    <w:p w14:paraId="35C5231B" w14:textId="77777777" w:rsidR="00245FAF" w:rsidRPr="007813EC" w:rsidRDefault="00245FAF" w:rsidP="005136D5">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0E04430" w14:textId="3B2E3AA9" w:rsidR="009E7EC8" w:rsidRDefault="00570DBC" w:rsidP="005136D5">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7813EC">
        <w:rPr>
          <w:rFonts w:ascii="Palatino Linotype" w:eastAsia="Times New Roman" w:hAnsi="Palatino Linotype" w:cs="Arial"/>
          <w:sz w:val="24"/>
          <w:szCs w:val="24"/>
          <w:lang w:val="es-ES" w:eastAsia="es-ES"/>
        </w:rPr>
        <w:t xml:space="preserve">Inconforme con la respuesta, la parte </w:t>
      </w:r>
      <w:r w:rsidRPr="007813EC">
        <w:rPr>
          <w:rFonts w:ascii="Palatino Linotype" w:eastAsia="Times New Roman" w:hAnsi="Palatino Linotype" w:cs="Arial"/>
          <w:b/>
          <w:bCs/>
          <w:sz w:val="24"/>
          <w:szCs w:val="24"/>
          <w:lang w:val="es-ES" w:eastAsia="es-ES"/>
        </w:rPr>
        <w:t>Recurrente</w:t>
      </w:r>
      <w:r w:rsidRPr="007813EC">
        <w:rPr>
          <w:rFonts w:ascii="Palatino Linotype" w:eastAsia="Times New Roman" w:hAnsi="Palatino Linotype" w:cs="Arial"/>
          <w:sz w:val="24"/>
          <w:szCs w:val="24"/>
          <w:lang w:val="es-ES" w:eastAsia="es-ES"/>
        </w:rPr>
        <w:t xml:space="preserve"> interpuso el recurso de revisión, adoleciéndose objetivamente </w:t>
      </w:r>
      <w:r w:rsidRPr="007813EC">
        <w:rPr>
          <w:rFonts w:ascii="Palatino Linotype" w:eastAsia="Times New Roman" w:hAnsi="Palatino Linotype" w:cs="Arial"/>
          <w:i/>
          <w:sz w:val="24"/>
          <w:szCs w:val="24"/>
          <w:lang w:val="es-ES" w:eastAsia="es-ES"/>
        </w:rPr>
        <w:t>“</w:t>
      </w:r>
      <w:r w:rsidR="008E49FF">
        <w:rPr>
          <w:rFonts w:ascii="Palatino Linotype" w:eastAsia="Times New Roman" w:hAnsi="Palatino Linotype" w:cs="Arial"/>
          <w:i/>
          <w:sz w:val="24"/>
          <w:szCs w:val="24"/>
          <w:lang w:val="es-ES" w:eastAsia="es-ES"/>
        </w:rPr>
        <w:t>…</w:t>
      </w:r>
      <w:r w:rsidR="008E49FF" w:rsidRPr="008E49FF">
        <w:rPr>
          <w:rFonts w:ascii="Palatino Linotype" w:eastAsia="Times New Roman" w:hAnsi="Palatino Linotype" w:cs="Arial"/>
          <w:i/>
          <w:sz w:val="24"/>
          <w:szCs w:val="24"/>
          <w:lang w:val="es-ES" w:eastAsia="es-ES"/>
        </w:rPr>
        <w:t xml:space="preserve">informó que la información solicitada no maneja base de datos de padrones actualizados de Licencias por la Operación de establecimientos en las que se </w:t>
      </w:r>
      <w:r w:rsidR="008E49FF" w:rsidRPr="008E49FF">
        <w:rPr>
          <w:rFonts w:ascii="Palatino Linotype" w:eastAsia="Times New Roman" w:hAnsi="Palatino Linotype" w:cs="Arial"/>
          <w:i/>
          <w:sz w:val="24"/>
          <w:szCs w:val="24"/>
          <w:lang w:val="es-ES" w:eastAsia="es-ES"/>
        </w:rPr>
        <w:lastRenderedPageBreak/>
        <w:t>venden o consumen bebidas alcohólicas sin fundamento o motivación de alguna Ley, norma o reglamento que lo mencione o establezca el cual no se cumple con lo establecido en esta ley</w:t>
      </w:r>
      <w:r w:rsidR="008E49FF">
        <w:rPr>
          <w:rFonts w:ascii="Palatino Linotype" w:eastAsia="Times New Roman" w:hAnsi="Palatino Linotype" w:cs="Arial"/>
          <w:i/>
          <w:sz w:val="24"/>
          <w:szCs w:val="24"/>
          <w:lang w:val="es-ES" w:eastAsia="es-ES"/>
        </w:rPr>
        <w:t>…</w:t>
      </w:r>
      <w:r w:rsidRPr="007813EC">
        <w:rPr>
          <w:rFonts w:ascii="Palatino Linotype" w:eastAsia="Times New Roman" w:hAnsi="Palatino Linotype" w:cs="Arial"/>
          <w:i/>
          <w:sz w:val="24"/>
          <w:szCs w:val="24"/>
          <w:lang w:val="es-ES" w:eastAsia="es-ES"/>
        </w:rPr>
        <w:t>”</w:t>
      </w:r>
      <w:r w:rsidRPr="007813EC">
        <w:rPr>
          <w:rFonts w:ascii="Palatino Linotype" w:eastAsia="Times New Roman" w:hAnsi="Palatino Linotype" w:cs="Arial"/>
          <w:sz w:val="24"/>
          <w:szCs w:val="24"/>
          <w:lang w:val="es-ES" w:eastAsia="es-ES"/>
        </w:rPr>
        <w:t xml:space="preserve">, consideraciones, las cuales resultan fundadas para la interposición del recurso de revisión al encuadrar en la fracción </w:t>
      </w:r>
      <w:r w:rsidR="008E49FF">
        <w:rPr>
          <w:rFonts w:ascii="Palatino Linotype" w:eastAsia="Times New Roman" w:hAnsi="Palatino Linotype" w:cs="Arial"/>
          <w:sz w:val="24"/>
          <w:szCs w:val="24"/>
          <w:lang w:val="es-ES" w:eastAsia="es-ES"/>
        </w:rPr>
        <w:t>XIII</w:t>
      </w:r>
      <w:r w:rsidRPr="007813EC">
        <w:rPr>
          <w:rFonts w:ascii="Palatino Linotype" w:eastAsia="Times New Roman" w:hAnsi="Palatino Linotype" w:cs="Arial"/>
          <w:sz w:val="24"/>
          <w:szCs w:val="24"/>
          <w:lang w:val="es-ES" w:eastAsia="es-ES"/>
        </w:rPr>
        <w:t xml:space="preserve"> del artículo 179 de la Ley de Transparencia Local</w:t>
      </w:r>
      <w:r w:rsidRPr="007813EC">
        <w:rPr>
          <w:rStyle w:val="Refdenotaalpie"/>
          <w:rFonts w:ascii="Palatino Linotype" w:eastAsia="Times New Roman" w:hAnsi="Palatino Linotype" w:cs="Arial"/>
          <w:sz w:val="24"/>
          <w:szCs w:val="24"/>
          <w:lang w:val="es-ES" w:eastAsia="es-ES"/>
        </w:rPr>
        <w:footnoteReference w:id="1"/>
      </w:r>
      <w:r w:rsidRPr="007813EC">
        <w:rPr>
          <w:rFonts w:ascii="Palatino Linotype" w:eastAsia="Times New Roman" w:hAnsi="Palatino Linotype" w:cs="Arial"/>
          <w:sz w:val="24"/>
          <w:szCs w:val="24"/>
          <w:lang w:val="es-ES" w:eastAsia="es-ES"/>
        </w:rPr>
        <w:t>.</w:t>
      </w:r>
    </w:p>
    <w:p w14:paraId="778D3BEF" w14:textId="77777777" w:rsidR="00936A20" w:rsidRPr="007813EC" w:rsidRDefault="00936A20" w:rsidP="005136D5">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7C5E1DB" w14:textId="7233A9F3" w:rsidR="009D4B5B" w:rsidRDefault="009D4B5B" w:rsidP="005136D5">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7813EC">
        <w:rPr>
          <w:rFonts w:ascii="Palatino Linotype" w:eastAsia="Times New Roman" w:hAnsi="Palatino Linotype" w:cs="Arial"/>
          <w:sz w:val="24"/>
          <w:szCs w:val="24"/>
          <w:lang w:val="es-ES" w:eastAsia="es-ES"/>
        </w:rPr>
        <w:t xml:space="preserve">Acotado lo anterior, podemos establecer que la </w:t>
      </w:r>
      <w:r w:rsidRPr="007813EC">
        <w:rPr>
          <w:rFonts w:ascii="Palatino Linotype" w:eastAsia="Times New Roman" w:hAnsi="Palatino Linotype" w:cs="Arial"/>
          <w:b/>
          <w:i/>
          <w:sz w:val="24"/>
          <w:szCs w:val="24"/>
          <w:lang w:val="es-ES" w:eastAsia="es-ES"/>
        </w:rPr>
        <w:t>Litis</w:t>
      </w:r>
      <w:r w:rsidRPr="007813EC">
        <w:rPr>
          <w:rFonts w:ascii="Palatino Linotype" w:eastAsia="Times New Roman" w:hAnsi="Palatino Linotype" w:cs="Arial"/>
          <w:sz w:val="24"/>
          <w:szCs w:val="24"/>
          <w:lang w:val="es-ES" w:eastAsia="es-ES"/>
        </w:rPr>
        <w:t xml:space="preserve"> en el presente asunto, se delimita en determinar si la respuesta del </w:t>
      </w:r>
      <w:r w:rsidRPr="007813EC">
        <w:rPr>
          <w:rFonts w:ascii="Palatino Linotype" w:eastAsia="Times New Roman" w:hAnsi="Palatino Linotype" w:cs="Arial"/>
          <w:b/>
          <w:sz w:val="24"/>
          <w:szCs w:val="24"/>
          <w:lang w:val="es-ES" w:eastAsia="es-ES"/>
        </w:rPr>
        <w:t>Sujeto Obligado</w:t>
      </w:r>
      <w:r w:rsidRPr="007813EC">
        <w:rPr>
          <w:rFonts w:ascii="Palatino Linotype" w:eastAsia="Times New Roman" w:hAnsi="Palatino Linotype" w:cs="Arial"/>
          <w:sz w:val="24"/>
          <w:szCs w:val="24"/>
          <w:lang w:val="es-ES" w:eastAsia="es-ES"/>
        </w:rPr>
        <w:t xml:space="preserve"> se encuentra apegada a derecho, es decir, si la solicitud de información carece de los elementos necesarios para su debido trámite y atención.</w:t>
      </w:r>
    </w:p>
    <w:p w14:paraId="430BD03B" w14:textId="37403223" w:rsidR="00936A20" w:rsidRDefault="00936A20" w:rsidP="005136D5">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0637A83" w14:textId="77777777" w:rsidR="00936A20" w:rsidRPr="00936A20" w:rsidRDefault="00936A20" w:rsidP="005136D5">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936A20">
        <w:rPr>
          <w:rFonts w:ascii="Palatino Linotype" w:eastAsia="Times New Roman" w:hAnsi="Palatino Linotype" w:cs="Arial"/>
          <w:sz w:val="24"/>
          <w:szCs w:val="24"/>
          <w:lang w:val="es-ES" w:eastAsia="es-ES"/>
        </w:rPr>
        <w:t>Una vez precisado lo anterior, conviene señalar que de conformidad con el artículo 31 de la Ley Orgánica Municipal del Estado de México, los ayuntamientos cuentan con atribuciones para otorgar licencia de funcionamiento, previa presentación del Dictamen de Giro, a las unidades económicas que tengan como actividad complementaria o principal la venta de bebidas alcohólicas; además, dicha licencia tendrá una vigencia de cinco años y deberá ser refrendada de manera anual, con independencia de que puedan ser sujetos de visitas de verificación para constatar el cumplimiento de las disposiciones jurídicas aplicables.</w:t>
      </w:r>
    </w:p>
    <w:p w14:paraId="435FB813" w14:textId="77777777" w:rsidR="00936A20" w:rsidRPr="00936A20" w:rsidRDefault="00936A20" w:rsidP="005136D5">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A258B7E" w14:textId="77777777" w:rsidR="00936A20" w:rsidRPr="00936A20" w:rsidRDefault="00936A20" w:rsidP="005136D5">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936A20">
        <w:rPr>
          <w:rFonts w:ascii="Palatino Linotype" w:eastAsia="Times New Roman" w:hAnsi="Palatino Linotype" w:cs="Arial"/>
          <w:sz w:val="24"/>
          <w:szCs w:val="24"/>
          <w:lang w:val="es-ES" w:eastAsia="es-ES"/>
        </w:rPr>
        <w:lastRenderedPageBreak/>
        <w:t>Aunado a lo anterior, el Código Financiero del Estado de México establece en su artículo 159 “</w:t>
      </w:r>
      <w:r w:rsidRPr="005136D5">
        <w:rPr>
          <w:rFonts w:ascii="Palatino Linotype" w:eastAsia="Times New Roman" w:hAnsi="Palatino Linotype" w:cs="Arial"/>
          <w:i/>
          <w:iCs/>
          <w:sz w:val="24"/>
          <w:szCs w:val="24"/>
          <w:lang w:val="es-ES" w:eastAsia="es-ES"/>
        </w:rPr>
        <w:t>Los derechos por la expedición o refrendo anual de licencias para la venta de bebidas alcohólicas al público</w:t>
      </w:r>
      <w:r w:rsidRPr="00936A20">
        <w:rPr>
          <w:rFonts w:ascii="Palatino Linotype" w:eastAsia="Times New Roman" w:hAnsi="Palatino Linotype" w:cs="Arial"/>
          <w:sz w:val="24"/>
          <w:szCs w:val="24"/>
          <w:lang w:val="es-ES" w:eastAsia="es-ES"/>
        </w:rPr>
        <w:t>”, que por la expedición o refrendo de licencias para vender bebidas alcohólicas al público en botella cerrada, o al copeo en general, en establecimientos comerciales, de servicios o de diversión y espectáculos públicos, se pagarán derechos conforme la tarifa que establece.</w:t>
      </w:r>
    </w:p>
    <w:p w14:paraId="1D652B68" w14:textId="77777777" w:rsidR="00936A20" w:rsidRPr="00936A20" w:rsidRDefault="00936A20" w:rsidP="005136D5">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D3EE4F6" w14:textId="77777777" w:rsidR="00936A20" w:rsidRPr="00936A20" w:rsidRDefault="00936A20" w:rsidP="005136D5">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936A20">
        <w:rPr>
          <w:rFonts w:ascii="Palatino Linotype" w:eastAsia="Times New Roman" w:hAnsi="Palatino Linotype" w:cs="Arial"/>
          <w:sz w:val="24"/>
          <w:szCs w:val="24"/>
          <w:lang w:val="es-ES" w:eastAsia="es-ES"/>
        </w:rPr>
        <w:t xml:space="preserve">Por lo señalado se observa que la intención del Particular es obtener la información de todas estas licencias vigentes, no obstante, en respuesta el Sujeto Obligado no emitió un pronunciamiento al respecto, ya que únicamente hizo entrega del oficio en el que el Titular de la Unidad de Transparencia solicita la información al Encargado del Despacho de la Dirección de Desarrollo Económico. </w:t>
      </w:r>
    </w:p>
    <w:p w14:paraId="00E28358" w14:textId="77777777" w:rsidR="00936A20" w:rsidRPr="00936A20" w:rsidRDefault="00936A20" w:rsidP="005136D5">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CD56F82" w14:textId="77777777" w:rsidR="00936A20" w:rsidRPr="00936A20" w:rsidRDefault="00936A20" w:rsidP="005136D5">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936A20">
        <w:rPr>
          <w:rFonts w:ascii="Palatino Linotype" w:eastAsia="Times New Roman" w:hAnsi="Palatino Linotype" w:cs="Arial"/>
          <w:sz w:val="24"/>
          <w:szCs w:val="24"/>
          <w:lang w:val="es-ES" w:eastAsia="es-ES"/>
        </w:rPr>
        <w:t xml:space="preserve">Ahora bien, la Ley de Competitividad y Ordenamiento Comercial del Estado de México, define a la licencia de funcionamiento en términos del artículo 2 fracciones I y XV respectivamente, como el acto administrativo que emite la autoridad, por el cual autoriza a una persona física o jurídica colectiva a desarrollar actividades económicas; mientras que una actividad económica, es el conjunto de acciones y recursos que emplean las unidades económicas para producir bienes o proporcionar servicios. </w:t>
      </w:r>
    </w:p>
    <w:p w14:paraId="73238BF7" w14:textId="77777777" w:rsidR="00936A20" w:rsidRPr="00936A20" w:rsidRDefault="00936A20" w:rsidP="005136D5">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5BD81D9" w14:textId="77777777" w:rsidR="00936A20" w:rsidRPr="00936A20" w:rsidRDefault="00936A20" w:rsidP="005136D5">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936A20">
        <w:rPr>
          <w:rFonts w:ascii="Palatino Linotype" w:eastAsia="Times New Roman" w:hAnsi="Palatino Linotype" w:cs="Arial"/>
          <w:sz w:val="24"/>
          <w:szCs w:val="24"/>
          <w:lang w:val="es-ES" w:eastAsia="es-ES"/>
        </w:rPr>
        <w:t xml:space="preserve">Aunado a ello, el artículo 7 del mismo ordenamiento, señala que a los municipios les corresponde crear, operar, digitalizar y mantener actualizado semanalmente el registro municipal a través de la Dirección de Desarrollo Económico, tal y como se muestra a continuación: </w:t>
      </w:r>
    </w:p>
    <w:p w14:paraId="422B2E7C" w14:textId="77777777" w:rsidR="00936A20" w:rsidRPr="00936A20" w:rsidRDefault="00936A20" w:rsidP="005136D5">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DA31DEC" w14:textId="77777777" w:rsidR="00936A20" w:rsidRPr="005136D5" w:rsidRDefault="00936A20" w:rsidP="005136D5">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r w:rsidRPr="005136D5">
        <w:rPr>
          <w:rFonts w:ascii="Palatino Linotype" w:eastAsia="Times New Roman" w:hAnsi="Palatino Linotype" w:cs="Arial"/>
          <w:i/>
          <w:iCs/>
          <w:lang w:val="es-ES" w:eastAsia="es-ES"/>
        </w:rPr>
        <w:lastRenderedPageBreak/>
        <w:t>“</w:t>
      </w:r>
      <w:r w:rsidRPr="005136D5">
        <w:rPr>
          <w:rFonts w:ascii="Palatino Linotype" w:eastAsia="Times New Roman" w:hAnsi="Palatino Linotype" w:cs="Arial"/>
          <w:b/>
          <w:bCs/>
          <w:i/>
          <w:iCs/>
          <w:lang w:val="es-ES" w:eastAsia="es-ES"/>
        </w:rPr>
        <w:t xml:space="preserve">Artículo 7. </w:t>
      </w:r>
      <w:r w:rsidRPr="005136D5">
        <w:rPr>
          <w:rFonts w:ascii="Palatino Linotype" w:eastAsia="Times New Roman" w:hAnsi="Palatino Linotype" w:cs="Arial"/>
          <w:i/>
          <w:iCs/>
          <w:lang w:val="es-ES" w:eastAsia="es-ES"/>
        </w:rPr>
        <w:t>Corresponde a los municipios:</w:t>
      </w:r>
    </w:p>
    <w:p w14:paraId="45BF962A" w14:textId="77777777" w:rsidR="00936A20" w:rsidRPr="005136D5" w:rsidRDefault="00936A20" w:rsidP="005136D5">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r w:rsidRPr="005136D5">
        <w:rPr>
          <w:rFonts w:ascii="Palatino Linotype" w:eastAsia="Times New Roman" w:hAnsi="Palatino Linotype" w:cs="Arial"/>
          <w:i/>
          <w:iCs/>
          <w:lang w:val="es-ES" w:eastAsia="es-ES"/>
        </w:rPr>
        <w:t xml:space="preserve">I. </w:t>
      </w:r>
      <w:r w:rsidRPr="005136D5">
        <w:rPr>
          <w:rFonts w:ascii="Palatino Linotype" w:eastAsia="Times New Roman" w:hAnsi="Palatino Linotype" w:cs="Arial"/>
          <w:i/>
          <w:iCs/>
          <w:u w:val="single"/>
          <w:lang w:val="es-ES" w:eastAsia="es-ES"/>
        </w:rPr>
        <w:t>Crear el registro municipal</w:t>
      </w:r>
      <w:r w:rsidRPr="005136D5">
        <w:rPr>
          <w:rFonts w:ascii="Palatino Linotype" w:eastAsia="Times New Roman" w:hAnsi="Palatino Linotype" w:cs="Arial"/>
          <w:i/>
          <w:iCs/>
          <w:lang w:val="es-ES" w:eastAsia="es-ES"/>
        </w:rPr>
        <w:t>, donde se especifica la licencia de funcionamiento con la actividad de la unidad económica e impacto que generen, así como las demás características que se determinen.</w:t>
      </w:r>
    </w:p>
    <w:p w14:paraId="61F0A245" w14:textId="77777777" w:rsidR="00936A20" w:rsidRPr="005136D5" w:rsidRDefault="00936A20" w:rsidP="005136D5">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r w:rsidRPr="005136D5">
        <w:rPr>
          <w:rFonts w:ascii="Palatino Linotype" w:eastAsia="Times New Roman" w:hAnsi="Palatino Linotype" w:cs="Arial"/>
          <w:i/>
          <w:iCs/>
          <w:lang w:val="es-ES" w:eastAsia="es-ES"/>
        </w:rPr>
        <w:t>II…</w:t>
      </w:r>
    </w:p>
    <w:p w14:paraId="678E292D" w14:textId="77777777" w:rsidR="00936A20" w:rsidRPr="005136D5" w:rsidRDefault="00936A20" w:rsidP="005136D5">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r w:rsidRPr="005136D5">
        <w:rPr>
          <w:rFonts w:ascii="Palatino Linotype" w:eastAsia="Times New Roman" w:hAnsi="Palatino Linotype" w:cs="Arial"/>
          <w:i/>
          <w:iCs/>
          <w:lang w:val="es-ES" w:eastAsia="es-ES"/>
        </w:rPr>
        <w:t xml:space="preserve">III. </w:t>
      </w:r>
      <w:r w:rsidRPr="005136D5">
        <w:rPr>
          <w:rFonts w:ascii="Palatino Linotype" w:eastAsia="Times New Roman" w:hAnsi="Palatino Linotype" w:cs="Arial"/>
          <w:i/>
          <w:iCs/>
          <w:u w:val="single"/>
          <w:lang w:val="es-ES" w:eastAsia="es-ES"/>
        </w:rPr>
        <w:t>Operar, digitalizar y mantener, semanalmente actualizado, el registro municipal, a través de la Dirección de Desarrollo Económico o su equivalente</w:t>
      </w:r>
      <w:r w:rsidRPr="005136D5">
        <w:rPr>
          <w:rFonts w:ascii="Palatino Linotype" w:eastAsia="Times New Roman" w:hAnsi="Palatino Linotype" w:cs="Arial"/>
          <w:i/>
          <w:iCs/>
          <w:lang w:val="es-ES" w:eastAsia="es-ES"/>
        </w:rPr>
        <w:t>, que opere en su demarcación, el cual deberá publicarse en el portal de Internet del municipio.</w:t>
      </w:r>
    </w:p>
    <w:p w14:paraId="53CE83B4" w14:textId="77777777" w:rsidR="00936A20" w:rsidRPr="005136D5" w:rsidRDefault="00936A20" w:rsidP="005136D5">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r w:rsidRPr="005136D5">
        <w:rPr>
          <w:rFonts w:ascii="Palatino Linotype" w:eastAsia="Times New Roman" w:hAnsi="Palatino Linotype" w:cs="Arial"/>
          <w:i/>
          <w:iCs/>
          <w:lang w:val="es-ES" w:eastAsia="es-ES"/>
        </w:rPr>
        <w:t>IV. Enviar, dentro de los cinco días hábiles siguientes de cada mes calendario la actualización de su registro municipal, el informe correspondiente a las autoridades estatales, para actualizar el registro estatal.</w:t>
      </w:r>
    </w:p>
    <w:p w14:paraId="349F80DC" w14:textId="77777777" w:rsidR="00936A20" w:rsidRPr="005136D5" w:rsidRDefault="00936A20" w:rsidP="005136D5">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r w:rsidRPr="005136D5">
        <w:rPr>
          <w:rFonts w:ascii="Palatino Linotype" w:eastAsia="Times New Roman" w:hAnsi="Palatino Linotype" w:cs="Arial"/>
          <w:i/>
          <w:iCs/>
          <w:lang w:val="es-ES" w:eastAsia="es-ES"/>
        </w:rPr>
        <w:t>V. Resguardar y actualizar el archivo físico y digital con los documentos requeridos por las leyes para la expedición y refrendo de las licencias correspondientes</w:t>
      </w:r>
    </w:p>
    <w:p w14:paraId="661F440C" w14:textId="77777777" w:rsidR="00936A20" w:rsidRPr="005136D5" w:rsidRDefault="00936A20" w:rsidP="005136D5">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r w:rsidRPr="005136D5">
        <w:rPr>
          <w:rFonts w:ascii="Palatino Linotype" w:eastAsia="Times New Roman" w:hAnsi="Palatino Linotype" w:cs="Arial"/>
          <w:i/>
          <w:iCs/>
          <w:lang w:val="es-ES" w:eastAsia="es-ES"/>
        </w:rPr>
        <w:t>VI a X…”</w:t>
      </w:r>
    </w:p>
    <w:p w14:paraId="58826F2D" w14:textId="77777777" w:rsidR="00936A20" w:rsidRPr="005136D5" w:rsidRDefault="00936A20" w:rsidP="005136D5">
      <w:pPr>
        <w:autoSpaceDE w:val="0"/>
        <w:autoSpaceDN w:val="0"/>
        <w:adjustRightInd w:val="0"/>
        <w:spacing w:after="0" w:line="240" w:lineRule="auto"/>
        <w:ind w:left="567" w:right="567"/>
        <w:jc w:val="right"/>
        <w:rPr>
          <w:rFonts w:ascii="Palatino Linotype" w:eastAsia="Times New Roman" w:hAnsi="Palatino Linotype" w:cs="Arial"/>
          <w:lang w:val="es-ES" w:eastAsia="es-ES"/>
        </w:rPr>
      </w:pPr>
      <w:r w:rsidRPr="005136D5">
        <w:rPr>
          <w:rFonts w:ascii="Palatino Linotype" w:eastAsia="Times New Roman" w:hAnsi="Palatino Linotype" w:cs="Arial"/>
          <w:lang w:val="es-ES" w:eastAsia="es-ES"/>
        </w:rPr>
        <w:t>(Énfasis Añadido)</w:t>
      </w:r>
    </w:p>
    <w:p w14:paraId="1EF003FE" w14:textId="77777777" w:rsidR="00936A20" w:rsidRPr="00936A20" w:rsidRDefault="00936A20" w:rsidP="005136D5">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8D5D74D" w14:textId="77777777" w:rsidR="00936A20" w:rsidRPr="00936A20" w:rsidRDefault="00936A20" w:rsidP="005136D5">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936A20">
        <w:rPr>
          <w:rFonts w:ascii="Palatino Linotype" w:eastAsia="Times New Roman" w:hAnsi="Palatino Linotype" w:cs="Arial"/>
          <w:sz w:val="24"/>
          <w:szCs w:val="24"/>
          <w:lang w:val="es-ES" w:eastAsia="es-ES"/>
        </w:rPr>
        <w:t xml:space="preserve">Bajo esa misma premisa, en su artículo 10 refiere que los registros tienen como finalidad crear una base de datos confiable, actualizada e integrada de las unidades económicas que se </w:t>
      </w:r>
      <w:proofErr w:type="spellStart"/>
      <w:r w:rsidRPr="00936A20">
        <w:rPr>
          <w:rFonts w:ascii="Palatino Linotype" w:eastAsia="Times New Roman" w:hAnsi="Palatino Linotype" w:cs="Arial"/>
          <w:sz w:val="24"/>
          <w:szCs w:val="24"/>
          <w:lang w:val="es-ES" w:eastAsia="es-ES"/>
        </w:rPr>
        <w:t>aperturen</w:t>
      </w:r>
      <w:proofErr w:type="spellEnd"/>
      <w:r w:rsidRPr="00936A20">
        <w:rPr>
          <w:rFonts w:ascii="Palatino Linotype" w:eastAsia="Times New Roman" w:hAnsi="Palatino Linotype" w:cs="Arial"/>
          <w:sz w:val="24"/>
          <w:szCs w:val="24"/>
          <w:lang w:val="es-ES" w:eastAsia="es-ES"/>
        </w:rPr>
        <w:t xml:space="preserve">, mismos que contendrán por lo menos los siguientes datos: </w:t>
      </w:r>
    </w:p>
    <w:p w14:paraId="3EB18F5F" w14:textId="77777777" w:rsidR="00936A20" w:rsidRPr="00936A20" w:rsidRDefault="00936A20" w:rsidP="005136D5">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CD606A7" w14:textId="77777777" w:rsidR="00936A20" w:rsidRPr="005136D5" w:rsidRDefault="00936A20" w:rsidP="005136D5">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r w:rsidRPr="005136D5">
        <w:rPr>
          <w:rFonts w:ascii="Palatino Linotype" w:eastAsia="Times New Roman" w:hAnsi="Palatino Linotype" w:cs="Arial"/>
          <w:i/>
          <w:iCs/>
          <w:lang w:val="es-ES" w:eastAsia="es-ES"/>
        </w:rPr>
        <w:t>“</w:t>
      </w:r>
      <w:r w:rsidRPr="005136D5">
        <w:rPr>
          <w:rFonts w:ascii="Palatino Linotype" w:eastAsia="Times New Roman" w:hAnsi="Palatino Linotype" w:cs="Arial"/>
          <w:b/>
          <w:bCs/>
          <w:i/>
          <w:iCs/>
          <w:lang w:val="es-ES" w:eastAsia="es-ES"/>
        </w:rPr>
        <w:t>Artículo 10.</w:t>
      </w:r>
      <w:r w:rsidRPr="005136D5">
        <w:rPr>
          <w:rFonts w:ascii="Palatino Linotype" w:eastAsia="Times New Roman" w:hAnsi="Palatino Linotype" w:cs="Arial"/>
          <w:i/>
          <w:iCs/>
          <w:lang w:val="es-ES" w:eastAsia="es-ES"/>
        </w:rPr>
        <w:t xml:space="preserve"> </w:t>
      </w:r>
      <w:r w:rsidRPr="005136D5">
        <w:rPr>
          <w:rFonts w:ascii="Palatino Linotype" w:eastAsia="Times New Roman" w:hAnsi="Palatino Linotype" w:cs="Arial"/>
          <w:b/>
          <w:bCs/>
          <w:i/>
          <w:iCs/>
          <w:lang w:val="es-ES" w:eastAsia="es-ES"/>
        </w:rPr>
        <w:t>Los registros tienen como finalidad crear una base de datos confiable</w:t>
      </w:r>
      <w:r w:rsidRPr="005136D5">
        <w:rPr>
          <w:rFonts w:ascii="Palatino Linotype" w:eastAsia="Times New Roman" w:hAnsi="Palatino Linotype" w:cs="Arial"/>
          <w:i/>
          <w:iCs/>
          <w:lang w:val="es-ES" w:eastAsia="es-ES"/>
        </w:rPr>
        <w:t xml:space="preserve">, actualizada e integrada a nivel estatal y municipal de las unidades económicas que se </w:t>
      </w:r>
      <w:proofErr w:type="spellStart"/>
      <w:r w:rsidRPr="005136D5">
        <w:rPr>
          <w:rFonts w:ascii="Palatino Linotype" w:eastAsia="Times New Roman" w:hAnsi="Palatino Linotype" w:cs="Arial"/>
          <w:i/>
          <w:iCs/>
          <w:lang w:val="es-ES" w:eastAsia="es-ES"/>
        </w:rPr>
        <w:t>aperturen</w:t>
      </w:r>
      <w:proofErr w:type="spellEnd"/>
      <w:r w:rsidRPr="005136D5">
        <w:rPr>
          <w:rFonts w:ascii="Palatino Linotype" w:eastAsia="Times New Roman" w:hAnsi="Palatino Linotype" w:cs="Arial"/>
          <w:i/>
          <w:iCs/>
          <w:lang w:val="es-ES" w:eastAsia="es-ES"/>
        </w:rPr>
        <w:t xml:space="preserve"> en el territorio de la Entidad.</w:t>
      </w:r>
    </w:p>
    <w:p w14:paraId="79CA1805" w14:textId="77777777" w:rsidR="00936A20" w:rsidRPr="005136D5" w:rsidRDefault="00936A20" w:rsidP="005136D5">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p>
    <w:p w14:paraId="59087279" w14:textId="77777777" w:rsidR="00936A20" w:rsidRPr="005136D5" w:rsidRDefault="00936A20" w:rsidP="005136D5">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r w:rsidRPr="005136D5">
        <w:rPr>
          <w:rFonts w:ascii="Palatino Linotype" w:eastAsia="Times New Roman" w:hAnsi="Palatino Linotype" w:cs="Arial"/>
          <w:b/>
          <w:bCs/>
          <w:i/>
          <w:iCs/>
          <w:lang w:val="es-ES" w:eastAsia="es-ES"/>
        </w:rPr>
        <w:t>Artículo 11.</w:t>
      </w:r>
      <w:r w:rsidRPr="005136D5">
        <w:rPr>
          <w:rFonts w:ascii="Palatino Linotype" w:eastAsia="Times New Roman" w:hAnsi="Palatino Linotype" w:cs="Arial"/>
          <w:i/>
          <w:iCs/>
          <w:lang w:val="es-ES" w:eastAsia="es-ES"/>
        </w:rPr>
        <w:t xml:space="preserve"> </w:t>
      </w:r>
      <w:r w:rsidRPr="005136D5">
        <w:rPr>
          <w:rFonts w:ascii="Palatino Linotype" w:eastAsia="Times New Roman" w:hAnsi="Palatino Linotype" w:cs="Arial"/>
          <w:i/>
          <w:iCs/>
          <w:u w:val="single"/>
          <w:lang w:val="es-ES" w:eastAsia="es-ES"/>
        </w:rPr>
        <w:t>El registro incluirá al menos los datos siguientes</w:t>
      </w:r>
      <w:r w:rsidRPr="005136D5">
        <w:rPr>
          <w:rFonts w:ascii="Palatino Linotype" w:eastAsia="Times New Roman" w:hAnsi="Palatino Linotype" w:cs="Arial"/>
          <w:i/>
          <w:iCs/>
          <w:lang w:val="es-ES" w:eastAsia="es-ES"/>
        </w:rPr>
        <w:t>:</w:t>
      </w:r>
    </w:p>
    <w:p w14:paraId="341C7322" w14:textId="77777777" w:rsidR="00936A20" w:rsidRPr="005136D5" w:rsidRDefault="00936A20" w:rsidP="005136D5">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r w:rsidRPr="005136D5">
        <w:rPr>
          <w:rFonts w:ascii="Palatino Linotype" w:eastAsia="Times New Roman" w:hAnsi="Palatino Linotype" w:cs="Arial"/>
          <w:i/>
          <w:iCs/>
          <w:lang w:val="es-ES" w:eastAsia="es-ES"/>
        </w:rPr>
        <w:t>I. Clave única, que se integrará de una serie alfanumérica.</w:t>
      </w:r>
    </w:p>
    <w:p w14:paraId="4279BDC3" w14:textId="77777777" w:rsidR="00936A20" w:rsidRPr="005136D5" w:rsidRDefault="00936A20" w:rsidP="005136D5">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r w:rsidRPr="005136D5">
        <w:rPr>
          <w:rFonts w:ascii="Palatino Linotype" w:eastAsia="Times New Roman" w:hAnsi="Palatino Linotype" w:cs="Arial"/>
          <w:i/>
          <w:iCs/>
          <w:lang w:val="es-ES" w:eastAsia="es-ES"/>
        </w:rPr>
        <w:t>II. Nombre del municipio.</w:t>
      </w:r>
    </w:p>
    <w:p w14:paraId="5371B695" w14:textId="77777777" w:rsidR="00936A20" w:rsidRPr="005136D5" w:rsidRDefault="00936A20" w:rsidP="005136D5">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r w:rsidRPr="005136D5">
        <w:rPr>
          <w:rFonts w:ascii="Palatino Linotype" w:eastAsia="Times New Roman" w:hAnsi="Palatino Linotype" w:cs="Arial"/>
          <w:i/>
          <w:iCs/>
          <w:lang w:val="es-ES" w:eastAsia="es-ES"/>
        </w:rPr>
        <w:t xml:space="preserve">III. </w:t>
      </w:r>
      <w:r w:rsidRPr="005136D5">
        <w:rPr>
          <w:rFonts w:ascii="Palatino Linotype" w:eastAsia="Times New Roman" w:hAnsi="Palatino Linotype" w:cs="Arial"/>
          <w:i/>
          <w:iCs/>
          <w:u w:val="single"/>
          <w:lang w:val="es-ES" w:eastAsia="es-ES"/>
        </w:rPr>
        <w:t>Nombre del titular</w:t>
      </w:r>
      <w:r w:rsidRPr="005136D5">
        <w:rPr>
          <w:rFonts w:ascii="Palatino Linotype" w:eastAsia="Times New Roman" w:hAnsi="Palatino Linotype" w:cs="Arial"/>
          <w:i/>
          <w:iCs/>
          <w:lang w:val="es-ES" w:eastAsia="es-ES"/>
        </w:rPr>
        <w:t>.</w:t>
      </w:r>
    </w:p>
    <w:p w14:paraId="4C765CAD" w14:textId="77777777" w:rsidR="00936A20" w:rsidRPr="005136D5" w:rsidRDefault="00936A20" w:rsidP="005136D5">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r w:rsidRPr="005136D5">
        <w:rPr>
          <w:rFonts w:ascii="Palatino Linotype" w:eastAsia="Times New Roman" w:hAnsi="Palatino Linotype" w:cs="Arial"/>
          <w:i/>
          <w:iCs/>
          <w:lang w:val="es-ES" w:eastAsia="es-ES"/>
        </w:rPr>
        <w:t xml:space="preserve">IV. </w:t>
      </w:r>
      <w:r w:rsidRPr="005136D5">
        <w:rPr>
          <w:rFonts w:ascii="Palatino Linotype" w:eastAsia="Times New Roman" w:hAnsi="Palatino Linotype" w:cs="Arial"/>
          <w:i/>
          <w:iCs/>
          <w:u w:val="single"/>
          <w:lang w:val="es-ES" w:eastAsia="es-ES"/>
        </w:rPr>
        <w:t>Actividad económica</w:t>
      </w:r>
      <w:r w:rsidRPr="005136D5">
        <w:rPr>
          <w:rFonts w:ascii="Palatino Linotype" w:eastAsia="Times New Roman" w:hAnsi="Palatino Linotype" w:cs="Arial"/>
          <w:i/>
          <w:iCs/>
          <w:lang w:val="es-ES" w:eastAsia="es-ES"/>
        </w:rPr>
        <w:t>.</w:t>
      </w:r>
    </w:p>
    <w:p w14:paraId="73CE3DEC" w14:textId="77777777" w:rsidR="00936A20" w:rsidRPr="005136D5" w:rsidRDefault="00936A20" w:rsidP="005136D5">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r w:rsidRPr="005136D5">
        <w:rPr>
          <w:rFonts w:ascii="Palatino Linotype" w:eastAsia="Times New Roman" w:hAnsi="Palatino Linotype" w:cs="Arial"/>
          <w:i/>
          <w:iCs/>
          <w:lang w:val="es-ES" w:eastAsia="es-ES"/>
        </w:rPr>
        <w:t>V. Fecha de inicio de actividades.</w:t>
      </w:r>
    </w:p>
    <w:p w14:paraId="4A2A8836" w14:textId="77777777" w:rsidR="00936A20" w:rsidRPr="005136D5" w:rsidRDefault="00936A20" w:rsidP="005136D5">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r w:rsidRPr="005136D5">
        <w:rPr>
          <w:rFonts w:ascii="Palatino Linotype" w:eastAsia="Times New Roman" w:hAnsi="Palatino Linotype" w:cs="Arial"/>
          <w:i/>
          <w:iCs/>
          <w:lang w:val="es-ES" w:eastAsia="es-ES"/>
        </w:rPr>
        <w:t>VI. Tipo de impacto.</w:t>
      </w:r>
    </w:p>
    <w:p w14:paraId="5CB854A9" w14:textId="77777777" w:rsidR="00936A20" w:rsidRPr="005136D5" w:rsidRDefault="00936A20" w:rsidP="005136D5">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r w:rsidRPr="005136D5">
        <w:rPr>
          <w:rFonts w:ascii="Palatino Linotype" w:eastAsia="Times New Roman" w:hAnsi="Palatino Linotype" w:cs="Arial"/>
          <w:i/>
          <w:iCs/>
          <w:lang w:val="es-ES" w:eastAsia="es-ES"/>
        </w:rPr>
        <w:t xml:space="preserve">VII. </w:t>
      </w:r>
      <w:r w:rsidRPr="005136D5">
        <w:rPr>
          <w:rFonts w:ascii="Palatino Linotype" w:eastAsia="Times New Roman" w:hAnsi="Palatino Linotype" w:cs="Arial"/>
          <w:i/>
          <w:iCs/>
          <w:u w:val="single"/>
          <w:lang w:val="es-ES" w:eastAsia="es-ES"/>
        </w:rPr>
        <w:t>Domicilio de la unidad económica</w:t>
      </w:r>
      <w:r w:rsidRPr="005136D5">
        <w:rPr>
          <w:rFonts w:ascii="Palatino Linotype" w:eastAsia="Times New Roman" w:hAnsi="Palatino Linotype" w:cs="Arial"/>
          <w:i/>
          <w:iCs/>
          <w:lang w:val="es-ES" w:eastAsia="es-ES"/>
        </w:rPr>
        <w:t>.</w:t>
      </w:r>
    </w:p>
    <w:p w14:paraId="2694B774" w14:textId="77777777" w:rsidR="00936A20" w:rsidRPr="005136D5" w:rsidRDefault="00936A20" w:rsidP="005136D5">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r w:rsidRPr="005136D5">
        <w:rPr>
          <w:rFonts w:ascii="Palatino Linotype" w:eastAsia="Times New Roman" w:hAnsi="Palatino Linotype" w:cs="Arial"/>
          <w:i/>
          <w:iCs/>
          <w:lang w:val="es-ES" w:eastAsia="es-ES"/>
        </w:rPr>
        <w:t>VIII. Visitas y procedimientos de verificación en su caso.</w:t>
      </w:r>
    </w:p>
    <w:p w14:paraId="324EB1BC" w14:textId="77777777" w:rsidR="00936A20" w:rsidRPr="005136D5" w:rsidRDefault="00936A20" w:rsidP="005136D5">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r w:rsidRPr="005136D5">
        <w:rPr>
          <w:rFonts w:ascii="Palatino Linotype" w:eastAsia="Times New Roman" w:hAnsi="Palatino Linotype" w:cs="Arial"/>
          <w:i/>
          <w:iCs/>
          <w:lang w:val="es-ES" w:eastAsia="es-ES"/>
        </w:rPr>
        <w:t>IX. Sanciones en su caso.</w:t>
      </w:r>
    </w:p>
    <w:p w14:paraId="100555E9" w14:textId="4F78FDAD" w:rsidR="00936A20" w:rsidRDefault="00936A20" w:rsidP="005136D5">
      <w:pPr>
        <w:autoSpaceDE w:val="0"/>
        <w:autoSpaceDN w:val="0"/>
        <w:adjustRightInd w:val="0"/>
        <w:spacing w:after="0" w:line="240" w:lineRule="auto"/>
        <w:ind w:left="567" w:right="567"/>
        <w:jc w:val="both"/>
        <w:rPr>
          <w:rFonts w:ascii="Palatino Linotype" w:eastAsia="Times New Roman" w:hAnsi="Palatino Linotype" w:cs="Arial"/>
          <w:lang w:val="es-ES" w:eastAsia="es-ES"/>
        </w:rPr>
      </w:pPr>
      <w:r w:rsidRPr="005136D5">
        <w:rPr>
          <w:rFonts w:ascii="Palatino Linotype" w:eastAsia="Times New Roman" w:hAnsi="Palatino Linotype" w:cs="Arial"/>
          <w:i/>
          <w:iCs/>
          <w:lang w:val="es-ES" w:eastAsia="es-ES"/>
        </w:rPr>
        <w:t>X. Las demás que le confieran esta Ley y otras disposiciones aplicables.”</w:t>
      </w:r>
    </w:p>
    <w:p w14:paraId="6FA8BDC5" w14:textId="416D743F" w:rsidR="005136D5" w:rsidRPr="005136D5" w:rsidRDefault="005136D5" w:rsidP="005136D5">
      <w:pPr>
        <w:autoSpaceDE w:val="0"/>
        <w:autoSpaceDN w:val="0"/>
        <w:adjustRightInd w:val="0"/>
        <w:spacing w:after="0" w:line="240" w:lineRule="auto"/>
        <w:ind w:left="567" w:right="567"/>
        <w:jc w:val="right"/>
        <w:rPr>
          <w:rFonts w:ascii="Palatino Linotype" w:eastAsia="Times New Roman" w:hAnsi="Palatino Linotype" w:cs="Arial"/>
          <w:lang w:val="es-ES" w:eastAsia="es-ES"/>
        </w:rPr>
      </w:pPr>
      <w:r>
        <w:rPr>
          <w:rFonts w:ascii="Palatino Linotype" w:eastAsia="Times New Roman" w:hAnsi="Palatino Linotype" w:cs="Arial"/>
          <w:lang w:val="es-ES" w:eastAsia="es-ES"/>
        </w:rPr>
        <w:t>(Énfasis añadido)</w:t>
      </w:r>
    </w:p>
    <w:p w14:paraId="7EADF84E" w14:textId="77777777" w:rsidR="00936A20" w:rsidRPr="00936A20" w:rsidRDefault="00936A20" w:rsidP="005136D5">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936A20">
        <w:rPr>
          <w:rFonts w:ascii="Palatino Linotype" w:eastAsia="Times New Roman" w:hAnsi="Palatino Linotype" w:cs="Arial"/>
          <w:sz w:val="24"/>
          <w:szCs w:val="24"/>
          <w:lang w:val="es-ES" w:eastAsia="es-ES"/>
        </w:rPr>
        <w:lastRenderedPageBreak/>
        <w:t>Aunado a lo anterior, sobre las unidades económicas dedicadas a la venta y/o distribución de bebidas alcohólicas el artículo 70 señala que la Dirección de Desarrollo Económico o unidad administrativa equivalente en el municipio creará y actualizará el registro de las unidades económicas que cuenten con el Dictamen de Giro, para la solicitud o refrendo de licencias de funcionamiento.</w:t>
      </w:r>
    </w:p>
    <w:p w14:paraId="731BCAC9" w14:textId="77777777" w:rsidR="00936A20" w:rsidRPr="00936A20" w:rsidRDefault="00936A20" w:rsidP="005136D5">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C3F6401" w14:textId="77777777" w:rsidR="00936A20" w:rsidRPr="00936A20" w:rsidRDefault="00936A20" w:rsidP="005136D5">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936A20">
        <w:rPr>
          <w:rFonts w:ascii="Palatino Linotype" w:eastAsia="Times New Roman" w:hAnsi="Palatino Linotype" w:cs="Arial"/>
          <w:sz w:val="24"/>
          <w:szCs w:val="24"/>
          <w:lang w:val="es-ES" w:eastAsia="es-ES"/>
        </w:rPr>
        <w:t xml:space="preserve">De la normatividad citada, se desprende que corresponde al Sujeto Obligado crear el registro municipal en donde se especifique el número de las licencias de funcionamiento con la actividad económica que realicen los particulares en las que se les denomina como unidades económicas al lugar en donde realicen sus actividades y para ello los solicitantes deben cubrir ciertos requisitos que contiene los datos requeridos por el Particular. </w:t>
      </w:r>
    </w:p>
    <w:p w14:paraId="76EC2BE3" w14:textId="77777777" w:rsidR="00936A20" w:rsidRPr="00936A20" w:rsidRDefault="00936A20" w:rsidP="005136D5">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D5CA623" w14:textId="77777777" w:rsidR="00936A20" w:rsidRPr="00936A20" w:rsidRDefault="00936A20" w:rsidP="005136D5">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936A20">
        <w:rPr>
          <w:rFonts w:ascii="Palatino Linotype" w:eastAsia="Times New Roman" w:hAnsi="Palatino Linotype" w:cs="Arial"/>
          <w:sz w:val="24"/>
          <w:szCs w:val="24"/>
          <w:lang w:val="es-ES" w:eastAsia="es-ES"/>
        </w:rPr>
        <w:t>Aunado a lo anterior, sobre la naturaleza de las licencias, se debe indicar que no sólo se trata de información pública, sino además que corresponde a las obligaciones de transparencia, de acuerdo a lo señalado en el artículo 92, fracción XXXII, de la Ley de Transparencia y Acceso a la Información Pública del Estado de México y Municipios, que se transcribe a continuación:</w:t>
      </w:r>
    </w:p>
    <w:p w14:paraId="465E8486" w14:textId="77777777" w:rsidR="00936A20" w:rsidRPr="00936A20" w:rsidRDefault="00936A20" w:rsidP="005136D5">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30EF387" w14:textId="77777777" w:rsidR="00936A20" w:rsidRPr="005136D5" w:rsidRDefault="00936A20" w:rsidP="005136D5">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r w:rsidRPr="005136D5">
        <w:rPr>
          <w:rFonts w:ascii="Palatino Linotype" w:eastAsia="Times New Roman" w:hAnsi="Palatino Linotype" w:cs="Arial"/>
          <w:i/>
          <w:iCs/>
          <w:lang w:val="es-ES" w:eastAsia="es-ES"/>
        </w:rPr>
        <w:t>“</w:t>
      </w:r>
      <w:r w:rsidRPr="005136D5">
        <w:rPr>
          <w:rFonts w:ascii="Palatino Linotype" w:eastAsia="Times New Roman" w:hAnsi="Palatino Linotype" w:cs="Arial"/>
          <w:b/>
          <w:bCs/>
          <w:i/>
          <w:iCs/>
          <w:lang w:val="es-ES" w:eastAsia="es-ES"/>
        </w:rPr>
        <w:t>Artículo 92.</w:t>
      </w:r>
      <w:r w:rsidRPr="005136D5">
        <w:rPr>
          <w:rFonts w:ascii="Palatino Linotype" w:eastAsia="Times New Roman" w:hAnsi="Palatino Linotype" w:cs="Arial"/>
          <w:i/>
          <w:iCs/>
          <w:lang w:val="es-ES" w:eastAsia="es-ES"/>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5FA15CA1" w14:textId="77777777" w:rsidR="00936A20" w:rsidRPr="005136D5" w:rsidRDefault="00936A20" w:rsidP="005136D5">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r w:rsidRPr="005136D5">
        <w:rPr>
          <w:rFonts w:ascii="Palatino Linotype" w:eastAsia="Times New Roman" w:hAnsi="Palatino Linotype" w:cs="Arial"/>
          <w:i/>
          <w:iCs/>
          <w:lang w:val="es-ES" w:eastAsia="es-ES"/>
        </w:rPr>
        <w:t>…</w:t>
      </w:r>
    </w:p>
    <w:p w14:paraId="4C6B7D7B" w14:textId="7B44A211" w:rsidR="00936A20" w:rsidRPr="005136D5" w:rsidRDefault="00936A20" w:rsidP="005136D5">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r w:rsidRPr="005136D5">
        <w:rPr>
          <w:rFonts w:ascii="Palatino Linotype" w:eastAsia="Times New Roman" w:hAnsi="Palatino Linotype" w:cs="Arial"/>
          <w:b/>
          <w:bCs/>
          <w:i/>
          <w:iCs/>
          <w:lang w:val="es-ES" w:eastAsia="es-ES"/>
        </w:rPr>
        <w:t>XXXII</w:t>
      </w:r>
      <w:r w:rsidRPr="005136D5">
        <w:rPr>
          <w:rFonts w:ascii="Palatino Linotype" w:eastAsia="Times New Roman" w:hAnsi="Palatino Linotype" w:cs="Arial"/>
          <w:i/>
          <w:iCs/>
          <w:lang w:val="es-ES" w:eastAsia="es-ES"/>
        </w:rPr>
        <w:t xml:space="preserve">. Las concesiones, contratos, convenios, permisos, </w:t>
      </w:r>
      <w:r w:rsidRPr="005136D5">
        <w:rPr>
          <w:rFonts w:ascii="Palatino Linotype" w:eastAsia="Times New Roman" w:hAnsi="Palatino Linotype" w:cs="Arial"/>
          <w:i/>
          <w:iCs/>
          <w:u w:val="single"/>
          <w:lang w:val="es-ES" w:eastAsia="es-ES"/>
        </w:rPr>
        <w:t>licencias o autorizaciones otorgados</w:t>
      </w:r>
      <w:r w:rsidRPr="005136D5">
        <w:rPr>
          <w:rFonts w:ascii="Palatino Linotype" w:eastAsia="Times New Roman" w:hAnsi="Palatino Linotype" w:cs="Arial"/>
          <w:i/>
          <w:iCs/>
          <w:lang w:val="es-ES" w:eastAsia="es-ES"/>
        </w:rPr>
        <w:t xml:space="preserve">, especificando los titulares de aquéllos, debiendo publicarse su objeto, nombre o razón social del titular, vigencia, tipo, términos, condiciones, monto y modificaciones, así </w:t>
      </w:r>
      <w:r w:rsidRPr="005136D5">
        <w:rPr>
          <w:rFonts w:ascii="Palatino Linotype" w:eastAsia="Times New Roman" w:hAnsi="Palatino Linotype" w:cs="Arial"/>
          <w:i/>
          <w:iCs/>
          <w:lang w:val="es-ES" w:eastAsia="es-ES"/>
        </w:rPr>
        <w:lastRenderedPageBreak/>
        <w:t>como si el procedimiento involucra el aprovechamiento de bienes, servicios y/o recursos públicos;</w:t>
      </w:r>
    </w:p>
    <w:p w14:paraId="52B9AE3A" w14:textId="5BAA4ECA" w:rsidR="00936A20" w:rsidRDefault="00936A20" w:rsidP="005136D5">
      <w:pPr>
        <w:autoSpaceDE w:val="0"/>
        <w:autoSpaceDN w:val="0"/>
        <w:adjustRightInd w:val="0"/>
        <w:spacing w:after="0" w:line="240" w:lineRule="auto"/>
        <w:ind w:left="567" w:right="567"/>
        <w:jc w:val="both"/>
        <w:rPr>
          <w:rFonts w:ascii="Palatino Linotype" w:eastAsia="Times New Roman" w:hAnsi="Palatino Linotype" w:cs="Arial"/>
          <w:lang w:val="es-ES" w:eastAsia="es-ES"/>
        </w:rPr>
      </w:pPr>
      <w:r w:rsidRPr="005136D5">
        <w:rPr>
          <w:rFonts w:ascii="Palatino Linotype" w:eastAsia="Times New Roman" w:hAnsi="Palatino Linotype" w:cs="Arial"/>
          <w:i/>
          <w:iCs/>
          <w:lang w:val="es-ES" w:eastAsia="es-ES"/>
        </w:rPr>
        <w:t>…”</w:t>
      </w:r>
    </w:p>
    <w:p w14:paraId="49028238" w14:textId="77777777" w:rsidR="005136D5" w:rsidRPr="005136D5" w:rsidRDefault="005136D5" w:rsidP="005136D5">
      <w:pPr>
        <w:autoSpaceDE w:val="0"/>
        <w:autoSpaceDN w:val="0"/>
        <w:adjustRightInd w:val="0"/>
        <w:spacing w:after="0" w:line="240" w:lineRule="auto"/>
        <w:ind w:left="567" w:right="567"/>
        <w:jc w:val="right"/>
        <w:rPr>
          <w:rFonts w:ascii="Palatino Linotype" w:eastAsia="Times New Roman" w:hAnsi="Palatino Linotype" w:cs="Arial"/>
          <w:lang w:val="es-ES" w:eastAsia="es-ES"/>
        </w:rPr>
      </w:pPr>
      <w:r>
        <w:rPr>
          <w:rFonts w:ascii="Palatino Linotype" w:eastAsia="Times New Roman" w:hAnsi="Palatino Linotype" w:cs="Arial"/>
          <w:lang w:val="es-ES" w:eastAsia="es-ES"/>
        </w:rPr>
        <w:t>(Énfasis añadido)</w:t>
      </w:r>
    </w:p>
    <w:p w14:paraId="385DB90B" w14:textId="77777777" w:rsidR="00936A20" w:rsidRPr="00936A20" w:rsidRDefault="00936A20" w:rsidP="005136D5">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E90A9E4" w14:textId="77777777" w:rsidR="00936A20" w:rsidRPr="00936A20" w:rsidRDefault="00936A20" w:rsidP="005136D5">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936A20">
        <w:rPr>
          <w:rFonts w:ascii="Palatino Linotype" w:eastAsia="Times New Roman" w:hAnsi="Palatino Linotype" w:cs="Arial"/>
          <w:sz w:val="24"/>
          <w:szCs w:val="24"/>
          <w:lang w:val="es-ES" w:eastAsia="es-ES"/>
        </w:rPr>
        <w:t xml:space="preserve">Expuesto lo anterior, se concluye que el Sujeto Obligado cuenta con atribuciones para generar poseer y/o administrar la información solicitada, a través de la Dirección de Desarrollo Económico. </w:t>
      </w:r>
    </w:p>
    <w:p w14:paraId="5E6215C1" w14:textId="77777777" w:rsidR="005136D5" w:rsidRDefault="005136D5" w:rsidP="005136D5">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ED29A4D" w14:textId="04B993A7" w:rsidR="00936A20" w:rsidRDefault="00936A20" w:rsidP="005136D5">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936A20">
        <w:rPr>
          <w:rFonts w:ascii="Palatino Linotype" w:eastAsia="Times New Roman" w:hAnsi="Palatino Linotype" w:cs="Arial"/>
          <w:sz w:val="24"/>
          <w:szCs w:val="24"/>
          <w:lang w:val="es-ES" w:eastAsia="es-ES"/>
        </w:rPr>
        <w:t xml:space="preserve">En mérito de lo expuesto, si bien la unidad de transparencia turnó la solicitud de información a la Dirección de Desarrollo Económico, siguiendo con ello el procedimiento para la atención a las solicitudes de acceso a la información, establecido en los artículos 151, 160, 162, 163, 164, 165 y 166, de la Ley de Transparencia y Acceso a la Información Pública del Estado de México y Municipios: </w:t>
      </w:r>
    </w:p>
    <w:p w14:paraId="77E81097" w14:textId="77777777" w:rsidR="005136D5" w:rsidRPr="00936A20" w:rsidRDefault="005136D5" w:rsidP="005136D5">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07622DC" w14:textId="1CD171BC" w:rsidR="00936A20" w:rsidRDefault="00936A20" w:rsidP="005136D5">
      <w:pPr>
        <w:pStyle w:val="Prrafodelista"/>
        <w:numPr>
          <w:ilvl w:val="0"/>
          <w:numId w:val="43"/>
        </w:numPr>
        <w:autoSpaceDE w:val="0"/>
        <w:autoSpaceDN w:val="0"/>
        <w:adjustRightInd w:val="0"/>
        <w:spacing w:line="360" w:lineRule="auto"/>
        <w:jc w:val="both"/>
        <w:rPr>
          <w:rFonts w:ascii="Palatino Linotype" w:hAnsi="Palatino Linotype" w:cs="Arial"/>
        </w:rPr>
      </w:pPr>
      <w:r w:rsidRPr="005136D5">
        <w:rPr>
          <w:rFonts w:ascii="Palatino Linotype" w:hAnsi="Palatino Linotype" w:cs="Arial"/>
        </w:rPr>
        <w:t xml:space="preserve">Las Unidades de Transparencia de los sujetos obligados deben garantizar las medidas y condiciones de accesibilidad para que toda persona pueda ejercer el derecho de acceso a la información; por lo que, son las responsables de hacer las notificaciones correspondientes, además de llevar a cabo todas las gestiones necesarias para facilitar el acceso de la información; </w:t>
      </w:r>
    </w:p>
    <w:p w14:paraId="2A04FCF5" w14:textId="77777777" w:rsidR="005136D5" w:rsidRPr="005136D5" w:rsidRDefault="005136D5" w:rsidP="005136D5">
      <w:pPr>
        <w:autoSpaceDE w:val="0"/>
        <w:autoSpaceDN w:val="0"/>
        <w:adjustRightInd w:val="0"/>
        <w:spacing w:after="0" w:line="360" w:lineRule="auto"/>
        <w:jc w:val="both"/>
        <w:rPr>
          <w:rFonts w:ascii="Palatino Linotype" w:hAnsi="Palatino Linotype" w:cs="Arial"/>
        </w:rPr>
      </w:pPr>
    </w:p>
    <w:p w14:paraId="0F24362E" w14:textId="6B0F28F1" w:rsidR="00936A20" w:rsidRDefault="00936A20" w:rsidP="005136D5">
      <w:pPr>
        <w:pStyle w:val="Prrafodelista"/>
        <w:numPr>
          <w:ilvl w:val="0"/>
          <w:numId w:val="43"/>
        </w:numPr>
        <w:autoSpaceDE w:val="0"/>
        <w:autoSpaceDN w:val="0"/>
        <w:adjustRightInd w:val="0"/>
        <w:spacing w:line="360" w:lineRule="auto"/>
        <w:jc w:val="both"/>
        <w:rPr>
          <w:rFonts w:ascii="Palatino Linotype" w:hAnsi="Palatino Linotype" w:cs="Arial"/>
        </w:rPr>
      </w:pPr>
      <w:r w:rsidRPr="005136D5">
        <w:rPr>
          <w:rFonts w:ascii="Palatino Linotype" w:hAnsi="Palatino Linotype" w:cs="Arial"/>
        </w:rPr>
        <w:t xml:space="preserve">La respuesta a los requerimientos informativos, deberá notificarse al interesado en el menor tiempo posible, que no podrá exceder de quince días hábiles, contados a partir del día siguiente a la presentación de esta. </w:t>
      </w:r>
    </w:p>
    <w:p w14:paraId="5C22A147" w14:textId="77777777" w:rsidR="005136D5" w:rsidRPr="005136D5" w:rsidRDefault="005136D5" w:rsidP="005136D5">
      <w:pPr>
        <w:pStyle w:val="Prrafodelista"/>
        <w:rPr>
          <w:rFonts w:ascii="Palatino Linotype" w:hAnsi="Palatino Linotype" w:cs="Arial"/>
        </w:rPr>
      </w:pPr>
    </w:p>
    <w:p w14:paraId="7B3F3788" w14:textId="1F2CC8C6" w:rsidR="00936A20" w:rsidRDefault="00936A20" w:rsidP="005136D5">
      <w:pPr>
        <w:pStyle w:val="Prrafodelista"/>
        <w:autoSpaceDE w:val="0"/>
        <w:autoSpaceDN w:val="0"/>
        <w:adjustRightInd w:val="0"/>
        <w:spacing w:line="360" w:lineRule="auto"/>
        <w:ind w:left="720"/>
        <w:jc w:val="both"/>
        <w:rPr>
          <w:rFonts w:ascii="Palatino Linotype" w:hAnsi="Palatino Linotype" w:cs="Arial"/>
        </w:rPr>
      </w:pPr>
      <w:r w:rsidRPr="005136D5">
        <w:rPr>
          <w:rFonts w:ascii="Palatino Linotype" w:hAnsi="Palatino Linotype" w:cs="Arial"/>
        </w:rPr>
        <w:lastRenderedPageBreak/>
        <w:t xml:space="preserve">Excepcionalmente, el plazo referido podrá ampliarse por siete días hábiles más, cuando existan razones fundadas y motivadas, a través del Comité de Transparencia; </w:t>
      </w:r>
    </w:p>
    <w:p w14:paraId="141F29CD" w14:textId="77777777" w:rsidR="005136D5" w:rsidRPr="005136D5" w:rsidRDefault="005136D5" w:rsidP="005136D5">
      <w:pPr>
        <w:autoSpaceDE w:val="0"/>
        <w:autoSpaceDN w:val="0"/>
        <w:adjustRightInd w:val="0"/>
        <w:spacing w:after="0" w:line="360" w:lineRule="auto"/>
        <w:jc w:val="both"/>
        <w:rPr>
          <w:rFonts w:ascii="Palatino Linotype" w:hAnsi="Palatino Linotype" w:cs="Arial"/>
        </w:rPr>
      </w:pPr>
    </w:p>
    <w:p w14:paraId="43425EC8" w14:textId="401BC84C" w:rsidR="00936A20" w:rsidRDefault="00936A20" w:rsidP="005136D5">
      <w:pPr>
        <w:pStyle w:val="Prrafodelista"/>
        <w:numPr>
          <w:ilvl w:val="0"/>
          <w:numId w:val="43"/>
        </w:numPr>
        <w:autoSpaceDE w:val="0"/>
        <w:autoSpaceDN w:val="0"/>
        <w:adjustRightInd w:val="0"/>
        <w:spacing w:line="360" w:lineRule="auto"/>
        <w:jc w:val="both"/>
        <w:rPr>
          <w:rFonts w:ascii="Palatino Linotype" w:hAnsi="Palatino Linotype" w:cs="Arial"/>
        </w:rPr>
      </w:pPr>
      <w:r w:rsidRPr="005136D5">
        <w:rPr>
          <w:rFonts w:ascii="Palatino Linotype" w:hAnsi="Palatino Linotype" w:cs="Arial"/>
        </w:rPr>
        <w:t xml:space="preserve">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 </w:t>
      </w:r>
    </w:p>
    <w:p w14:paraId="04DFECA5" w14:textId="77777777" w:rsidR="005136D5" w:rsidRPr="005136D5" w:rsidRDefault="005136D5" w:rsidP="005136D5">
      <w:pPr>
        <w:autoSpaceDE w:val="0"/>
        <w:autoSpaceDN w:val="0"/>
        <w:adjustRightInd w:val="0"/>
        <w:spacing w:after="0" w:line="360" w:lineRule="auto"/>
        <w:jc w:val="both"/>
        <w:rPr>
          <w:rFonts w:ascii="Palatino Linotype" w:hAnsi="Palatino Linotype" w:cs="Arial"/>
        </w:rPr>
      </w:pPr>
    </w:p>
    <w:p w14:paraId="643AFA97" w14:textId="10A4EF4F" w:rsidR="00936A20" w:rsidRDefault="00936A20" w:rsidP="005136D5">
      <w:pPr>
        <w:pStyle w:val="Prrafodelista"/>
        <w:numPr>
          <w:ilvl w:val="0"/>
          <w:numId w:val="43"/>
        </w:numPr>
        <w:autoSpaceDE w:val="0"/>
        <w:autoSpaceDN w:val="0"/>
        <w:adjustRightInd w:val="0"/>
        <w:spacing w:line="360" w:lineRule="auto"/>
        <w:jc w:val="both"/>
        <w:rPr>
          <w:rFonts w:ascii="Palatino Linotype" w:hAnsi="Palatino Linotype" w:cs="Arial"/>
        </w:rPr>
      </w:pPr>
      <w:r w:rsidRPr="005136D5">
        <w:rPr>
          <w:rFonts w:ascii="Palatino Linotype" w:hAnsi="Palatino Linotype" w:cs="Arial"/>
        </w:rPr>
        <w:t xml:space="preserve">El acceso se dará en la modalidad de entrega y en su caso, de envío elegido por la solicitante, cuando no pueda entregarse en dicha modalidad, el Sujeto Obligado deberá ofrecer otras; por lo cual, deberá fundar y motivar la necesidad de modificar el medio de entrega, y </w:t>
      </w:r>
    </w:p>
    <w:p w14:paraId="3D444657" w14:textId="77777777" w:rsidR="005136D5" w:rsidRPr="005136D5" w:rsidRDefault="005136D5" w:rsidP="005136D5">
      <w:pPr>
        <w:pStyle w:val="Prrafodelista"/>
        <w:rPr>
          <w:rFonts w:ascii="Palatino Linotype" w:hAnsi="Palatino Linotype" w:cs="Arial"/>
        </w:rPr>
      </w:pPr>
    </w:p>
    <w:p w14:paraId="45AC6E30" w14:textId="29A3D252" w:rsidR="00936A20" w:rsidRPr="005136D5" w:rsidRDefault="00936A20" w:rsidP="005136D5">
      <w:pPr>
        <w:pStyle w:val="Prrafodelista"/>
        <w:numPr>
          <w:ilvl w:val="0"/>
          <w:numId w:val="43"/>
        </w:numPr>
        <w:autoSpaceDE w:val="0"/>
        <w:autoSpaceDN w:val="0"/>
        <w:adjustRightInd w:val="0"/>
        <w:spacing w:line="360" w:lineRule="auto"/>
        <w:jc w:val="both"/>
        <w:rPr>
          <w:rFonts w:ascii="Palatino Linotype" w:hAnsi="Palatino Linotype" w:cs="Arial"/>
        </w:rPr>
      </w:pPr>
      <w:r w:rsidRPr="005136D5">
        <w:rPr>
          <w:rFonts w:ascii="Palatino Linotype" w:hAnsi="Palatino Linotype" w:cs="Arial"/>
        </w:rPr>
        <w:t>Las Unidades de Transparencia, tendrán disponible la información requerida durante un plazo mínimo de sesenta días hábiles, contados a partir de que la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6EEF7202" w14:textId="77777777" w:rsidR="005136D5" w:rsidRDefault="005136D5" w:rsidP="005136D5">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30C0088" w14:textId="37FC8E64" w:rsidR="00936A20" w:rsidRDefault="00936A20" w:rsidP="005136D5">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936A20">
        <w:rPr>
          <w:rFonts w:ascii="Palatino Linotype" w:eastAsia="Times New Roman" w:hAnsi="Palatino Linotype" w:cs="Arial"/>
          <w:sz w:val="24"/>
          <w:szCs w:val="24"/>
          <w:lang w:val="es-ES" w:eastAsia="es-ES"/>
        </w:rPr>
        <w:t xml:space="preserve">En este orden de ideas, se reitera que la Unidad de Transparencia turnó la solicitud de información a la Dirección de Desarrollo Económico, al ser la unidad administrativa </w:t>
      </w:r>
      <w:r w:rsidRPr="00936A20">
        <w:rPr>
          <w:rFonts w:ascii="Palatino Linotype" w:eastAsia="Times New Roman" w:hAnsi="Palatino Linotype" w:cs="Arial"/>
          <w:sz w:val="24"/>
          <w:szCs w:val="24"/>
          <w:lang w:val="es-ES" w:eastAsia="es-ES"/>
        </w:rPr>
        <w:lastRenderedPageBreak/>
        <w:t xml:space="preserve">competente, ello de conformidad con lo previsto por la Ley Orgánica Municipal del Estado de México en su artículo 96 </w:t>
      </w:r>
      <w:proofErr w:type="spellStart"/>
      <w:r w:rsidRPr="00936A20">
        <w:rPr>
          <w:rFonts w:ascii="Palatino Linotype" w:eastAsia="Times New Roman" w:hAnsi="Palatino Linotype" w:cs="Arial"/>
          <w:sz w:val="24"/>
          <w:szCs w:val="24"/>
          <w:lang w:val="es-ES" w:eastAsia="es-ES"/>
        </w:rPr>
        <w:t>Quáter</w:t>
      </w:r>
      <w:proofErr w:type="spellEnd"/>
      <w:r w:rsidRPr="00936A20">
        <w:rPr>
          <w:rFonts w:ascii="Palatino Linotype" w:eastAsia="Times New Roman" w:hAnsi="Palatino Linotype" w:cs="Arial"/>
          <w:sz w:val="24"/>
          <w:szCs w:val="24"/>
          <w:lang w:val="es-ES" w:eastAsia="es-ES"/>
        </w:rPr>
        <w:t xml:space="preserve">, el cual señala que tiene atribuciones para el otorgamiento de permisos y licencias para la apertura y funcionamiento de unidades económicas, como se observa a continuación: </w:t>
      </w:r>
    </w:p>
    <w:p w14:paraId="2AF59280" w14:textId="77777777" w:rsidR="00936A20" w:rsidRPr="00936A20" w:rsidRDefault="00936A20" w:rsidP="005136D5">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E7D13C1" w14:textId="77777777" w:rsidR="00936A20" w:rsidRPr="00936A20" w:rsidRDefault="00936A20" w:rsidP="005136D5">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r w:rsidRPr="00936A20">
        <w:rPr>
          <w:rFonts w:ascii="Palatino Linotype" w:eastAsia="Times New Roman" w:hAnsi="Palatino Linotype" w:cs="Arial"/>
          <w:i/>
          <w:iCs/>
          <w:lang w:val="es-ES" w:eastAsia="es-ES"/>
        </w:rPr>
        <w:t>“</w:t>
      </w:r>
      <w:r w:rsidRPr="00936A20">
        <w:rPr>
          <w:rFonts w:ascii="Palatino Linotype" w:eastAsia="Times New Roman" w:hAnsi="Palatino Linotype" w:cs="Arial"/>
          <w:b/>
          <w:bCs/>
          <w:i/>
          <w:iCs/>
          <w:lang w:val="es-ES" w:eastAsia="es-ES"/>
        </w:rPr>
        <w:t xml:space="preserve">Artículo 96 </w:t>
      </w:r>
      <w:proofErr w:type="spellStart"/>
      <w:r w:rsidRPr="00936A20">
        <w:rPr>
          <w:rFonts w:ascii="Palatino Linotype" w:eastAsia="Times New Roman" w:hAnsi="Palatino Linotype" w:cs="Arial"/>
          <w:b/>
          <w:bCs/>
          <w:i/>
          <w:iCs/>
          <w:lang w:val="es-ES" w:eastAsia="es-ES"/>
        </w:rPr>
        <w:t>Quáter</w:t>
      </w:r>
      <w:proofErr w:type="spellEnd"/>
      <w:r w:rsidRPr="00936A20">
        <w:rPr>
          <w:rFonts w:ascii="Palatino Linotype" w:eastAsia="Times New Roman" w:hAnsi="Palatino Linotype" w:cs="Arial"/>
          <w:i/>
          <w:iCs/>
          <w:lang w:val="es-ES" w:eastAsia="es-ES"/>
        </w:rPr>
        <w:t xml:space="preserve">.- El Titular de la </w:t>
      </w:r>
      <w:r w:rsidRPr="00936A20">
        <w:rPr>
          <w:rFonts w:ascii="Palatino Linotype" w:eastAsia="Times New Roman" w:hAnsi="Palatino Linotype" w:cs="Arial"/>
          <w:b/>
          <w:bCs/>
          <w:i/>
          <w:iCs/>
          <w:lang w:val="es-ES" w:eastAsia="es-ES"/>
        </w:rPr>
        <w:t>Dirección de Desarrollo Económico Municipal</w:t>
      </w:r>
      <w:r w:rsidRPr="00936A20">
        <w:rPr>
          <w:rFonts w:ascii="Palatino Linotype" w:eastAsia="Times New Roman" w:hAnsi="Palatino Linotype" w:cs="Arial"/>
          <w:i/>
          <w:iCs/>
          <w:lang w:val="es-ES" w:eastAsia="es-ES"/>
        </w:rPr>
        <w:t xml:space="preserve"> o el Titular de la Unidad Administrativa equivalente, tiene las siguientes atribuciones:</w:t>
      </w:r>
    </w:p>
    <w:p w14:paraId="1F6BD5B8" w14:textId="77777777" w:rsidR="00936A20" w:rsidRPr="00936A20" w:rsidRDefault="00936A20" w:rsidP="005136D5">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r w:rsidRPr="00936A20">
        <w:rPr>
          <w:rFonts w:ascii="Palatino Linotype" w:eastAsia="Times New Roman" w:hAnsi="Palatino Linotype" w:cs="Arial"/>
          <w:i/>
          <w:iCs/>
          <w:lang w:val="es-ES" w:eastAsia="es-ES"/>
        </w:rPr>
        <w:t>…</w:t>
      </w:r>
    </w:p>
    <w:p w14:paraId="06F2AEF7" w14:textId="77777777" w:rsidR="00936A20" w:rsidRPr="00936A20" w:rsidRDefault="00936A20" w:rsidP="005136D5">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r w:rsidRPr="00936A20">
        <w:rPr>
          <w:rFonts w:ascii="Palatino Linotype" w:eastAsia="Times New Roman" w:hAnsi="Palatino Linotype" w:cs="Arial"/>
          <w:i/>
          <w:iCs/>
          <w:lang w:val="es-ES" w:eastAsia="es-ES"/>
        </w:rPr>
        <w:t>II Bis. Impulsar y difundir la simplificación de trámites y reducción de plazos para el otorgamiento de permisos, licencias y autorizaciones del orden municipal, de conformidad con la Ley para la Mejora Regulatoria del Estado de México y Municipios, la Ley de Competitividad y Ordenamiento Comercial del Estado de México, la Ley de Fomento Económico del Estado de México, sus respectivos reglamentos y demás disposiciones jurídicas aplicables;</w:t>
      </w:r>
    </w:p>
    <w:p w14:paraId="272EF946" w14:textId="77777777" w:rsidR="00936A20" w:rsidRPr="00936A20" w:rsidRDefault="00936A20" w:rsidP="005136D5">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r w:rsidRPr="00936A20">
        <w:rPr>
          <w:rFonts w:ascii="Palatino Linotype" w:eastAsia="Times New Roman" w:hAnsi="Palatino Linotype" w:cs="Arial"/>
          <w:i/>
          <w:iCs/>
          <w:lang w:val="es-ES" w:eastAsia="es-ES"/>
        </w:rPr>
        <w:t>…</w:t>
      </w:r>
    </w:p>
    <w:p w14:paraId="501DA71B" w14:textId="77777777" w:rsidR="00936A20" w:rsidRPr="00936A20" w:rsidRDefault="00936A20" w:rsidP="005136D5">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r w:rsidRPr="00936A20">
        <w:rPr>
          <w:rFonts w:ascii="Palatino Linotype" w:eastAsia="Times New Roman" w:hAnsi="Palatino Linotype" w:cs="Arial"/>
          <w:i/>
          <w:iCs/>
          <w:lang w:val="es-ES" w:eastAsia="es-ES"/>
        </w:rPr>
        <w:t xml:space="preserve">XVIII. Conducir la coordinación interinstitucional de las dependencias municipales a las que corresponda conocer sobre </w:t>
      </w:r>
      <w:r w:rsidRPr="005136D5">
        <w:rPr>
          <w:rFonts w:ascii="Palatino Linotype" w:eastAsia="Times New Roman" w:hAnsi="Palatino Linotype" w:cs="Arial"/>
          <w:i/>
          <w:iCs/>
          <w:u w:val="single"/>
          <w:lang w:val="es-ES" w:eastAsia="es-ES"/>
        </w:rPr>
        <w:t>el otorgamiento de permisos y licencias para la apertura y funcionamiento de unidades económicas</w:t>
      </w:r>
      <w:r w:rsidRPr="00936A20">
        <w:rPr>
          <w:rFonts w:ascii="Palatino Linotype" w:eastAsia="Times New Roman" w:hAnsi="Palatino Linotype" w:cs="Arial"/>
          <w:i/>
          <w:iCs/>
          <w:lang w:val="es-ES" w:eastAsia="es-ES"/>
        </w:rPr>
        <w:t>;</w:t>
      </w:r>
    </w:p>
    <w:p w14:paraId="1CA084E3" w14:textId="77777777" w:rsidR="00936A20" w:rsidRPr="00936A20" w:rsidRDefault="00936A20" w:rsidP="005136D5">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r w:rsidRPr="00936A20">
        <w:rPr>
          <w:rFonts w:ascii="Palatino Linotype" w:eastAsia="Times New Roman" w:hAnsi="Palatino Linotype" w:cs="Arial"/>
          <w:i/>
          <w:iCs/>
          <w:lang w:val="es-ES" w:eastAsia="es-ES"/>
        </w:rPr>
        <w:t>Para tal efecto, deberá garantizar que el otorgamiento de la licencia no esté sujeto al pago de contribuciones ni a donación alguna; la exigencia de cargas tributarias, dádivas o cualquier otro concepto que condicione su expedición será sancionada en términos de la Ley de Responsabilidades Administrativas del Estado de México y Municipios;</w:t>
      </w:r>
    </w:p>
    <w:p w14:paraId="5516B648" w14:textId="77777777" w:rsidR="00936A20" w:rsidRPr="00936A20" w:rsidRDefault="00936A20" w:rsidP="005136D5">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r w:rsidRPr="00936A20">
        <w:rPr>
          <w:rFonts w:ascii="Palatino Linotype" w:eastAsia="Times New Roman" w:hAnsi="Palatino Linotype" w:cs="Arial"/>
          <w:i/>
          <w:iCs/>
          <w:lang w:val="es-ES" w:eastAsia="es-ES"/>
        </w:rPr>
        <w:t xml:space="preserve">XIX. </w:t>
      </w:r>
      <w:r w:rsidRPr="005136D5">
        <w:rPr>
          <w:rFonts w:ascii="Palatino Linotype" w:eastAsia="Times New Roman" w:hAnsi="Palatino Linotype" w:cs="Arial"/>
          <w:i/>
          <w:iCs/>
          <w:u w:val="single"/>
          <w:lang w:val="es-ES" w:eastAsia="es-ES"/>
        </w:rPr>
        <w:t>Operar y actualizar el Registro Municipal de Unidades Económicas de los permisos o licencias de funcionamiento otorgadas a las unidades económicas respectivas</w:t>
      </w:r>
      <w:r w:rsidRPr="00936A20">
        <w:rPr>
          <w:rFonts w:ascii="Palatino Linotype" w:eastAsia="Times New Roman" w:hAnsi="Palatino Linotype" w:cs="Arial"/>
          <w:i/>
          <w:iCs/>
          <w:lang w:val="es-ES" w:eastAsia="es-ES"/>
        </w:rPr>
        <w:t>, así como remitir dentro de los cinco días hábiles siguientes los datos generados al Sistema que al efecto integre la Secretaría de Desarrollo Económico, a la Secretaría de Seguridad y a la Fiscalía General de Justicia del Estado de México, la información respectiva;</w:t>
      </w:r>
    </w:p>
    <w:p w14:paraId="635BBC60" w14:textId="0D3C526C" w:rsidR="00936A20" w:rsidRDefault="00936A20" w:rsidP="005136D5">
      <w:pPr>
        <w:autoSpaceDE w:val="0"/>
        <w:autoSpaceDN w:val="0"/>
        <w:adjustRightInd w:val="0"/>
        <w:spacing w:after="0" w:line="240" w:lineRule="auto"/>
        <w:ind w:left="567" w:right="567"/>
        <w:jc w:val="both"/>
        <w:rPr>
          <w:rFonts w:ascii="Palatino Linotype" w:eastAsia="Times New Roman" w:hAnsi="Palatino Linotype" w:cs="Arial"/>
          <w:lang w:val="es-ES" w:eastAsia="es-ES"/>
        </w:rPr>
      </w:pPr>
      <w:r w:rsidRPr="00936A20">
        <w:rPr>
          <w:rFonts w:ascii="Palatino Linotype" w:eastAsia="Times New Roman" w:hAnsi="Palatino Linotype" w:cs="Arial"/>
          <w:i/>
          <w:iCs/>
          <w:lang w:val="es-ES" w:eastAsia="es-ES"/>
        </w:rPr>
        <w:t>…”</w:t>
      </w:r>
    </w:p>
    <w:p w14:paraId="583B3DBF" w14:textId="77777777" w:rsidR="005136D5" w:rsidRPr="005136D5" w:rsidRDefault="005136D5" w:rsidP="005136D5">
      <w:pPr>
        <w:autoSpaceDE w:val="0"/>
        <w:autoSpaceDN w:val="0"/>
        <w:adjustRightInd w:val="0"/>
        <w:spacing w:after="0" w:line="240" w:lineRule="auto"/>
        <w:ind w:left="567" w:right="567"/>
        <w:jc w:val="right"/>
        <w:rPr>
          <w:rFonts w:ascii="Palatino Linotype" w:eastAsia="Times New Roman" w:hAnsi="Palatino Linotype" w:cs="Arial"/>
          <w:lang w:val="es-ES" w:eastAsia="es-ES"/>
        </w:rPr>
      </w:pPr>
      <w:r>
        <w:rPr>
          <w:rFonts w:ascii="Palatino Linotype" w:eastAsia="Times New Roman" w:hAnsi="Palatino Linotype" w:cs="Arial"/>
          <w:lang w:val="es-ES" w:eastAsia="es-ES"/>
        </w:rPr>
        <w:t>(Énfasis añadido)</w:t>
      </w:r>
    </w:p>
    <w:p w14:paraId="51568F02" w14:textId="77777777" w:rsidR="00936A20" w:rsidRPr="00936A20" w:rsidRDefault="00936A20" w:rsidP="005136D5">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0B91B4B" w14:textId="77777777" w:rsidR="00936A20" w:rsidRPr="00936A20" w:rsidRDefault="00936A20" w:rsidP="005136D5">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936A20">
        <w:rPr>
          <w:rFonts w:ascii="Palatino Linotype" w:eastAsia="Times New Roman" w:hAnsi="Palatino Linotype" w:cs="Arial"/>
          <w:sz w:val="24"/>
          <w:szCs w:val="24"/>
          <w:lang w:val="es-ES" w:eastAsia="es-ES"/>
        </w:rPr>
        <w:t xml:space="preserve">Por lo anterior, se advierte que en efecto, la Dirección de Desarrollo Económico Municipal, es la unidad administrativa que cuenta con atribuciones para generar, poseer y administrar la información, no obstante, como se refirió en párrafos que anteceden, se advierte que la Titular de la Unidad de Transparencia cumplió con el </w:t>
      </w:r>
      <w:r w:rsidRPr="00936A20">
        <w:rPr>
          <w:rFonts w:ascii="Palatino Linotype" w:eastAsia="Times New Roman" w:hAnsi="Palatino Linotype" w:cs="Arial"/>
          <w:sz w:val="24"/>
          <w:szCs w:val="24"/>
          <w:lang w:val="es-ES" w:eastAsia="es-ES"/>
        </w:rPr>
        <w:lastRenderedPageBreak/>
        <w:t xml:space="preserve">procedimiento marcado en el artículo 162 de la Ley de la materia, toda vez que en ejercicio de sus funciones turno la solicitud al servidor Público Habilitado de la Dirección de Desarrollo Económico; sin embargo, el Servidor Público Habilitado omitió atender dicho requerimiento, incumpliendo con sus funciones señaladas en el artículo 59 de la Ley de Transparencia y Acceso a la Información Pública del Estado de México y Municipios, el cual se inserta a continuación: </w:t>
      </w:r>
    </w:p>
    <w:p w14:paraId="5858BE5F" w14:textId="77777777" w:rsidR="00936A20" w:rsidRPr="00936A20" w:rsidRDefault="00936A20" w:rsidP="005136D5">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F8C3035" w14:textId="77777777" w:rsidR="00936A20" w:rsidRPr="00936A20" w:rsidRDefault="00936A20" w:rsidP="005136D5">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r w:rsidRPr="00936A20">
        <w:rPr>
          <w:rFonts w:ascii="Palatino Linotype" w:eastAsia="Times New Roman" w:hAnsi="Palatino Linotype" w:cs="Arial"/>
          <w:i/>
          <w:iCs/>
          <w:lang w:val="es-ES" w:eastAsia="es-ES"/>
        </w:rPr>
        <w:t>“</w:t>
      </w:r>
      <w:r w:rsidRPr="00936A20">
        <w:rPr>
          <w:rFonts w:ascii="Palatino Linotype" w:eastAsia="Times New Roman" w:hAnsi="Palatino Linotype" w:cs="Arial"/>
          <w:b/>
          <w:bCs/>
          <w:i/>
          <w:iCs/>
          <w:lang w:val="es-ES" w:eastAsia="es-ES"/>
        </w:rPr>
        <w:t>Artículo</w:t>
      </w:r>
      <w:r w:rsidRPr="00936A20">
        <w:rPr>
          <w:rFonts w:ascii="Palatino Linotype" w:eastAsia="Times New Roman" w:hAnsi="Palatino Linotype" w:cs="Arial"/>
          <w:i/>
          <w:iCs/>
          <w:lang w:val="es-ES" w:eastAsia="es-ES"/>
        </w:rPr>
        <w:t xml:space="preserve"> 59. Los servidores públicos habilitados tendrán las funciones siguientes:</w:t>
      </w:r>
    </w:p>
    <w:p w14:paraId="20224390" w14:textId="77777777" w:rsidR="00936A20" w:rsidRPr="00936A20" w:rsidRDefault="00936A20" w:rsidP="005136D5">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r w:rsidRPr="00936A20">
        <w:rPr>
          <w:rFonts w:ascii="Palatino Linotype" w:eastAsia="Times New Roman" w:hAnsi="Palatino Linotype" w:cs="Arial"/>
          <w:i/>
          <w:iCs/>
          <w:lang w:val="es-ES" w:eastAsia="es-ES"/>
        </w:rPr>
        <w:t>I. Localizar la información que le solicite la Unidad de Transparencia;</w:t>
      </w:r>
    </w:p>
    <w:p w14:paraId="5D86AAC6" w14:textId="77777777" w:rsidR="00936A20" w:rsidRPr="00936A20" w:rsidRDefault="00936A20" w:rsidP="005136D5">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r w:rsidRPr="00936A20">
        <w:rPr>
          <w:rFonts w:ascii="Palatino Linotype" w:eastAsia="Times New Roman" w:hAnsi="Palatino Linotype" w:cs="Arial"/>
          <w:i/>
          <w:iCs/>
          <w:lang w:val="es-ES" w:eastAsia="es-ES"/>
        </w:rPr>
        <w:t>II. Proporcionar la información que obre en los archivos y que le sea solicitada por la Unidad de Transparencia;</w:t>
      </w:r>
    </w:p>
    <w:p w14:paraId="1252685E" w14:textId="77777777" w:rsidR="00936A20" w:rsidRPr="00936A20" w:rsidRDefault="00936A20" w:rsidP="005136D5">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r w:rsidRPr="00936A20">
        <w:rPr>
          <w:rFonts w:ascii="Palatino Linotype" w:eastAsia="Times New Roman" w:hAnsi="Palatino Linotype" w:cs="Arial"/>
          <w:i/>
          <w:iCs/>
          <w:lang w:val="es-ES" w:eastAsia="es-ES"/>
        </w:rPr>
        <w:t>III. Apoyar a la Unidad de Transparencia en lo que esta le solicite para el cumplimiento de sus funciones;</w:t>
      </w:r>
    </w:p>
    <w:p w14:paraId="7E7A89FA" w14:textId="77777777" w:rsidR="00936A20" w:rsidRPr="00936A20" w:rsidRDefault="00936A20" w:rsidP="005136D5">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r w:rsidRPr="00936A20">
        <w:rPr>
          <w:rFonts w:ascii="Palatino Linotype" w:eastAsia="Times New Roman" w:hAnsi="Palatino Linotype" w:cs="Arial"/>
          <w:i/>
          <w:iCs/>
          <w:lang w:val="es-ES" w:eastAsia="es-ES"/>
        </w:rPr>
        <w:t>IV. Proporcionar a la Unidad de Transparencia, las modificaciones a la información pública de oficio que obre en su poder;</w:t>
      </w:r>
    </w:p>
    <w:p w14:paraId="3E0C45FD" w14:textId="77777777" w:rsidR="00936A20" w:rsidRPr="00936A20" w:rsidRDefault="00936A20" w:rsidP="005136D5">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r w:rsidRPr="00936A20">
        <w:rPr>
          <w:rFonts w:ascii="Palatino Linotype" w:eastAsia="Times New Roman" w:hAnsi="Palatino Linotype" w:cs="Arial"/>
          <w:i/>
          <w:iCs/>
          <w:lang w:val="es-ES" w:eastAsia="es-ES"/>
        </w:rPr>
        <w:t>V. Integrar y presentar al responsable de la Unidad de Transparencia la propuesta de clasificación de información, la cual tendrá los fundamentos y argumentos en que se basa dicha propuesta;</w:t>
      </w:r>
    </w:p>
    <w:p w14:paraId="77E5D2A6" w14:textId="77777777" w:rsidR="00936A20" w:rsidRPr="00936A20" w:rsidRDefault="00936A20" w:rsidP="005136D5">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r w:rsidRPr="00936A20">
        <w:rPr>
          <w:rFonts w:ascii="Palatino Linotype" w:eastAsia="Times New Roman" w:hAnsi="Palatino Linotype" w:cs="Arial"/>
          <w:i/>
          <w:iCs/>
          <w:lang w:val="es-ES" w:eastAsia="es-ES"/>
        </w:rPr>
        <w:t>VI. Verificar, una vez analizado el contenido de la información, que no se encuentre en los supuestos de información clasificada; y</w:t>
      </w:r>
    </w:p>
    <w:p w14:paraId="46CF1F0B" w14:textId="77777777" w:rsidR="00936A20" w:rsidRPr="00936A20" w:rsidRDefault="00936A20" w:rsidP="005136D5">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r w:rsidRPr="00936A20">
        <w:rPr>
          <w:rFonts w:ascii="Palatino Linotype" w:eastAsia="Times New Roman" w:hAnsi="Palatino Linotype" w:cs="Arial"/>
          <w:i/>
          <w:iCs/>
          <w:lang w:val="es-ES" w:eastAsia="es-ES"/>
        </w:rPr>
        <w:t>VII. Dar cuenta a la Unidad de Transparencia del vencimiento de los plazos de reserva.”</w:t>
      </w:r>
    </w:p>
    <w:p w14:paraId="12E6C2D7" w14:textId="77777777" w:rsidR="00936A20" w:rsidRPr="00936A20" w:rsidRDefault="00936A20" w:rsidP="005136D5">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9CD5D6A" w14:textId="77777777" w:rsidR="00936A20" w:rsidRPr="00936A20" w:rsidRDefault="00936A20" w:rsidP="005136D5">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936A20">
        <w:rPr>
          <w:rFonts w:ascii="Palatino Linotype" w:eastAsia="Times New Roman" w:hAnsi="Palatino Linotype" w:cs="Arial"/>
          <w:sz w:val="24"/>
          <w:szCs w:val="24"/>
          <w:lang w:val="es-ES" w:eastAsia="es-ES"/>
        </w:rPr>
        <w:t xml:space="preserve">En conclusión, el Servidor Público Habilitado tiene como función principal localizar y proporcionar la información que le solicite la Unidad de Transparencia; no obstante, este incumplió dichas funciones, pues no atendió el requerimiento de información solicitado por la Unidad de Transparencia, por lo que se le invita a que en ejercicio de sus funciones atienda los requerimientos de información que sean solicitados por la Unidad de Transparencia, y con ello atender el derecho de acceso a la información de los particulares. </w:t>
      </w:r>
    </w:p>
    <w:p w14:paraId="168584E6" w14:textId="77777777" w:rsidR="00936A20" w:rsidRPr="00936A20" w:rsidRDefault="00936A20" w:rsidP="005136D5">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4D0463A" w14:textId="1B4839C8" w:rsidR="00936A20" w:rsidRDefault="00936A20" w:rsidP="005136D5">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936A20">
        <w:rPr>
          <w:rFonts w:ascii="Palatino Linotype" w:eastAsia="Times New Roman" w:hAnsi="Palatino Linotype" w:cs="Arial"/>
          <w:sz w:val="24"/>
          <w:szCs w:val="24"/>
          <w:lang w:val="es-ES" w:eastAsia="es-ES"/>
        </w:rPr>
        <w:lastRenderedPageBreak/>
        <w:t>Conforme a lo anterior, el Ente Recurrido deberá realizar una correcta búsqueda de la información y proporcionar los documentos de los que se desprenda los datos solicitados por el Particular, de ser procedente en versión pública.</w:t>
      </w:r>
    </w:p>
    <w:p w14:paraId="03828E1C" w14:textId="77777777" w:rsidR="001F1033" w:rsidRPr="007813EC" w:rsidRDefault="001F1033" w:rsidP="005136D5">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33D1F58" w14:textId="6FA042E8" w:rsidR="00B40482" w:rsidRPr="007813EC" w:rsidRDefault="00B40482" w:rsidP="005136D5">
      <w:pPr>
        <w:pStyle w:val="Prrafodelista"/>
        <w:numPr>
          <w:ilvl w:val="0"/>
          <w:numId w:val="2"/>
        </w:numPr>
        <w:spacing w:line="360" w:lineRule="auto"/>
        <w:jc w:val="both"/>
        <w:rPr>
          <w:rFonts w:ascii="Palatino Linotype" w:hAnsi="Palatino Linotype" w:cs="Arial"/>
          <w:b/>
          <w:i/>
          <w:sz w:val="28"/>
        </w:rPr>
      </w:pPr>
      <w:r w:rsidRPr="007813EC">
        <w:rPr>
          <w:rFonts w:ascii="Palatino Linotype" w:hAnsi="Palatino Linotype" w:cs="Arial"/>
          <w:b/>
          <w:i/>
          <w:sz w:val="28"/>
        </w:rPr>
        <w:t xml:space="preserve">De la Versión Pública </w:t>
      </w:r>
    </w:p>
    <w:p w14:paraId="4368828F" w14:textId="77777777" w:rsidR="00292A33" w:rsidRPr="007813EC" w:rsidRDefault="00292A33" w:rsidP="005136D5">
      <w:pPr>
        <w:spacing w:after="0" w:line="360" w:lineRule="auto"/>
        <w:jc w:val="both"/>
        <w:rPr>
          <w:rFonts w:ascii="Palatino Linotype" w:hAnsi="Palatino Linotype" w:cs="Arial"/>
          <w:sz w:val="24"/>
        </w:rPr>
      </w:pPr>
    </w:p>
    <w:p w14:paraId="16E6D74A" w14:textId="77777777" w:rsidR="00B40482" w:rsidRPr="007813EC" w:rsidRDefault="00B40482" w:rsidP="005136D5">
      <w:pPr>
        <w:spacing w:after="0" w:line="360" w:lineRule="auto"/>
        <w:jc w:val="both"/>
        <w:rPr>
          <w:rFonts w:ascii="Palatino Linotype" w:hAnsi="Palatino Linotype" w:cs="Arial"/>
          <w:sz w:val="24"/>
        </w:rPr>
      </w:pPr>
      <w:r w:rsidRPr="007813EC">
        <w:rPr>
          <w:rFonts w:ascii="Palatino Linotype" w:hAnsi="Palatino Linotype" w:cs="Arial"/>
          <w:sz w:val="24"/>
        </w:rPr>
        <w:t>Derivado de que la información es insoslayable, resaltar que la información puede contener datos personales susceptibles de clasificar, ello es así ya que la excepción de publicidad, es aquella información que tenga el carácter de confidencial (datos personales), por lo que debe privilegiarse el acceso a la información bajo el principio de máxima divulgación, empero sin violar el derecho a la intimidad por medio de la protección de datos personales, por ende de la información que se ponga a disposición, su entrega deberá ser en versión pública; referencia cuyo fundamento legal aplicable se encuentra inmerso en los numerales de la Ley de la materia, que a la letra esgrimen:</w:t>
      </w:r>
    </w:p>
    <w:p w14:paraId="30DDF53F" w14:textId="77777777" w:rsidR="00B40482" w:rsidRPr="007813EC" w:rsidRDefault="00B40482" w:rsidP="005136D5">
      <w:pPr>
        <w:spacing w:after="0" w:line="360" w:lineRule="auto"/>
        <w:jc w:val="both"/>
        <w:rPr>
          <w:rFonts w:ascii="Palatino Linotype" w:hAnsi="Palatino Linotype" w:cs="Arial"/>
          <w:sz w:val="24"/>
        </w:rPr>
      </w:pPr>
    </w:p>
    <w:p w14:paraId="4E1630AD" w14:textId="77777777" w:rsidR="00B40482" w:rsidRPr="007813EC" w:rsidRDefault="00B40482" w:rsidP="005136D5">
      <w:pPr>
        <w:spacing w:after="0" w:line="240" w:lineRule="auto"/>
        <w:ind w:left="567" w:right="567"/>
        <w:jc w:val="both"/>
        <w:rPr>
          <w:rFonts w:ascii="Palatino Linotype" w:hAnsi="Palatino Linotype" w:cs="Arial"/>
        </w:rPr>
      </w:pPr>
      <w:r w:rsidRPr="007813EC">
        <w:rPr>
          <w:rFonts w:ascii="Palatino Linotype" w:hAnsi="Palatino Linotype" w:cs="Arial"/>
          <w:b/>
          <w:bCs/>
          <w:i/>
          <w:iCs/>
        </w:rPr>
        <w:t xml:space="preserve">Artículo 3. </w:t>
      </w:r>
      <w:r w:rsidRPr="007813EC">
        <w:rPr>
          <w:rFonts w:ascii="Palatino Linotype" w:hAnsi="Palatino Linotype" w:cs="Arial"/>
          <w:bCs/>
          <w:i/>
          <w:iCs/>
        </w:rPr>
        <w:t>Para los efectos de la presente Ley se entenderá por:</w:t>
      </w:r>
    </w:p>
    <w:p w14:paraId="44563EEE" w14:textId="77777777" w:rsidR="00B40482" w:rsidRPr="007813EC" w:rsidRDefault="00B40482" w:rsidP="005136D5">
      <w:pPr>
        <w:spacing w:after="0" w:line="240" w:lineRule="auto"/>
        <w:ind w:left="567" w:right="567"/>
        <w:jc w:val="both"/>
        <w:rPr>
          <w:rFonts w:ascii="Palatino Linotype" w:hAnsi="Palatino Linotype" w:cs="Arial"/>
        </w:rPr>
      </w:pPr>
      <w:r w:rsidRPr="007813EC">
        <w:rPr>
          <w:rFonts w:ascii="Palatino Linotype" w:hAnsi="Palatino Linotype" w:cs="Arial"/>
          <w:bCs/>
          <w:i/>
          <w:iCs/>
        </w:rPr>
        <w:t>[…]</w:t>
      </w:r>
    </w:p>
    <w:p w14:paraId="3BB90162" w14:textId="77777777" w:rsidR="00B40482" w:rsidRPr="007813EC" w:rsidRDefault="00B40482" w:rsidP="005136D5">
      <w:pPr>
        <w:spacing w:after="0" w:line="240" w:lineRule="auto"/>
        <w:ind w:left="567" w:right="567"/>
        <w:jc w:val="both"/>
        <w:rPr>
          <w:rFonts w:ascii="Palatino Linotype" w:hAnsi="Palatino Linotype" w:cs="Arial"/>
        </w:rPr>
      </w:pPr>
      <w:r w:rsidRPr="007813EC">
        <w:rPr>
          <w:rFonts w:ascii="Palatino Linotype" w:hAnsi="Palatino Linotype" w:cs="Arial"/>
          <w:b/>
          <w:bCs/>
          <w:i/>
          <w:iCs/>
        </w:rPr>
        <w:t xml:space="preserve">IX. Datos personales: </w:t>
      </w:r>
      <w:r w:rsidRPr="007813EC">
        <w:rPr>
          <w:rFonts w:ascii="Palatino Linotype" w:hAnsi="Palatino Linotype" w:cs="Arial"/>
          <w:bCs/>
          <w:i/>
          <w:iCs/>
        </w:rPr>
        <w:t>La información concerniente a una persona, identificada o identificable según lo dispuesto por la Ley de Protección de Datos Personales del Estado de México;</w:t>
      </w:r>
    </w:p>
    <w:p w14:paraId="4376ED09" w14:textId="77777777" w:rsidR="00B40482" w:rsidRPr="007813EC" w:rsidRDefault="00B40482" w:rsidP="005136D5">
      <w:pPr>
        <w:spacing w:after="0" w:line="240" w:lineRule="auto"/>
        <w:ind w:left="567" w:right="567"/>
        <w:jc w:val="both"/>
        <w:rPr>
          <w:rFonts w:ascii="Palatino Linotype" w:hAnsi="Palatino Linotype" w:cs="Arial"/>
        </w:rPr>
      </w:pPr>
      <w:r w:rsidRPr="007813EC">
        <w:rPr>
          <w:rFonts w:ascii="Palatino Linotype" w:hAnsi="Palatino Linotype" w:cs="Arial"/>
          <w:b/>
          <w:bCs/>
          <w:i/>
          <w:iCs/>
        </w:rPr>
        <w:t>[…]</w:t>
      </w:r>
    </w:p>
    <w:p w14:paraId="44704358" w14:textId="77777777" w:rsidR="00B40482" w:rsidRPr="007813EC" w:rsidRDefault="00B40482" w:rsidP="005136D5">
      <w:pPr>
        <w:spacing w:after="0" w:line="240" w:lineRule="auto"/>
        <w:ind w:left="567" w:right="567"/>
        <w:jc w:val="both"/>
        <w:rPr>
          <w:rFonts w:ascii="Palatino Linotype" w:hAnsi="Palatino Linotype" w:cs="Arial"/>
        </w:rPr>
      </w:pPr>
      <w:r w:rsidRPr="007813EC">
        <w:rPr>
          <w:rFonts w:ascii="Palatino Linotype" w:hAnsi="Palatino Linotype" w:cs="Arial"/>
          <w:b/>
          <w:bCs/>
          <w:i/>
          <w:iCs/>
        </w:rPr>
        <w:t xml:space="preserve">XLV. Versión pública: </w:t>
      </w:r>
      <w:r w:rsidRPr="007813EC">
        <w:rPr>
          <w:rFonts w:ascii="Palatino Linotype" w:hAnsi="Palatino Linotype" w:cs="Arial"/>
          <w:bCs/>
          <w:i/>
          <w:iCs/>
        </w:rPr>
        <w:t>Documento en el que se elimine, suprime o borra la información clasificada como reservada o confidencial para permitir su acceso.</w:t>
      </w:r>
    </w:p>
    <w:p w14:paraId="21D44EFA" w14:textId="77777777" w:rsidR="00B40482" w:rsidRPr="007813EC" w:rsidRDefault="00B40482" w:rsidP="005136D5">
      <w:pPr>
        <w:spacing w:after="0" w:line="240" w:lineRule="auto"/>
        <w:ind w:left="567" w:right="567"/>
        <w:jc w:val="both"/>
        <w:rPr>
          <w:rFonts w:ascii="Palatino Linotype" w:hAnsi="Palatino Linotype" w:cs="Arial"/>
        </w:rPr>
      </w:pPr>
    </w:p>
    <w:p w14:paraId="68E695A6" w14:textId="77777777" w:rsidR="00B40482" w:rsidRPr="007813EC" w:rsidRDefault="00B40482" w:rsidP="005136D5">
      <w:pPr>
        <w:spacing w:after="0" w:line="240" w:lineRule="auto"/>
        <w:ind w:left="567" w:right="567"/>
        <w:jc w:val="both"/>
        <w:rPr>
          <w:rFonts w:ascii="Palatino Linotype" w:hAnsi="Palatino Linotype" w:cs="Arial"/>
        </w:rPr>
      </w:pPr>
      <w:r w:rsidRPr="007813EC">
        <w:rPr>
          <w:rFonts w:ascii="Palatino Linotype" w:hAnsi="Palatino Linotype" w:cs="Arial"/>
          <w:b/>
          <w:bCs/>
          <w:i/>
          <w:iCs/>
        </w:rPr>
        <w:t>Artículo 122.</w:t>
      </w:r>
      <w:r w:rsidRPr="007813EC">
        <w:rPr>
          <w:rFonts w:ascii="Palatino Linotype" w:hAnsi="Palatino Linotype" w:cs="Arial"/>
          <w:i/>
          <w:iCs/>
        </w:rPr>
        <w:t xml:space="preserve"> La clasificación es el proceso mediante el cual el sujeto obligado determina que la información en su poder </w:t>
      </w:r>
      <w:proofErr w:type="spellStart"/>
      <w:r w:rsidRPr="007813EC">
        <w:rPr>
          <w:rFonts w:ascii="Palatino Linotype" w:hAnsi="Palatino Linotype" w:cs="Arial"/>
          <w:i/>
          <w:iCs/>
        </w:rPr>
        <w:t>actualiza</w:t>
      </w:r>
      <w:proofErr w:type="spellEnd"/>
      <w:r w:rsidRPr="007813EC">
        <w:rPr>
          <w:rFonts w:ascii="Palatino Linotype" w:hAnsi="Palatino Linotype" w:cs="Arial"/>
          <w:i/>
          <w:iCs/>
        </w:rPr>
        <w:t xml:space="preserve"> alguno de los supuestos de reserva o confidencialidad, de conformidad con lo dispuesto en el presente título.</w:t>
      </w:r>
    </w:p>
    <w:p w14:paraId="7107F06C" w14:textId="77777777" w:rsidR="00B40482" w:rsidRPr="007813EC" w:rsidRDefault="00B40482" w:rsidP="005136D5">
      <w:pPr>
        <w:spacing w:after="0" w:line="240" w:lineRule="auto"/>
        <w:ind w:left="567" w:right="567"/>
        <w:jc w:val="both"/>
        <w:rPr>
          <w:rFonts w:ascii="Palatino Linotype" w:hAnsi="Palatino Linotype" w:cs="Arial"/>
        </w:rPr>
      </w:pPr>
      <w:r w:rsidRPr="007813EC">
        <w:rPr>
          <w:rFonts w:ascii="Palatino Linotype" w:hAnsi="Palatino Linotype" w:cs="Arial"/>
          <w:i/>
          <w:iCs/>
        </w:rPr>
        <w:t>[…]</w:t>
      </w:r>
    </w:p>
    <w:p w14:paraId="71826705" w14:textId="2FD0A502" w:rsidR="00B40482" w:rsidRPr="007813EC" w:rsidRDefault="00B40482" w:rsidP="005136D5">
      <w:pPr>
        <w:spacing w:after="0" w:line="240" w:lineRule="auto"/>
        <w:ind w:left="567" w:right="567"/>
        <w:jc w:val="both"/>
        <w:rPr>
          <w:rFonts w:ascii="Palatino Linotype" w:hAnsi="Palatino Linotype" w:cs="Arial"/>
        </w:rPr>
      </w:pPr>
      <w:r w:rsidRPr="007813EC">
        <w:rPr>
          <w:rFonts w:ascii="Palatino Linotype" w:hAnsi="Palatino Linotype" w:cs="Arial"/>
          <w:b/>
          <w:bCs/>
          <w:i/>
          <w:iCs/>
        </w:rPr>
        <w:t>Artículo 132.</w:t>
      </w:r>
      <w:r w:rsidR="00155640" w:rsidRPr="007813EC">
        <w:rPr>
          <w:rFonts w:ascii="Palatino Linotype" w:hAnsi="Palatino Linotype" w:cs="Arial"/>
          <w:i/>
          <w:iCs/>
        </w:rPr>
        <w:t xml:space="preserve"> </w:t>
      </w:r>
      <w:r w:rsidRPr="007813EC">
        <w:rPr>
          <w:rFonts w:ascii="Palatino Linotype" w:hAnsi="Palatino Linotype" w:cs="Arial"/>
          <w:i/>
          <w:iCs/>
        </w:rPr>
        <w:t>La clasificación de la información se llevará a cabo en el momento en que:</w:t>
      </w:r>
    </w:p>
    <w:p w14:paraId="32B724A7" w14:textId="77777777" w:rsidR="00B40482" w:rsidRPr="007813EC" w:rsidRDefault="00B40482" w:rsidP="005136D5">
      <w:pPr>
        <w:spacing w:after="0" w:line="240" w:lineRule="auto"/>
        <w:ind w:left="567" w:right="567"/>
        <w:jc w:val="both"/>
        <w:rPr>
          <w:rFonts w:ascii="Palatino Linotype" w:hAnsi="Palatino Linotype" w:cs="Arial"/>
        </w:rPr>
      </w:pPr>
      <w:r w:rsidRPr="007813EC">
        <w:rPr>
          <w:rFonts w:ascii="Palatino Linotype" w:hAnsi="Palatino Linotype" w:cs="Arial"/>
          <w:i/>
          <w:iCs/>
        </w:rPr>
        <w:t>[…]</w:t>
      </w:r>
    </w:p>
    <w:p w14:paraId="3705DBA2" w14:textId="77777777" w:rsidR="00B40482" w:rsidRPr="007813EC" w:rsidRDefault="00B40482" w:rsidP="005136D5">
      <w:pPr>
        <w:spacing w:after="0" w:line="240" w:lineRule="auto"/>
        <w:ind w:left="567" w:right="567"/>
        <w:jc w:val="both"/>
        <w:rPr>
          <w:rFonts w:ascii="Palatino Linotype" w:hAnsi="Palatino Linotype" w:cs="Arial"/>
        </w:rPr>
      </w:pPr>
      <w:r w:rsidRPr="007813EC">
        <w:rPr>
          <w:rFonts w:ascii="Palatino Linotype" w:hAnsi="Palatino Linotype" w:cs="Arial"/>
          <w:b/>
          <w:bCs/>
          <w:i/>
          <w:iCs/>
        </w:rPr>
        <w:t>II. Se determine mediante resolución de autoridad competente; o</w:t>
      </w:r>
    </w:p>
    <w:p w14:paraId="62B22D3E" w14:textId="77777777" w:rsidR="00B40482" w:rsidRPr="007813EC" w:rsidRDefault="00B40482" w:rsidP="005136D5">
      <w:pPr>
        <w:spacing w:after="0" w:line="240" w:lineRule="auto"/>
        <w:ind w:left="567" w:right="567"/>
        <w:jc w:val="both"/>
        <w:rPr>
          <w:rFonts w:ascii="Palatino Linotype" w:hAnsi="Palatino Linotype" w:cs="Arial"/>
        </w:rPr>
      </w:pPr>
      <w:r w:rsidRPr="007813EC">
        <w:rPr>
          <w:rFonts w:ascii="Palatino Linotype" w:hAnsi="Palatino Linotype" w:cs="Arial"/>
          <w:b/>
          <w:bCs/>
          <w:i/>
          <w:iCs/>
        </w:rPr>
        <w:lastRenderedPageBreak/>
        <w:t xml:space="preserve">Artículo 137. </w:t>
      </w:r>
      <w:r w:rsidRPr="007813EC">
        <w:rPr>
          <w:rFonts w:ascii="Palatino Linotype" w:hAnsi="Palatino Linotype" w:cs="Arial"/>
          <w:bCs/>
          <w:i/>
          <w:iCs/>
        </w:rPr>
        <w:t xml:space="preserve">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w:t>
      </w:r>
      <w:r w:rsidRPr="007813EC">
        <w:rPr>
          <w:rFonts w:ascii="Palatino Linotype" w:hAnsi="Palatino Linotype" w:cs="Arial"/>
          <w:bCs/>
          <w:i/>
          <w:iCs/>
          <w:u w:val="single"/>
        </w:rPr>
        <w:t>de manera genérica y fundando y motivando su clasificación.</w:t>
      </w:r>
      <w:r w:rsidRPr="007813EC">
        <w:rPr>
          <w:rFonts w:ascii="Palatino Linotype" w:hAnsi="Palatino Linotype" w:cs="Arial"/>
          <w:bCs/>
          <w:i/>
          <w:iCs/>
        </w:rPr>
        <w:t>”</w:t>
      </w:r>
    </w:p>
    <w:p w14:paraId="687E8EE5" w14:textId="77777777" w:rsidR="00B40482" w:rsidRPr="007813EC" w:rsidRDefault="00B40482" w:rsidP="005136D5">
      <w:pPr>
        <w:spacing w:after="0" w:line="240" w:lineRule="auto"/>
        <w:ind w:left="567" w:right="567"/>
        <w:jc w:val="right"/>
        <w:rPr>
          <w:rFonts w:ascii="Palatino Linotype" w:hAnsi="Palatino Linotype" w:cs="Arial"/>
        </w:rPr>
      </w:pPr>
      <w:r w:rsidRPr="007813EC">
        <w:rPr>
          <w:rFonts w:ascii="Palatino Linotype" w:hAnsi="Palatino Linotype" w:cs="Arial"/>
        </w:rPr>
        <w:t>(Énfasis añadido)</w:t>
      </w:r>
    </w:p>
    <w:p w14:paraId="5A3CCC32" w14:textId="77777777" w:rsidR="00B40482" w:rsidRPr="007813EC" w:rsidRDefault="00B40482" w:rsidP="005136D5">
      <w:pPr>
        <w:spacing w:after="0" w:line="360" w:lineRule="auto"/>
        <w:jc w:val="both"/>
        <w:rPr>
          <w:rFonts w:ascii="Palatino Linotype" w:hAnsi="Palatino Linotype" w:cs="Arial"/>
          <w:sz w:val="24"/>
        </w:rPr>
      </w:pPr>
    </w:p>
    <w:p w14:paraId="69726E4E" w14:textId="77777777" w:rsidR="00B40482" w:rsidRPr="007813EC" w:rsidRDefault="00B40482" w:rsidP="005136D5">
      <w:pPr>
        <w:spacing w:after="0" w:line="360" w:lineRule="auto"/>
        <w:jc w:val="both"/>
        <w:rPr>
          <w:rFonts w:ascii="Palatino Linotype" w:hAnsi="Palatino Linotype" w:cs="Arial"/>
          <w:sz w:val="24"/>
          <w:lang w:val="es-ES"/>
        </w:rPr>
      </w:pPr>
      <w:r w:rsidRPr="007813EC">
        <w:rPr>
          <w:rFonts w:ascii="Palatino Linotype" w:hAnsi="Palatino Linotype" w:cs="Arial"/>
          <w:sz w:val="24"/>
        </w:rPr>
        <w:t xml:space="preserve">En este sentido, el numeral trigésimo tercero fracción V de los Lineamientos Generales, precisa que para motivar la clasificación se deben acreditar las circunstancias de tiempo, modo y lugar, en suma </w:t>
      </w:r>
      <w:r w:rsidRPr="007813EC">
        <w:rPr>
          <w:rFonts w:ascii="Palatino Linotype" w:hAnsi="Palatino Linotype" w:cs="Arial"/>
          <w:sz w:val="24"/>
          <w:lang w:val="es-ES_tradnl"/>
        </w:rPr>
        <w:t xml:space="preserve">el Sujeto Obligado </w:t>
      </w:r>
      <w:r w:rsidRPr="007813EC">
        <w:rPr>
          <w:rFonts w:ascii="Palatino Linotype" w:hAnsi="Palatino Linotype" w:cs="Arial"/>
          <w:sz w:val="24"/>
          <w:lang w:val="es-ES"/>
        </w:rPr>
        <w:t xml:space="preserve">deberá cumplir cabalmente con las formalidades previstas en el artículo 137, de la Ley de Transparencia y Acceso a la Información Pública del Estado de México y Municipios, así como con los numerales aplicables de los </w:t>
      </w:r>
      <w:r w:rsidRPr="007813EC">
        <w:rPr>
          <w:rFonts w:ascii="Palatino Linotype" w:hAnsi="Palatino Linotype" w:cs="Arial"/>
          <w:b/>
          <w:sz w:val="24"/>
          <w:lang w:val="es-ES"/>
        </w:rPr>
        <w:t>LINEAMIENTOS GENERALES EN MATERIA DE CLASIFICACIÓN Y DESCLASIFICACIÓN DE LA INFORMACIÓN, ASÍ COMO PARA LA ELABORACIÓN DE VERSIONES PÚBLICAS</w:t>
      </w:r>
      <w:r w:rsidRPr="007813EC">
        <w:rPr>
          <w:rFonts w:ascii="Palatino Linotype" w:hAnsi="Palatino Linotype" w:cs="Arial"/>
          <w:sz w:val="24"/>
          <w:lang w:val="es-ES"/>
        </w:rPr>
        <w:t>, publicados en el Diario Oficial de la Federación en fecha quince de abril del año dos mil dieciséis, mediante Acuerdo del Consejo Nacional del Sistema Nacional de Transparencia, Acceso a la Información Pública y Protección de Datos Personales.</w:t>
      </w:r>
    </w:p>
    <w:p w14:paraId="65FEA5DD" w14:textId="77777777" w:rsidR="00B40482" w:rsidRPr="007813EC" w:rsidRDefault="00B40482" w:rsidP="005136D5">
      <w:pPr>
        <w:spacing w:after="0" w:line="360" w:lineRule="auto"/>
        <w:jc w:val="both"/>
        <w:rPr>
          <w:rFonts w:ascii="Palatino Linotype" w:hAnsi="Palatino Linotype" w:cs="Arial"/>
          <w:sz w:val="24"/>
          <w:lang w:val="es-ES"/>
        </w:rPr>
      </w:pPr>
    </w:p>
    <w:p w14:paraId="752DEEF7" w14:textId="77777777" w:rsidR="00B40482" w:rsidRPr="007813EC" w:rsidRDefault="00B40482" w:rsidP="005136D5">
      <w:pPr>
        <w:spacing w:after="0" w:line="360" w:lineRule="auto"/>
        <w:jc w:val="both"/>
        <w:rPr>
          <w:rFonts w:ascii="Palatino Linotype" w:hAnsi="Palatino Linotype" w:cs="Arial"/>
          <w:sz w:val="24"/>
        </w:rPr>
      </w:pPr>
      <w:r w:rsidRPr="007813EC">
        <w:rPr>
          <w:rFonts w:ascii="Palatino Linotype" w:hAnsi="Palatino Linotype" w:cs="Arial"/>
          <w:sz w:val="24"/>
        </w:rPr>
        <w:t xml:space="preserve">Lo anterior es así, puesto que ha de destacarse que el artículo 91, de la Ley de la Materia, dispone que el acceso a la información pública será restringido excepcionalmente, cuando ésta sea clasificada como reservada o confidencial. </w:t>
      </w:r>
    </w:p>
    <w:p w14:paraId="7E357835" w14:textId="77777777" w:rsidR="002265F7" w:rsidRPr="007813EC" w:rsidRDefault="002265F7" w:rsidP="005136D5">
      <w:pPr>
        <w:spacing w:after="0" w:line="360" w:lineRule="auto"/>
        <w:jc w:val="both"/>
        <w:rPr>
          <w:rFonts w:ascii="Palatino Linotype" w:hAnsi="Palatino Linotype" w:cs="Arial"/>
          <w:sz w:val="24"/>
        </w:rPr>
      </w:pPr>
    </w:p>
    <w:p w14:paraId="64517A78" w14:textId="77777777" w:rsidR="00B40482" w:rsidRPr="007813EC" w:rsidRDefault="00B40482" w:rsidP="005136D5">
      <w:pPr>
        <w:spacing w:after="0" w:line="360" w:lineRule="auto"/>
        <w:jc w:val="both"/>
        <w:rPr>
          <w:rFonts w:ascii="Palatino Linotype" w:hAnsi="Palatino Linotype" w:cs="Arial"/>
          <w:sz w:val="24"/>
          <w:lang w:val="es-ES"/>
        </w:rPr>
      </w:pPr>
      <w:r w:rsidRPr="007813EC">
        <w:rPr>
          <w:rFonts w:ascii="Palatino Linotype" w:hAnsi="Palatino Linotype" w:cs="Arial"/>
          <w:sz w:val="24"/>
        </w:rPr>
        <w:t>En el mismo sentido, en el caso específico</w:t>
      </w:r>
      <w:r w:rsidRPr="007813EC">
        <w:rPr>
          <w:rFonts w:ascii="Palatino Linotype" w:hAnsi="Palatino Linotype" w:cs="Arial"/>
          <w:sz w:val="24"/>
          <w:lang w:val="es-ES"/>
        </w:rPr>
        <w:t xml:space="preserve">, de los documentos solicitados pudieran obrar datos que son considerados confidenciales, cuyo acceso debe ser restringido, los cuales deben testarse al momento de la elaboración de versiones públicas, como es el </w:t>
      </w:r>
      <w:r w:rsidRPr="007813EC">
        <w:rPr>
          <w:rFonts w:ascii="Palatino Linotype" w:hAnsi="Palatino Linotype" w:cs="Arial"/>
          <w:sz w:val="24"/>
          <w:lang w:val="es-ES"/>
        </w:rPr>
        <w:lastRenderedPageBreak/>
        <w:t xml:space="preserve">caso del </w:t>
      </w:r>
      <w:r w:rsidRPr="007813EC">
        <w:rPr>
          <w:rFonts w:ascii="Palatino Linotype" w:hAnsi="Palatino Linotype" w:cs="Arial"/>
          <w:b/>
          <w:sz w:val="24"/>
          <w:lang w:val="es-ES"/>
        </w:rPr>
        <w:t>Registro Federal de Contribuyentes</w:t>
      </w:r>
      <w:r w:rsidRPr="007813EC">
        <w:rPr>
          <w:rFonts w:ascii="Palatino Linotype" w:hAnsi="Palatino Linotype" w:cs="Arial"/>
          <w:sz w:val="24"/>
          <w:lang w:val="es-ES"/>
        </w:rPr>
        <w:t xml:space="preserve"> (RFC) y la </w:t>
      </w:r>
      <w:r w:rsidRPr="007813EC">
        <w:rPr>
          <w:rFonts w:ascii="Palatino Linotype" w:hAnsi="Palatino Linotype" w:cs="Arial"/>
          <w:b/>
          <w:sz w:val="24"/>
          <w:lang w:val="es-ES"/>
        </w:rPr>
        <w:t>Clave Única de Registro de Población</w:t>
      </w:r>
      <w:r w:rsidRPr="007813EC">
        <w:rPr>
          <w:rFonts w:ascii="Palatino Linotype" w:hAnsi="Palatino Linotype" w:cs="Arial"/>
          <w:sz w:val="24"/>
          <w:lang w:val="es-ES"/>
        </w:rPr>
        <w:t xml:space="preserve"> (CURP).</w:t>
      </w:r>
    </w:p>
    <w:p w14:paraId="24D4391E" w14:textId="77777777" w:rsidR="00B40482" w:rsidRPr="007813EC" w:rsidRDefault="00B40482" w:rsidP="005136D5">
      <w:pPr>
        <w:spacing w:after="0" w:line="360" w:lineRule="auto"/>
        <w:jc w:val="both"/>
        <w:rPr>
          <w:rFonts w:ascii="Palatino Linotype" w:hAnsi="Palatino Linotype" w:cs="Arial"/>
          <w:sz w:val="24"/>
        </w:rPr>
      </w:pPr>
    </w:p>
    <w:p w14:paraId="7CA00079" w14:textId="77777777" w:rsidR="00B40482" w:rsidRPr="007813EC" w:rsidRDefault="00B40482" w:rsidP="005136D5">
      <w:pPr>
        <w:spacing w:after="0" w:line="360" w:lineRule="auto"/>
        <w:jc w:val="both"/>
        <w:rPr>
          <w:rFonts w:ascii="Palatino Linotype" w:hAnsi="Palatino Linotype" w:cs="Arial"/>
          <w:sz w:val="24"/>
        </w:rPr>
      </w:pPr>
      <w:r w:rsidRPr="007813EC">
        <w:rPr>
          <w:rFonts w:ascii="Palatino Linotype" w:hAnsi="Palatino Linotype" w:cs="Arial"/>
          <w:sz w:val="24"/>
        </w:rPr>
        <w:t xml:space="preserve">En cuanto al Registro Federal de Contribuyentes (RFC) de las personas físicas que </w:t>
      </w:r>
      <w:r w:rsidRPr="007813EC">
        <w:rPr>
          <w:rFonts w:ascii="Palatino Linotype" w:hAnsi="Palatino Linotype" w:cs="Arial"/>
          <w:b/>
          <w:sz w:val="24"/>
        </w:rPr>
        <w:t>no son proveedores</w:t>
      </w:r>
      <w:r w:rsidRPr="007813EC">
        <w:rPr>
          <w:rFonts w:ascii="Palatino Linotype" w:hAnsi="Palatino Linotype" w:cs="Arial"/>
          <w:sz w:val="24"/>
        </w:rPr>
        <w:t>, constituye un dato personal, ya que para su obtención es necesario acreditar ante la autoridad fiscal previamente la identidad de la persona, su fecha de nacimiento, entre otros aspectos, cuyo trámite de inscripción en el registro, lo hacen con el propósito de realizar (mediante esa clave de identificación) operaciones o actividades de naturaleza fiscal, la cual, les permite hacer identificable respecto de una situación fiscal determinada</w:t>
      </w:r>
      <w:r w:rsidR="005679D0" w:rsidRPr="007813EC">
        <w:rPr>
          <w:rFonts w:ascii="Palatino Linotype" w:hAnsi="Palatino Linotype" w:cs="Arial"/>
          <w:sz w:val="24"/>
        </w:rPr>
        <w:t>.</w:t>
      </w:r>
    </w:p>
    <w:p w14:paraId="213F143A" w14:textId="77777777" w:rsidR="00B40482" w:rsidRPr="007813EC" w:rsidRDefault="00B40482" w:rsidP="005136D5">
      <w:pPr>
        <w:spacing w:after="0" w:line="360" w:lineRule="auto"/>
        <w:jc w:val="both"/>
        <w:rPr>
          <w:rFonts w:ascii="Palatino Linotype" w:hAnsi="Palatino Linotype" w:cs="Arial"/>
          <w:sz w:val="24"/>
        </w:rPr>
      </w:pPr>
    </w:p>
    <w:p w14:paraId="0BF7A8B3" w14:textId="77777777" w:rsidR="00B40482" w:rsidRPr="007813EC" w:rsidRDefault="00B40482" w:rsidP="005136D5">
      <w:pPr>
        <w:spacing w:after="0" w:line="360" w:lineRule="auto"/>
        <w:jc w:val="both"/>
        <w:rPr>
          <w:rFonts w:ascii="Palatino Linotype" w:hAnsi="Palatino Linotype" w:cs="Arial"/>
          <w:sz w:val="24"/>
        </w:rPr>
      </w:pPr>
      <w:r w:rsidRPr="007813EC">
        <w:rPr>
          <w:rFonts w:ascii="Palatino Linotype" w:hAnsi="Palatino Linotype" w:cs="Arial"/>
          <w:sz w:val="24"/>
        </w:rPr>
        <w:t>Lo anterior, es compartido por el Instituto Nacional de Transparencia, Acceso a la Información Pública y Protección de Datos Personales (INAI), a través del Criterio de interpretación 19/17, de la segunda época, y SO/008/2019 de la Segunda Época, los cuales son del tenor literal siguiente:</w:t>
      </w:r>
    </w:p>
    <w:p w14:paraId="370F9446" w14:textId="77777777" w:rsidR="00B40482" w:rsidRPr="007813EC" w:rsidRDefault="00B40482" w:rsidP="005136D5">
      <w:pPr>
        <w:spacing w:after="0" w:line="360" w:lineRule="auto"/>
        <w:jc w:val="both"/>
        <w:rPr>
          <w:rFonts w:ascii="Palatino Linotype" w:hAnsi="Palatino Linotype" w:cs="Arial"/>
          <w:sz w:val="24"/>
        </w:rPr>
      </w:pPr>
    </w:p>
    <w:p w14:paraId="6BB81293" w14:textId="77777777" w:rsidR="00B40482" w:rsidRPr="007813EC" w:rsidRDefault="00B40482" w:rsidP="005136D5">
      <w:pPr>
        <w:spacing w:after="0" w:line="240" w:lineRule="auto"/>
        <w:ind w:left="567" w:right="567"/>
        <w:jc w:val="both"/>
        <w:rPr>
          <w:rFonts w:ascii="Palatino Linotype" w:hAnsi="Palatino Linotype" w:cs="Arial"/>
          <w:b/>
          <w:bCs/>
          <w:i/>
        </w:rPr>
      </w:pPr>
      <w:r w:rsidRPr="007813EC">
        <w:rPr>
          <w:rFonts w:ascii="Palatino Linotype" w:hAnsi="Palatino Linotype" w:cs="Arial"/>
          <w:bCs/>
          <w:i/>
        </w:rPr>
        <w:t>“</w:t>
      </w:r>
      <w:r w:rsidRPr="007813EC">
        <w:rPr>
          <w:rFonts w:ascii="Palatino Linotype" w:hAnsi="Palatino Linotype" w:cs="Arial"/>
          <w:b/>
          <w:bCs/>
          <w:i/>
        </w:rPr>
        <w:t xml:space="preserve">Registro Federal de Contribuyentes (RFC) de personas físicas. </w:t>
      </w:r>
      <w:r w:rsidRPr="007813EC">
        <w:rPr>
          <w:rFonts w:ascii="Palatino Linotype" w:hAnsi="Palatino Linotype" w:cs="Arial"/>
          <w:bCs/>
          <w:i/>
        </w:rPr>
        <w:t xml:space="preserve">El RFC es una clave de carácter fiscal, </w:t>
      </w:r>
      <w:proofErr w:type="gramStart"/>
      <w:r w:rsidRPr="007813EC">
        <w:rPr>
          <w:rFonts w:ascii="Palatino Linotype" w:hAnsi="Palatino Linotype" w:cs="Arial"/>
          <w:bCs/>
          <w:i/>
        </w:rPr>
        <w:t>única</w:t>
      </w:r>
      <w:proofErr w:type="gramEnd"/>
      <w:r w:rsidRPr="007813EC">
        <w:rPr>
          <w:rFonts w:ascii="Palatino Linotype" w:hAnsi="Palatino Linotype" w:cs="Arial"/>
          <w:bCs/>
          <w:i/>
        </w:rPr>
        <w:t xml:space="preserve"> e irrepetible, que permite identificar al titular, su edad y fecha de nacimiento, por lo que es un dato personal de carácter confidencial.</w:t>
      </w:r>
    </w:p>
    <w:p w14:paraId="0FAD86BE" w14:textId="77777777" w:rsidR="00B40482" w:rsidRPr="007813EC" w:rsidRDefault="00B40482" w:rsidP="005136D5">
      <w:pPr>
        <w:spacing w:after="0" w:line="240" w:lineRule="auto"/>
        <w:ind w:left="567" w:right="567"/>
        <w:jc w:val="both"/>
        <w:rPr>
          <w:rFonts w:ascii="Palatino Linotype" w:hAnsi="Palatino Linotype" w:cs="Arial"/>
          <w:bCs/>
          <w:i/>
        </w:rPr>
      </w:pPr>
      <w:r w:rsidRPr="007813EC">
        <w:rPr>
          <w:rFonts w:ascii="Palatino Linotype" w:hAnsi="Palatino Linotype" w:cs="Arial"/>
          <w:bCs/>
          <w:i/>
        </w:rPr>
        <w:t>Resoluciones:</w:t>
      </w:r>
    </w:p>
    <w:p w14:paraId="0F16EBE3" w14:textId="77777777" w:rsidR="00B40482" w:rsidRPr="007813EC" w:rsidRDefault="00B40482" w:rsidP="005136D5">
      <w:pPr>
        <w:spacing w:after="0" w:line="240" w:lineRule="auto"/>
        <w:ind w:left="567" w:right="567"/>
        <w:jc w:val="both"/>
        <w:rPr>
          <w:rFonts w:ascii="Palatino Linotype" w:hAnsi="Palatino Linotype" w:cs="Arial"/>
          <w:bCs/>
          <w:i/>
        </w:rPr>
      </w:pPr>
      <w:r w:rsidRPr="007813EC">
        <w:rPr>
          <w:rFonts w:ascii="Palatino Linotype" w:hAnsi="Palatino Linotype" w:cs="Arial"/>
          <w:bCs/>
          <w:i/>
        </w:rPr>
        <w:t>•</w:t>
      </w:r>
      <w:r w:rsidRPr="007813EC">
        <w:rPr>
          <w:rFonts w:ascii="Palatino Linotype" w:hAnsi="Palatino Linotype" w:cs="Arial"/>
          <w:bCs/>
          <w:i/>
        </w:rPr>
        <w:tab/>
        <w:t>RRA 0189/17. Morena. 08 de febrero de 2017. Por unanimidad. Comisionado Ponente Joel Salas Suárez.</w:t>
      </w:r>
    </w:p>
    <w:p w14:paraId="7D64142A" w14:textId="77777777" w:rsidR="00B40482" w:rsidRPr="007813EC" w:rsidRDefault="00B40482" w:rsidP="005136D5">
      <w:pPr>
        <w:spacing w:after="0" w:line="240" w:lineRule="auto"/>
        <w:ind w:left="567" w:right="567"/>
        <w:jc w:val="both"/>
        <w:rPr>
          <w:rFonts w:ascii="Palatino Linotype" w:hAnsi="Palatino Linotype" w:cs="Arial"/>
          <w:bCs/>
          <w:i/>
        </w:rPr>
      </w:pPr>
      <w:r w:rsidRPr="007813EC">
        <w:rPr>
          <w:rFonts w:ascii="Palatino Linotype" w:hAnsi="Palatino Linotype" w:cs="Arial"/>
          <w:bCs/>
          <w:i/>
        </w:rPr>
        <w:t>•</w:t>
      </w:r>
      <w:r w:rsidRPr="007813EC">
        <w:rPr>
          <w:rFonts w:ascii="Palatino Linotype" w:hAnsi="Palatino Linotype" w:cs="Arial"/>
          <w:bCs/>
          <w:i/>
        </w:rPr>
        <w:tab/>
        <w:t xml:space="preserve">RRA 0677/17. Universidad Nacional Autónoma de México. 08 de marzo de 2017. Por unanimidad. Comisionado Ponente </w:t>
      </w:r>
      <w:proofErr w:type="spellStart"/>
      <w:r w:rsidRPr="007813EC">
        <w:rPr>
          <w:rFonts w:ascii="Palatino Linotype" w:hAnsi="Palatino Linotype" w:cs="Arial"/>
          <w:bCs/>
          <w:i/>
        </w:rPr>
        <w:t>Rosendoevgueni</w:t>
      </w:r>
      <w:proofErr w:type="spellEnd"/>
      <w:r w:rsidRPr="007813EC">
        <w:rPr>
          <w:rFonts w:ascii="Palatino Linotype" w:hAnsi="Palatino Linotype" w:cs="Arial"/>
          <w:bCs/>
          <w:i/>
        </w:rPr>
        <w:t xml:space="preserve"> Monterrey </w:t>
      </w:r>
      <w:proofErr w:type="spellStart"/>
      <w:r w:rsidRPr="007813EC">
        <w:rPr>
          <w:rFonts w:ascii="Palatino Linotype" w:hAnsi="Palatino Linotype" w:cs="Arial"/>
          <w:bCs/>
          <w:i/>
        </w:rPr>
        <w:t>Chepov</w:t>
      </w:r>
      <w:proofErr w:type="spellEnd"/>
      <w:r w:rsidRPr="007813EC">
        <w:rPr>
          <w:rFonts w:ascii="Palatino Linotype" w:hAnsi="Palatino Linotype" w:cs="Arial"/>
          <w:bCs/>
          <w:i/>
        </w:rPr>
        <w:t xml:space="preserve">. </w:t>
      </w:r>
    </w:p>
    <w:p w14:paraId="03669203" w14:textId="77777777" w:rsidR="00B40482" w:rsidRPr="007813EC" w:rsidRDefault="00B40482" w:rsidP="005136D5">
      <w:pPr>
        <w:spacing w:after="0" w:line="240" w:lineRule="auto"/>
        <w:ind w:left="567" w:right="567"/>
        <w:jc w:val="both"/>
        <w:rPr>
          <w:rFonts w:ascii="Palatino Linotype" w:hAnsi="Palatino Linotype" w:cs="Arial"/>
          <w:i/>
        </w:rPr>
      </w:pPr>
      <w:r w:rsidRPr="007813EC">
        <w:rPr>
          <w:rFonts w:ascii="Palatino Linotype" w:hAnsi="Palatino Linotype" w:cs="Arial"/>
          <w:bCs/>
          <w:i/>
        </w:rPr>
        <w:t>•</w:t>
      </w:r>
      <w:r w:rsidRPr="007813EC">
        <w:rPr>
          <w:rFonts w:ascii="Palatino Linotype" w:hAnsi="Palatino Linotype" w:cs="Arial"/>
          <w:bCs/>
          <w:i/>
        </w:rPr>
        <w:tab/>
        <w:t>RRA 1564/17. Tribunal Electoral del Poder Judicial de la Federación. 26 de abril de 2017. Por unanimidad. Comisionado Ponente Oscar Mauricio Guerra Ford.</w:t>
      </w:r>
      <w:r w:rsidRPr="007813EC">
        <w:rPr>
          <w:rFonts w:ascii="Palatino Linotype" w:hAnsi="Palatino Linotype" w:cs="Arial"/>
          <w:i/>
        </w:rPr>
        <w:t>”</w:t>
      </w:r>
    </w:p>
    <w:p w14:paraId="10FC2F38" w14:textId="77777777" w:rsidR="000311F5" w:rsidRPr="007813EC" w:rsidRDefault="000311F5" w:rsidP="005136D5">
      <w:pPr>
        <w:spacing w:after="0" w:line="360" w:lineRule="auto"/>
        <w:jc w:val="both"/>
        <w:rPr>
          <w:rFonts w:ascii="Palatino Linotype" w:hAnsi="Palatino Linotype" w:cs="Arial"/>
          <w:sz w:val="24"/>
        </w:rPr>
      </w:pPr>
    </w:p>
    <w:p w14:paraId="35AC3EAD" w14:textId="77777777" w:rsidR="00B40482" w:rsidRPr="007813EC" w:rsidRDefault="00B40482" w:rsidP="005136D5">
      <w:pPr>
        <w:spacing w:after="0" w:line="360" w:lineRule="auto"/>
        <w:jc w:val="both"/>
        <w:rPr>
          <w:rFonts w:ascii="Palatino Linotype" w:hAnsi="Palatino Linotype" w:cs="Arial"/>
          <w:sz w:val="24"/>
        </w:rPr>
      </w:pPr>
      <w:r w:rsidRPr="007813EC">
        <w:rPr>
          <w:rFonts w:ascii="Palatino Linotype" w:hAnsi="Palatino Linotype" w:cs="Arial"/>
          <w:sz w:val="24"/>
        </w:rPr>
        <w:t xml:space="preserve">Así, el </w:t>
      </w:r>
      <w:r w:rsidRPr="007813EC">
        <w:rPr>
          <w:rFonts w:ascii="Palatino Linotype" w:hAnsi="Palatino Linotype" w:cs="Arial"/>
          <w:b/>
          <w:sz w:val="24"/>
        </w:rPr>
        <w:t>RFC</w:t>
      </w:r>
      <w:r w:rsidRPr="007813EC">
        <w:rPr>
          <w:rFonts w:ascii="Palatino Linotype" w:hAnsi="Palatino Linotype" w:cs="Arial"/>
          <w:sz w:val="24"/>
        </w:rPr>
        <w:t xml:space="preserve"> se vincula al nombre de su titular, permite identificar la edad de la persona, su fecha de nacimiento, así como su </w:t>
      </w:r>
      <w:proofErr w:type="spellStart"/>
      <w:r w:rsidRPr="007813EC">
        <w:rPr>
          <w:rFonts w:ascii="Palatino Linotype" w:hAnsi="Palatino Linotype" w:cs="Arial"/>
          <w:sz w:val="24"/>
        </w:rPr>
        <w:t>homoclave</w:t>
      </w:r>
      <w:proofErr w:type="spellEnd"/>
      <w:r w:rsidRPr="007813EC">
        <w:rPr>
          <w:rFonts w:ascii="Palatino Linotype" w:hAnsi="Palatino Linotype" w:cs="Arial"/>
          <w:sz w:val="24"/>
        </w:rPr>
        <w:t xml:space="preserve">, la cual es única e irrepetible y </w:t>
      </w:r>
      <w:r w:rsidRPr="007813EC">
        <w:rPr>
          <w:rFonts w:ascii="Palatino Linotype" w:hAnsi="Palatino Linotype" w:cs="Arial"/>
          <w:sz w:val="24"/>
        </w:rPr>
        <w:lastRenderedPageBreak/>
        <w:t>determina justamente la identificación de dicha persona para efectos fiscales, por lo que éste constituye un dato personal que concierne a una persona física identificada e identificable.</w:t>
      </w:r>
    </w:p>
    <w:p w14:paraId="2BED49B1" w14:textId="77777777" w:rsidR="00B40482" w:rsidRPr="007813EC" w:rsidRDefault="00B40482" w:rsidP="005136D5">
      <w:pPr>
        <w:spacing w:after="0" w:line="360" w:lineRule="auto"/>
        <w:jc w:val="both"/>
        <w:rPr>
          <w:rFonts w:ascii="Palatino Linotype" w:hAnsi="Palatino Linotype" w:cs="Arial"/>
          <w:sz w:val="24"/>
        </w:rPr>
      </w:pPr>
    </w:p>
    <w:p w14:paraId="4930D2C8" w14:textId="73BCAC30" w:rsidR="005679D0" w:rsidRDefault="005679D0" w:rsidP="005136D5">
      <w:pPr>
        <w:spacing w:after="0" w:line="360" w:lineRule="auto"/>
        <w:jc w:val="both"/>
        <w:rPr>
          <w:rFonts w:ascii="Palatino Linotype" w:hAnsi="Palatino Linotype" w:cs="Arial"/>
          <w:sz w:val="24"/>
        </w:rPr>
      </w:pPr>
      <w:r w:rsidRPr="007813EC">
        <w:rPr>
          <w:rFonts w:ascii="Palatino Linotype" w:hAnsi="Palatino Linotype" w:cs="Arial"/>
          <w:sz w:val="24"/>
        </w:rPr>
        <w:t xml:space="preserve">Ahora bien, en lo que corresponde a la Razón Social y RFC de las personas jurídico colectivas, los mismos son de naturaleza pública, en primer lugar porque la razón social se encuentra contenida en una fuente de acceso público y el RFC no arroja datos personales de una persona identificable, lo anterior, es compartido por el Instituto Nacional de Transparencia, Acceso a la Información Pública y Protección de Datos Personales (INAI), a través del Criterio de interpretación </w:t>
      </w:r>
      <w:r w:rsidRPr="007813EC">
        <w:rPr>
          <w:rFonts w:ascii="Palatino Linotype" w:hAnsi="Palatino Linotype" w:cs="Arial"/>
          <w:b/>
          <w:sz w:val="24"/>
        </w:rPr>
        <w:t>SO/008/2019</w:t>
      </w:r>
      <w:r w:rsidRPr="007813EC">
        <w:rPr>
          <w:rFonts w:ascii="Palatino Linotype" w:hAnsi="Palatino Linotype" w:cs="Arial"/>
          <w:sz w:val="24"/>
        </w:rPr>
        <w:t xml:space="preserve"> de la Segunda Época, el cual es del tenor literal siguiente:</w:t>
      </w:r>
    </w:p>
    <w:p w14:paraId="2826AB8B" w14:textId="77777777" w:rsidR="005136D5" w:rsidRPr="007813EC" w:rsidRDefault="005136D5" w:rsidP="005136D5">
      <w:pPr>
        <w:spacing w:after="0" w:line="360" w:lineRule="auto"/>
        <w:jc w:val="both"/>
        <w:rPr>
          <w:rFonts w:ascii="Palatino Linotype" w:hAnsi="Palatino Linotype" w:cs="Arial"/>
          <w:sz w:val="24"/>
        </w:rPr>
      </w:pPr>
    </w:p>
    <w:p w14:paraId="06DCB2EE" w14:textId="77777777" w:rsidR="005679D0" w:rsidRPr="007813EC" w:rsidRDefault="00ED4885" w:rsidP="005136D5">
      <w:pPr>
        <w:spacing w:after="0" w:line="240" w:lineRule="auto"/>
        <w:ind w:left="567" w:right="567"/>
        <w:jc w:val="both"/>
        <w:rPr>
          <w:rFonts w:ascii="Palatino Linotype" w:hAnsi="Palatino Linotype" w:cs="Arial"/>
          <w:i/>
        </w:rPr>
      </w:pPr>
      <w:r w:rsidRPr="007813EC">
        <w:rPr>
          <w:rFonts w:ascii="Palatino Linotype" w:hAnsi="Palatino Linotype" w:cs="Arial"/>
          <w:b/>
          <w:i/>
        </w:rPr>
        <w:t>“</w:t>
      </w:r>
      <w:r w:rsidR="005679D0" w:rsidRPr="007813EC">
        <w:rPr>
          <w:rFonts w:ascii="Palatino Linotype" w:hAnsi="Palatino Linotype" w:cs="Arial"/>
          <w:b/>
          <w:i/>
        </w:rPr>
        <w:t>Razón social y RFC de personas morales.</w:t>
      </w:r>
      <w:r w:rsidR="005679D0" w:rsidRPr="007813EC">
        <w:rPr>
          <w:rFonts w:ascii="Palatino Linotype" w:hAnsi="Palatino Linotype" w:cs="Arial"/>
          <w:i/>
        </w:rPr>
        <w:t xml:space="preserve"> La denominación o razón social de personas morales </w:t>
      </w:r>
      <w:r w:rsidR="005679D0" w:rsidRPr="007813EC">
        <w:rPr>
          <w:rFonts w:ascii="Palatino Linotype" w:hAnsi="Palatino Linotype" w:cs="Arial"/>
          <w:b/>
          <w:i/>
          <w:u w:val="single"/>
        </w:rPr>
        <w:t>es pública</w:t>
      </w:r>
      <w:r w:rsidR="005679D0" w:rsidRPr="007813EC">
        <w:rPr>
          <w:rFonts w:ascii="Palatino Linotype" w:hAnsi="Palatino Linotype" w:cs="Arial"/>
          <w:i/>
        </w:rPr>
        <w:t xml:space="preserve">, por encontrarse inscritas en el Registro Público de Comercio; asimismo, </w:t>
      </w:r>
      <w:r w:rsidR="005679D0" w:rsidRPr="007813EC">
        <w:rPr>
          <w:rFonts w:ascii="Palatino Linotype" w:hAnsi="Palatino Linotype" w:cs="Arial"/>
          <w:i/>
          <w:u w:val="single"/>
        </w:rPr>
        <w:t>su Registro Federal de Contribuyentes (RFC), en principio, también es público</w:t>
      </w:r>
      <w:r w:rsidR="005679D0" w:rsidRPr="007813EC">
        <w:rPr>
          <w:rFonts w:ascii="Palatino Linotype" w:hAnsi="Palatino Linotype" w:cs="Arial"/>
          <w:i/>
        </w:rPr>
        <w:t>, ya que no se refiere a hechos o actos de carácter económico, contable, jurídico o administrativo que sean útiles o representen una ventaja a sus competidores.</w:t>
      </w:r>
    </w:p>
    <w:p w14:paraId="5BC913A0" w14:textId="77777777" w:rsidR="005679D0" w:rsidRPr="007813EC" w:rsidRDefault="005679D0" w:rsidP="005136D5">
      <w:pPr>
        <w:spacing w:after="0" w:line="240" w:lineRule="auto"/>
        <w:ind w:left="567" w:right="567"/>
        <w:jc w:val="both"/>
        <w:rPr>
          <w:rFonts w:ascii="Palatino Linotype" w:hAnsi="Palatino Linotype" w:cs="Arial"/>
          <w:i/>
        </w:rPr>
      </w:pPr>
      <w:r w:rsidRPr="007813EC">
        <w:rPr>
          <w:rFonts w:ascii="Palatino Linotype" w:hAnsi="Palatino Linotype" w:cs="Arial"/>
          <w:i/>
        </w:rPr>
        <w:t>Precedentes:</w:t>
      </w:r>
    </w:p>
    <w:p w14:paraId="4C02BFAF" w14:textId="77777777" w:rsidR="005679D0" w:rsidRPr="007813EC" w:rsidRDefault="005679D0" w:rsidP="005136D5">
      <w:pPr>
        <w:spacing w:after="0" w:line="240" w:lineRule="auto"/>
        <w:ind w:left="567" w:right="567"/>
        <w:jc w:val="both"/>
        <w:rPr>
          <w:rFonts w:ascii="Palatino Linotype" w:hAnsi="Palatino Linotype" w:cs="Arial"/>
          <w:i/>
        </w:rPr>
      </w:pPr>
      <w:r w:rsidRPr="007813EC">
        <w:rPr>
          <w:rFonts w:ascii="Palatino Linotype" w:hAnsi="Palatino Linotype" w:cs="Arial"/>
          <w:i/>
        </w:rPr>
        <w:t>•</w:t>
      </w:r>
      <w:r w:rsidRPr="007813EC">
        <w:rPr>
          <w:rFonts w:ascii="Palatino Linotype" w:hAnsi="Palatino Linotype" w:cs="Arial"/>
          <w:i/>
        </w:rPr>
        <w:tab/>
        <w:t>Acceso a la información pública. RRA 3104/16. Sesión del 01 de noviembre de 2016. Votación por unanimidad. Sin votos disidentes o particulares. Secretaría de la Defensa Nacional. Comisionado Ponente Oscar Mauricio Guerra Ford.</w:t>
      </w:r>
    </w:p>
    <w:p w14:paraId="20807F42" w14:textId="77777777" w:rsidR="005679D0" w:rsidRPr="007813EC" w:rsidRDefault="005679D0" w:rsidP="005136D5">
      <w:pPr>
        <w:spacing w:after="0" w:line="240" w:lineRule="auto"/>
        <w:ind w:left="567" w:right="567"/>
        <w:jc w:val="both"/>
        <w:rPr>
          <w:rFonts w:ascii="Palatino Linotype" w:hAnsi="Palatino Linotype" w:cs="Arial"/>
          <w:i/>
        </w:rPr>
      </w:pPr>
      <w:r w:rsidRPr="007813EC">
        <w:rPr>
          <w:rFonts w:ascii="Palatino Linotype" w:hAnsi="Palatino Linotype" w:cs="Arial"/>
          <w:i/>
        </w:rPr>
        <w:t>•</w:t>
      </w:r>
      <w:r w:rsidRPr="007813EC">
        <w:rPr>
          <w:rFonts w:ascii="Palatino Linotype" w:hAnsi="Palatino Linotype" w:cs="Arial"/>
          <w:i/>
        </w:rPr>
        <w:tab/>
        <w:t xml:space="preserve">Acceso a la información pública. RRA 5402/17. Sesión del 25 de octubre de 2017. Votación por unanimidad. Sin votos disidentes o particulares. Comisión Federal para la Protección contra Riesgos Sanitarios. Comisionado Ponente </w:t>
      </w:r>
      <w:proofErr w:type="spellStart"/>
      <w:r w:rsidRPr="007813EC">
        <w:rPr>
          <w:rFonts w:ascii="Palatino Linotype" w:hAnsi="Palatino Linotype" w:cs="Arial"/>
          <w:i/>
        </w:rPr>
        <w:t>Rosendoevgueni</w:t>
      </w:r>
      <w:proofErr w:type="spellEnd"/>
      <w:r w:rsidRPr="007813EC">
        <w:rPr>
          <w:rFonts w:ascii="Palatino Linotype" w:hAnsi="Palatino Linotype" w:cs="Arial"/>
          <w:i/>
        </w:rPr>
        <w:t xml:space="preserve"> Monterrey </w:t>
      </w:r>
      <w:proofErr w:type="spellStart"/>
      <w:r w:rsidRPr="007813EC">
        <w:rPr>
          <w:rFonts w:ascii="Palatino Linotype" w:hAnsi="Palatino Linotype" w:cs="Arial"/>
          <w:i/>
        </w:rPr>
        <w:t>Chepov</w:t>
      </w:r>
      <w:proofErr w:type="spellEnd"/>
      <w:r w:rsidRPr="007813EC">
        <w:rPr>
          <w:rFonts w:ascii="Palatino Linotype" w:hAnsi="Palatino Linotype" w:cs="Arial"/>
          <w:i/>
        </w:rPr>
        <w:t>.</w:t>
      </w:r>
    </w:p>
    <w:p w14:paraId="7C9EC2EA" w14:textId="77777777" w:rsidR="005679D0" w:rsidRPr="007813EC" w:rsidRDefault="005679D0" w:rsidP="005136D5">
      <w:pPr>
        <w:spacing w:after="0" w:line="240" w:lineRule="auto"/>
        <w:ind w:left="567" w:right="567"/>
        <w:jc w:val="both"/>
        <w:rPr>
          <w:rFonts w:ascii="Palatino Linotype" w:hAnsi="Palatino Linotype" w:cs="Arial"/>
          <w:i/>
        </w:rPr>
      </w:pPr>
      <w:r w:rsidRPr="007813EC">
        <w:rPr>
          <w:rFonts w:ascii="Palatino Linotype" w:hAnsi="Palatino Linotype" w:cs="Arial"/>
          <w:i/>
        </w:rPr>
        <w:t>•</w:t>
      </w:r>
      <w:r w:rsidRPr="007813EC">
        <w:rPr>
          <w:rFonts w:ascii="Palatino Linotype" w:hAnsi="Palatino Linotype" w:cs="Arial"/>
          <w:i/>
        </w:rPr>
        <w:tab/>
        <w:t>Acceso a la información pública. RRA 7492/17. Sesión del 07 de febrero de 2018. Votación por unanimidad. Sin votos disidentes o particulares. Procuraduría Federal del Consumidor. Comisionada Ponente Areli Cano Guadiana.”</w:t>
      </w:r>
    </w:p>
    <w:p w14:paraId="71A89732" w14:textId="77777777" w:rsidR="002265F7" w:rsidRPr="007813EC" w:rsidRDefault="002265F7" w:rsidP="005136D5">
      <w:pPr>
        <w:spacing w:after="0" w:line="360" w:lineRule="auto"/>
        <w:jc w:val="both"/>
        <w:rPr>
          <w:rFonts w:ascii="Palatino Linotype" w:hAnsi="Palatino Linotype" w:cs="Arial"/>
          <w:sz w:val="24"/>
        </w:rPr>
      </w:pPr>
    </w:p>
    <w:p w14:paraId="6BBD53AB" w14:textId="77777777" w:rsidR="00B40482" w:rsidRPr="007813EC" w:rsidRDefault="00B40482" w:rsidP="005136D5">
      <w:pPr>
        <w:spacing w:after="0" w:line="360" w:lineRule="auto"/>
        <w:jc w:val="both"/>
        <w:rPr>
          <w:rFonts w:ascii="Palatino Linotype" w:hAnsi="Palatino Linotype" w:cs="Arial"/>
          <w:sz w:val="24"/>
        </w:rPr>
      </w:pPr>
      <w:r w:rsidRPr="007813EC">
        <w:rPr>
          <w:rFonts w:ascii="Palatino Linotype" w:hAnsi="Palatino Linotype" w:cs="Arial"/>
          <w:sz w:val="24"/>
        </w:rPr>
        <w:t xml:space="preserve">De este modo, como ha sido señalado en la presente resolución, en armonía entre los principios constitucionales de máxima publicidad y de protección de datos personales, </w:t>
      </w:r>
      <w:r w:rsidRPr="007813EC">
        <w:rPr>
          <w:rFonts w:ascii="Palatino Linotype" w:hAnsi="Palatino Linotype" w:cs="Arial"/>
          <w:sz w:val="24"/>
        </w:rPr>
        <w:lastRenderedPageBreak/>
        <w:t xml:space="preserve">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w:t>
      </w:r>
      <w:r w:rsidRPr="007813EC">
        <w:rPr>
          <w:rFonts w:ascii="Palatino Linotype" w:hAnsi="Palatino Linotype" w:cs="Arial"/>
          <w:sz w:val="24"/>
          <w:lang w:val="es-ES_tradnl"/>
        </w:rPr>
        <w:t>el Sujeto Obligado</w:t>
      </w:r>
      <w:r w:rsidRPr="007813EC">
        <w:rPr>
          <w:rFonts w:ascii="Palatino Linotype" w:hAnsi="Palatino Linotype" w:cs="Arial"/>
          <w:sz w:val="24"/>
        </w:rPr>
        <w:t xml:space="preserve">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593FC6B9" w14:textId="77777777" w:rsidR="00B40482" w:rsidRPr="007813EC" w:rsidRDefault="00B40482" w:rsidP="005136D5">
      <w:pPr>
        <w:spacing w:after="0" w:line="360" w:lineRule="auto"/>
        <w:jc w:val="both"/>
        <w:rPr>
          <w:rFonts w:ascii="Palatino Linotype" w:hAnsi="Palatino Linotype" w:cs="Arial"/>
          <w:sz w:val="24"/>
        </w:rPr>
      </w:pPr>
    </w:p>
    <w:p w14:paraId="7EB78DEE" w14:textId="77777777" w:rsidR="00B40482" w:rsidRPr="007813EC" w:rsidRDefault="00B40482" w:rsidP="005136D5">
      <w:pPr>
        <w:spacing w:after="0" w:line="360" w:lineRule="auto"/>
        <w:jc w:val="both"/>
        <w:rPr>
          <w:rFonts w:ascii="Palatino Linotype" w:hAnsi="Palatino Linotype" w:cs="Arial"/>
          <w:sz w:val="24"/>
        </w:rPr>
      </w:pPr>
      <w:r w:rsidRPr="007813EC">
        <w:rPr>
          <w:rFonts w:ascii="Palatino Linotype" w:hAnsi="Palatino Linotype" w:cs="Arial"/>
          <w:sz w:val="24"/>
        </w:rPr>
        <w:t>Por tanto, la fundamentación y motivación consiste en la obligación que tiene todo ente público de expresar los preceptos jurídicos aplicables al asunto motivo del acto y las razones o argumentos de su actuar.</w:t>
      </w:r>
    </w:p>
    <w:p w14:paraId="62CCE4C9" w14:textId="77777777" w:rsidR="00B40482" w:rsidRPr="007813EC" w:rsidRDefault="00B40482" w:rsidP="005136D5">
      <w:pPr>
        <w:spacing w:after="0" w:line="360" w:lineRule="auto"/>
        <w:jc w:val="both"/>
        <w:rPr>
          <w:rFonts w:ascii="Palatino Linotype" w:hAnsi="Palatino Linotype" w:cs="Arial"/>
          <w:sz w:val="24"/>
        </w:rPr>
      </w:pPr>
    </w:p>
    <w:p w14:paraId="6971E0A3" w14:textId="77777777" w:rsidR="00B40482" w:rsidRPr="007813EC" w:rsidRDefault="00B40482" w:rsidP="005136D5">
      <w:pPr>
        <w:spacing w:after="0" w:line="360" w:lineRule="auto"/>
        <w:jc w:val="both"/>
        <w:rPr>
          <w:rFonts w:ascii="Palatino Linotype" w:hAnsi="Palatino Linotype" w:cs="Arial"/>
          <w:sz w:val="24"/>
        </w:rPr>
      </w:pPr>
      <w:r w:rsidRPr="007813EC">
        <w:rPr>
          <w:rFonts w:ascii="Palatino Linotype" w:hAnsi="Palatino Linotype" w:cs="Arial"/>
          <w:sz w:val="24"/>
        </w:rPr>
        <w:t>Al respecto, el máximo tribunal del país ha establecido jurisprudencia respecto a qué debe entenderse por fundamentación y motivación, en los siguientes términos:</w:t>
      </w:r>
    </w:p>
    <w:p w14:paraId="50C3C373" w14:textId="77777777" w:rsidR="00B40482" w:rsidRPr="007813EC" w:rsidRDefault="00B40482" w:rsidP="005136D5">
      <w:pPr>
        <w:spacing w:after="0" w:line="360" w:lineRule="auto"/>
        <w:jc w:val="both"/>
        <w:rPr>
          <w:rFonts w:ascii="Palatino Linotype" w:hAnsi="Palatino Linotype" w:cs="Arial"/>
          <w:sz w:val="24"/>
        </w:rPr>
      </w:pPr>
    </w:p>
    <w:p w14:paraId="012E04BF" w14:textId="77777777" w:rsidR="00B40482" w:rsidRPr="007813EC" w:rsidRDefault="00B40482" w:rsidP="005136D5">
      <w:pPr>
        <w:spacing w:after="0" w:line="240" w:lineRule="auto"/>
        <w:ind w:left="567" w:right="567"/>
        <w:jc w:val="both"/>
        <w:rPr>
          <w:rFonts w:ascii="Palatino Linotype" w:hAnsi="Palatino Linotype" w:cs="Arial"/>
          <w:i/>
        </w:rPr>
      </w:pPr>
      <w:r w:rsidRPr="007813EC">
        <w:rPr>
          <w:rFonts w:ascii="Palatino Linotype" w:hAnsi="Palatino Linotype" w:cs="Arial"/>
          <w:b/>
          <w:i/>
        </w:rPr>
        <w:t xml:space="preserve">“FUNDAMENTACIÓN Y MOTIVACIÓN. </w:t>
      </w:r>
      <w:r w:rsidRPr="007813EC">
        <w:rPr>
          <w:rFonts w:ascii="Palatino Linotype" w:hAnsi="Palatino Linotype" w:cs="Arial"/>
          <w:i/>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5D78D16D" w14:textId="77777777" w:rsidR="00B40482" w:rsidRPr="007813EC" w:rsidRDefault="00B40482" w:rsidP="005136D5">
      <w:pPr>
        <w:spacing w:after="0" w:line="360" w:lineRule="auto"/>
        <w:jc w:val="both"/>
        <w:rPr>
          <w:rFonts w:ascii="Palatino Linotype" w:hAnsi="Palatino Linotype" w:cs="Arial"/>
          <w:sz w:val="24"/>
        </w:rPr>
      </w:pPr>
    </w:p>
    <w:p w14:paraId="7F072BB8" w14:textId="77777777" w:rsidR="00B40482" w:rsidRPr="007813EC" w:rsidRDefault="00B40482" w:rsidP="005136D5">
      <w:pPr>
        <w:spacing w:after="0" w:line="360" w:lineRule="auto"/>
        <w:jc w:val="both"/>
        <w:rPr>
          <w:rFonts w:ascii="Palatino Linotype" w:hAnsi="Palatino Linotype" w:cs="Arial"/>
          <w:sz w:val="24"/>
        </w:rPr>
      </w:pPr>
      <w:r w:rsidRPr="007813EC">
        <w:rPr>
          <w:rFonts w:ascii="Palatino Linotype" w:hAnsi="Palatino Linotype" w:cs="Arial"/>
          <w:sz w:val="24"/>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1BCCBECC" w14:textId="77777777" w:rsidR="00B40482" w:rsidRPr="007813EC" w:rsidRDefault="00B40482" w:rsidP="005136D5">
      <w:pPr>
        <w:spacing w:after="0" w:line="360" w:lineRule="auto"/>
        <w:jc w:val="both"/>
        <w:rPr>
          <w:rFonts w:ascii="Palatino Linotype" w:hAnsi="Palatino Linotype" w:cs="Arial"/>
          <w:sz w:val="24"/>
        </w:rPr>
      </w:pPr>
      <w:r w:rsidRPr="007813EC">
        <w:rPr>
          <w:rFonts w:ascii="Palatino Linotype" w:hAnsi="Palatino Linotype" w:cs="Arial"/>
          <w:sz w:val="24"/>
        </w:rPr>
        <w:lastRenderedPageBreak/>
        <w:t>Más aún, a través de diversa jurisprudencia dictada por el Poder Judicial de la Federación se sostiene que la finalidad de la fundamentación o motivación es la de explicar, justificar, posibilitar la defensa y comunicar la decisión de la autoridad:</w:t>
      </w:r>
    </w:p>
    <w:p w14:paraId="18C05C4C" w14:textId="77777777" w:rsidR="00B40482" w:rsidRPr="007813EC" w:rsidRDefault="00B40482" w:rsidP="005136D5">
      <w:pPr>
        <w:spacing w:after="0" w:line="360" w:lineRule="auto"/>
        <w:jc w:val="both"/>
        <w:rPr>
          <w:rFonts w:ascii="Palatino Linotype" w:hAnsi="Palatino Linotype" w:cs="Arial"/>
          <w:sz w:val="24"/>
        </w:rPr>
      </w:pPr>
    </w:p>
    <w:p w14:paraId="26A18E54" w14:textId="77777777" w:rsidR="00B40482" w:rsidRPr="007813EC" w:rsidRDefault="000311F5" w:rsidP="005136D5">
      <w:pPr>
        <w:spacing w:after="0" w:line="240" w:lineRule="auto"/>
        <w:ind w:left="567" w:right="567"/>
        <w:jc w:val="both"/>
        <w:rPr>
          <w:rFonts w:ascii="Palatino Linotype" w:hAnsi="Palatino Linotype" w:cs="Arial"/>
          <w:i/>
        </w:rPr>
      </w:pPr>
      <w:r w:rsidRPr="007813EC">
        <w:rPr>
          <w:rFonts w:ascii="Palatino Linotype" w:hAnsi="Palatino Linotype" w:cs="Arial"/>
          <w:b/>
          <w:i/>
        </w:rPr>
        <w:t>“</w:t>
      </w:r>
      <w:r w:rsidR="00B40482" w:rsidRPr="007813EC">
        <w:rPr>
          <w:rFonts w:ascii="Palatino Linotype" w:hAnsi="Palatino Linotype" w:cs="Arial"/>
          <w:b/>
          <w:i/>
        </w:rPr>
        <w:t>FUNDAMENTACIÓN Y MOTIVACIÓN. EL ASPECTO FORMAL DE LA GARANTÍA Y SU FINALIDAD SE TRADUCEN EN EXPLICAR, JUSTIFICAR, POSIBILITAR LA DEFENSA Y COMUNICAR LA DECISIÓN</w:t>
      </w:r>
      <w:r w:rsidR="00B40482" w:rsidRPr="007813EC">
        <w:rPr>
          <w:rFonts w:ascii="Palatino Linotype" w:hAnsi="Palatino Linotype" w:cs="Arial"/>
          <w:i/>
        </w:rPr>
        <w:t>.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r w:rsidRPr="007813EC">
        <w:rPr>
          <w:rFonts w:ascii="Palatino Linotype" w:hAnsi="Palatino Linotype" w:cs="Arial"/>
          <w:i/>
        </w:rPr>
        <w:t>”</w:t>
      </w:r>
    </w:p>
    <w:p w14:paraId="1EDDE144" w14:textId="77777777" w:rsidR="00B40482" w:rsidRPr="007813EC" w:rsidRDefault="00B40482" w:rsidP="005136D5">
      <w:pPr>
        <w:spacing w:after="0" w:line="360" w:lineRule="auto"/>
        <w:jc w:val="both"/>
        <w:rPr>
          <w:rFonts w:ascii="Palatino Linotype" w:hAnsi="Palatino Linotype" w:cs="Arial"/>
          <w:sz w:val="24"/>
        </w:rPr>
      </w:pPr>
    </w:p>
    <w:p w14:paraId="4117C2BF" w14:textId="70479568" w:rsidR="00B40482" w:rsidRPr="007813EC" w:rsidRDefault="00B40482" w:rsidP="005136D5">
      <w:pPr>
        <w:spacing w:after="0" w:line="360" w:lineRule="auto"/>
        <w:jc w:val="both"/>
        <w:rPr>
          <w:rFonts w:ascii="Palatino Linotype" w:hAnsi="Palatino Linotype" w:cs="Arial"/>
          <w:sz w:val="24"/>
        </w:rPr>
      </w:pPr>
      <w:r w:rsidRPr="007813EC">
        <w:rPr>
          <w:rFonts w:ascii="Palatino Linotype" w:hAnsi="Palatino Linotype" w:cs="Arial"/>
          <w:sz w:val="24"/>
        </w:rPr>
        <w:t xml:space="preserve">En consecuencia, la fundamentación y motivación implica </w:t>
      </w:r>
      <w:r w:rsidR="005F1528" w:rsidRPr="007813EC">
        <w:rPr>
          <w:rFonts w:ascii="Palatino Linotype" w:hAnsi="Palatino Linotype" w:cs="Arial"/>
          <w:sz w:val="24"/>
        </w:rPr>
        <w:t>que,</w:t>
      </w:r>
      <w:r w:rsidRPr="007813EC">
        <w:rPr>
          <w:rFonts w:ascii="Palatino Linotype" w:hAnsi="Palatino Linotype" w:cs="Arial"/>
          <w:sz w:val="24"/>
        </w:rPr>
        <w:t xml:space="preserv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4796F972" w14:textId="77777777" w:rsidR="00B40482" w:rsidRPr="007813EC" w:rsidRDefault="00B40482" w:rsidP="005136D5">
      <w:pPr>
        <w:spacing w:after="0" w:line="360" w:lineRule="auto"/>
        <w:jc w:val="both"/>
        <w:rPr>
          <w:rFonts w:ascii="Palatino Linotype" w:hAnsi="Palatino Linotype" w:cs="Arial"/>
          <w:sz w:val="24"/>
        </w:rPr>
      </w:pPr>
    </w:p>
    <w:p w14:paraId="05EC5F03" w14:textId="77777777" w:rsidR="00B40482" w:rsidRPr="007813EC" w:rsidRDefault="00B40482" w:rsidP="005136D5">
      <w:pPr>
        <w:spacing w:after="0" w:line="360" w:lineRule="auto"/>
        <w:jc w:val="both"/>
        <w:rPr>
          <w:rFonts w:ascii="Palatino Linotype" w:hAnsi="Palatino Linotype" w:cs="Arial"/>
          <w:sz w:val="24"/>
          <w:lang w:val="es-ES"/>
        </w:rPr>
      </w:pPr>
      <w:r w:rsidRPr="007813EC">
        <w:rPr>
          <w:rFonts w:ascii="Palatino Linotype" w:hAnsi="Palatino Linotype" w:cs="Arial"/>
          <w:sz w:val="24"/>
          <w:lang w:val="es-ES"/>
        </w:rPr>
        <w:t>Por lo tanto, la entrega de documentos en su versión pública debe acompañarse necesariamente del Acuerdo del Comité de Transparencia del Sujeto Obligado</w:t>
      </w:r>
      <w:r w:rsidRPr="007813EC">
        <w:rPr>
          <w:rFonts w:ascii="Palatino Linotype" w:hAnsi="Palatino Linotype" w:cs="Arial"/>
          <w:b/>
          <w:sz w:val="24"/>
          <w:lang w:val="es-ES"/>
        </w:rPr>
        <w:t xml:space="preserve"> </w:t>
      </w:r>
      <w:r w:rsidRPr="007813EC">
        <w:rPr>
          <w:rFonts w:ascii="Palatino Linotype" w:hAnsi="Palatino Linotype" w:cs="Arial"/>
          <w:sz w:val="24"/>
          <w:lang w:val="es-ES"/>
        </w:rPr>
        <w:t xml:space="preserve">que la sustente, en el que se expongan los fundamentos y razones que llevaron a la autoridad </w:t>
      </w:r>
      <w:r w:rsidRPr="007813EC">
        <w:rPr>
          <w:rFonts w:ascii="Palatino Linotype" w:hAnsi="Palatino Linotype" w:cs="Arial"/>
          <w:sz w:val="24"/>
          <w:lang w:val="es-ES"/>
        </w:rPr>
        <w:lastRenderedPageBreak/>
        <w:t>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5805AC56" w14:textId="77777777" w:rsidR="00B40482" w:rsidRPr="007813EC" w:rsidRDefault="00B40482" w:rsidP="005136D5">
      <w:pPr>
        <w:spacing w:after="0" w:line="360" w:lineRule="auto"/>
        <w:jc w:val="both"/>
        <w:rPr>
          <w:rFonts w:ascii="Palatino Linotype" w:hAnsi="Palatino Linotype" w:cs="Arial"/>
          <w:sz w:val="24"/>
          <w:lang w:val="es-ES"/>
        </w:rPr>
      </w:pPr>
    </w:p>
    <w:p w14:paraId="6CB14C8F" w14:textId="0D7CC36A" w:rsidR="00B40482" w:rsidRPr="007813EC" w:rsidRDefault="00B40482" w:rsidP="005136D5">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7813EC">
        <w:rPr>
          <w:rFonts w:ascii="Palatino Linotype" w:eastAsia="Palatino Linotype" w:hAnsi="Palatino Linotype" w:cs="Palatino Linotype"/>
          <w:sz w:val="24"/>
          <w:szCs w:val="24"/>
          <w:lang w:eastAsia="es-MX"/>
        </w:rPr>
        <w:t xml:space="preserve">En mérito de lo expuesto en líneas anteriores, este Instituto considera que los motivos de inconformidad planteados por la parte </w:t>
      </w:r>
      <w:r w:rsidRPr="007813EC">
        <w:rPr>
          <w:rFonts w:ascii="Palatino Linotype" w:eastAsia="Palatino Linotype" w:hAnsi="Palatino Linotype" w:cs="Palatino Linotype"/>
          <w:b/>
          <w:sz w:val="24"/>
          <w:szCs w:val="24"/>
          <w:lang w:eastAsia="es-MX"/>
        </w:rPr>
        <w:t>Recurrente</w:t>
      </w:r>
      <w:r w:rsidRPr="007813EC">
        <w:rPr>
          <w:rFonts w:ascii="Palatino Linotype" w:eastAsia="Palatino Linotype" w:hAnsi="Palatino Linotype" w:cs="Palatino Linotype"/>
          <w:sz w:val="24"/>
          <w:szCs w:val="24"/>
          <w:lang w:eastAsia="es-MX"/>
        </w:rPr>
        <w:t xml:space="preserve"> resultan fundados; por ello </w:t>
      </w:r>
      <w:r w:rsidRPr="007813EC">
        <w:rPr>
          <w:rFonts w:ascii="Palatino Linotype" w:eastAsia="Palatino Linotype" w:hAnsi="Palatino Linotype" w:cs="Palatino Linotype"/>
          <w:b/>
          <w:sz w:val="24"/>
          <w:szCs w:val="24"/>
          <w:lang w:eastAsia="es-MX"/>
        </w:rPr>
        <w:t xml:space="preserve">con fundamento en la </w:t>
      </w:r>
      <w:r w:rsidR="00A939AD" w:rsidRPr="007813EC">
        <w:rPr>
          <w:rFonts w:ascii="Palatino Linotype" w:eastAsia="Palatino Linotype" w:hAnsi="Palatino Linotype" w:cs="Palatino Linotype"/>
          <w:b/>
          <w:sz w:val="24"/>
          <w:szCs w:val="24"/>
          <w:lang w:eastAsia="es-MX"/>
        </w:rPr>
        <w:t>primera</w:t>
      </w:r>
      <w:r w:rsidRPr="007813EC">
        <w:rPr>
          <w:rFonts w:ascii="Palatino Linotype" w:eastAsia="Palatino Linotype" w:hAnsi="Palatino Linotype" w:cs="Palatino Linotype"/>
          <w:b/>
          <w:sz w:val="24"/>
          <w:szCs w:val="24"/>
          <w:lang w:eastAsia="es-MX"/>
        </w:rPr>
        <w:t xml:space="preserve"> hipótesis de la fracción III del artículo 186 </w:t>
      </w:r>
      <w:r w:rsidRPr="007813EC">
        <w:rPr>
          <w:rFonts w:ascii="Palatino Linotype" w:eastAsia="Palatino Linotype" w:hAnsi="Palatino Linotype" w:cs="Palatino Linotype"/>
          <w:sz w:val="24"/>
          <w:szCs w:val="24"/>
          <w:lang w:eastAsia="es-MX"/>
        </w:rPr>
        <w:t xml:space="preserve">de la Ley de Transparencia y Acceso a la Información Pública del Estado de México y Municipios, se </w:t>
      </w:r>
      <w:r w:rsidR="00A939AD" w:rsidRPr="007813EC">
        <w:rPr>
          <w:rFonts w:ascii="Palatino Linotype" w:eastAsia="Palatino Linotype" w:hAnsi="Palatino Linotype" w:cs="Palatino Linotype"/>
          <w:b/>
          <w:sz w:val="24"/>
          <w:szCs w:val="24"/>
          <w:lang w:eastAsia="es-MX"/>
        </w:rPr>
        <w:t>REVOCA</w:t>
      </w:r>
      <w:r w:rsidRPr="007813EC">
        <w:rPr>
          <w:rFonts w:ascii="Palatino Linotype" w:eastAsia="Palatino Linotype" w:hAnsi="Palatino Linotype" w:cs="Palatino Linotype"/>
          <w:b/>
          <w:sz w:val="24"/>
          <w:szCs w:val="24"/>
          <w:lang w:eastAsia="es-MX"/>
        </w:rPr>
        <w:t xml:space="preserve"> </w:t>
      </w:r>
      <w:r w:rsidRPr="007813EC">
        <w:rPr>
          <w:rFonts w:ascii="Palatino Linotype" w:eastAsia="Palatino Linotype" w:hAnsi="Palatino Linotype" w:cs="Palatino Linotype"/>
          <w:sz w:val="24"/>
          <w:szCs w:val="24"/>
          <w:lang w:eastAsia="es-MX"/>
        </w:rPr>
        <w:t>la respuesta proporcionada a la solicitud de información número</w:t>
      </w:r>
      <w:r w:rsidRPr="007813EC">
        <w:rPr>
          <w:rFonts w:ascii="Palatino Linotype" w:eastAsia="Palatino Linotype" w:hAnsi="Palatino Linotype" w:cs="Palatino Linotype"/>
          <w:b/>
          <w:sz w:val="24"/>
          <w:szCs w:val="24"/>
          <w:lang w:eastAsia="es-MX"/>
        </w:rPr>
        <w:t xml:space="preserve"> </w:t>
      </w:r>
      <w:r w:rsidR="00B62642">
        <w:rPr>
          <w:rFonts w:ascii="Palatino Linotype" w:hAnsi="Palatino Linotype" w:cs="Arial"/>
          <w:b/>
          <w:bCs/>
          <w:sz w:val="24"/>
          <w:szCs w:val="24"/>
        </w:rPr>
        <w:t>00045/MORELOS/IP/2024</w:t>
      </w:r>
      <w:r w:rsidRPr="007813EC">
        <w:rPr>
          <w:rFonts w:ascii="Palatino Linotype" w:eastAsia="Palatino Linotype" w:hAnsi="Palatino Linotype" w:cs="Palatino Linotype"/>
          <w:sz w:val="24"/>
          <w:szCs w:val="24"/>
          <w:lang w:eastAsia="es-MX"/>
        </w:rPr>
        <w:t>,</w:t>
      </w:r>
      <w:r w:rsidRPr="007813EC">
        <w:rPr>
          <w:rFonts w:ascii="Palatino Linotype" w:eastAsia="Palatino Linotype" w:hAnsi="Palatino Linotype" w:cs="Palatino Linotype"/>
          <w:b/>
          <w:sz w:val="24"/>
          <w:szCs w:val="24"/>
          <w:lang w:eastAsia="es-MX"/>
        </w:rPr>
        <w:t xml:space="preserve"> </w:t>
      </w:r>
      <w:r w:rsidRPr="007813EC">
        <w:rPr>
          <w:rFonts w:ascii="Palatino Linotype" w:eastAsia="Palatino Linotype" w:hAnsi="Palatino Linotype" w:cs="Palatino Linotype"/>
          <w:sz w:val="24"/>
          <w:szCs w:val="24"/>
          <w:lang w:eastAsia="es-MX"/>
        </w:rPr>
        <w:t>que ha sido materia del presente estudio.</w:t>
      </w:r>
    </w:p>
    <w:p w14:paraId="68D30AAD" w14:textId="77777777" w:rsidR="00B40482" w:rsidRPr="007813EC" w:rsidRDefault="00B40482" w:rsidP="005136D5">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034D6B17" w14:textId="77777777" w:rsidR="00B40482" w:rsidRPr="007813EC" w:rsidRDefault="00B40482" w:rsidP="005136D5">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7813EC">
        <w:rPr>
          <w:rFonts w:ascii="Palatino Linotype" w:eastAsia="Palatino Linotype" w:hAnsi="Palatino Linotype" w:cs="Palatino Linotype"/>
          <w:sz w:val="24"/>
          <w:szCs w:val="24"/>
          <w:lang w:eastAsia="es-MX"/>
        </w:rPr>
        <w:t>Por lo antes expuesto y fundado es de resolverse y,</w:t>
      </w:r>
    </w:p>
    <w:p w14:paraId="4C11F578" w14:textId="77777777" w:rsidR="00B40482" w:rsidRPr="007813EC" w:rsidRDefault="00B40482" w:rsidP="005136D5">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6802EB90" w14:textId="77777777" w:rsidR="00B40482" w:rsidRPr="007813EC" w:rsidRDefault="00B40482" w:rsidP="005136D5">
      <w:pPr>
        <w:pBdr>
          <w:top w:val="nil"/>
          <w:left w:val="nil"/>
          <w:bottom w:val="nil"/>
          <w:right w:val="nil"/>
          <w:between w:val="nil"/>
        </w:pBdr>
        <w:spacing w:after="0" w:line="360" w:lineRule="auto"/>
        <w:jc w:val="center"/>
        <w:rPr>
          <w:rFonts w:ascii="Palatino Linotype" w:eastAsia="Palatino Linotype" w:hAnsi="Palatino Linotype" w:cs="Palatino Linotype"/>
          <w:b/>
          <w:sz w:val="28"/>
          <w:szCs w:val="28"/>
          <w:lang w:eastAsia="es-MX"/>
        </w:rPr>
      </w:pPr>
      <w:r w:rsidRPr="007813EC">
        <w:rPr>
          <w:rFonts w:ascii="Palatino Linotype" w:eastAsia="Palatino Linotype" w:hAnsi="Palatino Linotype" w:cs="Palatino Linotype"/>
          <w:b/>
          <w:sz w:val="28"/>
          <w:szCs w:val="28"/>
          <w:lang w:eastAsia="es-MX"/>
        </w:rPr>
        <w:t>S E    R E S U E L V E</w:t>
      </w:r>
    </w:p>
    <w:p w14:paraId="5313E487" w14:textId="77777777" w:rsidR="00B40482" w:rsidRPr="007813EC" w:rsidRDefault="00B40482" w:rsidP="005136D5">
      <w:pPr>
        <w:pBdr>
          <w:top w:val="nil"/>
          <w:left w:val="nil"/>
          <w:bottom w:val="nil"/>
          <w:right w:val="nil"/>
          <w:between w:val="nil"/>
        </w:pBdr>
        <w:spacing w:after="0" w:line="360" w:lineRule="auto"/>
        <w:jc w:val="center"/>
        <w:rPr>
          <w:rFonts w:ascii="Palatino Linotype" w:eastAsia="Palatino Linotype" w:hAnsi="Palatino Linotype" w:cs="Palatino Linotype"/>
          <w:b/>
          <w:sz w:val="28"/>
          <w:szCs w:val="28"/>
          <w:lang w:eastAsia="es-MX"/>
        </w:rPr>
      </w:pPr>
    </w:p>
    <w:p w14:paraId="3D32FA7E" w14:textId="65F76AAD" w:rsidR="00B40482" w:rsidRPr="007813EC" w:rsidRDefault="00B40482" w:rsidP="005136D5">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7813EC">
        <w:rPr>
          <w:rFonts w:ascii="Palatino Linotype" w:eastAsia="Palatino Linotype" w:hAnsi="Palatino Linotype" w:cs="Palatino Linotype"/>
          <w:b/>
          <w:sz w:val="26"/>
          <w:szCs w:val="26"/>
          <w:lang w:eastAsia="es-MX"/>
        </w:rPr>
        <w:t>PRIMERO</w:t>
      </w:r>
      <w:r w:rsidRPr="007813EC">
        <w:rPr>
          <w:rFonts w:ascii="Palatino Linotype" w:eastAsia="Palatino Linotype" w:hAnsi="Palatino Linotype" w:cs="Palatino Linotype"/>
          <w:b/>
          <w:sz w:val="24"/>
          <w:szCs w:val="24"/>
          <w:lang w:eastAsia="es-MX"/>
        </w:rPr>
        <w:t>.</w:t>
      </w:r>
      <w:r w:rsidRPr="007813EC">
        <w:rPr>
          <w:rFonts w:ascii="Palatino Linotype" w:eastAsia="Palatino Linotype" w:hAnsi="Palatino Linotype" w:cs="Palatino Linotype"/>
          <w:sz w:val="24"/>
          <w:szCs w:val="24"/>
          <w:lang w:eastAsia="es-MX"/>
        </w:rPr>
        <w:t xml:space="preserve"> Se </w:t>
      </w:r>
      <w:r w:rsidR="00A939AD" w:rsidRPr="007813EC">
        <w:rPr>
          <w:rFonts w:ascii="Palatino Linotype" w:eastAsia="Palatino Linotype" w:hAnsi="Palatino Linotype" w:cs="Palatino Linotype"/>
          <w:b/>
          <w:sz w:val="24"/>
          <w:szCs w:val="24"/>
          <w:lang w:eastAsia="es-MX"/>
        </w:rPr>
        <w:t>REVOCA</w:t>
      </w:r>
      <w:r w:rsidRPr="007813EC">
        <w:rPr>
          <w:rFonts w:ascii="Palatino Linotype" w:eastAsia="Palatino Linotype" w:hAnsi="Palatino Linotype" w:cs="Palatino Linotype"/>
          <w:sz w:val="24"/>
          <w:szCs w:val="24"/>
          <w:lang w:eastAsia="es-MX"/>
        </w:rPr>
        <w:t xml:space="preserve"> la respuesta entregada por el </w:t>
      </w:r>
      <w:r w:rsidRPr="007813EC">
        <w:rPr>
          <w:rFonts w:ascii="Palatino Linotype" w:eastAsia="Palatino Linotype" w:hAnsi="Palatino Linotype" w:cs="Palatino Linotype"/>
          <w:b/>
          <w:sz w:val="24"/>
          <w:szCs w:val="24"/>
          <w:lang w:eastAsia="es-MX"/>
        </w:rPr>
        <w:t xml:space="preserve">Sujeto Obligado </w:t>
      </w:r>
      <w:r w:rsidRPr="007813EC">
        <w:rPr>
          <w:rFonts w:ascii="Palatino Linotype" w:eastAsia="Palatino Linotype" w:hAnsi="Palatino Linotype" w:cs="Palatino Linotype"/>
          <w:sz w:val="24"/>
          <w:szCs w:val="24"/>
          <w:lang w:eastAsia="es-MX"/>
        </w:rPr>
        <w:t xml:space="preserve">a la solicitud de información </w:t>
      </w:r>
      <w:r w:rsidR="00B62642">
        <w:rPr>
          <w:rFonts w:ascii="Palatino Linotype" w:hAnsi="Palatino Linotype" w:cs="Arial"/>
          <w:b/>
          <w:bCs/>
          <w:sz w:val="24"/>
          <w:szCs w:val="24"/>
        </w:rPr>
        <w:t>00045/MORELOS/IP/2024</w:t>
      </w:r>
      <w:r w:rsidRPr="007813EC">
        <w:rPr>
          <w:rFonts w:ascii="Palatino Linotype" w:eastAsia="Palatino Linotype" w:hAnsi="Palatino Linotype" w:cs="Palatino Linotype"/>
          <w:sz w:val="24"/>
          <w:szCs w:val="24"/>
          <w:lang w:eastAsia="es-MX"/>
        </w:rPr>
        <w:t xml:space="preserve">, por resultar fundados los motivos de inconformidad argüidos por la parte </w:t>
      </w:r>
      <w:r w:rsidRPr="007813EC">
        <w:rPr>
          <w:rFonts w:ascii="Palatino Linotype" w:eastAsia="Palatino Linotype" w:hAnsi="Palatino Linotype" w:cs="Palatino Linotype"/>
          <w:b/>
          <w:sz w:val="24"/>
          <w:szCs w:val="24"/>
          <w:lang w:eastAsia="es-MX"/>
        </w:rPr>
        <w:t>Recurrente</w:t>
      </w:r>
      <w:r w:rsidRPr="007813EC">
        <w:rPr>
          <w:rFonts w:ascii="Palatino Linotype" w:eastAsia="Palatino Linotype" w:hAnsi="Palatino Linotype" w:cs="Palatino Linotype"/>
          <w:sz w:val="24"/>
          <w:szCs w:val="24"/>
          <w:lang w:eastAsia="es-MX"/>
        </w:rPr>
        <w:t>, en términos del considerando</w:t>
      </w:r>
      <w:r w:rsidRPr="007813EC">
        <w:rPr>
          <w:rFonts w:ascii="Palatino Linotype" w:eastAsia="Palatino Linotype" w:hAnsi="Palatino Linotype" w:cs="Palatino Linotype"/>
          <w:b/>
          <w:sz w:val="24"/>
          <w:szCs w:val="24"/>
          <w:lang w:eastAsia="es-MX"/>
        </w:rPr>
        <w:t xml:space="preserve"> CUARTO </w:t>
      </w:r>
      <w:r w:rsidRPr="007813EC">
        <w:rPr>
          <w:rFonts w:ascii="Palatino Linotype" w:eastAsia="Palatino Linotype" w:hAnsi="Palatino Linotype" w:cs="Palatino Linotype"/>
          <w:sz w:val="24"/>
          <w:szCs w:val="24"/>
          <w:lang w:eastAsia="es-MX"/>
        </w:rPr>
        <w:t xml:space="preserve">de la presente resolución. </w:t>
      </w:r>
    </w:p>
    <w:p w14:paraId="67C07961" w14:textId="77777777" w:rsidR="00B40482" w:rsidRPr="007813EC" w:rsidRDefault="00B40482" w:rsidP="005136D5">
      <w:pPr>
        <w:pBdr>
          <w:top w:val="nil"/>
          <w:left w:val="nil"/>
          <w:bottom w:val="nil"/>
          <w:right w:val="nil"/>
          <w:between w:val="nil"/>
        </w:pBdr>
        <w:spacing w:after="0" w:line="360" w:lineRule="auto"/>
        <w:jc w:val="both"/>
        <w:rPr>
          <w:rFonts w:ascii="Palatino Linotype" w:eastAsia="Palatino Linotype" w:hAnsi="Palatino Linotype" w:cs="Palatino Linotype"/>
          <w:sz w:val="21"/>
          <w:szCs w:val="21"/>
          <w:lang w:eastAsia="es-MX"/>
        </w:rPr>
      </w:pPr>
    </w:p>
    <w:p w14:paraId="5DFD74A0" w14:textId="61C0C983" w:rsidR="005D3217" w:rsidRPr="007813EC" w:rsidRDefault="00B40482" w:rsidP="005136D5">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7813EC">
        <w:rPr>
          <w:rFonts w:ascii="Palatino Linotype" w:eastAsia="Palatino Linotype" w:hAnsi="Palatino Linotype" w:cs="Palatino Linotype"/>
          <w:b/>
          <w:sz w:val="26"/>
          <w:szCs w:val="26"/>
          <w:lang w:eastAsia="es-MX"/>
        </w:rPr>
        <w:lastRenderedPageBreak/>
        <w:t>SEGUNDO</w:t>
      </w:r>
      <w:r w:rsidRPr="007813EC">
        <w:rPr>
          <w:rFonts w:ascii="Palatino Linotype" w:eastAsia="Palatino Linotype" w:hAnsi="Palatino Linotype" w:cs="Palatino Linotype"/>
          <w:b/>
          <w:sz w:val="24"/>
          <w:szCs w:val="24"/>
          <w:lang w:eastAsia="es-MX"/>
        </w:rPr>
        <w:t>.</w:t>
      </w:r>
      <w:r w:rsidRPr="007813EC">
        <w:rPr>
          <w:rFonts w:ascii="Palatino Linotype" w:eastAsia="Palatino Linotype" w:hAnsi="Palatino Linotype" w:cs="Palatino Linotype"/>
          <w:sz w:val="24"/>
          <w:szCs w:val="24"/>
          <w:lang w:eastAsia="es-MX"/>
        </w:rPr>
        <w:t xml:space="preserve"> </w:t>
      </w:r>
      <w:r w:rsidR="005D3217" w:rsidRPr="007813EC">
        <w:rPr>
          <w:rFonts w:ascii="Palatino Linotype" w:eastAsia="Palatino Linotype" w:hAnsi="Palatino Linotype" w:cs="Palatino Linotype"/>
          <w:sz w:val="24"/>
          <w:szCs w:val="24"/>
          <w:lang w:eastAsia="es-MX"/>
        </w:rPr>
        <w:t xml:space="preserve">Se </w:t>
      </w:r>
      <w:r w:rsidR="005D3217" w:rsidRPr="007813EC">
        <w:rPr>
          <w:rFonts w:ascii="Palatino Linotype" w:eastAsia="Palatino Linotype" w:hAnsi="Palatino Linotype" w:cs="Palatino Linotype"/>
          <w:b/>
          <w:sz w:val="24"/>
          <w:szCs w:val="24"/>
          <w:lang w:eastAsia="es-MX"/>
        </w:rPr>
        <w:t>ORDENA</w:t>
      </w:r>
      <w:r w:rsidR="005D3217" w:rsidRPr="007813EC">
        <w:rPr>
          <w:rFonts w:ascii="Palatino Linotype" w:eastAsia="Palatino Linotype" w:hAnsi="Palatino Linotype" w:cs="Palatino Linotype"/>
          <w:sz w:val="24"/>
          <w:szCs w:val="24"/>
          <w:lang w:eastAsia="es-MX"/>
        </w:rPr>
        <w:t xml:space="preserve"> al </w:t>
      </w:r>
      <w:r w:rsidR="005D3217" w:rsidRPr="007813EC">
        <w:rPr>
          <w:rFonts w:ascii="Palatino Linotype" w:eastAsia="Palatino Linotype" w:hAnsi="Palatino Linotype" w:cs="Palatino Linotype"/>
          <w:b/>
          <w:sz w:val="24"/>
          <w:szCs w:val="24"/>
          <w:lang w:eastAsia="es-MX"/>
        </w:rPr>
        <w:t>Sujeto Obligado</w:t>
      </w:r>
      <w:r w:rsidR="005D3217" w:rsidRPr="007813EC">
        <w:rPr>
          <w:rFonts w:ascii="Palatino Linotype" w:eastAsia="Palatino Linotype" w:hAnsi="Palatino Linotype" w:cs="Palatino Linotype"/>
          <w:sz w:val="24"/>
          <w:szCs w:val="24"/>
          <w:lang w:eastAsia="es-MX"/>
        </w:rPr>
        <w:t xml:space="preserve"> que, haga entrega a la parte </w:t>
      </w:r>
      <w:r w:rsidR="005D3217" w:rsidRPr="007813EC">
        <w:rPr>
          <w:rFonts w:ascii="Palatino Linotype" w:eastAsia="Palatino Linotype" w:hAnsi="Palatino Linotype" w:cs="Palatino Linotype"/>
          <w:b/>
          <w:sz w:val="24"/>
          <w:szCs w:val="24"/>
          <w:lang w:eastAsia="es-MX"/>
        </w:rPr>
        <w:t>Recurrente</w:t>
      </w:r>
      <w:r w:rsidR="005D3217" w:rsidRPr="007813EC">
        <w:rPr>
          <w:rFonts w:ascii="Palatino Linotype" w:eastAsia="Palatino Linotype" w:hAnsi="Palatino Linotype" w:cs="Palatino Linotype"/>
          <w:sz w:val="24"/>
          <w:szCs w:val="24"/>
          <w:lang w:eastAsia="es-MX"/>
        </w:rPr>
        <w:t xml:space="preserve"> mediante el Sistema de Acceso a la Información Mexiquense (SAIMEX)</w:t>
      </w:r>
      <w:r w:rsidR="005136D5">
        <w:rPr>
          <w:rFonts w:ascii="Palatino Linotype" w:eastAsia="Palatino Linotype" w:hAnsi="Palatino Linotype" w:cs="Palatino Linotype"/>
          <w:sz w:val="24"/>
          <w:szCs w:val="24"/>
          <w:lang w:eastAsia="es-MX"/>
        </w:rPr>
        <w:t xml:space="preserve"> y correo electrónico</w:t>
      </w:r>
      <w:r w:rsidR="005D3217" w:rsidRPr="007813EC">
        <w:rPr>
          <w:rFonts w:ascii="Palatino Linotype" w:eastAsia="Palatino Linotype" w:hAnsi="Palatino Linotype" w:cs="Palatino Linotype"/>
          <w:sz w:val="24"/>
          <w:szCs w:val="24"/>
          <w:lang w:eastAsia="es-MX"/>
        </w:rPr>
        <w:t xml:space="preserve">, en </w:t>
      </w:r>
      <w:r w:rsidR="00A939AD" w:rsidRPr="007813EC">
        <w:rPr>
          <w:rFonts w:ascii="Palatino Linotype" w:eastAsia="Palatino Linotype" w:hAnsi="Palatino Linotype" w:cs="Palatino Linotype"/>
          <w:sz w:val="24"/>
          <w:szCs w:val="24"/>
          <w:lang w:eastAsia="es-MX"/>
        </w:rPr>
        <w:t xml:space="preserve">su caso en versión pública </w:t>
      </w:r>
      <w:r w:rsidR="005136D5" w:rsidRPr="005136D5">
        <w:rPr>
          <w:rFonts w:ascii="Palatino Linotype" w:eastAsia="Palatino Linotype" w:hAnsi="Palatino Linotype" w:cs="Palatino Linotype"/>
          <w:sz w:val="24"/>
          <w:szCs w:val="24"/>
          <w:lang w:eastAsia="es-MX"/>
        </w:rPr>
        <w:t>en formato Excel o en el formato en que se encuentre, el o los documentos en donde conste lo siguiente:</w:t>
      </w:r>
    </w:p>
    <w:p w14:paraId="1B6576ED" w14:textId="47168B1F" w:rsidR="00292A33" w:rsidRDefault="00292A33" w:rsidP="005136D5">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18C9FC72" w14:textId="7E00367C" w:rsidR="005136D5" w:rsidRPr="005136D5" w:rsidRDefault="005136D5" w:rsidP="005136D5">
      <w:pPr>
        <w:pStyle w:val="Prrafodelista"/>
        <w:numPr>
          <w:ilvl w:val="0"/>
          <w:numId w:val="46"/>
        </w:numPr>
        <w:pBdr>
          <w:top w:val="nil"/>
          <w:left w:val="nil"/>
          <w:bottom w:val="nil"/>
          <w:right w:val="nil"/>
          <w:between w:val="nil"/>
        </w:pBdr>
        <w:spacing w:line="360" w:lineRule="auto"/>
        <w:jc w:val="both"/>
        <w:rPr>
          <w:rFonts w:ascii="Palatino Linotype" w:eastAsia="Palatino Linotype" w:hAnsi="Palatino Linotype" w:cs="Palatino Linotype"/>
          <w:lang w:eastAsia="es-MX"/>
        </w:rPr>
      </w:pPr>
      <w:r w:rsidRPr="005136D5">
        <w:rPr>
          <w:rFonts w:ascii="Palatino Linotype" w:eastAsia="Palatino Linotype" w:hAnsi="Palatino Linotype" w:cs="Palatino Linotype"/>
          <w:lang w:eastAsia="es-MX"/>
        </w:rPr>
        <w:t>Registro Municipal de las licencias de funcionamiento otorgadas para la operación de establecimientos en los que se vende o consume bebidas alcohólicas, y en donde conste, dirección de los establecimientos, nombres y/o razones sociales de los titulares, vigente al once de junio de dos mil veinticuatro.</w:t>
      </w:r>
    </w:p>
    <w:p w14:paraId="17E65544" w14:textId="77777777" w:rsidR="005136D5" w:rsidRPr="005136D5" w:rsidRDefault="005136D5" w:rsidP="005136D5">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7A61DFDA" w14:textId="729CA898" w:rsidR="005136D5" w:rsidRPr="005136D5" w:rsidRDefault="005136D5" w:rsidP="005136D5">
      <w:pPr>
        <w:pStyle w:val="Prrafodelista"/>
        <w:numPr>
          <w:ilvl w:val="0"/>
          <w:numId w:val="46"/>
        </w:numPr>
        <w:pBdr>
          <w:top w:val="nil"/>
          <w:left w:val="nil"/>
          <w:bottom w:val="nil"/>
          <w:right w:val="nil"/>
          <w:between w:val="nil"/>
        </w:pBdr>
        <w:spacing w:line="360" w:lineRule="auto"/>
        <w:jc w:val="both"/>
        <w:rPr>
          <w:rFonts w:ascii="Palatino Linotype" w:eastAsia="Palatino Linotype" w:hAnsi="Palatino Linotype" w:cs="Palatino Linotype"/>
          <w:lang w:eastAsia="es-MX"/>
        </w:rPr>
      </w:pPr>
      <w:r w:rsidRPr="005136D5">
        <w:rPr>
          <w:rFonts w:ascii="Palatino Linotype" w:eastAsia="Palatino Linotype" w:hAnsi="Palatino Linotype" w:cs="Palatino Linotype"/>
          <w:lang w:eastAsia="es-MX"/>
        </w:rPr>
        <w:t>Las licencias de funcionamiento relativas a la actividad económica referida en la solicitud, vigentes al once de junio de dos mil veinticuatro.</w:t>
      </w:r>
    </w:p>
    <w:p w14:paraId="17D59958" w14:textId="77777777" w:rsidR="005136D5" w:rsidRPr="005136D5" w:rsidRDefault="005136D5" w:rsidP="005136D5">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1F5EC2E0" w14:textId="79A63EB8" w:rsidR="00B40482" w:rsidRPr="007813EC" w:rsidRDefault="00B40482" w:rsidP="005136D5">
      <w:pPr>
        <w:spacing w:after="0" w:line="360" w:lineRule="auto"/>
        <w:jc w:val="both"/>
        <w:rPr>
          <w:rFonts w:ascii="Palatino Linotype" w:eastAsia="Times New Roman" w:hAnsi="Palatino Linotype" w:cs="Arial"/>
          <w:sz w:val="24"/>
          <w:szCs w:val="24"/>
          <w:lang w:eastAsia="es-ES"/>
        </w:rPr>
      </w:pPr>
      <w:r w:rsidRPr="007813EC">
        <w:rPr>
          <w:rFonts w:ascii="Palatino Linotype" w:eastAsia="Times New Roman" w:hAnsi="Palatino Linotype" w:cs="Arial"/>
          <w:sz w:val="24"/>
          <w:szCs w:val="24"/>
          <w:lang w:eastAsia="es-ES"/>
        </w:rPr>
        <w:t xml:space="preserve">Para la entrega en versión pública de la información ordenada,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 la parte </w:t>
      </w:r>
      <w:r w:rsidRPr="007813EC">
        <w:rPr>
          <w:rFonts w:ascii="Palatino Linotype" w:eastAsia="Times New Roman" w:hAnsi="Palatino Linotype" w:cs="Arial"/>
          <w:b/>
          <w:sz w:val="24"/>
          <w:szCs w:val="24"/>
          <w:lang w:eastAsia="es-ES"/>
        </w:rPr>
        <w:t>Recurrente</w:t>
      </w:r>
      <w:r w:rsidRPr="007813EC">
        <w:rPr>
          <w:rFonts w:ascii="Palatino Linotype" w:eastAsia="Times New Roman" w:hAnsi="Palatino Linotype" w:cs="Arial"/>
          <w:sz w:val="24"/>
          <w:szCs w:val="24"/>
          <w:lang w:eastAsia="es-ES"/>
        </w:rPr>
        <w:t>.</w:t>
      </w:r>
    </w:p>
    <w:p w14:paraId="1166DD0D" w14:textId="0B016898" w:rsidR="00B40482" w:rsidRPr="007813EC" w:rsidRDefault="00B40482" w:rsidP="005136D5">
      <w:pPr>
        <w:spacing w:after="0" w:line="360" w:lineRule="auto"/>
        <w:jc w:val="both"/>
        <w:rPr>
          <w:rFonts w:ascii="Palatino Linotype" w:eastAsia="Times New Roman" w:hAnsi="Palatino Linotype" w:cs="Arial"/>
          <w:sz w:val="24"/>
          <w:szCs w:val="24"/>
          <w:lang w:eastAsia="es-ES"/>
        </w:rPr>
      </w:pPr>
    </w:p>
    <w:p w14:paraId="323AEEC0" w14:textId="77777777" w:rsidR="00B40482" w:rsidRPr="007813EC" w:rsidRDefault="00B40482" w:rsidP="005136D5">
      <w:pPr>
        <w:spacing w:after="0" w:line="360" w:lineRule="auto"/>
        <w:jc w:val="both"/>
        <w:rPr>
          <w:rFonts w:ascii="Palatino Linotype" w:eastAsia="Times New Roman" w:hAnsi="Palatino Linotype" w:cs="Tahoma"/>
          <w:sz w:val="24"/>
          <w:szCs w:val="24"/>
          <w:lang w:eastAsia="es-ES"/>
        </w:rPr>
      </w:pPr>
      <w:r w:rsidRPr="007813EC">
        <w:rPr>
          <w:rFonts w:ascii="Palatino Linotype" w:eastAsia="Palatino Linotype" w:hAnsi="Palatino Linotype" w:cs="Palatino Linotype"/>
          <w:b/>
          <w:sz w:val="26"/>
          <w:szCs w:val="26"/>
          <w:lang w:eastAsia="es-MX"/>
        </w:rPr>
        <w:t>TERCERO</w:t>
      </w:r>
      <w:r w:rsidRPr="007813EC">
        <w:rPr>
          <w:rFonts w:ascii="Palatino Linotype" w:eastAsia="Palatino Linotype" w:hAnsi="Palatino Linotype" w:cs="Palatino Linotype"/>
          <w:b/>
          <w:sz w:val="24"/>
          <w:szCs w:val="24"/>
          <w:lang w:eastAsia="es-MX"/>
        </w:rPr>
        <w:t xml:space="preserve">. </w:t>
      </w:r>
      <w:r w:rsidRPr="007813EC">
        <w:rPr>
          <w:rFonts w:ascii="Palatino Linotype" w:eastAsia="Times New Roman" w:hAnsi="Palatino Linotype" w:cs="Tahoma"/>
          <w:b/>
          <w:sz w:val="24"/>
          <w:szCs w:val="24"/>
          <w:lang w:eastAsia="es-ES"/>
        </w:rPr>
        <w:t xml:space="preserve">NOTIFÍQUESE </w:t>
      </w:r>
      <w:r w:rsidRPr="007813EC">
        <w:rPr>
          <w:rFonts w:ascii="Palatino Linotype" w:eastAsia="Times New Roman" w:hAnsi="Palatino Linotype" w:cs="Tahoma"/>
          <w:sz w:val="24"/>
          <w:szCs w:val="24"/>
          <w:lang w:eastAsia="es-ES"/>
        </w:rPr>
        <w:t>la presente resolución</w:t>
      </w:r>
      <w:r w:rsidR="00EF381E" w:rsidRPr="007813EC">
        <w:rPr>
          <w:rFonts w:ascii="Palatino Linotype" w:eastAsia="Times New Roman" w:hAnsi="Palatino Linotype" w:cs="Tahoma"/>
          <w:sz w:val="24"/>
          <w:szCs w:val="24"/>
          <w:lang w:eastAsia="es-ES"/>
        </w:rPr>
        <w:t xml:space="preserve"> a través del Sistema de Acceso a la Información Mexiquense (</w:t>
      </w:r>
      <w:r w:rsidR="00EF381E" w:rsidRPr="00634130">
        <w:rPr>
          <w:rFonts w:ascii="Palatino Linotype" w:eastAsia="Times New Roman" w:hAnsi="Palatino Linotype" w:cs="Tahoma"/>
          <w:b/>
          <w:bCs/>
          <w:sz w:val="24"/>
          <w:szCs w:val="24"/>
          <w:lang w:eastAsia="es-ES"/>
        </w:rPr>
        <w:t>SAIMEX</w:t>
      </w:r>
      <w:r w:rsidR="00EF381E" w:rsidRPr="007813EC">
        <w:rPr>
          <w:rFonts w:ascii="Palatino Linotype" w:eastAsia="Times New Roman" w:hAnsi="Palatino Linotype" w:cs="Tahoma"/>
          <w:sz w:val="24"/>
          <w:szCs w:val="24"/>
          <w:lang w:eastAsia="es-ES"/>
        </w:rPr>
        <w:t>)</w:t>
      </w:r>
      <w:r w:rsidRPr="007813EC">
        <w:rPr>
          <w:rFonts w:ascii="Palatino Linotype" w:eastAsia="Times New Roman" w:hAnsi="Palatino Linotype" w:cs="Tahoma"/>
          <w:sz w:val="24"/>
          <w:szCs w:val="24"/>
          <w:lang w:eastAsia="es-ES"/>
        </w:rPr>
        <w:t xml:space="preserve">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w:t>
      </w:r>
      <w:r w:rsidRPr="007813EC">
        <w:rPr>
          <w:rFonts w:ascii="Palatino Linotype" w:eastAsia="Times New Roman" w:hAnsi="Palatino Linotype" w:cs="Tahoma"/>
          <w:sz w:val="24"/>
          <w:szCs w:val="24"/>
          <w:lang w:eastAsia="es-ES"/>
        </w:rPr>
        <w:lastRenderedPageBreak/>
        <w:t>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9E609FA" w14:textId="77777777" w:rsidR="00B40482" w:rsidRPr="007813EC" w:rsidRDefault="00B40482" w:rsidP="005136D5">
      <w:pPr>
        <w:spacing w:after="0" w:line="360" w:lineRule="auto"/>
        <w:jc w:val="both"/>
        <w:rPr>
          <w:rFonts w:ascii="Palatino Linotype" w:eastAsia="Times New Roman" w:hAnsi="Palatino Linotype" w:cs="Tahoma"/>
          <w:sz w:val="24"/>
          <w:szCs w:val="24"/>
          <w:lang w:eastAsia="es-ES"/>
        </w:rPr>
      </w:pPr>
    </w:p>
    <w:p w14:paraId="29198793" w14:textId="77777777" w:rsidR="00B40482" w:rsidRPr="007813EC" w:rsidRDefault="00B40482" w:rsidP="005136D5">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7813EC">
        <w:rPr>
          <w:rFonts w:ascii="Palatino Linotype" w:eastAsia="Palatino Linotype" w:hAnsi="Palatino Linotype" w:cs="Palatino Linotype"/>
          <w:b/>
          <w:sz w:val="26"/>
          <w:szCs w:val="26"/>
          <w:lang w:eastAsia="es-MX"/>
        </w:rPr>
        <w:t>CUARTO</w:t>
      </w:r>
      <w:r w:rsidRPr="007813EC">
        <w:rPr>
          <w:rFonts w:ascii="Palatino Linotype" w:eastAsia="Palatino Linotype" w:hAnsi="Palatino Linotype" w:cs="Palatino Linotype"/>
          <w:b/>
          <w:sz w:val="24"/>
          <w:szCs w:val="24"/>
          <w:lang w:eastAsia="es-MX"/>
        </w:rPr>
        <w:t xml:space="preserve">. </w:t>
      </w:r>
      <w:r w:rsidRPr="007813EC">
        <w:rPr>
          <w:rFonts w:ascii="Palatino Linotype" w:eastAsia="Palatino Linotype" w:hAnsi="Palatino Linotype" w:cs="Palatino Linotype"/>
          <w:sz w:val="24"/>
          <w:szCs w:val="24"/>
          <w:lang w:eastAsia="es-MX"/>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5372DE61" w14:textId="77777777" w:rsidR="00B40482" w:rsidRPr="007813EC" w:rsidRDefault="00B40482" w:rsidP="005136D5">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78CA101E" w14:textId="51D25919" w:rsidR="00B40482" w:rsidRPr="007813EC" w:rsidRDefault="005C13AE" w:rsidP="005136D5">
      <w:pPr>
        <w:autoSpaceDE w:val="0"/>
        <w:autoSpaceDN w:val="0"/>
        <w:adjustRightInd w:val="0"/>
        <w:spacing w:after="0" w:line="360" w:lineRule="auto"/>
        <w:jc w:val="both"/>
        <w:rPr>
          <w:rFonts w:ascii="Palatino Linotype" w:hAnsi="Palatino Linotype" w:cs="Arial"/>
          <w:sz w:val="24"/>
          <w:szCs w:val="24"/>
        </w:rPr>
      </w:pPr>
      <w:r>
        <w:rPr>
          <w:rFonts w:ascii="Palatino Linotype" w:hAnsi="Palatino Linotype"/>
          <w:b/>
          <w:noProof/>
          <w:sz w:val="28"/>
          <w:szCs w:val="28"/>
          <w:lang w:eastAsia="es-MX"/>
        </w:rPr>
        <mc:AlternateContent>
          <mc:Choice Requires="wps">
            <w:drawing>
              <wp:anchor distT="0" distB="0" distL="114300" distR="114300" simplePos="0" relativeHeight="251659264" behindDoc="0" locked="0" layoutInCell="1" allowOverlap="1" wp14:anchorId="0DB0EADB" wp14:editId="2363F7C1">
                <wp:simplePos x="0" y="0"/>
                <wp:positionH relativeFrom="column">
                  <wp:posOffset>15239</wp:posOffset>
                </wp:positionH>
                <wp:positionV relativeFrom="paragraph">
                  <wp:posOffset>1863089</wp:posOffset>
                </wp:positionV>
                <wp:extent cx="5667375" cy="2181225"/>
                <wp:effectExtent l="0" t="0" r="28575" b="28575"/>
                <wp:wrapNone/>
                <wp:docPr id="2" name="Conector recto 2"/>
                <wp:cNvGraphicFramePr/>
                <a:graphic xmlns:a="http://schemas.openxmlformats.org/drawingml/2006/main">
                  <a:graphicData uri="http://schemas.microsoft.com/office/word/2010/wordprocessingShape">
                    <wps:wsp>
                      <wps:cNvCnPr/>
                      <wps:spPr>
                        <a:xfrm>
                          <a:off x="0" y="0"/>
                          <a:ext cx="5667375" cy="2181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8AF49C" id="Conector rec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146.7pt" to="447.45pt,3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" strokecolor="#5b9bd5 [3204]" strokeweight=".5pt">
                <v:stroke joinstyle="miter"/>
              </v:line>
            </w:pict>
          </mc:Fallback>
        </mc:AlternateContent>
      </w:r>
      <w:r w:rsidR="00B40482" w:rsidRPr="007813EC">
        <w:rPr>
          <w:rFonts w:ascii="Palatino Linotype" w:hAnsi="Palatino Linotype"/>
          <w:b/>
          <w:sz w:val="28"/>
          <w:szCs w:val="28"/>
        </w:rPr>
        <w:t>QUINTO</w:t>
      </w:r>
      <w:r w:rsidR="00B40482" w:rsidRPr="007813EC">
        <w:rPr>
          <w:rFonts w:ascii="Palatino Linotype" w:hAnsi="Palatino Linotype"/>
          <w:b/>
          <w:sz w:val="24"/>
          <w:szCs w:val="24"/>
        </w:rPr>
        <w:t xml:space="preserve">. </w:t>
      </w:r>
      <w:r w:rsidR="00B40482" w:rsidRPr="007813EC">
        <w:rPr>
          <w:rFonts w:ascii="Palatino Linotype" w:hAnsi="Palatino Linotype" w:cs="Arial"/>
          <w:b/>
          <w:sz w:val="24"/>
          <w:szCs w:val="24"/>
        </w:rPr>
        <w:t>NOTIFÍQUESE</w:t>
      </w:r>
      <w:r w:rsidR="00B40482" w:rsidRPr="007813EC">
        <w:rPr>
          <w:rFonts w:ascii="Palatino Linotype" w:hAnsi="Palatino Linotype" w:cs="Arial"/>
          <w:sz w:val="24"/>
          <w:szCs w:val="24"/>
        </w:rPr>
        <w:t xml:space="preserve"> a través del Sistema de Acceso a la Información Mexiquense (</w:t>
      </w:r>
      <w:r w:rsidR="00B40482" w:rsidRPr="00634130">
        <w:rPr>
          <w:rFonts w:ascii="Palatino Linotype" w:hAnsi="Palatino Linotype" w:cs="Arial"/>
          <w:b/>
          <w:bCs/>
          <w:sz w:val="24"/>
          <w:szCs w:val="24"/>
        </w:rPr>
        <w:t>SAIMEX</w:t>
      </w:r>
      <w:r w:rsidR="00B40482" w:rsidRPr="007813EC">
        <w:rPr>
          <w:rFonts w:ascii="Palatino Linotype" w:hAnsi="Palatino Linotype" w:cs="Arial"/>
          <w:sz w:val="24"/>
          <w:szCs w:val="24"/>
        </w:rPr>
        <w:t>)</w:t>
      </w:r>
      <w:r w:rsidR="005136D5">
        <w:rPr>
          <w:rFonts w:ascii="Palatino Linotype" w:hAnsi="Palatino Linotype" w:cs="Arial"/>
          <w:sz w:val="24"/>
          <w:szCs w:val="24"/>
        </w:rPr>
        <w:t xml:space="preserve"> y correo electrónico,</w:t>
      </w:r>
      <w:r w:rsidR="00B40482" w:rsidRPr="007813EC">
        <w:rPr>
          <w:rFonts w:ascii="Palatino Linotype" w:hAnsi="Palatino Linotype" w:cs="Arial"/>
          <w:sz w:val="24"/>
          <w:szCs w:val="24"/>
        </w:rPr>
        <w:t xml:space="preserve"> a</w:t>
      </w:r>
      <w:r w:rsidR="00EF381E" w:rsidRPr="007813EC">
        <w:rPr>
          <w:rFonts w:ascii="Palatino Linotype" w:hAnsi="Palatino Linotype" w:cs="Arial"/>
          <w:sz w:val="24"/>
          <w:szCs w:val="24"/>
        </w:rPr>
        <w:t xml:space="preserve"> la parte</w:t>
      </w:r>
      <w:r w:rsidR="00B40482" w:rsidRPr="007813EC">
        <w:rPr>
          <w:rFonts w:ascii="Palatino Linotype" w:hAnsi="Palatino Linotype" w:cs="Arial"/>
          <w:sz w:val="24"/>
          <w:szCs w:val="24"/>
        </w:rPr>
        <w:t xml:space="preserve"> </w:t>
      </w:r>
      <w:r w:rsidR="00B40482" w:rsidRPr="007813EC">
        <w:rPr>
          <w:rFonts w:ascii="Palatino Linotype" w:hAnsi="Palatino Linotype" w:cs="Arial"/>
          <w:b/>
          <w:sz w:val="24"/>
          <w:szCs w:val="24"/>
        </w:rPr>
        <w:t>Recurrente</w:t>
      </w:r>
      <w:r w:rsidR="00B40482" w:rsidRPr="007813EC">
        <w:rPr>
          <w:rFonts w:ascii="Palatino Linotype" w:hAnsi="Palatino Linotype" w:cs="Arial"/>
          <w:sz w:val="24"/>
          <w:szCs w:val="24"/>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7AD949C7" w14:textId="3DBF5D0B" w:rsidR="00EF381E" w:rsidRDefault="00EF381E" w:rsidP="005136D5">
      <w:pPr>
        <w:autoSpaceDE w:val="0"/>
        <w:autoSpaceDN w:val="0"/>
        <w:adjustRightInd w:val="0"/>
        <w:spacing w:after="0" w:line="360" w:lineRule="auto"/>
        <w:jc w:val="both"/>
        <w:rPr>
          <w:rFonts w:ascii="Palatino Linotype" w:hAnsi="Palatino Linotype" w:cs="Arial"/>
          <w:sz w:val="24"/>
          <w:szCs w:val="24"/>
        </w:rPr>
      </w:pPr>
    </w:p>
    <w:p w14:paraId="71613D38" w14:textId="3A767F76" w:rsidR="005136D5" w:rsidRDefault="005136D5" w:rsidP="005136D5">
      <w:pPr>
        <w:autoSpaceDE w:val="0"/>
        <w:autoSpaceDN w:val="0"/>
        <w:adjustRightInd w:val="0"/>
        <w:spacing w:after="0" w:line="360" w:lineRule="auto"/>
        <w:jc w:val="both"/>
        <w:rPr>
          <w:rFonts w:ascii="Palatino Linotype" w:hAnsi="Palatino Linotype" w:cs="Arial"/>
          <w:sz w:val="24"/>
          <w:szCs w:val="24"/>
        </w:rPr>
      </w:pPr>
    </w:p>
    <w:p w14:paraId="6F049DEB" w14:textId="1F2B2839" w:rsidR="005136D5" w:rsidRDefault="005136D5" w:rsidP="005136D5">
      <w:pPr>
        <w:autoSpaceDE w:val="0"/>
        <w:autoSpaceDN w:val="0"/>
        <w:adjustRightInd w:val="0"/>
        <w:spacing w:after="0" w:line="360" w:lineRule="auto"/>
        <w:jc w:val="both"/>
        <w:rPr>
          <w:rFonts w:ascii="Palatino Linotype" w:hAnsi="Palatino Linotype" w:cs="Arial"/>
          <w:sz w:val="24"/>
          <w:szCs w:val="24"/>
        </w:rPr>
      </w:pPr>
    </w:p>
    <w:p w14:paraId="55B2E341" w14:textId="4AC51891" w:rsidR="005136D5" w:rsidRDefault="005136D5" w:rsidP="005136D5">
      <w:pPr>
        <w:autoSpaceDE w:val="0"/>
        <w:autoSpaceDN w:val="0"/>
        <w:adjustRightInd w:val="0"/>
        <w:spacing w:after="0" w:line="360" w:lineRule="auto"/>
        <w:jc w:val="both"/>
        <w:rPr>
          <w:rFonts w:ascii="Palatino Linotype" w:hAnsi="Palatino Linotype" w:cs="Arial"/>
          <w:sz w:val="24"/>
          <w:szCs w:val="24"/>
        </w:rPr>
      </w:pPr>
    </w:p>
    <w:p w14:paraId="064C585B" w14:textId="39E66131" w:rsidR="005136D5" w:rsidRDefault="005136D5" w:rsidP="005136D5">
      <w:pPr>
        <w:autoSpaceDE w:val="0"/>
        <w:autoSpaceDN w:val="0"/>
        <w:adjustRightInd w:val="0"/>
        <w:spacing w:after="0" w:line="360" w:lineRule="auto"/>
        <w:jc w:val="both"/>
        <w:rPr>
          <w:rFonts w:ascii="Palatino Linotype" w:hAnsi="Palatino Linotype" w:cs="Arial"/>
          <w:sz w:val="24"/>
          <w:szCs w:val="24"/>
        </w:rPr>
      </w:pPr>
    </w:p>
    <w:p w14:paraId="562B6F3D" w14:textId="77777777" w:rsidR="005136D5" w:rsidRPr="007813EC" w:rsidRDefault="005136D5" w:rsidP="005136D5">
      <w:pPr>
        <w:autoSpaceDE w:val="0"/>
        <w:autoSpaceDN w:val="0"/>
        <w:adjustRightInd w:val="0"/>
        <w:spacing w:after="0" w:line="360" w:lineRule="auto"/>
        <w:jc w:val="both"/>
        <w:rPr>
          <w:rFonts w:ascii="Palatino Linotype" w:hAnsi="Palatino Linotype" w:cs="Arial"/>
          <w:sz w:val="24"/>
          <w:szCs w:val="24"/>
        </w:rPr>
      </w:pPr>
    </w:p>
    <w:p w14:paraId="2AB87C21" w14:textId="7C591197" w:rsidR="00BA2670" w:rsidRPr="007813EC" w:rsidRDefault="00BA2670" w:rsidP="005136D5">
      <w:pPr>
        <w:spacing w:after="0" w:line="360" w:lineRule="auto"/>
        <w:jc w:val="both"/>
        <w:rPr>
          <w:rFonts w:ascii="Palatino Linotype" w:hAnsi="Palatino Linotype" w:cs="Arial"/>
          <w:sz w:val="24"/>
          <w:szCs w:val="24"/>
        </w:rPr>
      </w:pPr>
      <w:r w:rsidRPr="007813EC">
        <w:rPr>
          <w:rFonts w:ascii="Palatino Linotype" w:hAnsi="Palatino Linotype" w:cs="Arial"/>
          <w:sz w:val="24"/>
          <w:szCs w:val="24"/>
        </w:rPr>
        <w:lastRenderedPageBreak/>
        <w:t xml:space="preserve">ASÍ LO RESUELVE, POR </w:t>
      </w:r>
      <w:r w:rsidR="008B425D" w:rsidRPr="007813EC">
        <w:rPr>
          <w:rFonts w:ascii="Palatino Linotype" w:hAnsi="Palatino Linotype" w:cs="Arial"/>
          <w:sz w:val="24"/>
          <w:szCs w:val="24"/>
        </w:rPr>
        <w:t>UNANIMIDAD</w:t>
      </w:r>
      <w:r w:rsidRPr="007813EC">
        <w:rPr>
          <w:rFonts w:ascii="Palatino Linotype" w:hAnsi="Palatino Linotype" w:cs="Arial"/>
          <w:sz w:val="24"/>
          <w:szCs w:val="24"/>
        </w:rPr>
        <w:t xml:space="preserve"> DE VOTOS DEL PLENO DEL</w:t>
      </w:r>
      <w:r w:rsidRPr="007813EC">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7813EC">
        <w:rPr>
          <w:rFonts w:ascii="Palatino Linotype" w:hAnsi="Palatino Linotype" w:cs="Arial"/>
          <w:sz w:val="24"/>
          <w:szCs w:val="24"/>
        </w:rPr>
        <w:t xml:space="preserve">, CONFORMADO POR LOS COMISIONADOS JOSÉ MARTÍNEZ VILCHIS, MARÍA DEL ROSARIO MEJÍA AYALA, SHARON CRISTINA MORALES MARTÍNEZ, LUIS GUSTAVO PARRA NORIEGA Y GUADALUPE RAMÍREZ PEÑA, EN LA </w:t>
      </w:r>
      <w:r w:rsidR="005136D5">
        <w:rPr>
          <w:rFonts w:ascii="Palatino Linotype" w:hAnsi="Palatino Linotype" w:cs="Arial"/>
          <w:sz w:val="24"/>
          <w:szCs w:val="24"/>
        </w:rPr>
        <w:t>TRIGÉSIMA</w:t>
      </w:r>
      <w:r w:rsidR="00323027" w:rsidRPr="007813EC">
        <w:rPr>
          <w:rFonts w:ascii="Palatino Linotype" w:hAnsi="Palatino Linotype" w:cs="Arial"/>
          <w:sz w:val="24"/>
          <w:szCs w:val="24"/>
        </w:rPr>
        <w:t xml:space="preserve"> </w:t>
      </w:r>
      <w:r w:rsidR="00785393">
        <w:rPr>
          <w:rFonts w:ascii="Palatino Linotype" w:hAnsi="Palatino Linotype" w:cs="Arial"/>
          <w:sz w:val="24"/>
          <w:szCs w:val="24"/>
        </w:rPr>
        <w:t>SEGUNDA</w:t>
      </w:r>
      <w:r w:rsidR="005324B4" w:rsidRPr="007813EC">
        <w:rPr>
          <w:rFonts w:ascii="Palatino Linotype" w:hAnsi="Palatino Linotype" w:cs="Arial"/>
          <w:sz w:val="24"/>
          <w:szCs w:val="24"/>
        </w:rPr>
        <w:t xml:space="preserve"> </w:t>
      </w:r>
      <w:r w:rsidR="009E30B8" w:rsidRPr="007813EC">
        <w:rPr>
          <w:rFonts w:ascii="Palatino Linotype" w:hAnsi="Palatino Linotype" w:cs="Arial"/>
          <w:sz w:val="24"/>
          <w:szCs w:val="24"/>
        </w:rPr>
        <w:t>SE</w:t>
      </w:r>
      <w:r w:rsidRPr="007813EC">
        <w:rPr>
          <w:rFonts w:ascii="Palatino Linotype" w:hAnsi="Palatino Linotype" w:cs="Arial"/>
          <w:sz w:val="24"/>
          <w:szCs w:val="24"/>
        </w:rPr>
        <w:t xml:space="preserve">SIÓN ORDINARIA CELEBRADA EL </w:t>
      </w:r>
      <w:r w:rsidR="00785393">
        <w:rPr>
          <w:rFonts w:ascii="Palatino Linotype" w:hAnsi="Palatino Linotype" w:cs="Arial"/>
          <w:sz w:val="24"/>
          <w:szCs w:val="24"/>
        </w:rPr>
        <w:t>ONCE</w:t>
      </w:r>
      <w:r w:rsidR="0043656E" w:rsidRPr="007813EC">
        <w:rPr>
          <w:rFonts w:ascii="Palatino Linotype" w:hAnsi="Palatino Linotype" w:cs="Arial"/>
          <w:sz w:val="24"/>
          <w:szCs w:val="24"/>
        </w:rPr>
        <w:t xml:space="preserve"> DE </w:t>
      </w:r>
      <w:r w:rsidR="005136D5">
        <w:rPr>
          <w:rFonts w:ascii="Palatino Linotype" w:hAnsi="Palatino Linotype" w:cs="Arial"/>
          <w:sz w:val="24"/>
          <w:szCs w:val="24"/>
        </w:rPr>
        <w:t xml:space="preserve">SEPTIEMBRE </w:t>
      </w:r>
      <w:r w:rsidRPr="007813EC">
        <w:rPr>
          <w:rFonts w:ascii="Palatino Linotype" w:hAnsi="Palatino Linotype" w:cs="Arial"/>
          <w:sz w:val="24"/>
          <w:szCs w:val="24"/>
        </w:rPr>
        <w:t>DE DOS MIL VEINTI</w:t>
      </w:r>
      <w:r w:rsidR="00D60C37" w:rsidRPr="007813EC">
        <w:rPr>
          <w:rFonts w:ascii="Palatino Linotype" w:hAnsi="Palatino Linotype" w:cs="Arial"/>
          <w:sz w:val="24"/>
          <w:szCs w:val="24"/>
        </w:rPr>
        <w:t>CUATRO</w:t>
      </w:r>
      <w:r w:rsidRPr="007813EC">
        <w:rPr>
          <w:rFonts w:ascii="Palatino Linotype" w:hAnsi="Palatino Linotype" w:cs="Arial"/>
          <w:sz w:val="24"/>
          <w:szCs w:val="24"/>
        </w:rPr>
        <w:t>, ANTE EL SECRETARIO TÉCNICO DEL PLENO, ALEXIS TAPIA RAMÍREZ. --</w:t>
      </w:r>
      <w:r w:rsidR="00E07A15" w:rsidRPr="007813EC">
        <w:rPr>
          <w:rFonts w:ascii="Palatino Linotype" w:hAnsi="Palatino Linotype" w:cs="Arial"/>
          <w:sz w:val="24"/>
          <w:szCs w:val="24"/>
        </w:rPr>
        <w:t>----</w:t>
      </w:r>
      <w:r w:rsidR="00EF381E" w:rsidRPr="007813EC">
        <w:rPr>
          <w:rFonts w:ascii="Palatino Linotype" w:hAnsi="Palatino Linotype" w:cs="Arial"/>
          <w:sz w:val="24"/>
          <w:szCs w:val="24"/>
        </w:rPr>
        <w:t>----------------</w:t>
      </w:r>
      <w:r w:rsidR="009D0D21" w:rsidRPr="007813EC">
        <w:rPr>
          <w:rFonts w:ascii="Palatino Linotype" w:hAnsi="Palatino Linotype" w:cs="Arial"/>
          <w:sz w:val="24"/>
          <w:szCs w:val="24"/>
        </w:rPr>
        <w:t>--------------------</w:t>
      </w:r>
      <w:r w:rsidR="005C13AE">
        <w:rPr>
          <w:rFonts w:ascii="Palatino Linotype" w:hAnsi="Palatino Linotype" w:cs="Arial"/>
          <w:sz w:val="24"/>
          <w:szCs w:val="24"/>
        </w:rPr>
        <w:t>---------------</w:t>
      </w:r>
      <w:r w:rsidR="009D0D21" w:rsidRPr="007813EC">
        <w:rPr>
          <w:rFonts w:ascii="Palatino Linotype" w:hAnsi="Palatino Linotype" w:cs="Arial"/>
          <w:sz w:val="24"/>
          <w:szCs w:val="24"/>
        </w:rPr>
        <w:t>-</w:t>
      </w:r>
    </w:p>
    <w:p w14:paraId="027EB8A9" w14:textId="77777777" w:rsidR="000E48BC" w:rsidRPr="007813EC" w:rsidRDefault="000E48BC" w:rsidP="005136D5">
      <w:pPr>
        <w:spacing w:after="0" w:line="360" w:lineRule="auto"/>
        <w:jc w:val="both"/>
        <w:rPr>
          <w:rFonts w:ascii="Palatino Linotype" w:hAnsi="Palatino Linotype" w:cs="Arial"/>
          <w:sz w:val="24"/>
          <w:szCs w:val="24"/>
        </w:rPr>
      </w:pPr>
      <w:r w:rsidRPr="007813EC">
        <w:rPr>
          <w:rFonts w:ascii="Palatino Linotype" w:hAnsi="Palatino Linotype" w:cs="Arial"/>
          <w:sz w:val="24"/>
          <w:szCs w:val="24"/>
        </w:rPr>
        <w:t>-----------------------------------------------------------------------------------------------------------------</w:t>
      </w:r>
    </w:p>
    <w:p w14:paraId="527EE77C" w14:textId="77777777" w:rsidR="006868C2" w:rsidRPr="007813EC" w:rsidRDefault="006868C2" w:rsidP="005136D5">
      <w:pPr>
        <w:spacing w:after="0" w:line="360" w:lineRule="auto"/>
        <w:jc w:val="both"/>
        <w:rPr>
          <w:rFonts w:ascii="Palatino Linotype" w:hAnsi="Palatino Linotype" w:cs="Arial"/>
          <w:sz w:val="24"/>
          <w:szCs w:val="24"/>
        </w:rPr>
      </w:pPr>
      <w:r w:rsidRPr="007813EC">
        <w:rPr>
          <w:rFonts w:ascii="Palatino Linotype" w:hAnsi="Palatino Linotype" w:cs="Arial"/>
          <w:sz w:val="24"/>
          <w:szCs w:val="24"/>
        </w:rPr>
        <w:t>-----------------------------------------------------------------------------------------------------------------</w:t>
      </w:r>
    </w:p>
    <w:p w14:paraId="7A3F517F" w14:textId="77777777" w:rsidR="00155640" w:rsidRPr="007813EC" w:rsidRDefault="00155640" w:rsidP="005136D5">
      <w:pPr>
        <w:spacing w:after="0" w:line="360" w:lineRule="auto"/>
        <w:jc w:val="both"/>
        <w:rPr>
          <w:rFonts w:ascii="Palatino Linotype" w:hAnsi="Palatino Linotype" w:cs="Arial"/>
          <w:sz w:val="24"/>
          <w:szCs w:val="24"/>
        </w:rPr>
      </w:pPr>
      <w:r w:rsidRPr="007813EC">
        <w:rPr>
          <w:rFonts w:ascii="Palatino Linotype" w:hAnsi="Palatino Linotype" w:cs="Arial"/>
          <w:sz w:val="24"/>
          <w:szCs w:val="24"/>
        </w:rPr>
        <w:t>-----------------------------------------------------------------------------------------------------------------</w:t>
      </w:r>
    </w:p>
    <w:p w14:paraId="6A266860" w14:textId="77777777" w:rsidR="00155640" w:rsidRPr="007813EC" w:rsidRDefault="00155640" w:rsidP="005136D5">
      <w:pPr>
        <w:spacing w:after="0" w:line="360" w:lineRule="auto"/>
        <w:jc w:val="both"/>
        <w:rPr>
          <w:rFonts w:ascii="Palatino Linotype" w:hAnsi="Palatino Linotype" w:cs="Arial"/>
          <w:sz w:val="24"/>
          <w:szCs w:val="24"/>
        </w:rPr>
      </w:pPr>
      <w:r w:rsidRPr="007813EC">
        <w:rPr>
          <w:rFonts w:ascii="Palatino Linotype" w:hAnsi="Palatino Linotype" w:cs="Arial"/>
          <w:sz w:val="24"/>
          <w:szCs w:val="24"/>
        </w:rPr>
        <w:t>-----------------------------------------------------------------------------------------------------------------</w:t>
      </w:r>
    </w:p>
    <w:p w14:paraId="5E7F12CD" w14:textId="1603D500" w:rsidR="00155640" w:rsidRDefault="00155640" w:rsidP="005136D5">
      <w:pPr>
        <w:spacing w:after="0" w:line="360" w:lineRule="auto"/>
        <w:jc w:val="both"/>
        <w:rPr>
          <w:rFonts w:ascii="Palatino Linotype" w:hAnsi="Palatino Linotype" w:cs="Arial"/>
          <w:sz w:val="24"/>
          <w:szCs w:val="24"/>
        </w:rPr>
      </w:pPr>
      <w:r w:rsidRPr="007813EC">
        <w:rPr>
          <w:rFonts w:ascii="Palatino Linotype" w:hAnsi="Palatino Linotype" w:cs="Arial"/>
          <w:sz w:val="24"/>
          <w:szCs w:val="24"/>
        </w:rPr>
        <w:t>-----------------------------------------------------------------------------------------------------------------</w:t>
      </w:r>
    </w:p>
    <w:p w14:paraId="4C7F55A0" w14:textId="77777777" w:rsidR="00785393" w:rsidRPr="007813EC" w:rsidRDefault="00785393" w:rsidP="00785393">
      <w:pPr>
        <w:spacing w:after="0" w:line="360" w:lineRule="auto"/>
        <w:jc w:val="both"/>
        <w:rPr>
          <w:rFonts w:ascii="Palatino Linotype" w:hAnsi="Palatino Linotype" w:cs="Arial"/>
          <w:sz w:val="24"/>
          <w:szCs w:val="24"/>
        </w:rPr>
      </w:pPr>
      <w:r w:rsidRPr="007813EC">
        <w:rPr>
          <w:rFonts w:ascii="Palatino Linotype" w:hAnsi="Palatino Linotype" w:cs="Arial"/>
          <w:sz w:val="24"/>
          <w:szCs w:val="24"/>
        </w:rPr>
        <w:t>-----------------------------------------------------------------------------------------------------------------</w:t>
      </w:r>
    </w:p>
    <w:p w14:paraId="4C04C779" w14:textId="77777777" w:rsidR="00785393" w:rsidRPr="007813EC" w:rsidRDefault="00785393" w:rsidP="00785393">
      <w:pPr>
        <w:spacing w:after="0" w:line="360" w:lineRule="auto"/>
        <w:jc w:val="both"/>
        <w:rPr>
          <w:rFonts w:ascii="Palatino Linotype" w:hAnsi="Palatino Linotype" w:cs="Arial"/>
          <w:sz w:val="24"/>
          <w:szCs w:val="24"/>
        </w:rPr>
      </w:pPr>
      <w:r w:rsidRPr="007813EC">
        <w:rPr>
          <w:rFonts w:ascii="Palatino Linotype" w:hAnsi="Palatino Linotype" w:cs="Arial"/>
          <w:sz w:val="24"/>
          <w:szCs w:val="24"/>
        </w:rPr>
        <w:t>-----------------------------------------------------------------------------------------------------------------</w:t>
      </w:r>
    </w:p>
    <w:p w14:paraId="6E653975" w14:textId="77777777" w:rsidR="00785393" w:rsidRPr="007813EC" w:rsidRDefault="00785393" w:rsidP="00785393">
      <w:pPr>
        <w:spacing w:after="0" w:line="360" w:lineRule="auto"/>
        <w:jc w:val="both"/>
        <w:rPr>
          <w:rFonts w:ascii="Palatino Linotype" w:hAnsi="Palatino Linotype" w:cs="Arial"/>
          <w:sz w:val="24"/>
          <w:szCs w:val="24"/>
        </w:rPr>
      </w:pPr>
      <w:r w:rsidRPr="007813EC">
        <w:rPr>
          <w:rFonts w:ascii="Palatino Linotype" w:hAnsi="Palatino Linotype" w:cs="Arial"/>
          <w:sz w:val="24"/>
          <w:szCs w:val="24"/>
        </w:rPr>
        <w:t>-----------------------------------------------------------------------------------------------------------------</w:t>
      </w:r>
    </w:p>
    <w:p w14:paraId="3C5A28CD" w14:textId="77777777" w:rsidR="00785393" w:rsidRPr="007813EC" w:rsidRDefault="00785393" w:rsidP="00785393">
      <w:pPr>
        <w:spacing w:after="0" w:line="360" w:lineRule="auto"/>
        <w:jc w:val="both"/>
        <w:rPr>
          <w:rFonts w:ascii="Palatino Linotype" w:hAnsi="Palatino Linotype" w:cs="Arial"/>
          <w:sz w:val="24"/>
          <w:szCs w:val="24"/>
        </w:rPr>
      </w:pPr>
      <w:r w:rsidRPr="007813EC">
        <w:rPr>
          <w:rFonts w:ascii="Palatino Linotype" w:hAnsi="Palatino Linotype" w:cs="Arial"/>
          <w:sz w:val="24"/>
          <w:szCs w:val="24"/>
        </w:rPr>
        <w:t>-----------------------------------------------------------------------------------------------------------------</w:t>
      </w:r>
    </w:p>
    <w:p w14:paraId="69DC1E81" w14:textId="77777777" w:rsidR="00785393" w:rsidRPr="007813EC" w:rsidRDefault="00785393" w:rsidP="00785393">
      <w:pPr>
        <w:spacing w:after="0" w:line="360" w:lineRule="auto"/>
        <w:jc w:val="both"/>
        <w:rPr>
          <w:rFonts w:ascii="Palatino Linotype" w:hAnsi="Palatino Linotype" w:cs="Arial"/>
          <w:sz w:val="24"/>
          <w:szCs w:val="24"/>
        </w:rPr>
      </w:pPr>
      <w:r w:rsidRPr="007813EC">
        <w:rPr>
          <w:rFonts w:ascii="Palatino Linotype" w:hAnsi="Palatino Linotype" w:cs="Arial"/>
          <w:sz w:val="24"/>
          <w:szCs w:val="24"/>
        </w:rPr>
        <w:t>-----------------------------------------------------------------------------------------------------------------</w:t>
      </w:r>
    </w:p>
    <w:p w14:paraId="3C8B397E" w14:textId="77777777" w:rsidR="00785393" w:rsidRPr="007813EC" w:rsidRDefault="00785393" w:rsidP="00785393">
      <w:pPr>
        <w:spacing w:after="0" w:line="360" w:lineRule="auto"/>
        <w:jc w:val="both"/>
        <w:rPr>
          <w:rFonts w:ascii="Palatino Linotype" w:hAnsi="Palatino Linotype" w:cs="Arial"/>
          <w:sz w:val="24"/>
          <w:szCs w:val="24"/>
        </w:rPr>
      </w:pPr>
      <w:r w:rsidRPr="007813EC">
        <w:rPr>
          <w:rFonts w:ascii="Palatino Linotype" w:hAnsi="Palatino Linotype" w:cs="Arial"/>
          <w:sz w:val="24"/>
          <w:szCs w:val="24"/>
        </w:rPr>
        <w:t>-----------------------------------------------------------------------------------------------------------------</w:t>
      </w:r>
    </w:p>
    <w:p w14:paraId="44296F90" w14:textId="77777777" w:rsidR="00785393" w:rsidRPr="007813EC" w:rsidRDefault="00785393" w:rsidP="00785393">
      <w:pPr>
        <w:spacing w:after="0" w:line="360" w:lineRule="auto"/>
        <w:jc w:val="both"/>
        <w:rPr>
          <w:rFonts w:ascii="Palatino Linotype" w:hAnsi="Palatino Linotype" w:cs="Arial"/>
          <w:sz w:val="24"/>
          <w:szCs w:val="24"/>
        </w:rPr>
      </w:pPr>
      <w:r w:rsidRPr="007813EC">
        <w:rPr>
          <w:rFonts w:ascii="Palatino Linotype" w:hAnsi="Palatino Linotype" w:cs="Arial"/>
          <w:sz w:val="24"/>
          <w:szCs w:val="24"/>
        </w:rPr>
        <w:t>-----------------------------------------------------------------------------------------------------------------</w:t>
      </w:r>
    </w:p>
    <w:p w14:paraId="04A9CA86" w14:textId="77777777" w:rsidR="00785393" w:rsidRPr="007813EC" w:rsidRDefault="00785393" w:rsidP="00785393">
      <w:pPr>
        <w:spacing w:after="0" w:line="360" w:lineRule="auto"/>
        <w:jc w:val="both"/>
        <w:rPr>
          <w:rFonts w:ascii="Palatino Linotype" w:hAnsi="Palatino Linotype" w:cs="Arial"/>
          <w:sz w:val="24"/>
          <w:szCs w:val="24"/>
        </w:rPr>
      </w:pPr>
      <w:r w:rsidRPr="007813EC">
        <w:rPr>
          <w:rFonts w:ascii="Palatino Linotype" w:hAnsi="Palatino Linotype" w:cs="Arial"/>
          <w:sz w:val="24"/>
          <w:szCs w:val="24"/>
        </w:rPr>
        <w:t>-----------------------------------------------------------------------------------------------------------------</w:t>
      </w:r>
    </w:p>
    <w:p w14:paraId="00CB16AE" w14:textId="77777777" w:rsidR="00785393" w:rsidRPr="007813EC" w:rsidRDefault="00785393" w:rsidP="00785393">
      <w:pPr>
        <w:spacing w:after="0" w:line="360" w:lineRule="auto"/>
        <w:jc w:val="both"/>
        <w:rPr>
          <w:rFonts w:ascii="Palatino Linotype" w:hAnsi="Palatino Linotype" w:cs="Arial"/>
          <w:sz w:val="24"/>
          <w:szCs w:val="24"/>
        </w:rPr>
      </w:pPr>
      <w:r w:rsidRPr="007813EC">
        <w:rPr>
          <w:rFonts w:ascii="Palatino Linotype" w:hAnsi="Palatino Linotype" w:cs="Arial"/>
          <w:sz w:val="24"/>
          <w:szCs w:val="24"/>
        </w:rPr>
        <w:t>-----------------------------------------------------------------------------------------------------------------</w:t>
      </w:r>
    </w:p>
    <w:p w14:paraId="0A31B3D5" w14:textId="77777777" w:rsidR="00785393" w:rsidRPr="007813EC" w:rsidRDefault="00785393" w:rsidP="00785393">
      <w:pPr>
        <w:spacing w:after="0" w:line="360" w:lineRule="auto"/>
        <w:jc w:val="both"/>
        <w:rPr>
          <w:rFonts w:ascii="Palatino Linotype" w:hAnsi="Palatino Linotype" w:cs="Arial"/>
          <w:sz w:val="24"/>
          <w:szCs w:val="24"/>
        </w:rPr>
      </w:pPr>
      <w:r w:rsidRPr="007813EC">
        <w:rPr>
          <w:rFonts w:ascii="Palatino Linotype" w:hAnsi="Palatino Linotype" w:cs="Arial"/>
          <w:sz w:val="24"/>
          <w:szCs w:val="24"/>
        </w:rPr>
        <w:t>-----------------------------------------------------------------------------------------------------------------</w:t>
      </w:r>
    </w:p>
    <w:p w14:paraId="6AF4B7C5" w14:textId="2FCCA2B6" w:rsidR="000E48BC" w:rsidRPr="007813EC" w:rsidRDefault="000E48BC" w:rsidP="005136D5">
      <w:pPr>
        <w:spacing w:after="0" w:line="360" w:lineRule="auto"/>
        <w:jc w:val="both"/>
        <w:rPr>
          <w:rFonts w:ascii="Palatino Linotype" w:hAnsi="Palatino Linotype" w:cs="Arial"/>
          <w:sz w:val="20"/>
        </w:rPr>
      </w:pPr>
      <w:r w:rsidRPr="007813EC">
        <w:rPr>
          <w:rFonts w:ascii="Palatino Linotype" w:hAnsi="Palatino Linotype" w:cs="Arial"/>
          <w:sz w:val="20"/>
        </w:rPr>
        <w:t>CCR/</w:t>
      </w:r>
      <w:r w:rsidR="00785393">
        <w:rPr>
          <w:rFonts w:ascii="Palatino Linotype" w:hAnsi="Palatino Linotype" w:cs="Arial"/>
          <w:sz w:val="20"/>
        </w:rPr>
        <w:t>*</w:t>
      </w:r>
    </w:p>
    <w:p w14:paraId="493AF96D" w14:textId="77777777" w:rsidR="000E48BC" w:rsidRPr="007813EC" w:rsidRDefault="000E48BC" w:rsidP="005136D5">
      <w:pPr>
        <w:spacing w:after="0" w:line="360" w:lineRule="auto"/>
        <w:jc w:val="both"/>
        <w:rPr>
          <w:rFonts w:ascii="Palatino Linotype" w:hAnsi="Palatino Linotype" w:cs="Arial"/>
          <w:sz w:val="24"/>
          <w:szCs w:val="24"/>
        </w:rPr>
      </w:pPr>
    </w:p>
    <w:p w14:paraId="767FA3FC" w14:textId="77777777" w:rsidR="000E48BC" w:rsidRPr="007813EC" w:rsidRDefault="000E48BC" w:rsidP="005136D5">
      <w:pPr>
        <w:spacing w:after="0" w:line="360" w:lineRule="auto"/>
        <w:jc w:val="both"/>
        <w:rPr>
          <w:rFonts w:ascii="Palatino Linotype" w:hAnsi="Palatino Linotype" w:cs="Arial"/>
          <w:sz w:val="24"/>
          <w:szCs w:val="24"/>
        </w:rPr>
      </w:pPr>
    </w:p>
    <w:p w14:paraId="19C2EF23" w14:textId="77777777" w:rsidR="000E48BC" w:rsidRPr="007813EC" w:rsidRDefault="000E48BC" w:rsidP="005136D5">
      <w:pPr>
        <w:spacing w:after="0" w:line="360" w:lineRule="auto"/>
        <w:jc w:val="both"/>
        <w:rPr>
          <w:rFonts w:ascii="Palatino Linotype" w:hAnsi="Palatino Linotype" w:cs="Arial"/>
          <w:sz w:val="24"/>
          <w:szCs w:val="24"/>
        </w:rPr>
      </w:pPr>
    </w:p>
    <w:p w14:paraId="665CDD77" w14:textId="77777777" w:rsidR="000E48BC" w:rsidRPr="007813EC" w:rsidRDefault="000E48BC" w:rsidP="005136D5">
      <w:pPr>
        <w:spacing w:after="0"/>
        <w:rPr>
          <w:rFonts w:ascii="Palatino Linotype" w:hAnsi="Palatino Linotype"/>
        </w:rPr>
      </w:pPr>
    </w:p>
    <w:p w14:paraId="13A91093" w14:textId="77777777" w:rsidR="000E48BC" w:rsidRPr="007813EC" w:rsidRDefault="000E48BC" w:rsidP="005136D5">
      <w:pPr>
        <w:spacing w:after="0"/>
        <w:rPr>
          <w:rFonts w:ascii="Palatino Linotype" w:hAnsi="Palatino Linotype"/>
        </w:rPr>
      </w:pPr>
    </w:p>
    <w:p w14:paraId="57ED91EC" w14:textId="77777777" w:rsidR="000E48BC" w:rsidRPr="007813EC" w:rsidRDefault="000E48BC" w:rsidP="005136D5">
      <w:pPr>
        <w:spacing w:after="0"/>
        <w:rPr>
          <w:rFonts w:ascii="Palatino Linotype" w:hAnsi="Palatino Linotype"/>
        </w:rPr>
      </w:pPr>
    </w:p>
    <w:p w14:paraId="5003DF41" w14:textId="77777777" w:rsidR="000E48BC" w:rsidRPr="007813EC" w:rsidRDefault="000E48BC" w:rsidP="005136D5">
      <w:pPr>
        <w:spacing w:after="0"/>
        <w:rPr>
          <w:rFonts w:ascii="Palatino Linotype" w:hAnsi="Palatino Linotype"/>
        </w:rPr>
      </w:pPr>
    </w:p>
    <w:p w14:paraId="3F989642" w14:textId="77777777" w:rsidR="000E48BC" w:rsidRPr="007813EC" w:rsidRDefault="000E48BC" w:rsidP="005136D5">
      <w:pPr>
        <w:spacing w:after="0"/>
        <w:rPr>
          <w:rFonts w:ascii="Palatino Linotype" w:hAnsi="Palatino Linotype"/>
        </w:rPr>
      </w:pPr>
    </w:p>
    <w:p w14:paraId="5BC92D0E" w14:textId="77777777" w:rsidR="000E48BC" w:rsidRPr="007813EC" w:rsidRDefault="000E48BC" w:rsidP="005136D5">
      <w:pPr>
        <w:spacing w:after="0"/>
        <w:rPr>
          <w:rFonts w:ascii="Palatino Linotype" w:hAnsi="Palatino Linotype"/>
        </w:rPr>
      </w:pPr>
    </w:p>
    <w:p w14:paraId="4FD24C13" w14:textId="77777777" w:rsidR="000E48BC" w:rsidRPr="007813EC" w:rsidRDefault="000E48BC" w:rsidP="005136D5">
      <w:pPr>
        <w:spacing w:after="0"/>
        <w:rPr>
          <w:rFonts w:ascii="Palatino Linotype" w:hAnsi="Palatino Linotype"/>
        </w:rPr>
      </w:pPr>
    </w:p>
    <w:p w14:paraId="51BD5483" w14:textId="77777777" w:rsidR="000E48BC" w:rsidRPr="007813EC" w:rsidRDefault="000E48BC" w:rsidP="005136D5">
      <w:pPr>
        <w:spacing w:after="0"/>
        <w:rPr>
          <w:rFonts w:ascii="Palatino Linotype" w:hAnsi="Palatino Linotype"/>
        </w:rPr>
      </w:pPr>
    </w:p>
    <w:p w14:paraId="675FF6BC" w14:textId="77777777" w:rsidR="000E48BC" w:rsidRPr="007813EC" w:rsidRDefault="000E48BC" w:rsidP="005136D5">
      <w:pPr>
        <w:spacing w:after="0"/>
        <w:rPr>
          <w:rFonts w:ascii="Palatino Linotype" w:hAnsi="Palatino Linotype"/>
        </w:rPr>
      </w:pPr>
    </w:p>
    <w:p w14:paraId="67897FA2" w14:textId="77777777" w:rsidR="000E48BC" w:rsidRPr="007813EC" w:rsidRDefault="000E48BC" w:rsidP="005136D5">
      <w:pPr>
        <w:spacing w:after="0"/>
        <w:rPr>
          <w:rFonts w:ascii="Palatino Linotype" w:hAnsi="Palatino Linotype"/>
        </w:rPr>
      </w:pPr>
    </w:p>
    <w:p w14:paraId="20F254ED" w14:textId="77777777" w:rsidR="000E48BC" w:rsidRPr="007813EC" w:rsidRDefault="000E48BC" w:rsidP="005136D5">
      <w:pPr>
        <w:spacing w:after="0"/>
        <w:rPr>
          <w:rFonts w:ascii="Palatino Linotype" w:hAnsi="Palatino Linotype"/>
        </w:rPr>
      </w:pPr>
    </w:p>
    <w:p w14:paraId="0BB0D13B" w14:textId="77777777" w:rsidR="000E48BC" w:rsidRPr="007813EC" w:rsidRDefault="000E48BC" w:rsidP="005136D5">
      <w:pPr>
        <w:spacing w:after="0"/>
        <w:rPr>
          <w:rFonts w:ascii="Palatino Linotype" w:hAnsi="Palatino Linotype"/>
        </w:rPr>
      </w:pPr>
    </w:p>
    <w:p w14:paraId="195782B4" w14:textId="77777777" w:rsidR="000E48BC" w:rsidRPr="007813EC" w:rsidRDefault="000E48BC" w:rsidP="005136D5">
      <w:pPr>
        <w:spacing w:after="0"/>
        <w:rPr>
          <w:rFonts w:ascii="Palatino Linotype" w:hAnsi="Palatino Linotype"/>
        </w:rPr>
      </w:pPr>
    </w:p>
    <w:p w14:paraId="4D3DE4B1" w14:textId="77777777" w:rsidR="000E48BC" w:rsidRPr="007813EC" w:rsidRDefault="000E48BC" w:rsidP="005136D5">
      <w:pPr>
        <w:spacing w:after="0"/>
        <w:rPr>
          <w:rFonts w:ascii="Palatino Linotype" w:hAnsi="Palatino Linotype"/>
        </w:rPr>
      </w:pPr>
    </w:p>
    <w:p w14:paraId="5A7B4812" w14:textId="77777777" w:rsidR="000E48BC" w:rsidRPr="007813EC" w:rsidRDefault="000E48BC" w:rsidP="005136D5">
      <w:pPr>
        <w:spacing w:after="0"/>
        <w:rPr>
          <w:rFonts w:ascii="Palatino Linotype" w:hAnsi="Palatino Linotype"/>
        </w:rPr>
      </w:pPr>
    </w:p>
    <w:p w14:paraId="4688B859" w14:textId="77777777" w:rsidR="000E48BC" w:rsidRPr="007813EC" w:rsidRDefault="000E48BC" w:rsidP="005136D5">
      <w:pPr>
        <w:spacing w:after="0"/>
        <w:rPr>
          <w:rFonts w:ascii="Palatino Linotype" w:hAnsi="Palatino Linotype"/>
        </w:rPr>
      </w:pPr>
    </w:p>
    <w:p w14:paraId="0615180F" w14:textId="77777777" w:rsidR="000E48BC" w:rsidRPr="007813EC" w:rsidRDefault="000E48BC" w:rsidP="005136D5">
      <w:pPr>
        <w:spacing w:after="0"/>
        <w:rPr>
          <w:rFonts w:ascii="Palatino Linotype" w:hAnsi="Palatino Linotype"/>
        </w:rPr>
      </w:pPr>
    </w:p>
    <w:p w14:paraId="7248B63D" w14:textId="77777777" w:rsidR="000E48BC" w:rsidRPr="007813EC" w:rsidRDefault="000E48BC" w:rsidP="005136D5">
      <w:pPr>
        <w:spacing w:after="0"/>
        <w:rPr>
          <w:rFonts w:ascii="Palatino Linotype" w:hAnsi="Palatino Linotype"/>
        </w:rPr>
      </w:pPr>
    </w:p>
    <w:sectPr w:rsidR="000E48BC" w:rsidRPr="007813EC" w:rsidSect="000E48BC">
      <w:headerReference w:type="default" r:id="rId10"/>
      <w:footerReference w:type="default" r:id="rId11"/>
      <w:headerReference w:type="first" r:id="rId12"/>
      <w:footerReference w:type="first" r:id="rId13"/>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AB40EA" w14:textId="77777777" w:rsidR="004545E7" w:rsidRDefault="004545E7" w:rsidP="000E48BC">
      <w:pPr>
        <w:spacing w:after="0" w:line="240" w:lineRule="auto"/>
      </w:pPr>
      <w:r>
        <w:separator/>
      </w:r>
    </w:p>
  </w:endnote>
  <w:endnote w:type="continuationSeparator" w:id="0">
    <w:p w14:paraId="302A1C03" w14:textId="77777777" w:rsidR="004545E7" w:rsidRDefault="004545E7" w:rsidP="000E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0049A9B4" w14:textId="77777777" w:rsidR="009D4B5B" w:rsidRPr="002D6DD8" w:rsidRDefault="009D4B5B" w:rsidP="000E48B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5F2EC0">
              <w:rPr>
                <w:rFonts w:ascii="Palatino Linotype" w:hAnsi="Palatino Linotype"/>
                <w:bCs/>
                <w:noProof/>
                <w:sz w:val="20"/>
              </w:rPr>
              <w:t>14</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5F2EC0">
              <w:rPr>
                <w:rFonts w:ascii="Palatino Linotype" w:hAnsi="Palatino Linotype"/>
                <w:bCs/>
                <w:noProof/>
                <w:sz w:val="20"/>
              </w:rPr>
              <w:t>35</w:t>
            </w:r>
            <w:r>
              <w:rPr>
                <w:rFonts w:ascii="Palatino Linotype" w:hAnsi="Palatino Linotype"/>
                <w:bCs/>
                <w:noProof/>
                <w:sz w:val="20"/>
              </w:rPr>
              <w:fldChar w:fldCharType="end"/>
            </w:r>
          </w:p>
        </w:sdtContent>
      </w:sdt>
    </w:sdtContent>
  </w:sdt>
  <w:p w14:paraId="25001CBC" w14:textId="77777777" w:rsidR="009D4B5B" w:rsidRDefault="009D4B5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5790A" w14:textId="77777777" w:rsidR="009D4B5B" w:rsidRPr="000B69FA" w:rsidRDefault="009D4B5B" w:rsidP="000E48B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5F2EC0">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5F2EC0">
      <w:rPr>
        <w:rFonts w:ascii="Palatino Linotype" w:hAnsi="Palatino Linotype"/>
        <w:bCs/>
        <w:noProof/>
        <w:sz w:val="20"/>
      </w:rPr>
      <w:t>35</w:t>
    </w:r>
    <w:r>
      <w:rPr>
        <w:rFonts w:ascii="Palatino Linotype" w:hAnsi="Palatino Linotype"/>
        <w:bCs/>
        <w:noProof/>
        <w:sz w:val="20"/>
      </w:rPr>
      <w:fldChar w:fldCharType="end"/>
    </w:r>
  </w:p>
  <w:p w14:paraId="0D51700B" w14:textId="77777777" w:rsidR="009D4B5B" w:rsidRDefault="009D4B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17A1FE" w14:textId="77777777" w:rsidR="004545E7" w:rsidRDefault="004545E7" w:rsidP="000E48BC">
      <w:pPr>
        <w:spacing w:after="0" w:line="240" w:lineRule="auto"/>
      </w:pPr>
      <w:r>
        <w:separator/>
      </w:r>
    </w:p>
  </w:footnote>
  <w:footnote w:type="continuationSeparator" w:id="0">
    <w:p w14:paraId="465CF6C3" w14:textId="77777777" w:rsidR="004545E7" w:rsidRDefault="004545E7" w:rsidP="000E48BC">
      <w:pPr>
        <w:spacing w:after="0" w:line="240" w:lineRule="auto"/>
      </w:pPr>
      <w:r>
        <w:continuationSeparator/>
      </w:r>
    </w:p>
  </w:footnote>
  <w:footnote w:id="1">
    <w:p w14:paraId="285CF218" w14:textId="257DC82F" w:rsidR="009D4B5B" w:rsidRPr="00570DBC" w:rsidRDefault="009D4B5B" w:rsidP="00570DBC">
      <w:pPr>
        <w:pStyle w:val="Textonotapie"/>
        <w:jc w:val="both"/>
        <w:rPr>
          <w:rFonts w:ascii="Palatino Linotype" w:hAnsi="Palatino Linotype"/>
        </w:rPr>
      </w:pPr>
      <w:r>
        <w:rPr>
          <w:rStyle w:val="Refdenotaalpie"/>
        </w:rPr>
        <w:footnoteRef/>
      </w:r>
      <w:r>
        <w:t xml:space="preserve"> </w:t>
      </w:r>
      <w:r w:rsidRPr="00570DBC">
        <w:rPr>
          <w:rFonts w:ascii="Palatino Linotype" w:hAnsi="Palatino Linotype"/>
          <w:b/>
        </w:rPr>
        <w:t>Artículo 179.</w:t>
      </w:r>
      <w:r w:rsidRPr="00570DBC">
        <w:rPr>
          <w:rFonts w:ascii="Palatino Linotype" w:hAnsi="Palatino Linotype"/>
        </w:rPr>
        <w:t xml:space="preserve"> El recurso de revisión es un medio de protección que la Ley otorga a los particulares, para hacer valer su derecho de acceso a la información pública, y procederá en contra de las siguientes causas:</w:t>
      </w:r>
    </w:p>
    <w:p w14:paraId="0CC6B28B" w14:textId="5F6D486F" w:rsidR="009D4B5B" w:rsidRPr="00570DBC" w:rsidRDefault="009D4B5B" w:rsidP="00570DBC">
      <w:pPr>
        <w:pStyle w:val="Textonotapie"/>
        <w:jc w:val="both"/>
        <w:rPr>
          <w:rFonts w:ascii="Palatino Linotype" w:hAnsi="Palatino Linotype"/>
        </w:rPr>
      </w:pPr>
      <w:proofErr w:type="gramStart"/>
      <w:r w:rsidRPr="00570DBC">
        <w:rPr>
          <w:rFonts w:ascii="Palatino Linotype" w:hAnsi="Palatino Linotype"/>
          <w:b/>
        </w:rPr>
        <w:t>I</w:t>
      </w:r>
      <w:r w:rsidRPr="00570DBC">
        <w:rPr>
          <w:rFonts w:ascii="Palatino Linotype" w:hAnsi="Palatino Linotype"/>
        </w:rPr>
        <w:t xml:space="preserve">. </w:t>
      </w:r>
      <w:r w:rsidR="008E49FF">
        <w:rPr>
          <w:rFonts w:ascii="Palatino Linotype" w:hAnsi="Palatino Linotype"/>
        </w:rPr>
        <w:t>…</w:t>
      </w:r>
      <w:r w:rsidRPr="00570DBC">
        <w:rPr>
          <w:rFonts w:ascii="Palatino Linotype" w:hAnsi="Palatino Linotype"/>
        </w:rPr>
        <w:t>;</w:t>
      </w:r>
      <w:proofErr w:type="gramEnd"/>
    </w:p>
    <w:p w14:paraId="65757C0D" w14:textId="4BF4A6C4" w:rsidR="009D4B5B" w:rsidRDefault="008E49FF" w:rsidP="00570DBC">
      <w:pPr>
        <w:pStyle w:val="Textonotapie"/>
        <w:jc w:val="both"/>
      </w:pPr>
      <w:r w:rsidRPr="008E49FF">
        <w:rPr>
          <w:rFonts w:ascii="Palatino Linotype" w:hAnsi="Palatino Linotype"/>
          <w:b/>
          <w:bCs/>
        </w:rPr>
        <w:t>XIII</w:t>
      </w:r>
      <w:r w:rsidRPr="008E49FF">
        <w:rPr>
          <w:rFonts w:ascii="Palatino Linotype" w:hAnsi="Palatino Linotype"/>
        </w:rPr>
        <w:t>. La falta, deficiencia o insuficiencia de la fundamentación y/o motivación en la respuesta; 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820"/>
      <w:gridCol w:w="5103"/>
    </w:tblGrid>
    <w:tr w:rsidR="009D4B5B" w14:paraId="0F52D1FE" w14:textId="77777777" w:rsidTr="000E48BC">
      <w:trPr>
        <w:trHeight w:val="227"/>
      </w:trPr>
      <w:tc>
        <w:tcPr>
          <w:tcW w:w="4820" w:type="dxa"/>
          <w:hideMark/>
        </w:tcPr>
        <w:p w14:paraId="61BACB1B" w14:textId="77777777" w:rsidR="009D4B5B" w:rsidRPr="00641471" w:rsidRDefault="009D4B5B" w:rsidP="000E48BC">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5103" w:type="dxa"/>
          <w:hideMark/>
        </w:tcPr>
        <w:p w14:paraId="560EC2C5" w14:textId="40344DB4" w:rsidR="009D4B5B" w:rsidRPr="00641471" w:rsidRDefault="00B62642" w:rsidP="003A1B33">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04100/INFOEM/IP/RR/2024</w:t>
          </w:r>
        </w:p>
      </w:tc>
    </w:tr>
    <w:tr w:rsidR="009D4B5B" w14:paraId="26D9B6B6" w14:textId="77777777" w:rsidTr="000E48BC">
      <w:trPr>
        <w:trHeight w:val="242"/>
      </w:trPr>
      <w:tc>
        <w:tcPr>
          <w:tcW w:w="4820" w:type="dxa"/>
          <w:hideMark/>
        </w:tcPr>
        <w:p w14:paraId="774EA941" w14:textId="77777777" w:rsidR="009D4B5B" w:rsidRPr="00641471" w:rsidRDefault="009D4B5B" w:rsidP="000E48BC">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103" w:type="dxa"/>
          <w:hideMark/>
        </w:tcPr>
        <w:p w14:paraId="1FC0145B" w14:textId="02BA37F6" w:rsidR="009D4B5B" w:rsidRPr="00641471" w:rsidRDefault="00B62642" w:rsidP="000E48BC">
          <w:pPr>
            <w:spacing w:after="120" w:line="256" w:lineRule="auto"/>
            <w:ind w:left="-486" w:right="214" w:firstLine="284"/>
            <w:jc w:val="right"/>
            <w:rPr>
              <w:rFonts w:ascii="Palatino Linotype" w:hAnsi="Palatino Linotype" w:cs="Arial"/>
              <w:b/>
              <w:szCs w:val="20"/>
            </w:rPr>
          </w:pPr>
          <w:r>
            <w:rPr>
              <w:rFonts w:ascii="Palatino Linotype" w:hAnsi="Palatino Linotype" w:cs="Arial"/>
              <w:b/>
              <w:bCs/>
              <w:szCs w:val="20"/>
            </w:rPr>
            <w:t>Ayuntamiento de Morelos</w:t>
          </w:r>
        </w:p>
      </w:tc>
    </w:tr>
    <w:tr w:rsidR="009D4B5B" w14:paraId="3C291484" w14:textId="77777777" w:rsidTr="000E48BC">
      <w:trPr>
        <w:trHeight w:val="342"/>
      </w:trPr>
      <w:tc>
        <w:tcPr>
          <w:tcW w:w="4820" w:type="dxa"/>
          <w:hideMark/>
        </w:tcPr>
        <w:p w14:paraId="09431AD2" w14:textId="77777777" w:rsidR="009D4B5B" w:rsidRPr="00641471" w:rsidRDefault="009D4B5B" w:rsidP="000E48BC">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5103" w:type="dxa"/>
          <w:hideMark/>
        </w:tcPr>
        <w:p w14:paraId="6E688E54" w14:textId="77777777" w:rsidR="009D4B5B" w:rsidRPr="00641471" w:rsidRDefault="009D4B5B" w:rsidP="000E48BC">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14:paraId="0F04EA4B" w14:textId="77777777" w:rsidR="009D4B5B" w:rsidRPr="00AE046A" w:rsidRDefault="009D4B5B" w:rsidP="000E48BC">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2BA010B2" wp14:editId="36AD43FF">
          <wp:simplePos x="0" y="0"/>
          <wp:positionH relativeFrom="page">
            <wp:align>center</wp:align>
          </wp:positionH>
          <wp:positionV relativeFrom="margin">
            <wp:posOffset>-1379220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820"/>
      <w:gridCol w:w="5103"/>
    </w:tblGrid>
    <w:tr w:rsidR="009D4B5B" w14:paraId="4D3C9E74" w14:textId="77777777" w:rsidTr="000E48BC">
      <w:trPr>
        <w:trHeight w:val="227"/>
      </w:trPr>
      <w:tc>
        <w:tcPr>
          <w:tcW w:w="4820" w:type="dxa"/>
          <w:hideMark/>
        </w:tcPr>
        <w:p w14:paraId="109782B7" w14:textId="77777777" w:rsidR="009D4B5B" w:rsidRPr="00641471" w:rsidRDefault="009D4B5B" w:rsidP="000E48BC">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5103" w:type="dxa"/>
          <w:hideMark/>
        </w:tcPr>
        <w:p w14:paraId="1F7E5982" w14:textId="5AA646A8" w:rsidR="009D4B5B" w:rsidRPr="00641471" w:rsidRDefault="00B62642" w:rsidP="003A1B33">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04100/INFOEM/IP/RR/2024</w:t>
          </w:r>
        </w:p>
      </w:tc>
    </w:tr>
    <w:tr w:rsidR="009D4B5B" w14:paraId="36084681" w14:textId="77777777" w:rsidTr="000E48BC">
      <w:trPr>
        <w:trHeight w:val="242"/>
      </w:trPr>
      <w:tc>
        <w:tcPr>
          <w:tcW w:w="4820" w:type="dxa"/>
          <w:hideMark/>
        </w:tcPr>
        <w:p w14:paraId="299793E5" w14:textId="77777777" w:rsidR="009D4B5B" w:rsidRPr="00641471" w:rsidRDefault="009D4B5B" w:rsidP="000E48BC">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103" w:type="dxa"/>
          <w:hideMark/>
        </w:tcPr>
        <w:p w14:paraId="3711842B" w14:textId="7D8FE3F6" w:rsidR="009D4B5B" w:rsidRPr="00641471" w:rsidRDefault="00B62642" w:rsidP="00AE6CFE">
          <w:pPr>
            <w:spacing w:after="120" w:line="256" w:lineRule="auto"/>
            <w:ind w:left="-486" w:right="214" w:firstLine="284"/>
            <w:jc w:val="right"/>
            <w:rPr>
              <w:rFonts w:ascii="Palatino Linotype" w:hAnsi="Palatino Linotype" w:cs="Arial"/>
              <w:b/>
              <w:szCs w:val="20"/>
            </w:rPr>
          </w:pPr>
          <w:r>
            <w:rPr>
              <w:rFonts w:ascii="Palatino Linotype" w:hAnsi="Palatino Linotype" w:cs="Arial"/>
              <w:b/>
              <w:szCs w:val="20"/>
            </w:rPr>
            <w:t>Ayuntamiento de Morelos</w:t>
          </w:r>
        </w:p>
      </w:tc>
    </w:tr>
    <w:tr w:rsidR="009D4B5B" w14:paraId="62321C0A" w14:textId="77777777" w:rsidTr="000E48BC">
      <w:trPr>
        <w:trHeight w:val="342"/>
      </w:trPr>
      <w:tc>
        <w:tcPr>
          <w:tcW w:w="4820" w:type="dxa"/>
        </w:tcPr>
        <w:p w14:paraId="76859761" w14:textId="77777777" w:rsidR="009D4B5B" w:rsidRPr="00641471" w:rsidRDefault="009D4B5B" w:rsidP="000E48BC">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5103" w:type="dxa"/>
        </w:tcPr>
        <w:p w14:paraId="7E0D603E" w14:textId="29AD32CD" w:rsidR="009D4B5B" w:rsidRPr="00641471" w:rsidRDefault="009D4B5B" w:rsidP="000E48BC">
          <w:pPr>
            <w:spacing w:after="120" w:line="256" w:lineRule="auto"/>
            <w:ind w:left="-486" w:right="214" w:firstLine="567"/>
            <w:jc w:val="right"/>
            <w:rPr>
              <w:rFonts w:ascii="Palatino Linotype" w:hAnsi="Palatino Linotype" w:cs="Arial"/>
              <w:b/>
            </w:rPr>
          </w:pPr>
          <w:r>
            <w:rPr>
              <w:rFonts w:ascii="Palatino Linotype" w:hAnsi="Palatino Linotype" w:cs="Arial"/>
              <w:b/>
              <w:noProof/>
              <w:szCs w:val="20"/>
              <w:lang w:eastAsia="es-MX"/>
            </w:rPr>
            <w:drawing>
              <wp:anchor distT="0" distB="0" distL="114300" distR="114300" simplePos="0" relativeHeight="251659264" behindDoc="1" locked="0" layoutInCell="0" allowOverlap="1" wp14:anchorId="3016647B" wp14:editId="66198A2A">
                <wp:simplePos x="0" y="0"/>
                <wp:positionH relativeFrom="margin">
                  <wp:posOffset>-3769995</wp:posOffset>
                </wp:positionH>
                <wp:positionV relativeFrom="margin">
                  <wp:posOffset>-995680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r w:rsidR="005F2EC0">
            <w:rPr>
              <w:rFonts w:ascii="Palatino Linotype" w:hAnsi="Palatino Linotype" w:cs="Arial"/>
              <w:b/>
            </w:rPr>
            <w:t>XXXX</w:t>
          </w:r>
        </w:p>
      </w:tc>
    </w:tr>
    <w:tr w:rsidR="009D4B5B" w14:paraId="49B06362" w14:textId="77777777" w:rsidTr="000E48BC">
      <w:trPr>
        <w:trHeight w:val="342"/>
      </w:trPr>
      <w:tc>
        <w:tcPr>
          <w:tcW w:w="4820" w:type="dxa"/>
        </w:tcPr>
        <w:p w14:paraId="376A8CAA" w14:textId="77777777" w:rsidR="009D4B5B" w:rsidRPr="00641471" w:rsidRDefault="009D4B5B" w:rsidP="000E48BC">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5103" w:type="dxa"/>
        </w:tcPr>
        <w:p w14:paraId="0DA33838" w14:textId="77777777" w:rsidR="009D4B5B" w:rsidRPr="00641471" w:rsidRDefault="009D4B5B" w:rsidP="000E48BC">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José Martínez Vilchis</w:t>
          </w:r>
        </w:p>
      </w:tc>
    </w:tr>
  </w:tbl>
  <w:p w14:paraId="0EE1726F" w14:textId="77777777" w:rsidR="009D4B5B" w:rsidRPr="00C222C0" w:rsidRDefault="009D4B5B">
    <w:pPr>
      <w:pStyle w:val="Encabezad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26780"/>
    <w:multiLevelType w:val="hybridMultilevel"/>
    <w:tmpl w:val="D8CE03EE"/>
    <w:lvl w:ilvl="0" w:tplc="2BD88590">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0E20C7C"/>
    <w:multiLevelType w:val="hybridMultilevel"/>
    <w:tmpl w:val="D9AC33FA"/>
    <w:lvl w:ilvl="0" w:tplc="6AD62222">
      <w:start w:val="1"/>
      <w:numFmt w:val="lowerLetter"/>
      <w:lvlText w:val="%1)"/>
      <w:lvlJc w:val="left"/>
      <w:pPr>
        <w:ind w:left="1410" w:hanging="690"/>
      </w:pPr>
      <w:rPr>
        <w:rFonts w:hint="default"/>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2" w15:restartNumberingAfterBreak="0">
    <w:nsid w:val="030D33DC"/>
    <w:multiLevelType w:val="hybridMultilevel"/>
    <w:tmpl w:val="882C810E"/>
    <w:lvl w:ilvl="0" w:tplc="AE64A11E">
      <w:numFmt w:val="bullet"/>
      <w:lvlText w:val="•"/>
      <w:lvlJc w:val="left"/>
      <w:pPr>
        <w:ind w:left="720" w:hanging="360"/>
      </w:pPr>
      <w:rPr>
        <w:rFonts w:ascii="Palatino Linotype" w:eastAsia="Times New Roman" w:hAnsi="Palatino Linotype"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07DE077B"/>
    <w:multiLevelType w:val="hybridMultilevel"/>
    <w:tmpl w:val="5B80D1DE"/>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361245"/>
    <w:multiLevelType w:val="hybridMultilevel"/>
    <w:tmpl w:val="4E941B18"/>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520D26"/>
    <w:multiLevelType w:val="hybridMultilevel"/>
    <w:tmpl w:val="5D4A62D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15:restartNumberingAfterBreak="0">
    <w:nsid w:val="0B695CBD"/>
    <w:multiLevelType w:val="hybridMultilevel"/>
    <w:tmpl w:val="F1A4C3B0"/>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C303EB5"/>
    <w:multiLevelType w:val="multilevel"/>
    <w:tmpl w:val="C518C988"/>
    <w:lvl w:ilvl="0">
      <w:start w:val="1"/>
      <w:numFmt w:val="decimal"/>
      <w:lvlText w:val="%1."/>
      <w:lvlJc w:val="left"/>
      <w:pPr>
        <w:ind w:left="72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116F03D2"/>
    <w:multiLevelType w:val="hybridMultilevel"/>
    <w:tmpl w:val="8B1C25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2934654"/>
    <w:multiLevelType w:val="hybridMultilevel"/>
    <w:tmpl w:val="7D161936"/>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37B17F9"/>
    <w:multiLevelType w:val="hybridMultilevel"/>
    <w:tmpl w:val="01102200"/>
    <w:lvl w:ilvl="0" w:tplc="F680448E">
      <w:start w:val="1"/>
      <w:numFmt w:val="bullet"/>
      <w:lvlText w:val=""/>
      <w:lvlJc w:val="left"/>
      <w:pPr>
        <w:ind w:left="709" w:hanging="42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52655B"/>
    <w:multiLevelType w:val="hybridMultilevel"/>
    <w:tmpl w:val="5E4E514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3" w15:restartNumberingAfterBreak="0">
    <w:nsid w:val="18BC1E92"/>
    <w:multiLevelType w:val="hybridMultilevel"/>
    <w:tmpl w:val="E6FABD4A"/>
    <w:lvl w:ilvl="0" w:tplc="580A000F">
      <w:start w:val="1"/>
      <w:numFmt w:val="decimal"/>
      <w:lvlText w:val="%1."/>
      <w:lvlJc w:val="left"/>
      <w:pPr>
        <w:ind w:left="1065" w:hanging="705"/>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1DA45B7B"/>
    <w:multiLevelType w:val="hybridMultilevel"/>
    <w:tmpl w:val="754688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F3D0C8B"/>
    <w:multiLevelType w:val="hybridMultilevel"/>
    <w:tmpl w:val="9036D4D8"/>
    <w:lvl w:ilvl="0" w:tplc="4E241EBC">
      <w:start w:val="1"/>
      <w:numFmt w:val="decimal"/>
      <w:lvlText w:val="%1."/>
      <w:lvlJc w:val="left"/>
      <w:pPr>
        <w:ind w:left="987" w:hanging="4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21393D34"/>
    <w:multiLevelType w:val="hybridMultilevel"/>
    <w:tmpl w:val="5510A3E6"/>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D583D1A"/>
    <w:multiLevelType w:val="multilevel"/>
    <w:tmpl w:val="E086F64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343C1E9A"/>
    <w:multiLevelType w:val="hybridMultilevel"/>
    <w:tmpl w:val="81F4CE96"/>
    <w:lvl w:ilvl="0" w:tplc="2BD88590">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9" w15:restartNumberingAfterBreak="0">
    <w:nsid w:val="3A5F0B98"/>
    <w:multiLevelType w:val="hybridMultilevel"/>
    <w:tmpl w:val="0AAEF4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265FBF"/>
    <w:multiLevelType w:val="hybridMultilevel"/>
    <w:tmpl w:val="2F38E856"/>
    <w:lvl w:ilvl="0" w:tplc="A84288D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0A542AE"/>
    <w:multiLevelType w:val="hybridMultilevel"/>
    <w:tmpl w:val="7F1E03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1755942"/>
    <w:multiLevelType w:val="hybridMultilevel"/>
    <w:tmpl w:val="F9D0330C"/>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3" w15:restartNumberingAfterBreak="0">
    <w:nsid w:val="439D13BC"/>
    <w:multiLevelType w:val="hybridMultilevel"/>
    <w:tmpl w:val="9A5643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3D90FDB"/>
    <w:multiLevelType w:val="hybridMultilevel"/>
    <w:tmpl w:val="76B2EE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52B4705"/>
    <w:multiLevelType w:val="hybridMultilevel"/>
    <w:tmpl w:val="E5AA38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984224D"/>
    <w:multiLevelType w:val="hybridMultilevel"/>
    <w:tmpl w:val="54B4F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472006"/>
    <w:multiLevelType w:val="hybridMultilevel"/>
    <w:tmpl w:val="5D4EECCC"/>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D0B6F4D"/>
    <w:multiLevelType w:val="hybridMultilevel"/>
    <w:tmpl w:val="464E6BB4"/>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9" w15:restartNumberingAfterBreak="0">
    <w:nsid w:val="5120725B"/>
    <w:multiLevelType w:val="hybridMultilevel"/>
    <w:tmpl w:val="C0B0A206"/>
    <w:lvl w:ilvl="0" w:tplc="2BD88590">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0" w15:restartNumberingAfterBreak="0">
    <w:nsid w:val="53884C0A"/>
    <w:multiLevelType w:val="hybridMultilevel"/>
    <w:tmpl w:val="DCFC3AE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1" w15:restartNumberingAfterBreak="0">
    <w:nsid w:val="567B63FC"/>
    <w:multiLevelType w:val="hybridMultilevel"/>
    <w:tmpl w:val="EFA8903E"/>
    <w:lvl w:ilvl="0" w:tplc="0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2" w15:restartNumberingAfterBreak="0">
    <w:nsid w:val="58E22367"/>
    <w:multiLevelType w:val="hybridMultilevel"/>
    <w:tmpl w:val="9848891C"/>
    <w:lvl w:ilvl="0" w:tplc="2BD88590">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3" w15:restartNumberingAfterBreak="0">
    <w:nsid w:val="5BA51AFD"/>
    <w:multiLevelType w:val="hybridMultilevel"/>
    <w:tmpl w:val="0CB248E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EDE2493"/>
    <w:multiLevelType w:val="hybridMultilevel"/>
    <w:tmpl w:val="36C81F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F300174"/>
    <w:multiLevelType w:val="hybridMultilevel"/>
    <w:tmpl w:val="BD867646"/>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6" w15:restartNumberingAfterBreak="0">
    <w:nsid w:val="6424187A"/>
    <w:multiLevelType w:val="hybridMultilevel"/>
    <w:tmpl w:val="7BE44508"/>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58329AD"/>
    <w:multiLevelType w:val="multilevel"/>
    <w:tmpl w:val="FB884C12"/>
    <w:lvl w:ilvl="0">
      <w:start w:val="1"/>
      <w:numFmt w:val="decimal"/>
      <w:lvlText w:val="%1."/>
      <w:lvlJc w:val="left"/>
      <w:pPr>
        <w:ind w:left="720" w:hanging="360"/>
      </w:pPr>
      <w:rPr>
        <w:b/>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596094E"/>
    <w:multiLevelType w:val="hybridMultilevel"/>
    <w:tmpl w:val="6868E1C6"/>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9360312"/>
    <w:multiLevelType w:val="hybridMultilevel"/>
    <w:tmpl w:val="5CFEE2CE"/>
    <w:lvl w:ilvl="0" w:tplc="5CBAE456">
      <w:start w:val="1"/>
      <w:numFmt w:val="lowerLetter"/>
      <w:lvlText w:val="%1)"/>
      <w:lvlJc w:val="left"/>
      <w:pPr>
        <w:ind w:left="1065" w:hanging="705"/>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0" w15:restartNumberingAfterBreak="0">
    <w:nsid w:val="70E305F2"/>
    <w:multiLevelType w:val="hybridMultilevel"/>
    <w:tmpl w:val="94A89CC6"/>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26A1FB2"/>
    <w:multiLevelType w:val="hybridMultilevel"/>
    <w:tmpl w:val="3FB0C672"/>
    <w:lvl w:ilvl="0" w:tplc="D9F29CB0">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2" w15:restartNumberingAfterBreak="0">
    <w:nsid w:val="72F45734"/>
    <w:multiLevelType w:val="hybridMultilevel"/>
    <w:tmpl w:val="74185C6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3" w15:restartNumberingAfterBreak="0">
    <w:nsid w:val="79A33122"/>
    <w:multiLevelType w:val="hybridMultilevel"/>
    <w:tmpl w:val="69403E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CB33329"/>
    <w:multiLevelType w:val="hybridMultilevel"/>
    <w:tmpl w:val="E0D4E37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D47730C"/>
    <w:multiLevelType w:val="hybridMultilevel"/>
    <w:tmpl w:val="0AEE9C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7"/>
  </w:num>
  <w:num w:numId="2">
    <w:abstractNumId w:val="26"/>
  </w:num>
  <w:num w:numId="3">
    <w:abstractNumId w:val="20"/>
  </w:num>
  <w:num w:numId="4">
    <w:abstractNumId w:val="5"/>
  </w:num>
  <w:num w:numId="5">
    <w:abstractNumId w:val="23"/>
  </w:num>
  <w:num w:numId="6">
    <w:abstractNumId w:val="34"/>
  </w:num>
  <w:num w:numId="7">
    <w:abstractNumId w:val="3"/>
  </w:num>
  <w:num w:numId="8">
    <w:abstractNumId w:val="4"/>
  </w:num>
  <w:num w:numId="9">
    <w:abstractNumId w:val="40"/>
  </w:num>
  <w:num w:numId="10">
    <w:abstractNumId w:val="27"/>
  </w:num>
  <w:num w:numId="11">
    <w:abstractNumId w:val="7"/>
  </w:num>
  <w:num w:numId="12">
    <w:abstractNumId w:val="36"/>
  </w:num>
  <w:num w:numId="13">
    <w:abstractNumId w:val="38"/>
  </w:num>
  <w:num w:numId="14">
    <w:abstractNumId w:val="25"/>
  </w:num>
  <w:num w:numId="15">
    <w:abstractNumId w:val="10"/>
  </w:num>
  <w:num w:numId="16">
    <w:abstractNumId w:val="44"/>
  </w:num>
  <w:num w:numId="17">
    <w:abstractNumId w:val="22"/>
  </w:num>
  <w:num w:numId="18">
    <w:abstractNumId w:val="9"/>
  </w:num>
  <w:num w:numId="19">
    <w:abstractNumId w:val="41"/>
  </w:num>
  <w:num w:numId="20">
    <w:abstractNumId w:val="6"/>
  </w:num>
  <w:num w:numId="21">
    <w:abstractNumId w:val="11"/>
  </w:num>
  <w:num w:numId="22">
    <w:abstractNumId w:val="8"/>
  </w:num>
  <w:num w:numId="23">
    <w:abstractNumId w:val="43"/>
  </w:num>
  <w:num w:numId="24">
    <w:abstractNumId w:val="17"/>
  </w:num>
  <w:num w:numId="25">
    <w:abstractNumId w:val="21"/>
  </w:num>
  <w:num w:numId="26">
    <w:abstractNumId w:val="0"/>
  </w:num>
  <w:num w:numId="27">
    <w:abstractNumId w:val="28"/>
  </w:num>
  <w:num w:numId="28">
    <w:abstractNumId w:val="15"/>
  </w:num>
  <w:num w:numId="29">
    <w:abstractNumId w:val="45"/>
  </w:num>
  <w:num w:numId="30">
    <w:abstractNumId w:val="14"/>
  </w:num>
  <w:num w:numId="31">
    <w:abstractNumId w:val="30"/>
  </w:num>
  <w:num w:numId="32">
    <w:abstractNumId w:val="29"/>
  </w:num>
  <w:num w:numId="33">
    <w:abstractNumId w:val="18"/>
  </w:num>
  <w:num w:numId="34">
    <w:abstractNumId w:val="32"/>
  </w:num>
  <w:num w:numId="35">
    <w:abstractNumId w:val="19"/>
  </w:num>
  <w:num w:numId="36">
    <w:abstractNumId w:val="16"/>
  </w:num>
  <w:num w:numId="37">
    <w:abstractNumId w:val="33"/>
  </w:num>
  <w:num w:numId="38">
    <w:abstractNumId w:val="24"/>
  </w:num>
  <w:num w:numId="39">
    <w:abstractNumId w:val="31"/>
  </w:num>
  <w:num w:numId="40">
    <w:abstractNumId w:val="1"/>
  </w:num>
  <w:num w:numId="41">
    <w:abstractNumId w:val="12"/>
  </w:num>
  <w:num w:numId="42">
    <w:abstractNumId w:val="42"/>
  </w:num>
  <w:num w:numId="43">
    <w:abstractNumId w:val="2"/>
  </w:num>
  <w:num w:numId="44">
    <w:abstractNumId w:val="35"/>
  </w:num>
  <w:num w:numId="45">
    <w:abstractNumId w:val="39"/>
  </w:num>
  <w:num w:numId="4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8BC"/>
    <w:rsid w:val="00006AE4"/>
    <w:rsid w:val="0001389D"/>
    <w:rsid w:val="00014FF3"/>
    <w:rsid w:val="000270F6"/>
    <w:rsid w:val="000311F5"/>
    <w:rsid w:val="00037119"/>
    <w:rsid w:val="00037DF7"/>
    <w:rsid w:val="000430C0"/>
    <w:rsid w:val="00060A61"/>
    <w:rsid w:val="00062E5C"/>
    <w:rsid w:val="0007232C"/>
    <w:rsid w:val="000729B1"/>
    <w:rsid w:val="00075C7B"/>
    <w:rsid w:val="00076DFD"/>
    <w:rsid w:val="00080816"/>
    <w:rsid w:val="00082CA1"/>
    <w:rsid w:val="0008615F"/>
    <w:rsid w:val="00094559"/>
    <w:rsid w:val="000A0CC3"/>
    <w:rsid w:val="000A209D"/>
    <w:rsid w:val="000A57E7"/>
    <w:rsid w:val="000B5266"/>
    <w:rsid w:val="000B597B"/>
    <w:rsid w:val="000B7234"/>
    <w:rsid w:val="000B7DF6"/>
    <w:rsid w:val="000C0509"/>
    <w:rsid w:val="000C07B1"/>
    <w:rsid w:val="000C1587"/>
    <w:rsid w:val="000C4AE0"/>
    <w:rsid w:val="000C5A81"/>
    <w:rsid w:val="000E48BC"/>
    <w:rsid w:val="000F7289"/>
    <w:rsid w:val="001037B3"/>
    <w:rsid w:val="00103E4B"/>
    <w:rsid w:val="00106EA3"/>
    <w:rsid w:val="00111045"/>
    <w:rsid w:val="00115D7B"/>
    <w:rsid w:val="00116B1A"/>
    <w:rsid w:val="001246F4"/>
    <w:rsid w:val="00132F30"/>
    <w:rsid w:val="00136AF5"/>
    <w:rsid w:val="00146C7A"/>
    <w:rsid w:val="00155640"/>
    <w:rsid w:val="00161089"/>
    <w:rsid w:val="001619B3"/>
    <w:rsid w:val="00163EF0"/>
    <w:rsid w:val="00186FF2"/>
    <w:rsid w:val="001922A2"/>
    <w:rsid w:val="001928E8"/>
    <w:rsid w:val="0019310B"/>
    <w:rsid w:val="0019740F"/>
    <w:rsid w:val="001B4E92"/>
    <w:rsid w:val="001C0B6D"/>
    <w:rsid w:val="001D0232"/>
    <w:rsid w:val="001D16AC"/>
    <w:rsid w:val="001D403F"/>
    <w:rsid w:val="001E5015"/>
    <w:rsid w:val="001E545E"/>
    <w:rsid w:val="001E7D41"/>
    <w:rsid w:val="001F1033"/>
    <w:rsid w:val="001F4E2A"/>
    <w:rsid w:val="001F6C8F"/>
    <w:rsid w:val="002003FE"/>
    <w:rsid w:val="0022162F"/>
    <w:rsid w:val="0022324E"/>
    <w:rsid w:val="002265F7"/>
    <w:rsid w:val="00245FAF"/>
    <w:rsid w:val="00260773"/>
    <w:rsid w:val="00270F16"/>
    <w:rsid w:val="00271749"/>
    <w:rsid w:val="00272296"/>
    <w:rsid w:val="00277F19"/>
    <w:rsid w:val="00281845"/>
    <w:rsid w:val="00287260"/>
    <w:rsid w:val="00287D4A"/>
    <w:rsid w:val="00292A33"/>
    <w:rsid w:val="00292B07"/>
    <w:rsid w:val="002A1267"/>
    <w:rsid w:val="002B1CCF"/>
    <w:rsid w:val="002C51D7"/>
    <w:rsid w:val="002C74B9"/>
    <w:rsid w:val="002D54D9"/>
    <w:rsid w:val="002D72D4"/>
    <w:rsid w:val="002E6E16"/>
    <w:rsid w:val="002F2EC3"/>
    <w:rsid w:val="003019EE"/>
    <w:rsid w:val="00303230"/>
    <w:rsid w:val="003079E7"/>
    <w:rsid w:val="00323027"/>
    <w:rsid w:val="003241B9"/>
    <w:rsid w:val="00331C86"/>
    <w:rsid w:val="00333F2E"/>
    <w:rsid w:val="00334773"/>
    <w:rsid w:val="0033660C"/>
    <w:rsid w:val="00351F25"/>
    <w:rsid w:val="00377CAE"/>
    <w:rsid w:val="003860DF"/>
    <w:rsid w:val="0039062C"/>
    <w:rsid w:val="00391A4A"/>
    <w:rsid w:val="003A1B33"/>
    <w:rsid w:val="003A3885"/>
    <w:rsid w:val="003A6571"/>
    <w:rsid w:val="003A733D"/>
    <w:rsid w:val="003B629F"/>
    <w:rsid w:val="003C2937"/>
    <w:rsid w:val="003D094C"/>
    <w:rsid w:val="003D0C8D"/>
    <w:rsid w:val="003E319C"/>
    <w:rsid w:val="003E41FC"/>
    <w:rsid w:val="003F700B"/>
    <w:rsid w:val="0040067A"/>
    <w:rsid w:val="004157DA"/>
    <w:rsid w:val="00415A89"/>
    <w:rsid w:val="00423B7C"/>
    <w:rsid w:val="00431E3F"/>
    <w:rsid w:val="00433160"/>
    <w:rsid w:val="00434E13"/>
    <w:rsid w:val="0043656E"/>
    <w:rsid w:val="00445F67"/>
    <w:rsid w:val="00446B23"/>
    <w:rsid w:val="004545E7"/>
    <w:rsid w:val="004602FD"/>
    <w:rsid w:val="0046244E"/>
    <w:rsid w:val="004630F0"/>
    <w:rsid w:val="00464BF3"/>
    <w:rsid w:val="00473955"/>
    <w:rsid w:val="0047739E"/>
    <w:rsid w:val="00484342"/>
    <w:rsid w:val="0049385D"/>
    <w:rsid w:val="00496588"/>
    <w:rsid w:val="00497A49"/>
    <w:rsid w:val="004A236F"/>
    <w:rsid w:val="004B3893"/>
    <w:rsid w:val="004B5EC4"/>
    <w:rsid w:val="004B6CF3"/>
    <w:rsid w:val="004C1F2F"/>
    <w:rsid w:val="004C509B"/>
    <w:rsid w:val="004C6ECC"/>
    <w:rsid w:val="004C6FEC"/>
    <w:rsid w:val="004D1EE3"/>
    <w:rsid w:val="004D6C48"/>
    <w:rsid w:val="004E2310"/>
    <w:rsid w:val="004F0667"/>
    <w:rsid w:val="00510BF9"/>
    <w:rsid w:val="00512871"/>
    <w:rsid w:val="005136D5"/>
    <w:rsid w:val="00524821"/>
    <w:rsid w:val="005265C8"/>
    <w:rsid w:val="005324B4"/>
    <w:rsid w:val="00546040"/>
    <w:rsid w:val="005521EC"/>
    <w:rsid w:val="005561A7"/>
    <w:rsid w:val="005650A3"/>
    <w:rsid w:val="005679D0"/>
    <w:rsid w:val="00570DBC"/>
    <w:rsid w:val="005764DB"/>
    <w:rsid w:val="0058141C"/>
    <w:rsid w:val="00583C45"/>
    <w:rsid w:val="00593D3E"/>
    <w:rsid w:val="00595576"/>
    <w:rsid w:val="005957E2"/>
    <w:rsid w:val="005B33F0"/>
    <w:rsid w:val="005B3811"/>
    <w:rsid w:val="005B463D"/>
    <w:rsid w:val="005B565B"/>
    <w:rsid w:val="005B60B7"/>
    <w:rsid w:val="005C13AE"/>
    <w:rsid w:val="005C7813"/>
    <w:rsid w:val="005D3217"/>
    <w:rsid w:val="005D6574"/>
    <w:rsid w:val="005D7A21"/>
    <w:rsid w:val="005E14C1"/>
    <w:rsid w:val="005E7EB6"/>
    <w:rsid w:val="005F1528"/>
    <w:rsid w:val="005F2EC0"/>
    <w:rsid w:val="005F3D5F"/>
    <w:rsid w:val="00600867"/>
    <w:rsid w:val="006031B3"/>
    <w:rsid w:val="00604AD4"/>
    <w:rsid w:val="00607A46"/>
    <w:rsid w:val="0062650A"/>
    <w:rsid w:val="00632111"/>
    <w:rsid w:val="00634130"/>
    <w:rsid w:val="00634FCB"/>
    <w:rsid w:val="00636E12"/>
    <w:rsid w:val="00637CFB"/>
    <w:rsid w:val="006416F7"/>
    <w:rsid w:val="00644198"/>
    <w:rsid w:val="006557DF"/>
    <w:rsid w:val="0065585D"/>
    <w:rsid w:val="00656792"/>
    <w:rsid w:val="00656B9E"/>
    <w:rsid w:val="00663E25"/>
    <w:rsid w:val="00665EE3"/>
    <w:rsid w:val="006833DD"/>
    <w:rsid w:val="006868C2"/>
    <w:rsid w:val="006877E2"/>
    <w:rsid w:val="00687AC9"/>
    <w:rsid w:val="00690132"/>
    <w:rsid w:val="006A20C2"/>
    <w:rsid w:val="006A222A"/>
    <w:rsid w:val="006A347A"/>
    <w:rsid w:val="006B0BAF"/>
    <w:rsid w:val="006B16E4"/>
    <w:rsid w:val="006B2448"/>
    <w:rsid w:val="006D4916"/>
    <w:rsid w:val="006D654A"/>
    <w:rsid w:val="006D6E8F"/>
    <w:rsid w:val="006E03FB"/>
    <w:rsid w:val="006F28E0"/>
    <w:rsid w:val="006F4B78"/>
    <w:rsid w:val="00700B95"/>
    <w:rsid w:val="007010AF"/>
    <w:rsid w:val="007036A5"/>
    <w:rsid w:val="00703DF5"/>
    <w:rsid w:val="007040A9"/>
    <w:rsid w:val="0071468E"/>
    <w:rsid w:val="00717F1F"/>
    <w:rsid w:val="00722924"/>
    <w:rsid w:val="007237EB"/>
    <w:rsid w:val="00726144"/>
    <w:rsid w:val="00732548"/>
    <w:rsid w:val="00737C16"/>
    <w:rsid w:val="007400E3"/>
    <w:rsid w:val="00743AD5"/>
    <w:rsid w:val="00746221"/>
    <w:rsid w:val="0076395D"/>
    <w:rsid w:val="00763B45"/>
    <w:rsid w:val="0077234C"/>
    <w:rsid w:val="00774811"/>
    <w:rsid w:val="007773C4"/>
    <w:rsid w:val="007813EC"/>
    <w:rsid w:val="00785393"/>
    <w:rsid w:val="00792F2E"/>
    <w:rsid w:val="00793F28"/>
    <w:rsid w:val="00795056"/>
    <w:rsid w:val="007A0582"/>
    <w:rsid w:val="007A4B51"/>
    <w:rsid w:val="007A5366"/>
    <w:rsid w:val="007A62D4"/>
    <w:rsid w:val="007B410B"/>
    <w:rsid w:val="007C65E3"/>
    <w:rsid w:val="007D1EA3"/>
    <w:rsid w:val="007E2BAA"/>
    <w:rsid w:val="007F07F2"/>
    <w:rsid w:val="007F7BCB"/>
    <w:rsid w:val="0080420B"/>
    <w:rsid w:val="00826C27"/>
    <w:rsid w:val="008273BA"/>
    <w:rsid w:val="00830B55"/>
    <w:rsid w:val="00862900"/>
    <w:rsid w:val="00865762"/>
    <w:rsid w:val="008754E4"/>
    <w:rsid w:val="008759AB"/>
    <w:rsid w:val="00875CB2"/>
    <w:rsid w:val="00875FA4"/>
    <w:rsid w:val="00877EE5"/>
    <w:rsid w:val="00891F0F"/>
    <w:rsid w:val="00896678"/>
    <w:rsid w:val="008B425D"/>
    <w:rsid w:val="008D3226"/>
    <w:rsid w:val="008E1AE7"/>
    <w:rsid w:val="008E49FF"/>
    <w:rsid w:val="008E6023"/>
    <w:rsid w:val="008E7417"/>
    <w:rsid w:val="008E7C35"/>
    <w:rsid w:val="008F58ED"/>
    <w:rsid w:val="00900B21"/>
    <w:rsid w:val="00913C62"/>
    <w:rsid w:val="009221D8"/>
    <w:rsid w:val="00924E63"/>
    <w:rsid w:val="00936A20"/>
    <w:rsid w:val="009402D4"/>
    <w:rsid w:val="0094208A"/>
    <w:rsid w:val="00946223"/>
    <w:rsid w:val="009518DD"/>
    <w:rsid w:val="00951A62"/>
    <w:rsid w:val="00956882"/>
    <w:rsid w:val="009655C2"/>
    <w:rsid w:val="00974D14"/>
    <w:rsid w:val="00986520"/>
    <w:rsid w:val="00991849"/>
    <w:rsid w:val="009936DF"/>
    <w:rsid w:val="009A2200"/>
    <w:rsid w:val="009A2F2B"/>
    <w:rsid w:val="009A421F"/>
    <w:rsid w:val="009B3B42"/>
    <w:rsid w:val="009B6064"/>
    <w:rsid w:val="009B7004"/>
    <w:rsid w:val="009C1274"/>
    <w:rsid w:val="009D0D21"/>
    <w:rsid w:val="009D0EF0"/>
    <w:rsid w:val="009D2CB0"/>
    <w:rsid w:val="009D3512"/>
    <w:rsid w:val="009D37A1"/>
    <w:rsid w:val="009D491E"/>
    <w:rsid w:val="009D4B5B"/>
    <w:rsid w:val="009E30B8"/>
    <w:rsid w:val="009E65E5"/>
    <w:rsid w:val="009E7EC8"/>
    <w:rsid w:val="009F0F80"/>
    <w:rsid w:val="009F1F82"/>
    <w:rsid w:val="009F2CD0"/>
    <w:rsid w:val="009F68D8"/>
    <w:rsid w:val="00A069E9"/>
    <w:rsid w:val="00A11B4F"/>
    <w:rsid w:val="00A22134"/>
    <w:rsid w:val="00A23105"/>
    <w:rsid w:val="00A2575C"/>
    <w:rsid w:val="00A275A3"/>
    <w:rsid w:val="00A35AD1"/>
    <w:rsid w:val="00A37F70"/>
    <w:rsid w:val="00A37F9B"/>
    <w:rsid w:val="00A40F85"/>
    <w:rsid w:val="00A41FAE"/>
    <w:rsid w:val="00A46A80"/>
    <w:rsid w:val="00A47850"/>
    <w:rsid w:val="00A50659"/>
    <w:rsid w:val="00A5090D"/>
    <w:rsid w:val="00A55AEF"/>
    <w:rsid w:val="00A57ED7"/>
    <w:rsid w:val="00A61D95"/>
    <w:rsid w:val="00A72F3A"/>
    <w:rsid w:val="00A73DAC"/>
    <w:rsid w:val="00A777C8"/>
    <w:rsid w:val="00A813D7"/>
    <w:rsid w:val="00A829B3"/>
    <w:rsid w:val="00A83393"/>
    <w:rsid w:val="00A86010"/>
    <w:rsid w:val="00A87B21"/>
    <w:rsid w:val="00A939AD"/>
    <w:rsid w:val="00A94CA4"/>
    <w:rsid w:val="00AD06D7"/>
    <w:rsid w:val="00AD4615"/>
    <w:rsid w:val="00AE516A"/>
    <w:rsid w:val="00AE6CFE"/>
    <w:rsid w:val="00AE728A"/>
    <w:rsid w:val="00AF04A7"/>
    <w:rsid w:val="00AF1825"/>
    <w:rsid w:val="00AF604B"/>
    <w:rsid w:val="00AF66AB"/>
    <w:rsid w:val="00B06FDA"/>
    <w:rsid w:val="00B07545"/>
    <w:rsid w:val="00B20AF3"/>
    <w:rsid w:val="00B224D6"/>
    <w:rsid w:val="00B2365D"/>
    <w:rsid w:val="00B251BB"/>
    <w:rsid w:val="00B274D9"/>
    <w:rsid w:val="00B4001D"/>
    <w:rsid w:val="00B4046D"/>
    <w:rsid w:val="00B40482"/>
    <w:rsid w:val="00B41DB8"/>
    <w:rsid w:val="00B53828"/>
    <w:rsid w:val="00B56286"/>
    <w:rsid w:val="00B62642"/>
    <w:rsid w:val="00B65750"/>
    <w:rsid w:val="00B668AF"/>
    <w:rsid w:val="00B6734D"/>
    <w:rsid w:val="00B71AE3"/>
    <w:rsid w:val="00B74F67"/>
    <w:rsid w:val="00B805E0"/>
    <w:rsid w:val="00B83B1E"/>
    <w:rsid w:val="00B85611"/>
    <w:rsid w:val="00B90DDD"/>
    <w:rsid w:val="00B933D1"/>
    <w:rsid w:val="00BA2670"/>
    <w:rsid w:val="00BB129A"/>
    <w:rsid w:val="00BB26D6"/>
    <w:rsid w:val="00BC3D16"/>
    <w:rsid w:val="00BD0D3C"/>
    <w:rsid w:val="00BE10C8"/>
    <w:rsid w:val="00BE424E"/>
    <w:rsid w:val="00BF384E"/>
    <w:rsid w:val="00C05597"/>
    <w:rsid w:val="00C115B8"/>
    <w:rsid w:val="00C115E0"/>
    <w:rsid w:val="00C17E7A"/>
    <w:rsid w:val="00C26EA1"/>
    <w:rsid w:val="00C467F2"/>
    <w:rsid w:val="00C544C7"/>
    <w:rsid w:val="00C73E22"/>
    <w:rsid w:val="00C76761"/>
    <w:rsid w:val="00C769CF"/>
    <w:rsid w:val="00C807F7"/>
    <w:rsid w:val="00C82C61"/>
    <w:rsid w:val="00C9070D"/>
    <w:rsid w:val="00CA017B"/>
    <w:rsid w:val="00CA147F"/>
    <w:rsid w:val="00CA18AC"/>
    <w:rsid w:val="00CB50D0"/>
    <w:rsid w:val="00CC0B24"/>
    <w:rsid w:val="00CC286A"/>
    <w:rsid w:val="00CC3A7B"/>
    <w:rsid w:val="00CC6043"/>
    <w:rsid w:val="00CC70A6"/>
    <w:rsid w:val="00CE043F"/>
    <w:rsid w:val="00CE0CDF"/>
    <w:rsid w:val="00CE35C8"/>
    <w:rsid w:val="00CE4D2D"/>
    <w:rsid w:val="00CE7FD3"/>
    <w:rsid w:val="00CF4471"/>
    <w:rsid w:val="00D01984"/>
    <w:rsid w:val="00D0256D"/>
    <w:rsid w:val="00D04109"/>
    <w:rsid w:val="00D04833"/>
    <w:rsid w:val="00D06424"/>
    <w:rsid w:val="00D278FB"/>
    <w:rsid w:val="00D30F4A"/>
    <w:rsid w:val="00D355A5"/>
    <w:rsid w:val="00D41136"/>
    <w:rsid w:val="00D42A53"/>
    <w:rsid w:val="00D50522"/>
    <w:rsid w:val="00D516F7"/>
    <w:rsid w:val="00D51C04"/>
    <w:rsid w:val="00D56392"/>
    <w:rsid w:val="00D60C37"/>
    <w:rsid w:val="00D62279"/>
    <w:rsid w:val="00D64608"/>
    <w:rsid w:val="00D76900"/>
    <w:rsid w:val="00D80E72"/>
    <w:rsid w:val="00D86E65"/>
    <w:rsid w:val="00D87013"/>
    <w:rsid w:val="00D91F33"/>
    <w:rsid w:val="00D95C41"/>
    <w:rsid w:val="00DA0488"/>
    <w:rsid w:val="00DB0190"/>
    <w:rsid w:val="00DB1C9A"/>
    <w:rsid w:val="00DC28AC"/>
    <w:rsid w:val="00DC39D7"/>
    <w:rsid w:val="00DC4AE1"/>
    <w:rsid w:val="00DC63CD"/>
    <w:rsid w:val="00DD31A7"/>
    <w:rsid w:val="00DD49A1"/>
    <w:rsid w:val="00DF092B"/>
    <w:rsid w:val="00DF4F32"/>
    <w:rsid w:val="00E03C12"/>
    <w:rsid w:val="00E07A15"/>
    <w:rsid w:val="00E11D45"/>
    <w:rsid w:val="00E13D31"/>
    <w:rsid w:val="00E16D6E"/>
    <w:rsid w:val="00E179EA"/>
    <w:rsid w:val="00E3445E"/>
    <w:rsid w:val="00E471E2"/>
    <w:rsid w:val="00E50A81"/>
    <w:rsid w:val="00E54DF1"/>
    <w:rsid w:val="00E644F2"/>
    <w:rsid w:val="00E64E66"/>
    <w:rsid w:val="00E71049"/>
    <w:rsid w:val="00E74D98"/>
    <w:rsid w:val="00E7526D"/>
    <w:rsid w:val="00E756FF"/>
    <w:rsid w:val="00E75F2D"/>
    <w:rsid w:val="00E839F6"/>
    <w:rsid w:val="00E84802"/>
    <w:rsid w:val="00E85A7E"/>
    <w:rsid w:val="00E87C3A"/>
    <w:rsid w:val="00EA52DD"/>
    <w:rsid w:val="00EB720B"/>
    <w:rsid w:val="00EC6A12"/>
    <w:rsid w:val="00ED033D"/>
    <w:rsid w:val="00ED3536"/>
    <w:rsid w:val="00ED4885"/>
    <w:rsid w:val="00EE76BF"/>
    <w:rsid w:val="00EF381E"/>
    <w:rsid w:val="00EF55CA"/>
    <w:rsid w:val="00F07754"/>
    <w:rsid w:val="00F12110"/>
    <w:rsid w:val="00F16E46"/>
    <w:rsid w:val="00F20DD7"/>
    <w:rsid w:val="00F21218"/>
    <w:rsid w:val="00F320A9"/>
    <w:rsid w:val="00F4641C"/>
    <w:rsid w:val="00F558DA"/>
    <w:rsid w:val="00F64487"/>
    <w:rsid w:val="00F64B05"/>
    <w:rsid w:val="00F7149C"/>
    <w:rsid w:val="00F8127B"/>
    <w:rsid w:val="00F8325B"/>
    <w:rsid w:val="00F9094D"/>
    <w:rsid w:val="00F92C04"/>
    <w:rsid w:val="00F978E4"/>
    <w:rsid w:val="00F97EDF"/>
    <w:rsid w:val="00F97F6D"/>
    <w:rsid w:val="00FA4050"/>
    <w:rsid w:val="00FA4D96"/>
    <w:rsid w:val="00FA5DF4"/>
    <w:rsid w:val="00FA671C"/>
    <w:rsid w:val="00FB044B"/>
    <w:rsid w:val="00FB4F0E"/>
    <w:rsid w:val="00FB5211"/>
    <w:rsid w:val="00FB6C4D"/>
    <w:rsid w:val="00FB75A4"/>
    <w:rsid w:val="00FB782A"/>
    <w:rsid w:val="00FC260C"/>
    <w:rsid w:val="00FD42DE"/>
    <w:rsid w:val="00FE22DD"/>
    <w:rsid w:val="00FF11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E3B404"/>
  <w15:chartTrackingRefBased/>
  <w15:docId w15:val="{F8F6190E-BB45-4F10-B907-1B3FCBD65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8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48B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0E48BC"/>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0E48B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E48BC"/>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E48BC"/>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E48BC"/>
    <w:rPr>
      <w:rFonts w:ascii="Times New Roman" w:eastAsia="Times New Roman" w:hAnsi="Times New Roman" w:cs="Times New Roman"/>
      <w:sz w:val="24"/>
      <w:szCs w:val="24"/>
      <w:lang w:val="es-ES" w:eastAsia="es-ES"/>
    </w:rPr>
  </w:style>
  <w:style w:type="character" w:styleId="Hipervnculo">
    <w:name w:val="Hyperlink"/>
    <w:aliases w:val="Hipervínculo1,Hipervínculo11,Hipervínculo12,Hipervínculo13,Hipervínculo14,Hipervínculo15"/>
    <w:basedOn w:val="Fuentedeprrafopredeter"/>
    <w:uiPriority w:val="99"/>
    <w:unhideWhenUsed/>
    <w:rsid w:val="000E48BC"/>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E48BC"/>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E48BC"/>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E48BC"/>
    <w:rPr>
      <w:sz w:val="20"/>
      <w:szCs w:val="20"/>
    </w:rPr>
  </w:style>
  <w:style w:type="table" w:styleId="Tablaconcuadrcula">
    <w:name w:val="Table Grid"/>
    <w:basedOn w:val="Tablanormal"/>
    <w:uiPriority w:val="39"/>
    <w:rsid w:val="000E4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CE7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52771">
      <w:bodyDiv w:val="1"/>
      <w:marLeft w:val="0"/>
      <w:marRight w:val="0"/>
      <w:marTop w:val="0"/>
      <w:marBottom w:val="0"/>
      <w:divBdr>
        <w:top w:val="none" w:sz="0" w:space="0" w:color="auto"/>
        <w:left w:val="none" w:sz="0" w:space="0" w:color="auto"/>
        <w:bottom w:val="none" w:sz="0" w:space="0" w:color="auto"/>
        <w:right w:val="none" w:sz="0" w:space="0" w:color="auto"/>
      </w:divBdr>
    </w:div>
    <w:div w:id="128135072">
      <w:bodyDiv w:val="1"/>
      <w:marLeft w:val="0"/>
      <w:marRight w:val="0"/>
      <w:marTop w:val="0"/>
      <w:marBottom w:val="0"/>
      <w:divBdr>
        <w:top w:val="none" w:sz="0" w:space="0" w:color="auto"/>
        <w:left w:val="none" w:sz="0" w:space="0" w:color="auto"/>
        <w:bottom w:val="none" w:sz="0" w:space="0" w:color="auto"/>
        <w:right w:val="none" w:sz="0" w:space="0" w:color="auto"/>
      </w:divBdr>
    </w:div>
    <w:div w:id="137765873">
      <w:bodyDiv w:val="1"/>
      <w:marLeft w:val="0"/>
      <w:marRight w:val="0"/>
      <w:marTop w:val="0"/>
      <w:marBottom w:val="0"/>
      <w:divBdr>
        <w:top w:val="none" w:sz="0" w:space="0" w:color="auto"/>
        <w:left w:val="none" w:sz="0" w:space="0" w:color="auto"/>
        <w:bottom w:val="none" w:sz="0" w:space="0" w:color="auto"/>
        <w:right w:val="none" w:sz="0" w:space="0" w:color="auto"/>
      </w:divBdr>
    </w:div>
    <w:div w:id="163866756">
      <w:bodyDiv w:val="1"/>
      <w:marLeft w:val="0"/>
      <w:marRight w:val="0"/>
      <w:marTop w:val="0"/>
      <w:marBottom w:val="0"/>
      <w:divBdr>
        <w:top w:val="none" w:sz="0" w:space="0" w:color="auto"/>
        <w:left w:val="none" w:sz="0" w:space="0" w:color="auto"/>
        <w:bottom w:val="none" w:sz="0" w:space="0" w:color="auto"/>
        <w:right w:val="none" w:sz="0" w:space="0" w:color="auto"/>
      </w:divBdr>
    </w:div>
    <w:div w:id="318384568">
      <w:bodyDiv w:val="1"/>
      <w:marLeft w:val="0"/>
      <w:marRight w:val="0"/>
      <w:marTop w:val="0"/>
      <w:marBottom w:val="0"/>
      <w:divBdr>
        <w:top w:val="none" w:sz="0" w:space="0" w:color="auto"/>
        <w:left w:val="none" w:sz="0" w:space="0" w:color="auto"/>
        <w:bottom w:val="none" w:sz="0" w:space="0" w:color="auto"/>
        <w:right w:val="none" w:sz="0" w:space="0" w:color="auto"/>
      </w:divBdr>
    </w:div>
    <w:div w:id="371542668">
      <w:bodyDiv w:val="1"/>
      <w:marLeft w:val="0"/>
      <w:marRight w:val="0"/>
      <w:marTop w:val="0"/>
      <w:marBottom w:val="0"/>
      <w:divBdr>
        <w:top w:val="none" w:sz="0" w:space="0" w:color="auto"/>
        <w:left w:val="none" w:sz="0" w:space="0" w:color="auto"/>
        <w:bottom w:val="none" w:sz="0" w:space="0" w:color="auto"/>
        <w:right w:val="none" w:sz="0" w:space="0" w:color="auto"/>
      </w:divBdr>
      <w:divsChild>
        <w:div w:id="1625573355">
          <w:marLeft w:val="0"/>
          <w:marRight w:val="0"/>
          <w:marTop w:val="0"/>
          <w:marBottom w:val="0"/>
          <w:divBdr>
            <w:top w:val="none" w:sz="0" w:space="0" w:color="auto"/>
            <w:left w:val="none" w:sz="0" w:space="0" w:color="auto"/>
            <w:bottom w:val="none" w:sz="0" w:space="0" w:color="auto"/>
            <w:right w:val="none" w:sz="0" w:space="0" w:color="auto"/>
          </w:divBdr>
          <w:divsChild>
            <w:div w:id="7052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73027">
      <w:bodyDiv w:val="1"/>
      <w:marLeft w:val="0"/>
      <w:marRight w:val="0"/>
      <w:marTop w:val="0"/>
      <w:marBottom w:val="0"/>
      <w:divBdr>
        <w:top w:val="none" w:sz="0" w:space="0" w:color="auto"/>
        <w:left w:val="none" w:sz="0" w:space="0" w:color="auto"/>
        <w:bottom w:val="none" w:sz="0" w:space="0" w:color="auto"/>
        <w:right w:val="none" w:sz="0" w:space="0" w:color="auto"/>
      </w:divBdr>
    </w:div>
    <w:div w:id="805779279">
      <w:bodyDiv w:val="1"/>
      <w:marLeft w:val="0"/>
      <w:marRight w:val="0"/>
      <w:marTop w:val="0"/>
      <w:marBottom w:val="0"/>
      <w:divBdr>
        <w:top w:val="none" w:sz="0" w:space="0" w:color="auto"/>
        <w:left w:val="none" w:sz="0" w:space="0" w:color="auto"/>
        <w:bottom w:val="none" w:sz="0" w:space="0" w:color="auto"/>
        <w:right w:val="none" w:sz="0" w:space="0" w:color="auto"/>
      </w:divBdr>
      <w:divsChild>
        <w:div w:id="1412659980">
          <w:marLeft w:val="0"/>
          <w:marRight w:val="0"/>
          <w:marTop w:val="0"/>
          <w:marBottom w:val="0"/>
          <w:divBdr>
            <w:top w:val="none" w:sz="0" w:space="0" w:color="auto"/>
            <w:left w:val="none" w:sz="0" w:space="0" w:color="auto"/>
            <w:bottom w:val="none" w:sz="0" w:space="0" w:color="auto"/>
            <w:right w:val="none" w:sz="0" w:space="0" w:color="auto"/>
          </w:divBdr>
          <w:divsChild>
            <w:div w:id="6568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86024">
      <w:bodyDiv w:val="1"/>
      <w:marLeft w:val="0"/>
      <w:marRight w:val="0"/>
      <w:marTop w:val="0"/>
      <w:marBottom w:val="0"/>
      <w:divBdr>
        <w:top w:val="none" w:sz="0" w:space="0" w:color="auto"/>
        <w:left w:val="none" w:sz="0" w:space="0" w:color="auto"/>
        <w:bottom w:val="none" w:sz="0" w:space="0" w:color="auto"/>
        <w:right w:val="none" w:sz="0" w:space="0" w:color="auto"/>
      </w:divBdr>
    </w:div>
    <w:div w:id="947740881">
      <w:bodyDiv w:val="1"/>
      <w:marLeft w:val="0"/>
      <w:marRight w:val="0"/>
      <w:marTop w:val="0"/>
      <w:marBottom w:val="0"/>
      <w:divBdr>
        <w:top w:val="none" w:sz="0" w:space="0" w:color="auto"/>
        <w:left w:val="none" w:sz="0" w:space="0" w:color="auto"/>
        <w:bottom w:val="none" w:sz="0" w:space="0" w:color="auto"/>
        <w:right w:val="none" w:sz="0" w:space="0" w:color="auto"/>
      </w:divBdr>
    </w:div>
    <w:div w:id="1435124986">
      <w:bodyDiv w:val="1"/>
      <w:marLeft w:val="0"/>
      <w:marRight w:val="0"/>
      <w:marTop w:val="0"/>
      <w:marBottom w:val="0"/>
      <w:divBdr>
        <w:top w:val="none" w:sz="0" w:space="0" w:color="auto"/>
        <w:left w:val="none" w:sz="0" w:space="0" w:color="auto"/>
        <w:bottom w:val="none" w:sz="0" w:space="0" w:color="auto"/>
        <w:right w:val="none" w:sz="0" w:space="0" w:color="auto"/>
      </w:divBdr>
    </w:div>
    <w:div w:id="1616711468">
      <w:bodyDiv w:val="1"/>
      <w:marLeft w:val="0"/>
      <w:marRight w:val="0"/>
      <w:marTop w:val="0"/>
      <w:marBottom w:val="0"/>
      <w:divBdr>
        <w:top w:val="none" w:sz="0" w:space="0" w:color="auto"/>
        <w:left w:val="none" w:sz="0" w:space="0" w:color="auto"/>
        <w:bottom w:val="none" w:sz="0" w:space="0" w:color="auto"/>
        <w:right w:val="none" w:sz="0" w:space="0" w:color="auto"/>
      </w:divBdr>
    </w:div>
    <w:div w:id="174699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E1D88-4ECA-403C-B736-3A1ABB532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35</Pages>
  <Words>9800</Words>
  <Characters>53901</Characters>
  <Application>Microsoft Office Word</Application>
  <DocSecurity>0</DocSecurity>
  <Lines>449</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dc:creator>
  <cp:keywords/>
  <dc:description/>
  <cp:lastModifiedBy>INFOEM557</cp:lastModifiedBy>
  <cp:revision>11</cp:revision>
  <dcterms:created xsi:type="dcterms:W3CDTF">2024-08-27T00:24:00Z</dcterms:created>
  <dcterms:modified xsi:type="dcterms:W3CDTF">2024-09-26T22:00:00Z</dcterms:modified>
</cp:coreProperties>
</file>