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9C3BF" w14:textId="2495F9FC" w:rsidR="000E48BC" w:rsidRPr="00DB79BB" w:rsidRDefault="000E48BC" w:rsidP="000C56C8">
      <w:pPr>
        <w:shd w:val="clear" w:color="auto" w:fill="FFFFFF"/>
        <w:spacing w:after="0" w:line="360" w:lineRule="auto"/>
        <w:jc w:val="both"/>
        <w:rPr>
          <w:rFonts w:ascii="Palatino Linotype" w:eastAsia="Times New Roman" w:hAnsi="Palatino Linotype" w:cs="Arial"/>
          <w:sz w:val="24"/>
          <w:szCs w:val="24"/>
          <w:lang w:eastAsia="es-MX"/>
        </w:rPr>
      </w:pPr>
      <w:r w:rsidRPr="00DB79BB">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E2221" w:rsidRPr="00DB79BB">
        <w:rPr>
          <w:rFonts w:ascii="Palatino Linotype" w:eastAsia="Times New Roman" w:hAnsi="Palatino Linotype" w:cs="Arial"/>
          <w:sz w:val="24"/>
          <w:szCs w:val="24"/>
          <w:lang w:eastAsia="es-MX"/>
        </w:rPr>
        <w:t>cuatro</w:t>
      </w:r>
      <w:r w:rsidR="00FC260C" w:rsidRPr="00DB79BB">
        <w:rPr>
          <w:rFonts w:ascii="Palatino Linotype" w:eastAsia="Times New Roman" w:hAnsi="Palatino Linotype" w:cs="Arial"/>
          <w:sz w:val="24"/>
          <w:szCs w:val="24"/>
          <w:lang w:eastAsia="es-MX"/>
        </w:rPr>
        <w:t xml:space="preserve"> </w:t>
      </w:r>
      <w:r w:rsidR="00D42A53" w:rsidRPr="00DB79BB">
        <w:rPr>
          <w:rFonts w:ascii="Palatino Linotype" w:eastAsia="Times New Roman" w:hAnsi="Palatino Linotype" w:cs="Arial"/>
          <w:sz w:val="24"/>
          <w:szCs w:val="24"/>
          <w:lang w:eastAsia="es-MX"/>
        </w:rPr>
        <w:t xml:space="preserve">de </w:t>
      </w:r>
      <w:r w:rsidR="004A0041" w:rsidRPr="00DB79BB">
        <w:rPr>
          <w:rFonts w:ascii="Palatino Linotype" w:eastAsia="Times New Roman" w:hAnsi="Palatino Linotype" w:cs="Arial"/>
          <w:sz w:val="24"/>
          <w:szCs w:val="24"/>
          <w:lang w:eastAsia="es-MX"/>
        </w:rPr>
        <w:t>septiembre</w:t>
      </w:r>
      <w:r w:rsidR="00D42A53" w:rsidRPr="00DB79BB">
        <w:rPr>
          <w:rFonts w:ascii="Palatino Linotype" w:eastAsia="Times New Roman" w:hAnsi="Palatino Linotype" w:cs="Arial"/>
          <w:sz w:val="24"/>
          <w:szCs w:val="24"/>
          <w:lang w:eastAsia="es-MX"/>
        </w:rPr>
        <w:t xml:space="preserve"> </w:t>
      </w:r>
      <w:r w:rsidRPr="00DB79BB">
        <w:rPr>
          <w:rFonts w:ascii="Palatino Linotype" w:eastAsia="Times New Roman" w:hAnsi="Palatino Linotype" w:cs="Arial"/>
          <w:sz w:val="24"/>
          <w:szCs w:val="24"/>
          <w:lang w:eastAsia="es-MX"/>
        </w:rPr>
        <w:t>de dos mil veinti</w:t>
      </w:r>
      <w:r w:rsidR="00ED6CE2" w:rsidRPr="00DB79BB">
        <w:rPr>
          <w:rFonts w:ascii="Palatino Linotype" w:eastAsia="Times New Roman" w:hAnsi="Palatino Linotype" w:cs="Arial"/>
          <w:sz w:val="24"/>
          <w:szCs w:val="24"/>
          <w:lang w:eastAsia="es-MX"/>
        </w:rPr>
        <w:t>cuatro</w:t>
      </w:r>
      <w:r w:rsidRPr="00DB79BB">
        <w:rPr>
          <w:rFonts w:ascii="Palatino Linotype" w:eastAsia="Times New Roman" w:hAnsi="Palatino Linotype" w:cs="Arial"/>
          <w:sz w:val="24"/>
          <w:szCs w:val="24"/>
          <w:lang w:eastAsia="es-MX"/>
        </w:rPr>
        <w:t>.</w:t>
      </w:r>
    </w:p>
    <w:p w14:paraId="250758EB" w14:textId="77777777" w:rsidR="000E48BC" w:rsidRPr="00DB79BB" w:rsidRDefault="000E48BC" w:rsidP="000C56C8">
      <w:pPr>
        <w:shd w:val="clear" w:color="auto" w:fill="FFFFFF"/>
        <w:spacing w:after="0" w:line="360" w:lineRule="auto"/>
        <w:jc w:val="both"/>
        <w:rPr>
          <w:rFonts w:ascii="Palatino Linotype" w:eastAsia="Times New Roman" w:hAnsi="Palatino Linotype" w:cs="Arial"/>
          <w:sz w:val="24"/>
          <w:szCs w:val="24"/>
          <w:lang w:eastAsia="es-MX"/>
        </w:rPr>
      </w:pPr>
    </w:p>
    <w:p w14:paraId="25EB03D1" w14:textId="322D3284" w:rsidR="000E48BC" w:rsidRPr="00DB79BB" w:rsidRDefault="00A275A3" w:rsidP="000C56C8">
      <w:pPr>
        <w:tabs>
          <w:tab w:val="left" w:pos="1701"/>
        </w:tabs>
        <w:spacing w:after="0" w:line="360" w:lineRule="auto"/>
        <w:jc w:val="both"/>
        <w:rPr>
          <w:rFonts w:ascii="Palatino Linotype" w:hAnsi="Palatino Linotype" w:cs="Arial"/>
          <w:b/>
          <w:sz w:val="24"/>
          <w:szCs w:val="24"/>
        </w:rPr>
      </w:pPr>
      <w:r w:rsidRPr="00DB79BB">
        <w:rPr>
          <w:rFonts w:ascii="Palatino Linotype" w:hAnsi="Palatino Linotype" w:cs="Arial"/>
          <w:b/>
          <w:sz w:val="24"/>
          <w:szCs w:val="24"/>
        </w:rPr>
        <w:t>VISTO</w:t>
      </w:r>
      <w:r w:rsidRPr="00DB79BB">
        <w:rPr>
          <w:rFonts w:ascii="Palatino Linotype" w:hAnsi="Palatino Linotype" w:cs="Arial"/>
          <w:sz w:val="24"/>
          <w:szCs w:val="24"/>
        </w:rPr>
        <w:t xml:space="preserve"> </w:t>
      </w:r>
      <w:r w:rsidR="004A0041" w:rsidRPr="00DB79BB">
        <w:rPr>
          <w:rFonts w:ascii="Palatino Linotype" w:hAnsi="Palatino Linotype" w:cs="Arial"/>
          <w:sz w:val="24"/>
          <w:szCs w:val="24"/>
        </w:rPr>
        <w:t xml:space="preserve">el </w:t>
      </w:r>
      <w:r w:rsidR="007C44BC" w:rsidRPr="00DB79BB">
        <w:rPr>
          <w:rFonts w:ascii="Palatino Linotype" w:hAnsi="Palatino Linotype" w:cs="Arial"/>
          <w:sz w:val="24"/>
          <w:szCs w:val="24"/>
        </w:rPr>
        <w:t xml:space="preserve">expediente formado con motivo del recurso de revisión </w:t>
      </w:r>
      <w:r w:rsidR="007C44BC" w:rsidRPr="00DB79BB">
        <w:rPr>
          <w:rFonts w:ascii="Palatino Linotype" w:hAnsi="Palatino Linotype" w:cs="Arial"/>
          <w:b/>
          <w:sz w:val="24"/>
          <w:szCs w:val="24"/>
        </w:rPr>
        <w:t>0</w:t>
      </w:r>
      <w:r w:rsidR="004A0041" w:rsidRPr="00DB79BB">
        <w:rPr>
          <w:rFonts w:ascii="Palatino Linotype" w:hAnsi="Palatino Linotype" w:cs="Arial"/>
          <w:b/>
          <w:sz w:val="24"/>
          <w:szCs w:val="24"/>
        </w:rPr>
        <w:t>4095</w:t>
      </w:r>
      <w:r w:rsidR="007C44BC" w:rsidRPr="00DB79BB">
        <w:rPr>
          <w:rFonts w:ascii="Palatino Linotype" w:hAnsi="Palatino Linotype" w:cs="Arial"/>
          <w:b/>
          <w:sz w:val="24"/>
          <w:szCs w:val="24"/>
        </w:rPr>
        <w:t>/INFOEM/IP/RR/202</w:t>
      </w:r>
      <w:r w:rsidR="004A0041" w:rsidRPr="00DB79BB">
        <w:rPr>
          <w:rFonts w:ascii="Palatino Linotype" w:hAnsi="Palatino Linotype" w:cs="Arial"/>
          <w:b/>
          <w:sz w:val="24"/>
          <w:szCs w:val="24"/>
        </w:rPr>
        <w:t>4</w:t>
      </w:r>
      <w:r w:rsidR="007C44BC" w:rsidRPr="00DB79BB">
        <w:rPr>
          <w:rFonts w:ascii="Palatino Linotype" w:hAnsi="Palatino Linotype" w:cs="Arial"/>
          <w:sz w:val="24"/>
          <w:szCs w:val="24"/>
        </w:rPr>
        <w:t xml:space="preserve">, promovidos por </w:t>
      </w:r>
      <w:r w:rsidR="008A1898" w:rsidRPr="00DB79BB">
        <w:rPr>
          <w:rFonts w:ascii="Palatino Linotype" w:hAnsi="Palatino Linotype" w:cs="Arial"/>
          <w:b/>
          <w:sz w:val="24"/>
          <w:szCs w:val="24"/>
        </w:rPr>
        <w:t>XXXXXXXXXXXXX</w:t>
      </w:r>
      <w:r w:rsidR="007C44BC" w:rsidRPr="00DB79BB">
        <w:rPr>
          <w:rFonts w:ascii="Palatino Linotype" w:hAnsi="Palatino Linotype" w:cs="Arial"/>
          <w:sz w:val="24"/>
          <w:szCs w:val="24"/>
        </w:rPr>
        <w:t xml:space="preserve">, a quien en lo sucesivo se le denominará la </w:t>
      </w:r>
      <w:r w:rsidR="007C44BC" w:rsidRPr="00DB79BB">
        <w:rPr>
          <w:rFonts w:ascii="Palatino Linotype" w:hAnsi="Palatino Linotype" w:cs="Arial"/>
          <w:b/>
          <w:sz w:val="24"/>
          <w:szCs w:val="24"/>
        </w:rPr>
        <w:t>Recurrente</w:t>
      </w:r>
      <w:r w:rsidR="007C44BC" w:rsidRPr="00DB79BB">
        <w:rPr>
          <w:rFonts w:ascii="Palatino Linotype" w:hAnsi="Palatino Linotype" w:cs="Arial"/>
          <w:sz w:val="24"/>
          <w:szCs w:val="24"/>
        </w:rPr>
        <w:t xml:space="preserve">, en contra de la respuesta del </w:t>
      </w:r>
      <w:r w:rsidR="007C44BC" w:rsidRPr="00DB79BB">
        <w:rPr>
          <w:rFonts w:ascii="Palatino Linotype" w:hAnsi="Palatino Linotype" w:cs="Arial"/>
          <w:b/>
          <w:sz w:val="24"/>
          <w:szCs w:val="24"/>
        </w:rPr>
        <w:t>Organismo Público Descentralizado para la Prestación de Los Servicios de Agua Potable Alcantarillado y Saneamiento del Municipio de la Paz México, OPDAPAS</w:t>
      </w:r>
      <w:r w:rsidR="007C44BC" w:rsidRPr="00DB79BB">
        <w:rPr>
          <w:rFonts w:ascii="Palatino Linotype" w:hAnsi="Palatino Linotype" w:cs="Arial"/>
          <w:sz w:val="24"/>
          <w:szCs w:val="24"/>
        </w:rPr>
        <w:t xml:space="preserve">, en lo subsecuente se le denominará el </w:t>
      </w:r>
      <w:r w:rsidR="007C44BC" w:rsidRPr="00DB79BB">
        <w:rPr>
          <w:rFonts w:ascii="Palatino Linotype" w:hAnsi="Palatino Linotype" w:cs="Arial"/>
          <w:b/>
          <w:sz w:val="24"/>
          <w:szCs w:val="24"/>
        </w:rPr>
        <w:t>Sujeto Obligado</w:t>
      </w:r>
      <w:r w:rsidR="007C44BC" w:rsidRPr="00DB79BB">
        <w:rPr>
          <w:rFonts w:ascii="Palatino Linotype" w:hAnsi="Palatino Linotype" w:cs="Arial"/>
          <w:sz w:val="24"/>
          <w:szCs w:val="24"/>
        </w:rPr>
        <w:t>, se procede a dictar la presente resolución con base en lo siguiente:</w:t>
      </w:r>
    </w:p>
    <w:p w14:paraId="43FE379A" w14:textId="77777777" w:rsidR="000E48BC" w:rsidRPr="00DB79BB" w:rsidRDefault="000E48BC" w:rsidP="000C56C8">
      <w:pPr>
        <w:tabs>
          <w:tab w:val="left" w:pos="6960"/>
        </w:tabs>
        <w:spacing w:after="0" w:line="360" w:lineRule="auto"/>
        <w:jc w:val="both"/>
        <w:rPr>
          <w:rFonts w:ascii="Palatino Linotype" w:hAnsi="Palatino Linotype" w:cs="Arial"/>
          <w:sz w:val="24"/>
          <w:szCs w:val="24"/>
        </w:rPr>
      </w:pPr>
    </w:p>
    <w:p w14:paraId="0AA7DE26" w14:textId="77777777" w:rsidR="000E48BC" w:rsidRPr="00DB79BB" w:rsidRDefault="000E48BC" w:rsidP="000C56C8">
      <w:pPr>
        <w:spacing w:after="0" w:line="360" w:lineRule="auto"/>
        <w:jc w:val="center"/>
        <w:rPr>
          <w:rFonts w:ascii="Palatino Linotype" w:hAnsi="Palatino Linotype" w:cs="Arial"/>
          <w:b/>
          <w:sz w:val="28"/>
          <w:szCs w:val="24"/>
        </w:rPr>
      </w:pPr>
      <w:r w:rsidRPr="00DB79BB">
        <w:rPr>
          <w:rFonts w:ascii="Palatino Linotype" w:hAnsi="Palatino Linotype" w:cs="Arial"/>
          <w:b/>
          <w:sz w:val="28"/>
          <w:szCs w:val="24"/>
        </w:rPr>
        <w:t>A N T E C E D E N T E S</w:t>
      </w:r>
    </w:p>
    <w:p w14:paraId="65020B0E" w14:textId="77777777" w:rsidR="000E48BC" w:rsidRPr="00DB79BB" w:rsidRDefault="000E48BC" w:rsidP="000C56C8">
      <w:pPr>
        <w:spacing w:after="0" w:line="360" w:lineRule="auto"/>
        <w:rPr>
          <w:rFonts w:ascii="Palatino Linotype" w:hAnsi="Palatino Linotype" w:cs="Arial"/>
          <w:b/>
          <w:sz w:val="24"/>
          <w:szCs w:val="24"/>
        </w:rPr>
      </w:pPr>
    </w:p>
    <w:p w14:paraId="1A6EFB38" w14:textId="77777777" w:rsidR="00A275A3" w:rsidRPr="00DB79BB" w:rsidRDefault="000E48BC" w:rsidP="000C56C8">
      <w:pPr>
        <w:spacing w:after="0" w:line="360" w:lineRule="auto"/>
        <w:jc w:val="both"/>
        <w:rPr>
          <w:rFonts w:ascii="Palatino Linotype" w:hAnsi="Palatino Linotype" w:cs="Arial"/>
          <w:sz w:val="24"/>
          <w:szCs w:val="24"/>
        </w:rPr>
      </w:pPr>
      <w:r w:rsidRPr="00DB79BB">
        <w:rPr>
          <w:rFonts w:ascii="Palatino Linotype" w:hAnsi="Palatino Linotype" w:cs="Arial"/>
          <w:b/>
          <w:sz w:val="28"/>
          <w:szCs w:val="28"/>
        </w:rPr>
        <w:t xml:space="preserve">PRIMERO. </w:t>
      </w:r>
      <w:r w:rsidR="007C44BC" w:rsidRPr="00DB79BB">
        <w:rPr>
          <w:rFonts w:ascii="Palatino Linotype" w:hAnsi="Palatino Linotype" w:cs="Arial"/>
          <w:sz w:val="24"/>
          <w:szCs w:val="24"/>
        </w:rPr>
        <w:t xml:space="preserve">El </w:t>
      </w:r>
      <w:r w:rsidR="004A0041" w:rsidRPr="00DB79BB">
        <w:rPr>
          <w:rFonts w:ascii="Palatino Linotype" w:hAnsi="Palatino Linotype" w:cs="Arial"/>
          <w:sz w:val="24"/>
          <w:szCs w:val="24"/>
        </w:rPr>
        <w:t>diecisiete de junio</w:t>
      </w:r>
      <w:r w:rsidR="007C44BC" w:rsidRPr="00DB79BB">
        <w:rPr>
          <w:rFonts w:ascii="Palatino Linotype" w:hAnsi="Palatino Linotype" w:cs="Arial"/>
          <w:sz w:val="24"/>
          <w:szCs w:val="24"/>
        </w:rPr>
        <w:t xml:space="preserve"> de dos mil veinti</w:t>
      </w:r>
      <w:r w:rsidR="004A0041" w:rsidRPr="00DB79BB">
        <w:rPr>
          <w:rFonts w:ascii="Palatino Linotype" w:hAnsi="Palatino Linotype" w:cs="Arial"/>
          <w:sz w:val="24"/>
          <w:szCs w:val="24"/>
        </w:rPr>
        <w:t>cuatro</w:t>
      </w:r>
      <w:r w:rsidRPr="00DB79BB">
        <w:rPr>
          <w:rFonts w:ascii="Palatino Linotype" w:hAnsi="Palatino Linotype" w:cs="Arial"/>
          <w:sz w:val="24"/>
          <w:szCs w:val="24"/>
        </w:rPr>
        <w:t xml:space="preserve">, </w:t>
      </w:r>
      <w:r w:rsidR="0058141C" w:rsidRPr="00DB79BB">
        <w:rPr>
          <w:rFonts w:ascii="Palatino Linotype" w:hAnsi="Palatino Linotype" w:cs="Arial"/>
          <w:sz w:val="24"/>
          <w:szCs w:val="24"/>
        </w:rPr>
        <w:t>la parte</w:t>
      </w:r>
      <w:r w:rsidRPr="00DB79BB">
        <w:rPr>
          <w:rFonts w:ascii="Palatino Linotype" w:hAnsi="Palatino Linotype" w:cs="Arial"/>
          <w:b/>
          <w:sz w:val="24"/>
          <w:szCs w:val="24"/>
        </w:rPr>
        <w:t xml:space="preserve"> Recurrente</w:t>
      </w:r>
      <w:r w:rsidR="00583C45" w:rsidRPr="00DB79BB">
        <w:rPr>
          <w:rFonts w:ascii="Palatino Linotype" w:hAnsi="Palatino Linotype" w:cs="Arial"/>
          <w:sz w:val="24"/>
          <w:szCs w:val="24"/>
        </w:rPr>
        <w:t xml:space="preserve"> presentó a través d</w:t>
      </w:r>
      <w:r w:rsidRPr="00DB79BB">
        <w:rPr>
          <w:rFonts w:ascii="Palatino Linotype" w:hAnsi="Palatino Linotype" w:cs="Arial"/>
          <w:sz w:val="24"/>
          <w:szCs w:val="24"/>
        </w:rPr>
        <w:t xml:space="preserve">el Sistema de Acceso a la Información Mexiquense, en lo posterior el </w:t>
      </w:r>
      <w:r w:rsidRPr="00DB79BB">
        <w:rPr>
          <w:rFonts w:ascii="Palatino Linotype" w:hAnsi="Palatino Linotype" w:cs="Arial"/>
          <w:b/>
          <w:sz w:val="24"/>
          <w:szCs w:val="24"/>
        </w:rPr>
        <w:t>SAIMEX</w:t>
      </w:r>
      <w:r w:rsidRPr="00DB79BB">
        <w:rPr>
          <w:rFonts w:ascii="Palatino Linotype" w:hAnsi="Palatino Linotype" w:cs="Arial"/>
          <w:sz w:val="24"/>
          <w:szCs w:val="24"/>
        </w:rPr>
        <w:t xml:space="preserve">, ante </w:t>
      </w:r>
      <w:r w:rsidRPr="00DB79BB">
        <w:rPr>
          <w:rFonts w:ascii="Palatino Linotype" w:hAnsi="Palatino Linotype" w:cs="Arial"/>
          <w:b/>
          <w:sz w:val="24"/>
          <w:szCs w:val="24"/>
        </w:rPr>
        <w:t>el Sujeto Obligado</w:t>
      </w:r>
      <w:r w:rsidRPr="00DB79BB">
        <w:rPr>
          <w:rFonts w:ascii="Palatino Linotype" w:hAnsi="Palatino Linotype" w:cs="Arial"/>
          <w:sz w:val="24"/>
          <w:szCs w:val="24"/>
        </w:rPr>
        <w:t xml:space="preserve">, solicitud de acceso a la información pública, la cual </w:t>
      </w:r>
      <w:r w:rsidR="00A275A3" w:rsidRPr="00DB79BB">
        <w:rPr>
          <w:rFonts w:ascii="Palatino Linotype" w:hAnsi="Palatino Linotype" w:cs="Arial"/>
          <w:sz w:val="24"/>
          <w:szCs w:val="24"/>
        </w:rPr>
        <w:t>qued</w:t>
      </w:r>
      <w:r w:rsidR="004A0041" w:rsidRPr="00DB79BB">
        <w:rPr>
          <w:rFonts w:ascii="Palatino Linotype" w:hAnsi="Palatino Linotype" w:cs="Arial"/>
          <w:sz w:val="24"/>
          <w:szCs w:val="24"/>
        </w:rPr>
        <w:t xml:space="preserve">ó </w:t>
      </w:r>
      <w:r w:rsidR="00A275A3" w:rsidRPr="00DB79BB">
        <w:rPr>
          <w:rFonts w:ascii="Palatino Linotype" w:hAnsi="Palatino Linotype" w:cs="Arial"/>
          <w:sz w:val="24"/>
          <w:szCs w:val="24"/>
        </w:rPr>
        <w:t xml:space="preserve">registrada bajo </w:t>
      </w:r>
      <w:r w:rsidR="004A0041" w:rsidRPr="00DB79BB">
        <w:rPr>
          <w:rFonts w:ascii="Palatino Linotype" w:hAnsi="Palatino Linotype" w:cs="Arial"/>
          <w:sz w:val="24"/>
          <w:szCs w:val="24"/>
        </w:rPr>
        <w:t>e</w:t>
      </w:r>
      <w:r w:rsidR="00A275A3" w:rsidRPr="00DB79BB">
        <w:rPr>
          <w:rFonts w:ascii="Palatino Linotype" w:hAnsi="Palatino Linotype" w:cs="Arial"/>
          <w:sz w:val="24"/>
          <w:szCs w:val="24"/>
        </w:rPr>
        <w:t>l número de expediente</w:t>
      </w:r>
      <w:r w:rsidR="00A275A3" w:rsidRPr="00DB79BB">
        <w:rPr>
          <w:rFonts w:ascii="Palatino Linotype" w:hAnsi="Palatino Linotype" w:cs="Arial"/>
          <w:b/>
          <w:sz w:val="24"/>
          <w:szCs w:val="24"/>
        </w:rPr>
        <w:t xml:space="preserve"> </w:t>
      </w:r>
      <w:r w:rsidR="004A0041" w:rsidRPr="00DB79BB">
        <w:rPr>
          <w:rFonts w:ascii="Palatino Linotype" w:hAnsi="Palatino Linotype" w:cs="Arial"/>
          <w:b/>
          <w:bCs/>
          <w:sz w:val="24"/>
          <w:szCs w:val="24"/>
        </w:rPr>
        <w:t>00093/OASLAPAZ/IP/2024</w:t>
      </w:r>
      <w:r w:rsidR="00A275A3" w:rsidRPr="00DB79BB">
        <w:rPr>
          <w:rFonts w:ascii="Palatino Linotype" w:hAnsi="Palatino Linotype" w:cs="Arial"/>
          <w:sz w:val="24"/>
          <w:szCs w:val="24"/>
          <w:lang w:eastAsia="es-MX"/>
        </w:rPr>
        <w:t xml:space="preserve">, </w:t>
      </w:r>
      <w:r w:rsidR="00A275A3" w:rsidRPr="00DB79BB">
        <w:rPr>
          <w:rFonts w:ascii="Palatino Linotype" w:hAnsi="Palatino Linotype" w:cs="Arial"/>
          <w:sz w:val="24"/>
          <w:szCs w:val="24"/>
        </w:rPr>
        <w:t>mediante la cual solicitó información en el tenor siguiente:</w:t>
      </w:r>
    </w:p>
    <w:p w14:paraId="2EA852BC" w14:textId="77777777" w:rsidR="000E48BC" w:rsidRPr="00DB79BB" w:rsidRDefault="000E48BC" w:rsidP="000C56C8">
      <w:pPr>
        <w:spacing w:after="0" w:line="360" w:lineRule="auto"/>
        <w:jc w:val="both"/>
        <w:rPr>
          <w:rFonts w:ascii="Palatino Linotype" w:hAnsi="Palatino Linotype" w:cs="Arial"/>
          <w:sz w:val="24"/>
          <w:szCs w:val="24"/>
        </w:rPr>
      </w:pPr>
    </w:p>
    <w:p w14:paraId="0A7AC367" w14:textId="77777777" w:rsidR="000270F6" w:rsidRPr="00DB79BB" w:rsidRDefault="004A0041" w:rsidP="004A0041">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DB79BB">
        <w:rPr>
          <w:rFonts w:ascii="Palatino Linotype" w:eastAsia="Times New Roman" w:hAnsi="Palatino Linotype" w:cs="Times New Roman"/>
          <w:i/>
          <w:szCs w:val="24"/>
          <w:lang w:val="es-ES_tradnl" w:eastAsia="es-ES"/>
        </w:rPr>
        <w:t>“CON ATENCION A LA SOLICITUD ANTERIOR QUIERO SABER SI EL DIRECTOR DE OPDAPAS ACOMPAÑA SU TE O CAFE CON ALGUN PAN, GALLETA O BOLILLO Y QUE ME INFORME PORQUE PREFIERE CONSUMIR ESTE TIPO DE HARIANA CON SU TE O CAFÉ”</w:t>
      </w:r>
      <w:r w:rsidRPr="00DB79BB">
        <w:rPr>
          <w:rFonts w:ascii="Palatino Linotype" w:eastAsia="Times New Roman" w:hAnsi="Palatino Linotype" w:cs="Times New Roman"/>
          <w:szCs w:val="24"/>
          <w:lang w:val="es-ES_tradnl" w:eastAsia="es-ES"/>
        </w:rPr>
        <w:t xml:space="preserve"> (sic)</w:t>
      </w:r>
    </w:p>
    <w:p w14:paraId="22A6F660" w14:textId="77777777" w:rsidR="000E48BC" w:rsidRPr="00DB79BB" w:rsidRDefault="000E48BC" w:rsidP="000C56C8">
      <w:pPr>
        <w:tabs>
          <w:tab w:val="left" w:pos="5647"/>
        </w:tabs>
        <w:spacing w:after="0" w:line="360" w:lineRule="auto"/>
        <w:jc w:val="both"/>
        <w:rPr>
          <w:rFonts w:ascii="Palatino Linotype" w:hAnsi="Palatino Linotype"/>
          <w:sz w:val="24"/>
          <w:szCs w:val="24"/>
        </w:rPr>
      </w:pPr>
      <w:r w:rsidRPr="00DB79BB">
        <w:rPr>
          <w:rFonts w:ascii="Palatino Linotype" w:eastAsia="Times New Roman" w:hAnsi="Palatino Linotype" w:cs="Times New Roman"/>
          <w:sz w:val="24"/>
          <w:szCs w:val="24"/>
          <w:lang w:val="es-ES_tradnl" w:eastAsia="es-ES"/>
        </w:rPr>
        <w:lastRenderedPageBreak/>
        <w:t xml:space="preserve">Modalidad de entrega: </w:t>
      </w:r>
      <w:r w:rsidR="00583C45" w:rsidRPr="00DB79BB">
        <w:rPr>
          <w:rFonts w:ascii="Palatino Linotype" w:hAnsi="Palatino Linotype"/>
          <w:b/>
          <w:i/>
          <w:sz w:val="24"/>
          <w:szCs w:val="24"/>
        </w:rPr>
        <w:t>a través del sistema SAIMEX</w:t>
      </w:r>
    </w:p>
    <w:p w14:paraId="7A467DF0" w14:textId="77777777" w:rsidR="00D41136" w:rsidRPr="00DB79BB" w:rsidRDefault="00D41136" w:rsidP="000C56C8">
      <w:pPr>
        <w:tabs>
          <w:tab w:val="left" w:pos="5647"/>
        </w:tabs>
        <w:spacing w:after="0" w:line="360" w:lineRule="auto"/>
        <w:jc w:val="both"/>
        <w:rPr>
          <w:rFonts w:ascii="Palatino Linotype" w:hAnsi="Palatino Linotype"/>
          <w:sz w:val="24"/>
          <w:szCs w:val="24"/>
        </w:rPr>
      </w:pPr>
    </w:p>
    <w:p w14:paraId="7D5A61CF" w14:textId="77777777" w:rsidR="000E48BC" w:rsidRPr="00DB79BB" w:rsidRDefault="00AE6CFE" w:rsidP="000C56C8">
      <w:pPr>
        <w:spacing w:after="0" w:line="360" w:lineRule="auto"/>
        <w:jc w:val="both"/>
        <w:rPr>
          <w:rFonts w:ascii="Palatino Linotype" w:eastAsia="Times New Roman" w:hAnsi="Palatino Linotype" w:cs="Times New Roman"/>
          <w:sz w:val="24"/>
          <w:szCs w:val="24"/>
          <w:lang w:val="es-ES" w:eastAsia="es-ES"/>
        </w:rPr>
      </w:pPr>
      <w:r w:rsidRPr="00DB79BB">
        <w:rPr>
          <w:rFonts w:ascii="Palatino Linotype" w:hAnsi="Palatino Linotype" w:cs="Arial"/>
          <w:b/>
          <w:sz w:val="28"/>
          <w:szCs w:val="24"/>
        </w:rPr>
        <w:t>SEGUNDO</w:t>
      </w:r>
      <w:r w:rsidRPr="00DB79BB">
        <w:rPr>
          <w:rFonts w:ascii="Palatino Linotype" w:hAnsi="Palatino Linotype" w:cs="Arial"/>
          <w:b/>
          <w:sz w:val="24"/>
          <w:szCs w:val="24"/>
        </w:rPr>
        <w:t xml:space="preserve">. </w:t>
      </w:r>
      <w:r w:rsidR="00795056" w:rsidRPr="00DB79BB">
        <w:rPr>
          <w:rFonts w:ascii="Palatino Linotype" w:hAnsi="Palatino Linotype" w:cs="Arial"/>
          <w:sz w:val="24"/>
          <w:szCs w:val="24"/>
        </w:rPr>
        <w:t xml:space="preserve">Una vez transcurrido </w:t>
      </w:r>
      <w:r w:rsidR="004A0041" w:rsidRPr="00DB79BB">
        <w:rPr>
          <w:rFonts w:ascii="Palatino Linotype" w:hAnsi="Palatino Linotype" w:cs="Arial"/>
          <w:sz w:val="24"/>
          <w:szCs w:val="24"/>
        </w:rPr>
        <w:t>e</w:t>
      </w:r>
      <w:r w:rsidR="000270F6" w:rsidRPr="00DB79BB">
        <w:rPr>
          <w:rFonts w:ascii="Palatino Linotype" w:hAnsi="Palatino Linotype" w:cs="Arial"/>
          <w:sz w:val="24"/>
          <w:szCs w:val="24"/>
        </w:rPr>
        <w:t>l</w:t>
      </w:r>
      <w:r w:rsidR="00795056" w:rsidRPr="00DB79BB">
        <w:rPr>
          <w:rFonts w:ascii="Palatino Linotype" w:hAnsi="Palatino Linotype" w:cs="Arial"/>
          <w:sz w:val="24"/>
          <w:szCs w:val="24"/>
        </w:rPr>
        <w:t xml:space="preserve"> término ordinario para dar respuesta, se observa que,</w:t>
      </w:r>
      <w:r w:rsidR="000E48BC" w:rsidRPr="00DB79BB">
        <w:rPr>
          <w:rFonts w:ascii="Palatino Linotype" w:eastAsia="Times New Roman" w:hAnsi="Palatino Linotype" w:cs="Times New Roman"/>
          <w:sz w:val="24"/>
          <w:szCs w:val="24"/>
          <w:lang w:val="es-ES" w:eastAsia="es-ES"/>
        </w:rPr>
        <w:t xml:space="preserve"> en fecha </w:t>
      </w:r>
      <w:r w:rsidR="00077EE1" w:rsidRPr="00DB79BB">
        <w:rPr>
          <w:rFonts w:ascii="Palatino Linotype" w:eastAsia="Times New Roman" w:hAnsi="Palatino Linotype" w:cs="Times New Roman"/>
          <w:sz w:val="24"/>
          <w:szCs w:val="24"/>
          <w:lang w:val="es-ES" w:eastAsia="es-ES"/>
        </w:rPr>
        <w:t>catorce de abril de dos mil veintitrés</w:t>
      </w:r>
      <w:r w:rsidR="000E48BC" w:rsidRPr="00DB79BB">
        <w:rPr>
          <w:rFonts w:ascii="Palatino Linotype" w:eastAsia="Times New Roman" w:hAnsi="Palatino Linotype" w:cs="Times New Roman"/>
          <w:sz w:val="24"/>
          <w:szCs w:val="24"/>
          <w:lang w:val="es-ES" w:eastAsia="es-ES"/>
        </w:rPr>
        <w:t>, el</w:t>
      </w:r>
      <w:r w:rsidR="000E48BC" w:rsidRPr="00DB79BB">
        <w:rPr>
          <w:rFonts w:ascii="Palatino Linotype" w:eastAsia="Times New Roman" w:hAnsi="Palatino Linotype" w:cs="Times New Roman"/>
          <w:b/>
          <w:sz w:val="24"/>
          <w:szCs w:val="24"/>
          <w:lang w:val="es-ES" w:eastAsia="es-ES"/>
        </w:rPr>
        <w:t xml:space="preserve"> Sujeto Obligado </w:t>
      </w:r>
      <w:r w:rsidR="000E48BC" w:rsidRPr="00DB79BB">
        <w:rPr>
          <w:rFonts w:ascii="Palatino Linotype" w:eastAsia="Times New Roman" w:hAnsi="Palatino Linotype" w:cs="Times New Roman"/>
          <w:sz w:val="24"/>
          <w:szCs w:val="24"/>
          <w:lang w:val="es-ES" w:eastAsia="es-ES"/>
        </w:rPr>
        <w:t>emitió respuesta, en los términos siguientes:</w:t>
      </w:r>
    </w:p>
    <w:p w14:paraId="0F674BB2" w14:textId="77777777" w:rsidR="00ED6CE2" w:rsidRPr="00DB79BB" w:rsidRDefault="00ED6CE2" w:rsidP="000C56C8">
      <w:pPr>
        <w:spacing w:after="0" w:line="360" w:lineRule="auto"/>
        <w:jc w:val="both"/>
        <w:rPr>
          <w:rFonts w:ascii="Palatino Linotype" w:eastAsia="Times New Roman" w:hAnsi="Palatino Linotype" w:cs="Times New Roman"/>
          <w:sz w:val="24"/>
          <w:szCs w:val="24"/>
          <w:lang w:val="es-ES" w:eastAsia="es-ES"/>
        </w:rPr>
      </w:pPr>
    </w:p>
    <w:p w14:paraId="08CFAB22" w14:textId="77777777" w:rsidR="000270F6" w:rsidRPr="00DB79BB" w:rsidRDefault="000270F6" w:rsidP="000C56C8">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DB79BB">
        <w:rPr>
          <w:rFonts w:ascii="Palatino Linotype" w:eastAsia="Times New Roman" w:hAnsi="Palatino Linotype" w:cs="Times New Roman"/>
          <w:i/>
          <w:szCs w:val="24"/>
          <w:lang w:val="es-ES_tradnl" w:eastAsia="es-ES"/>
        </w:rPr>
        <w:t>"</w:t>
      </w:r>
      <w:r w:rsidR="004A0041" w:rsidRPr="00DB79BB">
        <w:rPr>
          <w:rFonts w:ascii="Palatino Linotype" w:eastAsia="Times New Roman" w:hAnsi="Palatino Linotype" w:cs="Times New Roman"/>
          <w:i/>
          <w:szCs w:val="24"/>
          <w:lang w:eastAsia="es-ES"/>
        </w:rPr>
        <w:t>SE ENVIA INFORMACIÓN CORRESPONDIENTE A LA SOLICITUD 00093 OAS LA PAS IP 2024</w:t>
      </w:r>
      <w:r w:rsidRPr="00DB79BB">
        <w:rPr>
          <w:rFonts w:ascii="Palatino Linotype" w:eastAsia="Times New Roman" w:hAnsi="Palatino Linotype" w:cs="Times New Roman"/>
          <w:i/>
          <w:szCs w:val="24"/>
          <w:lang w:val="es-ES_tradnl" w:eastAsia="es-ES"/>
        </w:rPr>
        <w:t>"</w:t>
      </w:r>
    </w:p>
    <w:p w14:paraId="21E4E50F" w14:textId="77777777" w:rsidR="000270F6" w:rsidRPr="00DB79BB" w:rsidRDefault="000270F6" w:rsidP="000C56C8">
      <w:pPr>
        <w:spacing w:after="0" w:line="360" w:lineRule="auto"/>
        <w:jc w:val="both"/>
        <w:rPr>
          <w:rFonts w:ascii="Palatino Linotype" w:hAnsi="Palatino Linotype" w:cs="Arial"/>
          <w:sz w:val="24"/>
          <w:szCs w:val="24"/>
        </w:rPr>
      </w:pPr>
    </w:p>
    <w:p w14:paraId="653442A5" w14:textId="77777777" w:rsidR="000270F6" w:rsidRPr="00DB79BB" w:rsidRDefault="000270F6" w:rsidP="004A0041">
      <w:pPr>
        <w:spacing w:after="0" w:line="360" w:lineRule="auto"/>
        <w:jc w:val="both"/>
        <w:rPr>
          <w:rFonts w:ascii="Palatino Linotype" w:hAnsi="Palatino Linotype" w:cs="Arial"/>
          <w:sz w:val="24"/>
          <w:szCs w:val="24"/>
        </w:rPr>
      </w:pPr>
      <w:r w:rsidRPr="00DB79BB">
        <w:rPr>
          <w:rFonts w:ascii="Palatino Linotype" w:hAnsi="Palatino Linotype" w:cs="Arial"/>
          <w:sz w:val="24"/>
          <w:szCs w:val="24"/>
        </w:rPr>
        <w:t xml:space="preserve">Se hace constar que el </w:t>
      </w:r>
      <w:r w:rsidRPr="00DB79BB">
        <w:rPr>
          <w:rFonts w:ascii="Palatino Linotype" w:hAnsi="Palatino Linotype" w:cs="Arial"/>
          <w:b/>
          <w:sz w:val="24"/>
          <w:szCs w:val="24"/>
        </w:rPr>
        <w:t>Sujeto Obligado</w:t>
      </w:r>
      <w:r w:rsidRPr="00DB79BB">
        <w:rPr>
          <w:rFonts w:ascii="Palatino Linotype" w:hAnsi="Palatino Linotype" w:cs="Arial"/>
          <w:sz w:val="24"/>
          <w:szCs w:val="24"/>
        </w:rPr>
        <w:t xml:space="preserve"> adjunto </w:t>
      </w:r>
      <w:r w:rsidR="004A0041" w:rsidRPr="00DB79BB">
        <w:rPr>
          <w:rFonts w:ascii="Palatino Linotype" w:hAnsi="Palatino Linotype" w:cs="Arial"/>
          <w:sz w:val="24"/>
          <w:szCs w:val="24"/>
        </w:rPr>
        <w:t>los</w:t>
      </w:r>
      <w:r w:rsidRPr="00DB79BB">
        <w:rPr>
          <w:rFonts w:ascii="Palatino Linotype" w:hAnsi="Palatino Linotype" w:cs="Arial"/>
          <w:sz w:val="24"/>
          <w:szCs w:val="24"/>
        </w:rPr>
        <w:t xml:space="preserve"> archivo</w:t>
      </w:r>
      <w:r w:rsidR="004A0041" w:rsidRPr="00DB79BB">
        <w:rPr>
          <w:rFonts w:ascii="Palatino Linotype" w:hAnsi="Palatino Linotype" w:cs="Arial"/>
          <w:sz w:val="24"/>
          <w:szCs w:val="24"/>
        </w:rPr>
        <w:t>s</w:t>
      </w:r>
      <w:r w:rsidRPr="00DB79BB">
        <w:rPr>
          <w:rFonts w:ascii="Palatino Linotype" w:hAnsi="Palatino Linotype" w:cs="Arial"/>
          <w:sz w:val="24"/>
          <w:szCs w:val="24"/>
        </w:rPr>
        <w:t xml:space="preserve"> electrónico</w:t>
      </w:r>
      <w:r w:rsidR="004A0041" w:rsidRPr="00DB79BB">
        <w:rPr>
          <w:rFonts w:ascii="Palatino Linotype" w:hAnsi="Palatino Linotype" w:cs="Arial"/>
          <w:sz w:val="24"/>
          <w:szCs w:val="24"/>
        </w:rPr>
        <w:t>s</w:t>
      </w:r>
      <w:r w:rsidRPr="00DB79BB">
        <w:rPr>
          <w:rFonts w:ascii="Palatino Linotype" w:hAnsi="Palatino Linotype" w:cs="Arial"/>
          <w:sz w:val="24"/>
          <w:szCs w:val="24"/>
        </w:rPr>
        <w:t xml:space="preserve"> “</w:t>
      </w:r>
      <w:r w:rsidR="004A0041" w:rsidRPr="00DB79BB">
        <w:rPr>
          <w:rFonts w:ascii="Palatino Linotype" w:hAnsi="Palatino Linotype" w:cs="Arial"/>
          <w:b/>
          <w:i/>
          <w:sz w:val="24"/>
          <w:szCs w:val="24"/>
        </w:rPr>
        <w:t>SOLICITUD 00087 OAS LA PAZ IP 2024.pdf</w:t>
      </w:r>
      <w:r w:rsidR="004A0041" w:rsidRPr="00DB79BB">
        <w:rPr>
          <w:rFonts w:ascii="Palatino Linotype" w:hAnsi="Palatino Linotype" w:cs="Arial"/>
          <w:sz w:val="24"/>
          <w:szCs w:val="24"/>
        </w:rPr>
        <w:t xml:space="preserve"> y </w:t>
      </w:r>
      <w:r w:rsidR="004A0041" w:rsidRPr="00DB79BB">
        <w:rPr>
          <w:rFonts w:ascii="Palatino Linotype" w:hAnsi="Palatino Linotype" w:cs="Arial"/>
          <w:b/>
          <w:i/>
          <w:sz w:val="24"/>
          <w:szCs w:val="24"/>
        </w:rPr>
        <w:t>SOLICITUD 00093 OAS LA PAZ IP 2023.pdf</w:t>
      </w:r>
      <w:r w:rsidRPr="00DB79BB">
        <w:rPr>
          <w:rFonts w:ascii="Palatino Linotype" w:hAnsi="Palatino Linotype" w:cs="Arial"/>
          <w:sz w:val="24"/>
          <w:szCs w:val="24"/>
        </w:rPr>
        <w:t xml:space="preserve">”, </w:t>
      </w:r>
      <w:r w:rsidR="00ED6CE2" w:rsidRPr="00DB79BB">
        <w:rPr>
          <w:rFonts w:ascii="Palatino Linotype" w:hAnsi="Palatino Linotype" w:cs="Arial"/>
          <w:sz w:val="24"/>
          <w:szCs w:val="24"/>
        </w:rPr>
        <w:t xml:space="preserve">que </w:t>
      </w:r>
      <w:r w:rsidRPr="00DB79BB">
        <w:rPr>
          <w:rFonts w:ascii="Palatino Linotype" w:hAnsi="Palatino Linotype" w:cs="Arial"/>
          <w:sz w:val="24"/>
          <w:szCs w:val="24"/>
        </w:rPr>
        <w:t>al ser del conocimiento de las partes, se omite su inserción en este apartado, máxime que será objeto de estudio en párrafos posteriores.</w:t>
      </w:r>
    </w:p>
    <w:p w14:paraId="20ED97C0" w14:textId="77777777" w:rsidR="00D41136" w:rsidRPr="00DB79BB" w:rsidRDefault="00D41136" w:rsidP="000C56C8">
      <w:pPr>
        <w:spacing w:after="0" w:line="360" w:lineRule="auto"/>
        <w:jc w:val="both"/>
        <w:rPr>
          <w:rFonts w:ascii="Palatino Linotype" w:eastAsia="Times New Roman" w:hAnsi="Palatino Linotype" w:cs="Times New Roman"/>
          <w:sz w:val="24"/>
          <w:szCs w:val="24"/>
          <w:lang w:val="es-ES" w:eastAsia="es-ES"/>
        </w:rPr>
      </w:pPr>
    </w:p>
    <w:p w14:paraId="55E35220" w14:textId="77777777" w:rsidR="000E48BC" w:rsidRPr="00DB79BB" w:rsidRDefault="000270F6" w:rsidP="000C56C8">
      <w:pPr>
        <w:spacing w:after="0" w:line="360" w:lineRule="auto"/>
        <w:jc w:val="both"/>
        <w:rPr>
          <w:rFonts w:ascii="Palatino Linotype" w:eastAsia="Times New Roman" w:hAnsi="Palatino Linotype" w:cs="Arial"/>
          <w:sz w:val="24"/>
          <w:szCs w:val="24"/>
          <w:lang w:val="es-ES" w:eastAsia="es-ES"/>
        </w:rPr>
      </w:pPr>
      <w:r w:rsidRPr="00DB79BB">
        <w:rPr>
          <w:rFonts w:ascii="Palatino Linotype" w:hAnsi="Palatino Linotype" w:cs="Arial"/>
          <w:b/>
          <w:sz w:val="28"/>
          <w:szCs w:val="24"/>
        </w:rPr>
        <w:t>TERCERO</w:t>
      </w:r>
      <w:r w:rsidR="000E48BC" w:rsidRPr="00DB79BB">
        <w:rPr>
          <w:rFonts w:ascii="Palatino Linotype" w:hAnsi="Palatino Linotype" w:cs="Arial"/>
          <w:b/>
          <w:sz w:val="24"/>
          <w:szCs w:val="24"/>
        </w:rPr>
        <w:t>.</w:t>
      </w:r>
      <w:r w:rsidR="000E48BC" w:rsidRPr="00DB79BB">
        <w:rPr>
          <w:rFonts w:ascii="Palatino Linotype" w:hAnsi="Palatino Linotype" w:cs="Arial"/>
          <w:sz w:val="24"/>
          <w:szCs w:val="24"/>
        </w:rPr>
        <w:t xml:space="preserve"> </w:t>
      </w:r>
      <w:r w:rsidR="000E48BC" w:rsidRPr="00DB79BB">
        <w:rPr>
          <w:rFonts w:ascii="Palatino Linotype" w:eastAsia="Times New Roman" w:hAnsi="Palatino Linotype" w:cs="Arial"/>
          <w:sz w:val="24"/>
          <w:szCs w:val="24"/>
          <w:lang w:val="es-ES" w:eastAsia="es-ES"/>
        </w:rPr>
        <w:t>Inconforme con la</w:t>
      </w:r>
      <w:r w:rsidR="00D41136" w:rsidRPr="00DB79BB">
        <w:rPr>
          <w:rFonts w:ascii="Palatino Linotype" w:eastAsia="Times New Roman" w:hAnsi="Palatino Linotype" w:cs="Arial"/>
          <w:sz w:val="24"/>
          <w:szCs w:val="24"/>
          <w:lang w:val="es-ES" w:eastAsia="es-ES"/>
        </w:rPr>
        <w:t>s</w:t>
      </w:r>
      <w:r w:rsidR="000E48BC" w:rsidRPr="00DB79BB">
        <w:rPr>
          <w:rFonts w:ascii="Palatino Linotype" w:eastAsia="Times New Roman" w:hAnsi="Palatino Linotype" w:cs="Arial"/>
          <w:sz w:val="24"/>
          <w:szCs w:val="24"/>
          <w:lang w:val="es-ES" w:eastAsia="es-ES"/>
        </w:rPr>
        <w:t xml:space="preserve"> respuesta</w:t>
      </w:r>
      <w:r w:rsidR="00D41136" w:rsidRPr="00DB79BB">
        <w:rPr>
          <w:rFonts w:ascii="Palatino Linotype" w:eastAsia="Times New Roman" w:hAnsi="Palatino Linotype" w:cs="Arial"/>
          <w:sz w:val="24"/>
          <w:szCs w:val="24"/>
          <w:lang w:val="es-ES" w:eastAsia="es-ES"/>
        </w:rPr>
        <w:t>s</w:t>
      </w:r>
      <w:r w:rsidR="000E48BC" w:rsidRPr="00DB79BB">
        <w:rPr>
          <w:rFonts w:ascii="Palatino Linotype" w:eastAsia="Times New Roman" w:hAnsi="Palatino Linotype" w:cs="Arial"/>
          <w:sz w:val="24"/>
          <w:szCs w:val="24"/>
          <w:lang w:val="es-ES" w:eastAsia="es-ES"/>
        </w:rPr>
        <w:t xml:space="preserve"> proporcionada</w:t>
      </w:r>
      <w:r w:rsidR="00D41136" w:rsidRPr="00DB79BB">
        <w:rPr>
          <w:rFonts w:ascii="Palatino Linotype" w:eastAsia="Times New Roman" w:hAnsi="Palatino Linotype" w:cs="Arial"/>
          <w:sz w:val="24"/>
          <w:szCs w:val="24"/>
          <w:lang w:val="es-ES" w:eastAsia="es-ES"/>
        </w:rPr>
        <w:t>s</w:t>
      </w:r>
      <w:r w:rsidR="000E48BC" w:rsidRPr="00DB79BB">
        <w:rPr>
          <w:rFonts w:ascii="Palatino Linotype" w:eastAsia="Times New Roman" w:hAnsi="Palatino Linotype" w:cs="Arial"/>
          <w:sz w:val="24"/>
          <w:szCs w:val="24"/>
          <w:lang w:val="es-ES" w:eastAsia="es-ES"/>
        </w:rPr>
        <w:t xml:space="preserve">, </w:t>
      </w:r>
      <w:r w:rsidR="003C32A2" w:rsidRPr="00DB79BB">
        <w:rPr>
          <w:rFonts w:ascii="Palatino Linotype" w:eastAsia="Times New Roman" w:hAnsi="Palatino Linotype" w:cs="Arial"/>
          <w:sz w:val="24"/>
          <w:szCs w:val="24"/>
          <w:lang w:val="es-ES" w:eastAsia="es-ES"/>
        </w:rPr>
        <w:t>el</w:t>
      </w:r>
      <w:r w:rsidR="00E85A7E" w:rsidRPr="00DB79BB">
        <w:rPr>
          <w:rFonts w:ascii="Palatino Linotype" w:eastAsia="Times New Roman" w:hAnsi="Palatino Linotype" w:cs="Arial"/>
          <w:sz w:val="24"/>
          <w:szCs w:val="24"/>
          <w:lang w:val="es-ES" w:eastAsia="es-ES"/>
        </w:rPr>
        <w:t xml:space="preserve"> </w:t>
      </w:r>
      <w:r w:rsidR="000E48BC" w:rsidRPr="00DB79BB">
        <w:rPr>
          <w:rFonts w:ascii="Palatino Linotype" w:eastAsia="Times New Roman" w:hAnsi="Palatino Linotype" w:cs="Arial"/>
          <w:sz w:val="24"/>
          <w:szCs w:val="24"/>
          <w:lang w:val="es-ES" w:eastAsia="es-ES"/>
        </w:rPr>
        <w:t>día</w:t>
      </w:r>
      <w:r w:rsidR="003C32A2" w:rsidRPr="00DB79BB">
        <w:rPr>
          <w:rFonts w:ascii="Palatino Linotype" w:eastAsia="Times New Roman" w:hAnsi="Palatino Linotype" w:cs="Arial"/>
          <w:sz w:val="24"/>
          <w:szCs w:val="24"/>
          <w:lang w:val="es-ES" w:eastAsia="es-ES"/>
        </w:rPr>
        <w:t xml:space="preserve"> </w:t>
      </w:r>
      <w:r w:rsidR="00831383" w:rsidRPr="00DB79BB">
        <w:rPr>
          <w:rFonts w:ascii="Palatino Linotype" w:eastAsia="Times New Roman" w:hAnsi="Palatino Linotype" w:cs="Arial"/>
          <w:sz w:val="24"/>
          <w:szCs w:val="24"/>
          <w:lang w:val="es-ES" w:eastAsia="es-ES"/>
        </w:rPr>
        <w:t xml:space="preserve">tres de julio </w:t>
      </w:r>
      <w:r w:rsidR="00077EE1" w:rsidRPr="00DB79BB">
        <w:rPr>
          <w:rFonts w:ascii="Palatino Linotype" w:eastAsia="Times New Roman" w:hAnsi="Palatino Linotype" w:cs="Arial"/>
          <w:sz w:val="24"/>
          <w:szCs w:val="24"/>
          <w:lang w:val="es-ES" w:eastAsia="es-ES"/>
        </w:rPr>
        <w:t xml:space="preserve">de </w:t>
      </w:r>
      <w:r w:rsidR="000E48BC" w:rsidRPr="00DB79BB">
        <w:rPr>
          <w:rFonts w:ascii="Palatino Linotype" w:eastAsia="Times New Roman" w:hAnsi="Palatino Linotype" w:cs="Arial"/>
          <w:sz w:val="24"/>
          <w:szCs w:val="24"/>
          <w:lang w:val="es-ES" w:eastAsia="es-ES"/>
        </w:rPr>
        <w:t>dos mil veinti</w:t>
      </w:r>
      <w:r w:rsidR="00831383" w:rsidRPr="00DB79BB">
        <w:rPr>
          <w:rFonts w:ascii="Palatino Linotype" w:eastAsia="Times New Roman" w:hAnsi="Palatino Linotype" w:cs="Arial"/>
          <w:sz w:val="24"/>
          <w:szCs w:val="24"/>
          <w:lang w:val="es-ES" w:eastAsia="es-ES"/>
        </w:rPr>
        <w:t>cuatro</w:t>
      </w:r>
      <w:r w:rsidR="000E48BC" w:rsidRPr="00DB79BB">
        <w:rPr>
          <w:rFonts w:ascii="Palatino Linotype" w:eastAsia="Times New Roman" w:hAnsi="Palatino Linotype" w:cs="Arial"/>
          <w:sz w:val="24"/>
          <w:szCs w:val="24"/>
          <w:lang w:val="es-ES" w:eastAsia="es-ES"/>
        </w:rPr>
        <w:t xml:space="preserve">, </w:t>
      </w:r>
      <w:r w:rsidR="002F2EC3" w:rsidRPr="00DB79BB">
        <w:rPr>
          <w:rFonts w:ascii="Palatino Linotype" w:eastAsia="Times New Roman" w:hAnsi="Palatino Linotype" w:cs="Arial"/>
          <w:sz w:val="24"/>
          <w:szCs w:val="24"/>
          <w:lang w:val="es-ES" w:eastAsia="es-ES"/>
        </w:rPr>
        <w:t>la parte</w:t>
      </w:r>
      <w:r w:rsidR="000E48BC" w:rsidRPr="00DB79BB">
        <w:rPr>
          <w:rFonts w:ascii="Palatino Linotype" w:eastAsia="Times New Roman" w:hAnsi="Palatino Linotype" w:cs="Arial"/>
          <w:b/>
          <w:sz w:val="24"/>
          <w:szCs w:val="24"/>
          <w:lang w:val="es-ES" w:eastAsia="es-ES"/>
        </w:rPr>
        <w:t xml:space="preserve"> Recurrente</w:t>
      </w:r>
      <w:r w:rsidR="000E48BC" w:rsidRPr="00DB79BB">
        <w:rPr>
          <w:rFonts w:ascii="Palatino Linotype" w:eastAsia="Times New Roman" w:hAnsi="Palatino Linotype" w:cs="Arial"/>
          <w:sz w:val="24"/>
          <w:szCs w:val="24"/>
          <w:lang w:val="es-ES" w:eastAsia="es-ES"/>
        </w:rPr>
        <w:t xml:space="preserve"> interpuso recurso de revisión, quedando registrado en el</w:t>
      </w:r>
      <w:r w:rsidR="000E48BC" w:rsidRPr="00DB79BB">
        <w:rPr>
          <w:rFonts w:ascii="Palatino Linotype" w:eastAsia="Arial Unicode MS" w:hAnsi="Palatino Linotype" w:cs="Arial"/>
          <w:b/>
          <w:sz w:val="24"/>
          <w:szCs w:val="24"/>
          <w:lang w:val="es-ES" w:eastAsia="es-ES"/>
        </w:rPr>
        <w:t xml:space="preserve"> SAIMEX</w:t>
      </w:r>
      <w:r w:rsidR="000E48BC" w:rsidRPr="00DB79BB">
        <w:rPr>
          <w:rFonts w:ascii="Palatino Linotype" w:eastAsia="Arial Unicode MS" w:hAnsi="Palatino Linotype" w:cs="Arial"/>
          <w:sz w:val="24"/>
          <w:szCs w:val="24"/>
          <w:lang w:val="es-ES" w:eastAsia="es-ES"/>
        </w:rPr>
        <w:t xml:space="preserve"> </w:t>
      </w:r>
      <w:r w:rsidR="00D41136" w:rsidRPr="00DB79BB">
        <w:rPr>
          <w:rFonts w:ascii="Palatino Linotype" w:eastAsia="Arial Unicode MS" w:hAnsi="Palatino Linotype" w:cs="Arial"/>
          <w:sz w:val="24"/>
          <w:szCs w:val="24"/>
          <w:lang w:val="es-ES" w:eastAsia="es-ES"/>
        </w:rPr>
        <w:t xml:space="preserve">con </w:t>
      </w:r>
      <w:r w:rsidR="00831383" w:rsidRPr="00DB79BB">
        <w:rPr>
          <w:rFonts w:ascii="Palatino Linotype" w:eastAsia="Arial Unicode MS" w:hAnsi="Palatino Linotype" w:cs="Arial"/>
          <w:sz w:val="24"/>
          <w:szCs w:val="24"/>
          <w:lang w:val="es-ES" w:eastAsia="es-ES"/>
        </w:rPr>
        <w:t>e</w:t>
      </w:r>
      <w:r w:rsidR="00D41136" w:rsidRPr="00DB79BB">
        <w:rPr>
          <w:rFonts w:ascii="Palatino Linotype" w:eastAsia="Arial Unicode MS" w:hAnsi="Palatino Linotype" w:cs="Arial"/>
          <w:sz w:val="24"/>
          <w:szCs w:val="24"/>
          <w:lang w:val="es-ES" w:eastAsia="es-ES"/>
        </w:rPr>
        <w:t xml:space="preserve">l número de recurso </w:t>
      </w:r>
      <w:r w:rsidR="00831383" w:rsidRPr="00DB79BB">
        <w:rPr>
          <w:rFonts w:ascii="Palatino Linotype" w:eastAsia="Times New Roman" w:hAnsi="Palatino Linotype" w:cs="Times New Roman"/>
          <w:b/>
          <w:sz w:val="24"/>
          <w:szCs w:val="24"/>
          <w:lang w:val="es-ES" w:eastAsia="es-ES"/>
        </w:rPr>
        <w:t>04095/INFOEM/IP/RR/2024</w:t>
      </w:r>
      <w:r w:rsidR="00D41136" w:rsidRPr="00DB79BB">
        <w:rPr>
          <w:rFonts w:ascii="Palatino Linotype" w:eastAsia="Times New Roman" w:hAnsi="Palatino Linotype" w:cs="Times New Roman"/>
          <w:b/>
          <w:sz w:val="24"/>
          <w:szCs w:val="24"/>
          <w:lang w:val="es-ES" w:eastAsia="es-ES"/>
        </w:rPr>
        <w:t xml:space="preserve">, </w:t>
      </w:r>
      <w:r w:rsidR="00D41136" w:rsidRPr="00DB79BB">
        <w:rPr>
          <w:rFonts w:ascii="Palatino Linotype" w:eastAsia="Times New Roman" w:hAnsi="Palatino Linotype" w:cs="Arial"/>
          <w:sz w:val="24"/>
          <w:szCs w:val="24"/>
          <w:lang w:val="es-ES" w:eastAsia="es-ES"/>
        </w:rPr>
        <w:t>en los que expresó como acto impugnado y razones o motivos de inconformidad, los siguientes:</w:t>
      </w:r>
    </w:p>
    <w:p w14:paraId="0CD28A5E" w14:textId="77777777" w:rsidR="000E48BC" w:rsidRPr="00DB79BB" w:rsidRDefault="000E48BC" w:rsidP="000C56C8">
      <w:pPr>
        <w:spacing w:after="0" w:line="360" w:lineRule="auto"/>
        <w:ind w:right="51"/>
        <w:jc w:val="both"/>
        <w:rPr>
          <w:rFonts w:ascii="Palatino Linotype" w:eastAsia="Times New Roman" w:hAnsi="Palatino Linotype" w:cs="Arial"/>
          <w:sz w:val="24"/>
          <w:szCs w:val="24"/>
          <w:lang w:val="es-ES" w:eastAsia="es-ES"/>
        </w:rPr>
      </w:pPr>
    </w:p>
    <w:p w14:paraId="0412EB7A" w14:textId="77777777" w:rsidR="00A83393" w:rsidRPr="00DB79BB" w:rsidRDefault="00A83393" w:rsidP="000C56C8">
      <w:pPr>
        <w:spacing w:after="0" w:line="276" w:lineRule="auto"/>
        <w:ind w:right="616"/>
        <w:jc w:val="both"/>
        <w:rPr>
          <w:rFonts w:ascii="Palatino Linotype" w:eastAsia="Times New Roman" w:hAnsi="Palatino Linotype" w:cs="Times New Roman"/>
          <w:sz w:val="24"/>
          <w:szCs w:val="24"/>
          <w:lang w:val="es-ES" w:eastAsia="es-ES"/>
        </w:rPr>
      </w:pPr>
      <w:r w:rsidRPr="00DB79BB">
        <w:rPr>
          <w:rFonts w:ascii="Palatino Linotype" w:eastAsia="Times New Roman" w:hAnsi="Palatino Linotype" w:cs="Times New Roman"/>
          <w:b/>
          <w:sz w:val="24"/>
          <w:szCs w:val="24"/>
          <w:lang w:val="es-ES" w:eastAsia="es-ES"/>
        </w:rPr>
        <w:t xml:space="preserve">Acto Impugnado: </w:t>
      </w:r>
    </w:p>
    <w:p w14:paraId="64E06B0E" w14:textId="77777777" w:rsidR="00A83393" w:rsidRPr="00DB79BB" w:rsidRDefault="00A83393" w:rsidP="000C56C8">
      <w:pPr>
        <w:spacing w:after="0" w:line="276" w:lineRule="auto"/>
        <w:ind w:right="616"/>
        <w:jc w:val="both"/>
        <w:rPr>
          <w:rFonts w:ascii="Palatino Linotype" w:eastAsia="Times New Roman" w:hAnsi="Palatino Linotype" w:cs="Times New Roman"/>
          <w:sz w:val="24"/>
          <w:szCs w:val="24"/>
          <w:lang w:val="es-ES" w:eastAsia="es-ES"/>
        </w:rPr>
      </w:pPr>
    </w:p>
    <w:p w14:paraId="1077D9B9" w14:textId="77777777" w:rsidR="00A83393" w:rsidRPr="00DB79BB" w:rsidRDefault="00A83393" w:rsidP="000C56C8">
      <w:pPr>
        <w:spacing w:after="0" w:line="240" w:lineRule="auto"/>
        <w:ind w:left="567" w:right="616"/>
        <w:jc w:val="both"/>
        <w:rPr>
          <w:rFonts w:ascii="Palatino Linotype" w:eastAsia="Times New Roman" w:hAnsi="Palatino Linotype" w:cs="Times New Roman"/>
          <w:i/>
          <w:szCs w:val="24"/>
          <w:lang w:val="es-ES" w:eastAsia="es-ES"/>
        </w:rPr>
      </w:pPr>
      <w:r w:rsidRPr="00DB79BB">
        <w:rPr>
          <w:rFonts w:ascii="Palatino Linotype" w:eastAsia="Times New Roman" w:hAnsi="Palatino Linotype" w:cs="Times New Roman"/>
          <w:i/>
          <w:szCs w:val="24"/>
          <w:lang w:val="es-ES" w:eastAsia="es-ES"/>
        </w:rPr>
        <w:t>“</w:t>
      </w:r>
      <w:r w:rsidR="00831383" w:rsidRPr="00DB79BB">
        <w:rPr>
          <w:rFonts w:ascii="Palatino Linotype" w:eastAsia="Times New Roman" w:hAnsi="Palatino Linotype" w:cs="Times New Roman"/>
          <w:i/>
          <w:szCs w:val="24"/>
          <w:lang w:val="es-ES" w:eastAsia="es-ES"/>
        </w:rPr>
        <w:t>La clasificación incongruente de la Información</w:t>
      </w:r>
      <w:r w:rsidRPr="00DB79BB">
        <w:rPr>
          <w:rFonts w:ascii="Palatino Linotype" w:eastAsia="Times New Roman" w:hAnsi="Palatino Linotype" w:cs="Times New Roman"/>
          <w:i/>
          <w:szCs w:val="24"/>
          <w:lang w:val="es-ES" w:eastAsia="es-ES"/>
        </w:rPr>
        <w:t>” (sic)</w:t>
      </w:r>
    </w:p>
    <w:p w14:paraId="60E83551" w14:textId="77777777" w:rsidR="00A83393" w:rsidRPr="00DB79BB" w:rsidRDefault="00A83393" w:rsidP="000C56C8">
      <w:pPr>
        <w:spacing w:after="0" w:line="360" w:lineRule="auto"/>
        <w:jc w:val="both"/>
        <w:rPr>
          <w:rFonts w:ascii="Palatino Linotype" w:hAnsi="Palatino Linotype" w:cs="Arial"/>
          <w:sz w:val="24"/>
          <w:szCs w:val="24"/>
        </w:rPr>
      </w:pPr>
    </w:p>
    <w:p w14:paraId="47525D96" w14:textId="77777777" w:rsidR="00A83393" w:rsidRPr="00DB79BB" w:rsidRDefault="00A83393" w:rsidP="000C56C8">
      <w:pPr>
        <w:spacing w:after="0" w:line="276" w:lineRule="auto"/>
        <w:ind w:right="616"/>
        <w:jc w:val="both"/>
        <w:rPr>
          <w:rFonts w:ascii="Palatino Linotype" w:eastAsia="Times New Roman" w:hAnsi="Palatino Linotype" w:cs="Times New Roman"/>
          <w:sz w:val="24"/>
          <w:szCs w:val="24"/>
          <w:lang w:val="es-ES" w:eastAsia="es-ES"/>
        </w:rPr>
      </w:pPr>
      <w:r w:rsidRPr="00DB79BB">
        <w:rPr>
          <w:rFonts w:ascii="Palatino Linotype" w:eastAsia="Times New Roman" w:hAnsi="Palatino Linotype" w:cs="Times New Roman"/>
          <w:b/>
          <w:sz w:val="24"/>
          <w:szCs w:val="24"/>
          <w:lang w:val="es-ES" w:eastAsia="es-ES"/>
        </w:rPr>
        <w:t xml:space="preserve">Razones o motivos de inconformidad: </w:t>
      </w:r>
    </w:p>
    <w:p w14:paraId="3DDD1251" w14:textId="77777777" w:rsidR="00A83393" w:rsidRPr="00DB79BB" w:rsidRDefault="00A83393" w:rsidP="000C56C8">
      <w:pPr>
        <w:spacing w:after="0" w:line="240" w:lineRule="auto"/>
        <w:ind w:left="567" w:right="616"/>
        <w:jc w:val="both"/>
        <w:rPr>
          <w:rFonts w:ascii="Palatino Linotype" w:eastAsia="Times New Roman" w:hAnsi="Palatino Linotype" w:cs="Times New Roman"/>
          <w:i/>
          <w:szCs w:val="24"/>
          <w:lang w:val="es-ES" w:eastAsia="es-ES"/>
        </w:rPr>
      </w:pPr>
      <w:r w:rsidRPr="00DB79BB">
        <w:rPr>
          <w:rFonts w:ascii="Palatino Linotype" w:eastAsia="Times New Roman" w:hAnsi="Palatino Linotype" w:cs="Times New Roman"/>
          <w:i/>
          <w:szCs w:val="24"/>
          <w:lang w:val="es-ES" w:eastAsia="es-ES"/>
        </w:rPr>
        <w:lastRenderedPageBreak/>
        <w:t>“</w:t>
      </w:r>
      <w:r w:rsidR="00831383" w:rsidRPr="00DB79BB">
        <w:rPr>
          <w:rFonts w:ascii="Palatino Linotype" w:eastAsia="Times New Roman" w:hAnsi="Palatino Linotype" w:cs="Times New Roman"/>
          <w:i/>
          <w:szCs w:val="24"/>
          <w:lang w:val="es-ES" w:eastAsia="es-ES"/>
        </w:rPr>
        <w:t>En la respuesta se refiere que supuestamente la informacion es de carácter "clasificada y confidencial" pero es importante resaltar que en ningún momento envian el acta del comité en donde se apruebe dicha clasificacion, solo realizan manifestaciones que nada tienen que ver con lo que solicite.</w:t>
      </w:r>
      <w:r w:rsidRPr="00DB79BB">
        <w:rPr>
          <w:rFonts w:ascii="Palatino Linotype" w:eastAsia="Times New Roman" w:hAnsi="Palatino Linotype" w:cs="Times New Roman"/>
          <w:i/>
          <w:szCs w:val="24"/>
          <w:lang w:val="es-ES" w:eastAsia="es-ES"/>
        </w:rPr>
        <w:t>” (sic)</w:t>
      </w:r>
    </w:p>
    <w:p w14:paraId="65148A8F" w14:textId="77777777" w:rsidR="003C32A2" w:rsidRPr="00DB79BB" w:rsidRDefault="003C32A2" w:rsidP="000C56C8">
      <w:pPr>
        <w:spacing w:after="0" w:line="360" w:lineRule="auto"/>
        <w:jc w:val="both"/>
        <w:rPr>
          <w:rFonts w:ascii="Palatino Linotype" w:hAnsi="Palatino Linotype" w:cs="Arial"/>
          <w:sz w:val="24"/>
          <w:szCs w:val="24"/>
          <w:lang w:val="es-ES"/>
        </w:rPr>
      </w:pPr>
    </w:p>
    <w:p w14:paraId="601487AF" w14:textId="77777777" w:rsidR="00D41136" w:rsidRPr="00DB79BB" w:rsidRDefault="00D41136" w:rsidP="000C56C8">
      <w:pPr>
        <w:spacing w:after="0" w:line="360" w:lineRule="auto"/>
        <w:ind w:right="49"/>
        <w:jc w:val="both"/>
        <w:rPr>
          <w:rFonts w:ascii="Palatino Linotype" w:eastAsia="Times New Roman" w:hAnsi="Palatino Linotype" w:cs="Arial"/>
          <w:sz w:val="24"/>
          <w:szCs w:val="24"/>
          <w:lang w:val="es-ES_tradnl" w:eastAsia="es-ES"/>
        </w:rPr>
      </w:pPr>
      <w:r w:rsidRPr="00DB79BB">
        <w:rPr>
          <w:rFonts w:ascii="Palatino Linotype" w:hAnsi="Palatino Linotype" w:cs="Arial"/>
          <w:sz w:val="24"/>
          <w:szCs w:val="24"/>
          <w:lang w:val="es-ES"/>
        </w:rPr>
        <w:t xml:space="preserve">Recurso de revisión que, </w:t>
      </w:r>
      <w:r w:rsidRPr="00DB79BB">
        <w:rPr>
          <w:rFonts w:ascii="Palatino Linotype" w:eastAsia="Times New Roman" w:hAnsi="Palatino Linotype" w:cs="Arial"/>
          <w:sz w:val="24"/>
          <w:szCs w:val="24"/>
          <w:lang w:val="es-ES_tradnl" w:eastAsia="es-ES"/>
        </w:rPr>
        <w:t xml:space="preserve">se enviaron electrónicamente al Instituto de </w:t>
      </w:r>
      <w:r w:rsidRPr="00DB79BB">
        <w:rPr>
          <w:rFonts w:ascii="Palatino Linotype" w:eastAsia="Arial Unicode MS" w:hAnsi="Palatino Linotype" w:cs="Arial"/>
          <w:sz w:val="24"/>
          <w:szCs w:val="24"/>
          <w:lang w:val="es-ES" w:eastAsia="es-ES"/>
        </w:rPr>
        <w:t>Transparencia</w:t>
      </w:r>
      <w:r w:rsidRPr="00DB79BB">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DB79BB">
        <w:rPr>
          <w:rFonts w:ascii="Palatino Linotype" w:eastAsia="Times New Roman" w:hAnsi="Palatino Linotype" w:cs="Times New Roman"/>
          <w:sz w:val="24"/>
          <w:szCs w:val="24"/>
          <w:lang w:val="es-ES" w:eastAsia="es-ES"/>
        </w:rPr>
        <w:t>Ley de Transparencia y Acceso a la Información Pública del Estado de México y Municipios</w:t>
      </w:r>
      <w:r w:rsidRPr="00DB79BB">
        <w:rPr>
          <w:rFonts w:ascii="Palatino Linotype" w:eastAsia="Times New Roman" w:hAnsi="Palatino Linotype" w:cs="Arial"/>
          <w:sz w:val="24"/>
          <w:szCs w:val="24"/>
          <w:lang w:val="es-ES_tradnl" w:eastAsia="es-ES"/>
        </w:rPr>
        <w:t>, se turn</w:t>
      </w:r>
      <w:r w:rsidR="00831383" w:rsidRPr="00DB79BB">
        <w:rPr>
          <w:rFonts w:ascii="Palatino Linotype" w:eastAsia="Times New Roman" w:hAnsi="Palatino Linotype" w:cs="Arial"/>
          <w:sz w:val="24"/>
          <w:szCs w:val="24"/>
          <w:lang w:val="es-ES_tradnl" w:eastAsia="es-ES"/>
        </w:rPr>
        <w:t xml:space="preserve">ó </w:t>
      </w:r>
      <w:r w:rsidRPr="00DB79BB">
        <w:rPr>
          <w:rFonts w:ascii="Palatino Linotype" w:eastAsia="Times New Roman" w:hAnsi="Palatino Linotype" w:cs="Arial"/>
          <w:sz w:val="24"/>
          <w:szCs w:val="24"/>
          <w:lang w:val="es-ES_tradnl" w:eastAsia="es-ES"/>
        </w:rPr>
        <w:t>a través del</w:t>
      </w:r>
      <w:r w:rsidRPr="00DB79BB">
        <w:rPr>
          <w:rFonts w:ascii="Palatino Linotype" w:eastAsia="Arial Unicode MS" w:hAnsi="Palatino Linotype" w:cs="Arial"/>
          <w:sz w:val="24"/>
          <w:szCs w:val="24"/>
          <w:lang w:val="es-ES_tradnl" w:eastAsia="es-ES"/>
        </w:rPr>
        <w:t xml:space="preserve"> </w:t>
      </w:r>
      <w:r w:rsidRPr="00DB79BB">
        <w:rPr>
          <w:rFonts w:ascii="Palatino Linotype" w:eastAsia="Arial Unicode MS" w:hAnsi="Palatino Linotype" w:cs="Arial"/>
          <w:b/>
          <w:sz w:val="24"/>
          <w:szCs w:val="24"/>
          <w:lang w:val="es-ES_tradnl" w:eastAsia="es-ES"/>
        </w:rPr>
        <w:t>SAIMEX</w:t>
      </w:r>
      <w:r w:rsidRPr="00DB79BB">
        <w:rPr>
          <w:rFonts w:ascii="Palatino Linotype" w:eastAsia="Times New Roman" w:hAnsi="Palatino Linotype" w:cs="Times New Roman"/>
          <w:sz w:val="24"/>
          <w:szCs w:val="24"/>
          <w:lang w:val="es-ES" w:eastAsia="es-ES"/>
        </w:rPr>
        <w:t xml:space="preserve"> al </w:t>
      </w:r>
      <w:r w:rsidRPr="00DB79BB">
        <w:rPr>
          <w:rFonts w:ascii="Palatino Linotype" w:eastAsia="Times New Roman" w:hAnsi="Palatino Linotype" w:cs="Arial"/>
          <w:sz w:val="24"/>
          <w:szCs w:val="24"/>
          <w:lang w:val="es-ES_tradnl" w:eastAsia="es-ES"/>
        </w:rPr>
        <w:t>Comisionado</w:t>
      </w:r>
      <w:r w:rsidR="00831383" w:rsidRPr="00DB79BB">
        <w:rPr>
          <w:rFonts w:ascii="Palatino Linotype" w:eastAsia="Times New Roman" w:hAnsi="Palatino Linotype" w:cs="Arial"/>
          <w:sz w:val="24"/>
          <w:szCs w:val="24"/>
          <w:lang w:val="es-ES_tradnl" w:eastAsia="es-ES"/>
        </w:rPr>
        <w:t xml:space="preserve"> Presidente</w:t>
      </w:r>
      <w:r w:rsidR="00077EE1" w:rsidRPr="00DB79BB">
        <w:rPr>
          <w:rFonts w:ascii="Palatino Linotype" w:eastAsia="Times New Roman" w:hAnsi="Palatino Linotype" w:cs="Arial"/>
          <w:b/>
          <w:sz w:val="24"/>
          <w:szCs w:val="24"/>
          <w:lang w:val="es-ES_tradnl" w:eastAsia="es-ES"/>
        </w:rPr>
        <w:t xml:space="preserve"> </w:t>
      </w:r>
      <w:r w:rsidR="00831383" w:rsidRPr="00DB79BB">
        <w:rPr>
          <w:rFonts w:ascii="Palatino Linotype" w:eastAsia="Times New Roman" w:hAnsi="Palatino Linotype" w:cs="Arial"/>
          <w:b/>
          <w:sz w:val="24"/>
          <w:szCs w:val="24"/>
          <w:lang w:val="es-ES_tradnl" w:eastAsia="es-ES"/>
        </w:rPr>
        <w:t>JOSÉ MARTÍNEZ VILCHIS</w:t>
      </w:r>
      <w:r w:rsidRPr="00DB79BB">
        <w:rPr>
          <w:rFonts w:ascii="Palatino Linotype" w:eastAsia="Times New Roman" w:hAnsi="Palatino Linotype" w:cs="Arial"/>
          <w:b/>
          <w:sz w:val="24"/>
          <w:szCs w:val="24"/>
          <w:lang w:val="es-ES_tradnl" w:eastAsia="es-ES"/>
        </w:rPr>
        <w:t xml:space="preserve">, </w:t>
      </w:r>
      <w:r w:rsidRPr="00DB79BB">
        <w:rPr>
          <w:rFonts w:ascii="Palatino Linotype" w:eastAsia="Times New Roman" w:hAnsi="Palatino Linotype" w:cs="Arial"/>
          <w:sz w:val="24"/>
          <w:szCs w:val="24"/>
          <w:lang w:val="es-ES_tradnl" w:eastAsia="es-ES"/>
        </w:rPr>
        <w:t>a efecto de que decretara su admisión o desechamiento.</w:t>
      </w:r>
    </w:p>
    <w:p w14:paraId="0EA62875" w14:textId="77777777" w:rsidR="00077EE1" w:rsidRPr="00DB79BB" w:rsidRDefault="00077EE1" w:rsidP="000C56C8">
      <w:pPr>
        <w:spacing w:after="0" w:line="360" w:lineRule="auto"/>
        <w:ind w:right="49"/>
        <w:jc w:val="both"/>
        <w:rPr>
          <w:rFonts w:ascii="Palatino Linotype" w:eastAsia="Times New Roman" w:hAnsi="Palatino Linotype" w:cs="Arial"/>
          <w:sz w:val="24"/>
          <w:szCs w:val="24"/>
          <w:lang w:val="es-ES_tradnl" w:eastAsia="es-ES"/>
        </w:rPr>
      </w:pPr>
    </w:p>
    <w:p w14:paraId="176AC8DA" w14:textId="77777777" w:rsidR="000E48BC" w:rsidRPr="00DB79BB" w:rsidRDefault="00F320A9" w:rsidP="000C56C8">
      <w:pPr>
        <w:spacing w:after="0" w:line="360" w:lineRule="auto"/>
        <w:ind w:right="49"/>
        <w:jc w:val="both"/>
        <w:rPr>
          <w:rFonts w:ascii="Palatino Linotype" w:eastAsia="Times New Roman" w:hAnsi="Palatino Linotype" w:cs="Arial"/>
          <w:sz w:val="24"/>
          <w:szCs w:val="24"/>
          <w:lang w:val="es-ES" w:eastAsia="es-ES"/>
        </w:rPr>
      </w:pPr>
      <w:r w:rsidRPr="00DB79BB">
        <w:rPr>
          <w:rFonts w:ascii="Palatino Linotype" w:eastAsia="Times New Roman" w:hAnsi="Palatino Linotype" w:cs="Arial"/>
          <w:b/>
          <w:sz w:val="28"/>
          <w:szCs w:val="28"/>
          <w:lang w:val="es-ES_tradnl" w:eastAsia="es-ES"/>
        </w:rPr>
        <w:t>CUARTO</w:t>
      </w:r>
      <w:r w:rsidR="000E48BC" w:rsidRPr="00DB79BB">
        <w:rPr>
          <w:rFonts w:ascii="Palatino Linotype" w:eastAsia="Times New Roman" w:hAnsi="Palatino Linotype" w:cs="Arial"/>
          <w:b/>
          <w:sz w:val="28"/>
          <w:szCs w:val="28"/>
          <w:lang w:val="es-ES_tradnl" w:eastAsia="es-ES"/>
        </w:rPr>
        <w:t xml:space="preserve">. </w:t>
      </w:r>
      <w:r w:rsidR="000E48BC" w:rsidRPr="00DB79BB">
        <w:rPr>
          <w:rFonts w:ascii="Palatino Linotype" w:eastAsia="Times New Roman" w:hAnsi="Palatino Linotype" w:cs="Arial"/>
          <w:sz w:val="24"/>
          <w:szCs w:val="24"/>
          <w:lang w:val="es-ES_tradnl" w:eastAsia="es-ES"/>
        </w:rPr>
        <w:t>E</w:t>
      </w:r>
      <w:r w:rsidR="000E48BC" w:rsidRPr="00DB79BB">
        <w:rPr>
          <w:rFonts w:ascii="Palatino Linotype" w:eastAsia="Times New Roman" w:hAnsi="Palatino Linotype" w:cs="Arial"/>
          <w:sz w:val="24"/>
          <w:szCs w:val="24"/>
          <w:lang w:val="es-ES" w:eastAsia="es-ES"/>
        </w:rPr>
        <w:t>n fecha</w:t>
      </w:r>
      <w:r w:rsidR="00A83393" w:rsidRPr="00DB79BB">
        <w:rPr>
          <w:rFonts w:ascii="Palatino Linotype" w:eastAsia="Times New Roman" w:hAnsi="Palatino Linotype" w:cs="Arial"/>
          <w:sz w:val="24"/>
          <w:szCs w:val="24"/>
          <w:lang w:val="es-ES" w:eastAsia="es-ES"/>
        </w:rPr>
        <w:t>s</w:t>
      </w:r>
      <w:r w:rsidR="000E48BC" w:rsidRPr="00DB79BB">
        <w:rPr>
          <w:rFonts w:ascii="Palatino Linotype" w:eastAsia="Times New Roman" w:hAnsi="Palatino Linotype" w:cs="Arial"/>
          <w:sz w:val="24"/>
          <w:szCs w:val="24"/>
          <w:lang w:val="es-ES" w:eastAsia="es-ES"/>
        </w:rPr>
        <w:t xml:space="preserve"> </w:t>
      </w:r>
      <w:r w:rsidR="00831383" w:rsidRPr="00DB79BB">
        <w:rPr>
          <w:rFonts w:ascii="Palatino Linotype" w:eastAsia="Times New Roman" w:hAnsi="Palatino Linotype" w:cs="Arial"/>
          <w:sz w:val="24"/>
          <w:szCs w:val="24"/>
          <w:lang w:val="es-ES" w:eastAsia="es-ES"/>
        </w:rPr>
        <w:t>ocho de julio de dos mil veinticuatro</w:t>
      </w:r>
      <w:r w:rsidR="000E48BC" w:rsidRPr="00DB79BB">
        <w:rPr>
          <w:rFonts w:ascii="Palatino Linotype" w:eastAsia="Times New Roman" w:hAnsi="Palatino Linotype" w:cs="Arial"/>
          <w:sz w:val="24"/>
          <w:szCs w:val="24"/>
          <w:lang w:val="es-ES" w:eastAsia="es-ES"/>
        </w:rPr>
        <w:t>, atento</w:t>
      </w:r>
      <w:r w:rsidR="00A83393" w:rsidRPr="00DB79BB">
        <w:rPr>
          <w:rFonts w:ascii="Palatino Linotype" w:eastAsia="Times New Roman" w:hAnsi="Palatino Linotype" w:cs="Arial"/>
          <w:sz w:val="24"/>
          <w:szCs w:val="24"/>
          <w:lang w:val="es-ES" w:eastAsia="es-ES"/>
        </w:rPr>
        <w:t>s</w:t>
      </w:r>
      <w:r w:rsidR="000E48BC" w:rsidRPr="00DB79BB">
        <w:rPr>
          <w:rFonts w:ascii="Palatino Linotype" w:eastAsia="Times New Roman" w:hAnsi="Palatino Linotype" w:cs="Arial"/>
          <w:sz w:val="24"/>
          <w:szCs w:val="24"/>
          <w:lang w:val="es-ES" w:eastAsia="es-ES"/>
        </w:rPr>
        <w:t xml:space="preserve"> a lo dispuesto en el </w:t>
      </w:r>
      <w:r w:rsidR="000E48BC" w:rsidRPr="00DB79BB">
        <w:rPr>
          <w:rFonts w:ascii="Palatino Linotype" w:eastAsia="Times New Roman" w:hAnsi="Palatino Linotype" w:cs="Arial"/>
          <w:sz w:val="24"/>
          <w:szCs w:val="24"/>
          <w:lang w:val="es-ES_tradnl" w:eastAsia="es-ES"/>
        </w:rPr>
        <w:t>artículo</w:t>
      </w:r>
      <w:r w:rsidR="000E48BC" w:rsidRPr="00DB79BB">
        <w:rPr>
          <w:rFonts w:ascii="Palatino Linotype" w:eastAsia="Times New Roman" w:hAnsi="Palatino Linotype" w:cs="Arial"/>
          <w:sz w:val="24"/>
          <w:szCs w:val="24"/>
          <w:lang w:val="es-ES" w:eastAsia="es-ES"/>
        </w:rPr>
        <w:t xml:space="preserve"> 185 fracciones I, II y IV </w:t>
      </w:r>
      <w:r w:rsidR="000E48BC" w:rsidRPr="00DB79BB">
        <w:rPr>
          <w:rFonts w:ascii="Palatino Linotype" w:eastAsia="Times New Roman" w:hAnsi="Palatino Linotype" w:cs="Arial"/>
          <w:sz w:val="24"/>
          <w:szCs w:val="24"/>
          <w:lang w:val="es-ES_tradnl" w:eastAsia="es-ES"/>
        </w:rPr>
        <w:t xml:space="preserve">de la </w:t>
      </w:r>
      <w:r w:rsidR="000E48BC" w:rsidRPr="00DB79BB">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DB79BB">
        <w:rPr>
          <w:rFonts w:ascii="Palatino Linotype" w:eastAsia="Times New Roman" w:hAnsi="Palatino Linotype" w:cs="Arial"/>
          <w:sz w:val="24"/>
          <w:szCs w:val="24"/>
          <w:lang w:val="es-ES" w:eastAsia="es-ES"/>
        </w:rPr>
        <w:t>cordó la admisión a trámite de</w:t>
      </w:r>
      <w:r w:rsidR="00D41136" w:rsidRPr="00DB79BB">
        <w:rPr>
          <w:rFonts w:ascii="Palatino Linotype" w:eastAsia="Times New Roman" w:hAnsi="Palatino Linotype" w:cs="Arial"/>
          <w:sz w:val="24"/>
          <w:szCs w:val="24"/>
          <w:lang w:val="es-ES" w:eastAsia="es-ES"/>
        </w:rPr>
        <w:t xml:space="preserve"> </w:t>
      </w:r>
      <w:r w:rsidR="000E48BC" w:rsidRPr="00DB79BB">
        <w:rPr>
          <w:rFonts w:ascii="Palatino Linotype" w:eastAsia="Times New Roman" w:hAnsi="Palatino Linotype" w:cs="Arial"/>
          <w:sz w:val="24"/>
          <w:szCs w:val="24"/>
          <w:lang w:val="es-ES" w:eastAsia="es-ES"/>
        </w:rPr>
        <w:t>l</w:t>
      </w:r>
      <w:r w:rsidR="00D41136" w:rsidRPr="00DB79BB">
        <w:rPr>
          <w:rFonts w:ascii="Palatino Linotype" w:eastAsia="Times New Roman" w:hAnsi="Palatino Linotype" w:cs="Arial"/>
          <w:sz w:val="24"/>
          <w:szCs w:val="24"/>
          <w:lang w:val="es-ES" w:eastAsia="es-ES"/>
        </w:rPr>
        <w:t>os</w:t>
      </w:r>
      <w:r w:rsidR="000E48BC" w:rsidRPr="00DB79BB">
        <w:rPr>
          <w:rFonts w:ascii="Palatino Linotype" w:eastAsia="Times New Roman" w:hAnsi="Palatino Linotype" w:cs="Arial"/>
          <w:sz w:val="24"/>
          <w:szCs w:val="24"/>
          <w:lang w:val="es-ES" w:eastAsia="es-ES"/>
        </w:rPr>
        <w:t xml:space="preserve"> referido</w:t>
      </w:r>
      <w:r w:rsidR="00D41136" w:rsidRPr="00DB79BB">
        <w:rPr>
          <w:rFonts w:ascii="Palatino Linotype" w:eastAsia="Times New Roman" w:hAnsi="Palatino Linotype" w:cs="Arial"/>
          <w:sz w:val="24"/>
          <w:szCs w:val="24"/>
          <w:lang w:val="es-ES" w:eastAsia="es-ES"/>
        </w:rPr>
        <w:t>s</w:t>
      </w:r>
      <w:r w:rsidR="000E48BC" w:rsidRPr="00DB79BB">
        <w:rPr>
          <w:rFonts w:ascii="Palatino Linotype" w:eastAsia="Times New Roman" w:hAnsi="Palatino Linotype" w:cs="Arial"/>
          <w:sz w:val="24"/>
          <w:szCs w:val="24"/>
          <w:lang w:val="es-ES" w:eastAsia="es-ES"/>
        </w:rPr>
        <w:t xml:space="preserve"> recurso</w:t>
      </w:r>
      <w:r w:rsidR="00D41136" w:rsidRPr="00DB79BB">
        <w:rPr>
          <w:rFonts w:ascii="Palatino Linotype" w:eastAsia="Times New Roman" w:hAnsi="Palatino Linotype" w:cs="Arial"/>
          <w:sz w:val="24"/>
          <w:szCs w:val="24"/>
          <w:lang w:val="es-ES" w:eastAsia="es-ES"/>
        </w:rPr>
        <w:t>s</w:t>
      </w:r>
      <w:r w:rsidR="000E48BC" w:rsidRPr="00DB79BB">
        <w:rPr>
          <w:rFonts w:ascii="Palatino Linotype" w:eastAsia="Times New Roman" w:hAnsi="Palatino Linotype" w:cs="Arial"/>
          <w:sz w:val="24"/>
          <w:szCs w:val="24"/>
          <w:lang w:val="es-ES" w:eastAsia="es-ES"/>
        </w:rPr>
        <w:t xml:space="preserve"> de revisión, así como la integración de</w:t>
      </w:r>
      <w:r w:rsidR="00077EE1" w:rsidRPr="00DB79BB">
        <w:rPr>
          <w:rFonts w:ascii="Palatino Linotype" w:eastAsia="Times New Roman" w:hAnsi="Palatino Linotype" w:cs="Arial"/>
          <w:sz w:val="24"/>
          <w:szCs w:val="24"/>
          <w:lang w:val="es-ES" w:eastAsia="es-ES"/>
        </w:rPr>
        <w:t xml:space="preserve"> </w:t>
      </w:r>
      <w:r w:rsidR="000E48BC" w:rsidRPr="00DB79BB">
        <w:rPr>
          <w:rFonts w:ascii="Palatino Linotype" w:eastAsia="Times New Roman" w:hAnsi="Palatino Linotype" w:cs="Arial"/>
          <w:sz w:val="24"/>
          <w:szCs w:val="24"/>
          <w:lang w:val="es-ES" w:eastAsia="es-ES"/>
        </w:rPr>
        <w:t>l</w:t>
      </w:r>
      <w:r w:rsidR="00077EE1" w:rsidRPr="00DB79BB">
        <w:rPr>
          <w:rFonts w:ascii="Palatino Linotype" w:eastAsia="Times New Roman" w:hAnsi="Palatino Linotype" w:cs="Arial"/>
          <w:sz w:val="24"/>
          <w:szCs w:val="24"/>
          <w:lang w:val="es-ES" w:eastAsia="es-ES"/>
        </w:rPr>
        <w:t>os</w:t>
      </w:r>
      <w:r w:rsidR="000E48BC" w:rsidRPr="00DB79BB">
        <w:rPr>
          <w:rFonts w:ascii="Palatino Linotype" w:eastAsia="Times New Roman" w:hAnsi="Palatino Linotype" w:cs="Arial"/>
          <w:sz w:val="24"/>
          <w:szCs w:val="24"/>
          <w:lang w:val="es-ES" w:eastAsia="es-ES"/>
        </w:rPr>
        <w:t xml:space="preserve"> expediente</w:t>
      </w:r>
      <w:r w:rsidR="00077EE1" w:rsidRPr="00DB79BB">
        <w:rPr>
          <w:rFonts w:ascii="Palatino Linotype" w:eastAsia="Times New Roman" w:hAnsi="Palatino Linotype" w:cs="Arial"/>
          <w:sz w:val="24"/>
          <w:szCs w:val="24"/>
          <w:lang w:val="es-ES" w:eastAsia="es-ES"/>
        </w:rPr>
        <w:t>s</w:t>
      </w:r>
      <w:r w:rsidR="000E48BC" w:rsidRPr="00DB79BB">
        <w:rPr>
          <w:rFonts w:ascii="Palatino Linotype" w:eastAsia="Times New Roman" w:hAnsi="Palatino Linotype" w:cs="Arial"/>
          <w:sz w:val="24"/>
          <w:szCs w:val="24"/>
          <w:lang w:val="es-ES" w:eastAsia="es-ES"/>
        </w:rPr>
        <w:t xml:space="preserve"> respectivo</w:t>
      </w:r>
      <w:r w:rsidR="00077EE1" w:rsidRPr="00DB79BB">
        <w:rPr>
          <w:rFonts w:ascii="Palatino Linotype" w:eastAsia="Times New Roman" w:hAnsi="Palatino Linotype" w:cs="Arial"/>
          <w:sz w:val="24"/>
          <w:szCs w:val="24"/>
          <w:lang w:val="es-ES" w:eastAsia="es-ES"/>
        </w:rPr>
        <w:t>s</w:t>
      </w:r>
      <w:r w:rsidR="000E48BC" w:rsidRPr="00DB79BB">
        <w:rPr>
          <w:rFonts w:ascii="Palatino Linotype" w:eastAsia="Times New Roman" w:hAnsi="Palatino Linotype" w:cs="Arial"/>
          <w:sz w:val="24"/>
          <w:szCs w:val="24"/>
          <w:lang w:val="es-ES" w:eastAsia="es-ES"/>
        </w:rPr>
        <w:t>, que se pus</w:t>
      </w:r>
      <w:r w:rsidR="00077EE1" w:rsidRPr="00DB79BB">
        <w:rPr>
          <w:rFonts w:ascii="Palatino Linotype" w:eastAsia="Times New Roman" w:hAnsi="Palatino Linotype" w:cs="Arial"/>
          <w:sz w:val="24"/>
          <w:szCs w:val="24"/>
          <w:lang w:val="es-ES" w:eastAsia="es-ES"/>
        </w:rPr>
        <w:t xml:space="preserve">ieron </w:t>
      </w:r>
      <w:r w:rsidR="000E48BC" w:rsidRPr="00DB79BB">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6A81D72" w14:textId="77777777" w:rsidR="00D41136" w:rsidRPr="00DB79BB" w:rsidRDefault="00D41136" w:rsidP="000C56C8">
      <w:pPr>
        <w:spacing w:after="0" w:line="360" w:lineRule="auto"/>
        <w:ind w:right="49"/>
        <w:jc w:val="both"/>
        <w:rPr>
          <w:rFonts w:ascii="Palatino Linotype" w:eastAsia="Times New Roman" w:hAnsi="Palatino Linotype" w:cs="Arial"/>
          <w:sz w:val="24"/>
          <w:szCs w:val="24"/>
          <w:lang w:val="es-ES" w:eastAsia="es-ES"/>
        </w:rPr>
      </w:pPr>
    </w:p>
    <w:p w14:paraId="2A7E9ED8" w14:textId="77777777" w:rsidR="00132F30" w:rsidRPr="00DB79BB" w:rsidRDefault="00F320A9" w:rsidP="000C56C8">
      <w:pPr>
        <w:spacing w:after="0" w:line="360" w:lineRule="auto"/>
        <w:jc w:val="both"/>
        <w:rPr>
          <w:rFonts w:ascii="Palatino Linotype" w:hAnsi="Palatino Linotype" w:cs="Arial"/>
          <w:sz w:val="24"/>
          <w:szCs w:val="24"/>
        </w:rPr>
      </w:pPr>
      <w:r w:rsidRPr="00DB79BB">
        <w:rPr>
          <w:rFonts w:ascii="Palatino Linotype" w:hAnsi="Palatino Linotype" w:cs="Arial"/>
          <w:b/>
          <w:sz w:val="28"/>
          <w:szCs w:val="28"/>
        </w:rPr>
        <w:t>QUINTO</w:t>
      </w:r>
      <w:r w:rsidR="000E48BC" w:rsidRPr="00DB79BB">
        <w:rPr>
          <w:rFonts w:ascii="Palatino Linotype" w:hAnsi="Palatino Linotype" w:cs="Arial"/>
          <w:b/>
          <w:sz w:val="28"/>
          <w:szCs w:val="28"/>
        </w:rPr>
        <w:t xml:space="preserve">. </w:t>
      </w:r>
      <w:r w:rsidR="00132F30" w:rsidRPr="00DB79BB">
        <w:rPr>
          <w:rFonts w:ascii="Palatino Linotype" w:hAnsi="Palatino Linotype" w:cs="Arial"/>
          <w:sz w:val="24"/>
          <w:szCs w:val="24"/>
        </w:rPr>
        <w:t>Una vez abierta la etapa de instrucción, se advierte que</w:t>
      </w:r>
      <w:r w:rsidR="008E0733" w:rsidRPr="00DB79BB">
        <w:rPr>
          <w:rFonts w:ascii="Palatino Linotype" w:hAnsi="Palatino Linotype" w:cs="Arial"/>
          <w:sz w:val="24"/>
          <w:szCs w:val="24"/>
        </w:rPr>
        <w:t xml:space="preserve"> tanto </w:t>
      </w:r>
      <w:r w:rsidR="00132F30" w:rsidRPr="00DB79BB">
        <w:rPr>
          <w:rFonts w:ascii="Palatino Linotype" w:hAnsi="Palatino Linotype" w:cs="Arial"/>
          <w:sz w:val="24"/>
          <w:szCs w:val="24"/>
        </w:rPr>
        <w:t xml:space="preserve">el </w:t>
      </w:r>
      <w:r w:rsidR="00132F30" w:rsidRPr="00DB79BB">
        <w:rPr>
          <w:rFonts w:ascii="Palatino Linotype" w:hAnsi="Palatino Linotype" w:cs="Arial"/>
          <w:b/>
          <w:sz w:val="24"/>
          <w:szCs w:val="24"/>
        </w:rPr>
        <w:t>Sujeto Obligado</w:t>
      </w:r>
      <w:r w:rsidR="00132F30" w:rsidRPr="00DB79BB">
        <w:rPr>
          <w:rFonts w:ascii="Palatino Linotype" w:hAnsi="Palatino Linotype" w:cs="Arial"/>
          <w:sz w:val="24"/>
          <w:szCs w:val="24"/>
        </w:rPr>
        <w:t xml:space="preserve"> </w:t>
      </w:r>
      <w:r w:rsidR="008E0733" w:rsidRPr="00DB79BB">
        <w:rPr>
          <w:rFonts w:ascii="Palatino Linotype" w:hAnsi="Palatino Linotype" w:cs="Arial"/>
          <w:sz w:val="24"/>
          <w:szCs w:val="24"/>
        </w:rPr>
        <w:t xml:space="preserve">como la parte </w:t>
      </w:r>
      <w:r w:rsidR="008E0733" w:rsidRPr="00DB79BB">
        <w:rPr>
          <w:rFonts w:ascii="Palatino Linotype" w:hAnsi="Palatino Linotype" w:cs="Arial"/>
          <w:b/>
          <w:sz w:val="24"/>
          <w:szCs w:val="24"/>
        </w:rPr>
        <w:t>Recurrente</w:t>
      </w:r>
      <w:r w:rsidR="008E0733" w:rsidRPr="00DB79BB">
        <w:rPr>
          <w:rFonts w:ascii="Palatino Linotype" w:hAnsi="Palatino Linotype" w:cs="Arial"/>
          <w:sz w:val="24"/>
          <w:szCs w:val="24"/>
        </w:rPr>
        <w:t xml:space="preserve"> fueron omisos en rendir su informe justificado y las manifestaciones que a sus intereses convinieran, respectivamente.</w:t>
      </w:r>
      <w:r w:rsidR="00B805E0" w:rsidRPr="00DB79BB">
        <w:rPr>
          <w:rFonts w:ascii="Palatino Linotype" w:hAnsi="Palatino Linotype" w:cs="Arial"/>
          <w:sz w:val="24"/>
          <w:szCs w:val="24"/>
        </w:rPr>
        <w:t xml:space="preserve"> </w:t>
      </w:r>
      <w:r w:rsidR="008E0733" w:rsidRPr="00DB79BB">
        <w:rPr>
          <w:rFonts w:ascii="Palatino Linotype" w:hAnsi="Palatino Linotype" w:cs="Arial"/>
          <w:sz w:val="24"/>
          <w:szCs w:val="24"/>
        </w:rPr>
        <w:t>Asi</w:t>
      </w:r>
      <w:r w:rsidR="00132F30" w:rsidRPr="00DB79BB">
        <w:rPr>
          <w:rFonts w:ascii="Palatino Linotype" w:hAnsi="Palatino Linotype" w:cs="Arial"/>
          <w:sz w:val="24"/>
          <w:szCs w:val="24"/>
        </w:rPr>
        <w:t>mismo</w:t>
      </w:r>
      <w:r w:rsidR="008E0733" w:rsidRPr="00DB79BB">
        <w:rPr>
          <w:rFonts w:ascii="Palatino Linotype" w:hAnsi="Palatino Linotype" w:cs="Arial"/>
          <w:sz w:val="24"/>
          <w:szCs w:val="24"/>
        </w:rPr>
        <w:t>,</w:t>
      </w:r>
      <w:r w:rsidR="00132F30" w:rsidRPr="00DB79BB">
        <w:rPr>
          <w:rFonts w:ascii="Palatino Linotype" w:hAnsi="Palatino Linotype" w:cs="Arial"/>
          <w:sz w:val="24"/>
          <w:szCs w:val="24"/>
        </w:rPr>
        <w:t xml:space="preserve"> se aprecia que no se llevaron a cabo audiencias durante la sustan</w:t>
      </w:r>
      <w:r w:rsidR="000430C0" w:rsidRPr="00DB79BB">
        <w:rPr>
          <w:rFonts w:ascii="Palatino Linotype" w:hAnsi="Palatino Linotype" w:cs="Arial"/>
          <w:sz w:val="24"/>
          <w:szCs w:val="24"/>
        </w:rPr>
        <w:t>ciación del recurso de revisión</w:t>
      </w:r>
      <w:r w:rsidR="00132F30" w:rsidRPr="00DB79BB">
        <w:rPr>
          <w:rFonts w:ascii="Palatino Linotype" w:hAnsi="Palatino Linotype" w:cs="Arial"/>
          <w:sz w:val="24"/>
          <w:szCs w:val="24"/>
        </w:rPr>
        <w:t xml:space="preserve"> todo lo anterior en términos de los artículos 185 fracciones II y IV, y 195 de la </w:t>
      </w:r>
      <w:r w:rsidR="00132F30" w:rsidRPr="00DB79BB">
        <w:rPr>
          <w:rFonts w:ascii="Palatino Linotype" w:hAnsi="Palatino Linotype" w:cs="Arial"/>
          <w:sz w:val="24"/>
          <w:szCs w:val="24"/>
        </w:rPr>
        <w:lastRenderedPageBreak/>
        <w:t>Ley de Transparencia y Acceso a la Información Pública del Estado de México y Municipios.</w:t>
      </w:r>
    </w:p>
    <w:p w14:paraId="56A084D5" w14:textId="77777777" w:rsidR="000E48BC" w:rsidRPr="00DB79BB" w:rsidRDefault="000E48BC" w:rsidP="000C56C8">
      <w:pPr>
        <w:spacing w:after="0" w:line="360" w:lineRule="auto"/>
        <w:jc w:val="both"/>
        <w:rPr>
          <w:rFonts w:ascii="Palatino Linotype" w:hAnsi="Palatino Linotype" w:cs="Arial"/>
          <w:sz w:val="24"/>
          <w:szCs w:val="24"/>
        </w:rPr>
      </w:pPr>
    </w:p>
    <w:p w14:paraId="6714BA57" w14:textId="77777777" w:rsidR="00831383" w:rsidRPr="00DB79BB" w:rsidRDefault="00831383" w:rsidP="00831383">
      <w:pPr>
        <w:spacing w:after="0" w:line="360" w:lineRule="auto"/>
        <w:jc w:val="both"/>
        <w:rPr>
          <w:rFonts w:ascii="Palatino Linotype" w:hAnsi="Palatino Linotype" w:cs="Arial"/>
          <w:sz w:val="24"/>
          <w:szCs w:val="24"/>
        </w:rPr>
      </w:pPr>
      <w:r w:rsidRPr="00DB79BB">
        <w:rPr>
          <w:rFonts w:ascii="Palatino Linotype" w:hAnsi="Palatino Linotype" w:cs="Arial"/>
          <w:b/>
          <w:sz w:val="28"/>
          <w:szCs w:val="28"/>
        </w:rPr>
        <w:t xml:space="preserve">SEXTO. </w:t>
      </w:r>
      <w:r w:rsidRPr="00DB79BB">
        <w:rPr>
          <w:rFonts w:ascii="Palatino Linotype" w:hAnsi="Palatino Linotype" w:cs="Arial"/>
          <w:sz w:val="24"/>
          <w:szCs w:val="28"/>
        </w:rPr>
        <w:t>U</w:t>
      </w:r>
      <w:r w:rsidRPr="00DB79BB">
        <w:rPr>
          <w:rFonts w:ascii="Palatino Linotype" w:hAnsi="Palatino Linotype" w:cs="Arial"/>
          <w:sz w:val="24"/>
          <w:szCs w:val="24"/>
        </w:rPr>
        <w:t>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el dieciocho de julio de dos mil veinticuatro, en términos del artículo 185 fracción VI de la Ley de Transparencia y Acceso a la Información Pública del Estado de México y Municipios, ordenándose turnar los expedientes a la resolución que en derecho proceda.</w:t>
      </w:r>
    </w:p>
    <w:p w14:paraId="213D8914" w14:textId="77777777" w:rsidR="00831383" w:rsidRPr="00DB79BB" w:rsidRDefault="00831383" w:rsidP="000C56C8">
      <w:pPr>
        <w:spacing w:after="0" w:line="360" w:lineRule="auto"/>
        <w:jc w:val="both"/>
        <w:rPr>
          <w:rFonts w:ascii="Palatino Linotype" w:hAnsi="Palatino Linotype" w:cs="Arial"/>
          <w:sz w:val="24"/>
          <w:szCs w:val="24"/>
        </w:rPr>
      </w:pPr>
    </w:p>
    <w:p w14:paraId="50C08634" w14:textId="77777777" w:rsidR="008E0733" w:rsidRPr="00DB79BB" w:rsidRDefault="00831383" w:rsidP="008E0733">
      <w:pPr>
        <w:spacing w:after="0" w:line="360" w:lineRule="auto"/>
        <w:jc w:val="both"/>
        <w:rPr>
          <w:rFonts w:ascii="Palatino Linotype" w:hAnsi="Palatino Linotype" w:cs="Arial"/>
          <w:sz w:val="24"/>
          <w:szCs w:val="24"/>
        </w:rPr>
      </w:pPr>
      <w:r w:rsidRPr="00DB79BB">
        <w:rPr>
          <w:rFonts w:ascii="Palatino Linotype" w:hAnsi="Palatino Linotype" w:cs="Arial"/>
          <w:b/>
          <w:sz w:val="28"/>
          <w:szCs w:val="28"/>
        </w:rPr>
        <w:t>SÉPTIMO</w:t>
      </w:r>
      <w:r w:rsidR="000E48BC" w:rsidRPr="00DB79BB">
        <w:rPr>
          <w:rFonts w:ascii="Palatino Linotype" w:hAnsi="Palatino Linotype" w:cs="Arial"/>
          <w:b/>
          <w:sz w:val="28"/>
          <w:szCs w:val="28"/>
        </w:rPr>
        <w:t xml:space="preserve">. </w:t>
      </w:r>
      <w:r w:rsidR="008E0733" w:rsidRPr="00DB79BB">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Pr="00DB79BB">
        <w:rPr>
          <w:rFonts w:ascii="Palatino Linotype" w:hAnsi="Palatino Linotype" w:cs="Arial"/>
          <w:sz w:val="24"/>
          <w:szCs w:val="24"/>
        </w:rPr>
        <w:t>dos de septiembre de dos mil veinticuatro</w:t>
      </w:r>
      <w:r w:rsidR="008E0733" w:rsidRPr="00DB79BB">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4E94CBD" w14:textId="441A3BAE" w:rsidR="008E0733" w:rsidRPr="00DB79BB" w:rsidRDefault="008E0733" w:rsidP="008E0733">
      <w:pPr>
        <w:spacing w:after="0" w:line="360" w:lineRule="auto"/>
        <w:jc w:val="both"/>
        <w:rPr>
          <w:rFonts w:ascii="Palatino Linotype" w:hAnsi="Palatino Linotype" w:cs="Arial"/>
          <w:sz w:val="24"/>
          <w:szCs w:val="24"/>
        </w:rPr>
      </w:pPr>
    </w:p>
    <w:p w14:paraId="3D704A5E" w14:textId="17E1CEEB" w:rsidR="00AE2221" w:rsidRPr="00DB79BB" w:rsidRDefault="00AE2221" w:rsidP="008E0733">
      <w:pPr>
        <w:spacing w:after="0" w:line="360" w:lineRule="auto"/>
        <w:jc w:val="both"/>
        <w:rPr>
          <w:rFonts w:ascii="Palatino Linotype" w:hAnsi="Palatino Linotype" w:cs="Arial"/>
          <w:sz w:val="24"/>
          <w:szCs w:val="24"/>
        </w:rPr>
      </w:pPr>
    </w:p>
    <w:p w14:paraId="4CCBCDE2" w14:textId="41A64000" w:rsidR="00AE2221" w:rsidRPr="00DB79BB" w:rsidRDefault="00AE2221" w:rsidP="008E0733">
      <w:pPr>
        <w:spacing w:after="0" w:line="360" w:lineRule="auto"/>
        <w:jc w:val="both"/>
        <w:rPr>
          <w:rFonts w:ascii="Palatino Linotype" w:hAnsi="Palatino Linotype" w:cs="Arial"/>
          <w:sz w:val="24"/>
          <w:szCs w:val="24"/>
        </w:rPr>
      </w:pPr>
    </w:p>
    <w:p w14:paraId="21F2253B" w14:textId="618B0B1E" w:rsidR="00AE2221" w:rsidRPr="00DB79BB" w:rsidRDefault="00AE2221" w:rsidP="008E0733">
      <w:pPr>
        <w:spacing w:after="0" w:line="360" w:lineRule="auto"/>
        <w:jc w:val="both"/>
        <w:rPr>
          <w:rFonts w:ascii="Palatino Linotype" w:hAnsi="Palatino Linotype" w:cs="Arial"/>
          <w:sz w:val="24"/>
          <w:szCs w:val="24"/>
        </w:rPr>
      </w:pPr>
    </w:p>
    <w:p w14:paraId="2E367111" w14:textId="77777777" w:rsidR="00AE2221" w:rsidRPr="00DB79BB" w:rsidRDefault="00AE2221" w:rsidP="008E0733">
      <w:pPr>
        <w:spacing w:after="0" w:line="360" w:lineRule="auto"/>
        <w:jc w:val="both"/>
        <w:rPr>
          <w:rFonts w:ascii="Palatino Linotype" w:hAnsi="Palatino Linotype" w:cs="Arial"/>
          <w:sz w:val="24"/>
          <w:szCs w:val="24"/>
        </w:rPr>
      </w:pPr>
    </w:p>
    <w:p w14:paraId="0531ABF5" w14:textId="77777777" w:rsidR="000E48BC" w:rsidRPr="00DB79BB" w:rsidRDefault="000E48BC" w:rsidP="000C56C8">
      <w:pPr>
        <w:spacing w:after="0" w:line="360" w:lineRule="auto"/>
        <w:jc w:val="center"/>
        <w:rPr>
          <w:rFonts w:ascii="Palatino Linotype" w:hAnsi="Palatino Linotype" w:cs="Arial"/>
          <w:sz w:val="24"/>
          <w:szCs w:val="24"/>
        </w:rPr>
      </w:pPr>
      <w:r w:rsidRPr="00DB79BB">
        <w:rPr>
          <w:rFonts w:ascii="Palatino Linotype" w:hAnsi="Palatino Linotype" w:cs="Arial"/>
          <w:b/>
          <w:sz w:val="28"/>
          <w:szCs w:val="24"/>
        </w:rPr>
        <w:lastRenderedPageBreak/>
        <w:t xml:space="preserve">C O N S I D E R A N D O </w:t>
      </w:r>
    </w:p>
    <w:p w14:paraId="5D9E7972" w14:textId="77777777" w:rsidR="000E48BC" w:rsidRPr="00DB79BB" w:rsidRDefault="000E48BC" w:rsidP="000C56C8">
      <w:pPr>
        <w:spacing w:after="0" w:line="360" w:lineRule="auto"/>
        <w:jc w:val="center"/>
        <w:rPr>
          <w:rFonts w:ascii="Palatino Linotype" w:hAnsi="Palatino Linotype" w:cs="Arial"/>
          <w:sz w:val="24"/>
          <w:szCs w:val="24"/>
        </w:rPr>
      </w:pPr>
    </w:p>
    <w:p w14:paraId="23A5E109" w14:textId="77777777" w:rsidR="000E48BC" w:rsidRPr="00DB79BB" w:rsidRDefault="000E48BC" w:rsidP="000C56C8">
      <w:pPr>
        <w:spacing w:after="0" w:line="360" w:lineRule="auto"/>
        <w:jc w:val="both"/>
        <w:rPr>
          <w:rFonts w:ascii="Palatino Linotype" w:hAnsi="Palatino Linotype" w:cs="Arial"/>
          <w:sz w:val="28"/>
          <w:szCs w:val="28"/>
        </w:rPr>
      </w:pPr>
      <w:r w:rsidRPr="00DB79BB">
        <w:rPr>
          <w:rFonts w:ascii="Palatino Linotype" w:hAnsi="Palatino Linotype" w:cs="Arial"/>
          <w:b/>
          <w:sz w:val="28"/>
          <w:szCs w:val="28"/>
        </w:rPr>
        <w:t xml:space="preserve">PRIMERO. </w:t>
      </w:r>
      <w:r w:rsidRPr="00DB79BB">
        <w:rPr>
          <w:rFonts w:ascii="Palatino Linotype" w:hAnsi="Palatino Linotype" w:cs="Arial"/>
          <w:b/>
          <w:sz w:val="26"/>
          <w:szCs w:val="26"/>
        </w:rPr>
        <w:t>De la competencia</w:t>
      </w:r>
      <w:r w:rsidRPr="00DB79BB">
        <w:rPr>
          <w:rFonts w:ascii="Palatino Linotype" w:hAnsi="Palatino Linotype" w:cs="Arial"/>
          <w:sz w:val="26"/>
          <w:szCs w:val="26"/>
        </w:rPr>
        <w:t>.</w:t>
      </w:r>
    </w:p>
    <w:p w14:paraId="2DB6C8D9" w14:textId="77777777" w:rsidR="000E48BC" w:rsidRPr="00DB79BB" w:rsidRDefault="000E48BC" w:rsidP="000C56C8">
      <w:pPr>
        <w:spacing w:after="0" w:line="360" w:lineRule="auto"/>
        <w:jc w:val="both"/>
        <w:rPr>
          <w:rFonts w:ascii="Palatino Linotype" w:hAnsi="Palatino Linotype" w:cs="Arial"/>
          <w:sz w:val="24"/>
          <w:szCs w:val="24"/>
        </w:rPr>
      </w:pPr>
      <w:r w:rsidRPr="00DB79BB">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DB79BB">
        <w:rPr>
          <w:rFonts w:ascii="Palatino Linotype" w:hAnsi="Palatino Linotype" w:cs="Arial"/>
          <w:b/>
          <w:sz w:val="24"/>
          <w:szCs w:val="24"/>
        </w:rPr>
        <w:t>Recurrente</w:t>
      </w:r>
      <w:r w:rsidRPr="00DB79BB">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DB79BB">
        <w:rPr>
          <w:rFonts w:ascii="Palatino Linotype" w:hAnsi="Palatino Linotype" w:cs="Arial"/>
          <w:sz w:val="24"/>
          <w:szCs w:val="24"/>
        </w:rPr>
        <w:t xml:space="preserve"> trigésimo tercero y trigésimo cuarto,</w:t>
      </w:r>
      <w:r w:rsidRPr="00DB79BB">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5843F79C" w14:textId="77777777" w:rsidR="000E48BC" w:rsidRPr="00DB79BB" w:rsidRDefault="000E48BC" w:rsidP="000C56C8">
      <w:pPr>
        <w:spacing w:after="0" w:line="360" w:lineRule="auto"/>
        <w:jc w:val="both"/>
        <w:rPr>
          <w:rFonts w:ascii="Palatino Linotype" w:hAnsi="Palatino Linotype" w:cs="Arial"/>
          <w:sz w:val="24"/>
          <w:szCs w:val="24"/>
        </w:rPr>
      </w:pPr>
    </w:p>
    <w:p w14:paraId="427F0027" w14:textId="77777777" w:rsidR="000E48BC" w:rsidRPr="00DB79BB" w:rsidRDefault="000E48BC" w:rsidP="000C56C8">
      <w:pPr>
        <w:autoSpaceDE w:val="0"/>
        <w:autoSpaceDN w:val="0"/>
        <w:adjustRightInd w:val="0"/>
        <w:spacing w:after="0" w:line="360" w:lineRule="auto"/>
        <w:jc w:val="both"/>
        <w:rPr>
          <w:rFonts w:ascii="Palatino Linotype" w:hAnsi="Palatino Linotype" w:cs="Arial"/>
          <w:bCs/>
          <w:sz w:val="24"/>
          <w:szCs w:val="24"/>
        </w:rPr>
      </w:pPr>
      <w:r w:rsidRPr="00DB79BB">
        <w:rPr>
          <w:rFonts w:ascii="Palatino Linotype" w:hAnsi="Palatino Linotype" w:cs="Arial"/>
          <w:b/>
          <w:sz w:val="28"/>
          <w:szCs w:val="28"/>
        </w:rPr>
        <w:t xml:space="preserve">SEGUNDO. Del alcance del </w:t>
      </w:r>
      <w:r w:rsidR="00831383" w:rsidRPr="00DB79BB">
        <w:rPr>
          <w:rFonts w:ascii="Palatino Linotype" w:hAnsi="Palatino Linotype" w:cs="Arial"/>
          <w:b/>
          <w:sz w:val="28"/>
          <w:szCs w:val="28"/>
        </w:rPr>
        <w:t>r</w:t>
      </w:r>
      <w:r w:rsidRPr="00DB79BB">
        <w:rPr>
          <w:rFonts w:ascii="Palatino Linotype" w:hAnsi="Palatino Linotype" w:cs="Arial"/>
          <w:b/>
          <w:sz w:val="28"/>
          <w:szCs w:val="28"/>
        </w:rPr>
        <w:t>ecurso de revisión.</w:t>
      </w:r>
      <w:r w:rsidRPr="00DB79BB">
        <w:rPr>
          <w:rFonts w:ascii="Palatino Linotype" w:hAnsi="Palatino Linotype" w:cs="Arial"/>
          <w:bCs/>
          <w:sz w:val="28"/>
          <w:szCs w:val="28"/>
        </w:rPr>
        <w:t xml:space="preserve"> </w:t>
      </w:r>
    </w:p>
    <w:p w14:paraId="1D35A1E6" w14:textId="77777777" w:rsidR="000E48BC" w:rsidRPr="00DB79BB" w:rsidRDefault="000E48BC" w:rsidP="000C56C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DB79BB">
        <w:rPr>
          <w:rFonts w:ascii="Palatino Linotype" w:eastAsia="Palatino Linotype" w:hAnsi="Palatino Linotype" w:cs="Palatino Linotype"/>
          <w:sz w:val="24"/>
          <w:szCs w:val="24"/>
          <w:lang w:val="es-ES_tradnl" w:eastAsia="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w:t>
      </w:r>
      <w:r w:rsidRPr="00DB79BB">
        <w:rPr>
          <w:rFonts w:ascii="Palatino Linotype" w:eastAsia="Palatino Linotype" w:hAnsi="Palatino Linotype" w:cs="Palatino Linotype"/>
          <w:sz w:val="24"/>
          <w:szCs w:val="24"/>
          <w:lang w:val="es-ES_tradnl" w:eastAsia="es-MX"/>
        </w:rPr>
        <w:lastRenderedPageBreak/>
        <w:t>derecho de acceso a la información pública y garantizando el principio rector de máxima publicidad.</w:t>
      </w:r>
    </w:p>
    <w:p w14:paraId="2D90C434" w14:textId="77777777" w:rsidR="0070714D" w:rsidRPr="00DB79BB" w:rsidRDefault="0070714D" w:rsidP="000C56C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25C3DBF4" w14:textId="77777777" w:rsidR="003A6068" w:rsidRPr="00DB79BB" w:rsidRDefault="003A6068" w:rsidP="003A6068">
      <w:pPr>
        <w:spacing w:after="0" w:line="360" w:lineRule="auto"/>
        <w:jc w:val="both"/>
        <w:rPr>
          <w:rFonts w:ascii="Palatino Linotype" w:eastAsiaTheme="minorEastAsia" w:hAnsi="Palatino Linotype" w:cs="Arial"/>
          <w:b/>
          <w:sz w:val="28"/>
          <w:szCs w:val="28"/>
          <w:lang w:val="es-ES_tradnl" w:eastAsia="es-ES"/>
        </w:rPr>
      </w:pPr>
      <w:r w:rsidRPr="00DB79BB">
        <w:rPr>
          <w:rFonts w:ascii="Palatino Linotype" w:eastAsiaTheme="minorEastAsia" w:hAnsi="Palatino Linotype" w:cs="Arial"/>
          <w:b/>
          <w:sz w:val="28"/>
          <w:szCs w:val="28"/>
          <w:lang w:val="es-ES_tradnl" w:eastAsia="es-ES"/>
        </w:rPr>
        <w:t>TERCERO. Del estudio de las causas de</w:t>
      </w:r>
      <w:r w:rsidR="0070714D" w:rsidRPr="00DB79BB">
        <w:rPr>
          <w:rFonts w:ascii="Palatino Linotype" w:eastAsiaTheme="minorEastAsia" w:hAnsi="Palatino Linotype" w:cs="Arial"/>
          <w:b/>
          <w:sz w:val="28"/>
          <w:szCs w:val="28"/>
          <w:lang w:val="es-ES_tradnl" w:eastAsia="es-ES"/>
        </w:rPr>
        <w:t xml:space="preserve"> improcedencia y sobreseimiento.</w:t>
      </w:r>
    </w:p>
    <w:p w14:paraId="65D9EA0B" w14:textId="77777777" w:rsidR="003A6068" w:rsidRPr="00DB79BB" w:rsidRDefault="003A6068" w:rsidP="003A6068">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DB79BB">
        <w:rPr>
          <w:rFonts w:ascii="Palatino Linotype" w:eastAsiaTheme="minorEastAsia" w:hAnsi="Palatino Linotype" w:cs="Arial"/>
          <w:sz w:val="24"/>
          <w:szCs w:val="24"/>
          <w:lang w:val="es-ES_tradnl" w:eastAsia="es-ES"/>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3F48FFE" w14:textId="77777777" w:rsidR="00831383" w:rsidRPr="00DB79BB" w:rsidRDefault="00831383" w:rsidP="003A6068">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084507FA" w14:textId="77777777" w:rsidR="003A6068" w:rsidRPr="00DB79BB" w:rsidRDefault="003A6068" w:rsidP="003A6068">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DB79BB">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5B4FA94E" w14:textId="77777777" w:rsidR="003A6068" w:rsidRPr="00DB79BB" w:rsidRDefault="003A6068" w:rsidP="003A6068">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1A1F0AFA" w14:textId="77777777" w:rsidR="003A6068" w:rsidRPr="00DB79BB" w:rsidRDefault="003A6068" w:rsidP="003A6068">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DB79BB">
        <w:rPr>
          <w:rFonts w:ascii="Palatino Linotype" w:eastAsiaTheme="minorEastAsia" w:hAnsi="Palatino Linotype" w:cs="Arial"/>
          <w:i/>
          <w:szCs w:val="24"/>
          <w:lang w:val="es-ES_tradnl" w:eastAsia="es-ES"/>
        </w:rPr>
        <w:t>“</w:t>
      </w:r>
      <w:r w:rsidRPr="00DB79BB">
        <w:rPr>
          <w:rFonts w:ascii="Palatino Linotype" w:eastAsiaTheme="minorEastAsia" w:hAnsi="Palatino Linotype" w:cs="Arial"/>
          <w:b/>
          <w:i/>
          <w:szCs w:val="24"/>
          <w:lang w:val="es-ES_tradnl" w:eastAsia="es-ES"/>
        </w:rPr>
        <w:t>IMPROCEDENCIA, CAUSALES DE. EN EL JUICIO DE AMPARO.</w:t>
      </w:r>
      <w:r w:rsidRPr="00DB79BB">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14:paraId="33F4D30A" w14:textId="77777777" w:rsidR="003A6068" w:rsidRPr="00DB79BB" w:rsidRDefault="003A6068" w:rsidP="003A6068">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525105A4" w14:textId="77777777" w:rsidR="003A6068" w:rsidRPr="00DB79BB" w:rsidRDefault="003A6068" w:rsidP="003A6068">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DB79BB">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Resolutor; presupuestos procesales de inicio o trámite de un proceso que dotan de seguridad jurídica las resoluciones </w:t>
      </w:r>
      <w:r w:rsidRPr="00DB79BB">
        <w:rPr>
          <w:rFonts w:ascii="Palatino Linotype" w:eastAsiaTheme="minorEastAsia" w:hAnsi="Palatino Linotype" w:cs="Arial"/>
          <w:sz w:val="24"/>
          <w:szCs w:val="24"/>
          <w:lang w:val="es-ES_tradnl" w:eastAsia="es-ES"/>
        </w:rPr>
        <w:lastRenderedPageBreak/>
        <w:t>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DB79BB">
        <w:rPr>
          <w:rFonts w:ascii="Palatino Linotype" w:eastAsiaTheme="minorEastAsia" w:hAnsi="Palatino Linotype" w:cs="Arial"/>
          <w:sz w:val="24"/>
          <w:szCs w:val="24"/>
          <w:vertAlign w:val="superscript"/>
          <w:lang w:val="es-ES_tradnl" w:eastAsia="es-ES"/>
        </w:rPr>
        <w:footnoteReference w:id="1"/>
      </w:r>
      <w:r w:rsidRPr="00DB79BB">
        <w:rPr>
          <w:rFonts w:ascii="Palatino Linotype" w:eastAsiaTheme="minorEastAsia" w:hAnsi="Palatino Linotype" w:cs="Arial"/>
          <w:sz w:val="24"/>
          <w:szCs w:val="24"/>
          <w:lang w:val="es-ES_tradnl" w:eastAsia="es-ES"/>
        </w:rPr>
        <w:t>.</w:t>
      </w:r>
    </w:p>
    <w:p w14:paraId="09524AB6" w14:textId="77777777" w:rsidR="00D814E2" w:rsidRPr="00DB79BB" w:rsidRDefault="00D814E2" w:rsidP="003A6068">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3508CB56" w14:textId="77777777" w:rsidR="003A6068" w:rsidRPr="00DB79BB" w:rsidRDefault="003A6068" w:rsidP="003A6068">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DB79BB">
        <w:rPr>
          <w:rFonts w:ascii="Palatino Linotype" w:eastAsiaTheme="minorEastAsia" w:hAnsi="Palatino Linotype" w:cs="Arial"/>
          <w:sz w:val="24"/>
          <w:szCs w:val="24"/>
          <w:lang w:val="es-ES_tradnl" w:eastAsia="es-ES"/>
        </w:rPr>
        <w:t>En primer término es necesario hacer alusión a la</w:t>
      </w:r>
      <w:r w:rsidR="00B37245" w:rsidRPr="00DB79BB">
        <w:rPr>
          <w:rFonts w:ascii="Palatino Linotype" w:eastAsiaTheme="minorEastAsia" w:hAnsi="Palatino Linotype" w:cs="Arial"/>
          <w:sz w:val="24"/>
          <w:szCs w:val="24"/>
          <w:lang w:val="es-ES_tradnl" w:eastAsia="es-ES"/>
        </w:rPr>
        <w:t>s</w:t>
      </w:r>
      <w:r w:rsidRPr="00DB79BB">
        <w:rPr>
          <w:rFonts w:ascii="Palatino Linotype" w:eastAsiaTheme="minorEastAsia" w:hAnsi="Palatino Linotype" w:cs="Arial"/>
          <w:sz w:val="24"/>
          <w:szCs w:val="24"/>
          <w:lang w:val="es-ES_tradnl" w:eastAsia="es-ES"/>
        </w:rPr>
        <w:t xml:space="preserve"> solicitud</w:t>
      </w:r>
      <w:r w:rsidR="00B37245" w:rsidRPr="00DB79BB">
        <w:rPr>
          <w:rFonts w:ascii="Palatino Linotype" w:eastAsiaTheme="minorEastAsia" w:hAnsi="Palatino Linotype" w:cs="Arial"/>
          <w:sz w:val="24"/>
          <w:szCs w:val="24"/>
          <w:lang w:val="es-ES_tradnl" w:eastAsia="es-ES"/>
        </w:rPr>
        <w:t>es</w:t>
      </w:r>
      <w:r w:rsidRPr="00DB79BB">
        <w:rPr>
          <w:rFonts w:ascii="Palatino Linotype" w:eastAsiaTheme="minorEastAsia" w:hAnsi="Palatino Linotype" w:cs="Arial"/>
          <w:sz w:val="24"/>
          <w:szCs w:val="24"/>
          <w:lang w:val="es-ES_tradnl" w:eastAsia="es-ES"/>
        </w:rPr>
        <w:t xml:space="preserve"> de información ya que de ella deriva por un lado al procedimiento de acceso a la información ante el </w:t>
      </w:r>
      <w:r w:rsidRPr="00DB79BB">
        <w:rPr>
          <w:rFonts w:ascii="Palatino Linotype" w:eastAsiaTheme="minorEastAsia" w:hAnsi="Palatino Linotype" w:cs="Arial"/>
          <w:b/>
          <w:sz w:val="24"/>
          <w:szCs w:val="24"/>
          <w:lang w:val="es-ES_tradnl" w:eastAsia="es-ES"/>
        </w:rPr>
        <w:t>Sujeto Obligado</w:t>
      </w:r>
      <w:r w:rsidRPr="00DB79BB">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w:t>
      </w:r>
      <w:r w:rsidRPr="00DB79BB">
        <w:rPr>
          <w:rFonts w:ascii="Palatino Linotype" w:eastAsiaTheme="minorEastAsia" w:hAnsi="Palatino Linotype" w:cs="Arial"/>
          <w:sz w:val="24"/>
          <w:szCs w:val="24"/>
          <w:lang w:val="es-ES_tradnl" w:eastAsia="es-ES"/>
        </w:rPr>
        <w:lastRenderedPageBreak/>
        <w:t xml:space="preserve">existencia de solicitudes de información a la luz de su interpretación ya que ésta es la fuente de la materia objeto de la transparencia específica en cada recurso de revisión. </w:t>
      </w:r>
    </w:p>
    <w:p w14:paraId="2D6D63F5" w14:textId="77777777" w:rsidR="003A6068" w:rsidRPr="00DB79BB" w:rsidRDefault="003A6068" w:rsidP="003A6068">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58A06CF1" w14:textId="77777777" w:rsidR="003A6068" w:rsidRPr="00DB79BB" w:rsidRDefault="003A6068" w:rsidP="003A6068">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DB79BB">
        <w:rPr>
          <w:rFonts w:ascii="Palatino Linotype" w:eastAsiaTheme="minorEastAsia" w:hAnsi="Palatino Linotype" w:cs="Arial"/>
          <w:sz w:val="24"/>
          <w:szCs w:val="24"/>
          <w:lang w:val="es-ES_tradnl" w:eastAsia="es-ES"/>
        </w:rPr>
        <w:t xml:space="preserve">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w:t>
      </w:r>
      <w:r w:rsidRPr="00DB79BB">
        <w:rPr>
          <w:rFonts w:ascii="Palatino Linotype" w:eastAsiaTheme="minorEastAsia" w:hAnsi="Palatino Linotype" w:cs="Arial"/>
          <w:b/>
          <w:sz w:val="24"/>
          <w:szCs w:val="24"/>
          <w:lang w:val="es-ES_tradnl" w:eastAsia="es-ES"/>
        </w:rPr>
        <w:t>Sujeto Obligado</w:t>
      </w:r>
      <w:r w:rsidRPr="00DB79BB">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14:paraId="1D804992" w14:textId="77777777" w:rsidR="003A6068" w:rsidRPr="00DB79BB" w:rsidRDefault="003A6068" w:rsidP="003A6068">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5D932EB8" w14:textId="1D4AEC1C" w:rsidR="003A6068" w:rsidRPr="00DB79BB" w:rsidRDefault="003A6068" w:rsidP="003A6068">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DB79BB">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DB79BB">
        <w:rPr>
          <w:rFonts w:ascii="Palatino Linotype" w:eastAsiaTheme="minorEastAsia" w:hAnsi="Palatino Linotype" w:cs="Arial"/>
          <w:b/>
          <w:sz w:val="24"/>
          <w:szCs w:val="24"/>
          <w:lang w:val="es-ES_tradnl" w:eastAsia="es-ES"/>
        </w:rPr>
        <w:t>Recurrente</w:t>
      </w:r>
      <w:r w:rsidRPr="00DB79BB">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DB79BB">
        <w:rPr>
          <w:rFonts w:ascii="Palatino Linotype" w:eastAsiaTheme="minorEastAsia" w:hAnsi="Palatino Linotype" w:cs="Arial"/>
          <w:b/>
          <w:sz w:val="24"/>
          <w:szCs w:val="24"/>
          <w:lang w:val="es-ES_tradnl" w:eastAsia="es-ES"/>
        </w:rPr>
        <w:t>Sujeto Obligado</w:t>
      </w:r>
      <w:r w:rsidRPr="00DB79BB">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14:paraId="72742A06" w14:textId="3EA803AD" w:rsidR="00D814E2" w:rsidRPr="00DB79BB" w:rsidRDefault="00D814E2" w:rsidP="003A6068">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3E61DFEB" w14:textId="77777777" w:rsidR="00E62766" w:rsidRPr="00DB79BB" w:rsidRDefault="00E62766" w:rsidP="00E6276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79BB">
        <w:rPr>
          <w:rFonts w:ascii="Palatino Linotype" w:eastAsia="Times New Roman" w:hAnsi="Palatino Linotype" w:cs="Arial"/>
          <w:sz w:val="24"/>
          <w:szCs w:val="24"/>
          <w:lang w:val="es-ES" w:eastAsia="es-ES"/>
        </w:rPr>
        <w:t xml:space="preserve">Atentos a la redacción de la solicitud de información, se puede apreciar que la parte </w:t>
      </w:r>
      <w:r w:rsidRPr="00DB79BB">
        <w:rPr>
          <w:rFonts w:ascii="Palatino Linotype" w:eastAsia="Times New Roman" w:hAnsi="Palatino Linotype" w:cs="Arial"/>
          <w:b/>
          <w:sz w:val="24"/>
          <w:szCs w:val="24"/>
          <w:lang w:val="es-ES" w:eastAsia="es-ES"/>
        </w:rPr>
        <w:t>Recurrente</w:t>
      </w:r>
      <w:r w:rsidRPr="00DB79BB">
        <w:rPr>
          <w:rFonts w:ascii="Palatino Linotype" w:eastAsia="Times New Roman" w:hAnsi="Palatino Linotype" w:cs="Arial"/>
          <w:sz w:val="24"/>
          <w:szCs w:val="24"/>
          <w:lang w:val="es-ES" w:eastAsia="es-ES"/>
        </w:rPr>
        <w:t xml:space="preserve"> peticiona, objetivamente, lo siguiente:</w:t>
      </w:r>
    </w:p>
    <w:p w14:paraId="4BD81CD4" w14:textId="77777777" w:rsidR="00E62766" w:rsidRPr="00DB79BB" w:rsidRDefault="00E62766" w:rsidP="00E6276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CD6BE6B" w14:textId="59051171" w:rsidR="00E62766" w:rsidRPr="00DB79BB" w:rsidRDefault="00E62766" w:rsidP="00E62766">
      <w:pPr>
        <w:pStyle w:val="Prrafodelista"/>
        <w:numPr>
          <w:ilvl w:val="0"/>
          <w:numId w:val="27"/>
        </w:numPr>
        <w:autoSpaceDE w:val="0"/>
        <w:autoSpaceDN w:val="0"/>
        <w:adjustRightInd w:val="0"/>
        <w:spacing w:line="360" w:lineRule="auto"/>
        <w:jc w:val="both"/>
        <w:rPr>
          <w:rFonts w:ascii="Palatino Linotype" w:hAnsi="Palatino Linotype" w:cs="Arial"/>
        </w:rPr>
      </w:pPr>
      <w:r w:rsidRPr="00DB79BB">
        <w:rPr>
          <w:rFonts w:ascii="Palatino Linotype" w:hAnsi="Palatino Linotype" w:cs="Arial"/>
        </w:rPr>
        <w:t>QUIERO SABER SI EL DIRECTOR DE OPDAPAS ACOMPAÑA SU TE O CAFE CON ALGUN PAN, GALLETA O BOLILLO Y QUE ME INFORME PORQUE PREFIERE CONSUMIR ESTE TIPO DE HARIANA CON SU TE O CAFÉ;</w:t>
      </w:r>
    </w:p>
    <w:p w14:paraId="1553DAB4" w14:textId="77777777" w:rsidR="00E62766" w:rsidRPr="00DB79BB" w:rsidRDefault="00E62766" w:rsidP="00E62766">
      <w:pPr>
        <w:spacing w:after="0" w:line="360" w:lineRule="auto"/>
        <w:jc w:val="both"/>
        <w:rPr>
          <w:rFonts w:ascii="Palatino Linotype" w:hAnsi="Palatino Linotype"/>
          <w:sz w:val="24"/>
          <w:szCs w:val="24"/>
        </w:rPr>
      </w:pPr>
    </w:p>
    <w:p w14:paraId="289AECF9" w14:textId="3D22128A" w:rsidR="005B2C06" w:rsidRPr="00DB79BB" w:rsidRDefault="00361BE1" w:rsidP="00AE2221">
      <w:pPr>
        <w:autoSpaceDE w:val="0"/>
        <w:autoSpaceDN w:val="0"/>
        <w:adjustRightInd w:val="0"/>
        <w:spacing w:after="0" w:line="360" w:lineRule="auto"/>
        <w:jc w:val="both"/>
        <w:rPr>
          <w:rFonts w:ascii="Palatino Linotype" w:eastAsia="Batang" w:hAnsi="Palatino Linotype" w:cs="Arial"/>
          <w:sz w:val="24"/>
          <w:szCs w:val="24"/>
          <w:lang w:val="es-ES_tradnl" w:eastAsia="es-ES"/>
        </w:rPr>
      </w:pPr>
      <w:r w:rsidRPr="00DB79BB">
        <w:rPr>
          <w:rFonts w:ascii="Palatino Linotype" w:eastAsia="Times New Roman" w:hAnsi="Palatino Linotype" w:cs="Arial"/>
          <w:sz w:val="24"/>
          <w:szCs w:val="24"/>
          <w:lang w:val="es-ES" w:eastAsia="es-ES"/>
        </w:rPr>
        <w:t>Es importante señalar que, del análisis realizado a la solicitud materia de estudio, se advierte que</w:t>
      </w:r>
      <w:r w:rsidR="005B2C06" w:rsidRPr="00DB79BB">
        <w:rPr>
          <w:rFonts w:ascii="Palatino Linotype" w:eastAsia="Times New Roman" w:hAnsi="Palatino Linotype" w:cs="Arial"/>
          <w:sz w:val="24"/>
          <w:szCs w:val="24"/>
          <w:lang w:val="es-ES" w:eastAsia="es-ES"/>
        </w:rPr>
        <w:t>,</w:t>
      </w:r>
      <w:r w:rsidRPr="00DB79BB">
        <w:rPr>
          <w:rFonts w:ascii="Palatino Linotype" w:eastAsia="Times New Roman" w:hAnsi="Palatino Linotype" w:cs="Arial"/>
          <w:sz w:val="24"/>
          <w:szCs w:val="24"/>
          <w:lang w:val="es-ES" w:eastAsia="es-ES"/>
        </w:rPr>
        <w:t xml:space="preserve"> l</w:t>
      </w:r>
      <w:r w:rsidR="005B2C06" w:rsidRPr="00DB79BB">
        <w:rPr>
          <w:rFonts w:ascii="Palatino Linotype" w:eastAsia="Times New Roman" w:hAnsi="Palatino Linotype" w:cs="Arial"/>
          <w:sz w:val="24"/>
          <w:szCs w:val="24"/>
          <w:lang w:val="es-ES" w:eastAsia="es-ES"/>
        </w:rPr>
        <w:t>a parte</w:t>
      </w:r>
      <w:r w:rsidRPr="00DB79BB">
        <w:rPr>
          <w:rFonts w:ascii="Palatino Linotype" w:eastAsia="Times New Roman" w:hAnsi="Palatino Linotype" w:cs="Arial"/>
          <w:sz w:val="24"/>
          <w:szCs w:val="24"/>
          <w:lang w:val="es-ES" w:eastAsia="es-ES"/>
        </w:rPr>
        <w:t xml:space="preserve"> </w:t>
      </w:r>
      <w:r w:rsidRPr="00DB79BB">
        <w:rPr>
          <w:rFonts w:ascii="Palatino Linotype" w:eastAsia="Times New Roman" w:hAnsi="Palatino Linotype" w:cs="Arial"/>
          <w:b/>
          <w:sz w:val="24"/>
          <w:szCs w:val="24"/>
          <w:lang w:val="es-ES" w:eastAsia="es-ES"/>
        </w:rPr>
        <w:t>Recurrente</w:t>
      </w:r>
      <w:r w:rsidRPr="00DB79BB">
        <w:rPr>
          <w:rFonts w:ascii="Palatino Linotype" w:eastAsia="Times New Roman" w:hAnsi="Palatino Linotype" w:cs="Arial"/>
          <w:sz w:val="24"/>
          <w:szCs w:val="24"/>
          <w:lang w:val="es-ES" w:eastAsia="es-ES"/>
        </w:rPr>
        <w:t xml:space="preserve"> realizó </w:t>
      </w:r>
      <w:r w:rsidR="005B2C06" w:rsidRPr="00DB79BB">
        <w:rPr>
          <w:rFonts w:ascii="Palatino Linotype" w:eastAsia="Times New Roman" w:hAnsi="Palatino Linotype" w:cs="Arial"/>
          <w:sz w:val="24"/>
          <w:szCs w:val="24"/>
          <w:lang w:val="es-ES" w:eastAsia="es-ES"/>
        </w:rPr>
        <w:t xml:space="preserve">cuestionamientos que no se encuentran </w:t>
      </w:r>
      <w:r w:rsidR="005B2C06" w:rsidRPr="00DB79BB">
        <w:rPr>
          <w:rFonts w:ascii="Palatino Linotype" w:eastAsia="Times New Roman" w:hAnsi="Palatino Linotype" w:cs="Arial"/>
          <w:sz w:val="24"/>
          <w:szCs w:val="24"/>
          <w:lang w:val="es-ES" w:eastAsia="es-ES"/>
        </w:rPr>
        <w:lastRenderedPageBreak/>
        <w:t xml:space="preserve">sujetos a transparencia, </w:t>
      </w:r>
      <w:r w:rsidR="00AE2221" w:rsidRPr="00DB79BB">
        <w:rPr>
          <w:rFonts w:ascii="Palatino Linotype" w:eastAsia="Times New Roman" w:hAnsi="Palatino Linotype" w:cs="Arial"/>
          <w:sz w:val="24"/>
          <w:szCs w:val="24"/>
          <w:lang w:val="es-ES" w:eastAsia="es-ES"/>
        </w:rPr>
        <w:t xml:space="preserve">ello es así, de conformidad con la redacción de la </w:t>
      </w:r>
      <w:r w:rsidR="005B2C06" w:rsidRPr="00DB79BB">
        <w:rPr>
          <w:rFonts w:ascii="Palatino Linotype" w:eastAsia="Batang" w:hAnsi="Palatino Linotype" w:cs="Arial"/>
          <w:sz w:val="24"/>
          <w:szCs w:val="24"/>
          <w:lang w:val="es-ES_tradnl" w:eastAsia="es-ES"/>
        </w:rPr>
        <w:t xml:space="preserve">solicitud de información </w:t>
      </w:r>
      <w:r w:rsidR="00AE2221" w:rsidRPr="00DB79BB">
        <w:rPr>
          <w:rFonts w:ascii="Palatino Linotype" w:eastAsia="Batang" w:hAnsi="Palatino Linotype" w:cs="Arial"/>
          <w:sz w:val="24"/>
          <w:szCs w:val="24"/>
          <w:lang w:val="es-ES_tradnl" w:eastAsia="es-ES"/>
        </w:rPr>
        <w:t>al advertirse que</w:t>
      </w:r>
      <w:r w:rsidR="005B2C06" w:rsidRPr="00DB79BB">
        <w:rPr>
          <w:rFonts w:ascii="Palatino Linotype" w:eastAsia="Batang" w:hAnsi="Palatino Linotype" w:cs="Arial"/>
          <w:sz w:val="24"/>
          <w:szCs w:val="24"/>
          <w:lang w:val="es-ES_tradnl" w:eastAsia="es-ES"/>
        </w:rPr>
        <w:t xml:space="preserve"> </w:t>
      </w:r>
      <w:r w:rsidR="005B2C06" w:rsidRPr="00DB79BB">
        <w:rPr>
          <w:rFonts w:ascii="Palatino Linotype" w:eastAsia="Batang" w:hAnsi="Palatino Linotype" w:cs="Arial"/>
          <w:b/>
          <w:bCs/>
          <w:sz w:val="24"/>
          <w:szCs w:val="24"/>
          <w:lang w:val="es-ES_tradnl" w:eastAsia="es-ES"/>
        </w:rPr>
        <w:t>peticiona</w:t>
      </w:r>
      <w:r w:rsidR="005B2C06" w:rsidRPr="00DB79BB">
        <w:rPr>
          <w:rFonts w:ascii="Palatino Linotype" w:eastAsia="Batang" w:hAnsi="Palatino Linotype" w:cs="Arial"/>
          <w:sz w:val="24"/>
          <w:szCs w:val="24"/>
          <w:lang w:val="es-ES_tradnl" w:eastAsia="es-ES"/>
        </w:rPr>
        <w:t xml:space="preserve"> </w:t>
      </w:r>
      <w:r w:rsidR="00AE2221" w:rsidRPr="00DB79BB">
        <w:rPr>
          <w:rFonts w:ascii="Palatino Linotype" w:eastAsia="Batang" w:hAnsi="Palatino Linotype" w:cs="Arial"/>
          <w:sz w:val="24"/>
          <w:szCs w:val="24"/>
          <w:lang w:val="es-ES_tradnl" w:eastAsia="es-ES"/>
        </w:rPr>
        <w:t>d</w:t>
      </w:r>
      <w:r w:rsidR="005B2C06" w:rsidRPr="00DB79BB">
        <w:rPr>
          <w:rFonts w:ascii="Palatino Linotype" w:eastAsia="Batang" w:hAnsi="Palatino Linotype" w:cs="Arial"/>
          <w:sz w:val="24"/>
          <w:szCs w:val="24"/>
          <w:lang w:val="es-ES_tradnl" w:eastAsia="es-ES"/>
        </w:rPr>
        <w:t xml:space="preserve">el Sujeto Obligado </w:t>
      </w:r>
      <w:r w:rsidR="005B2C06" w:rsidRPr="00DB79BB">
        <w:rPr>
          <w:rFonts w:ascii="Palatino Linotype" w:eastAsia="Batang" w:hAnsi="Palatino Linotype" w:cs="Arial"/>
          <w:b/>
          <w:bCs/>
          <w:sz w:val="24"/>
          <w:szCs w:val="24"/>
          <w:lang w:val="es-ES_tradnl" w:eastAsia="es-ES"/>
        </w:rPr>
        <w:t xml:space="preserve">dé </w:t>
      </w:r>
      <w:r w:rsidR="005B2C06" w:rsidRPr="00DB79BB">
        <w:rPr>
          <w:rFonts w:ascii="Palatino Linotype" w:eastAsia="Batang" w:hAnsi="Palatino Linotype" w:cs="Arial"/>
          <w:sz w:val="24"/>
          <w:szCs w:val="24"/>
          <w:lang w:val="es-ES_tradnl" w:eastAsia="es-ES"/>
        </w:rPr>
        <w:t>contestación a cuestionamientos que no s</w:t>
      </w:r>
      <w:r w:rsidR="00AE2221" w:rsidRPr="00DB79BB">
        <w:rPr>
          <w:rFonts w:ascii="Palatino Linotype" w:eastAsia="Batang" w:hAnsi="Palatino Linotype" w:cs="Arial"/>
          <w:sz w:val="24"/>
          <w:szCs w:val="24"/>
          <w:lang w:val="es-ES_tradnl" w:eastAsia="es-ES"/>
        </w:rPr>
        <w:t>on d</w:t>
      </w:r>
      <w:r w:rsidR="005B2C06" w:rsidRPr="00DB79BB">
        <w:rPr>
          <w:rFonts w:ascii="Palatino Linotype" w:eastAsia="Batang" w:hAnsi="Palatino Linotype" w:cs="Arial"/>
          <w:sz w:val="24"/>
          <w:szCs w:val="24"/>
          <w:lang w:val="es-ES_tradnl" w:eastAsia="es-ES"/>
        </w:rPr>
        <w:t>e naturaleza pública, al no devenir del ejercicio de atribuciones, actos de autoridad, comprobación de gastos y/o rendición de cuentas</w:t>
      </w:r>
      <w:r w:rsidR="00AE2221" w:rsidRPr="00DB79BB">
        <w:rPr>
          <w:rFonts w:ascii="Palatino Linotype" w:eastAsia="Batang" w:hAnsi="Palatino Linotype" w:cs="Arial"/>
          <w:sz w:val="24"/>
          <w:szCs w:val="24"/>
          <w:lang w:val="es-ES_tradnl" w:eastAsia="es-ES"/>
        </w:rPr>
        <w:t>.</w:t>
      </w:r>
    </w:p>
    <w:p w14:paraId="5A81C494"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p>
    <w:p w14:paraId="3F5F3D7A"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r w:rsidRPr="00DB79BB">
        <w:rPr>
          <w:rFonts w:ascii="Palatino Linotype" w:eastAsia="Batang" w:hAnsi="Palatino Linotype" w:cs="Arial"/>
          <w:sz w:val="24"/>
          <w:szCs w:val="24"/>
          <w:lang w:val="es-ES_tradnl" w:eastAsia="es-ES"/>
        </w:rPr>
        <w:t>En ese tenor, cabe aclarar que cuando los planteamientos que formulen los particulares se puedan colmar con la entrega de documentos que los sujetos obligados generen, posean o administren en ejercicio de sus atribuciones, se está en presencia del derecho fundamental de acceso a la información, previsto en el artículo 6, Apartado A, fracción IV de la Constitución Política de los Estados Unidos Mexicanos, el cual deberá garantizarse ordenando la entrega de tales documentales, siempre y cuando éstas sean de acceso público.</w:t>
      </w:r>
    </w:p>
    <w:p w14:paraId="43C657BF"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p>
    <w:p w14:paraId="2B211FD7" w14:textId="0CCF1EEC"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r w:rsidRPr="00DB79BB">
        <w:rPr>
          <w:rFonts w:ascii="Palatino Linotype" w:eastAsia="Batang" w:hAnsi="Palatino Linotype" w:cs="Arial"/>
          <w:sz w:val="24"/>
          <w:szCs w:val="24"/>
          <w:lang w:val="es-ES_tradnl" w:eastAsia="es-ES"/>
        </w:rPr>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la particular lleve a cabo una solicitud de información sin identificar de forma precisa la documentación, los sujetos obligados deberán hacer entrega del mismo al solicitante, como a continuación se cita:</w:t>
      </w:r>
    </w:p>
    <w:p w14:paraId="00E20AB2"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p>
    <w:p w14:paraId="30CF52B3" w14:textId="77777777" w:rsidR="005B2C06" w:rsidRPr="00DB79BB" w:rsidRDefault="005B2C06" w:rsidP="005B2C06">
      <w:pPr>
        <w:spacing w:after="0" w:line="240" w:lineRule="auto"/>
        <w:ind w:left="567" w:right="567"/>
        <w:jc w:val="both"/>
        <w:rPr>
          <w:rFonts w:ascii="Palatino Linotype" w:eastAsia="Batang" w:hAnsi="Palatino Linotype" w:cs="Arial"/>
          <w:i/>
          <w:iCs/>
          <w:lang w:val="es-ES_tradnl" w:eastAsia="es-ES"/>
        </w:rPr>
      </w:pPr>
      <w:r w:rsidRPr="00DB79BB">
        <w:rPr>
          <w:rFonts w:ascii="Palatino Linotype" w:eastAsia="Batang" w:hAnsi="Palatino Linotype" w:cs="Arial"/>
          <w:i/>
          <w:iCs/>
          <w:lang w:val="es-ES_tradnl" w:eastAsia="es-ES"/>
        </w:rPr>
        <w:lastRenderedPageBreak/>
        <w:t>“</w:t>
      </w:r>
      <w:r w:rsidRPr="00DB79BB">
        <w:rPr>
          <w:rFonts w:ascii="Palatino Linotype" w:eastAsia="Batang" w:hAnsi="Palatino Linotype" w:cs="Arial"/>
          <w:b/>
          <w:bCs/>
          <w:i/>
          <w:iCs/>
          <w:lang w:val="es-ES_tradnl" w:eastAsia="es-ES"/>
        </w:rPr>
        <w:t>CUANDO EN UNA SOLICITUD DE INFORMACIÓN NO SE IDENTIFIQUE UN DOCUMENTO EN ESPECÍFICO, SI ÉSTA TIENE UNA EXPRESIÓN DOCUMENTAL, EL SUJETO OBLIGADO DEBERÁ ENTREGAR AL PARTICULAR EL DOCUMENTO EN ESPECÍFICO</w:t>
      </w:r>
      <w:r w:rsidRPr="00DB79BB">
        <w:rPr>
          <w:rFonts w:ascii="Palatino Linotype" w:eastAsia="Batang" w:hAnsi="Palatino Linotype" w:cs="Arial"/>
          <w:i/>
          <w:iCs/>
          <w:lang w:val="es-ES_tradnl" w:eastAsia="es-ES"/>
        </w:rPr>
        <w:t>.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la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la particular no hace referencia específica a tal documento, se deberá hacer entrega del mismo al solicitante.” (Sic)</w:t>
      </w:r>
    </w:p>
    <w:p w14:paraId="1CA45D78"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p>
    <w:p w14:paraId="68A28029"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r w:rsidRPr="00DB79BB">
        <w:rPr>
          <w:rFonts w:ascii="Palatino Linotype" w:eastAsia="Batang" w:hAnsi="Palatino Linotype" w:cs="Arial"/>
          <w:sz w:val="24"/>
          <w:szCs w:val="24"/>
          <w:lang w:val="es-ES_tradnl" w:eastAsia="es-ES"/>
        </w:rPr>
        <w:t>Así, con apego a lo dispuesto en el artículo 9 fracciones IV y VI de la Ley de Transparencia estatal, este Instituto debe actuar apegado a los principios de imparcialidad y legalidad; el primero de ellos consistente en una cualidad para que las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3D1B8E3F"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p>
    <w:p w14:paraId="652CC932"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r w:rsidRPr="00DB79BB">
        <w:rPr>
          <w:rFonts w:ascii="Palatino Linotype" w:eastAsia="Batang" w:hAnsi="Palatino Linotype" w:cs="Arial"/>
          <w:sz w:val="24"/>
          <w:szCs w:val="24"/>
          <w:lang w:val="es-ES_tradnl" w:eastAsia="es-ES"/>
        </w:rPr>
        <w:t>De lo anterior, este Instituto en aras de tutelar el derecho de acceso a la información de los particulares, tiene la obligación de apegarse en todo momento a lo que dispone la Ley de la materia, garantizando los principios de imparcialidad y legalidad en el procedimiento de impugnación y resolución del recurso planteado.</w:t>
      </w:r>
    </w:p>
    <w:p w14:paraId="72626F3E"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r w:rsidRPr="00DB79BB">
        <w:rPr>
          <w:rFonts w:ascii="Palatino Linotype" w:eastAsia="Batang" w:hAnsi="Palatino Linotype" w:cs="Arial"/>
          <w:sz w:val="24"/>
          <w:szCs w:val="24"/>
          <w:lang w:val="es-ES_tradnl" w:eastAsia="es-ES"/>
        </w:rPr>
        <w:lastRenderedPageBreak/>
        <w:t xml:space="preserve">Por tanto, se debe precisar que </w:t>
      </w:r>
      <w:r w:rsidRPr="00DB79BB">
        <w:rPr>
          <w:rFonts w:ascii="Palatino Linotype" w:eastAsia="Batang" w:hAnsi="Palatino Linotype" w:cs="Arial"/>
          <w:b/>
          <w:bCs/>
          <w:sz w:val="24"/>
          <w:szCs w:val="24"/>
          <w:lang w:val="es-ES_tradnl" w:eastAsia="es-ES"/>
        </w:rPr>
        <w:t>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DB79BB">
        <w:rPr>
          <w:rFonts w:ascii="Palatino Linotype" w:eastAsia="Batang" w:hAnsi="Palatino Linotype" w:cs="Arial"/>
          <w:sz w:val="24"/>
          <w:szCs w:val="24"/>
          <w:lang w:val="es-ES_tradnl" w:eastAsia="es-ES"/>
        </w:rPr>
        <w:t xml:space="preserve">. </w:t>
      </w:r>
    </w:p>
    <w:p w14:paraId="45528F91"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p>
    <w:p w14:paraId="0B5A89C4"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r w:rsidRPr="00DB79BB">
        <w:rPr>
          <w:rFonts w:ascii="Palatino Linotype" w:eastAsia="Batang" w:hAnsi="Palatino Linotype" w:cs="Arial"/>
          <w:sz w:val="24"/>
          <w:szCs w:val="24"/>
          <w:lang w:val="es-ES_tradnl" w:eastAsia="es-ES"/>
        </w:rPr>
        <w:t>Lo anterior con fundamento en lo establecido por el artículo 6 apartado A fracciones I, II y III de la Constitución Política de los Estados Unidos Mexicanos que a la letra señala lo siguiente:</w:t>
      </w:r>
    </w:p>
    <w:p w14:paraId="2B63E0BF"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p>
    <w:p w14:paraId="31B1D03C" w14:textId="77777777" w:rsidR="005B2C06" w:rsidRPr="00DB79BB" w:rsidRDefault="005B2C06" w:rsidP="005B2C06">
      <w:pPr>
        <w:spacing w:after="0" w:line="240" w:lineRule="auto"/>
        <w:ind w:left="567" w:right="567"/>
        <w:jc w:val="both"/>
        <w:rPr>
          <w:rFonts w:ascii="Palatino Linotype" w:eastAsia="Batang" w:hAnsi="Palatino Linotype" w:cs="Arial"/>
          <w:i/>
          <w:iCs/>
          <w:lang w:val="es-ES_tradnl" w:eastAsia="es-ES"/>
        </w:rPr>
      </w:pPr>
      <w:r w:rsidRPr="00DB79BB">
        <w:rPr>
          <w:rFonts w:ascii="Palatino Linotype" w:eastAsia="Batang" w:hAnsi="Palatino Linotype" w:cs="Arial"/>
          <w:i/>
          <w:iCs/>
          <w:lang w:val="es-ES_tradnl" w:eastAsia="es-ES"/>
        </w:rPr>
        <w:t>“</w:t>
      </w:r>
      <w:r w:rsidRPr="00DB79BB">
        <w:rPr>
          <w:rFonts w:ascii="Palatino Linotype" w:eastAsia="Batang" w:hAnsi="Palatino Linotype" w:cs="Arial"/>
          <w:b/>
          <w:bCs/>
          <w:i/>
          <w:iCs/>
          <w:lang w:val="es-ES_tradnl" w:eastAsia="es-ES"/>
        </w:rPr>
        <w:t>Artículo 6o.</w:t>
      </w:r>
      <w:r w:rsidRPr="00DB79BB">
        <w:rPr>
          <w:rFonts w:ascii="Palatino Linotype" w:eastAsia="Batang" w:hAnsi="Palatino Linotype" w:cs="Arial"/>
          <w:i/>
          <w:iCs/>
          <w:lang w:val="es-ES_tradnl" w:eastAsia="es-ES"/>
        </w:rPr>
        <w:t xml:space="preserve"> […] </w:t>
      </w:r>
    </w:p>
    <w:p w14:paraId="0D8E6744" w14:textId="77777777" w:rsidR="005B2C06" w:rsidRPr="00DB79BB" w:rsidRDefault="005B2C06" w:rsidP="005B2C06">
      <w:pPr>
        <w:spacing w:after="0" w:line="240" w:lineRule="auto"/>
        <w:ind w:left="567" w:right="567"/>
        <w:jc w:val="both"/>
        <w:rPr>
          <w:rFonts w:ascii="Palatino Linotype" w:eastAsia="Batang" w:hAnsi="Palatino Linotype" w:cs="Arial"/>
          <w:i/>
          <w:iCs/>
          <w:lang w:val="es-ES_tradnl" w:eastAsia="es-ES"/>
        </w:rPr>
      </w:pPr>
      <w:r w:rsidRPr="00DB79BB">
        <w:rPr>
          <w:rFonts w:ascii="Palatino Linotype" w:eastAsia="Batang" w:hAnsi="Palatino Linotype" w:cs="Arial"/>
          <w:b/>
          <w:bCs/>
          <w:i/>
          <w:iCs/>
          <w:lang w:val="es-ES_tradnl" w:eastAsia="es-ES"/>
        </w:rPr>
        <w:t>A.</w:t>
      </w:r>
      <w:r w:rsidRPr="00DB79BB">
        <w:rPr>
          <w:rFonts w:ascii="Palatino Linotype" w:eastAsia="Batang" w:hAnsi="Palatino Linotype" w:cs="Arial"/>
          <w:i/>
          <w:iCs/>
          <w:lang w:val="es-ES_tradnl" w:eastAsia="es-ES"/>
        </w:rPr>
        <w:t xml:space="preserve"> Para el ejercicio del derecho de acceso a la información, la Federación, los Estados y el Distrito Federal, en el ámbito de sus respectivas competencias, se regirán por los siguientes principios y bases:</w:t>
      </w:r>
    </w:p>
    <w:p w14:paraId="2B1C4A89" w14:textId="77777777" w:rsidR="005B2C06" w:rsidRPr="00DB79BB" w:rsidRDefault="005B2C06" w:rsidP="005B2C06">
      <w:pPr>
        <w:spacing w:after="0" w:line="240" w:lineRule="auto"/>
        <w:ind w:left="567" w:right="567"/>
        <w:jc w:val="both"/>
        <w:rPr>
          <w:rFonts w:ascii="Palatino Linotype" w:eastAsia="Batang" w:hAnsi="Palatino Linotype" w:cs="Arial"/>
          <w:i/>
          <w:iCs/>
          <w:lang w:val="es-ES_tradnl" w:eastAsia="es-ES"/>
        </w:rPr>
      </w:pPr>
      <w:r w:rsidRPr="00DB79BB">
        <w:rPr>
          <w:rFonts w:ascii="Palatino Linotype" w:eastAsia="Batang" w:hAnsi="Palatino Linotype" w:cs="Arial"/>
          <w:i/>
          <w:iCs/>
          <w:lang w:val="es-ES_tradnl" w:eastAsia="es-ES"/>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7643166" w14:textId="77777777" w:rsidR="005B2C06" w:rsidRPr="00DB79BB" w:rsidRDefault="005B2C06" w:rsidP="005B2C06">
      <w:pPr>
        <w:spacing w:after="0" w:line="240" w:lineRule="auto"/>
        <w:ind w:left="567" w:right="567"/>
        <w:jc w:val="both"/>
        <w:rPr>
          <w:rFonts w:ascii="Palatino Linotype" w:eastAsia="Batang" w:hAnsi="Palatino Linotype" w:cs="Arial"/>
          <w:i/>
          <w:iCs/>
          <w:lang w:val="es-ES_tradnl" w:eastAsia="es-ES"/>
        </w:rPr>
      </w:pPr>
      <w:r w:rsidRPr="00DB79BB">
        <w:rPr>
          <w:rFonts w:ascii="Palatino Linotype" w:eastAsia="Batang" w:hAnsi="Palatino Linotype" w:cs="Arial"/>
          <w:i/>
          <w:iCs/>
          <w:lang w:val="es-ES_tradnl" w:eastAsia="es-ES"/>
        </w:rPr>
        <w:t>II. La información que se refiere a la vida privada y los datos personales será protegida en los términos y con las excepciones que fijen las leyes.</w:t>
      </w:r>
    </w:p>
    <w:p w14:paraId="59C808C5" w14:textId="77777777" w:rsidR="005B2C06" w:rsidRPr="00DB79BB" w:rsidRDefault="005B2C06" w:rsidP="005B2C06">
      <w:pPr>
        <w:spacing w:after="0" w:line="240" w:lineRule="auto"/>
        <w:ind w:left="567" w:right="567"/>
        <w:jc w:val="both"/>
        <w:rPr>
          <w:rFonts w:ascii="Palatino Linotype" w:eastAsia="Batang" w:hAnsi="Palatino Linotype" w:cs="Arial"/>
          <w:i/>
          <w:iCs/>
          <w:lang w:val="es-ES_tradnl" w:eastAsia="es-ES"/>
        </w:rPr>
      </w:pPr>
      <w:r w:rsidRPr="00DB79BB">
        <w:rPr>
          <w:rFonts w:ascii="Palatino Linotype" w:eastAsia="Batang" w:hAnsi="Palatino Linotype" w:cs="Arial"/>
          <w:i/>
          <w:iCs/>
          <w:lang w:val="es-ES_tradnl" w:eastAsia="es-ES"/>
        </w:rPr>
        <w:t>III. Toda persona, sin necesidad de acreditar interés alguno o justificar su utilización, tendrá acceso gratuito a la información pública, a sus datos personales o a la rectificación de éstos.” (Sic)</w:t>
      </w:r>
    </w:p>
    <w:p w14:paraId="6A054B00"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p>
    <w:p w14:paraId="681B2C3E"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r w:rsidRPr="00DB79BB">
        <w:rPr>
          <w:rFonts w:ascii="Palatino Linotype" w:eastAsia="Batang" w:hAnsi="Palatino Linotype" w:cs="Arial"/>
          <w:sz w:val="24"/>
          <w:szCs w:val="24"/>
          <w:lang w:val="es-ES_tradnl" w:eastAsia="es-ES"/>
        </w:rPr>
        <w:t xml:space="preserve">Del precepto constitucional en cita se desprende que toda información en posesión de cualquier autoridad es pública y sólo podrá ser reservada por interés público y </w:t>
      </w:r>
      <w:r w:rsidRPr="00DB79BB">
        <w:rPr>
          <w:rFonts w:ascii="Palatino Linotype" w:eastAsia="Batang" w:hAnsi="Palatino Linotype" w:cs="Arial"/>
          <w:sz w:val="24"/>
          <w:szCs w:val="24"/>
          <w:lang w:val="es-ES_tradnl" w:eastAsia="es-ES"/>
        </w:rPr>
        <w:lastRenderedPageBreak/>
        <w:t xml:space="preserve">seguridad, es decir, entendiéndose como aquella que posea al momento de la solicitud, sin que se conmine a su generación derivado de una solicitud de información en específico que conlleve a realizar un procesamiento o investigaciones de la información. </w:t>
      </w:r>
    </w:p>
    <w:p w14:paraId="757D4047"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p>
    <w:p w14:paraId="6117EA5D"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r w:rsidRPr="00DB79BB">
        <w:rPr>
          <w:rFonts w:ascii="Palatino Linotype" w:eastAsia="Batang" w:hAnsi="Palatino Linotype" w:cs="Arial"/>
          <w:sz w:val="24"/>
          <w:szCs w:val="24"/>
          <w:lang w:val="es-ES_tradnl" w:eastAsia="es-ES"/>
        </w:rPr>
        <w:t xml:space="preserve">Asimismo, resulta aplicable lo dispuesto en los artículos 4 y 12 de la Ley de Transparencia local, que a la letra estipulan lo siguiente: </w:t>
      </w:r>
    </w:p>
    <w:p w14:paraId="6D86D450"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p>
    <w:p w14:paraId="688BFBCB" w14:textId="77777777" w:rsidR="005B2C06" w:rsidRPr="00DB79BB" w:rsidRDefault="005B2C06" w:rsidP="005B2C06">
      <w:pPr>
        <w:spacing w:after="0" w:line="240" w:lineRule="auto"/>
        <w:ind w:left="567" w:right="567"/>
        <w:jc w:val="both"/>
        <w:rPr>
          <w:rFonts w:ascii="Palatino Linotype" w:eastAsia="Batang" w:hAnsi="Palatino Linotype" w:cs="Arial"/>
          <w:i/>
          <w:iCs/>
          <w:lang w:val="es-ES_tradnl" w:eastAsia="es-ES"/>
        </w:rPr>
      </w:pPr>
      <w:r w:rsidRPr="00DB79BB">
        <w:rPr>
          <w:rFonts w:ascii="Palatino Linotype" w:eastAsia="Batang" w:hAnsi="Palatino Linotype" w:cs="Arial"/>
          <w:i/>
          <w:iCs/>
          <w:lang w:val="es-ES_tradnl" w:eastAsia="es-ES"/>
        </w:rPr>
        <w:t>“</w:t>
      </w:r>
      <w:r w:rsidRPr="00DB79BB">
        <w:rPr>
          <w:rFonts w:ascii="Palatino Linotype" w:eastAsia="Batang" w:hAnsi="Palatino Linotype" w:cs="Arial"/>
          <w:b/>
          <w:bCs/>
          <w:i/>
          <w:iCs/>
          <w:lang w:val="es-ES_tradnl" w:eastAsia="es-ES"/>
        </w:rPr>
        <w:t>Artículo 4.</w:t>
      </w:r>
      <w:r w:rsidRPr="00DB79BB">
        <w:rPr>
          <w:rFonts w:ascii="Palatino Linotype" w:eastAsia="Batang" w:hAnsi="Palatino Linotype" w:cs="Arial"/>
          <w:i/>
          <w:iCs/>
          <w:lang w:val="es-ES_tradnl"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D4788F7" w14:textId="77777777" w:rsidR="005B2C06" w:rsidRPr="00DB79BB" w:rsidRDefault="005B2C06" w:rsidP="005B2C06">
      <w:pPr>
        <w:spacing w:after="0" w:line="240" w:lineRule="auto"/>
        <w:ind w:left="567" w:right="567"/>
        <w:jc w:val="both"/>
        <w:rPr>
          <w:rFonts w:ascii="Palatino Linotype" w:eastAsia="Batang" w:hAnsi="Palatino Linotype" w:cs="Arial"/>
          <w:i/>
          <w:iCs/>
          <w:lang w:val="es-ES_tradnl" w:eastAsia="es-ES"/>
        </w:rPr>
      </w:pPr>
      <w:r w:rsidRPr="00DB79BB">
        <w:rPr>
          <w:rFonts w:ascii="Palatino Linotype" w:eastAsia="Batang" w:hAnsi="Palatino Linotype" w:cs="Arial"/>
          <w:i/>
          <w:iCs/>
          <w:lang w:val="es-ES_tradnl"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C5E4CFD" w14:textId="77777777" w:rsidR="005B2C06" w:rsidRPr="00DB79BB" w:rsidRDefault="005B2C06" w:rsidP="005B2C06">
      <w:pPr>
        <w:spacing w:after="0" w:line="240" w:lineRule="auto"/>
        <w:ind w:left="567" w:right="567"/>
        <w:jc w:val="both"/>
        <w:rPr>
          <w:rFonts w:ascii="Palatino Linotype" w:eastAsia="Batang" w:hAnsi="Palatino Linotype" w:cs="Arial"/>
          <w:i/>
          <w:iCs/>
          <w:lang w:val="es-ES_tradnl" w:eastAsia="es-ES"/>
        </w:rPr>
      </w:pPr>
      <w:r w:rsidRPr="00DB79BB">
        <w:rPr>
          <w:rFonts w:ascii="Palatino Linotype" w:eastAsia="Batang" w:hAnsi="Palatino Linotype" w:cs="Arial"/>
          <w:i/>
          <w:iCs/>
          <w:lang w:val="es-ES_tradnl" w:eastAsia="es-ES"/>
        </w:rPr>
        <w:t>Los sujetos obligados deben poner en práctica, políticas y programas de acceso a la información que se apeguen a criterios de publicidad, veracidad, oportunidad, precisión y suficiencia en beneficio de los solicitantes.</w:t>
      </w:r>
    </w:p>
    <w:p w14:paraId="68BC56E8" w14:textId="77777777" w:rsidR="005B2C06" w:rsidRPr="00DB79BB" w:rsidRDefault="005B2C06" w:rsidP="005B2C06">
      <w:pPr>
        <w:spacing w:after="0" w:line="240" w:lineRule="auto"/>
        <w:ind w:left="567" w:right="567"/>
        <w:jc w:val="both"/>
        <w:rPr>
          <w:rFonts w:ascii="Palatino Linotype" w:eastAsia="Batang" w:hAnsi="Palatino Linotype" w:cs="Arial"/>
          <w:i/>
          <w:iCs/>
          <w:lang w:val="es-ES_tradnl" w:eastAsia="es-ES"/>
        </w:rPr>
      </w:pPr>
    </w:p>
    <w:p w14:paraId="1C5EE9AF" w14:textId="77777777" w:rsidR="005B2C06" w:rsidRPr="00DB79BB" w:rsidRDefault="005B2C06" w:rsidP="005B2C06">
      <w:pPr>
        <w:spacing w:after="0" w:line="240" w:lineRule="auto"/>
        <w:ind w:left="567" w:right="567"/>
        <w:jc w:val="both"/>
        <w:rPr>
          <w:rFonts w:ascii="Palatino Linotype" w:eastAsia="Batang" w:hAnsi="Palatino Linotype" w:cs="Arial"/>
          <w:i/>
          <w:iCs/>
          <w:lang w:val="es-ES_tradnl" w:eastAsia="es-ES"/>
        </w:rPr>
      </w:pPr>
      <w:r w:rsidRPr="00DB79BB">
        <w:rPr>
          <w:rFonts w:ascii="Palatino Linotype" w:eastAsia="Batang" w:hAnsi="Palatino Linotype" w:cs="Arial"/>
          <w:b/>
          <w:bCs/>
          <w:i/>
          <w:iCs/>
          <w:lang w:val="es-ES_tradnl" w:eastAsia="es-ES"/>
        </w:rPr>
        <w:t>Artículo 12.</w:t>
      </w:r>
      <w:r w:rsidRPr="00DB79BB">
        <w:rPr>
          <w:rFonts w:ascii="Palatino Linotype" w:eastAsia="Batang" w:hAnsi="Palatino Linotype" w:cs="Arial"/>
          <w:i/>
          <w:iCs/>
          <w:lang w:val="es-ES_tradnl" w:eastAsia="es-ES"/>
        </w:rPr>
        <w:t xml:space="preserve"> Quienes generen, recopilen, administren, manejen, procesen, archiven o conserven información pública serán responsables de la misma en los términos de las disposiciones jurídicas aplicables.</w:t>
      </w:r>
    </w:p>
    <w:p w14:paraId="0037AB88" w14:textId="77777777" w:rsidR="005B2C06" w:rsidRPr="00DB79BB" w:rsidRDefault="005B2C06" w:rsidP="005B2C06">
      <w:pPr>
        <w:spacing w:after="0" w:line="240" w:lineRule="auto"/>
        <w:ind w:left="567" w:right="567"/>
        <w:jc w:val="both"/>
        <w:rPr>
          <w:rFonts w:ascii="Palatino Linotype" w:eastAsia="Batang" w:hAnsi="Palatino Linotype" w:cs="Arial"/>
          <w:lang w:val="es-ES_tradnl" w:eastAsia="es-ES"/>
        </w:rPr>
      </w:pPr>
      <w:r w:rsidRPr="00DB79BB">
        <w:rPr>
          <w:rFonts w:ascii="Palatino Linotype" w:eastAsia="Batang" w:hAnsi="Palatino Linotype" w:cs="Arial"/>
          <w:i/>
          <w:iCs/>
          <w:lang w:val="es-ES_tradnl" w:eastAsia="es-ES"/>
        </w:rPr>
        <w:t xml:space="preserve">Los sujetos obligados </w:t>
      </w:r>
      <w:r w:rsidRPr="00DB79BB">
        <w:rPr>
          <w:rFonts w:ascii="Palatino Linotype" w:eastAsia="Batang" w:hAnsi="Palatino Linotype" w:cs="Arial"/>
          <w:i/>
          <w:iCs/>
          <w:u w:val="single"/>
          <w:lang w:val="es-ES_tradnl" w:eastAsia="es-ES"/>
        </w:rPr>
        <w:t xml:space="preserve">sólo proporcionarán la información pública que se les requiera y que obre en sus archivos y </w:t>
      </w:r>
      <w:r w:rsidRPr="00DB79BB">
        <w:rPr>
          <w:rFonts w:ascii="Palatino Linotype" w:eastAsia="Batang" w:hAnsi="Palatino Linotype" w:cs="Arial"/>
          <w:b/>
          <w:bCs/>
          <w:i/>
          <w:iCs/>
          <w:u w:val="single"/>
          <w:lang w:val="es-ES_tradnl" w:eastAsia="es-ES"/>
        </w:rPr>
        <w:t>en el estado en que ésta se encuentre</w:t>
      </w:r>
      <w:r w:rsidRPr="00DB79BB">
        <w:rPr>
          <w:rFonts w:ascii="Palatino Linotype" w:eastAsia="Batang" w:hAnsi="Palatino Linotype" w:cs="Arial"/>
          <w:i/>
          <w:iCs/>
          <w:lang w:val="es-ES_tradnl" w:eastAsia="es-ES"/>
        </w:rPr>
        <w:t>. La obligación de proporcionar información no comprende el procesamiento de la misma, ni el presentarla conforme al interés del solicitante; no estarán obligados a generarla, resumirla, efectuar cálculos o practicar investigaciones.”</w:t>
      </w:r>
    </w:p>
    <w:p w14:paraId="72BC226C" w14:textId="77777777" w:rsidR="005B2C06" w:rsidRPr="00DB79BB" w:rsidRDefault="005B2C06" w:rsidP="005B2C06">
      <w:pPr>
        <w:spacing w:after="0" w:line="240" w:lineRule="auto"/>
        <w:ind w:left="567" w:right="567"/>
        <w:jc w:val="right"/>
        <w:rPr>
          <w:rFonts w:ascii="Palatino Linotype" w:eastAsia="Batang" w:hAnsi="Palatino Linotype" w:cs="Arial"/>
          <w:lang w:val="es-ES_tradnl" w:eastAsia="es-ES"/>
        </w:rPr>
      </w:pPr>
      <w:r w:rsidRPr="00DB79BB">
        <w:rPr>
          <w:rFonts w:ascii="Palatino Linotype" w:eastAsia="Batang" w:hAnsi="Palatino Linotype" w:cs="Arial"/>
          <w:lang w:val="es-ES_tradnl" w:eastAsia="es-ES"/>
        </w:rPr>
        <w:t>(Énfasis añadido)</w:t>
      </w:r>
    </w:p>
    <w:p w14:paraId="368174E9"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p>
    <w:p w14:paraId="1F6ED142"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r w:rsidRPr="00DB79BB">
        <w:rPr>
          <w:rFonts w:ascii="Palatino Linotype" w:eastAsia="Batang" w:hAnsi="Palatino Linotype" w:cs="Arial"/>
          <w:sz w:val="24"/>
          <w:szCs w:val="24"/>
          <w:lang w:val="es-ES_tradnl" w:eastAsia="es-ES"/>
        </w:rPr>
        <w:lastRenderedPageBreak/>
        <w:t>De los artículos referidos se desprende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 los solicitantes, ni generarla, resumirla, efectuar cálculos o practicar investigaciones.</w:t>
      </w:r>
    </w:p>
    <w:p w14:paraId="795E96CE" w14:textId="77777777"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p>
    <w:p w14:paraId="3CCC6821" w14:textId="3EEA37D2" w:rsidR="005B2C06" w:rsidRPr="00DB79BB" w:rsidRDefault="005B2C06" w:rsidP="005B2C06">
      <w:pPr>
        <w:spacing w:after="0" w:line="360" w:lineRule="auto"/>
        <w:jc w:val="both"/>
        <w:rPr>
          <w:rFonts w:ascii="Palatino Linotype" w:eastAsia="Batang" w:hAnsi="Palatino Linotype" w:cs="Arial"/>
          <w:sz w:val="24"/>
          <w:szCs w:val="24"/>
          <w:lang w:val="es-ES_tradnl" w:eastAsia="es-ES"/>
        </w:rPr>
      </w:pPr>
      <w:r w:rsidRPr="00DB79BB">
        <w:rPr>
          <w:rFonts w:ascii="Palatino Linotype" w:eastAsia="Batang" w:hAnsi="Palatino Linotype" w:cs="Arial"/>
          <w:sz w:val="24"/>
          <w:szCs w:val="24"/>
          <w:lang w:val="es-ES_tradnl" w:eastAsia="es-ES"/>
        </w:rPr>
        <w:t xml:space="preserve">Además, de conformidad con lo establecido en </w:t>
      </w:r>
      <w:r w:rsidR="00904A13" w:rsidRPr="00DB79BB">
        <w:rPr>
          <w:rFonts w:ascii="Palatino Linotype" w:eastAsia="Batang" w:hAnsi="Palatino Linotype" w:cs="Arial"/>
          <w:sz w:val="24"/>
          <w:szCs w:val="24"/>
          <w:lang w:val="es-ES_tradnl" w:eastAsia="es-ES"/>
        </w:rPr>
        <w:t>los</w:t>
      </w:r>
      <w:r w:rsidRPr="00DB79BB">
        <w:rPr>
          <w:rFonts w:ascii="Palatino Linotype" w:eastAsia="Batang" w:hAnsi="Palatino Linotype" w:cs="Arial"/>
          <w:sz w:val="24"/>
          <w:szCs w:val="24"/>
          <w:lang w:val="es-ES_tradnl" w:eastAsia="es-ES"/>
        </w:rPr>
        <w:t xml:space="preserve"> artículo</w:t>
      </w:r>
      <w:r w:rsidR="00904A13" w:rsidRPr="00DB79BB">
        <w:rPr>
          <w:rFonts w:ascii="Palatino Linotype" w:eastAsia="Batang" w:hAnsi="Palatino Linotype" w:cs="Arial"/>
          <w:sz w:val="24"/>
          <w:szCs w:val="24"/>
          <w:lang w:val="es-ES_tradnl" w:eastAsia="es-ES"/>
        </w:rPr>
        <w:t xml:space="preserve">s 4 segundo párrafo, </w:t>
      </w:r>
      <w:r w:rsidRPr="00DB79BB">
        <w:rPr>
          <w:rFonts w:ascii="Palatino Linotype" w:eastAsia="Batang" w:hAnsi="Palatino Linotype" w:cs="Arial"/>
          <w:sz w:val="24"/>
          <w:szCs w:val="24"/>
          <w:lang w:val="es-ES_tradnl" w:eastAsia="es-ES"/>
        </w:rPr>
        <w:t>12</w:t>
      </w:r>
      <w:r w:rsidR="00904A13" w:rsidRPr="00DB79BB">
        <w:rPr>
          <w:rFonts w:ascii="Palatino Linotype" w:eastAsia="Batang" w:hAnsi="Palatino Linotype" w:cs="Arial"/>
          <w:sz w:val="24"/>
          <w:szCs w:val="24"/>
          <w:lang w:val="es-ES_tradnl" w:eastAsia="es-ES"/>
        </w:rPr>
        <w:t xml:space="preserve"> segundo párrafo</w:t>
      </w:r>
      <w:r w:rsidRPr="00DB79BB">
        <w:rPr>
          <w:rFonts w:ascii="Palatino Linotype" w:eastAsia="Batang" w:hAnsi="Palatino Linotype" w:cs="Arial"/>
          <w:sz w:val="24"/>
          <w:szCs w:val="24"/>
          <w:lang w:val="es-ES_tradnl" w:eastAsia="es-ES"/>
        </w:rPr>
        <w:t xml:space="preserve"> </w:t>
      </w:r>
      <w:r w:rsidR="00904A13" w:rsidRPr="00DB79BB">
        <w:rPr>
          <w:rFonts w:ascii="Palatino Linotype" w:eastAsia="Batang" w:hAnsi="Palatino Linotype" w:cs="Arial"/>
          <w:sz w:val="24"/>
          <w:szCs w:val="24"/>
          <w:lang w:val="es-ES_tradnl" w:eastAsia="es-ES"/>
        </w:rPr>
        <w:t xml:space="preserve">y 24 último párrafo </w:t>
      </w:r>
      <w:r w:rsidRPr="00DB79BB">
        <w:rPr>
          <w:rFonts w:ascii="Palatino Linotype" w:eastAsia="Batang" w:hAnsi="Palatino Linotype" w:cs="Arial"/>
          <w:sz w:val="24"/>
          <w:szCs w:val="24"/>
          <w:lang w:val="es-ES_tradnl" w:eastAsia="es-ES"/>
        </w:rPr>
        <w:t xml:space="preserve">de la Ley de la materia referido anteriormente, los sujetos obligados sólo proporcionarán la información que obra en sus archivos, lo que a </w:t>
      </w:r>
      <w:r w:rsidRPr="00DB79BB">
        <w:rPr>
          <w:rFonts w:ascii="Palatino Linotype" w:eastAsia="Batang" w:hAnsi="Palatino Linotype" w:cs="Arial"/>
          <w:i/>
          <w:iCs/>
          <w:sz w:val="24"/>
          <w:szCs w:val="24"/>
          <w:lang w:val="es-ES_tradnl" w:eastAsia="es-ES"/>
        </w:rPr>
        <w:t>contrario sensu</w:t>
      </w:r>
      <w:r w:rsidRPr="00DB79BB">
        <w:rPr>
          <w:rFonts w:ascii="Palatino Linotype" w:eastAsia="Batang" w:hAnsi="Palatino Linotype" w:cs="Arial"/>
          <w:sz w:val="24"/>
          <w:szCs w:val="24"/>
          <w:lang w:val="es-ES_tradnl" w:eastAsia="es-ES"/>
        </w:rPr>
        <w:t xml:space="preserve"> significa que no se está obligado a proporcionar lo que no obre en sus archivos.</w:t>
      </w:r>
    </w:p>
    <w:p w14:paraId="472A048B" w14:textId="77777777" w:rsidR="00967366" w:rsidRPr="00DB79BB" w:rsidRDefault="00967366" w:rsidP="00967366">
      <w:pPr>
        <w:spacing w:after="0" w:line="360" w:lineRule="auto"/>
        <w:jc w:val="both"/>
        <w:rPr>
          <w:rFonts w:ascii="Palatino Linotype" w:hAnsi="Palatino Linotype" w:cs="Arial"/>
          <w:sz w:val="24"/>
          <w:szCs w:val="24"/>
        </w:rPr>
      </w:pPr>
    </w:p>
    <w:p w14:paraId="31FD22C9" w14:textId="6C898796" w:rsidR="00594F0C" w:rsidRPr="00DB79BB" w:rsidRDefault="00594F0C" w:rsidP="00594F0C">
      <w:pPr>
        <w:spacing w:after="0" w:line="360" w:lineRule="auto"/>
        <w:jc w:val="both"/>
        <w:rPr>
          <w:rFonts w:ascii="Palatino Linotype" w:hAnsi="Palatino Linotype" w:cs="Arial"/>
          <w:sz w:val="24"/>
          <w:szCs w:val="24"/>
        </w:rPr>
      </w:pPr>
      <w:r w:rsidRPr="00DB79BB">
        <w:rPr>
          <w:rFonts w:ascii="Palatino Linotype" w:hAnsi="Palatino Linotype" w:cs="Arial"/>
          <w:sz w:val="24"/>
          <w:szCs w:val="24"/>
        </w:rPr>
        <w:t>En tal sentido se actualiza l</w:t>
      </w:r>
      <w:r w:rsidR="009F4E88" w:rsidRPr="00DB79BB">
        <w:rPr>
          <w:rFonts w:ascii="Palatino Linotype" w:hAnsi="Palatino Linotype" w:cs="Arial"/>
          <w:sz w:val="24"/>
          <w:szCs w:val="24"/>
        </w:rPr>
        <w:t xml:space="preserve">o establecido en los artículos 191 fracción VI concatenada con </w:t>
      </w:r>
      <w:r w:rsidRPr="00DB79BB">
        <w:rPr>
          <w:rFonts w:ascii="Palatino Linotype" w:hAnsi="Palatino Linotype" w:cs="Arial"/>
          <w:sz w:val="24"/>
          <w:szCs w:val="24"/>
        </w:rPr>
        <w:t>el artículo 192</w:t>
      </w:r>
      <w:r w:rsidR="009F4E88" w:rsidRPr="00DB79BB">
        <w:rPr>
          <w:rFonts w:ascii="Palatino Linotype" w:hAnsi="Palatino Linotype" w:cs="Arial"/>
          <w:sz w:val="24"/>
          <w:szCs w:val="24"/>
        </w:rPr>
        <w:t xml:space="preserve"> fracción IV</w:t>
      </w:r>
      <w:r w:rsidRPr="00DB79BB">
        <w:rPr>
          <w:rFonts w:ascii="Palatino Linotype" w:hAnsi="Palatino Linotype" w:cs="Arial"/>
          <w:sz w:val="24"/>
          <w:szCs w:val="24"/>
        </w:rPr>
        <w:t xml:space="preserve"> de la Ley de Transparencia y Acceso a la Información Pública del Estado de México y Municipios, que establece:</w:t>
      </w:r>
    </w:p>
    <w:p w14:paraId="572C4E23" w14:textId="77777777" w:rsidR="00594F0C" w:rsidRPr="00DB79BB" w:rsidRDefault="00594F0C" w:rsidP="00594F0C">
      <w:pPr>
        <w:spacing w:after="0" w:line="360" w:lineRule="auto"/>
        <w:jc w:val="both"/>
        <w:rPr>
          <w:rFonts w:ascii="Palatino Linotype" w:hAnsi="Palatino Linotype" w:cs="Arial"/>
          <w:sz w:val="24"/>
          <w:szCs w:val="24"/>
        </w:rPr>
      </w:pPr>
    </w:p>
    <w:p w14:paraId="65DC20A6" w14:textId="5771FC38" w:rsidR="009F4E88" w:rsidRPr="00DB79BB" w:rsidRDefault="009F4E88" w:rsidP="00594F0C">
      <w:pPr>
        <w:spacing w:after="0" w:line="240" w:lineRule="auto"/>
        <w:ind w:left="567" w:right="567"/>
        <w:jc w:val="both"/>
        <w:rPr>
          <w:rFonts w:ascii="Palatino Linotype" w:hAnsi="Palatino Linotype" w:cs="Arial"/>
          <w:bCs/>
          <w:i/>
          <w:szCs w:val="24"/>
        </w:rPr>
      </w:pPr>
      <w:r w:rsidRPr="00DB79BB">
        <w:rPr>
          <w:rFonts w:ascii="Palatino Linotype" w:hAnsi="Palatino Linotype" w:cs="Arial"/>
          <w:bCs/>
          <w:i/>
          <w:szCs w:val="24"/>
        </w:rPr>
        <w:t>“</w:t>
      </w:r>
      <w:r w:rsidRPr="00DB79BB">
        <w:rPr>
          <w:rFonts w:ascii="Palatino Linotype" w:hAnsi="Palatino Linotype" w:cs="Arial"/>
          <w:b/>
          <w:i/>
          <w:szCs w:val="24"/>
        </w:rPr>
        <w:t>Artículo 191.</w:t>
      </w:r>
      <w:r w:rsidRPr="00DB79BB">
        <w:rPr>
          <w:rFonts w:ascii="Palatino Linotype" w:hAnsi="Palatino Linotype" w:cs="Arial"/>
          <w:bCs/>
          <w:i/>
          <w:szCs w:val="24"/>
        </w:rPr>
        <w:t xml:space="preserve"> El recurso será desechado por improcedente cuando:</w:t>
      </w:r>
    </w:p>
    <w:p w14:paraId="4AE5E5E8" w14:textId="048849F4" w:rsidR="009F4E88" w:rsidRPr="00DB79BB" w:rsidRDefault="009F4E88" w:rsidP="00594F0C">
      <w:pPr>
        <w:spacing w:after="0" w:line="240" w:lineRule="auto"/>
        <w:ind w:left="567" w:right="567"/>
        <w:jc w:val="both"/>
        <w:rPr>
          <w:rFonts w:ascii="Palatino Linotype" w:hAnsi="Palatino Linotype" w:cs="Arial"/>
          <w:bCs/>
          <w:i/>
          <w:szCs w:val="24"/>
        </w:rPr>
      </w:pPr>
      <w:r w:rsidRPr="00DB79BB">
        <w:rPr>
          <w:rFonts w:ascii="Palatino Linotype" w:hAnsi="Palatino Linotype" w:cs="Arial"/>
          <w:bCs/>
          <w:i/>
          <w:szCs w:val="24"/>
        </w:rPr>
        <w:t>…</w:t>
      </w:r>
    </w:p>
    <w:p w14:paraId="7B89C345" w14:textId="4AE9CEF8" w:rsidR="009F4E88" w:rsidRPr="00DB79BB" w:rsidRDefault="009F4E88" w:rsidP="00594F0C">
      <w:pPr>
        <w:spacing w:after="0" w:line="240" w:lineRule="auto"/>
        <w:ind w:left="567" w:right="567"/>
        <w:jc w:val="both"/>
        <w:rPr>
          <w:rFonts w:ascii="Palatino Linotype" w:hAnsi="Palatino Linotype" w:cs="Arial"/>
          <w:bCs/>
          <w:i/>
          <w:szCs w:val="24"/>
        </w:rPr>
      </w:pPr>
      <w:r w:rsidRPr="00DB79BB">
        <w:rPr>
          <w:rFonts w:ascii="Palatino Linotype" w:hAnsi="Palatino Linotype" w:cs="Arial"/>
          <w:b/>
          <w:i/>
          <w:szCs w:val="24"/>
        </w:rPr>
        <w:t>VI.</w:t>
      </w:r>
      <w:r w:rsidRPr="00DB79BB">
        <w:rPr>
          <w:rFonts w:ascii="Palatino Linotype" w:hAnsi="Palatino Linotype" w:cs="Arial"/>
          <w:bCs/>
          <w:i/>
          <w:szCs w:val="24"/>
        </w:rPr>
        <w:t xml:space="preserve"> Se trate de una consulta, o trámite en específico; y</w:t>
      </w:r>
    </w:p>
    <w:p w14:paraId="729B03C9" w14:textId="5CF72E3B" w:rsidR="009F4E88" w:rsidRPr="00DB79BB" w:rsidRDefault="009F4E88" w:rsidP="00594F0C">
      <w:pPr>
        <w:spacing w:after="0" w:line="240" w:lineRule="auto"/>
        <w:ind w:left="567" w:right="567"/>
        <w:jc w:val="both"/>
        <w:rPr>
          <w:rFonts w:ascii="Palatino Linotype" w:hAnsi="Palatino Linotype" w:cs="Arial"/>
          <w:bCs/>
          <w:i/>
          <w:szCs w:val="24"/>
        </w:rPr>
      </w:pPr>
      <w:r w:rsidRPr="00DB79BB">
        <w:rPr>
          <w:rFonts w:ascii="Palatino Linotype" w:hAnsi="Palatino Linotype" w:cs="Arial"/>
          <w:bCs/>
          <w:i/>
          <w:szCs w:val="24"/>
        </w:rPr>
        <w:t>…</w:t>
      </w:r>
    </w:p>
    <w:p w14:paraId="0A48DA41" w14:textId="77777777" w:rsidR="009F4E88" w:rsidRPr="00DB79BB" w:rsidRDefault="009F4E88" w:rsidP="00594F0C">
      <w:pPr>
        <w:spacing w:after="0" w:line="240" w:lineRule="auto"/>
        <w:ind w:left="567" w:right="567"/>
        <w:jc w:val="both"/>
        <w:rPr>
          <w:rFonts w:ascii="Palatino Linotype" w:hAnsi="Palatino Linotype" w:cs="Arial"/>
          <w:bCs/>
          <w:i/>
          <w:szCs w:val="24"/>
        </w:rPr>
      </w:pPr>
    </w:p>
    <w:p w14:paraId="59BE7BBD" w14:textId="3FED364C" w:rsidR="00594F0C" w:rsidRPr="00DB79BB" w:rsidRDefault="00594F0C" w:rsidP="00594F0C">
      <w:pPr>
        <w:spacing w:after="0" w:line="240" w:lineRule="auto"/>
        <w:ind w:left="567" w:right="567"/>
        <w:jc w:val="both"/>
        <w:rPr>
          <w:rFonts w:ascii="Palatino Linotype" w:hAnsi="Palatino Linotype" w:cs="Arial"/>
          <w:i/>
          <w:szCs w:val="24"/>
        </w:rPr>
      </w:pPr>
      <w:r w:rsidRPr="00DB79BB">
        <w:rPr>
          <w:rFonts w:ascii="Palatino Linotype" w:hAnsi="Palatino Linotype" w:cs="Arial"/>
          <w:b/>
          <w:i/>
          <w:szCs w:val="24"/>
        </w:rPr>
        <w:t>Artículo 192.</w:t>
      </w:r>
      <w:r w:rsidRPr="00DB79BB">
        <w:rPr>
          <w:rFonts w:ascii="Palatino Linotype" w:hAnsi="Palatino Linotype" w:cs="Arial"/>
          <w:i/>
          <w:szCs w:val="24"/>
        </w:rPr>
        <w:t xml:space="preserve"> El recurso será sobreseído, en todo o en parte, cuando una vez admitido, se actualicen alguno de los siguientes supuestos:</w:t>
      </w:r>
    </w:p>
    <w:p w14:paraId="7B9DF87E" w14:textId="77777777" w:rsidR="00594F0C" w:rsidRPr="00DB79BB" w:rsidRDefault="00594F0C" w:rsidP="00594F0C">
      <w:pPr>
        <w:spacing w:after="0" w:line="240" w:lineRule="auto"/>
        <w:ind w:left="567" w:right="567"/>
        <w:jc w:val="both"/>
        <w:rPr>
          <w:rFonts w:ascii="Palatino Linotype" w:hAnsi="Palatino Linotype" w:cs="Arial"/>
          <w:i/>
          <w:szCs w:val="24"/>
        </w:rPr>
      </w:pPr>
      <w:r w:rsidRPr="00DB79BB">
        <w:rPr>
          <w:rFonts w:ascii="Palatino Linotype" w:hAnsi="Palatino Linotype" w:cs="Arial"/>
          <w:i/>
          <w:szCs w:val="24"/>
        </w:rPr>
        <w:lastRenderedPageBreak/>
        <w:t>(…)</w:t>
      </w:r>
    </w:p>
    <w:p w14:paraId="7652FD1F" w14:textId="426A11CA" w:rsidR="00594F0C" w:rsidRPr="00DB79BB" w:rsidRDefault="009F4E88" w:rsidP="009F4E88">
      <w:pPr>
        <w:spacing w:after="0" w:line="240" w:lineRule="auto"/>
        <w:ind w:left="567" w:right="567"/>
        <w:jc w:val="both"/>
        <w:rPr>
          <w:rFonts w:ascii="Palatino Linotype" w:hAnsi="Palatino Linotype" w:cs="Arial"/>
          <w:i/>
          <w:szCs w:val="24"/>
        </w:rPr>
      </w:pPr>
      <w:r w:rsidRPr="00DB79BB">
        <w:rPr>
          <w:rFonts w:ascii="Palatino Linotype" w:hAnsi="Palatino Linotype" w:cs="Arial"/>
          <w:b/>
          <w:i/>
          <w:szCs w:val="24"/>
        </w:rPr>
        <w:t xml:space="preserve">IV. </w:t>
      </w:r>
      <w:r w:rsidRPr="00DB79BB">
        <w:rPr>
          <w:rFonts w:ascii="Palatino Linotype" w:hAnsi="Palatino Linotype" w:cs="Arial"/>
          <w:bCs/>
          <w:i/>
          <w:szCs w:val="24"/>
        </w:rPr>
        <w:t>Admitido el recurso de revisión, aparezca alguna causal de improcedencia en los términos de la presente Ley; y</w:t>
      </w:r>
      <w:r w:rsidR="005B2C06" w:rsidRPr="00DB79BB">
        <w:rPr>
          <w:rFonts w:ascii="Palatino Linotype" w:hAnsi="Palatino Linotype" w:cs="Arial"/>
          <w:i/>
          <w:szCs w:val="24"/>
        </w:rPr>
        <w:t>”</w:t>
      </w:r>
    </w:p>
    <w:p w14:paraId="68C57822" w14:textId="77777777" w:rsidR="00594F0C" w:rsidRPr="00DB79BB" w:rsidRDefault="00594F0C" w:rsidP="00594F0C">
      <w:pPr>
        <w:spacing w:after="0" w:line="360" w:lineRule="auto"/>
        <w:jc w:val="both"/>
        <w:rPr>
          <w:rFonts w:ascii="Palatino Linotype" w:hAnsi="Palatino Linotype" w:cs="Arial"/>
          <w:sz w:val="24"/>
          <w:szCs w:val="24"/>
        </w:rPr>
      </w:pPr>
    </w:p>
    <w:p w14:paraId="7A9EA383" w14:textId="1EE5055D" w:rsidR="00967366" w:rsidRPr="00DB79BB" w:rsidRDefault="00594F0C" w:rsidP="00594F0C">
      <w:pPr>
        <w:spacing w:after="0" w:line="360" w:lineRule="auto"/>
        <w:jc w:val="both"/>
        <w:rPr>
          <w:rFonts w:ascii="Palatino Linotype" w:hAnsi="Palatino Linotype" w:cs="Arial"/>
          <w:sz w:val="24"/>
          <w:szCs w:val="24"/>
        </w:rPr>
      </w:pPr>
      <w:r w:rsidRPr="00DB79BB">
        <w:rPr>
          <w:rFonts w:ascii="Palatino Linotype" w:hAnsi="Palatino Linotype" w:cs="Arial"/>
          <w:sz w:val="24"/>
          <w:szCs w:val="24"/>
        </w:rPr>
        <w:t xml:space="preserve">En mérito de lo expuesto en líneas anteriores, resultan infundados los motivos de inconformidad que arguye el </w:t>
      </w:r>
      <w:r w:rsidRPr="00DB79BB">
        <w:rPr>
          <w:rFonts w:ascii="Palatino Linotype" w:hAnsi="Palatino Linotype" w:cs="Arial"/>
          <w:b/>
          <w:sz w:val="24"/>
          <w:szCs w:val="24"/>
        </w:rPr>
        <w:t>Recurrente</w:t>
      </w:r>
      <w:r w:rsidRPr="00DB79BB">
        <w:rPr>
          <w:rFonts w:ascii="Palatino Linotype" w:hAnsi="Palatino Linotype" w:cs="Arial"/>
          <w:sz w:val="24"/>
          <w:szCs w:val="24"/>
        </w:rPr>
        <w:t xml:space="preserve"> en su medio de impugnación que fue materia de estudio, por ello con fundamento en el artículo 186, fracción I, en concordancia con el artículo 192, fracción V, de la Ley de Transparencia y Acceso a la Información Pública del Estado de México y Municipios, se </w:t>
      </w:r>
      <w:r w:rsidRPr="00DB79BB">
        <w:rPr>
          <w:rFonts w:ascii="Palatino Linotype" w:hAnsi="Palatino Linotype" w:cs="Arial"/>
          <w:b/>
          <w:sz w:val="24"/>
          <w:szCs w:val="24"/>
        </w:rPr>
        <w:t>SOBRESEE</w:t>
      </w:r>
      <w:r w:rsidRPr="00DB79BB">
        <w:rPr>
          <w:rFonts w:ascii="Palatino Linotype" w:hAnsi="Palatino Linotype" w:cs="Arial"/>
          <w:sz w:val="24"/>
          <w:szCs w:val="24"/>
        </w:rPr>
        <w:t xml:space="preserve"> </w:t>
      </w:r>
      <w:r w:rsidR="005B2C06" w:rsidRPr="00DB79BB">
        <w:rPr>
          <w:rFonts w:ascii="Palatino Linotype" w:hAnsi="Palatino Linotype" w:cs="Arial"/>
          <w:sz w:val="24"/>
          <w:szCs w:val="24"/>
        </w:rPr>
        <w:t>el</w:t>
      </w:r>
      <w:r w:rsidRPr="00DB79BB">
        <w:rPr>
          <w:rFonts w:ascii="Palatino Linotype" w:hAnsi="Palatino Linotype" w:cs="Arial"/>
          <w:sz w:val="24"/>
          <w:szCs w:val="24"/>
        </w:rPr>
        <w:t xml:space="preserve"> recurso de revisión </w:t>
      </w:r>
      <w:r w:rsidRPr="00DB79BB">
        <w:rPr>
          <w:rFonts w:ascii="Palatino Linotype" w:hAnsi="Palatino Linotype" w:cs="Arial"/>
          <w:b/>
          <w:sz w:val="24"/>
          <w:szCs w:val="24"/>
        </w:rPr>
        <w:t>0</w:t>
      </w:r>
      <w:r w:rsidR="005B2C06" w:rsidRPr="00DB79BB">
        <w:rPr>
          <w:rFonts w:ascii="Palatino Linotype" w:hAnsi="Palatino Linotype" w:cs="Arial"/>
          <w:b/>
          <w:sz w:val="24"/>
          <w:szCs w:val="24"/>
        </w:rPr>
        <w:t>4095</w:t>
      </w:r>
      <w:r w:rsidRPr="00DB79BB">
        <w:rPr>
          <w:rFonts w:ascii="Palatino Linotype" w:hAnsi="Palatino Linotype" w:cs="Arial"/>
          <w:b/>
          <w:sz w:val="24"/>
          <w:szCs w:val="24"/>
        </w:rPr>
        <w:t>/INFOEM/IP/RR/202</w:t>
      </w:r>
      <w:r w:rsidR="005B2C06" w:rsidRPr="00DB79BB">
        <w:rPr>
          <w:rFonts w:ascii="Palatino Linotype" w:hAnsi="Palatino Linotype" w:cs="Arial"/>
          <w:b/>
          <w:sz w:val="24"/>
          <w:szCs w:val="24"/>
        </w:rPr>
        <w:t>4</w:t>
      </w:r>
      <w:r w:rsidRPr="00DB79BB">
        <w:rPr>
          <w:rFonts w:ascii="Palatino Linotype" w:hAnsi="Palatino Linotype" w:cs="Arial"/>
          <w:sz w:val="24"/>
          <w:szCs w:val="24"/>
        </w:rPr>
        <w:t>, que ha sido materia del presente fallo.</w:t>
      </w:r>
    </w:p>
    <w:p w14:paraId="32F3DFC3" w14:textId="77777777" w:rsidR="00967366" w:rsidRPr="00DB79BB" w:rsidRDefault="00967366" w:rsidP="000C56C8">
      <w:pPr>
        <w:spacing w:after="0" w:line="360" w:lineRule="auto"/>
        <w:jc w:val="both"/>
        <w:rPr>
          <w:rFonts w:ascii="Palatino Linotype" w:hAnsi="Palatino Linotype" w:cs="Arial"/>
          <w:sz w:val="24"/>
          <w:szCs w:val="24"/>
        </w:rPr>
      </w:pPr>
    </w:p>
    <w:p w14:paraId="50DC0964" w14:textId="77777777" w:rsidR="0056576D" w:rsidRPr="00DB79BB" w:rsidRDefault="0056576D" w:rsidP="0056576D">
      <w:pPr>
        <w:autoSpaceDE w:val="0"/>
        <w:autoSpaceDN w:val="0"/>
        <w:adjustRightInd w:val="0"/>
        <w:spacing w:after="0" w:line="360" w:lineRule="auto"/>
        <w:jc w:val="both"/>
        <w:rPr>
          <w:rFonts w:ascii="Palatino Linotype" w:hAnsi="Palatino Linotype" w:cs="Arial"/>
          <w:sz w:val="24"/>
          <w:szCs w:val="24"/>
        </w:rPr>
      </w:pPr>
      <w:r w:rsidRPr="00DB79BB">
        <w:rPr>
          <w:rFonts w:ascii="Palatino Linotype" w:hAnsi="Palatino Linotype" w:cs="Arial"/>
          <w:sz w:val="24"/>
          <w:szCs w:val="24"/>
        </w:rPr>
        <w:t>Por lo antes expuesto y fundado es de resolverse y,</w:t>
      </w:r>
    </w:p>
    <w:p w14:paraId="24611B18" w14:textId="77777777" w:rsidR="003A72D8" w:rsidRPr="00DB79BB" w:rsidRDefault="003A72D8" w:rsidP="0056576D">
      <w:pPr>
        <w:autoSpaceDE w:val="0"/>
        <w:autoSpaceDN w:val="0"/>
        <w:adjustRightInd w:val="0"/>
        <w:spacing w:after="0" w:line="360" w:lineRule="auto"/>
        <w:jc w:val="both"/>
        <w:rPr>
          <w:rFonts w:ascii="Palatino Linotype" w:hAnsi="Palatino Linotype" w:cs="Arial"/>
          <w:sz w:val="24"/>
          <w:szCs w:val="24"/>
        </w:rPr>
      </w:pPr>
    </w:p>
    <w:p w14:paraId="3C59326C" w14:textId="77777777" w:rsidR="0056576D" w:rsidRPr="00DB79BB" w:rsidRDefault="0056576D" w:rsidP="0056576D">
      <w:pPr>
        <w:spacing w:after="0" w:line="360" w:lineRule="auto"/>
        <w:ind w:left="426"/>
        <w:jc w:val="center"/>
        <w:rPr>
          <w:rFonts w:ascii="Palatino Linotype" w:eastAsia="Times New Roman" w:hAnsi="Palatino Linotype" w:cs="Times New Roman"/>
          <w:color w:val="000000"/>
          <w:sz w:val="24"/>
          <w:szCs w:val="24"/>
          <w:lang w:val="es-ES" w:eastAsia="es-ES"/>
        </w:rPr>
      </w:pPr>
      <w:r w:rsidRPr="00DB79BB">
        <w:rPr>
          <w:rFonts w:ascii="Palatino Linotype" w:eastAsia="Times New Roman" w:hAnsi="Palatino Linotype" w:cs="Times New Roman"/>
          <w:b/>
          <w:color w:val="000000"/>
          <w:sz w:val="28"/>
          <w:szCs w:val="24"/>
          <w:lang w:val="es-ES" w:eastAsia="es-ES"/>
        </w:rPr>
        <w:t>SE    RESUELVE</w:t>
      </w:r>
    </w:p>
    <w:p w14:paraId="44F036BF" w14:textId="77777777" w:rsidR="0056576D" w:rsidRPr="00DB79BB" w:rsidRDefault="0056576D" w:rsidP="0056576D">
      <w:pPr>
        <w:spacing w:after="0" w:line="360" w:lineRule="auto"/>
        <w:ind w:left="426"/>
        <w:jc w:val="center"/>
        <w:rPr>
          <w:rFonts w:ascii="Palatino Linotype" w:eastAsia="Times New Roman" w:hAnsi="Palatino Linotype" w:cs="Times New Roman"/>
          <w:color w:val="000000"/>
          <w:sz w:val="24"/>
          <w:szCs w:val="24"/>
          <w:lang w:val="es-ES" w:eastAsia="es-ES"/>
        </w:rPr>
      </w:pPr>
    </w:p>
    <w:p w14:paraId="4E710B3D" w14:textId="18B791AA" w:rsidR="0056576D" w:rsidRPr="00DB79BB" w:rsidRDefault="0056576D" w:rsidP="0056576D">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DB79BB">
        <w:rPr>
          <w:rFonts w:ascii="Palatino Linotype" w:eastAsiaTheme="minorEastAsia" w:hAnsi="Palatino Linotype" w:cs="Arial"/>
          <w:b/>
          <w:sz w:val="28"/>
          <w:szCs w:val="24"/>
          <w:lang w:val="es-ES_tradnl" w:eastAsia="es-ES"/>
        </w:rPr>
        <w:t>PRIMERO.</w:t>
      </w:r>
      <w:r w:rsidRPr="00DB79BB">
        <w:rPr>
          <w:rFonts w:ascii="Palatino Linotype" w:eastAsiaTheme="minorEastAsia" w:hAnsi="Palatino Linotype" w:cs="Arial"/>
          <w:sz w:val="24"/>
          <w:szCs w:val="24"/>
          <w:lang w:val="es-ES_tradnl" w:eastAsia="es-ES"/>
        </w:rPr>
        <w:t xml:space="preserve"> Se </w:t>
      </w:r>
      <w:r w:rsidRPr="00DB79BB">
        <w:rPr>
          <w:rFonts w:ascii="Palatino Linotype" w:eastAsiaTheme="minorEastAsia" w:hAnsi="Palatino Linotype" w:cs="Arial"/>
          <w:b/>
          <w:sz w:val="24"/>
          <w:szCs w:val="24"/>
          <w:lang w:val="es-ES_tradnl" w:eastAsia="es-ES"/>
        </w:rPr>
        <w:t>SOBRESEE</w:t>
      </w:r>
      <w:r w:rsidRPr="00DB79BB">
        <w:rPr>
          <w:rFonts w:ascii="Palatino Linotype" w:eastAsiaTheme="minorEastAsia" w:hAnsi="Palatino Linotype" w:cs="Arial"/>
          <w:sz w:val="24"/>
          <w:szCs w:val="24"/>
          <w:lang w:val="es-ES_tradnl" w:eastAsia="es-ES"/>
        </w:rPr>
        <w:t xml:space="preserve"> </w:t>
      </w:r>
      <w:r w:rsidR="005B2C06" w:rsidRPr="00DB79BB">
        <w:rPr>
          <w:rFonts w:ascii="Palatino Linotype" w:eastAsiaTheme="minorEastAsia" w:hAnsi="Palatino Linotype" w:cs="Arial"/>
          <w:sz w:val="24"/>
          <w:szCs w:val="24"/>
          <w:lang w:val="es-ES_tradnl" w:eastAsia="es-ES"/>
        </w:rPr>
        <w:t>el</w:t>
      </w:r>
      <w:r w:rsidRPr="00DB79BB">
        <w:rPr>
          <w:rFonts w:ascii="Palatino Linotype" w:eastAsiaTheme="minorEastAsia" w:hAnsi="Palatino Linotype" w:cs="Arial"/>
          <w:sz w:val="24"/>
          <w:szCs w:val="24"/>
          <w:lang w:val="es-ES_tradnl" w:eastAsia="es-ES"/>
        </w:rPr>
        <w:t xml:space="preserve"> recurso de revisión número </w:t>
      </w:r>
      <w:r w:rsidR="00594F0C" w:rsidRPr="00DB79BB">
        <w:rPr>
          <w:rFonts w:ascii="Palatino Linotype" w:hAnsi="Palatino Linotype" w:cs="Arial"/>
          <w:b/>
          <w:sz w:val="24"/>
          <w:szCs w:val="24"/>
        </w:rPr>
        <w:t>0</w:t>
      </w:r>
      <w:r w:rsidR="005B2C06" w:rsidRPr="00DB79BB">
        <w:rPr>
          <w:rFonts w:ascii="Palatino Linotype" w:hAnsi="Palatino Linotype" w:cs="Arial"/>
          <w:b/>
          <w:sz w:val="24"/>
          <w:szCs w:val="24"/>
        </w:rPr>
        <w:t>4095</w:t>
      </w:r>
      <w:r w:rsidR="00594F0C" w:rsidRPr="00DB79BB">
        <w:rPr>
          <w:rFonts w:ascii="Palatino Linotype" w:hAnsi="Palatino Linotype" w:cs="Arial"/>
          <w:b/>
          <w:sz w:val="24"/>
          <w:szCs w:val="24"/>
        </w:rPr>
        <w:t>/INFOEM/IP/RR/202</w:t>
      </w:r>
      <w:r w:rsidR="005B2C06" w:rsidRPr="00DB79BB">
        <w:rPr>
          <w:rFonts w:ascii="Palatino Linotype" w:hAnsi="Palatino Linotype" w:cs="Arial"/>
          <w:b/>
          <w:sz w:val="24"/>
          <w:szCs w:val="24"/>
        </w:rPr>
        <w:t>4</w:t>
      </w:r>
      <w:r w:rsidRPr="00DB79BB">
        <w:rPr>
          <w:rFonts w:ascii="Palatino Linotype" w:eastAsiaTheme="minorEastAsia" w:hAnsi="Palatino Linotype" w:cs="Arial"/>
          <w:sz w:val="24"/>
          <w:szCs w:val="24"/>
          <w:lang w:val="es-ES_tradnl" w:eastAsia="es-ES"/>
        </w:rPr>
        <w:t xml:space="preserve">, </w:t>
      </w:r>
      <w:r w:rsidR="009F4E88" w:rsidRPr="00DB79BB">
        <w:rPr>
          <w:rFonts w:ascii="Palatino Linotype" w:eastAsiaTheme="minorEastAsia" w:hAnsi="Palatino Linotype" w:cs="Arial"/>
          <w:sz w:val="24"/>
          <w:szCs w:val="24"/>
          <w:lang w:val="es-ES_tradnl" w:eastAsia="es-ES"/>
        </w:rPr>
        <w:t xml:space="preserve">por improcedente en términos de los artículos 191 fracción VI y 192 fracción IV de la Ley de Transparencia y Acceso a la Información Pública del Estado de México y Municipios, en términos del Considerando </w:t>
      </w:r>
      <w:r w:rsidR="009F4E88" w:rsidRPr="00DB79BB">
        <w:rPr>
          <w:rFonts w:ascii="Palatino Linotype" w:eastAsiaTheme="minorEastAsia" w:hAnsi="Palatino Linotype" w:cs="Arial"/>
          <w:b/>
          <w:sz w:val="24"/>
          <w:szCs w:val="24"/>
          <w:lang w:val="es-ES_tradnl" w:eastAsia="es-ES"/>
        </w:rPr>
        <w:t>TERCERO</w:t>
      </w:r>
      <w:r w:rsidR="009F4E88" w:rsidRPr="00DB79BB">
        <w:rPr>
          <w:rFonts w:ascii="Palatino Linotype" w:eastAsiaTheme="minorEastAsia" w:hAnsi="Palatino Linotype" w:cs="Arial"/>
          <w:sz w:val="24"/>
          <w:szCs w:val="24"/>
          <w:lang w:val="es-ES_tradnl" w:eastAsia="es-ES"/>
        </w:rPr>
        <w:t xml:space="preserve"> de la presente resolución.</w:t>
      </w:r>
    </w:p>
    <w:p w14:paraId="61C8F26F" w14:textId="77777777" w:rsidR="0056576D" w:rsidRPr="00DB79BB" w:rsidRDefault="0056576D" w:rsidP="0056576D">
      <w:pPr>
        <w:spacing w:after="0" w:line="360" w:lineRule="auto"/>
        <w:jc w:val="both"/>
        <w:rPr>
          <w:rFonts w:ascii="Palatino Linotype" w:eastAsia="Times New Roman" w:hAnsi="Palatino Linotype" w:cs="Arial"/>
          <w:sz w:val="24"/>
          <w:szCs w:val="24"/>
          <w:lang w:eastAsia="es-ES"/>
        </w:rPr>
      </w:pPr>
    </w:p>
    <w:p w14:paraId="75096CE7" w14:textId="24D1C29C" w:rsidR="0056576D" w:rsidRPr="00DB79BB" w:rsidRDefault="00594F0C" w:rsidP="0056576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DB79BB">
        <w:rPr>
          <w:rFonts w:ascii="Palatino Linotype" w:eastAsia="Palatino Linotype" w:hAnsi="Palatino Linotype" w:cs="Palatino Linotype"/>
          <w:b/>
          <w:color w:val="000000"/>
          <w:sz w:val="26"/>
          <w:szCs w:val="26"/>
          <w:lang w:eastAsia="es-MX"/>
        </w:rPr>
        <w:t>SEGUNDO</w:t>
      </w:r>
      <w:r w:rsidR="0056576D" w:rsidRPr="00DB79BB">
        <w:rPr>
          <w:rFonts w:ascii="Palatino Linotype" w:eastAsia="Palatino Linotype" w:hAnsi="Palatino Linotype" w:cs="Palatino Linotype"/>
          <w:b/>
          <w:color w:val="000000"/>
          <w:sz w:val="24"/>
          <w:szCs w:val="24"/>
          <w:lang w:eastAsia="es-MX"/>
        </w:rPr>
        <w:t>. NOTIFÍQUESE</w:t>
      </w:r>
      <w:r w:rsidR="005B2C06" w:rsidRPr="00DB79BB">
        <w:rPr>
          <w:rFonts w:ascii="Palatino Linotype" w:eastAsia="Palatino Linotype" w:hAnsi="Palatino Linotype" w:cs="Palatino Linotype"/>
          <w:bCs/>
          <w:color w:val="000000"/>
          <w:sz w:val="24"/>
          <w:szCs w:val="24"/>
          <w:lang w:eastAsia="es-MX"/>
        </w:rPr>
        <w:t xml:space="preserve"> </w:t>
      </w:r>
      <w:r w:rsidR="005B2C06" w:rsidRPr="00DB79BB">
        <w:rPr>
          <w:rFonts w:ascii="Palatino Linotype" w:hAnsi="Palatino Linotype" w:cs="Arial"/>
          <w:sz w:val="24"/>
          <w:szCs w:val="24"/>
        </w:rPr>
        <w:t>a través del Sistema de Acceso a la Información Mexiquense (</w:t>
      </w:r>
      <w:r w:rsidR="005B2C06" w:rsidRPr="00DB79BB">
        <w:rPr>
          <w:rFonts w:ascii="Palatino Linotype" w:hAnsi="Palatino Linotype" w:cs="Arial"/>
          <w:b/>
          <w:bCs/>
          <w:sz w:val="24"/>
          <w:szCs w:val="24"/>
        </w:rPr>
        <w:t>SAIMEX</w:t>
      </w:r>
      <w:r w:rsidR="005B2C06" w:rsidRPr="00DB79BB">
        <w:rPr>
          <w:rFonts w:ascii="Palatino Linotype" w:hAnsi="Palatino Linotype" w:cs="Arial"/>
          <w:sz w:val="24"/>
          <w:szCs w:val="24"/>
        </w:rPr>
        <w:t>),</w:t>
      </w:r>
      <w:r w:rsidR="0056576D" w:rsidRPr="00DB79BB">
        <w:rPr>
          <w:rFonts w:ascii="Palatino Linotype" w:eastAsia="Palatino Linotype" w:hAnsi="Palatino Linotype" w:cs="Palatino Linotype"/>
          <w:color w:val="000000"/>
          <w:sz w:val="24"/>
          <w:szCs w:val="24"/>
          <w:lang w:eastAsia="es-MX"/>
        </w:rPr>
        <w:t xml:space="preserve"> la presente resolución al Titular de la Unidad de Transparencia del Sujeto Obligado para </w:t>
      </w:r>
      <w:r w:rsidRPr="00DB79BB">
        <w:rPr>
          <w:rFonts w:ascii="Palatino Linotype" w:eastAsia="Palatino Linotype" w:hAnsi="Palatino Linotype" w:cs="Palatino Linotype"/>
          <w:color w:val="000000"/>
          <w:sz w:val="24"/>
          <w:szCs w:val="24"/>
          <w:lang w:eastAsia="es-MX"/>
        </w:rPr>
        <w:t xml:space="preserve">su conocimiento. </w:t>
      </w:r>
    </w:p>
    <w:p w14:paraId="7ABA0002" w14:textId="77777777" w:rsidR="0056576D" w:rsidRPr="00DB79BB" w:rsidRDefault="00594F0C" w:rsidP="0056576D">
      <w:pPr>
        <w:autoSpaceDE w:val="0"/>
        <w:autoSpaceDN w:val="0"/>
        <w:adjustRightInd w:val="0"/>
        <w:spacing w:after="0" w:line="360" w:lineRule="auto"/>
        <w:jc w:val="both"/>
        <w:rPr>
          <w:rFonts w:ascii="Palatino Linotype" w:hAnsi="Palatino Linotype" w:cs="Arial"/>
          <w:sz w:val="24"/>
          <w:szCs w:val="24"/>
        </w:rPr>
      </w:pPr>
      <w:r w:rsidRPr="00DB79BB">
        <w:rPr>
          <w:rFonts w:ascii="Palatino Linotype" w:hAnsi="Palatino Linotype"/>
          <w:b/>
          <w:sz w:val="28"/>
          <w:szCs w:val="28"/>
        </w:rPr>
        <w:lastRenderedPageBreak/>
        <w:t>TERCERO</w:t>
      </w:r>
      <w:r w:rsidR="0056576D" w:rsidRPr="00DB79BB">
        <w:rPr>
          <w:rFonts w:ascii="Palatino Linotype" w:hAnsi="Palatino Linotype"/>
          <w:b/>
          <w:sz w:val="24"/>
          <w:szCs w:val="24"/>
        </w:rPr>
        <w:t xml:space="preserve">. </w:t>
      </w:r>
      <w:r w:rsidR="0056576D" w:rsidRPr="00DB79BB">
        <w:rPr>
          <w:rFonts w:ascii="Palatino Linotype" w:hAnsi="Palatino Linotype" w:cs="Arial"/>
          <w:b/>
          <w:sz w:val="24"/>
          <w:szCs w:val="24"/>
        </w:rPr>
        <w:t>NOTIFÍQUESE</w:t>
      </w:r>
      <w:r w:rsidR="0056576D" w:rsidRPr="00DB79BB">
        <w:rPr>
          <w:rFonts w:ascii="Palatino Linotype" w:hAnsi="Palatino Linotype" w:cs="Arial"/>
          <w:sz w:val="24"/>
          <w:szCs w:val="24"/>
        </w:rPr>
        <w:t xml:space="preserve"> a través del Sistema de Acceso a la Información Mexiquense (</w:t>
      </w:r>
      <w:r w:rsidR="0056576D" w:rsidRPr="00DB79BB">
        <w:rPr>
          <w:rFonts w:ascii="Palatino Linotype" w:hAnsi="Palatino Linotype" w:cs="Arial"/>
          <w:b/>
          <w:bCs/>
          <w:sz w:val="24"/>
          <w:szCs w:val="24"/>
        </w:rPr>
        <w:t>SAIMEX</w:t>
      </w:r>
      <w:r w:rsidR="0056576D" w:rsidRPr="00DB79BB">
        <w:rPr>
          <w:rFonts w:ascii="Palatino Linotype" w:hAnsi="Palatino Linotype" w:cs="Arial"/>
          <w:sz w:val="24"/>
          <w:szCs w:val="24"/>
        </w:rPr>
        <w:t>), a</w:t>
      </w:r>
      <w:r w:rsidRPr="00DB79BB">
        <w:rPr>
          <w:rFonts w:ascii="Palatino Linotype" w:hAnsi="Palatino Linotype" w:cs="Arial"/>
          <w:sz w:val="24"/>
          <w:szCs w:val="24"/>
        </w:rPr>
        <w:t xml:space="preserve"> </w:t>
      </w:r>
      <w:r w:rsidR="0056576D" w:rsidRPr="00DB79BB">
        <w:rPr>
          <w:rFonts w:ascii="Palatino Linotype" w:hAnsi="Palatino Linotype" w:cs="Arial"/>
          <w:sz w:val="24"/>
          <w:szCs w:val="24"/>
        </w:rPr>
        <w:t>l</w:t>
      </w:r>
      <w:r w:rsidRPr="00DB79BB">
        <w:rPr>
          <w:rFonts w:ascii="Palatino Linotype" w:hAnsi="Palatino Linotype" w:cs="Arial"/>
          <w:sz w:val="24"/>
          <w:szCs w:val="24"/>
        </w:rPr>
        <w:t>a parte</w:t>
      </w:r>
      <w:r w:rsidR="0056576D" w:rsidRPr="00DB79BB">
        <w:rPr>
          <w:rFonts w:ascii="Palatino Linotype" w:hAnsi="Palatino Linotype" w:cs="Arial"/>
          <w:sz w:val="24"/>
          <w:szCs w:val="24"/>
        </w:rPr>
        <w:t xml:space="preserve"> </w:t>
      </w:r>
      <w:r w:rsidR="0056576D" w:rsidRPr="00DB79BB">
        <w:rPr>
          <w:rFonts w:ascii="Palatino Linotype" w:hAnsi="Palatino Linotype" w:cs="Arial"/>
          <w:b/>
          <w:sz w:val="24"/>
          <w:szCs w:val="24"/>
        </w:rPr>
        <w:t>Recurrente</w:t>
      </w:r>
      <w:r w:rsidR="0056576D" w:rsidRPr="00DB79BB">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4C9F3CAB" w14:textId="77777777" w:rsidR="00267098" w:rsidRPr="00DB79BB" w:rsidRDefault="00267098" w:rsidP="000C56C8">
      <w:pPr>
        <w:spacing w:after="0" w:line="360" w:lineRule="auto"/>
        <w:jc w:val="both"/>
        <w:rPr>
          <w:rFonts w:ascii="Palatino Linotype" w:hAnsi="Palatino Linotype" w:cs="Arial"/>
          <w:sz w:val="24"/>
          <w:szCs w:val="24"/>
        </w:rPr>
      </w:pPr>
    </w:p>
    <w:p w14:paraId="13E75459" w14:textId="66FFFE99" w:rsidR="00BA2670" w:rsidRPr="00DB79BB" w:rsidRDefault="00BA2670" w:rsidP="000C56C8">
      <w:pPr>
        <w:spacing w:after="0" w:line="360" w:lineRule="auto"/>
        <w:jc w:val="both"/>
        <w:rPr>
          <w:rFonts w:ascii="Palatino Linotype" w:hAnsi="Palatino Linotype" w:cs="Arial"/>
          <w:sz w:val="24"/>
          <w:szCs w:val="24"/>
        </w:rPr>
      </w:pPr>
      <w:r w:rsidRPr="00DB79BB">
        <w:rPr>
          <w:rFonts w:ascii="Palatino Linotype" w:hAnsi="Palatino Linotype" w:cs="Arial"/>
          <w:sz w:val="24"/>
          <w:szCs w:val="24"/>
        </w:rPr>
        <w:t xml:space="preserve">ASÍ LO RESUELVE, POR </w:t>
      </w:r>
      <w:r w:rsidR="008B425D" w:rsidRPr="00DB79BB">
        <w:rPr>
          <w:rFonts w:ascii="Palatino Linotype" w:hAnsi="Palatino Linotype" w:cs="Arial"/>
          <w:sz w:val="24"/>
          <w:szCs w:val="24"/>
        </w:rPr>
        <w:t>UNANIMIDAD</w:t>
      </w:r>
      <w:r w:rsidRPr="00DB79BB">
        <w:rPr>
          <w:rFonts w:ascii="Palatino Linotype" w:hAnsi="Palatino Linotype" w:cs="Arial"/>
          <w:sz w:val="24"/>
          <w:szCs w:val="24"/>
        </w:rPr>
        <w:t xml:space="preserve"> DE VOTOS DE LOS PRESENTES DEL PLENO DEL</w:t>
      </w:r>
      <w:r w:rsidRPr="00DB79BB">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DB79BB">
        <w:rPr>
          <w:rFonts w:ascii="Palatino Linotype" w:hAnsi="Palatino Linotype" w:cs="Arial"/>
          <w:sz w:val="24"/>
          <w:szCs w:val="24"/>
        </w:rPr>
        <w:t>, CONFORMADO POR LOS COMISIONADOS JOSÉ MARTÍNEZ VILCHIS, MARÍA DEL ROSARIO MEJÍA AYALA, SHARON CRISTINA MORALES MARTÍNEZ, LUIS GUSTAVO PARRA NORIEGA</w:t>
      </w:r>
      <w:r w:rsidR="00C91274" w:rsidRPr="00DB79BB">
        <w:rPr>
          <w:rFonts w:ascii="Palatino Linotype" w:hAnsi="Palatino Linotype" w:cs="Arial"/>
          <w:sz w:val="24"/>
          <w:szCs w:val="24"/>
        </w:rPr>
        <w:t xml:space="preserve"> </w:t>
      </w:r>
      <w:r w:rsidRPr="00DB79BB">
        <w:rPr>
          <w:rFonts w:ascii="Palatino Linotype" w:hAnsi="Palatino Linotype" w:cs="Arial"/>
          <w:sz w:val="24"/>
          <w:szCs w:val="24"/>
        </w:rPr>
        <w:t xml:space="preserve">Y GUADALUPE RAMÍREZ PEÑA, EN LA </w:t>
      </w:r>
      <w:r w:rsidR="005B2C06" w:rsidRPr="00DB79BB">
        <w:rPr>
          <w:rFonts w:ascii="Palatino Linotype" w:hAnsi="Palatino Linotype" w:cs="Arial"/>
          <w:sz w:val="24"/>
          <w:szCs w:val="24"/>
        </w:rPr>
        <w:t xml:space="preserve">TRIGÉSIMA PRIMERA </w:t>
      </w:r>
      <w:r w:rsidR="009E30B8" w:rsidRPr="00DB79BB">
        <w:rPr>
          <w:rFonts w:ascii="Palatino Linotype" w:hAnsi="Palatino Linotype" w:cs="Arial"/>
          <w:sz w:val="24"/>
          <w:szCs w:val="24"/>
        </w:rPr>
        <w:t>SE</w:t>
      </w:r>
      <w:r w:rsidRPr="00DB79BB">
        <w:rPr>
          <w:rFonts w:ascii="Palatino Linotype" w:hAnsi="Palatino Linotype" w:cs="Arial"/>
          <w:sz w:val="24"/>
          <w:szCs w:val="24"/>
        </w:rPr>
        <w:t xml:space="preserve">SIÓN ORDINARIA CELEBRADA EL </w:t>
      </w:r>
      <w:r w:rsidR="00AE2221" w:rsidRPr="00DB79BB">
        <w:rPr>
          <w:rFonts w:ascii="Palatino Linotype" w:hAnsi="Palatino Linotype" w:cs="Arial"/>
          <w:sz w:val="24"/>
          <w:szCs w:val="24"/>
        </w:rPr>
        <w:t>CUATRO</w:t>
      </w:r>
      <w:r w:rsidR="00D42A53" w:rsidRPr="00DB79BB">
        <w:rPr>
          <w:rFonts w:ascii="Palatino Linotype" w:hAnsi="Palatino Linotype" w:cs="Arial"/>
          <w:sz w:val="24"/>
          <w:szCs w:val="24"/>
        </w:rPr>
        <w:t xml:space="preserve"> DE </w:t>
      </w:r>
      <w:r w:rsidR="005B2C06" w:rsidRPr="00DB79BB">
        <w:rPr>
          <w:rFonts w:ascii="Palatino Linotype" w:hAnsi="Palatino Linotype" w:cs="Arial"/>
          <w:sz w:val="24"/>
          <w:szCs w:val="24"/>
        </w:rPr>
        <w:t xml:space="preserve">SEPTIEMBRE </w:t>
      </w:r>
      <w:r w:rsidRPr="00DB79BB">
        <w:rPr>
          <w:rFonts w:ascii="Palatino Linotype" w:hAnsi="Palatino Linotype" w:cs="Arial"/>
          <w:sz w:val="24"/>
          <w:szCs w:val="24"/>
        </w:rPr>
        <w:t>DE DOS MIL VEINTI</w:t>
      </w:r>
      <w:r w:rsidR="003A6068" w:rsidRPr="00DB79BB">
        <w:rPr>
          <w:rFonts w:ascii="Palatino Linotype" w:hAnsi="Palatino Linotype" w:cs="Arial"/>
          <w:sz w:val="24"/>
          <w:szCs w:val="24"/>
        </w:rPr>
        <w:t>CUATRO</w:t>
      </w:r>
      <w:r w:rsidRPr="00DB79BB">
        <w:rPr>
          <w:rFonts w:ascii="Palatino Linotype" w:hAnsi="Palatino Linotype" w:cs="Arial"/>
          <w:sz w:val="24"/>
          <w:szCs w:val="24"/>
        </w:rPr>
        <w:t>, ANTE EL SECRETARIO TÉCNICO DEL PLENO, ALEXIS TAPIA RAMÍREZ. -----------</w:t>
      </w:r>
      <w:r w:rsidR="00E07A15" w:rsidRPr="00DB79BB">
        <w:rPr>
          <w:rFonts w:ascii="Palatino Linotype" w:hAnsi="Palatino Linotype" w:cs="Arial"/>
          <w:sz w:val="24"/>
          <w:szCs w:val="24"/>
        </w:rPr>
        <w:t>----</w:t>
      </w:r>
      <w:r w:rsidR="003A72D8" w:rsidRPr="00DB79BB">
        <w:rPr>
          <w:rFonts w:ascii="Palatino Linotype" w:hAnsi="Palatino Linotype" w:cs="Arial"/>
          <w:sz w:val="24"/>
          <w:szCs w:val="24"/>
        </w:rPr>
        <w:t>----------------------</w:t>
      </w:r>
      <w:r w:rsidR="00C91274" w:rsidRPr="00DB79BB">
        <w:rPr>
          <w:rFonts w:ascii="Palatino Linotype" w:hAnsi="Palatino Linotype" w:cs="Arial"/>
          <w:sz w:val="24"/>
          <w:szCs w:val="24"/>
        </w:rPr>
        <w:t>--</w:t>
      </w:r>
      <w:r w:rsidR="000E3242" w:rsidRPr="00DB79BB">
        <w:rPr>
          <w:rFonts w:ascii="Palatino Linotype" w:hAnsi="Palatino Linotype" w:cs="Arial"/>
          <w:sz w:val="24"/>
          <w:szCs w:val="24"/>
        </w:rPr>
        <w:t>---------------</w:t>
      </w:r>
      <w:r w:rsidR="00C91274" w:rsidRPr="00DB79BB">
        <w:rPr>
          <w:rFonts w:ascii="Palatino Linotype" w:hAnsi="Palatino Linotype" w:cs="Arial"/>
          <w:sz w:val="24"/>
          <w:szCs w:val="24"/>
        </w:rPr>
        <w:t>----</w:t>
      </w:r>
    </w:p>
    <w:p w14:paraId="2C9BA736" w14:textId="77777777" w:rsidR="000E48BC" w:rsidRPr="00DB79BB" w:rsidRDefault="000E48BC" w:rsidP="000C56C8">
      <w:pPr>
        <w:spacing w:after="0" w:line="360" w:lineRule="auto"/>
        <w:jc w:val="both"/>
        <w:rPr>
          <w:rFonts w:ascii="Palatino Linotype" w:hAnsi="Palatino Linotype" w:cs="Arial"/>
          <w:sz w:val="24"/>
          <w:szCs w:val="24"/>
        </w:rPr>
      </w:pPr>
      <w:r w:rsidRPr="00DB79BB">
        <w:rPr>
          <w:rFonts w:ascii="Palatino Linotype" w:hAnsi="Palatino Linotype" w:cs="Arial"/>
          <w:sz w:val="24"/>
          <w:szCs w:val="24"/>
        </w:rPr>
        <w:t>-----------------------------------------------------------------------------------------------------------------</w:t>
      </w:r>
    </w:p>
    <w:p w14:paraId="6A6A8407" w14:textId="77777777" w:rsidR="005C7813" w:rsidRPr="00DB79BB" w:rsidRDefault="005C7813" w:rsidP="000C56C8">
      <w:pPr>
        <w:spacing w:after="0" w:line="360" w:lineRule="auto"/>
        <w:jc w:val="both"/>
        <w:rPr>
          <w:rFonts w:ascii="Palatino Linotype" w:hAnsi="Palatino Linotype" w:cs="Arial"/>
          <w:sz w:val="24"/>
          <w:szCs w:val="24"/>
        </w:rPr>
      </w:pPr>
      <w:r w:rsidRPr="00DB79BB">
        <w:rPr>
          <w:rFonts w:ascii="Palatino Linotype" w:hAnsi="Palatino Linotype" w:cs="Arial"/>
          <w:sz w:val="24"/>
          <w:szCs w:val="24"/>
        </w:rPr>
        <w:t>-----------------------------------------------------------------------------------------------------------------</w:t>
      </w:r>
    </w:p>
    <w:p w14:paraId="1357F057" w14:textId="77777777" w:rsidR="00C91274" w:rsidRPr="00DB79BB" w:rsidRDefault="00C91274" w:rsidP="00C91274">
      <w:pPr>
        <w:spacing w:after="0" w:line="360" w:lineRule="auto"/>
        <w:jc w:val="both"/>
        <w:rPr>
          <w:rFonts w:ascii="Palatino Linotype" w:hAnsi="Palatino Linotype" w:cs="Arial"/>
          <w:sz w:val="24"/>
          <w:szCs w:val="24"/>
        </w:rPr>
      </w:pPr>
      <w:r w:rsidRPr="00DB79BB">
        <w:rPr>
          <w:rFonts w:ascii="Palatino Linotype" w:hAnsi="Palatino Linotype" w:cs="Arial"/>
          <w:sz w:val="24"/>
          <w:szCs w:val="24"/>
        </w:rPr>
        <w:t>-----------------------------------------------------------------------------------------------------------------</w:t>
      </w:r>
    </w:p>
    <w:p w14:paraId="2FABED62" w14:textId="77777777" w:rsidR="00C91274" w:rsidRPr="00DB79BB" w:rsidRDefault="00C91274" w:rsidP="00C91274">
      <w:pPr>
        <w:spacing w:after="0" w:line="360" w:lineRule="auto"/>
        <w:jc w:val="both"/>
        <w:rPr>
          <w:rFonts w:ascii="Palatino Linotype" w:hAnsi="Palatino Linotype" w:cs="Arial"/>
          <w:sz w:val="24"/>
          <w:szCs w:val="24"/>
        </w:rPr>
      </w:pPr>
      <w:r w:rsidRPr="00DB79BB">
        <w:rPr>
          <w:rFonts w:ascii="Palatino Linotype" w:hAnsi="Palatino Linotype" w:cs="Arial"/>
          <w:sz w:val="24"/>
          <w:szCs w:val="24"/>
        </w:rPr>
        <w:t>-----------------------------------------------------------------------------------------------------------------</w:t>
      </w:r>
    </w:p>
    <w:p w14:paraId="074185E6" w14:textId="77777777" w:rsidR="00C91274" w:rsidRPr="00DB79BB" w:rsidRDefault="00C91274" w:rsidP="00C91274">
      <w:pPr>
        <w:spacing w:after="0" w:line="360" w:lineRule="auto"/>
        <w:jc w:val="both"/>
        <w:rPr>
          <w:rFonts w:ascii="Palatino Linotype" w:hAnsi="Palatino Linotype" w:cs="Arial"/>
          <w:sz w:val="24"/>
          <w:szCs w:val="24"/>
        </w:rPr>
      </w:pPr>
      <w:r w:rsidRPr="00DB79BB">
        <w:rPr>
          <w:rFonts w:ascii="Palatino Linotype" w:hAnsi="Palatino Linotype" w:cs="Arial"/>
          <w:sz w:val="24"/>
          <w:szCs w:val="24"/>
        </w:rPr>
        <w:t>-----------------------------------------------------------------------------------------------------------------</w:t>
      </w:r>
    </w:p>
    <w:p w14:paraId="08A1DAA0" w14:textId="73E1BC41" w:rsidR="00C91274" w:rsidRPr="00DB79BB" w:rsidRDefault="00C91274" w:rsidP="00C91274">
      <w:pPr>
        <w:spacing w:after="0" w:line="360" w:lineRule="auto"/>
        <w:jc w:val="both"/>
        <w:rPr>
          <w:rFonts w:ascii="Palatino Linotype" w:hAnsi="Palatino Linotype" w:cs="Arial"/>
          <w:sz w:val="24"/>
          <w:szCs w:val="24"/>
        </w:rPr>
      </w:pPr>
      <w:r w:rsidRPr="00DB79BB">
        <w:rPr>
          <w:rFonts w:ascii="Palatino Linotype" w:hAnsi="Palatino Linotype" w:cs="Arial"/>
          <w:sz w:val="24"/>
          <w:szCs w:val="24"/>
        </w:rPr>
        <w:t>-----------------------------------------------------------------------------------------------------------------</w:t>
      </w:r>
    </w:p>
    <w:p w14:paraId="4F7F0085" w14:textId="77777777" w:rsidR="00904A13" w:rsidRPr="00DB79BB" w:rsidRDefault="00904A13" w:rsidP="00904A13">
      <w:pPr>
        <w:spacing w:after="0" w:line="360" w:lineRule="auto"/>
        <w:jc w:val="both"/>
        <w:rPr>
          <w:rFonts w:ascii="Palatino Linotype" w:hAnsi="Palatino Linotype" w:cs="Arial"/>
          <w:sz w:val="24"/>
          <w:szCs w:val="24"/>
        </w:rPr>
      </w:pPr>
      <w:r w:rsidRPr="00DB79BB">
        <w:rPr>
          <w:rFonts w:ascii="Palatino Linotype" w:hAnsi="Palatino Linotype" w:cs="Arial"/>
          <w:sz w:val="24"/>
          <w:szCs w:val="24"/>
        </w:rPr>
        <w:t>-----------------------------------------------------------------------------------------------------------------</w:t>
      </w:r>
    </w:p>
    <w:p w14:paraId="444CD243" w14:textId="77777777" w:rsidR="000E48BC" w:rsidRPr="00E644F2" w:rsidRDefault="000E48BC" w:rsidP="000C56C8">
      <w:pPr>
        <w:spacing w:after="0" w:line="360" w:lineRule="auto"/>
        <w:jc w:val="both"/>
        <w:rPr>
          <w:rFonts w:ascii="Palatino Linotype" w:hAnsi="Palatino Linotype" w:cs="Arial"/>
          <w:sz w:val="20"/>
        </w:rPr>
      </w:pPr>
      <w:r w:rsidRPr="00DB79BB">
        <w:rPr>
          <w:rFonts w:ascii="Palatino Linotype" w:hAnsi="Palatino Linotype" w:cs="Arial"/>
          <w:sz w:val="20"/>
        </w:rPr>
        <w:t>CCR/</w:t>
      </w:r>
      <w:r w:rsidR="00594F0C" w:rsidRPr="00DB79BB">
        <w:rPr>
          <w:rFonts w:ascii="Palatino Linotype" w:hAnsi="Palatino Linotype" w:cs="Arial"/>
          <w:sz w:val="20"/>
        </w:rPr>
        <w:t>*</w:t>
      </w:r>
      <w:bookmarkStart w:id="0" w:name="_GoBack"/>
      <w:bookmarkEnd w:id="0"/>
    </w:p>
    <w:p w14:paraId="522B3FA3" w14:textId="77777777" w:rsidR="000E48BC" w:rsidRPr="00E644F2" w:rsidRDefault="000E48BC" w:rsidP="000C56C8">
      <w:pPr>
        <w:spacing w:after="0" w:line="360" w:lineRule="auto"/>
        <w:jc w:val="both"/>
        <w:rPr>
          <w:rFonts w:ascii="Palatino Linotype" w:hAnsi="Palatino Linotype" w:cs="Arial"/>
          <w:sz w:val="24"/>
          <w:szCs w:val="24"/>
        </w:rPr>
      </w:pPr>
    </w:p>
    <w:p w14:paraId="60352E40" w14:textId="77777777" w:rsidR="000E48BC" w:rsidRPr="00E644F2" w:rsidRDefault="000E48BC" w:rsidP="000C56C8">
      <w:pPr>
        <w:spacing w:after="0" w:line="360" w:lineRule="auto"/>
        <w:jc w:val="both"/>
        <w:rPr>
          <w:rFonts w:ascii="Palatino Linotype" w:hAnsi="Palatino Linotype" w:cs="Arial"/>
          <w:sz w:val="24"/>
          <w:szCs w:val="24"/>
        </w:rPr>
      </w:pPr>
    </w:p>
    <w:p w14:paraId="733C2583" w14:textId="77777777" w:rsidR="000E48BC" w:rsidRPr="00E644F2" w:rsidRDefault="000E48BC" w:rsidP="000C56C8">
      <w:pPr>
        <w:spacing w:after="0" w:line="360" w:lineRule="auto"/>
        <w:jc w:val="both"/>
        <w:rPr>
          <w:rFonts w:ascii="Palatino Linotype" w:hAnsi="Palatino Linotype" w:cs="Arial"/>
          <w:sz w:val="24"/>
          <w:szCs w:val="24"/>
        </w:rPr>
      </w:pPr>
    </w:p>
    <w:p w14:paraId="657811BE" w14:textId="77777777" w:rsidR="000E48BC" w:rsidRPr="00E644F2" w:rsidRDefault="000E48BC" w:rsidP="000C56C8">
      <w:pPr>
        <w:spacing w:after="0"/>
        <w:rPr>
          <w:rFonts w:ascii="Palatino Linotype" w:hAnsi="Palatino Linotype"/>
        </w:rPr>
      </w:pPr>
    </w:p>
    <w:p w14:paraId="4A4D894E" w14:textId="77777777" w:rsidR="000E48BC" w:rsidRPr="00E644F2" w:rsidRDefault="000E48BC" w:rsidP="000C56C8">
      <w:pPr>
        <w:spacing w:after="0"/>
        <w:rPr>
          <w:rFonts w:ascii="Palatino Linotype" w:hAnsi="Palatino Linotype"/>
        </w:rPr>
      </w:pPr>
    </w:p>
    <w:p w14:paraId="1B9942AA" w14:textId="77777777" w:rsidR="000E48BC" w:rsidRPr="00E644F2" w:rsidRDefault="000E48BC" w:rsidP="000C56C8">
      <w:pPr>
        <w:spacing w:after="0"/>
        <w:rPr>
          <w:rFonts w:ascii="Palatino Linotype" w:hAnsi="Palatino Linotype"/>
        </w:rPr>
      </w:pPr>
    </w:p>
    <w:p w14:paraId="619F389D" w14:textId="77777777" w:rsidR="000E48BC" w:rsidRPr="00E644F2" w:rsidRDefault="000E48BC" w:rsidP="000C56C8">
      <w:pPr>
        <w:spacing w:after="0"/>
        <w:rPr>
          <w:rFonts w:ascii="Palatino Linotype" w:hAnsi="Palatino Linotype"/>
        </w:rPr>
      </w:pPr>
    </w:p>
    <w:p w14:paraId="344BDC77" w14:textId="77777777" w:rsidR="000E48BC" w:rsidRPr="00E644F2" w:rsidRDefault="000E48BC" w:rsidP="000C56C8">
      <w:pPr>
        <w:spacing w:after="0"/>
        <w:rPr>
          <w:rFonts w:ascii="Palatino Linotype" w:hAnsi="Palatino Linotype"/>
        </w:rPr>
      </w:pPr>
    </w:p>
    <w:p w14:paraId="5D559D9E" w14:textId="77777777" w:rsidR="000E48BC" w:rsidRPr="00E644F2" w:rsidRDefault="000E48BC" w:rsidP="000C56C8">
      <w:pPr>
        <w:spacing w:after="0"/>
        <w:rPr>
          <w:rFonts w:ascii="Palatino Linotype" w:hAnsi="Palatino Linotype"/>
        </w:rPr>
      </w:pPr>
    </w:p>
    <w:p w14:paraId="388C8ED1" w14:textId="77777777" w:rsidR="000E48BC" w:rsidRPr="00E644F2" w:rsidRDefault="000E48BC" w:rsidP="000C56C8">
      <w:pPr>
        <w:spacing w:after="0"/>
        <w:rPr>
          <w:rFonts w:ascii="Palatino Linotype" w:hAnsi="Palatino Linotype"/>
        </w:rPr>
      </w:pPr>
    </w:p>
    <w:p w14:paraId="034FA84B" w14:textId="77777777" w:rsidR="000E48BC" w:rsidRPr="00E644F2" w:rsidRDefault="000E48BC" w:rsidP="000C56C8">
      <w:pPr>
        <w:spacing w:after="0"/>
        <w:rPr>
          <w:rFonts w:ascii="Palatino Linotype" w:hAnsi="Palatino Linotype"/>
        </w:rPr>
      </w:pPr>
    </w:p>
    <w:p w14:paraId="21F7F9D9" w14:textId="77777777" w:rsidR="000E48BC" w:rsidRPr="00E644F2" w:rsidRDefault="000E48BC" w:rsidP="000C56C8">
      <w:pPr>
        <w:spacing w:after="0"/>
      </w:pPr>
    </w:p>
    <w:p w14:paraId="4138C0F1" w14:textId="77777777" w:rsidR="000E48BC" w:rsidRPr="00E644F2" w:rsidRDefault="000E48BC" w:rsidP="000C56C8">
      <w:pPr>
        <w:spacing w:after="0"/>
      </w:pPr>
    </w:p>
    <w:p w14:paraId="394EB67E" w14:textId="77777777" w:rsidR="000E48BC" w:rsidRPr="00E644F2" w:rsidRDefault="000E48BC" w:rsidP="000C56C8">
      <w:pPr>
        <w:spacing w:after="0"/>
      </w:pPr>
    </w:p>
    <w:p w14:paraId="1BBBCA8E" w14:textId="77777777" w:rsidR="000E48BC" w:rsidRPr="00E644F2" w:rsidRDefault="000E48BC" w:rsidP="000C56C8">
      <w:pPr>
        <w:spacing w:after="0"/>
      </w:pPr>
    </w:p>
    <w:p w14:paraId="0E5667B4" w14:textId="77777777" w:rsidR="000E48BC" w:rsidRPr="00E644F2" w:rsidRDefault="000E48BC" w:rsidP="000C56C8">
      <w:pPr>
        <w:spacing w:after="0"/>
      </w:pPr>
    </w:p>
    <w:p w14:paraId="23D52E1F" w14:textId="77777777" w:rsidR="000E48BC" w:rsidRPr="00E644F2" w:rsidRDefault="000E48BC" w:rsidP="000C56C8">
      <w:pPr>
        <w:spacing w:after="0"/>
      </w:pPr>
    </w:p>
    <w:p w14:paraId="44572AE9" w14:textId="77777777" w:rsidR="000E48BC" w:rsidRPr="00E644F2" w:rsidRDefault="000E48BC" w:rsidP="000C56C8">
      <w:pPr>
        <w:spacing w:after="0"/>
      </w:pPr>
    </w:p>
    <w:p w14:paraId="5F1609B4" w14:textId="77777777" w:rsidR="000E48BC" w:rsidRPr="00E644F2" w:rsidRDefault="000E48BC" w:rsidP="000C56C8">
      <w:pPr>
        <w:spacing w:after="0"/>
      </w:pPr>
    </w:p>
    <w:p w14:paraId="6B7F2F28" w14:textId="77777777" w:rsidR="000E48BC" w:rsidRPr="00E644F2" w:rsidRDefault="000E48BC" w:rsidP="000C56C8">
      <w:pPr>
        <w:spacing w:after="0"/>
      </w:pPr>
    </w:p>
    <w:p w14:paraId="0940F989" w14:textId="77777777" w:rsidR="000E48BC" w:rsidRPr="00E644F2" w:rsidRDefault="000E48BC" w:rsidP="000C56C8">
      <w:pPr>
        <w:spacing w:after="0"/>
      </w:pPr>
    </w:p>
    <w:sectPr w:rsidR="000E48BC" w:rsidRPr="00E644F2" w:rsidSect="000E48BC">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B2FEA" w14:textId="77777777" w:rsidR="002F011A" w:rsidRDefault="002F011A" w:rsidP="000E48BC">
      <w:pPr>
        <w:spacing w:after="0" w:line="240" w:lineRule="auto"/>
      </w:pPr>
      <w:r>
        <w:separator/>
      </w:r>
    </w:p>
  </w:endnote>
  <w:endnote w:type="continuationSeparator" w:id="0">
    <w:p w14:paraId="2084CA50" w14:textId="77777777" w:rsidR="002F011A" w:rsidRDefault="002F011A"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7BDA179A" w14:textId="77777777" w:rsidR="00B37245" w:rsidRPr="002D6DD8" w:rsidRDefault="00B37245"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B79BB">
              <w:rPr>
                <w:rFonts w:ascii="Palatino Linotype" w:hAnsi="Palatino Linotype"/>
                <w:bCs/>
                <w:noProof/>
                <w:sz w:val="20"/>
              </w:rPr>
              <w:t>16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B79BB">
              <w:rPr>
                <w:rFonts w:ascii="Palatino Linotype" w:hAnsi="Palatino Linotype"/>
                <w:bCs/>
                <w:noProof/>
                <w:sz w:val="20"/>
              </w:rPr>
              <w:t>16</w:t>
            </w:r>
            <w:r>
              <w:rPr>
                <w:rFonts w:ascii="Palatino Linotype" w:hAnsi="Palatino Linotype"/>
                <w:bCs/>
                <w:noProof/>
                <w:sz w:val="20"/>
              </w:rPr>
              <w:fldChar w:fldCharType="end"/>
            </w:r>
          </w:p>
        </w:sdtContent>
      </w:sdt>
    </w:sdtContent>
  </w:sdt>
  <w:p w14:paraId="78C85691" w14:textId="77777777" w:rsidR="00B37245" w:rsidRDefault="00B372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8F2A5" w14:textId="77777777" w:rsidR="00B37245" w:rsidRPr="000B69FA" w:rsidRDefault="00B37245"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B79B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B79BB">
      <w:rPr>
        <w:rFonts w:ascii="Palatino Linotype" w:hAnsi="Palatino Linotype"/>
        <w:bCs/>
        <w:noProof/>
        <w:sz w:val="20"/>
      </w:rPr>
      <w:t>16</w:t>
    </w:r>
    <w:r>
      <w:rPr>
        <w:rFonts w:ascii="Palatino Linotype" w:hAnsi="Palatino Linotype"/>
        <w:bCs/>
        <w:noProof/>
        <w:sz w:val="20"/>
      </w:rPr>
      <w:fldChar w:fldCharType="end"/>
    </w:r>
  </w:p>
  <w:p w14:paraId="06416DD3" w14:textId="77777777" w:rsidR="00B37245" w:rsidRDefault="00B372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1F244" w14:textId="77777777" w:rsidR="002F011A" w:rsidRDefault="002F011A" w:rsidP="000E48BC">
      <w:pPr>
        <w:spacing w:after="0" w:line="240" w:lineRule="auto"/>
      </w:pPr>
      <w:r>
        <w:separator/>
      </w:r>
    </w:p>
  </w:footnote>
  <w:footnote w:type="continuationSeparator" w:id="0">
    <w:p w14:paraId="74F91580" w14:textId="77777777" w:rsidR="002F011A" w:rsidRDefault="002F011A" w:rsidP="000E48BC">
      <w:pPr>
        <w:spacing w:after="0" w:line="240" w:lineRule="auto"/>
      </w:pPr>
      <w:r>
        <w:continuationSeparator/>
      </w:r>
    </w:p>
  </w:footnote>
  <w:footnote w:id="1">
    <w:p w14:paraId="67A509D7" w14:textId="77777777" w:rsidR="00B37245" w:rsidRPr="009535FD" w:rsidRDefault="00B37245" w:rsidP="003A6068">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41777691" w14:textId="77777777" w:rsidR="00B37245" w:rsidRPr="009535FD" w:rsidRDefault="00B37245" w:rsidP="003A6068">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sz w:val="18"/>
            <w:szCs w:val="18"/>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sz w:val="18"/>
            <w:szCs w:val="18"/>
          </w:rPr>
          <w:t>25.1 de la Convención Americana sobre Derechos Humanos</w:t>
        </w:r>
      </w:hyperlink>
      <w:r w:rsidRPr="009535FD">
        <w:rPr>
          <w:rStyle w:val="Hipervnculo"/>
          <w:rFonts w:ascii="Palatino Linotype" w:hAnsi="Palatino Linotype"/>
          <w:i/>
          <w:sz w:val="18"/>
          <w:szCs w:val="18"/>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3403"/>
      <w:gridCol w:w="6520"/>
    </w:tblGrid>
    <w:tr w:rsidR="00B37245" w14:paraId="2A413E0D" w14:textId="77777777" w:rsidTr="00481847">
      <w:trPr>
        <w:trHeight w:val="227"/>
      </w:trPr>
      <w:tc>
        <w:tcPr>
          <w:tcW w:w="3403" w:type="dxa"/>
          <w:hideMark/>
        </w:tcPr>
        <w:p w14:paraId="032C9FEB" w14:textId="77777777" w:rsidR="00B37245" w:rsidRPr="00641471" w:rsidRDefault="00B37245"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6520" w:type="dxa"/>
          <w:hideMark/>
        </w:tcPr>
        <w:p w14:paraId="61FFB7F6" w14:textId="77777777" w:rsidR="00B37245" w:rsidRPr="00641471" w:rsidRDefault="00B37245" w:rsidP="00536138">
          <w:pPr>
            <w:spacing w:after="120" w:line="256" w:lineRule="auto"/>
            <w:ind w:left="-486" w:right="214" w:firstLine="1585"/>
            <w:jc w:val="right"/>
            <w:rPr>
              <w:rFonts w:ascii="Palatino Linotype" w:hAnsi="Palatino Linotype" w:cs="Arial"/>
              <w:b/>
              <w:szCs w:val="20"/>
            </w:rPr>
          </w:pPr>
          <w:r w:rsidRPr="00641471">
            <w:rPr>
              <w:rFonts w:ascii="Palatino Linotype" w:hAnsi="Palatino Linotype" w:cs="Arial"/>
              <w:b/>
              <w:bCs/>
              <w:sz w:val="24"/>
              <w:lang w:eastAsia="es-MX"/>
            </w:rPr>
            <w:t>0</w:t>
          </w:r>
          <w:r w:rsidR="00536138">
            <w:rPr>
              <w:rFonts w:ascii="Palatino Linotype" w:hAnsi="Palatino Linotype" w:cs="Arial"/>
              <w:b/>
              <w:bCs/>
              <w:sz w:val="24"/>
              <w:lang w:eastAsia="es-MX"/>
            </w:rPr>
            <w:t>4095/INFOEM/IP/RR/2024</w:t>
          </w:r>
        </w:p>
      </w:tc>
    </w:tr>
    <w:tr w:rsidR="00B37245" w14:paraId="3DE61B1B" w14:textId="77777777" w:rsidTr="00481847">
      <w:trPr>
        <w:trHeight w:val="242"/>
      </w:trPr>
      <w:tc>
        <w:tcPr>
          <w:tcW w:w="3403" w:type="dxa"/>
          <w:hideMark/>
        </w:tcPr>
        <w:p w14:paraId="23F62F7F" w14:textId="77777777" w:rsidR="00B37245" w:rsidRPr="00641471" w:rsidRDefault="00B37245"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6520" w:type="dxa"/>
          <w:hideMark/>
        </w:tcPr>
        <w:p w14:paraId="3688EC82" w14:textId="77777777" w:rsidR="00B37245" w:rsidRPr="00641471" w:rsidRDefault="00B37245" w:rsidP="000E48BC">
          <w:pPr>
            <w:spacing w:after="120" w:line="256" w:lineRule="auto"/>
            <w:ind w:left="-486" w:right="214" w:firstLine="284"/>
            <w:jc w:val="right"/>
            <w:rPr>
              <w:rFonts w:ascii="Palatino Linotype" w:hAnsi="Palatino Linotype" w:cs="Arial"/>
              <w:b/>
              <w:szCs w:val="20"/>
            </w:rPr>
          </w:pPr>
          <w:r w:rsidRPr="00481847">
            <w:rPr>
              <w:rFonts w:ascii="Palatino Linotype" w:hAnsi="Palatino Linotype" w:cs="Arial"/>
              <w:b/>
              <w:szCs w:val="20"/>
            </w:rPr>
            <w:t>Organismo Público Descentralizado para la Prestación de Los Servicios de Agua Potable Alcantarillado y Saneamiento del Municipio de la Paz México, OPDAPAS</w:t>
          </w:r>
        </w:p>
      </w:tc>
    </w:tr>
    <w:tr w:rsidR="00B37245" w14:paraId="5FF5D41A" w14:textId="77777777" w:rsidTr="00481847">
      <w:trPr>
        <w:trHeight w:val="342"/>
      </w:trPr>
      <w:tc>
        <w:tcPr>
          <w:tcW w:w="3403" w:type="dxa"/>
          <w:hideMark/>
        </w:tcPr>
        <w:p w14:paraId="3FAAB985" w14:textId="77777777" w:rsidR="00B37245" w:rsidRPr="00641471" w:rsidRDefault="00B37245"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6520" w:type="dxa"/>
          <w:hideMark/>
        </w:tcPr>
        <w:p w14:paraId="139BED93" w14:textId="77777777" w:rsidR="00B37245" w:rsidRPr="00641471" w:rsidRDefault="00B37245"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4D6D005" w14:textId="77777777" w:rsidR="00B37245" w:rsidRPr="00AE046A" w:rsidRDefault="00B37245"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D123551" wp14:editId="6E944561">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3545"/>
      <w:gridCol w:w="6520"/>
    </w:tblGrid>
    <w:tr w:rsidR="00B37245" w14:paraId="5BEE1FC8" w14:textId="77777777" w:rsidTr="00481847">
      <w:trPr>
        <w:trHeight w:val="227"/>
      </w:trPr>
      <w:tc>
        <w:tcPr>
          <w:tcW w:w="3545" w:type="dxa"/>
          <w:hideMark/>
        </w:tcPr>
        <w:p w14:paraId="06681386" w14:textId="77777777" w:rsidR="00B37245" w:rsidRPr="00641471" w:rsidRDefault="00B37245"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6520" w:type="dxa"/>
          <w:hideMark/>
        </w:tcPr>
        <w:p w14:paraId="61C19E98" w14:textId="77777777" w:rsidR="00B37245" w:rsidRPr="00641471" w:rsidRDefault="00B37245" w:rsidP="00536138">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536138">
            <w:rPr>
              <w:rFonts w:ascii="Palatino Linotype" w:hAnsi="Palatino Linotype" w:cs="Arial"/>
              <w:b/>
              <w:bCs/>
              <w:sz w:val="24"/>
              <w:lang w:eastAsia="es-MX"/>
            </w:rPr>
            <w:t>4095/INFOEM/IP/RR/2024</w:t>
          </w:r>
        </w:p>
      </w:tc>
    </w:tr>
    <w:tr w:rsidR="00B37245" w14:paraId="5D1379CE" w14:textId="77777777" w:rsidTr="00481847">
      <w:trPr>
        <w:trHeight w:val="242"/>
      </w:trPr>
      <w:tc>
        <w:tcPr>
          <w:tcW w:w="3545" w:type="dxa"/>
          <w:hideMark/>
        </w:tcPr>
        <w:p w14:paraId="59463171" w14:textId="77777777" w:rsidR="00B37245" w:rsidRPr="00641471" w:rsidRDefault="00B37245"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6520" w:type="dxa"/>
          <w:hideMark/>
        </w:tcPr>
        <w:p w14:paraId="74E3AA91" w14:textId="77777777" w:rsidR="00B37245" w:rsidRPr="00641471" w:rsidRDefault="00B37245" w:rsidP="00AE6CFE">
          <w:pPr>
            <w:spacing w:after="120" w:line="256" w:lineRule="auto"/>
            <w:ind w:left="-486" w:right="214" w:firstLine="284"/>
            <w:jc w:val="right"/>
            <w:rPr>
              <w:rFonts w:ascii="Palatino Linotype" w:hAnsi="Palatino Linotype" w:cs="Arial"/>
              <w:b/>
              <w:szCs w:val="20"/>
            </w:rPr>
          </w:pPr>
          <w:r w:rsidRPr="00481847">
            <w:rPr>
              <w:rFonts w:ascii="Palatino Linotype" w:hAnsi="Palatino Linotype" w:cs="Arial"/>
              <w:b/>
              <w:szCs w:val="20"/>
            </w:rPr>
            <w:t>Organismo Público Descentralizado para la Prestación de Los Servicios de Agua Potable Alcantarillado y Saneamiento del Municipio de la Paz México, OPDAPAS</w:t>
          </w:r>
        </w:p>
      </w:tc>
    </w:tr>
    <w:tr w:rsidR="00B37245" w14:paraId="2FE56F77" w14:textId="77777777" w:rsidTr="00481847">
      <w:trPr>
        <w:trHeight w:val="342"/>
      </w:trPr>
      <w:tc>
        <w:tcPr>
          <w:tcW w:w="3545" w:type="dxa"/>
        </w:tcPr>
        <w:p w14:paraId="4F34BADD" w14:textId="77777777" w:rsidR="00B37245" w:rsidRPr="00641471" w:rsidRDefault="00B37245"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6520" w:type="dxa"/>
        </w:tcPr>
        <w:p w14:paraId="34F180C2" w14:textId="59DBA0CC" w:rsidR="00B37245" w:rsidRPr="00641471" w:rsidRDefault="008A1898" w:rsidP="000E48BC">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w:t>
          </w:r>
          <w:r w:rsidR="00B37245" w:rsidRPr="00481847">
            <w:rPr>
              <w:rFonts w:ascii="Palatino Linotype" w:hAnsi="Palatino Linotype" w:cs="Arial"/>
              <w:b/>
            </w:rPr>
            <w:t xml:space="preserve"> </w:t>
          </w:r>
          <w:r w:rsidR="00B37245">
            <w:rPr>
              <w:rFonts w:ascii="Palatino Linotype" w:hAnsi="Palatino Linotype" w:cs="Arial"/>
              <w:b/>
              <w:noProof/>
              <w:szCs w:val="20"/>
              <w:lang w:eastAsia="es-MX"/>
            </w:rPr>
            <w:drawing>
              <wp:anchor distT="0" distB="0" distL="114300" distR="114300" simplePos="0" relativeHeight="251659264" behindDoc="1" locked="0" layoutInCell="0" allowOverlap="1" wp14:anchorId="49369C3D" wp14:editId="4F14AFB1">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B37245" w14:paraId="1F8FC9B3" w14:textId="77777777" w:rsidTr="00481847">
      <w:trPr>
        <w:trHeight w:val="342"/>
      </w:trPr>
      <w:tc>
        <w:tcPr>
          <w:tcW w:w="3545" w:type="dxa"/>
        </w:tcPr>
        <w:p w14:paraId="0FF1EBAB" w14:textId="77777777" w:rsidR="00B37245" w:rsidRPr="00641471" w:rsidRDefault="00B37245"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6520" w:type="dxa"/>
        </w:tcPr>
        <w:p w14:paraId="4EEAC4E1" w14:textId="77777777" w:rsidR="00B37245" w:rsidRPr="00641471" w:rsidRDefault="00B37245"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6A39A953" w14:textId="77777777" w:rsidR="00B37245" w:rsidRPr="00C222C0" w:rsidRDefault="00B37245">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8CC"/>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CD6C0B"/>
    <w:multiLevelType w:val="hybridMultilevel"/>
    <w:tmpl w:val="78863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89788E"/>
    <w:multiLevelType w:val="hybridMultilevel"/>
    <w:tmpl w:val="41666F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9406BD"/>
    <w:multiLevelType w:val="hybridMultilevel"/>
    <w:tmpl w:val="D67CF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561FEA"/>
    <w:multiLevelType w:val="hybridMultilevel"/>
    <w:tmpl w:val="3AEE4D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BE765D"/>
    <w:multiLevelType w:val="hybridMultilevel"/>
    <w:tmpl w:val="5628C11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6346C72"/>
    <w:multiLevelType w:val="multilevel"/>
    <w:tmpl w:val="0868DF3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B430E68"/>
    <w:multiLevelType w:val="hybridMultilevel"/>
    <w:tmpl w:val="C4CC45C0"/>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1C3A0345"/>
    <w:multiLevelType w:val="hybridMultilevel"/>
    <w:tmpl w:val="7F6A6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E82D54"/>
    <w:multiLevelType w:val="hybridMultilevel"/>
    <w:tmpl w:val="DD4074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7E110B"/>
    <w:multiLevelType w:val="hybridMultilevel"/>
    <w:tmpl w:val="4BDE0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3B5EBF"/>
    <w:multiLevelType w:val="hybridMultilevel"/>
    <w:tmpl w:val="A96887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E58209B"/>
    <w:multiLevelType w:val="hybridMultilevel"/>
    <w:tmpl w:val="74C0849A"/>
    <w:lvl w:ilvl="0" w:tplc="B13CCA9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D5633"/>
    <w:multiLevelType w:val="hybridMultilevel"/>
    <w:tmpl w:val="47306AF8"/>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9814068"/>
    <w:multiLevelType w:val="hybridMultilevel"/>
    <w:tmpl w:val="78863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F31A49"/>
    <w:multiLevelType w:val="hybridMultilevel"/>
    <w:tmpl w:val="53962D72"/>
    <w:lvl w:ilvl="0" w:tplc="F62EF3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25487A"/>
    <w:multiLevelType w:val="hybridMultilevel"/>
    <w:tmpl w:val="1F322882"/>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4029C9"/>
    <w:multiLevelType w:val="hybridMultilevel"/>
    <w:tmpl w:val="8244E95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CF5DB3"/>
    <w:multiLevelType w:val="hybridMultilevel"/>
    <w:tmpl w:val="E62253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080DAC"/>
    <w:multiLevelType w:val="hybridMultilevel"/>
    <w:tmpl w:val="6C16FF9C"/>
    <w:lvl w:ilvl="0" w:tplc="24B8E7FC">
      <w:start w:val="1"/>
      <w:numFmt w:val="upperRoman"/>
      <w:lvlText w:val="%1."/>
      <w:lvlJc w:val="right"/>
      <w:pPr>
        <w:ind w:left="720" w:hanging="360"/>
      </w:pPr>
      <w:rPr>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133E9B"/>
    <w:multiLevelType w:val="hybridMultilevel"/>
    <w:tmpl w:val="13A4B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312157"/>
    <w:multiLevelType w:val="hybridMultilevel"/>
    <w:tmpl w:val="D67CF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ED3BE8"/>
    <w:multiLevelType w:val="hybridMultilevel"/>
    <w:tmpl w:val="E4F4F0B6"/>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A6A6CC8"/>
    <w:multiLevelType w:val="hybridMultilevel"/>
    <w:tmpl w:val="43F69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8D109C"/>
    <w:multiLevelType w:val="hybridMultilevel"/>
    <w:tmpl w:val="AC886A5A"/>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F52932"/>
    <w:multiLevelType w:val="hybridMultilevel"/>
    <w:tmpl w:val="1A36E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F948A5"/>
    <w:multiLevelType w:val="hybridMultilevel"/>
    <w:tmpl w:val="684A3C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8329AD"/>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D21D8"/>
    <w:multiLevelType w:val="hybridMultilevel"/>
    <w:tmpl w:val="2DB4CB9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B41FC5"/>
    <w:multiLevelType w:val="multilevel"/>
    <w:tmpl w:val="28663BBE"/>
    <w:lvl w:ilvl="0">
      <w:start w:val="1"/>
      <w:numFmt w:val="decimal"/>
      <w:lvlText w:val="%1."/>
      <w:lvlJc w:val="left"/>
      <w:pPr>
        <w:ind w:left="1429" w:hanging="360"/>
      </w:pPr>
      <w:rPr>
        <w:b/>
      </w:rPr>
    </w:lvl>
    <w:lvl w:ilvl="1">
      <w:start w:val="1"/>
      <w:numFmt w:val="decimal"/>
      <w:isLgl/>
      <w:lvlText w:val="%1.%2"/>
      <w:lvlJc w:val="left"/>
      <w:pPr>
        <w:ind w:left="1789" w:hanging="360"/>
      </w:pPr>
      <w:rPr>
        <w:rFonts w:hint="default"/>
        <w:b/>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37" w15:restartNumberingAfterBreak="0">
    <w:nsid w:val="6D57699F"/>
    <w:multiLevelType w:val="hybridMultilevel"/>
    <w:tmpl w:val="92740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711786"/>
    <w:multiLevelType w:val="hybridMultilevel"/>
    <w:tmpl w:val="44560B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0E4230"/>
    <w:multiLevelType w:val="hybridMultilevel"/>
    <w:tmpl w:val="0E9E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893457"/>
    <w:multiLevelType w:val="hybridMultilevel"/>
    <w:tmpl w:val="7C14A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D40802"/>
    <w:multiLevelType w:val="hybridMultilevel"/>
    <w:tmpl w:val="CDFA7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8E7A24"/>
    <w:multiLevelType w:val="hybridMultilevel"/>
    <w:tmpl w:val="1F66E1E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39"/>
  </w:num>
  <w:num w:numId="3">
    <w:abstractNumId w:val="13"/>
  </w:num>
  <w:num w:numId="4">
    <w:abstractNumId w:val="17"/>
  </w:num>
  <w:num w:numId="5">
    <w:abstractNumId w:val="22"/>
  </w:num>
  <w:num w:numId="6">
    <w:abstractNumId w:val="41"/>
  </w:num>
  <w:num w:numId="7">
    <w:abstractNumId w:val="7"/>
  </w:num>
  <w:num w:numId="8">
    <w:abstractNumId w:val="42"/>
  </w:num>
  <w:num w:numId="9">
    <w:abstractNumId w:val="6"/>
  </w:num>
  <w:num w:numId="10">
    <w:abstractNumId w:val="8"/>
  </w:num>
  <w:num w:numId="11">
    <w:abstractNumId w:val="36"/>
  </w:num>
  <w:num w:numId="12">
    <w:abstractNumId w:val="26"/>
  </w:num>
  <w:num w:numId="13">
    <w:abstractNumId w:val="24"/>
  </w:num>
  <w:num w:numId="14">
    <w:abstractNumId w:val="18"/>
  </w:num>
  <w:num w:numId="15">
    <w:abstractNumId w:val="32"/>
  </w:num>
  <w:num w:numId="16">
    <w:abstractNumId w:val="35"/>
  </w:num>
  <w:num w:numId="17">
    <w:abstractNumId w:val="30"/>
  </w:num>
  <w:num w:numId="18">
    <w:abstractNumId w:val="10"/>
  </w:num>
  <w:num w:numId="19">
    <w:abstractNumId w:val="2"/>
  </w:num>
  <w:num w:numId="20">
    <w:abstractNumId w:val="25"/>
  </w:num>
  <w:num w:numId="21">
    <w:abstractNumId w:val="38"/>
  </w:num>
  <w:num w:numId="22">
    <w:abstractNumId w:val="28"/>
  </w:num>
  <w:num w:numId="23">
    <w:abstractNumId w:val="14"/>
  </w:num>
  <w:num w:numId="24">
    <w:abstractNumId w:val="3"/>
  </w:num>
  <w:num w:numId="25">
    <w:abstractNumId w:val="1"/>
  </w:num>
  <w:num w:numId="26">
    <w:abstractNumId w:val="15"/>
  </w:num>
  <w:num w:numId="27">
    <w:abstractNumId w:val="33"/>
  </w:num>
  <w:num w:numId="28">
    <w:abstractNumId w:val="37"/>
  </w:num>
  <w:num w:numId="29">
    <w:abstractNumId w:val="20"/>
  </w:num>
  <w:num w:numId="30">
    <w:abstractNumId w:val="11"/>
  </w:num>
  <w:num w:numId="31">
    <w:abstractNumId w:val="21"/>
  </w:num>
  <w:num w:numId="32">
    <w:abstractNumId w:val="0"/>
  </w:num>
  <w:num w:numId="33">
    <w:abstractNumId w:val="16"/>
  </w:num>
  <w:num w:numId="34">
    <w:abstractNumId w:val="4"/>
  </w:num>
  <w:num w:numId="35">
    <w:abstractNumId w:val="19"/>
  </w:num>
  <w:num w:numId="36">
    <w:abstractNumId w:val="29"/>
  </w:num>
  <w:num w:numId="37">
    <w:abstractNumId w:val="34"/>
  </w:num>
  <w:num w:numId="38">
    <w:abstractNumId w:val="12"/>
  </w:num>
  <w:num w:numId="39">
    <w:abstractNumId w:val="40"/>
  </w:num>
  <w:num w:numId="40">
    <w:abstractNumId w:val="27"/>
  </w:num>
  <w:num w:numId="41">
    <w:abstractNumId w:val="31"/>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1847"/>
    <w:rsid w:val="00011DB0"/>
    <w:rsid w:val="0001389D"/>
    <w:rsid w:val="000270F6"/>
    <w:rsid w:val="00037119"/>
    <w:rsid w:val="00037DF7"/>
    <w:rsid w:val="000430C0"/>
    <w:rsid w:val="00060A61"/>
    <w:rsid w:val="00062E5C"/>
    <w:rsid w:val="0007156D"/>
    <w:rsid w:val="0007232C"/>
    <w:rsid w:val="00075C7B"/>
    <w:rsid w:val="00077EE1"/>
    <w:rsid w:val="00080816"/>
    <w:rsid w:val="00080F9A"/>
    <w:rsid w:val="00095BCC"/>
    <w:rsid w:val="000B5266"/>
    <w:rsid w:val="000B597B"/>
    <w:rsid w:val="000C07B1"/>
    <w:rsid w:val="000C4AE0"/>
    <w:rsid w:val="000C56C8"/>
    <w:rsid w:val="000C5A81"/>
    <w:rsid w:val="000D5258"/>
    <w:rsid w:val="000E3242"/>
    <w:rsid w:val="000E48BC"/>
    <w:rsid w:val="000E5451"/>
    <w:rsid w:val="000F7289"/>
    <w:rsid w:val="00111045"/>
    <w:rsid w:val="00132F30"/>
    <w:rsid w:val="00146C7A"/>
    <w:rsid w:val="001524BB"/>
    <w:rsid w:val="00161089"/>
    <w:rsid w:val="00163EF0"/>
    <w:rsid w:val="001821B1"/>
    <w:rsid w:val="001833E4"/>
    <w:rsid w:val="001928E8"/>
    <w:rsid w:val="001C0B6D"/>
    <w:rsid w:val="001D09AD"/>
    <w:rsid w:val="001D5FB7"/>
    <w:rsid w:val="001E5015"/>
    <w:rsid w:val="001E545E"/>
    <w:rsid w:val="001E7D41"/>
    <w:rsid w:val="001F4700"/>
    <w:rsid w:val="00216A40"/>
    <w:rsid w:val="0022324E"/>
    <w:rsid w:val="00267098"/>
    <w:rsid w:val="00270F16"/>
    <w:rsid w:val="00271749"/>
    <w:rsid w:val="00276A62"/>
    <w:rsid w:val="00277F19"/>
    <w:rsid w:val="002815B1"/>
    <w:rsid w:val="00287D4A"/>
    <w:rsid w:val="002C1B78"/>
    <w:rsid w:val="002D54D9"/>
    <w:rsid w:val="002D72D4"/>
    <w:rsid w:val="002E6E16"/>
    <w:rsid w:val="002F011A"/>
    <w:rsid w:val="002F2EC3"/>
    <w:rsid w:val="003019EE"/>
    <w:rsid w:val="00303230"/>
    <w:rsid w:val="0032416D"/>
    <w:rsid w:val="003241B9"/>
    <w:rsid w:val="00331C86"/>
    <w:rsid w:val="00333F2E"/>
    <w:rsid w:val="00334773"/>
    <w:rsid w:val="00361BE1"/>
    <w:rsid w:val="0036628B"/>
    <w:rsid w:val="00391A4A"/>
    <w:rsid w:val="00396A85"/>
    <w:rsid w:val="003A0DEF"/>
    <w:rsid w:val="003A6068"/>
    <w:rsid w:val="003A72D8"/>
    <w:rsid w:val="003A733D"/>
    <w:rsid w:val="003B629F"/>
    <w:rsid w:val="003C1AED"/>
    <w:rsid w:val="003C32A2"/>
    <w:rsid w:val="003D0C8D"/>
    <w:rsid w:val="003E41FC"/>
    <w:rsid w:val="003F700B"/>
    <w:rsid w:val="0042062F"/>
    <w:rsid w:val="00423B7C"/>
    <w:rsid w:val="00431E3F"/>
    <w:rsid w:val="00445F67"/>
    <w:rsid w:val="00446B23"/>
    <w:rsid w:val="004617D4"/>
    <w:rsid w:val="0046244E"/>
    <w:rsid w:val="004630F0"/>
    <w:rsid w:val="00464BF3"/>
    <w:rsid w:val="00481847"/>
    <w:rsid w:val="004821A2"/>
    <w:rsid w:val="00484044"/>
    <w:rsid w:val="0049385D"/>
    <w:rsid w:val="00493B5B"/>
    <w:rsid w:val="004A0041"/>
    <w:rsid w:val="004A236F"/>
    <w:rsid w:val="004B0991"/>
    <w:rsid w:val="004C6ECC"/>
    <w:rsid w:val="004D1EE3"/>
    <w:rsid w:val="004D6C48"/>
    <w:rsid w:val="00505597"/>
    <w:rsid w:val="00524821"/>
    <w:rsid w:val="005265C8"/>
    <w:rsid w:val="00536138"/>
    <w:rsid w:val="00536EB3"/>
    <w:rsid w:val="005561A7"/>
    <w:rsid w:val="005650A3"/>
    <w:rsid w:val="0056576D"/>
    <w:rsid w:val="0058141C"/>
    <w:rsid w:val="00583C45"/>
    <w:rsid w:val="00594F0C"/>
    <w:rsid w:val="005B2C06"/>
    <w:rsid w:val="005B33F0"/>
    <w:rsid w:val="005B3811"/>
    <w:rsid w:val="005B463D"/>
    <w:rsid w:val="005B513A"/>
    <w:rsid w:val="005C7813"/>
    <w:rsid w:val="005D6574"/>
    <w:rsid w:val="005E7EB6"/>
    <w:rsid w:val="005F3D5F"/>
    <w:rsid w:val="00603094"/>
    <w:rsid w:val="00604AD4"/>
    <w:rsid w:val="00630E8F"/>
    <w:rsid w:val="00632111"/>
    <w:rsid w:val="00632128"/>
    <w:rsid w:val="00634FCB"/>
    <w:rsid w:val="00636E12"/>
    <w:rsid w:val="00637CFB"/>
    <w:rsid w:val="00644198"/>
    <w:rsid w:val="0065585D"/>
    <w:rsid w:val="00663E25"/>
    <w:rsid w:val="00665EE3"/>
    <w:rsid w:val="00674813"/>
    <w:rsid w:val="006868C2"/>
    <w:rsid w:val="00687AC9"/>
    <w:rsid w:val="00690132"/>
    <w:rsid w:val="006A347A"/>
    <w:rsid w:val="006B2448"/>
    <w:rsid w:val="006B3626"/>
    <w:rsid w:val="006F28E0"/>
    <w:rsid w:val="00700B95"/>
    <w:rsid w:val="00703DF5"/>
    <w:rsid w:val="007040A9"/>
    <w:rsid w:val="0070714D"/>
    <w:rsid w:val="007237EB"/>
    <w:rsid w:val="00732548"/>
    <w:rsid w:val="007422A1"/>
    <w:rsid w:val="00746221"/>
    <w:rsid w:val="0076395D"/>
    <w:rsid w:val="00763B45"/>
    <w:rsid w:val="0077234C"/>
    <w:rsid w:val="00774811"/>
    <w:rsid w:val="00792F2E"/>
    <w:rsid w:val="00793F28"/>
    <w:rsid w:val="00795056"/>
    <w:rsid w:val="007A0582"/>
    <w:rsid w:val="007A5366"/>
    <w:rsid w:val="007C44BC"/>
    <w:rsid w:val="007E2BAA"/>
    <w:rsid w:val="0080420B"/>
    <w:rsid w:val="0082689A"/>
    <w:rsid w:val="00830B55"/>
    <w:rsid w:val="00831383"/>
    <w:rsid w:val="00862900"/>
    <w:rsid w:val="008759AB"/>
    <w:rsid w:val="00875CB2"/>
    <w:rsid w:val="00875FA4"/>
    <w:rsid w:val="00877EE5"/>
    <w:rsid w:val="00882E49"/>
    <w:rsid w:val="008871F9"/>
    <w:rsid w:val="00896678"/>
    <w:rsid w:val="008A1898"/>
    <w:rsid w:val="008B425D"/>
    <w:rsid w:val="008D3226"/>
    <w:rsid w:val="008D724F"/>
    <w:rsid w:val="008E0733"/>
    <w:rsid w:val="008E133B"/>
    <w:rsid w:val="008E7417"/>
    <w:rsid w:val="008E7C35"/>
    <w:rsid w:val="008F46FB"/>
    <w:rsid w:val="008F58ED"/>
    <w:rsid w:val="00900B21"/>
    <w:rsid w:val="00904A13"/>
    <w:rsid w:val="009054D4"/>
    <w:rsid w:val="009221D8"/>
    <w:rsid w:val="009230C8"/>
    <w:rsid w:val="00924E63"/>
    <w:rsid w:val="00934D93"/>
    <w:rsid w:val="009402D4"/>
    <w:rsid w:val="0094208A"/>
    <w:rsid w:val="00967366"/>
    <w:rsid w:val="009727AB"/>
    <w:rsid w:val="0098386E"/>
    <w:rsid w:val="00991849"/>
    <w:rsid w:val="009A2F2B"/>
    <w:rsid w:val="009A421F"/>
    <w:rsid w:val="009A54E1"/>
    <w:rsid w:val="009D0EF0"/>
    <w:rsid w:val="009D2CB0"/>
    <w:rsid w:val="009D3512"/>
    <w:rsid w:val="009D37A1"/>
    <w:rsid w:val="009D491E"/>
    <w:rsid w:val="009E30B8"/>
    <w:rsid w:val="009F0799"/>
    <w:rsid w:val="009F0F80"/>
    <w:rsid w:val="009F1F82"/>
    <w:rsid w:val="009F4E88"/>
    <w:rsid w:val="00A11B4F"/>
    <w:rsid w:val="00A22134"/>
    <w:rsid w:val="00A275A3"/>
    <w:rsid w:val="00A3088D"/>
    <w:rsid w:val="00A37F70"/>
    <w:rsid w:val="00A37F9B"/>
    <w:rsid w:val="00A46A80"/>
    <w:rsid w:val="00A47850"/>
    <w:rsid w:val="00A50317"/>
    <w:rsid w:val="00A5090D"/>
    <w:rsid w:val="00A5342E"/>
    <w:rsid w:val="00A72F3A"/>
    <w:rsid w:val="00A777C8"/>
    <w:rsid w:val="00A813D7"/>
    <w:rsid w:val="00A83393"/>
    <w:rsid w:val="00A86010"/>
    <w:rsid w:val="00A94CA4"/>
    <w:rsid w:val="00AB5091"/>
    <w:rsid w:val="00AE2221"/>
    <w:rsid w:val="00AE516A"/>
    <w:rsid w:val="00AE6CFE"/>
    <w:rsid w:val="00AE728A"/>
    <w:rsid w:val="00AF604B"/>
    <w:rsid w:val="00B07545"/>
    <w:rsid w:val="00B224D6"/>
    <w:rsid w:val="00B2365D"/>
    <w:rsid w:val="00B251BB"/>
    <w:rsid w:val="00B37245"/>
    <w:rsid w:val="00B4001D"/>
    <w:rsid w:val="00B44C42"/>
    <w:rsid w:val="00B53E25"/>
    <w:rsid w:val="00B56286"/>
    <w:rsid w:val="00B60D6F"/>
    <w:rsid w:val="00B65750"/>
    <w:rsid w:val="00B805E0"/>
    <w:rsid w:val="00B81AB8"/>
    <w:rsid w:val="00B83B1E"/>
    <w:rsid w:val="00B90864"/>
    <w:rsid w:val="00B90DDD"/>
    <w:rsid w:val="00BA2670"/>
    <w:rsid w:val="00BB26D6"/>
    <w:rsid w:val="00BC3D16"/>
    <w:rsid w:val="00BE424E"/>
    <w:rsid w:val="00BF384E"/>
    <w:rsid w:val="00C04A48"/>
    <w:rsid w:val="00C05597"/>
    <w:rsid w:val="00C10B89"/>
    <w:rsid w:val="00C115B8"/>
    <w:rsid w:val="00C26EA1"/>
    <w:rsid w:val="00C467F2"/>
    <w:rsid w:val="00C553FE"/>
    <w:rsid w:val="00C73E22"/>
    <w:rsid w:val="00C82C61"/>
    <w:rsid w:val="00C9011F"/>
    <w:rsid w:val="00C91274"/>
    <w:rsid w:val="00CC0B24"/>
    <w:rsid w:val="00CC3A7B"/>
    <w:rsid w:val="00CC70A6"/>
    <w:rsid w:val="00CD5FD2"/>
    <w:rsid w:val="00CE0CDF"/>
    <w:rsid w:val="00CE4D2D"/>
    <w:rsid w:val="00D01984"/>
    <w:rsid w:val="00D0256D"/>
    <w:rsid w:val="00D04109"/>
    <w:rsid w:val="00D06424"/>
    <w:rsid w:val="00D1118B"/>
    <w:rsid w:val="00D30F4A"/>
    <w:rsid w:val="00D33044"/>
    <w:rsid w:val="00D33A27"/>
    <w:rsid w:val="00D355A5"/>
    <w:rsid w:val="00D41136"/>
    <w:rsid w:val="00D42A53"/>
    <w:rsid w:val="00D50522"/>
    <w:rsid w:val="00D578EA"/>
    <w:rsid w:val="00D64608"/>
    <w:rsid w:val="00D64B24"/>
    <w:rsid w:val="00D76900"/>
    <w:rsid w:val="00D80E72"/>
    <w:rsid w:val="00D814E2"/>
    <w:rsid w:val="00DA0488"/>
    <w:rsid w:val="00DB0190"/>
    <w:rsid w:val="00DB79BB"/>
    <w:rsid w:val="00DC28AC"/>
    <w:rsid w:val="00DF4F32"/>
    <w:rsid w:val="00E0397D"/>
    <w:rsid w:val="00E07A15"/>
    <w:rsid w:val="00E11D45"/>
    <w:rsid w:val="00E12B58"/>
    <w:rsid w:val="00E62766"/>
    <w:rsid w:val="00E644F2"/>
    <w:rsid w:val="00E7148B"/>
    <w:rsid w:val="00E7526D"/>
    <w:rsid w:val="00E75F2D"/>
    <w:rsid w:val="00E84802"/>
    <w:rsid w:val="00E85A7E"/>
    <w:rsid w:val="00E8746F"/>
    <w:rsid w:val="00E87C3A"/>
    <w:rsid w:val="00EA52DD"/>
    <w:rsid w:val="00EB15C4"/>
    <w:rsid w:val="00EB720B"/>
    <w:rsid w:val="00ED6CE2"/>
    <w:rsid w:val="00F07754"/>
    <w:rsid w:val="00F16E46"/>
    <w:rsid w:val="00F21218"/>
    <w:rsid w:val="00F31BC8"/>
    <w:rsid w:val="00F320A9"/>
    <w:rsid w:val="00F4641C"/>
    <w:rsid w:val="00F8127B"/>
    <w:rsid w:val="00F9094D"/>
    <w:rsid w:val="00F922F3"/>
    <w:rsid w:val="00FA4050"/>
    <w:rsid w:val="00FA7BE0"/>
    <w:rsid w:val="00FB044B"/>
    <w:rsid w:val="00FB5211"/>
    <w:rsid w:val="00FB782A"/>
    <w:rsid w:val="00FC1AC6"/>
    <w:rsid w:val="00FC260C"/>
    <w:rsid w:val="00FC4BAC"/>
    <w:rsid w:val="00FD04D4"/>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B133E5"/>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basedOn w:val="Normal"/>
    <w:link w:val="TextonotapieCar"/>
    <w:uiPriority w:val="99"/>
    <w:unhideWhenUsed/>
    <w:rsid w:val="000E48BC"/>
    <w:pPr>
      <w:spacing w:after="0" w:line="240" w:lineRule="auto"/>
    </w:pPr>
    <w:rPr>
      <w:sz w:val="20"/>
      <w:szCs w:val="20"/>
    </w:rPr>
  </w:style>
  <w:style w:type="character" w:customStyle="1" w:styleId="TextonotapieCar">
    <w:name w:val="Texto nota pie Car"/>
    <w:basedOn w:val="Fuentedeprrafopredeter"/>
    <w:link w:val="Textonotapie"/>
    <w:uiPriority w:val="99"/>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A6068"/>
  </w:style>
  <w:style w:type="table" w:customStyle="1" w:styleId="Tablaconcuadrcula31">
    <w:name w:val="Tabla con cuadrícula31"/>
    <w:basedOn w:val="Tablanormal"/>
    <w:uiPriority w:val="59"/>
    <w:rsid w:val="007C44BC"/>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DEEA3-89EE-459D-9B2C-D5E2594A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3617</Words>
  <Characters>19894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13</cp:revision>
  <dcterms:created xsi:type="dcterms:W3CDTF">2024-08-22T23:53:00Z</dcterms:created>
  <dcterms:modified xsi:type="dcterms:W3CDTF">2024-11-08T17:56:00Z</dcterms:modified>
</cp:coreProperties>
</file>