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82C" w:rsidRPr="00136DBA" w:rsidRDefault="009D482C" w:rsidP="009D482C">
      <w:pPr>
        <w:spacing w:line="360" w:lineRule="auto"/>
        <w:jc w:val="both"/>
        <w:rPr>
          <w:rFonts w:ascii="Palatino Linotype" w:eastAsiaTheme="minorEastAsia" w:hAnsi="Palatino Linotype"/>
          <w:sz w:val="22"/>
          <w:szCs w:val="22"/>
          <w:lang w:val="es-ES_tradnl" w:eastAsia="es-ES"/>
        </w:rPr>
      </w:pPr>
      <w:r w:rsidRPr="00136DBA">
        <w:rPr>
          <w:rFonts w:ascii="Palatino Linotype" w:eastAsiaTheme="minorEastAsia" w:hAnsi="Palatino Linotype"/>
          <w:sz w:val="22"/>
          <w:szCs w:val="22"/>
          <w:lang w:val="es-ES_tradnl" w:eastAsia="es-ES"/>
        </w:rPr>
        <w:t xml:space="preserve">Resolución del Pleno del Instituto de Transparencia, Acceso a la Información Pública y Protección de Datos Personales del Estado de México y Municipios, con domicilio en Metepec, Estado de México; del veintiuno (21) de noviembre de dos mil veinticuatro. </w:t>
      </w:r>
    </w:p>
    <w:p w:rsidR="009D482C" w:rsidRPr="00136DBA" w:rsidRDefault="009D482C" w:rsidP="009D482C">
      <w:pPr>
        <w:spacing w:line="360" w:lineRule="auto"/>
        <w:jc w:val="both"/>
        <w:rPr>
          <w:rFonts w:ascii="Palatino Linotype" w:eastAsiaTheme="minorEastAsia" w:hAnsi="Palatino Linotype"/>
          <w:sz w:val="22"/>
          <w:szCs w:val="22"/>
          <w:lang w:val="es-ES_tradnl" w:eastAsia="es-ES"/>
        </w:rPr>
      </w:pPr>
    </w:p>
    <w:p w:rsidR="009D482C" w:rsidRPr="00136DBA" w:rsidRDefault="009D482C" w:rsidP="009D482C">
      <w:pPr>
        <w:spacing w:line="360" w:lineRule="auto"/>
        <w:jc w:val="both"/>
        <w:rPr>
          <w:rFonts w:ascii="Palatino Linotype" w:hAnsi="Palatino Linotype"/>
          <w:sz w:val="22"/>
          <w:szCs w:val="22"/>
        </w:rPr>
      </w:pPr>
      <w:r w:rsidRPr="00136DBA">
        <w:rPr>
          <w:rFonts w:ascii="Palatino Linotype" w:hAnsi="Palatino Linotype"/>
          <w:b/>
          <w:sz w:val="22"/>
          <w:szCs w:val="22"/>
        </w:rPr>
        <w:t>VISTO</w:t>
      </w:r>
      <w:r w:rsidRPr="00136DBA">
        <w:rPr>
          <w:rFonts w:ascii="Palatino Linotype" w:hAnsi="Palatino Linotype"/>
          <w:sz w:val="22"/>
          <w:szCs w:val="22"/>
        </w:rPr>
        <w:t xml:space="preserve"> el expediente electrónico formado con motivo del recurso de revisión </w:t>
      </w:r>
      <w:r w:rsidRPr="00136DBA">
        <w:rPr>
          <w:rFonts w:ascii="Palatino Linotype" w:hAnsi="Palatino Linotype"/>
          <w:b/>
          <w:sz w:val="22"/>
          <w:szCs w:val="22"/>
        </w:rPr>
        <w:t>05768/INFOEM/IP/RR/2024,</w:t>
      </w:r>
      <w:r w:rsidRPr="00136DBA">
        <w:rPr>
          <w:rFonts w:ascii="Palatino Linotype" w:hAnsi="Palatino Linotype" w:cs="Arial"/>
          <w:b/>
          <w:bCs/>
          <w:sz w:val="22"/>
          <w:szCs w:val="22"/>
        </w:rPr>
        <w:t xml:space="preserve"> </w:t>
      </w:r>
      <w:r w:rsidRPr="00136DBA">
        <w:rPr>
          <w:rFonts w:ascii="Palatino Linotype" w:eastAsiaTheme="minorEastAsia" w:hAnsi="Palatino Linotype"/>
          <w:sz w:val="22"/>
          <w:szCs w:val="22"/>
          <w:lang w:val="es-ES_tradnl" w:eastAsia="es-ES"/>
        </w:rPr>
        <w:t>promovido por</w:t>
      </w:r>
      <w:r w:rsidRPr="00136DBA">
        <w:rPr>
          <w:rFonts w:ascii="Palatino Linotype" w:eastAsiaTheme="minorEastAsia" w:hAnsi="Palatino Linotype"/>
          <w:b/>
          <w:bCs/>
          <w:sz w:val="22"/>
          <w:szCs w:val="22"/>
          <w:lang w:eastAsia="es-ES"/>
        </w:rPr>
        <w:t xml:space="preserve"> </w:t>
      </w:r>
      <w:r w:rsidRPr="00136DBA">
        <w:rPr>
          <w:rFonts w:ascii="Palatino Linotype" w:eastAsiaTheme="minorEastAsia" w:hAnsi="Palatino Linotype"/>
          <w:bCs/>
          <w:sz w:val="22"/>
          <w:szCs w:val="22"/>
          <w:lang w:eastAsia="es-ES"/>
        </w:rPr>
        <w:t>un usuario que no proporcionó nombre,</w:t>
      </w:r>
      <w:r w:rsidRPr="00136DBA">
        <w:rPr>
          <w:rFonts w:ascii="Palatino Linotype" w:eastAsiaTheme="minorEastAsia" w:hAnsi="Palatino Linotype"/>
          <w:b/>
          <w:bCs/>
          <w:sz w:val="22"/>
          <w:szCs w:val="22"/>
          <w:lang w:eastAsia="es-ES"/>
        </w:rPr>
        <w:t xml:space="preserve"> </w:t>
      </w:r>
      <w:r w:rsidRPr="00136DBA">
        <w:rPr>
          <w:rFonts w:ascii="Palatino Linotype" w:eastAsiaTheme="minorEastAsia" w:hAnsi="Palatino Linotype"/>
          <w:sz w:val="22"/>
          <w:szCs w:val="22"/>
          <w:lang w:eastAsia="es-ES"/>
        </w:rPr>
        <w:t xml:space="preserve">quien </w:t>
      </w:r>
      <w:r w:rsidRPr="00136DBA">
        <w:rPr>
          <w:rFonts w:ascii="Palatino Linotype" w:hAnsi="Palatino Linotype"/>
          <w:sz w:val="22"/>
          <w:szCs w:val="22"/>
        </w:rPr>
        <w:t xml:space="preserve">en lo sucesivo se identificará como </w:t>
      </w:r>
      <w:r w:rsidRPr="00136DBA">
        <w:rPr>
          <w:rFonts w:ascii="Palatino Linotype" w:hAnsi="Palatino Linotype"/>
          <w:b/>
          <w:sz w:val="22"/>
          <w:szCs w:val="22"/>
        </w:rPr>
        <w:t xml:space="preserve">EL </w:t>
      </w:r>
      <w:r w:rsidRPr="00136DBA">
        <w:rPr>
          <w:rFonts w:ascii="Palatino Linotype" w:hAnsi="Palatino Linotype" w:cs="Arial"/>
          <w:b/>
          <w:sz w:val="22"/>
          <w:szCs w:val="22"/>
        </w:rPr>
        <w:t>RECURRENTE</w:t>
      </w:r>
      <w:r w:rsidRPr="00136DBA">
        <w:rPr>
          <w:rFonts w:ascii="Palatino Linotype" w:hAnsi="Palatino Linotype" w:cs="Arial"/>
          <w:sz w:val="22"/>
          <w:szCs w:val="22"/>
        </w:rPr>
        <w:t xml:space="preserve">, en contra de la respuesta de la </w:t>
      </w:r>
      <w:r w:rsidRPr="00136DBA">
        <w:rPr>
          <w:rFonts w:ascii="Palatino Linotype" w:hAnsi="Palatino Linotype" w:cs="Arial"/>
          <w:b/>
          <w:bCs/>
          <w:sz w:val="22"/>
          <w:szCs w:val="22"/>
        </w:rPr>
        <w:t xml:space="preserve">Oficialía Mayor, </w:t>
      </w:r>
      <w:r w:rsidRPr="00136DBA">
        <w:rPr>
          <w:rFonts w:ascii="Palatino Linotype" w:hAnsi="Palatino Linotype"/>
          <w:sz w:val="22"/>
          <w:szCs w:val="22"/>
        </w:rPr>
        <w:t>en lo sucesivo el</w:t>
      </w:r>
      <w:r w:rsidRPr="00136DBA">
        <w:rPr>
          <w:rFonts w:ascii="Palatino Linotype" w:hAnsi="Palatino Linotype"/>
          <w:b/>
          <w:sz w:val="22"/>
          <w:szCs w:val="22"/>
        </w:rPr>
        <w:t xml:space="preserve"> SUJETO OBLIGADO</w:t>
      </w:r>
      <w:r w:rsidRPr="00136DBA">
        <w:rPr>
          <w:rFonts w:ascii="Palatino Linotype" w:hAnsi="Palatino Linotype"/>
          <w:sz w:val="22"/>
          <w:szCs w:val="22"/>
        </w:rPr>
        <w:t>, por lo que se procede a dictar la presente resolución, con base en los siguientes:</w:t>
      </w:r>
    </w:p>
    <w:p w:rsidR="009D482C" w:rsidRPr="00136DBA" w:rsidRDefault="009D482C" w:rsidP="009D482C">
      <w:pPr>
        <w:spacing w:line="360" w:lineRule="auto"/>
        <w:jc w:val="both"/>
        <w:rPr>
          <w:rFonts w:ascii="Palatino Linotype" w:hAnsi="Palatino Linotype"/>
          <w:sz w:val="22"/>
          <w:szCs w:val="22"/>
        </w:rPr>
      </w:pPr>
    </w:p>
    <w:p w:rsidR="009D482C" w:rsidRPr="00136DBA" w:rsidRDefault="009D482C" w:rsidP="009D482C">
      <w:pPr>
        <w:keepNext/>
        <w:keepLines/>
        <w:spacing w:line="360" w:lineRule="auto"/>
        <w:jc w:val="center"/>
        <w:outlineLvl w:val="0"/>
        <w:rPr>
          <w:rFonts w:ascii="Palatino Linotype" w:eastAsiaTheme="majorEastAsia" w:hAnsi="Palatino Linotype" w:cstheme="majorBidi"/>
          <w:b/>
          <w:sz w:val="22"/>
          <w:szCs w:val="22"/>
        </w:rPr>
      </w:pPr>
      <w:bookmarkStart w:id="0" w:name="_Toc83301633"/>
      <w:r w:rsidRPr="00136DBA">
        <w:rPr>
          <w:rFonts w:ascii="Palatino Linotype" w:eastAsiaTheme="majorEastAsia" w:hAnsi="Palatino Linotype" w:cstheme="majorBidi"/>
          <w:b/>
          <w:sz w:val="22"/>
          <w:szCs w:val="22"/>
        </w:rPr>
        <w:t>ANTECEDENTES</w:t>
      </w:r>
      <w:bookmarkEnd w:id="0"/>
    </w:p>
    <w:p w:rsidR="009D482C" w:rsidRPr="00136DBA" w:rsidRDefault="009D482C" w:rsidP="009D482C">
      <w:pPr>
        <w:spacing w:line="360" w:lineRule="auto"/>
        <w:rPr>
          <w:rFonts w:ascii="Palatino Linotype" w:eastAsiaTheme="minorEastAsia" w:hAnsi="Palatino Linotype"/>
          <w:sz w:val="22"/>
          <w:szCs w:val="22"/>
        </w:rPr>
      </w:pPr>
    </w:p>
    <w:p w:rsidR="009D482C" w:rsidRPr="00136DBA" w:rsidRDefault="009D482C" w:rsidP="009D482C">
      <w:pPr>
        <w:numPr>
          <w:ilvl w:val="0"/>
          <w:numId w:val="1"/>
        </w:numPr>
        <w:spacing w:line="360" w:lineRule="auto"/>
        <w:ind w:left="0" w:firstLine="0"/>
        <w:contextualSpacing/>
        <w:jc w:val="both"/>
        <w:rPr>
          <w:rFonts w:ascii="Palatino Linotype" w:hAnsi="Palatino Linotype" w:cs="Arial"/>
          <w:sz w:val="22"/>
          <w:szCs w:val="22"/>
          <w:lang w:val="es-ES" w:eastAsia="es-ES"/>
        </w:rPr>
      </w:pPr>
      <w:r w:rsidRPr="00136DBA">
        <w:rPr>
          <w:rFonts w:ascii="Palatino Linotype" w:eastAsia="Calibri" w:hAnsi="Palatino Linotype" w:cs="Arial"/>
          <w:sz w:val="22"/>
          <w:szCs w:val="22"/>
          <w:lang w:val="es-ES" w:eastAsia="es-ES"/>
        </w:rPr>
        <w:t>El cuatro (04) de septiembre de dos mil veinticuatro,</w:t>
      </w:r>
      <w:r w:rsidRPr="00136DBA">
        <w:rPr>
          <w:rFonts w:ascii="Palatino Linotype" w:eastAsia="Calibri" w:hAnsi="Palatino Linotype"/>
          <w:sz w:val="22"/>
          <w:szCs w:val="22"/>
          <w:lang w:val="es-ES" w:eastAsia="es-ES"/>
        </w:rPr>
        <w:t xml:space="preserve"> </w:t>
      </w:r>
      <w:r w:rsidRPr="00136DBA">
        <w:rPr>
          <w:rFonts w:ascii="Palatino Linotype" w:eastAsia="Calibri" w:hAnsi="Palatino Linotype"/>
          <w:b/>
          <w:sz w:val="22"/>
          <w:szCs w:val="22"/>
          <w:lang w:val="es-ES" w:eastAsia="es-ES"/>
        </w:rPr>
        <w:t>EL RECURRENTE</w:t>
      </w:r>
      <w:r w:rsidRPr="00136DBA">
        <w:rPr>
          <w:rFonts w:ascii="Palatino Linotype" w:eastAsiaTheme="minorEastAsia" w:hAnsi="Palatino Linotype"/>
          <w:b/>
          <w:sz w:val="22"/>
          <w:szCs w:val="22"/>
          <w:lang w:val="es-ES_tradnl" w:eastAsia="es-ES"/>
        </w:rPr>
        <w:t>,</w:t>
      </w:r>
      <w:r w:rsidRPr="00136DBA">
        <w:rPr>
          <w:rFonts w:ascii="Palatino Linotype" w:eastAsia="Calibri" w:hAnsi="Palatino Linotype" w:cs="Arial"/>
          <w:sz w:val="22"/>
          <w:szCs w:val="22"/>
          <w:lang w:val="es-ES" w:eastAsia="es-ES"/>
        </w:rPr>
        <w:t xml:space="preserve"> ante el </w:t>
      </w:r>
      <w:r w:rsidRPr="00136DBA">
        <w:rPr>
          <w:rFonts w:ascii="Palatino Linotype" w:eastAsia="Calibri" w:hAnsi="Palatino Linotype" w:cs="Arial"/>
          <w:b/>
          <w:sz w:val="22"/>
          <w:szCs w:val="22"/>
          <w:lang w:val="es-ES" w:eastAsia="es-ES"/>
        </w:rPr>
        <w:t xml:space="preserve">SUJETO OBLIGADO, </w:t>
      </w:r>
      <w:r w:rsidRPr="00136DBA">
        <w:rPr>
          <w:rFonts w:ascii="Palatino Linotype" w:eastAsia="Calibri" w:hAnsi="Palatino Linotype" w:cs="Arial"/>
          <w:sz w:val="22"/>
          <w:szCs w:val="22"/>
          <w:lang w:val="es-ES" w:eastAsia="es-ES"/>
        </w:rPr>
        <w:t>a través de la Plataforma del</w:t>
      </w:r>
      <w:r w:rsidRPr="00136DBA">
        <w:rPr>
          <w:rFonts w:ascii="Palatino Linotype" w:eastAsia="Calibri" w:hAnsi="Palatino Linotype" w:cs="Arial"/>
          <w:sz w:val="22"/>
          <w:szCs w:val="22"/>
          <w:lang w:val="es-ES_tradnl" w:eastAsia="es-ES"/>
        </w:rPr>
        <w:t xml:space="preserve"> </w:t>
      </w:r>
      <w:r w:rsidRPr="00136DBA">
        <w:rPr>
          <w:rFonts w:ascii="Palatino Linotype" w:eastAsia="Calibri" w:hAnsi="Palatino Linotype" w:cs="Arial"/>
          <w:sz w:val="22"/>
          <w:szCs w:val="22"/>
          <w:lang w:val="es-ES" w:eastAsia="es-ES"/>
        </w:rPr>
        <w:t>Sistema de Acceso a la Información Mexiquense (</w:t>
      </w:r>
      <w:r w:rsidRPr="00136DBA">
        <w:rPr>
          <w:rFonts w:ascii="Palatino Linotype" w:eastAsia="Calibri" w:hAnsi="Palatino Linotype" w:cs="Arial"/>
          <w:b/>
          <w:sz w:val="22"/>
          <w:szCs w:val="22"/>
          <w:lang w:val="es-ES" w:eastAsia="es-ES"/>
        </w:rPr>
        <w:t>SAIMEX)</w:t>
      </w:r>
      <w:r w:rsidRPr="00136DBA">
        <w:rPr>
          <w:rFonts w:ascii="Palatino Linotype" w:eastAsia="Calibri" w:hAnsi="Palatino Linotype" w:cs="Arial"/>
          <w:sz w:val="22"/>
          <w:szCs w:val="22"/>
          <w:lang w:val="es-ES" w:eastAsia="es-ES"/>
        </w:rPr>
        <w:t xml:space="preserve">, presentó una solicitud de información registrada con el número </w:t>
      </w:r>
      <w:r w:rsidRPr="00136DBA">
        <w:rPr>
          <w:rFonts w:ascii="Palatino Linotype" w:hAnsi="Palatino Linotype"/>
          <w:b/>
          <w:bCs/>
          <w:sz w:val="22"/>
          <w:szCs w:val="22"/>
        </w:rPr>
        <w:t>00195/OFICIALIA/IP/2024</w:t>
      </w:r>
      <w:r w:rsidRPr="00136DBA">
        <w:rPr>
          <w:rFonts w:ascii="Palatino Linotype" w:eastAsiaTheme="minorEastAsia" w:hAnsi="Palatino Linotype"/>
          <w:b/>
          <w:sz w:val="22"/>
          <w:szCs w:val="22"/>
          <w:lang w:val="es-ES_tradnl" w:eastAsia="es-ES"/>
        </w:rPr>
        <w:t xml:space="preserve">, </w:t>
      </w:r>
      <w:r w:rsidRPr="00136DBA">
        <w:rPr>
          <w:rFonts w:ascii="Palatino Linotype" w:eastAsia="Calibri" w:hAnsi="Palatino Linotype" w:cs="Arial"/>
          <w:sz w:val="22"/>
          <w:szCs w:val="22"/>
          <w:lang w:val="es-ES" w:eastAsia="es-ES"/>
        </w:rPr>
        <w:t>mediante la cual solicitó lo siguiente:</w:t>
      </w:r>
    </w:p>
    <w:p w:rsidR="009D482C" w:rsidRPr="00136DBA" w:rsidRDefault="009D482C" w:rsidP="009D482C">
      <w:pPr>
        <w:spacing w:line="360" w:lineRule="auto"/>
        <w:contextualSpacing/>
        <w:jc w:val="both"/>
        <w:rPr>
          <w:rFonts w:ascii="Palatino Linotype" w:hAnsi="Palatino Linotype" w:cs="Arial"/>
          <w:sz w:val="22"/>
          <w:szCs w:val="22"/>
          <w:lang w:val="es-ES" w:eastAsia="es-ES"/>
        </w:rPr>
      </w:pPr>
    </w:p>
    <w:p w:rsidR="009D482C" w:rsidRPr="00136DBA" w:rsidRDefault="009D482C" w:rsidP="009D482C">
      <w:pPr>
        <w:pStyle w:val="Prrafodelista"/>
        <w:spacing w:line="360" w:lineRule="auto"/>
        <w:ind w:left="851" w:right="822"/>
        <w:jc w:val="both"/>
        <w:rPr>
          <w:rFonts w:ascii="Palatino Linotype" w:hAnsi="Palatino Linotype"/>
          <w:i/>
          <w:color w:val="000000"/>
          <w:szCs w:val="22"/>
        </w:rPr>
      </w:pPr>
      <w:r w:rsidRPr="00136DBA">
        <w:rPr>
          <w:rFonts w:ascii="Palatino Linotype" w:hAnsi="Palatino Linotype"/>
          <w:i/>
          <w:color w:val="000000"/>
          <w:szCs w:val="22"/>
        </w:rPr>
        <w:t xml:space="preserve"> “Solicito el Manual General de Organización de la Secretaria del Agua, ya sea Publicado o </w:t>
      </w:r>
      <w:proofErr w:type="spellStart"/>
      <w:r w:rsidRPr="00136DBA">
        <w:rPr>
          <w:rFonts w:ascii="Palatino Linotype" w:hAnsi="Palatino Linotype"/>
          <w:i/>
          <w:color w:val="000000"/>
          <w:szCs w:val="22"/>
        </w:rPr>
        <w:t>Dictamiado</w:t>
      </w:r>
      <w:proofErr w:type="spellEnd"/>
      <w:r w:rsidRPr="00136DBA">
        <w:rPr>
          <w:rFonts w:ascii="Palatino Linotype" w:hAnsi="Palatino Linotype"/>
          <w:i/>
          <w:color w:val="000000"/>
          <w:szCs w:val="22"/>
        </w:rPr>
        <w:t xml:space="preserve"> por esa Dependencia, Firmado por el Director General de Innovación. Alonso Campuzano </w:t>
      </w:r>
      <w:proofErr w:type="spellStart"/>
      <w:r w:rsidRPr="00136DBA">
        <w:rPr>
          <w:rFonts w:ascii="Palatino Linotype" w:hAnsi="Palatino Linotype"/>
          <w:i/>
          <w:color w:val="000000"/>
          <w:szCs w:val="22"/>
        </w:rPr>
        <w:t>Ramirez</w:t>
      </w:r>
      <w:proofErr w:type="spellEnd"/>
      <w:r w:rsidRPr="00136DBA">
        <w:rPr>
          <w:rFonts w:ascii="Palatino Linotype" w:hAnsi="Palatino Linotype"/>
          <w:i/>
          <w:color w:val="000000"/>
          <w:szCs w:val="22"/>
        </w:rPr>
        <w:t xml:space="preserve"> y el Secretario del Agua, </w:t>
      </w:r>
      <w:proofErr w:type="spellStart"/>
      <w:r w:rsidRPr="00136DBA">
        <w:rPr>
          <w:rFonts w:ascii="Palatino Linotype" w:hAnsi="Palatino Linotype"/>
          <w:i/>
          <w:color w:val="000000"/>
          <w:szCs w:val="22"/>
        </w:rPr>
        <w:t>asi</w:t>
      </w:r>
      <w:proofErr w:type="spellEnd"/>
      <w:r w:rsidRPr="00136DBA">
        <w:rPr>
          <w:rFonts w:ascii="Palatino Linotype" w:hAnsi="Palatino Linotype"/>
          <w:i/>
          <w:color w:val="000000"/>
          <w:szCs w:val="22"/>
        </w:rPr>
        <w:t xml:space="preserve"> como el Nombramiento Legales de los Titulares Directores Generales y Coordinadores de General, que </w:t>
      </w:r>
      <w:proofErr w:type="spellStart"/>
      <w:r w:rsidRPr="00136DBA">
        <w:rPr>
          <w:rFonts w:ascii="Palatino Linotype" w:hAnsi="Palatino Linotype"/>
          <w:i/>
          <w:color w:val="000000"/>
          <w:szCs w:val="22"/>
        </w:rPr>
        <w:t>alla</w:t>
      </w:r>
      <w:proofErr w:type="spellEnd"/>
      <w:r w:rsidRPr="00136DBA">
        <w:rPr>
          <w:rFonts w:ascii="Palatino Linotype" w:hAnsi="Palatino Linotype"/>
          <w:i/>
          <w:color w:val="000000"/>
          <w:szCs w:val="22"/>
        </w:rPr>
        <w:t xml:space="preserve"> Firmado en el Manual General Publicado o Proyecto” (Sic)</w:t>
      </w:r>
    </w:p>
    <w:p w:rsidR="009D482C" w:rsidRPr="00136DBA" w:rsidRDefault="009D482C" w:rsidP="009D482C">
      <w:pPr>
        <w:spacing w:line="360" w:lineRule="auto"/>
        <w:ind w:right="567"/>
        <w:jc w:val="both"/>
        <w:rPr>
          <w:rFonts w:ascii="Palatino Linotype" w:hAnsi="Palatino Linotype"/>
          <w:i/>
          <w:color w:val="000000"/>
          <w:sz w:val="22"/>
          <w:szCs w:val="22"/>
        </w:rPr>
      </w:pPr>
    </w:p>
    <w:p w:rsidR="009D482C" w:rsidRPr="00136DBA" w:rsidRDefault="009D482C" w:rsidP="009D482C">
      <w:pPr>
        <w:numPr>
          <w:ilvl w:val="0"/>
          <w:numId w:val="1"/>
        </w:numPr>
        <w:spacing w:line="360" w:lineRule="auto"/>
        <w:ind w:left="0" w:firstLine="0"/>
        <w:contextualSpacing/>
        <w:jc w:val="both"/>
        <w:rPr>
          <w:rFonts w:ascii="Palatino Linotype" w:eastAsia="Calibri" w:hAnsi="Palatino Linotype"/>
          <w:sz w:val="22"/>
          <w:szCs w:val="22"/>
          <w:lang w:val="es-ES" w:eastAsia="es-ES"/>
        </w:rPr>
      </w:pPr>
      <w:r w:rsidRPr="00136DBA">
        <w:rPr>
          <w:rFonts w:ascii="Palatino Linotype" w:eastAsia="Calibri" w:hAnsi="Palatino Linotype"/>
          <w:sz w:val="22"/>
          <w:szCs w:val="22"/>
          <w:lang w:val="es-ES" w:eastAsia="es-ES"/>
        </w:rPr>
        <w:t xml:space="preserve">Se eligió como modalidad de entrega a través de SAIMEX. </w:t>
      </w:r>
    </w:p>
    <w:p w:rsidR="009D482C" w:rsidRPr="00136DBA" w:rsidRDefault="009D482C" w:rsidP="009D482C">
      <w:pPr>
        <w:spacing w:line="360" w:lineRule="auto"/>
        <w:contextualSpacing/>
        <w:jc w:val="both"/>
        <w:rPr>
          <w:rFonts w:ascii="Palatino Linotype" w:hAnsi="Palatino Linotype" w:cs="Arial"/>
          <w:sz w:val="22"/>
          <w:szCs w:val="22"/>
          <w:lang w:val="es-ES" w:eastAsia="es-ES"/>
        </w:rPr>
      </w:pPr>
    </w:p>
    <w:p w:rsidR="009D482C" w:rsidRPr="00136DBA" w:rsidRDefault="009D482C" w:rsidP="009D482C">
      <w:pPr>
        <w:numPr>
          <w:ilvl w:val="0"/>
          <w:numId w:val="1"/>
        </w:numPr>
        <w:spacing w:line="360" w:lineRule="auto"/>
        <w:ind w:left="0" w:firstLine="0"/>
        <w:contextualSpacing/>
        <w:jc w:val="both"/>
        <w:rPr>
          <w:rFonts w:ascii="Palatino Linotype" w:hAnsi="Palatino Linotype" w:cs="Arial"/>
          <w:sz w:val="22"/>
          <w:szCs w:val="22"/>
          <w:lang w:val="es-ES" w:eastAsia="es-ES"/>
        </w:rPr>
      </w:pPr>
      <w:r w:rsidRPr="00136DBA">
        <w:rPr>
          <w:rFonts w:ascii="Palatino Linotype" w:hAnsi="Palatino Linotype" w:cs="Arial"/>
          <w:sz w:val="22"/>
          <w:szCs w:val="22"/>
          <w:lang w:val="es-ES" w:eastAsia="es-ES"/>
        </w:rPr>
        <w:t>El cinco (05) de septiembre de dos mil veinticuatro, el Sujeto Obligado realizó un requerimiento de información al servidor público habilitado.</w:t>
      </w:r>
    </w:p>
    <w:p w:rsidR="009D482C" w:rsidRPr="00136DBA" w:rsidRDefault="009D482C" w:rsidP="009D482C">
      <w:pPr>
        <w:pStyle w:val="Prrafodelista"/>
        <w:rPr>
          <w:rFonts w:ascii="Palatino Linotype" w:eastAsia="Calibri" w:hAnsi="Palatino Linotype"/>
          <w:szCs w:val="22"/>
          <w:lang w:val="es-ES" w:eastAsia="es-ES"/>
        </w:rPr>
      </w:pPr>
    </w:p>
    <w:p w:rsidR="009D482C" w:rsidRPr="00136DBA" w:rsidRDefault="009D482C" w:rsidP="009D482C">
      <w:pPr>
        <w:numPr>
          <w:ilvl w:val="0"/>
          <w:numId w:val="1"/>
        </w:numPr>
        <w:spacing w:line="360" w:lineRule="auto"/>
        <w:ind w:left="0" w:firstLine="0"/>
        <w:contextualSpacing/>
        <w:jc w:val="both"/>
        <w:rPr>
          <w:rFonts w:ascii="Palatino Linotype" w:hAnsi="Palatino Linotype" w:cs="Arial"/>
          <w:sz w:val="22"/>
          <w:szCs w:val="22"/>
          <w:lang w:val="es-ES" w:eastAsia="es-ES"/>
        </w:rPr>
      </w:pPr>
      <w:r w:rsidRPr="00136DBA">
        <w:rPr>
          <w:rFonts w:ascii="Palatino Linotype" w:eastAsia="Calibri" w:hAnsi="Palatino Linotype"/>
          <w:sz w:val="22"/>
          <w:szCs w:val="22"/>
          <w:lang w:val="es-ES" w:eastAsia="es-ES"/>
        </w:rPr>
        <w:t xml:space="preserve">El dieciocho (18) de septiembre de dos mil veinticuatro, el Sujeto Obligado </w:t>
      </w:r>
      <w:r w:rsidRPr="00136DBA">
        <w:rPr>
          <w:rFonts w:ascii="Palatino Linotype" w:hAnsi="Palatino Linotype" w:cs="Arial"/>
          <w:sz w:val="22"/>
          <w:szCs w:val="22"/>
          <w:lang w:val="es-ES" w:eastAsia="es-ES"/>
        </w:rPr>
        <w:t>dio respuesta a la solicitud de información en los siguientes términos:</w:t>
      </w:r>
    </w:p>
    <w:p w:rsidR="009D482C" w:rsidRPr="00136DBA" w:rsidRDefault="009D482C" w:rsidP="009D482C">
      <w:pPr>
        <w:spacing w:line="360" w:lineRule="auto"/>
        <w:contextualSpacing/>
        <w:jc w:val="both"/>
        <w:rPr>
          <w:rFonts w:ascii="Palatino Linotype" w:eastAsia="Calibri" w:hAnsi="Palatino Linotype"/>
          <w:sz w:val="22"/>
          <w:szCs w:val="22"/>
          <w:lang w:val="es-ES" w:eastAsia="es-ES"/>
        </w:rPr>
      </w:pPr>
    </w:p>
    <w:tbl>
      <w:tblPr>
        <w:tblW w:w="7575" w:type="dxa"/>
        <w:jc w:val="center"/>
        <w:tblCellSpacing w:w="0" w:type="dxa"/>
        <w:tblCellMar>
          <w:left w:w="0" w:type="dxa"/>
          <w:right w:w="0" w:type="dxa"/>
        </w:tblCellMar>
        <w:tblLook w:val="04A0" w:firstRow="1" w:lastRow="0" w:firstColumn="1" w:lastColumn="0" w:noHBand="0" w:noVBand="1"/>
      </w:tblPr>
      <w:tblGrid>
        <w:gridCol w:w="7575"/>
      </w:tblGrid>
      <w:tr w:rsidR="009D482C" w:rsidRPr="00136DBA" w:rsidTr="009D482C">
        <w:trPr>
          <w:trHeight w:val="317"/>
          <w:tblCellSpacing w:w="0" w:type="dxa"/>
          <w:jc w:val="center"/>
        </w:trPr>
        <w:tc>
          <w:tcPr>
            <w:tcW w:w="0" w:type="auto"/>
            <w:vAlign w:val="center"/>
            <w:hideMark/>
          </w:tcPr>
          <w:p w:rsidR="009D482C" w:rsidRPr="00136DBA" w:rsidRDefault="009D482C" w:rsidP="009D482C">
            <w:pPr>
              <w:jc w:val="right"/>
              <w:rPr>
                <w:rFonts w:ascii="Palatino Linotype" w:hAnsi="Palatino Linotype"/>
                <w:i/>
                <w:sz w:val="22"/>
                <w:szCs w:val="22"/>
              </w:rPr>
            </w:pPr>
            <w:r w:rsidRPr="00136DBA">
              <w:rPr>
                <w:rFonts w:ascii="Palatino Linotype" w:hAnsi="Palatino Linotype"/>
                <w:i/>
                <w:sz w:val="22"/>
                <w:szCs w:val="22"/>
              </w:rPr>
              <w:br/>
              <w:t>“Metepec, México a 18 de Septiembre de 2024</w:t>
            </w:r>
          </w:p>
        </w:tc>
      </w:tr>
      <w:tr w:rsidR="009D482C" w:rsidRPr="00136DBA" w:rsidTr="009D482C">
        <w:trPr>
          <w:trHeight w:val="317"/>
          <w:tblCellSpacing w:w="0" w:type="dxa"/>
          <w:jc w:val="center"/>
        </w:trPr>
        <w:tc>
          <w:tcPr>
            <w:tcW w:w="0" w:type="auto"/>
            <w:vAlign w:val="center"/>
            <w:hideMark/>
          </w:tcPr>
          <w:p w:rsidR="009D482C" w:rsidRPr="00136DBA" w:rsidRDefault="009D482C" w:rsidP="009D482C">
            <w:pPr>
              <w:jc w:val="right"/>
              <w:rPr>
                <w:rFonts w:ascii="Palatino Linotype" w:hAnsi="Palatino Linotype"/>
                <w:i/>
                <w:sz w:val="22"/>
                <w:szCs w:val="22"/>
              </w:rPr>
            </w:pPr>
            <w:r w:rsidRPr="00136DBA">
              <w:rPr>
                <w:rFonts w:ascii="Palatino Linotype" w:hAnsi="Palatino Linotype"/>
                <w:i/>
                <w:sz w:val="22"/>
                <w:szCs w:val="22"/>
              </w:rPr>
              <w:t>Nombre del solicitante: C. Solicitante</w:t>
            </w:r>
          </w:p>
        </w:tc>
      </w:tr>
      <w:tr w:rsidR="009D482C" w:rsidRPr="00136DBA" w:rsidTr="009D482C">
        <w:trPr>
          <w:trHeight w:val="317"/>
          <w:tblCellSpacing w:w="0" w:type="dxa"/>
          <w:jc w:val="center"/>
        </w:trPr>
        <w:tc>
          <w:tcPr>
            <w:tcW w:w="0" w:type="auto"/>
            <w:vAlign w:val="center"/>
            <w:hideMark/>
          </w:tcPr>
          <w:p w:rsidR="009D482C" w:rsidRPr="00136DBA" w:rsidRDefault="009D482C" w:rsidP="009D482C">
            <w:pPr>
              <w:jc w:val="right"/>
              <w:rPr>
                <w:rFonts w:ascii="Palatino Linotype" w:hAnsi="Palatino Linotype"/>
                <w:i/>
                <w:sz w:val="22"/>
                <w:szCs w:val="22"/>
              </w:rPr>
            </w:pPr>
            <w:r w:rsidRPr="00136DBA">
              <w:rPr>
                <w:rFonts w:ascii="Palatino Linotype" w:hAnsi="Palatino Linotype"/>
                <w:i/>
                <w:sz w:val="22"/>
                <w:szCs w:val="22"/>
              </w:rPr>
              <w:t>Folio de la solicitud: 00195/OFICIALIA/IP/2024</w:t>
            </w:r>
          </w:p>
        </w:tc>
      </w:tr>
      <w:tr w:rsidR="009D482C" w:rsidRPr="00136DBA" w:rsidTr="009D482C">
        <w:trPr>
          <w:trHeight w:val="475"/>
          <w:tblCellSpacing w:w="0" w:type="dxa"/>
          <w:jc w:val="center"/>
        </w:trPr>
        <w:tc>
          <w:tcPr>
            <w:tcW w:w="0" w:type="auto"/>
            <w:vAlign w:val="center"/>
            <w:hideMark/>
          </w:tcPr>
          <w:p w:rsidR="009D482C" w:rsidRPr="00136DBA" w:rsidRDefault="009D482C" w:rsidP="009D482C">
            <w:pPr>
              <w:jc w:val="right"/>
              <w:rPr>
                <w:rFonts w:ascii="Palatino Linotype" w:hAnsi="Palatino Linotype"/>
                <w:i/>
                <w:sz w:val="22"/>
                <w:szCs w:val="22"/>
              </w:rPr>
            </w:pPr>
          </w:p>
        </w:tc>
      </w:tr>
      <w:tr w:rsidR="009D482C" w:rsidRPr="00136DBA" w:rsidTr="009D482C">
        <w:trPr>
          <w:trHeight w:val="158"/>
          <w:tblCellSpacing w:w="0" w:type="dxa"/>
          <w:jc w:val="center"/>
        </w:trPr>
        <w:tc>
          <w:tcPr>
            <w:tcW w:w="0" w:type="auto"/>
            <w:vAlign w:val="center"/>
            <w:hideMark/>
          </w:tcPr>
          <w:p w:rsidR="009D482C" w:rsidRPr="00136DBA" w:rsidRDefault="009D482C" w:rsidP="009D482C">
            <w:pPr>
              <w:rPr>
                <w:rFonts w:ascii="Palatino Linotype" w:hAnsi="Palatino Linotype"/>
                <w:i/>
                <w:sz w:val="22"/>
                <w:szCs w:val="22"/>
              </w:rPr>
            </w:pPr>
            <w:r w:rsidRPr="00136DBA">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9D482C" w:rsidRPr="00136DBA" w:rsidTr="009D482C">
        <w:trPr>
          <w:trHeight w:val="396"/>
          <w:tblCellSpacing w:w="0" w:type="dxa"/>
          <w:jc w:val="center"/>
        </w:trPr>
        <w:tc>
          <w:tcPr>
            <w:tcW w:w="0" w:type="auto"/>
            <w:vAlign w:val="center"/>
            <w:hideMark/>
          </w:tcPr>
          <w:p w:rsidR="009D482C" w:rsidRPr="00136DBA" w:rsidRDefault="009D482C" w:rsidP="009D482C">
            <w:pPr>
              <w:rPr>
                <w:rFonts w:ascii="Palatino Linotype" w:hAnsi="Palatino Linotype"/>
                <w:i/>
                <w:sz w:val="22"/>
                <w:szCs w:val="22"/>
              </w:rPr>
            </w:pPr>
          </w:p>
        </w:tc>
      </w:tr>
      <w:tr w:rsidR="009D482C" w:rsidRPr="00136DBA" w:rsidTr="009D482C">
        <w:trPr>
          <w:trHeight w:val="158"/>
          <w:tblCellSpacing w:w="0" w:type="dxa"/>
          <w:jc w:val="center"/>
        </w:trPr>
        <w:tc>
          <w:tcPr>
            <w:tcW w:w="0" w:type="auto"/>
            <w:vAlign w:val="center"/>
            <w:hideMark/>
          </w:tcPr>
          <w:p w:rsidR="009D482C" w:rsidRPr="00136DBA" w:rsidRDefault="009D482C" w:rsidP="009D482C">
            <w:pPr>
              <w:rPr>
                <w:rFonts w:ascii="Palatino Linotype" w:hAnsi="Palatino Linotype"/>
                <w:i/>
                <w:sz w:val="22"/>
                <w:szCs w:val="22"/>
              </w:rPr>
            </w:pPr>
            <w:r w:rsidRPr="00136DBA">
              <w:rPr>
                <w:rFonts w:ascii="Palatino Linotype" w:hAnsi="Palatino Linotype"/>
                <w:i/>
                <w:sz w:val="22"/>
                <w:szCs w:val="22"/>
              </w:rPr>
              <w:t>SE NOTIFICA RESPUESTA A LA SOLICITUD DE ACCESO</w:t>
            </w:r>
          </w:p>
        </w:tc>
      </w:tr>
      <w:tr w:rsidR="009D482C" w:rsidRPr="00136DBA" w:rsidTr="009D482C">
        <w:trPr>
          <w:trHeight w:val="396"/>
          <w:tblCellSpacing w:w="0" w:type="dxa"/>
          <w:jc w:val="center"/>
        </w:trPr>
        <w:tc>
          <w:tcPr>
            <w:tcW w:w="0" w:type="auto"/>
            <w:vAlign w:val="center"/>
            <w:hideMark/>
          </w:tcPr>
          <w:p w:rsidR="009D482C" w:rsidRPr="00136DBA" w:rsidRDefault="009D482C" w:rsidP="009D482C">
            <w:pPr>
              <w:rPr>
                <w:rFonts w:ascii="Palatino Linotype" w:hAnsi="Palatino Linotype"/>
                <w:i/>
                <w:sz w:val="22"/>
                <w:szCs w:val="22"/>
              </w:rPr>
            </w:pPr>
          </w:p>
        </w:tc>
      </w:tr>
      <w:tr w:rsidR="009D482C" w:rsidRPr="00136DBA" w:rsidTr="009D482C">
        <w:trPr>
          <w:trHeight w:val="158"/>
          <w:tblCellSpacing w:w="0" w:type="dxa"/>
          <w:jc w:val="center"/>
        </w:trPr>
        <w:tc>
          <w:tcPr>
            <w:tcW w:w="0" w:type="auto"/>
            <w:vAlign w:val="center"/>
            <w:hideMark/>
          </w:tcPr>
          <w:p w:rsidR="009D482C" w:rsidRPr="00136DBA" w:rsidRDefault="009D482C" w:rsidP="009D482C">
            <w:pPr>
              <w:jc w:val="center"/>
              <w:rPr>
                <w:rFonts w:ascii="Palatino Linotype" w:hAnsi="Palatino Linotype"/>
                <w:i/>
                <w:sz w:val="22"/>
                <w:szCs w:val="22"/>
              </w:rPr>
            </w:pPr>
          </w:p>
        </w:tc>
      </w:tr>
      <w:tr w:rsidR="009D482C" w:rsidRPr="00136DBA" w:rsidTr="009D482C">
        <w:trPr>
          <w:trHeight w:val="158"/>
          <w:tblCellSpacing w:w="0" w:type="dxa"/>
          <w:jc w:val="center"/>
        </w:trPr>
        <w:tc>
          <w:tcPr>
            <w:tcW w:w="0" w:type="auto"/>
            <w:vAlign w:val="center"/>
            <w:hideMark/>
          </w:tcPr>
          <w:p w:rsidR="009D482C" w:rsidRPr="00136DBA" w:rsidRDefault="009D482C" w:rsidP="009D482C">
            <w:pPr>
              <w:rPr>
                <w:rFonts w:ascii="Palatino Linotype" w:hAnsi="Palatino Linotype"/>
                <w:i/>
                <w:sz w:val="22"/>
                <w:szCs w:val="22"/>
              </w:rPr>
            </w:pPr>
          </w:p>
        </w:tc>
      </w:tr>
      <w:tr w:rsidR="009D482C" w:rsidRPr="00136DBA" w:rsidTr="009D482C">
        <w:trPr>
          <w:trHeight w:val="158"/>
          <w:tblCellSpacing w:w="0" w:type="dxa"/>
          <w:jc w:val="center"/>
        </w:trPr>
        <w:tc>
          <w:tcPr>
            <w:tcW w:w="0" w:type="auto"/>
            <w:vAlign w:val="center"/>
            <w:hideMark/>
          </w:tcPr>
          <w:p w:rsidR="009D482C" w:rsidRPr="00136DBA" w:rsidRDefault="009D482C" w:rsidP="009D482C">
            <w:pPr>
              <w:rPr>
                <w:rFonts w:ascii="Palatino Linotype" w:hAnsi="Palatino Linotype"/>
                <w:i/>
                <w:sz w:val="22"/>
                <w:szCs w:val="22"/>
              </w:rPr>
            </w:pPr>
            <w:r w:rsidRPr="00136DBA">
              <w:rPr>
                <w:rFonts w:ascii="Palatino Linotype" w:hAnsi="Palatino Linotype"/>
                <w:i/>
                <w:sz w:val="22"/>
                <w:szCs w:val="22"/>
              </w:rPr>
              <w:t>ATENTAMENTE”</w:t>
            </w:r>
          </w:p>
        </w:tc>
      </w:tr>
      <w:tr w:rsidR="009D482C" w:rsidRPr="00136DBA" w:rsidTr="009D482C">
        <w:trPr>
          <w:trHeight w:val="152"/>
          <w:tblCellSpacing w:w="0" w:type="dxa"/>
          <w:jc w:val="center"/>
        </w:trPr>
        <w:tc>
          <w:tcPr>
            <w:tcW w:w="0" w:type="auto"/>
            <w:vAlign w:val="center"/>
            <w:hideMark/>
          </w:tcPr>
          <w:p w:rsidR="009D482C" w:rsidRPr="00136DBA" w:rsidRDefault="009D482C" w:rsidP="009D482C">
            <w:pPr>
              <w:rPr>
                <w:rFonts w:ascii="Palatino Linotype" w:hAnsi="Palatino Linotype"/>
                <w:i/>
                <w:sz w:val="22"/>
                <w:szCs w:val="22"/>
              </w:rPr>
            </w:pPr>
          </w:p>
        </w:tc>
      </w:tr>
    </w:tbl>
    <w:p w:rsidR="009D482C" w:rsidRPr="00136DBA" w:rsidRDefault="009D482C" w:rsidP="009D482C">
      <w:pPr>
        <w:spacing w:line="360" w:lineRule="auto"/>
        <w:ind w:right="567"/>
        <w:jc w:val="both"/>
        <w:rPr>
          <w:rFonts w:ascii="Palatino Linotype" w:hAnsi="Palatino Linotype"/>
          <w:sz w:val="22"/>
          <w:szCs w:val="22"/>
        </w:rPr>
      </w:pPr>
    </w:p>
    <w:p w:rsidR="009D482C" w:rsidRPr="00136DBA" w:rsidRDefault="009D482C" w:rsidP="009D482C">
      <w:pPr>
        <w:pStyle w:val="Prrafodelista"/>
        <w:numPr>
          <w:ilvl w:val="0"/>
          <w:numId w:val="5"/>
        </w:numPr>
        <w:spacing w:line="360" w:lineRule="auto"/>
        <w:ind w:right="567"/>
        <w:jc w:val="both"/>
        <w:rPr>
          <w:rFonts w:ascii="Palatino Linotype" w:hAnsi="Palatino Linotype"/>
          <w:szCs w:val="22"/>
        </w:rPr>
      </w:pPr>
      <w:r w:rsidRPr="00136DBA">
        <w:rPr>
          <w:rFonts w:ascii="Palatino Linotype" w:hAnsi="Palatino Linotype"/>
          <w:szCs w:val="22"/>
        </w:rPr>
        <w:t>A la respuesta se adjuntaron los archivos que se describen enseguida:</w:t>
      </w:r>
    </w:p>
    <w:p w:rsidR="009D482C" w:rsidRPr="00136DBA" w:rsidRDefault="009D482C" w:rsidP="009D482C">
      <w:pPr>
        <w:spacing w:line="360" w:lineRule="auto"/>
        <w:ind w:left="360" w:right="567"/>
        <w:jc w:val="both"/>
        <w:rPr>
          <w:rFonts w:ascii="Palatino Linotype" w:hAnsi="Palatino Linotype"/>
          <w:sz w:val="22"/>
          <w:szCs w:val="22"/>
        </w:rPr>
      </w:pPr>
    </w:p>
    <w:p w:rsidR="00957F6A" w:rsidRPr="00136DBA" w:rsidRDefault="00E66154" w:rsidP="009D482C">
      <w:pPr>
        <w:pStyle w:val="Prrafodelista"/>
        <w:numPr>
          <w:ilvl w:val="0"/>
          <w:numId w:val="6"/>
        </w:numPr>
        <w:spacing w:line="360" w:lineRule="auto"/>
        <w:ind w:right="567"/>
        <w:jc w:val="both"/>
        <w:rPr>
          <w:rFonts w:ascii="Palatino Linotype" w:hAnsi="Palatino Linotype"/>
          <w:b/>
          <w:i/>
          <w:szCs w:val="22"/>
        </w:rPr>
      </w:pPr>
      <w:hyperlink r:id="rId7" w:tgtFrame="_blank" w:history="1">
        <w:r w:rsidR="009D482C" w:rsidRPr="00136DBA">
          <w:rPr>
            <w:rStyle w:val="Hipervnculo"/>
            <w:rFonts w:ascii="Palatino Linotype" w:eastAsiaTheme="majorEastAsia" w:hAnsi="Palatino Linotype" w:cs="Arial"/>
            <w:b/>
            <w:bCs/>
            <w:color w:val="auto"/>
            <w:szCs w:val="22"/>
          </w:rPr>
          <w:t>SOLICITUD 00195.pdf</w:t>
        </w:r>
      </w:hyperlink>
      <w:r w:rsidR="009D482C" w:rsidRPr="00136DBA">
        <w:rPr>
          <w:rFonts w:ascii="Palatino Linotype" w:hAnsi="Palatino Linotype"/>
          <w:b/>
          <w:szCs w:val="22"/>
        </w:rPr>
        <w:t xml:space="preserve">: </w:t>
      </w:r>
      <w:r w:rsidR="009D482C" w:rsidRPr="00136DBA">
        <w:rPr>
          <w:rFonts w:ascii="Palatino Linotype" w:hAnsi="Palatino Linotype"/>
          <w:szCs w:val="22"/>
        </w:rPr>
        <w:t>oficio 23400006010000S/043/2024 de fecha nueve de septiembre de dos mil veinticuatro, suscrito por la Servidora Pública de la Dirección General de Innovación, en el que señaló</w:t>
      </w:r>
      <w:r w:rsidR="00957F6A" w:rsidRPr="00136DBA">
        <w:rPr>
          <w:rFonts w:ascii="Palatino Linotype" w:hAnsi="Palatino Linotype"/>
          <w:szCs w:val="22"/>
        </w:rPr>
        <w:t>:</w:t>
      </w:r>
    </w:p>
    <w:p w:rsidR="009D482C" w:rsidRPr="00136DBA" w:rsidRDefault="009D482C" w:rsidP="00957F6A">
      <w:pPr>
        <w:pStyle w:val="Prrafodelista"/>
        <w:spacing w:line="360" w:lineRule="auto"/>
        <w:ind w:left="1080" w:right="567"/>
        <w:jc w:val="both"/>
        <w:rPr>
          <w:rFonts w:ascii="Palatino Linotype" w:hAnsi="Palatino Linotype"/>
          <w:i/>
          <w:szCs w:val="22"/>
        </w:rPr>
      </w:pPr>
      <w:r w:rsidRPr="00136DBA">
        <w:rPr>
          <w:rFonts w:ascii="Palatino Linotype" w:hAnsi="Palatino Linotype"/>
          <w:szCs w:val="22"/>
        </w:rPr>
        <w:t xml:space="preserve"> </w:t>
      </w:r>
      <w:r w:rsidR="00935272" w:rsidRPr="00136DBA">
        <w:rPr>
          <w:rFonts w:ascii="Palatino Linotype" w:hAnsi="Palatino Linotype"/>
          <w:i/>
          <w:szCs w:val="22"/>
        </w:rPr>
        <w:t xml:space="preserve">“…se anexa al presente el oficio número 23400006L-0128/2024 de fecha veintisiete de junio de 2024, mediante el cual fue aprobado el Manual General de Organización de la Secretaría del Agua, así como el Dictamen Técnico de Proyectos de Manuales de Organización debidamente validado, los cuales fueron correspondientes para su publicación en el periódico oficial “Gaceta de Gobierno”. En cuanto hace a la solicitud de la publicación del Manual General de Organización de la Secretaría del Agua, me </w:t>
      </w:r>
      <w:r w:rsidR="00935272" w:rsidRPr="00136DBA">
        <w:rPr>
          <w:rFonts w:ascii="Palatino Linotype" w:hAnsi="Palatino Linotype"/>
          <w:i/>
          <w:szCs w:val="22"/>
        </w:rPr>
        <w:lastRenderedPageBreak/>
        <w:t xml:space="preserve">permito referir que, una vez hecha la consulta en el Periódico Oficial “Gaceta de Gobierno”, se advierte que el documento no ha sido publicado. </w:t>
      </w:r>
    </w:p>
    <w:p w:rsidR="009D482C" w:rsidRPr="00136DBA" w:rsidRDefault="00935272" w:rsidP="00957F6A">
      <w:pPr>
        <w:pStyle w:val="Prrafodelista"/>
        <w:spacing w:line="360" w:lineRule="auto"/>
        <w:ind w:left="1080" w:right="567"/>
        <w:jc w:val="both"/>
        <w:rPr>
          <w:rFonts w:ascii="Palatino Linotype" w:hAnsi="Palatino Linotype"/>
          <w:i/>
          <w:szCs w:val="22"/>
        </w:rPr>
      </w:pPr>
      <w:r w:rsidRPr="00136DBA">
        <w:rPr>
          <w:rFonts w:ascii="Palatino Linotype" w:hAnsi="Palatino Linotype"/>
          <w:i/>
          <w:szCs w:val="22"/>
        </w:rPr>
        <w:t xml:space="preserve">Ahora bien, respecto al Manual General de Organización de la Secretaría del Agua “Firmado por el Director General de Innovación. Alonso Campuzano Ramírez y el Secretario del Agua, así como el Nombramiento Legales de los Titulares Directores Generales y Coordinadores de General, que </w:t>
      </w:r>
      <w:proofErr w:type="spellStart"/>
      <w:r w:rsidRPr="00136DBA">
        <w:rPr>
          <w:rFonts w:ascii="Palatino Linotype" w:hAnsi="Palatino Linotype"/>
          <w:i/>
          <w:szCs w:val="22"/>
        </w:rPr>
        <w:t>alla</w:t>
      </w:r>
      <w:proofErr w:type="spellEnd"/>
      <w:r w:rsidRPr="00136DBA">
        <w:rPr>
          <w:rFonts w:ascii="Palatino Linotype" w:hAnsi="Palatino Linotype"/>
          <w:i/>
          <w:szCs w:val="22"/>
        </w:rPr>
        <w:t xml:space="preserve"> </w:t>
      </w:r>
      <w:r w:rsidR="00957F6A" w:rsidRPr="00136DBA">
        <w:rPr>
          <w:rFonts w:ascii="Palatino Linotype" w:hAnsi="Palatino Linotype"/>
          <w:i/>
          <w:szCs w:val="22"/>
        </w:rPr>
        <w:t>F</w:t>
      </w:r>
      <w:r w:rsidRPr="00136DBA">
        <w:rPr>
          <w:rFonts w:ascii="Palatino Linotype" w:hAnsi="Palatino Linotype"/>
          <w:i/>
          <w:szCs w:val="22"/>
        </w:rPr>
        <w:t>irmado en el Manual General Publicado o Proyecto.”</w:t>
      </w:r>
      <w:r w:rsidR="00957F6A" w:rsidRPr="00136DBA">
        <w:rPr>
          <w:rFonts w:ascii="Palatino Linotype" w:hAnsi="Palatino Linotype"/>
          <w:i/>
          <w:szCs w:val="22"/>
        </w:rPr>
        <w:t xml:space="preserve"> (SIC), me permito referir que la información requerida no obra en los archivos de la Dirección General de Innovación, por lo cual, se deberá solicitar la documentación a la dependencia competente.”</w:t>
      </w:r>
    </w:p>
    <w:p w:rsidR="009D482C" w:rsidRPr="00136DBA" w:rsidRDefault="00E66154" w:rsidP="009D482C">
      <w:pPr>
        <w:pStyle w:val="Prrafodelista"/>
        <w:numPr>
          <w:ilvl w:val="0"/>
          <w:numId w:val="6"/>
        </w:numPr>
        <w:spacing w:line="360" w:lineRule="auto"/>
        <w:ind w:right="567"/>
        <w:jc w:val="both"/>
        <w:rPr>
          <w:rFonts w:ascii="Palatino Linotype" w:hAnsi="Palatino Linotype"/>
          <w:b/>
          <w:szCs w:val="22"/>
        </w:rPr>
      </w:pPr>
      <w:hyperlink r:id="rId8" w:tgtFrame="_blank" w:history="1">
        <w:r w:rsidR="009D482C" w:rsidRPr="00136DBA">
          <w:rPr>
            <w:rStyle w:val="Hipervnculo"/>
            <w:rFonts w:ascii="Palatino Linotype" w:eastAsiaTheme="majorEastAsia" w:hAnsi="Palatino Linotype" w:cs="Arial"/>
            <w:b/>
            <w:bCs/>
            <w:color w:val="auto"/>
            <w:szCs w:val="22"/>
          </w:rPr>
          <w:t>ANEXO DE LA SOLICITUD 00195 Oficio 128.pdf</w:t>
        </w:r>
      </w:hyperlink>
      <w:r w:rsidR="009D482C" w:rsidRPr="00136DBA">
        <w:rPr>
          <w:rFonts w:ascii="Palatino Linotype" w:hAnsi="Palatino Linotype"/>
          <w:b/>
          <w:szCs w:val="22"/>
        </w:rPr>
        <w:t>:</w:t>
      </w:r>
      <w:r w:rsidR="00957F6A" w:rsidRPr="00136DBA">
        <w:rPr>
          <w:rFonts w:ascii="Palatino Linotype" w:hAnsi="Palatino Linotype"/>
          <w:b/>
          <w:szCs w:val="22"/>
        </w:rPr>
        <w:t xml:space="preserve"> </w:t>
      </w:r>
      <w:r w:rsidR="00957F6A" w:rsidRPr="00136DBA">
        <w:rPr>
          <w:rFonts w:ascii="Palatino Linotype" w:hAnsi="Palatino Linotype"/>
          <w:szCs w:val="22"/>
        </w:rPr>
        <w:t>oficio número 23400006L-0128/2024 de fecha veintisiete de junio de dos mil veinticuatro, suscrito por el Director General, en el que señaló que con fecha veintiséis de junio de 2024 se aprueba el Manual General de Organización de la Secretaría del Agua, asimismo, señaló que la publicación del Manual tenía un costo.</w:t>
      </w:r>
    </w:p>
    <w:p w:rsidR="00957F6A" w:rsidRPr="00136DBA" w:rsidRDefault="00E66154" w:rsidP="00957F6A">
      <w:pPr>
        <w:pStyle w:val="Prrafodelista"/>
        <w:numPr>
          <w:ilvl w:val="0"/>
          <w:numId w:val="6"/>
        </w:numPr>
        <w:spacing w:line="360" w:lineRule="auto"/>
        <w:ind w:right="567"/>
        <w:jc w:val="both"/>
        <w:rPr>
          <w:rFonts w:ascii="Palatino Linotype" w:hAnsi="Palatino Linotype"/>
          <w:b/>
          <w:szCs w:val="22"/>
        </w:rPr>
      </w:pPr>
      <w:hyperlink r:id="rId9" w:tgtFrame="_blank" w:history="1">
        <w:r w:rsidR="009D482C" w:rsidRPr="00136DBA">
          <w:rPr>
            <w:rStyle w:val="Hipervnculo"/>
            <w:rFonts w:ascii="Palatino Linotype" w:eastAsiaTheme="majorEastAsia" w:hAnsi="Palatino Linotype" w:cs="Arial"/>
            <w:b/>
            <w:bCs/>
            <w:color w:val="auto"/>
            <w:szCs w:val="22"/>
          </w:rPr>
          <w:t xml:space="preserve">ANEXO DE LA SOLICITUD 00195 </w:t>
        </w:r>
        <w:proofErr w:type="gramStart"/>
        <w:r w:rsidR="009D482C" w:rsidRPr="00136DBA">
          <w:rPr>
            <w:rStyle w:val="Hipervnculo"/>
            <w:rFonts w:ascii="Palatino Linotype" w:eastAsiaTheme="majorEastAsia" w:hAnsi="Palatino Linotype" w:cs="Arial"/>
            <w:b/>
            <w:bCs/>
            <w:color w:val="auto"/>
            <w:szCs w:val="22"/>
          </w:rPr>
          <w:t>dictamen</w:t>
        </w:r>
        <w:proofErr w:type="gramEnd"/>
        <w:r w:rsidR="009D482C" w:rsidRPr="00136DBA">
          <w:rPr>
            <w:rStyle w:val="Hipervnculo"/>
            <w:rFonts w:ascii="Palatino Linotype" w:eastAsiaTheme="majorEastAsia" w:hAnsi="Palatino Linotype" w:cs="Arial"/>
            <w:b/>
            <w:bCs/>
            <w:color w:val="auto"/>
            <w:szCs w:val="22"/>
          </w:rPr>
          <w:t xml:space="preserve"> técnico.pdf</w:t>
        </w:r>
      </w:hyperlink>
      <w:r w:rsidR="009D482C" w:rsidRPr="00136DBA">
        <w:rPr>
          <w:rFonts w:ascii="Palatino Linotype" w:hAnsi="Palatino Linotype"/>
          <w:b/>
          <w:szCs w:val="22"/>
        </w:rPr>
        <w:t>:</w:t>
      </w:r>
      <w:r w:rsidR="00957F6A" w:rsidRPr="00136DBA">
        <w:rPr>
          <w:rFonts w:ascii="Palatino Linotype" w:hAnsi="Palatino Linotype"/>
          <w:b/>
          <w:szCs w:val="22"/>
        </w:rPr>
        <w:t xml:space="preserve"> </w:t>
      </w:r>
      <w:r w:rsidR="00957F6A" w:rsidRPr="00136DBA">
        <w:rPr>
          <w:rFonts w:ascii="Palatino Linotype" w:hAnsi="Palatino Linotype"/>
          <w:szCs w:val="22"/>
        </w:rPr>
        <w:t>consta del dictamen Técnico de Proyectos de Manuales de Organización.</w:t>
      </w:r>
      <w:r w:rsidR="00957F6A" w:rsidRPr="00136DBA">
        <w:rPr>
          <w:rFonts w:ascii="Palatino Linotype" w:hAnsi="Palatino Linotype"/>
          <w:b/>
          <w:szCs w:val="22"/>
        </w:rPr>
        <w:t xml:space="preserve"> </w:t>
      </w:r>
    </w:p>
    <w:p w:rsidR="009D482C" w:rsidRPr="00136DBA" w:rsidRDefault="00E66154" w:rsidP="009D482C">
      <w:pPr>
        <w:pStyle w:val="Prrafodelista"/>
        <w:numPr>
          <w:ilvl w:val="0"/>
          <w:numId w:val="6"/>
        </w:numPr>
        <w:spacing w:line="360" w:lineRule="auto"/>
        <w:ind w:right="567"/>
        <w:jc w:val="both"/>
        <w:rPr>
          <w:rFonts w:ascii="Palatino Linotype" w:hAnsi="Palatino Linotype"/>
          <w:b/>
          <w:szCs w:val="22"/>
        </w:rPr>
      </w:pPr>
      <w:hyperlink r:id="rId10" w:tgtFrame="_blank" w:history="1">
        <w:r w:rsidR="009D482C" w:rsidRPr="00136DBA">
          <w:rPr>
            <w:rStyle w:val="Hipervnculo"/>
            <w:rFonts w:ascii="Palatino Linotype" w:eastAsiaTheme="majorEastAsia" w:hAnsi="Palatino Linotype" w:cs="Arial"/>
            <w:b/>
            <w:bCs/>
            <w:color w:val="auto"/>
            <w:szCs w:val="22"/>
          </w:rPr>
          <w:t>ACUSE SOLIC. 195.pdf</w:t>
        </w:r>
      </w:hyperlink>
      <w:r w:rsidR="009D482C" w:rsidRPr="00136DBA">
        <w:rPr>
          <w:rFonts w:ascii="Palatino Linotype" w:hAnsi="Palatino Linotype"/>
          <w:b/>
          <w:szCs w:val="22"/>
        </w:rPr>
        <w:t>:</w:t>
      </w:r>
      <w:r w:rsidR="00957F6A" w:rsidRPr="00136DBA">
        <w:rPr>
          <w:rFonts w:ascii="Palatino Linotype" w:hAnsi="Palatino Linotype"/>
          <w:b/>
          <w:szCs w:val="22"/>
        </w:rPr>
        <w:t xml:space="preserve"> </w:t>
      </w:r>
      <w:r w:rsidR="00957F6A" w:rsidRPr="00136DBA">
        <w:rPr>
          <w:rFonts w:ascii="Palatino Linotype" w:hAnsi="Palatino Linotype"/>
          <w:szCs w:val="22"/>
        </w:rPr>
        <w:t>oficio número 23400004000200S-139/2024 de fecha trece de septiembre de dos mil veinticuatro, suscrito por el Jefe de la Unidad de la Dirección General de Personal</w:t>
      </w:r>
      <w:r w:rsidR="003E095D" w:rsidRPr="00136DBA">
        <w:rPr>
          <w:rFonts w:ascii="Palatino Linotype" w:hAnsi="Palatino Linotype"/>
          <w:szCs w:val="22"/>
        </w:rPr>
        <w:t xml:space="preserve">, quien señaló que no ha generado, poseído y administrado la información solicitada. </w:t>
      </w:r>
    </w:p>
    <w:p w:rsidR="009D482C" w:rsidRPr="00136DBA" w:rsidRDefault="00E66154" w:rsidP="009D482C">
      <w:pPr>
        <w:pStyle w:val="Prrafodelista"/>
        <w:numPr>
          <w:ilvl w:val="0"/>
          <w:numId w:val="6"/>
        </w:numPr>
        <w:spacing w:line="360" w:lineRule="auto"/>
        <w:ind w:right="567"/>
        <w:jc w:val="both"/>
        <w:rPr>
          <w:rFonts w:ascii="Palatino Linotype" w:hAnsi="Palatino Linotype"/>
          <w:b/>
          <w:szCs w:val="22"/>
        </w:rPr>
      </w:pPr>
      <w:hyperlink r:id="rId11" w:tgtFrame="_blank" w:history="1">
        <w:r w:rsidR="009D482C" w:rsidRPr="00136DBA">
          <w:rPr>
            <w:rStyle w:val="Hipervnculo"/>
            <w:rFonts w:ascii="Palatino Linotype" w:eastAsiaTheme="majorEastAsia" w:hAnsi="Palatino Linotype" w:cs="Arial"/>
            <w:b/>
            <w:bCs/>
            <w:color w:val="auto"/>
            <w:szCs w:val="22"/>
          </w:rPr>
          <w:t>Respuesta 195.pdf</w:t>
        </w:r>
      </w:hyperlink>
      <w:r w:rsidR="009D482C" w:rsidRPr="00136DBA">
        <w:rPr>
          <w:rFonts w:ascii="Palatino Linotype" w:hAnsi="Palatino Linotype"/>
          <w:b/>
          <w:szCs w:val="22"/>
        </w:rPr>
        <w:t>:</w:t>
      </w:r>
      <w:r w:rsidR="003E095D" w:rsidRPr="00136DBA">
        <w:rPr>
          <w:rFonts w:ascii="Palatino Linotype" w:hAnsi="Palatino Linotype"/>
          <w:b/>
          <w:szCs w:val="22"/>
        </w:rPr>
        <w:t xml:space="preserve"> </w:t>
      </w:r>
      <w:r w:rsidR="003E095D" w:rsidRPr="00136DBA">
        <w:rPr>
          <w:rFonts w:ascii="Palatino Linotype" w:hAnsi="Palatino Linotype"/>
          <w:szCs w:val="22"/>
        </w:rPr>
        <w:t>oficio número 234ª00000/UT-580-2024, de fecha dieciocho  de septiembre de dos mil veinticuatro, suscrito por el Titular la de la Unidad de Transparencia en el que señaló dar contestación a la solicitud de información.</w:t>
      </w:r>
      <w:r w:rsidR="003E095D" w:rsidRPr="00136DBA">
        <w:rPr>
          <w:rFonts w:ascii="Palatino Linotype" w:hAnsi="Palatino Linotype"/>
          <w:b/>
          <w:szCs w:val="22"/>
        </w:rPr>
        <w:t xml:space="preserve"> </w:t>
      </w:r>
    </w:p>
    <w:p w:rsidR="009D482C" w:rsidRPr="00136DBA" w:rsidRDefault="009D482C" w:rsidP="009D482C">
      <w:pPr>
        <w:numPr>
          <w:ilvl w:val="0"/>
          <w:numId w:val="1"/>
        </w:numPr>
        <w:spacing w:line="360" w:lineRule="auto"/>
        <w:ind w:left="0" w:firstLine="0"/>
        <w:contextualSpacing/>
        <w:jc w:val="both"/>
        <w:rPr>
          <w:rFonts w:ascii="Palatino Linotype" w:eastAsiaTheme="minorEastAsia" w:hAnsi="Palatino Linotype" w:cs="Arial"/>
          <w:i/>
          <w:sz w:val="22"/>
          <w:szCs w:val="22"/>
          <w:lang w:val="es-ES_tradnl" w:eastAsia="es-ES"/>
        </w:rPr>
      </w:pPr>
      <w:r w:rsidRPr="00136DBA">
        <w:rPr>
          <w:rFonts w:ascii="Palatino Linotype" w:eastAsia="Calibri" w:hAnsi="Palatino Linotype" w:cs="Arial"/>
          <w:sz w:val="22"/>
          <w:szCs w:val="22"/>
          <w:lang w:val="es-AR" w:eastAsia="es-ES"/>
        </w:rPr>
        <w:t xml:space="preserve">El </w:t>
      </w:r>
      <w:r w:rsidR="003E095D" w:rsidRPr="00136DBA">
        <w:rPr>
          <w:rFonts w:ascii="Palatino Linotype" w:eastAsia="Calibri" w:hAnsi="Palatino Linotype" w:cs="Arial"/>
          <w:sz w:val="22"/>
          <w:szCs w:val="22"/>
          <w:lang w:val="es-AR" w:eastAsia="es-ES"/>
        </w:rPr>
        <w:t>veintitrés (23) de septiembre</w:t>
      </w:r>
      <w:r w:rsidRPr="00136DBA">
        <w:rPr>
          <w:rFonts w:ascii="Palatino Linotype" w:eastAsia="Calibri" w:hAnsi="Palatino Linotype" w:cs="Arial"/>
          <w:sz w:val="22"/>
          <w:szCs w:val="22"/>
          <w:lang w:val="es-AR" w:eastAsia="es-ES"/>
        </w:rPr>
        <w:t xml:space="preserve"> de dos mil veinticuatro</w:t>
      </w:r>
      <w:r w:rsidRPr="00136DBA">
        <w:rPr>
          <w:rFonts w:ascii="Palatino Linotype" w:hAnsi="Palatino Linotype" w:cs="Arial"/>
          <w:sz w:val="22"/>
          <w:szCs w:val="22"/>
          <w:lang w:val="es-ES" w:eastAsia="es-ES"/>
        </w:rPr>
        <w:t xml:space="preserve">, </w:t>
      </w:r>
      <w:r w:rsidRPr="00136DBA">
        <w:rPr>
          <w:rFonts w:ascii="Palatino Linotype" w:eastAsiaTheme="minorEastAsia" w:hAnsi="Palatino Linotype"/>
          <w:b/>
          <w:sz w:val="22"/>
          <w:szCs w:val="22"/>
          <w:lang w:val="es-ES_tradnl" w:eastAsia="es-ES"/>
        </w:rPr>
        <w:t>EL RECURRENTE</w:t>
      </w:r>
      <w:r w:rsidRPr="00136DBA">
        <w:rPr>
          <w:rFonts w:ascii="Palatino Linotype" w:hAnsi="Palatino Linotype" w:cs="Arial"/>
          <w:sz w:val="22"/>
          <w:szCs w:val="22"/>
          <w:lang w:val="es-ES" w:eastAsia="es-ES"/>
        </w:rPr>
        <w:t xml:space="preserve"> interpuso el recurso de revisión, en contra de la respuesta, señalando como:</w:t>
      </w:r>
      <w:bookmarkStart w:id="1" w:name="_Toc462307683"/>
      <w:bookmarkStart w:id="2" w:name="_Toc472427085"/>
      <w:bookmarkStart w:id="3" w:name="_Toc472500652"/>
    </w:p>
    <w:p w:rsidR="009D482C" w:rsidRPr="00136DBA" w:rsidRDefault="009D482C" w:rsidP="009D482C">
      <w:pPr>
        <w:spacing w:line="360" w:lineRule="auto"/>
        <w:ind w:left="567" w:right="567"/>
        <w:contextualSpacing/>
        <w:rPr>
          <w:rFonts w:ascii="Palatino Linotype" w:eastAsiaTheme="minorEastAsia" w:hAnsi="Palatino Linotype" w:cs="Arial"/>
          <w:i/>
          <w:sz w:val="22"/>
          <w:szCs w:val="22"/>
          <w:lang w:val="es-ES_tradnl" w:eastAsia="es-ES"/>
        </w:rPr>
      </w:pPr>
    </w:p>
    <w:p w:rsidR="009D482C" w:rsidRPr="00136DBA" w:rsidRDefault="009D482C" w:rsidP="009D482C">
      <w:pPr>
        <w:spacing w:line="360" w:lineRule="auto"/>
        <w:ind w:left="567" w:right="567"/>
        <w:contextualSpacing/>
        <w:jc w:val="both"/>
        <w:rPr>
          <w:rFonts w:ascii="Palatino Linotype" w:eastAsia="Calibri" w:hAnsi="Palatino Linotype" w:cs="Arial"/>
          <w:i/>
          <w:sz w:val="22"/>
          <w:szCs w:val="22"/>
          <w:lang w:val="es-ES" w:eastAsia="es-ES"/>
        </w:rPr>
      </w:pPr>
      <w:r w:rsidRPr="00136DBA">
        <w:rPr>
          <w:rFonts w:ascii="Palatino Linotype" w:eastAsiaTheme="minorEastAsia" w:hAnsi="Palatino Linotype"/>
          <w:b/>
          <w:sz w:val="22"/>
          <w:szCs w:val="22"/>
          <w:lang w:val="es-ES_tradnl" w:eastAsia="es-ES"/>
        </w:rPr>
        <w:lastRenderedPageBreak/>
        <w:t>Acto impugnado</w:t>
      </w:r>
      <w:r w:rsidRPr="00136DBA">
        <w:rPr>
          <w:rFonts w:ascii="Palatino Linotype" w:eastAsiaTheme="minorEastAsia" w:hAnsi="Palatino Linotype"/>
          <w:b/>
          <w:i/>
          <w:sz w:val="22"/>
          <w:szCs w:val="22"/>
          <w:lang w:val="es-ES_tradnl" w:eastAsia="es-ES"/>
        </w:rPr>
        <w:t>:</w:t>
      </w:r>
      <w:r w:rsidRPr="00136DBA">
        <w:rPr>
          <w:rFonts w:ascii="Palatino Linotype" w:hAnsi="Palatino Linotype"/>
          <w:i/>
          <w:color w:val="000000"/>
          <w:sz w:val="22"/>
          <w:szCs w:val="22"/>
        </w:rPr>
        <w:t xml:space="preserve"> </w:t>
      </w:r>
      <w:r w:rsidR="003E095D" w:rsidRPr="00136DBA">
        <w:rPr>
          <w:rFonts w:ascii="Palatino Linotype" w:hAnsi="Palatino Linotype"/>
          <w:i/>
          <w:color w:val="000000"/>
          <w:sz w:val="22"/>
          <w:szCs w:val="22"/>
        </w:rPr>
        <w:t xml:space="preserve">“no </w:t>
      </w:r>
      <w:proofErr w:type="spellStart"/>
      <w:r w:rsidR="003E095D" w:rsidRPr="00136DBA">
        <w:rPr>
          <w:rFonts w:ascii="Palatino Linotype" w:hAnsi="Palatino Linotype"/>
          <w:i/>
          <w:color w:val="000000"/>
          <w:sz w:val="22"/>
          <w:szCs w:val="22"/>
        </w:rPr>
        <w:t>envia</w:t>
      </w:r>
      <w:proofErr w:type="spellEnd"/>
      <w:r w:rsidR="003E095D" w:rsidRPr="00136DBA">
        <w:rPr>
          <w:rFonts w:ascii="Palatino Linotype" w:hAnsi="Palatino Linotype"/>
          <w:i/>
          <w:color w:val="000000"/>
          <w:sz w:val="22"/>
          <w:szCs w:val="22"/>
        </w:rPr>
        <w:t xml:space="preserve"> el manual y organigrama autorizado por esa </w:t>
      </w:r>
      <w:proofErr w:type="spellStart"/>
      <w:r w:rsidR="003E095D" w:rsidRPr="00136DBA">
        <w:rPr>
          <w:rFonts w:ascii="Palatino Linotype" w:hAnsi="Palatino Linotype"/>
          <w:i/>
          <w:color w:val="000000"/>
          <w:sz w:val="22"/>
          <w:szCs w:val="22"/>
        </w:rPr>
        <w:t>depencdencia</w:t>
      </w:r>
      <w:proofErr w:type="spellEnd"/>
      <w:r w:rsidR="003E095D" w:rsidRPr="00136DBA">
        <w:rPr>
          <w:rFonts w:ascii="Palatino Linotype" w:hAnsi="Palatino Linotype"/>
          <w:i/>
          <w:color w:val="000000"/>
          <w:sz w:val="22"/>
          <w:szCs w:val="22"/>
        </w:rPr>
        <w:t xml:space="preserve"> a la secretaria del agua</w:t>
      </w:r>
      <w:r w:rsidRPr="00136DBA">
        <w:rPr>
          <w:rFonts w:ascii="Palatino Linotype" w:hAnsi="Palatino Linotype"/>
          <w:i/>
          <w:color w:val="000000"/>
          <w:sz w:val="22"/>
          <w:szCs w:val="22"/>
        </w:rPr>
        <w:t>” (Sic)</w:t>
      </w:r>
    </w:p>
    <w:p w:rsidR="009D482C" w:rsidRPr="00136DBA" w:rsidRDefault="009D482C" w:rsidP="009D482C">
      <w:pPr>
        <w:spacing w:line="360" w:lineRule="auto"/>
        <w:ind w:left="567" w:right="567"/>
        <w:contextualSpacing/>
        <w:jc w:val="both"/>
        <w:rPr>
          <w:rFonts w:ascii="Palatino Linotype" w:eastAsia="Calibri" w:hAnsi="Palatino Linotype" w:cs="Arial"/>
          <w:sz w:val="22"/>
          <w:szCs w:val="22"/>
          <w:lang w:val="es-ES" w:eastAsia="es-ES"/>
        </w:rPr>
      </w:pPr>
    </w:p>
    <w:p w:rsidR="009D482C" w:rsidRPr="00136DBA" w:rsidRDefault="009D482C" w:rsidP="009D482C">
      <w:pPr>
        <w:spacing w:line="360" w:lineRule="auto"/>
        <w:ind w:left="567" w:right="567"/>
        <w:contextualSpacing/>
        <w:jc w:val="both"/>
        <w:rPr>
          <w:rFonts w:ascii="Palatino Linotype" w:hAnsi="Palatino Linotype"/>
          <w:i/>
          <w:color w:val="000000"/>
          <w:sz w:val="22"/>
          <w:szCs w:val="22"/>
        </w:rPr>
      </w:pPr>
      <w:r w:rsidRPr="00136DBA">
        <w:rPr>
          <w:rFonts w:ascii="Palatino Linotype" w:eastAsiaTheme="minorEastAsia" w:hAnsi="Palatino Linotype"/>
          <w:b/>
          <w:sz w:val="22"/>
          <w:szCs w:val="22"/>
          <w:lang w:val="es-ES_tradnl" w:eastAsia="es-ES"/>
        </w:rPr>
        <w:t>Razones o Motivos de inconformidad:</w:t>
      </w:r>
      <w:r w:rsidRPr="00136DBA">
        <w:rPr>
          <w:rFonts w:ascii="Palatino Linotype" w:eastAsiaTheme="majorEastAsia" w:hAnsi="Palatino Linotype" w:cstheme="majorBidi"/>
          <w:b/>
          <w:color w:val="2E74B5" w:themeColor="accent1" w:themeShade="BF"/>
          <w:sz w:val="22"/>
          <w:szCs w:val="22"/>
          <w:lang w:val="es-ES" w:eastAsia="es-ES"/>
        </w:rPr>
        <w:t xml:space="preserve"> </w:t>
      </w:r>
      <w:r w:rsidRPr="00136DBA">
        <w:rPr>
          <w:rFonts w:ascii="Palatino Linotype" w:eastAsiaTheme="majorEastAsia" w:hAnsi="Palatino Linotype" w:cstheme="majorBidi"/>
          <w:i/>
          <w:sz w:val="22"/>
          <w:szCs w:val="22"/>
          <w:lang w:val="es-ES" w:eastAsia="es-ES"/>
        </w:rPr>
        <w:t>“</w:t>
      </w:r>
      <w:r w:rsidR="003E095D" w:rsidRPr="00136DBA">
        <w:rPr>
          <w:rFonts w:ascii="Palatino Linotype" w:hAnsi="Palatino Linotype"/>
          <w:i/>
          <w:color w:val="000000"/>
          <w:sz w:val="22"/>
          <w:szCs w:val="22"/>
        </w:rPr>
        <w:t xml:space="preserve">o </w:t>
      </w:r>
      <w:proofErr w:type="spellStart"/>
      <w:r w:rsidR="003E095D" w:rsidRPr="00136DBA">
        <w:rPr>
          <w:rFonts w:ascii="Palatino Linotype" w:hAnsi="Palatino Linotype"/>
          <w:i/>
          <w:color w:val="000000"/>
          <w:sz w:val="22"/>
          <w:szCs w:val="22"/>
        </w:rPr>
        <w:t>envia</w:t>
      </w:r>
      <w:proofErr w:type="spellEnd"/>
      <w:r w:rsidR="003E095D" w:rsidRPr="00136DBA">
        <w:rPr>
          <w:rFonts w:ascii="Palatino Linotype" w:hAnsi="Palatino Linotype"/>
          <w:i/>
          <w:color w:val="000000"/>
          <w:sz w:val="22"/>
          <w:szCs w:val="22"/>
        </w:rPr>
        <w:t xml:space="preserve"> el manual y organigrama autorizado por esa </w:t>
      </w:r>
      <w:proofErr w:type="spellStart"/>
      <w:r w:rsidR="003E095D" w:rsidRPr="00136DBA">
        <w:rPr>
          <w:rFonts w:ascii="Palatino Linotype" w:hAnsi="Palatino Linotype"/>
          <w:i/>
          <w:color w:val="000000"/>
          <w:sz w:val="22"/>
          <w:szCs w:val="22"/>
        </w:rPr>
        <w:t>depencdencia</w:t>
      </w:r>
      <w:proofErr w:type="spellEnd"/>
      <w:r w:rsidR="003E095D" w:rsidRPr="00136DBA">
        <w:rPr>
          <w:rFonts w:ascii="Palatino Linotype" w:hAnsi="Palatino Linotype"/>
          <w:i/>
          <w:color w:val="000000"/>
          <w:sz w:val="22"/>
          <w:szCs w:val="22"/>
        </w:rPr>
        <w:t xml:space="preserve"> a la secretaria del agua</w:t>
      </w:r>
      <w:r w:rsidRPr="00136DBA">
        <w:rPr>
          <w:rFonts w:ascii="Palatino Linotype" w:hAnsi="Palatino Linotype"/>
          <w:i/>
          <w:color w:val="000000"/>
          <w:sz w:val="22"/>
          <w:szCs w:val="22"/>
        </w:rPr>
        <w:t>” (Sic).</w:t>
      </w:r>
    </w:p>
    <w:bookmarkEnd w:id="1"/>
    <w:bookmarkEnd w:id="2"/>
    <w:bookmarkEnd w:id="3"/>
    <w:p w:rsidR="009D482C" w:rsidRPr="00136DBA" w:rsidRDefault="009D482C" w:rsidP="009D482C">
      <w:pPr>
        <w:spacing w:line="360" w:lineRule="auto"/>
        <w:jc w:val="both"/>
        <w:rPr>
          <w:rFonts w:ascii="Palatino Linotype" w:hAnsi="Palatino Linotype"/>
          <w:i/>
          <w:sz w:val="22"/>
          <w:szCs w:val="22"/>
        </w:rPr>
      </w:pPr>
      <w:r w:rsidRPr="00136DBA">
        <w:rPr>
          <w:rFonts w:ascii="Palatino Linotype" w:eastAsia="Calibri" w:hAnsi="Palatino Linotype" w:cs="Arial"/>
          <w:sz w:val="22"/>
          <w:szCs w:val="22"/>
          <w:lang w:val="es-AR" w:eastAsia="es-ES"/>
        </w:rPr>
        <w:tab/>
      </w:r>
    </w:p>
    <w:p w:rsidR="009D482C" w:rsidRPr="00136DBA" w:rsidRDefault="009D482C" w:rsidP="009D482C">
      <w:pPr>
        <w:numPr>
          <w:ilvl w:val="0"/>
          <w:numId w:val="1"/>
        </w:numPr>
        <w:spacing w:line="360" w:lineRule="auto"/>
        <w:ind w:left="0" w:firstLine="0"/>
        <w:contextualSpacing/>
        <w:jc w:val="both"/>
        <w:rPr>
          <w:rFonts w:ascii="Palatino Linotype" w:eastAsia="Calibri" w:hAnsi="Palatino Linotype" w:cs="Arial"/>
          <w:sz w:val="22"/>
          <w:szCs w:val="22"/>
          <w:lang w:val="es-AR" w:eastAsia="es-ES"/>
        </w:rPr>
      </w:pPr>
      <w:r w:rsidRPr="00136DBA">
        <w:rPr>
          <w:rFonts w:ascii="Palatino Linotype" w:hAnsi="Palatino Linotype" w:cs="Arial"/>
          <w:sz w:val="22"/>
          <w:szCs w:val="22"/>
          <w:lang w:val="es-ES" w:eastAsia="es-ES"/>
        </w:rPr>
        <w:t xml:space="preserve">Se registró el recurso de revisión bajo el número de expediente </w:t>
      </w:r>
      <w:r w:rsidRPr="00136DBA">
        <w:rPr>
          <w:rFonts w:ascii="Palatino Linotype" w:eastAsiaTheme="minorEastAsia" w:hAnsi="Palatino Linotype" w:cs="Arial"/>
          <w:bCs/>
          <w:sz w:val="22"/>
          <w:szCs w:val="22"/>
          <w:lang w:val="es-ES_tradnl" w:eastAsia="es-ES"/>
        </w:rPr>
        <w:t xml:space="preserve">al rubro indicado, asimismo con fundamento en lo dispuesto por el </w:t>
      </w:r>
      <w:r w:rsidRPr="00136DBA">
        <w:rPr>
          <w:rFonts w:ascii="Palatino Linotype" w:eastAsia="Calibri" w:hAnsi="Palatino Linotype" w:cs="Arial"/>
          <w:sz w:val="22"/>
          <w:szCs w:val="22"/>
          <w:lang w:val="es-ES" w:eastAsia="es-ES"/>
        </w:rPr>
        <w:t xml:space="preserve">artículo 185 fracción I de la </w:t>
      </w:r>
      <w:r w:rsidRPr="00136DBA">
        <w:rPr>
          <w:rFonts w:ascii="Palatino Linotype" w:eastAsia="Calibri" w:hAnsi="Palatino Linotype" w:cs="Arial"/>
          <w:b/>
          <w:sz w:val="22"/>
          <w:szCs w:val="22"/>
          <w:lang w:val="es-ES" w:eastAsia="es-ES"/>
        </w:rPr>
        <w:t xml:space="preserve">Ley de Transparencia y Acceso a la Información Pública del Estado de México y Municipios </w:t>
      </w:r>
      <w:r w:rsidRPr="00136DBA">
        <w:rPr>
          <w:rFonts w:ascii="Palatino Linotype" w:hAnsi="Palatino Linotype" w:cs="Arial"/>
          <w:sz w:val="22"/>
          <w:szCs w:val="22"/>
          <w:lang w:val="es-ES" w:eastAsia="es-ES"/>
        </w:rPr>
        <w:t xml:space="preserve">se turnó a la </w:t>
      </w:r>
      <w:r w:rsidRPr="00136DBA">
        <w:rPr>
          <w:rFonts w:ascii="Palatino Linotype" w:hAnsi="Palatino Linotype" w:cs="Arial"/>
          <w:b/>
          <w:sz w:val="22"/>
          <w:szCs w:val="22"/>
          <w:lang w:val="es-ES" w:eastAsia="es-ES"/>
        </w:rPr>
        <w:t xml:space="preserve">Comisionada María del Rosario Mejía Ayala, </w:t>
      </w:r>
      <w:r w:rsidRPr="00136DBA">
        <w:rPr>
          <w:rFonts w:ascii="Palatino Linotype" w:hAnsi="Palatino Linotype" w:cs="Arial"/>
          <w:sz w:val="22"/>
          <w:szCs w:val="22"/>
          <w:lang w:val="es-ES" w:eastAsia="es-ES"/>
        </w:rPr>
        <w:t xml:space="preserve">con el objeto de </w:t>
      </w:r>
      <w:r w:rsidRPr="00136DBA">
        <w:rPr>
          <w:rFonts w:ascii="Palatino Linotype" w:hAnsi="Palatino Linotype" w:cs="Arial"/>
          <w:sz w:val="22"/>
          <w:szCs w:val="22"/>
          <w:lang w:eastAsia="es-ES"/>
        </w:rPr>
        <w:t xml:space="preserve">su análisis. </w:t>
      </w:r>
    </w:p>
    <w:p w:rsidR="003E095D" w:rsidRPr="00136DBA" w:rsidRDefault="003E095D" w:rsidP="003E095D">
      <w:pPr>
        <w:spacing w:line="360" w:lineRule="auto"/>
        <w:contextualSpacing/>
        <w:jc w:val="both"/>
        <w:rPr>
          <w:rFonts w:ascii="Palatino Linotype" w:eastAsia="Calibri" w:hAnsi="Palatino Linotype" w:cs="Arial"/>
          <w:sz w:val="22"/>
          <w:szCs w:val="22"/>
          <w:lang w:val="es-AR" w:eastAsia="es-ES"/>
        </w:rPr>
      </w:pPr>
    </w:p>
    <w:p w:rsidR="009D482C" w:rsidRPr="00136DBA" w:rsidRDefault="009D482C" w:rsidP="009D482C">
      <w:pPr>
        <w:numPr>
          <w:ilvl w:val="0"/>
          <w:numId w:val="1"/>
        </w:numPr>
        <w:spacing w:line="360" w:lineRule="auto"/>
        <w:ind w:left="0" w:firstLine="0"/>
        <w:contextualSpacing/>
        <w:jc w:val="both"/>
        <w:rPr>
          <w:rFonts w:ascii="Palatino Linotype" w:eastAsiaTheme="minorEastAsia" w:hAnsi="Palatino Linotype" w:cstheme="minorBidi"/>
          <w:i/>
          <w:color w:val="000000"/>
          <w:sz w:val="22"/>
          <w:szCs w:val="22"/>
          <w:lang w:val="es-ES_tradnl" w:eastAsia="es-ES"/>
        </w:rPr>
      </w:pPr>
      <w:r w:rsidRPr="00136DBA">
        <w:rPr>
          <w:rFonts w:ascii="Palatino Linotype" w:eastAsia="Calibri" w:hAnsi="Palatino Linotype" w:cs="Arial"/>
          <w:sz w:val="22"/>
          <w:szCs w:val="22"/>
          <w:lang w:val="es-ES" w:eastAsia="es-ES"/>
        </w:rPr>
        <w:t xml:space="preserve">El Comisionado Ponente con fundamento en lo dispuesto por el artículo 185 fracción II de la ley de la materia, a través del acuerdo de admisión de fecha </w:t>
      </w:r>
      <w:r w:rsidR="003E095D" w:rsidRPr="00136DBA">
        <w:rPr>
          <w:rFonts w:ascii="Palatino Linotype" w:eastAsia="Calibri" w:hAnsi="Palatino Linotype" w:cs="Arial"/>
          <w:sz w:val="22"/>
          <w:szCs w:val="22"/>
          <w:lang w:val="es-ES" w:eastAsia="es-ES"/>
        </w:rPr>
        <w:t>veintisiete (27) de septiembre</w:t>
      </w:r>
      <w:r w:rsidRPr="00136DBA">
        <w:rPr>
          <w:rFonts w:ascii="Palatino Linotype" w:eastAsia="Calibri" w:hAnsi="Palatino Linotype" w:cs="Arial"/>
          <w:sz w:val="22"/>
          <w:szCs w:val="22"/>
          <w:lang w:val="es-ES" w:eastAsia="es-ES"/>
        </w:rPr>
        <w:t xml:space="preserve"> de dos mil veinticuatro, puso a disposición de las partes el expediente electrónico </w:t>
      </w:r>
      <w:r w:rsidRPr="00136DBA">
        <w:rPr>
          <w:rFonts w:ascii="Palatino Linotype" w:eastAsia="Calibri" w:hAnsi="Palatino Linotype" w:cs="Arial"/>
          <w:sz w:val="22"/>
          <w:szCs w:val="22"/>
          <w:lang w:val="es-ES_tradnl" w:eastAsia="es-ES"/>
        </w:rPr>
        <w:t xml:space="preserve">vía </w:t>
      </w:r>
      <w:r w:rsidRPr="00136DBA">
        <w:rPr>
          <w:rFonts w:ascii="Palatino Linotype" w:eastAsia="Calibri" w:hAnsi="Palatino Linotype" w:cs="Arial"/>
          <w:b/>
          <w:sz w:val="22"/>
          <w:szCs w:val="22"/>
          <w:lang w:val="es-ES" w:eastAsia="es-ES"/>
        </w:rPr>
        <w:t xml:space="preserve">SAIMEX </w:t>
      </w:r>
      <w:r w:rsidRPr="00136DBA">
        <w:rPr>
          <w:rFonts w:ascii="Palatino Linotype" w:eastAsia="Calibri" w:hAnsi="Palatino Linotype" w:cs="Arial"/>
          <w:sz w:val="22"/>
          <w:szCs w:val="22"/>
          <w:lang w:val="es-ES" w:eastAsia="es-ES"/>
        </w:rPr>
        <w:t xml:space="preserve">a efecto de que en un plazo máximo de siete días manifestaran lo que a derecho convinieran, ofrecieran pruebas y alegatos según corresponda al caso concreto, de esta forma para que el </w:t>
      </w:r>
      <w:r w:rsidRPr="00136DBA">
        <w:rPr>
          <w:rFonts w:ascii="Palatino Linotype" w:eastAsia="Calibri" w:hAnsi="Palatino Linotype" w:cs="Arial"/>
          <w:b/>
          <w:sz w:val="22"/>
          <w:szCs w:val="22"/>
          <w:lang w:val="es-ES" w:eastAsia="es-ES"/>
        </w:rPr>
        <w:t>SUJETO OBLIGADO</w:t>
      </w:r>
      <w:r w:rsidRPr="00136DBA">
        <w:rPr>
          <w:rFonts w:ascii="Palatino Linotype" w:eastAsia="Calibri" w:hAnsi="Palatino Linotype" w:cs="Arial"/>
          <w:sz w:val="22"/>
          <w:szCs w:val="22"/>
          <w:lang w:val="es-ES" w:eastAsia="es-ES"/>
        </w:rPr>
        <w:t xml:space="preserve"> presentara el informe justificado procedente. </w:t>
      </w:r>
    </w:p>
    <w:p w:rsidR="009D482C" w:rsidRPr="00136DBA" w:rsidRDefault="009D482C" w:rsidP="009D482C">
      <w:pPr>
        <w:spacing w:line="360" w:lineRule="auto"/>
        <w:contextualSpacing/>
        <w:jc w:val="both"/>
        <w:rPr>
          <w:rFonts w:ascii="Palatino Linotype" w:eastAsiaTheme="minorEastAsia" w:hAnsi="Palatino Linotype" w:cstheme="minorBidi"/>
          <w:i/>
          <w:color w:val="000000"/>
          <w:sz w:val="22"/>
          <w:szCs w:val="22"/>
          <w:lang w:val="es-ES_tradnl" w:eastAsia="es-ES"/>
        </w:rPr>
      </w:pPr>
    </w:p>
    <w:p w:rsidR="009D482C" w:rsidRPr="00136DBA" w:rsidRDefault="009D482C" w:rsidP="009D482C">
      <w:pPr>
        <w:numPr>
          <w:ilvl w:val="0"/>
          <w:numId w:val="1"/>
        </w:numPr>
        <w:spacing w:line="360" w:lineRule="auto"/>
        <w:ind w:left="0" w:firstLine="0"/>
        <w:contextualSpacing/>
        <w:jc w:val="both"/>
        <w:rPr>
          <w:rFonts w:ascii="Arial" w:hAnsi="Arial" w:cs="Arial"/>
          <w:sz w:val="22"/>
          <w:szCs w:val="22"/>
          <w:lang w:eastAsia="es-ES"/>
        </w:rPr>
      </w:pPr>
      <w:r w:rsidRPr="00136DBA">
        <w:rPr>
          <w:rFonts w:ascii="Palatino Linotype" w:eastAsia="Calibri" w:hAnsi="Palatino Linotype" w:cs="Arial"/>
          <w:sz w:val="22"/>
          <w:szCs w:val="22"/>
          <w:lang w:val="es-ES" w:eastAsia="es-ES"/>
        </w:rPr>
        <w:t xml:space="preserve">De las constancias en el expediente electrónico SAIMEX, se advierte que el particular no realizó manifestaciones, no ofreció pruebas o alegatos a su derecho convinieran; por su parte, el Sujeto Obligado </w:t>
      </w:r>
      <w:r w:rsidR="003E095D" w:rsidRPr="00136DBA">
        <w:rPr>
          <w:rFonts w:ascii="Palatino Linotype" w:eastAsia="Calibri" w:hAnsi="Palatino Linotype" w:cs="Arial"/>
          <w:sz w:val="22"/>
          <w:szCs w:val="22"/>
          <w:lang w:val="es-ES" w:eastAsia="es-ES"/>
        </w:rPr>
        <w:t xml:space="preserve"> entregó informe justificado el nueve (09) de octubre de dos mil veinticuatro, el cual fue puesto a la vista del particular el catorce (14) de noviembre del mismo año y que consta de los archivos que se describen enseguida:</w:t>
      </w:r>
    </w:p>
    <w:p w:rsidR="003E095D" w:rsidRPr="00136DBA" w:rsidRDefault="003E095D" w:rsidP="003E095D">
      <w:pPr>
        <w:pStyle w:val="Prrafodelista"/>
        <w:rPr>
          <w:rFonts w:ascii="Arial" w:hAnsi="Arial" w:cs="Arial"/>
          <w:szCs w:val="22"/>
          <w:lang w:eastAsia="es-ES"/>
        </w:rPr>
      </w:pPr>
    </w:p>
    <w:p w:rsidR="00277240" w:rsidRPr="00136DBA" w:rsidRDefault="00E66154" w:rsidP="00277240">
      <w:pPr>
        <w:pStyle w:val="Prrafodelista"/>
        <w:numPr>
          <w:ilvl w:val="0"/>
          <w:numId w:val="7"/>
        </w:numPr>
        <w:spacing w:line="360" w:lineRule="auto"/>
        <w:jc w:val="both"/>
        <w:rPr>
          <w:rFonts w:ascii="Palatino Linotype" w:hAnsi="Palatino Linotype"/>
          <w:szCs w:val="22"/>
        </w:rPr>
      </w:pPr>
      <w:hyperlink r:id="rId12" w:history="1">
        <w:r w:rsidR="00277240" w:rsidRPr="00136DBA">
          <w:rPr>
            <w:rStyle w:val="Hipervnculo"/>
            <w:rFonts w:ascii="Palatino Linotype" w:eastAsiaTheme="majorEastAsia" w:hAnsi="Palatino Linotype" w:cs="Arial"/>
            <w:b/>
            <w:bCs/>
            <w:color w:val="auto"/>
            <w:szCs w:val="22"/>
          </w:rPr>
          <w:t>Informe 5768-24.pdf</w:t>
        </w:r>
      </w:hyperlink>
      <w:r w:rsidR="00277240" w:rsidRPr="00136DBA">
        <w:rPr>
          <w:rFonts w:ascii="Palatino Linotype" w:hAnsi="Palatino Linotype"/>
          <w:szCs w:val="22"/>
        </w:rPr>
        <w:t xml:space="preserve">: oficio número 23400000/UT-637-2024 de fecha nueve de octubre de dos mil veinticuatro, suscrito por el Titular de la Unidad de Transparencia en el </w:t>
      </w:r>
      <w:r w:rsidR="00277240" w:rsidRPr="00136DBA">
        <w:rPr>
          <w:rFonts w:ascii="Palatino Linotype" w:hAnsi="Palatino Linotype"/>
          <w:szCs w:val="22"/>
        </w:rPr>
        <w:lastRenderedPageBreak/>
        <w:t>que, de forma medular, señaló que el Manual había sido publicado el veintitrés de septiembre de 2024 y que puede ser consultado en el link adjunto.</w:t>
      </w:r>
    </w:p>
    <w:p w:rsidR="00277240" w:rsidRPr="00136DBA" w:rsidRDefault="00E66154" w:rsidP="00277240">
      <w:pPr>
        <w:pStyle w:val="Prrafodelista"/>
        <w:numPr>
          <w:ilvl w:val="0"/>
          <w:numId w:val="7"/>
        </w:numPr>
        <w:spacing w:line="360" w:lineRule="auto"/>
        <w:jc w:val="both"/>
        <w:rPr>
          <w:rFonts w:ascii="Palatino Linotype" w:hAnsi="Palatino Linotype"/>
          <w:szCs w:val="22"/>
        </w:rPr>
      </w:pPr>
      <w:hyperlink r:id="rId13" w:history="1">
        <w:r w:rsidR="00277240" w:rsidRPr="00136DBA">
          <w:rPr>
            <w:rStyle w:val="Hipervnculo"/>
            <w:rFonts w:ascii="Palatino Linotype" w:eastAsiaTheme="majorEastAsia" w:hAnsi="Palatino Linotype" w:cs="Arial"/>
            <w:b/>
            <w:bCs/>
            <w:color w:val="auto"/>
            <w:szCs w:val="22"/>
          </w:rPr>
          <w:t>OF 060.pdf</w:t>
        </w:r>
      </w:hyperlink>
      <w:r w:rsidR="00277240" w:rsidRPr="00136DBA">
        <w:rPr>
          <w:rFonts w:ascii="Palatino Linotype" w:hAnsi="Palatino Linotype"/>
          <w:szCs w:val="22"/>
        </w:rPr>
        <w:t>: oficio número 23400006010000S/060/2024 de fecha tres de octubre de dos mil veinticuatro, suscrito por la Dirección General</w:t>
      </w:r>
      <w:r w:rsidR="001855BB" w:rsidRPr="00136DBA">
        <w:rPr>
          <w:rFonts w:ascii="Palatino Linotype" w:hAnsi="Palatino Linotype"/>
          <w:szCs w:val="22"/>
        </w:rPr>
        <w:t xml:space="preserve"> de Innovación en el que señaló que, el Manual solicitado fue publicado en la Gaceta de Gobierno el veintitrés de septiembre de 2024.</w:t>
      </w:r>
    </w:p>
    <w:p w:rsidR="00277240" w:rsidRPr="00136DBA" w:rsidRDefault="00E66154" w:rsidP="00277240">
      <w:pPr>
        <w:pStyle w:val="Prrafodelista"/>
        <w:numPr>
          <w:ilvl w:val="0"/>
          <w:numId w:val="7"/>
        </w:numPr>
        <w:spacing w:line="360" w:lineRule="auto"/>
        <w:jc w:val="both"/>
        <w:rPr>
          <w:rFonts w:ascii="Palatino Linotype" w:hAnsi="Palatino Linotype" w:cs="Arial"/>
          <w:szCs w:val="22"/>
          <w:lang w:eastAsia="es-ES"/>
        </w:rPr>
      </w:pPr>
      <w:hyperlink r:id="rId14" w:history="1">
        <w:r w:rsidR="00277240" w:rsidRPr="00136DBA">
          <w:rPr>
            <w:rStyle w:val="Hipervnculo"/>
            <w:rFonts w:ascii="Palatino Linotype" w:eastAsiaTheme="majorEastAsia" w:hAnsi="Palatino Linotype" w:cs="Arial"/>
            <w:b/>
            <w:bCs/>
            <w:color w:val="auto"/>
            <w:szCs w:val="22"/>
          </w:rPr>
          <w:t>sep231c.pdf</w:t>
        </w:r>
      </w:hyperlink>
      <w:r w:rsidR="00277240" w:rsidRPr="00136DBA">
        <w:rPr>
          <w:rFonts w:ascii="Palatino Linotype" w:hAnsi="Palatino Linotype"/>
          <w:szCs w:val="22"/>
        </w:rPr>
        <w:t>:</w:t>
      </w:r>
      <w:r w:rsidR="001855BB" w:rsidRPr="00136DBA">
        <w:rPr>
          <w:rFonts w:ascii="Palatino Linotype" w:hAnsi="Palatino Linotype"/>
          <w:szCs w:val="22"/>
        </w:rPr>
        <w:t xml:space="preserve"> Manual General de Organización de la Secretaría del Agua. </w:t>
      </w:r>
    </w:p>
    <w:p w:rsidR="009D482C" w:rsidRPr="00136DBA" w:rsidRDefault="009D482C" w:rsidP="009D482C">
      <w:pPr>
        <w:spacing w:line="360" w:lineRule="auto"/>
        <w:contextualSpacing/>
        <w:jc w:val="both"/>
        <w:rPr>
          <w:rFonts w:ascii="Palatino Linotype" w:eastAsia="Calibri" w:hAnsi="Palatino Linotype" w:cs="Arial"/>
          <w:sz w:val="22"/>
          <w:szCs w:val="22"/>
          <w:lang w:val="es-ES" w:eastAsia="es-ES"/>
        </w:rPr>
      </w:pPr>
    </w:p>
    <w:p w:rsidR="009D482C" w:rsidRPr="00136DBA" w:rsidRDefault="009D482C" w:rsidP="009D482C">
      <w:pPr>
        <w:numPr>
          <w:ilvl w:val="0"/>
          <w:numId w:val="1"/>
        </w:numPr>
        <w:spacing w:line="360" w:lineRule="auto"/>
        <w:ind w:left="0" w:firstLine="0"/>
        <w:contextualSpacing/>
        <w:jc w:val="both"/>
        <w:rPr>
          <w:rFonts w:ascii="Palatino Linotype" w:eastAsiaTheme="minorEastAsia" w:hAnsi="Palatino Linotype"/>
          <w:b/>
          <w:sz w:val="22"/>
          <w:szCs w:val="22"/>
          <w:u w:val="single"/>
          <w:lang w:val="es-ES_tradnl" w:eastAsia="es-ES"/>
        </w:rPr>
      </w:pPr>
      <w:r w:rsidRPr="00136DBA">
        <w:rPr>
          <w:rFonts w:ascii="Palatino Linotype" w:eastAsiaTheme="minorEastAsia" w:hAnsi="Palatino Linotype"/>
          <w:sz w:val="22"/>
          <w:szCs w:val="22"/>
          <w:lang w:val="es-ES_tradnl" w:eastAsia="es-ES"/>
        </w:rPr>
        <w:t xml:space="preserve">El Comisionado Ponente decretó el cierre de instrucción a través de acuerdo que fue notificado en fecha veintitrés (23) de abril de dos mil veinticuatro. </w:t>
      </w:r>
    </w:p>
    <w:p w:rsidR="009D482C" w:rsidRPr="00136DBA" w:rsidRDefault="009D482C" w:rsidP="009D482C">
      <w:pPr>
        <w:pStyle w:val="Prrafodelista"/>
        <w:rPr>
          <w:rFonts w:ascii="Palatino Linotype" w:eastAsiaTheme="minorEastAsia" w:hAnsi="Palatino Linotype"/>
          <w:szCs w:val="22"/>
          <w:lang w:val="es-ES_tradnl" w:eastAsia="es-ES"/>
        </w:rPr>
      </w:pPr>
    </w:p>
    <w:p w:rsidR="009D482C" w:rsidRPr="00136DBA" w:rsidRDefault="001855BB" w:rsidP="009D482C">
      <w:pPr>
        <w:numPr>
          <w:ilvl w:val="0"/>
          <w:numId w:val="1"/>
        </w:numPr>
        <w:spacing w:line="360" w:lineRule="auto"/>
        <w:ind w:left="0" w:firstLine="0"/>
        <w:contextualSpacing/>
        <w:jc w:val="both"/>
        <w:rPr>
          <w:rFonts w:ascii="Palatino Linotype" w:eastAsiaTheme="minorEastAsia" w:hAnsi="Palatino Linotype"/>
          <w:sz w:val="22"/>
          <w:szCs w:val="22"/>
          <w:lang w:val="es-ES_tradnl" w:eastAsia="es-ES"/>
        </w:rPr>
      </w:pPr>
      <w:r w:rsidRPr="00136DBA">
        <w:rPr>
          <w:rFonts w:ascii="Palatino Linotype" w:eastAsiaTheme="minorEastAsia" w:hAnsi="Palatino Linotype"/>
          <w:sz w:val="22"/>
          <w:szCs w:val="22"/>
          <w:lang w:val="es-ES_tradnl" w:eastAsia="es-ES"/>
        </w:rPr>
        <w:t>El catorce (14) de septiembre</w:t>
      </w:r>
      <w:r w:rsidR="009D482C" w:rsidRPr="00136DBA">
        <w:rPr>
          <w:rFonts w:ascii="Palatino Linotype" w:eastAsiaTheme="minorEastAsia" w:hAnsi="Palatino Linotype"/>
          <w:sz w:val="22"/>
          <w:szCs w:val="22"/>
          <w:lang w:val="es-ES_tradnl" w:eastAsia="es-ES"/>
        </w:rPr>
        <w:t xml:space="preserve"> de dos mil veinticuatro, se notificó el acuerdo mediante el cual se aprobó la ampliación de plazo para emitir resolución.</w:t>
      </w:r>
    </w:p>
    <w:p w:rsidR="001855BB" w:rsidRPr="00136DBA" w:rsidRDefault="001855BB" w:rsidP="001855BB">
      <w:pPr>
        <w:spacing w:line="360" w:lineRule="auto"/>
        <w:contextualSpacing/>
        <w:jc w:val="both"/>
        <w:rPr>
          <w:rFonts w:ascii="Palatino Linotype" w:eastAsiaTheme="minorEastAsia" w:hAnsi="Palatino Linotype"/>
          <w:sz w:val="22"/>
          <w:szCs w:val="22"/>
          <w:lang w:val="es-ES_tradnl" w:eastAsia="es-ES"/>
        </w:rPr>
      </w:pPr>
    </w:p>
    <w:p w:rsidR="009D482C" w:rsidRPr="00136DBA" w:rsidRDefault="009D482C" w:rsidP="009D482C">
      <w:pPr>
        <w:pStyle w:val="Prrafodelista"/>
        <w:numPr>
          <w:ilvl w:val="0"/>
          <w:numId w:val="1"/>
        </w:numPr>
        <w:spacing w:line="360" w:lineRule="auto"/>
        <w:ind w:left="0" w:firstLine="0"/>
        <w:contextualSpacing w:val="0"/>
        <w:jc w:val="both"/>
        <w:rPr>
          <w:rFonts w:ascii="Palatino Linotype" w:hAnsi="Palatino Linotype"/>
          <w:color w:val="000000" w:themeColor="text1"/>
          <w:szCs w:val="22"/>
        </w:rPr>
      </w:pPr>
      <w:r w:rsidRPr="00136DBA">
        <w:rPr>
          <w:rFonts w:ascii="Palatino Linotype" w:hAnsi="Palatino Linotype"/>
          <w:szCs w:val="22"/>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9D482C" w:rsidRPr="00136DBA" w:rsidRDefault="009D482C" w:rsidP="009D482C">
      <w:pPr>
        <w:pStyle w:val="Prrafodelista"/>
        <w:spacing w:line="360" w:lineRule="auto"/>
        <w:ind w:left="0"/>
        <w:contextualSpacing w:val="0"/>
        <w:jc w:val="both"/>
        <w:rPr>
          <w:rFonts w:ascii="Palatino Linotype" w:hAnsi="Palatino Linotype"/>
          <w:color w:val="000000" w:themeColor="text1"/>
          <w:szCs w:val="22"/>
        </w:rPr>
      </w:pPr>
    </w:p>
    <w:p w:rsidR="009D482C" w:rsidRPr="00136DBA" w:rsidRDefault="009D482C" w:rsidP="009D482C">
      <w:pPr>
        <w:pStyle w:val="Prrafodelista"/>
        <w:numPr>
          <w:ilvl w:val="0"/>
          <w:numId w:val="1"/>
        </w:numPr>
        <w:spacing w:line="360" w:lineRule="auto"/>
        <w:ind w:left="0" w:firstLine="0"/>
        <w:contextualSpacing w:val="0"/>
        <w:jc w:val="both"/>
        <w:rPr>
          <w:rFonts w:ascii="Palatino Linotype" w:hAnsi="Palatino Linotype"/>
          <w:color w:val="000000" w:themeColor="text1"/>
          <w:szCs w:val="22"/>
        </w:rPr>
      </w:pPr>
      <w:r w:rsidRPr="00136DBA">
        <w:rPr>
          <w:rFonts w:ascii="Palatino Linotype" w:hAnsi="Palatino Linotype"/>
          <w:szCs w:val="22"/>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w:t>
      </w:r>
      <w:r w:rsidRPr="00136DBA">
        <w:rPr>
          <w:rFonts w:ascii="Palatino Linotype" w:hAnsi="Palatino Linotype"/>
          <w:szCs w:val="22"/>
        </w:rPr>
        <w:lastRenderedPageBreak/>
        <w:t>órganos jurisdiccionales federales, aplicables también en procedimientos análogos, como el que nos ocupa.</w:t>
      </w:r>
    </w:p>
    <w:p w:rsidR="009D482C" w:rsidRPr="00136DBA" w:rsidRDefault="009D482C" w:rsidP="009D482C">
      <w:pPr>
        <w:pStyle w:val="Prrafodelista"/>
        <w:spacing w:line="360" w:lineRule="auto"/>
        <w:ind w:left="0"/>
        <w:contextualSpacing w:val="0"/>
        <w:jc w:val="both"/>
        <w:rPr>
          <w:rFonts w:ascii="Palatino Linotype" w:hAnsi="Palatino Linotype"/>
          <w:color w:val="000000" w:themeColor="text1"/>
          <w:szCs w:val="22"/>
        </w:rPr>
      </w:pPr>
    </w:p>
    <w:p w:rsidR="009D482C" w:rsidRPr="00136DBA" w:rsidRDefault="009D482C" w:rsidP="009D482C">
      <w:pPr>
        <w:pStyle w:val="Prrafodelista"/>
        <w:numPr>
          <w:ilvl w:val="0"/>
          <w:numId w:val="1"/>
        </w:numPr>
        <w:spacing w:line="360" w:lineRule="auto"/>
        <w:ind w:left="0" w:firstLine="0"/>
        <w:contextualSpacing w:val="0"/>
        <w:jc w:val="both"/>
        <w:rPr>
          <w:rFonts w:ascii="Palatino Linotype" w:hAnsi="Palatino Linotype"/>
          <w:color w:val="000000" w:themeColor="text1"/>
          <w:szCs w:val="22"/>
        </w:rPr>
      </w:pPr>
      <w:r w:rsidRPr="00136DBA">
        <w:rPr>
          <w:rFonts w:ascii="Palatino Linotype" w:hAnsi="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9D482C" w:rsidRPr="00136DBA" w:rsidRDefault="009D482C" w:rsidP="009D482C">
      <w:pPr>
        <w:pStyle w:val="Prrafodelista"/>
        <w:spacing w:line="360" w:lineRule="auto"/>
        <w:ind w:left="0"/>
        <w:contextualSpacing w:val="0"/>
        <w:jc w:val="both"/>
        <w:rPr>
          <w:rFonts w:ascii="Palatino Linotype" w:hAnsi="Palatino Linotype"/>
          <w:color w:val="000000" w:themeColor="text1"/>
          <w:szCs w:val="22"/>
        </w:rPr>
      </w:pPr>
    </w:p>
    <w:p w:rsidR="009D482C" w:rsidRPr="00136DBA" w:rsidRDefault="009D482C" w:rsidP="009D482C">
      <w:pPr>
        <w:pStyle w:val="Prrafodelista"/>
        <w:numPr>
          <w:ilvl w:val="0"/>
          <w:numId w:val="1"/>
        </w:numPr>
        <w:spacing w:line="360" w:lineRule="auto"/>
        <w:ind w:left="0" w:firstLine="0"/>
        <w:contextualSpacing w:val="0"/>
        <w:jc w:val="both"/>
        <w:rPr>
          <w:rFonts w:ascii="Palatino Linotype" w:hAnsi="Palatino Linotype"/>
          <w:color w:val="000000" w:themeColor="text1"/>
          <w:szCs w:val="22"/>
        </w:rPr>
      </w:pPr>
      <w:r w:rsidRPr="00136DBA">
        <w:rPr>
          <w:rFonts w:ascii="Palatino Linotype" w:hAnsi="Palatino Linotype"/>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9D482C" w:rsidRPr="00136DBA" w:rsidRDefault="009D482C" w:rsidP="009D482C">
      <w:pPr>
        <w:pStyle w:val="Prrafodelista"/>
        <w:spacing w:line="360" w:lineRule="auto"/>
        <w:ind w:left="0"/>
        <w:contextualSpacing w:val="0"/>
        <w:jc w:val="both"/>
        <w:rPr>
          <w:rFonts w:ascii="Palatino Linotype" w:hAnsi="Palatino Linotype"/>
          <w:color w:val="000000" w:themeColor="text1"/>
          <w:szCs w:val="22"/>
        </w:rPr>
      </w:pPr>
    </w:p>
    <w:p w:rsidR="009D482C" w:rsidRPr="00136DBA" w:rsidRDefault="009D482C" w:rsidP="009D482C">
      <w:pPr>
        <w:pStyle w:val="Prrafodelista"/>
        <w:numPr>
          <w:ilvl w:val="0"/>
          <w:numId w:val="1"/>
        </w:numPr>
        <w:spacing w:line="360" w:lineRule="auto"/>
        <w:ind w:left="0" w:firstLine="0"/>
        <w:contextualSpacing w:val="0"/>
        <w:jc w:val="both"/>
        <w:rPr>
          <w:rFonts w:ascii="Palatino Linotype" w:hAnsi="Palatino Linotype"/>
          <w:color w:val="000000" w:themeColor="text1"/>
          <w:szCs w:val="22"/>
        </w:rPr>
      </w:pPr>
      <w:r w:rsidRPr="00136DBA">
        <w:rPr>
          <w:rFonts w:ascii="Palatino Linotype" w:hAnsi="Palatino Linotype"/>
          <w:szCs w:val="22"/>
        </w:rPr>
        <w:t xml:space="preserve">Por ello, excepcionalmente, si un asunto es resuelto con posterioridad a los plazos señalados por la norma debe analizarse la razonabilidad de dicha dilación atendiendo a los siguientes criterios:   </w:t>
      </w:r>
    </w:p>
    <w:p w:rsidR="009D482C" w:rsidRPr="00136DBA" w:rsidRDefault="009D482C" w:rsidP="009D482C">
      <w:pPr>
        <w:pStyle w:val="Prrafodelista"/>
        <w:spacing w:line="360" w:lineRule="auto"/>
        <w:ind w:left="0"/>
        <w:contextualSpacing w:val="0"/>
        <w:jc w:val="both"/>
        <w:rPr>
          <w:rFonts w:ascii="Palatino Linotype" w:hAnsi="Palatino Linotype"/>
          <w:szCs w:val="22"/>
        </w:rPr>
      </w:pPr>
    </w:p>
    <w:p w:rsidR="009D482C" w:rsidRPr="00136DBA" w:rsidRDefault="009D482C" w:rsidP="009D482C">
      <w:pPr>
        <w:pStyle w:val="Prrafodelista"/>
        <w:numPr>
          <w:ilvl w:val="0"/>
          <w:numId w:val="2"/>
        </w:numPr>
        <w:spacing w:line="360" w:lineRule="auto"/>
        <w:jc w:val="both"/>
        <w:rPr>
          <w:rFonts w:ascii="Palatino Linotype" w:hAnsi="Palatino Linotype"/>
          <w:szCs w:val="22"/>
        </w:rPr>
      </w:pPr>
      <w:r w:rsidRPr="00136DBA">
        <w:rPr>
          <w:rFonts w:ascii="Palatino Linotype" w:hAnsi="Palatino Linotype"/>
          <w:szCs w:val="22"/>
        </w:rPr>
        <w:t xml:space="preserve">Complejidad del Asunto: La complejidad de la prueba, la pluralidad de sujetos procesales, el tiempo transcurrido, las características y contexto del recurso. </w:t>
      </w:r>
    </w:p>
    <w:p w:rsidR="009D482C" w:rsidRPr="00136DBA" w:rsidRDefault="009D482C" w:rsidP="009D482C">
      <w:pPr>
        <w:pStyle w:val="Prrafodelista"/>
        <w:spacing w:line="360" w:lineRule="auto"/>
        <w:ind w:left="927"/>
        <w:jc w:val="both"/>
        <w:rPr>
          <w:rFonts w:ascii="Palatino Linotype" w:hAnsi="Palatino Linotype"/>
          <w:szCs w:val="22"/>
        </w:rPr>
      </w:pPr>
    </w:p>
    <w:p w:rsidR="009D482C" w:rsidRPr="00136DBA" w:rsidRDefault="009D482C" w:rsidP="009D482C">
      <w:pPr>
        <w:pStyle w:val="Prrafodelista"/>
        <w:numPr>
          <w:ilvl w:val="0"/>
          <w:numId w:val="2"/>
        </w:numPr>
        <w:spacing w:line="360" w:lineRule="auto"/>
        <w:jc w:val="both"/>
        <w:rPr>
          <w:rFonts w:ascii="Palatino Linotype" w:hAnsi="Palatino Linotype"/>
          <w:szCs w:val="22"/>
        </w:rPr>
      </w:pPr>
      <w:r w:rsidRPr="00136DBA">
        <w:rPr>
          <w:rFonts w:ascii="Palatino Linotype" w:hAnsi="Palatino Linotype"/>
          <w:szCs w:val="22"/>
        </w:rPr>
        <w:t>Actividad Procesal del interesado. Acciones u omisiones del interesado.</w:t>
      </w:r>
    </w:p>
    <w:p w:rsidR="009D482C" w:rsidRPr="00136DBA" w:rsidRDefault="009D482C" w:rsidP="009D482C">
      <w:pPr>
        <w:spacing w:line="360" w:lineRule="auto"/>
        <w:jc w:val="both"/>
        <w:rPr>
          <w:rFonts w:ascii="Palatino Linotype" w:hAnsi="Palatino Linotype"/>
          <w:sz w:val="22"/>
          <w:szCs w:val="22"/>
        </w:rPr>
      </w:pPr>
    </w:p>
    <w:p w:rsidR="009D482C" w:rsidRPr="00136DBA" w:rsidRDefault="009D482C" w:rsidP="009D482C">
      <w:pPr>
        <w:pStyle w:val="Prrafodelista"/>
        <w:numPr>
          <w:ilvl w:val="0"/>
          <w:numId w:val="2"/>
        </w:numPr>
        <w:spacing w:line="360" w:lineRule="auto"/>
        <w:jc w:val="both"/>
        <w:rPr>
          <w:rFonts w:ascii="Palatino Linotype" w:hAnsi="Palatino Linotype"/>
          <w:szCs w:val="22"/>
        </w:rPr>
      </w:pPr>
      <w:r w:rsidRPr="00136DBA">
        <w:rPr>
          <w:rFonts w:ascii="Palatino Linotype" w:hAnsi="Palatino Linotype"/>
          <w:szCs w:val="22"/>
        </w:rPr>
        <w:t>Conducta de la Autoridad: Las Acciones u omisiones realizadas en el procedimiento. Así como si la autoridad actuó con la debida diligencia.</w:t>
      </w:r>
    </w:p>
    <w:p w:rsidR="009D482C" w:rsidRPr="00136DBA" w:rsidRDefault="009D482C" w:rsidP="009D482C">
      <w:pPr>
        <w:pStyle w:val="Prrafodelista"/>
        <w:spacing w:line="360" w:lineRule="auto"/>
        <w:rPr>
          <w:rFonts w:ascii="Palatino Linotype" w:hAnsi="Palatino Linotype"/>
          <w:szCs w:val="22"/>
        </w:rPr>
      </w:pPr>
    </w:p>
    <w:p w:rsidR="009D482C" w:rsidRPr="00136DBA" w:rsidRDefault="009D482C" w:rsidP="009D482C">
      <w:pPr>
        <w:spacing w:line="360" w:lineRule="auto"/>
        <w:ind w:left="567"/>
        <w:jc w:val="both"/>
        <w:rPr>
          <w:rFonts w:ascii="Palatino Linotype" w:hAnsi="Palatino Linotype"/>
          <w:sz w:val="22"/>
          <w:szCs w:val="22"/>
        </w:rPr>
      </w:pPr>
      <w:r w:rsidRPr="00136DBA">
        <w:rPr>
          <w:rFonts w:ascii="Palatino Linotype" w:hAnsi="Palatino Linotype"/>
          <w:sz w:val="22"/>
          <w:szCs w:val="22"/>
        </w:rPr>
        <w:t>d) La afectación generada en la situación jurídica de la persona involucrada en el proceso: Violación a sus derechos humanos.</w:t>
      </w:r>
    </w:p>
    <w:p w:rsidR="009D482C" w:rsidRPr="00136DBA" w:rsidRDefault="009D482C" w:rsidP="009D482C">
      <w:pPr>
        <w:pStyle w:val="Prrafodelista"/>
        <w:spacing w:line="360" w:lineRule="auto"/>
        <w:ind w:left="0"/>
        <w:contextualSpacing w:val="0"/>
        <w:jc w:val="both"/>
        <w:rPr>
          <w:rFonts w:ascii="Palatino Linotype" w:hAnsi="Palatino Linotype"/>
          <w:color w:val="000000" w:themeColor="text1"/>
          <w:szCs w:val="22"/>
        </w:rPr>
      </w:pPr>
    </w:p>
    <w:p w:rsidR="009D482C" w:rsidRPr="00136DBA" w:rsidRDefault="009D482C" w:rsidP="009D482C">
      <w:pPr>
        <w:pStyle w:val="Prrafodelista"/>
        <w:numPr>
          <w:ilvl w:val="0"/>
          <w:numId w:val="1"/>
        </w:numPr>
        <w:spacing w:line="360" w:lineRule="auto"/>
        <w:ind w:left="0" w:firstLine="0"/>
        <w:contextualSpacing w:val="0"/>
        <w:jc w:val="both"/>
        <w:rPr>
          <w:rFonts w:ascii="Palatino Linotype" w:hAnsi="Palatino Linotype"/>
          <w:color w:val="000000" w:themeColor="text1"/>
          <w:szCs w:val="22"/>
        </w:rPr>
      </w:pPr>
      <w:r w:rsidRPr="00136DBA">
        <w:rPr>
          <w:rFonts w:ascii="Palatino Linotype" w:hAnsi="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9D482C" w:rsidRPr="00136DBA" w:rsidRDefault="009D482C" w:rsidP="009D482C">
      <w:pPr>
        <w:pStyle w:val="Prrafodelista"/>
        <w:spacing w:line="360" w:lineRule="auto"/>
        <w:ind w:left="0"/>
        <w:contextualSpacing w:val="0"/>
        <w:jc w:val="both"/>
        <w:rPr>
          <w:rFonts w:ascii="Palatino Linotype" w:hAnsi="Palatino Linotype"/>
          <w:color w:val="000000" w:themeColor="text1"/>
          <w:szCs w:val="22"/>
        </w:rPr>
      </w:pPr>
    </w:p>
    <w:p w:rsidR="009D482C" w:rsidRPr="00136DBA" w:rsidRDefault="009D482C" w:rsidP="009D482C">
      <w:pPr>
        <w:pStyle w:val="Prrafodelista"/>
        <w:numPr>
          <w:ilvl w:val="0"/>
          <w:numId w:val="1"/>
        </w:numPr>
        <w:spacing w:line="360" w:lineRule="auto"/>
        <w:ind w:left="0" w:firstLine="0"/>
        <w:contextualSpacing w:val="0"/>
        <w:jc w:val="both"/>
        <w:rPr>
          <w:rFonts w:ascii="Palatino Linotype" w:hAnsi="Palatino Linotype"/>
          <w:color w:val="000000" w:themeColor="text1"/>
          <w:szCs w:val="22"/>
        </w:rPr>
      </w:pPr>
      <w:r w:rsidRPr="00136DBA">
        <w:rPr>
          <w:rFonts w:ascii="Palatino Linotype" w:hAnsi="Palatino Linotype"/>
          <w:szCs w:val="22"/>
        </w:rPr>
        <w:t>Argumento que encuentra sustento en la jurisprudencia P</w:t>
      </w:r>
      <w:proofErr w:type="gramStart"/>
      <w:r w:rsidRPr="00136DBA">
        <w:rPr>
          <w:rFonts w:ascii="Palatino Linotype" w:hAnsi="Palatino Linotype"/>
          <w:szCs w:val="22"/>
        </w:rPr>
        <w:t>./</w:t>
      </w:r>
      <w:proofErr w:type="gramEnd"/>
      <w:r w:rsidRPr="00136DBA">
        <w:rPr>
          <w:rFonts w:ascii="Palatino Linotype" w:hAnsi="Palatino Linotype"/>
          <w:szCs w:val="22"/>
        </w:rPr>
        <w:t xml:space="preserve">J. 32/92 emitida por el Pleno de la Suprema Corte de Justicia de la Nación de rubro </w:t>
      </w:r>
      <w:r w:rsidRPr="00136DBA">
        <w:rPr>
          <w:rFonts w:ascii="Palatino Linotype" w:hAnsi="Palatino Linotype"/>
          <w:i/>
          <w:szCs w:val="22"/>
        </w:rPr>
        <w:t>“TÉRMINOS PROCESALES. PARA DETERMINAR SI UN FUNCIONARIO JUDICIAL ACTUÓ INDEBIDAMENTE POR NO RESPETARLOS SE DEBE ATENDER AL PRESUPUESTO QUE CONSIDERÓ EL LEGISLADOR AL FIJARLOS Y LAS CARACTERÍSTICAS DEL CASO.”</w:t>
      </w:r>
      <w:r w:rsidRPr="00136DBA">
        <w:rPr>
          <w:rFonts w:ascii="Palatino Linotype" w:hAnsi="Palatino Linotype"/>
          <w:szCs w:val="22"/>
        </w:rPr>
        <w:t>, visible en la Gaceta del Seminario Judicial de la Federación con el registro digital 205635.</w:t>
      </w:r>
    </w:p>
    <w:p w:rsidR="009D482C" w:rsidRPr="00136DBA" w:rsidRDefault="009D482C" w:rsidP="009D482C">
      <w:pPr>
        <w:pStyle w:val="Prrafodelista"/>
        <w:spacing w:line="360" w:lineRule="auto"/>
        <w:ind w:left="0"/>
        <w:contextualSpacing w:val="0"/>
        <w:jc w:val="both"/>
        <w:rPr>
          <w:rFonts w:ascii="Palatino Linotype" w:hAnsi="Palatino Linotype"/>
          <w:color w:val="000000" w:themeColor="text1"/>
          <w:szCs w:val="22"/>
        </w:rPr>
      </w:pPr>
    </w:p>
    <w:p w:rsidR="009D482C" w:rsidRPr="00136DBA" w:rsidRDefault="009D482C" w:rsidP="009D482C">
      <w:pPr>
        <w:pStyle w:val="Prrafodelista"/>
        <w:numPr>
          <w:ilvl w:val="0"/>
          <w:numId w:val="1"/>
        </w:numPr>
        <w:spacing w:line="360" w:lineRule="auto"/>
        <w:ind w:left="0" w:firstLine="0"/>
        <w:contextualSpacing w:val="0"/>
        <w:jc w:val="both"/>
        <w:rPr>
          <w:rFonts w:ascii="Palatino Linotype" w:hAnsi="Palatino Linotype"/>
          <w:color w:val="000000" w:themeColor="text1"/>
          <w:szCs w:val="22"/>
        </w:rPr>
      </w:pPr>
      <w:r w:rsidRPr="00136DBA">
        <w:rPr>
          <w:rFonts w:ascii="Palatino Linotype" w:hAnsi="Palatino Linotype"/>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9D482C" w:rsidRPr="00136DBA" w:rsidRDefault="009D482C" w:rsidP="009D482C">
      <w:pPr>
        <w:pStyle w:val="Prrafodelista"/>
        <w:numPr>
          <w:ilvl w:val="0"/>
          <w:numId w:val="1"/>
        </w:numPr>
        <w:spacing w:line="360" w:lineRule="auto"/>
        <w:ind w:left="0" w:firstLine="0"/>
        <w:contextualSpacing w:val="0"/>
        <w:jc w:val="both"/>
        <w:rPr>
          <w:rFonts w:ascii="Palatino Linotype" w:hAnsi="Palatino Linotype"/>
          <w:color w:val="000000" w:themeColor="text1"/>
          <w:szCs w:val="22"/>
        </w:rPr>
      </w:pPr>
      <w:r w:rsidRPr="00136DBA">
        <w:rPr>
          <w:rFonts w:ascii="Palatino Linotype" w:hAnsi="Palatino Linotype"/>
          <w:szCs w:val="22"/>
        </w:rPr>
        <w:t>Por ello, este organismo garante comprometido con la tutela de los derechos humanos confiados, señala que este exceso del plazo legal para resolver el presente asunto, resulta de carácter excepcional.</w:t>
      </w:r>
    </w:p>
    <w:p w:rsidR="009D482C" w:rsidRPr="00136DBA" w:rsidRDefault="009D482C" w:rsidP="009D482C">
      <w:pPr>
        <w:pStyle w:val="Prrafodelista"/>
        <w:spacing w:line="360" w:lineRule="auto"/>
        <w:ind w:left="0"/>
        <w:contextualSpacing w:val="0"/>
        <w:jc w:val="both"/>
        <w:rPr>
          <w:rFonts w:ascii="Palatino Linotype" w:hAnsi="Palatino Linotype"/>
          <w:color w:val="000000" w:themeColor="text1"/>
          <w:szCs w:val="22"/>
        </w:rPr>
      </w:pPr>
    </w:p>
    <w:p w:rsidR="009D482C" w:rsidRPr="00136DBA" w:rsidRDefault="009D482C" w:rsidP="009D482C">
      <w:pPr>
        <w:pStyle w:val="Prrafodelista"/>
        <w:numPr>
          <w:ilvl w:val="0"/>
          <w:numId w:val="1"/>
        </w:numPr>
        <w:spacing w:line="360" w:lineRule="auto"/>
        <w:ind w:left="0" w:firstLine="0"/>
        <w:contextualSpacing w:val="0"/>
        <w:jc w:val="both"/>
        <w:rPr>
          <w:rFonts w:ascii="Palatino Linotype" w:hAnsi="Palatino Linotype"/>
          <w:color w:val="000000" w:themeColor="text1"/>
          <w:szCs w:val="22"/>
        </w:rPr>
      </w:pPr>
      <w:r w:rsidRPr="00136DBA">
        <w:rPr>
          <w:rFonts w:ascii="Palatino Linotype" w:hAnsi="Palatino Linotype"/>
          <w:szCs w:val="22"/>
        </w:rPr>
        <w:lastRenderedPageBreak/>
        <w:t>Al respecto, también son de considerar los criterios sostenidos por el Cuarto Tribunal Colegiado en Materia Administrativa del Primer Circuito, cuyos rubros y datos de identificación son los siguientes:</w:t>
      </w:r>
    </w:p>
    <w:p w:rsidR="009D482C" w:rsidRPr="00136DBA" w:rsidRDefault="009D482C" w:rsidP="009D482C">
      <w:pPr>
        <w:pStyle w:val="Prrafodelista"/>
        <w:spacing w:line="360" w:lineRule="auto"/>
        <w:ind w:left="0"/>
        <w:contextualSpacing w:val="0"/>
        <w:jc w:val="both"/>
        <w:rPr>
          <w:rFonts w:ascii="Palatino Linotype" w:hAnsi="Palatino Linotype"/>
          <w:szCs w:val="22"/>
        </w:rPr>
      </w:pPr>
    </w:p>
    <w:p w:rsidR="009D482C" w:rsidRPr="00136DBA" w:rsidRDefault="009D482C" w:rsidP="009D482C">
      <w:pPr>
        <w:spacing w:line="360" w:lineRule="auto"/>
        <w:ind w:left="851" w:right="822"/>
        <w:jc w:val="both"/>
        <w:rPr>
          <w:rFonts w:ascii="Palatino Linotype" w:hAnsi="Palatino Linotype"/>
          <w:sz w:val="22"/>
          <w:szCs w:val="22"/>
        </w:rPr>
      </w:pPr>
      <w:r w:rsidRPr="00136DBA">
        <w:rPr>
          <w:rFonts w:ascii="Palatino Linotype" w:hAnsi="Palatino Linotype"/>
          <w:i/>
          <w:sz w:val="22"/>
          <w:szCs w:val="22"/>
        </w:rPr>
        <w:t>“PLAZO RAZONABLE PARA RESOLVER. DIMENSIÓN Y EFECTOS DE ESTE CONCEPTO CUANDO SE ADUCE EXCESIVA CARGA DE TRABAJO.”</w:t>
      </w:r>
      <w:r w:rsidRPr="00136DBA">
        <w:rPr>
          <w:rFonts w:ascii="Palatino Linotype" w:hAnsi="Palatino Linotype"/>
          <w:sz w:val="22"/>
          <w:szCs w:val="22"/>
        </w:rPr>
        <w:t xml:space="preserve"> consultable en el Seminario Judicial de la Federación y su gaceta, con el registro digital 2002351.</w:t>
      </w:r>
    </w:p>
    <w:p w:rsidR="009D482C" w:rsidRPr="00136DBA" w:rsidRDefault="009D482C" w:rsidP="009D482C">
      <w:pPr>
        <w:spacing w:line="360" w:lineRule="auto"/>
        <w:ind w:left="851" w:right="822"/>
        <w:jc w:val="both"/>
        <w:rPr>
          <w:rFonts w:ascii="Palatino Linotype" w:hAnsi="Palatino Linotype"/>
          <w:b/>
          <w:sz w:val="22"/>
          <w:szCs w:val="22"/>
        </w:rPr>
      </w:pPr>
    </w:p>
    <w:p w:rsidR="009D482C" w:rsidRPr="00136DBA" w:rsidRDefault="009D482C" w:rsidP="009D482C">
      <w:pPr>
        <w:spacing w:line="360" w:lineRule="auto"/>
        <w:ind w:left="851" w:right="822"/>
        <w:jc w:val="both"/>
        <w:rPr>
          <w:rFonts w:ascii="Palatino Linotype" w:hAnsi="Palatino Linotype"/>
          <w:sz w:val="22"/>
          <w:szCs w:val="22"/>
        </w:rPr>
      </w:pPr>
      <w:r w:rsidRPr="00136DBA">
        <w:rPr>
          <w:rFonts w:ascii="Palatino Linotype" w:hAnsi="Palatino Linotype"/>
          <w:i/>
          <w:sz w:val="22"/>
          <w:szCs w:val="22"/>
        </w:rPr>
        <w:t>“PLAZO RAZONABLE PARA RESOLVER. CONCEPTO Y ELEMENTOS QUE LO INTEGRAN A LA LUZ DEL DERECHO INTERNACIONAL DE LOS DERECHOS HUMANOS.”</w:t>
      </w:r>
      <w:r w:rsidRPr="00136DBA">
        <w:rPr>
          <w:rFonts w:ascii="Palatino Linotype" w:hAnsi="Palatino Linotype"/>
          <w:sz w:val="22"/>
          <w:szCs w:val="22"/>
        </w:rPr>
        <w:t>, visible en el Seminario Judicial de la Federación y su gaceta, con el registro digital 2002350.</w:t>
      </w:r>
    </w:p>
    <w:p w:rsidR="009D482C" w:rsidRPr="00136DBA" w:rsidRDefault="009D482C" w:rsidP="009D482C">
      <w:pPr>
        <w:pStyle w:val="Prrafodelista"/>
        <w:spacing w:line="360" w:lineRule="auto"/>
        <w:ind w:left="0"/>
        <w:contextualSpacing w:val="0"/>
        <w:jc w:val="both"/>
        <w:rPr>
          <w:rFonts w:ascii="Palatino Linotype" w:hAnsi="Palatino Linotype"/>
          <w:color w:val="000000" w:themeColor="text1"/>
          <w:szCs w:val="22"/>
        </w:rPr>
      </w:pPr>
    </w:p>
    <w:p w:rsidR="009D482C" w:rsidRPr="00136DBA" w:rsidRDefault="009D482C" w:rsidP="009D482C">
      <w:pPr>
        <w:pStyle w:val="Prrafodelista"/>
        <w:numPr>
          <w:ilvl w:val="0"/>
          <w:numId w:val="1"/>
        </w:numPr>
        <w:spacing w:line="360" w:lineRule="auto"/>
        <w:ind w:left="0" w:firstLine="0"/>
        <w:contextualSpacing w:val="0"/>
        <w:jc w:val="both"/>
        <w:rPr>
          <w:rFonts w:ascii="Palatino Linotype" w:hAnsi="Palatino Linotype"/>
          <w:color w:val="000000" w:themeColor="text1"/>
          <w:szCs w:val="22"/>
        </w:rPr>
      </w:pPr>
      <w:r w:rsidRPr="00136DBA">
        <w:rPr>
          <w:rFonts w:ascii="Palatino Linotype" w:hAnsi="Palatino Linotype"/>
          <w:szCs w:val="22"/>
        </w:rPr>
        <w:t xml:space="preserve">Por ello, este Organismo Garante comprometido con la tutela de los derechos humanos confiados, señala que este exceso de plazo legal para resolver el presente asunto, resulta de carácter excepcional. </w:t>
      </w:r>
    </w:p>
    <w:p w:rsidR="009D482C" w:rsidRPr="00136DBA" w:rsidRDefault="009D482C" w:rsidP="009D482C">
      <w:pPr>
        <w:spacing w:line="360" w:lineRule="auto"/>
        <w:contextualSpacing/>
        <w:jc w:val="both"/>
        <w:rPr>
          <w:rFonts w:ascii="Palatino Linotype" w:eastAsiaTheme="minorEastAsia" w:hAnsi="Palatino Linotype"/>
          <w:b/>
          <w:sz w:val="22"/>
          <w:szCs w:val="22"/>
          <w:u w:val="single"/>
          <w:lang w:val="es-ES_tradnl" w:eastAsia="es-ES"/>
        </w:rPr>
      </w:pPr>
    </w:p>
    <w:p w:rsidR="001855BB" w:rsidRPr="00136DBA" w:rsidRDefault="009D482C" w:rsidP="001855BB">
      <w:pPr>
        <w:pStyle w:val="Prrafodelista"/>
        <w:numPr>
          <w:ilvl w:val="0"/>
          <w:numId w:val="1"/>
        </w:numPr>
        <w:spacing w:line="360" w:lineRule="auto"/>
        <w:ind w:left="0" w:firstLine="0"/>
        <w:contextualSpacing w:val="0"/>
        <w:jc w:val="both"/>
        <w:rPr>
          <w:rFonts w:ascii="Palatino Linotype" w:eastAsiaTheme="minorEastAsia" w:hAnsi="Palatino Linotype"/>
          <w:b/>
          <w:szCs w:val="22"/>
          <w:u w:val="single"/>
          <w:lang w:val="es-ES_tradnl" w:eastAsia="es-ES"/>
        </w:rPr>
      </w:pPr>
      <w:r w:rsidRPr="00136DBA">
        <w:rPr>
          <w:rFonts w:ascii="Palatino Linotype" w:hAnsi="Palatino Linotype"/>
          <w:color w:val="000000" w:themeColor="text1"/>
          <w:szCs w:val="22"/>
        </w:rPr>
        <w:t xml:space="preserve">El </w:t>
      </w:r>
      <w:r w:rsidR="001855BB" w:rsidRPr="00136DBA">
        <w:rPr>
          <w:rFonts w:ascii="Palatino Linotype" w:hAnsi="Palatino Linotype"/>
          <w:color w:val="000000" w:themeColor="text1"/>
          <w:szCs w:val="22"/>
        </w:rPr>
        <w:t xml:space="preserve"> veintiuno (21) de noviembre de dos mil veinticuatro, se notificó el acuerdo a través del cual se decretó el cierre de instrucción.</w:t>
      </w:r>
    </w:p>
    <w:p w:rsidR="001855BB" w:rsidRPr="00136DBA" w:rsidRDefault="001855BB" w:rsidP="001855BB">
      <w:pPr>
        <w:pStyle w:val="Prrafodelista"/>
        <w:spacing w:line="360" w:lineRule="auto"/>
        <w:ind w:left="0"/>
        <w:contextualSpacing w:val="0"/>
        <w:jc w:val="both"/>
        <w:rPr>
          <w:rFonts w:ascii="Palatino Linotype" w:eastAsiaTheme="minorEastAsia" w:hAnsi="Palatino Linotype"/>
          <w:b/>
          <w:szCs w:val="22"/>
          <w:u w:val="single"/>
          <w:lang w:val="es-ES_tradnl" w:eastAsia="es-ES"/>
        </w:rPr>
      </w:pPr>
    </w:p>
    <w:p w:rsidR="009D482C" w:rsidRPr="00136DBA" w:rsidRDefault="009D482C" w:rsidP="009D482C">
      <w:pPr>
        <w:keepNext/>
        <w:keepLines/>
        <w:spacing w:line="360" w:lineRule="auto"/>
        <w:jc w:val="center"/>
        <w:outlineLvl w:val="0"/>
        <w:rPr>
          <w:rFonts w:ascii="Palatino Linotype" w:eastAsiaTheme="majorEastAsia" w:hAnsi="Palatino Linotype" w:cstheme="majorBidi"/>
          <w:sz w:val="22"/>
          <w:szCs w:val="22"/>
        </w:rPr>
      </w:pPr>
      <w:bookmarkStart w:id="4" w:name="_Toc83301634"/>
      <w:r w:rsidRPr="00136DBA">
        <w:rPr>
          <w:rFonts w:ascii="Palatino Linotype" w:eastAsiaTheme="majorEastAsia" w:hAnsi="Palatino Linotype" w:cstheme="majorBidi"/>
          <w:b/>
          <w:sz w:val="22"/>
          <w:szCs w:val="22"/>
        </w:rPr>
        <w:t>CONSIDERANDO</w:t>
      </w:r>
      <w:bookmarkEnd w:id="4"/>
      <w:r w:rsidRPr="00136DBA">
        <w:rPr>
          <w:rFonts w:ascii="Palatino Linotype" w:eastAsiaTheme="majorEastAsia" w:hAnsi="Palatino Linotype" w:cstheme="majorBidi"/>
          <w:b/>
          <w:sz w:val="22"/>
          <w:szCs w:val="22"/>
        </w:rPr>
        <w:t xml:space="preserve"> </w:t>
      </w:r>
    </w:p>
    <w:p w:rsidR="009D482C" w:rsidRPr="00136DBA" w:rsidRDefault="009D482C" w:rsidP="009D482C">
      <w:pPr>
        <w:spacing w:line="360" w:lineRule="auto"/>
        <w:rPr>
          <w:rFonts w:ascii="Palatino Linotype" w:eastAsiaTheme="minorEastAsia" w:hAnsi="Palatino Linotype"/>
          <w:sz w:val="22"/>
          <w:szCs w:val="22"/>
        </w:rPr>
      </w:pPr>
    </w:p>
    <w:p w:rsidR="009D482C" w:rsidRPr="00136DBA" w:rsidRDefault="009D482C" w:rsidP="009D482C">
      <w:pPr>
        <w:keepNext/>
        <w:keepLines/>
        <w:spacing w:line="360" w:lineRule="auto"/>
        <w:outlineLvl w:val="1"/>
        <w:rPr>
          <w:rFonts w:ascii="Palatino Linotype" w:eastAsiaTheme="majorEastAsia" w:hAnsi="Palatino Linotype" w:cstheme="majorBidi"/>
          <w:b/>
          <w:sz w:val="22"/>
          <w:szCs w:val="22"/>
        </w:rPr>
      </w:pPr>
      <w:bookmarkStart w:id="5" w:name="_Toc83301635"/>
      <w:r w:rsidRPr="00136DBA">
        <w:rPr>
          <w:rFonts w:ascii="Palatino Linotype" w:eastAsiaTheme="majorEastAsia" w:hAnsi="Palatino Linotype" w:cstheme="majorBidi"/>
          <w:b/>
          <w:sz w:val="22"/>
          <w:szCs w:val="22"/>
        </w:rPr>
        <w:t>PRIMERO. De la competencia</w:t>
      </w:r>
      <w:bookmarkEnd w:id="5"/>
    </w:p>
    <w:p w:rsidR="009D482C" w:rsidRPr="00136DBA" w:rsidRDefault="009D482C" w:rsidP="009D482C">
      <w:pPr>
        <w:keepNext/>
        <w:keepLines/>
        <w:spacing w:line="360" w:lineRule="auto"/>
        <w:outlineLvl w:val="1"/>
        <w:rPr>
          <w:rFonts w:ascii="Palatino Linotype" w:eastAsiaTheme="majorEastAsia" w:hAnsi="Palatino Linotype" w:cstheme="majorBidi"/>
          <w:b/>
          <w:bCs/>
          <w:spacing w:val="60"/>
          <w:sz w:val="22"/>
          <w:szCs w:val="22"/>
        </w:rPr>
      </w:pPr>
    </w:p>
    <w:p w:rsidR="009D482C" w:rsidRPr="00136DBA" w:rsidRDefault="009D482C" w:rsidP="009D482C">
      <w:pPr>
        <w:pStyle w:val="Prrafodelista"/>
        <w:numPr>
          <w:ilvl w:val="0"/>
          <w:numId w:val="1"/>
        </w:numPr>
        <w:spacing w:line="360" w:lineRule="auto"/>
        <w:ind w:left="0" w:firstLine="0"/>
        <w:jc w:val="both"/>
        <w:rPr>
          <w:rFonts w:ascii="Palatino Linotype" w:hAnsi="Palatino Linotype"/>
          <w:szCs w:val="22"/>
        </w:rPr>
      </w:pPr>
      <w:r w:rsidRPr="00136DBA">
        <w:rPr>
          <w:rFonts w:ascii="Palatino Linotype" w:hAnsi="Palatino Linotype"/>
          <w:szCs w:val="22"/>
        </w:rPr>
        <w:t xml:space="preserve">Este Instituto de Transparencia, Acceso a la Información Pública y Protección de Datos Personales del Estado de México y Municipios, es competente para conocer y resolver del </w:t>
      </w:r>
      <w:r w:rsidRPr="00136DBA">
        <w:rPr>
          <w:rFonts w:ascii="Palatino Linotype" w:hAnsi="Palatino Linotype"/>
          <w:szCs w:val="22"/>
        </w:rPr>
        <w:lastRenderedPageBreak/>
        <w:t>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9D482C" w:rsidRPr="00136DBA" w:rsidRDefault="009D482C" w:rsidP="009D482C">
      <w:pPr>
        <w:pStyle w:val="Prrafodelista"/>
        <w:spacing w:line="360" w:lineRule="auto"/>
        <w:ind w:left="0"/>
        <w:jc w:val="both"/>
        <w:rPr>
          <w:rFonts w:ascii="Palatino Linotype" w:hAnsi="Palatino Linotype"/>
          <w:szCs w:val="22"/>
        </w:rPr>
      </w:pPr>
    </w:p>
    <w:p w:rsidR="009D482C" w:rsidRPr="00136DBA" w:rsidRDefault="009D482C" w:rsidP="009D482C">
      <w:pPr>
        <w:keepNext/>
        <w:keepLines/>
        <w:spacing w:line="360" w:lineRule="auto"/>
        <w:outlineLvl w:val="1"/>
        <w:rPr>
          <w:rFonts w:ascii="Palatino Linotype" w:eastAsiaTheme="majorEastAsia" w:hAnsi="Palatino Linotype" w:cstheme="majorBidi"/>
          <w:b/>
          <w:sz w:val="22"/>
          <w:szCs w:val="22"/>
        </w:rPr>
      </w:pPr>
      <w:bookmarkStart w:id="6" w:name="_Toc83301636"/>
      <w:r w:rsidRPr="00136DBA">
        <w:rPr>
          <w:rFonts w:ascii="Palatino Linotype" w:eastAsiaTheme="majorEastAsia" w:hAnsi="Palatino Linotype" w:cstheme="majorBidi"/>
          <w:b/>
          <w:sz w:val="22"/>
          <w:szCs w:val="22"/>
        </w:rPr>
        <w:t>SEGUNDO. De la oportunidad y procedencia.</w:t>
      </w:r>
      <w:bookmarkEnd w:id="6"/>
    </w:p>
    <w:p w:rsidR="009D482C" w:rsidRPr="00136DBA" w:rsidRDefault="009D482C" w:rsidP="009D482C">
      <w:pPr>
        <w:spacing w:line="360" w:lineRule="auto"/>
        <w:rPr>
          <w:rFonts w:ascii="Palatino Linotype" w:eastAsiaTheme="minorEastAsia" w:hAnsi="Palatino Linotype"/>
          <w:sz w:val="22"/>
          <w:szCs w:val="22"/>
        </w:rPr>
      </w:pPr>
    </w:p>
    <w:p w:rsidR="009D482C" w:rsidRPr="00136DBA" w:rsidRDefault="009D482C" w:rsidP="009D482C">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136DBA">
        <w:rPr>
          <w:rFonts w:ascii="Palatino Linotype" w:eastAsia="Calibri" w:hAnsi="Palatino Linotype" w:cs="Arial"/>
          <w:sz w:val="22"/>
          <w:szCs w:val="22"/>
          <w:lang w:val="es-ES_tradnl" w:eastAsia="es-ES"/>
        </w:rPr>
        <w:t xml:space="preserve">El medio de impugnación fue presentado a través del </w:t>
      </w:r>
      <w:r w:rsidRPr="00136DBA">
        <w:rPr>
          <w:rFonts w:ascii="Palatino Linotype" w:eastAsia="Calibri" w:hAnsi="Palatino Linotype" w:cs="Arial"/>
          <w:b/>
          <w:sz w:val="22"/>
          <w:szCs w:val="22"/>
          <w:lang w:val="es-ES_tradnl" w:eastAsia="es-ES"/>
        </w:rPr>
        <w:t>SAIMEX,</w:t>
      </w:r>
      <w:r w:rsidRPr="00136DBA">
        <w:rPr>
          <w:rFonts w:ascii="Palatino Linotype" w:eastAsia="Calibri" w:hAnsi="Palatino Linotype" w:cs="Arial"/>
          <w:sz w:val="22"/>
          <w:szCs w:val="22"/>
          <w:lang w:val="es-ES_tradnl" w:eastAsia="es-ES"/>
        </w:rPr>
        <w:t xml:space="preserve"> en el formato previamente aprobado para tal efecto y dentro del plazo legal de quince días hábiles otorgados; siendo así que el </w:t>
      </w:r>
      <w:r w:rsidRPr="00136DBA">
        <w:rPr>
          <w:rFonts w:ascii="Palatino Linotype" w:eastAsia="Calibri" w:hAnsi="Palatino Linotype" w:cs="Arial"/>
          <w:b/>
          <w:sz w:val="22"/>
          <w:szCs w:val="22"/>
          <w:lang w:val="es-ES_tradnl" w:eastAsia="es-ES"/>
        </w:rPr>
        <w:t>SUJETO OBLIGADO</w:t>
      </w:r>
      <w:r w:rsidRPr="00136DBA">
        <w:rPr>
          <w:rFonts w:ascii="Palatino Linotype" w:eastAsia="Calibri" w:hAnsi="Palatino Linotype" w:cs="Arial"/>
          <w:sz w:val="22"/>
          <w:szCs w:val="22"/>
          <w:lang w:val="es-ES_tradnl" w:eastAsia="es-ES"/>
        </w:rPr>
        <w:t xml:space="preserve"> entregó respuesta a la solicitud el día </w:t>
      </w:r>
      <w:r w:rsidR="001855BB" w:rsidRPr="00136DBA">
        <w:rPr>
          <w:rFonts w:ascii="Palatino Linotype" w:eastAsia="Calibri" w:hAnsi="Palatino Linotype" w:cs="Arial"/>
          <w:sz w:val="22"/>
          <w:szCs w:val="22"/>
          <w:lang w:val="es-ES_tradnl" w:eastAsia="es-ES"/>
        </w:rPr>
        <w:t>dieciocho (18) de septiembre de dos mil veinticuatro</w:t>
      </w:r>
      <w:r w:rsidRPr="00136DBA">
        <w:rPr>
          <w:rFonts w:ascii="Palatino Linotype" w:eastAsia="Calibri" w:hAnsi="Palatino Linotype" w:cs="Arial"/>
          <w:sz w:val="22"/>
          <w:szCs w:val="22"/>
          <w:lang w:val="es-ES_tradnl" w:eastAsia="es-ES"/>
        </w:rPr>
        <w:t xml:space="preserve">, </w:t>
      </w:r>
      <w:r w:rsidRPr="00136DBA">
        <w:rPr>
          <w:rFonts w:ascii="Palatino Linotype" w:eastAsiaTheme="minorEastAsia" w:hAnsi="Palatino Linotype" w:cs="Arial"/>
          <w:sz w:val="22"/>
          <w:szCs w:val="22"/>
          <w:lang w:val="es-ES_tradnl" w:eastAsia="es-ES"/>
        </w:rPr>
        <w:t xml:space="preserve">de tal forma que el plazo para interponer el recurso de revisión transcurrió del </w:t>
      </w:r>
      <w:r w:rsidR="001855BB" w:rsidRPr="00136DBA">
        <w:rPr>
          <w:rFonts w:ascii="Palatino Linotype" w:eastAsiaTheme="minorEastAsia" w:hAnsi="Palatino Linotype" w:cs="Arial"/>
          <w:sz w:val="22"/>
          <w:szCs w:val="22"/>
          <w:lang w:val="es-ES_tradnl" w:eastAsia="es-ES"/>
        </w:rPr>
        <w:t>diecinueve (19) de septiembre al diez (10) de octubre</w:t>
      </w:r>
      <w:r w:rsidRPr="00136DBA">
        <w:rPr>
          <w:rFonts w:ascii="Palatino Linotype" w:eastAsiaTheme="minorEastAsia" w:hAnsi="Palatino Linotype" w:cs="Arial"/>
          <w:sz w:val="22"/>
          <w:szCs w:val="22"/>
          <w:lang w:val="es-ES_tradnl" w:eastAsia="es-ES"/>
        </w:rPr>
        <w:t xml:space="preserve"> de dos mil veinticuatro; en consecuenci</w:t>
      </w:r>
      <w:r w:rsidR="001855BB" w:rsidRPr="00136DBA">
        <w:rPr>
          <w:rFonts w:ascii="Palatino Linotype" w:eastAsiaTheme="minorEastAsia" w:hAnsi="Palatino Linotype" w:cs="Arial"/>
          <w:sz w:val="22"/>
          <w:szCs w:val="22"/>
          <w:lang w:val="es-ES_tradnl" w:eastAsia="es-ES"/>
        </w:rPr>
        <w:t>a, presentó su inconformidad el veintitrés (23) de septiembre de dos mil veinticuatro</w:t>
      </w:r>
      <w:r w:rsidRPr="00136DBA">
        <w:rPr>
          <w:rFonts w:ascii="Palatino Linotype" w:eastAsiaTheme="minorEastAsia" w:hAnsi="Palatino Linotype" w:cs="Arial"/>
          <w:sz w:val="22"/>
          <w:szCs w:val="22"/>
          <w:lang w:val="es-ES_tradnl" w:eastAsia="es-ES"/>
        </w:rPr>
        <w:t xml:space="preserve">, por lo que se encuentra dentro de los márgenes temporales previstos en el artículo 3, fracción X y 178 de la </w:t>
      </w:r>
      <w:r w:rsidRPr="00136DBA">
        <w:rPr>
          <w:rFonts w:ascii="Palatino Linotype" w:eastAsiaTheme="minorEastAsia" w:hAnsi="Palatino Linotype" w:cs="Arial"/>
          <w:b/>
          <w:sz w:val="22"/>
          <w:szCs w:val="22"/>
          <w:lang w:val="es-ES_tradnl" w:eastAsia="es-ES"/>
        </w:rPr>
        <w:t xml:space="preserve">Ley de Transparencia y Acceso a la Información Pública del Estado de México y Municipios </w:t>
      </w:r>
      <w:r w:rsidRPr="00136DBA">
        <w:rPr>
          <w:rFonts w:ascii="Palatino Linotype" w:eastAsiaTheme="minorEastAsia" w:hAnsi="Palatino Linotype" w:cs="Arial"/>
          <w:sz w:val="22"/>
          <w:szCs w:val="22"/>
          <w:lang w:val="es-ES_tradnl" w:eastAsia="es-ES"/>
        </w:rPr>
        <w:t>vigente.</w:t>
      </w:r>
    </w:p>
    <w:p w:rsidR="009D482C" w:rsidRPr="00136DBA" w:rsidRDefault="009D482C" w:rsidP="009D482C">
      <w:pPr>
        <w:spacing w:line="360" w:lineRule="auto"/>
        <w:ind w:right="49"/>
        <w:contextualSpacing/>
        <w:jc w:val="both"/>
        <w:rPr>
          <w:rFonts w:ascii="Palatino Linotype" w:eastAsiaTheme="minorEastAsia" w:hAnsi="Palatino Linotype"/>
          <w:sz w:val="22"/>
          <w:szCs w:val="22"/>
          <w:lang w:val="es-ES_tradnl" w:eastAsia="es-ES"/>
        </w:rPr>
      </w:pPr>
    </w:p>
    <w:p w:rsidR="009D482C" w:rsidRPr="00136DBA" w:rsidRDefault="009D482C" w:rsidP="009D482C">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136DBA">
        <w:rPr>
          <w:rFonts w:ascii="Palatino Linotype" w:eastAsia="Calibri" w:hAnsi="Palatino Linotype" w:cs="Arial"/>
          <w:sz w:val="22"/>
          <w:szCs w:val="22"/>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7" w:name="_Toc65713731"/>
      <w:bookmarkStart w:id="8" w:name="_Toc94119614"/>
      <w:bookmarkStart w:id="9" w:name="_Toc452722829"/>
      <w:bookmarkStart w:id="10" w:name="_Toc454373811"/>
      <w:bookmarkStart w:id="11" w:name="_Toc476675991"/>
    </w:p>
    <w:p w:rsidR="009D482C" w:rsidRPr="00136DBA" w:rsidRDefault="009D482C" w:rsidP="009D482C">
      <w:pPr>
        <w:spacing w:line="360" w:lineRule="auto"/>
        <w:ind w:right="49"/>
        <w:contextualSpacing/>
        <w:jc w:val="both"/>
        <w:rPr>
          <w:rFonts w:ascii="Palatino Linotype" w:eastAsiaTheme="minorEastAsia" w:hAnsi="Palatino Linotype"/>
          <w:sz w:val="22"/>
          <w:szCs w:val="22"/>
          <w:lang w:val="es-ES_tradnl" w:eastAsia="es-ES"/>
        </w:rPr>
      </w:pPr>
    </w:p>
    <w:bookmarkEnd w:id="7"/>
    <w:bookmarkEnd w:id="8"/>
    <w:bookmarkEnd w:id="9"/>
    <w:bookmarkEnd w:id="10"/>
    <w:bookmarkEnd w:id="11"/>
    <w:p w:rsidR="009D482C" w:rsidRPr="00136DBA" w:rsidRDefault="009D482C" w:rsidP="009D482C">
      <w:pPr>
        <w:pStyle w:val="Ttulo2"/>
        <w:tabs>
          <w:tab w:val="left" w:pos="0"/>
        </w:tabs>
        <w:spacing w:before="0" w:line="360" w:lineRule="auto"/>
        <w:rPr>
          <w:rFonts w:ascii="Palatino Linotype" w:hAnsi="Palatino Linotype"/>
          <w:b/>
          <w:color w:val="auto"/>
          <w:sz w:val="22"/>
          <w:szCs w:val="22"/>
        </w:rPr>
      </w:pPr>
      <w:r w:rsidRPr="00136DBA">
        <w:rPr>
          <w:rFonts w:ascii="Palatino Linotype" w:hAnsi="Palatino Linotype"/>
          <w:b/>
          <w:color w:val="auto"/>
          <w:sz w:val="22"/>
          <w:szCs w:val="22"/>
        </w:rPr>
        <w:t xml:space="preserve">TERCERO. De las causales de sobreseimiento </w:t>
      </w:r>
    </w:p>
    <w:p w:rsidR="009D482C" w:rsidRPr="00136DBA" w:rsidRDefault="009D482C" w:rsidP="009D482C">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bookmarkStart w:id="12" w:name="_Toc529263621"/>
      <w:bookmarkStart w:id="13" w:name="_Toc530650937"/>
      <w:bookmarkStart w:id="14" w:name="_Toc535334654"/>
      <w:bookmarkStart w:id="15" w:name="_Toc2248735"/>
    </w:p>
    <w:p w:rsidR="001855BB" w:rsidRPr="00136DBA" w:rsidRDefault="009D482C" w:rsidP="001855BB">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136DBA">
        <w:rPr>
          <w:rFonts w:ascii="Palatino Linotype" w:eastAsia="Calibri" w:hAnsi="Palatino Linotype" w:cs="Arial"/>
          <w:color w:val="000000" w:themeColor="text1"/>
          <w:szCs w:val="22"/>
        </w:rPr>
        <w:lastRenderedPageBreak/>
        <w:t xml:space="preserve">El recurso de revisión </w:t>
      </w:r>
      <w:r w:rsidRPr="00136DBA">
        <w:rPr>
          <w:rFonts w:ascii="Palatino Linotype" w:hAnsi="Palatino Linotype" w:cs="Arial"/>
          <w:szCs w:val="22"/>
        </w:rPr>
        <w:t xml:space="preserve">tiene como finalidad reparar cualquier posible afectación al derecho de acceso a la información pública en términos del Título Octavo de la Ley de </w:t>
      </w:r>
      <w:r w:rsidRPr="00136DBA">
        <w:rPr>
          <w:rFonts w:ascii="Palatino Linotype" w:eastAsia="Calibri" w:hAnsi="Palatino Linotype" w:cs="Arial"/>
          <w:szCs w:val="22"/>
        </w:rPr>
        <w:t>Transparencia, Acceso a la Información Pública del Estado de México y Municipios</w:t>
      </w:r>
      <w:r w:rsidRPr="00136DBA">
        <w:rPr>
          <w:rFonts w:ascii="Palatino Linotype" w:hAnsi="Palatino Linotype" w:cs="Arial"/>
          <w:szCs w:val="22"/>
        </w:rPr>
        <w:t xml:space="preserve">, y determinar la confirmación; revocación o modificación; </w:t>
      </w:r>
      <w:proofErr w:type="spellStart"/>
      <w:r w:rsidRPr="00136DBA">
        <w:rPr>
          <w:rFonts w:ascii="Palatino Linotype" w:hAnsi="Palatino Linotype" w:cs="Arial"/>
          <w:szCs w:val="22"/>
        </w:rPr>
        <w:t>desechamiento</w:t>
      </w:r>
      <w:proofErr w:type="spellEnd"/>
      <w:r w:rsidRPr="00136DBA">
        <w:rPr>
          <w:rFonts w:ascii="Palatino Linotype" w:hAnsi="Palatino Linotype" w:cs="Arial"/>
          <w:szCs w:val="22"/>
        </w:rPr>
        <w:t xml:space="preserve"> o </w:t>
      </w:r>
      <w:r w:rsidRPr="00136DBA">
        <w:rPr>
          <w:rFonts w:ascii="Palatino Linotype" w:hAnsi="Palatino Linotype" w:cs="Arial"/>
          <w:b/>
          <w:szCs w:val="22"/>
          <w:u w:val="single"/>
        </w:rPr>
        <w:t>sobreseimiento</w:t>
      </w:r>
      <w:r w:rsidRPr="00136DBA">
        <w:rPr>
          <w:rFonts w:ascii="Palatino Linotype" w:hAnsi="Palatino Linotype" w:cs="Arial"/>
          <w:szCs w:val="22"/>
        </w:rPr>
        <w:t xml:space="preserve">; y en su caso ordenar la entrega de la información con respecto a la respuesta emitida por el </w:t>
      </w:r>
      <w:r w:rsidRPr="00136DBA">
        <w:rPr>
          <w:rFonts w:ascii="Palatino Linotype" w:hAnsi="Palatino Linotype" w:cs="Arial"/>
          <w:b/>
          <w:szCs w:val="22"/>
        </w:rPr>
        <w:t>SUJETO</w:t>
      </w:r>
      <w:r w:rsidRPr="00136DBA">
        <w:rPr>
          <w:rFonts w:ascii="Palatino Linotype" w:hAnsi="Palatino Linotype" w:cs="Arial"/>
          <w:szCs w:val="22"/>
        </w:rPr>
        <w:t xml:space="preserve"> </w:t>
      </w:r>
      <w:r w:rsidRPr="00136DBA">
        <w:rPr>
          <w:rFonts w:ascii="Palatino Linotype" w:hAnsi="Palatino Linotype" w:cs="Arial"/>
          <w:b/>
          <w:szCs w:val="22"/>
        </w:rPr>
        <w:t>OBLIGADO</w:t>
      </w:r>
      <w:r w:rsidRPr="00136DBA">
        <w:rPr>
          <w:rFonts w:ascii="Palatino Linotype" w:hAnsi="Palatino Linotype" w:cs="Arial"/>
          <w:szCs w:val="22"/>
        </w:rPr>
        <w:t>.</w:t>
      </w:r>
    </w:p>
    <w:p w:rsidR="009D482C" w:rsidRPr="00136DBA" w:rsidRDefault="009D482C" w:rsidP="009D482C">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p w:rsidR="009D482C" w:rsidRPr="00136DBA" w:rsidRDefault="009D482C" w:rsidP="009D482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136DBA">
        <w:rPr>
          <w:rFonts w:ascii="Palatino Linotype" w:eastAsia="Calibri" w:hAnsi="Palatino Linotype" w:cs="Arial"/>
          <w:color w:val="000000" w:themeColor="text1"/>
          <w:szCs w:val="22"/>
        </w:rPr>
        <w:t xml:space="preserve">De </w:t>
      </w:r>
      <w:r w:rsidRPr="00136DBA">
        <w:rPr>
          <w:rFonts w:ascii="Palatino Linotype" w:eastAsia="Calibri" w:hAnsi="Palatino Linotype"/>
          <w:szCs w:val="22"/>
        </w:rPr>
        <w:t xml:space="preserve">acuerdo al precepto legal contenido en la fracción III del artículo 192 de la </w:t>
      </w:r>
      <w:r w:rsidRPr="00136DBA">
        <w:rPr>
          <w:rFonts w:ascii="Palatino Linotype" w:eastAsia="Calibri" w:hAnsi="Palatino Linotype"/>
          <w:b/>
          <w:szCs w:val="22"/>
        </w:rPr>
        <w:t>Ley de Transparencia y Acceso a la Información Pública del Estado de México y Municipios</w:t>
      </w:r>
      <w:r w:rsidRPr="00136DBA">
        <w:rPr>
          <w:rFonts w:ascii="Palatino Linotype" w:eastAsia="Calibri" w:hAnsi="Palatino Linotype"/>
          <w:szCs w:val="22"/>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rsidR="009D482C" w:rsidRPr="00136DBA" w:rsidRDefault="009D482C" w:rsidP="009D482C">
      <w:pPr>
        <w:pStyle w:val="Prrafodelista"/>
        <w:ind w:left="0"/>
        <w:rPr>
          <w:rFonts w:ascii="Palatino Linotype" w:eastAsia="Calibri" w:hAnsi="Palatino Linotype" w:cs="Arial"/>
          <w:color w:val="000000" w:themeColor="text1"/>
          <w:szCs w:val="22"/>
          <w:lang w:val="es-ES"/>
        </w:rPr>
      </w:pPr>
    </w:p>
    <w:p w:rsidR="009D482C" w:rsidRPr="00136DBA" w:rsidRDefault="009D482C" w:rsidP="009D482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136DBA">
        <w:rPr>
          <w:rFonts w:ascii="Palatino Linotype" w:eastAsia="Calibri" w:hAnsi="Palatino Linotype" w:cs="Arial"/>
          <w:color w:val="000000" w:themeColor="text1"/>
          <w:szCs w:val="22"/>
          <w:lang w:val="es-ES"/>
        </w:rPr>
        <w:t xml:space="preserve">Para </w:t>
      </w:r>
      <w:r w:rsidRPr="00136DBA">
        <w:rPr>
          <w:rFonts w:ascii="Palatino Linotype" w:eastAsia="Calibri" w:hAnsi="Palatino Linotype"/>
          <w:szCs w:val="22"/>
        </w:rPr>
        <w:t xml:space="preserve">los efectos de esta resolución, es oportuno precisar los alcances jurídicos de la fracción III de la disposición legal transcrita. Así, procede el sobreseimiento del recurso de revisión cuando el </w:t>
      </w:r>
      <w:r w:rsidRPr="00136DBA">
        <w:rPr>
          <w:rFonts w:ascii="Palatino Linotype" w:eastAsia="Calibri" w:hAnsi="Palatino Linotype"/>
          <w:b/>
          <w:szCs w:val="22"/>
        </w:rPr>
        <w:t>SUJETO OBLIGADO</w:t>
      </w:r>
      <w:r w:rsidRPr="00136DBA">
        <w:rPr>
          <w:rFonts w:ascii="Palatino Linotype" w:eastAsia="Calibri" w:hAnsi="Palatino Linotype"/>
          <w:szCs w:val="22"/>
        </w:rPr>
        <w:t>:</w:t>
      </w:r>
    </w:p>
    <w:p w:rsidR="009D482C" w:rsidRPr="00136DBA" w:rsidRDefault="009D482C" w:rsidP="009D482C">
      <w:pPr>
        <w:rPr>
          <w:rFonts w:ascii="Palatino Linotype" w:eastAsia="Calibri" w:hAnsi="Palatino Linotype" w:cs="Arial"/>
          <w:color w:val="000000" w:themeColor="text1"/>
          <w:sz w:val="22"/>
          <w:szCs w:val="22"/>
          <w:lang w:val="es-ES"/>
        </w:rPr>
      </w:pPr>
    </w:p>
    <w:p w:rsidR="009D482C" w:rsidRPr="00136DBA" w:rsidRDefault="009D482C" w:rsidP="009D482C">
      <w:pPr>
        <w:numPr>
          <w:ilvl w:val="0"/>
          <w:numId w:val="3"/>
        </w:numPr>
        <w:spacing w:line="360" w:lineRule="auto"/>
        <w:ind w:left="567" w:right="616" w:firstLine="0"/>
        <w:contextualSpacing/>
        <w:jc w:val="both"/>
        <w:rPr>
          <w:rFonts w:ascii="Palatino Linotype" w:hAnsi="Palatino Linotype" w:cs="Arial"/>
          <w:sz w:val="22"/>
          <w:szCs w:val="22"/>
        </w:rPr>
      </w:pPr>
      <w:r w:rsidRPr="00136DBA">
        <w:rPr>
          <w:rFonts w:ascii="Palatino Linotype" w:hAnsi="Palatino Linotype" w:cs="Arial"/>
          <w:b/>
          <w:sz w:val="22"/>
          <w:szCs w:val="22"/>
        </w:rPr>
        <w:t>Modifique el acto impugnado:</w:t>
      </w:r>
      <w:r w:rsidRPr="00136DBA">
        <w:rPr>
          <w:rFonts w:ascii="Palatino Linotype" w:hAnsi="Palatino Linotype" w:cs="Arial"/>
          <w:sz w:val="22"/>
          <w:szCs w:val="22"/>
        </w:rPr>
        <w:t xml:space="preserve"> Se actualiza cuando el </w:t>
      </w:r>
      <w:r w:rsidRPr="00136DBA">
        <w:rPr>
          <w:rFonts w:ascii="Palatino Linotype" w:hAnsi="Palatino Linotype" w:cs="Arial"/>
          <w:b/>
          <w:sz w:val="22"/>
          <w:szCs w:val="22"/>
        </w:rPr>
        <w:t>SUJETO OBLIGADO</w:t>
      </w:r>
      <w:r w:rsidRPr="00136DBA">
        <w:rPr>
          <w:rFonts w:ascii="Palatino Linotype" w:hAnsi="Palatino Linotype" w:cs="Arial"/>
          <w:sz w:val="22"/>
          <w:szCs w:val="22"/>
        </w:rPr>
        <w:t xml:space="preserve"> después de haber otorgado una respuesta y hasta antes de dictada la resolución del recurso de revisión, emite una diversa en la que subsane las deficiencias que hubiera tenido.</w:t>
      </w:r>
    </w:p>
    <w:p w:rsidR="009D482C" w:rsidRPr="00136DBA" w:rsidRDefault="009D482C" w:rsidP="009D482C">
      <w:pPr>
        <w:spacing w:line="360" w:lineRule="auto"/>
        <w:ind w:left="567" w:right="616"/>
        <w:contextualSpacing/>
        <w:jc w:val="both"/>
        <w:rPr>
          <w:rFonts w:ascii="Palatino Linotype" w:hAnsi="Palatino Linotype" w:cs="Arial"/>
          <w:sz w:val="22"/>
          <w:szCs w:val="22"/>
        </w:rPr>
      </w:pPr>
    </w:p>
    <w:p w:rsidR="009D482C" w:rsidRPr="00136DBA" w:rsidRDefault="009D482C" w:rsidP="009D482C">
      <w:pPr>
        <w:numPr>
          <w:ilvl w:val="0"/>
          <w:numId w:val="3"/>
        </w:numPr>
        <w:spacing w:line="360" w:lineRule="auto"/>
        <w:ind w:left="567" w:right="616" w:firstLine="0"/>
        <w:contextualSpacing/>
        <w:jc w:val="both"/>
        <w:rPr>
          <w:rFonts w:ascii="Palatino Linotype" w:hAnsi="Palatino Linotype" w:cs="Arial"/>
          <w:sz w:val="22"/>
          <w:szCs w:val="22"/>
        </w:rPr>
      </w:pPr>
      <w:r w:rsidRPr="00136DBA">
        <w:rPr>
          <w:rFonts w:ascii="Palatino Linotype" w:hAnsi="Palatino Linotype" w:cs="Arial"/>
          <w:b/>
          <w:sz w:val="22"/>
          <w:szCs w:val="22"/>
        </w:rPr>
        <w:t>Revoque el acto impugnado:</w:t>
      </w:r>
      <w:r w:rsidRPr="00136DBA">
        <w:rPr>
          <w:rFonts w:ascii="Palatino Linotype" w:hAnsi="Palatino Linotype" w:cs="Arial"/>
          <w:sz w:val="22"/>
          <w:szCs w:val="22"/>
        </w:rPr>
        <w:t xml:space="preserve"> En este supuesto, el </w:t>
      </w:r>
      <w:r w:rsidRPr="00136DBA">
        <w:rPr>
          <w:rFonts w:ascii="Palatino Linotype" w:hAnsi="Palatino Linotype" w:cs="Arial"/>
          <w:b/>
          <w:sz w:val="22"/>
          <w:szCs w:val="22"/>
        </w:rPr>
        <w:t>SUJETO OBLIGADO</w:t>
      </w:r>
      <w:r w:rsidRPr="00136DBA">
        <w:rPr>
          <w:rFonts w:ascii="Palatino Linotype" w:hAnsi="Palatino Linotype" w:cs="Arial"/>
          <w:sz w:val="22"/>
          <w:szCs w:val="22"/>
        </w:rPr>
        <w:t xml:space="preserve"> deja sin efectos la primera respuesta y en su lugar emite otra que satisfaga lo solicitado por el Particular en un primer momento.</w:t>
      </w:r>
    </w:p>
    <w:p w:rsidR="009D482C" w:rsidRPr="00136DBA" w:rsidRDefault="009D482C" w:rsidP="009D482C">
      <w:pPr>
        <w:pStyle w:val="Prrafodelista"/>
        <w:numPr>
          <w:ilvl w:val="0"/>
          <w:numId w:val="1"/>
        </w:numPr>
        <w:tabs>
          <w:tab w:val="left" w:pos="284"/>
          <w:tab w:val="left" w:pos="567"/>
        </w:tabs>
        <w:spacing w:line="360" w:lineRule="auto"/>
        <w:ind w:left="0" w:firstLine="0"/>
        <w:jc w:val="both"/>
        <w:rPr>
          <w:rFonts w:ascii="Palatino Linotype" w:eastAsia="Calibri" w:hAnsi="Palatino Linotype" w:cs="Arial"/>
          <w:color w:val="000000" w:themeColor="text1"/>
          <w:szCs w:val="22"/>
          <w:lang w:val="es-ES"/>
        </w:rPr>
      </w:pPr>
      <w:r w:rsidRPr="00136DBA">
        <w:rPr>
          <w:rFonts w:ascii="Palatino Linotype" w:eastAsia="Calibri" w:hAnsi="Palatino Linotype" w:cs="Arial"/>
          <w:color w:val="000000" w:themeColor="text1"/>
          <w:szCs w:val="22"/>
          <w:lang w:val="es-ES"/>
        </w:rPr>
        <w:lastRenderedPageBreak/>
        <w:t xml:space="preserve">Las </w:t>
      </w:r>
      <w:r w:rsidRPr="00136DBA">
        <w:rPr>
          <w:rFonts w:ascii="Palatino Linotype" w:eastAsia="Calibri" w:hAnsi="Palatino Linotype"/>
          <w:szCs w:val="22"/>
        </w:rPr>
        <w:t>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9D482C" w:rsidRPr="00136DBA" w:rsidRDefault="009D482C" w:rsidP="009D482C">
      <w:pPr>
        <w:pStyle w:val="Prrafodelista"/>
        <w:tabs>
          <w:tab w:val="left" w:pos="284"/>
          <w:tab w:val="left" w:pos="567"/>
        </w:tabs>
        <w:spacing w:line="360" w:lineRule="auto"/>
        <w:ind w:left="0"/>
        <w:jc w:val="both"/>
        <w:rPr>
          <w:rFonts w:ascii="Palatino Linotype" w:eastAsia="Calibri" w:hAnsi="Palatino Linotype" w:cs="Arial"/>
          <w:color w:val="000000" w:themeColor="text1"/>
          <w:szCs w:val="22"/>
          <w:lang w:val="es-ES"/>
        </w:rPr>
      </w:pPr>
    </w:p>
    <w:p w:rsidR="009D482C" w:rsidRPr="00136DBA" w:rsidRDefault="009D482C" w:rsidP="00136DBA">
      <w:pPr>
        <w:pStyle w:val="Prrafodelista"/>
        <w:numPr>
          <w:ilvl w:val="0"/>
          <w:numId w:val="1"/>
        </w:numPr>
        <w:tabs>
          <w:tab w:val="left" w:pos="284"/>
          <w:tab w:val="left" w:pos="567"/>
        </w:tabs>
        <w:spacing w:line="360" w:lineRule="auto"/>
        <w:ind w:left="0" w:right="49" w:firstLine="0"/>
        <w:jc w:val="both"/>
        <w:rPr>
          <w:rFonts w:ascii="Palatino Linotype" w:eastAsia="MS Gothic" w:hAnsi="Palatino Linotype" w:cstheme="majorBidi"/>
          <w:szCs w:val="22"/>
          <w:lang w:val="es-ES_tradnl" w:eastAsia="es-ES"/>
        </w:rPr>
      </w:pPr>
      <w:r w:rsidRPr="00136DBA">
        <w:rPr>
          <w:rFonts w:ascii="Palatino Linotype" w:eastAsia="Calibri" w:hAnsi="Palatino Linotype" w:cs="Arial"/>
          <w:color w:val="000000" w:themeColor="text1"/>
          <w:szCs w:val="22"/>
          <w:lang w:val="es-ES"/>
        </w:rPr>
        <w:t xml:space="preserve">En el presente caso, </w:t>
      </w:r>
      <w:r w:rsidRPr="00136DBA">
        <w:rPr>
          <w:rFonts w:ascii="Palatino Linotype" w:hAnsi="Palatino Linotype" w:cs="Arial"/>
          <w:color w:val="000000"/>
          <w:szCs w:val="22"/>
          <w:lang w:val="es-ES"/>
        </w:rPr>
        <w:t xml:space="preserve">el Recurrente solicitó </w:t>
      </w:r>
      <w:r w:rsidR="001855BB" w:rsidRPr="00136DBA">
        <w:rPr>
          <w:rFonts w:ascii="Palatino Linotype" w:hAnsi="Palatino Linotype" w:cs="Arial"/>
          <w:i/>
          <w:color w:val="000000"/>
          <w:szCs w:val="22"/>
        </w:rPr>
        <w:t xml:space="preserve">“…el Manual General de Organización de la Secretaria del Agua, ya sea Publicado o </w:t>
      </w:r>
      <w:proofErr w:type="spellStart"/>
      <w:r w:rsidR="001855BB" w:rsidRPr="00136DBA">
        <w:rPr>
          <w:rFonts w:ascii="Palatino Linotype" w:hAnsi="Palatino Linotype" w:cs="Arial"/>
          <w:i/>
          <w:color w:val="000000"/>
          <w:szCs w:val="22"/>
        </w:rPr>
        <w:t>Dictamiado</w:t>
      </w:r>
      <w:proofErr w:type="spellEnd"/>
      <w:r w:rsidR="001855BB" w:rsidRPr="00136DBA">
        <w:rPr>
          <w:rFonts w:ascii="Palatino Linotype" w:hAnsi="Palatino Linotype" w:cs="Arial"/>
          <w:i/>
          <w:color w:val="000000"/>
          <w:szCs w:val="22"/>
        </w:rPr>
        <w:t xml:space="preserve"> por esa Dependencia, Firmado por el Director General de Innovación. Alonso Campuzano </w:t>
      </w:r>
      <w:proofErr w:type="spellStart"/>
      <w:r w:rsidR="001855BB" w:rsidRPr="00136DBA">
        <w:rPr>
          <w:rFonts w:ascii="Palatino Linotype" w:hAnsi="Palatino Linotype" w:cs="Arial"/>
          <w:i/>
          <w:color w:val="000000"/>
          <w:szCs w:val="22"/>
        </w:rPr>
        <w:t>Ramirez</w:t>
      </w:r>
      <w:proofErr w:type="spellEnd"/>
      <w:r w:rsidR="001855BB" w:rsidRPr="00136DBA">
        <w:rPr>
          <w:rFonts w:ascii="Palatino Linotype" w:hAnsi="Palatino Linotype" w:cs="Arial"/>
          <w:i/>
          <w:color w:val="000000"/>
          <w:szCs w:val="22"/>
        </w:rPr>
        <w:t xml:space="preserve"> y el Secretario del Agua, </w:t>
      </w:r>
      <w:proofErr w:type="spellStart"/>
      <w:r w:rsidR="001855BB" w:rsidRPr="00136DBA">
        <w:rPr>
          <w:rFonts w:ascii="Palatino Linotype" w:hAnsi="Palatino Linotype" w:cs="Arial"/>
          <w:i/>
          <w:color w:val="000000"/>
          <w:szCs w:val="22"/>
        </w:rPr>
        <w:t>asi</w:t>
      </w:r>
      <w:proofErr w:type="spellEnd"/>
      <w:r w:rsidR="001855BB" w:rsidRPr="00136DBA">
        <w:rPr>
          <w:rFonts w:ascii="Palatino Linotype" w:hAnsi="Palatino Linotype" w:cs="Arial"/>
          <w:i/>
          <w:color w:val="000000"/>
          <w:szCs w:val="22"/>
        </w:rPr>
        <w:t xml:space="preserve"> como el Nombramiento Legales de los Titulares Directores Generales y Coordinadores de General, que </w:t>
      </w:r>
      <w:proofErr w:type="spellStart"/>
      <w:r w:rsidR="001855BB" w:rsidRPr="00136DBA">
        <w:rPr>
          <w:rFonts w:ascii="Palatino Linotype" w:hAnsi="Palatino Linotype" w:cs="Arial"/>
          <w:i/>
          <w:color w:val="000000"/>
          <w:szCs w:val="22"/>
        </w:rPr>
        <w:t>alla</w:t>
      </w:r>
      <w:proofErr w:type="spellEnd"/>
      <w:r w:rsidR="001855BB" w:rsidRPr="00136DBA">
        <w:rPr>
          <w:rFonts w:ascii="Palatino Linotype" w:hAnsi="Palatino Linotype" w:cs="Arial"/>
          <w:i/>
          <w:color w:val="000000"/>
          <w:szCs w:val="22"/>
        </w:rPr>
        <w:t xml:space="preserve"> Firmado en el Manual General Publicado o Proyecto”</w:t>
      </w:r>
    </w:p>
    <w:p w:rsidR="001855BB" w:rsidRPr="00136DBA" w:rsidRDefault="001855BB" w:rsidP="001855BB">
      <w:pPr>
        <w:pStyle w:val="Prrafodelista"/>
        <w:tabs>
          <w:tab w:val="left" w:pos="284"/>
          <w:tab w:val="left" w:pos="567"/>
        </w:tabs>
        <w:spacing w:line="360" w:lineRule="auto"/>
        <w:ind w:left="0" w:right="49"/>
        <w:jc w:val="both"/>
        <w:rPr>
          <w:rFonts w:ascii="Palatino Linotype" w:eastAsia="MS Gothic" w:hAnsi="Palatino Linotype" w:cstheme="majorBidi"/>
          <w:szCs w:val="22"/>
          <w:lang w:val="es-ES_tradnl" w:eastAsia="es-ES"/>
        </w:rPr>
      </w:pPr>
    </w:p>
    <w:p w:rsidR="009D482C" w:rsidRPr="00136DBA" w:rsidRDefault="009D482C" w:rsidP="009D482C">
      <w:pPr>
        <w:pStyle w:val="Prrafodelista"/>
        <w:numPr>
          <w:ilvl w:val="0"/>
          <w:numId w:val="1"/>
        </w:numPr>
        <w:spacing w:line="360" w:lineRule="auto"/>
        <w:ind w:left="0" w:right="113" w:firstLine="0"/>
        <w:jc w:val="both"/>
        <w:rPr>
          <w:rFonts w:ascii="Palatino Linotype" w:hAnsi="Palatino Linotype"/>
          <w:szCs w:val="22"/>
        </w:rPr>
      </w:pPr>
      <w:r w:rsidRPr="00136DBA">
        <w:rPr>
          <w:rFonts w:ascii="Palatino Linotype" w:eastAsia="MS Gothic" w:hAnsi="Palatino Linotype" w:cstheme="majorBidi"/>
          <w:iCs/>
          <w:szCs w:val="22"/>
          <w:lang w:eastAsia="es-ES"/>
        </w:rPr>
        <w:t>E</w:t>
      </w:r>
      <w:r w:rsidR="00136DBA" w:rsidRPr="00136DBA">
        <w:rPr>
          <w:rFonts w:ascii="Palatino Linotype" w:eastAsia="MS Gothic" w:hAnsi="Palatino Linotype" w:cstheme="majorBidi"/>
          <w:iCs/>
          <w:szCs w:val="22"/>
          <w:lang w:eastAsia="es-ES"/>
        </w:rPr>
        <w:t>l Sujeto Obligado entregó las respuestas emitidas por los servidores públicos habilitados, posteriormente, el Recurrente interpuso recurso de revisión en el que señaló su inconformidad en el siguiente sentido:</w:t>
      </w:r>
    </w:p>
    <w:p w:rsidR="00136DBA" w:rsidRPr="00136DBA" w:rsidRDefault="00136DBA" w:rsidP="00136DBA">
      <w:pPr>
        <w:pStyle w:val="Prrafodelista"/>
        <w:rPr>
          <w:rFonts w:ascii="Palatino Linotype" w:hAnsi="Palatino Linotype"/>
          <w:szCs w:val="22"/>
        </w:rPr>
      </w:pPr>
    </w:p>
    <w:p w:rsidR="009D482C" w:rsidRDefault="00136DBA" w:rsidP="00136DBA">
      <w:pPr>
        <w:pStyle w:val="Prrafodelista"/>
        <w:spacing w:line="360" w:lineRule="auto"/>
        <w:ind w:left="851" w:right="822"/>
        <w:jc w:val="both"/>
        <w:rPr>
          <w:rFonts w:ascii="Palatino Linotype" w:hAnsi="Palatino Linotype"/>
          <w:i/>
          <w:szCs w:val="22"/>
        </w:rPr>
      </w:pPr>
      <w:r w:rsidRPr="00136DBA">
        <w:rPr>
          <w:rFonts w:ascii="Palatino Linotype" w:hAnsi="Palatino Linotype"/>
          <w:i/>
          <w:szCs w:val="22"/>
        </w:rPr>
        <w:t xml:space="preserve">“no </w:t>
      </w:r>
      <w:proofErr w:type="spellStart"/>
      <w:r w:rsidRPr="00136DBA">
        <w:rPr>
          <w:rFonts w:ascii="Palatino Linotype" w:hAnsi="Palatino Linotype"/>
          <w:i/>
          <w:szCs w:val="22"/>
        </w:rPr>
        <w:t>envia</w:t>
      </w:r>
      <w:proofErr w:type="spellEnd"/>
      <w:r w:rsidRPr="00136DBA">
        <w:rPr>
          <w:rFonts w:ascii="Palatino Linotype" w:hAnsi="Palatino Linotype"/>
          <w:i/>
          <w:szCs w:val="22"/>
        </w:rPr>
        <w:t xml:space="preserve"> el manual y organigrama autorizado por esa </w:t>
      </w:r>
      <w:proofErr w:type="spellStart"/>
      <w:r w:rsidRPr="00136DBA">
        <w:rPr>
          <w:rFonts w:ascii="Palatino Linotype" w:hAnsi="Palatino Linotype"/>
          <w:i/>
          <w:szCs w:val="22"/>
        </w:rPr>
        <w:t>depencdencia</w:t>
      </w:r>
      <w:proofErr w:type="spellEnd"/>
      <w:r w:rsidRPr="00136DBA">
        <w:rPr>
          <w:rFonts w:ascii="Palatino Linotype" w:hAnsi="Palatino Linotype"/>
          <w:i/>
          <w:szCs w:val="22"/>
        </w:rPr>
        <w:t xml:space="preserve"> a la secretaria del agua”</w:t>
      </w:r>
    </w:p>
    <w:p w:rsidR="00136DBA" w:rsidRPr="00136DBA" w:rsidRDefault="00136DBA" w:rsidP="00136DBA">
      <w:pPr>
        <w:pStyle w:val="Prrafodelista"/>
        <w:spacing w:line="360" w:lineRule="auto"/>
        <w:ind w:left="851" w:right="822"/>
        <w:jc w:val="both"/>
        <w:rPr>
          <w:rFonts w:ascii="Palatino Linotype" w:hAnsi="Palatino Linotype"/>
          <w:i/>
          <w:szCs w:val="22"/>
        </w:rPr>
      </w:pPr>
    </w:p>
    <w:p w:rsidR="00136DBA" w:rsidRPr="00136DBA" w:rsidRDefault="00136DBA" w:rsidP="00136DBA">
      <w:pPr>
        <w:pStyle w:val="Prrafodelista"/>
        <w:numPr>
          <w:ilvl w:val="0"/>
          <w:numId w:val="1"/>
        </w:numPr>
        <w:spacing w:before="240" w:after="240" w:line="360" w:lineRule="auto"/>
        <w:ind w:left="0" w:right="48" w:firstLine="0"/>
        <w:jc w:val="both"/>
        <w:rPr>
          <w:rFonts w:ascii="Palatino Linotype" w:eastAsia="MS Mincho" w:hAnsi="Palatino Linotype" w:cs="Arial"/>
          <w:lang w:eastAsia="es-ES"/>
        </w:rPr>
      </w:pPr>
      <w:r w:rsidRPr="00136DBA">
        <w:rPr>
          <w:rFonts w:ascii="Palatino Linotype" w:eastAsia="MS Mincho" w:hAnsi="Palatino Linotype" w:cs="Arial"/>
          <w:lang w:eastAsia="es-ES"/>
        </w:rPr>
        <w:t>Ahora bien, la inconformi</w:t>
      </w:r>
      <w:r>
        <w:rPr>
          <w:rFonts w:ascii="Palatino Linotype" w:eastAsia="MS Mincho" w:hAnsi="Palatino Linotype" w:cs="Arial"/>
          <w:lang w:eastAsia="es-ES"/>
        </w:rPr>
        <w:t>dad del RECURRENTE radica en la falta del manual y el organigrama autorizado</w:t>
      </w:r>
      <w:r w:rsidRPr="00136DBA">
        <w:rPr>
          <w:rFonts w:ascii="Palatino Linotype" w:eastAsia="MS Mincho" w:hAnsi="Palatino Linotype" w:cs="Arial"/>
          <w:lang w:eastAsia="es-ES"/>
        </w:rPr>
        <w:t xml:space="preserve">, es decir, que el particular no se inconformó por </w:t>
      </w:r>
      <w:r>
        <w:rPr>
          <w:rFonts w:ascii="Palatino Linotype" w:eastAsia="MS Mincho" w:hAnsi="Palatino Linotype" w:cs="Arial"/>
          <w:lang w:eastAsia="es-ES"/>
        </w:rPr>
        <w:t>el resto de la información solicitada</w:t>
      </w:r>
      <w:r w:rsidRPr="00136DBA">
        <w:rPr>
          <w:rFonts w:ascii="Palatino Linotype" w:eastAsia="MS Mincho" w:hAnsi="Palatino Linotype" w:cs="Arial"/>
          <w:lang w:eastAsia="es-ES"/>
        </w:rPr>
        <w:t xml:space="preserve">; en este caso,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 </w:t>
      </w:r>
    </w:p>
    <w:p w:rsidR="00136DBA" w:rsidRPr="00136DBA" w:rsidRDefault="00136DBA" w:rsidP="00136DBA">
      <w:pPr>
        <w:pStyle w:val="Prrafodelista"/>
        <w:spacing w:before="240" w:after="240" w:line="360" w:lineRule="auto"/>
        <w:ind w:left="0" w:right="48"/>
        <w:jc w:val="both"/>
        <w:rPr>
          <w:rFonts w:ascii="Palatino Linotype" w:eastAsia="MS Mincho" w:hAnsi="Palatino Linotype" w:cs="Arial"/>
          <w:lang w:eastAsia="es-ES"/>
        </w:rPr>
      </w:pPr>
    </w:p>
    <w:p w:rsidR="00136DBA" w:rsidRPr="00136DBA" w:rsidRDefault="00136DBA" w:rsidP="00136DBA">
      <w:pPr>
        <w:pStyle w:val="Prrafodelista"/>
        <w:numPr>
          <w:ilvl w:val="0"/>
          <w:numId w:val="1"/>
        </w:numPr>
        <w:spacing w:before="240" w:after="240" w:line="360" w:lineRule="auto"/>
        <w:ind w:left="0" w:right="48" w:firstLine="0"/>
        <w:jc w:val="both"/>
        <w:rPr>
          <w:rFonts w:ascii="Palatino Linotype" w:eastAsia="MS Mincho" w:hAnsi="Palatino Linotype" w:cs="Arial"/>
          <w:lang w:eastAsia="es-ES"/>
        </w:rPr>
      </w:pPr>
      <w:r w:rsidRPr="00136DBA">
        <w:rPr>
          <w:rFonts w:ascii="Palatino Linotype" w:eastAsia="MS Mincho" w:hAnsi="Palatino Linotype" w:cs="Arial"/>
          <w:lang w:eastAsia="es-ES"/>
        </w:rPr>
        <w:lastRenderedPageBreak/>
        <w:t>Sirve de sustento, la tesis jurisprudencial número VI.3o.C. J/60, publicada en el Semanario Judicial de la Federación y su Gaceta bajo el número de registro 176,608 que a la letra dice:</w:t>
      </w:r>
    </w:p>
    <w:p w:rsidR="00136DBA" w:rsidRPr="00406C9A" w:rsidRDefault="00136DBA" w:rsidP="00136DBA">
      <w:pPr>
        <w:pStyle w:val="Prrafodelista"/>
        <w:spacing w:before="240" w:after="240" w:line="360" w:lineRule="auto"/>
        <w:ind w:left="0" w:right="48"/>
        <w:jc w:val="both"/>
        <w:rPr>
          <w:rFonts w:ascii="Palatino Linotype" w:eastAsia="MS Mincho" w:hAnsi="Palatino Linotype" w:cs="Arial"/>
          <w:sz w:val="24"/>
          <w:lang w:eastAsia="es-ES"/>
        </w:rPr>
      </w:pPr>
    </w:p>
    <w:p w:rsidR="00136DBA" w:rsidRDefault="00136DBA" w:rsidP="00136DBA">
      <w:pPr>
        <w:pStyle w:val="Prrafodelista"/>
        <w:spacing w:before="240" w:after="240" w:line="360" w:lineRule="auto"/>
        <w:ind w:left="851" w:right="822"/>
        <w:jc w:val="both"/>
        <w:rPr>
          <w:rFonts w:ascii="Palatino Linotype" w:eastAsia="MS Mincho" w:hAnsi="Palatino Linotype" w:cs="Arial"/>
          <w:i/>
          <w:lang w:eastAsia="es-ES"/>
        </w:rPr>
      </w:pPr>
      <w:r w:rsidRPr="00406C9A">
        <w:rPr>
          <w:rFonts w:ascii="Palatino Linotype" w:eastAsia="MS Mincho" w:hAnsi="Palatino Linotype" w:cs="Arial"/>
          <w:i/>
          <w:lang w:eastAsia="es-ES"/>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136DBA" w:rsidRPr="00406C9A" w:rsidRDefault="00136DBA" w:rsidP="00136DBA">
      <w:pPr>
        <w:pStyle w:val="Prrafodelista"/>
        <w:spacing w:before="240" w:after="240" w:line="360" w:lineRule="auto"/>
        <w:ind w:left="851" w:right="822"/>
        <w:jc w:val="both"/>
        <w:rPr>
          <w:rFonts w:ascii="Palatino Linotype" w:eastAsia="MS Mincho" w:hAnsi="Palatino Linotype" w:cs="Arial"/>
          <w:i/>
          <w:lang w:eastAsia="es-ES"/>
        </w:rPr>
      </w:pPr>
    </w:p>
    <w:p w:rsidR="00136DBA" w:rsidRPr="00136DBA" w:rsidRDefault="00136DBA" w:rsidP="00136DBA">
      <w:pPr>
        <w:pStyle w:val="Prrafodelista"/>
        <w:numPr>
          <w:ilvl w:val="0"/>
          <w:numId w:val="1"/>
        </w:numPr>
        <w:spacing w:before="240" w:after="240" w:line="360" w:lineRule="auto"/>
        <w:ind w:left="0" w:right="48" w:firstLine="0"/>
        <w:jc w:val="both"/>
        <w:rPr>
          <w:rFonts w:ascii="Palatino Linotype" w:eastAsia="MS Mincho" w:hAnsi="Palatino Linotype" w:cs="Arial"/>
          <w:lang w:eastAsia="es-ES"/>
        </w:rPr>
      </w:pPr>
      <w:r w:rsidRPr="00136DBA">
        <w:rPr>
          <w:rFonts w:ascii="Palatino Linotype" w:eastAsia="MS Mincho" w:hAnsi="Palatino Linotype" w:cs="Arial"/>
          <w:lang w:eastAsia="es-ES"/>
        </w:rPr>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rsidR="00136DBA" w:rsidRPr="00136DBA" w:rsidRDefault="00136DBA" w:rsidP="00136DBA">
      <w:pPr>
        <w:pStyle w:val="Prrafodelista"/>
        <w:spacing w:before="240" w:after="240" w:line="360" w:lineRule="auto"/>
        <w:ind w:left="0" w:right="48"/>
        <w:jc w:val="both"/>
        <w:rPr>
          <w:rFonts w:ascii="Palatino Linotype" w:eastAsia="MS Mincho" w:hAnsi="Palatino Linotype" w:cs="Arial"/>
          <w:lang w:eastAsia="es-ES"/>
        </w:rPr>
      </w:pPr>
    </w:p>
    <w:p w:rsidR="00136DBA" w:rsidRPr="00136DBA" w:rsidRDefault="00136DBA" w:rsidP="00136DBA">
      <w:pPr>
        <w:pStyle w:val="Prrafodelista"/>
        <w:numPr>
          <w:ilvl w:val="0"/>
          <w:numId w:val="1"/>
        </w:numPr>
        <w:spacing w:before="240" w:after="240" w:line="360" w:lineRule="auto"/>
        <w:ind w:left="0" w:right="48" w:firstLine="0"/>
        <w:jc w:val="both"/>
        <w:rPr>
          <w:rFonts w:ascii="Palatino Linotype" w:eastAsia="MS Mincho" w:hAnsi="Palatino Linotype" w:cs="Arial"/>
          <w:lang w:eastAsia="es-ES"/>
        </w:rPr>
      </w:pPr>
      <w:r w:rsidRPr="00136DBA">
        <w:rPr>
          <w:rFonts w:ascii="Palatino Linotype" w:eastAsia="MS Mincho" w:hAnsi="Palatino Linotype" w:cs="Arial"/>
          <w:lang w:eastAsia="es-ES"/>
        </w:rPr>
        <w:t>Atento a ello, es importante traer a contexto la Tesis Jurisprudencial Número 3ª./J.7/91, Publicada en el Semanario Judicial de la Federación y su Gaceta bajo el número de registro 174,177, que establece lo siguiente:</w:t>
      </w:r>
    </w:p>
    <w:p w:rsidR="00136DBA" w:rsidRPr="00406C9A" w:rsidRDefault="00136DBA" w:rsidP="00136DBA">
      <w:pPr>
        <w:pStyle w:val="Prrafodelista"/>
        <w:spacing w:before="240" w:after="240" w:line="360" w:lineRule="auto"/>
        <w:ind w:left="0" w:right="48"/>
        <w:jc w:val="both"/>
        <w:rPr>
          <w:rFonts w:ascii="Palatino Linotype" w:eastAsia="MS Mincho" w:hAnsi="Palatino Linotype" w:cs="Arial"/>
          <w:sz w:val="24"/>
          <w:lang w:eastAsia="es-ES"/>
        </w:rPr>
      </w:pPr>
    </w:p>
    <w:p w:rsidR="00136DBA" w:rsidRDefault="00136DBA" w:rsidP="00136DBA">
      <w:pPr>
        <w:pStyle w:val="Prrafodelista"/>
        <w:spacing w:before="240" w:after="240" w:line="360" w:lineRule="auto"/>
        <w:ind w:left="851" w:right="822"/>
        <w:jc w:val="both"/>
        <w:rPr>
          <w:rFonts w:ascii="Palatino Linotype" w:eastAsia="MS Mincho" w:hAnsi="Palatino Linotype" w:cs="Arial"/>
          <w:i/>
          <w:lang w:eastAsia="es-ES"/>
        </w:rPr>
      </w:pPr>
      <w:r w:rsidRPr="00406C9A">
        <w:rPr>
          <w:rFonts w:ascii="Palatino Linotype" w:eastAsia="MS Mincho" w:hAnsi="Palatino Linotype" w:cs="Arial"/>
          <w:i/>
          <w:lang w:eastAsia="es-ES"/>
        </w:rPr>
        <w:t xml:space="preserve">“REVISIÓN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w:t>
      </w:r>
      <w:r w:rsidRPr="00406C9A">
        <w:rPr>
          <w:rFonts w:ascii="Palatino Linotype" w:eastAsia="MS Mincho" w:hAnsi="Palatino Linotype" w:cs="Arial"/>
          <w:i/>
          <w:lang w:eastAsia="es-ES"/>
        </w:rPr>
        <w:lastRenderedPageBreak/>
        <w:t>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136DBA" w:rsidRPr="00C85A9B" w:rsidRDefault="00136DBA" w:rsidP="00C85A9B">
      <w:pPr>
        <w:numPr>
          <w:ilvl w:val="0"/>
          <w:numId w:val="1"/>
        </w:numPr>
        <w:spacing w:line="360" w:lineRule="auto"/>
        <w:ind w:left="0" w:right="49" w:firstLine="0"/>
        <w:contextualSpacing/>
        <w:jc w:val="both"/>
        <w:rPr>
          <w:rFonts w:ascii="Palatino Linotype" w:eastAsiaTheme="minorEastAsia" w:hAnsi="Palatino Linotype"/>
          <w:sz w:val="22"/>
          <w:lang w:val="es-ES_tradnl" w:eastAsia="es-ES"/>
        </w:rPr>
      </w:pPr>
      <w:r w:rsidRPr="00136DBA">
        <w:rPr>
          <w:rFonts w:ascii="Palatino Linotype" w:hAnsi="Palatino Linotype" w:cs="Tahoma"/>
          <w:bCs/>
          <w:sz w:val="22"/>
          <w:lang w:eastAsia="es-ES"/>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w:t>
      </w:r>
      <w:r w:rsidRPr="00C85A9B">
        <w:rPr>
          <w:rFonts w:ascii="Palatino Linotype" w:hAnsi="Palatino Linotype" w:cs="Tahoma"/>
          <w:bCs/>
          <w:iCs/>
          <w:sz w:val="22"/>
          <w:lang w:eastAsia="es-ES"/>
        </w:rPr>
        <w:t xml:space="preserve">En este contexto, se hará pronunciamiento, únicamente por el Manual General de Organización de la Secretaría del Agua y el organigrama. </w:t>
      </w:r>
    </w:p>
    <w:p w:rsidR="00136DBA" w:rsidRPr="00136DBA" w:rsidRDefault="00136DBA" w:rsidP="00136DBA">
      <w:pPr>
        <w:pStyle w:val="Prrafodelista"/>
        <w:tabs>
          <w:tab w:val="left" w:pos="284"/>
        </w:tabs>
        <w:spacing w:line="360" w:lineRule="auto"/>
        <w:ind w:left="0"/>
        <w:jc w:val="both"/>
        <w:rPr>
          <w:rFonts w:ascii="Palatino Linotype" w:hAnsi="Palatino Linotype" w:cs="Arial"/>
          <w:bCs/>
          <w:i/>
          <w:szCs w:val="22"/>
        </w:rPr>
      </w:pPr>
    </w:p>
    <w:p w:rsidR="00C40758" w:rsidRPr="00C40758" w:rsidRDefault="00C85A9B" w:rsidP="00C40758">
      <w:pPr>
        <w:pStyle w:val="Prrafodelista"/>
        <w:numPr>
          <w:ilvl w:val="0"/>
          <w:numId w:val="1"/>
        </w:numPr>
        <w:tabs>
          <w:tab w:val="left" w:pos="284"/>
        </w:tabs>
        <w:spacing w:line="360" w:lineRule="auto"/>
        <w:ind w:left="0" w:firstLine="0"/>
        <w:jc w:val="both"/>
        <w:rPr>
          <w:rFonts w:ascii="Palatino Linotype" w:hAnsi="Palatino Linotype" w:cs="Arial"/>
          <w:bCs/>
          <w:szCs w:val="22"/>
        </w:rPr>
      </w:pPr>
      <w:r w:rsidRPr="00C85A9B">
        <w:rPr>
          <w:rFonts w:ascii="Palatino Linotype" w:hAnsi="Palatino Linotype" w:cs="Arial"/>
          <w:bCs/>
          <w:szCs w:val="22"/>
        </w:rPr>
        <w:t xml:space="preserve">En primer </w:t>
      </w:r>
      <w:r>
        <w:rPr>
          <w:rFonts w:ascii="Palatino Linotype" w:hAnsi="Palatino Linotype" w:cs="Arial"/>
          <w:bCs/>
          <w:szCs w:val="22"/>
        </w:rPr>
        <w:t xml:space="preserve">lugar, este Órgano Garante </w:t>
      </w:r>
      <w:r w:rsidR="00C40758">
        <w:rPr>
          <w:rFonts w:ascii="Palatino Linotype" w:hAnsi="Palatino Linotype" w:cs="Arial"/>
          <w:bCs/>
          <w:szCs w:val="22"/>
        </w:rPr>
        <w:t xml:space="preserve">advierte que la información solicitada a través del recurso de revisión referente al organigrama, corresponde a nuevos requerimientos, </w:t>
      </w:r>
      <w:r w:rsidR="00C40758" w:rsidRPr="00C40758">
        <w:rPr>
          <w:rFonts w:ascii="Palatino Linotype" w:hAnsi="Palatino Linotype" w:cs="Arial"/>
          <w:b/>
          <w:bCs/>
          <w:szCs w:val="22"/>
          <w:lang w:val="es-ES_tradnl"/>
        </w:rPr>
        <w:t>mismos que no pueden ser atendidos dado que no fueron solicitados inicialmente, a lo que se le co</w:t>
      </w:r>
      <w:r w:rsidR="00C40758">
        <w:rPr>
          <w:rFonts w:ascii="Palatino Linotype" w:hAnsi="Palatino Linotype" w:cs="Arial"/>
          <w:b/>
          <w:bCs/>
          <w:szCs w:val="22"/>
          <w:lang w:val="es-ES_tradnl"/>
        </w:rPr>
        <w:t xml:space="preserve">noce también como plus </w:t>
      </w:r>
      <w:proofErr w:type="spellStart"/>
      <w:r w:rsidR="00C40758">
        <w:rPr>
          <w:rFonts w:ascii="Palatino Linotype" w:hAnsi="Palatino Linotype" w:cs="Arial"/>
          <w:b/>
          <w:bCs/>
          <w:szCs w:val="22"/>
          <w:lang w:val="es-ES_tradnl"/>
        </w:rPr>
        <w:t>petitio</w:t>
      </w:r>
      <w:proofErr w:type="spellEnd"/>
      <w:r w:rsidR="00C40758" w:rsidRPr="00C40758">
        <w:rPr>
          <w:rFonts w:ascii="Palatino Linotype" w:hAnsi="Palatino Linotype" w:cs="Arial"/>
          <w:b/>
          <w:bCs/>
          <w:szCs w:val="22"/>
          <w:lang w:val="es-ES_tradnl"/>
        </w:rPr>
        <w:t xml:space="preserve">. </w:t>
      </w:r>
      <w:r w:rsidR="00C40758" w:rsidRPr="00C40758">
        <w:rPr>
          <w:rFonts w:ascii="Palatino Linotype" w:hAnsi="Palatino Linotype" w:cs="Arial"/>
          <w:bCs/>
          <w:szCs w:val="22"/>
          <w:lang w:val="es-ES"/>
        </w:rPr>
        <w:t>Sirve de apoyo a lo anterior por analogía, la Jurisprudencia No. 29 visible a foja 19 del Apéndice al Semanario Judicial de la Federación 1917-1995, Torno VI, Materia Común, Primera Parte, Tesis de la Suprema Corte de Justicia, que enseña:</w:t>
      </w:r>
    </w:p>
    <w:p w:rsidR="00C40758" w:rsidRPr="00D23039" w:rsidRDefault="00C40758" w:rsidP="00C40758">
      <w:pPr>
        <w:pStyle w:val="Prrafodelista"/>
        <w:tabs>
          <w:tab w:val="left" w:pos="567"/>
        </w:tabs>
        <w:spacing w:line="360" w:lineRule="auto"/>
        <w:ind w:left="0"/>
        <w:jc w:val="both"/>
        <w:rPr>
          <w:rFonts w:ascii="Palatino Linotype" w:eastAsia="Calibri" w:hAnsi="Palatino Linotype" w:cs="Arial"/>
          <w:sz w:val="24"/>
        </w:rPr>
      </w:pPr>
    </w:p>
    <w:p w:rsidR="00C40758" w:rsidRPr="00C40758" w:rsidRDefault="00C40758" w:rsidP="00C40758">
      <w:pPr>
        <w:pStyle w:val="Prrafodelista"/>
        <w:spacing w:before="240" w:after="240" w:line="360" w:lineRule="auto"/>
        <w:ind w:right="901"/>
        <w:jc w:val="both"/>
        <w:rPr>
          <w:rFonts w:ascii="Palatino Linotype" w:hAnsi="Palatino Linotype" w:cs="Arial"/>
          <w:b/>
          <w:color w:val="000000"/>
          <w:lang w:val="es-ES" w:eastAsia="es-ES"/>
        </w:rPr>
      </w:pPr>
      <w:r w:rsidRPr="00D23039">
        <w:rPr>
          <w:rFonts w:ascii="Palatino Linotype" w:hAnsi="Palatino Linotype" w:cs="Arial"/>
          <w:b/>
          <w:color w:val="000000"/>
          <w:lang w:val="es-ES" w:eastAsia="es-ES"/>
        </w:rPr>
        <w:t>"</w:t>
      </w:r>
      <w:r w:rsidRPr="00D23039">
        <w:rPr>
          <w:rFonts w:ascii="Palatino Linotype" w:hAnsi="Palatino Linotype" w:cs="Arial"/>
          <w:i/>
          <w:color w:val="000000"/>
          <w:lang w:val="es-ES" w:eastAsia="es-ES"/>
        </w:rPr>
        <w:t xml:space="preserve">AGRAVIOS EN LA REVISION. DEBEN ESTAR EN RELACION DIRECTA CON LOS FUNDAMENTOS Y CONSIDERACIONES DE LA SENTENCIA.-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w:t>
      </w:r>
      <w:r w:rsidRPr="00D23039">
        <w:rPr>
          <w:rFonts w:ascii="Palatino Linotype" w:hAnsi="Palatino Linotype" w:cs="Arial"/>
          <w:i/>
          <w:color w:val="000000"/>
          <w:lang w:val="es-ES" w:eastAsia="es-ES"/>
        </w:rPr>
        <w:lastRenderedPageBreak/>
        <w:t>al estudio integral del fallo que se combate, con vista de los motivos de inconformidad que plantean los recurrentes.</w:t>
      </w:r>
      <w:r w:rsidRPr="00D23039">
        <w:rPr>
          <w:rFonts w:ascii="Palatino Linotype" w:hAnsi="Palatino Linotype" w:cs="Arial"/>
          <w:b/>
          <w:color w:val="000000"/>
          <w:lang w:val="es-ES" w:eastAsia="es-ES"/>
        </w:rPr>
        <w:t>"</w:t>
      </w:r>
    </w:p>
    <w:p w:rsidR="00C85A9B" w:rsidRPr="00C85A9B" w:rsidRDefault="00C85A9B" w:rsidP="00C85A9B">
      <w:pPr>
        <w:pStyle w:val="Prrafodelista"/>
        <w:rPr>
          <w:rFonts w:ascii="Palatino Linotype" w:hAnsi="Palatino Linotype" w:cs="Arial"/>
          <w:bCs/>
          <w:szCs w:val="22"/>
        </w:rPr>
      </w:pPr>
    </w:p>
    <w:p w:rsidR="00C40758" w:rsidRPr="00C40758" w:rsidRDefault="00C40758" w:rsidP="00C40758">
      <w:pPr>
        <w:pStyle w:val="Prrafodelista"/>
        <w:numPr>
          <w:ilvl w:val="0"/>
          <w:numId w:val="1"/>
        </w:numPr>
        <w:shd w:val="clear" w:color="auto" w:fill="FFFFFF"/>
        <w:spacing w:before="240" w:after="240" w:line="360" w:lineRule="auto"/>
        <w:ind w:left="0" w:firstLine="0"/>
        <w:jc w:val="both"/>
        <w:rPr>
          <w:rFonts w:ascii="Palatino Linotype" w:hAnsi="Palatino Linotype" w:cs="Arial"/>
          <w:color w:val="000000"/>
          <w:lang w:val="es-ES" w:eastAsia="es-ES"/>
        </w:rPr>
      </w:pPr>
      <w:r w:rsidRPr="00C40758">
        <w:rPr>
          <w:rFonts w:ascii="Palatino Linotype" w:hAnsi="Palatino Linotype" w:cs="Arial"/>
          <w:color w:val="000000"/>
          <w:lang w:val="es-ES" w:eastAsia="es-ES"/>
        </w:rPr>
        <w:t xml:space="preserve">Así mismo ha sido criterio del Instituto Nacional de Transparencia, Acceso a la Información y Protección de Datos Personales bajo el número 27/10, que </w:t>
      </w:r>
      <w:r w:rsidRPr="00C40758">
        <w:rPr>
          <w:rFonts w:ascii="Palatino Linotype" w:hAnsi="Palatino Linotype" w:cs="Arial"/>
          <w:bCs/>
          <w:color w:val="000000"/>
          <w:u w:val="single"/>
          <w:lang w:val="es-ES" w:eastAsia="es-ES"/>
        </w:rPr>
        <w:t>resulta improcedente ampliar las solicitudes de información pública</w:t>
      </w:r>
      <w:r w:rsidRPr="00C40758">
        <w:rPr>
          <w:rFonts w:ascii="Palatino Linotype" w:hAnsi="Palatino Linotype" w:cs="Arial"/>
          <w:color w:val="000000"/>
          <w:u w:val="single"/>
          <w:lang w:val="es-ES" w:eastAsia="es-ES"/>
        </w:rPr>
        <w:t xml:space="preserve"> o de datos personales a través de la interposición del recurso de revisión</w:t>
      </w:r>
      <w:r w:rsidRPr="00C40758">
        <w:rPr>
          <w:rFonts w:ascii="Palatino Linotype" w:hAnsi="Palatino Linotype" w:cs="Arial"/>
          <w:color w:val="000000"/>
          <w:lang w:val="es-ES" w:eastAsia="es-ES"/>
        </w:rPr>
        <w:t xml:space="preserve">, como se estima acontece en el presente asunto, al aumentar datos a la solicitud inicial, </w:t>
      </w:r>
      <w:r w:rsidRPr="00C40758">
        <w:rPr>
          <w:rFonts w:ascii="Palatino Linotype" w:hAnsi="Palatino Linotype" w:cs="Arial"/>
          <w:b/>
          <w:bCs/>
          <w:color w:val="000000"/>
          <w:lang w:val="es-ES" w:eastAsia="es-ES"/>
        </w:rPr>
        <w:t>por lo que se insiste no se puede entrar al estudio de la información novedosa</w:t>
      </w:r>
      <w:r w:rsidRPr="00C40758">
        <w:rPr>
          <w:rFonts w:ascii="Palatino Linotype" w:hAnsi="Palatino Linotype" w:cs="Arial"/>
          <w:color w:val="000000"/>
          <w:lang w:val="es-ES" w:eastAsia="es-ES"/>
        </w:rPr>
        <w:t>, criterio que es de la literalidad siguiente:</w:t>
      </w:r>
    </w:p>
    <w:p w:rsidR="00C40758" w:rsidRPr="00D23039" w:rsidRDefault="00C40758" w:rsidP="00C40758">
      <w:pPr>
        <w:pStyle w:val="Prrafodelista"/>
        <w:shd w:val="clear" w:color="auto" w:fill="FFFFFF"/>
        <w:spacing w:before="240" w:after="240" w:line="360" w:lineRule="auto"/>
        <w:jc w:val="both"/>
        <w:rPr>
          <w:rFonts w:ascii="Palatino Linotype" w:hAnsi="Palatino Linotype" w:cs="Arial"/>
          <w:color w:val="000000"/>
          <w:lang w:val="es-ES" w:eastAsia="es-ES"/>
        </w:rPr>
      </w:pPr>
    </w:p>
    <w:p w:rsidR="00C40758" w:rsidRPr="00D23039" w:rsidRDefault="00C40758" w:rsidP="00C40758">
      <w:pPr>
        <w:pStyle w:val="Prrafodelista"/>
        <w:shd w:val="clear" w:color="auto" w:fill="FFFFFF"/>
        <w:spacing w:before="240" w:after="240" w:line="360" w:lineRule="auto"/>
        <w:ind w:left="851" w:right="822"/>
        <w:jc w:val="both"/>
        <w:rPr>
          <w:rFonts w:ascii="Palatino Linotype" w:hAnsi="Palatino Linotype" w:cs="Arial"/>
          <w:color w:val="000000"/>
          <w:lang w:val="es-ES" w:eastAsia="es-ES"/>
        </w:rPr>
      </w:pPr>
      <w:r w:rsidRPr="00D23039">
        <w:rPr>
          <w:rFonts w:ascii="Palatino Linotype" w:hAnsi="Palatino Linotype" w:cs="Arial"/>
          <w:b/>
          <w:bCs/>
          <w:i/>
          <w:iCs/>
          <w:color w:val="000000"/>
          <w:lang w:val="es-ES" w:eastAsia="es-ES"/>
        </w:rPr>
        <w:t>“Es improcedente ampliar las solicitudes de acceso a información pública o datos personales, a través de la interposición del recurso de revisión.</w:t>
      </w:r>
      <w:r w:rsidRPr="00D23039">
        <w:rPr>
          <w:rFonts w:ascii="Palatino Linotype" w:hAnsi="Palatino Linotype" w:cs="Arial"/>
          <w:i/>
          <w:iCs/>
          <w:color w:val="000000"/>
          <w:lang w:val="es-ES" w:eastAsia="es-ES"/>
        </w:rPr>
        <w:t> En aquellos casos en los que los recurrentes amplíen los alcances de su solicitud de información o acceso a datos personales a través de su recurso de revisión, esta ampliación no podrá constituir materia del procedimiento a sustanciarse por el Instituto Federal de Acceso a la Información y Protección de Datos. Lo anterior, sin perjuicio de que los recurrentes puedan ejercer su derecho a realizar una nueva solicitud en términos de la Ley de la materia.</w:t>
      </w:r>
    </w:p>
    <w:p w:rsidR="00C40758" w:rsidRDefault="00C40758" w:rsidP="00C40758">
      <w:pPr>
        <w:pStyle w:val="Prrafodelista"/>
        <w:shd w:val="clear" w:color="auto" w:fill="FFFFFF"/>
        <w:spacing w:before="240" w:after="240" w:line="360" w:lineRule="auto"/>
        <w:ind w:left="851" w:right="822"/>
        <w:jc w:val="both"/>
        <w:rPr>
          <w:rFonts w:ascii="Palatino Linotype" w:hAnsi="Palatino Linotype" w:cs="Arial"/>
          <w:b/>
          <w:i/>
          <w:iCs/>
          <w:color w:val="000000"/>
          <w:lang w:val="es-ES" w:eastAsia="es-ES"/>
        </w:rPr>
      </w:pPr>
      <w:r w:rsidRPr="00D23039">
        <w:rPr>
          <w:rFonts w:ascii="Palatino Linotype" w:hAnsi="Palatino Linotype" w:cs="Arial"/>
          <w:i/>
          <w:iCs/>
          <w:color w:val="000000"/>
          <w:lang w:val="es-ES" w:eastAsia="es-ES"/>
        </w:rPr>
        <w:t xml:space="preserve">Expedientes: 5871/08 Secretaría de Educación Pública – Alonso Gómez-Robledo Verduzco 3468/09 Instituto de Seguridad y Servicios Sociales de los Trabajadores del Estado - Ángel Trinidad Zaldívar 5417/09 Procuraduría General de la República - María </w:t>
      </w:r>
      <w:proofErr w:type="spellStart"/>
      <w:r w:rsidRPr="00D23039">
        <w:rPr>
          <w:rFonts w:ascii="Palatino Linotype" w:hAnsi="Palatino Linotype" w:cs="Arial"/>
          <w:i/>
          <w:iCs/>
          <w:color w:val="000000"/>
          <w:lang w:val="es-ES" w:eastAsia="es-ES"/>
        </w:rPr>
        <w:t>Marván</w:t>
      </w:r>
      <w:proofErr w:type="spellEnd"/>
      <w:r w:rsidRPr="00D23039">
        <w:rPr>
          <w:rFonts w:ascii="Palatino Linotype" w:hAnsi="Palatino Linotype" w:cs="Arial"/>
          <w:i/>
          <w:iCs/>
          <w:color w:val="000000"/>
          <w:lang w:val="es-ES" w:eastAsia="es-ES"/>
        </w:rPr>
        <w:t xml:space="preserve"> Laborde1523 1006/10 Instituto Mexicano del Seguro Social – Sigrid </w:t>
      </w:r>
      <w:proofErr w:type="spellStart"/>
      <w:r w:rsidRPr="00D23039">
        <w:rPr>
          <w:rFonts w:ascii="Palatino Linotype" w:hAnsi="Palatino Linotype" w:cs="Arial"/>
          <w:i/>
          <w:iCs/>
          <w:color w:val="000000"/>
          <w:lang w:val="es-ES" w:eastAsia="es-ES"/>
        </w:rPr>
        <w:t>Arzt</w:t>
      </w:r>
      <w:proofErr w:type="spellEnd"/>
      <w:r w:rsidRPr="00D23039">
        <w:rPr>
          <w:rFonts w:ascii="Palatino Linotype" w:hAnsi="Palatino Linotype" w:cs="Arial"/>
          <w:i/>
          <w:iCs/>
          <w:color w:val="000000"/>
          <w:lang w:val="es-ES" w:eastAsia="es-ES"/>
        </w:rPr>
        <w:t xml:space="preserve"> Colunga 1378/10 Instituto de Seguridad y Servicios Sociales de los Trabajadores del Estado – María Elena Pérez-Jaén Zermeño.</w:t>
      </w:r>
      <w:r w:rsidRPr="00D23039">
        <w:rPr>
          <w:rFonts w:ascii="Palatino Linotype" w:hAnsi="Palatino Linotype" w:cs="Arial"/>
          <w:b/>
          <w:i/>
          <w:iCs/>
          <w:color w:val="000000"/>
          <w:lang w:val="es-ES" w:eastAsia="es-ES"/>
        </w:rPr>
        <w:t>”</w:t>
      </w:r>
    </w:p>
    <w:p w:rsidR="00C40758" w:rsidRPr="00C40758" w:rsidRDefault="00C40758" w:rsidP="00C40758">
      <w:pPr>
        <w:pStyle w:val="Prrafodelista"/>
        <w:tabs>
          <w:tab w:val="left" w:pos="284"/>
        </w:tabs>
        <w:spacing w:line="360" w:lineRule="auto"/>
        <w:ind w:left="0"/>
        <w:jc w:val="both"/>
        <w:rPr>
          <w:rFonts w:ascii="Palatino Linotype" w:hAnsi="Palatino Linotype" w:cs="Arial"/>
          <w:bCs/>
          <w:i/>
          <w:szCs w:val="22"/>
        </w:rPr>
      </w:pPr>
    </w:p>
    <w:p w:rsidR="00C85A9B" w:rsidRPr="00C85A9B" w:rsidRDefault="00C40758" w:rsidP="00C85A9B">
      <w:pPr>
        <w:pStyle w:val="Prrafodelista"/>
        <w:numPr>
          <w:ilvl w:val="0"/>
          <w:numId w:val="1"/>
        </w:numPr>
        <w:tabs>
          <w:tab w:val="left" w:pos="284"/>
        </w:tabs>
        <w:spacing w:line="360" w:lineRule="auto"/>
        <w:ind w:left="0" w:firstLine="0"/>
        <w:jc w:val="both"/>
        <w:rPr>
          <w:rFonts w:ascii="Palatino Linotype" w:hAnsi="Palatino Linotype" w:cs="Arial"/>
          <w:bCs/>
          <w:i/>
          <w:szCs w:val="22"/>
        </w:rPr>
      </w:pPr>
      <w:r>
        <w:rPr>
          <w:rFonts w:ascii="Palatino Linotype" w:hAnsi="Palatino Linotype" w:cs="Arial"/>
          <w:bCs/>
          <w:szCs w:val="22"/>
        </w:rPr>
        <w:lastRenderedPageBreak/>
        <w:t>Por otro lado, a</w:t>
      </w:r>
      <w:r w:rsidR="00C85A9B">
        <w:rPr>
          <w:rFonts w:ascii="Palatino Linotype" w:hAnsi="Palatino Linotype" w:cs="Arial"/>
          <w:bCs/>
          <w:szCs w:val="22"/>
        </w:rPr>
        <w:t xml:space="preserve"> través de informe justificado, el Sujeto Obligado entregó el Manual General de Organización de la Secretaría del Agua, el cual fue publicado el veintitrés de septiembre de dos mil veinticuatro en el Periódico Oficial “Gaceta de Gobierno”. </w:t>
      </w:r>
    </w:p>
    <w:p w:rsidR="00C85A9B" w:rsidRPr="00C85A9B" w:rsidRDefault="00C85A9B" w:rsidP="00C85A9B">
      <w:pPr>
        <w:pStyle w:val="Prrafodelista"/>
        <w:rPr>
          <w:rFonts w:ascii="Palatino Linotype" w:hAnsi="Palatino Linotype" w:cs="Arial"/>
          <w:bCs/>
          <w:szCs w:val="22"/>
        </w:rPr>
      </w:pPr>
    </w:p>
    <w:p w:rsidR="009D482C" w:rsidRPr="00C85A9B" w:rsidRDefault="00C85A9B" w:rsidP="00C85A9B">
      <w:pPr>
        <w:pStyle w:val="Prrafodelista"/>
        <w:numPr>
          <w:ilvl w:val="0"/>
          <w:numId w:val="1"/>
        </w:numPr>
        <w:tabs>
          <w:tab w:val="left" w:pos="284"/>
        </w:tabs>
        <w:spacing w:line="360" w:lineRule="auto"/>
        <w:ind w:left="0" w:firstLine="0"/>
        <w:jc w:val="both"/>
        <w:rPr>
          <w:rFonts w:ascii="Palatino Linotype" w:hAnsi="Palatino Linotype" w:cs="Arial"/>
          <w:bCs/>
          <w:i/>
          <w:szCs w:val="22"/>
        </w:rPr>
      </w:pPr>
      <w:r>
        <w:rPr>
          <w:rFonts w:ascii="Palatino Linotype" w:hAnsi="Palatino Linotype" w:cs="Arial"/>
          <w:bCs/>
          <w:szCs w:val="22"/>
        </w:rPr>
        <w:t>En ese sentido</w:t>
      </w:r>
      <w:r w:rsidR="009D482C" w:rsidRPr="00C85A9B">
        <w:rPr>
          <w:rFonts w:ascii="Palatino Linotype" w:eastAsia="MS Mincho" w:hAnsi="Palatino Linotype"/>
          <w:szCs w:val="22"/>
        </w:rPr>
        <w:t>,</w:t>
      </w:r>
      <w:r>
        <w:rPr>
          <w:rFonts w:ascii="Palatino Linotype" w:eastAsia="MS Mincho" w:hAnsi="Palatino Linotype"/>
          <w:szCs w:val="22"/>
        </w:rPr>
        <w:t xml:space="preserve"> se advierte que</w:t>
      </w:r>
      <w:r w:rsidR="009D482C" w:rsidRPr="00C85A9B">
        <w:rPr>
          <w:rFonts w:ascii="Palatino Linotype" w:eastAsia="MS Mincho" w:hAnsi="Palatino Linotype"/>
          <w:szCs w:val="22"/>
        </w:rPr>
        <w:t xml:space="preserve"> </w:t>
      </w:r>
      <w:r>
        <w:rPr>
          <w:rFonts w:ascii="Palatino Linotype" w:eastAsia="MS Mincho" w:hAnsi="Palatino Linotype"/>
          <w:szCs w:val="22"/>
        </w:rPr>
        <w:t>el Sujeto Obligado</w:t>
      </w:r>
      <w:r w:rsidR="009D482C" w:rsidRPr="00C85A9B">
        <w:rPr>
          <w:rFonts w:ascii="Palatino Linotype" w:eastAsia="MS Mincho" w:hAnsi="Palatino Linotype"/>
          <w:szCs w:val="22"/>
        </w:rPr>
        <w:t xml:space="preserve">  modificó  la respuesta</w:t>
      </w:r>
      <w:r>
        <w:rPr>
          <w:rFonts w:ascii="Palatino Linotype" w:eastAsia="MS Mincho" w:hAnsi="Palatino Linotype"/>
          <w:szCs w:val="22"/>
        </w:rPr>
        <w:t xml:space="preserve"> al entregar el Manual solicitado</w:t>
      </w:r>
      <w:r w:rsidR="009D482C" w:rsidRPr="00C85A9B">
        <w:rPr>
          <w:rFonts w:ascii="Palatino Linotype" w:eastAsia="MS Mincho" w:hAnsi="Palatino Linotype"/>
          <w:szCs w:val="22"/>
        </w:rPr>
        <w:t xml:space="preserve">, </w:t>
      </w:r>
      <w:r w:rsidR="009D482C" w:rsidRPr="00C85A9B">
        <w:rPr>
          <w:rFonts w:ascii="Palatino Linotype" w:eastAsia="Calibri" w:hAnsi="Palatino Linotype" w:cs="Arial"/>
          <w:color w:val="000000" w:themeColor="text1"/>
          <w:szCs w:val="22"/>
          <w:lang w:val="es-ES"/>
        </w:rPr>
        <w:t xml:space="preserve">lo que colma el derecho de acceso a la información pública del particular, en este caso, </w:t>
      </w:r>
      <w:r w:rsidR="009D482C" w:rsidRPr="00C85A9B">
        <w:rPr>
          <w:rFonts w:ascii="Palatino Linotype" w:hAnsi="Palatino Linotype" w:cs="Arial"/>
          <w:bCs/>
          <w:szCs w:val="22"/>
        </w:rPr>
        <w:t xml:space="preserve">al haber existido un pronunciamiento por parte del </w:t>
      </w:r>
      <w:r w:rsidR="009D482C" w:rsidRPr="00C85A9B">
        <w:rPr>
          <w:rFonts w:ascii="Palatino Linotype" w:hAnsi="Palatino Linotype" w:cs="Arial"/>
          <w:b/>
          <w:bCs/>
          <w:szCs w:val="22"/>
        </w:rPr>
        <w:t>SUJETO OBLIGADO</w:t>
      </w:r>
      <w:r w:rsidR="009D482C" w:rsidRPr="00C85A9B">
        <w:rPr>
          <w:rFonts w:ascii="Palatino Linotype" w:hAnsi="Palatino Linotype" w:cs="Arial"/>
          <w:bCs/>
          <w:szCs w:val="22"/>
        </w:rPr>
        <w:t xml:space="preserve">, este Instituto no está facultado para manifestarse sobre la veracidad de la información. </w:t>
      </w:r>
    </w:p>
    <w:p w:rsidR="009D482C" w:rsidRPr="00136DBA" w:rsidRDefault="009D482C" w:rsidP="009D482C">
      <w:pPr>
        <w:pStyle w:val="Prrafodelista"/>
        <w:tabs>
          <w:tab w:val="left" w:pos="284"/>
        </w:tabs>
        <w:spacing w:line="360" w:lineRule="auto"/>
        <w:ind w:left="0"/>
        <w:jc w:val="both"/>
        <w:rPr>
          <w:rFonts w:ascii="Palatino Linotype" w:hAnsi="Palatino Linotype" w:cs="Arial"/>
          <w:b/>
          <w:bCs/>
          <w:i/>
          <w:szCs w:val="22"/>
        </w:rPr>
      </w:pPr>
    </w:p>
    <w:p w:rsidR="009D482C" w:rsidRPr="00136DBA" w:rsidRDefault="009D482C" w:rsidP="009D482C">
      <w:pPr>
        <w:pStyle w:val="Prrafodelista"/>
        <w:numPr>
          <w:ilvl w:val="0"/>
          <w:numId w:val="1"/>
        </w:numPr>
        <w:tabs>
          <w:tab w:val="left" w:pos="284"/>
        </w:tabs>
        <w:spacing w:line="360" w:lineRule="auto"/>
        <w:ind w:left="0" w:firstLine="0"/>
        <w:jc w:val="both"/>
        <w:rPr>
          <w:rFonts w:ascii="Palatino Linotype" w:hAnsi="Palatino Linotype" w:cs="Arial"/>
          <w:b/>
          <w:bCs/>
          <w:i/>
          <w:szCs w:val="22"/>
        </w:rPr>
      </w:pPr>
      <w:r w:rsidRPr="00136DBA">
        <w:rPr>
          <w:rFonts w:ascii="Palatino Linotype" w:hAnsi="Palatino Linotype"/>
          <w:szCs w:val="22"/>
        </w:rPr>
        <w:t xml:space="preserve">En ese sentido, la </w:t>
      </w:r>
      <w:r w:rsidRPr="00136DBA">
        <w:rPr>
          <w:rFonts w:ascii="Palatino Linotype" w:hAnsi="Palatino Linotype"/>
          <w:b/>
          <w:szCs w:val="22"/>
        </w:rPr>
        <w:t>Ley de Transparencia y Acceso a la Información Pública del Estado de México y Municipios</w:t>
      </w:r>
      <w:r w:rsidRPr="00136DBA">
        <w:rPr>
          <w:rFonts w:ascii="Palatino Linotype" w:hAnsi="Palatino Linotype"/>
          <w:szCs w:val="22"/>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9D482C" w:rsidRPr="00136DBA" w:rsidRDefault="009D482C" w:rsidP="009D482C">
      <w:pPr>
        <w:pStyle w:val="Prrafodelista"/>
        <w:tabs>
          <w:tab w:val="left" w:pos="284"/>
        </w:tabs>
        <w:spacing w:line="360" w:lineRule="auto"/>
        <w:ind w:left="0"/>
        <w:jc w:val="both"/>
        <w:rPr>
          <w:rFonts w:ascii="Palatino Linotype" w:hAnsi="Palatino Linotype" w:cs="Arial"/>
          <w:b/>
          <w:bCs/>
          <w:i/>
          <w:szCs w:val="22"/>
        </w:rPr>
      </w:pPr>
    </w:p>
    <w:p w:rsidR="009D482C" w:rsidRPr="00136DBA" w:rsidRDefault="009D482C" w:rsidP="009D482C">
      <w:pPr>
        <w:pStyle w:val="Prrafodelista"/>
        <w:spacing w:line="360" w:lineRule="auto"/>
        <w:ind w:right="902"/>
        <w:jc w:val="both"/>
        <w:rPr>
          <w:rFonts w:ascii="Palatino Linotype" w:hAnsi="Palatino Linotype" w:cs="Arial"/>
          <w:i/>
          <w:szCs w:val="22"/>
        </w:rPr>
      </w:pPr>
      <w:r w:rsidRPr="00136DBA">
        <w:rPr>
          <w:rFonts w:ascii="Palatino Linotype" w:hAnsi="Palatino Linotype" w:cs="Arial"/>
          <w:i/>
          <w:szCs w:val="22"/>
        </w:rPr>
        <w:t>“Artículo 4.</w:t>
      </w:r>
    </w:p>
    <w:p w:rsidR="009D482C" w:rsidRPr="00136DBA" w:rsidRDefault="009D482C" w:rsidP="009D482C">
      <w:pPr>
        <w:pStyle w:val="Prrafodelista"/>
        <w:spacing w:line="360" w:lineRule="auto"/>
        <w:ind w:right="902"/>
        <w:jc w:val="both"/>
        <w:rPr>
          <w:rFonts w:ascii="Palatino Linotype" w:hAnsi="Palatino Linotype" w:cs="Arial"/>
          <w:b/>
          <w:i/>
          <w:szCs w:val="22"/>
        </w:rPr>
      </w:pPr>
      <w:r w:rsidRPr="00136DBA">
        <w:rPr>
          <w:rFonts w:ascii="Palatino Linotype" w:hAnsi="Palatino Linotype" w:cs="Arial"/>
          <w:i/>
          <w:szCs w:val="22"/>
        </w:rPr>
        <w:t>…</w:t>
      </w:r>
      <w:r w:rsidRPr="00136DBA">
        <w:rPr>
          <w:rFonts w:ascii="Palatino Linotype" w:hAnsi="Palatino Linotype" w:cs="Arial"/>
          <w:b/>
          <w:i/>
          <w:szCs w:val="22"/>
        </w:rPr>
        <w:t>Los Sujetos Obligados deben poner en práctica, políticas y programas de acceso a la información que se apeguen a criterios de publicidad, veracidad, oportunidad, precisión y suficiencia en beneficio de los solicitantes.</w:t>
      </w:r>
    </w:p>
    <w:p w:rsidR="009D482C" w:rsidRPr="00136DBA" w:rsidRDefault="009D482C" w:rsidP="009D482C">
      <w:pPr>
        <w:pStyle w:val="Prrafodelista"/>
        <w:spacing w:line="360" w:lineRule="auto"/>
        <w:ind w:right="902"/>
        <w:jc w:val="both"/>
        <w:rPr>
          <w:rFonts w:ascii="Palatino Linotype" w:hAnsi="Palatino Linotype" w:cs="Arial"/>
          <w:b/>
          <w:i/>
          <w:szCs w:val="22"/>
        </w:rPr>
      </w:pPr>
      <w:r w:rsidRPr="00136DBA">
        <w:rPr>
          <w:rFonts w:ascii="Palatino Linotype" w:hAnsi="Palatino Linotype" w:cs="Arial"/>
          <w:i/>
          <w:szCs w:val="22"/>
        </w:rPr>
        <w:t>…”</w:t>
      </w:r>
    </w:p>
    <w:p w:rsidR="009D482C" w:rsidRPr="00136DBA" w:rsidRDefault="009D482C" w:rsidP="009D482C">
      <w:pPr>
        <w:pStyle w:val="Prrafodelista"/>
        <w:tabs>
          <w:tab w:val="left" w:pos="709"/>
        </w:tabs>
        <w:spacing w:line="360" w:lineRule="auto"/>
        <w:ind w:right="51"/>
        <w:jc w:val="both"/>
        <w:rPr>
          <w:rFonts w:ascii="Palatino Linotype" w:hAnsi="Palatino Linotype" w:cs="Arial"/>
          <w:noProof/>
          <w:szCs w:val="22"/>
        </w:rPr>
      </w:pPr>
    </w:p>
    <w:p w:rsidR="009D482C" w:rsidRPr="00136DBA" w:rsidRDefault="009D482C" w:rsidP="009D482C">
      <w:pPr>
        <w:pStyle w:val="Prrafodelista"/>
        <w:numPr>
          <w:ilvl w:val="0"/>
          <w:numId w:val="1"/>
        </w:numPr>
        <w:tabs>
          <w:tab w:val="left" w:pos="0"/>
        </w:tabs>
        <w:spacing w:line="360" w:lineRule="auto"/>
        <w:ind w:left="0" w:right="51" w:firstLine="0"/>
        <w:jc w:val="both"/>
        <w:rPr>
          <w:rFonts w:ascii="Palatino Linotype" w:hAnsi="Palatino Linotype" w:cs="Arial"/>
          <w:noProof/>
          <w:szCs w:val="22"/>
        </w:rPr>
      </w:pPr>
      <w:r w:rsidRPr="00136DBA">
        <w:rPr>
          <w:rFonts w:ascii="Palatino Linotype" w:hAnsi="Palatino Linotype" w:cs="Arial"/>
          <w:noProof/>
          <w:szCs w:val="22"/>
        </w:rPr>
        <w:t xml:space="preserve">Numerales que compelen al </w:t>
      </w:r>
      <w:r w:rsidRPr="00136DBA">
        <w:rPr>
          <w:rFonts w:ascii="Palatino Linotype" w:hAnsi="Palatino Linotype" w:cs="Arial"/>
          <w:b/>
          <w:noProof/>
          <w:szCs w:val="22"/>
        </w:rPr>
        <w:t>SUJETO OBLIGADO</w:t>
      </w:r>
      <w:r w:rsidRPr="00136DBA">
        <w:rPr>
          <w:rFonts w:ascii="Palatino Linotype" w:hAnsi="Palatino Linotype" w:cs="Arial"/>
          <w:noProof/>
          <w:szCs w:val="22"/>
        </w:rPr>
        <w:t xml:space="preserve"> a apegarse en todo momento a los criterios ya expuestos, imipidiendo a este Órgano Colegiado cuestionar la veracidad de la información.</w:t>
      </w:r>
    </w:p>
    <w:p w:rsidR="009D482C" w:rsidRPr="00136DBA" w:rsidRDefault="009D482C" w:rsidP="009D482C">
      <w:pPr>
        <w:pStyle w:val="Prrafodelista"/>
        <w:tabs>
          <w:tab w:val="left" w:pos="284"/>
        </w:tabs>
        <w:spacing w:line="360" w:lineRule="auto"/>
        <w:ind w:left="0"/>
        <w:jc w:val="both"/>
        <w:rPr>
          <w:rFonts w:ascii="Palatino Linotype" w:hAnsi="Palatino Linotype" w:cs="Arial"/>
          <w:b/>
          <w:bCs/>
          <w:i/>
          <w:szCs w:val="22"/>
        </w:rPr>
      </w:pPr>
    </w:p>
    <w:p w:rsidR="009D482C" w:rsidRPr="00136DBA" w:rsidRDefault="009D482C" w:rsidP="009D482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136DBA">
        <w:rPr>
          <w:rFonts w:ascii="Palatino Linotype" w:eastAsia="Calibri" w:hAnsi="Palatino Linotype" w:cs="Arial"/>
          <w:color w:val="000000" w:themeColor="text1"/>
          <w:szCs w:val="22"/>
          <w:lang w:val="es-ES"/>
        </w:rPr>
        <w:lastRenderedPageBreak/>
        <w:t xml:space="preserve">Así, </w:t>
      </w:r>
      <w:r w:rsidRPr="00136DBA">
        <w:rPr>
          <w:rFonts w:ascii="Palatino Linotype" w:eastAsia="Calibri" w:hAnsi="Palatino Linotype"/>
          <w:szCs w:val="22"/>
        </w:rPr>
        <w:t xml:space="preserve">este Pleno advierte que el </w:t>
      </w:r>
      <w:r w:rsidRPr="00136DBA">
        <w:rPr>
          <w:rFonts w:ascii="Palatino Linotype" w:eastAsia="Calibri" w:hAnsi="Palatino Linotype"/>
          <w:b/>
          <w:szCs w:val="22"/>
        </w:rPr>
        <w:t>SUJETO OBLIGADO</w:t>
      </w:r>
      <w:r w:rsidRPr="00136DBA">
        <w:rPr>
          <w:rFonts w:ascii="Palatino Linotype" w:eastAsia="Calibri" w:hAnsi="Palatino Linotype"/>
          <w:szCs w:val="22"/>
        </w:rPr>
        <w:t xml:space="preserve"> </w:t>
      </w:r>
      <w:r w:rsidRPr="00136DBA">
        <w:rPr>
          <w:rFonts w:ascii="Palatino Linotype" w:eastAsia="Calibri" w:hAnsi="Palatino Linotype"/>
          <w:b/>
          <w:szCs w:val="22"/>
        </w:rPr>
        <w:t xml:space="preserve">modificó </w:t>
      </w:r>
      <w:r w:rsidRPr="00136DBA">
        <w:rPr>
          <w:rFonts w:ascii="Palatino Linotype" w:eastAsia="Calibri" w:hAnsi="Palatino Linotype"/>
          <w:szCs w:val="22"/>
        </w:rPr>
        <w:t>el acto que le dio origen a los recursos de revisión, lo que trae como consecuencia que el mismo quede sin materia, actualizándose de este modo, la hipótesis jurídica contenida en la fracción III del artículo 192 de la Ley de Transparencia Local.</w:t>
      </w:r>
    </w:p>
    <w:p w:rsidR="009D482C" w:rsidRPr="00136DBA" w:rsidRDefault="009D482C" w:rsidP="009D482C">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p w:rsidR="009D482C" w:rsidRPr="00136DBA" w:rsidRDefault="009D482C" w:rsidP="009D482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136DBA">
        <w:rPr>
          <w:rFonts w:ascii="Palatino Linotype" w:eastAsia="Calibri" w:hAnsi="Palatino Linotype" w:cs="Arial"/>
          <w:color w:val="000000" w:themeColor="text1"/>
          <w:szCs w:val="22"/>
          <w:lang w:val="es-ES"/>
        </w:rPr>
        <w:t xml:space="preserve">Ahora bien, </w:t>
      </w:r>
      <w:r w:rsidRPr="00136DBA">
        <w:rPr>
          <w:rFonts w:ascii="Palatino Linotype" w:eastAsia="Calibri" w:hAnsi="Palatino Linotype"/>
          <w:szCs w:val="22"/>
        </w:rPr>
        <w:t xml:space="preserve">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136DBA">
        <w:rPr>
          <w:rFonts w:ascii="Palatino Linotype" w:eastAsia="Calibri" w:hAnsi="Palatino Linotype"/>
          <w:b/>
          <w:szCs w:val="22"/>
        </w:rPr>
        <w:t>SUJETOS OBLIGADOS</w:t>
      </w:r>
      <w:r w:rsidRPr="00136DBA">
        <w:rPr>
          <w:rFonts w:ascii="Palatino Linotype" w:eastAsia="Calibri" w:hAnsi="Palatino Linotype"/>
          <w:szCs w:val="22"/>
        </w:rPr>
        <w:t xml:space="preserve"> o la negativa de entrega de esta, derivada de la solicitud de información pública.</w:t>
      </w:r>
    </w:p>
    <w:p w:rsidR="009D482C" w:rsidRPr="00136DBA" w:rsidRDefault="009D482C" w:rsidP="009D482C">
      <w:pPr>
        <w:rPr>
          <w:rFonts w:ascii="Palatino Linotype" w:eastAsia="Calibri" w:hAnsi="Palatino Linotype" w:cs="Arial"/>
          <w:color w:val="000000" w:themeColor="text1"/>
          <w:sz w:val="22"/>
          <w:szCs w:val="22"/>
          <w:lang w:val="es-ES"/>
        </w:rPr>
      </w:pPr>
    </w:p>
    <w:p w:rsidR="009D482C" w:rsidRPr="00136DBA" w:rsidRDefault="009D482C" w:rsidP="009D482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136DBA">
        <w:rPr>
          <w:rFonts w:ascii="Palatino Linotype" w:eastAsia="Calibri" w:hAnsi="Palatino Linotype" w:cs="Arial"/>
          <w:color w:val="000000" w:themeColor="text1"/>
          <w:szCs w:val="22"/>
          <w:lang w:val="es-ES"/>
        </w:rPr>
        <w:t xml:space="preserve">De </w:t>
      </w:r>
      <w:r w:rsidRPr="00136DBA">
        <w:rPr>
          <w:rFonts w:ascii="Palatino Linotype" w:eastAsia="Calibri" w:hAnsi="Palatino Linotype"/>
          <w:szCs w:val="22"/>
        </w:rPr>
        <w:t xml:space="preserve">este modo, cuando el </w:t>
      </w:r>
      <w:r w:rsidRPr="00136DBA">
        <w:rPr>
          <w:rFonts w:ascii="Palatino Linotype" w:eastAsia="Calibri" w:hAnsi="Palatino Linotype"/>
          <w:b/>
          <w:szCs w:val="22"/>
        </w:rPr>
        <w:t xml:space="preserve">SUJETO OBLIGADO, </w:t>
      </w:r>
      <w:r w:rsidRPr="00136DBA">
        <w:rPr>
          <w:rFonts w:ascii="Palatino Linotype" w:eastAsia="Calibri" w:hAnsi="Palatino Linotype"/>
          <w:szCs w:val="22"/>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proofErr w:type="spellStart"/>
      <w:r w:rsidRPr="00136DBA">
        <w:rPr>
          <w:rFonts w:ascii="Palatino Linotype" w:eastAsia="Calibri" w:hAnsi="Palatino Linotype"/>
          <w:i/>
          <w:szCs w:val="22"/>
        </w:rPr>
        <w:t>litis</w:t>
      </w:r>
      <w:proofErr w:type="spellEnd"/>
      <w:r w:rsidRPr="00136DBA">
        <w:rPr>
          <w:rFonts w:ascii="Palatino Linotype" w:eastAsia="Calibri" w:hAnsi="Palatino Linotype"/>
          <w:szCs w:val="22"/>
        </w:rPr>
        <w:t xml:space="preserve"> planteada, debido a que la afectación en su esfera de derechos fue restituida por la propia autoridad que emitió el acto motivo de impugnación.</w:t>
      </w:r>
    </w:p>
    <w:p w:rsidR="009D482C" w:rsidRPr="00136DBA" w:rsidRDefault="009D482C" w:rsidP="009D482C">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p w:rsidR="009D482C" w:rsidRPr="00136DBA" w:rsidRDefault="009D482C" w:rsidP="009D482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136DBA">
        <w:rPr>
          <w:rFonts w:ascii="Palatino Linotype" w:eastAsia="Calibri" w:hAnsi="Palatino Linotype" w:cs="Arial"/>
          <w:color w:val="000000" w:themeColor="text1"/>
          <w:szCs w:val="22"/>
          <w:lang w:val="es-ES"/>
        </w:rPr>
        <w:t xml:space="preserve">Sirve </w:t>
      </w:r>
      <w:r w:rsidRPr="00136DBA">
        <w:rPr>
          <w:rFonts w:ascii="Palatino Linotype" w:eastAsia="Calibri" w:hAnsi="Palatino Linotype"/>
          <w:szCs w:val="22"/>
        </w:rPr>
        <w:t>de sustento a lo anterior la siguiente jurisprudencia por contradicción, cuyo rubro, texto y datos de identificación son los siguientes:</w:t>
      </w:r>
    </w:p>
    <w:p w:rsidR="009D482C" w:rsidRPr="00136DBA" w:rsidRDefault="009D482C" w:rsidP="009D482C">
      <w:pPr>
        <w:rPr>
          <w:rFonts w:ascii="Palatino Linotype" w:eastAsia="Calibri" w:hAnsi="Palatino Linotype" w:cs="Arial"/>
          <w:color w:val="000000" w:themeColor="text1"/>
          <w:sz w:val="22"/>
          <w:szCs w:val="22"/>
          <w:lang w:val="es-ES"/>
        </w:rPr>
      </w:pPr>
    </w:p>
    <w:p w:rsidR="009D482C" w:rsidRPr="00136DBA" w:rsidRDefault="009D482C" w:rsidP="009D482C">
      <w:pPr>
        <w:pStyle w:val="Prrafodelista"/>
        <w:tabs>
          <w:tab w:val="left" w:pos="426"/>
          <w:tab w:val="left" w:pos="567"/>
        </w:tabs>
        <w:spacing w:line="360" w:lineRule="auto"/>
        <w:ind w:left="567" w:right="565"/>
        <w:jc w:val="both"/>
        <w:rPr>
          <w:rFonts w:ascii="Palatino Linotype" w:eastAsia="Calibri" w:hAnsi="Palatino Linotype" w:cs="Arial"/>
          <w:color w:val="000000" w:themeColor="text1"/>
          <w:szCs w:val="22"/>
          <w:lang w:val="es-ES"/>
        </w:rPr>
      </w:pPr>
      <w:r w:rsidRPr="00136DBA">
        <w:rPr>
          <w:rFonts w:ascii="Palatino Linotype" w:eastAsia="Calibri" w:hAnsi="Palatino Linotype"/>
          <w:b/>
          <w:i/>
          <w:szCs w:val="22"/>
        </w:rPr>
        <w:t xml:space="preserve">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w:t>
      </w:r>
      <w:r w:rsidRPr="00136DBA">
        <w:rPr>
          <w:rFonts w:ascii="Palatino Linotype" w:eastAsia="Calibri" w:hAnsi="Palatino Linotype"/>
          <w:b/>
          <w:i/>
          <w:szCs w:val="22"/>
        </w:rPr>
        <w:lastRenderedPageBreak/>
        <w:t>JUICIO DE AMPARO O EL MEDIO ORDINARIO DE DEFENSA QUE PROCEDA.</w:t>
      </w:r>
      <w:r w:rsidRPr="00136DBA">
        <w:rPr>
          <w:rFonts w:ascii="Palatino Linotype" w:eastAsia="Calibri" w:hAnsi="Palatino Linotype"/>
          <w:i/>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9D482C" w:rsidRPr="00136DBA" w:rsidRDefault="009D482C" w:rsidP="009D482C">
      <w:pPr>
        <w:rPr>
          <w:rFonts w:ascii="Palatino Linotype" w:eastAsia="Calibri" w:hAnsi="Palatino Linotype" w:cs="Arial"/>
          <w:color w:val="000000" w:themeColor="text1"/>
          <w:sz w:val="22"/>
          <w:szCs w:val="22"/>
          <w:lang w:val="es-ES"/>
        </w:rPr>
      </w:pPr>
    </w:p>
    <w:p w:rsidR="009D482C" w:rsidRPr="00136DBA" w:rsidRDefault="009D482C" w:rsidP="009D482C">
      <w:pPr>
        <w:pStyle w:val="Prrafodelista"/>
        <w:numPr>
          <w:ilvl w:val="0"/>
          <w:numId w:val="1"/>
        </w:numPr>
        <w:tabs>
          <w:tab w:val="left" w:pos="284"/>
          <w:tab w:val="left" w:pos="567"/>
        </w:tabs>
        <w:spacing w:line="360" w:lineRule="auto"/>
        <w:ind w:left="0" w:firstLine="0"/>
        <w:jc w:val="both"/>
        <w:rPr>
          <w:rFonts w:ascii="Palatino Linotype" w:eastAsia="Calibri" w:hAnsi="Palatino Linotype" w:cs="Arial"/>
          <w:color w:val="000000" w:themeColor="text1"/>
          <w:szCs w:val="22"/>
          <w:lang w:val="es-ES"/>
        </w:rPr>
      </w:pPr>
      <w:r w:rsidRPr="00136DBA">
        <w:rPr>
          <w:rFonts w:ascii="Palatino Linotype" w:eastAsia="Calibri" w:hAnsi="Palatino Linotype" w:cs="Arial"/>
          <w:color w:val="000000" w:themeColor="text1"/>
          <w:szCs w:val="22"/>
          <w:lang w:val="es-ES"/>
        </w:rPr>
        <w:t xml:space="preserve">La </w:t>
      </w:r>
      <w:r w:rsidRPr="00136DBA">
        <w:rPr>
          <w:rFonts w:ascii="Palatino Linotype" w:eastAsia="Calibri" w:hAnsi="Palatino Linotype"/>
          <w:szCs w:val="22"/>
        </w:rPr>
        <w:t xml:space="preserve">anterior jurisprudencia resulta aplicable al presente asunto, en dos aspectos: </w:t>
      </w:r>
    </w:p>
    <w:p w:rsidR="009D482C" w:rsidRPr="00136DBA" w:rsidRDefault="009D482C" w:rsidP="009D482C">
      <w:pPr>
        <w:pStyle w:val="Prrafodelista"/>
        <w:tabs>
          <w:tab w:val="left" w:pos="426"/>
          <w:tab w:val="left" w:pos="567"/>
        </w:tabs>
        <w:spacing w:line="360" w:lineRule="auto"/>
        <w:ind w:left="0"/>
        <w:jc w:val="both"/>
        <w:rPr>
          <w:rFonts w:ascii="Palatino Linotype" w:eastAsia="Calibri" w:hAnsi="Palatino Linotype"/>
          <w:szCs w:val="22"/>
        </w:rPr>
      </w:pPr>
    </w:p>
    <w:p w:rsidR="009D482C" w:rsidRPr="00136DBA" w:rsidRDefault="009D482C" w:rsidP="009D482C">
      <w:pPr>
        <w:numPr>
          <w:ilvl w:val="0"/>
          <w:numId w:val="4"/>
        </w:numPr>
        <w:spacing w:line="360" w:lineRule="auto"/>
        <w:ind w:left="567" w:right="616" w:firstLine="0"/>
        <w:contextualSpacing/>
        <w:jc w:val="both"/>
        <w:rPr>
          <w:rFonts w:ascii="Palatino Linotype" w:eastAsia="Calibri" w:hAnsi="Palatino Linotype"/>
          <w:sz w:val="22"/>
          <w:szCs w:val="22"/>
        </w:rPr>
      </w:pPr>
      <w:r w:rsidRPr="00136DBA">
        <w:rPr>
          <w:rFonts w:ascii="Palatino Linotype" w:eastAsia="Calibri" w:hAnsi="Palatino Linotype"/>
          <w:b/>
          <w:sz w:val="22"/>
          <w:szCs w:val="22"/>
        </w:rPr>
        <w:t>La cesación de los efectos perniciosos del acto de autoridad:</w:t>
      </w:r>
      <w:r w:rsidRPr="00136DBA">
        <w:rPr>
          <w:rFonts w:ascii="Palatino Linotype" w:eastAsia="Calibri" w:hAnsi="Palatino Linotype"/>
          <w:sz w:val="22"/>
          <w:szCs w:val="22"/>
        </w:rPr>
        <w:t xml:space="preserve"> Al respecto, la Ley de Transparencia contempla la figura jurídica del sobreseimiento cuando el </w:t>
      </w:r>
      <w:r w:rsidRPr="00136DBA">
        <w:rPr>
          <w:rFonts w:ascii="Palatino Linotype" w:eastAsia="Calibri" w:hAnsi="Palatino Linotype"/>
          <w:b/>
          <w:sz w:val="22"/>
          <w:szCs w:val="22"/>
        </w:rPr>
        <w:t>SUJETO OBLIGADO</w:t>
      </w:r>
      <w:r w:rsidRPr="00136DBA">
        <w:rPr>
          <w:rFonts w:ascii="Palatino Linotype" w:eastAsia="Calibri" w:hAnsi="Palatino Linotype"/>
          <w:sz w:val="22"/>
          <w:szCs w:val="22"/>
        </w:rPr>
        <w:t xml:space="preserve"> de </w:t>
      </w:r>
      <w:r w:rsidRPr="00136DBA">
        <w:rPr>
          <w:rFonts w:ascii="Palatino Linotype" w:eastAsia="Calibri" w:hAnsi="Palatino Linotype"/>
          <w:i/>
          <w:sz w:val="22"/>
          <w:szCs w:val="22"/>
        </w:rPr>
        <w:t>motu proprio</w:t>
      </w:r>
      <w:r w:rsidRPr="00136DBA">
        <w:rPr>
          <w:rFonts w:ascii="Palatino Linotype" w:eastAsia="Calibri" w:hAnsi="Palatino Linotype"/>
          <w:sz w:val="22"/>
          <w:szCs w:val="22"/>
        </w:rPr>
        <w:t xml:space="preserve"> modifica o revoca de tal manera el acto motivo de la impugnación que lo deja sin materia; es decir, cesan los efectos de éste y el derecho de acceso a la información pública se encuentra satisfecho.</w:t>
      </w:r>
    </w:p>
    <w:p w:rsidR="009D482C" w:rsidRPr="00136DBA" w:rsidRDefault="009D482C" w:rsidP="009D482C">
      <w:pPr>
        <w:spacing w:line="360" w:lineRule="auto"/>
        <w:ind w:left="567" w:right="616"/>
        <w:contextualSpacing/>
        <w:rPr>
          <w:rFonts w:ascii="Palatino Linotype" w:eastAsia="Calibri" w:hAnsi="Palatino Linotype"/>
          <w:sz w:val="22"/>
          <w:szCs w:val="22"/>
        </w:rPr>
      </w:pPr>
    </w:p>
    <w:p w:rsidR="009D482C" w:rsidRPr="00136DBA" w:rsidRDefault="009D482C" w:rsidP="009D482C">
      <w:pPr>
        <w:numPr>
          <w:ilvl w:val="0"/>
          <w:numId w:val="4"/>
        </w:numPr>
        <w:spacing w:line="360" w:lineRule="auto"/>
        <w:ind w:left="567" w:right="616" w:firstLine="0"/>
        <w:contextualSpacing/>
        <w:jc w:val="both"/>
        <w:rPr>
          <w:rFonts w:ascii="Palatino Linotype" w:eastAsia="Calibri" w:hAnsi="Palatino Linotype"/>
          <w:sz w:val="22"/>
          <w:szCs w:val="22"/>
        </w:rPr>
      </w:pPr>
      <w:r w:rsidRPr="00136DBA">
        <w:rPr>
          <w:rFonts w:ascii="Palatino Linotype" w:eastAsia="Calibri" w:hAnsi="Palatino Linotype"/>
          <w:b/>
          <w:sz w:val="22"/>
          <w:szCs w:val="22"/>
        </w:rPr>
        <w:t>El momento procesal para modificar el acto impugnado:</w:t>
      </w:r>
      <w:r w:rsidRPr="00136DBA">
        <w:rPr>
          <w:rFonts w:ascii="Palatino Linotype" w:eastAsia="Calibri" w:hAnsi="Palatino Linotype"/>
          <w:sz w:val="22"/>
          <w:szCs w:val="22"/>
        </w:rPr>
        <w:t xml:space="preserve"> Para que se actualice el sobreseimiento de un recurso de revisión, el </w:t>
      </w:r>
      <w:r w:rsidRPr="00136DBA">
        <w:rPr>
          <w:rFonts w:ascii="Palatino Linotype" w:eastAsia="Calibri" w:hAnsi="Palatino Linotype"/>
          <w:b/>
          <w:sz w:val="22"/>
          <w:szCs w:val="22"/>
        </w:rPr>
        <w:t>SUJETO OBLIGADO</w:t>
      </w:r>
      <w:r w:rsidRPr="00136DBA">
        <w:rPr>
          <w:rFonts w:ascii="Palatino Linotype" w:eastAsia="Calibri" w:hAnsi="Palatino Linotype"/>
          <w:sz w:val="22"/>
          <w:szCs w:val="22"/>
        </w:rPr>
        <w:t xml:space="preserve"> puede entregar o completar la información al momento de rendir su informe de </w:t>
      </w:r>
      <w:r w:rsidRPr="00136DBA">
        <w:rPr>
          <w:rFonts w:ascii="Palatino Linotype" w:eastAsia="Calibri" w:hAnsi="Palatino Linotype"/>
          <w:sz w:val="22"/>
          <w:szCs w:val="22"/>
        </w:rPr>
        <w:lastRenderedPageBreak/>
        <w:t xml:space="preserve">justificación o </w:t>
      </w:r>
      <w:r w:rsidRPr="00136DBA">
        <w:rPr>
          <w:rFonts w:ascii="Palatino Linotype" w:eastAsia="Calibri" w:hAnsi="Palatino Linotype"/>
          <w:b/>
          <w:sz w:val="22"/>
          <w:szCs w:val="22"/>
          <w:u w:val="single"/>
        </w:rPr>
        <w:t>posteriormente</w:t>
      </w:r>
      <w:r w:rsidRPr="00136DBA">
        <w:rPr>
          <w:rFonts w:ascii="Palatino Linotype" w:eastAsia="Calibri" w:hAnsi="Palatino Linotype"/>
          <w:sz w:val="22"/>
          <w:szCs w:val="22"/>
        </w:rPr>
        <w:t xml:space="preserve"> a éste, siempre y cuando el Pleno del Instituto no haya dictado resolución definitiva.</w:t>
      </w:r>
    </w:p>
    <w:p w:rsidR="009D482C" w:rsidRPr="00136DBA" w:rsidRDefault="009D482C" w:rsidP="009D482C">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p w:rsidR="009D482C" w:rsidRPr="00136DBA" w:rsidRDefault="009D482C" w:rsidP="009D482C">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Cs w:val="22"/>
          <w:lang w:val="es-ES"/>
        </w:rPr>
      </w:pPr>
      <w:r w:rsidRPr="00136DBA">
        <w:rPr>
          <w:rFonts w:ascii="Palatino Linotype" w:eastAsia="Calibri" w:hAnsi="Palatino Linotype" w:cs="Arial"/>
          <w:color w:val="000000" w:themeColor="text1"/>
          <w:szCs w:val="22"/>
          <w:lang w:val="es-ES"/>
        </w:rPr>
        <w:t xml:space="preserve">Eduardo Pallares, </w:t>
      </w:r>
      <w:r w:rsidRPr="00136DBA">
        <w:rPr>
          <w:rFonts w:ascii="Palatino Linotype" w:eastAsia="Calibri" w:hAnsi="Palatino Linotype"/>
          <w:szCs w:val="22"/>
        </w:rPr>
        <w:t xml:space="preserve">en su artículo </w:t>
      </w:r>
      <w:r w:rsidRPr="00136DBA">
        <w:rPr>
          <w:rFonts w:ascii="Palatino Linotype" w:eastAsia="Calibri" w:hAnsi="Palatino Linotype"/>
          <w:i/>
          <w:szCs w:val="22"/>
        </w:rPr>
        <w:t>“La caducidad y el sobreseimiento en el amparo”</w:t>
      </w:r>
      <w:r w:rsidRPr="00136DBA">
        <w:rPr>
          <w:rFonts w:ascii="Palatino Linotype" w:eastAsia="Calibri" w:hAnsi="Palatino Linotype"/>
          <w:szCs w:val="22"/>
        </w:rPr>
        <w:t xml:space="preserve">, cita la definición de Aguilera Paz, aduciendo que se </w:t>
      </w:r>
      <w:r w:rsidRPr="00136DBA">
        <w:rPr>
          <w:rFonts w:ascii="Palatino Linotype" w:eastAsia="Calibri" w:hAnsi="Palatino Linotype"/>
          <w:i/>
          <w:szCs w:val="22"/>
        </w:rPr>
        <w:t>“...entiende por sobreseimiento en el tecnicismo forense, el hecho de cesar en el procedimiento o curso de la causa, por no existir méritos bastantes para entrar en un juicio o para entablar la contienda judicial que debe ser objeto del mismo...”</w:t>
      </w:r>
      <w:r w:rsidRPr="00136DBA">
        <w:rPr>
          <w:rFonts w:ascii="Palatino Linotype" w:eastAsia="Calibri" w:hAnsi="Palatino Linotype"/>
          <w:szCs w:val="22"/>
        </w:rPr>
        <w:t>. Asimismo, señala que existe el sobreseimiento provisional y el definitivo</w:t>
      </w:r>
      <w:r w:rsidRPr="00136DBA">
        <w:rPr>
          <w:rFonts w:ascii="Palatino Linotype" w:eastAsia="Calibri" w:hAnsi="Palatino Linotype"/>
          <w:i/>
          <w:szCs w:val="22"/>
        </w:rPr>
        <w:t>: “...el definitivo es una verdadera sentencia que pone fin al juicio, y que una vez dictada, produce cosa juzgada, mientras que el provisorio tiene por efectos suspender la prosecución de la causa...”</w:t>
      </w:r>
    </w:p>
    <w:p w:rsidR="009D482C" w:rsidRPr="00136DBA" w:rsidRDefault="009D482C" w:rsidP="009D482C">
      <w:pPr>
        <w:pStyle w:val="Prrafodelista"/>
        <w:tabs>
          <w:tab w:val="left" w:pos="284"/>
        </w:tabs>
        <w:spacing w:line="360" w:lineRule="auto"/>
        <w:ind w:left="0"/>
        <w:jc w:val="both"/>
        <w:rPr>
          <w:rFonts w:ascii="Palatino Linotype" w:eastAsia="Calibri" w:hAnsi="Palatino Linotype" w:cs="Arial"/>
          <w:color w:val="000000" w:themeColor="text1"/>
          <w:szCs w:val="22"/>
          <w:lang w:val="es-ES"/>
        </w:rPr>
      </w:pPr>
    </w:p>
    <w:p w:rsidR="009D482C" w:rsidRPr="00136DBA" w:rsidRDefault="009D482C" w:rsidP="009D482C">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Cs w:val="22"/>
          <w:lang w:val="es-ES"/>
        </w:rPr>
      </w:pPr>
      <w:r w:rsidRPr="00136DBA">
        <w:rPr>
          <w:rFonts w:ascii="Palatino Linotype" w:eastAsia="Calibri" w:hAnsi="Palatino Linotype" w:cs="Arial"/>
          <w:color w:val="000000" w:themeColor="text1"/>
          <w:szCs w:val="22"/>
          <w:lang w:val="es-ES"/>
        </w:rPr>
        <w:t xml:space="preserve">Así, </w:t>
      </w:r>
      <w:r w:rsidRPr="00136DBA">
        <w:rPr>
          <w:rFonts w:ascii="Palatino Linotype" w:eastAsia="Calibri" w:hAnsi="Palatino Linotype"/>
          <w:szCs w:val="22"/>
        </w:rPr>
        <w:t xml:space="preserve">para la doctrina el sobreseimiento provoca que un procedimiento se suspenda o se resuelva en definitiva </w:t>
      </w:r>
      <w:r w:rsidRPr="00136DBA">
        <w:rPr>
          <w:rFonts w:ascii="Palatino Linotype" w:eastAsia="Calibri" w:hAnsi="Palatino Linotype"/>
          <w:b/>
          <w:szCs w:val="22"/>
          <w:u w:val="single"/>
        </w:rPr>
        <w:t xml:space="preserve">sin que se entre al estudio de los agravios o motivos de inconformidad. </w:t>
      </w:r>
      <w:r w:rsidRPr="00136DBA">
        <w:rPr>
          <w:rFonts w:ascii="Palatino Linotype" w:eastAsia="Calibri" w:hAnsi="Palatino Linotype"/>
          <w:szCs w:val="22"/>
        </w:rPr>
        <w:t>Este mismo criterio es compartido por el más alto tribunal del país en múltiples jurisprudencias, por lo que a continuación se agrega una de ellas que sirve como orientador en esta resolución:</w:t>
      </w:r>
    </w:p>
    <w:p w:rsidR="009D482C" w:rsidRPr="00136DBA" w:rsidRDefault="009D482C" w:rsidP="009D482C">
      <w:pPr>
        <w:rPr>
          <w:rFonts w:ascii="Palatino Linotype" w:eastAsia="Calibri" w:hAnsi="Palatino Linotype" w:cs="Arial"/>
          <w:color w:val="000000" w:themeColor="text1"/>
          <w:sz w:val="22"/>
          <w:szCs w:val="22"/>
          <w:lang w:val="es-ES"/>
        </w:rPr>
      </w:pPr>
    </w:p>
    <w:p w:rsidR="009D482C" w:rsidRPr="00136DBA" w:rsidRDefault="009D482C" w:rsidP="009D482C">
      <w:pPr>
        <w:spacing w:line="360" w:lineRule="auto"/>
        <w:ind w:left="567" w:right="565"/>
        <w:contextualSpacing/>
        <w:jc w:val="both"/>
        <w:rPr>
          <w:rFonts w:ascii="Palatino Linotype" w:eastAsia="Calibri" w:hAnsi="Palatino Linotype"/>
          <w:i/>
          <w:sz w:val="22"/>
          <w:szCs w:val="22"/>
          <w:lang w:val="es-AR"/>
        </w:rPr>
      </w:pPr>
      <w:r w:rsidRPr="00136DBA">
        <w:rPr>
          <w:rFonts w:ascii="Palatino Linotype" w:eastAsia="Calibri" w:hAnsi="Palatino Linotype"/>
          <w:b/>
          <w:i/>
          <w:sz w:val="22"/>
          <w:szCs w:val="22"/>
          <w:lang w:val="es-AR"/>
        </w:rPr>
        <w:t>SOBRESEIMIENTO EN EL JUICIO DE AMPARO DIRECTO. IMPIDE EL ESTUDIO DE LAS VIOLACIONES PROCESALES PLANTEADAS EN LOS CONCEPTOS DE VIOLACIÓN. El sobreseimiento</w:t>
      </w:r>
      <w:r w:rsidRPr="00136DBA">
        <w:rPr>
          <w:rFonts w:ascii="Palatino Linotype" w:eastAsia="Calibri" w:hAnsi="Palatino Linotype"/>
          <w:i/>
          <w:sz w:val="22"/>
          <w:szCs w:val="22"/>
          <w:lang w:val="es-AR"/>
        </w:rPr>
        <w:t xml:space="preserve"> en el juicio de amparo directo </w:t>
      </w:r>
      <w:r w:rsidRPr="00136DBA">
        <w:rPr>
          <w:rFonts w:ascii="Palatino Linotype" w:eastAsia="Calibri" w:hAnsi="Palatino Linotype"/>
          <w:b/>
          <w:i/>
          <w:sz w:val="22"/>
          <w:szCs w:val="22"/>
          <w:lang w:val="es-AR"/>
        </w:rPr>
        <w:t>provoca la terminación de la controversia planteada</w:t>
      </w:r>
      <w:r w:rsidRPr="00136DBA">
        <w:rPr>
          <w:rFonts w:ascii="Palatino Linotype" w:eastAsia="Calibri" w:hAnsi="Palatino Linotype"/>
          <w:i/>
          <w:sz w:val="22"/>
          <w:szCs w:val="22"/>
          <w:lang w:val="es-AR"/>
        </w:rPr>
        <w:t xml:space="preserve"> por el quejoso en la demanda de amparo</w:t>
      </w:r>
      <w:r w:rsidRPr="00136DBA">
        <w:rPr>
          <w:rFonts w:ascii="Palatino Linotype" w:eastAsia="Calibri" w:hAnsi="Palatino Linotype"/>
          <w:b/>
          <w:i/>
          <w:sz w:val="22"/>
          <w:szCs w:val="22"/>
          <w:lang w:val="es-AR"/>
        </w:rPr>
        <w:t>, sin hacer un pronunciamiento de fondo sobre la legalidad o ilegalidad de la sentencia reclamada</w:t>
      </w:r>
      <w:r w:rsidRPr="00136DBA">
        <w:rPr>
          <w:rFonts w:ascii="Palatino Linotype" w:eastAsia="Calibri" w:hAnsi="Palatino Linotype"/>
          <w:i/>
          <w:sz w:val="22"/>
          <w:szCs w:val="22"/>
          <w:lang w:val="es-AR"/>
        </w:rPr>
        <w:t xml:space="preserve">. </w:t>
      </w:r>
      <w:r w:rsidRPr="00136DBA">
        <w:rPr>
          <w:rFonts w:ascii="Palatino Linotype" w:eastAsia="Calibri" w:hAnsi="Palatino Linotype"/>
          <w:b/>
          <w:i/>
          <w:sz w:val="22"/>
          <w:szCs w:val="22"/>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136DBA">
        <w:rPr>
          <w:rFonts w:ascii="Palatino Linotype" w:eastAsia="Calibri" w:hAnsi="Palatino Linotype"/>
          <w:i/>
          <w:sz w:val="22"/>
          <w:szCs w:val="22"/>
          <w:lang w:val="es-AR"/>
        </w:rPr>
        <w:t>.</w:t>
      </w:r>
    </w:p>
    <w:p w:rsidR="009D482C" w:rsidRPr="00136DBA" w:rsidRDefault="009D482C" w:rsidP="009D482C">
      <w:pPr>
        <w:spacing w:line="360" w:lineRule="auto"/>
        <w:ind w:left="567" w:right="565"/>
        <w:contextualSpacing/>
        <w:jc w:val="both"/>
        <w:rPr>
          <w:rFonts w:ascii="Palatino Linotype" w:eastAsia="Calibri" w:hAnsi="Palatino Linotype"/>
          <w:i/>
          <w:sz w:val="22"/>
          <w:szCs w:val="22"/>
          <w:lang w:val="es-AR"/>
        </w:rPr>
      </w:pPr>
      <w:r w:rsidRPr="00136DBA">
        <w:rPr>
          <w:rFonts w:ascii="Palatino Linotype" w:eastAsia="Calibri" w:hAnsi="Palatino Linotype"/>
          <w:i/>
          <w:sz w:val="22"/>
          <w:szCs w:val="22"/>
          <w:lang w:val="es-AR"/>
        </w:rPr>
        <w:lastRenderedPageBreak/>
        <w:t>SÉPTIMO TRIBUNAL COLEGIADO EN MATERIA CIVIL DEL PRIMER CIRCUITO.</w:t>
      </w:r>
    </w:p>
    <w:p w:rsidR="009D482C" w:rsidRPr="00136DBA" w:rsidRDefault="009D482C" w:rsidP="009D482C">
      <w:pPr>
        <w:spacing w:line="360" w:lineRule="auto"/>
        <w:ind w:left="567" w:right="565"/>
        <w:contextualSpacing/>
        <w:jc w:val="both"/>
        <w:rPr>
          <w:rFonts w:ascii="Palatino Linotype" w:eastAsia="Calibri" w:hAnsi="Palatino Linotype"/>
          <w:b/>
          <w:i/>
          <w:sz w:val="22"/>
          <w:szCs w:val="22"/>
          <w:lang w:val="es-AR"/>
        </w:rPr>
      </w:pPr>
      <w:r w:rsidRPr="00136DBA">
        <w:rPr>
          <w:rFonts w:ascii="Palatino Linotype" w:eastAsia="Calibri" w:hAnsi="Palatino Linotype"/>
          <w:i/>
          <w:sz w:val="22"/>
          <w:szCs w:val="22"/>
          <w:lang w:val="es-AR"/>
        </w:rPr>
        <w:t xml:space="preserve">Amparo directo 699/2008. Mariana Leticia González </w:t>
      </w:r>
      <w:proofErr w:type="spellStart"/>
      <w:r w:rsidRPr="00136DBA">
        <w:rPr>
          <w:rFonts w:ascii="Palatino Linotype" w:eastAsia="Calibri" w:hAnsi="Palatino Linotype"/>
          <w:i/>
          <w:sz w:val="22"/>
          <w:szCs w:val="22"/>
          <w:lang w:val="es-AR"/>
        </w:rPr>
        <w:t>Steele</w:t>
      </w:r>
      <w:proofErr w:type="spellEnd"/>
      <w:r w:rsidRPr="00136DBA">
        <w:rPr>
          <w:rFonts w:ascii="Palatino Linotype" w:eastAsia="Calibri" w:hAnsi="Palatino Linotype"/>
          <w:i/>
          <w:sz w:val="22"/>
          <w:szCs w:val="22"/>
          <w:lang w:val="es-AR"/>
        </w:rPr>
        <w:t>. 13 de noviembre de 2008. Unanimidad de votos. Ponente: Sara Judith Montalvo Trejo. Secretario: Arnulfo Mateos García.</w:t>
      </w:r>
    </w:p>
    <w:p w:rsidR="009D482C" w:rsidRPr="00136DBA" w:rsidRDefault="009D482C" w:rsidP="009D482C">
      <w:pPr>
        <w:spacing w:line="360" w:lineRule="auto"/>
        <w:ind w:right="565"/>
        <w:contextualSpacing/>
        <w:jc w:val="both"/>
        <w:rPr>
          <w:rFonts w:ascii="Palatino Linotype" w:eastAsia="Calibri" w:hAnsi="Palatino Linotype"/>
          <w:b/>
          <w:i/>
          <w:sz w:val="22"/>
          <w:szCs w:val="22"/>
          <w:lang w:val="es-AR"/>
        </w:rPr>
      </w:pPr>
    </w:p>
    <w:p w:rsidR="009D482C" w:rsidRDefault="009D482C" w:rsidP="009D482C">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Cs w:val="22"/>
          <w:lang w:val="es-ES"/>
        </w:rPr>
      </w:pPr>
      <w:r w:rsidRPr="00136DBA">
        <w:rPr>
          <w:rFonts w:ascii="Palatino Linotype" w:eastAsia="Calibri" w:hAnsi="Palatino Linotype" w:cs="Arial"/>
          <w:color w:val="000000" w:themeColor="text1"/>
          <w:szCs w:val="22"/>
          <w:lang w:val="es-ES"/>
        </w:rPr>
        <w:t xml:space="preserve">Consecuentemente, </w:t>
      </w:r>
      <w:r w:rsidRPr="00136DBA">
        <w:rPr>
          <w:rFonts w:ascii="Palatino Linotype" w:eastAsia="Calibri" w:hAnsi="Palatino Linotype"/>
          <w:szCs w:val="22"/>
        </w:rPr>
        <w:t>por lo que hace a los motivos de inconformidad, los mismos devienen inatendibles por actualizarse la figura del sobreseimiento, misma que impide el estudio de los agravios planteados, máxime que se ha dado cumplimiento al derecho de acceso a la información.</w:t>
      </w:r>
    </w:p>
    <w:p w:rsidR="00C40758" w:rsidRPr="00C40758" w:rsidRDefault="00C40758" w:rsidP="00C40758">
      <w:pPr>
        <w:pStyle w:val="Prrafodelista"/>
        <w:tabs>
          <w:tab w:val="left" w:pos="284"/>
        </w:tabs>
        <w:spacing w:line="360" w:lineRule="auto"/>
        <w:ind w:left="0"/>
        <w:jc w:val="both"/>
        <w:rPr>
          <w:rFonts w:ascii="Palatino Linotype" w:eastAsia="Calibri" w:hAnsi="Palatino Linotype" w:cs="Arial"/>
          <w:color w:val="000000" w:themeColor="text1"/>
          <w:szCs w:val="22"/>
          <w:lang w:val="es-ES"/>
        </w:rPr>
      </w:pPr>
    </w:p>
    <w:p w:rsidR="009D482C" w:rsidRPr="00136DBA" w:rsidRDefault="009D482C" w:rsidP="009D482C">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Cs w:val="22"/>
          <w:lang w:val="es-ES"/>
        </w:rPr>
      </w:pPr>
      <w:r w:rsidRPr="00136DBA">
        <w:rPr>
          <w:rFonts w:ascii="Palatino Linotype" w:eastAsia="Calibri" w:hAnsi="Palatino Linotype"/>
          <w:szCs w:val="22"/>
        </w:rPr>
        <w:t xml:space="preserve">Bajo </w:t>
      </w:r>
      <w:r w:rsidRPr="00136DBA">
        <w:rPr>
          <w:rFonts w:ascii="Palatino Linotype" w:eastAsia="Calibri" w:hAnsi="Palatino Linotype"/>
          <w:szCs w:val="22"/>
          <w:lang w:val="es-CO"/>
        </w:rPr>
        <w:t xml:space="preserve">ese tenor y en términos del artículo 186 fracción I este Pleno determina el </w:t>
      </w:r>
      <w:r w:rsidRPr="00136DBA">
        <w:rPr>
          <w:rFonts w:ascii="Palatino Linotype" w:eastAsia="Calibri" w:hAnsi="Palatino Linotype"/>
          <w:b/>
          <w:szCs w:val="22"/>
          <w:lang w:val="es-CO"/>
        </w:rPr>
        <w:t xml:space="preserve">SOBRESEIMIENTO </w:t>
      </w:r>
      <w:r w:rsidRPr="00136DBA">
        <w:rPr>
          <w:rFonts w:ascii="Palatino Linotype" w:eastAsia="Calibri" w:hAnsi="Palatino Linotype"/>
          <w:szCs w:val="22"/>
          <w:lang w:val="es-CO"/>
        </w:rPr>
        <w:t xml:space="preserve">del recurso de revisión </w:t>
      </w:r>
      <w:r w:rsidR="00C40758">
        <w:rPr>
          <w:rFonts w:ascii="Palatino Linotype" w:hAnsi="Palatino Linotype" w:cs="Arial"/>
          <w:b/>
          <w:bCs/>
          <w:szCs w:val="22"/>
        </w:rPr>
        <w:t>05768</w:t>
      </w:r>
      <w:r w:rsidRPr="00136DBA">
        <w:rPr>
          <w:rFonts w:ascii="Palatino Linotype" w:hAnsi="Palatino Linotype" w:cs="Arial"/>
          <w:b/>
          <w:bCs/>
          <w:szCs w:val="22"/>
        </w:rPr>
        <w:t>/INFOEM/IP/RR/2024</w:t>
      </w:r>
      <w:r w:rsidRPr="00136DBA">
        <w:rPr>
          <w:rFonts w:ascii="Palatino Linotype" w:eastAsia="Calibri" w:hAnsi="Palatino Linotype"/>
          <w:szCs w:val="22"/>
          <w:lang w:val="es-CO"/>
        </w:rPr>
        <w:t>, toda vez que la afectación al derecho de acceso a la información pública establecido constitucionalmente a favor del Particular ha sido resarcida.</w:t>
      </w:r>
    </w:p>
    <w:p w:rsidR="009D482C" w:rsidRPr="00136DBA" w:rsidRDefault="009D482C" w:rsidP="009D482C">
      <w:pPr>
        <w:pStyle w:val="Prrafodelista"/>
        <w:shd w:val="clear" w:color="auto" w:fill="FFFFFF"/>
        <w:tabs>
          <w:tab w:val="left" w:pos="284"/>
        </w:tabs>
        <w:spacing w:line="360" w:lineRule="auto"/>
        <w:ind w:left="0"/>
        <w:jc w:val="both"/>
        <w:rPr>
          <w:rFonts w:ascii="Palatino Linotype" w:hAnsi="Palatino Linotype" w:cs="Arial"/>
          <w:szCs w:val="22"/>
        </w:rPr>
      </w:pPr>
    </w:p>
    <w:p w:rsidR="009D482C" w:rsidRPr="00136DBA" w:rsidRDefault="009D482C" w:rsidP="009D482C">
      <w:pPr>
        <w:pStyle w:val="Sinespaciado"/>
        <w:numPr>
          <w:ilvl w:val="0"/>
          <w:numId w:val="1"/>
        </w:numPr>
        <w:tabs>
          <w:tab w:val="left" w:pos="284"/>
        </w:tabs>
        <w:spacing w:line="360" w:lineRule="auto"/>
        <w:ind w:left="0" w:firstLine="0"/>
        <w:contextualSpacing/>
        <w:jc w:val="both"/>
        <w:rPr>
          <w:rFonts w:ascii="Palatino Linotype" w:eastAsia="Calibri" w:hAnsi="Palatino Linotype"/>
          <w:sz w:val="22"/>
          <w:szCs w:val="22"/>
        </w:rPr>
      </w:pPr>
      <w:r w:rsidRPr="00136DBA">
        <w:rPr>
          <w:rFonts w:ascii="Palatino Linotype" w:eastAsia="Calibri" w:hAnsi="Palatino Linotype"/>
          <w:sz w:val="22"/>
          <w:szCs w:val="22"/>
        </w:rPr>
        <w:t xml:space="preserve">Por lo anteriormente expuesto y fundado, este </w:t>
      </w:r>
      <w:r w:rsidRPr="00136DBA">
        <w:rPr>
          <w:rFonts w:ascii="Palatino Linotype" w:eastAsia="Calibri" w:hAnsi="Palatino Linotype"/>
          <w:b/>
          <w:bCs/>
          <w:sz w:val="22"/>
          <w:szCs w:val="22"/>
        </w:rPr>
        <w:t>ÓRGANO GARANTE</w:t>
      </w:r>
      <w:r w:rsidRPr="00136DBA">
        <w:rPr>
          <w:rFonts w:ascii="Palatino Linotype" w:eastAsia="Calibri" w:hAnsi="Palatino Linotype"/>
          <w:sz w:val="22"/>
          <w:szCs w:val="22"/>
        </w:rPr>
        <w:t xml:space="preserve"> emite los siguientes:</w:t>
      </w:r>
      <w:bookmarkEnd w:id="12"/>
      <w:bookmarkEnd w:id="13"/>
      <w:bookmarkEnd w:id="14"/>
      <w:bookmarkEnd w:id="15"/>
    </w:p>
    <w:p w:rsidR="009D482C" w:rsidRPr="00136DBA" w:rsidRDefault="009D482C" w:rsidP="009D482C">
      <w:pPr>
        <w:pStyle w:val="Sinespaciado"/>
        <w:tabs>
          <w:tab w:val="left" w:pos="284"/>
        </w:tabs>
        <w:spacing w:line="360" w:lineRule="auto"/>
        <w:contextualSpacing/>
        <w:jc w:val="both"/>
        <w:rPr>
          <w:rFonts w:ascii="Palatino Linotype" w:eastAsia="Calibri" w:hAnsi="Palatino Linotype"/>
          <w:sz w:val="22"/>
          <w:szCs w:val="22"/>
        </w:rPr>
      </w:pPr>
    </w:p>
    <w:p w:rsidR="009D482C" w:rsidRPr="00136DBA" w:rsidRDefault="009D482C" w:rsidP="009D482C">
      <w:pPr>
        <w:spacing w:line="360" w:lineRule="auto"/>
        <w:jc w:val="center"/>
        <w:rPr>
          <w:rFonts w:ascii="Palatino Linotype" w:hAnsi="Palatino Linotype"/>
          <w:b/>
          <w:sz w:val="22"/>
          <w:szCs w:val="22"/>
          <w:lang w:val="es-ES"/>
        </w:rPr>
      </w:pPr>
      <w:r w:rsidRPr="00136DBA">
        <w:rPr>
          <w:rFonts w:ascii="Palatino Linotype" w:hAnsi="Palatino Linotype"/>
          <w:b/>
          <w:sz w:val="22"/>
          <w:szCs w:val="22"/>
          <w:lang w:val="es-ES"/>
        </w:rPr>
        <w:t>R E S O L U T I V O S</w:t>
      </w:r>
    </w:p>
    <w:p w:rsidR="009D482C" w:rsidRPr="00136DBA" w:rsidRDefault="009D482C" w:rsidP="009D482C">
      <w:pPr>
        <w:pStyle w:val="Sinespaciado"/>
        <w:spacing w:line="360" w:lineRule="auto"/>
        <w:jc w:val="both"/>
        <w:rPr>
          <w:rFonts w:ascii="Palatino Linotype" w:hAnsi="Palatino Linotype"/>
          <w:sz w:val="22"/>
          <w:szCs w:val="22"/>
        </w:rPr>
      </w:pPr>
    </w:p>
    <w:p w:rsidR="009D482C" w:rsidRPr="00136DBA" w:rsidRDefault="009D482C" w:rsidP="009D482C">
      <w:pPr>
        <w:spacing w:line="360" w:lineRule="auto"/>
        <w:jc w:val="both"/>
        <w:rPr>
          <w:rFonts w:ascii="Palatino Linotype" w:eastAsiaTheme="minorHAnsi" w:hAnsi="Palatino Linotype" w:cstheme="minorBidi"/>
          <w:sz w:val="22"/>
          <w:szCs w:val="22"/>
          <w:lang w:eastAsia="en-US"/>
        </w:rPr>
      </w:pPr>
      <w:r w:rsidRPr="00136DBA">
        <w:rPr>
          <w:rFonts w:ascii="Palatino Linotype" w:eastAsiaTheme="minorHAnsi" w:hAnsi="Palatino Linotype" w:cstheme="minorBidi"/>
          <w:b/>
          <w:sz w:val="22"/>
          <w:szCs w:val="22"/>
          <w:lang w:eastAsia="en-US"/>
        </w:rPr>
        <w:t xml:space="preserve">PRIMERO. </w:t>
      </w:r>
      <w:r w:rsidRPr="00136DBA">
        <w:rPr>
          <w:rFonts w:ascii="Palatino Linotype" w:eastAsia="MS Mincho" w:hAnsi="Palatino Linotype"/>
          <w:sz w:val="22"/>
          <w:szCs w:val="22"/>
          <w:lang w:val="es-ES_tradnl" w:eastAsia="es-ES"/>
        </w:rPr>
        <w:t xml:space="preserve">Se </w:t>
      </w:r>
      <w:r w:rsidRPr="00136DBA">
        <w:rPr>
          <w:rFonts w:ascii="Palatino Linotype" w:eastAsia="MS Mincho" w:hAnsi="Palatino Linotype"/>
          <w:b/>
          <w:sz w:val="22"/>
          <w:szCs w:val="22"/>
          <w:lang w:val="es-ES_tradnl" w:eastAsia="es-ES"/>
        </w:rPr>
        <w:t>SOBRESEE</w:t>
      </w:r>
      <w:r w:rsidRPr="00136DBA">
        <w:rPr>
          <w:rFonts w:ascii="Palatino Linotype" w:eastAsia="MS Mincho" w:hAnsi="Palatino Linotype"/>
          <w:sz w:val="22"/>
          <w:szCs w:val="22"/>
          <w:lang w:val="es-ES_tradnl" w:eastAsia="es-ES"/>
        </w:rPr>
        <w:t xml:space="preserve"> el recurso de revisión número </w:t>
      </w:r>
      <w:r w:rsidR="00C40758">
        <w:rPr>
          <w:rFonts w:ascii="Palatino Linotype" w:eastAsia="MS Mincho" w:hAnsi="Palatino Linotype"/>
          <w:b/>
          <w:sz w:val="22"/>
          <w:szCs w:val="22"/>
          <w:lang w:val="es-ES_tradnl" w:eastAsia="es-ES"/>
        </w:rPr>
        <w:t>05768</w:t>
      </w:r>
      <w:r w:rsidRPr="00136DBA">
        <w:rPr>
          <w:rFonts w:ascii="Palatino Linotype" w:eastAsia="MS Mincho" w:hAnsi="Palatino Linotype"/>
          <w:b/>
          <w:sz w:val="22"/>
          <w:szCs w:val="22"/>
          <w:lang w:val="es-ES_tradnl" w:eastAsia="es-ES"/>
        </w:rPr>
        <w:t xml:space="preserve">/INFOEM/IP/RR/2024 </w:t>
      </w:r>
      <w:r w:rsidRPr="00136DBA">
        <w:rPr>
          <w:rFonts w:ascii="Palatino Linotype" w:eastAsia="MS Mincho" w:hAnsi="Palatino Linotype"/>
          <w:bCs/>
          <w:sz w:val="22"/>
          <w:szCs w:val="22"/>
          <w:lang w:val="es-ES_tradnl" w:eastAsia="es-ES"/>
        </w:rPr>
        <w:t>conforme al artículo 192</w:t>
      </w:r>
      <w:r w:rsidR="00F35460">
        <w:rPr>
          <w:rFonts w:ascii="Palatino Linotype" w:eastAsia="MS Mincho" w:hAnsi="Palatino Linotype"/>
          <w:bCs/>
          <w:sz w:val="22"/>
          <w:szCs w:val="22"/>
          <w:lang w:val="es-ES_tradnl" w:eastAsia="es-ES"/>
        </w:rPr>
        <w:t>,</w:t>
      </w:r>
      <w:r w:rsidRPr="00136DBA">
        <w:rPr>
          <w:rFonts w:ascii="Palatino Linotype" w:eastAsia="MS Mincho" w:hAnsi="Palatino Linotype"/>
          <w:bCs/>
          <w:sz w:val="22"/>
          <w:szCs w:val="22"/>
          <w:lang w:val="es-ES_tradnl" w:eastAsia="es-ES"/>
        </w:rPr>
        <w:t xml:space="preserve"> fracción III</w:t>
      </w:r>
      <w:r w:rsidR="00F35460">
        <w:rPr>
          <w:rFonts w:ascii="Palatino Linotype" w:eastAsia="MS Mincho" w:hAnsi="Palatino Linotype"/>
          <w:bCs/>
          <w:sz w:val="22"/>
          <w:szCs w:val="22"/>
          <w:lang w:val="es-ES_tradnl" w:eastAsia="es-ES"/>
        </w:rPr>
        <w:t>,</w:t>
      </w:r>
      <w:r w:rsidRPr="00136DBA">
        <w:rPr>
          <w:rFonts w:ascii="Palatino Linotype" w:eastAsia="MS Mincho" w:hAnsi="Palatino Linotype"/>
          <w:bCs/>
          <w:sz w:val="22"/>
          <w:szCs w:val="22"/>
          <w:lang w:val="es-ES_tradnl" w:eastAsia="es-ES"/>
        </w:rPr>
        <w:t xml:space="preserve"> de la Ley de Transparencia y Acceso a la Información Pública del Estado de México y Municipios,</w:t>
      </w:r>
      <w:r w:rsidRPr="00136DBA">
        <w:rPr>
          <w:rFonts w:ascii="Palatino Linotype" w:eastAsia="MS Mincho" w:hAnsi="Palatino Linotype"/>
          <w:sz w:val="22"/>
          <w:szCs w:val="22"/>
          <w:lang w:val="es-ES_tradnl" w:eastAsia="es-ES"/>
        </w:rPr>
        <w:t xml:space="preserve"> porque al </w:t>
      </w:r>
      <w:r w:rsidRPr="00136DBA">
        <w:rPr>
          <w:rFonts w:ascii="Palatino Linotype" w:eastAsia="MS Mincho" w:hAnsi="Palatino Linotype"/>
          <w:b/>
          <w:bCs/>
          <w:sz w:val="22"/>
          <w:szCs w:val="22"/>
          <w:lang w:val="es-ES_tradnl" w:eastAsia="es-ES"/>
        </w:rPr>
        <w:t>modificar la respuesta a través del informe justificado y atender lo solicitado</w:t>
      </w:r>
      <w:r w:rsidRPr="00136DBA">
        <w:rPr>
          <w:rFonts w:ascii="Palatino Linotype" w:eastAsia="MS Mincho" w:hAnsi="Palatino Linotype"/>
          <w:sz w:val="22"/>
          <w:szCs w:val="22"/>
          <w:lang w:val="es-ES_tradnl" w:eastAsia="es-ES"/>
        </w:rPr>
        <w:t xml:space="preserve">, el recurso de revisión quedó sin materia en términos del Considerando </w:t>
      </w:r>
      <w:r w:rsidRPr="00136DBA">
        <w:rPr>
          <w:rFonts w:ascii="Palatino Linotype" w:eastAsia="MS Mincho" w:hAnsi="Palatino Linotype"/>
          <w:b/>
          <w:sz w:val="22"/>
          <w:szCs w:val="22"/>
          <w:lang w:val="es-ES_tradnl" w:eastAsia="es-ES"/>
        </w:rPr>
        <w:t>TERCERO</w:t>
      </w:r>
      <w:r w:rsidRPr="00136DBA">
        <w:rPr>
          <w:rFonts w:ascii="Palatino Linotype" w:eastAsia="MS Mincho" w:hAnsi="Palatino Linotype"/>
          <w:sz w:val="22"/>
          <w:szCs w:val="22"/>
          <w:lang w:val="es-ES_tradnl" w:eastAsia="es-ES"/>
        </w:rPr>
        <w:t xml:space="preserve"> de la presente resolución.</w:t>
      </w:r>
    </w:p>
    <w:p w:rsidR="009D482C" w:rsidRPr="00136DBA" w:rsidRDefault="009D482C" w:rsidP="009D482C">
      <w:pPr>
        <w:spacing w:line="360" w:lineRule="auto"/>
        <w:jc w:val="both"/>
        <w:rPr>
          <w:rFonts w:ascii="Palatino Linotype" w:eastAsiaTheme="minorHAnsi" w:hAnsi="Palatino Linotype" w:cstheme="minorBidi"/>
          <w:sz w:val="22"/>
          <w:szCs w:val="22"/>
          <w:lang w:eastAsia="en-US"/>
        </w:rPr>
      </w:pPr>
    </w:p>
    <w:p w:rsidR="009D482C" w:rsidRPr="00136DBA" w:rsidRDefault="009D482C" w:rsidP="009D482C">
      <w:pPr>
        <w:spacing w:line="360" w:lineRule="auto"/>
        <w:jc w:val="both"/>
        <w:rPr>
          <w:rFonts w:ascii="Palatino Linotype" w:eastAsia="Calibri" w:hAnsi="Palatino Linotype" w:cs="Arial"/>
          <w:b/>
          <w:bCs/>
          <w:sz w:val="22"/>
          <w:szCs w:val="22"/>
          <w:lang w:val="es-ES" w:eastAsia="en-US"/>
        </w:rPr>
      </w:pPr>
      <w:r w:rsidRPr="00136DBA">
        <w:rPr>
          <w:rFonts w:ascii="Palatino Linotype" w:eastAsia="Calibri" w:hAnsi="Palatino Linotype" w:cs="Arial"/>
          <w:b/>
          <w:bCs/>
          <w:sz w:val="22"/>
          <w:szCs w:val="22"/>
          <w:lang w:val="es-ES" w:eastAsia="en-US"/>
        </w:rPr>
        <w:lastRenderedPageBreak/>
        <w:t xml:space="preserve">SEGUNDO. REMÍTASE </w:t>
      </w:r>
      <w:r w:rsidRPr="00136DBA">
        <w:rPr>
          <w:rFonts w:ascii="Palatino Linotype" w:eastAsia="Calibri" w:hAnsi="Palatino Linotype" w:cs="Arial"/>
          <w:bCs/>
          <w:sz w:val="22"/>
          <w:szCs w:val="22"/>
          <w:lang w:val="es-ES" w:eastAsia="en-US"/>
        </w:rPr>
        <w:t xml:space="preserve">a través del Sistema de Acceso a la Información Mexiquense </w:t>
      </w:r>
      <w:r w:rsidRPr="00136DBA">
        <w:rPr>
          <w:rFonts w:ascii="Palatino Linotype" w:eastAsia="Calibri" w:hAnsi="Palatino Linotype" w:cs="Arial"/>
          <w:b/>
          <w:bCs/>
          <w:sz w:val="22"/>
          <w:szCs w:val="22"/>
          <w:lang w:val="es-ES" w:eastAsia="en-US"/>
        </w:rPr>
        <w:t xml:space="preserve">(SAIMEX) </w:t>
      </w:r>
      <w:r w:rsidRPr="00136DBA">
        <w:rPr>
          <w:rFonts w:ascii="Palatino Linotype" w:eastAsia="Calibri" w:hAnsi="Palatino Linotype" w:cs="Arial"/>
          <w:bCs/>
          <w:sz w:val="22"/>
          <w:szCs w:val="22"/>
          <w:lang w:val="es-ES" w:eastAsia="en-US"/>
        </w:rPr>
        <w:t>la presente resolución al Titular de la Unidad de Transparencia del</w:t>
      </w:r>
      <w:r w:rsidRPr="00136DBA">
        <w:rPr>
          <w:rFonts w:ascii="Palatino Linotype" w:eastAsia="Calibri" w:hAnsi="Palatino Linotype" w:cs="Arial"/>
          <w:b/>
          <w:bCs/>
          <w:sz w:val="22"/>
          <w:szCs w:val="22"/>
          <w:lang w:val="es-ES" w:eastAsia="en-US"/>
        </w:rPr>
        <w:t xml:space="preserve"> SUJETO OBLIGADO. </w:t>
      </w:r>
    </w:p>
    <w:p w:rsidR="009D482C" w:rsidRPr="00136DBA" w:rsidRDefault="009D482C" w:rsidP="009D482C">
      <w:pPr>
        <w:tabs>
          <w:tab w:val="left" w:pos="3263"/>
        </w:tabs>
        <w:spacing w:line="360" w:lineRule="auto"/>
        <w:jc w:val="both"/>
        <w:rPr>
          <w:rFonts w:ascii="Palatino Linotype" w:eastAsia="Palatino Linotype" w:hAnsi="Palatino Linotype" w:cs="Palatino Linotype"/>
          <w:b/>
          <w:sz w:val="22"/>
          <w:szCs w:val="22"/>
          <w:lang w:eastAsia="en-US"/>
        </w:rPr>
      </w:pPr>
      <w:r w:rsidRPr="00136DBA">
        <w:rPr>
          <w:rFonts w:ascii="Palatino Linotype" w:eastAsia="Palatino Linotype" w:hAnsi="Palatino Linotype" w:cs="Palatino Linotype"/>
          <w:b/>
          <w:sz w:val="22"/>
          <w:szCs w:val="22"/>
          <w:lang w:eastAsia="en-US"/>
        </w:rPr>
        <w:tab/>
      </w:r>
    </w:p>
    <w:p w:rsidR="009D482C" w:rsidRPr="00136DBA" w:rsidRDefault="009D482C" w:rsidP="009D482C">
      <w:pPr>
        <w:spacing w:line="360" w:lineRule="auto"/>
        <w:jc w:val="both"/>
        <w:rPr>
          <w:rFonts w:ascii="Palatino Linotype" w:hAnsi="Palatino Linotype"/>
          <w:color w:val="222222"/>
          <w:sz w:val="22"/>
          <w:szCs w:val="22"/>
          <w:lang w:val="es-ES"/>
        </w:rPr>
      </w:pPr>
      <w:r w:rsidRPr="00136DBA">
        <w:rPr>
          <w:rFonts w:ascii="Palatino Linotype" w:hAnsi="Palatino Linotype" w:cs="Arial"/>
          <w:b/>
          <w:sz w:val="22"/>
          <w:szCs w:val="22"/>
          <w:lang w:eastAsia="en-US"/>
        </w:rPr>
        <w:t xml:space="preserve">TERCERO. </w:t>
      </w:r>
      <w:r w:rsidRPr="00136DBA">
        <w:rPr>
          <w:rFonts w:ascii="Palatino Linotype" w:hAnsi="Palatino Linotype"/>
          <w:b/>
          <w:bCs/>
          <w:sz w:val="22"/>
          <w:szCs w:val="22"/>
          <w:lang w:val="es-ES" w:eastAsia="en-US"/>
        </w:rPr>
        <w:t xml:space="preserve">Notifíquese </w:t>
      </w:r>
      <w:r w:rsidRPr="00136DBA">
        <w:rPr>
          <w:rFonts w:ascii="Palatino Linotype" w:hAnsi="Palatino Linotype"/>
          <w:bCs/>
          <w:sz w:val="22"/>
          <w:szCs w:val="22"/>
          <w:lang w:val="es-ES" w:eastAsia="en-US"/>
        </w:rPr>
        <w:t xml:space="preserve">al </w:t>
      </w:r>
      <w:r w:rsidRPr="00136DBA">
        <w:rPr>
          <w:rFonts w:ascii="Palatino Linotype" w:hAnsi="Palatino Linotype"/>
          <w:b/>
          <w:bCs/>
          <w:sz w:val="22"/>
          <w:szCs w:val="22"/>
          <w:lang w:val="es-ES" w:eastAsia="en-US"/>
        </w:rPr>
        <w:t>RECURRENTE</w:t>
      </w:r>
      <w:r w:rsidRPr="00136DBA">
        <w:rPr>
          <w:rFonts w:ascii="Palatino Linotype" w:eastAsiaTheme="minorHAnsi" w:hAnsi="Palatino Linotype" w:cstheme="minorBidi"/>
          <w:sz w:val="22"/>
          <w:szCs w:val="22"/>
          <w:lang w:eastAsia="en-US"/>
        </w:rPr>
        <w:t xml:space="preserve"> </w:t>
      </w:r>
      <w:r w:rsidRPr="00136DBA">
        <w:rPr>
          <w:rFonts w:ascii="Palatino Linotype" w:hAnsi="Palatino Linotype"/>
          <w:sz w:val="22"/>
          <w:szCs w:val="22"/>
          <w:lang w:val="es-ES"/>
        </w:rPr>
        <w:t>la presente resolución vía SAIMEX.</w:t>
      </w:r>
    </w:p>
    <w:p w:rsidR="009D482C" w:rsidRPr="00136DBA" w:rsidRDefault="009D482C" w:rsidP="009D482C">
      <w:pPr>
        <w:spacing w:line="360" w:lineRule="auto"/>
        <w:jc w:val="both"/>
        <w:rPr>
          <w:rFonts w:ascii="Palatino Linotype" w:hAnsi="Palatino Linotype"/>
          <w:color w:val="222222"/>
          <w:sz w:val="22"/>
          <w:szCs w:val="22"/>
          <w:lang w:val="es-ES"/>
        </w:rPr>
      </w:pPr>
    </w:p>
    <w:p w:rsidR="009D482C" w:rsidRPr="00136DBA" w:rsidRDefault="009D482C" w:rsidP="009D482C">
      <w:pPr>
        <w:spacing w:line="360" w:lineRule="auto"/>
        <w:jc w:val="both"/>
        <w:rPr>
          <w:rFonts w:ascii="Palatino Linotype" w:eastAsia="MS Mincho" w:hAnsi="Palatino Linotype"/>
          <w:sz w:val="22"/>
          <w:szCs w:val="22"/>
          <w:lang w:val="es-ES" w:eastAsia="es-ES"/>
        </w:rPr>
      </w:pPr>
      <w:r w:rsidRPr="00136DBA">
        <w:rPr>
          <w:rFonts w:ascii="Palatino Linotype" w:eastAsia="MS Mincho" w:hAnsi="Palatino Linotype"/>
          <w:b/>
          <w:sz w:val="22"/>
          <w:szCs w:val="22"/>
          <w:lang w:eastAsia="es-ES"/>
        </w:rPr>
        <w:t>CUARTO.</w:t>
      </w:r>
      <w:r w:rsidRPr="00136DBA">
        <w:rPr>
          <w:rFonts w:ascii="Palatino Linotype" w:eastAsia="MS Mincho" w:hAnsi="Palatino Linotype"/>
          <w:sz w:val="22"/>
          <w:szCs w:val="22"/>
          <w:lang w:eastAsia="es-ES"/>
        </w:rPr>
        <w:t xml:space="preserve"> </w:t>
      </w:r>
      <w:r w:rsidRPr="00136DBA">
        <w:rPr>
          <w:rFonts w:ascii="Palatino Linotype" w:eastAsia="MS Mincho" w:hAnsi="Palatino Linotype"/>
          <w:sz w:val="22"/>
          <w:szCs w:val="22"/>
          <w:lang w:val="es-ES" w:eastAsia="es-ES"/>
        </w:rPr>
        <w:t xml:space="preserve">Se hace del conocimiento del </w:t>
      </w:r>
      <w:r w:rsidRPr="00136DBA">
        <w:rPr>
          <w:rFonts w:ascii="Palatino Linotype" w:hAnsi="Palatino Linotype"/>
          <w:b/>
          <w:bCs/>
          <w:sz w:val="22"/>
          <w:szCs w:val="22"/>
          <w:lang w:val="es-ES" w:eastAsia="es-ES"/>
        </w:rPr>
        <w:t>RECURRENTE</w:t>
      </w:r>
      <w:r w:rsidRPr="00136DBA">
        <w:rPr>
          <w:rFonts w:ascii="Palatino Linotype" w:eastAsiaTheme="minorEastAsia" w:hAnsi="Palatino Linotype" w:cstheme="minorBidi"/>
          <w:sz w:val="22"/>
          <w:szCs w:val="22"/>
          <w:lang w:val="es-ES_tradnl" w:eastAsia="es-ES"/>
        </w:rPr>
        <w:t xml:space="preserve">  </w:t>
      </w:r>
      <w:r w:rsidRPr="00136DBA">
        <w:rPr>
          <w:rFonts w:ascii="Palatino Linotype" w:eastAsia="MS Mincho" w:hAnsi="Palatino Linotype"/>
          <w:sz w:val="22"/>
          <w:szCs w:val="22"/>
          <w:lang w:val="es-ES" w:eastAsia="es-ES"/>
        </w:rPr>
        <w:t>que, de conformidad con lo establecido en el artículo 196 de la Ley de Transparencia y Acceso a la Información Pública del Estado de México y Municipios, en caso de que considere que la resolución le cause algún perjuicio podrá impugnarla </w:t>
      </w:r>
      <w:r w:rsidRPr="00136DBA">
        <w:rPr>
          <w:rFonts w:ascii="Palatino Linotype" w:eastAsia="MS Mincho" w:hAnsi="Palatino Linotype"/>
          <w:bCs/>
          <w:sz w:val="22"/>
          <w:szCs w:val="22"/>
          <w:lang w:val="es-ES" w:eastAsia="es-ES"/>
        </w:rPr>
        <w:t>vía juicio de amparo</w:t>
      </w:r>
      <w:r w:rsidRPr="00136DBA">
        <w:rPr>
          <w:rFonts w:ascii="Palatino Linotype" w:eastAsia="MS Mincho" w:hAnsi="Palatino Linotype"/>
          <w:sz w:val="22"/>
          <w:szCs w:val="22"/>
          <w:lang w:val="es-ES" w:eastAsia="es-ES"/>
        </w:rPr>
        <w:t> en los términos de las leyes aplicables.</w:t>
      </w:r>
    </w:p>
    <w:p w:rsidR="009D482C" w:rsidRPr="00136DBA" w:rsidRDefault="009D482C" w:rsidP="009D482C">
      <w:pPr>
        <w:spacing w:line="360" w:lineRule="auto"/>
        <w:ind w:right="48"/>
        <w:jc w:val="both"/>
        <w:rPr>
          <w:rFonts w:ascii="Palatino Linotype" w:hAnsi="Palatino Linotype"/>
          <w:sz w:val="22"/>
          <w:szCs w:val="22"/>
        </w:rPr>
      </w:pPr>
    </w:p>
    <w:p w:rsidR="00F35460" w:rsidRPr="003C7186" w:rsidRDefault="00F35460" w:rsidP="00F35460">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bookmarkStart w:id="16" w:name="_GoBack"/>
      <w:bookmarkEnd w:id="16"/>
    </w:p>
    <w:p w:rsidR="009D482C" w:rsidRPr="00136DBA" w:rsidRDefault="009D482C" w:rsidP="009D482C">
      <w:pPr>
        <w:spacing w:line="360" w:lineRule="auto"/>
        <w:ind w:right="49"/>
        <w:jc w:val="both"/>
        <w:rPr>
          <w:rFonts w:ascii="Palatino Linotype" w:eastAsiaTheme="minorEastAsia" w:hAnsi="Palatino Linotype" w:cs="Arial"/>
          <w:sz w:val="22"/>
          <w:szCs w:val="22"/>
          <w:lang w:val="es-ES_tradnl" w:eastAsia="es-ES"/>
        </w:rPr>
      </w:pPr>
    </w:p>
    <w:p w:rsidR="009D482C" w:rsidRPr="00136DBA" w:rsidRDefault="009D482C" w:rsidP="009D482C">
      <w:pPr>
        <w:spacing w:line="360" w:lineRule="auto"/>
        <w:ind w:right="49"/>
        <w:jc w:val="both"/>
        <w:rPr>
          <w:rFonts w:ascii="Palatino Linotype" w:eastAsiaTheme="minorEastAsia" w:hAnsi="Palatino Linotype" w:cs="Arial"/>
          <w:sz w:val="22"/>
          <w:szCs w:val="22"/>
          <w:lang w:val="es-ES_tradnl" w:eastAsia="es-ES"/>
        </w:rPr>
      </w:pPr>
    </w:p>
    <w:p w:rsidR="009D482C" w:rsidRPr="00136DBA" w:rsidRDefault="009D482C" w:rsidP="009D482C">
      <w:pPr>
        <w:spacing w:line="360" w:lineRule="auto"/>
        <w:ind w:right="49"/>
        <w:jc w:val="both"/>
        <w:rPr>
          <w:rFonts w:ascii="Palatino Linotype" w:eastAsiaTheme="minorEastAsia" w:hAnsi="Palatino Linotype" w:cs="Arial"/>
          <w:sz w:val="22"/>
          <w:szCs w:val="22"/>
          <w:lang w:val="es-ES_tradnl" w:eastAsia="es-ES"/>
        </w:rPr>
      </w:pPr>
    </w:p>
    <w:p w:rsidR="009D482C" w:rsidRPr="00136DBA" w:rsidRDefault="009D482C" w:rsidP="009D482C">
      <w:pPr>
        <w:spacing w:line="360" w:lineRule="auto"/>
        <w:ind w:right="49"/>
        <w:jc w:val="both"/>
        <w:rPr>
          <w:rFonts w:ascii="Palatino Linotype" w:eastAsiaTheme="minorEastAsia" w:hAnsi="Palatino Linotype" w:cs="Arial"/>
          <w:sz w:val="22"/>
          <w:szCs w:val="22"/>
          <w:lang w:val="es-ES_tradnl" w:eastAsia="es-ES"/>
        </w:rPr>
      </w:pPr>
    </w:p>
    <w:p w:rsidR="009D482C" w:rsidRPr="00136DBA" w:rsidRDefault="009D482C" w:rsidP="009D482C">
      <w:pPr>
        <w:spacing w:line="360" w:lineRule="auto"/>
        <w:ind w:right="49"/>
        <w:jc w:val="both"/>
        <w:rPr>
          <w:rFonts w:ascii="Palatino Linotype" w:eastAsiaTheme="minorEastAsia" w:hAnsi="Palatino Linotype" w:cs="Arial"/>
          <w:sz w:val="22"/>
          <w:szCs w:val="22"/>
          <w:lang w:val="es-ES_tradnl" w:eastAsia="es-ES"/>
        </w:rPr>
      </w:pPr>
    </w:p>
    <w:p w:rsidR="009D482C" w:rsidRPr="00136DBA" w:rsidRDefault="009D482C" w:rsidP="009D482C">
      <w:pPr>
        <w:spacing w:line="360" w:lineRule="auto"/>
        <w:ind w:right="49"/>
        <w:jc w:val="both"/>
        <w:rPr>
          <w:rFonts w:ascii="Palatino Linotype" w:eastAsiaTheme="minorEastAsia" w:hAnsi="Palatino Linotype" w:cs="Arial"/>
          <w:sz w:val="22"/>
          <w:szCs w:val="22"/>
          <w:lang w:val="es-ES_tradnl" w:eastAsia="es-ES"/>
        </w:rPr>
      </w:pPr>
    </w:p>
    <w:p w:rsidR="009D482C" w:rsidRPr="00136DBA" w:rsidRDefault="009D482C" w:rsidP="009D482C">
      <w:pPr>
        <w:spacing w:line="360" w:lineRule="auto"/>
        <w:ind w:right="49"/>
        <w:jc w:val="both"/>
        <w:rPr>
          <w:rFonts w:ascii="Palatino Linotype" w:eastAsiaTheme="minorEastAsia" w:hAnsi="Palatino Linotype" w:cs="Arial"/>
          <w:sz w:val="22"/>
          <w:szCs w:val="22"/>
          <w:lang w:val="es-ES_tradnl" w:eastAsia="es-ES"/>
        </w:rPr>
      </w:pPr>
    </w:p>
    <w:p w:rsidR="009D482C" w:rsidRPr="00136DBA" w:rsidRDefault="009D482C" w:rsidP="009D482C">
      <w:pPr>
        <w:spacing w:line="360" w:lineRule="auto"/>
        <w:ind w:right="49"/>
        <w:jc w:val="both"/>
        <w:rPr>
          <w:rFonts w:ascii="Palatino Linotype" w:eastAsiaTheme="minorEastAsia" w:hAnsi="Palatino Linotype" w:cs="Arial"/>
          <w:sz w:val="22"/>
          <w:szCs w:val="22"/>
          <w:lang w:val="es-ES_tradnl" w:eastAsia="es-ES"/>
        </w:rPr>
      </w:pPr>
    </w:p>
    <w:p w:rsidR="009D482C" w:rsidRPr="00136DBA" w:rsidRDefault="009D482C" w:rsidP="009D482C">
      <w:pPr>
        <w:spacing w:line="360" w:lineRule="auto"/>
        <w:rPr>
          <w:rFonts w:ascii="Palatino Linotype" w:hAnsi="Palatino Linotype"/>
          <w:sz w:val="22"/>
          <w:szCs w:val="22"/>
        </w:rPr>
      </w:pPr>
    </w:p>
    <w:p w:rsidR="009D482C" w:rsidRPr="00136DBA" w:rsidRDefault="009D482C" w:rsidP="009D482C">
      <w:pPr>
        <w:rPr>
          <w:sz w:val="22"/>
          <w:szCs w:val="22"/>
        </w:rPr>
      </w:pPr>
    </w:p>
    <w:p w:rsidR="009D482C" w:rsidRPr="00136DBA" w:rsidRDefault="009D482C" w:rsidP="009D482C">
      <w:pPr>
        <w:rPr>
          <w:sz w:val="22"/>
          <w:szCs w:val="22"/>
        </w:rPr>
      </w:pPr>
    </w:p>
    <w:p w:rsidR="009D482C" w:rsidRPr="00136DBA" w:rsidRDefault="009D482C" w:rsidP="009D482C">
      <w:pPr>
        <w:rPr>
          <w:sz w:val="22"/>
          <w:szCs w:val="22"/>
        </w:rPr>
      </w:pPr>
    </w:p>
    <w:p w:rsidR="009D482C" w:rsidRPr="00136DBA" w:rsidRDefault="009D482C" w:rsidP="009D482C">
      <w:pPr>
        <w:rPr>
          <w:sz w:val="22"/>
          <w:szCs w:val="22"/>
        </w:rPr>
      </w:pPr>
    </w:p>
    <w:p w:rsidR="009D482C" w:rsidRPr="00136DBA" w:rsidRDefault="009D482C" w:rsidP="009D482C">
      <w:pPr>
        <w:rPr>
          <w:sz w:val="22"/>
          <w:szCs w:val="22"/>
        </w:rPr>
      </w:pPr>
    </w:p>
    <w:p w:rsidR="009D482C" w:rsidRPr="00136DBA" w:rsidRDefault="009D482C" w:rsidP="009D482C">
      <w:pPr>
        <w:rPr>
          <w:sz w:val="22"/>
          <w:szCs w:val="22"/>
        </w:rPr>
      </w:pPr>
    </w:p>
    <w:p w:rsidR="009D482C" w:rsidRPr="00136DBA" w:rsidRDefault="009D482C" w:rsidP="009D482C">
      <w:pPr>
        <w:rPr>
          <w:sz w:val="22"/>
          <w:szCs w:val="22"/>
        </w:rPr>
      </w:pPr>
    </w:p>
    <w:p w:rsidR="009D482C" w:rsidRPr="00136DBA" w:rsidRDefault="009D482C" w:rsidP="009D482C">
      <w:pPr>
        <w:rPr>
          <w:sz w:val="22"/>
          <w:szCs w:val="22"/>
        </w:rPr>
      </w:pPr>
    </w:p>
    <w:p w:rsidR="009D482C" w:rsidRPr="00136DBA" w:rsidRDefault="009D482C" w:rsidP="009D482C">
      <w:pPr>
        <w:rPr>
          <w:sz w:val="22"/>
          <w:szCs w:val="22"/>
        </w:rPr>
      </w:pPr>
    </w:p>
    <w:p w:rsidR="00175BD3" w:rsidRPr="00136DBA" w:rsidRDefault="00175BD3">
      <w:pPr>
        <w:rPr>
          <w:sz w:val="22"/>
          <w:szCs w:val="22"/>
        </w:rPr>
      </w:pPr>
    </w:p>
    <w:sectPr w:rsidR="00175BD3" w:rsidRPr="00136DBA" w:rsidSect="009D482C">
      <w:headerReference w:type="even" r:id="rId15"/>
      <w:headerReference w:type="default" r:id="rId16"/>
      <w:footerReference w:type="default" r:id="rId17"/>
      <w:headerReference w:type="first" r:id="rId18"/>
      <w:footerReference w:type="first" r:id="rId19"/>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154" w:rsidRDefault="00E66154" w:rsidP="009D482C">
      <w:r>
        <w:separator/>
      </w:r>
    </w:p>
  </w:endnote>
  <w:endnote w:type="continuationSeparator" w:id="0">
    <w:p w:rsidR="00E66154" w:rsidRDefault="00E66154" w:rsidP="009D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BA" w:rsidRDefault="00136DBA">
    <w:pPr>
      <w:pStyle w:val="Piedepgina"/>
      <w:jc w:val="right"/>
    </w:pPr>
    <w:r>
      <w:rPr>
        <w:lang w:val="es-ES"/>
      </w:rPr>
      <w:t xml:space="preserve">Página </w:t>
    </w:r>
    <w:r>
      <w:rPr>
        <w:b/>
        <w:bCs/>
      </w:rPr>
      <w:fldChar w:fldCharType="begin"/>
    </w:r>
    <w:r>
      <w:rPr>
        <w:b/>
        <w:bCs/>
      </w:rPr>
      <w:instrText>PAGE</w:instrText>
    </w:r>
    <w:r>
      <w:rPr>
        <w:b/>
        <w:bCs/>
      </w:rPr>
      <w:fldChar w:fldCharType="separate"/>
    </w:r>
    <w:r w:rsidR="00336AE0">
      <w:rPr>
        <w:b/>
        <w:bCs/>
        <w:noProof/>
      </w:rPr>
      <w:t>20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36AE0">
      <w:rPr>
        <w:b/>
        <w:bCs/>
        <w:noProof/>
      </w:rPr>
      <w:t>21</w:t>
    </w:r>
    <w:r>
      <w:rPr>
        <w:b/>
        <w:bCs/>
      </w:rPr>
      <w:fldChar w:fldCharType="end"/>
    </w:r>
  </w:p>
  <w:p w:rsidR="00136DBA" w:rsidRDefault="00136D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BA" w:rsidRDefault="00136DBA">
    <w:pPr>
      <w:pStyle w:val="Piedepgina"/>
      <w:jc w:val="right"/>
    </w:pPr>
    <w:r>
      <w:rPr>
        <w:lang w:val="es-ES"/>
      </w:rPr>
      <w:t xml:space="preserve">Página </w:t>
    </w:r>
    <w:r>
      <w:rPr>
        <w:b/>
        <w:bCs/>
      </w:rPr>
      <w:fldChar w:fldCharType="begin"/>
    </w:r>
    <w:r>
      <w:rPr>
        <w:b/>
        <w:bCs/>
      </w:rPr>
      <w:instrText>PAGE</w:instrText>
    </w:r>
    <w:r>
      <w:rPr>
        <w:b/>
        <w:bCs/>
      </w:rPr>
      <w:fldChar w:fldCharType="separate"/>
    </w:r>
    <w:r w:rsidR="00336AE0">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36AE0">
      <w:rPr>
        <w:b/>
        <w:bCs/>
        <w:noProof/>
      </w:rPr>
      <w:t>21</w:t>
    </w:r>
    <w:r>
      <w:rPr>
        <w:b/>
        <w:bCs/>
      </w:rPr>
      <w:fldChar w:fldCharType="end"/>
    </w:r>
  </w:p>
  <w:p w:rsidR="00136DBA" w:rsidRDefault="00136D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154" w:rsidRDefault="00E66154" w:rsidP="009D482C">
      <w:r>
        <w:separator/>
      </w:r>
    </w:p>
  </w:footnote>
  <w:footnote w:type="continuationSeparator" w:id="0">
    <w:p w:rsidR="00E66154" w:rsidRDefault="00E66154" w:rsidP="009D4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BA" w:rsidRDefault="00E6615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136DBA" w:rsidRPr="005C106F" w:rsidTr="009D482C">
      <w:trPr>
        <w:trHeight w:val="1435"/>
      </w:trPr>
      <w:tc>
        <w:tcPr>
          <w:tcW w:w="2268" w:type="dxa"/>
          <w:shd w:val="clear" w:color="auto" w:fill="auto"/>
        </w:tcPr>
        <w:p w:rsidR="00136DBA" w:rsidRPr="005C106F" w:rsidRDefault="00136DBA" w:rsidP="009D482C">
          <w:pPr>
            <w:tabs>
              <w:tab w:val="right" w:pos="4273"/>
            </w:tabs>
            <w:rPr>
              <w:rFonts w:ascii="Garamond" w:eastAsia="Calibri" w:hAnsi="Garamond"/>
              <w:sz w:val="16"/>
              <w:szCs w:val="16"/>
              <w:lang w:eastAsia="en-US"/>
            </w:rPr>
          </w:pPr>
        </w:p>
      </w:tc>
      <w:tc>
        <w:tcPr>
          <w:tcW w:w="6946" w:type="dxa"/>
          <w:shd w:val="clear" w:color="auto" w:fill="auto"/>
        </w:tcPr>
        <w:p w:rsidR="00136DBA" w:rsidRDefault="00136DBA" w:rsidP="009D482C"/>
        <w:tbl>
          <w:tblPr>
            <w:tblW w:w="6662" w:type="dxa"/>
            <w:tblInd w:w="40" w:type="dxa"/>
            <w:tblLayout w:type="fixed"/>
            <w:tblLook w:val="0420" w:firstRow="1" w:lastRow="0" w:firstColumn="0" w:lastColumn="0" w:noHBand="0" w:noVBand="1"/>
          </w:tblPr>
          <w:tblGrid>
            <w:gridCol w:w="2551"/>
            <w:gridCol w:w="4111"/>
          </w:tblGrid>
          <w:tr w:rsidR="00136DBA" w:rsidTr="009D482C">
            <w:trPr>
              <w:trHeight w:val="150"/>
            </w:trPr>
            <w:tc>
              <w:tcPr>
                <w:tcW w:w="2551" w:type="dxa"/>
                <w:shd w:val="clear" w:color="auto" w:fill="auto"/>
              </w:tcPr>
              <w:p w:rsidR="00136DBA" w:rsidRPr="00020E73" w:rsidRDefault="00136DBA" w:rsidP="009D482C">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rsidR="00136DBA" w:rsidRPr="00020E73" w:rsidRDefault="00136DBA" w:rsidP="009D482C">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05768/INFOEM/IP/RR/2024</w:t>
                </w:r>
              </w:p>
            </w:tc>
          </w:tr>
          <w:tr w:rsidR="00136DBA" w:rsidTr="009D482C">
            <w:trPr>
              <w:trHeight w:val="295"/>
            </w:trPr>
            <w:tc>
              <w:tcPr>
                <w:tcW w:w="2551" w:type="dxa"/>
                <w:shd w:val="clear" w:color="auto" w:fill="auto"/>
              </w:tcPr>
              <w:p w:rsidR="00136DBA" w:rsidRPr="00020E73" w:rsidRDefault="00136DBA" w:rsidP="009D482C">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rsidR="00136DBA" w:rsidRPr="007F12CC" w:rsidRDefault="00136DBA" w:rsidP="009D482C">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Oficialía Mayor</w:t>
                </w:r>
              </w:p>
            </w:tc>
          </w:tr>
          <w:tr w:rsidR="00136DBA" w:rsidTr="009D482C">
            <w:trPr>
              <w:trHeight w:val="295"/>
            </w:trPr>
            <w:tc>
              <w:tcPr>
                <w:tcW w:w="2551" w:type="dxa"/>
                <w:shd w:val="clear" w:color="auto" w:fill="auto"/>
              </w:tcPr>
              <w:p w:rsidR="00136DBA" w:rsidRPr="00020E73" w:rsidRDefault="00136DBA" w:rsidP="009D482C">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rsidR="00136DBA" w:rsidRPr="00020E73" w:rsidRDefault="00136DBA" w:rsidP="009D482C">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136DBA" w:rsidRPr="00020E73" w:rsidRDefault="00136DBA" w:rsidP="009D482C">
                <w:pPr>
                  <w:tabs>
                    <w:tab w:val="right" w:pos="8838"/>
                  </w:tabs>
                  <w:ind w:left="-108" w:right="171"/>
                  <w:jc w:val="both"/>
                  <w:rPr>
                    <w:rFonts w:ascii="Palatino Linotype" w:eastAsia="Calibri" w:hAnsi="Palatino Linotype" w:cs="Tahoma"/>
                    <w:b/>
                    <w:sz w:val="22"/>
                    <w:szCs w:val="22"/>
                    <w:lang w:val="es-ES" w:eastAsia="en-US"/>
                  </w:rPr>
                </w:pPr>
              </w:p>
            </w:tc>
          </w:tr>
        </w:tbl>
        <w:p w:rsidR="00136DBA" w:rsidRPr="005C106F" w:rsidRDefault="00136DBA" w:rsidP="009D482C">
          <w:pPr>
            <w:tabs>
              <w:tab w:val="right" w:pos="8838"/>
            </w:tabs>
            <w:ind w:left="-28"/>
            <w:jc w:val="both"/>
            <w:rPr>
              <w:rFonts w:ascii="Arial" w:eastAsia="Calibri" w:hAnsi="Arial" w:cs="Arial"/>
              <w:b/>
              <w:sz w:val="22"/>
              <w:szCs w:val="22"/>
              <w:lang w:eastAsia="en-US"/>
            </w:rPr>
          </w:pPr>
        </w:p>
      </w:tc>
    </w:tr>
  </w:tbl>
  <w:p w:rsidR="00136DBA" w:rsidRPr="00443C6B" w:rsidRDefault="00E66154" w:rsidP="009D482C">
    <w:pPr>
      <w:pStyle w:val="Encabezado"/>
      <w:rPr>
        <w:sz w:val="14"/>
      </w:rPr>
    </w:pPr>
    <w:r>
      <w:rPr>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136DBA" w:rsidRPr="00330DA7" w:rsidTr="009D482C">
      <w:trPr>
        <w:trHeight w:val="1435"/>
      </w:trPr>
      <w:tc>
        <w:tcPr>
          <w:tcW w:w="2268" w:type="dxa"/>
          <w:shd w:val="clear" w:color="auto" w:fill="auto"/>
        </w:tcPr>
        <w:p w:rsidR="00136DBA" w:rsidRPr="00330DA7" w:rsidRDefault="00136DBA" w:rsidP="009D482C">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136DBA" w:rsidRPr="00330DA7" w:rsidTr="009D482C">
            <w:trPr>
              <w:trHeight w:val="144"/>
            </w:trPr>
            <w:tc>
              <w:tcPr>
                <w:tcW w:w="2444" w:type="dxa"/>
                <w:shd w:val="clear" w:color="auto" w:fill="auto"/>
              </w:tcPr>
              <w:p w:rsidR="00136DBA" w:rsidRPr="00020E73" w:rsidRDefault="00136DBA" w:rsidP="009D482C">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rsidR="00136DBA" w:rsidRPr="00020E73" w:rsidRDefault="00136DBA" w:rsidP="009D482C">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05768/INFOEM/IP/RR/2024</w:t>
                </w:r>
                <w:r>
                  <w:rPr>
                    <w:rFonts w:ascii="Palatino Linotype" w:eastAsia="Calibri" w:hAnsi="Palatino Linotype" w:cs="Tahoma"/>
                    <w:b/>
                    <w:bCs/>
                    <w:sz w:val="22"/>
                    <w:szCs w:val="22"/>
                    <w:lang w:eastAsia="en-US"/>
                  </w:rPr>
                  <w:t xml:space="preserve"> </w:t>
                </w:r>
              </w:p>
            </w:tc>
          </w:tr>
          <w:tr w:rsidR="00136DBA" w:rsidRPr="00330DA7" w:rsidTr="009D482C">
            <w:trPr>
              <w:trHeight w:val="144"/>
            </w:trPr>
            <w:tc>
              <w:tcPr>
                <w:tcW w:w="2444" w:type="dxa"/>
                <w:shd w:val="clear" w:color="auto" w:fill="auto"/>
              </w:tcPr>
              <w:p w:rsidR="00136DBA" w:rsidRPr="00020E73" w:rsidRDefault="00136DBA" w:rsidP="009D482C">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rsidR="00136DBA" w:rsidRPr="007F12CC" w:rsidRDefault="00136DBA" w:rsidP="009D482C">
                <w:pPr>
                  <w:tabs>
                    <w:tab w:val="left" w:pos="3122"/>
                    <w:tab w:val="right" w:pos="8838"/>
                  </w:tabs>
                  <w:ind w:left="-74" w:right="-105"/>
                  <w:jc w:val="both"/>
                  <w:rPr>
                    <w:rFonts w:ascii="Palatino Linotype" w:eastAsia="Calibri" w:hAnsi="Palatino Linotype" w:cs="Tahoma"/>
                    <w:sz w:val="22"/>
                    <w:szCs w:val="22"/>
                    <w:lang w:val="es-ES" w:eastAsia="en-US"/>
                  </w:rPr>
                </w:pPr>
              </w:p>
            </w:tc>
          </w:tr>
          <w:tr w:rsidR="00136DBA" w:rsidRPr="00330DA7" w:rsidTr="009D482C">
            <w:trPr>
              <w:trHeight w:val="283"/>
            </w:trPr>
            <w:tc>
              <w:tcPr>
                <w:tcW w:w="2444" w:type="dxa"/>
                <w:shd w:val="clear" w:color="auto" w:fill="auto"/>
              </w:tcPr>
              <w:p w:rsidR="00136DBA" w:rsidRPr="00020E73" w:rsidRDefault="00136DBA" w:rsidP="009D482C">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rsidR="00136DBA" w:rsidRPr="007F12CC" w:rsidRDefault="00136DBA" w:rsidP="009D482C">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Oficialía Mayor</w:t>
                </w:r>
              </w:p>
            </w:tc>
          </w:tr>
          <w:tr w:rsidR="00136DBA" w:rsidRPr="00330DA7" w:rsidTr="009D482C">
            <w:trPr>
              <w:trHeight w:val="283"/>
            </w:trPr>
            <w:tc>
              <w:tcPr>
                <w:tcW w:w="2444" w:type="dxa"/>
                <w:shd w:val="clear" w:color="auto" w:fill="auto"/>
              </w:tcPr>
              <w:p w:rsidR="00136DBA" w:rsidRPr="00020E73" w:rsidRDefault="00136DBA" w:rsidP="009D482C">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rsidR="00136DBA" w:rsidRPr="00020E73" w:rsidRDefault="00136DBA" w:rsidP="009D482C">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136DBA" w:rsidRPr="00020E73" w:rsidRDefault="00136DBA" w:rsidP="009D482C">
                <w:pPr>
                  <w:tabs>
                    <w:tab w:val="right" w:pos="8838"/>
                  </w:tabs>
                  <w:ind w:left="-74" w:right="-105"/>
                  <w:jc w:val="both"/>
                  <w:rPr>
                    <w:rFonts w:ascii="Palatino Linotype" w:eastAsia="Calibri" w:hAnsi="Palatino Linotype" w:cs="Tahoma"/>
                    <w:b/>
                    <w:sz w:val="22"/>
                    <w:szCs w:val="22"/>
                    <w:lang w:val="es-ES" w:eastAsia="en-US"/>
                  </w:rPr>
                </w:pPr>
              </w:p>
            </w:tc>
          </w:tr>
        </w:tbl>
        <w:p w:rsidR="00136DBA" w:rsidRPr="00330DA7" w:rsidRDefault="00136DBA" w:rsidP="009D482C">
          <w:pPr>
            <w:tabs>
              <w:tab w:val="right" w:pos="8838"/>
            </w:tabs>
            <w:ind w:left="-28"/>
            <w:jc w:val="both"/>
            <w:rPr>
              <w:rFonts w:ascii="Arial" w:eastAsia="Calibri" w:hAnsi="Arial" w:cs="Arial"/>
              <w:b/>
              <w:sz w:val="22"/>
              <w:szCs w:val="22"/>
              <w:lang w:eastAsia="en-US"/>
            </w:rPr>
          </w:pPr>
        </w:p>
      </w:tc>
    </w:tr>
  </w:tbl>
  <w:p w:rsidR="00136DBA" w:rsidRPr="00827FA0" w:rsidRDefault="00E66154" w:rsidP="009D482C">
    <w:pPr>
      <w:pStyle w:val="Encabezado"/>
      <w:rPr>
        <w:sz w:val="2"/>
        <w:szCs w:val="22"/>
      </w:rPr>
    </w:pPr>
    <w:r>
      <w:rPr>
        <w:noProof/>
        <w:sz w:val="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77D6"/>
    <w:multiLevelType w:val="hybridMultilevel"/>
    <w:tmpl w:val="48A8B3E8"/>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12161270"/>
    <w:multiLevelType w:val="hybridMultilevel"/>
    <w:tmpl w:val="0AD00E2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nsid w:val="34317490"/>
    <w:multiLevelType w:val="hybridMultilevel"/>
    <w:tmpl w:val="1BDAE07A"/>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04F6393"/>
    <w:multiLevelType w:val="hybridMultilevel"/>
    <w:tmpl w:val="ABFEA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7734D63"/>
    <w:multiLevelType w:val="hybridMultilevel"/>
    <w:tmpl w:val="4AFC1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02B190D"/>
    <w:multiLevelType w:val="hybridMultilevel"/>
    <w:tmpl w:val="88B4C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8">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5"/>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2C"/>
    <w:rsid w:val="00136DBA"/>
    <w:rsid w:val="00175BD3"/>
    <w:rsid w:val="001855BB"/>
    <w:rsid w:val="00277240"/>
    <w:rsid w:val="00325FF3"/>
    <w:rsid w:val="00336AE0"/>
    <w:rsid w:val="003E095D"/>
    <w:rsid w:val="00574577"/>
    <w:rsid w:val="006A0D96"/>
    <w:rsid w:val="00935272"/>
    <w:rsid w:val="00957F6A"/>
    <w:rsid w:val="009D482C"/>
    <w:rsid w:val="00C40758"/>
    <w:rsid w:val="00C72E15"/>
    <w:rsid w:val="00C85A9B"/>
    <w:rsid w:val="00E66154"/>
    <w:rsid w:val="00F35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6476A96-A984-4E11-A230-7315D7C9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82C"/>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9D482C"/>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482C"/>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9D482C"/>
    <w:pPr>
      <w:tabs>
        <w:tab w:val="center" w:pos="4419"/>
        <w:tab w:val="right" w:pos="8838"/>
      </w:tabs>
    </w:pPr>
  </w:style>
  <w:style w:type="character" w:customStyle="1" w:styleId="EncabezadoCar">
    <w:name w:val="Encabezado Car"/>
    <w:basedOn w:val="Fuentedeprrafopredeter"/>
    <w:link w:val="Encabezado"/>
    <w:uiPriority w:val="99"/>
    <w:rsid w:val="009D482C"/>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9D482C"/>
    <w:pPr>
      <w:tabs>
        <w:tab w:val="center" w:pos="4419"/>
        <w:tab w:val="right" w:pos="8838"/>
      </w:tabs>
    </w:pPr>
  </w:style>
  <w:style w:type="character" w:customStyle="1" w:styleId="PiedepginaCar">
    <w:name w:val="Pie de página Car"/>
    <w:basedOn w:val="Fuentedeprrafopredeter"/>
    <w:link w:val="Piedepgina"/>
    <w:uiPriority w:val="99"/>
    <w:rsid w:val="009D482C"/>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D482C"/>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9D482C"/>
    <w:rPr>
      <w:rFonts w:ascii="Century Gothic" w:eastAsia="Times New Roman" w:hAnsi="Century Gothic" w:cs="Times New Roman"/>
      <w:szCs w:val="24"/>
      <w:lang w:eastAsia="es-MX"/>
    </w:rPr>
  </w:style>
  <w:style w:type="paragraph" w:styleId="Sinespaciado">
    <w:name w:val="No Spacing"/>
    <w:aliases w:val="Francesa,INAI"/>
    <w:link w:val="SinespaciadoCar"/>
    <w:uiPriority w:val="1"/>
    <w:qFormat/>
    <w:rsid w:val="009D482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D482C"/>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D4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28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18270.page" TargetMode="External"/><Relationship Id="rId13" Type="http://schemas.openxmlformats.org/officeDocument/2006/relationships/hyperlink" Target="https://saimex.org.mx/saimex/solicitud/downloadAttach/2244604.pag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aimex.org.mx/saimex/solicitud/downloadAttach/2218269.page" TargetMode="External"/><Relationship Id="rId12" Type="http://schemas.openxmlformats.org/officeDocument/2006/relationships/hyperlink" Target="https://saimex.org.mx/saimex/solicitud/downloadAttach/2244603.pag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2223064.pag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aimex.org.mx/saimex/solicitud/downloadAttach/2221463.pag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aimex.org.mx/saimex/solicitud/downloadAttach/2218271.page" TargetMode="External"/><Relationship Id="rId14" Type="http://schemas.openxmlformats.org/officeDocument/2006/relationships/hyperlink" Target="https://saimex.org.mx/saimex/solicitud/downloadAttach/2244607.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21</Pages>
  <Words>5103</Words>
  <Characters>28067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USUARIO</cp:lastModifiedBy>
  <cp:revision>5</cp:revision>
  <cp:lastPrinted>2024-11-25T19:35:00Z</cp:lastPrinted>
  <dcterms:created xsi:type="dcterms:W3CDTF">2024-11-14T17:30:00Z</dcterms:created>
  <dcterms:modified xsi:type="dcterms:W3CDTF">2024-11-25T19:35:00Z</dcterms:modified>
</cp:coreProperties>
</file>