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966A" w14:textId="77777777" w:rsidR="005E7086" w:rsidRDefault="005E7086">
      <w:pPr>
        <w:widowControl w:val="0"/>
        <w:pBdr>
          <w:top w:val="nil"/>
          <w:left w:val="nil"/>
          <w:bottom w:val="nil"/>
          <w:right w:val="nil"/>
          <w:between w:val="nil"/>
        </w:pBdr>
        <w:spacing w:line="276" w:lineRule="auto"/>
      </w:pPr>
    </w:p>
    <w:p w14:paraId="1968966B" w14:textId="77777777" w:rsidR="005E7086" w:rsidRDefault="0024521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veintiuno (21) de agosto de dos mil veinticuatro.</w:t>
      </w:r>
    </w:p>
    <w:p w14:paraId="1968966C" w14:textId="77777777" w:rsidR="005E7086" w:rsidRDefault="005E7086">
      <w:pPr>
        <w:spacing w:line="360" w:lineRule="auto"/>
        <w:jc w:val="both"/>
        <w:rPr>
          <w:rFonts w:ascii="Palatino Linotype" w:eastAsia="Palatino Linotype" w:hAnsi="Palatino Linotype" w:cs="Palatino Linotype"/>
        </w:rPr>
      </w:pPr>
    </w:p>
    <w:p w14:paraId="1968966D" w14:textId="21F02420" w:rsidR="005E7086" w:rsidRDefault="0024521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06893/INFOEM/IP/RR/2023, </w:t>
      </w:r>
      <w:r>
        <w:rPr>
          <w:rFonts w:ascii="Palatino Linotype" w:eastAsia="Palatino Linotype" w:hAnsi="Palatino Linotype" w:cs="Palatino Linotype"/>
        </w:rPr>
        <w:t xml:space="preserve">promovido por </w:t>
      </w:r>
      <w:r w:rsidR="00691FB1">
        <w:rPr>
          <w:rFonts w:ascii="Palatino Linotype" w:eastAsia="Palatino Linotype" w:hAnsi="Palatino Linotype" w:cs="Palatino Linotype"/>
          <w:b/>
        </w:rPr>
        <w:t xml:space="preserve">XXX </w:t>
      </w:r>
      <w:proofErr w:type="spellStart"/>
      <w:r w:rsidR="00691FB1">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w:t>
      </w:r>
      <w:r w:rsidR="002A75D1">
        <w:rPr>
          <w:rFonts w:ascii="Palatino Linotype" w:eastAsia="Palatino Linotype" w:hAnsi="Palatino Linotype" w:cs="Palatino Linotype"/>
        </w:rPr>
        <w:t xml:space="preserve">a </w:t>
      </w:r>
      <w:r>
        <w:rPr>
          <w:rFonts w:ascii="Palatino Linotype" w:eastAsia="Palatino Linotype" w:hAnsi="Palatino Linotype" w:cs="Palatino Linotype"/>
        </w:rPr>
        <w:t xml:space="preserve">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Universidad Estatal del Valle de Ecatepec,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1968966E" w14:textId="77777777" w:rsidR="005E7086" w:rsidRDefault="005E7086">
      <w:pPr>
        <w:spacing w:line="360" w:lineRule="auto"/>
        <w:jc w:val="both"/>
        <w:rPr>
          <w:rFonts w:ascii="Palatino Linotype" w:eastAsia="Palatino Linotype" w:hAnsi="Palatino Linotype" w:cs="Palatino Linotype"/>
        </w:rPr>
      </w:pPr>
    </w:p>
    <w:p w14:paraId="1968966F" w14:textId="77777777" w:rsidR="005E7086" w:rsidRDefault="0024521B">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ANTECEDENTES</w:t>
      </w:r>
    </w:p>
    <w:p w14:paraId="19689670" w14:textId="77777777" w:rsidR="005E7086" w:rsidRDefault="005E7086">
      <w:pPr>
        <w:spacing w:line="360" w:lineRule="auto"/>
        <w:rPr>
          <w:rFonts w:ascii="Palatino Linotype" w:eastAsia="Palatino Linotype" w:hAnsi="Palatino Linotype" w:cs="Palatino Linotype"/>
        </w:rPr>
      </w:pPr>
    </w:p>
    <w:p w14:paraId="19689671" w14:textId="77777777" w:rsidR="005E7086" w:rsidRDefault="0024521B">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veinticinco (25) de septiembre de dos mil veintitrés,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una solicitud de información registrada con el número </w:t>
      </w:r>
      <w:r>
        <w:rPr>
          <w:rFonts w:ascii="Palatino Linotype" w:eastAsia="Palatino Linotype" w:hAnsi="Palatino Linotype" w:cs="Palatino Linotype"/>
          <w:b/>
        </w:rPr>
        <w:t xml:space="preserve">00023/UNEVE/IP/2023, </w:t>
      </w:r>
      <w:r>
        <w:rPr>
          <w:rFonts w:ascii="Palatino Linotype" w:eastAsia="Palatino Linotype" w:hAnsi="Palatino Linotype" w:cs="Palatino Linotype"/>
        </w:rPr>
        <w:t>mediante la cual solicitó lo siguiente:</w:t>
      </w:r>
    </w:p>
    <w:p w14:paraId="19689672" w14:textId="77777777" w:rsidR="005E7086" w:rsidRDefault="005E7086">
      <w:pPr>
        <w:spacing w:line="360" w:lineRule="auto"/>
        <w:jc w:val="both"/>
        <w:rPr>
          <w:rFonts w:ascii="Palatino Linotype" w:eastAsia="Palatino Linotype" w:hAnsi="Palatino Linotype" w:cs="Palatino Linotype"/>
        </w:rPr>
      </w:pPr>
    </w:p>
    <w:p w14:paraId="19689673" w14:textId="77777777" w:rsidR="005E7086" w:rsidRDefault="0024521B">
      <w:pPr>
        <w:tabs>
          <w:tab w:val="left" w:pos="8222"/>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“Solicito el expediente que entregó a la licenciatura en Gerontología de la UNEVE; los Comités Interinstitucionales para la Evaluación de la Educación Superior (CIEES) para acreditarla de 2023-02-06 al 2028-03-31. Con fundamento a qué dicha acreditación fue pagado con recursos de la universidad (públicos).” (Sic)</w:t>
      </w:r>
    </w:p>
    <w:p w14:paraId="19689674" w14:textId="77777777" w:rsidR="005E7086" w:rsidRDefault="005E7086">
      <w:pPr>
        <w:spacing w:line="360" w:lineRule="auto"/>
        <w:ind w:right="567"/>
        <w:jc w:val="both"/>
        <w:rPr>
          <w:rFonts w:ascii="Palatino Linotype" w:eastAsia="Palatino Linotype" w:hAnsi="Palatino Linotype" w:cs="Palatino Linotype"/>
          <w:i/>
          <w:color w:val="000000"/>
        </w:rPr>
      </w:pPr>
    </w:p>
    <w:p w14:paraId="19689675" w14:textId="77777777" w:rsidR="005E7086" w:rsidRDefault="0024521B">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Se eligió como modalidad de entrega a través de la Plataforma Nacional de Transparencia, misma que se encuentra vinculada a la Plataforma del Sistema de Acceso a la Información Mexiquense.</w:t>
      </w:r>
    </w:p>
    <w:p w14:paraId="19689676" w14:textId="77777777" w:rsidR="005E7086" w:rsidRDefault="005E7086">
      <w:pPr>
        <w:spacing w:line="360" w:lineRule="auto"/>
        <w:jc w:val="both"/>
        <w:rPr>
          <w:rFonts w:ascii="Palatino Linotype" w:eastAsia="Palatino Linotype" w:hAnsi="Palatino Linotype" w:cs="Palatino Linotype"/>
        </w:rPr>
      </w:pPr>
    </w:p>
    <w:p w14:paraId="19689677" w14:textId="77777777" w:rsidR="005E7086" w:rsidRDefault="0024521B">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seis (06) de octubre de dos mil veintitrés,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 de información en los siguientes términos:</w:t>
      </w:r>
    </w:p>
    <w:p w14:paraId="19689678" w14:textId="77777777" w:rsidR="005E7086" w:rsidRDefault="005E7086">
      <w:pPr>
        <w:spacing w:line="360" w:lineRule="auto"/>
        <w:jc w:val="both"/>
        <w:rPr>
          <w:rFonts w:ascii="Palatino Linotype" w:eastAsia="Palatino Linotype" w:hAnsi="Palatino Linotype" w:cs="Palatino Linotype"/>
        </w:rPr>
      </w:pPr>
    </w:p>
    <w:tbl>
      <w:tblPr>
        <w:tblStyle w:val="a"/>
        <w:tblW w:w="7571" w:type="dxa"/>
        <w:jc w:val="center"/>
        <w:tblInd w:w="0" w:type="dxa"/>
        <w:tblLayout w:type="fixed"/>
        <w:tblLook w:val="0400" w:firstRow="0" w:lastRow="0" w:firstColumn="0" w:lastColumn="0" w:noHBand="0" w:noVBand="1"/>
      </w:tblPr>
      <w:tblGrid>
        <w:gridCol w:w="7571"/>
      </w:tblGrid>
      <w:tr w:rsidR="005E7086" w14:paraId="1968967A" w14:textId="77777777">
        <w:trPr>
          <w:trHeight w:val="306"/>
          <w:jc w:val="center"/>
        </w:trPr>
        <w:tc>
          <w:tcPr>
            <w:tcW w:w="7571" w:type="dxa"/>
            <w:vAlign w:val="center"/>
          </w:tcPr>
          <w:p w14:paraId="19689679" w14:textId="77777777" w:rsidR="005E7086" w:rsidRDefault="0024521B">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06 de Octubre de 2023</w:t>
            </w:r>
          </w:p>
        </w:tc>
      </w:tr>
      <w:tr w:rsidR="005E7086" w14:paraId="1968967C" w14:textId="77777777">
        <w:trPr>
          <w:trHeight w:val="306"/>
          <w:jc w:val="center"/>
        </w:trPr>
        <w:tc>
          <w:tcPr>
            <w:tcW w:w="7571" w:type="dxa"/>
            <w:vAlign w:val="center"/>
          </w:tcPr>
          <w:p w14:paraId="1968967B" w14:textId="77777777" w:rsidR="005E7086" w:rsidRDefault="0024521B">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w:t>
            </w:r>
          </w:p>
        </w:tc>
      </w:tr>
      <w:tr w:rsidR="005E7086" w14:paraId="1968967E" w14:textId="77777777">
        <w:trPr>
          <w:trHeight w:val="306"/>
          <w:jc w:val="center"/>
        </w:trPr>
        <w:tc>
          <w:tcPr>
            <w:tcW w:w="7571" w:type="dxa"/>
            <w:vAlign w:val="center"/>
          </w:tcPr>
          <w:p w14:paraId="1968967D" w14:textId="77777777" w:rsidR="005E7086" w:rsidRDefault="0024521B">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00023/UNEVE/IP/2023</w:t>
            </w:r>
          </w:p>
        </w:tc>
      </w:tr>
      <w:tr w:rsidR="005E7086" w14:paraId="19689680" w14:textId="77777777">
        <w:trPr>
          <w:trHeight w:val="459"/>
          <w:jc w:val="center"/>
        </w:trPr>
        <w:tc>
          <w:tcPr>
            <w:tcW w:w="7571" w:type="dxa"/>
            <w:vAlign w:val="center"/>
          </w:tcPr>
          <w:p w14:paraId="1968967F" w14:textId="77777777" w:rsidR="005E7086" w:rsidRDefault="005E7086">
            <w:pPr>
              <w:jc w:val="right"/>
              <w:rPr>
                <w:rFonts w:ascii="Palatino Linotype" w:eastAsia="Palatino Linotype" w:hAnsi="Palatino Linotype" w:cs="Palatino Linotype"/>
                <w:i/>
                <w:sz w:val="22"/>
                <w:szCs w:val="22"/>
              </w:rPr>
            </w:pPr>
          </w:p>
        </w:tc>
      </w:tr>
      <w:tr w:rsidR="005E7086" w14:paraId="19689682" w14:textId="77777777">
        <w:trPr>
          <w:trHeight w:val="382"/>
          <w:jc w:val="center"/>
        </w:trPr>
        <w:tc>
          <w:tcPr>
            <w:tcW w:w="7571" w:type="dxa"/>
            <w:vAlign w:val="center"/>
          </w:tcPr>
          <w:p w14:paraId="19689681" w14:textId="77777777" w:rsidR="005E7086" w:rsidRDefault="005E7086">
            <w:pPr>
              <w:rPr>
                <w:rFonts w:ascii="Palatino Linotype" w:eastAsia="Palatino Linotype" w:hAnsi="Palatino Linotype" w:cs="Palatino Linotype"/>
                <w:i/>
                <w:sz w:val="22"/>
                <w:szCs w:val="22"/>
              </w:rPr>
            </w:pPr>
          </w:p>
        </w:tc>
      </w:tr>
      <w:tr w:rsidR="005E7086" w14:paraId="19689684" w14:textId="77777777">
        <w:trPr>
          <w:trHeight w:val="153"/>
          <w:jc w:val="center"/>
        </w:trPr>
        <w:tc>
          <w:tcPr>
            <w:tcW w:w="7571" w:type="dxa"/>
            <w:vAlign w:val="center"/>
          </w:tcPr>
          <w:p w14:paraId="19689683" w14:textId="77777777" w:rsidR="005E7086" w:rsidRDefault="0024521B">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Mediante oficio 210C2401130000L/771/2023, la directora de la Dirección de la Licenciatura en Gerontología proporcionó de manera electrónica la documentación de autoevaluación que fue entregada a CIEES (Comités Interinstitucionales para la Evaluación de la Educación Superior) por la Licenciatura en Gerontología con la que obtuvieron la acreditación del 2023-02-06 al 2028-03-31, mismos que se entrega para dar atención a la solicitud de información. Derivado a que la información supera el </w:t>
            </w:r>
            <w:proofErr w:type="spellStart"/>
            <w:r>
              <w:rPr>
                <w:rFonts w:ascii="Palatino Linotype" w:eastAsia="Palatino Linotype" w:hAnsi="Palatino Linotype" w:cs="Palatino Linotype"/>
                <w:i/>
                <w:sz w:val="22"/>
                <w:szCs w:val="22"/>
              </w:rPr>
              <w:t>limite</w:t>
            </w:r>
            <w:proofErr w:type="spellEnd"/>
            <w:r>
              <w:rPr>
                <w:rFonts w:ascii="Palatino Linotype" w:eastAsia="Palatino Linotype" w:hAnsi="Palatino Linotype" w:cs="Palatino Linotype"/>
                <w:i/>
                <w:sz w:val="22"/>
                <w:szCs w:val="22"/>
              </w:rPr>
              <w:t xml:space="preserve"> de capacidad para compartir documentación, se proporciona la siguiente liga de donde podrá descargar el requerimiento de información. https://uneveedu-my.sharepoint.com/:u:/g/personal/uippe_uneve_edu_mx/EY-f_iPEvq5LtUn4yC7WKTYBHYAYSP_pBTpSH7vvFIOaNQ?e=UOcDzd</w:t>
            </w:r>
          </w:p>
        </w:tc>
      </w:tr>
      <w:tr w:rsidR="005E7086" w14:paraId="19689686" w14:textId="77777777">
        <w:trPr>
          <w:trHeight w:val="382"/>
          <w:jc w:val="center"/>
        </w:trPr>
        <w:tc>
          <w:tcPr>
            <w:tcW w:w="7571" w:type="dxa"/>
            <w:vAlign w:val="center"/>
          </w:tcPr>
          <w:p w14:paraId="19689685" w14:textId="77777777" w:rsidR="005E7086" w:rsidRDefault="005E7086">
            <w:pPr>
              <w:rPr>
                <w:rFonts w:ascii="Palatino Linotype" w:eastAsia="Palatino Linotype" w:hAnsi="Palatino Linotype" w:cs="Palatino Linotype"/>
                <w:i/>
                <w:sz w:val="22"/>
                <w:szCs w:val="22"/>
              </w:rPr>
            </w:pPr>
          </w:p>
        </w:tc>
      </w:tr>
      <w:tr w:rsidR="005E7086" w14:paraId="19689688" w14:textId="77777777">
        <w:trPr>
          <w:trHeight w:val="153"/>
          <w:jc w:val="center"/>
        </w:trPr>
        <w:tc>
          <w:tcPr>
            <w:tcW w:w="7571" w:type="dxa"/>
            <w:vAlign w:val="center"/>
          </w:tcPr>
          <w:p w14:paraId="19689687" w14:textId="77777777" w:rsidR="005E7086" w:rsidRDefault="005E7086">
            <w:pPr>
              <w:jc w:val="center"/>
              <w:rPr>
                <w:rFonts w:ascii="Palatino Linotype" w:eastAsia="Palatino Linotype" w:hAnsi="Palatino Linotype" w:cs="Palatino Linotype"/>
                <w:i/>
                <w:sz w:val="22"/>
                <w:szCs w:val="22"/>
              </w:rPr>
            </w:pPr>
          </w:p>
        </w:tc>
      </w:tr>
      <w:tr w:rsidR="005E7086" w14:paraId="1968968A" w14:textId="77777777">
        <w:trPr>
          <w:trHeight w:val="153"/>
          <w:jc w:val="center"/>
        </w:trPr>
        <w:tc>
          <w:tcPr>
            <w:tcW w:w="7571" w:type="dxa"/>
            <w:vAlign w:val="center"/>
          </w:tcPr>
          <w:p w14:paraId="19689689" w14:textId="77777777" w:rsidR="005E7086" w:rsidRDefault="005E7086">
            <w:pPr>
              <w:rPr>
                <w:rFonts w:ascii="Palatino Linotype" w:eastAsia="Palatino Linotype" w:hAnsi="Palatino Linotype" w:cs="Palatino Linotype"/>
                <w:i/>
                <w:sz w:val="22"/>
                <w:szCs w:val="22"/>
              </w:rPr>
            </w:pPr>
          </w:p>
        </w:tc>
      </w:tr>
      <w:tr w:rsidR="005E7086" w14:paraId="1968968C" w14:textId="77777777">
        <w:trPr>
          <w:trHeight w:val="153"/>
          <w:jc w:val="center"/>
        </w:trPr>
        <w:tc>
          <w:tcPr>
            <w:tcW w:w="7571" w:type="dxa"/>
            <w:vAlign w:val="center"/>
          </w:tcPr>
          <w:p w14:paraId="1968968B" w14:textId="77777777" w:rsidR="005E7086" w:rsidRDefault="0024521B">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5E7086" w14:paraId="1968968E" w14:textId="77777777">
        <w:trPr>
          <w:trHeight w:val="229"/>
          <w:jc w:val="center"/>
        </w:trPr>
        <w:tc>
          <w:tcPr>
            <w:tcW w:w="7571" w:type="dxa"/>
            <w:vAlign w:val="center"/>
          </w:tcPr>
          <w:p w14:paraId="1968968D" w14:textId="77777777" w:rsidR="005E7086" w:rsidRDefault="005E7086">
            <w:pPr>
              <w:rPr>
                <w:rFonts w:ascii="Palatino Linotype" w:eastAsia="Palatino Linotype" w:hAnsi="Palatino Linotype" w:cs="Palatino Linotype"/>
                <w:i/>
                <w:sz w:val="22"/>
                <w:szCs w:val="22"/>
              </w:rPr>
            </w:pPr>
          </w:p>
        </w:tc>
      </w:tr>
      <w:tr w:rsidR="005E7086" w14:paraId="19689690" w14:textId="77777777">
        <w:trPr>
          <w:trHeight w:val="153"/>
          <w:jc w:val="center"/>
        </w:trPr>
        <w:tc>
          <w:tcPr>
            <w:tcW w:w="7571" w:type="dxa"/>
            <w:vAlign w:val="center"/>
          </w:tcPr>
          <w:p w14:paraId="1968968F" w14:textId="77777777" w:rsidR="005E7086" w:rsidRDefault="0024521B">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LCDA. MÓNICA ZÚÑIGA SALAS</w:t>
            </w:r>
          </w:p>
        </w:tc>
      </w:tr>
    </w:tbl>
    <w:p w14:paraId="19689691" w14:textId="77777777" w:rsidR="005E7086" w:rsidRDefault="005E7086">
      <w:pPr>
        <w:spacing w:line="360" w:lineRule="auto"/>
        <w:ind w:right="567"/>
        <w:jc w:val="both"/>
        <w:rPr>
          <w:rFonts w:ascii="Palatino Linotype" w:eastAsia="Palatino Linotype" w:hAnsi="Palatino Linotype" w:cs="Palatino Linotype"/>
          <w:i/>
          <w:sz w:val="32"/>
          <w:szCs w:val="32"/>
        </w:rPr>
      </w:pPr>
    </w:p>
    <w:p w14:paraId="19689692" w14:textId="77777777" w:rsidR="005E7086" w:rsidRDefault="0024521B">
      <w:pPr>
        <w:spacing w:line="360" w:lineRule="auto"/>
        <w:ind w:right="567"/>
        <w:jc w:val="both"/>
        <w:rPr>
          <w:rFonts w:ascii="Palatino Linotype" w:eastAsia="Palatino Linotype" w:hAnsi="Palatino Linotype" w:cs="Palatino Linotype"/>
        </w:rPr>
      </w:pPr>
      <w:r>
        <w:rPr>
          <w:rFonts w:ascii="Palatino Linotype" w:eastAsia="Palatino Linotype" w:hAnsi="Palatino Linotype" w:cs="Palatino Linotype"/>
        </w:rPr>
        <w:t>A la respuesta se adjuntaron los archivos que se describen enseguida:</w:t>
      </w:r>
    </w:p>
    <w:p w14:paraId="19689693" w14:textId="77777777" w:rsidR="005E7086" w:rsidRDefault="005E7086">
      <w:pPr>
        <w:spacing w:line="360" w:lineRule="auto"/>
        <w:ind w:right="567"/>
        <w:jc w:val="both"/>
        <w:rPr>
          <w:rFonts w:ascii="Palatino Linotype" w:eastAsia="Palatino Linotype" w:hAnsi="Palatino Linotype" w:cs="Palatino Linotype"/>
        </w:rPr>
      </w:pPr>
    </w:p>
    <w:p w14:paraId="19689694" w14:textId="77777777" w:rsidR="005E7086" w:rsidRDefault="001C515B">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hyperlink r:id="rId8">
        <w:r w:rsidR="0024521B">
          <w:rPr>
            <w:rFonts w:ascii="Palatino Linotype" w:eastAsia="Palatino Linotype" w:hAnsi="Palatino Linotype" w:cs="Palatino Linotype"/>
            <w:b/>
            <w:color w:val="000000"/>
            <w:sz w:val="22"/>
            <w:szCs w:val="22"/>
            <w:u w:val="single"/>
          </w:rPr>
          <w:t>Of. 151 Solicitud de información 23.pdf</w:t>
        </w:r>
      </w:hyperlink>
      <w:r w:rsidR="0024521B">
        <w:rPr>
          <w:rFonts w:ascii="Palatino Linotype" w:eastAsia="Palatino Linotype" w:hAnsi="Palatino Linotype" w:cs="Palatino Linotype"/>
          <w:color w:val="000000"/>
          <w:sz w:val="22"/>
          <w:szCs w:val="22"/>
        </w:rPr>
        <w:t xml:space="preserve">: oficio 210C2401020000S/151/2023 de fecha seis de octubre de dos mil veintitrés, suscrito por el Titular de la Unidad de Transparencia en el que señaló que la Directora de la Licenciatura de Gerontología proporcionó de manera electrónica la documentación de autoevaluación que fue entregada a CIEES (Comités Interinstitucionales para la Evaluación de la Educación Superior) por la Licenciatura en Gerontología con la que obtuvieron la acreditación del 2023-02-06 al 2028-03-31. </w:t>
      </w:r>
    </w:p>
    <w:p w14:paraId="19689695" w14:textId="77777777" w:rsidR="005E7086" w:rsidRDefault="005E7086">
      <w:pPr>
        <w:pBdr>
          <w:top w:val="nil"/>
          <w:left w:val="nil"/>
          <w:bottom w:val="nil"/>
          <w:right w:val="nil"/>
          <w:between w:val="nil"/>
        </w:pBdr>
        <w:spacing w:line="360" w:lineRule="auto"/>
        <w:ind w:left="720" w:right="567"/>
        <w:jc w:val="both"/>
        <w:rPr>
          <w:rFonts w:ascii="Palatino Linotype" w:eastAsia="Palatino Linotype" w:hAnsi="Palatino Linotype" w:cs="Palatino Linotype"/>
          <w:color w:val="000000"/>
          <w:sz w:val="22"/>
          <w:szCs w:val="22"/>
        </w:rPr>
      </w:pPr>
    </w:p>
    <w:p w14:paraId="19689696" w14:textId="77777777" w:rsidR="005E7086" w:rsidRDefault="001C515B">
      <w:pPr>
        <w:numPr>
          <w:ilvl w:val="0"/>
          <w:numId w:val="2"/>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hyperlink r:id="rId9">
        <w:r w:rsidR="0024521B">
          <w:rPr>
            <w:rFonts w:ascii="Palatino Linotype" w:eastAsia="Palatino Linotype" w:hAnsi="Palatino Linotype" w:cs="Palatino Linotype"/>
            <w:b/>
            <w:color w:val="000000"/>
            <w:sz w:val="22"/>
            <w:szCs w:val="22"/>
            <w:u w:val="single"/>
          </w:rPr>
          <w:t>Of. 771 Atención solicitud 23.pdf</w:t>
        </w:r>
      </w:hyperlink>
      <w:r w:rsidR="0024521B">
        <w:rPr>
          <w:rFonts w:ascii="Palatino Linotype" w:eastAsia="Palatino Linotype" w:hAnsi="Palatino Linotype" w:cs="Palatino Linotype"/>
          <w:color w:val="000000"/>
          <w:sz w:val="22"/>
          <w:szCs w:val="22"/>
        </w:rPr>
        <w:t xml:space="preserve">: oficio 210C2401130000L/771/2023 de fecha dos de octubre de dos mil veintitrés, suscrito por la Directora de la Licenciatura de Gerontología, en el que señaló que dicho documento fue ingresado en modalidad virtual a los CIEES, y se hace llegar a través de una Unidad USB, por la extensión de los mismos y que no es de carácter confidencial. </w:t>
      </w:r>
    </w:p>
    <w:p w14:paraId="19689697" w14:textId="77777777" w:rsidR="005E7086" w:rsidRDefault="005E7086">
      <w:pPr>
        <w:spacing w:line="360" w:lineRule="auto"/>
        <w:ind w:right="567"/>
        <w:jc w:val="both"/>
        <w:rPr>
          <w:rFonts w:ascii="Palatino Linotype" w:eastAsia="Palatino Linotype" w:hAnsi="Palatino Linotype" w:cs="Palatino Linotype"/>
          <w:b/>
        </w:rPr>
      </w:pPr>
    </w:p>
    <w:p w14:paraId="19689698" w14:textId="77777777" w:rsidR="005E7086" w:rsidRDefault="0024521B">
      <w:pPr>
        <w:numPr>
          <w:ilvl w:val="0"/>
          <w:numId w:val="5"/>
        </w:numPr>
        <w:spacing w:line="360" w:lineRule="auto"/>
        <w:ind w:left="0" w:firstLine="0"/>
        <w:jc w:val="both"/>
        <w:rPr>
          <w:rFonts w:ascii="Palatino Linotype" w:eastAsia="Palatino Linotype" w:hAnsi="Palatino Linotype" w:cs="Palatino Linotype"/>
          <w:i/>
        </w:rPr>
      </w:pPr>
      <w:bookmarkStart w:id="1" w:name="_heading=h.30j0zll" w:colFirst="0" w:colLast="0"/>
      <w:bookmarkEnd w:id="1"/>
      <w:r>
        <w:rPr>
          <w:rFonts w:ascii="Palatino Linotype" w:eastAsia="Palatino Linotype" w:hAnsi="Palatino Linotype" w:cs="Palatino Linotype"/>
        </w:rPr>
        <w:t xml:space="preserve">El nueve (09) de octubre de dos mil veintitrés,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14:paraId="19689699" w14:textId="77777777" w:rsidR="005E7086" w:rsidRDefault="005E7086">
      <w:pPr>
        <w:spacing w:line="360" w:lineRule="auto"/>
        <w:ind w:left="567" w:right="567"/>
        <w:rPr>
          <w:rFonts w:ascii="Palatino Linotype" w:eastAsia="Palatino Linotype" w:hAnsi="Palatino Linotype" w:cs="Palatino Linotype"/>
          <w:i/>
        </w:rPr>
      </w:pPr>
    </w:p>
    <w:p w14:paraId="1968969A" w14:textId="77777777" w:rsidR="005E7086" w:rsidRDefault="0024521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rPr>
        <w:t>Acto impugnado</w:t>
      </w:r>
      <w:r>
        <w:rPr>
          <w:rFonts w:ascii="Palatino Linotype" w:eastAsia="Palatino Linotype" w:hAnsi="Palatino Linotype" w:cs="Palatino Linotype"/>
          <w:b/>
          <w:i/>
        </w:rPr>
        <w:t>:</w:t>
      </w:r>
      <w:r>
        <w:rPr>
          <w:rFonts w:ascii="Palatino Linotype" w:eastAsia="Palatino Linotype" w:hAnsi="Palatino Linotype" w:cs="Palatino Linotype"/>
          <w:i/>
          <w:color w:val="000000"/>
        </w:rPr>
        <w:t xml:space="preserve"> “El sujeto obligado incumple con el capítulo II, numerales 9 y 10 LEY FEDERAL DE TRANSPARENCIA Y ACCESO A LA INFORMACIÓN PÚBLICA Incumple obligaciones de transparencia y máxima publicidad al acto solicitado, misma que en el oficio 210c2401130000L/770/2023 dice que la información entregada no es de carácter confidencial El sujeto obligado entrego </w:t>
      </w:r>
      <w:r>
        <w:rPr>
          <w:rFonts w:ascii="Palatino Linotype" w:eastAsia="Palatino Linotype" w:hAnsi="Palatino Linotype" w:cs="Palatino Linotype"/>
          <w:i/>
          <w:color w:val="000000"/>
        </w:rPr>
        <w:lastRenderedPageBreak/>
        <w:t xml:space="preserve">documentos que dolosamente no pretendió entregar, entrego archivos no articulados. El sujeto obligado entrego información también como lo es la GUÍA DE LOS CRITERIOS ESENCIALES PARA EVALUAR PLANES Y PROGRAMAS DE ESTUDIO APLICABLE A LICENCIATURAS DEL ÁREA DE LA SALUD QUE NO CUENTAN CON CRITERIOS DISCIPLINARES ESPECÍFICOS En lo entregado: No se presenta el programa de estudio que se pretende evaluar No se encuentra los propósitos del programa educativo No se encuentra el estudio de factibilidad del programa educativo De la categoría 2 No se menciona cual es la proporción de equilibrio entre los recursos disponibles y la </w:t>
      </w:r>
      <w:proofErr w:type="spellStart"/>
      <w:r>
        <w:rPr>
          <w:rFonts w:ascii="Palatino Linotype" w:eastAsia="Palatino Linotype" w:hAnsi="Palatino Linotype" w:cs="Palatino Linotype"/>
          <w:i/>
          <w:color w:val="000000"/>
        </w:rPr>
        <w:t>matricula</w:t>
      </w:r>
      <w:proofErr w:type="spellEnd"/>
      <w:r>
        <w:rPr>
          <w:rFonts w:ascii="Palatino Linotype" w:eastAsia="Palatino Linotype" w:hAnsi="Palatino Linotype" w:cs="Palatino Linotype"/>
          <w:i/>
          <w:color w:val="000000"/>
        </w:rPr>
        <w:t xml:space="preserve"> De la categoría 3 No se menciona la concordancia entre el modelo educativo declarado por la institución y el personal técnico y docente No se menciona la vigencia del programa educativo que permita alcanzar el perfil de egreso declarado por el programa educativo De la categoría 10 Personal académico no se menciona nada de los indicadores 10.1; 10.2; 10.3; 10.4 En la carpeta 7. Perfil docente presenta un documento de trabajo No se presenta el formato de autoevaluación que el sujeto obligado presento ante Comités Interinstitucionales para la Evaluación de la Educación Superior El sujeto obligado incurre en ocultar información de manera dolosa al entregar “Documentos de trabajo” mismos en los que indica sus omisiones como “texto pendiente”, “actualizar” , “revisar y estructurar”, “Pendiente de anexar” Ejemplos de la falta de probidad del sujeto obligado se evidencian al entregar documentos que no tiene que ver con lo solicitado en los que se habla de la especialidad Presenta documentos que indican lo siguiente “de la Universidad, se ha estimado que se podrá admitir en la primera generación del programa de Especialidad en Atención Integrada de personas mayores con una </w:t>
      </w:r>
      <w:r>
        <w:rPr>
          <w:rFonts w:ascii="Palatino Linotype" w:eastAsia="Palatino Linotype" w:hAnsi="Palatino Linotype" w:cs="Palatino Linotype"/>
          <w:i/>
          <w:color w:val="000000"/>
        </w:rPr>
        <w:lastRenderedPageBreak/>
        <w:t>cuota mínima deseable de 30 estudiantes máxima deseable de 35 estudiantes; no obstante, en los años subsecuentes se prevé un crecimiento aritmético de la poblaciones de primer ingreso”  (Sic)</w:t>
      </w:r>
    </w:p>
    <w:p w14:paraId="1968969B" w14:textId="77777777" w:rsidR="005E7086" w:rsidRDefault="005E7086">
      <w:pPr>
        <w:spacing w:line="360" w:lineRule="auto"/>
        <w:ind w:left="567" w:right="567"/>
        <w:jc w:val="both"/>
        <w:rPr>
          <w:rFonts w:ascii="Palatino Linotype" w:eastAsia="Palatino Linotype" w:hAnsi="Palatino Linotype" w:cs="Palatino Linotype"/>
        </w:rPr>
      </w:pPr>
    </w:p>
    <w:p w14:paraId="1968969C" w14:textId="77777777" w:rsidR="005E7086" w:rsidRDefault="0024521B">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rPr>
        <w:t>El Recurrente no señaló Razones o Motivos de inconformidad</w:t>
      </w:r>
    </w:p>
    <w:p w14:paraId="1968969D" w14:textId="77777777" w:rsidR="005E7086" w:rsidRDefault="005E7086">
      <w:pPr>
        <w:tabs>
          <w:tab w:val="left" w:pos="6197"/>
        </w:tabs>
        <w:spacing w:line="360" w:lineRule="auto"/>
        <w:jc w:val="both"/>
        <w:rPr>
          <w:rFonts w:ascii="Palatino Linotype" w:eastAsia="Palatino Linotype" w:hAnsi="Palatino Linotype" w:cs="Palatino Linotype"/>
        </w:rPr>
      </w:pPr>
    </w:p>
    <w:p w14:paraId="1968969E" w14:textId="77777777" w:rsidR="005E7086" w:rsidRDefault="0024521B">
      <w:pPr>
        <w:numPr>
          <w:ilvl w:val="0"/>
          <w:numId w:val="4"/>
        </w:numPr>
        <w:pBdr>
          <w:top w:val="nil"/>
          <w:left w:val="nil"/>
          <w:bottom w:val="nil"/>
          <w:right w:val="nil"/>
          <w:between w:val="nil"/>
        </w:pBdr>
        <w:tabs>
          <w:tab w:val="left" w:pos="851"/>
        </w:tabs>
        <w:spacing w:line="360" w:lineRule="auto"/>
        <w:ind w:left="8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la interposición del recurso de revisión se anexó el archivo </w:t>
      </w:r>
      <w:hyperlink r:id="rId10">
        <w:r>
          <w:rPr>
            <w:rFonts w:ascii="Palatino Linotype" w:eastAsia="Palatino Linotype" w:hAnsi="Palatino Linotype" w:cs="Palatino Linotype"/>
            <w:b/>
            <w:color w:val="000000"/>
            <w:sz w:val="22"/>
            <w:szCs w:val="22"/>
            <w:u w:val="single"/>
          </w:rPr>
          <w:t>Archivo1696855556915null</w:t>
        </w:r>
      </w:hyperlink>
      <w:r>
        <w:rPr>
          <w:rFonts w:ascii="Palatino Linotype" w:eastAsia="Palatino Linotype" w:hAnsi="Palatino Linotype" w:cs="Palatino Linotype"/>
          <w:color w:val="000000"/>
          <w:sz w:val="22"/>
          <w:szCs w:val="22"/>
        </w:rPr>
        <w:t xml:space="preserve">, al que no se puede acceder. </w:t>
      </w:r>
    </w:p>
    <w:p w14:paraId="1968969F" w14:textId="77777777" w:rsidR="005E7086" w:rsidRDefault="005E7086">
      <w:pPr>
        <w:pBdr>
          <w:top w:val="nil"/>
          <w:left w:val="nil"/>
          <w:bottom w:val="nil"/>
          <w:right w:val="nil"/>
          <w:between w:val="nil"/>
        </w:pBdr>
        <w:tabs>
          <w:tab w:val="left" w:pos="851"/>
        </w:tabs>
        <w:spacing w:line="360" w:lineRule="auto"/>
        <w:ind w:left="851"/>
        <w:jc w:val="both"/>
        <w:rPr>
          <w:rFonts w:ascii="Palatino Linotype" w:eastAsia="Palatino Linotype" w:hAnsi="Palatino Linotype" w:cs="Palatino Linotype"/>
          <w:color w:val="000000"/>
          <w:sz w:val="22"/>
          <w:szCs w:val="22"/>
        </w:rPr>
      </w:pPr>
    </w:p>
    <w:p w14:paraId="196896A0" w14:textId="77777777" w:rsidR="005E7086" w:rsidRDefault="0024521B">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turnó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con el objeto de su análisis. </w:t>
      </w:r>
    </w:p>
    <w:p w14:paraId="196896A1" w14:textId="77777777" w:rsidR="005E7086" w:rsidRDefault="005E7086">
      <w:pPr>
        <w:spacing w:line="360" w:lineRule="auto"/>
        <w:jc w:val="both"/>
        <w:rPr>
          <w:rFonts w:ascii="Palatino Linotype" w:eastAsia="Palatino Linotype" w:hAnsi="Palatino Linotype" w:cs="Palatino Linotype"/>
        </w:rPr>
      </w:pPr>
    </w:p>
    <w:p w14:paraId="196896A2" w14:textId="77777777" w:rsidR="005E7086" w:rsidRDefault="0024521B">
      <w:pPr>
        <w:numPr>
          <w:ilvl w:val="0"/>
          <w:numId w:val="5"/>
        </w:numP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rPr>
        <w:t xml:space="preserve">El Comisionado Ponente con fundamento en lo dispuesto por el artículo 185 fracción II de la ley de la materia, a través del acuerdo de admisión del once (11) de octubre de dos mil veintitrés,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manifestaran lo que a derecho convinieran, ofrecieran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el informe justificado procedente. </w:t>
      </w:r>
    </w:p>
    <w:p w14:paraId="196896A3" w14:textId="77777777" w:rsidR="005E7086" w:rsidRDefault="005E7086">
      <w:pPr>
        <w:spacing w:line="360" w:lineRule="auto"/>
        <w:jc w:val="both"/>
        <w:rPr>
          <w:rFonts w:ascii="Palatino Linotype" w:eastAsia="Palatino Linotype" w:hAnsi="Palatino Linotype" w:cs="Palatino Linotype"/>
          <w:i/>
          <w:color w:val="000000"/>
          <w:sz w:val="22"/>
          <w:szCs w:val="22"/>
        </w:rPr>
      </w:pPr>
    </w:p>
    <w:p w14:paraId="196896A4" w14:textId="77777777" w:rsidR="005E7086" w:rsidRDefault="0024521B">
      <w:pPr>
        <w:numPr>
          <w:ilvl w:val="0"/>
          <w:numId w:val="5"/>
        </w:numPr>
        <w:spacing w:line="360" w:lineRule="auto"/>
        <w:ind w:left="0" w:firstLine="0"/>
        <w:jc w:val="both"/>
        <w:rPr>
          <w:rFonts w:ascii="Palatino Linotype" w:eastAsia="Palatino Linotype" w:hAnsi="Palatino Linotype" w:cs="Palatino Linotype"/>
          <w:b/>
          <w:u w:val="single"/>
        </w:rPr>
      </w:pPr>
      <w:r>
        <w:rPr>
          <w:rFonts w:ascii="Palatino Linotype" w:eastAsia="Palatino Linotype" w:hAnsi="Palatino Linotype" w:cs="Palatino Linotype"/>
        </w:rPr>
        <w:lastRenderedPageBreak/>
        <w:t>De las constancias en el expediente electrónico SAIMEX, se advierte que el particular no realizó manifestaciones, no ofreció pruebas o alegatos que a su derecho convinieran; por su parte, el Sujeto Obligado entregó informe justificado en fecha diecisiete (17) de octubre de dos mil veintitrés, a través del archivo que se describe enseguida, y que se pusieron a la vista del particular el siete (07) de octubre de dos mil veinticuatro:</w:t>
      </w:r>
    </w:p>
    <w:p w14:paraId="196896A5" w14:textId="77777777" w:rsidR="005E7086" w:rsidRDefault="005E7086">
      <w:pPr>
        <w:pBdr>
          <w:top w:val="nil"/>
          <w:left w:val="nil"/>
          <w:bottom w:val="nil"/>
          <w:right w:val="nil"/>
          <w:between w:val="nil"/>
        </w:pBdr>
        <w:ind w:left="720"/>
        <w:rPr>
          <w:rFonts w:ascii="Palatino Linotype" w:eastAsia="Palatino Linotype" w:hAnsi="Palatino Linotype" w:cs="Palatino Linotype"/>
          <w:b/>
          <w:color w:val="000000"/>
          <w:sz w:val="22"/>
          <w:szCs w:val="22"/>
          <w:u w:val="single"/>
        </w:rPr>
      </w:pPr>
    </w:p>
    <w:p w14:paraId="196896A6" w14:textId="77777777" w:rsidR="005E7086" w:rsidRDefault="001C515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1">
        <w:r w:rsidR="0024521B">
          <w:rPr>
            <w:rFonts w:ascii="Palatino Linotype" w:eastAsia="Palatino Linotype" w:hAnsi="Palatino Linotype" w:cs="Palatino Linotype"/>
            <w:b/>
            <w:color w:val="000000"/>
            <w:sz w:val="22"/>
            <w:szCs w:val="22"/>
            <w:u w:val="single"/>
          </w:rPr>
          <w:t>Of. 168 Respuesta recurso de revisión 6893.pdf</w:t>
        </w:r>
      </w:hyperlink>
      <w:r w:rsidR="0024521B">
        <w:rPr>
          <w:rFonts w:ascii="Palatino Linotype" w:eastAsia="Palatino Linotype" w:hAnsi="Palatino Linotype" w:cs="Palatino Linotype"/>
          <w:color w:val="000000"/>
          <w:sz w:val="22"/>
          <w:szCs w:val="22"/>
        </w:rPr>
        <w:t xml:space="preserve">: oficio 210C2401020000S/168/2023 de fecha diecisiete de octubre de dos mil veintitrés, suscrito por la Titular de la Unidad de Transparencia en el que manifestó que se hace entrega del informe justificado. </w:t>
      </w:r>
    </w:p>
    <w:p w14:paraId="196896A7" w14:textId="77777777" w:rsidR="005E7086" w:rsidRDefault="005E708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196896A8" w14:textId="77777777" w:rsidR="005E7086" w:rsidRDefault="001C515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2">
        <w:r w:rsidR="0024521B">
          <w:rPr>
            <w:rFonts w:ascii="Palatino Linotype" w:eastAsia="Palatino Linotype" w:hAnsi="Palatino Linotype" w:cs="Palatino Linotype"/>
            <w:b/>
            <w:color w:val="000000"/>
            <w:sz w:val="22"/>
            <w:szCs w:val="22"/>
            <w:u w:val="single"/>
          </w:rPr>
          <w:t>Of. 826 Atención recurso de revisión 6893.pdf</w:t>
        </w:r>
      </w:hyperlink>
      <w:r w:rsidR="0024521B">
        <w:rPr>
          <w:rFonts w:ascii="Palatino Linotype" w:eastAsia="Palatino Linotype" w:hAnsi="Palatino Linotype" w:cs="Palatino Linotype"/>
          <w:color w:val="000000"/>
          <w:sz w:val="22"/>
          <w:szCs w:val="22"/>
        </w:rPr>
        <w:t>: oficio 210C2401130000L/826/2023 de fecha dieciséis (16) de octubre de dos mil veintitrés, suscrito por la Directora de la Licenciatura en Gerontología, en el que señaló:</w:t>
      </w:r>
    </w:p>
    <w:p w14:paraId="196896A9"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96896AA" w14:textId="77777777" w:rsidR="005E7086" w:rsidRDefault="0024521B">
      <w:pPr>
        <w:spacing w:line="360" w:lineRule="auto"/>
        <w:ind w:left="851" w:right="82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222222"/>
          <w:sz w:val="22"/>
          <w:szCs w:val="22"/>
          <w:highlight w:val="white"/>
        </w:rPr>
        <w:t xml:space="preserve">En este contexto se entregaron al solicitante los documentos integrados a dicha plataforma electrónica y para efecto de dar atención a la solicitud, se entregaron agregado al oficio N° 210C2401130000L/171/2023 la información a la que el solicitante refiere, esto es, el expediente integro, y hago alusión especialmente al documento titulado "Datos generales del programa educativo </w:t>
      </w:r>
      <w:proofErr w:type="spellStart"/>
      <w:r>
        <w:rPr>
          <w:rFonts w:ascii="Palatino Linotype" w:eastAsia="Palatino Linotype" w:hAnsi="Palatino Linotype" w:cs="Palatino Linotype"/>
          <w:i/>
          <w:color w:val="222222"/>
          <w:sz w:val="22"/>
          <w:szCs w:val="22"/>
          <w:highlight w:val="white"/>
        </w:rPr>
        <w:t>Gerontologia</w:t>
      </w:r>
      <w:proofErr w:type="spellEnd"/>
      <w:r>
        <w:rPr>
          <w:rFonts w:ascii="Palatino Linotype" w:eastAsia="Palatino Linotype" w:hAnsi="Palatino Linotype" w:cs="Palatino Linotype"/>
          <w:i/>
          <w:color w:val="222222"/>
          <w:sz w:val="22"/>
          <w:szCs w:val="22"/>
          <w:highlight w:val="white"/>
        </w:rPr>
        <w:t xml:space="preserve">", PDF de 190 páginas y que ocupa una capacidad de 1.3 MB de 113.MB. Utilizadas con 10 carpetas y 5 archivos además del expediente señalado. Este expediente fue remitido en su literalidad y fue puesto de conocimiento al solicitante en la manera y forma en </w:t>
      </w:r>
      <w:r>
        <w:rPr>
          <w:rFonts w:ascii="Palatino Linotype" w:eastAsia="Palatino Linotype" w:hAnsi="Palatino Linotype" w:cs="Palatino Linotype"/>
          <w:i/>
          <w:color w:val="222222"/>
          <w:sz w:val="22"/>
          <w:szCs w:val="22"/>
          <w:highlight w:val="white"/>
        </w:rPr>
        <w:lastRenderedPageBreak/>
        <w:t>que cuenta integrado en este sujeto obligado. En esta tesitura, sin mayor interpretación de la solicitud, refirió al expediente, y el expediente tal cual fue remitido. Ahora bien, respecto de lo que expresa en el recurso interpuesto por el solicitante dice y afirma que la información no es de carácter confidencial situación que es una valoración que hace el recurrente del mismo </w:t>
      </w:r>
      <w:r>
        <w:rPr>
          <w:rFonts w:ascii="Palatino Linotype" w:eastAsia="Palatino Linotype" w:hAnsi="Palatino Linotype" w:cs="Palatino Linotype"/>
          <w:i/>
          <w:color w:val="222222"/>
          <w:sz w:val="22"/>
          <w:szCs w:val="22"/>
        </w:rPr>
        <w:t>expediente que le fue puesto de su conocimiento con motivo de su solicitud de acceso a la información y que aprecia en el expediente en cuestión, lo cual no implica que haya habido ocultamiento alguno.”</w:t>
      </w:r>
    </w:p>
    <w:p w14:paraId="196896AB" w14:textId="77777777" w:rsidR="005E7086" w:rsidRDefault="005E7086">
      <w:pPr>
        <w:spacing w:line="360" w:lineRule="auto"/>
        <w:ind w:left="851" w:right="822"/>
        <w:jc w:val="both"/>
        <w:rPr>
          <w:rFonts w:ascii="Palatino Linotype" w:eastAsia="Palatino Linotype" w:hAnsi="Palatino Linotype" w:cs="Palatino Linotype"/>
          <w:i/>
          <w:color w:val="222222"/>
          <w:sz w:val="22"/>
          <w:szCs w:val="22"/>
        </w:rPr>
      </w:pPr>
    </w:p>
    <w:p w14:paraId="196896AC" w14:textId="77777777" w:rsidR="005E7086" w:rsidRDefault="0024521B">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“Son valoraciones que hace de los contenidos del expediente: valoraciones que realiza a su propio leal saber y entender; de sus mismas valoraciones se acredita que le fue proporcionada la información solicitada y que se encuentran contenidas en el expediente. </w:t>
      </w:r>
    </w:p>
    <w:p w14:paraId="196896AD" w14:textId="77777777" w:rsidR="005E7086" w:rsidRDefault="0024521B">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Solo me permito señalar en relación con el punto que refiere, "se reclama en este acto que el sujeto obligado incurre en ocultar información de manera dolosa”, me permito reiterar y precisar que la solicitud se constriñe a la remisión del expediente, mismo que tal cual fue remitido, que tan es así que, todas las expresiones que realiza son en función del mismo expediente proporcionado, y en su particular interpretación. </w:t>
      </w:r>
    </w:p>
    <w:p w14:paraId="196896AE" w14:textId="77777777" w:rsidR="005E7086" w:rsidRDefault="0024521B">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Preciso que respecto de los documentos de trabajo mismos que indica como: "texto pendiente". "actualizar". "revisar" y "estructura", "pendiente de anexar* (que consta en archivo digital), "la falta de probidad del sujeto obligado se evidencian al entregar documentos que no tiene nada que ver en los que se habla de la especialidad*, no de lo solicitado; es de señalar que esta información, reitero, es parte del expediente y que, en aras de la transparencia se anexaron ya que son carpetas de trabajo que formaron parte de la construcción del expediente, pero pertenecen al expediente complementario de los procesos de evaluación y acreditación del programa educativo </w:t>
      </w:r>
      <w:r>
        <w:rPr>
          <w:rFonts w:ascii="Palatino Linotype" w:eastAsia="Palatino Linotype" w:hAnsi="Palatino Linotype" w:cs="Palatino Linotype"/>
          <w:i/>
          <w:sz w:val="22"/>
          <w:szCs w:val="22"/>
        </w:rPr>
        <w:lastRenderedPageBreak/>
        <w:t>en comento y que la especialidad por él citada es parte de los procesos que desarrolla la licenciatura en la generación de programas para la actualización de los egresados. Lo que él expresa, son valoraciones del mismo expediente que solicitó, y se pretende constituir como evaluador CIEES, sin embargo, queda preciso y de reiterar, que es el contenido del expediente que fue solicitado con registro 00023/UNEVE/P/2023 recibido a través del Sistema de Acceso a la Información Mexiquense (SAIMEX).</w:t>
      </w:r>
    </w:p>
    <w:p w14:paraId="196896AF" w14:textId="77777777" w:rsidR="005E7086" w:rsidRDefault="005E708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196896B0" w14:textId="77777777" w:rsidR="005E7086" w:rsidRDefault="001C515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3">
        <w:r w:rsidR="0024521B">
          <w:rPr>
            <w:rFonts w:ascii="Palatino Linotype" w:eastAsia="Palatino Linotype" w:hAnsi="Palatino Linotype" w:cs="Palatino Linotype"/>
            <w:b/>
            <w:color w:val="000000"/>
            <w:sz w:val="22"/>
            <w:szCs w:val="22"/>
            <w:u w:val="single"/>
          </w:rPr>
          <w:t>CIEES Datos generales del programa educativo Gerontología.pdf</w:t>
        </w:r>
      </w:hyperlink>
      <w:r w:rsidR="0024521B">
        <w:rPr>
          <w:rFonts w:ascii="Palatino Linotype" w:eastAsia="Palatino Linotype" w:hAnsi="Palatino Linotype" w:cs="Palatino Linotype"/>
          <w:color w:val="000000"/>
          <w:sz w:val="22"/>
          <w:szCs w:val="22"/>
        </w:rPr>
        <w:t xml:space="preserve">: archivo en formato PDF que consta de 190 fojas con los Datos Generales del Programa Educativo. </w:t>
      </w:r>
    </w:p>
    <w:p w14:paraId="196896B1" w14:textId="77777777" w:rsidR="005E7086" w:rsidRDefault="005E7086">
      <w:pPr>
        <w:spacing w:line="360" w:lineRule="auto"/>
        <w:jc w:val="both"/>
        <w:rPr>
          <w:rFonts w:ascii="Palatino Linotype" w:eastAsia="Palatino Linotype" w:hAnsi="Palatino Linotype" w:cs="Palatino Linotype"/>
          <w:b/>
          <w:u w:val="single"/>
        </w:rPr>
      </w:pPr>
    </w:p>
    <w:p w14:paraId="196896B2" w14:textId="77777777" w:rsidR="005E7086" w:rsidRDefault="0024521B">
      <w:pPr>
        <w:numPr>
          <w:ilvl w:val="0"/>
          <w:numId w:val="5"/>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siete (07) de febrero de dos mil veinticuatro, se notificó el acuerdo a través del cual se aprobó la ampliación de plazo para emitir resolución. </w:t>
      </w:r>
    </w:p>
    <w:p w14:paraId="196896B3" w14:textId="77777777" w:rsidR="005E7086" w:rsidRDefault="005E7086">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p>
    <w:p w14:paraId="196896B4" w14:textId="77777777" w:rsidR="005E7086" w:rsidRDefault="0024521B">
      <w:pPr>
        <w:numPr>
          <w:ilvl w:val="0"/>
          <w:numId w:val="5"/>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196896B5"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6B6" w14:textId="77777777" w:rsidR="005E7086" w:rsidRDefault="0024521B">
      <w:pPr>
        <w:numPr>
          <w:ilvl w:val="0"/>
          <w:numId w:val="5"/>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ello, es menester precisar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96896B7"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6B8" w14:textId="77777777" w:rsidR="005E7086" w:rsidRDefault="0024521B">
      <w:pPr>
        <w:numPr>
          <w:ilvl w:val="0"/>
          <w:numId w:val="5"/>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6896B9"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6BA" w14:textId="77777777" w:rsidR="005E7086" w:rsidRDefault="0024521B">
      <w:pPr>
        <w:numPr>
          <w:ilvl w:val="0"/>
          <w:numId w:val="5"/>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96896BB"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6BC" w14:textId="77777777" w:rsidR="005E7086" w:rsidRDefault="0024521B">
      <w:pPr>
        <w:numPr>
          <w:ilvl w:val="0"/>
          <w:numId w:val="5"/>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196896BD" w14:textId="77777777" w:rsidR="005E7086" w:rsidRDefault="005E7086">
      <w:pPr>
        <w:spacing w:line="360" w:lineRule="auto"/>
        <w:rPr>
          <w:rFonts w:ascii="Palatino Linotype" w:eastAsia="Palatino Linotype" w:hAnsi="Palatino Linotype" w:cs="Palatino Linotype"/>
        </w:rPr>
      </w:pPr>
    </w:p>
    <w:p w14:paraId="196896BE" w14:textId="77777777" w:rsidR="005E7086" w:rsidRDefault="0024521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14:paraId="196896BF" w14:textId="77777777" w:rsidR="005E7086" w:rsidRDefault="005E7086">
      <w:pPr>
        <w:pBdr>
          <w:top w:val="nil"/>
          <w:left w:val="nil"/>
          <w:bottom w:val="nil"/>
          <w:right w:val="nil"/>
          <w:between w:val="nil"/>
        </w:pBdr>
        <w:spacing w:line="360" w:lineRule="auto"/>
        <w:ind w:left="927"/>
        <w:jc w:val="both"/>
        <w:rPr>
          <w:rFonts w:ascii="Palatino Linotype" w:eastAsia="Palatino Linotype" w:hAnsi="Palatino Linotype" w:cs="Palatino Linotype"/>
          <w:color w:val="000000"/>
        </w:rPr>
      </w:pPr>
    </w:p>
    <w:p w14:paraId="196896C0" w14:textId="77777777" w:rsidR="005E7086" w:rsidRDefault="0024521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Actividad Procesal del interesado. Acciones u omisiones del interesado.</w:t>
      </w:r>
    </w:p>
    <w:p w14:paraId="196896C1" w14:textId="77777777" w:rsidR="005E7086" w:rsidRDefault="005E7086">
      <w:pPr>
        <w:spacing w:line="360" w:lineRule="auto"/>
        <w:jc w:val="both"/>
        <w:rPr>
          <w:rFonts w:ascii="Palatino Linotype" w:eastAsia="Palatino Linotype" w:hAnsi="Palatino Linotype" w:cs="Palatino Linotype"/>
        </w:rPr>
      </w:pPr>
    </w:p>
    <w:p w14:paraId="196896C2" w14:textId="77777777" w:rsidR="005E7086" w:rsidRDefault="0024521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196896C3" w14:textId="77777777" w:rsidR="005E7086" w:rsidRDefault="005E708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96896C4" w14:textId="77777777" w:rsidR="005E7086" w:rsidRDefault="0024521B">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196896C5" w14:textId="77777777" w:rsidR="005E7086" w:rsidRDefault="005E7086">
      <w:pPr>
        <w:spacing w:line="360" w:lineRule="auto"/>
        <w:rPr>
          <w:rFonts w:ascii="Palatino Linotype" w:eastAsia="Palatino Linotype" w:hAnsi="Palatino Linotype" w:cs="Palatino Linotype"/>
        </w:rPr>
      </w:pPr>
    </w:p>
    <w:p w14:paraId="196896C6" w14:textId="77777777" w:rsidR="005E7086" w:rsidRDefault="0024521B">
      <w:pPr>
        <w:numPr>
          <w:ilvl w:val="0"/>
          <w:numId w:val="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6896C7" w14:textId="77777777" w:rsidR="005E7086" w:rsidRDefault="005E7086">
      <w:pPr>
        <w:spacing w:line="360" w:lineRule="auto"/>
        <w:jc w:val="both"/>
        <w:rPr>
          <w:rFonts w:ascii="Palatino Linotype" w:eastAsia="Palatino Linotype" w:hAnsi="Palatino Linotype" w:cs="Palatino Linotype"/>
          <w:b/>
        </w:rPr>
      </w:pPr>
    </w:p>
    <w:p w14:paraId="196896C8" w14:textId="77777777" w:rsidR="005E7086" w:rsidRDefault="0024521B">
      <w:pPr>
        <w:numPr>
          <w:ilvl w:val="0"/>
          <w:numId w:val="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196896C9" w14:textId="77777777" w:rsidR="005E7086" w:rsidRDefault="005E7086">
      <w:pPr>
        <w:spacing w:line="360" w:lineRule="auto"/>
        <w:rPr>
          <w:rFonts w:ascii="Palatino Linotype" w:eastAsia="Palatino Linotype" w:hAnsi="Palatino Linotype" w:cs="Palatino Linotype"/>
        </w:rPr>
      </w:pPr>
    </w:p>
    <w:p w14:paraId="196896CA" w14:textId="77777777" w:rsidR="005E7086" w:rsidRDefault="0024521B">
      <w:pPr>
        <w:numPr>
          <w:ilvl w:val="0"/>
          <w:numId w:val="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96896CB" w14:textId="77777777" w:rsidR="005E7086" w:rsidRDefault="005E7086">
      <w:pPr>
        <w:spacing w:line="360" w:lineRule="auto"/>
        <w:rPr>
          <w:rFonts w:ascii="Palatino Linotype" w:eastAsia="Palatino Linotype" w:hAnsi="Palatino Linotype" w:cs="Palatino Linotype"/>
        </w:rPr>
      </w:pPr>
    </w:p>
    <w:p w14:paraId="196896CC" w14:textId="77777777" w:rsidR="005E7086" w:rsidRDefault="0024521B">
      <w:pPr>
        <w:numPr>
          <w:ilvl w:val="0"/>
          <w:numId w:val="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96896CD" w14:textId="77777777" w:rsidR="005E7086" w:rsidRDefault="005E7086">
      <w:pPr>
        <w:spacing w:line="360" w:lineRule="auto"/>
        <w:rPr>
          <w:rFonts w:ascii="Palatino Linotype" w:eastAsia="Palatino Linotype" w:hAnsi="Palatino Linotype" w:cs="Palatino Linotype"/>
        </w:rPr>
      </w:pPr>
    </w:p>
    <w:p w14:paraId="196896CE" w14:textId="77777777" w:rsidR="005E7086" w:rsidRDefault="0024521B">
      <w:pPr>
        <w:numPr>
          <w:ilvl w:val="0"/>
          <w:numId w:val="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96896CF" w14:textId="77777777" w:rsidR="005E7086" w:rsidRDefault="005E7086">
      <w:pPr>
        <w:spacing w:line="360" w:lineRule="auto"/>
        <w:jc w:val="both"/>
        <w:rPr>
          <w:rFonts w:ascii="Palatino Linotype" w:eastAsia="Palatino Linotype" w:hAnsi="Palatino Linotype" w:cs="Palatino Linotype"/>
        </w:rPr>
      </w:pPr>
    </w:p>
    <w:p w14:paraId="196896D0" w14:textId="77777777" w:rsidR="005E7086" w:rsidRDefault="0024521B">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196896D1" w14:textId="77777777" w:rsidR="005E7086" w:rsidRDefault="005E7086">
      <w:pPr>
        <w:spacing w:line="360" w:lineRule="auto"/>
        <w:ind w:left="851" w:right="822"/>
        <w:jc w:val="both"/>
        <w:rPr>
          <w:rFonts w:ascii="Palatino Linotype" w:eastAsia="Palatino Linotype" w:hAnsi="Palatino Linotype" w:cs="Palatino Linotype"/>
          <w:b/>
        </w:rPr>
      </w:pPr>
    </w:p>
    <w:p w14:paraId="196896D2" w14:textId="77777777" w:rsidR="005E7086" w:rsidRDefault="0024521B">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i/>
        </w:rPr>
        <w:lastRenderedPageBreak/>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196896D3" w14:textId="77777777" w:rsidR="005E7086" w:rsidRDefault="005E7086">
      <w:pPr>
        <w:spacing w:line="360" w:lineRule="auto"/>
        <w:ind w:right="822"/>
        <w:jc w:val="both"/>
        <w:rPr>
          <w:rFonts w:ascii="Palatino Linotype" w:eastAsia="Palatino Linotype" w:hAnsi="Palatino Linotype" w:cs="Palatino Linotype"/>
        </w:rPr>
      </w:pPr>
    </w:p>
    <w:p w14:paraId="196896D4" w14:textId="77777777" w:rsidR="005E7086" w:rsidRDefault="0024521B">
      <w:pPr>
        <w:numPr>
          <w:ilvl w:val="0"/>
          <w:numId w:val="5"/>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196896D5" w14:textId="77777777" w:rsidR="005E7086" w:rsidRDefault="005E7086">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p>
    <w:p w14:paraId="196896D6" w14:textId="77777777" w:rsidR="005E7086" w:rsidRDefault="0024521B">
      <w:pPr>
        <w:numPr>
          <w:ilvl w:val="0"/>
          <w:numId w:val="5"/>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catorce (14) de agosto de dos mil veinticuatro, se notificó el acuerdo a través de cual se decretó el cierre de instrucción. </w:t>
      </w:r>
    </w:p>
    <w:p w14:paraId="196896D7" w14:textId="77777777" w:rsidR="005E7086" w:rsidRDefault="005E7086">
      <w:pPr>
        <w:spacing w:line="360" w:lineRule="auto"/>
        <w:jc w:val="both"/>
        <w:rPr>
          <w:rFonts w:ascii="Palatino Linotype" w:eastAsia="Palatino Linotype" w:hAnsi="Palatino Linotype" w:cs="Palatino Linotype"/>
          <w:b/>
          <w:u w:val="single"/>
        </w:rPr>
      </w:pPr>
    </w:p>
    <w:p w14:paraId="196896D8" w14:textId="77777777" w:rsidR="005E7086" w:rsidRDefault="0024521B">
      <w:pPr>
        <w:keepNext/>
        <w:keepLines/>
        <w:spacing w:line="360" w:lineRule="auto"/>
        <w:jc w:val="center"/>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b/>
        </w:rPr>
        <w:t xml:space="preserve">CONSIDERANDO </w:t>
      </w:r>
    </w:p>
    <w:p w14:paraId="196896D9" w14:textId="77777777" w:rsidR="005E7086" w:rsidRDefault="005E7086">
      <w:pPr>
        <w:spacing w:line="360" w:lineRule="auto"/>
        <w:rPr>
          <w:rFonts w:ascii="Palatino Linotype" w:eastAsia="Palatino Linotype" w:hAnsi="Palatino Linotype" w:cs="Palatino Linotype"/>
        </w:rPr>
      </w:pPr>
    </w:p>
    <w:p w14:paraId="196896DA" w14:textId="77777777" w:rsidR="005E7086" w:rsidRDefault="0024521B">
      <w:pPr>
        <w:keepNext/>
        <w:keepLines/>
        <w:spacing w:line="360" w:lineRule="auto"/>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196896DB" w14:textId="77777777" w:rsidR="005E7086" w:rsidRDefault="005E7086">
      <w:pPr>
        <w:keepNext/>
        <w:keepLines/>
        <w:spacing w:line="360" w:lineRule="auto"/>
        <w:rPr>
          <w:rFonts w:ascii="Palatino Linotype" w:eastAsia="Palatino Linotype" w:hAnsi="Palatino Linotype" w:cs="Palatino Linotype"/>
          <w:b/>
        </w:rPr>
      </w:pPr>
    </w:p>
    <w:p w14:paraId="196896DC" w14:textId="77777777" w:rsidR="005E7086" w:rsidRDefault="0024521B">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w:t>
      </w:r>
      <w:r>
        <w:rPr>
          <w:rFonts w:ascii="Palatino Linotype" w:eastAsia="Palatino Linotype" w:hAnsi="Palatino Linotype" w:cs="Palatino Linotype"/>
        </w:rPr>
        <w:lastRenderedPageBreak/>
        <w:t>Información Pública del Estado de México y Municipios; y 7, 9 fracciones I y XXIV, y 11 del Reglamento Interior del Instituto de Transparencia, Acceso a la Información Pública y Protección de Datos Personales del Estado de México y Municipios.</w:t>
      </w:r>
    </w:p>
    <w:p w14:paraId="196896DD" w14:textId="77777777" w:rsidR="005E7086" w:rsidRDefault="005E7086">
      <w:pPr>
        <w:spacing w:line="360" w:lineRule="auto"/>
        <w:jc w:val="both"/>
        <w:rPr>
          <w:rFonts w:ascii="Palatino Linotype" w:eastAsia="Palatino Linotype" w:hAnsi="Palatino Linotype" w:cs="Palatino Linotype"/>
        </w:rPr>
      </w:pPr>
    </w:p>
    <w:p w14:paraId="196896DE" w14:textId="77777777" w:rsidR="005E7086" w:rsidRDefault="0024521B">
      <w:pPr>
        <w:keepNext/>
        <w:keepLines/>
        <w:spacing w:line="360" w:lineRule="auto"/>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196896DF" w14:textId="77777777" w:rsidR="005E7086" w:rsidRDefault="005E7086">
      <w:pPr>
        <w:spacing w:line="360" w:lineRule="auto"/>
        <w:rPr>
          <w:rFonts w:ascii="Palatino Linotype" w:eastAsia="Palatino Linotype" w:hAnsi="Palatino Linotype" w:cs="Palatino Linotype"/>
        </w:rPr>
      </w:pPr>
    </w:p>
    <w:p w14:paraId="196896E0" w14:textId="77777777" w:rsidR="005E7086" w:rsidRDefault="0024521B">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a la solicitud el día seis (06) de octubre de dos mil veintitrés, de tal forma que el plazo para interponer el recurso de revisión transcurrió del nueve (09) al veintisiete (27) de octubre de dos mil veintitrés; en consecuencia, presentó su inconformidad el día nueve (09) de octubre de dos mil veintitrés,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196896E1" w14:textId="77777777" w:rsidR="005E7086" w:rsidRDefault="005E7086">
      <w:pPr>
        <w:spacing w:line="360" w:lineRule="auto"/>
        <w:jc w:val="both"/>
        <w:rPr>
          <w:rFonts w:ascii="Palatino Linotype" w:eastAsia="Palatino Linotype" w:hAnsi="Palatino Linotype" w:cs="Palatino Linotype"/>
          <w:highlight w:val="cyan"/>
        </w:rPr>
      </w:pPr>
    </w:p>
    <w:p w14:paraId="196896E2" w14:textId="77777777" w:rsidR="005E7086" w:rsidRDefault="0024521B">
      <w:pPr>
        <w:numPr>
          <w:ilvl w:val="0"/>
          <w:numId w:val="5"/>
        </w:numPr>
        <w:spacing w:line="360" w:lineRule="auto"/>
        <w:ind w:left="0" w:right="49" w:firstLine="0"/>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6896E3" w14:textId="77777777" w:rsidR="005E7086" w:rsidRDefault="005E7086">
      <w:pPr>
        <w:spacing w:line="360" w:lineRule="auto"/>
        <w:ind w:right="49"/>
        <w:jc w:val="both"/>
        <w:rPr>
          <w:rFonts w:ascii="Palatino Linotype" w:eastAsia="Palatino Linotype" w:hAnsi="Palatino Linotype" w:cs="Palatino Linotype"/>
        </w:rPr>
      </w:pPr>
      <w:bookmarkStart w:id="6" w:name="_heading=h.3dy6vkm" w:colFirst="0" w:colLast="0"/>
      <w:bookmarkEnd w:id="6"/>
    </w:p>
    <w:p w14:paraId="196896E4" w14:textId="77777777" w:rsidR="005E7086" w:rsidRDefault="0024521B">
      <w:pPr>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TERCERO. Planteamiento de la Litis.</w:t>
      </w:r>
    </w:p>
    <w:p w14:paraId="196896E5" w14:textId="77777777" w:rsidR="005E7086" w:rsidRDefault="005E7086">
      <w:pPr>
        <w:spacing w:line="360" w:lineRule="auto"/>
        <w:ind w:right="49"/>
        <w:jc w:val="both"/>
        <w:rPr>
          <w:rFonts w:ascii="Palatino Linotype" w:eastAsia="Palatino Linotype" w:hAnsi="Palatino Linotype" w:cs="Palatino Linotype"/>
          <w:b/>
        </w:rPr>
      </w:pPr>
    </w:p>
    <w:p w14:paraId="196896E6" w14:textId="77777777" w:rsidR="005E7086" w:rsidRDefault="0024521B">
      <w:pPr>
        <w:numPr>
          <w:ilvl w:val="0"/>
          <w:numId w:val="5"/>
        </w:numPr>
        <w:spacing w:line="360" w:lineRule="auto"/>
        <w:ind w:left="0" w:right="49" w:firstLine="0"/>
        <w:jc w:val="both"/>
        <w:rPr>
          <w:rFonts w:ascii="Palatino Linotype" w:eastAsia="Palatino Linotype" w:hAnsi="Palatino Linotype" w:cs="Palatino Linotype"/>
          <w:i/>
        </w:rPr>
      </w:pPr>
      <w:r>
        <w:rPr>
          <w:rFonts w:ascii="Palatino Linotype" w:eastAsia="Palatino Linotype" w:hAnsi="Palatino Linotype" w:cs="Palatino Linotype"/>
        </w:rPr>
        <w:lastRenderedPageBreak/>
        <w:t xml:space="preserve">El particular solicitó el expediente que entregaron los Comités Interinstitucionales para la Evaluación de la Educación Superior (CIEES) a la Licenciatura de Gerontología para acreditarla del 2023-02-06 al 2028-03-31. </w:t>
      </w:r>
    </w:p>
    <w:p w14:paraId="196896E7" w14:textId="77777777" w:rsidR="005E7086" w:rsidRDefault="005E7086">
      <w:pPr>
        <w:spacing w:line="360" w:lineRule="auto"/>
        <w:ind w:right="49"/>
        <w:jc w:val="both"/>
        <w:rPr>
          <w:rFonts w:ascii="Palatino Linotype" w:eastAsia="Palatino Linotype" w:hAnsi="Palatino Linotype" w:cs="Palatino Linotype"/>
          <w:i/>
        </w:rPr>
      </w:pPr>
    </w:p>
    <w:p w14:paraId="196896E8" w14:textId="77777777" w:rsidR="005E7086" w:rsidRDefault="0024521B">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Sujeto Obligado entregó una liga electrónica en la que señaló se encuentra la información solicitada, inconforme, el particular interpuso recurso de revisión en el que señaló, de forma medular, su inconformidad por la entrega de información incompleta. </w:t>
      </w:r>
    </w:p>
    <w:p w14:paraId="196896E9" w14:textId="77777777" w:rsidR="005E7086" w:rsidRDefault="005E7086">
      <w:pPr>
        <w:spacing w:line="360" w:lineRule="auto"/>
        <w:ind w:right="49"/>
        <w:jc w:val="both"/>
        <w:rPr>
          <w:rFonts w:ascii="Palatino Linotype" w:eastAsia="Palatino Linotype" w:hAnsi="Palatino Linotype" w:cs="Palatino Linotype"/>
        </w:rPr>
      </w:pPr>
    </w:p>
    <w:p w14:paraId="196896EA" w14:textId="77777777" w:rsidR="005E7086" w:rsidRDefault="0024521B">
      <w:pPr>
        <w:numPr>
          <w:ilvl w:val="0"/>
          <w:numId w:val="5"/>
        </w:numPr>
        <w:spacing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consecuencia, la Litis a resolver en este recurso, se circunscribe a determinar si la respuesta colma con lo solicitado o si se actualiza las causales de procedencia previstas en el artículo 179, fracción I y V de la Ley de Transparencia y Acceso a la Información Pública del Estado de México y Municipios; que establece la negativa de la información y la entrega de la información incompleta. </w:t>
      </w:r>
    </w:p>
    <w:p w14:paraId="196896EB" w14:textId="77777777" w:rsidR="005E7086" w:rsidRDefault="005E7086">
      <w:pPr>
        <w:spacing w:line="360" w:lineRule="auto"/>
        <w:ind w:right="49"/>
        <w:jc w:val="both"/>
        <w:rPr>
          <w:rFonts w:ascii="Palatino Linotype" w:eastAsia="Palatino Linotype" w:hAnsi="Palatino Linotype" w:cs="Palatino Linotype"/>
        </w:rPr>
      </w:pPr>
    </w:p>
    <w:p w14:paraId="196896EC" w14:textId="77777777" w:rsidR="005E7086" w:rsidRDefault="0024521B">
      <w:pPr>
        <w:keepNext/>
        <w:keepLines/>
        <w:spacing w:line="360" w:lineRule="auto"/>
        <w:ind w:right="48"/>
        <w:rPr>
          <w:rFonts w:ascii="Palatino Linotype" w:eastAsia="Palatino Linotype" w:hAnsi="Palatino Linotype" w:cs="Palatino Linotype"/>
          <w:b/>
        </w:rPr>
      </w:pPr>
      <w:bookmarkStart w:id="7" w:name="_heading=h.1t3h5sf" w:colFirst="0" w:colLast="0"/>
      <w:bookmarkEnd w:id="7"/>
      <w:r>
        <w:rPr>
          <w:rFonts w:ascii="Palatino Linotype" w:eastAsia="Palatino Linotype" w:hAnsi="Palatino Linotype" w:cs="Palatino Linotype"/>
          <w:b/>
        </w:rPr>
        <w:t>CUARTO. Del estudio y resolución del recurso de revisión.</w:t>
      </w:r>
    </w:p>
    <w:p w14:paraId="196896ED" w14:textId="77777777" w:rsidR="005E7086" w:rsidRDefault="005E7086">
      <w:pPr>
        <w:spacing w:line="360" w:lineRule="auto"/>
        <w:ind w:right="49"/>
        <w:jc w:val="both"/>
        <w:rPr>
          <w:rFonts w:ascii="Palatino Linotype" w:eastAsia="Palatino Linotype" w:hAnsi="Palatino Linotype" w:cs="Palatino Linotype"/>
        </w:rPr>
      </w:pPr>
    </w:p>
    <w:p w14:paraId="196896EE" w14:textId="77777777" w:rsidR="005E7086" w:rsidRDefault="0024521B">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196896EF" w14:textId="77777777" w:rsidR="005E7086" w:rsidRDefault="005E7086">
      <w:pPr>
        <w:spacing w:line="360" w:lineRule="auto"/>
        <w:ind w:right="49"/>
        <w:jc w:val="both"/>
        <w:rPr>
          <w:rFonts w:ascii="Palatino Linotype" w:eastAsia="Palatino Linotype" w:hAnsi="Palatino Linotype" w:cs="Palatino Linotype"/>
        </w:rPr>
      </w:pPr>
    </w:p>
    <w:p w14:paraId="196896F0" w14:textId="77777777" w:rsidR="005E7086" w:rsidRDefault="0024521B">
      <w:pPr>
        <w:numPr>
          <w:ilvl w:val="0"/>
          <w:numId w:val="5"/>
        </w:numPr>
        <w:spacing w:line="360" w:lineRule="auto"/>
        <w:ind w:left="0" w:right="49" w:firstLine="0"/>
        <w:jc w:val="both"/>
        <w:rPr>
          <w:rFonts w:ascii="Palatino Linotype" w:eastAsia="Palatino Linotype" w:hAnsi="Palatino Linotype" w:cs="Palatino Linotype"/>
          <w:i/>
        </w:rPr>
      </w:pPr>
      <w:r>
        <w:rPr>
          <w:rFonts w:ascii="Palatino Linotype" w:eastAsia="Palatino Linotype" w:hAnsi="Palatino Linotype" w:cs="Palatino Linotype"/>
        </w:rPr>
        <w:lastRenderedPageBreak/>
        <w:t>En este caso, el particular solicitó</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el expediente que entregaron los Comités Interinstitucionales para la Evaluación de la Educación Superior (CIEES) a la Licenciatura de Gerontología para acreditarla del 2023-02-06 al 2028-03-31. </w:t>
      </w:r>
    </w:p>
    <w:p w14:paraId="196896F1" w14:textId="77777777" w:rsidR="005E7086" w:rsidRDefault="005E7086">
      <w:pPr>
        <w:spacing w:line="360" w:lineRule="auto"/>
        <w:ind w:right="49"/>
        <w:jc w:val="both"/>
        <w:rPr>
          <w:rFonts w:ascii="Palatino Linotype" w:eastAsia="Palatino Linotype" w:hAnsi="Palatino Linotype" w:cs="Palatino Linotype"/>
          <w:i/>
        </w:rPr>
      </w:pPr>
    </w:p>
    <w:p w14:paraId="196896F2" w14:textId="77777777" w:rsidR="005E7086" w:rsidRDefault="0024521B">
      <w:pPr>
        <w:numPr>
          <w:ilvl w:val="0"/>
          <w:numId w:val="5"/>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Sujeto Obligado entregó una liga electrónica en la que señaló se encuentra la información solicitada, inconforme, el particular interpuso recurso de revisión en el que señaló, de forma medular, su inconformidad por la entrega de información incompleta. </w:t>
      </w:r>
    </w:p>
    <w:p w14:paraId="196896F3" w14:textId="77777777" w:rsidR="005E7086" w:rsidRDefault="005E7086">
      <w:pPr>
        <w:spacing w:line="360" w:lineRule="auto"/>
        <w:ind w:right="49"/>
        <w:jc w:val="both"/>
        <w:rPr>
          <w:rFonts w:ascii="Palatino Linotype" w:eastAsia="Palatino Linotype" w:hAnsi="Palatino Linotype" w:cs="Palatino Linotype"/>
          <w:i/>
        </w:rPr>
      </w:pPr>
    </w:p>
    <w:p w14:paraId="196896F4"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contexto,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rPr>
        <w:t xml:space="preserve">en el ámbito de sus 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asimismo 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196896F5"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6F6"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196896F7"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6F8"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su obligación es </w:t>
      </w:r>
      <w:r>
        <w:rPr>
          <w:rFonts w:ascii="Palatino Linotype" w:eastAsia="Palatino Linotype" w:hAnsi="Palatino Linotype" w:cs="Palatino Linotype"/>
          <w:i/>
          <w:color w:val="000000"/>
        </w:rPr>
        <w:t>realizar, con efectividad, los trámites internos necesarios para la atención de las solicitudes de información</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color w:val="000000"/>
        </w:rPr>
        <w:t>, es decir, deben otorgar respuestas concisas, contundentes y sobre todo que den la certeza de los actos que realizan.</w:t>
      </w:r>
    </w:p>
    <w:p w14:paraId="196896F9"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6FA"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196896FB" w14:textId="77777777" w:rsidR="005E7086" w:rsidRDefault="005E7086">
      <w:pPr>
        <w:spacing w:line="360" w:lineRule="auto"/>
        <w:jc w:val="both"/>
        <w:rPr>
          <w:rFonts w:ascii="Palatino Linotype" w:eastAsia="Palatino Linotype" w:hAnsi="Palatino Linotype" w:cs="Palatino Linotype"/>
        </w:rPr>
      </w:pPr>
    </w:p>
    <w:p w14:paraId="196896FC"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50. </w:t>
      </w:r>
      <w:r>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196896FD" w14:textId="77777777" w:rsidR="005E7086" w:rsidRDefault="005E7086">
      <w:pPr>
        <w:ind w:left="567" w:right="616"/>
        <w:jc w:val="both"/>
        <w:rPr>
          <w:rFonts w:ascii="Palatino Linotype" w:eastAsia="Palatino Linotype" w:hAnsi="Palatino Linotype" w:cs="Palatino Linotype"/>
          <w:i/>
          <w:sz w:val="22"/>
          <w:szCs w:val="22"/>
        </w:rPr>
      </w:pPr>
    </w:p>
    <w:p w14:paraId="196896FE"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w:t>
      </w:r>
      <w:r>
        <w:rPr>
          <w:rFonts w:ascii="Palatino Linotype" w:eastAsia="Palatino Linotype" w:hAnsi="Palatino Linotype" w:cs="Palatino Linotype"/>
          <w:i/>
          <w:sz w:val="22"/>
          <w:szCs w:val="22"/>
        </w:rPr>
        <w:t>Las Unidades de Transparencia tendrán las siguientes funciones:</w:t>
      </w:r>
    </w:p>
    <w:p w14:paraId="196896FF"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9689700"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Recibir, tramitar y dar respuesta a las solicitudes de acceso a la información;</w:t>
      </w:r>
    </w:p>
    <w:p w14:paraId="19689701"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9689702"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IV.</w:t>
      </w:r>
      <w:r>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19689703"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Entregar, en su caso, a los particulares la información solicitada;</w:t>
      </w:r>
    </w:p>
    <w:p w14:paraId="19689704"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9689705" w14:textId="77777777" w:rsidR="005E7086" w:rsidRDefault="005E7086">
      <w:pPr>
        <w:ind w:left="567" w:right="616"/>
        <w:jc w:val="both"/>
        <w:rPr>
          <w:rFonts w:ascii="Palatino Linotype" w:eastAsia="Palatino Linotype" w:hAnsi="Palatino Linotype" w:cs="Palatino Linotype"/>
          <w:i/>
          <w:sz w:val="22"/>
          <w:szCs w:val="22"/>
        </w:rPr>
      </w:pPr>
    </w:p>
    <w:p w14:paraId="19689706"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58. </w:t>
      </w:r>
      <w:r>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19689707" w14:textId="77777777" w:rsidR="005E7086" w:rsidRDefault="005E7086">
      <w:pPr>
        <w:ind w:left="567" w:right="616"/>
        <w:jc w:val="both"/>
        <w:rPr>
          <w:rFonts w:ascii="Palatino Linotype" w:eastAsia="Palatino Linotype" w:hAnsi="Palatino Linotype" w:cs="Palatino Linotype"/>
          <w:i/>
          <w:sz w:val="22"/>
          <w:szCs w:val="22"/>
        </w:rPr>
      </w:pPr>
    </w:p>
    <w:p w14:paraId="19689708"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59. </w:t>
      </w:r>
      <w:r>
        <w:rPr>
          <w:rFonts w:ascii="Palatino Linotype" w:eastAsia="Palatino Linotype" w:hAnsi="Palatino Linotype" w:cs="Palatino Linotype"/>
          <w:i/>
          <w:sz w:val="22"/>
          <w:szCs w:val="22"/>
        </w:rPr>
        <w:t>Los servidores públicos habilitados tendrán las funciones siguientes:</w:t>
      </w:r>
    </w:p>
    <w:p w14:paraId="19689709" w14:textId="77777777" w:rsidR="005E7086" w:rsidRDefault="005E7086">
      <w:pPr>
        <w:ind w:left="567" w:right="616"/>
        <w:jc w:val="both"/>
        <w:rPr>
          <w:rFonts w:ascii="Palatino Linotype" w:eastAsia="Palatino Linotype" w:hAnsi="Palatino Linotype" w:cs="Palatino Linotype"/>
          <w:i/>
          <w:sz w:val="22"/>
          <w:szCs w:val="22"/>
        </w:rPr>
      </w:pPr>
    </w:p>
    <w:p w14:paraId="1968970A"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Localizar la información que le solicite la Unidad de Transparencia;</w:t>
      </w:r>
    </w:p>
    <w:p w14:paraId="1968970B"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1968970C"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968970D" w14:textId="77777777" w:rsidR="005E7086" w:rsidRDefault="005E7086">
      <w:pPr>
        <w:ind w:left="567" w:right="616"/>
        <w:jc w:val="both"/>
        <w:rPr>
          <w:rFonts w:ascii="Palatino Linotype" w:eastAsia="Palatino Linotype" w:hAnsi="Palatino Linotype" w:cs="Palatino Linotype"/>
          <w:i/>
          <w:sz w:val="22"/>
          <w:szCs w:val="22"/>
        </w:rPr>
      </w:pPr>
    </w:p>
    <w:p w14:paraId="1968970E" w14:textId="77777777" w:rsidR="005E7086" w:rsidRDefault="0024521B">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968970F" w14:textId="77777777" w:rsidR="005E7086" w:rsidRDefault="005E7086">
      <w:pPr>
        <w:spacing w:line="360" w:lineRule="auto"/>
        <w:jc w:val="both"/>
        <w:rPr>
          <w:rFonts w:ascii="Palatino Linotype" w:eastAsia="Palatino Linotype" w:hAnsi="Palatino Linotype" w:cs="Palatino Linotype"/>
        </w:rPr>
      </w:pPr>
    </w:p>
    <w:p w14:paraId="19689710"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w:t>
      </w:r>
      <w:r>
        <w:rPr>
          <w:rFonts w:ascii="Palatino Linotype" w:eastAsia="Palatino Linotype" w:hAnsi="Palatino Linotype" w:cs="Palatino Linotype"/>
          <w:color w:val="000000"/>
        </w:rPr>
        <w:lastRenderedPageBreak/>
        <w:t>exhaustiva y razonable de la información solicitada a fin de que ésta sea entregada a los solicitantes.</w:t>
      </w:r>
    </w:p>
    <w:p w14:paraId="19689711" w14:textId="77777777" w:rsidR="005E7086" w:rsidRDefault="005E708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9689712"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19689713"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714"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rPr>
        <w:t>En el caso que se resuelve, la respuesta fue emitida por la Directora de la Licenciatura de Gerontología, quien de acuerdo al Manual de Organización de la Universidad Estatal del Valle de Ecatepec</w:t>
      </w:r>
      <w:r>
        <w:rPr>
          <w:rFonts w:ascii="Palatino Linotype" w:eastAsia="Palatino Linotype" w:hAnsi="Palatino Linotype" w:cs="Palatino Linotype"/>
          <w:color w:val="000000"/>
          <w:vertAlign w:val="superscript"/>
        </w:rPr>
        <w:footnoteReference w:id="3"/>
      </w:r>
      <w:r>
        <w:rPr>
          <w:rFonts w:ascii="Palatino Linotype" w:eastAsia="Palatino Linotype" w:hAnsi="Palatino Linotype" w:cs="Palatino Linotype"/>
          <w:color w:val="000000"/>
        </w:rPr>
        <w:t>, tiene el objetivo de planear, coordinar y controlar las actividades académicas y de investigación de la Dirección de Licenciatura en Gerontología, con el propósito de alcanzar la excelencia académica, dirigiendo sus resultados a los objetivos institucionales de la Universidad.</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rPr>
        <w:t xml:space="preserve">Tal y como se aprecia, el área a la cual se turnó la solicitud cuenta con atribuciones para generar, poseer y administrar la información solicitada. </w:t>
      </w:r>
    </w:p>
    <w:p w14:paraId="19689715" w14:textId="77777777" w:rsidR="005E7086" w:rsidRDefault="005E708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9689716"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rPr>
        <w:t xml:space="preserve">Por otro lado, debemos recordar que el Sujeto Obligado entregó una liga electrónica en la que señaló se encuentra lo solicitado, al respecto,  la Ley en la materia en términos generales, establece que como uno de los objetivos con el que cuenta es el de garantizar a toda persona el derecho de acceso a la información pública, mediante los procedimientos establecidos de forma </w:t>
      </w:r>
      <w:r>
        <w:rPr>
          <w:rFonts w:ascii="Palatino Linotype" w:eastAsia="Palatino Linotype" w:hAnsi="Palatino Linotype" w:cs="Palatino Linotype"/>
          <w:b/>
          <w:color w:val="000000"/>
        </w:rPr>
        <w:t>sencilla</w:t>
      </w:r>
      <w:r>
        <w:rPr>
          <w:rFonts w:ascii="Palatino Linotype" w:eastAsia="Palatino Linotype" w:hAnsi="Palatino Linotype" w:cs="Palatino Linotype"/>
          <w:color w:val="000000"/>
        </w:rPr>
        <w:t xml:space="preserve">, expeditos, </w:t>
      </w:r>
      <w:r>
        <w:rPr>
          <w:rFonts w:ascii="Palatino Linotype" w:eastAsia="Palatino Linotype" w:hAnsi="Palatino Linotype" w:cs="Palatino Linotype"/>
          <w:b/>
          <w:color w:val="000000"/>
        </w:rPr>
        <w:t>oportunos</w:t>
      </w:r>
      <w:r>
        <w:rPr>
          <w:rFonts w:ascii="Palatino Linotype" w:eastAsia="Palatino Linotype" w:hAnsi="Palatino Linotype" w:cs="Palatino Linotype"/>
          <w:color w:val="000000"/>
        </w:rPr>
        <w:t xml:space="preserve"> y gratuitos, </w:t>
      </w:r>
      <w:r>
        <w:rPr>
          <w:rFonts w:ascii="Palatino Linotype" w:eastAsia="Palatino Linotype" w:hAnsi="Palatino Linotype" w:cs="Palatino Linotype"/>
          <w:color w:val="000000"/>
        </w:rPr>
        <w:lastRenderedPageBreak/>
        <w:t>y con ello contribuir a la mejora de procedimientos y mecanismos que permitan trasparentar la gestión pública y mejora la toma decisiones, a través de la difusión de la información que obra en poder de los sujeto obligados.</w:t>
      </w:r>
    </w:p>
    <w:p w14:paraId="19689717" w14:textId="77777777" w:rsidR="005E7086" w:rsidRDefault="005E7086">
      <w:pPr>
        <w:spacing w:line="360" w:lineRule="auto"/>
        <w:ind w:right="49"/>
        <w:jc w:val="both"/>
        <w:rPr>
          <w:rFonts w:ascii="Palatino Linotype" w:eastAsia="Palatino Linotype" w:hAnsi="Palatino Linotype" w:cs="Palatino Linotype"/>
        </w:rPr>
      </w:pPr>
    </w:p>
    <w:p w14:paraId="19689718"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formato prediseñado para que los particulares formulen su solicitud de acceso a la información contiene opciones para seleccionar la modalidad de entrega de la información. En el presente asunto en particular, se solicitó la información a través de la Plataforma Nacional de Transparencia. En consecuencia, lo idóneo es que, los Sujetos Obligados proporcionen la información por el medio solicitado; no obstante, la Ley de Transparencia y Acceso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la Información Pública del Estado de México y Municipios establece dos puntos importantes que impactan sobre la modalidad de entrega de la información.</w:t>
      </w:r>
    </w:p>
    <w:p w14:paraId="19689719" w14:textId="77777777" w:rsidR="005E7086" w:rsidRDefault="005E708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968971A" w14:textId="77777777" w:rsidR="005E7086" w:rsidRDefault="0024521B">
      <w:pPr>
        <w:numPr>
          <w:ilvl w:val="0"/>
          <w:numId w:val="5"/>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primer punto a analizar es que la ley en materia contempla </w:t>
      </w:r>
      <w:r>
        <w:rPr>
          <w:rFonts w:ascii="Palatino Linotype" w:eastAsia="Palatino Linotype" w:hAnsi="Palatino Linotype" w:cs="Palatino Linotype"/>
          <w:b/>
          <w:color w:val="000000"/>
        </w:rPr>
        <w:t>información pública de oficio</w:t>
      </w:r>
      <w:r>
        <w:rPr>
          <w:rFonts w:ascii="Palatino Linotype" w:eastAsia="Palatino Linotype" w:hAnsi="Palatino Linotype" w:cs="Palatino Linotype"/>
          <w:color w:val="000000"/>
        </w:rPr>
        <w:t xml:space="preserve"> que los Sujetos Obligados deben poner a disposición del público de manera permanente y actualizada de forma sencilla, precisa y entendible, en los respectivos medios electrónicos la información pública que generen, administren o posean.</w:t>
      </w:r>
    </w:p>
    <w:p w14:paraId="1968971B" w14:textId="77777777" w:rsidR="005E7086" w:rsidRDefault="005E708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968971C" w14:textId="77777777" w:rsidR="005E7086" w:rsidRDefault="0024521B">
      <w:pPr>
        <w:numPr>
          <w:ilvl w:val="0"/>
          <w:numId w:val="5"/>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segundo punto a analizar y que guarda estricta relación con el punto anterior, se encuentra en el artículo 161 de la citada Ley de Transparencia Local:</w:t>
      </w:r>
    </w:p>
    <w:p w14:paraId="1968971D"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968971E" w14:textId="77777777" w:rsidR="005E7086" w:rsidRDefault="0024521B">
      <w:pPr>
        <w:spacing w:line="360" w:lineRule="auto"/>
        <w:ind w:left="851" w:right="822"/>
        <w:jc w:val="both"/>
        <w:rPr>
          <w:rFonts w:ascii="Palatino Linotype" w:eastAsia="Palatino Linotype" w:hAnsi="Palatino Linotype" w:cs="Palatino Linotype"/>
          <w:i/>
          <w:sz w:val="28"/>
          <w:szCs w:val="28"/>
        </w:rPr>
      </w:pPr>
      <w:r>
        <w:rPr>
          <w:rFonts w:ascii="Palatino Linotype" w:eastAsia="Palatino Linotype" w:hAnsi="Palatino Linotype" w:cs="Palatino Linotype"/>
          <w:b/>
          <w:i/>
          <w:sz w:val="22"/>
          <w:szCs w:val="22"/>
        </w:rPr>
        <w:t>Artículo 161. Cuando la información requerida por el solicitante ya esté disponible</w:t>
      </w:r>
      <w:r>
        <w:rPr>
          <w:rFonts w:ascii="Palatino Linotype" w:eastAsia="Palatino Linotype" w:hAnsi="Palatino Linotype" w:cs="Palatino Linotype"/>
          <w:i/>
          <w:sz w:val="22"/>
          <w:szCs w:val="22"/>
        </w:rPr>
        <w:t xml:space="preserve"> al público en medios impresos, tales como libros, compendios, trípticos, registros públicos, </w:t>
      </w:r>
      <w:r>
        <w:rPr>
          <w:rFonts w:ascii="Palatino Linotype" w:eastAsia="Palatino Linotype" w:hAnsi="Palatino Linotype" w:cs="Palatino Linotype"/>
          <w:b/>
          <w:i/>
          <w:sz w:val="22"/>
          <w:szCs w:val="22"/>
        </w:rPr>
        <w:t xml:space="preserve">en formatos electrónicos disponibles en Internet </w:t>
      </w:r>
      <w:r>
        <w:rPr>
          <w:rFonts w:ascii="Palatino Linotype" w:eastAsia="Palatino Linotype" w:hAnsi="Palatino Linotype" w:cs="Palatino Linotype"/>
          <w:i/>
          <w:sz w:val="22"/>
          <w:szCs w:val="22"/>
        </w:rPr>
        <w:t xml:space="preserve">o en </w:t>
      </w:r>
      <w:r>
        <w:rPr>
          <w:rFonts w:ascii="Palatino Linotype" w:eastAsia="Palatino Linotype" w:hAnsi="Palatino Linotype" w:cs="Palatino Linotype"/>
          <w:i/>
          <w:sz w:val="22"/>
          <w:szCs w:val="22"/>
        </w:rPr>
        <w:lastRenderedPageBreak/>
        <w:t xml:space="preserve">cualquier otro medio, se le hará saber por el medio requerido por el solicitante la fuente, el lugar y la forma en que puede consultar, reproducir o adquirir dicha información </w:t>
      </w:r>
      <w:r>
        <w:rPr>
          <w:rFonts w:ascii="Palatino Linotype" w:eastAsia="Palatino Linotype" w:hAnsi="Palatino Linotype" w:cs="Palatino Linotype"/>
          <w:b/>
          <w:i/>
          <w:sz w:val="22"/>
          <w:szCs w:val="22"/>
        </w:rPr>
        <w:t>en un plazo no mayor a cinco días hábiles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Pr>
          <w:rFonts w:ascii="Palatino Linotype" w:eastAsia="Palatino Linotype" w:hAnsi="Palatino Linotype" w:cs="Palatino Linotype"/>
          <w:i/>
          <w:sz w:val="22"/>
          <w:szCs w:val="22"/>
        </w:rPr>
        <w:t>.</w:t>
      </w:r>
    </w:p>
    <w:p w14:paraId="1968971F" w14:textId="77777777" w:rsidR="005E7086" w:rsidRDefault="0024521B">
      <w:pPr>
        <w:numPr>
          <w:ilvl w:val="0"/>
          <w:numId w:val="5"/>
        </w:numPr>
        <w:pBdr>
          <w:top w:val="nil"/>
          <w:left w:val="nil"/>
          <w:bottom w:val="nil"/>
          <w:right w:val="nil"/>
          <w:between w:val="nil"/>
        </w:pBdr>
        <w:tabs>
          <w:tab w:val="left" w:pos="851"/>
        </w:tabs>
        <w:spacing w:before="240" w:line="360" w:lineRule="auto"/>
        <w:ind w:left="0" w:right="49" w:firstLine="0"/>
        <w:jc w:val="both"/>
        <w:rPr>
          <w:rFonts w:ascii="Palatino Linotype" w:eastAsia="Palatino Linotype" w:hAnsi="Palatino Linotype" w:cs="Palatino Linotype"/>
          <w:i/>
          <w:color w:val="000000"/>
          <w:sz w:val="36"/>
          <w:szCs w:val="36"/>
        </w:rPr>
      </w:pPr>
      <w:r>
        <w:rPr>
          <w:rFonts w:ascii="Palatino Linotype" w:eastAsia="Palatino Linotype" w:hAnsi="Palatino Linotype" w:cs="Palatino Linotype"/>
          <w:color w:val="000000"/>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r>
        <w:rPr>
          <w:rFonts w:ascii="Palatino Linotype" w:eastAsia="Palatino Linotype" w:hAnsi="Palatino Linotype" w:cs="Palatino Linotype"/>
          <w:i/>
          <w:color w:val="000000"/>
          <w:sz w:val="36"/>
          <w:szCs w:val="36"/>
        </w:rPr>
        <w:t xml:space="preserve"> </w:t>
      </w:r>
      <w:r>
        <w:rPr>
          <w:rFonts w:ascii="Palatino Linotype" w:eastAsia="Palatino Linotype" w:hAnsi="Palatino Linotype" w:cs="Palatino Linotype"/>
          <w:b/>
          <w:color w:val="000000"/>
        </w:rPr>
        <w:t>La orientación</w:t>
      </w:r>
      <w:r>
        <w:rPr>
          <w:rFonts w:ascii="Palatino Linotype" w:eastAsia="Palatino Linotype" w:hAnsi="Palatino Linotype" w:cs="Palatino Linotype"/>
          <w:color w:val="000000"/>
        </w:rPr>
        <w:t xml:space="preserve"> que realicen los Sujetos Obligados a los sitios electrónicos para la consulta de la información </w:t>
      </w:r>
      <w:r>
        <w:rPr>
          <w:rFonts w:ascii="Palatino Linotype" w:eastAsia="Palatino Linotype" w:hAnsi="Palatino Linotype" w:cs="Palatino Linotype"/>
          <w:b/>
          <w:color w:val="000000"/>
        </w:rPr>
        <w:t>debe cumplir con las características de tiempo y forma.</w:t>
      </w:r>
    </w:p>
    <w:p w14:paraId="19689720" w14:textId="77777777" w:rsidR="005E7086" w:rsidRDefault="005E708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rPr>
      </w:pPr>
    </w:p>
    <w:p w14:paraId="19689721" w14:textId="77777777" w:rsidR="005E7086" w:rsidRDefault="0024521B">
      <w:pPr>
        <w:numPr>
          <w:ilvl w:val="0"/>
          <w:numId w:val="5"/>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32"/>
          <w:szCs w:val="32"/>
        </w:rPr>
      </w:pPr>
      <w:r>
        <w:rPr>
          <w:rFonts w:ascii="Palatino Linotype" w:eastAsia="Palatino Linotype" w:hAnsi="Palatino Linotype" w:cs="Palatino Linotype"/>
          <w:color w:val="000000"/>
        </w:rPr>
        <w:t>En ese sentido, la normatividad en materia establece que las direcciones electrónicas deben ser precisas, de tal modo que no implique que el Recurrente deba de realizar una búsqueda dentro de toda la información disponible.</w:t>
      </w:r>
      <w:r>
        <w:rPr>
          <w:rFonts w:ascii="Palatino Linotype" w:eastAsia="Palatino Linotype" w:hAnsi="Palatino Linotype" w:cs="Palatino Linotype"/>
          <w:i/>
          <w:color w:val="000000"/>
          <w:sz w:val="32"/>
          <w:szCs w:val="32"/>
        </w:rPr>
        <w:t xml:space="preserve"> </w:t>
      </w:r>
      <w:r>
        <w:rPr>
          <w:rFonts w:ascii="Palatino Linotype" w:eastAsia="Palatino Linotype" w:hAnsi="Palatino Linotype" w:cs="Palatino Linotype"/>
          <w:color w:val="000000"/>
        </w:rPr>
        <w:t>El Sujeto Obligado señaló que la información solicitada se encontraba en la siguiente liga electrónica:</w:t>
      </w:r>
    </w:p>
    <w:p w14:paraId="19689722" w14:textId="77777777" w:rsidR="005E7086" w:rsidRDefault="005E7086">
      <w:pPr>
        <w:pBdr>
          <w:top w:val="nil"/>
          <w:left w:val="nil"/>
          <w:bottom w:val="nil"/>
          <w:right w:val="nil"/>
          <w:between w:val="nil"/>
        </w:pBdr>
        <w:ind w:left="720"/>
        <w:rPr>
          <w:rFonts w:ascii="Palatino Linotype" w:eastAsia="Palatino Linotype" w:hAnsi="Palatino Linotype" w:cs="Palatino Linotype"/>
          <w:i/>
          <w:color w:val="000000"/>
          <w:sz w:val="32"/>
          <w:szCs w:val="32"/>
        </w:rPr>
      </w:pPr>
    </w:p>
    <w:p w14:paraId="19689723" w14:textId="77777777" w:rsidR="005E7086" w:rsidRDefault="005E708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32"/>
          <w:szCs w:val="32"/>
        </w:rPr>
      </w:pPr>
    </w:p>
    <w:p w14:paraId="19689724" w14:textId="77777777" w:rsidR="005E7086" w:rsidRDefault="001C515B">
      <w:pPr>
        <w:numPr>
          <w:ilvl w:val="0"/>
          <w:numId w:val="3"/>
        </w:numPr>
        <w:pBdr>
          <w:top w:val="nil"/>
          <w:left w:val="nil"/>
          <w:bottom w:val="nil"/>
          <w:right w:val="nil"/>
          <w:between w:val="nil"/>
        </w:pBdr>
        <w:spacing w:line="360" w:lineRule="auto"/>
        <w:ind w:left="851" w:firstLine="0"/>
        <w:rPr>
          <w:rFonts w:ascii="Palatino Linotype" w:eastAsia="Palatino Linotype" w:hAnsi="Palatino Linotype" w:cs="Palatino Linotype"/>
          <w:color w:val="000000"/>
        </w:rPr>
      </w:pPr>
      <w:hyperlink r:id="rId14">
        <w:r w:rsidR="0024521B">
          <w:rPr>
            <w:rFonts w:ascii="Palatino Linotype" w:eastAsia="Palatino Linotype" w:hAnsi="Palatino Linotype" w:cs="Palatino Linotype"/>
            <w:i/>
            <w:color w:val="0563C1"/>
            <w:sz w:val="22"/>
            <w:szCs w:val="22"/>
            <w:u w:val="single"/>
          </w:rPr>
          <w:t>https://uneveedu-my.sharepoint.com/:u:/g/personal/uippe_uneve_edu_mx/EY-f_iPEvq5LtUn4yC7WKTYBHYAYSP_pBTpSH7vvFIOaNQ?e=UOcDzd</w:t>
        </w:r>
      </w:hyperlink>
      <w:r w:rsidR="0024521B">
        <w:rPr>
          <w:rFonts w:ascii="Palatino Linotype" w:eastAsia="Palatino Linotype" w:hAnsi="Palatino Linotype" w:cs="Palatino Linotype"/>
          <w:i/>
          <w:color w:val="000000"/>
          <w:sz w:val="22"/>
          <w:szCs w:val="22"/>
        </w:rPr>
        <w:t xml:space="preserve"> </w:t>
      </w:r>
    </w:p>
    <w:p w14:paraId="19689725" w14:textId="77777777" w:rsidR="005E7086" w:rsidRDefault="005E7086">
      <w:pPr>
        <w:pBdr>
          <w:top w:val="nil"/>
          <w:left w:val="nil"/>
          <w:bottom w:val="nil"/>
          <w:right w:val="nil"/>
          <w:between w:val="nil"/>
        </w:pBdr>
        <w:spacing w:line="360" w:lineRule="auto"/>
        <w:ind w:left="851"/>
        <w:rPr>
          <w:rFonts w:ascii="Palatino Linotype" w:eastAsia="Palatino Linotype" w:hAnsi="Palatino Linotype" w:cs="Palatino Linotype"/>
          <w:color w:val="000000"/>
        </w:rPr>
      </w:pPr>
    </w:p>
    <w:p w14:paraId="19689726" w14:textId="77777777" w:rsidR="005E7086" w:rsidRDefault="0024521B">
      <w:pPr>
        <w:numPr>
          <w:ilvl w:val="0"/>
          <w:numId w:val="5"/>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ingresar a la liga electrónica, remite a una carpeta denominada Gerontología, dentro de la cual se advierten diez carpetas (dentro de las cuales hay más documentos) y seis documentos en formato Word y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como se observa en las siguientes imágenes:</w:t>
      </w:r>
    </w:p>
    <w:p w14:paraId="19689727" w14:textId="77777777" w:rsidR="005E7086" w:rsidRDefault="005E708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9689728"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70" wp14:editId="19689771">
            <wp:extent cx="3629532" cy="3400900"/>
            <wp:effectExtent l="0" t="0" r="0" b="0"/>
            <wp:docPr id="1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3629532" cy="3400900"/>
                    </a:xfrm>
                    <a:prstGeom prst="rect">
                      <a:avLst/>
                    </a:prstGeom>
                    <a:ln/>
                  </pic:spPr>
                </pic:pic>
              </a:graphicData>
            </a:graphic>
          </wp:inline>
        </w:drawing>
      </w:r>
    </w:p>
    <w:p w14:paraId="19689729"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72" wp14:editId="19689773">
            <wp:extent cx="2905530" cy="103837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905530" cy="1038370"/>
                    </a:xfrm>
                    <a:prstGeom prst="rect">
                      <a:avLst/>
                    </a:prstGeom>
                    <a:ln/>
                  </pic:spPr>
                </pic:pic>
              </a:graphicData>
            </a:graphic>
          </wp:inline>
        </w:drawing>
      </w:r>
    </w:p>
    <w:p w14:paraId="1968972A"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19689774" wp14:editId="19689775">
            <wp:extent cx="2581635" cy="438211"/>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581635" cy="438211"/>
                    </a:xfrm>
                    <a:prstGeom prst="rect">
                      <a:avLst/>
                    </a:prstGeom>
                    <a:ln/>
                  </pic:spPr>
                </pic:pic>
              </a:graphicData>
            </a:graphic>
          </wp:inline>
        </w:drawing>
      </w:r>
    </w:p>
    <w:p w14:paraId="1968972B"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76" wp14:editId="19689777">
            <wp:extent cx="3943900" cy="1810003"/>
            <wp:effectExtent l="0" t="0" r="0" b="0"/>
            <wp:docPr id="2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3943900" cy="1810003"/>
                    </a:xfrm>
                    <a:prstGeom prst="rect">
                      <a:avLst/>
                    </a:prstGeom>
                    <a:ln/>
                  </pic:spPr>
                </pic:pic>
              </a:graphicData>
            </a:graphic>
          </wp:inline>
        </w:drawing>
      </w:r>
    </w:p>
    <w:p w14:paraId="1968972C"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78" wp14:editId="19689779">
            <wp:extent cx="2295845" cy="438211"/>
            <wp:effectExtent l="0" t="0" r="0" b="0"/>
            <wp:docPr id="2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2295845" cy="438211"/>
                    </a:xfrm>
                    <a:prstGeom prst="rect">
                      <a:avLst/>
                    </a:prstGeom>
                    <a:ln/>
                  </pic:spPr>
                </pic:pic>
              </a:graphicData>
            </a:graphic>
          </wp:inline>
        </w:drawing>
      </w:r>
    </w:p>
    <w:p w14:paraId="1968972D"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7A" wp14:editId="1968977B">
            <wp:extent cx="2638793" cy="1047896"/>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2638793" cy="1047896"/>
                    </a:xfrm>
                    <a:prstGeom prst="rect">
                      <a:avLst/>
                    </a:prstGeom>
                    <a:ln/>
                  </pic:spPr>
                </pic:pic>
              </a:graphicData>
            </a:graphic>
          </wp:inline>
        </w:drawing>
      </w:r>
    </w:p>
    <w:p w14:paraId="1968972E"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7C" wp14:editId="1968977D">
            <wp:extent cx="2781688" cy="552527"/>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2781688" cy="552527"/>
                    </a:xfrm>
                    <a:prstGeom prst="rect">
                      <a:avLst/>
                    </a:prstGeom>
                    <a:ln/>
                  </pic:spPr>
                </pic:pic>
              </a:graphicData>
            </a:graphic>
          </wp:inline>
        </w:drawing>
      </w:r>
    </w:p>
    <w:p w14:paraId="1968972F"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7E" wp14:editId="1968977F">
            <wp:extent cx="4039164" cy="1057423"/>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4039164" cy="1057423"/>
                    </a:xfrm>
                    <a:prstGeom prst="rect">
                      <a:avLst/>
                    </a:prstGeom>
                    <a:ln/>
                  </pic:spPr>
                </pic:pic>
              </a:graphicData>
            </a:graphic>
          </wp:inline>
        </w:drawing>
      </w:r>
    </w:p>
    <w:p w14:paraId="19689730"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80" wp14:editId="19689781">
            <wp:extent cx="2819794" cy="819264"/>
            <wp:effectExtent l="0" t="0" r="0" b="0"/>
            <wp:docPr id="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2819794" cy="819264"/>
                    </a:xfrm>
                    <a:prstGeom prst="rect">
                      <a:avLst/>
                    </a:prstGeom>
                    <a:ln/>
                  </pic:spPr>
                </pic:pic>
              </a:graphicData>
            </a:graphic>
          </wp:inline>
        </w:drawing>
      </w:r>
    </w:p>
    <w:p w14:paraId="19689731"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19689782" wp14:editId="19689783">
            <wp:extent cx="2810267" cy="809738"/>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2810267" cy="809738"/>
                    </a:xfrm>
                    <a:prstGeom prst="rect">
                      <a:avLst/>
                    </a:prstGeom>
                    <a:ln/>
                  </pic:spPr>
                </pic:pic>
              </a:graphicData>
            </a:graphic>
          </wp:inline>
        </w:drawing>
      </w:r>
    </w:p>
    <w:p w14:paraId="19689732"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84" wp14:editId="19689785">
            <wp:extent cx="4086795" cy="1076475"/>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4086795" cy="1076475"/>
                    </a:xfrm>
                    <a:prstGeom prst="rect">
                      <a:avLst/>
                    </a:prstGeom>
                    <a:ln/>
                  </pic:spPr>
                </pic:pic>
              </a:graphicData>
            </a:graphic>
          </wp:inline>
        </w:drawing>
      </w:r>
    </w:p>
    <w:p w14:paraId="19689733"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86" wp14:editId="19689787">
            <wp:extent cx="3829584" cy="1829055"/>
            <wp:effectExtent l="0" t="0" r="0" b="0"/>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3829584" cy="1829055"/>
                    </a:xfrm>
                    <a:prstGeom prst="rect">
                      <a:avLst/>
                    </a:prstGeom>
                    <a:ln/>
                  </pic:spPr>
                </pic:pic>
              </a:graphicData>
            </a:graphic>
          </wp:inline>
        </w:drawing>
      </w:r>
    </w:p>
    <w:p w14:paraId="19689734" w14:textId="77777777" w:rsidR="005E7086" w:rsidRDefault="0024521B">
      <w:pPr>
        <w:pBdr>
          <w:top w:val="nil"/>
          <w:left w:val="nil"/>
          <w:bottom w:val="nil"/>
          <w:right w:val="nil"/>
          <w:between w:val="nil"/>
        </w:pBdr>
        <w:tabs>
          <w:tab w:val="left" w:pos="851"/>
        </w:tabs>
        <w:spacing w:line="360" w:lineRule="auto"/>
        <w:ind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9689788" wp14:editId="19689789">
            <wp:extent cx="1190791" cy="362001"/>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1190791" cy="362001"/>
                    </a:xfrm>
                    <a:prstGeom prst="rect">
                      <a:avLst/>
                    </a:prstGeom>
                    <a:ln/>
                  </pic:spPr>
                </pic:pic>
              </a:graphicData>
            </a:graphic>
          </wp:inline>
        </w:drawing>
      </w:r>
    </w:p>
    <w:p w14:paraId="19689735" w14:textId="77777777" w:rsidR="005E7086" w:rsidRDefault="005E708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9689736"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derivado de los motivos de inconformidad, a través de informe justificado el Sujeto Obligado señaló: </w:t>
      </w:r>
    </w:p>
    <w:p w14:paraId="19689737"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rPr>
      </w:pPr>
    </w:p>
    <w:p w14:paraId="19689738" w14:textId="77777777" w:rsidR="005E7086" w:rsidRDefault="0024521B">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Este expediente fue remitido en su literalidad y fue puesto de conocimiento al solicitante en la manera y forma en que cuenta integrado en este sujeto obligado</w:t>
      </w:r>
      <w:r>
        <w:rPr>
          <w:rFonts w:ascii="Palatino Linotype" w:eastAsia="Palatino Linotype" w:hAnsi="Palatino Linotype" w:cs="Palatino Linotype"/>
          <w:i/>
          <w:color w:val="000000"/>
          <w:sz w:val="22"/>
          <w:szCs w:val="22"/>
        </w:rPr>
        <w:t xml:space="preserve">. En esta tesitura, sin mayor interpretación de la solicitud, refirió al expediente, y el expediente tal cual fue remitido. Ahora bien, respecto de lo que expresa en el recurso interpuesto por el solicitante dice y afirma que la información no es de carácter confidencial situación que es una valoración que hace </w:t>
      </w:r>
      <w:r>
        <w:rPr>
          <w:rFonts w:ascii="Palatino Linotype" w:eastAsia="Palatino Linotype" w:hAnsi="Palatino Linotype" w:cs="Palatino Linotype"/>
          <w:i/>
          <w:color w:val="000000"/>
          <w:sz w:val="22"/>
          <w:szCs w:val="22"/>
        </w:rPr>
        <w:lastRenderedPageBreak/>
        <w:t>el recurrente del mismo expediente que le fue puesto de su conocimiento con motivo de su solicitud de acceso a la información y que aprecia en el expediente en cuestión, lo cual no implica que haya habido ocultamiento alguno.”</w:t>
      </w:r>
    </w:p>
    <w:p w14:paraId="19689739" w14:textId="77777777" w:rsidR="005E7086" w:rsidRDefault="005E7086">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1968973A" w14:textId="77777777" w:rsidR="005E7086" w:rsidRDefault="0024521B">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“Son valoraciones que hace de los contenidos del expediente: valoraciones que realiza a su propio leal saber y entender; de sus mismas valoraciones se acredita que le fue proporcionada la información solicitada y que se encuentran contenidas en el expediente. </w:t>
      </w:r>
    </w:p>
    <w:p w14:paraId="1968973B" w14:textId="77777777" w:rsidR="005E7086" w:rsidRDefault="0024521B">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Solo me permito señalar en relación con el punto que refiere, "se reclama en este acto que el sujeto obligado incurre en ocultar información de manera dolosa”, me permito reiterar y precisar que la solicitud se constriñe a la remisión del expediente, mismo que tal cual fue remitido, que tan es así que, todas las expresiones que realiza son en función del mismo expediente proporcionado, y en su particular interpretación. </w:t>
      </w:r>
    </w:p>
    <w:p w14:paraId="1968973C" w14:textId="77777777" w:rsidR="005E7086" w:rsidRDefault="0024521B">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Preciso que respecto de los documentos de trabajo mismos que indica como: "texto pendiente". "actualizar". "revisar" y "estructura", "pendiente de anexar* (que consta en archivo digital), "la falta de probidad del sujeto obligado se evidencian al entregar documentos que no tiene nada que ver en los que se habla de la especialidad*, no de lo solicitado; es de señalar que esta información, reitero, es parte del expediente y que, en aras de la transparencia se anexaron ya que son carpetas de trabajo que formaron parte de la construcción del expediente, pero pertenecen al expediente complementario de los procesos de evaluación y acreditación del programa educativo en comento y que la especialidad por él citada es parte de los procesos que desarrolla la licenciatura en la generación de programas para la actualización de los egresados. Lo que él expresa, son valoraciones del mismo expediente que solicitó, y se pretende constituir como evaluador CIEES, sin embargo, queda preciso y de reiterar, que es el </w:t>
      </w:r>
      <w:r>
        <w:rPr>
          <w:rFonts w:ascii="Palatino Linotype" w:eastAsia="Palatino Linotype" w:hAnsi="Palatino Linotype" w:cs="Palatino Linotype"/>
          <w:i/>
          <w:color w:val="000000"/>
          <w:sz w:val="22"/>
          <w:szCs w:val="22"/>
        </w:rPr>
        <w:lastRenderedPageBreak/>
        <w:t>contenido del expediente que fue solicitado con registro 00023/UNEVE/P/2023 recibido a través del Sistema de Acceso a la Información Mexiquense (SAIMEX).</w:t>
      </w:r>
    </w:p>
    <w:p w14:paraId="1968973D" w14:textId="77777777" w:rsidR="005E7086" w:rsidRDefault="005E708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968973E" w14:textId="77777777" w:rsidR="005E7086" w:rsidRDefault="00F849A2">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w:t>
      </w:r>
      <w:r w:rsidR="0024521B">
        <w:rPr>
          <w:rFonts w:ascii="Palatino Linotype" w:eastAsia="Palatino Linotype" w:hAnsi="Palatino Linotype" w:cs="Palatino Linotype"/>
          <w:color w:val="000000"/>
        </w:rPr>
        <w:t xml:space="preserve">, la </w:t>
      </w:r>
      <w:r w:rsidR="0024521B">
        <w:rPr>
          <w:rFonts w:ascii="Palatino Linotype" w:eastAsia="Palatino Linotype" w:hAnsi="Palatino Linotype" w:cs="Palatino Linotype"/>
          <w:b/>
          <w:color w:val="000000"/>
        </w:rPr>
        <w:t>Ley de Transparencia y Acceso a la Información Pública del Estado de México y Municipios</w:t>
      </w:r>
      <w:r w:rsidR="0024521B">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968973F" w14:textId="77777777" w:rsidR="005E7086" w:rsidRDefault="005E7086">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14:paraId="19689740" w14:textId="77777777" w:rsidR="005E7086" w:rsidRDefault="0024521B">
      <w:pPr>
        <w:pBdr>
          <w:top w:val="nil"/>
          <w:left w:val="nil"/>
          <w:bottom w:val="nil"/>
          <w:right w:val="nil"/>
          <w:between w:val="nil"/>
        </w:pBdr>
        <w:spacing w:line="360" w:lineRule="auto"/>
        <w:ind w:left="851"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19689741" w14:textId="77777777" w:rsidR="005E7086" w:rsidRDefault="005E7086">
      <w:pPr>
        <w:pBdr>
          <w:top w:val="nil"/>
          <w:left w:val="nil"/>
          <w:bottom w:val="nil"/>
          <w:right w:val="nil"/>
          <w:between w:val="nil"/>
        </w:pBdr>
        <w:tabs>
          <w:tab w:val="left" w:pos="709"/>
        </w:tabs>
        <w:spacing w:line="360" w:lineRule="auto"/>
        <w:ind w:left="644" w:right="51"/>
        <w:jc w:val="both"/>
        <w:rPr>
          <w:rFonts w:ascii="Palatino Linotype" w:eastAsia="Palatino Linotype" w:hAnsi="Palatino Linotype" w:cs="Palatino Linotype"/>
          <w:color w:val="000000"/>
          <w:sz w:val="22"/>
          <w:szCs w:val="22"/>
        </w:rPr>
      </w:pPr>
    </w:p>
    <w:p w14:paraId="19689742" w14:textId="77777777" w:rsidR="005E7086" w:rsidRDefault="0024521B">
      <w:pPr>
        <w:numPr>
          <w:ilvl w:val="0"/>
          <w:numId w:val="5"/>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w:t>
      </w:r>
      <w:r w:rsidR="00F849A2">
        <w:rPr>
          <w:rFonts w:ascii="Palatino Linotype" w:eastAsia="Palatino Linotype" w:hAnsi="Palatino Linotype" w:cs="Palatino Linotype"/>
          <w:color w:val="000000"/>
        </w:rPr>
        <w:t xml:space="preserve"> los criterios ya expuestos, im</w:t>
      </w:r>
      <w:r>
        <w:rPr>
          <w:rFonts w:ascii="Palatino Linotype" w:eastAsia="Palatino Linotype" w:hAnsi="Palatino Linotype" w:cs="Palatino Linotype"/>
          <w:color w:val="000000"/>
        </w:rPr>
        <w:t>pidiendo a este Órgano Colegiado cuestionar la veracidad de la información.</w:t>
      </w:r>
    </w:p>
    <w:p w14:paraId="1FC6E72B" w14:textId="77777777" w:rsidR="00103228" w:rsidRPr="00103228" w:rsidRDefault="00103228" w:rsidP="00103228">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14:paraId="19689744" w14:textId="7BFFCF76"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rPr>
        <w:t xml:space="preserve">Atento a todo lo anteriormente señalado, resultan infundadas las razones o motivos de inconformidad hechos valer por el </w:t>
      </w:r>
      <w:r>
        <w:rPr>
          <w:rFonts w:ascii="Palatino Linotype" w:eastAsia="Palatino Linotype" w:hAnsi="Palatino Linotype" w:cs="Palatino Linotype"/>
          <w:b/>
          <w:color w:val="000000"/>
        </w:rPr>
        <w:t>RECURRENTE, y</w:t>
      </w:r>
      <w:r>
        <w:rPr>
          <w:rFonts w:ascii="Palatino Linotype" w:eastAsia="Palatino Linotype" w:hAnsi="Palatino Linotype" w:cs="Palatino Linotype"/>
          <w:color w:val="000000"/>
        </w:rPr>
        <w:t xml:space="preserve"> en términos del </w:t>
      </w:r>
      <w:r>
        <w:rPr>
          <w:rFonts w:ascii="Palatino Linotype" w:eastAsia="Palatino Linotype" w:hAnsi="Palatino Linotype" w:cs="Palatino Linotype"/>
          <w:color w:val="000000"/>
        </w:rPr>
        <w:lastRenderedPageBreak/>
        <w:t xml:space="preserve">artículo 186 fracción II este Pleno determina procedente </w:t>
      </w:r>
      <w:r>
        <w:rPr>
          <w:rFonts w:ascii="Palatino Linotype" w:eastAsia="Palatino Linotype" w:hAnsi="Palatino Linotype" w:cs="Palatino Linotype"/>
          <w:b/>
          <w:color w:val="000000"/>
        </w:rPr>
        <w:t>CONFIRMAR</w:t>
      </w:r>
      <w:r>
        <w:rPr>
          <w:rFonts w:ascii="Palatino Linotype" w:eastAsia="Palatino Linotype" w:hAnsi="Palatino Linotype" w:cs="Palatino Linotype"/>
          <w:color w:val="000000"/>
        </w:rPr>
        <w:t xml:space="preserve"> la respuesta del presente recurso de revisión, toda vez que no hubo afectación al derecho de acceso a la información pública establecido constitucionalmente a favor del particular.</w:t>
      </w:r>
    </w:p>
    <w:p w14:paraId="19689745" w14:textId="77777777" w:rsidR="005E7086" w:rsidRDefault="005E70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9689746" w14:textId="77777777" w:rsidR="005E7086" w:rsidRDefault="0024521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32"/>
          <w:szCs w:val="32"/>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19689747" w14:textId="77777777" w:rsidR="005E7086" w:rsidRDefault="005E7086">
      <w:pPr>
        <w:spacing w:line="360" w:lineRule="auto"/>
        <w:jc w:val="both"/>
        <w:rPr>
          <w:rFonts w:ascii="Palatino Linotype" w:eastAsia="Palatino Linotype" w:hAnsi="Palatino Linotype" w:cs="Palatino Linotype"/>
        </w:rPr>
      </w:pPr>
    </w:p>
    <w:p w14:paraId="19689748" w14:textId="77777777" w:rsidR="005E7086" w:rsidRDefault="0024521B">
      <w:pPr>
        <w:keepNext/>
        <w:keepLines/>
        <w:spacing w:line="360" w:lineRule="auto"/>
        <w:jc w:val="center"/>
        <w:rPr>
          <w:rFonts w:ascii="Palatino Linotype" w:eastAsia="Palatino Linotype" w:hAnsi="Palatino Linotype" w:cs="Palatino Linotype"/>
          <w:b/>
          <w:color w:val="000000"/>
        </w:rPr>
      </w:pPr>
      <w:bookmarkStart w:id="8" w:name="_heading=h.4d34og8" w:colFirst="0" w:colLast="0"/>
      <w:bookmarkEnd w:id="8"/>
      <w:r>
        <w:rPr>
          <w:rFonts w:ascii="Palatino Linotype" w:eastAsia="Palatino Linotype" w:hAnsi="Palatino Linotype" w:cs="Palatino Linotype"/>
          <w:b/>
          <w:color w:val="000000"/>
        </w:rPr>
        <w:t>R E S O L U T I V O S</w:t>
      </w:r>
    </w:p>
    <w:p w14:paraId="19689749" w14:textId="77777777" w:rsidR="005E7086" w:rsidRDefault="005E7086">
      <w:pPr>
        <w:keepNext/>
        <w:keepLines/>
        <w:spacing w:line="360" w:lineRule="auto"/>
        <w:jc w:val="center"/>
        <w:rPr>
          <w:rFonts w:ascii="Palatino Linotype" w:eastAsia="Palatino Linotype" w:hAnsi="Palatino Linotype" w:cs="Palatino Linotype"/>
          <w:b/>
          <w:color w:val="000000"/>
        </w:rPr>
      </w:pPr>
    </w:p>
    <w:p w14:paraId="1968974A" w14:textId="77777777" w:rsidR="005E7086" w:rsidRDefault="0024521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06893/INFOEM/IP/RR/2023,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1968974B" w14:textId="77777777" w:rsidR="005E7086" w:rsidRDefault="005E7086">
      <w:pPr>
        <w:spacing w:line="360" w:lineRule="auto"/>
        <w:jc w:val="both"/>
        <w:rPr>
          <w:rFonts w:ascii="Palatino Linotype" w:eastAsia="Palatino Linotype" w:hAnsi="Palatino Linotype" w:cs="Palatino Linotype"/>
        </w:rPr>
      </w:pPr>
    </w:p>
    <w:p w14:paraId="1968974C" w14:textId="77777777" w:rsidR="005E7086" w:rsidRDefault="0024521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b/>
          <w:color w:val="2E75B5"/>
          <w:sz w:val="26"/>
          <w:szCs w:val="2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CONFIRMA </w:t>
      </w:r>
      <w:r>
        <w:rPr>
          <w:rFonts w:ascii="Palatino Linotype" w:eastAsia="Palatino Linotype" w:hAnsi="Palatino Linotype" w:cs="Palatino Linotype"/>
        </w:rPr>
        <w:t xml:space="preserve">la respuesta emitida por la </w:t>
      </w:r>
      <w:r>
        <w:rPr>
          <w:rFonts w:ascii="Palatino Linotype" w:eastAsia="Palatino Linotype" w:hAnsi="Palatino Linotype" w:cs="Palatino Linotype"/>
          <w:b/>
        </w:rPr>
        <w:t xml:space="preserve">Universidad Estatal del Valle de Ecatepec </w:t>
      </w:r>
      <w:r>
        <w:rPr>
          <w:rFonts w:ascii="Palatino Linotype" w:eastAsia="Palatino Linotype" w:hAnsi="Palatino Linotype" w:cs="Palatino Linotype"/>
        </w:rPr>
        <w:t xml:space="preserve">a la solicitud </w:t>
      </w:r>
      <w:r>
        <w:rPr>
          <w:rFonts w:ascii="Palatino Linotype" w:eastAsia="Palatino Linotype" w:hAnsi="Palatino Linotype" w:cs="Palatino Linotype"/>
          <w:b/>
        </w:rPr>
        <w:t>00023/UNEVE/IP/2023.</w:t>
      </w:r>
      <w:r>
        <w:rPr>
          <w:rFonts w:ascii="Palatino Linotype" w:eastAsia="Palatino Linotype" w:hAnsi="Palatino Linotype" w:cs="Palatino Linotype"/>
        </w:rPr>
        <w:t xml:space="preserve"> </w:t>
      </w:r>
    </w:p>
    <w:p w14:paraId="1968974D" w14:textId="77777777" w:rsidR="005E7086" w:rsidRDefault="005E7086">
      <w:pPr>
        <w:spacing w:line="360" w:lineRule="auto"/>
        <w:jc w:val="both"/>
        <w:rPr>
          <w:rFonts w:ascii="Palatino Linotype" w:eastAsia="Palatino Linotype" w:hAnsi="Palatino Linotype" w:cs="Palatino Linotype"/>
        </w:rPr>
      </w:pPr>
    </w:p>
    <w:p w14:paraId="1968974E" w14:textId="77777777" w:rsidR="005E7086" w:rsidRDefault="0024521B">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REMÍTASE, </w:t>
      </w:r>
      <w:r>
        <w:rPr>
          <w:rFonts w:ascii="Palatino Linotype" w:eastAsia="Palatino Linotype" w:hAnsi="Palatino Linotype" w:cs="Palatino Linotype"/>
        </w:rPr>
        <w:t xml:space="preserve">vía Sistema de Acceso a la Información Mexiquense (SAIMEX), la presente resolución al Titular de la Unidad de Transparencia del </w:t>
      </w:r>
      <w:r>
        <w:rPr>
          <w:rFonts w:ascii="Palatino Linotype" w:eastAsia="Palatino Linotype" w:hAnsi="Palatino Linotype" w:cs="Palatino Linotype"/>
          <w:b/>
        </w:rPr>
        <w:t>SUJETO OBLIGADO.</w:t>
      </w:r>
    </w:p>
    <w:p w14:paraId="1968974F" w14:textId="77777777" w:rsidR="005E7086" w:rsidRDefault="005E7086">
      <w:pPr>
        <w:tabs>
          <w:tab w:val="left" w:pos="8080"/>
        </w:tabs>
        <w:spacing w:line="360" w:lineRule="auto"/>
        <w:ind w:right="49"/>
        <w:jc w:val="both"/>
        <w:rPr>
          <w:rFonts w:ascii="Palatino Linotype" w:eastAsia="Palatino Linotype" w:hAnsi="Palatino Linotype" w:cs="Palatino Linotype"/>
          <w:b/>
        </w:rPr>
      </w:pPr>
    </w:p>
    <w:p w14:paraId="19689750" w14:textId="77777777" w:rsidR="005E7086" w:rsidRDefault="0024521B">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Notifíquese al RECURRENTE </w:t>
      </w:r>
      <w:r>
        <w:rPr>
          <w:rFonts w:ascii="Palatino Linotype" w:eastAsia="Palatino Linotype" w:hAnsi="Palatino Linotype" w:cs="Palatino Linotype"/>
        </w:rPr>
        <w:t>la presente resolución vía SAIMEX.</w:t>
      </w:r>
    </w:p>
    <w:p w14:paraId="19689751" w14:textId="77777777" w:rsidR="005E7086" w:rsidRDefault="005E7086">
      <w:pPr>
        <w:shd w:val="clear" w:color="auto" w:fill="FFFFFF"/>
        <w:spacing w:line="360" w:lineRule="auto"/>
        <w:jc w:val="both"/>
        <w:rPr>
          <w:rFonts w:ascii="Palatino Linotype" w:eastAsia="Palatino Linotype" w:hAnsi="Palatino Linotype" w:cs="Palatino Linotype"/>
        </w:rPr>
      </w:pPr>
    </w:p>
    <w:p w14:paraId="19689752" w14:textId="77777777" w:rsidR="005E7086" w:rsidRDefault="0024521B">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que, de conformidad con lo establecido en el artículo 196 de la Ley de Transparencia y Acceso a la Información </w:t>
      </w:r>
      <w:r>
        <w:rPr>
          <w:rFonts w:ascii="Palatino Linotype" w:eastAsia="Palatino Linotype" w:hAnsi="Palatino Linotype" w:cs="Palatino Linotype"/>
        </w:rPr>
        <w:lastRenderedPageBreak/>
        <w:t>Pública del Estado de México y Municipios, en caso de que considere que la resolución le cause algún perjuicio podrá impugnarla vía juicio de amparo en los términos de las leyes aplicables.</w:t>
      </w:r>
    </w:p>
    <w:p w14:paraId="271CF4EF" w14:textId="77777777" w:rsidR="00B24DE8" w:rsidRDefault="00B24DE8">
      <w:pPr>
        <w:spacing w:before="240" w:after="240" w:line="360" w:lineRule="auto"/>
        <w:jc w:val="both"/>
        <w:rPr>
          <w:rFonts w:ascii="Palatino Linotype" w:eastAsia="Palatino Linotype" w:hAnsi="Palatino Linotype" w:cs="Palatino Linotype"/>
        </w:rPr>
      </w:pPr>
    </w:p>
    <w:p w14:paraId="3D21CEAF" w14:textId="77777777" w:rsidR="00B24DE8" w:rsidRPr="00E37AF3" w:rsidRDefault="00B24DE8" w:rsidP="00B24DE8">
      <w:pPr>
        <w:spacing w:line="360" w:lineRule="auto"/>
        <w:ind w:firstLine="1"/>
        <w:jc w:val="both"/>
        <w:rPr>
          <w:rFonts w:ascii="Palatino Linotype" w:hAnsi="Palatino Linotype"/>
        </w:rPr>
      </w:pPr>
      <w:bookmarkStart w:id="9" w:name="_heading=h.2s8eyo1" w:colFirst="0" w:colLast="0"/>
      <w:bookmarkEnd w:id="9"/>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19689756" w14:textId="77777777" w:rsidR="005E7086" w:rsidRDefault="005E7086">
      <w:pPr>
        <w:spacing w:line="360" w:lineRule="auto"/>
        <w:ind w:right="49"/>
        <w:jc w:val="both"/>
        <w:rPr>
          <w:rFonts w:ascii="Palatino Linotype" w:eastAsia="Palatino Linotype" w:hAnsi="Palatino Linotype" w:cs="Palatino Linotype"/>
        </w:rPr>
      </w:pPr>
    </w:p>
    <w:p w14:paraId="19689757" w14:textId="77777777" w:rsidR="005E7086" w:rsidRDefault="005E7086">
      <w:pPr>
        <w:spacing w:line="360" w:lineRule="auto"/>
        <w:ind w:right="49"/>
        <w:jc w:val="both"/>
        <w:rPr>
          <w:rFonts w:ascii="Palatino Linotype" w:eastAsia="Palatino Linotype" w:hAnsi="Palatino Linotype" w:cs="Palatino Linotype"/>
        </w:rPr>
      </w:pPr>
    </w:p>
    <w:p w14:paraId="19689758" w14:textId="77777777" w:rsidR="005E7086" w:rsidRDefault="005E7086">
      <w:pPr>
        <w:spacing w:line="360" w:lineRule="auto"/>
        <w:ind w:right="49"/>
        <w:jc w:val="both"/>
        <w:rPr>
          <w:rFonts w:ascii="Palatino Linotype" w:eastAsia="Palatino Linotype" w:hAnsi="Palatino Linotype" w:cs="Palatino Linotype"/>
        </w:rPr>
      </w:pPr>
    </w:p>
    <w:p w14:paraId="19689759" w14:textId="77777777" w:rsidR="005E7086" w:rsidRDefault="005E7086">
      <w:pPr>
        <w:spacing w:line="360" w:lineRule="auto"/>
        <w:ind w:right="49"/>
        <w:jc w:val="both"/>
        <w:rPr>
          <w:rFonts w:ascii="Palatino Linotype" w:eastAsia="Palatino Linotype" w:hAnsi="Palatino Linotype" w:cs="Palatino Linotype"/>
        </w:rPr>
      </w:pPr>
    </w:p>
    <w:p w14:paraId="1968975A" w14:textId="77777777" w:rsidR="005E7086" w:rsidRDefault="005E7086">
      <w:pPr>
        <w:spacing w:line="360" w:lineRule="auto"/>
        <w:ind w:right="49"/>
        <w:jc w:val="both"/>
        <w:rPr>
          <w:rFonts w:ascii="Palatino Linotype" w:eastAsia="Palatino Linotype" w:hAnsi="Palatino Linotype" w:cs="Palatino Linotype"/>
        </w:rPr>
      </w:pPr>
    </w:p>
    <w:p w14:paraId="1968975B" w14:textId="77777777" w:rsidR="005E7086" w:rsidRDefault="005E7086">
      <w:pPr>
        <w:spacing w:line="360" w:lineRule="auto"/>
        <w:ind w:right="49"/>
        <w:jc w:val="both"/>
        <w:rPr>
          <w:rFonts w:ascii="Palatino Linotype" w:eastAsia="Palatino Linotype" w:hAnsi="Palatino Linotype" w:cs="Palatino Linotype"/>
        </w:rPr>
      </w:pPr>
    </w:p>
    <w:p w14:paraId="1968975C" w14:textId="77777777" w:rsidR="005E7086" w:rsidRDefault="005E7086">
      <w:pPr>
        <w:spacing w:line="360" w:lineRule="auto"/>
        <w:ind w:right="49"/>
        <w:jc w:val="both"/>
        <w:rPr>
          <w:rFonts w:ascii="Palatino Linotype" w:eastAsia="Palatino Linotype" w:hAnsi="Palatino Linotype" w:cs="Palatino Linotype"/>
        </w:rPr>
      </w:pPr>
    </w:p>
    <w:p w14:paraId="1968975D" w14:textId="77777777" w:rsidR="005E7086" w:rsidRDefault="005E7086">
      <w:pPr>
        <w:spacing w:line="360" w:lineRule="auto"/>
        <w:ind w:right="49"/>
        <w:jc w:val="both"/>
        <w:rPr>
          <w:rFonts w:ascii="Palatino Linotype" w:eastAsia="Palatino Linotype" w:hAnsi="Palatino Linotype" w:cs="Palatino Linotype"/>
        </w:rPr>
      </w:pPr>
    </w:p>
    <w:p w14:paraId="1968975E" w14:textId="77777777" w:rsidR="005E7086" w:rsidRDefault="005E7086">
      <w:pPr>
        <w:spacing w:line="360" w:lineRule="auto"/>
        <w:ind w:right="49"/>
        <w:jc w:val="both"/>
        <w:rPr>
          <w:rFonts w:ascii="Palatino Linotype" w:eastAsia="Palatino Linotype" w:hAnsi="Palatino Linotype" w:cs="Palatino Linotype"/>
        </w:rPr>
      </w:pPr>
    </w:p>
    <w:p w14:paraId="1968975F" w14:textId="77777777" w:rsidR="005E7086" w:rsidRDefault="005E7086">
      <w:pPr>
        <w:spacing w:line="360" w:lineRule="auto"/>
        <w:ind w:right="49"/>
        <w:jc w:val="both"/>
        <w:rPr>
          <w:rFonts w:ascii="Palatino Linotype" w:eastAsia="Palatino Linotype" w:hAnsi="Palatino Linotype" w:cs="Palatino Linotype"/>
        </w:rPr>
      </w:pPr>
    </w:p>
    <w:p w14:paraId="19689760" w14:textId="77777777" w:rsidR="005E7086" w:rsidRDefault="005E7086">
      <w:pPr>
        <w:spacing w:line="360" w:lineRule="auto"/>
        <w:ind w:right="49"/>
        <w:jc w:val="both"/>
        <w:rPr>
          <w:rFonts w:ascii="Palatino Linotype" w:eastAsia="Palatino Linotype" w:hAnsi="Palatino Linotype" w:cs="Palatino Linotype"/>
        </w:rPr>
      </w:pPr>
    </w:p>
    <w:p w14:paraId="19689761" w14:textId="77777777" w:rsidR="005E7086" w:rsidRDefault="005E7086">
      <w:pPr>
        <w:spacing w:line="360" w:lineRule="auto"/>
        <w:ind w:right="49"/>
        <w:jc w:val="both"/>
        <w:rPr>
          <w:rFonts w:ascii="Palatino Linotype" w:eastAsia="Palatino Linotype" w:hAnsi="Palatino Linotype" w:cs="Palatino Linotype"/>
        </w:rPr>
      </w:pPr>
    </w:p>
    <w:p w14:paraId="19689762" w14:textId="77777777" w:rsidR="005E7086" w:rsidRDefault="005E7086">
      <w:pPr>
        <w:spacing w:line="360" w:lineRule="auto"/>
        <w:rPr>
          <w:rFonts w:ascii="Palatino Linotype" w:eastAsia="Palatino Linotype" w:hAnsi="Palatino Linotype" w:cs="Palatino Linotype"/>
        </w:rPr>
      </w:pPr>
    </w:p>
    <w:p w14:paraId="19689763" w14:textId="77777777" w:rsidR="005E7086" w:rsidRDefault="005E7086">
      <w:pPr>
        <w:spacing w:line="360" w:lineRule="auto"/>
        <w:rPr>
          <w:rFonts w:ascii="Palatino Linotype" w:eastAsia="Palatino Linotype" w:hAnsi="Palatino Linotype" w:cs="Palatino Linotype"/>
        </w:rPr>
      </w:pPr>
    </w:p>
    <w:p w14:paraId="19689764" w14:textId="77777777" w:rsidR="005E7086" w:rsidRDefault="005E7086">
      <w:pPr>
        <w:spacing w:line="360" w:lineRule="auto"/>
        <w:rPr>
          <w:rFonts w:ascii="Palatino Linotype" w:eastAsia="Palatino Linotype" w:hAnsi="Palatino Linotype" w:cs="Palatino Linotype"/>
        </w:rPr>
      </w:pPr>
    </w:p>
    <w:p w14:paraId="19689765" w14:textId="77777777" w:rsidR="005E7086" w:rsidRDefault="005E7086">
      <w:pPr>
        <w:spacing w:line="360" w:lineRule="auto"/>
        <w:rPr>
          <w:rFonts w:ascii="Palatino Linotype" w:eastAsia="Palatino Linotype" w:hAnsi="Palatino Linotype" w:cs="Palatino Linotype"/>
        </w:rPr>
      </w:pPr>
    </w:p>
    <w:p w14:paraId="19689766" w14:textId="77777777" w:rsidR="005E7086" w:rsidRDefault="005E7086">
      <w:pPr>
        <w:spacing w:line="360" w:lineRule="auto"/>
        <w:rPr>
          <w:rFonts w:ascii="Palatino Linotype" w:eastAsia="Palatino Linotype" w:hAnsi="Palatino Linotype" w:cs="Palatino Linotype"/>
        </w:rPr>
      </w:pPr>
    </w:p>
    <w:p w14:paraId="19689767" w14:textId="77777777" w:rsidR="005E7086" w:rsidRDefault="005E7086">
      <w:pPr>
        <w:spacing w:line="360" w:lineRule="auto"/>
        <w:rPr>
          <w:rFonts w:ascii="Palatino Linotype" w:eastAsia="Palatino Linotype" w:hAnsi="Palatino Linotype" w:cs="Palatino Linotype"/>
        </w:rPr>
      </w:pPr>
    </w:p>
    <w:p w14:paraId="19689768" w14:textId="77777777" w:rsidR="005E7086" w:rsidRDefault="005E7086">
      <w:pPr>
        <w:spacing w:line="360" w:lineRule="auto"/>
        <w:rPr>
          <w:rFonts w:ascii="Palatino Linotype" w:eastAsia="Palatino Linotype" w:hAnsi="Palatino Linotype" w:cs="Palatino Linotype"/>
        </w:rPr>
      </w:pPr>
    </w:p>
    <w:p w14:paraId="19689769" w14:textId="77777777" w:rsidR="005E7086" w:rsidRDefault="005E7086">
      <w:pPr>
        <w:spacing w:line="360" w:lineRule="auto"/>
        <w:rPr>
          <w:rFonts w:ascii="Palatino Linotype" w:eastAsia="Palatino Linotype" w:hAnsi="Palatino Linotype" w:cs="Palatino Linotype"/>
        </w:rPr>
      </w:pPr>
    </w:p>
    <w:p w14:paraId="1968976A" w14:textId="77777777" w:rsidR="005E7086" w:rsidRDefault="005E7086">
      <w:pPr>
        <w:spacing w:line="360" w:lineRule="auto"/>
        <w:rPr>
          <w:rFonts w:ascii="Palatino Linotype" w:eastAsia="Palatino Linotype" w:hAnsi="Palatino Linotype" w:cs="Palatino Linotype"/>
        </w:rPr>
      </w:pPr>
    </w:p>
    <w:p w14:paraId="1968976B" w14:textId="77777777" w:rsidR="005E7086" w:rsidRDefault="005E7086"/>
    <w:p w14:paraId="1968976C" w14:textId="77777777" w:rsidR="005E7086" w:rsidRDefault="005E7086"/>
    <w:p w14:paraId="1968976D" w14:textId="77777777" w:rsidR="005E7086" w:rsidRDefault="005E7086"/>
    <w:p w14:paraId="1968976E" w14:textId="77777777" w:rsidR="005E7086" w:rsidRDefault="005E7086"/>
    <w:p w14:paraId="1968976F" w14:textId="77777777" w:rsidR="005E7086" w:rsidRDefault="005E7086"/>
    <w:sectPr w:rsidR="005E7086">
      <w:headerReference w:type="even" r:id="rId28"/>
      <w:headerReference w:type="default" r:id="rId29"/>
      <w:footerReference w:type="default" r:id="rId30"/>
      <w:headerReference w:type="first" r:id="rId31"/>
      <w:footerReference w:type="first" r:id="rId3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A523" w14:textId="77777777" w:rsidR="001C515B" w:rsidRDefault="001C515B">
      <w:r>
        <w:separator/>
      </w:r>
    </w:p>
  </w:endnote>
  <w:endnote w:type="continuationSeparator" w:id="0">
    <w:p w14:paraId="365D7E72" w14:textId="77777777" w:rsidR="001C515B" w:rsidRDefault="001C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979F" w14:textId="12A10F04" w:rsidR="005E7086" w:rsidRDefault="0024521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03228">
      <w:rPr>
        <w:b/>
        <w:noProof/>
        <w:color w:val="000000"/>
      </w:rPr>
      <w:t>27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03228">
      <w:rPr>
        <w:b/>
        <w:noProof/>
        <w:color w:val="000000"/>
      </w:rPr>
      <w:t>28</w:t>
    </w:r>
    <w:r>
      <w:rPr>
        <w:b/>
        <w:color w:val="000000"/>
      </w:rPr>
      <w:fldChar w:fldCharType="end"/>
    </w:r>
  </w:p>
  <w:p w14:paraId="196897A0" w14:textId="77777777" w:rsidR="005E7086" w:rsidRDefault="005E708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97B4" w14:textId="1F09756E" w:rsidR="005E7086" w:rsidRDefault="0024521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0322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03228">
      <w:rPr>
        <w:b/>
        <w:noProof/>
        <w:color w:val="000000"/>
      </w:rPr>
      <w:t>28</w:t>
    </w:r>
    <w:r>
      <w:rPr>
        <w:b/>
        <w:color w:val="000000"/>
      </w:rPr>
      <w:fldChar w:fldCharType="end"/>
    </w:r>
  </w:p>
  <w:p w14:paraId="196897B5" w14:textId="77777777" w:rsidR="005E7086" w:rsidRDefault="005E708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4648" w14:textId="77777777" w:rsidR="001C515B" w:rsidRDefault="001C515B">
      <w:r>
        <w:separator/>
      </w:r>
    </w:p>
  </w:footnote>
  <w:footnote w:type="continuationSeparator" w:id="0">
    <w:p w14:paraId="6686D1DF" w14:textId="77777777" w:rsidR="001C515B" w:rsidRDefault="001C515B">
      <w:r>
        <w:continuationSeparator/>
      </w:r>
    </w:p>
  </w:footnote>
  <w:footnote w:id="1">
    <w:p w14:paraId="196897B9" w14:textId="77777777" w:rsidR="005E7086" w:rsidRDefault="0024521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196897BA" w14:textId="77777777" w:rsidR="005E7086" w:rsidRDefault="0024521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196897BB" w14:textId="77777777" w:rsidR="005E7086" w:rsidRDefault="0024521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3">
    <w:p w14:paraId="196897BC" w14:textId="77777777" w:rsidR="005E7086" w:rsidRDefault="0024521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https://www.uneve.edu.mx/acercas_uneves/PDF/MARCO_NORMATIVO_UNEVE/IPOMEX/Manuales%20de%20organizacio%CC%81n/1/1.pdf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978E" w14:textId="77777777" w:rsidR="005E7086" w:rsidRDefault="001C515B">
    <w:pPr>
      <w:pBdr>
        <w:top w:val="nil"/>
        <w:left w:val="nil"/>
        <w:bottom w:val="nil"/>
        <w:right w:val="nil"/>
        <w:between w:val="nil"/>
      </w:pBdr>
      <w:tabs>
        <w:tab w:val="center" w:pos="4419"/>
        <w:tab w:val="right" w:pos="8838"/>
      </w:tabs>
      <w:rPr>
        <w:color w:val="000000"/>
      </w:rPr>
    </w:pPr>
    <w:r>
      <w:rPr>
        <w:color w:val="000000"/>
      </w:rPr>
      <w:pict w14:anchorId="19689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978F" w14:textId="77777777" w:rsidR="005E7086" w:rsidRDefault="005E7086">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5E7086" w14:paraId="1968979D" w14:textId="77777777">
      <w:trPr>
        <w:trHeight w:val="1435"/>
      </w:trPr>
      <w:tc>
        <w:tcPr>
          <w:tcW w:w="2268" w:type="dxa"/>
          <w:shd w:val="clear" w:color="auto" w:fill="auto"/>
        </w:tcPr>
        <w:p w14:paraId="19689790" w14:textId="77777777" w:rsidR="005E7086" w:rsidRDefault="005E7086">
          <w:pPr>
            <w:tabs>
              <w:tab w:val="right" w:pos="4273"/>
            </w:tabs>
            <w:rPr>
              <w:rFonts w:ascii="Garamond" w:eastAsia="Garamond" w:hAnsi="Garamond" w:cs="Garamond"/>
              <w:sz w:val="16"/>
              <w:szCs w:val="16"/>
            </w:rPr>
          </w:pPr>
        </w:p>
      </w:tc>
      <w:tc>
        <w:tcPr>
          <w:tcW w:w="6946" w:type="dxa"/>
          <w:shd w:val="clear" w:color="auto" w:fill="auto"/>
        </w:tcPr>
        <w:p w14:paraId="19689791" w14:textId="77777777" w:rsidR="005E7086" w:rsidRDefault="005E7086"/>
        <w:tbl>
          <w:tblPr>
            <w:tblStyle w:val="a1"/>
            <w:tblW w:w="6662" w:type="dxa"/>
            <w:tblInd w:w="40" w:type="dxa"/>
            <w:tblLayout w:type="fixed"/>
            <w:tblLook w:val="0400" w:firstRow="0" w:lastRow="0" w:firstColumn="0" w:lastColumn="0" w:noHBand="0" w:noVBand="1"/>
          </w:tblPr>
          <w:tblGrid>
            <w:gridCol w:w="2551"/>
            <w:gridCol w:w="4111"/>
          </w:tblGrid>
          <w:tr w:rsidR="005E7086" w14:paraId="19689794" w14:textId="77777777">
            <w:trPr>
              <w:trHeight w:val="150"/>
            </w:trPr>
            <w:tc>
              <w:tcPr>
                <w:tcW w:w="2551" w:type="dxa"/>
                <w:shd w:val="clear" w:color="auto" w:fill="auto"/>
              </w:tcPr>
              <w:p w14:paraId="19689792" w14:textId="77777777" w:rsidR="005E7086" w:rsidRDefault="0024521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19689793" w14:textId="77777777" w:rsidR="005E7086" w:rsidRDefault="0024521B">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06893/INFOEM/IP/RR/2023</w:t>
                </w:r>
              </w:p>
            </w:tc>
          </w:tr>
          <w:tr w:rsidR="005E7086" w14:paraId="19689797" w14:textId="77777777">
            <w:trPr>
              <w:trHeight w:val="295"/>
            </w:trPr>
            <w:tc>
              <w:tcPr>
                <w:tcW w:w="2551" w:type="dxa"/>
                <w:shd w:val="clear" w:color="auto" w:fill="auto"/>
              </w:tcPr>
              <w:p w14:paraId="19689795" w14:textId="77777777" w:rsidR="005E7086" w:rsidRDefault="0024521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19689796" w14:textId="77777777" w:rsidR="005E7086" w:rsidRDefault="0024521B">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Universidad Estatal del Valle de Ecatepec</w:t>
                </w:r>
              </w:p>
            </w:tc>
          </w:tr>
          <w:tr w:rsidR="005E7086" w14:paraId="1968979B" w14:textId="77777777">
            <w:trPr>
              <w:trHeight w:val="295"/>
            </w:trPr>
            <w:tc>
              <w:tcPr>
                <w:tcW w:w="2551" w:type="dxa"/>
                <w:shd w:val="clear" w:color="auto" w:fill="auto"/>
              </w:tcPr>
              <w:p w14:paraId="19689798" w14:textId="77777777" w:rsidR="005E7086" w:rsidRDefault="0024521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19689799" w14:textId="77777777" w:rsidR="005E7086" w:rsidRDefault="0024521B">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968979A" w14:textId="77777777" w:rsidR="005E7086" w:rsidRDefault="005E7086">
                <w:pPr>
                  <w:tabs>
                    <w:tab w:val="right" w:pos="8838"/>
                  </w:tabs>
                  <w:ind w:left="-108" w:right="171"/>
                  <w:jc w:val="both"/>
                  <w:rPr>
                    <w:rFonts w:ascii="Palatino Linotype" w:eastAsia="Palatino Linotype" w:hAnsi="Palatino Linotype" w:cs="Palatino Linotype"/>
                    <w:b/>
                    <w:sz w:val="22"/>
                    <w:szCs w:val="22"/>
                  </w:rPr>
                </w:pPr>
              </w:p>
            </w:tc>
          </w:tr>
        </w:tbl>
        <w:p w14:paraId="1968979C" w14:textId="77777777" w:rsidR="005E7086" w:rsidRDefault="005E7086">
          <w:pPr>
            <w:tabs>
              <w:tab w:val="right" w:pos="8838"/>
            </w:tabs>
            <w:ind w:left="-28"/>
            <w:jc w:val="both"/>
            <w:rPr>
              <w:rFonts w:ascii="Arial" w:eastAsia="Arial" w:hAnsi="Arial" w:cs="Arial"/>
              <w:b/>
              <w:sz w:val="22"/>
              <w:szCs w:val="22"/>
            </w:rPr>
          </w:pPr>
        </w:p>
      </w:tc>
    </w:tr>
  </w:tbl>
  <w:p w14:paraId="1968979E" w14:textId="77777777" w:rsidR="005E7086" w:rsidRDefault="001C515B">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9689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97A1" w14:textId="77777777" w:rsidR="005E7086" w:rsidRDefault="005E7086">
    <w:pPr>
      <w:widowControl w:val="0"/>
      <w:pBdr>
        <w:top w:val="nil"/>
        <w:left w:val="nil"/>
        <w:bottom w:val="nil"/>
        <w:right w:val="nil"/>
        <w:between w:val="nil"/>
      </w:pBdr>
      <w:spacing w:line="276" w:lineRule="auto"/>
      <w:rPr>
        <w:color w:val="000000"/>
        <w:sz w:val="14"/>
        <w:szCs w:val="14"/>
      </w:rPr>
    </w:pPr>
  </w:p>
  <w:tbl>
    <w:tblPr>
      <w:tblStyle w:val="a2"/>
      <w:tblW w:w="9072" w:type="dxa"/>
      <w:tblInd w:w="0" w:type="dxa"/>
      <w:tblLayout w:type="fixed"/>
      <w:tblLook w:val="0400" w:firstRow="0" w:lastRow="0" w:firstColumn="0" w:lastColumn="0" w:noHBand="0" w:noVBand="1"/>
    </w:tblPr>
    <w:tblGrid>
      <w:gridCol w:w="2268"/>
      <w:gridCol w:w="6804"/>
    </w:tblGrid>
    <w:tr w:rsidR="005E7086" w14:paraId="196897B2" w14:textId="77777777">
      <w:trPr>
        <w:trHeight w:val="1435"/>
      </w:trPr>
      <w:tc>
        <w:tcPr>
          <w:tcW w:w="2268" w:type="dxa"/>
          <w:shd w:val="clear" w:color="auto" w:fill="auto"/>
        </w:tcPr>
        <w:p w14:paraId="196897A2" w14:textId="77777777" w:rsidR="005E7086" w:rsidRDefault="005E7086">
          <w:pPr>
            <w:tabs>
              <w:tab w:val="right" w:pos="4273"/>
            </w:tabs>
            <w:rPr>
              <w:rFonts w:ascii="Garamond" w:eastAsia="Garamond" w:hAnsi="Garamond" w:cs="Garamond"/>
              <w:sz w:val="22"/>
              <w:szCs w:val="22"/>
            </w:rPr>
          </w:pPr>
        </w:p>
      </w:tc>
      <w:tc>
        <w:tcPr>
          <w:tcW w:w="6804" w:type="dxa"/>
          <w:shd w:val="clear" w:color="auto" w:fill="auto"/>
        </w:tcPr>
        <w:p w14:paraId="196897A3" w14:textId="77777777" w:rsidR="005E7086" w:rsidRDefault="005E708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6662" w:type="dxa"/>
            <w:tblInd w:w="40" w:type="dxa"/>
            <w:tblLayout w:type="fixed"/>
            <w:tblLook w:val="0400" w:firstRow="0" w:lastRow="0" w:firstColumn="0" w:lastColumn="0" w:noHBand="0" w:noVBand="1"/>
          </w:tblPr>
          <w:tblGrid>
            <w:gridCol w:w="2444"/>
            <w:gridCol w:w="4218"/>
          </w:tblGrid>
          <w:tr w:rsidR="005E7086" w14:paraId="196897A6" w14:textId="77777777">
            <w:trPr>
              <w:trHeight w:val="144"/>
            </w:trPr>
            <w:tc>
              <w:tcPr>
                <w:tcW w:w="2444" w:type="dxa"/>
                <w:shd w:val="clear" w:color="auto" w:fill="auto"/>
              </w:tcPr>
              <w:p w14:paraId="196897A4" w14:textId="77777777" w:rsidR="005E7086" w:rsidRDefault="0024521B">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196897A5" w14:textId="77777777" w:rsidR="005E7086" w:rsidRDefault="0024521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06893/INFOEM/IP/RR/2023</w:t>
                </w:r>
                <w:r>
                  <w:rPr>
                    <w:rFonts w:ascii="Palatino Linotype" w:eastAsia="Palatino Linotype" w:hAnsi="Palatino Linotype" w:cs="Palatino Linotype"/>
                    <w:b/>
                    <w:sz w:val="22"/>
                    <w:szCs w:val="22"/>
                  </w:rPr>
                  <w:t xml:space="preserve"> </w:t>
                </w:r>
              </w:p>
            </w:tc>
          </w:tr>
          <w:tr w:rsidR="005E7086" w14:paraId="196897A9" w14:textId="77777777">
            <w:trPr>
              <w:trHeight w:val="144"/>
            </w:trPr>
            <w:tc>
              <w:tcPr>
                <w:tcW w:w="2444" w:type="dxa"/>
                <w:shd w:val="clear" w:color="auto" w:fill="auto"/>
              </w:tcPr>
              <w:p w14:paraId="196897A7" w14:textId="77777777" w:rsidR="005E7086" w:rsidRDefault="0024521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196897A8" w14:textId="358BEA03" w:rsidR="005E7086" w:rsidRDefault="00691FB1">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5E7086" w14:paraId="196897AC" w14:textId="77777777">
            <w:trPr>
              <w:trHeight w:val="283"/>
            </w:trPr>
            <w:tc>
              <w:tcPr>
                <w:tcW w:w="2444" w:type="dxa"/>
                <w:shd w:val="clear" w:color="auto" w:fill="auto"/>
              </w:tcPr>
              <w:p w14:paraId="196897AA" w14:textId="77777777" w:rsidR="005E7086" w:rsidRDefault="0024521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196897AB" w14:textId="77777777" w:rsidR="005E7086" w:rsidRDefault="0024521B">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Universidad Estatal del Valle de Ecatepec</w:t>
                </w:r>
              </w:p>
            </w:tc>
          </w:tr>
          <w:tr w:rsidR="005E7086" w14:paraId="196897B0" w14:textId="77777777">
            <w:trPr>
              <w:trHeight w:val="283"/>
            </w:trPr>
            <w:tc>
              <w:tcPr>
                <w:tcW w:w="2444" w:type="dxa"/>
                <w:shd w:val="clear" w:color="auto" w:fill="auto"/>
              </w:tcPr>
              <w:p w14:paraId="196897AD" w14:textId="77777777" w:rsidR="005E7086" w:rsidRDefault="0024521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196897AE" w14:textId="77777777" w:rsidR="005E7086" w:rsidRDefault="0024521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96897AF" w14:textId="77777777" w:rsidR="005E7086" w:rsidRDefault="005E7086">
                <w:pPr>
                  <w:tabs>
                    <w:tab w:val="right" w:pos="8838"/>
                  </w:tabs>
                  <w:ind w:left="-74" w:right="-105"/>
                  <w:jc w:val="both"/>
                  <w:rPr>
                    <w:rFonts w:ascii="Palatino Linotype" w:eastAsia="Palatino Linotype" w:hAnsi="Palatino Linotype" w:cs="Palatino Linotype"/>
                    <w:b/>
                    <w:sz w:val="22"/>
                    <w:szCs w:val="22"/>
                  </w:rPr>
                </w:pPr>
              </w:p>
            </w:tc>
          </w:tr>
        </w:tbl>
        <w:p w14:paraId="196897B1" w14:textId="77777777" w:rsidR="005E7086" w:rsidRDefault="005E7086">
          <w:pPr>
            <w:tabs>
              <w:tab w:val="right" w:pos="8838"/>
            </w:tabs>
            <w:ind w:left="-28"/>
            <w:jc w:val="both"/>
            <w:rPr>
              <w:rFonts w:ascii="Arial" w:eastAsia="Arial" w:hAnsi="Arial" w:cs="Arial"/>
              <w:b/>
              <w:sz w:val="22"/>
              <w:szCs w:val="22"/>
            </w:rPr>
          </w:pPr>
        </w:p>
      </w:tc>
    </w:tr>
  </w:tbl>
  <w:p w14:paraId="196897B3" w14:textId="77777777" w:rsidR="005E7086" w:rsidRDefault="001C515B">
    <w:pPr>
      <w:pBdr>
        <w:top w:val="nil"/>
        <w:left w:val="nil"/>
        <w:bottom w:val="nil"/>
        <w:right w:val="nil"/>
        <w:between w:val="nil"/>
      </w:pBdr>
      <w:tabs>
        <w:tab w:val="center" w:pos="4419"/>
        <w:tab w:val="right" w:pos="8838"/>
      </w:tabs>
      <w:rPr>
        <w:color w:val="000000"/>
        <w:sz w:val="2"/>
        <w:szCs w:val="2"/>
      </w:rPr>
    </w:pPr>
    <w:r>
      <w:rPr>
        <w:color w:val="000000"/>
        <w:sz w:val="2"/>
        <w:szCs w:val="2"/>
      </w:rPr>
      <w:pict w14:anchorId="19689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E81"/>
    <w:multiLevelType w:val="multilevel"/>
    <w:tmpl w:val="844245E8"/>
    <w:lvl w:ilvl="0">
      <w:start w:val="1"/>
      <w:numFmt w:val="bullet"/>
      <w:lvlText w:val="●"/>
      <w:lvlJc w:val="left"/>
      <w:pPr>
        <w:ind w:left="6915" w:hanging="360"/>
      </w:pPr>
      <w:rPr>
        <w:rFonts w:ascii="Noto Sans Symbols" w:eastAsia="Noto Sans Symbols" w:hAnsi="Noto Sans Symbols" w:cs="Noto Sans Symbols"/>
      </w:rPr>
    </w:lvl>
    <w:lvl w:ilvl="1">
      <w:start w:val="1"/>
      <w:numFmt w:val="bullet"/>
      <w:lvlText w:val="o"/>
      <w:lvlJc w:val="left"/>
      <w:pPr>
        <w:ind w:left="7635" w:hanging="360"/>
      </w:pPr>
      <w:rPr>
        <w:rFonts w:ascii="Courier New" w:eastAsia="Courier New" w:hAnsi="Courier New" w:cs="Courier New"/>
      </w:rPr>
    </w:lvl>
    <w:lvl w:ilvl="2">
      <w:start w:val="1"/>
      <w:numFmt w:val="bullet"/>
      <w:lvlText w:val="▪"/>
      <w:lvlJc w:val="left"/>
      <w:pPr>
        <w:ind w:left="8355" w:hanging="360"/>
      </w:pPr>
      <w:rPr>
        <w:rFonts w:ascii="Noto Sans Symbols" w:eastAsia="Noto Sans Symbols" w:hAnsi="Noto Sans Symbols" w:cs="Noto Sans Symbols"/>
      </w:rPr>
    </w:lvl>
    <w:lvl w:ilvl="3">
      <w:start w:val="1"/>
      <w:numFmt w:val="bullet"/>
      <w:lvlText w:val="●"/>
      <w:lvlJc w:val="left"/>
      <w:pPr>
        <w:ind w:left="9075" w:hanging="360"/>
      </w:pPr>
      <w:rPr>
        <w:rFonts w:ascii="Noto Sans Symbols" w:eastAsia="Noto Sans Symbols" w:hAnsi="Noto Sans Symbols" w:cs="Noto Sans Symbols"/>
      </w:rPr>
    </w:lvl>
    <w:lvl w:ilvl="4">
      <w:start w:val="1"/>
      <w:numFmt w:val="bullet"/>
      <w:lvlText w:val="o"/>
      <w:lvlJc w:val="left"/>
      <w:pPr>
        <w:ind w:left="9795" w:hanging="360"/>
      </w:pPr>
      <w:rPr>
        <w:rFonts w:ascii="Courier New" w:eastAsia="Courier New" w:hAnsi="Courier New" w:cs="Courier New"/>
      </w:rPr>
    </w:lvl>
    <w:lvl w:ilvl="5">
      <w:start w:val="1"/>
      <w:numFmt w:val="bullet"/>
      <w:lvlText w:val="▪"/>
      <w:lvlJc w:val="left"/>
      <w:pPr>
        <w:ind w:left="10515" w:hanging="360"/>
      </w:pPr>
      <w:rPr>
        <w:rFonts w:ascii="Noto Sans Symbols" w:eastAsia="Noto Sans Symbols" w:hAnsi="Noto Sans Symbols" w:cs="Noto Sans Symbols"/>
      </w:rPr>
    </w:lvl>
    <w:lvl w:ilvl="6">
      <w:start w:val="1"/>
      <w:numFmt w:val="bullet"/>
      <w:lvlText w:val="●"/>
      <w:lvlJc w:val="left"/>
      <w:pPr>
        <w:ind w:left="11235" w:hanging="360"/>
      </w:pPr>
      <w:rPr>
        <w:rFonts w:ascii="Noto Sans Symbols" w:eastAsia="Noto Sans Symbols" w:hAnsi="Noto Sans Symbols" w:cs="Noto Sans Symbols"/>
      </w:rPr>
    </w:lvl>
    <w:lvl w:ilvl="7">
      <w:start w:val="1"/>
      <w:numFmt w:val="bullet"/>
      <w:lvlText w:val="o"/>
      <w:lvlJc w:val="left"/>
      <w:pPr>
        <w:ind w:left="11955" w:hanging="360"/>
      </w:pPr>
      <w:rPr>
        <w:rFonts w:ascii="Courier New" w:eastAsia="Courier New" w:hAnsi="Courier New" w:cs="Courier New"/>
      </w:rPr>
    </w:lvl>
    <w:lvl w:ilvl="8">
      <w:start w:val="1"/>
      <w:numFmt w:val="bullet"/>
      <w:lvlText w:val="▪"/>
      <w:lvlJc w:val="left"/>
      <w:pPr>
        <w:ind w:left="12675" w:hanging="360"/>
      </w:pPr>
      <w:rPr>
        <w:rFonts w:ascii="Noto Sans Symbols" w:eastAsia="Noto Sans Symbols" w:hAnsi="Noto Sans Symbols" w:cs="Noto Sans Symbols"/>
      </w:rPr>
    </w:lvl>
  </w:abstractNum>
  <w:abstractNum w:abstractNumId="1" w15:restartNumberingAfterBreak="0">
    <w:nsid w:val="1BDA3851"/>
    <w:multiLevelType w:val="multilevel"/>
    <w:tmpl w:val="91807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C5685B"/>
    <w:multiLevelType w:val="multilevel"/>
    <w:tmpl w:val="5B0C75E8"/>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CF5D2E"/>
    <w:multiLevelType w:val="multilevel"/>
    <w:tmpl w:val="FDAE9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2C723C"/>
    <w:multiLevelType w:val="multilevel"/>
    <w:tmpl w:val="578CEFA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102604540">
    <w:abstractNumId w:val="4"/>
  </w:num>
  <w:num w:numId="2" w16cid:durableId="564144410">
    <w:abstractNumId w:val="3"/>
  </w:num>
  <w:num w:numId="3" w16cid:durableId="309405427">
    <w:abstractNumId w:val="1"/>
  </w:num>
  <w:num w:numId="4" w16cid:durableId="340088889">
    <w:abstractNumId w:val="0"/>
  </w:num>
  <w:num w:numId="5" w16cid:durableId="28890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6"/>
    <w:rsid w:val="0002038B"/>
    <w:rsid w:val="00060706"/>
    <w:rsid w:val="00103228"/>
    <w:rsid w:val="001C515B"/>
    <w:rsid w:val="0024521B"/>
    <w:rsid w:val="002A75D1"/>
    <w:rsid w:val="00353578"/>
    <w:rsid w:val="005E7086"/>
    <w:rsid w:val="006575ED"/>
    <w:rsid w:val="00691FB1"/>
    <w:rsid w:val="008A6B0F"/>
    <w:rsid w:val="00B24DE8"/>
    <w:rsid w:val="00F84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8966A"/>
  <w15:docId w15:val="{099A2DE5-31A9-4EBB-A32D-0A6AE6D3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B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57ABC"/>
    <w:pPr>
      <w:tabs>
        <w:tab w:val="center" w:pos="4419"/>
        <w:tab w:val="right" w:pos="8838"/>
      </w:tabs>
    </w:pPr>
  </w:style>
  <w:style w:type="character" w:customStyle="1" w:styleId="EncabezadoCar">
    <w:name w:val="Encabezado Car"/>
    <w:basedOn w:val="Fuentedeprrafopredeter"/>
    <w:link w:val="Encabezado"/>
    <w:uiPriority w:val="99"/>
    <w:rsid w:val="00757AB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57ABC"/>
    <w:pPr>
      <w:tabs>
        <w:tab w:val="center" w:pos="4419"/>
        <w:tab w:val="right" w:pos="8838"/>
      </w:tabs>
    </w:pPr>
  </w:style>
  <w:style w:type="character" w:customStyle="1" w:styleId="PiedepginaCar">
    <w:name w:val="Pie de página Car"/>
    <w:basedOn w:val="Fuentedeprrafopredeter"/>
    <w:link w:val="Piedepgina"/>
    <w:uiPriority w:val="99"/>
    <w:rsid w:val="00757ABC"/>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57ABC"/>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57ABC"/>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757ABC"/>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57ABC"/>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57ABC"/>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57ABC"/>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757ABC"/>
    <w:rPr>
      <w:rFonts w:ascii="Times New Roman" w:eastAsia="Times New Roman" w:hAnsi="Times New Roman" w:cs="Times New Roman"/>
      <w:sz w:val="20"/>
      <w:szCs w:val="20"/>
      <w:lang w:eastAsia="es-MX"/>
    </w:rPr>
  </w:style>
  <w:style w:type="paragraph" w:customStyle="1" w:styleId="Default">
    <w:name w:val="Default"/>
    <w:rsid w:val="00757ABC"/>
    <w:pPr>
      <w:autoSpaceDE w:val="0"/>
      <w:autoSpaceDN w:val="0"/>
      <w:adjustRightInd w:val="0"/>
    </w:pPr>
    <w:rPr>
      <w:rFonts w:ascii="Arial" w:hAnsi="Arial" w:cs="Arial"/>
      <w:color w:val="000000"/>
    </w:rPr>
  </w:style>
  <w:style w:type="paragraph" w:styleId="Sangradetextonormal">
    <w:name w:val="Body Text Indent"/>
    <w:basedOn w:val="Normal"/>
    <w:link w:val="SangradetextonormalCar"/>
    <w:unhideWhenUsed/>
    <w:rsid w:val="004517D7"/>
    <w:pPr>
      <w:spacing w:before="120" w:after="120"/>
      <w:ind w:left="283"/>
      <w:jc w:val="center"/>
    </w:pPr>
    <w:rPr>
      <w:rFonts w:ascii="Calibri" w:eastAsia="Calibri" w:hAnsi="Calibri"/>
      <w:sz w:val="22"/>
      <w:szCs w:val="22"/>
      <w:lang w:val="x-none" w:eastAsia="en-US"/>
    </w:rPr>
  </w:style>
  <w:style w:type="character" w:customStyle="1" w:styleId="SangradetextonormalCar">
    <w:name w:val="Sangría de texto normal Car"/>
    <w:basedOn w:val="Fuentedeprrafopredeter"/>
    <w:link w:val="Sangradetextonormal"/>
    <w:rsid w:val="004517D7"/>
    <w:rPr>
      <w:rFonts w:ascii="Calibri" w:eastAsia="Calibri" w:hAnsi="Calibri" w:cs="Times New Roman"/>
      <w:lang w:val="x-none"/>
    </w:rPr>
  </w:style>
  <w:style w:type="character" w:styleId="Hipervnculovisitado">
    <w:name w:val="FollowedHyperlink"/>
    <w:basedOn w:val="Fuentedeprrafopredeter"/>
    <w:uiPriority w:val="99"/>
    <w:semiHidden/>
    <w:unhideWhenUsed/>
    <w:rsid w:val="00B95846"/>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1927139.page"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1927138.page"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27137.page" TargetMode="External"/><Relationship Id="rId24" Type="http://schemas.openxmlformats.org/officeDocument/2006/relationships/image" Target="media/image10.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hyperlink" Target="https://saimex.org.mx/saimex/solicitud/downloadAttach/1918264.page" TargetMode="Externa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1917077.page" TargetMode="External"/><Relationship Id="rId14" Type="http://schemas.openxmlformats.org/officeDocument/2006/relationships/hyperlink" Target="https://uneveedu-my.sharepoint.com/:u:/g/personal/uippe_uneve_edu_mx/EY-f_iPEvq5LtUn4yC7WKTYBHYAYSP_pBTpSH7vvFIOaNQ?e=UOcDzd"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1.xml"/><Relationship Id="rId8" Type="http://schemas.openxmlformats.org/officeDocument/2006/relationships/hyperlink" Target="https://saimex.org.mx/saimex/solicitud/downloadAttach/1917076.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2HP+FWrgkjksRfQAAOqUJPskw==">CgMxLjAyCGguZ2pkZ3hzMgloLjMwajB6bGwyCWguMWZvYjl0ZTIJaC4zem55c2g3MgloLjJldDkycDAyCGgudHlqY3d0MgloLjNkeTZ2a20yCWguMXQzaDVzZjIJaC40ZDM0b2c4MgloLjJzOGV5bzE4AHIhMVg0ZUF4QTFreko3SHhORzRZejN4T0JFcDlVSy1fYnpu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5553</Words>
  <Characters>30544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7</cp:revision>
  <cp:lastPrinted>2024-08-23T04:38:00Z</cp:lastPrinted>
  <dcterms:created xsi:type="dcterms:W3CDTF">2024-08-19T18:20:00Z</dcterms:created>
  <dcterms:modified xsi:type="dcterms:W3CDTF">2024-09-03T17:04:00Z</dcterms:modified>
</cp:coreProperties>
</file>