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4A09D" w14:textId="77777777" w:rsidR="00D05B6C" w:rsidRPr="00D915C3" w:rsidRDefault="002C1EE1">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D915C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D915C3">
        <w:rPr>
          <w:rFonts w:ascii="Palatino Linotype" w:eastAsia="Palatino Linotype" w:hAnsi="Palatino Linotype" w:cs="Palatino Linotype"/>
          <w:b/>
          <w:sz w:val="22"/>
          <w:szCs w:val="22"/>
        </w:rPr>
        <w:t>nueve de octubre de dos mil veinticuatro</w:t>
      </w:r>
      <w:r w:rsidRPr="00D915C3">
        <w:rPr>
          <w:rFonts w:ascii="Palatino Linotype" w:eastAsia="Palatino Linotype" w:hAnsi="Palatino Linotype" w:cs="Palatino Linotype"/>
          <w:sz w:val="22"/>
          <w:szCs w:val="22"/>
        </w:rPr>
        <w:t xml:space="preserve">. </w:t>
      </w:r>
    </w:p>
    <w:p w14:paraId="0062774A" w14:textId="77777777" w:rsidR="00D05B6C" w:rsidRPr="00D915C3" w:rsidRDefault="002C1EE1">
      <w:pPr>
        <w:spacing w:before="240" w:after="240"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b/>
          <w:sz w:val="22"/>
          <w:szCs w:val="22"/>
        </w:rPr>
        <w:t>Visto</w:t>
      </w:r>
      <w:r w:rsidRPr="00D915C3">
        <w:rPr>
          <w:rFonts w:ascii="Palatino Linotype" w:eastAsia="Palatino Linotype" w:hAnsi="Palatino Linotype" w:cs="Palatino Linotype"/>
          <w:sz w:val="22"/>
          <w:szCs w:val="22"/>
        </w:rPr>
        <w:t xml:space="preserve"> el expediente formado con motivo del recurso de revisión </w:t>
      </w:r>
      <w:r w:rsidRPr="00D915C3">
        <w:rPr>
          <w:rFonts w:ascii="Palatino Linotype" w:eastAsia="Palatino Linotype" w:hAnsi="Palatino Linotype" w:cs="Palatino Linotype"/>
          <w:b/>
          <w:sz w:val="22"/>
          <w:szCs w:val="22"/>
        </w:rPr>
        <w:t>05184/INFOEM/IP/RR/2024</w:t>
      </w:r>
      <w:r w:rsidRPr="00D915C3">
        <w:rPr>
          <w:rFonts w:ascii="Palatino Linotype" w:eastAsia="Palatino Linotype" w:hAnsi="Palatino Linotype" w:cs="Palatino Linotype"/>
          <w:sz w:val="22"/>
          <w:szCs w:val="22"/>
        </w:rPr>
        <w:t xml:space="preserve">, interpuesto por </w:t>
      </w:r>
      <w:r w:rsidRPr="00D915C3">
        <w:rPr>
          <w:rFonts w:ascii="Palatino Linotype" w:eastAsia="Palatino Linotype" w:hAnsi="Palatino Linotype" w:cs="Palatino Linotype"/>
          <w:b/>
          <w:sz w:val="22"/>
          <w:szCs w:val="22"/>
        </w:rPr>
        <w:t>una persona usuaria del Sistema de Acceso a la Información Mexiquense que no proporcionó nombre,</w:t>
      </w:r>
      <w:r w:rsidRPr="00D915C3">
        <w:rPr>
          <w:rFonts w:ascii="Palatino Linotype" w:eastAsia="Palatino Linotype" w:hAnsi="Palatino Linotype" w:cs="Palatino Linotype"/>
          <w:sz w:val="22"/>
          <w:szCs w:val="22"/>
        </w:rPr>
        <w:t xml:space="preserve"> en lo sucesivo</w:t>
      </w:r>
      <w:r w:rsidRPr="00D915C3">
        <w:rPr>
          <w:rFonts w:ascii="Palatino Linotype" w:eastAsia="Palatino Linotype" w:hAnsi="Palatino Linotype" w:cs="Palatino Linotype"/>
          <w:b/>
          <w:sz w:val="22"/>
          <w:szCs w:val="22"/>
        </w:rPr>
        <w:t xml:space="preserve"> la parte</w:t>
      </w:r>
      <w:r w:rsidRPr="00D915C3">
        <w:rPr>
          <w:rFonts w:ascii="Palatino Linotype" w:eastAsia="Palatino Linotype" w:hAnsi="Palatino Linotype" w:cs="Palatino Linotype"/>
          <w:sz w:val="22"/>
          <w:szCs w:val="22"/>
        </w:rPr>
        <w:t xml:space="preserve"> </w:t>
      </w:r>
      <w:r w:rsidRPr="00D915C3">
        <w:rPr>
          <w:rFonts w:ascii="Palatino Linotype" w:eastAsia="Palatino Linotype" w:hAnsi="Palatino Linotype" w:cs="Palatino Linotype"/>
          <w:b/>
          <w:sz w:val="22"/>
          <w:szCs w:val="22"/>
        </w:rPr>
        <w:t>Recurrente,</w:t>
      </w:r>
      <w:r w:rsidRPr="00D915C3">
        <w:rPr>
          <w:rFonts w:ascii="Palatino Linotype" w:eastAsia="Palatino Linotype" w:hAnsi="Palatino Linotype" w:cs="Palatino Linotype"/>
          <w:sz w:val="22"/>
          <w:szCs w:val="22"/>
        </w:rPr>
        <w:t xml:space="preserve"> en contra de la respuesta a su solicitud por parte del </w:t>
      </w:r>
      <w:r w:rsidRPr="00D915C3">
        <w:rPr>
          <w:rFonts w:ascii="Palatino Linotype" w:eastAsia="Palatino Linotype" w:hAnsi="Palatino Linotype" w:cs="Palatino Linotype"/>
          <w:b/>
          <w:sz w:val="22"/>
          <w:szCs w:val="22"/>
        </w:rPr>
        <w:t xml:space="preserve">Ayuntamiento de Metepec, </w:t>
      </w:r>
      <w:r w:rsidRPr="00D915C3">
        <w:rPr>
          <w:rFonts w:ascii="Palatino Linotype" w:eastAsia="Palatino Linotype" w:hAnsi="Palatino Linotype" w:cs="Palatino Linotype"/>
          <w:sz w:val="22"/>
          <w:szCs w:val="22"/>
        </w:rPr>
        <w:t xml:space="preserve">en lo sucesivo el </w:t>
      </w:r>
      <w:r w:rsidRPr="00D915C3">
        <w:rPr>
          <w:rFonts w:ascii="Palatino Linotype" w:eastAsia="Palatino Linotype" w:hAnsi="Palatino Linotype" w:cs="Palatino Linotype"/>
          <w:b/>
          <w:sz w:val="22"/>
          <w:szCs w:val="22"/>
        </w:rPr>
        <w:t xml:space="preserve">Sujeto Obligado, </w:t>
      </w:r>
      <w:r w:rsidRPr="00D915C3">
        <w:rPr>
          <w:rFonts w:ascii="Palatino Linotype" w:eastAsia="Palatino Linotype" w:hAnsi="Palatino Linotype" w:cs="Palatino Linotype"/>
          <w:sz w:val="22"/>
          <w:szCs w:val="22"/>
        </w:rPr>
        <w:t xml:space="preserve">se procede a dictar la presente resolución con base en los siguientes: </w:t>
      </w:r>
    </w:p>
    <w:p w14:paraId="5C86F399" w14:textId="77777777" w:rsidR="00D05B6C" w:rsidRPr="00D915C3" w:rsidRDefault="002C1EE1">
      <w:pPr>
        <w:spacing w:before="240" w:after="240" w:line="360" w:lineRule="auto"/>
        <w:jc w:val="center"/>
        <w:rPr>
          <w:rFonts w:ascii="Palatino Linotype" w:eastAsia="Palatino Linotype" w:hAnsi="Palatino Linotype" w:cs="Palatino Linotype"/>
          <w:b/>
          <w:sz w:val="22"/>
          <w:szCs w:val="22"/>
        </w:rPr>
      </w:pPr>
      <w:r w:rsidRPr="00D915C3">
        <w:rPr>
          <w:rFonts w:ascii="Palatino Linotype" w:eastAsia="Palatino Linotype" w:hAnsi="Palatino Linotype" w:cs="Palatino Linotype"/>
          <w:b/>
          <w:sz w:val="22"/>
          <w:szCs w:val="22"/>
        </w:rPr>
        <w:t>I. A N T E C E D E N T E S</w:t>
      </w:r>
    </w:p>
    <w:p w14:paraId="403C2ABF" w14:textId="77777777" w:rsidR="00D05B6C" w:rsidRPr="00D915C3" w:rsidRDefault="002C1EE1">
      <w:pPr>
        <w:spacing w:before="240" w:after="240"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b/>
          <w:sz w:val="22"/>
          <w:szCs w:val="22"/>
        </w:rPr>
        <w:t>1. Solicitud de acceso a la información.</w:t>
      </w:r>
      <w:r w:rsidRPr="00D915C3">
        <w:rPr>
          <w:rFonts w:ascii="Palatino Linotype" w:eastAsia="Palatino Linotype" w:hAnsi="Palatino Linotype" w:cs="Palatino Linotype"/>
          <w:sz w:val="22"/>
          <w:szCs w:val="22"/>
        </w:rPr>
        <w:t xml:space="preserve"> El </w:t>
      </w:r>
      <w:r w:rsidRPr="00D915C3">
        <w:rPr>
          <w:rFonts w:ascii="Palatino Linotype" w:eastAsia="Palatino Linotype" w:hAnsi="Palatino Linotype" w:cs="Palatino Linotype"/>
          <w:b/>
          <w:sz w:val="22"/>
          <w:szCs w:val="22"/>
        </w:rPr>
        <w:t>primero de julio de dos mil veinticuatro,</w:t>
      </w:r>
      <w:r w:rsidRPr="00D915C3">
        <w:rPr>
          <w:rFonts w:ascii="Palatino Linotype" w:eastAsia="Palatino Linotype" w:hAnsi="Palatino Linotype" w:cs="Palatino Linotype"/>
          <w:sz w:val="22"/>
          <w:szCs w:val="22"/>
        </w:rPr>
        <w:t xml:space="preserve"> la parte </w:t>
      </w:r>
      <w:r w:rsidRPr="00D915C3">
        <w:rPr>
          <w:rFonts w:ascii="Palatino Linotype" w:eastAsia="Palatino Linotype" w:hAnsi="Palatino Linotype" w:cs="Palatino Linotype"/>
          <w:b/>
          <w:sz w:val="22"/>
          <w:szCs w:val="22"/>
        </w:rPr>
        <w:t>Recurrente</w:t>
      </w:r>
      <w:r w:rsidRPr="00D915C3">
        <w:rPr>
          <w:rFonts w:ascii="Palatino Linotype" w:eastAsia="Palatino Linotype" w:hAnsi="Palatino Linotype" w:cs="Palatino Linotype"/>
          <w:sz w:val="22"/>
          <w:szCs w:val="22"/>
        </w:rPr>
        <w:t xml:space="preserve"> a través del Sistema de Acceso a la Información Mexiquense, en lo subsecuente el SAIMEX, formuló ante el </w:t>
      </w:r>
      <w:r w:rsidRPr="00D915C3">
        <w:rPr>
          <w:rFonts w:ascii="Palatino Linotype" w:eastAsia="Palatino Linotype" w:hAnsi="Palatino Linotype" w:cs="Palatino Linotype"/>
          <w:b/>
          <w:sz w:val="22"/>
          <w:szCs w:val="22"/>
        </w:rPr>
        <w:t>Sujeto Obligado</w:t>
      </w:r>
      <w:r w:rsidRPr="00D915C3">
        <w:rPr>
          <w:rFonts w:ascii="Palatino Linotype" w:eastAsia="Palatino Linotype" w:hAnsi="Palatino Linotype" w:cs="Palatino Linotype"/>
          <w:sz w:val="22"/>
          <w:szCs w:val="22"/>
        </w:rPr>
        <w:t xml:space="preserve">, la solicitud de acceso a la información pública a la que se le asignó el número </w:t>
      </w:r>
      <w:r w:rsidRPr="00D915C3">
        <w:rPr>
          <w:rFonts w:ascii="Palatino Linotype" w:eastAsia="Palatino Linotype" w:hAnsi="Palatino Linotype" w:cs="Palatino Linotype"/>
          <w:b/>
          <w:sz w:val="22"/>
          <w:szCs w:val="22"/>
        </w:rPr>
        <w:t>00522/METEPEC/IP/2024,</w:t>
      </w:r>
      <w:r w:rsidRPr="00D915C3">
        <w:rPr>
          <w:rFonts w:ascii="Palatino Linotype" w:eastAsia="Palatino Linotype" w:hAnsi="Palatino Linotype" w:cs="Palatino Linotype"/>
          <w:sz w:val="22"/>
          <w:szCs w:val="22"/>
        </w:rPr>
        <w:t xml:space="preserve"> mediante la cual requirió la información siguiente:</w:t>
      </w:r>
    </w:p>
    <w:p w14:paraId="5F40B468" w14:textId="77777777" w:rsidR="00D05B6C" w:rsidRPr="00D915C3" w:rsidRDefault="002C1EE1">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D915C3">
        <w:rPr>
          <w:rFonts w:ascii="Palatino Linotype" w:eastAsia="Palatino Linotype" w:hAnsi="Palatino Linotype" w:cs="Palatino Linotype"/>
          <w:i/>
          <w:sz w:val="22"/>
          <w:szCs w:val="22"/>
        </w:rPr>
        <w:t xml:space="preserve">“Solicito información sobre por qué está cerrada la calle "Paseo del Agricultor" entre la Toluca-Tenango y Josefa </w:t>
      </w:r>
      <w:proofErr w:type="spellStart"/>
      <w:r w:rsidRPr="00D915C3">
        <w:rPr>
          <w:rFonts w:ascii="Palatino Linotype" w:eastAsia="Palatino Linotype" w:hAnsi="Palatino Linotype" w:cs="Palatino Linotype"/>
          <w:i/>
          <w:sz w:val="22"/>
          <w:szCs w:val="22"/>
        </w:rPr>
        <w:t>Ortíz</w:t>
      </w:r>
      <w:proofErr w:type="spellEnd"/>
      <w:r w:rsidRPr="00D915C3">
        <w:rPr>
          <w:rFonts w:ascii="Palatino Linotype" w:eastAsia="Palatino Linotype" w:hAnsi="Palatino Linotype" w:cs="Palatino Linotype"/>
          <w:i/>
          <w:sz w:val="22"/>
          <w:szCs w:val="22"/>
        </w:rPr>
        <w:t xml:space="preserve"> de Domínguez a un costado de Galerías Metepec y Costco.” (Sic) </w:t>
      </w:r>
    </w:p>
    <w:p w14:paraId="5055DD83" w14:textId="77777777" w:rsidR="00D05B6C" w:rsidRPr="00D915C3" w:rsidRDefault="002C1EE1">
      <w:pPr>
        <w:spacing w:before="240" w:after="240" w:line="360" w:lineRule="auto"/>
        <w:ind w:right="49"/>
        <w:jc w:val="both"/>
        <w:rPr>
          <w:rFonts w:ascii="Palatino Linotype" w:eastAsia="Palatino Linotype" w:hAnsi="Palatino Linotype" w:cs="Palatino Linotype"/>
          <w:sz w:val="22"/>
          <w:szCs w:val="22"/>
        </w:rPr>
      </w:pPr>
      <w:bookmarkStart w:id="2" w:name="_heading=h.3dy6vkm" w:colFirst="0" w:colLast="0"/>
      <w:bookmarkEnd w:id="2"/>
      <w:r w:rsidRPr="00D915C3">
        <w:rPr>
          <w:rFonts w:ascii="Palatino Linotype" w:eastAsia="Palatino Linotype" w:hAnsi="Palatino Linotype" w:cs="Palatino Linotype"/>
          <w:b/>
          <w:sz w:val="22"/>
          <w:szCs w:val="22"/>
        </w:rPr>
        <w:t xml:space="preserve">Modalidad elegida para la entrega de la información: </w:t>
      </w:r>
      <w:r w:rsidRPr="00D915C3">
        <w:rPr>
          <w:rFonts w:ascii="Palatino Linotype" w:eastAsia="Palatino Linotype" w:hAnsi="Palatino Linotype" w:cs="Palatino Linotype"/>
          <w:sz w:val="22"/>
          <w:szCs w:val="22"/>
        </w:rPr>
        <w:t>a través del Sistema de Acceso a la Información Mexiquense (SAIMEX).</w:t>
      </w:r>
    </w:p>
    <w:p w14:paraId="091FBB5E" w14:textId="77777777" w:rsidR="00D05B6C" w:rsidRPr="00D915C3" w:rsidRDefault="002C1EE1">
      <w:pPr>
        <w:numPr>
          <w:ilvl w:val="0"/>
          <w:numId w:val="5"/>
        </w:numPr>
        <w:pBdr>
          <w:top w:val="nil"/>
          <w:left w:val="nil"/>
          <w:bottom w:val="nil"/>
          <w:right w:val="nil"/>
          <w:between w:val="nil"/>
        </w:pBdr>
        <w:tabs>
          <w:tab w:val="left" w:pos="142"/>
          <w:tab w:val="left" w:pos="284"/>
        </w:tabs>
        <w:spacing w:before="240" w:after="240" w:line="360" w:lineRule="auto"/>
        <w:ind w:left="0" w:firstLine="0"/>
        <w:jc w:val="both"/>
        <w:rPr>
          <w:rFonts w:ascii="Palatino Linotype" w:eastAsia="Palatino Linotype" w:hAnsi="Palatino Linotype" w:cs="Palatino Linotype"/>
          <w:b/>
          <w:sz w:val="22"/>
          <w:szCs w:val="22"/>
        </w:rPr>
      </w:pPr>
      <w:r w:rsidRPr="00D915C3">
        <w:rPr>
          <w:rFonts w:ascii="Palatino Linotype" w:eastAsia="Palatino Linotype" w:hAnsi="Palatino Linotype" w:cs="Palatino Linotype"/>
          <w:b/>
          <w:sz w:val="22"/>
          <w:szCs w:val="22"/>
        </w:rPr>
        <w:lastRenderedPageBreak/>
        <w:t xml:space="preserve">Solicitud de aclaración: </w:t>
      </w:r>
      <w:r w:rsidRPr="00D915C3">
        <w:rPr>
          <w:rFonts w:ascii="Palatino Linotype" w:eastAsia="Palatino Linotype" w:hAnsi="Palatino Linotype" w:cs="Palatino Linotype"/>
          <w:sz w:val="22"/>
          <w:szCs w:val="22"/>
        </w:rPr>
        <w:t xml:space="preserve">En fecha </w:t>
      </w:r>
      <w:r w:rsidRPr="00D915C3">
        <w:rPr>
          <w:rFonts w:ascii="Palatino Linotype" w:eastAsia="Palatino Linotype" w:hAnsi="Palatino Linotype" w:cs="Palatino Linotype"/>
          <w:b/>
          <w:sz w:val="22"/>
          <w:szCs w:val="22"/>
        </w:rPr>
        <w:t>ocho de julio de dos mil veinticuatro</w:t>
      </w:r>
      <w:r w:rsidRPr="00D915C3">
        <w:rPr>
          <w:rFonts w:ascii="Palatino Linotype" w:eastAsia="Palatino Linotype" w:hAnsi="Palatino Linotype" w:cs="Palatino Linotype"/>
          <w:sz w:val="22"/>
          <w:szCs w:val="22"/>
        </w:rPr>
        <w:t xml:space="preserve">, el </w:t>
      </w:r>
      <w:r w:rsidRPr="00D915C3">
        <w:rPr>
          <w:rFonts w:ascii="Palatino Linotype" w:eastAsia="Palatino Linotype" w:hAnsi="Palatino Linotype" w:cs="Palatino Linotype"/>
          <w:b/>
          <w:sz w:val="22"/>
          <w:szCs w:val="22"/>
        </w:rPr>
        <w:t xml:space="preserve">Sujeto Obligado </w:t>
      </w:r>
      <w:r w:rsidRPr="00D915C3">
        <w:rPr>
          <w:rFonts w:ascii="Palatino Linotype" w:eastAsia="Palatino Linotype" w:hAnsi="Palatino Linotype" w:cs="Palatino Linotype"/>
          <w:sz w:val="22"/>
          <w:szCs w:val="22"/>
        </w:rPr>
        <w:t>formuló solicitud de aclaración a la persona Solicitante, en los siguientes términos:</w:t>
      </w:r>
    </w:p>
    <w:p w14:paraId="2163B149" w14:textId="77777777" w:rsidR="00D05B6C" w:rsidRPr="00D915C3" w:rsidRDefault="002C1EE1">
      <w:pPr>
        <w:pBdr>
          <w:top w:val="nil"/>
          <w:left w:val="nil"/>
          <w:bottom w:val="nil"/>
          <w:right w:val="nil"/>
          <w:between w:val="nil"/>
        </w:pBdr>
        <w:tabs>
          <w:tab w:val="left" w:pos="142"/>
          <w:tab w:val="left" w:pos="284"/>
        </w:tabs>
        <w:spacing w:before="240" w:after="240"/>
        <w:ind w:left="567" w:right="616"/>
        <w:jc w:val="both"/>
        <w:rPr>
          <w:rFonts w:ascii="Palatino Linotype" w:eastAsia="Palatino Linotype" w:hAnsi="Palatino Linotype" w:cs="Palatino Linotype"/>
          <w:i/>
          <w:sz w:val="22"/>
          <w:szCs w:val="22"/>
        </w:rPr>
      </w:pPr>
      <w:r w:rsidRPr="00D915C3">
        <w:rPr>
          <w:rFonts w:ascii="Palatino Linotype" w:eastAsia="Palatino Linotype" w:hAnsi="Palatino Linotype" w:cs="Palatino Linotype"/>
          <w:i/>
          <w:sz w:val="22"/>
          <w:szCs w:val="22"/>
        </w:rPr>
        <w:t xml:space="preserve">“Con fundamento en el </w:t>
      </w:r>
      <w:proofErr w:type="spellStart"/>
      <w:r w:rsidRPr="00D915C3">
        <w:rPr>
          <w:rFonts w:ascii="Palatino Linotype" w:eastAsia="Palatino Linotype" w:hAnsi="Palatino Linotype" w:cs="Palatino Linotype"/>
          <w:i/>
          <w:sz w:val="22"/>
          <w:szCs w:val="22"/>
        </w:rPr>
        <w:t>articulo</w:t>
      </w:r>
      <w:proofErr w:type="spellEnd"/>
      <w:r w:rsidRPr="00D915C3">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0894F079" w14:textId="77777777" w:rsidR="00D05B6C" w:rsidRPr="00D915C3" w:rsidRDefault="002C1EE1">
      <w:pPr>
        <w:pBdr>
          <w:top w:val="nil"/>
          <w:left w:val="nil"/>
          <w:bottom w:val="nil"/>
          <w:right w:val="nil"/>
          <w:between w:val="nil"/>
        </w:pBdr>
        <w:tabs>
          <w:tab w:val="left" w:pos="142"/>
          <w:tab w:val="left" w:pos="284"/>
        </w:tabs>
        <w:spacing w:before="240" w:after="240"/>
        <w:ind w:left="567" w:right="616"/>
        <w:jc w:val="both"/>
        <w:rPr>
          <w:rFonts w:ascii="Palatino Linotype" w:eastAsia="Palatino Linotype" w:hAnsi="Palatino Linotype" w:cs="Palatino Linotype"/>
          <w:b/>
          <w:i/>
          <w:sz w:val="22"/>
          <w:szCs w:val="22"/>
          <w:u w:val="single"/>
        </w:rPr>
      </w:pPr>
      <w:r w:rsidRPr="00D915C3">
        <w:rPr>
          <w:rFonts w:ascii="Palatino Linotype" w:eastAsia="Palatino Linotype" w:hAnsi="Palatino Linotype" w:cs="Palatino Linotype"/>
          <w:b/>
          <w:i/>
          <w:sz w:val="22"/>
          <w:szCs w:val="22"/>
          <w:u w:val="single"/>
        </w:rPr>
        <w:t>A FIN DE DAR PUNTUAL ATENCIÓN A SU SOLICITUD, SE REQUIERE PRECISE QUE DOCUMENTACIÓN ESPECIFICA REQUIERE.</w:t>
      </w:r>
    </w:p>
    <w:p w14:paraId="54DA1937" w14:textId="77777777" w:rsidR="00D05B6C" w:rsidRPr="00D915C3" w:rsidRDefault="002C1EE1">
      <w:pPr>
        <w:pBdr>
          <w:top w:val="nil"/>
          <w:left w:val="nil"/>
          <w:bottom w:val="nil"/>
          <w:right w:val="nil"/>
          <w:between w:val="nil"/>
        </w:pBdr>
        <w:tabs>
          <w:tab w:val="left" w:pos="142"/>
          <w:tab w:val="left" w:pos="284"/>
        </w:tabs>
        <w:spacing w:before="240" w:after="240"/>
        <w:ind w:left="567" w:right="616"/>
        <w:jc w:val="both"/>
        <w:rPr>
          <w:rFonts w:ascii="Palatino Linotype" w:eastAsia="Palatino Linotype" w:hAnsi="Palatino Linotype" w:cs="Palatino Linotype"/>
          <w:i/>
          <w:sz w:val="22"/>
          <w:szCs w:val="22"/>
        </w:rPr>
      </w:pPr>
      <w:r w:rsidRPr="00D915C3">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4E0622DA" w14:textId="77777777" w:rsidR="00D05B6C" w:rsidRPr="00D915C3" w:rsidRDefault="002C1EE1">
      <w:pPr>
        <w:numPr>
          <w:ilvl w:val="0"/>
          <w:numId w:val="5"/>
        </w:numPr>
        <w:pBdr>
          <w:top w:val="nil"/>
          <w:left w:val="nil"/>
          <w:bottom w:val="nil"/>
          <w:right w:val="nil"/>
          <w:between w:val="nil"/>
        </w:pBdr>
        <w:tabs>
          <w:tab w:val="left" w:pos="142"/>
          <w:tab w:val="left" w:pos="284"/>
        </w:tabs>
        <w:spacing w:before="240" w:after="240" w:line="360" w:lineRule="auto"/>
        <w:ind w:left="0" w:firstLine="0"/>
        <w:jc w:val="both"/>
        <w:rPr>
          <w:rFonts w:ascii="Palatino Linotype" w:eastAsia="Palatino Linotype" w:hAnsi="Palatino Linotype" w:cs="Palatino Linotype"/>
          <w:b/>
          <w:sz w:val="22"/>
          <w:szCs w:val="22"/>
        </w:rPr>
      </w:pPr>
      <w:r w:rsidRPr="00D915C3">
        <w:rPr>
          <w:rFonts w:ascii="Palatino Linotype" w:eastAsia="Palatino Linotype" w:hAnsi="Palatino Linotype" w:cs="Palatino Linotype"/>
          <w:b/>
          <w:sz w:val="22"/>
          <w:szCs w:val="22"/>
        </w:rPr>
        <w:t xml:space="preserve">Aclaración: </w:t>
      </w:r>
      <w:r w:rsidRPr="00D915C3">
        <w:rPr>
          <w:rFonts w:ascii="Palatino Linotype" w:eastAsia="Palatino Linotype" w:hAnsi="Palatino Linotype" w:cs="Palatino Linotype"/>
          <w:sz w:val="22"/>
          <w:szCs w:val="22"/>
        </w:rPr>
        <w:t xml:space="preserve">El </w:t>
      </w:r>
      <w:r w:rsidRPr="00D915C3">
        <w:rPr>
          <w:rFonts w:ascii="Palatino Linotype" w:eastAsia="Palatino Linotype" w:hAnsi="Palatino Linotype" w:cs="Palatino Linotype"/>
          <w:b/>
          <w:sz w:val="22"/>
          <w:szCs w:val="22"/>
        </w:rPr>
        <w:t>once de julio de dos mil veinticuatro</w:t>
      </w:r>
      <w:r w:rsidRPr="00D915C3">
        <w:rPr>
          <w:rFonts w:ascii="Palatino Linotype" w:eastAsia="Palatino Linotype" w:hAnsi="Palatino Linotype" w:cs="Palatino Linotype"/>
          <w:sz w:val="22"/>
          <w:szCs w:val="22"/>
        </w:rPr>
        <w:t xml:space="preserve">, la persona Solicitante desahogo la aclaración formulada por el </w:t>
      </w:r>
      <w:r w:rsidRPr="00D915C3">
        <w:rPr>
          <w:rFonts w:ascii="Palatino Linotype" w:eastAsia="Palatino Linotype" w:hAnsi="Palatino Linotype" w:cs="Palatino Linotype"/>
          <w:b/>
          <w:sz w:val="22"/>
          <w:szCs w:val="22"/>
        </w:rPr>
        <w:t xml:space="preserve">Sujeto Obligado, </w:t>
      </w:r>
      <w:r w:rsidRPr="00D915C3">
        <w:rPr>
          <w:rFonts w:ascii="Palatino Linotype" w:eastAsia="Palatino Linotype" w:hAnsi="Palatino Linotype" w:cs="Palatino Linotype"/>
          <w:sz w:val="22"/>
          <w:szCs w:val="22"/>
        </w:rPr>
        <w:t>en los siguientes términos:</w:t>
      </w:r>
    </w:p>
    <w:p w14:paraId="5C73F729" w14:textId="77777777" w:rsidR="00D05B6C" w:rsidRPr="00D915C3" w:rsidRDefault="002C1EE1">
      <w:pPr>
        <w:pBdr>
          <w:top w:val="nil"/>
          <w:left w:val="nil"/>
          <w:bottom w:val="nil"/>
          <w:right w:val="nil"/>
          <w:between w:val="nil"/>
        </w:pBdr>
        <w:tabs>
          <w:tab w:val="left" w:pos="142"/>
          <w:tab w:val="left" w:pos="284"/>
        </w:tabs>
        <w:spacing w:before="240" w:after="240"/>
        <w:ind w:left="567" w:right="616"/>
        <w:jc w:val="both"/>
        <w:rPr>
          <w:rFonts w:ascii="Palatino Linotype" w:eastAsia="Palatino Linotype" w:hAnsi="Palatino Linotype" w:cs="Palatino Linotype"/>
          <w:i/>
          <w:sz w:val="22"/>
          <w:szCs w:val="22"/>
        </w:rPr>
      </w:pPr>
      <w:r w:rsidRPr="00D915C3">
        <w:rPr>
          <w:rFonts w:ascii="Palatino Linotype" w:eastAsia="Palatino Linotype" w:hAnsi="Palatino Linotype" w:cs="Palatino Linotype"/>
          <w:i/>
          <w:sz w:val="22"/>
          <w:szCs w:val="22"/>
        </w:rPr>
        <w:t>“Se pide información pública relacionada con el cierre de calles en Metepec” (Sic)</w:t>
      </w:r>
    </w:p>
    <w:p w14:paraId="67DDC44C" w14:textId="77777777" w:rsidR="00D05B6C" w:rsidRPr="00D915C3" w:rsidRDefault="00D05B6C">
      <w:pPr>
        <w:pBdr>
          <w:top w:val="nil"/>
          <w:left w:val="nil"/>
          <w:bottom w:val="nil"/>
          <w:right w:val="nil"/>
          <w:between w:val="nil"/>
        </w:pBdr>
        <w:tabs>
          <w:tab w:val="left" w:pos="142"/>
          <w:tab w:val="left" w:pos="284"/>
        </w:tabs>
        <w:spacing w:line="360" w:lineRule="auto"/>
        <w:ind w:right="49"/>
        <w:jc w:val="both"/>
        <w:rPr>
          <w:rFonts w:ascii="Palatino Linotype" w:eastAsia="Palatino Linotype" w:hAnsi="Palatino Linotype" w:cs="Palatino Linotype"/>
          <w:b/>
          <w:sz w:val="22"/>
          <w:szCs w:val="22"/>
        </w:rPr>
      </w:pPr>
    </w:p>
    <w:p w14:paraId="41C080BC" w14:textId="77777777" w:rsidR="00D05B6C" w:rsidRPr="00D915C3" w:rsidRDefault="002C1EE1">
      <w:pPr>
        <w:pBdr>
          <w:top w:val="nil"/>
          <w:left w:val="nil"/>
          <w:bottom w:val="nil"/>
          <w:right w:val="nil"/>
          <w:between w:val="nil"/>
        </w:pBdr>
        <w:tabs>
          <w:tab w:val="left" w:pos="142"/>
          <w:tab w:val="left" w:pos="284"/>
        </w:tabs>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b/>
          <w:sz w:val="22"/>
          <w:szCs w:val="22"/>
        </w:rPr>
        <w:t xml:space="preserve">4. Prórroga. </w:t>
      </w:r>
      <w:r w:rsidRPr="00D915C3">
        <w:rPr>
          <w:rFonts w:ascii="Palatino Linotype" w:eastAsia="Palatino Linotype" w:hAnsi="Palatino Linotype" w:cs="Palatino Linotype"/>
          <w:sz w:val="22"/>
          <w:szCs w:val="22"/>
        </w:rPr>
        <w:t xml:space="preserve">El </w:t>
      </w:r>
      <w:r w:rsidRPr="00D915C3">
        <w:rPr>
          <w:rFonts w:ascii="Palatino Linotype" w:eastAsia="Palatino Linotype" w:hAnsi="Palatino Linotype" w:cs="Palatino Linotype"/>
          <w:b/>
          <w:sz w:val="22"/>
          <w:szCs w:val="22"/>
        </w:rPr>
        <w:t xml:space="preserve">quince de agosto de dos mil veinticuatro, </w:t>
      </w:r>
      <w:r w:rsidRPr="00D915C3">
        <w:rPr>
          <w:rFonts w:ascii="Palatino Linotype" w:eastAsia="Palatino Linotype" w:hAnsi="Palatino Linotype" w:cs="Palatino Linotype"/>
          <w:sz w:val="22"/>
          <w:szCs w:val="22"/>
        </w:rPr>
        <w:t xml:space="preserve">el </w:t>
      </w:r>
      <w:r w:rsidRPr="00D915C3">
        <w:rPr>
          <w:rFonts w:ascii="Palatino Linotype" w:eastAsia="Palatino Linotype" w:hAnsi="Palatino Linotype" w:cs="Palatino Linotype"/>
          <w:b/>
          <w:sz w:val="22"/>
          <w:szCs w:val="22"/>
        </w:rPr>
        <w:t xml:space="preserve">Sujeto Obligado </w:t>
      </w:r>
      <w:r w:rsidRPr="00D915C3">
        <w:rPr>
          <w:rFonts w:ascii="Palatino Linotype" w:eastAsia="Palatino Linotype" w:hAnsi="Palatino Linotype" w:cs="Palatino Linotype"/>
          <w:sz w:val="22"/>
          <w:szCs w:val="22"/>
        </w:rPr>
        <w:t xml:space="preserve">informó que el plazo de quince días hábiles para atender la solicitud de mérito fue prorrogado por siete días más en virtud de las siguientes razones: </w:t>
      </w:r>
    </w:p>
    <w:p w14:paraId="11178012" w14:textId="77777777" w:rsidR="00D05B6C" w:rsidRPr="00D915C3" w:rsidRDefault="00D05B6C">
      <w:pPr>
        <w:spacing w:line="360" w:lineRule="auto"/>
        <w:ind w:right="49"/>
        <w:jc w:val="both"/>
        <w:rPr>
          <w:rFonts w:ascii="Palatino Linotype" w:eastAsia="Palatino Linotype" w:hAnsi="Palatino Linotype" w:cs="Palatino Linotype"/>
          <w:sz w:val="22"/>
          <w:szCs w:val="22"/>
        </w:rPr>
      </w:pPr>
    </w:p>
    <w:p w14:paraId="4D98E8DD" w14:textId="77777777" w:rsidR="00D05B6C" w:rsidRPr="00D915C3" w:rsidRDefault="002C1EE1">
      <w:pPr>
        <w:spacing w:line="276" w:lineRule="auto"/>
        <w:ind w:left="567" w:right="560"/>
        <w:jc w:val="both"/>
        <w:rPr>
          <w:rFonts w:ascii="Palatino Linotype" w:eastAsia="Palatino Linotype" w:hAnsi="Palatino Linotype" w:cs="Palatino Linotype"/>
          <w:i/>
          <w:sz w:val="22"/>
          <w:szCs w:val="22"/>
        </w:rPr>
      </w:pPr>
      <w:r w:rsidRPr="00D915C3">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E2A3435" w14:textId="77777777" w:rsidR="00D05B6C" w:rsidRPr="00D915C3" w:rsidRDefault="00D05B6C">
      <w:pPr>
        <w:spacing w:line="276" w:lineRule="auto"/>
        <w:ind w:left="567" w:right="560"/>
        <w:jc w:val="both"/>
        <w:rPr>
          <w:rFonts w:ascii="Palatino Linotype" w:eastAsia="Palatino Linotype" w:hAnsi="Palatino Linotype" w:cs="Palatino Linotype"/>
          <w:i/>
          <w:sz w:val="22"/>
          <w:szCs w:val="22"/>
        </w:rPr>
      </w:pPr>
    </w:p>
    <w:p w14:paraId="3421D1DC" w14:textId="77777777" w:rsidR="00D05B6C" w:rsidRPr="00D915C3" w:rsidRDefault="002C1EE1">
      <w:pPr>
        <w:spacing w:line="276" w:lineRule="auto"/>
        <w:ind w:left="567" w:right="560"/>
        <w:jc w:val="both"/>
        <w:rPr>
          <w:rFonts w:ascii="Palatino Linotype" w:eastAsia="Palatino Linotype" w:hAnsi="Palatino Linotype" w:cs="Palatino Linotype"/>
          <w:i/>
          <w:sz w:val="22"/>
          <w:szCs w:val="22"/>
        </w:rPr>
      </w:pPr>
      <w:r w:rsidRPr="00D915C3">
        <w:rPr>
          <w:rFonts w:ascii="Palatino Linotype" w:eastAsia="Palatino Linotype" w:hAnsi="Palatino Linotype" w:cs="Palatino Linotype"/>
          <w:i/>
          <w:sz w:val="22"/>
          <w:szCs w:val="22"/>
        </w:rPr>
        <w:t xml:space="preserve">METEPEC, ESTADO DE MÉXICO, AGOSTO DEL 2024 ASUNTO: EL QUE SE INDICA A QUIEN CORRESPONDA P R E S E N T E. Por este conducto y con fundamento en lo dispuesto por los artículos 53, fracción VI y 163 de la Ley de Transparencia y Acceso a la Información Pública del Estado de México y Municipios, </w:t>
      </w:r>
      <w:r w:rsidRPr="00D915C3">
        <w:rPr>
          <w:rFonts w:ascii="Palatino Linotype" w:eastAsia="Palatino Linotype" w:hAnsi="Palatino Linotype" w:cs="Palatino Linotype"/>
          <w:i/>
          <w:sz w:val="22"/>
          <w:szCs w:val="22"/>
        </w:rPr>
        <w:lastRenderedPageBreak/>
        <w:t>me permito notificarle la ampliación del plazo por siete días hábiles, aprobado por el Comité de Transparencia del Ayuntamiento de Metepec, Estado de México, mediante la Centésima Trigésima Primera Sesión Extraordinaria. Sin más por el momento quedo a sus órdenes. ATENTAMENTE GERARDO ARTURO OZUNA MARTÍNEZ DIRECTOR DE TRANSPARENCIA Y GOBIERNO ABIERTO” (Sic)</w:t>
      </w:r>
    </w:p>
    <w:p w14:paraId="107CC176" w14:textId="77777777" w:rsidR="00D05B6C" w:rsidRPr="00D915C3" w:rsidRDefault="00D05B6C">
      <w:pPr>
        <w:spacing w:line="276" w:lineRule="auto"/>
        <w:ind w:left="567" w:right="560"/>
        <w:jc w:val="both"/>
        <w:rPr>
          <w:rFonts w:ascii="Palatino Linotype" w:eastAsia="Palatino Linotype" w:hAnsi="Palatino Linotype" w:cs="Palatino Linotype"/>
          <w:i/>
          <w:sz w:val="22"/>
          <w:szCs w:val="22"/>
        </w:rPr>
      </w:pPr>
    </w:p>
    <w:p w14:paraId="1D168BDC" w14:textId="77777777" w:rsidR="00D05B6C" w:rsidRPr="00D915C3" w:rsidRDefault="002C1EE1">
      <w:pPr>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De esta manera, como refiere el </w:t>
      </w:r>
      <w:r w:rsidRPr="00D915C3">
        <w:rPr>
          <w:rFonts w:ascii="Palatino Linotype" w:eastAsia="Palatino Linotype" w:hAnsi="Palatino Linotype" w:cs="Palatino Linotype"/>
          <w:b/>
          <w:sz w:val="22"/>
          <w:szCs w:val="22"/>
        </w:rPr>
        <w:t>Sujeto Obligado</w:t>
      </w:r>
      <w:r w:rsidRPr="00D915C3">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D915C3">
        <w:rPr>
          <w:rFonts w:ascii="Palatino Linotype" w:eastAsia="Palatino Linotype" w:hAnsi="Palatino Linotype" w:cs="Palatino Linotype"/>
          <w:b/>
          <w:sz w:val="22"/>
          <w:szCs w:val="22"/>
        </w:rPr>
        <w:t>NO se observaron las formalidades que establece la Ley de la materia</w:t>
      </w:r>
      <w:r w:rsidRPr="00D915C3">
        <w:rPr>
          <w:rFonts w:ascii="Palatino Linotype" w:eastAsia="Palatino Linotype" w:hAnsi="Palatino Linotype" w:cs="Palatino Linotype"/>
          <w:sz w:val="22"/>
          <w:szCs w:val="22"/>
        </w:rPr>
        <w:t>, pues no se anexó el Acuerdo del Comité de Transparencia de dicho ente público, mediante el cual se aprobara la ampliación del plazo para dar atención a la solicitud de información, a pesar de que indicó que la ampliación fue aprobada en la Centésima Trigésima Primera Sesión Extraordinaria del Comité de Transparencia.</w:t>
      </w:r>
    </w:p>
    <w:p w14:paraId="05002F0C" w14:textId="77777777" w:rsidR="00D05B6C" w:rsidRPr="00D915C3" w:rsidRDefault="00D05B6C">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b/>
          <w:sz w:val="22"/>
          <w:szCs w:val="22"/>
        </w:rPr>
      </w:pPr>
    </w:p>
    <w:p w14:paraId="731994B5" w14:textId="77777777" w:rsidR="00D05B6C" w:rsidRPr="00D915C3" w:rsidRDefault="002C1EE1">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b/>
          <w:sz w:val="22"/>
          <w:szCs w:val="22"/>
        </w:rPr>
      </w:pPr>
      <w:r w:rsidRPr="00D915C3">
        <w:rPr>
          <w:rFonts w:ascii="Palatino Linotype" w:eastAsia="Palatino Linotype" w:hAnsi="Palatino Linotype" w:cs="Palatino Linotype"/>
          <w:b/>
          <w:sz w:val="22"/>
          <w:szCs w:val="22"/>
        </w:rPr>
        <w:t xml:space="preserve">5. Respuesta. </w:t>
      </w:r>
      <w:r w:rsidRPr="00D915C3">
        <w:rPr>
          <w:rFonts w:ascii="Palatino Linotype" w:eastAsia="Palatino Linotype" w:hAnsi="Palatino Linotype" w:cs="Palatino Linotype"/>
          <w:sz w:val="22"/>
          <w:szCs w:val="22"/>
        </w:rPr>
        <w:t xml:space="preserve">El </w:t>
      </w:r>
      <w:r w:rsidRPr="00D915C3">
        <w:rPr>
          <w:rFonts w:ascii="Palatino Linotype" w:eastAsia="Palatino Linotype" w:hAnsi="Palatino Linotype" w:cs="Palatino Linotype"/>
          <w:b/>
          <w:sz w:val="22"/>
          <w:szCs w:val="22"/>
        </w:rPr>
        <w:t>veintiséis de agosto de dos mil veinticuatro</w:t>
      </w:r>
      <w:r w:rsidRPr="00D915C3">
        <w:rPr>
          <w:rFonts w:ascii="Palatino Linotype" w:eastAsia="Palatino Linotype" w:hAnsi="Palatino Linotype" w:cs="Palatino Linotype"/>
          <w:sz w:val="22"/>
          <w:szCs w:val="22"/>
        </w:rPr>
        <w:t xml:space="preserve">, el </w:t>
      </w:r>
      <w:r w:rsidRPr="00D915C3">
        <w:rPr>
          <w:rFonts w:ascii="Palatino Linotype" w:eastAsia="Palatino Linotype" w:hAnsi="Palatino Linotype" w:cs="Palatino Linotype"/>
          <w:b/>
          <w:sz w:val="22"/>
          <w:szCs w:val="22"/>
        </w:rPr>
        <w:t xml:space="preserve">Sujeto Obligado </w:t>
      </w:r>
      <w:r w:rsidRPr="00D915C3">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376ACA2F" w14:textId="77777777" w:rsidR="00D05B6C" w:rsidRPr="00D915C3" w:rsidRDefault="002C1EE1">
      <w:pPr>
        <w:spacing w:before="240" w:after="240"/>
        <w:ind w:left="567" w:right="902"/>
        <w:jc w:val="both"/>
        <w:rPr>
          <w:rFonts w:ascii="Palatino Linotype" w:eastAsia="Palatino Linotype" w:hAnsi="Palatino Linotype" w:cs="Palatino Linotype"/>
          <w:i/>
          <w:sz w:val="22"/>
          <w:szCs w:val="22"/>
        </w:rPr>
      </w:pPr>
      <w:r w:rsidRPr="00D915C3">
        <w:rPr>
          <w:rFonts w:ascii="Palatino Linotype" w:eastAsia="Palatino Linotype" w:hAnsi="Palatino Linotype" w:cs="Palatino Linotype"/>
          <w:i/>
          <w:sz w:val="22"/>
          <w:szCs w:val="22"/>
        </w:rPr>
        <w:t xml:space="preserve">“…C.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w:t>
      </w:r>
      <w:r w:rsidRPr="00D915C3">
        <w:rPr>
          <w:rFonts w:ascii="Palatino Linotype" w:eastAsia="Palatino Linotype" w:hAnsi="Palatino Linotype" w:cs="Palatino Linotype"/>
          <w:i/>
          <w:sz w:val="22"/>
          <w:szCs w:val="22"/>
        </w:rPr>
        <w:lastRenderedPageBreak/>
        <w:t>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LIC. GERARDO ARTURO OZUNA MARTÍNEZ DIRECTOR DE TRANSPARENCIA Y GOBIERNO ABIERTO…” (Sic)</w:t>
      </w:r>
    </w:p>
    <w:p w14:paraId="16DB2C3E" w14:textId="77777777" w:rsidR="00D05B6C" w:rsidRPr="00D915C3" w:rsidRDefault="002C1EE1">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Adjunto a la respuesta, el </w:t>
      </w:r>
      <w:r w:rsidRPr="00D915C3">
        <w:rPr>
          <w:rFonts w:ascii="Palatino Linotype" w:eastAsia="Palatino Linotype" w:hAnsi="Palatino Linotype" w:cs="Palatino Linotype"/>
          <w:b/>
          <w:sz w:val="22"/>
          <w:szCs w:val="22"/>
        </w:rPr>
        <w:t xml:space="preserve">Sujeto Obligado </w:t>
      </w:r>
      <w:r w:rsidRPr="00D915C3">
        <w:rPr>
          <w:rFonts w:ascii="Palatino Linotype" w:eastAsia="Palatino Linotype" w:hAnsi="Palatino Linotype" w:cs="Palatino Linotype"/>
          <w:sz w:val="22"/>
          <w:szCs w:val="22"/>
        </w:rPr>
        <w:t>entregó el siguiente documento:</w:t>
      </w:r>
    </w:p>
    <w:p w14:paraId="713CFEB8" w14:textId="77777777" w:rsidR="00D05B6C" w:rsidRPr="00D915C3" w:rsidRDefault="00D05B6C">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4C04BB86" w14:textId="77777777" w:rsidR="00D05B6C" w:rsidRPr="00D915C3" w:rsidRDefault="002C1EE1">
      <w:p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u w:val="single"/>
        </w:rPr>
      </w:pPr>
      <w:r w:rsidRPr="00D915C3">
        <w:rPr>
          <w:rFonts w:ascii="Palatino Linotype" w:eastAsia="Palatino Linotype" w:hAnsi="Palatino Linotype" w:cs="Palatino Linotype"/>
          <w:sz w:val="22"/>
          <w:szCs w:val="22"/>
        </w:rPr>
        <w:t xml:space="preserve">- Oficio DSP/7522/2024 del veintiséis de agosto de dos mil veinticuatro, a través del cual el </w:t>
      </w:r>
      <w:proofErr w:type="gramStart"/>
      <w:r w:rsidRPr="00D915C3">
        <w:rPr>
          <w:rFonts w:ascii="Palatino Linotype" w:eastAsia="Palatino Linotype" w:hAnsi="Palatino Linotype" w:cs="Palatino Linotype"/>
          <w:sz w:val="22"/>
          <w:szCs w:val="22"/>
        </w:rPr>
        <w:t>Director</w:t>
      </w:r>
      <w:proofErr w:type="gramEnd"/>
      <w:r w:rsidRPr="00D915C3">
        <w:rPr>
          <w:rFonts w:ascii="Palatino Linotype" w:eastAsia="Palatino Linotype" w:hAnsi="Palatino Linotype" w:cs="Palatino Linotype"/>
          <w:sz w:val="22"/>
          <w:szCs w:val="22"/>
        </w:rPr>
        <w:t xml:space="preserve"> de Seguridad Pública de Metepec informó que el requerimiento de información no corresponde a una solicitud de información por tratarse de manifestaciones subjetivas, y por tanto es improcedente su contestación, ya que no se puede atender con documentos previamente generados y no está constreñido a generar documentos ad hoc para atender solicitudes de información.</w:t>
      </w:r>
    </w:p>
    <w:p w14:paraId="6C9AE60F" w14:textId="77777777" w:rsidR="00D05B6C" w:rsidRPr="00D915C3" w:rsidRDefault="00D05B6C">
      <w:pPr>
        <w:pBdr>
          <w:top w:val="nil"/>
          <w:left w:val="nil"/>
          <w:bottom w:val="nil"/>
          <w:right w:val="nil"/>
          <w:between w:val="nil"/>
        </w:pBdr>
        <w:spacing w:line="276" w:lineRule="auto"/>
        <w:ind w:right="49"/>
        <w:jc w:val="both"/>
        <w:rPr>
          <w:rFonts w:ascii="Palatino Linotype" w:eastAsia="Palatino Linotype" w:hAnsi="Palatino Linotype" w:cs="Palatino Linotype"/>
          <w:b/>
          <w:sz w:val="22"/>
          <w:szCs w:val="22"/>
        </w:rPr>
      </w:pPr>
    </w:p>
    <w:p w14:paraId="0D78BA40" w14:textId="77777777" w:rsidR="00D05B6C" w:rsidRPr="00D915C3" w:rsidRDefault="002C1EE1">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D915C3">
        <w:rPr>
          <w:rFonts w:ascii="Palatino Linotype" w:eastAsia="Palatino Linotype" w:hAnsi="Palatino Linotype" w:cs="Palatino Linotype"/>
          <w:b/>
          <w:sz w:val="22"/>
          <w:szCs w:val="22"/>
        </w:rPr>
        <w:t xml:space="preserve">6. Interposición del recurso de revisión. </w:t>
      </w:r>
      <w:r w:rsidRPr="00D915C3">
        <w:rPr>
          <w:rFonts w:ascii="Palatino Linotype" w:eastAsia="Palatino Linotype" w:hAnsi="Palatino Linotype" w:cs="Palatino Linotype"/>
          <w:sz w:val="22"/>
          <w:szCs w:val="22"/>
        </w:rPr>
        <w:t xml:space="preserve">Inconforme con los términos de la respuesta emitida por parte del </w:t>
      </w:r>
      <w:r w:rsidRPr="00D915C3">
        <w:rPr>
          <w:rFonts w:ascii="Palatino Linotype" w:eastAsia="Palatino Linotype" w:hAnsi="Palatino Linotype" w:cs="Palatino Linotype"/>
          <w:b/>
          <w:sz w:val="22"/>
          <w:szCs w:val="22"/>
        </w:rPr>
        <w:t>Sujeto Obligado</w:t>
      </w:r>
      <w:r w:rsidRPr="00D915C3">
        <w:rPr>
          <w:rFonts w:ascii="Palatino Linotype" w:eastAsia="Palatino Linotype" w:hAnsi="Palatino Linotype" w:cs="Palatino Linotype"/>
          <w:sz w:val="22"/>
          <w:szCs w:val="22"/>
        </w:rPr>
        <w:t>, el</w:t>
      </w:r>
      <w:r w:rsidRPr="00D915C3">
        <w:rPr>
          <w:rFonts w:ascii="Palatino Linotype" w:eastAsia="Palatino Linotype" w:hAnsi="Palatino Linotype" w:cs="Palatino Linotype"/>
          <w:b/>
          <w:sz w:val="22"/>
          <w:szCs w:val="22"/>
        </w:rPr>
        <w:t xml:space="preserve"> veintiocho de agosto de dos mil veinticuatro,</w:t>
      </w:r>
      <w:r w:rsidRPr="00D915C3">
        <w:rPr>
          <w:rFonts w:ascii="Palatino Linotype" w:eastAsia="Palatino Linotype" w:hAnsi="Palatino Linotype" w:cs="Palatino Linotype"/>
          <w:sz w:val="22"/>
          <w:szCs w:val="22"/>
        </w:rPr>
        <w:t xml:space="preserve"> </w:t>
      </w:r>
      <w:r w:rsidRPr="00D915C3">
        <w:rPr>
          <w:rFonts w:ascii="Palatino Linotype" w:eastAsia="Palatino Linotype" w:hAnsi="Palatino Linotype" w:cs="Palatino Linotype"/>
          <w:b/>
          <w:sz w:val="22"/>
          <w:szCs w:val="22"/>
        </w:rPr>
        <w:t>la parte</w:t>
      </w:r>
      <w:r w:rsidRPr="00D915C3">
        <w:rPr>
          <w:rFonts w:ascii="Palatino Linotype" w:eastAsia="Palatino Linotype" w:hAnsi="Palatino Linotype" w:cs="Palatino Linotype"/>
          <w:sz w:val="22"/>
          <w:szCs w:val="22"/>
        </w:rPr>
        <w:t xml:space="preserve"> </w:t>
      </w:r>
      <w:r w:rsidRPr="00D915C3">
        <w:rPr>
          <w:rFonts w:ascii="Palatino Linotype" w:eastAsia="Palatino Linotype" w:hAnsi="Palatino Linotype" w:cs="Palatino Linotype"/>
          <w:b/>
          <w:sz w:val="22"/>
          <w:szCs w:val="22"/>
        </w:rPr>
        <w:t>Recurrente</w:t>
      </w:r>
      <w:r w:rsidRPr="00D915C3">
        <w:rPr>
          <w:rFonts w:ascii="Palatino Linotype" w:eastAsia="Palatino Linotype" w:hAnsi="Palatino Linotype" w:cs="Palatino Linotype"/>
          <w:sz w:val="22"/>
          <w:szCs w:val="22"/>
        </w:rPr>
        <w:t xml:space="preserve"> interpuso el recurso de revisión a través de </w:t>
      </w:r>
      <w:r w:rsidRPr="00D915C3">
        <w:rPr>
          <w:rFonts w:ascii="Palatino Linotype" w:eastAsia="Palatino Linotype" w:hAnsi="Palatino Linotype" w:cs="Palatino Linotype"/>
          <w:b/>
          <w:sz w:val="22"/>
          <w:szCs w:val="22"/>
        </w:rPr>
        <w:t xml:space="preserve">SAIMEX, </w:t>
      </w:r>
      <w:r w:rsidRPr="00D915C3">
        <w:rPr>
          <w:rFonts w:ascii="Palatino Linotype" w:eastAsia="Palatino Linotype" w:hAnsi="Palatino Linotype" w:cs="Palatino Linotype"/>
          <w:sz w:val="22"/>
          <w:szCs w:val="22"/>
        </w:rPr>
        <w:t>en donde se manifestó de la siguiente manera:</w:t>
      </w:r>
    </w:p>
    <w:p w14:paraId="6B8DD2D5" w14:textId="77777777" w:rsidR="00D05B6C" w:rsidRPr="00D915C3" w:rsidRDefault="002C1EE1">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D915C3">
        <w:rPr>
          <w:rFonts w:ascii="Palatino Linotype" w:eastAsia="Palatino Linotype" w:hAnsi="Palatino Linotype" w:cs="Palatino Linotype"/>
          <w:b/>
          <w:sz w:val="22"/>
          <w:szCs w:val="22"/>
        </w:rPr>
        <w:t xml:space="preserve">a) Acto impugnado: </w:t>
      </w:r>
      <w:r w:rsidRPr="00D915C3">
        <w:rPr>
          <w:rFonts w:ascii="Palatino Linotype" w:eastAsia="Palatino Linotype" w:hAnsi="Palatino Linotype" w:cs="Palatino Linotype"/>
          <w:i/>
          <w:sz w:val="22"/>
          <w:szCs w:val="22"/>
        </w:rPr>
        <w:t>“No respondió lo solicitado” (Sic)</w:t>
      </w:r>
    </w:p>
    <w:p w14:paraId="3ADE2E50" w14:textId="77777777" w:rsidR="00D05B6C" w:rsidRPr="00D915C3" w:rsidRDefault="002C1EE1">
      <w:pPr>
        <w:spacing w:line="276" w:lineRule="auto"/>
        <w:ind w:left="567" w:right="900"/>
        <w:jc w:val="both"/>
        <w:rPr>
          <w:rFonts w:ascii="Palatino Linotype" w:eastAsia="Palatino Linotype" w:hAnsi="Palatino Linotype" w:cs="Palatino Linotype"/>
          <w:sz w:val="22"/>
          <w:szCs w:val="22"/>
        </w:rPr>
      </w:pPr>
      <w:bookmarkStart w:id="3" w:name="_heading=h.30j0zll" w:colFirst="0" w:colLast="0"/>
      <w:bookmarkEnd w:id="3"/>
      <w:r w:rsidRPr="00D915C3">
        <w:rPr>
          <w:rFonts w:ascii="Palatino Linotype" w:eastAsia="Palatino Linotype" w:hAnsi="Palatino Linotype" w:cs="Palatino Linotype"/>
          <w:b/>
          <w:sz w:val="22"/>
          <w:szCs w:val="22"/>
        </w:rPr>
        <w:t>b) Razones o motivos de inconformidad</w:t>
      </w:r>
      <w:r w:rsidRPr="00D915C3">
        <w:rPr>
          <w:rFonts w:ascii="Palatino Linotype" w:eastAsia="Palatino Linotype" w:hAnsi="Palatino Linotype" w:cs="Palatino Linotype"/>
          <w:sz w:val="22"/>
          <w:szCs w:val="22"/>
        </w:rPr>
        <w:t xml:space="preserve">: </w:t>
      </w:r>
      <w:r w:rsidRPr="00D915C3">
        <w:rPr>
          <w:rFonts w:ascii="Palatino Linotype" w:eastAsia="Palatino Linotype" w:hAnsi="Palatino Linotype" w:cs="Palatino Linotype"/>
          <w:i/>
          <w:sz w:val="22"/>
          <w:szCs w:val="22"/>
        </w:rPr>
        <w:t>“En la calle señalada se llevan a cabo obras y está cerrado a la ciudadanía en general, el responsable del tema de obras en espacios del municipio, se supone, es esta área, por ello no hay razón para no dar la información, en caso de que, pese a que es su responsabilidad no tengan idea, deberían (por Ley) declarar la inexistencia oficialmente.” (Sic)</w:t>
      </w:r>
    </w:p>
    <w:p w14:paraId="78A3937E" w14:textId="77777777" w:rsidR="00D05B6C" w:rsidRPr="00D915C3" w:rsidRDefault="00D05B6C">
      <w:pPr>
        <w:spacing w:line="276" w:lineRule="auto"/>
        <w:ind w:right="900"/>
        <w:jc w:val="both"/>
        <w:rPr>
          <w:rFonts w:ascii="Palatino Linotype" w:eastAsia="Palatino Linotype" w:hAnsi="Palatino Linotype" w:cs="Palatino Linotype"/>
          <w:i/>
          <w:sz w:val="22"/>
          <w:szCs w:val="22"/>
        </w:rPr>
      </w:pPr>
    </w:p>
    <w:p w14:paraId="365E4036" w14:textId="77777777" w:rsidR="00D05B6C" w:rsidRPr="00D915C3" w:rsidRDefault="002C1EE1">
      <w:pPr>
        <w:spacing w:line="360" w:lineRule="auto"/>
        <w:ind w:right="51"/>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b/>
          <w:sz w:val="22"/>
          <w:szCs w:val="22"/>
        </w:rPr>
        <w:t xml:space="preserve">7. Turno. </w:t>
      </w:r>
      <w:r w:rsidRPr="00D915C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w:t>
      </w:r>
      <w:r w:rsidRPr="00D915C3">
        <w:rPr>
          <w:rFonts w:ascii="Palatino Linotype" w:eastAsia="Palatino Linotype" w:hAnsi="Palatino Linotype" w:cs="Palatino Linotype"/>
          <w:sz w:val="22"/>
          <w:szCs w:val="22"/>
        </w:rPr>
        <w:lastRenderedPageBreak/>
        <w:t xml:space="preserve">revisión se turnó por el sistema electrónico del Instituto de Transparencia, Acceso a la Información Pública y Protección de Datos Personales del Estado de México y Municipios, a la Comisionada </w:t>
      </w:r>
      <w:r w:rsidRPr="00D915C3">
        <w:rPr>
          <w:rFonts w:ascii="Palatino Linotype" w:eastAsia="Palatino Linotype" w:hAnsi="Palatino Linotype" w:cs="Palatino Linotype"/>
          <w:b/>
          <w:sz w:val="22"/>
          <w:szCs w:val="22"/>
        </w:rPr>
        <w:t xml:space="preserve">Guadalupe Ramírez Peña, </w:t>
      </w:r>
      <w:r w:rsidRPr="00D915C3">
        <w:rPr>
          <w:rFonts w:ascii="Palatino Linotype" w:eastAsia="Palatino Linotype" w:hAnsi="Palatino Linotype" w:cs="Palatino Linotype"/>
          <w:sz w:val="22"/>
          <w:szCs w:val="22"/>
        </w:rPr>
        <w:t xml:space="preserve">a efecto de que analizara sobre su admisión o su </w:t>
      </w:r>
      <w:proofErr w:type="spellStart"/>
      <w:r w:rsidRPr="00D915C3">
        <w:rPr>
          <w:rFonts w:ascii="Palatino Linotype" w:eastAsia="Palatino Linotype" w:hAnsi="Palatino Linotype" w:cs="Palatino Linotype"/>
          <w:sz w:val="22"/>
          <w:szCs w:val="22"/>
        </w:rPr>
        <w:t>desechamiento</w:t>
      </w:r>
      <w:proofErr w:type="spellEnd"/>
      <w:r w:rsidRPr="00D915C3">
        <w:rPr>
          <w:rFonts w:ascii="Palatino Linotype" w:eastAsia="Palatino Linotype" w:hAnsi="Palatino Linotype" w:cs="Palatino Linotype"/>
          <w:sz w:val="22"/>
          <w:szCs w:val="22"/>
        </w:rPr>
        <w:t>.</w:t>
      </w:r>
    </w:p>
    <w:p w14:paraId="58D21FC6" w14:textId="77777777" w:rsidR="00D05B6C" w:rsidRPr="00D915C3" w:rsidRDefault="00D05B6C">
      <w:pPr>
        <w:spacing w:line="360" w:lineRule="auto"/>
        <w:ind w:right="51"/>
        <w:jc w:val="both"/>
        <w:rPr>
          <w:rFonts w:ascii="Palatino Linotype" w:eastAsia="Palatino Linotype" w:hAnsi="Palatino Linotype" w:cs="Palatino Linotype"/>
          <w:sz w:val="22"/>
          <w:szCs w:val="22"/>
        </w:rPr>
      </w:pPr>
    </w:p>
    <w:p w14:paraId="1019C5B3"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b/>
          <w:sz w:val="22"/>
          <w:szCs w:val="22"/>
        </w:rPr>
        <w:t>8. Admisión del Recurso de revisión.</w:t>
      </w:r>
      <w:r w:rsidRPr="00D915C3">
        <w:rPr>
          <w:rFonts w:ascii="Palatino Linotype" w:eastAsia="Palatino Linotype" w:hAnsi="Palatino Linotype" w:cs="Palatino Linotype"/>
          <w:sz w:val="22"/>
          <w:szCs w:val="22"/>
        </w:rPr>
        <w:t xml:space="preserve"> Mediante acuerdo del </w:t>
      </w:r>
      <w:r w:rsidRPr="00D915C3">
        <w:rPr>
          <w:rFonts w:ascii="Palatino Linotype" w:eastAsia="Palatino Linotype" w:hAnsi="Palatino Linotype" w:cs="Palatino Linotype"/>
          <w:b/>
          <w:sz w:val="22"/>
          <w:szCs w:val="22"/>
        </w:rPr>
        <w:t xml:space="preserve">dos de septiembre de dos mil veinticuatro, </w:t>
      </w:r>
      <w:r w:rsidRPr="00D915C3">
        <w:rPr>
          <w:rFonts w:ascii="Palatino Linotype" w:eastAsia="Palatino Linotype" w:hAnsi="Palatino Linotype" w:cs="Palatino Linotype"/>
          <w:sz w:val="22"/>
          <w:szCs w:val="22"/>
        </w:rPr>
        <w:t>notificado en esa misma fecha,</w:t>
      </w:r>
      <w:r w:rsidRPr="00D915C3">
        <w:rPr>
          <w:rFonts w:ascii="Palatino Linotype" w:eastAsia="Palatino Linotype" w:hAnsi="Palatino Linotype" w:cs="Palatino Linotype"/>
          <w:b/>
          <w:sz w:val="22"/>
          <w:szCs w:val="22"/>
        </w:rPr>
        <w:t xml:space="preserve"> </w:t>
      </w:r>
      <w:r w:rsidRPr="00D915C3">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915C3">
        <w:rPr>
          <w:rFonts w:ascii="Palatino Linotype" w:eastAsia="Palatino Linotype" w:hAnsi="Palatino Linotype" w:cs="Palatino Linotype"/>
          <w:b/>
          <w:sz w:val="22"/>
          <w:szCs w:val="22"/>
        </w:rPr>
        <w:t xml:space="preserve">Sujeto Obligado </w:t>
      </w:r>
      <w:r w:rsidRPr="00D915C3">
        <w:rPr>
          <w:rFonts w:ascii="Palatino Linotype" w:eastAsia="Palatino Linotype" w:hAnsi="Palatino Linotype" w:cs="Palatino Linotype"/>
          <w:sz w:val="22"/>
          <w:szCs w:val="22"/>
        </w:rPr>
        <w:t>presentara su informe justificado.</w:t>
      </w:r>
    </w:p>
    <w:p w14:paraId="47C2248A"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7E00AB07" w14:textId="77777777" w:rsidR="00D05B6C" w:rsidRPr="00D915C3" w:rsidRDefault="002C1EE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D915C3">
        <w:rPr>
          <w:rFonts w:ascii="Palatino Linotype" w:eastAsia="Palatino Linotype" w:hAnsi="Palatino Linotype" w:cs="Palatino Linotype"/>
          <w:b/>
          <w:sz w:val="22"/>
          <w:szCs w:val="22"/>
        </w:rPr>
        <w:t>9. Manifestaciones</w:t>
      </w:r>
      <w:r w:rsidRPr="00D915C3">
        <w:rPr>
          <w:rFonts w:ascii="Palatino Linotype" w:eastAsia="Palatino Linotype" w:hAnsi="Palatino Linotype" w:cs="Palatino Linotype"/>
          <w:sz w:val="22"/>
          <w:szCs w:val="22"/>
        </w:rPr>
        <w:t xml:space="preserve">. De las constancias que obran en el expediente electrónico </w:t>
      </w:r>
      <w:proofErr w:type="spellStart"/>
      <w:r w:rsidRPr="00D915C3">
        <w:rPr>
          <w:rFonts w:ascii="Palatino Linotype" w:eastAsia="Palatino Linotype" w:hAnsi="Palatino Linotype" w:cs="Palatino Linotype"/>
          <w:sz w:val="22"/>
          <w:szCs w:val="22"/>
        </w:rPr>
        <w:t>aperturado</w:t>
      </w:r>
      <w:proofErr w:type="spellEnd"/>
      <w:r w:rsidRPr="00D915C3">
        <w:rPr>
          <w:rFonts w:ascii="Palatino Linotype" w:eastAsia="Palatino Linotype" w:hAnsi="Palatino Linotype" w:cs="Palatino Linotype"/>
          <w:sz w:val="22"/>
          <w:szCs w:val="22"/>
        </w:rPr>
        <w:t xml:space="preserve"> con motivo del presente medio de impugnación, se advierte que el </w:t>
      </w:r>
      <w:r w:rsidRPr="00D915C3">
        <w:rPr>
          <w:rFonts w:ascii="Palatino Linotype" w:eastAsia="Palatino Linotype" w:hAnsi="Palatino Linotype" w:cs="Palatino Linotype"/>
          <w:b/>
          <w:sz w:val="22"/>
          <w:szCs w:val="22"/>
        </w:rPr>
        <w:t xml:space="preserve">Sujeto Obligado </w:t>
      </w:r>
      <w:r w:rsidRPr="00D915C3">
        <w:rPr>
          <w:rFonts w:ascii="Palatino Linotype" w:eastAsia="Palatino Linotype" w:hAnsi="Palatino Linotype" w:cs="Palatino Linotype"/>
          <w:sz w:val="22"/>
          <w:szCs w:val="22"/>
        </w:rPr>
        <w:t xml:space="preserve">en fechas </w:t>
      </w:r>
      <w:r w:rsidRPr="00D915C3">
        <w:rPr>
          <w:rFonts w:ascii="Palatino Linotype" w:eastAsia="Palatino Linotype" w:hAnsi="Palatino Linotype" w:cs="Palatino Linotype"/>
          <w:b/>
          <w:sz w:val="22"/>
          <w:szCs w:val="22"/>
        </w:rPr>
        <w:t xml:space="preserve">seis y trece de septiembre de dos mil veinticuatro </w:t>
      </w:r>
      <w:r w:rsidRPr="00D915C3">
        <w:rPr>
          <w:rFonts w:ascii="Palatino Linotype" w:eastAsia="Palatino Linotype" w:hAnsi="Palatino Linotype" w:cs="Palatino Linotype"/>
          <w:sz w:val="22"/>
          <w:szCs w:val="22"/>
        </w:rPr>
        <w:t>rindió informe justificado a través de los archivos electrónicos que contienen la información siguiente:</w:t>
      </w:r>
    </w:p>
    <w:p w14:paraId="7AAE3722" w14:textId="77777777" w:rsidR="00D05B6C" w:rsidRPr="00D915C3" w:rsidRDefault="00D05B6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885FC7B" w14:textId="77777777" w:rsidR="00D05B6C" w:rsidRPr="00D915C3" w:rsidRDefault="002C1EE1">
      <w:pPr>
        <w:numPr>
          <w:ilvl w:val="0"/>
          <w:numId w:val="7"/>
        </w:numPr>
        <w:pBdr>
          <w:top w:val="nil"/>
          <w:left w:val="nil"/>
          <w:bottom w:val="nil"/>
          <w:right w:val="nil"/>
          <w:between w:val="nil"/>
        </w:pBdr>
        <w:tabs>
          <w:tab w:val="left" w:pos="567"/>
        </w:tabs>
        <w:spacing w:line="276" w:lineRule="auto"/>
        <w:ind w:right="49"/>
        <w:jc w:val="both"/>
        <w:rPr>
          <w:rFonts w:ascii="Palatino Linotype" w:eastAsia="Palatino Linotype" w:hAnsi="Palatino Linotype" w:cs="Palatino Linotype"/>
          <w:b/>
          <w:i/>
          <w:sz w:val="22"/>
          <w:szCs w:val="22"/>
        </w:rPr>
      </w:pPr>
      <w:r w:rsidRPr="00D915C3">
        <w:rPr>
          <w:rFonts w:ascii="Palatino Linotype" w:eastAsia="Palatino Linotype" w:hAnsi="Palatino Linotype" w:cs="Palatino Linotype"/>
          <w:b/>
          <w:i/>
          <w:sz w:val="22"/>
          <w:szCs w:val="22"/>
        </w:rPr>
        <w:t xml:space="preserve">00522-SEGURIDAD PÚBLICA.pdf: </w:t>
      </w:r>
      <w:r w:rsidRPr="00D915C3">
        <w:rPr>
          <w:rFonts w:ascii="Palatino Linotype" w:eastAsia="Palatino Linotype" w:hAnsi="Palatino Linotype" w:cs="Palatino Linotype"/>
          <w:sz w:val="22"/>
          <w:szCs w:val="22"/>
        </w:rPr>
        <w:t xml:space="preserve">Oficio del tres de septiembre de dos mil veinticuatro, a través del cual el </w:t>
      </w:r>
      <w:proofErr w:type="gramStart"/>
      <w:r w:rsidRPr="00D915C3">
        <w:rPr>
          <w:rFonts w:ascii="Palatino Linotype" w:eastAsia="Palatino Linotype" w:hAnsi="Palatino Linotype" w:cs="Palatino Linotype"/>
          <w:sz w:val="22"/>
          <w:szCs w:val="22"/>
        </w:rPr>
        <w:t>Director</w:t>
      </w:r>
      <w:proofErr w:type="gramEnd"/>
      <w:r w:rsidRPr="00D915C3">
        <w:rPr>
          <w:rFonts w:ascii="Palatino Linotype" w:eastAsia="Palatino Linotype" w:hAnsi="Palatino Linotype" w:cs="Palatino Linotype"/>
          <w:sz w:val="22"/>
          <w:szCs w:val="22"/>
        </w:rPr>
        <w:t xml:space="preserve"> de Transparencia y Gobierno Abierto solicitó al Director de Seguridad Pública enviara la información que considerara para estar en posibilidad de remitir el informe justificado correspondiente.</w:t>
      </w:r>
    </w:p>
    <w:p w14:paraId="1733A82B" w14:textId="77777777" w:rsidR="00D05B6C" w:rsidRPr="00D915C3" w:rsidRDefault="00D05B6C">
      <w:pPr>
        <w:pBdr>
          <w:top w:val="nil"/>
          <w:left w:val="nil"/>
          <w:bottom w:val="nil"/>
          <w:right w:val="nil"/>
          <w:between w:val="nil"/>
        </w:pBdr>
        <w:tabs>
          <w:tab w:val="left" w:pos="567"/>
        </w:tabs>
        <w:spacing w:line="276" w:lineRule="auto"/>
        <w:ind w:left="360" w:right="49"/>
        <w:jc w:val="both"/>
        <w:rPr>
          <w:rFonts w:ascii="Palatino Linotype" w:eastAsia="Palatino Linotype" w:hAnsi="Palatino Linotype" w:cs="Palatino Linotype"/>
          <w:b/>
          <w:i/>
          <w:sz w:val="22"/>
          <w:szCs w:val="22"/>
        </w:rPr>
      </w:pPr>
    </w:p>
    <w:p w14:paraId="33C736EA" w14:textId="77777777" w:rsidR="00D05B6C" w:rsidRPr="00D915C3" w:rsidRDefault="002C1EE1">
      <w:pPr>
        <w:numPr>
          <w:ilvl w:val="0"/>
          <w:numId w:val="7"/>
        </w:numPr>
        <w:pBdr>
          <w:top w:val="nil"/>
          <w:left w:val="nil"/>
          <w:bottom w:val="nil"/>
          <w:right w:val="nil"/>
          <w:between w:val="nil"/>
        </w:pBdr>
        <w:tabs>
          <w:tab w:val="left" w:pos="567"/>
        </w:tabs>
        <w:spacing w:line="276" w:lineRule="auto"/>
        <w:ind w:right="49"/>
        <w:jc w:val="both"/>
        <w:rPr>
          <w:rFonts w:ascii="Palatino Linotype" w:eastAsia="Palatino Linotype" w:hAnsi="Palatino Linotype" w:cs="Palatino Linotype"/>
          <w:b/>
          <w:i/>
          <w:sz w:val="22"/>
          <w:szCs w:val="22"/>
        </w:rPr>
      </w:pPr>
      <w:r w:rsidRPr="00D915C3">
        <w:rPr>
          <w:rFonts w:ascii="Palatino Linotype" w:eastAsia="Palatino Linotype" w:hAnsi="Palatino Linotype" w:cs="Palatino Linotype"/>
          <w:b/>
          <w:i/>
          <w:sz w:val="22"/>
          <w:szCs w:val="22"/>
        </w:rPr>
        <w:t>00522.METEPEC.IP.2024 (2).</w:t>
      </w:r>
      <w:proofErr w:type="spellStart"/>
      <w:r w:rsidRPr="00D915C3">
        <w:rPr>
          <w:rFonts w:ascii="Palatino Linotype" w:eastAsia="Palatino Linotype" w:hAnsi="Palatino Linotype" w:cs="Palatino Linotype"/>
          <w:b/>
          <w:i/>
          <w:sz w:val="22"/>
          <w:szCs w:val="22"/>
        </w:rPr>
        <w:t>pdf</w:t>
      </w:r>
      <w:proofErr w:type="spellEnd"/>
      <w:r w:rsidRPr="00D915C3">
        <w:rPr>
          <w:rFonts w:ascii="Palatino Linotype" w:eastAsia="Palatino Linotype" w:hAnsi="Palatino Linotype" w:cs="Palatino Linotype"/>
          <w:b/>
          <w:i/>
          <w:sz w:val="22"/>
          <w:szCs w:val="22"/>
        </w:rPr>
        <w:t xml:space="preserve">: </w:t>
      </w:r>
      <w:r w:rsidRPr="00D915C3">
        <w:rPr>
          <w:rFonts w:ascii="Palatino Linotype" w:eastAsia="Palatino Linotype" w:hAnsi="Palatino Linotype" w:cs="Palatino Linotype"/>
          <w:sz w:val="22"/>
          <w:szCs w:val="22"/>
        </w:rPr>
        <w:t xml:space="preserve">Oficio del tres de septiembre de dos mil veinticuatro, a través del cual el </w:t>
      </w:r>
      <w:proofErr w:type="gramStart"/>
      <w:r w:rsidRPr="00D915C3">
        <w:rPr>
          <w:rFonts w:ascii="Palatino Linotype" w:eastAsia="Palatino Linotype" w:hAnsi="Palatino Linotype" w:cs="Palatino Linotype"/>
          <w:sz w:val="22"/>
          <w:szCs w:val="22"/>
        </w:rPr>
        <w:t>Director</w:t>
      </w:r>
      <w:proofErr w:type="gramEnd"/>
      <w:r w:rsidRPr="00D915C3">
        <w:rPr>
          <w:rFonts w:ascii="Palatino Linotype" w:eastAsia="Palatino Linotype" w:hAnsi="Palatino Linotype" w:cs="Palatino Linotype"/>
          <w:sz w:val="22"/>
          <w:szCs w:val="22"/>
        </w:rPr>
        <w:t xml:space="preserve"> de Seguridad Pública informa que con relación a la solicitud de información, procedió a realizar una búsqueda exhaustiva y razonable en los archivos de esa Dirección; y, atendiendo ello, informa que el tramo de Calle Paseo del Agricultor al que se hace referencia en la solicitud se encuentra cerrado por obras de construcción de un paso a desnivel.</w:t>
      </w:r>
    </w:p>
    <w:p w14:paraId="7C9278CF" w14:textId="77777777" w:rsidR="00D05B6C" w:rsidRPr="00D915C3" w:rsidRDefault="00D05B6C">
      <w:pPr>
        <w:pBdr>
          <w:top w:val="nil"/>
          <w:left w:val="nil"/>
          <w:bottom w:val="nil"/>
          <w:right w:val="nil"/>
          <w:between w:val="nil"/>
        </w:pBdr>
        <w:tabs>
          <w:tab w:val="left" w:pos="567"/>
        </w:tabs>
        <w:spacing w:line="276" w:lineRule="auto"/>
        <w:ind w:left="567" w:right="49"/>
        <w:jc w:val="both"/>
        <w:rPr>
          <w:rFonts w:ascii="Palatino Linotype" w:eastAsia="Palatino Linotype" w:hAnsi="Palatino Linotype" w:cs="Palatino Linotype"/>
          <w:sz w:val="22"/>
          <w:szCs w:val="22"/>
        </w:rPr>
      </w:pPr>
    </w:p>
    <w:p w14:paraId="1A319A2F" w14:textId="77777777" w:rsidR="00D05B6C" w:rsidRPr="00D915C3" w:rsidRDefault="002C1EE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Documentos los anteriores, que fueron puestos a la vista de la parte </w:t>
      </w:r>
      <w:r w:rsidRPr="00D915C3">
        <w:rPr>
          <w:rFonts w:ascii="Palatino Linotype" w:eastAsia="Palatino Linotype" w:hAnsi="Palatino Linotype" w:cs="Palatino Linotype"/>
          <w:b/>
          <w:sz w:val="22"/>
          <w:szCs w:val="22"/>
        </w:rPr>
        <w:t xml:space="preserve">Recurrente </w:t>
      </w:r>
      <w:r w:rsidRPr="00D915C3">
        <w:rPr>
          <w:rFonts w:ascii="Palatino Linotype" w:eastAsia="Palatino Linotype" w:hAnsi="Palatino Linotype" w:cs="Palatino Linotype"/>
          <w:sz w:val="22"/>
          <w:szCs w:val="22"/>
        </w:rPr>
        <w:t xml:space="preserve">a fin de que hiciera valer manifestaciones o rindiera alegatos que conforme a derecho resultaran convenientes; no </w:t>
      </w:r>
      <w:proofErr w:type="gramStart"/>
      <w:r w:rsidRPr="00D915C3">
        <w:rPr>
          <w:rFonts w:ascii="Palatino Linotype" w:eastAsia="Palatino Linotype" w:hAnsi="Palatino Linotype" w:cs="Palatino Linotype"/>
          <w:sz w:val="22"/>
          <w:szCs w:val="22"/>
        </w:rPr>
        <w:t>obstante</w:t>
      </w:r>
      <w:proofErr w:type="gramEnd"/>
      <w:r w:rsidRPr="00D915C3">
        <w:rPr>
          <w:rFonts w:ascii="Palatino Linotype" w:eastAsia="Palatino Linotype" w:hAnsi="Palatino Linotype" w:cs="Palatino Linotype"/>
          <w:sz w:val="22"/>
          <w:szCs w:val="22"/>
        </w:rPr>
        <w:t xml:space="preserve"> fue omisa en ejercer dicha prerrogativa.</w:t>
      </w:r>
    </w:p>
    <w:p w14:paraId="7BF4AFA6" w14:textId="77777777" w:rsidR="00D05B6C" w:rsidRPr="00D915C3" w:rsidRDefault="00D05B6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5036472" w14:textId="77777777" w:rsidR="00D05B6C" w:rsidRPr="00D915C3" w:rsidRDefault="002C1EE1">
      <w:pPr>
        <w:tabs>
          <w:tab w:val="left" w:pos="360"/>
        </w:tabs>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b/>
          <w:sz w:val="22"/>
          <w:szCs w:val="22"/>
        </w:rPr>
        <w:t xml:space="preserve">10. Cierre de instrucción. </w:t>
      </w:r>
      <w:r w:rsidRPr="00D915C3">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D915C3">
        <w:rPr>
          <w:rFonts w:ascii="Palatino Linotype" w:eastAsia="Palatino Linotype" w:hAnsi="Palatino Linotype" w:cs="Palatino Linotype"/>
          <w:b/>
          <w:sz w:val="22"/>
          <w:szCs w:val="22"/>
        </w:rPr>
        <w:t>ocho de octubre de dos mil veinticuatro,</w:t>
      </w:r>
      <w:r w:rsidRPr="00D915C3">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E314E0C" w14:textId="77777777" w:rsidR="00D05B6C" w:rsidRPr="00D915C3" w:rsidRDefault="00D05B6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48BD3BC" w14:textId="77777777" w:rsidR="00D05B6C" w:rsidRPr="00D915C3" w:rsidRDefault="002C1EE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6346C809" w14:textId="77777777" w:rsidR="00D05B6C" w:rsidRPr="00D915C3" w:rsidRDefault="00D05B6C">
      <w:pPr>
        <w:pBdr>
          <w:top w:val="nil"/>
          <w:left w:val="nil"/>
          <w:bottom w:val="nil"/>
          <w:right w:val="nil"/>
          <w:between w:val="nil"/>
        </w:pBdr>
        <w:tabs>
          <w:tab w:val="left" w:pos="284"/>
        </w:tabs>
        <w:spacing w:line="360" w:lineRule="auto"/>
        <w:ind w:right="49"/>
        <w:rPr>
          <w:rFonts w:ascii="Palatino Linotype" w:eastAsia="Palatino Linotype" w:hAnsi="Palatino Linotype" w:cs="Palatino Linotype"/>
          <w:sz w:val="22"/>
          <w:szCs w:val="22"/>
        </w:rPr>
      </w:pPr>
    </w:p>
    <w:p w14:paraId="2D74DAF6" w14:textId="77777777" w:rsidR="00D05B6C" w:rsidRPr="00D915C3" w:rsidRDefault="002C1EE1">
      <w:pPr>
        <w:widowControl w:val="0"/>
        <w:spacing w:before="240" w:after="240" w:line="360" w:lineRule="auto"/>
        <w:jc w:val="center"/>
        <w:rPr>
          <w:rFonts w:ascii="Palatino Linotype" w:eastAsia="Palatino Linotype" w:hAnsi="Palatino Linotype" w:cs="Palatino Linotype"/>
          <w:b/>
          <w:sz w:val="22"/>
          <w:szCs w:val="22"/>
        </w:rPr>
      </w:pPr>
      <w:r w:rsidRPr="00D915C3">
        <w:rPr>
          <w:rFonts w:ascii="Palatino Linotype" w:eastAsia="Palatino Linotype" w:hAnsi="Palatino Linotype" w:cs="Palatino Linotype"/>
          <w:b/>
          <w:sz w:val="22"/>
          <w:szCs w:val="22"/>
        </w:rPr>
        <w:t>II. C O N S I D E R A N D O S</w:t>
      </w:r>
    </w:p>
    <w:p w14:paraId="7700D319" w14:textId="77777777" w:rsidR="00D05B6C" w:rsidRPr="00D915C3" w:rsidRDefault="002C1EE1">
      <w:pPr>
        <w:spacing w:line="360" w:lineRule="auto"/>
        <w:jc w:val="both"/>
        <w:rPr>
          <w:rFonts w:ascii="Palatino Linotype" w:eastAsia="Palatino Linotype" w:hAnsi="Palatino Linotype" w:cs="Palatino Linotype"/>
          <w:sz w:val="22"/>
          <w:szCs w:val="22"/>
        </w:rPr>
      </w:pPr>
      <w:bookmarkStart w:id="5" w:name="_heading=h.17dp8vu" w:colFirst="0" w:colLast="0"/>
      <w:bookmarkEnd w:id="5"/>
      <w:r w:rsidRPr="00D915C3">
        <w:rPr>
          <w:rFonts w:ascii="Palatino Linotype" w:eastAsia="Palatino Linotype" w:hAnsi="Palatino Linotype" w:cs="Palatino Linotype"/>
          <w:b/>
          <w:sz w:val="22"/>
          <w:szCs w:val="22"/>
        </w:rPr>
        <w:t>Primero. Competencia.</w:t>
      </w:r>
      <w:r w:rsidRPr="00D915C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5AF6E13"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661EC2D0" w14:textId="77777777" w:rsidR="00D05B6C" w:rsidRPr="00D915C3" w:rsidRDefault="002C1EE1">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D915C3">
        <w:rPr>
          <w:rFonts w:ascii="Palatino Linotype" w:eastAsia="Palatino Linotype" w:hAnsi="Palatino Linotype" w:cs="Palatino Linotype"/>
          <w:b/>
          <w:sz w:val="22"/>
          <w:szCs w:val="22"/>
        </w:rPr>
        <w:t>Segundo. Oportunidad y Procedibilidad del Recurso de Revisión</w:t>
      </w:r>
      <w:r w:rsidRPr="00D915C3">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524A5C4"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29F821E0"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D915C3">
        <w:rPr>
          <w:rFonts w:ascii="Palatino Linotype" w:eastAsia="Palatino Linotype" w:hAnsi="Palatino Linotype" w:cs="Palatino Linotype"/>
          <w:b/>
          <w:sz w:val="22"/>
          <w:szCs w:val="22"/>
        </w:rPr>
        <w:t xml:space="preserve">Sujeto Obligado </w:t>
      </w:r>
      <w:r w:rsidRPr="00D915C3">
        <w:rPr>
          <w:rFonts w:ascii="Palatino Linotype" w:eastAsia="Palatino Linotype" w:hAnsi="Palatino Linotype" w:cs="Palatino Linotype"/>
          <w:sz w:val="22"/>
          <w:szCs w:val="22"/>
        </w:rPr>
        <w:t xml:space="preserve">remitió la respuesta a la solicitud de información el </w:t>
      </w:r>
      <w:r w:rsidRPr="00D915C3">
        <w:rPr>
          <w:rFonts w:ascii="Palatino Linotype" w:eastAsia="Palatino Linotype" w:hAnsi="Palatino Linotype" w:cs="Palatino Linotype"/>
          <w:b/>
          <w:sz w:val="22"/>
          <w:szCs w:val="22"/>
        </w:rPr>
        <w:t xml:space="preserve">veintiséis de agosto de dos mil veinticuatro, </w:t>
      </w:r>
      <w:r w:rsidRPr="00D915C3">
        <w:rPr>
          <w:rFonts w:ascii="Palatino Linotype" w:eastAsia="Palatino Linotype" w:hAnsi="Palatino Linotype" w:cs="Palatino Linotype"/>
          <w:sz w:val="22"/>
          <w:szCs w:val="22"/>
        </w:rPr>
        <w:t xml:space="preserve">mientras que el recurso de revisión interpuesto por </w:t>
      </w:r>
      <w:r w:rsidRPr="00D915C3">
        <w:rPr>
          <w:rFonts w:ascii="Palatino Linotype" w:eastAsia="Palatino Linotype" w:hAnsi="Palatino Linotype" w:cs="Palatino Linotype"/>
          <w:b/>
          <w:sz w:val="22"/>
          <w:szCs w:val="22"/>
        </w:rPr>
        <w:t>la parte</w:t>
      </w:r>
      <w:r w:rsidRPr="00D915C3">
        <w:rPr>
          <w:rFonts w:ascii="Palatino Linotype" w:eastAsia="Palatino Linotype" w:hAnsi="Palatino Linotype" w:cs="Palatino Linotype"/>
          <w:sz w:val="22"/>
          <w:szCs w:val="22"/>
        </w:rPr>
        <w:t xml:space="preserve"> </w:t>
      </w:r>
      <w:r w:rsidRPr="00D915C3">
        <w:rPr>
          <w:rFonts w:ascii="Palatino Linotype" w:eastAsia="Palatino Linotype" w:hAnsi="Palatino Linotype" w:cs="Palatino Linotype"/>
          <w:b/>
          <w:sz w:val="22"/>
          <w:szCs w:val="22"/>
        </w:rPr>
        <w:t>Recurrente</w:t>
      </w:r>
      <w:r w:rsidRPr="00D915C3">
        <w:rPr>
          <w:rFonts w:ascii="Palatino Linotype" w:eastAsia="Palatino Linotype" w:hAnsi="Palatino Linotype" w:cs="Palatino Linotype"/>
          <w:sz w:val="22"/>
          <w:szCs w:val="22"/>
        </w:rPr>
        <w:t xml:space="preserve">, se tuvo por presentado el </w:t>
      </w:r>
      <w:r w:rsidRPr="00D915C3">
        <w:rPr>
          <w:rFonts w:ascii="Palatino Linotype" w:eastAsia="Palatino Linotype" w:hAnsi="Palatino Linotype" w:cs="Palatino Linotype"/>
          <w:b/>
          <w:sz w:val="22"/>
          <w:szCs w:val="22"/>
        </w:rPr>
        <w:t xml:space="preserve">veintiocho de agosto de dos mil veinticuatro, </w:t>
      </w:r>
      <w:r w:rsidRPr="00D915C3">
        <w:rPr>
          <w:rFonts w:ascii="Palatino Linotype" w:eastAsia="Palatino Linotype" w:hAnsi="Palatino Linotype" w:cs="Palatino Linotype"/>
          <w:sz w:val="22"/>
          <w:szCs w:val="22"/>
        </w:rPr>
        <w:t xml:space="preserve">esto es, al segundo día hábil siguiente a aquel en </w:t>
      </w:r>
      <w:r w:rsidRPr="00D915C3">
        <w:rPr>
          <w:rFonts w:ascii="Palatino Linotype" w:eastAsia="Palatino Linotype" w:hAnsi="Palatino Linotype" w:cs="Palatino Linotype"/>
          <w:b/>
          <w:sz w:val="22"/>
          <w:szCs w:val="22"/>
        </w:rPr>
        <w:t>que se tuvo conocimiento de la respuesta impugnada</w:t>
      </w:r>
      <w:r w:rsidRPr="00D915C3">
        <w:rPr>
          <w:rFonts w:ascii="Palatino Linotype" w:eastAsia="Palatino Linotype" w:hAnsi="Palatino Linotype" w:cs="Palatino Linotype"/>
          <w:sz w:val="22"/>
          <w:szCs w:val="22"/>
        </w:rPr>
        <w:t xml:space="preserve">. </w:t>
      </w:r>
    </w:p>
    <w:p w14:paraId="2F3867C4"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21F1986E"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4C717FB7"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393D5B75" w14:textId="77777777" w:rsidR="00D05B6C" w:rsidRPr="00D915C3" w:rsidRDefault="002C1EE1">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D915C3">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1EA7864" w14:textId="77777777" w:rsidR="00D05B6C" w:rsidRPr="00D915C3" w:rsidRDefault="00D05B6C">
      <w:pPr>
        <w:tabs>
          <w:tab w:val="left" w:pos="7938"/>
        </w:tabs>
        <w:spacing w:line="360" w:lineRule="auto"/>
        <w:jc w:val="both"/>
        <w:rPr>
          <w:rFonts w:ascii="Palatino Linotype" w:eastAsia="Palatino Linotype" w:hAnsi="Palatino Linotype" w:cs="Palatino Linotype"/>
          <w:sz w:val="22"/>
          <w:szCs w:val="22"/>
        </w:rPr>
      </w:pPr>
    </w:p>
    <w:p w14:paraId="1B19427D"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Por otro lado, es de suma importancia mencionar que, si bien la parte</w:t>
      </w:r>
      <w:r w:rsidRPr="00D915C3">
        <w:rPr>
          <w:rFonts w:ascii="Palatino Linotype" w:eastAsia="Palatino Linotype" w:hAnsi="Palatino Linotype" w:cs="Palatino Linotype"/>
          <w:b/>
          <w:sz w:val="22"/>
          <w:szCs w:val="22"/>
        </w:rPr>
        <w:t xml:space="preserve"> Recurrente</w:t>
      </w:r>
      <w:r w:rsidRPr="00D915C3">
        <w:rPr>
          <w:rFonts w:ascii="Palatino Linotype" w:eastAsia="Palatino Linotype" w:hAnsi="Palatino Linotype" w:cs="Palatino Linotype"/>
          <w:sz w:val="22"/>
          <w:szCs w:val="22"/>
        </w:rPr>
        <w:t xml:space="preserve"> </w:t>
      </w:r>
      <w:r w:rsidRPr="00D915C3">
        <w:rPr>
          <w:rFonts w:ascii="Palatino Linotype" w:eastAsia="Palatino Linotype" w:hAnsi="Palatino Linotype" w:cs="Palatino Linotype"/>
          <w:b/>
          <w:sz w:val="22"/>
          <w:szCs w:val="22"/>
        </w:rPr>
        <w:t>no</w:t>
      </w:r>
      <w:r w:rsidRPr="00D915C3">
        <w:rPr>
          <w:rFonts w:ascii="Palatino Linotype" w:eastAsia="Palatino Linotype" w:hAnsi="Palatino Linotype" w:cs="Palatino Linotype"/>
          <w:sz w:val="22"/>
          <w:szCs w:val="22"/>
        </w:rPr>
        <w:t xml:space="preserve"> </w:t>
      </w:r>
      <w:r w:rsidRPr="00D915C3">
        <w:rPr>
          <w:rFonts w:ascii="Palatino Linotype" w:eastAsia="Palatino Linotype" w:hAnsi="Palatino Linotype" w:cs="Palatino Linotype"/>
          <w:b/>
          <w:sz w:val="22"/>
          <w:szCs w:val="22"/>
        </w:rPr>
        <w:t>proporcionó nombre</w:t>
      </w:r>
      <w:r w:rsidRPr="00D915C3">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w:t>
      </w:r>
      <w:r w:rsidRPr="00D915C3">
        <w:rPr>
          <w:rFonts w:ascii="Palatino Linotype" w:eastAsia="Palatino Linotype" w:hAnsi="Palatino Linotype" w:cs="Palatino Linotype"/>
          <w:sz w:val="22"/>
          <w:szCs w:val="22"/>
        </w:rPr>
        <w:lastRenderedPageBreak/>
        <w:t>párrafo de la Ley de Transparencia y Acceso a la Información Pública del Estado de México y Municipios que establece lo siguiente:</w:t>
      </w:r>
    </w:p>
    <w:p w14:paraId="331864B2"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49DBBC62" w14:textId="77777777" w:rsidR="00D05B6C" w:rsidRPr="00D915C3" w:rsidRDefault="002C1EE1">
      <w:pPr>
        <w:spacing w:line="276" w:lineRule="auto"/>
        <w:ind w:left="851" w:right="902"/>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i/>
          <w:sz w:val="22"/>
          <w:szCs w:val="22"/>
        </w:rPr>
        <w:t>"</w:t>
      </w:r>
      <w:r w:rsidRPr="00D915C3">
        <w:rPr>
          <w:rFonts w:ascii="Palatino Linotype" w:eastAsia="Palatino Linotype" w:hAnsi="Palatino Linotype" w:cs="Palatino Linotype"/>
          <w:b/>
          <w:i/>
          <w:sz w:val="22"/>
          <w:szCs w:val="22"/>
        </w:rPr>
        <w:t>Las solicitudes anónimas</w:t>
      </w:r>
      <w:r w:rsidRPr="00D915C3">
        <w:rPr>
          <w:rFonts w:ascii="Palatino Linotype" w:eastAsia="Palatino Linotype" w:hAnsi="Palatino Linotype" w:cs="Palatino Linotype"/>
          <w:i/>
          <w:sz w:val="22"/>
          <w:szCs w:val="22"/>
        </w:rPr>
        <w:t>, con nombre incompleto o seudónimo</w:t>
      </w:r>
      <w:r w:rsidRPr="00D915C3">
        <w:rPr>
          <w:rFonts w:ascii="Palatino Linotype" w:eastAsia="Palatino Linotype" w:hAnsi="Palatino Linotype" w:cs="Palatino Linotype"/>
          <w:b/>
          <w:i/>
          <w:sz w:val="22"/>
          <w:szCs w:val="22"/>
        </w:rPr>
        <w:t> serán procedentes para su trámite por parte del sujeto obligado ante quien se presente</w:t>
      </w:r>
      <w:r w:rsidRPr="00D915C3">
        <w:rPr>
          <w:rFonts w:ascii="Palatino Linotype" w:eastAsia="Palatino Linotype" w:hAnsi="Palatino Linotype" w:cs="Palatino Linotype"/>
          <w:i/>
          <w:sz w:val="22"/>
          <w:szCs w:val="22"/>
        </w:rPr>
        <w:t>. No podrá requerirse información adicional con motivo del nombre proporcionado por el solicitante."</w:t>
      </w:r>
    </w:p>
    <w:p w14:paraId="0DD6CC87" w14:textId="77777777" w:rsidR="00D05B6C" w:rsidRPr="00D915C3" w:rsidRDefault="00D05B6C">
      <w:pPr>
        <w:tabs>
          <w:tab w:val="left" w:pos="7938"/>
        </w:tabs>
        <w:spacing w:line="360" w:lineRule="auto"/>
        <w:jc w:val="both"/>
        <w:rPr>
          <w:rFonts w:ascii="Palatino Linotype" w:eastAsia="Palatino Linotype" w:hAnsi="Palatino Linotype" w:cs="Palatino Linotype"/>
          <w:sz w:val="22"/>
          <w:szCs w:val="22"/>
        </w:rPr>
      </w:pPr>
    </w:p>
    <w:p w14:paraId="0471111E"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Finalmente, se advierte que resulta procedente la interposición del recurso, según lo manifestado por </w:t>
      </w:r>
      <w:r w:rsidRPr="00D915C3">
        <w:rPr>
          <w:rFonts w:ascii="Palatino Linotype" w:eastAsia="Palatino Linotype" w:hAnsi="Palatino Linotype" w:cs="Palatino Linotype"/>
          <w:b/>
          <w:sz w:val="22"/>
          <w:szCs w:val="22"/>
        </w:rPr>
        <w:t>la parte</w:t>
      </w:r>
      <w:r w:rsidRPr="00D915C3">
        <w:rPr>
          <w:rFonts w:ascii="Palatino Linotype" w:eastAsia="Palatino Linotype" w:hAnsi="Palatino Linotype" w:cs="Palatino Linotype"/>
          <w:sz w:val="22"/>
          <w:szCs w:val="22"/>
        </w:rPr>
        <w:t xml:space="preserve"> </w:t>
      </w:r>
      <w:r w:rsidRPr="00D915C3">
        <w:rPr>
          <w:rFonts w:ascii="Palatino Linotype" w:eastAsia="Palatino Linotype" w:hAnsi="Palatino Linotype" w:cs="Palatino Linotype"/>
          <w:b/>
          <w:sz w:val="22"/>
          <w:szCs w:val="22"/>
        </w:rPr>
        <w:t>Recurrente</w:t>
      </w:r>
      <w:r w:rsidRPr="00D915C3">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00AA569D"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21C966AE" w14:textId="77777777" w:rsidR="00D05B6C" w:rsidRPr="00D915C3" w:rsidRDefault="002C1EE1">
      <w:pPr>
        <w:ind w:left="567" w:right="902"/>
        <w:jc w:val="both"/>
        <w:rPr>
          <w:rFonts w:ascii="Palatino Linotype" w:eastAsia="Palatino Linotype" w:hAnsi="Palatino Linotype" w:cs="Palatino Linotype"/>
          <w:i/>
          <w:sz w:val="22"/>
          <w:szCs w:val="22"/>
        </w:rPr>
      </w:pPr>
      <w:r w:rsidRPr="00D915C3">
        <w:rPr>
          <w:rFonts w:ascii="Palatino Linotype" w:eastAsia="Palatino Linotype" w:hAnsi="Palatino Linotype" w:cs="Palatino Linotype"/>
          <w:i/>
          <w:sz w:val="22"/>
          <w:szCs w:val="22"/>
        </w:rPr>
        <w:t>“</w:t>
      </w:r>
      <w:r w:rsidRPr="00D915C3">
        <w:rPr>
          <w:rFonts w:ascii="Palatino Linotype" w:eastAsia="Palatino Linotype" w:hAnsi="Palatino Linotype" w:cs="Palatino Linotype"/>
          <w:b/>
          <w:i/>
          <w:sz w:val="22"/>
          <w:szCs w:val="22"/>
        </w:rPr>
        <w:t>Artículo 179.</w:t>
      </w:r>
      <w:r w:rsidRPr="00D915C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674EA0B" w14:textId="77777777" w:rsidR="00D05B6C" w:rsidRPr="00D915C3" w:rsidRDefault="002C1EE1">
      <w:pPr>
        <w:ind w:left="567" w:right="902"/>
        <w:jc w:val="both"/>
        <w:rPr>
          <w:rFonts w:ascii="Palatino Linotype" w:eastAsia="Palatino Linotype" w:hAnsi="Palatino Linotype" w:cs="Palatino Linotype"/>
          <w:i/>
          <w:sz w:val="22"/>
          <w:szCs w:val="22"/>
        </w:rPr>
      </w:pPr>
      <w:r w:rsidRPr="00D915C3">
        <w:rPr>
          <w:rFonts w:ascii="Palatino Linotype" w:eastAsia="Palatino Linotype" w:hAnsi="Palatino Linotype" w:cs="Palatino Linotype"/>
          <w:i/>
          <w:sz w:val="22"/>
          <w:szCs w:val="22"/>
        </w:rPr>
        <w:t>[…]</w:t>
      </w:r>
    </w:p>
    <w:p w14:paraId="0E437C42" w14:textId="77777777" w:rsidR="00D05B6C" w:rsidRPr="00D915C3" w:rsidRDefault="002C1EE1">
      <w:pPr>
        <w:ind w:left="567"/>
        <w:rPr>
          <w:rFonts w:ascii="Palatino Linotype" w:eastAsia="Palatino Linotype" w:hAnsi="Palatino Linotype" w:cs="Palatino Linotype"/>
          <w:i/>
          <w:sz w:val="22"/>
          <w:szCs w:val="22"/>
        </w:rPr>
      </w:pPr>
      <w:r w:rsidRPr="00D915C3">
        <w:rPr>
          <w:rFonts w:ascii="Palatino Linotype" w:eastAsia="Palatino Linotype" w:hAnsi="Palatino Linotype" w:cs="Palatino Linotype"/>
          <w:b/>
          <w:i/>
          <w:sz w:val="22"/>
          <w:szCs w:val="22"/>
        </w:rPr>
        <w:t>I. La negativa a la información solicitada;”</w:t>
      </w:r>
    </w:p>
    <w:p w14:paraId="4E029A16" w14:textId="77777777" w:rsidR="00D05B6C" w:rsidRPr="00D915C3" w:rsidRDefault="00D05B6C">
      <w:pPr>
        <w:ind w:left="567"/>
        <w:rPr>
          <w:rFonts w:ascii="Palatino Linotype" w:eastAsia="Palatino Linotype" w:hAnsi="Palatino Linotype" w:cs="Palatino Linotype"/>
          <w:b/>
          <w:i/>
          <w:sz w:val="22"/>
          <w:szCs w:val="22"/>
        </w:rPr>
      </w:pPr>
    </w:p>
    <w:p w14:paraId="54DE1AFA" w14:textId="77777777" w:rsidR="00D05B6C" w:rsidRPr="00D915C3" w:rsidRDefault="002C1EE1">
      <w:pPr>
        <w:ind w:left="567"/>
        <w:jc w:val="right"/>
        <w:rPr>
          <w:rFonts w:ascii="Palatino Linotype" w:eastAsia="Palatino Linotype" w:hAnsi="Palatino Linotype" w:cs="Palatino Linotype"/>
          <w:b/>
          <w:i/>
          <w:sz w:val="22"/>
          <w:szCs w:val="22"/>
        </w:rPr>
      </w:pPr>
      <w:r w:rsidRPr="00D915C3">
        <w:rPr>
          <w:rFonts w:ascii="Palatino Linotype" w:eastAsia="Palatino Linotype" w:hAnsi="Palatino Linotype" w:cs="Palatino Linotype"/>
          <w:b/>
          <w:i/>
          <w:sz w:val="22"/>
          <w:szCs w:val="22"/>
        </w:rPr>
        <w:t xml:space="preserve"> </w:t>
      </w:r>
      <w:r w:rsidRPr="00D915C3">
        <w:rPr>
          <w:rFonts w:ascii="Palatino Linotype" w:eastAsia="Palatino Linotype" w:hAnsi="Palatino Linotype" w:cs="Palatino Linotype"/>
          <w:i/>
          <w:sz w:val="22"/>
          <w:szCs w:val="22"/>
        </w:rPr>
        <w:t>(Énfasis añadido)</w:t>
      </w:r>
    </w:p>
    <w:p w14:paraId="67BDD29E" w14:textId="77777777" w:rsidR="00D05B6C" w:rsidRPr="00D915C3" w:rsidRDefault="00D05B6C">
      <w:pPr>
        <w:spacing w:line="360" w:lineRule="auto"/>
        <w:jc w:val="both"/>
        <w:rPr>
          <w:rFonts w:ascii="Palatino Linotype" w:eastAsia="Palatino Linotype" w:hAnsi="Palatino Linotype" w:cs="Palatino Linotype"/>
          <w:b/>
          <w:sz w:val="22"/>
          <w:szCs w:val="22"/>
        </w:rPr>
      </w:pPr>
    </w:p>
    <w:p w14:paraId="7845E384"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b/>
          <w:sz w:val="22"/>
          <w:szCs w:val="22"/>
        </w:rPr>
        <w:t>Tercero. Análisis de las causales de improcedencia y sobreseimiento del recurso de revisión.</w:t>
      </w:r>
      <w:r w:rsidRPr="00D915C3">
        <w:rPr>
          <w:rFonts w:ascii="Palatino Linotype" w:eastAsia="Palatino Linotype" w:hAnsi="Palatino Linotype" w:cs="Palatino Linotype"/>
          <w:sz w:val="22"/>
          <w:szCs w:val="22"/>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C364347"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38BFCC3E"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Siendo una facultad legal entrar al estudio de las causas de improcedencia que hagan valer las partes o que se adviertan de oficio por este Instituto; presupuestos procesales de inicio o </w:t>
      </w:r>
      <w:r w:rsidRPr="00D915C3">
        <w:rPr>
          <w:rFonts w:ascii="Palatino Linotype" w:eastAsia="Palatino Linotype" w:hAnsi="Palatino Linotype" w:cs="Palatino Linotype"/>
          <w:sz w:val="22"/>
          <w:szCs w:val="22"/>
        </w:rPr>
        <w:lastRenderedPageBreak/>
        <w:t>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310B2B02"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147DC651" w14:textId="77777777" w:rsidR="00D05B6C" w:rsidRPr="00D915C3" w:rsidRDefault="002C1EE1">
      <w:pPr>
        <w:spacing w:line="360" w:lineRule="auto"/>
        <w:ind w:right="51"/>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De manera preliminar en el caso concreto conviene analizar si se actualiza alguna de las causales de sobreseimiento del recurso de revisión.</w:t>
      </w:r>
    </w:p>
    <w:p w14:paraId="382DDC0E" w14:textId="77777777" w:rsidR="00D05B6C" w:rsidRPr="00D915C3" w:rsidRDefault="00D05B6C">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25FDBA1" w14:textId="77777777" w:rsidR="00D05B6C" w:rsidRPr="00D915C3" w:rsidRDefault="002C1EE1">
      <w:pPr>
        <w:spacing w:line="360" w:lineRule="auto"/>
        <w:jc w:val="both"/>
        <w:rPr>
          <w:rFonts w:ascii="Palatino Linotype" w:eastAsia="Palatino Linotype" w:hAnsi="Palatino Linotype" w:cs="Palatino Linotype"/>
          <w:b/>
          <w:sz w:val="22"/>
          <w:szCs w:val="22"/>
        </w:rPr>
      </w:pPr>
      <w:bookmarkStart w:id="8" w:name="_heading=h.1y810tw" w:colFirst="0" w:colLast="0"/>
      <w:bookmarkEnd w:id="8"/>
      <w:r w:rsidRPr="00D915C3">
        <w:rPr>
          <w:rFonts w:ascii="Palatino Linotype" w:eastAsia="Palatino Linotype" w:hAnsi="Palatino Linotype" w:cs="Palatino Linotype"/>
          <w:sz w:val="22"/>
          <w:szCs w:val="22"/>
        </w:rPr>
        <w:t xml:space="preserve">Para ello, conviene iniciar el presente estudio señalando que del análisis a la solicitud de información como al desahogo de la aclaración, se advierte que la persona solicitante requirió del </w:t>
      </w:r>
      <w:r w:rsidRPr="00D915C3">
        <w:rPr>
          <w:rFonts w:ascii="Palatino Linotype" w:eastAsia="Palatino Linotype" w:hAnsi="Palatino Linotype" w:cs="Palatino Linotype"/>
          <w:b/>
          <w:sz w:val="22"/>
          <w:szCs w:val="22"/>
        </w:rPr>
        <w:t>Sujeto Obligado, lo siguiente:</w:t>
      </w:r>
    </w:p>
    <w:p w14:paraId="42798176" w14:textId="77777777" w:rsidR="00D05B6C" w:rsidRPr="00D915C3" w:rsidRDefault="00D05B6C">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4A685AC4" w14:textId="77777777" w:rsidR="00D05B6C" w:rsidRPr="00D915C3" w:rsidRDefault="002C1EE1">
      <w:pPr>
        <w:pBdr>
          <w:top w:val="nil"/>
          <w:left w:val="nil"/>
          <w:bottom w:val="nil"/>
          <w:right w:val="nil"/>
          <w:between w:val="nil"/>
        </w:pBdr>
        <w:spacing w:line="276" w:lineRule="auto"/>
        <w:ind w:left="567" w:right="758"/>
        <w:jc w:val="both"/>
        <w:rPr>
          <w:rFonts w:ascii="Palatino Linotype" w:eastAsia="Palatino Linotype" w:hAnsi="Palatino Linotype" w:cs="Palatino Linotype"/>
          <w:b/>
          <w:sz w:val="22"/>
          <w:szCs w:val="22"/>
        </w:rPr>
      </w:pPr>
      <w:r w:rsidRPr="00D915C3">
        <w:rPr>
          <w:rFonts w:ascii="Palatino Linotype" w:eastAsia="Palatino Linotype" w:hAnsi="Palatino Linotype" w:cs="Palatino Linotype"/>
          <w:b/>
          <w:i/>
          <w:sz w:val="22"/>
          <w:szCs w:val="22"/>
        </w:rPr>
        <w:t xml:space="preserve">“información sobre por qué está cerrada la calle "Paseo del Agricultor" entre la Toluca-Tenango y Josefa </w:t>
      </w:r>
      <w:proofErr w:type="spellStart"/>
      <w:r w:rsidRPr="00D915C3">
        <w:rPr>
          <w:rFonts w:ascii="Palatino Linotype" w:eastAsia="Palatino Linotype" w:hAnsi="Palatino Linotype" w:cs="Palatino Linotype"/>
          <w:b/>
          <w:i/>
          <w:sz w:val="22"/>
          <w:szCs w:val="22"/>
        </w:rPr>
        <w:t>Ortíz</w:t>
      </w:r>
      <w:proofErr w:type="spellEnd"/>
      <w:r w:rsidRPr="00D915C3">
        <w:rPr>
          <w:rFonts w:ascii="Palatino Linotype" w:eastAsia="Palatino Linotype" w:hAnsi="Palatino Linotype" w:cs="Palatino Linotype"/>
          <w:b/>
          <w:i/>
          <w:sz w:val="22"/>
          <w:szCs w:val="22"/>
        </w:rPr>
        <w:t xml:space="preserve"> de Domínguez a un costado de Galerías Metepec y Costco.”</w:t>
      </w:r>
    </w:p>
    <w:p w14:paraId="206EF54F" w14:textId="77777777" w:rsidR="00D05B6C" w:rsidRPr="00D915C3" w:rsidRDefault="00D05B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BC5A4F3" w14:textId="77777777" w:rsidR="00D05B6C" w:rsidRPr="00D915C3" w:rsidRDefault="002C1EE1">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D915C3">
        <w:rPr>
          <w:rFonts w:ascii="Palatino Linotype" w:eastAsia="Palatino Linotype" w:hAnsi="Palatino Linotype" w:cs="Palatino Linotype"/>
          <w:sz w:val="22"/>
          <w:szCs w:val="22"/>
        </w:rPr>
        <w:t xml:space="preserve">En respuesta, el </w:t>
      </w:r>
      <w:r w:rsidRPr="00D915C3">
        <w:rPr>
          <w:rFonts w:ascii="Palatino Linotype" w:eastAsia="Palatino Linotype" w:hAnsi="Palatino Linotype" w:cs="Palatino Linotype"/>
          <w:b/>
          <w:sz w:val="22"/>
          <w:szCs w:val="22"/>
        </w:rPr>
        <w:t xml:space="preserve">Sujeto Obligado </w:t>
      </w:r>
      <w:r w:rsidRPr="00D915C3">
        <w:rPr>
          <w:rFonts w:ascii="Palatino Linotype" w:eastAsia="Palatino Linotype" w:hAnsi="Palatino Linotype" w:cs="Palatino Linotype"/>
          <w:sz w:val="22"/>
          <w:szCs w:val="22"/>
        </w:rPr>
        <w:t xml:space="preserve">se pronunció por conducto del </w:t>
      </w:r>
      <w:proofErr w:type="gramStart"/>
      <w:r w:rsidRPr="00D915C3">
        <w:rPr>
          <w:rFonts w:ascii="Palatino Linotype" w:eastAsia="Palatino Linotype" w:hAnsi="Palatino Linotype" w:cs="Palatino Linotype"/>
          <w:sz w:val="22"/>
          <w:szCs w:val="22"/>
        </w:rPr>
        <w:t>Director</w:t>
      </w:r>
      <w:proofErr w:type="gramEnd"/>
      <w:r w:rsidRPr="00D915C3">
        <w:rPr>
          <w:rFonts w:ascii="Palatino Linotype" w:eastAsia="Palatino Linotype" w:hAnsi="Palatino Linotype" w:cs="Palatino Linotype"/>
          <w:sz w:val="22"/>
          <w:szCs w:val="22"/>
        </w:rPr>
        <w:t xml:space="preserve"> de Seguridad Pública de Metepec quien informó que el requerimiento de información no corresponde a una solicitud de información por tratarse de manifestaciones subjetivas, y por tanto es improcedente su contestación, ya que no se puede atender con documentos previamente generados y no está constreñido a generar documentos ad hoc para atender solicitudes de información.</w:t>
      </w:r>
    </w:p>
    <w:p w14:paraId="4855E288" w14:textId="77777777" w:rsidR="00D05B6C" w:rsidRPr="00D915C3" w:rsidRDefault="00D05B6C">
      <w:pPr>
        <w:spacing w:line="360" w:lineRule="auto"/>
        <w:ind w:right="49"/>
        <w:jc w:val="both"/>
        <w:rPr>
          <w:rFonts w:ascii="Palatino Linotype" w:eastAsia="Palatino Linotype" w:hAnsi="Palatino Linotype" w:cs="Palatino Linotype"/>
          <w:sz w:val="22"/>
          <w:szCs w:val="22"/>
        </w:rPr>
      </w:pPr>
    </w:p>
    <w:p w14:paraId="21E05699" w14:textId="77777777" w:rsidR="00D05B6C" w:rsidRPr="00D915C3" w:rsidRDefault="002C1EE1">
      <w:pPr>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lastRenderedPageBreak/>
        <w:t xml:space="preserve">Inconforme con la respuesta la parte </w:t>
      </w:r>
      <w:r w:rsidRPr="00D915C3">
        <w:rPr>
          <w:rFonts w:ascii="Palatino Linotype" w:eastAsia="Palatino Linotype" w:hAnsi="Palatino Linotype" w:cs="Palatino Linotype"/>
          <w:b/>
          <w:sz w:val="22"/>
          <w:szCs w:val="22"/>
        </w:rPr>
        <w:t xml:space="preserve">Recurrente, </w:t>
      </w:r>
      <w:r w:rsidRPr="00D915C3">
        <w:rPr>
          <w:rFonts w:ascii="Palatino Linotype" w:eastAsia="Palatino Linotype" w:hAnsi="Palatino Linotype" w:cs="Palatino Linotype"/>
          <w:sz w:val="22"/>
          <w:szCs w:val="22"/>
        </w:rPr>
        <w:t>promovió el presente recurso de revisión en el que a manera de motivos de inconformidad se adolece medularmente de la negativa a la entrega de la información, ya que el particular refiere que en la calle que refiere se llevan a cabo obras y está cerrado a la ciudadanía, por lo que considera que el responsable del tema es el de obras y que en tal virtud no hay razón para no dar la información.</w:t>
      </w:r>
    </w:p>
    <w:p w14:paraId="3666E13B" w14:textId="77777777" w:rsidR="00D05B6C" w:rsidRPr="00D915C3" w:rsidRDefault="00D05B6C">
      <w:pPr>
        <w:spacing w:line="360" w:lineRule="auto"/>
        <w:ind w:right="49"/>
        <w:jc w:val="both"/>
        <w:rPr>
          <w:rFonts w:ascii="Palatino Linotype" w:eastAsia="Palatino Linotype" w:hAnsi="Palatino Linotype" w:cs="Palatino Linotype"/>
          <w:sz w:val="22"/>
          <w:szCs w:val="22"/>
        </w:rPr>
      </w:pPr>
    </w:p>
    <w:p w14:paraId="23DB705F"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Admitido el presente recurso de revisión, en términos del artículo 185 fracción II</w:t>
      </w:r>
      <w:r w:rsidRPr="00D915C3">
        <w:rPr>
          <w:rFonts w:ascii="Palatino Linotype" w:eastAsia="Palatino Linotype" w:hAnsi="Palatino Linotype" w:cs="Palatino Linotype"/>
          <w:sz w:val="22"/>
          <w:szCs w:val="22"/>
          <w:vertAlign w:val="superscript"/>
        </w:rPr>
        <w:footnoteReference w:id="1"/>
      </w:r>
      <w:r w:rsidRPr="00D915C3">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3472C17B"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317564C6" w14:textId="77777777" w:rsidR="00D05B6C" w:rsidRPr="00D915C3" w:rsidRDefault="002C1EE1">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D915C3">
        <w:rPr>
          <w:rFonts w:ascii="Palatino Linotype" w:eastAsia="Palatino Linotype" w:hAnsi="Palatino Linotype" w:cs="Palatino Linotype"/>
          <w:sz w:val="22"/>
          <w:szCs w:val="22"/>
        </w:rPr>
        <w:t>Cabe resaltar que, durante la etapa de manifestaciones</w:t>
      </w:r>
      <w:r w:rsidRPr="00D915C3">
        <w:rPr>
          <w:rFonts w:ascii="Palatino Linotype" w:eastAsia="Palatino Linotype" w:hAnsi="Palatino Linotype" w:cs="Palatino Linotype"/>
          <w:b/>
          <w:sz w:val="22"/>
          <w:szCs w:val="22"/>
        </w:rPr>
        <w:t xml:space="preserve">, </w:t>
      </w:r>
      <w:r w:rsidRPr="00D915C3">
        <w:rPr>
          <w:rFonts w:ascii="Palatino Linotype" w:eastAsia="Palatino Linotype" w:hAnsi="Palatino Linotype" w:cs="Palatino Linotype"/>
          <w:sz w:val="22"/>
          <w:szCs w:val="22"/>
        </w:rPr>
        <w:t xml:space="preserve">el </w:t>
      </w:r>
      <w:r w:rsidRPr="00D915C3">
        <w:rPr>
          <w:rFonts w:ascii="Palatino Linotype" w:eastAsia="Palatino Linotype" w:hAnsi="Palatino Linotype" w:cs="Palatino Linotype"/>
          <w:b/>
          <w:sz w:val="22"/>
          <w:szCs w:val="22"/>
        </w:rPr>
        <w:t xml:space="preserve">Sujeto Obligado </w:t>
      </w:r>
      <w:r w:rsidRPr="00D915C3">
        <w:rPr>
          <w:rFonts w:ascii="Palatino Linotype" w:eastAsia="Palatino Linotype" w:hAnsi="Palatino Linotype" w:cs="Palatino Linotype"/>
          <w:sz w:val="22"/>
          <w:szCs w:val="22"/>
        </w:rPr>
        <w:t xml:space="preserve">rindió su informe justificado por conducto del </w:t>
      </w:r>
      <w:proofErr w:type="gramStart"/>
      <w:r w:rsidRPr="00D915C3">
        <w:rPr>
          <w:rFonts w:ascii="Palatino Linotype" w:eastAsia="Palatino Linotype" w:hAnsi="Palatino Linotype" w:cs="Palatino Linotype"/>
          <w:b/>
          <w:sz w:val="22"/>
          <w:szCs w:val="22"/>
          <w:u w:val="single"/>
        </w:rPr>
        <w:t>Director</w:t>
      </w:r>
      <w:proofErr w:type="gramEnd"/>
      <w:r w:rsidRPr="00D915C3">
        <w:rPr>
          <w:rFonts w:ascii="Palatino Linotype" w:eastAsia="Palatino Linotype" w:hAnsi="Palatino Linotype" w:cs="Palatino Linotype"/>
          <w:b/>
          <w:sz w:val="22"/>
          <w:szCs w:val="22"/>
          <w:u w:val="single"/>
        </w:rPr>
        <w:t xml:space="preserve"> de Seguridad Pública</w:t>
      </w:r>
      <w:r w:rsidRPr="00D915C3">
        <w:rPr>
          <w:rFonts w:ascii="Palatino Linotype" w:eastAsia="Palatino Linotype" w:hAnsi="Palatino Linotype" w:cs="Palatino Linotype"/>
          <w:sz w:val="22"/>
          <w:szCs w:val="22"/>
        </w:rPr>
        <w:t xml:space="preserve"> quien indicó que con relación a la solicitud de información, procedió a realizar una búsqueda exhaustiva y razonable en los archivos de esa Dirección; y, atendiendo ello, </w:t>
      </w:r>
      <w:r w:rsidRPr="00D915C3">
        <w:rPr>
          <w:rFonts w:ascii="Palatino Linotype" w:eastAsia="Palatino Linotype" w:hAnsi="Palatino Linotype" w:cs="Palatino Linotype"/>
          <w:b/>
          <w:sz w:val="22"/>
          <w:szCs w:val="22"/>
          <w:u w:val="single"/>
        </w:rPr>
        <w:t>informó que el tramo de Calle Paseo del Agricultor al que se hace referencia en la solicitud se encuentra cerrado por obras de construcción de un paso a desnivel.</w:t>
      </w:r>
    </w:p>
    <w:p w14:paraId="7FA7D8A4" w14:textId="77777777" w:rsidR="00D05B6C" w:rsidRPr="00D915C3" w:rsidRDefault="00D05B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52F0E2D" w14:textId="77777777" w:rsidR="00D05B6C" w:rsidRPr="00D915C3" w:rsidRDefault="002C1EE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Por su lado, la parte </w:t>
      </w:r>
      <w:r w:rsidRPr="00D915C3">
        <w:rPr>
          <w:rFonts w:ascii="Palatino Linotype" w:eastAsia="Palatino Linotype" w:hAnsi="Palatino Linotype" w:cs="Palatino Linotype"/>
          <w:b/>
          <w:sz w:val="22"/>
          <w:szCs w:val="22"/>
        </w:rPr>
        <w:t xml:space="preserve">Recurrente </w:t>
      </w:r>
      <w:r w:rsidRPr="00D915C3">
        <w:rPr>
          <w:rFonts w:ascii="Palatino Linotype" w:eastAsia="Palatino Linotype" w:hAnsi="Palatino Linotype" w:cs="Palatino Linotype"/>
          <w:sz w:val="22"/>
          <w:szCs w:val="22"/>
        </w:rPr>
        <w:t>fue omisa en hacer valer manifestaciones o rendir alegatos que conforme a derecho resultaran procedentes.</w:t>
      </w:r>
    </w:p>
    <w:p w14:paraId="593FC543" w14:textId="77777777" w:rsidR="00D05B6C" w:rsidRPr="00D915C3" w:rsidRDefault="00D05B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E7F9146"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Expuestas las posturas de las partes, es de señalar que la pretensión del ahora parte </w:t>
      </w:r>
      <w:r w:rsidRPr="00D915C3">
        <w:rPr>
          <w:rFonts w:ascii="Palatino Linotype" w:eastAsia="Palatino Linotype" w:hAnsi="Palatino Linotype" w:cs="Palatino Linotype"/>
          <w:b/>
          <w:sz w:val="22"/>
          <w:szCs w:val="22"/>
        </w:rPr>
        <w:t>Recurrente</w:t>
      </w:r>
      <w:r w:rsidRPr="00D915C3">
        <w:rPr>
          <w:rFonts w:ascii="Palatino Linotype" w:eastAsia="Palatino Linotype" w:hAnsi="Palatino Linotype" w:cs="Palatino Linotype"/>
          <w:sz w:val="22"/>
          <w:szCs w:val="22"/>
        </w:rPr>
        <w:t xml:space="preserve"> es obtener un pronunciamiento específico respecto a una situación en Particular, situación por la cual nos lleva a recordar que el artículo 12 de la Ley de Transparencia y </w:t>
      </w:r>
      <w:r w:rsidRPr="00D915C3">
        <w:rPr>
          <w:rFonts w:ascii="Palatino Linotype" w:eastAsia="Palatino Linotype" w:hAnsi="Palatino Linotype" w:cs="Palatino Linotype"/>
          <w:sz w:val="22"/>
          <w:szCs w:val="22"/>
        </w:rPr>
        <w:lastRenderedPageBreak/>
        <w:t xml:space="preserve">Acceso a la Información Pública del Estado de México y Municipios, establece que los sujetos obligados únicamente están constreñidos a entregar los documentos que obren en sus archivos en el estado en que estos se encuentren, lo que no comprende entregar la información conforme al interés del solicitante.  </w:t>
      </w:r>
    </w:p>
    <w:p w14:paraId="7EF526E2"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1DE1A111"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Robustece lo anterior, el Criterio 03/17 emitido por el Instituto Nacional de Transparencia, Acceso a la Información y Protección de Datos Personales, el cual establece lo siguiente: </w:t>
      </w:r>
    </w:p>
    <w:p w14:paraId="73ECD17B"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5F2D4063" w14:textId="77777777" w:rsidR="00D05B6C" w:rsidRPr="00D915C3" w:rsidRDefault="002C1EE1">
      <w:pPr>
        <w:spacing w:line="276" w:lineRule="auto"/>
        <w:ind w:left="567" w:right="567"/>
        <w:jc w:val="both"/>
        <w:rPr>
          <w:rFonts w:ascii="Palatino Linotype" w:eastAsia="Palatino Linotype" w:hAnsi="Palatino Linotype" w:cs="Palatino Linotype"/>
          <w:i/>
          <w:sz w:val="22"/>
          <w:szCs w:val="22"/>
        </w:rPr>
      </w:pPr>
      <w:r w:rsidRPr="00D915C3">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D915C3">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60BF499"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73B37B3A"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Por otro lado, es importante mencionar que el requerimiento del Particular es tendiente a obligar a la autoridad a que actúe en el sentido de contestar lo solicitado, lo cual no es factible atenderse vía acceso a la información pública, toda vez, que la atención a dicho requerimiento no se pueden colmar con documentos que obren en los archivos del </w:t>
      </w:r>
      <w:r w:rsidRPr="00D915C3">
        <w:rPr>
          <w:rFonts w:ascii="Palatino Linotype" w:eastAsia="Palatino Linotype" w:hAnsi="Palatino Linotype" w:cs="Palatino Linotype"/>
          <w:b/>
          <w:sz w:val="22"/>
          <w:szCs w:val="22"/>
        </w:rPr>
        <w:t>Sujeto Obligado</w:t>
      </w:r>
      <w:r w:rsidRPr="00D915C3">
        <w:rPr>
          <w:rFonts w:ascii="Palatino Linotype" w:eastAsia="Palatino Linotype" w:hAnsi="Palatino Linotype" w:cs="Palatino Linotype"/>
          <w:sz w:val="22"/>
          <w:szCs w:val="22"/>
        </w:rPr>
        <w:t>, ya que no se encontró fuente obligacional para generar, poseer o administrar un documento en el que conste el pronunciamiento solicitado por el particular en el que se le indiquen los motivos o razones por las que se encuentra cerrada una calle en el Municipio de Metepec.</w:t>
      </w:r>
    </w:p>
    <w:p w14:paraId="478B649E"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499FE7AD"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lastRenderedPageBreak/>
        <w:t xml:space="preserve">Es por lo anterior que se advierte que la solicitud no constituye un derecho de acceso a la información </w:t>
      </w:r>
      <w:proofErr w:type="gramStart"/>
      <w:r w:rsidRPr="00D915C3">
        <w:rPr>
          <w:rFonts w:ascii="Palatino Linotype" w:eastAsia="Palatino Linotype" w:hAnsi="Palatino Linotype" w:cs="Palatino Linotype"/>
          <w:sz w:val="22"/>
          <w:szCs w:val="22"/>
        </w:rPr>
        <w:t>y</w:t>
      </w:r>
      <w:proofErr w:type="gramEnd"/>
      <w:r w:rsidRPr="00D915C3">
        <w:rPr>
          <w:rFonts w:ascii="Palatino Linotype" w:eastAsia="Palatino Linotype" w:hAnsi="Palatino Linotype" w:cs="Palatino Linotype"/>
          <w:sz w:val="22"/>
          <w:szCs w:val="22"/>
        </w:rPr>
        <w:t xml:space="preserve"> por lo tanto, no es atendible mediante una solicitud de acceso a la información pública, ya que se trata de una petición del Particular, situación que conlleva a afirmar que se está en presencia del ejercicio del derecho a la libre expresión y en todo caso a un derecho de petición. </w:t>
      </w:r>
    </w:p>
    <w:p w14:paraId="1687AF5E" w14:textId="77777777" w:rsidR="00D05B6C" w:rsidRPr="00D915C3" w:rsidRDefault="00D05B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E5F629E" w14:textId="77777777" w:rsidR="00D05B6C" w:rsidRPr="00D915C3" w:rsidRDefault="002C1EE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No obstante lo anterior, de las constancias que obran en el expediente </w:t>
      </w:r>
      <w:proofErr w:type="spellStart"/>
      <w:r w:rsidRPr="00D915C3">
        <w:rPr>
          <w:rFonts w:ascii="Palatino Linotype" w:eastAsia="Palatino Linotype" w:hAnsi="Palatino Linotype" w:cs="Palatino Linotype"/>
          <w:sz w:val="22"/>
          <w:szCs w:val="22"/>
        </w:rPr>
        <w:t>aperturado</w:t>
      </w:r>
      <w:proofErr w:type="spellEnd"/>
      <w:r w:rsidRPr="00D915C3">
        <w:rPr>
          <w:rFonts w:ascii="Palatino Linotype" w:eastAsia="Palatino Linotype" w:hAnsi="Palatino Linotype" w:cs="Palatino Linotype"/>
          <w:sz w:val="22"/>
          <w:szCs w:val="22"/>
        </w:rPr>
        <w:t xml:space="preserve"> con motivo del medio de impugnación que nos ocupa, se desprende que el </w:t>
      </w:r>
      <w:r w:rsidRPr="00D915C3">
        <w:rPr>
          <w:rFonts w:ascii="Palatino Linotype" w:eastAsia="Palatino Linotype" w:hAnsi="Palatino Linotype" w:cs="Palatino Linotype"/>
          <w:b/>
          <w:sz w:val="22"/>
          <w:szCs w:val="22"/>
        </w:rPr>
        <w:t xml:space="preserve">Sujeto Obligado </w:t>
      </w:r>
      <w:r w:rsidRPr="00D915C3">
        <w:rPr>
          <w:rFonts w:ascii="Palatino Linotype" w:eastAsia="Palatino Linotype" w:hAnsi="Palatino Linotype" w:cs="Palatino Linotype"/>
          <w:sz w:val="22"/>
          <w:szCs w:val="22"/>
        </w:rPr>
        <w:t xml:space="preserve">por conducto del </w:t>
      </w:r>
      <w:r w:rsidRPr="00D915C3">
        <w:rPr>
          <w:rFonts w:ascii="Palatino Linotype" w:eastAsia="Palatino Linotype" w:hAnsi="Palatino Linotype" w:cs="Palatino Linotype"/>
          <w:b/>
          <w:sz w:val="22"/>
          <w:szCs w:val="22"/>
        </w:rPr>
        <w:t>Director de Seguridad Pública</w:t>
      </w:r>
      <w:r w:rsidRPr="00D915C3">
        <w:rPr>
          <w:rFonts w:ascii="Palatino Linotype" w:eastAsia="Palatino Linotype" w:hAnsi="Palatino Linotype" w:cs="Palatino Linotype"/>
          <w:sz w:val="22"/>
          <w:szCs w:val="22"/>
        </w:rPr>
        <w:t>, vía informe justificado refiere que, procedió a realizar una búsqueda exhaustiva y razonable de la información en los archivos de esa Dirección; y, atendiendo ello, informa que el tramo de Calle Paseo del Agricultor al que se hace referencia en la solicitud se encuentra cerrado por obras de construcción de un paso a desnivel.</w:t>
      </w:r>
    </w:p>
    <w:p w14:paraId="5C572D73" w14:textId="77777777" w:rsidR="00D05B6C" w:rsidRPr="00D915C3" w:rsidRDefault="00D05B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7777DE8" w14:textId="77777777" w:rsidR="00D05B6C" w:rsidRPr="00D915C3" w:rsidRDefault="002C1EE1">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D915C3">
        <w:rPr>
          <w:rFonts w:ascii="Palatino Linotype" w:eastAsia="Palatino Linotype" w:hAnsi="Palatino Linotype" w:cs="Palatino Linotype"/>
          <w:sz w:val="22"/>
          <w:szCs w:val="22"/>
        </w:rPr>
        <w:t xml:space="preserve">De esta manera, se advierte que es vía informe justificado donde el ente público emite pronunciamiento con relación a los motivos o razones del cierre de la calle </w:t>
      </w:r>
      <w:r w:rsidRPr="00D915C3">
        <w:rPr>
          <w:rFonts w:ascii="Palatino Linotype" w:eastAsia="Palatino Linotype" w:hAnsi="Palatino Linotype" w:cs="Palatino Linotype"/>
          <w:b/>
          <w:i/>
          <w:sz w:val="22"/>
          <w:szCs w:val="22"/>
        </w:rPr>
        <w:t xml:space="preserve">"Paseo del Agricultor" </w:t>
      </w:r>
      <w:r w:rsidRPr="00D915C3">
        <w:rPr>
          <w:rFonts w:ascii="Palatino Linotype" w:eastAsia="Palatino Linotype" w:hAnsi="Palatino Linotype" w:cs="Palatino Linotype"/>
          <w:sz w:val="22"/>
          <w:szCs w:val="22"/>
        </w:rPr>
        <w:t xml:space="preserve">que atraviesa Galerías Metepec y el centro comercial Costco dentro del Municipio de Metepec; </w:t>
      </w:r>
      <w:r w:rsidRPr="00D915C3">
        <w:rPr>
          <w:rFonts w:ascii="Palatino Linotype" w:eastAsia="Palatino Linotype" w:hAnsi="Palatino Linotype" w:cs="Palatino Linotype"/>
          <w:b/>
          <w:sz w:val="22"/>
          <w:szCs w:val="22"/>
        </w:rPr>
        <w:t>que es a lo que pretende acceder el particular.</w:t>
      </w:r>
    </w:p>
    <w:p w14:paraId="5E25DAB0" w14:textId="77777777" w:rsidR="00D05B6C" w:rsidRPr="00D915C3" w:rsidRDefault="00D05B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D436E9F"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Máxime que la </w:t>
      </w:r>
      <w:r w:rsidRPr="00D915C3">
        <w:rPr>
          <w:rFonts w:ascii="Palatino Linotype" w:eastAsia="Palatino Linotype" w:hAnsi="Palatino Linotype" w:cs="Palatino Linotype"/>
          <w:b/>
          <w:sz w:val="22"/>
          <w:szCs w:val="22"/>
        </w:rPr>
        <w:t>Dirección de Seguridad Pública</w:t>
      </w:r>
      <w:r w:rsidRPr="00D915C3">
        <w:rPr>
          <w:rFonts w:ascii="Palatino Linotype" w:eastAsia="Palatino Linotype" w:hAnsi="Palatino Linotype" w:cs="Palatino Linotype"/>
          <w:sz w:val="22"/>
          <w:szCs w:val="22"/>
        </w:rPr>
        <w:t xml:space="preserve">, conforme el Código Reglamentario de Metepec vigente, en el artículo 63, se establece que dicha unidad administrativa es la encargada de, entre otros, </w:t>
      </w:r>
      <w:r w:rsidRPr="00D915C3">
        <w:rPr>
          <w:rFonts w:ascii="Palatino Linotype" w:eastAsia="Palatino Linotype" w:hAnsi="Palatino Linotype" w:cs="Palatino Linotype"/>
          <w:b/>
          <w:sz w:val="22"/>
          <w:szCs w:val="22"/>
        </w:rPr>
        <w:t xml:space="preserve">fomentar la educación vial, controlando, ejecutando y sancionando las actividades del tránsito en las diferentes vialidades de jurisdicción municipal, </w:t>
      </w:r>
      <w:r w:rsidRPr="00D915C3">
        <w:rPr>
          <w:rFonts w:ascii="Palatino Linotype" w:eastAsia="Palatino Linotype" w:hAnsi="Palatino Linotype" w:cs="Palatino Linotype"/>
          <w:sz w:val="22"/>
          <w:szCs w:val="22"/>
        </w:rPr>
        <w:t>como se muestra:</w:t>
      </w:r>
    </w:p>
    <w:p w14:paraId="4EF7BE0D"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1142CEF8" w14:textId="77777777" w:rsidR="00D05B6C" w:rsidRPr="00D915C3" w:rsidRDefault="002C1EE1">
      <w:pPr>
        <w:ind w:left="567" w:right="560"/>
        <w:jc w:val="both"/>
        <w:rPr>
          <w:rFonts w:ascii="Palatino Linotype" w:eastAsia="Palatino Linotype" w:hAnsi="Palatino Linotype" w:cs="Palatino Linotype"/>
          <w:i/>
          <w:sz w:val="22"/>
          <w:szCs w:val="22"/>
        </w:rPr>
      </w:pPr>
      <w:r w:rsidRPr="00D915C3">
        <w:rPr>
          <w:rFonts w:ascii="Palatino Linotype" w:eastAsia="Palatino Linotype" w:hAnsi="Palatino Linotype" w:cs="Palatino Linotype"/>
          <w:i/>
          <w:sz w:val="22"/>
          <w:szCs w:val="22"/>
        </w:rPr>
        <w:t xml:space="preserve">“ARTÍCULO 63.- El Ayuntamiento, por conducto de la Dirección de Seguridad Pública, será el responsable de salvaguardar y garantizar el orden público y la paz social, </w:t>
      </w:r>
      <w:r w:rsidRPr="00D915C3">
        <w:rPr>
          <w:rFonts w:ascii="Palatino Linotype" w:eastAsia="Palatino Linotype" w:hAnsi="Palatino Linotype" w:cs="Palatino Linotype"/>
          <w:i/>
          <w:sz w:val="22"/>
          <w:szCs w:val="22"/>
        </w:rPr>
        <w:lastRenderedPageBreak/>
        <w:t xml:space="preserve">así como la prevención de la comisión de cualquier infracción o delito, inhibiendo la manifestación de conductas antisociales, siempre con estricto respeto de los derechos humanos y las disposiciones jurídicas vigentes de carácter federal, estatal y municipal; de igual manera, </w:t>
      </w:r>
      <w:r w:rsidRPr="00D915C3">
        <w:rPr>
          <w:rFonts w:ascii="Palatino Linotype" w:eastAsia="Palatino Linotype" w:hAnsi="Palatino Linotype" w:cs="Palatino Linotype"/>
          <w:b/>
          <w:i/>
          <w:sz w:val="22"/>
          <w:szCs w:val="22"/>
          <w:u w:val="single"/>
        </w:rPr>
        <w:t>fomentará la educación vial, controlando, ejecutando y sancionando las actividades del tránsito en las diferentes vialidades de jurisdicción municipal</w:t>
      </w:r>
      <w:r w:rsidRPr="00D915C3">
        <w:rPr>
          <w:rFonts w:ascii="Palatino Linotype" w:eastAsia="Palatino Linotype" w:hAnsi="Palatino Linotype" w:cs="Palatino Linotype"/>
          <w:i/>
          <w:sz w:val="22"/>
          <w:szCs w:val="22"/>
        </w:rPr>
        <w:t>, de conformidad con el Libro Octavo del Código Administrativo, el Reglamento de Tránsito del Estado de México y demás disposiciones jurídicas aplicables.[…]”</w:t>
      </w:r>
    </w:p>
    <w:p w14:paraId="4B0AB631" w14:textId="77777777" w:rsidR="00D05B6C" w:rsidRPr="00D915C3" w:rsidRDefault="00D05B6C">
      <w:pPr>
        <w:ind w:left="567" w:right="560"/>
        <w:jc w:val="both"/>
        <w:rPr>
          <w:rFonts w:ascii="Palatino Linotype" w:eastAsia="Palatino Linotype" w:hAnsi="Palatino Linotype" w:cs="Palatino Linotype"/>
          <w:i/>
          <w:sz w:val="22"/>
          <w:szCs w:val="22"/>
        </w:rPr>
      </w:pPr>
    </w:p>
    <w:p w14:paraId="74FC552E" w14:textId="77777777" w:rsidR="00D05B6C" w:rsidRPr="00D915C3" w:rsidRDefault="002C1EE1">
      <w:pPr>
        <w:ind w:left="567" w:right="560"/>
        <w:jc w:val="right"/>
        <w:rPr>
          <w:rFonts w:ascii="Palatino Linotype" w:eastAsia="Palatino Linotype" w:hAnsi="Palatino Linotype" w:cs="Palatino Linotype"/>
          <w:i/>
          <w:sz w:val="22"/>
          <w:szCs w:val="22"/>
        </w:rPr>
      </w:pPr>
      <w:r w:rsidRPr="00D915C3">
        <w:rPr>
          <w:rFonts w:ascii="Palatino Linotype" w:eastAsia="Palatino Linotype" w:hAnsi="Palatino Linotype" w:cs="Palatino Linotype"/>
          <w:i/>
          <w:sz w:val="22"/>
          <w:szCs w:val="22"/>
        </w:rPr>
        <w:t>(Énfasis añadido)</w:t>
      </w:r>
    </w:p>
    <w:p w14:paraId="0F5CCEAF" w14:textId="77777777" w:rsidR="00D05B6C" w:rsidRPr="00D915C3" w:rsidRDefault="00D05B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671C48C" w14:textId="77777777" w:rsidR="00D05B6C" w:rsidRPr="00D915C3" w:rsidRDefault="002C1EE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Por lo que, la Dirección de Seguridad Pública al ser la encargada de mantener el orden vial, lo cual implica mantener las </w:t>
      </w:r>
      <w:proofErr w:type="gramStart"/>
      <w:r w:rsidRPr="00D915C3">
        <w:rPr>
          <w:rFonts w:ascii="Palatino Linotype" w:eastAsia="Palatino Linotype" w:hAnsi="Palatino Linotype" w:cs="Palatino Linotype"/>
          <w:sz w:val="22"/>
          <w:szCs w:val="22"/>
        </w:rPr>
        <w:t>vialidades libre</w:t>
      </w:r>
      <w:proofErr w:type="gramEnd"/>
      <w:r w:rsidRPr="00D915C3">
        <w:rPr>
          <w:rFonts w:ascii="Palatino Linotype" w:eastAsia="Palatino Linotype" w:hAnsi="Palatino Linotype" w:cs="Palatino Linotype"/>
          <w:sz w:val="22"/>
          <w:szCs w:val="22"/>
        </w:rPr>
        <w:t xml:space="preserve"> de obstáculos que impidan, dificulten u obstruyan el tránsito, se colige que dicha unidad administrativa tiene conocimiento de las razones o motivos por los cuales se encuentra cerrada la Calle a la que hace referencia el particular en su solicitud de información.</w:t>
      </w:r>
    </w:p>
    <w:p w14:paraId="058E18D0" w14:textId="77777777" w:rsidR="00D05B6C" w:rsidRPr="00D915C3" w:rsidRDefault="00D05B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75A910B"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De esta manera, se colige que en el caso se dio cabal cumplimiento al requisito de turnar la solicitud de información a las unidades administrativas que de acuerdo a sus atribuciones pueden poseer, generar y/o administrar la información requerida.</w:t>
      </w:r>
    </w:p>
    <w:p w14:paraId="287B36A7"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19EC6E7A"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A mayor abundamiento, conviene traer a contexto el procedimiento para la atención a las solicitudes de acceso a la información que los Sujetos Obligados deben seguir, mismo que se encuentra establecido en los artículos 151, 159, 160, 162, 163, 164, 165 y 166, de la Ley de Transparencia y Acceso a la Información Pública del Estado de México y Municipios, que es del tenor siguiente:</w:t>
      </w:r>
    </w:p>
    <w:p w14:paraId="1E56EE94"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080B5659" w14:textId="77777777" w:rsidR="00D05B6C" w:rsidRPr="00D915C3" w:rsidRDefault="002C1EE1">
      <w:pPr>
        <w:numPr>
          <w:ilvl w:val="0"/>
          <w:numId w:val="2"/>
        </w:numPr>
        <w:spacing w:line="276" w:lineRule="auto"/>
        <w:ind w:left="360" w:right="560"/>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Las Unidades de Transparencia de los Sujetos Obligados deben garantizar las medidas y condiciones de accesibilidad para que toda persona puede ejercer el derecho de acceso a la información; por lo que, son las responsables de hacer las </w:t>
      </w:r>
      <w:r w:rsidRPr="00D915C3">
        <w:rPr>
          <w:rFonts w:ascii="Palatino Linotype" w:eastAsia="Palatino Linotype" w:hAnsi="Palatino Linotype" w:cs="Palatino Linotype"/>
          <w:sz w:val="22"/>
          <w:szCs w:val="22"/>
        </w:rPr>
        <w:lastRenderedPageBreak/>
        <w:t>notificaciones correspondientes, además de llevar a cabo de todas las gestiones necesarias para facilitar el acceso de la información;</w:t>
      </w:r>
    </w:p>
    <w:p w14:paraId="35FC38C0" w14:textId="77777777" w:rsidR="00D05B6C" w:rsidRPr="00D915C3" w:rsidRDefault="00D05B6C">
      <w:pPr>
        <w:spacing w:line="276" w:lineRule="auto"/>
        <w:ind w:left="-360" w:right="560"/>
        <w:jc w:val="both"/>
        <w:rPr>
          <w:rFonts w:ascii="Palatino Linotype" w:eastAsia="Palatino Linotype" w:hAnsi="Palatino Linotype" w:cs="Palatino Linotype"/>
          <w:sz w:val="22"/>
          <w:szCs w:val="22"/>
        </w:rPr>
      </w:pPr>
    </w:p>
    <w:p w14:paraId="2819DBDE" w14:textId="77777777" w:rsidR="00D05B6C" w:rsidRPr="00D915C3" w:rsidRDefault="002C1EE1">
      <w:pPr>
        <w:numPr>
          <w:ilvl w:val="0"/>
          <w:numId w:val="2"/>
        </w:numPr>
        <w:spacing w:line="276" w:lineRule="auto"/>
        <w:ind w:left="360" w:right="560"/>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03149D62" w14:textId="77777777" w:rsidR="00D05B6C" w:rsidRPr="00D915C3" w:rsidRDefault="00D05B6C">
      <w:pPr>
        <w:spacing w:line="276" w:lineRule="auto"/>
        <w:ind w:left="-360" w:right="560"/>
        <w:jc w:val="both"/>
        <w:rPr>
          <w:rFonts w:ascii="Palatino Linotype" w:eastAsia="Palatino Linotype" w:hAnsi="Palatino Linotype" w:cs="Palatino Linotype"/>
          <w:sz w:val="22"/>
          <w:szCs w:val="22"/>
        </w:rPr>
      </w:pPr>
    </w:p>
    <w:p w14:paraId="48E661E3" w14:textId="77777777" w:rsidR="00D05B6C" w:rsidRPr="00D915C3" w:rsidRDefault="002C1EE1">
      <w:pPr>
        <w:numPr>
          <w:ilvl w:val="0"/>
          <w:numId w:val="9"/>
        </w:numPr>
        <w:spacing w:line="276" w:lineRule="auto"/>
        <w:ind w:left="360" w:right="560"/>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D915C3">
        <w:rPr>
          <w:rFonts w:ascii="Palatino Linotype" w:eastAsia="Palatino Linotype" w:hAnsi="Palatino Linotype" w:cs="Palatino Linotype"/>
          <w:b/>
          <w:sz w:val="22"/>
          <w:szCs w:val="22"/>
        </w:rPr>
        <w:t>quince días, contados a partir del día siguiente a la presentación de ésta.</w:t>
      </w:r>
      <w:r w:rsidRPr="00D915C3">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49461E87" w14:textId="77777777" w:rsidR="00D05B6C" w:rsidRPr="00D915C3" w:rsidRDefault="00D05B6C">
      <w:pPr>
        <w:spacing w:line="276" w:lineRule="auto"/>
        <w:ind w:left="-360" w:right="560"/>
        <w:jc w:val="both"/>
        <w:rPr>
          <w:rFonts w:ascii="Palatino Linotype" w:eastAsia="Palatino Linotype" w:hAnsi="Palatino Linotype" w:cs="Palatino Linotype"/>
          <w:sz w:val="22"/>
          <w:szCs w:val="22"/>
        </w:rPr>
      </w:pPr>
    </w:p>
    <w:p w14:paraId="220E0274" w14:textId="77777777" w:rsidR="00D05B6C" w:rsidRPr="00D915C3" w:rsidRDefault="002C1EE1">
      <w:pPr>
        <w:numPr>
          <w:ilvl w:val="0"/>
          <w:numId w:val="3"/>
        </w:numPr>
        <w:spacing w:line="276" w:lineRule="auto"/>
        <w:ind w:left="360" w:right="560"/>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0E80D4B7" w14:textId="77777777" w:rsidR="00D05B6C" w:rsidRPr="00D915C3" w:rsidRDefault="00D05B6C">
      <w:pPr>
        <w:spacing w:line="276" w:lineRule="auto"/>
        <w:ind w:left="-360" w:right="560"/>
        <w:jc w:val="both"/>
        <w:rPr>
          <w:rFonts w:ascii="Palatino Linotype" w:eastAsia="Palatino Linotype" w:hAnsi="Palatino Linotype" w:cs="Palatino Linotype"/>
          <w:sz w:val="22"/>
          <w:szCs w:val="22"/>
        </w:rPr>
      </w:pPr>
    </w:p>
    <w:p w14:paraId="7F6D2946" w14:textId="77777777" w:rsidR="00D05B6C" w:rsidRPr="00D915C3" w:rsidRDefault="002C1EE1">
      <w:pPr>
        <w:numPr>
          <w:ilvl w:val="0"/>
          <w:numId w:val="8"/>
        </w:numPr>
        <w:spacing w:line="276" w:lineRule="auto"/>
        <w:ind w:left="360" w:right="560"/>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19D5567F" w14:textId="77777777" w:rsidR="00D05B6C" w:rsidRPr="00D915C3" w:rsidRDefault="00D05B6C">
      <w:pPr>
        <w:spacing w:line="276" w:lineRule="auto"/>
        <w:ind w:left="-360" w:right="560"/>
        <w:jc w:val="both"/>
        <w:rPr>
          <w:rFonts w:ascii="Palatino Linotype" w:eastAsia="Palatino Linotype" w:hAnsi="Palatino Linotype" w:cs="Palatino Linotype"/>
          <w:sz w:val="22"/>
          <w:szCs w:val="22"/>
        </w:rPr>
      </w:pPr>
    </w:p>
    <w:p w14:paraId="2864078D" w14:textId="77777777" w:rsidR="00D05B6C" w:rsidRPr="00D915C3" w:rsidRDefault="002C1EE1">
      <w:pPr>
        <w:numPr>
          <w:ilvl w:val="0"/>
          <w:numId w:val="1"/>
        </w:numPr>
        <w:spacing w:line="276" w:lineRule="auto"/>
        <w:ind w:left="360" w:right="560"/>
        <w:jc w:val="both"/>
        <w:rPr>
          <w:rFonts w:ascii="Palatino Linotype" w:eastAsia="Palatino Linotype" w:hAnsi="Palatino Linotype" w:cs="Palatino Linotype"/>
          <w:b/>
          <w:sz w:val="22"/>
          <w:szCs w:val="22"/>
        </w:rPr>
      </w:pPr>
      <w:r w:rsidRPr="00D915C3">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208275A8"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47E861CE" w14:textId="77777777" w:rsidR="00D05B6C" w:rsidRPr="00D915C3" w:rsidRDefault="002C1EE1">
      <w:pPr>
        <w:spacing w:line="360" w:lineRule="auto"/>
        <w:jc w:val="both"/>
        <w:rPr>
          <w:rFonts w:ascii="Palatino Linotype" w:eastAsia="Palatino Linotype" w:hAnsi="Palatino Linotype" w:cs="Palatino Linotype"/>
          <w:b/>
          <w:sz w:val="22"/>
          <w:szCs w:val="22"/>
          <w:u w:val="single"/>
        </w:rPr>
      </w:pPr>
      <w:r w:rsidRPr="00D915C3">
        <w:rPr>
          <w:rFonts w:ascii="Palatino Linotype" w:eastAsia="Palatino Linotype" w:hAnsi="Palatino Linotype" w:cs="Palatino Linotype"/>
          <w:sz w:val="22"/>
          <w:szCs w:val="22"/>
        </w:rPr>
        <w:lastRenderedPageBreak/>
        <w:t xml:space="preserve">En virtud de lo anterior, se tiene que, </w:t>
      </w:r>
      <w:r w:rsidRPr="00D915C3">
        <w:rPr>
          <w:rFonts w:ascii="Palatino Linotype" w:eastAsia="Palatino Linotype" w:hAnsi="Palatino Linotype" w:cs="Palatino Linotype"/>
          <w:b/>
          <w:sz w:val="22"/>
          <w:szCs w:val="22"/>
          <w:u w:val="single"/>
        </w:rPr>
        <w:t>el procedimiento de búsqueda de la información se tiene por atendido. </w:t>
      </w:r>
    </w:p>
    <w:p w14:paraId="38FD0962" w14:textId="77777777" w:rsidR="00D05B6C" w:rsidRPr="00D915C3" w:rsidRDefault="00D05B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E5DBD81" w14:textId="77777777" w:rsidR="00D05B6C" w:rsidRPr="00D915C3" w:rsidRDefault="002C1EE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De esta manera, el pronunciamiento hecho valer por el </w:t>
      </w:r>
      <w:proofErr w:type="gramStart"/>
      <w:r w:rsidRPr="00D915C3">
        <w:rPr>
          <w:rFonts w:ascii="Palatino Linotype" w:eastAsia="Palatino Linotype" w:hAnsi="Palatino Linotype" w:cs="Palatino Linotype"/>
          <w:sz w:val="22"/>
          <w:szCs w:val="22"/>
        </w:rPr>
        <w:t>Director</w:t>
      </w:r>
      <w:proofErr w:type="gramEnd"/>
      <w:r w:rsidRPr="00D915C3">
        <w:rPr>
          <w:rFonts w:ascii="Palatino Linotype" w:eastAsia="Palatino Linotype" w:hAnsi="Palatino Linotype" w:cs="Palatino Linotype"/>
          <w:sz w:val="22"/>
          <w:szCs w:val="22"/>
        </w:rPr>
        <w:t xml:space="preserve"> de Seguridad Pública vía informe justificado, resulta dable tenerlo por válido, máxime que con la finalidad de constatar las razones por las que la calle referida por el particular se encuentra cerrada este Órgano Garante realizó una consulta en medios de difusión electrónicos, localizando las siguientes notas periodísticas:</w:t>
      </w:r>
    </w:p>
    <w:p w14:paraId="4D3BF3F3" w14:textId="77777777" w:rsidR="00D05B6C" w:rsidRPr="00D915C3" w:rsidRDefault="00D05B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00A954F" w14:textId="77777777" w:rsidR="00D05B6C" w:rsidRPr="00D915C3" w:rsidRDefault="002C1EE1">
      <w:pPr>
        <w:spacing w:line="360" w:lineRule="auto"/>
        <w:ind w:right="141"/>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La nota periodística del 13 de marzo de 2023, localizable en el siguiente enlace: </w:t>
      </w:r>
      <w:hyperlink r:id="rId8">
        <w:r w:rsidRPr="00D915C3">
          <w:rPr>
            <w:rFonts w:ascii="Palatino Linotype" w:eastAsia="Palatino Linotype" w:hAnsi="Palatino Linotype" w:cs="Palatino Linotype"/>
            <w:sz w:val="22"/>
            <w:szCs w:val="22"/>
            <w:u w:val="single"/>
          </w:rPr>
          <w:t>https://mvsnoticias.com/nacional/estados/2023/3/13/malltertainment-galerias-metepec-conoce-como-sera-cuando-se-inaugurara-585819.html</w:t>
        </w:r>
      </w:hyperlink>
      <w:r w:rsidRPr="00D915C3">
        <w:rPr>
          <w:rFonts w:ascii="Palatino Linotype" w:eastAsia="Palatino Linotype" w:hAnsi="Palatino Linotype" w:cs="Palatino Linotype"/>
          <w:sz w:val="22"/>
          <w:szCs w:val="22"/>
        </w:rPr>
        <w:t>, que indica lo siguiente:</w:t>
      </w:r>
    </w:p>
    <w:p w14:paraId="010EBDFC" w14:textId="77777777" w:rsidR="00D05B6C" w:rsidRPr="00D915C3" w:rsidRDefault="00D05B6C">
      <w:pPr>
        <w:spacing w:line="360" w:lineRule="auto"/>
        <w:ind w:right="141"/>
        <w:jc w:val="both"/>
        <w:rPr>
          <w:rFonts w:ascii="Palatino Linotype" w:eastAsia="Palatino Linotype" w:hAnsi="Palatino Linotype" w:cs="Palatino Linotype"/>
          <w:sz w:val="22"/>
          <w:szCs w:val="22"/>
        </w:rPr>
      </w:pPr>
    </w:p>
    <w:p w14:paraId="2D9B2E8F" w14:textId="77777777" w:rsidR="00D05B6C" w:rsidRPr="00D915C3" w:rsidRDefault="002C1EE1">
      <w:pPr>
        <w:spacing w:line="360" w:lineRule="auto"/>
        <w:ind w:right="141"/>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noProof/>
          <w:sz w:val="22"/>
          <w:szCs w:val="22"/>
        </w:rPr>
        <w:drawing>
          <wp:inline distT="0" distB="0" distL="0" distR="0" wp14:anchorId="0548B554" wp14:editId="516108E5">
            <wp:extent cx="5612130" cy="695325"/>
            <wp:effectExtent l="3175" t="3175" r="3175" b="3175"/>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b="66624"/>
                    <a:stretch>
                      <a:fillRect/>
                    </a:stretch>
                  </pic:blipFill>
                  <pic:spPr>
                    <a:xfrm>
                      <a:off x="0" y="0"/>
                      <a:ext cx="5612130" cy="695325"/>
                    </a:xfrm>
                    <a:prstGeom prst="rect">
                      <a:avLst/>
                    </a:prstGeom>
                    <a:ln w="3175">
                      <a:solidFill>
                        <a:srgbClr val="000000"/>
                      </a:solidFill>
                      <a:prstDash val="solid"/>
                    </a:ln>
                  </pic:spPr>
                </pic:pic>
              </a:graphicData>
            </a:graphic>
          </wp:inline>
        </w:drawing>
      </w:r>
    </w:p>
    <w:p w14:paraId="3555FEC4" w14:textId="77777777" w:rsidR="00D05B6C" w:rsidRPr="00D915C3" w:rsidRDefault="002C1EE1">
      <w:pPr>
        <w:spacing w:line="360" w:lineRule="auto"/>
        <w:ind w:right="141"/>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noProof/>
          <w:sz w:val="22"/>
          <w:szCs w:val="22"/>
        </w:rPr>
        <w:drawing>
          <wp:inline distT="0" distB="0" distL="0" distR="0" wp14:anchorId="129F0792" wp14:editId="79F21F5D">
            <wp:extent cx="5612130" cy="2181225"/>
            <wp:effectExtent l="3175" t="3175" r="3175" b="3175"/>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38939"/>
                    <a:stretch>
                      <a:fillRect/>
                    </a:stretch>
                  </pic:blipFill>
                  <pic:spPr>
                    <a:xfrm>
                      <a:off x="0" y="0"/>
                      <a:ext cx="5612130" cy="2181225"/>
                    </a:xfrm>
                    <a:prstGeom prst="rect">
                      <a:avLst/>
                    </a:prstGeom>
                    <a:ln w="3175">
                      <a:solidFill>
                        <a:srgbClr val="000000"/>
                      </a:solidFill>
                      <a:prstDash val="solid"/>
                    </a:ln>
                  </pic:spPr>
                </pic:pic>
              </a:graphicData>
            </a:graphic>
          </wp:inline>
        </w:drawing>
      </w:r>
    </w:p>
    <w:p w14:paraId="3F1B69E0" w14:textId="77777777" w:rsidR="00D05B6C" w:rsidRPr="00D915C3" w:rsidRDefault="002C1EE1">
      <w:pPr>
        <w:spacing w:line="360" w:lineRule="auto"/>
        <w:ind w:right="141"/>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noProof/>
          <w:sz w:val="22"/>
          <w:szCs w:val="22"/>
        </w:rPr>
        <w:drawing>
          <wp:inline distT="0" distB="0" distL="0" distR="0" wp14:anchorId="58AA1CE2" wp14:editId="1122EBBC">
            <wp:extent cx="5612130" cy="691515"/>
            <wp:effectExtent l="3175" t="3175" r="3175" b="3175"/>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2130" cy="691515"/>
                    </a:xfrm>
                    <a:prstGeom prst="rect">
                      <a:avLst/>
                    </a:prstGeom>
                    <a:ln w="3175">
                      <a:solidFill>
                        <a:srgbClr val="000000"/>
                      </a:solidFill>
                      <a:prstDash val="solid"/>
                    </a:ln>
                  </pic:spPr>
                </pic:pic>
              </a:graphicData>
            </a:graphic>
          </wp:inline>
        </w:drawing>
      </w:r>
    </w:p>
    <w:p w14:paraId="19B98F35" w14:textId="77777777" w:rsidR="00D05B6C" w:rsidRPr="00D915C3" w:rsidRDefault="00D05B6C">
      <w:pPr>
        <w:spacing w:line="360" w:lineRule="auto"/>
        <w:ind w:right="141"/>
        <w:jc w:val="both"/>
        <w:rPr>
          <w:rFonts w:ascii="Palatino Linotype" w:eastAsia="Palatino Linotype" w:hAnsi="Palatino Linotype" w:cs="Palatino Linotype"/>
          <w:sz w:val="22"/>
          <w:szCs w:val="22"/>
        </w:rPr>
      </w:pPr>
    </w:p>
    <w:p w14:paraId="7EB7915B" w14:textId="77777777" w:rsidR="00D05B6C" w:rsidRPr="00D915C3" w:rsidRDefault="002C1EE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Así como, la nota periodística del 18 de febrero de 2024, localizable en el siguiente enlace: </w:t>
      </w:r>
      <w:hyperlink r:id="rId11">
        <w:r w:rsidRPr="00D915C3">
          <w:rPr>
            <w:rFonts w:ascii="Palatino Linotype" w:eastAsia="Palatino Linotype" w:hAnsi="Palatino Linotype" w:cs="Palatino Linotype"/>
            <w:sz w:val="22"/>
            <w:szCs w:val="22"/>
            <w:u w:val="single"/>
          </w:rPr>
          <w:t>https://lajornadaestadodemexico.com/metepec-cerraran-vialidad-en-zona-comercial-por-6-meses/</w:t>
        </w:r>
      </w:hyperlink>
      <w:r w:rsidRPr="00D915C3">
        <w:rPr>
          <w:rFonts w:ascii="Palatino Linotype" w:eastAsia="Palatino Linotype" w:hAnsi="Palatino Linotype" w:cs="Palatino Linotype"/>
          <w:sz w:val="22"/>
          <w:szCs w:val="22"/>
        </w:rPr>
        <w:t>, en la que se advierte lo siguiente:</w:t>
      </w:r>
    </w:p>
    <w:p w14:paraId="63505D99" w14:textId="77777777" w:rsidR="00D05B6C" w:rsidRPr="00D915C3" w:rsidRDefault="00D05B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D239512" w14:textId="77777777" w:rsidR="00D05B6C" w:rsidRPr="00D915C3" w:rsidRDefault="002C1EE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noProof/>
          <w:sz w:val="22"/>
          <w:szCs w:val="22"/>
        </w:rPr>
        <w:drawing>
          <wp:inline distT="0" distB="0" distL="0" distR="0" wp14:anchorId="03BA58C7" wp14:editId="1EEC76BA">
            <wp:extent cx="5612130" cy="1524000"/>
            <wp:effectExtent l="3175" t="3175" r="3175" b="3175"/>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b="40893"/>
                    <a:stretch>
                      <a:fillRect/>
                    </a:stretch>
                  </pic:blipFill>
                  <pic:spPr>
                    <a:xfrm>
                      <a:off x="0" y="0"/>
                      <a:ext cx="5612130" cy="1524000"/>
                    </a:xfrm>
                    <a:prstGeom prst="rect">
                      <a:avLst/>
                    </a:prstGeom>
                    <a:ln w="3175">
                      <a:solidFill>
                        <a:srgbClr val="000000"/>
                      </a:solidFill>
                      <a:prstDash val="solid"/>
                    </a:ln>
                  </pic:spPr>
                </pic:pic>
              </a:graphicData>
            </a:graphic>
          </wp:inline>
        </w:drawing>
      </w:r>
    </w:p>
    <w:p w14:paraId="791A88E3" w14:textId="77777777" w:rsidR="00D05B6C" w:rsidRPr="00D915C3" w:rsidRDefault="002C1EE1">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w:t>
      </w:r>
    </w:p>
    <w:p w14:paraId="0A0252E5" w14:textId="77777777" w:rsidR="00D05B6C" w:rsidRPr="00D915C3" w:rsidRDefault="002C1EE1">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D915C3">
        <w:rPr>
          <w:rFonts w:ascii="Palatino Linotype" w:eastAsia="Palatino Linotype" w:hAnsi="Palatino Linotype" w:cs="Palatino Linotype"/>
          <w:noProof/>
          <w:sz w:val="22"/>
          <w:szCs w:val="22"/>
        </w:rPr>
        <w:drawing>
          <wp:inline distT="0" distB="0" distL="0" distR="0" wp14:anchorId="70938C64" wp14:editId="677DDBD3">
            <wp:extent cx="5612130" cy="1143000"/>
            <wp:effectExtent l="3175" t="3175" r="3175" b="3175"/>
            <wp:docPr id="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12130" cy="1143000"/>
                    </a:xfrm>
                    <a:prstGeom prst="rect">
                      <a:avLst/>
                    </a:prstGeom>
                    <a:ln w="3175">
                      <a:solidFill>
                        <a:srgbClr val="000000"/>
                      </a:solidFill>
                      <a:prstDash val="solid"/>
                    </a:ln>
                  </pic:spPr>
                </pic:pic>
              </a:graphicData>
            </a:graphic>
          </wp:inline>
        </w:drawing>
      </w:r>
    </w:p>
    <w:p w14:paraId="1632DA5C" w14:textId="77777777" w:rsidR="00D05B6C" w:rsidRPr="00D915C3" w:rsidRDefault="002C1EE1">
      <w:pPr>
        <w:pBdr>
          <w:top w:val="nil"/>
          <w:left w:val="nil"/>
          <w:bottom w:val="nil"/>
          <w:right w:val="nil"/>
          <w:between w:val="nil"/>
        </w:pBdr>
        <w:spacing w:line="360" w:lineRule="auto"/>
        <w:ind w:right="49"/>
        <w:jc w:val="center"/>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w:t>
      </w:r>
    </w:p>
    <w:p w14:paraId="37EFB39E" w14:textId="77777777" w:rsidR="00D05B6C" w:rsidRPr="00D915C3" w:rsidRDefault="002C1EE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noProof/>
          <w:sz w:val="22"/>
          <w:szCs w:val="22"/>
        </w:rPr>
        <w:drawing>
          <wp:inline distT="0" distB="0" distL="0" distR="0" wp14:anchorId="62672576" wp14:editId="2A150AB7">
            <wp:extent cx="5612130" cy="1720215"/>
            <wp:effectExtent l="3175" t="3175" r="3175" b="3175"/>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12130" cy="1720215"/>
                    </a:xfrm>
                    <a:prstGeom prst="rect">
                      <a:avLst/>
                    </a:prstGeom>
                    <a:ln w="3175">
                      <a:solidFill>
                        <a:srgbClr val="000000"/>
                      </a:solidFill>
                      <a:prstDash val="solid"/>
                    </a:ln>
                  </pic:spPr>
                </pic:pic>
              </a:graphicData>
            </a:graphic>
          </wp:inline>
        </w:drawing>
      </w:r>
    </w:p>
    <w:p w14:paraId="01CA9715" w14:textId="77777777" w:rsidR="00D05B6C" w:rsidRPr="00D915C3" w:rsidRDefault="00D05B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412BC92" w14:textId="77777777" w:rsidR="00D05B6C" w:rsidRPr="00D915C3" w:rsidRDefault="002C1EE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De las notas periodísticas insertas, se desprende lo siguiente:</w:t>
      </w:r>
    </w:p>
    <w:p w14:paraId="6DD912DE" w14:textId="77777777" w:rsidR="00D05B6C" w:rsidRPr="00D915C3" w:rsidRDefault="00D05B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BB5B9B9" w14:textId="77777777" w:rsidR="00D05B6C" w:rsidRPr="00D915C3" w:rsidRDefault="002C1EE1">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lastRenderedPageBreak/>
        <w:t xml:space="preserve">Que </w:t>
      </w:r>
      <w:proofErr w:type="gramStart"/>
      <w:r w:rsidRPr="00D915C3">
        <w:rPr>
          <w:rFonts w:ascii="Palatino Linotype" w:eastAsia="Palatino Linotype" w:hAnsi="Palatino Linotype" w:cs="Palatino Linotype"/>
          <w:sz w:val="22"/>
          <w:szCs w:val="22"/>
        </w:rPr>
        <w:t>en  la</w:t>
      </w:r>
      <w:proofErr w:type="gramEnd"/>
      <w:r w:rsidRPr="00D915C3">
        <w:rPr>
          <w:rFonts w:ascii="Palatino Linotype" w:eastAsia="Palatino Linotype" w:hAnsi="Palatino Linotype" w:cs="Palatino Linotype"/>
          <w:sz w:val="22"/>
          <w:szCs w:val="22"/>
        </w:rPr>
        <w:t xml:space="preserve"> vialidad/calle a la que hace referencia el particular en su solicitud de información –</w:t>
      </w:r>
      <w:r w:rsidRPr="00D915C3">
        <w:rPr>
          <w:rFonts w:ascii="Palatino Linotype" w:eastAsia="Palatino Linotype" w:hAnsi="Palatino Linotype" w:cs="Palatino Linotype"/>
          <w:b/>
          <w:sz w:val="22"/>
          <w:szCs w:val="22"/>
        </w:rPr>
        <w:t>Paseo Agricultor</w:t>
      </w:r>
      <w:r w:rsidRPr="00D915C3">
        <w:rPr>
          <w:rFonts w:ascii="Palatino Linotype" w:eastAsia="Palatino Linotype" w:hAnsi="Palatino Linotype" w:cs="Palatino Linotype"/>
          <w:sz w:val="22"/>
          <w:szCs w:val="22"/>
        </w:rPr>
        <w:t xml:space="preserve">- se pretende construir un paso a desnivel para unir las dos estructuras de la Plaza Galerías Metepec, con motivo del proyecto de ampliación, el cual ha sido aprobado tanto por el Gobierno de la Entidad como por el Gobierno Municipal de Metepec, y que está ejecutando una empresa privada denominada </w:t>
      </w:r>
      <w:r w:rsidRPr="00D915C3">
        <w:rPr>
          <w:rFonts w:ascii="Palatino Linotype" w:eastAsia="Palatino Linotype" w:hAnsi="Palatino Linotype" w:cs="Palatino Linotype"/>
          <w:b/>
          <w:sz w:val="22"/>
          <w:szCs w:val="22"/>
        </w:rPr>
        <w:t xml:space="preserve">Grupo </w:t>
      </w:r>
      <w:proofErr w:type="spellStart"/>
      <w:r w:rsidRPr="00D915C3">
        <w:rPr>
          <w:rFonts w:ascii="Palatino Linotype" w:eastAsia="Palatino Linotype" w:hAnsi="Palatino Linotype" w:cs="Palatino Linotype"/>
          <w:b/>
          <w:sz w:val="22"/>
          <w:szCs w:val="22"/>
        </w:rPr>
        <w:t>Gicsa</w:t>
      </w:r>
      <w:proofErr w:type="spellEnd"/>
      <w:r w:rsidRPr="00D915C3">
        <w:rPr>
          <w:rFonts w:ascii="Palatino Linotype" w:eastAsia="Palatino Linotype" w:hAnsi="Palatino Linotype" w:cs="Palatino Linotype"/>
          <w:b/>
          <w:sz w:val="22"/>
          <w:szCs w:val="22"/>
        </w:rPr>
        <w:t>.</w:t>
      </w:r>
    </w:p>
    <w:p w14:paraId="45A2B769" w14:textId="77777777" w:rsidR="00D05B6C" w:rsidRPr="00D915C3" w:rsidRDefault="00D05B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E6322BF" w14:textId="77777777" w:rsidR="00D05B6C" w:rsidRPr="00D915C3" w:rsidRDefault="002C1EE1">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Que la intención es cerrar esa vialidad –Paseo Agricultor- que pasa entre Galerías Metepec y el Costco aproximadamente 6 meses </w:t>
      </w:r>
      <w:r w:rsidRPr="00D915C3">
        <w:rPr>
          <w:rFonts w:ascii="Palatino Linotype" w:eastAsia="Palatino Linotype" w:hAnsi="Palatino Linotype" w:cs="Palatino Linotype"/>
          <w:b/>
          <w:sz w:val="22"/>
          <w:szCs w:val="22"/>
          <w:u w:val="single"/>
        </w:rPr>
        <w:t>para hacer un paso a desnivel o un paso deprimido</w:t>
      </w:r>
      <w:r w:rsidRPr="00D915C3">
        <w:rPr>
          <w:rFonts w:ascii="Palatino Linotype" w:eastAsia="Palatino Linotype" w:hAnsi="Palatino Linotype" w:cs="Palatino Linotype"/>
          <w:sz w:val="22"/>
          <w:szCs w:val="22"/>
        </w:rPr>
        <w:t>, porque en el proyecto de ampliación una plaza se conecta con la otra estructura.</w:t>
      </w:r>
    </w:p>
    <w:p w14:paraId="0C38A692" w14:textId="77777777" w:rsidR="00D05B6C" w:rsidRPr="00D915C3" w:rsidRDefault="00D05B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45AF6D1" w14:textId="77777777" w:rsidR="00D05B6C" w:rsidRPr="00D915C3" w:rsidRDefault="002C1EE1">
      <w:pPr>
        <w:spacing w:line="360" w:lineRule="auto"/>
        <w:ind w:right="-93"/>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D915C3">
        <w:rPr>
          <w:rFonts w:ascii="Palatino Linotype" w:eastAsia="Palatino Linotype" w:hAnsi="Palatino Linotype" w:cs="Palatino Linotype"/>
          <w:b/>
          <w:i/>
          <w:sz w:val="22"/>
          <w:szCs w:val="22"/>
        </w:rPr>
        <w:t>“NOTAS PERIODISTICAS, EL CONOCIMIENTO QUE DE ELLAS SE OBTIENE NO CONSTITUYE ‘UN HECHO PUBLICO Y NOTORIO’”</w:t>
      </w:r>
      <w:r w:rsidRPr="00D915C3">
        <w:rPr>
          <w:rFonts w:ascii="Palatino Linotype" w:eastAsia="Palatino Linotype" w:hAnsi="Palatino Linotype" w:cs="Palatino Linotype"/>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w:t>
      </w:r>
    </w:p>
    <w:p w14:paraId="60BBB093" w14:textId="77777777" w:rsidR="00D05B6C" w:rsidRPr="00D915C3" w:rsidRDefault="00D05B6C">
      <w:pPr>
        <w:spacing w:line="360" w:lineRule="auto"/>
        <w:ind w:right="-93"/>
        <w:jc w:val="both"/>
        <w:rPr>
          <w:rFonts w:ascii="Palatino Linotype" w:eastAsia="Palatino Linotype" w:hAnsi="Palatino Linotype" w:cs="Palatino Linotype"/>
          <w:sz w:val="22"/>
          <w:szCs w:val="22"/>
        </w:rPr>
      </w:pPr>
    </w:p>
    <w:p w14:paraId="1B71F2F6" w14:textId="77777777" w:rsidR="00D05B6C" w:rsidRPr="00D915C3" w:rsidRDefault="002C1EE1">
      <w:pPr>
        <w:spacing w:line="360" w:lineRule="auto"/>
        <w:ind w:right="-93"/>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De tal situación, si bien lo consignado en las notas periodísticas no constituye un hecho público o notorio, sino una opinión de su autor, las mismas se toman como </w:t>
      </w:r>
      <w:r w:rsidRPr="00D915C3">
        <w:rPr>
          <w:rFonts w:ascii="Palatino Linotype" w:eastAsia="Palatino Linotype" w:hAnsi="Palatino Linotype" w:cs="Palatino Linotype"/>
          <w:b/>
          <w:sz w:val="22"/>
          <w:szCs w:val="22"/>
        </w:rPr>
        <w:t xml:space="preserve">indicios, </w:t>
      </w:r>
      <w:r w:rsidRPr="00D915C3">
        <w:rPr>
          <w:rFonts w:ascii="Palatino Linotype" w:eastAsia="Palatino Linotype" w:hAnsi="Palatino Linotype" w:cs="Palatino Linotype"/>
          <w:sz w:val="22"/>
          <w:szCs w:val="22"/>
        </w:rPr>
        <w:t xml:space="preserve">que permiten observar que el cierre de la calle “Paseo Agricultor” que cruza al lado de Galerías </w:t>
      </w:r>
      <w:r w:rsidRPr="00D915C3">
        <w:rPr>
          <w:rFonts w:ascii="Palatino Linotype" w:eastAsia="Palatino Linotype" w:hAnsi="Palatino Linotype" w:cs="Palatino Linotype"/>
          <w:sz w:val="22"/>
          <w:szCs w:val="22"/>
        </w:rPr>
        <w:lastRenderedPageBreak/>
        <w:t xml:space="preserve">Metepec y los supermercados al costado como Costco en el Municipio de Metepec, se debió a la construcción de un paso a desnivel o paso deprimido derivado del proyecto de ampliación de Galerías Metepec ejecutado por la empresa privada denominada </w:t>
      </w:r>
      <w:r w:rsidRPr="00D915C3">
        <w:rPr>
          <w:rFonts w:ascii="Palatino Linotype" w:eastAsia="Palatino Linotype" w:hAnsi="Palatino Linotype" w:cs="Palatino Linotype"/>
          <w:b/>
          <w:sz w:val="22"/>
          <w:szCs w:val="22"/>
        </w:rPr>
        <w:t xml:space="preserve">Grupo </w:t>
      </w:r>
      <w:proofErr w:type="spellStart"/>
      <w:r w:rsidRPr="00D915C3">
        <w:rPr>
          <w:rFonts w:ascii="Palatino Linotype" w:eastAsia="Palatino Linotype" w:hAnsi="Palatino Linotype" w:cs="Palatino Linotype"/>
          <w:b/>
          <w:sz w:val="22"/>
          <w:szCs w:val="22"/>
        </w:rPr>
        <w:t>Gicsa</w:t>
      </w:r>
      <w:proofErr w:type="spellEnd"/>
      <w:r w:rsidRPr="00D915C3">
        <w:rPr>
          <w:rFonts w:ascii="Palatino Linotype" w:eastAsia="Palatino Linotype" w:hAnsi="Palatino Linotype" w:cs="Palatino Linotype"/>
          <w:sz w:val="22"/>
          <w:szCs w:val="22"/>
        </w:rPr>
        <w:t xml:space="preserve">; </w:t>
      </w:r>
      <w:r w:rsidRPr="00D915C3">
        <w:rPr>
          <w:rFonts w:ascii="Palatino Linotype" w:eastAsia="Palatino Linotype" w:hAnsi="Palatino Linotype" w:cs="Palatino Linotype"/>
          <w:b/>
          <w:sz w:val="22"/>
          <w:szCs w:val="22"/>
          <w:u w:val="single"/>
        </w:rPr>
        <w:t>situación que hace patente con el pronunciamiento hecho valer por el Director de Seguridad Pública vía informe justificado.</w:t>
      </w:r>
    </w:p>
    <w:p w14:paraId="7D828EFF" w14:textId="77777777" w:rsidR="00D05B6C" w:rsidRPr="00D915C3" w:rsidRDefault="00D05B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4B4BF5B" w14:textId="77777777" w:rsidR="00D05B6C" w:rsidRPr="00D915C3" w:rsidRDefault="002C1EE1">
      <w:pPr>
        <w:spacing w:line="360" w:lineRule="auto"/>
        <w:ind w:right="49"/>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Bajo ese contexto, este Pleno considera necesario dejar claro que, al haber existido un pronunciamiento por parte del </w:t>
      </w:r>
      <w:r w:rsidRPr="00D915C3">
        <w:rPr>
          <w:rFonts w:ascii="Palatino Linotype" w:eastAsia="Palatino Linotype" w:hAnsi="Palatino Linotype" w:cs="Palatino Linotype"/>
          <w:b/>
          <w:sz w:val="22"/>
          <w:szCs w:val="22"/>
        </w:rPr>
        <w:t>Sujeto Obligado</w:t>
      </w:r>
      <w:r w:rsidRPr="00D915C3">
        <w:rPr>
          <w:rFonts w:ascii="Palatino Linotype" w:eastAsia="Palatino Linotype" w:hAnsi="Palatino Linotype" w:cs="Palatino Linotype"/>
          <w:sz w:val="22"/>
          <w:szCs w:val="22"/>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751DBD21" w14:textId="77777777" w:rsidR="00D05B6C" w:rsidRPr="00D915C3" w:rsidRDefault="00D05B6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0ED883D" w14:textId="77777777" w:rsidR="00D05B6C" w:rsidRPr="00D915C3" w:rsidRDefault="002C1EE1">
      <w:pPr>
        <w:pBdr>
          <w:top w:val="nil"/>
          <w:left w:val="nil"/>
          <w:bottom w:val="nil"/>
          <w:right w:val="nil"/>
          <w:between w:val="nil"/>
        </w:pBdr>
        <w:spacing w:line="276" w:lineRule="auto"/>
        <w:ind w:left="860" w:right="560"/>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i/>
          <w:sz w:val="22"/>
          <w:szCs w:val="22"/>
        </w:rPr>
        <w:t>“</w:t>
      </w:r>
      <w:r w:rsidRPr="00D915C3">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D915C3">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3903959"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4EF4ACC0" w14:textId="77777777" w:rsidR="00D05B6C" w:rsidRPr="00D915C3" w:rsidRDefault="002C1EE1">
      <w:pPr>
        <w:spacing w:line="360" w:lineRule="auto"/>
        <w:ind w:right="51"/>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lastRenderedPageBreak/>
        <w:t xml:space="preserve">Por consiguiente, una vez analizadas las constancias que integran el expediente en que se actúa se advierte que vía informe justificado el </w:t>
      </w:r>
      <w:r w:rsidRPr="00D915C3">
        <w:rPr>
          <w:rFonts w:ascii="Palatino Linotype" w:eastAsia="Palatino Linotype" w:hAnsi="Palatino Linotype" w:cs="Palatino Linotype"/>
          <w:b/>
          <w:sz w:val="22"/>
          <w:szCs w:val="22"/>
        </w:rPr>
        <w:t>Sujeto Obligado</w:t>
      </w:r>
      <w:r w:rsidRPr="00D915C3">
        <w:rPr>
          <w:rFonts w:ascii="Palatino Linotype" w:eastAsia="Palatino Linotype" w:hAnsi="Palatino Linotype" w:cs="Palatino Linotype"/>
          <w:sz w:val="22"/>
          <w:szCs w:val="22"/>
        </w:rPr>
        <w:t xml:space="preserve"> colmó en su totalidad el derecho de acceso a la información pública al modificar su respuesta; ello, actualizó la causal de sobreseimiento prevista en la fracción III del artículo 192 de la Ley de Transparencia y Acceso a la Información Pública del Estado de México y Municipios, que dispone lo siguiente:</w:t>
      </w:r>
    </w:p>
    <w:p w14:paraId="1B941C0B" w14:textId="77777777" w:rsidR="00D05B6C" w:rsidRPr="00D915C3" w:rsidRDefault="00D05B6C">
      <w:pPr>
        <w:spacing w:line="360" w:lineRule="auto"/>
        <w:ind w:right="51"/>
        <w:jc w:val="both"/>
        <w:rPr>
          <w:rFonts w:ascii="Palatino Linotype" w:eastAsia="Palatino Linotype" w:hAnsi="Palatino Linotype" w:cs="Palatino Linotype"/>
          <w:sz w:val="22"/>
          <w:szCs w:val="22"/>
        </w:rPr>
      </w:pPr>
    </w:p>
    <w:p w14:paraId="1C0480C1" w14:textId="77777777" w:rsidR="00D05B6C" w:rsidRPr="00D915C3" w:rsidRDefault="002C1EE1">
      <w:pPr>
        <w:ind w:left="992" w:right="1043"/>
        <w:jc w:val="both"/>
        <w:rPr>
          <w:rFonts w:ascii="Palatino Linotype" w:eastAsia="Palatino Linotype" w:hAnsi="Palatino Linotype" w:cs="Palatino Linotype"/>
          <w:i/>
          <w:sz w:val="22"/>
          <w:szCs w:val="22"/>
        </w:rPr>
      </w:pPr>
      <w:r w:rsidRPr="00D915C3">
        <w:rPr>
          <w:rFonts w:ascii="Palatino Linotype" w:eastAsia="Palatino Linotype" w:hAnsi="Palatino Linotype" w:cs="Palatino Linotype"/>
          <w:b/>
          <w:i/>
          <w:sz w:val="22"/>
          <w:szCs w:val="22"/>
        </w:rPr>
        <w:t xml:space="preserve">“Artículo 192. </w:t>
      </w:r>
      <w:r w:rsidRPr="00D915C3">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73CC2CC6" w14:textId="77777777" w:rsidR="00D05B6C" w:rsidRPr="00D915C3" w:rsidRDefault="002C1EE1">
      <w:pPr>
        <w:ind w:left="992" w:right="1043"/>
        <w:jc w:val="both"/>
        <w:rPr>
          <w:rFonts w:ascii="Palatino Linotype" w:eastAsia="Palatino Linotype" w:hAnsi="Palatino Linotype" w:cs="Palatino Linotype"/>
          <w:i/>
          <w:sz w:val="22"/>
          <w:szCs w:val="22"/>
        </w:rPr>
      </w:pPr>
      <w:r w:rsidRPr="00D915C3">
        <w:rPr>
          <w:rFonts w:ascii="Palatino Linotype" w:eastAsia="Palatino Linotype" w:hAnsi="Palatino Linotype" w:cs="Palatino Linotype"/>
          <w:b/>
          <w:i/>
          <w:sz w:val="22"/>
          <w:szCs w:val="22"/>
        </w:rPr>
        <w:t>…</w:t>
      </w:r>
    </w:p>
    <w:p w14:paraId="7ADE9EC3" w14:textId="77777777" w:rsidR="00D05B6C" w:rsidRPr="00D915C3" w:rsidRDefault="002C1EE1">
      <w:pPr>
        <w:ind w:left="992" w:right="1043"/>
        <w:jc w:val="both"/>
        <w:rPr>
          <w:rFonts w:ascii="Palatino Linotype" w:eastAsia="Palatino Linotype" w:hAnsi="Palatino Linotype" w:cs="Palatino Linotype"/>
          <w:b/>
          <w:i/>
          <w:sz w:val="22"/>
          <w:szCs w:val="22"/>
        </w:rPr>
      </w:pPr>
      <w:r w:rsidRPr="00D915C3">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497DA257" w14:textId="77777777" w:rsidR="00D05B6C" w:rsidRPr="00D915C3" w:rsidRDefault="00D05B6C">
      <w:pPr>
        <w:spacing w:line="360" w:lineRule="auto"/>
        <w:jc w:val="both"/>
        <w:rPr>
          <w:rFonts w:ascii="Palatino Linotype" w:eastAsia="Palatino Linotype" w:hAnsi="Palatino Linotype" w:cs="Palatino Linotype"/>
          <w:b/>
          <w:i/>
          <w:sz w:val="22"/>
          <w:szCs w:val="22"/>
        </w:rPr>
      </w:pPr>
    </w:p>
    <w:p w14:paraId="73C9B50D" w14:textId="77777777" w:rsidR="00D05B6C" w:rsidRPr="00D915C3" w:rsidRDefault="002C1EE1">
      <w:pPr>
        <w:spacing w:after="240"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De lo establecido en el precepto legal citado se advierte que el sobreseimiento del recurso de revisión procede en los siguientes casos:</w:t>
      </w:r>
    </w:p>
    <w:p w14:paraId="1C339E93" w14:textId="77777777" w:rsidR="00D05B6C" w:rsidRPr="00D915C3" w:rsidRDefault="002C1EE1">
      <w:pPr>
        <w:spacing w:before="240" w:after="240"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a) Cuando el sujeto obligado modifique el acto impugnado.</w:t>
      </w:r>
    </w:p>
    <w:p w14:paraId="035721C8" w14:textId="77777777" w:rsidR="00D05B6C" w:rsidRPr="00D915C3" w:rsidRDefault="002C1EE1">
      <w:pPr>
        <w:spacing w:before="240" w:after="240"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b) Cuando el sujeto obligado revoque el acto impugnado.</w:t>
      </w:r>
    </w:p>
    <w:p w14:paraId="40B7A7DC" w14:textId="77777777" w:rsidR="00D05B6C" w:rsidRPr="00D915C3" w:rsidRDefault="002C1EE1">
      <w:pPr>
        <w:spacing w:before="240" w:after="240"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Quedando en ambos casos el acto combatido sin materia o sin efectos.</w:t>
      </w:r>
    </w:p>
    <w:p w14:paraId="60AF7138"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Como se observa de lo anterior, un acto impugnado es modificado en aquellos casos en los que el </w:t>
      </w:r>
      <w:r w:rsidRPr="00D915C3">
        <w:rPr>
          <w:rFonts w:ascii="Palatino Linotype" w:eastAsia="Palatino Linotype" w:hAnsi="Palatino Linotype" w:cs="Palatino Linotype"/>
          <w:b/>
          <w:sz w:val="22"/>
          <w:szCs w:val="22"/>
        </w:rPr>
        <w:t>Sujeto Obligado</w:t>
      </w:r>
      <w:r w:rsidRPr="00D915C3">
        <w:rPr>
          <w:rFonts w:ascii="Palatino Linotype" w:eastAsia="Palatino Linotype" w:hAnsi="Palatino Linotype" w:cs="Palatino Linotype"/>
          <w:sz w:val="22"/>
          <w:szCs w:val="22"/>
        </w:rPr>
        <w:t xml:space="preserve"> después de haber otorgado una respuesta, emite una diversa de manera posterior y en esta subsana las deficiencias que hubiera tenido, quedando satisfecho el derecho subjetivo accionado por la parte </w:t>
      </w:r>
      <w:r w:rsidRPr="00D915C3">
        <w:rPr>
          <w:rFonts w:ascii="Palatino Linotype" w:eastAsia="Palatino Linotype" w:hAnsi="Palatino Linotype" w:cs="Palatino Linotype"/>
          <w:b/>
          <w:sz w:val="22"/>
          <w:szCs w:val="22"/>
        </w:rPr>
        <w:t>Recurrente</w:t>
      </w:r>
      <w:r w:rsidRPr="00D915C3">
        <w:rPr>
          <w:rFonts w:ascii="Palatino Linotype" w:eastAsia="Palatino Linotype" w:hAnsi="Palatino Linotype" w:cs="Palatino Linotype"/>
          <w:sz w:val="22"/>
          <w:szCs w:val="22"/>
        </w:rPr>
        <w:t>.</w:t>
      </w:r>
    </w:p>
    <w:p w14:paraId="45976A6E"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5CDAC5D1"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Por lo que hace a la revocación, esta se actualiza cuando el </w:t>
      </w:r>
      <w:r w:rsidRPr="00D915C3">
        <w:rPr>
          <w:rFonts w:ascii="Palatino Linotype" w:eastAsia="Palatino Linotype" w:hAnsi="Palatino Linotype" w:cs="Palatino Linotype"/>
          <w:b/>
          <w:sz w:val="22"/>
          <w:szCs w:val="22"/>
        </w:rPr>
        <w:t xml:space="preserve">Sujeto Obligado </w:t>
      </w:r>
      <w:r w:rsidRPr="00D915C3">
        <w:rPr>
          <w:rFonts w:ascii="Palatino Linotype" w:eastAsia="Palatino Linotype" w:hAnsi="Palatino Linotype" w:cs="Palatino Linotype"/>
          <w:sz w:val="22"/>
          <w:szCs w:val="22"/>
        </w:rPr>
        <w:t>deja sin efectos la primera respuesta y en su lugar emite otra con las características y cualidades suficientes para dejar satisfecho el ejercicio del derecho al acceso a la información pública.</w:t>
      </w:r>
    </w:p>
    <w:p w14:paraId="4FE3C42F"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6FEA1012"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En ese tenor, un acto impugnado queda sin efectos, cuando aun existiendo jurídicamente (esto es, que no se ha modificado, ni revocado) ya no genera ninguna consecuencia legal.</w:t>
      </w:r>
    </w:p>
    <w:p w14:paraId="017769F2"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5D280F80"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En tanto, el recurso de revisión que nos ocupa queda sin materia, toda vez que, con el informe justificado, el </w:t>
      </w:r>
      <w:r w:rsidRPr="00D915C3">
        <w:rPr>
          <w:rFonts w:ascii="Palatino Linotype" w:eastAsia="Palatino Linotype" w:hAnsi="Palatino Linotype" w:cs="Palatino Linotype"/>
          <w:b/>
          <w:sz w:val="22"/>
          <w:szCs w:val="22"/>
        </w:rPr>
        <w:t>Sujeto Obligado</w:t>
      </w:r>
      <w:r w:rsidRPr="00D915C3">
        <w:rPr>
          <w:rFonts w:ascii="Palatino Linotype" w:eastAsia="Palatino Linotype" w:hAnsi="Palatino Linotype" w:cs="Palatino Linotype"/>
          <w:sz w:val="22"/>
          <w:szCs w:val="22"/>
        </w:rPr>
        <w:t xml:space="preserve"> modificó su respuesta al pronunciarse sobre lo solicitado.</w:t>
      </w:r>
    </w:p>
    <w:p w14:paraId="64E7903E"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229591A9"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Por lo que, tomando en consideración dicha circunstancia, así como el hecho de que la información proporcionada por el </w:t>
      </w:r>
      <w:r w:rsidRPr="00D915C3">
        <w:rPr>
          <w:rFonts w:ascii="Palatino Linotype" w:eastAsia="Palatino Linotype" w:hAnsi="Palatino Linotype" w:cs="Palatino Linotype"/>
          <w:b/>
          <w:sz w:val="22"/>
          <w:szCs w:val="22"/>
        </w:rPr>
        <w:t>Sujeto Obligado</w:t>
      </w:r>
      <w:r w:rsidRPr="00D915C3">
        <w:rPr>
          <w:rFonts w:ascii="Palatino Linotype" w:eastAsia="Palatino Linotype" w:hAnsi="Palatino Linotype" w:cs="Palatino Linotype"/>
          <w:sz w:val="22"/>
          <w:szCs w:val="22"/>
        </w:rPr>
        <w:t xml:space="preserve"> en informe justificado fue puesta a la vista de la parte </w:t>
      </w:r>
      <w:r w:rsidRPr="00D915C3">
        <w:rPr>
          <w:rFonts w:ascii="Palatino Linotype" w:eastAsia="Palatino Linotype" w:hAnsi="Palatino Linotype" w:cs="Palatino Linotype"/>
          <w:b/>
          <w:sz w:val="22"/>
          <w:szCs w:val="22"/>
        </w:rPr>
        <w:t xml:space="preserve">Recurrente </w:t>
      </w:r>
      <w:r w:rsidRPr="00D915C3">
        <w:rPr>
          <w:rFonts w:ascii="Palatino Linotype" w:eastAsia="Palatino Linotype" w:hAnsi="Palatino Linotype" w:cs="Palatino Linotype"/>
          <w:sz w:val="22"/>
          <w:szCs w:val="22"/>
        </w:rPr>
        <w:t xml:space="preserve">con la finalidad de que manifestara lo que a su derecho conviniera, sin que obre constancia en el expediente electrónico de que dicho derecho se hiciera valer, debe entenderse que ha quedado satisfecha la solicitud planteada, quedando sin materia el recurso de revisión </w:t>
      </w:r>
      <w:r w:rsidRPr="00D915C3">
        <w:rPr>
          <w:rFonts w:ascii="Palatino Linotype" w:eastAsia="Palatino Linotype" w:hAnsi="Palatino Linotype" w:cs="Palatino Linotype"/>
          <w:b/>
          <w:sz w:val="22"/>
          <w:szCs w:val="22"/>
        </w:rPr>
        <w:t>05184/INFOEM/IP/RR/2024</w:t>
      </w:r>
      <w:r w:rsidRPr="00D915C3">
        <w:rPr>
          <w:rFonts w:ascii="Palatino Linotype" w:eastAsia="Palatino Linotype" w:hAnsi="Palatino Linotype" w:cs="Palatino Linotype"/>
          <w:sz w:val="22"/>
          <w:szCs w:val="22"/>
        </w:rPr>
        <w:t>, consecuentemente se actualiza la causal prevista de sobreseimiento antes transcrita; resultando procedente el sobreseimiento de dicho medio de impugnación en términos del artículo 186, fracción I de la Ley de Transparencia y Acceso a la Información Pública del Estado de México y Municipios.</w:t>
      </w:r>
    </w:p>
    <w:p w14:paraId="5F01D2E4"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64044E24"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Lo anterior, pues se insiste el </w:t>
      </w:r>
      <w:r w:rsidRPr="00D915C3">
        <w:rPr>
          <w:rFonts w:ascii="Palatino Linotype" w:eastAsia="Palatino Linotype" w:hAnsi="Palatino Linotype" w:cs="Palatino Linotype"/>
          <w:b/>
          <w:sz w:val="22"/>
          <w:szCs w:val="22"/>
        </w:rPr>
        <w:t>Sujeto Obligado</w:t>
      </w:r>
      <w:r w:rsidRPr="00D915C3">
        <w:rPr>
          <w:rFonts w:ascii="Palatino Linotype" w:eastAsia="Palatino Linotype" w:hAnsi="Palatino Linotype" w:cs="Palatino Linotype"/>
          <w:sz w:val="22"/>
          <w:szCs w:val="22"/>
        </w:rPr>
        <w:t xml:space="preserve"> atendió de la solicitud de acceso a la información pública de la parte </w:t>
      </w:r>
      <w:r w:rsidRPr="00D915C3">
        <w:rPr>
          <w:rFonts w:ascii="Palatino Linotype" w:eastAsia="Palatino Linotype" w:hAnsi="Palatino Linotype" w:cs="Palatino Linotype"/>
          <w:b/>
          <w:sz w:val="22"/>
          <w:szCs w:val="22"/>
        </w:rPr>
        <w:t>Recurrente</w:t>
      </w:r>
      <w:r w:rsidRPr="00D915C3">
        <w:rPr>
          <w:rFonts w:ascii="Palatino Linotype" w:eastAsia="Palatino Linotype" w:hAnsi="Palatino Linotype" w:cs="Palatino Linotype"/>
          <w:sz w:val="22"/>
          <w:szCs w:val="22"/>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1436A8B4"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0FF2AAE7"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 xml:space="preserve">Siendo el </w:t>
      </w:r>
      <w:r w:rsidRPr="00D915C3">
        <w:rPr>
          <w:rFonts w:ascii="Palatino Linotype" w:eastAsia="Palatino Linotype" w:hAnsi="Palatino Linotype" w:cs="Palatino Linotype"/>
          <w:i/>
          <w:sz w:val="22"/>
          <w:szCs w:val="22"/>
        </w:rPr>
        <w:t>sobreseimiento</w:t>
      </w:r>
      <w:r w:rsidRPr="00D915C3">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w:t>
      </w:r>
      <w:r w:rsidRPr="00D915C3">
        <w:rPr>
          <w:rFonts w:ascii="Palatino Linotype" w:eastAsia="Palatino Linotype" w:hAnsi="Palatino Linotype" w:cs="Palatino Linotype"/>
          <w:sz w:val="22"/>
          <w:szCs w:val="22"/>
        </w:rPr>
        <w:lastRenderedPageBreak/>
        <w:t xml:space="preserve">impiden a la autoridad referirse a lo sustancial de lo planteado por la parte </w:t>
      </w:r>
      <w:r w:rsidRPr="00D915C3">
        <w:rPr>
          <w:rFonts w:ascii="Palatino Linotype" w:eastAsia="Palatino Linotype" w:hAnsi="Palatino Linotype" w:cs="Palatino Linotype"/>
          <w:b/>
          <w:sz w:val="22"/>
          <w:szCs w:val="22"/>
        </w:rPr>
        <w:t>Recurrente</w:t>
      </w:r>
      <w:r w:rsidRPr="00D915C3">
        <w:rPr>
          <w:rFonts w:ascii="Palatino Linotype" w:eastAsia="Palatino Linotype" w:hAnsi="Palatino Linotype" w:cs="Palatino Linotype"/>
          <w:sz w:val="22"/>
          <w:szCs w:val="22"/>
        </w:rPr>
        <w:t>, los efectos del sobreseimiento son los de dar por concluido el recurso administrativo sin entrar al estudio de fondo del asunto de que se trate; lo anterior con apoyo en el criterio del Poder Judicial de la Federación con rubro:</w:t>
      </w:r>
    </w:p>
    <w:p w14:paraId="6B932B85" w14:textId="77777777" w:rsidR="00D05B6C" w:rsidRPr="00D915C3" w:rsidRDefault="002C1EE1">
      <w:pPr>
        <w:spacing w:before="240"/>
        <w:ind w:left="567" w:right="567"/>
        <w:jc w:val="both"/>
        <w:rPr>
          <w:rFonts w:ascii="Palatino Linotype" w:eastAsia="Palatino Linotype" w:hAnsi="Palatino Linotype" w:cs="Palatino Linotype"/>
          <w:i/>
          <w:sz w:val="22"/>
          <w:szCs w:val="22"/>
        </w:rPr>
      </w:pPr>
      <w:r w:rsidRPr="00D915C3">
        <w:rPr>
          <w:rFonts w:ascii="Palatino Linotype" w:eastAsia="Palatino Linotype" w:hAnsi="Palatino Linotype" w:cs="Palatino Linotype"/>
          <w:i/>
          <w:sz w:val="22"/>
          <w:szCs w:val="22"/>
        </w:rPr>
        <w:t>“</w:t>
      </w:r>
      <w:r w:rsidRPr="00D915C3">
        <w:rPr>
          <w:rFonts w:ascii="Palatino Linotype" w:eastAsia="Palatino Linotype" w:hAnsi="Palatino Linotype" w:cs="Palatino Linotype"/>
          <w:b/>
          <w:i/>
          <w:sz w:val="22"/>
          <w:szCs w:val="22"/>
        </w:rPr>
        <w:t xml:space="preserve">SOBRESEIMIENTO, NO PERMITE ENTRAR AL ESTUDIO DE LAS CUESTIONES DE FONDO </w:t>
      </w:r>
      <w:r w:rsidRPr="00D915C3">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D915C3">
        <w:rPr>
          <w:rFonts w:ascii="Palatino Linotype" w:eastAsia="Palatino Linotype" w:hAnsi="Palatino Linotype" w:cs="Palatino Linotype"/>
          <w:i/>
          <w:sz w:val="22"/>
          <w:szCs w:val="22"/>
        </w:rPr>
        <w:t>Febrero</w:t>
      </w:r>
      <w:proofErr w:type="gramEnd"/>
      <w:r w:rsidRPr="00D915C3">
        <w:rPr>
          <w:rFonts w:ascii="Palatino Linotype" w:eastAsia="Palatino Linotype" w:hAnsi="Palatino Linotype" w:cs="Palatino Linotype"/>
          <w:i/>
          <w:sz w:val="22"/>
          <w:szCs w:val="22"/>
        </w:rPr>
        <w:t xml:space="preserve"> de 1994, Pág. 420</w:t>
      </w:r>
    </w:p>
    <w:p w14:paraId="07F971B9" w14:textId="77777777" w:rsidR="00D05B6C" w:rsidRPr="00D915C3" w:rsidRDefault="002C1EE1">
      <w:pPr>
        <w:ind w:left="567" w:right="567"/>
        <w:jc w:val="both"/>
        <w:rPr>
          <w:rFonts w:ascii="Palatino Linotype" w:eastAsia="Palatino Linotype" w:hAnsi="Palatino Linotype" w:cs="Palatino Linotype"/>
          <w:i/>
          <w:sz w:val="22"/>
          <w:szCs w:val="22"/>
        </w:rPr>
      </w:pPr>
      <w:r w:rsidRPr="00D915C3">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078C88F9" w14:textId="77777777" w:rsidR="00D05B6C" w:rsidRPr="00D915C3" w:rsidRDefault="00D05B6C">
      <w:pPr>
        <w:ind w:left="567" w:right="567"/>
        <w:jc w:val="both"/>
        <w:rPr>
          <w:rFonts w:ascii="Palatino Linotype" w:eastAsia="Palatino Linotype" w:hAnsi="Palatino Linotype" w:cs="Palatino Linotype"/>
          <w:i/>
          <w:sz w:val="22"/>
          <w:szCs w:val="22"/>
        </w:rPr>
      </w:pPr>
    </w:p>
    <w:p w14:paraId="356F65DD" w14:textId="77777777" w:rsidR="00D05B6C" w:rsidRPr="00D915C3" w:rsidRDefault="002C1EE1">
      <w:pPr>
        <w:spacing w:after="240"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0DA3ABFA" w14:textId="77777777" w:rsidR="00D05B6C" w:rsidRPr="00D915C3" w:rsidRDefault="002C1EE1">
      <w:pPr>
        <w:spacing w:before="240"/>
        <w:ind w:left="567" w:right="567"/>
        <w:jc w:val="both"/>
        <w:rPr>
          <w:rFonts w:ascii="Palatino Linotype" w:eastAsia="Palatino Linotype" w:hAnsi="Palatino Linotype" w:cs="Palatino Linotype"/>
          <w:b/>
          <w:i/>
          <w:sz w:val="22"/>
          <w:szCs w:val="22"/>
        </w:rPr>
      </w:pPr>
      <w:r w:rsidRPr="00D915C3">
        <w:rPr>
          <w:rFonts w:ascii="Palatino Linotype" w:eastAsia="Palatino Linotype" w:hAnsi="Palatino Linotype" w:cs="Palatino Linotype"/>
          <w:sz w:val="22"/>
          <w:szCs w:val="22"/>
        </w:rPr>
        <w:t xml:space="preserve"> </w:t>
      </w:r>
      <w:r w:rsidRPr="00D915C3">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5B093D62" w14:textId="77777777" w:rsidR="00D05B6C" w:rsidRPr="00D915C3" w:rsidRDefault="002C1EE1">
      <w:pPr>
        <w:ind w:left="567" w:right="567"/>
        <w:jc w:val="both"/>
        <w:rPr>
          <w:rFonts w:ascii="Palatino Linotype" w:eastAsia="Palatino Linotype" w:hAnsi="Palatino Linotype" w:cs="Palatino Linotype"/>
          <w:i/>
          <w:sz w:val="22"/>
          <w:szCs w:val="22"/>
        </w:rPr>
      </w:pPr>
      <w:r w:rsidRPr="00D915C3">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0C84AED9" w14:textId="77777777" w:rsidR="00D05B6C" w:rsidRPr="00D915C3" w:rsidRDefault="00D05B6C">
      <w:pPr>
        <w:spacing w:line="360" w:lineRule="auto"/>
        <w:ind w:right="49"/>
        <w:jc w:val="both"/>
        <w:rPr>
          <w:rFonts w:ascii="Palatino Linotype" w:eastAsia="Palatino Linotype" w:hAnsi="Palatino Linotype" w:cs="Palatino Linotype"/>
          <w:sz w:val="22"/>
          <w:szCs w:val="22"/>
        </w:rPr>
      </w:pPr>
    </w:p>
    <w:p w14:paraId="593470EE" w14:textId="77777777" w:rsidR="00D05B6C" w:rsidRPr="00D915C3" w:rsidRDefault="002C1EE1">
      <w:pPr>
        <w:spacing w:line="360" w:lineRule="auto"/>
        <w:jc w:val="both"/>
        <w:rPr>
          <w:rFonts w:ascii="Palatino Linotype" w:eastAsia="Palatino Linotype" w:hAnsi="Palatino Linotype" w:cs="Palatino Linotype"/>
          <w:sz w:val="22"/>
          <w:szCs w:val="22"/>
        </w:rPr>
      </w:pPr>
      <w:bookmarkStart w:id="9" w:name="_heading=h.2et92p0" w:colFirst="0" w:colLast="0"/>
      <w:bookmarkEnd w:id="9"/>
      <w:r w:rsidRPr="00D915C3">
        <w:rPr>
          <w:rFonts w:ascii="Palatino Linotype" w:eastAsia="Palatino Linotype" w:hAnsi="Palatino Linotype" w:cs="Palatino Linotype"/>
          <w:sz w:val="22"/>
          <w:szCs w:val="22"/>
        </w:rPr>
        <w:lastRenderedPageBreak/>
        <w:t>Así, con fundamento en lo prescrito en los artículos 5 párrafos trigésimo tercero, trigésimo cuarto, trigésimo quinto fracciones IV y V de la Constitución Política del Estado Libre y Soberano de México; 2, fracción II; 29, 36 fracciones I y II; 176, 178, 181, 185, fracción I, 186, fracción I, así como 188 de la Ley de Transparencia y Acceso a la Información Pública del Estado de México y Municipios, este Pleno:</w:t>
      </w:r>
    </w:p>
    <w:p w14:paraId="4BDD39D8"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0100F614" w14:textId="77777777" w:rsidR="00D05B6C" w:rsidRPr="00D915C3" w:rsidRDefault="002C1EE1">
      <w:pPr>
        <w:numPr>
          <w:ilvl w:val="0"/>
          <w:numId w:val="6"/>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D915C3">
        <w:rPr>
          <w:rFonts w:ascii="Palatino Linotype" w:eastAsia="Palatino Linotype" w:hAnsi="Palatino Linotype" w:cs="Palatino Linotype"/>
          <w:b/>
          <w:sz w:val="22"/>
          <w:szCs w:val="22"/>
        </w:rPr>
        <w:t>R E S U E L V E:</w:t>
      </w:r>
    </w:p>
    <w:p w14:paraId="1CED123E" w14:textId="77777777" w:rsidR="00D05B6C" w:rsidRPr="00D915C3" w:rsidRDefault="002C1EE1">
      <w:pPr>
        <w:spacing w:before="280" w:after="280" w:line="360" w:lineRule="auto"/>
        <w:jc w:val="both"/>
        <w:rPr>
          <w:rFonts w:ascii="Palatino Linotype" w:eastAsia="Palatino Linotype" w:hAnsi="Palatino Linotype" w:cs="Palatino Linotype"/>
          <w:sz w:val="22"/>
          <w:szCs w:val="22"/>
        </w:rPr>
      </w:pPr>
      <w:bookmarkStart w:id="10" w:name="_heading=h.4d34og8" w:colFirst="0" w:colLast="0"/>
      <w:bookmarkEnd w:id="10"/>
      <w:r w:rsidRPr="00D915C3">
        <w:rPr>
          <w:rFonts w:ascii="Palatino Linotype" w:eastAsia="Palatino Linotype" w:hAnsi="Palatino Linotype" w:cs="Palatino Linotype"/>
          <w:b/>
          <w:sz w:val="22"/>
          <w:szCs w:val="22"/>
        </w:rPr>
        <w:t xml:space="preserve">Primero. </w:t>
      </w:r>
      <w:r w:rsidRPr="00D915C3">
        <w:rPr>
          <w:rFonts w:ascii="Palatino Linotype" w:eastAsia="Palatino Linotype" w:hAnsi="Palatino Linotype" w:cs="Palatino Linotype"/>
          <w:sz w:val="22"/>
          <w:szCs w:val="22"/>
        </w:rPr>
        <w:t xml:space="preserve">Se </w:t>
      </w:r>
      <w:r w:rsidRPr="00D915C3">
        <w:rPr>
          <w:rFonts w:ascii="Palatino Linotype" w:eastAsia="Palatino Linotype" w:hAnsi="Palatino Linotype" w:cs="Palatino Linotype"/>
          <w:b/>
          <w:sz w:val="22"/>
          <w:szCs w:val="22"/>
        </w:rPr>
        <w:t xml:space="preserve">Sobresee </w:t>
      </w:r>
      <w:r w:rsidRPr="00D915C3">
        <w:rPr>
          <w:rFonts w:ascii="Palatino Linotype" w:eastAsia="Palatino Linotype" w:hAnsi="Palatino Linotype" w:cs="Palatino Linotype"/>
          <w:sz w:val="22"/>
          <w:szCs w:val="22"/>
        </w:rPr>
        <w:t>el recurso de revisión número</w:t>
      </w:r>
      <w:r w:rsidRPr="00D915C3">
        <w:rPr>
          <w:rFonts w:ascii="Palatino Linotype" w:eastAsia="Palatino Linotype" w:hAnsi="Palatino Linotype" w:cs="Palatino Linotype"/>
          <w:b/>
          <w:sz w:val="22"/>
          <w:szCs w:val="22"/>
        </w:rPr>
        <w:t xml:space="preserve"> 05184/INFOEM/IP/RR/2024,</w:t>
      </w:r>
      <w:r w:rsidRPr="00D915C3">
        <w:rPr>
          <w:rFonts w:ascii="Palatino Linotype" w:eastAsia="Palatino Linotype" w:hAnsi="Palatino Linotype" w:cs="Palatino Linotype"/>
          <w:sz w:val="22"/>
          <w:szCs w:val="22"/>
        </w:rPr>
        <w:t xml:space="preserve"> porque al </w:t>
      </w:r>
      <w:r w:rsidRPr="00D915C3">
        <w:rPr>
          <w:rFonts w:ascii="Palatino Linotype" w:eastAsia="Palatino Linotype" w:hAnsi="Palatino Linotype" w:cs="Palatino Linotype"/>
          <w:b/>
          <w:sz w:val="22"/>
          <w:szCs w:val="22"/>
        </w:rPr>
        <w:t>modificar la respuesta</w:t>
      </w:r>
      <w:r w:rsidRPr="00D915C3">
        <w:rPr>
          <w:rFonts w:ascii="Palatino Linotype" w:eastAsia="Palatino Linotype" w:hAnsi="Palatino Linotype" w:cs="Palatino Linotype"/>
          <w:sz w:val="22"/>
          <w:szCs w:val="22"/>
        </w:rPr>
        <w:t xml:space="preserve"> se actualizó la causal prevista en el artículo 192, fracción III, de la Ley de Transparencia y Acceso a la Información Pública del Estado de México y Municipios, quedándose sin materia dicho medio de impugnación en términos del considerando </w:t>
      </w:r>
      <w:r w:rsidRPr="00D915C3">
        <w:rPr>
          <w:rFonts w:ascii="Palatino Linotype" w:eastAsia="Palatino Linotype" w:hAnsi="Palatino Linotype" w:cs="Palatino Linotype"/>
          <w:b/>
          <w:sz w:val="22"/>
          <w:szCs w:val="22"/>
        </w:rPr>
        <w:t>Tercero</w:t>
      </w:r>
      <w:r w:rsidRPr="00D915C3">
        <w:rPr>
          <w:rFonts w:ascii="Palatino Linotype" w:eastAsia="Palatino Linotype" w:hAnsi="Palatino Linotype" w:cs="Palatino Linotype"/>
          <w:i/>
          <w:sz w:val="22"/>
          <w:szCs w:val="22"/>
        </w:rPr>
        <w:t xml:space="preserve"> </w:t>
      </w:r>
      <w:r w:rsidRPr="00D915C3">
        <w:rPr>
          <w:rFonts w:ascii="Palatino Linotype" w:eastAsia="Palatino Linotype" w:hAnsi="Palatino Linotype" w:cs="Palatino Linotype"/>
          <w:sz w:val="22"/>
          <w:szCs w:val="22"/>
        </w:rPr>
        <w:t>de la presente Resolución.</w:t>
      </w:r>
    </w:p>
    <w:p w14:paraId="4DE1981C" w14:textId="77777777" w:rsidR="00D05B6C" w:rsidRPr="00D915C3" w:rsidRDefault="002C1EE1">
      <w:pPr>
        <w:spacing w:line="360" w:lineRule="auto"/>
        <w:jc w:val="both"/>
        <w:rPr>
          <w:rFonts w:ascii="Palatino Linotype" w:eastAsia="Palatino Linotype" w:hAnsi="Palatino Linotype" w:cs="Palatino Linotype"/>
          <w:b/>
          <w:sz w:val="22"/>
          <w:szCs w:val="22"/>
        </w:rPr>
      </w:pPr>
      <w:r w:rsidRPr="00D915C3">
        <w:rPr>
          <w:rFonts w:ascii="Palatino Linotype" w:eastAsia="Palatino Linotype" w:hAnsi="Palatino Linotype" w:cs="Palatino Linotype"/>
          <w:b/>
          <w:sz w:val="22"/>
          <w:szCs w:val="22"/>
        </w:rPr>
        <w:t xml:space="preserve">Segundo. Notifíquese </w:t>
      </w:r>
      <w:r w:rsidRPr="00D915C3">
        <w:rPr>
          <w:rFonts w:ascii="Palatino Linotype" w:eastAsia="Palatino Linotype" w:hAnsi="Palatino Linotype" w:cs="Palatino Linotype"/>
          <w:sz w:val="22"/>
          <w:szCs w:val="22"/>
        </w:rPr>
        <w:t>vía SAIMEX,</w:t>
      </w:r>
      <w:r w:rsidRPr="00D915C3">
        <w:rPr>
          <w:rFonts w:ascii="Palatino Linotype" w:eastAsia="Palatino Linotype" w:hAnsi="Palatino Linotype" w:cs="Palatino Linotype"/>
          <w:b/>
          <w:sz w:val="22"/>
          <w:szCs w:val="22"/>
        </w:rPr>
        <w:t xml:space="preserve"> </w:t>
      </w:r>
      <w:r w:rsidRPr="00D915C3">
        <w:rPr>
          <w:rFonts w:ascii="Palatino Linotype" w:eastAsia="Palatino Linotype" w:hAnsi="Palatino Linotype" w:cs="Palatino Linotype"/>
          <w:sz w:val="22"/>
          <w:szCs w:val="22"/>
        </w:rPr>
        <w:t xml:space="preserve">al </w:t>
      </w:r>
      <w:proofErr w:type="gramStart"/>
      <w:r w:rsidRPr="00D915C3">
        <w:rPr>
          <w:rFonts w:ascii="Palatino Linotype" w:eastAsia="Palatino Linotype" w:hAnsi="Palatino Linotype" w:cs="Palatino Linotype"/>
          <w:sz w:val="22"/>
          <w:szCs w:val="22"/>
        </w:rPr>
        <w:t>Responsable</w:t>
      </w:r>
      <w:proofErr w:type="gramEnd"/>
      <w:r w:rsidRPr="00D915C3">
        <w:rPr>
          <w:rFonts w:ascii="Palatino Linotype" w:eastAsia="Palatino Linotype" w:hAnsi="Palatino Linotype" w:cs="Palatino Linotype"/>
          <w:sz w:val="22"/>
          <w:szCs w:val="22"/>
        </w:rPr>
        <w:t xml:space="preserve"> de la Unidad de Transparencia del</w:t>
      </w:r>
      <w:r w:rsidRPr="00D915C3">
        <w:rPr>
          <w:rFonts w:ascii="Palatino Linotype" w:eastAsia="Palatino Linotype" w:hAnsi="Palatino Linotype" w:cs="Palatino Linotype"/>
          <w:b/>
          <w:sz w:val="22"/>
          <w:szCs w:val="22"/>
        </w:rPr>
        <w:t xml:space="preserve"> Sujeto Obligado </w:t>
      </w:r>
      <w:r w:rsidRPr="00D915C3">
        <w:rPr>
          <w:rFonts w:ascii="Palatino Linotype" w:eastAsia="Palatino Linotype" w:hAnsi="Palatino Linotype" w:cs="Palatino Linotype"/>
          <w:sz w:val="22"/>
          <w:szCs w:val="22"/>
        </w:rPr>
        <w:t>la presente resolución, para su conocimiento, lo anterior en términos del artículo 189 de la Ley de Transparencia y Acceso a la Información Pública del Estado de México y Municipios.</w:t>
      </w:r>
    </w:p>
    <w:p w14:paraId="6295495E"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142C7F8E" w14:textId="77777777" w:rsidR="00D05B6C" w:rsidRPr="00D915C3" w:rsidRDefault="002C1EE1">
      <w:pPr>
        <w:spacing w:line="360" w:lineRule="auto"/>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b/>
          <w:sz w:val="22"/>
          <w:szCs w:val="22"/>
        </w:rPr>
        <w:t xml:space="preserve">Tercero.  Notifíquese </w:t>
      </w:r>
      <w:r w:rsidRPr="00D915C3">
        <w:rPr>
          <w:rFonts w:ascii="Palatino Linotype" w:eastAsia="Palatino Linotype" w:hAnsi="Palatino Linotype" w:cs="Palatino Linotype"/>
          <w:sz w:val="22"/>
          <w:szCs w:val="22"/>
        </w:rPr>
        <w:t>vía SAIMEX</w:t>
      </w:r>
      <w:r w:rsidRPr="00D915C3">
        <w:rPr>
          <w:rFonts w:ascii="Palatino Linotype" w:eastAsia="Palatino Linotype" w:hAnsi="Palatino Linotype" w:cs="Palatino Linotype"/>
          <w:b/>
          <w:sz w:val="22"/>
          <w:szCs w:val="22"/>
        </w:rPr>
        <w:t xml:space="preserve">, </w:t>
      </w:r>
      <w:r w:rsidRPr="00D915C3">
        <w:rPr>
          <w:rFonts w:ascii="Palatino Linotype" w:eastAsia="Palatino Linotype" w:hAnsi="Palatino Linotype" w:cs="Palatino Linotype"/>
          <w:sz w:val="22"/>
          <w:szCs w:val="22"/>
        </w:rPr>
        <w:t xml:space="preserve">la presente resolución a la parte </w:t>
      </w:r>
      <w:r w:rsidRPr="00D915C3">
        <w:rPr>
          <w:rFonts w:ascii="Palatino Linotype" w:eastAsia="Palatino Linotype" w:hAnsi="Palatino Linotype" w:cs="Palatino Linotype"/>
          <w:b/>
          <w:sz w:val="22"/>
          <w:szCs w:val="22"/>
        </w:rPr>
        <w:t>Recurrente</w:t>
      </w:r>
      <w:r w:rsidRPr="00D915C3">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0A262D5A" w14:textId="77777777" w:rsidR="00D05B6C" w:rsidRPr="00D915C3" w:rsidRDefault="00D05B6C">
      <w:pPr>
        <w:spacing w:line="360" w:lineRule="auto"/>
        <w:ind w:right="-93"/>
        <w:jc w:val="both"/>
        <w:rPr>
          <w:rFonts w:ascii="Palatino Linotype" w:eastAsia="Palatino Linotype" w:hAnsi="Palatino Linotype" w:cs="Palatino Linotype"/>
          <w:sz w:val="22"/>
          <w:szCs w:val="22"/>
        </w:rPr>
      </w:pPr>
    </w:p>
    <w:p w14:paraId="75A68319" w14:textId="77777777" w:rsidR="00D915C3" w:rsidRPr="00D915C3" w:rsidRDefault="00D915C3">
      <w:pPr>
        <w:spacing w:line="360" w:lineRule="auto"/>
        <w:ind w:right="-93"/>
        <w:jc w:val="both"/>
        <w:rPr>
          <w:rFonts w:ascii="Palatino Linotype" w:eastAsia="Palatino Linotype" w:hAnsi="Palatino Linotype" w:cs="Palatino Linotype"/>
          <w:sz w:val="22"/>
          <w:szCs w:val="22"/>
        </w:rPr>
      </w:pPr>
    </w:p>
    <w:p w14:paraId="10005923" w14:textId="77777777" w:rsidR="00D05B6C" w:rsidRPr="00D915C3" w:rsidRDefault="002C1EE1">
      <w:pPr>
        <w:spacing w:line="360" w:lineRule="auto"/>
        <w:ind w:right="-93"/>
        <w:jc w:val="both"/>
        <w:rPr>
          <w:rFonts w:ascii="Palatino Linotype" w:eastAsia="Palatino Linotype" w:hAnsi="Palatino Linotype" w:cs="Palatino Linotype"/>
          <w:sz w:val="22"/>
          <w:szCs w:val="22"/>
        </w:rPr>
      </w:pPr>
      <w:r w:rsidRPr="00D915C3">
        <w:rPr>
          <w:rFonts w:ascii="Palatino Linotype" w:eastAsia="Palatino Linotype" w:hAnsi="Palatino Linotype" w:cs="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NUEVE DE OCTUBRE DE DOS MIL VEINTICUATRO, ANTE EL SECRETARIO TÉCNICO DEL PLENO ALEXIS TAPIA RAMÍREZ.</w:t>
      </w:r>
    </w:p>
    <w:p w14:paraId="78683B59" w14:textId="77777777" w:rsidR="00D05B6C" w:rsidRPr="00D915C3" w:rsidRDefault="00D05B6C">
      <w:pPr>
        <w:spacing w:line="360" w:lineRule="auto"/>
        <w:ind w:right="-7"/>
        <w:jc w:val="both"/>
        <w:rPr>
          <w:rFonts w:ascii="Palatino Linotype" w:eastAsia="Palatino Linotype" w:hAnsi="Palatino Linotype" w:cs="Palatino Linotype"/>
          <w:sz w:val="22"/>
          <w:szCs w:val="22"/>
        </w:rPr>
      </w:pPr>
    </w:p>
    <w:p w14:paraId="51B9C8E8" w14:textId="77777777" w:rsidR="00D05B6C" w:rsidRPr="00D915C3" w:rsidRDefault="00D05B6C">
      <w:pPr>
        <w:spacing w:line="360" w:lineRule="auto"/>
        <w:jc w:val="both"/>
        <w:rPr>
          <w:rFonts w:ascii="Palatino Linotype" w:eastAsia="Palatino Linotype" w:hAnsi="Palatino Linotype" w:cs="Palatino Linotype"/>
          <w:sz w:val="22"/>
          <w:szCs w:val="22"/>
        </w:rPr>
      </w:pPr>
      <w:bookmarkStart w:id="11" w:name="_heading=h.3rdcrjn" w:colFirst="0" w:colLast="0"/>
      <w:bookmarkEnd w:id="11"/>
    </w:p>
    <w:p w14:paraId="5F5D449F"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181E6786"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61763866" w14:textId="77777777" w:rsidR="00D05B6C" w:rsidRPr="00D915C3" w:rsidRDefault="00D05B6C">
      <w:pPr>
        <w:spacing w:line="360" w:lineRule="auto"/>
        <w:jc w:val="both"/>
        <w:rPr>
          <w:rFonts w:ascii="Palatino Linotype" w:eastAsia="Palatino Linotype" w:hAnsi="Palatino Linotype" w:cs="Palatino Linotype"/>
          <w:sz w:val="22"/>
          <w:szCs w:val="22"/>
        </w:rPr>
      </w:pPr>
      <w:bookmarkStart w:id="12" w:name="_heading=h.1t3h5sf" w:colFirst="0" w:colLast="0"/>
      <w:bookmarkEnd w:id="12"/>
    </w:p>
    <w:p w14:paraId="0F5E8E27"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398033A1"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06496994"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49640E2F"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1E80FC7D"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556311F6"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54B5004E"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3ED9866E"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3A06F87D"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387794AC"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5E8F6C57"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3F3C27FD"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01D6DB59"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2AA98EEB"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45DC9FF2" w14:textId="77777777" w:rsidR="004202E7" w:rsidRPr="00D915C3" w:rsidRDefault="004202E7">
      <w:pPr>
        <w:spacing w:line="360" w:lineRule="auto"/>
        <w:jc w:val="both"/>
        <w:rPr>
          <w:rFonts w:ascii="Palatino Linotype" w:eastAsia="Palatino Linotype" w:hAnsi="Palatino Linotype" w:cs="Palatino Linotype"/>
          <w:sz w:val="22"/>
          <w:szCs w:val="22"/>
        </w:rPr>
      </w:pPr>
    </w:p>
    <w:p w14:paraId="3BF0D7D6"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21950D2D"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6E27486B"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74121F3D"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7645566D"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5D1189C2"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04DEC28E" w14:textId="77777777" w:rsidR="00D05B6C" w:rsidRPr="00D915C3" w:rsidRDefault="00D05B6C">
      <w:pPr>
        <w:spacing w:line="360" w:lineRule="auto"/>
        <w:jc w:val="both"/>
        <w:rPr>
          <w:rFonts w:ascii="Palatino Linotype" w:eastAsia="Palatino Linotype" w:hAnsi="Palatino Linotype" w:cs="Palatino Linotype"/>
          <w:sz w:val="22"/>
          <w:szCs w:val="22"/>
        </w:rPr>
      </w:pPr>
    </w:p>
    <w:p w14:paraId="70DA645A" w14:textId="77777777" w:rsidR="00D05B6C" w:rsidRPr="00D915C3" w:rsidRDefault="00D05B6C">
      <w:pPr>
        <w:spacing w:line="360" w:lineRule="auto"/>
        <w:jc w:val="both"/>
        <w:rPr>
          <w:rFonts w:ascii="Palatino Linotype" w:eastAsia="Palatino Linotype" w:hAnsi="Palatino Linotype" w:cs="Palatino Linotype"/>
          <w:sz w:val="22"/>
          <w:szCs w:val="22"/>
        </w:rPr>
      </w:pPr>
    </w:p>
    <w:sectPr w:rsidR="00D05B6C" w:rsidRPr="00D915C3">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E4135" w14:textId="77777777" w:rsidR="009617B7" w:rsidRDefault="009617B7">
      <w:r>
        <w:separator/>
      </w:r>
    </w:p>
  </w:endnote>
  <w:endnote w:type="continuationSeparator" w:id="0">
    <w:p w14:paraId="306A2A01" w14:textId="77777777" w:rsidR="009617B7" w:rsidRDefault="00961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8875" w14:textId="77777777" w:rsidR="00D05B6C" w:rsidRDefault="002C1EE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B10DA">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B10DA">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63C5DF2C" w14:textId="77777777" w:rsidR="00D05B6C" w:rsidRDefault="00D05B6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B32F" w14:textId="77777777" w:rsidR="00D05B6C" w:rsidRDefault="002C1EE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B10D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B10DA">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30291101" w14:textId="77777777" w:rsidR="00D05B6C" w:rsidRDefault="00D05B6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8E913" w14:textId="77777777" w:rsidR="009617B7" w:rsidRDefault="009617B7">
      <w:r>
        <w:separator/>
      </w:r>
    </w:p>
  </w:footnote>
  <w:footnote w:type="continuationSeparator" w:id="0">
    <w:p w14:paraId="4485A22A" w14:textId="77777777" w:rsidR="009617B7" w:rsidRDefault="009617B7">
      <w:r>
        <w:continuationSeparator/>
      </w:r>
    </w:p>
  </w:footnote>
  <w:footnote w:id="1">
    <w:p w14:paraId="76919AD8" w14:textId="77777777" w:rsidR="00D05B6C" w:rsidRDefault="002C1EE1">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AEE425C" w14:textId="77777777" w:rsidR="00D05B6C" w:rsidRDefault="002C1EE1">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34CE2" w14:textId="77777777" w:rsidR="00D05B6C" w:rsidRDefault="002C1EE1">
    <w:pPr>
      <w:rPr>
        <w:rFonts w:ascii="Cambria" w:eastAsia="Cambria" w:hAnsi="Cambria" w:cs="Cambria"/>
        <w:color w:val="000000"/>
      </w:rPr>
    </w:pPr>
    <w:r>
      <w:rPr>
        <w:noProof/>
      </w:rPr>
      <w:drawing>
        <wp:anchor distT="0" distB="0" distL="0" distR="0" simplePos="0" relativeHeight="251658240" behindDoc="1" locked="0" layoutInCell="1" hidden="0" allowOverlap="1" wp14:anchorId="66428F52" wp14:editId="22811ECC">
          <wp:simplePos x="0" y="0"/>
          <wp:positionH relativeFrom="column">
            <wp:posOffset>-1080109</wp:posOffset>
          </wp:positionH>
          <wp:positionV relativeFrom="paragraph">
            <wp:posOffset>-488284</wp:posOffset>
          </wp:positionV>
          <wp:extent cx="7809865" cy="10165715"/>
          <wp:effectExtent l="0" t="0" r="0" b="0"/>
          <wp:wrapNone/>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7087" w:type="dxa"/>
      <w:tblInd w:w="3261" w:type="dxa"/>
      <w:tblLayout w:type="fixed"/>
      <w:tblLook w:val="0400" w:firstRow="0" w:lastRow="0" w:firstColumn="0" w:lastColumn="0" w:noHBand="0" w:noVBand="1"/>
    </w:tblPr>
    <w:tblGrid>
      <w:gridCol w:w="2489"/>
      <w:gridCol w:w="4598"/>
    </w:tblGrid>
    <w:tr w:rsidR="00D05B6C" w14:paraId="4352C41B" w14:textId="77777777">
      <w:tc>
        <w:tcPr>
          <w:tcW w:w="2489" w:type="dxa"/>
          <w:shd w:val="clear" w:color="auto" w:fill="auto"/>
        </w:tcPr>
        <w:p w14:paraId="6C5931C5" w14:textId="77777777" w:rsidR="00D05B6C" w:rsidRDefault="002C1E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34D75132" w14:textId="77777777" w:rsidR="00D05B6C" w:rsidRDefault="002C1EE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05184/INFOEM/IP/RR/2024</w:t>
          </w:r>
        </w:p>
      </w:tc>
    </w:tr>
    <w:tr w:rsidR="00D05B6C" w14:paraId="14F31A30" w14:textId="77777777">
      <w:trPr>
        <w:trHeight w:val="228"/>
      </w:trPr>
      <w:tc>
        <w:tcPr>
          <w:tcW w:w="2489" w:type="dxa"/>
          <w:shd w:val="clear" w:color="auto" w:fill="auto"/>
          <w:vAlign w:val="center"/>
        </w:tcPr>
        <w:p w14:paraId="593A0A96" w14:textId="77777777" w:rsidR="00D05B6C" w:rsidRDefault="002C1E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22B500F9" w14:textId="77777777" w:rsidR="00D05B6C" w:rsidRDefault="002C1EE1">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D05B6C" w14:paraId="5F85137D" w14:textId="77777777">
      <w:tc>
        <w:tcPr>
          <w:tcW w:w="2489" w:type="dxa"/>
          <w:shd w:val="clear" w:color="auto" w:fill="auto"/>
          <w:vAlign w:val="center"/>
        </w:tcPr>
        <w:p w14:paraId="4D407316" w14:textId="77777777" w:rsidR="00D05B6C" w:rsidRDefault="002C1EE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3C8BF00E" w14:textId="77777777" w:rsidR="00D05B6C" w:rsidRDefault="002C1EE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F498A6A" w14:textId="77777777" w:rsidR="00D05B6C" w:rsidRDefault="002C1EE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54172" w14:textId="77777777" w:rsidR="00D05B6C" w:rsidRDefault="002C1EE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E874210" wp14:editId="35FE445E">
          <wp:simplePos x="0" y="0"/>
          <wp:positionH relativeFrom="column">
            <wp:posOffset>-1079487</wp:posOffset>
          </wp:positionH>
          <wp:positionV relativeFrom="paragraph">
            <wp:posOffset>-328916</wp:posOffset>
          </wp:positionV>
          <wp:extent cx="7809865" cy="10165715"/>
          <wp:effectExtent l="0" t="0" r="0" b="0"/>
          <wp:wrapNone/>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6945" w:type="dxa"/>
      <w:tblInd w:w="3261" w:type="dxa"/>
      <w:tblLayout w:type="fixed"/>
      <w:tblLook w:val="0400" w:firstRow="0" w:lastRow="0" w:firstColumn="0" w:lastColumn="0" w:noHBand="0" w:noVBand="1"/>
    </w:tblPr>
    <w:tblGrid>
      <w:gridCol w:w="2551"/>
      <w:gridCol w:w="4394"/>
    </w:tblGrid>
    <w:tr w:rsidR="00D05B6C" w14:paraId="018E67D6" w14:textId="77777777">
      <w:tc>
        <w:tcPr>
          <w:tcW w:w="2551" w:type="dxa"/>
          <w:shd w:val="clear" w:color="auto" w:fill="auto"/>
          <w:vAlign w:val="center"/>
        </w:tcPr>
        <w:p w14:paraId="38CC7194" w14:textId="77777777" w:rsidR="00D05B6C" w:rsidRDefault="002C1E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162E1954" w14:textId="77777777" w:rsidR="00D05B6C" w:rsidRDefault="002C1EE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05184/INFOEM/IP/RR/2024</w:t>
          </w:r>
        </w:p>
      </w:tc>
    </w:tr>
    <w:tr w:rsidR="00D05B6C" w14:paraId="50B289F3" w14:textId="77777777">
      <w:trPr>
        <w:trHeight w:val="130"/>
      </w:trPr>
      <w:tc>
        <w:tcPr>
          <w:tcW w:w="2551" w:type="dxa"/>
          <w:shd w:val="clear" w:color="auto" w:fill="auto"/>
          <w:vAlign w:val="center"/>
        </w:tcPr>
        <w:p w14:paraId="4F3238AF" w14:textId="77777777" w:rsidR="00D05B6C" w:rsidRDefault="002C1E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54B57767" w14:textId="77777777" w:rsidR="00D05B6C" w:rsidRDefault="00D05B6C">
          <w:pPr>
            <w:ind w:left="-45"/>
            <w:jc w:val="both"/>
            <w:rPr>
              <w:rFonts w:ascii="Palatino Linotype" w:eastAsia="Palatino Linotype" w:hAnsi="Palatino Linotype" w:cs="Palatino Linotype"/>
              <w:b/>
              <w:sz w:val="22"/>
              <w:szCs w:val="22"/>
            </w:rPr>
          </w:pPr>
        </w:p>
      </w:tc>
    </w:tr>
    <w:tr w:rsidR="00D05B6C" w14:paraId="760B305F" w14:textId="77777777">
      <w:trPr>
        <w:trHeight w:val="228"/>
      </w:trPr>
      <w:tc>
        <w:tcPr>
          <w:tcW w:w="2551" w:type="dxa"/>
          <w:shd w:val="clear" w:color="auto" w:fill="auto"/>
          <w:vAlign w:val="center"/>
        </w:tcPr>
        <w:p w14:paraId="6C631FD1" w14:textId="77777777" w:rsidR="00D05B6C" w:rsidRDefault="002C1E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31C88E63" w14:textId="77777777" w:rsidR="00D05B6C" w:rsidRDefault="002C1EE1">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D05B6C" w14:paraId="7476EEA1" w14:textId="77777777">
      <w:tc>
        <w:tcPr>
          <w:tcW w:w="2551" w:type="dxa"/>
          <w:shd w:val="clear" w:color="auto" w:fill="auto"/>
          <w:vAlign w:val="center"/>
        </w:tcPr>
        <w:p w14:paraId="264BA67F" w14:textId="77777777" w:rsidR="00D05B6C" w:rsidRDefault="002C1E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3F3F24E3" w14:textId="77777777" w:rsidR="00D05B6C" w:rsidRDefault="002C1EE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AD9259" w14:textId="77777777" w:rsidR="00D05B6C" w:rsidRDefault="00D05B6C">
    <w:pPr>
      <w:pBdr>
        <w:top w:val="nil"/>
        <w:left w:val="nil"/>
        <w:bottom w:val="nil"/>
        <w:right w:val="nil"/>
        <w:between w:val="nil"/>
      </w:pBdr>
      <w:tabs>
        <w:tab w:val="center" w:pos="4252"/>
        <w:tab w:val="right" w:pos="8504"/>
      </w:tabs>
      <w:rPr>
        <w:rFonts w:ascii="Cambria" w:eastAsia="Cambria" w:hAnsi="Cambria" w:cs="Cambria"/>
        <w:color w:val="000000"/>
      </w:rPr>
    </w:pPr>
  </w:p>
  <w:p w14:paraId="4AD41D8C" w14:textId="77777777" w:rsidR="00D05B6C" w:rsidRDefault="00D05B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239D3"/>
    <w:multiLevelType w:val="multilevel"/>
    <w:tmpl w:val="4AE468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0BC7413"/>
    <w:multiLevelType w:val="multilevel"/>
    <w:tmpl w:val="910ACA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C4748EE"/>
    <w:multiLevelType w:val="multilevel"/>
    <w:tmpl w:val="359605A8"/>
    <w:lvl w:ilvl="0">
      <w:start w:val="6"/>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29D3459"/>
    <w:multiLevelType w:val="multilevel"/>
    <w:tmpl w:val="FF64561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92462C"/>
    <w:multiLevelType w:val="multilevel"/>
    <w:tmpl w:val="8F8A3AA4"/>
    <w:lvl w:ilvl="0">
      <w:start w:val="1"/>
      <w:numFmt w:val="bullet"/>
      <w:pStyle w:val="Listaconvietas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CBA04C3"/>
    <w:multiLevelType w:val="multilevel"/>
    <w:tmpl w:val="AAD2BB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D16552A"/>
    <w:multiLevelType w:val="multilevel"/>
    <w:tmpl w:val="FCD6507E"/>
    <w:lvl w:ilvl="0">
      <w:start w:val="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86C0B13"/>
    <w:multiLevelType w:val="multilevel"/>
    <w:tmpl w:val="FA04F3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8A81BFD"/>
    <w:multiLevelType w:val="multilevel"/>
    <w:tmpl w:val="BBFC3904"/>
    <w:lvl w:ilvl="0">
      <w:start w:val="6"/>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5"/>
  </w:num>
  <w:num w:numId="3">
    <w:abstractNumId w:val="4"/>
  </w:num>
  <w:num w:numId="4">
    <w:abstractNumId w:val="8"/>
  </w:num>
  <w:num w:numId="5">
    <w:abstractNumId w:val="6"/>
  </w:num>
  <w:num w:numId="6">
    <w:abstractNumId w:val="3"/>
  </w:num>
  <w:num w:numId="7">
    <w:abstractNumId w:val="2"/>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B6C"/>
    <w:rsid w:val="002C1EE1"/>
    <w:rsid w:val="004202E7"/>
    <w:rsid w:val="00623E99"/>
    <w:rsid w:val="009617B7"/>
    <w:rsid w:val="009B10DA"/>
    <w:rsid w:val="00D05B6C"/>
    <w:rsid w:val="00D915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F583C"/>
  <w15:docId w15:val="{CE91B41A-71C1-4FCF-A50E-40F8AA9EA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basedOn w:val="Normal"/>
    <w:link w:val="TextonotapieCar"/>
    <w:uiPriority w:val="99"/>
    <w:semiHidden/>
    <w:unhideWhenUsed/>
    <w:rsid w:val="00F759CF"/>
    <w:rPr>
      <w:sz w:val="20"/>
      <w:szCs w:val="20"/>
    </w:rPr>
  </w:style>
  <w:style w:type="character" w:customStyle="1" w:styleId="TextonotapieCar">
    <w:name w:val="Texto nota pie Car"/>
    <w:basedOn w:val="Fuentedeprrafopredeter"/>
    <w:link w:val="Textonotapie"/>
    <w:uiPriority w:val="99"/>
    <w:semiHidden/>
    <w:rsid w:val="00F759CF"/>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F759CF"/>
    <w:rPr>
      <w:vertAlign w:val="superscript"/>
    </w:r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83BF5"/>
    <w:rPr>
      <w:lang w:val="es-ES"/>
    </w:r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1C28F5"/>
    <w:pPr>
      <w:numPr>
        <w:numId w:val="3"/>
      </w:numPr>
      <w:contextualSpacing/>
    </w:pPr>
  </w:style>
  <w:style w:type="paragraph" w:styleId="Textodeglobo">
    <w:name w:val="Balloon Text"/>
    <w:basedOn w:val="Normal"/>
    <w:link w:val="TextodegloboCar"/>
    <w:uiPriority w:val="99"/>
    <w:semiHidden/>
    <w:unhideWhenUsed/>
    <w:rsid w:val="00B37A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7A94"/>
    <w:rPr>
      <w:rFonts w:ascii="Segoe UI" w:hAnsi="Segoe UI" w:cs="Segoe UI"/>
      <w:sz w:val="18"/>
      <w:szCs w:val="18"/>
    </w:r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932E42"/>
    <w:rPr>
      <w:color w:val="800080" w:themeColor="followedHyperlink"/>
      <w:u w:val="single"/>
    </w:r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vsnoticias.com/nacional/estados/2023/3/13/malltertainment-galerias-metepec-conoce-como-sera-cuando-se-inaugurara-585819.html"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jornadaestadodemexico.com/metepec-cerraran-vialidad-en-zona-comercial-por-6-mes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hHxz0yby6/2ttyoS6MAy97hG4w==">CgMxLjAyCWguMWZvYjl0ZTIIaC5namRneHMyCWguM2R5NnZrbTIJaC4zMGowemxsMgloLjJzOGV5bzEyCWguMTdkcDh2dTIIaC50eWpjd3QyCWguM3pueXNoNzIJaC4xeTgxMHR3MgloLjJldDkycDAyCWguNGQzNG9nODIJaC4zcmRjcmpuMgloLjF0M2g1c2Y4AHIhMUE5S1NOMHpPVF80NWx1VGpaY2ZJdzlSWlJVV3BqSTVj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6004</Words>
  <Characters>33026</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2024-10-11T18:39:00Z</cp:lastPrinted>
  <dcterms:created xsi:type="dcterms:W3CDTF">2024-10-24T19:49:00Z</dcterms:created>
  <dcterms:modified xsi:type="dcterms:W3CDTF">2024-10-24T19:49:00Z</dcterms:modified>
</cp:coreProperties>
</file>