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CD749B2"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w:t>
      </w:r>
      <w:r w:rsidR="008B2951">
        <w:rPr>
          <w:rFonts w:ascii="Palatino Linotype" w:eastAsia="Palatino Linotype" w:hAnsi="Palatino Linotype" w:cs="Palatino Linotype"/>
          <w:color w:val="000000"/>
          <w:sz w:val="24"/>
          <w:szCs w:val="24"/>
        </w:rPr>
        <w:t xml:space="preserve">México, a </w:t>
      </w:r>
      <w:r w:rsidR="009B3A83">
        <w:rPr>
          <w:rFonts w:ascii="Palatino Linotype" w:eastAsia="Palatino Linotype" w:hAnsi="Palatino Linotype" w:cs="Palatino Linotype"/>
          <w:color w:val="000000"/>
          <w:sz w:val="24"/>
          <w:szCs w:val="24"/>
        </w:rPr>
        <w:t>seis de noviembre</w:t>
      </w:r>
      <w:r w:rsidR="000A5C0C">
        <w:rPr>
          <w:rFonts w:ascii="Palatino Linotype" w:eastAsia="Palatino Linotype" w:hAnsi="Palatino Linotype" w:cs="Palatino Linotype"/>
          <w:color w:val="000000"/>
          <w:sz w:val="24"/>
          <w:szCs w:val="24"/>
        </w:rPr>
        <w:t xml:space="preserve"> de dos mil veinticuatro</w:t>
      </w:r>
      <w:r>
        <w:rPr>
          <w:rFonts w:ascii="Palatino Linotype" w:eastAsia="Palatino Linotype" w:hAnsi="Palatino Linotype" w:cs="Palatino Linotype"/>
          <w:color w:val="000000"/>
          <w:sz w:val="24"/>
          <w:szCs w:val="24"/>
        </w:rPr>
        <w:t>.</w:t>
      </w:r>
    </w:p>
    <w:p w14:paraId="60399B74"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D0D9BD7" w14:textId="2A95B42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w:t>
      </w:r>
      <w:r>
        <w:rPr>
          <w:rFonts w:ascii="Palatino Linotype" w:eastAsia="Palatino Linotype" w:hAnsi="Palatino Linotype" w:cs="Palatino Linotype"/>
          <w:color w:val="000000"/>
          <w:sz w:val="24"/>
          <w:szCs w:val="24"/>
        </w:rPr>
        <w:t xml:space="preserve"> el expediente electrónico formado con motivo del recurso de revisión número </w:t>
      </w:r>
      <w:bookmarkStart w:id="0" w:name="_GoBack"/>
      <w:r w:rsidR="00E57067">
        <w:rPr>
          <w:rFonts w:ascii="Palatino Linotype" w:eastAsia="Palatino Linotype" w:hAnsi="Palatino Linotype" w:cs="Palatino Linotype"/>
          <w:b/>
          <w:color w:val="000000"/>
          <w:sz w:val="24"/>
          <w:szCs w:val="24"/>
        </w:rPr>
        <w:t>05275</w:t>
      </w:r>
      <w:r w:rsidR="008C1BA2" w:rsidRPr="008C1BA2">
        <w:rPr>
          <w:rFonts w:ascii="Palatino Linotype" w:eastAsia="Palatino Linotype" w:hAnsi="Palatino Linotype" w:cs="Palatino Linotype"/>
          <w:b/>
          <w:color w:val="000000"/>
          <w:sz w:val="24"/>
          <w:szCs w:val="24"/>
        </w:rPr>
        <w:t>/INFOEM/IP/RR/2024</w:t>
      </w:r>
      <w:bookmarkEnd w:id="0"/>
      <w:r w:rsidR="00B54BC7">
        <w:rPr>
          <w:rFonts w:ascii="Palatino Linotype" w:eastAsia="Palatino Linotype" w:hAnsi="Palatino Linotype" w:cs="Palatino Linotype"/>
          <w:color w:val="000000"/>
          <w:sz w:val="24"/>
          <w:szCs w:val="24"/>
        </w:rPr>
        <w:t xml:space="preserve">, </w:t>
      </w:r>
      <w:r w:rsidR="00E57067" w:rsidRPr="00E57067">
        <w:rPr>
          <w:rFonts w:ascii="Palatino Linotype" w:hAnsi="Palatino Linotype" w:cs="Arial"/>
          <w:sz w:val="24"/>
        </w:rPr>
        <w:t>interpuesto por una persona que al momento de ingresar su solicitud no proporciono nombre o seudónimo</w:t>
      </w:r>
      <w:r w:rsidR="000A5C0C">
        <w:rPr>
          <w:rFonts w:ascii="Palatino Linotype" w:hAnsi="Palatino Linotype" w:cs="Arial"/>
          <w:b/>
          <w:bCs/>
          <w:sz w:val="24"/>
        </w:rPr>
        <w:t>,</w:t>
      </w:r>
      <w:r w:rsidR="00C05402" w:rsidRPr="00343910">
        <w:rPr>
          <w:rFonts w:ascii="Palatino Linotype" w:hAnsi="Palatino Linotype" w:cs="Arial"/>
          <w:sz w:val="24"/>
        </w:rPr>
        <w:t xml:space="preserve"> en lo sucesivo </w:t>
      </w:r>
      <w:r w:rsidR="008C1BA2">
        <w:rPr>
          <w:rFonts w:ascii="Palatino Linotype" w:hAnsi="Palatino Linotype" w:cs="Arial"/>
          <w:sz w:val="24"/>
        </w:rPr>
        <w:t>el</w:t>
      </w:r>
      <w:r w:rsidR="00C05402" w:rsidRPr="00343910">
        <w:rPr>
          <w:rFonts w:ascii="Palatino Linotype" w:hAnsi="Palatino Linotype" w:cs="Arial"/>
          <w:sz w:val="24"/>
        </w:rPr>
        <w:t xml:space="preserve"> </w:t>
      </w:r>
      <w:r w:rsidR="00C05402" w:rsidRPr="00343910">
        <w:rPr>
          <w:rFonts w:ascii="Palatino Linotype" w:hAnsi="Palatino Linotype" w:cs="Arial"/>
          <w:b/>
          <w:bCs/>
          <w:sz w:val="24"/>
        </w:rPr>
        <w:t>Recurrente</w:t>
      </w:r>
      <w:r>
        <w:rPr>
          <w:rFonts w:ascii="Palatino Linotype" w:eastAsia="Palatino Linotype" w:hAnsi="Palatino Linotype" w:cs="Palatino Linotype"/>
          <w:color w:val="000000"/>
          <w:sz w:val="24"/>
          <w:szCs w:val="24"/>
        </w:rPr>
        <w:t>, en contra de la respuesta de</w:t>
      </w:r>
      <w:r w:rsidR="00E57067">
        <w:rPr>
          <w:rFonts w:ascii="Palatino Linotype" w:eastAsia="Palatino Linotype" w:hAnsi="Palatino Linotype" w:cs="Palatino Linotype"/>
          <w:color w:val="000000"/>
          <w:sz w:val="24"/>
          <w:szCs w:val="24"/>
        </w:rPr>
        <w:t xml:space="preserve"> </w:t>
      </w:r>
      <w:r w:rsidR="00C05402">
        <w:rPr>
          <w:rFonts w:ascii="Palatino Linotype" w:eastAsia="Palatino Linotype" w:hAnsi="Palatino Linotype" w:cs="Palatino Linotype"/>
          <w:color w:val="000000"/>
          <w:sz w:val="24"/>
          <w:szCs w:val="24"/>
        </w:rPr>
        <w:t>l</w:t>
      </w:r>
      <w:r w:rsidR="00E57067">
        <w:rPr>
          <w:rFonts w:ascii="Palatino Linotype" w:eastAsia="Palatino Linotype" w:hAnsi="Palatino Linotype" w:cs="Palatino Linotype"/>
          <w:color w:val="000000"/>
          <w:sz w:val="24"/>
          <w:szCs w:val="24"/>
        </w:rPr>
        <w:t xml:space="preserve">a </w:t>
      </w:r>
      <w:r w:rsidR="00E57067" w:rsidRPr="00E57067">
        <w:rPr>
          <w:rFonts w:ascii="Palatino Linotype" w:eastAsia="Palatino Linotype" w:hAnsi="Palatino Linotype" w:cs="Palatino Linotype"/>
          <w:b/>
          <w:color w:val="000000"/>
          <w:sz w:val="24"/>
          <w:szCs w:val="24"/>
        </w:rPr>
        <w:t>Secretaría de Bienestar</w:t>
      </w:r>
      <w:r>
        <w:rPr>
          <w:rFonts w:ascii="Palatino Linotype" w:eastAsia="Palatino Linotype" w:hAnsi="Palatino Linotype" w:cs="Palatino Linotype"/>
          <w:color w:val="000000"/>
          <w:sz w:val="24"/>
          <w:szCs w:val="24"/>
        </w:rPr>
        <w:t>, en lo subsecuente</w:t>
      </w:r>
      <w:r>
        <w:rPr>
          <w:rFonts w:ascii="Palatino Linotype" w:eastAsia="Palatino Linotype" w:hAnsi="Palatino Linotype" w:cs="Palatino Linotype"/>
          <w:b/>
          <w:color w:val="000000"/>
          <w:sz w:val="24"/>
          <w:szCs w:val="24"/>
        </w:rPr>
        <w:t xml:space="preserve"> </w:t>
      </w:r>
      <w:r w:rsidRPr="00D31865">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w:t>
      </w:r>
    </w:p>
    <w:p w14:paraId="2E2053C2"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93A0C59" w14:textId="77777777" w:rsidR="00A970D5" w:rsidRDefault="00A970D5" w:rsidP="003111CD">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 N T E C E D E N T E S</w:t>
      </w:r>
    </w:p>
    <w:p w14:paraId="32F88820" w14:textId="77777777" w:rsidR="00A970D5" w:rsidRPr="00B54BC7"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38B0CA5" w14:textId="77777777" w:rsidR="00A970D5" w:rsidRPr="00484E71"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484E71">
        <w:rPr>
          <w:rFonts w:ascii="Palatino Linotype" w:eastAsia="Palatino Linotype" w:hAnsi="Palatino Linotype" w:cs="Palatino Linotype"/>
          <w:b/>
          <w:color w:val="000000"/>
          <w:sz w:val="26"/>
          <w:szCs w:val="26"/>
        </w:rPr>
        <w:t>PRIMERO.</w:t>
      </w:r>
      <w:r w:rsidRPr="00484E71">
        <w:rPr>
          <w:rFonts w:ascii="Palatino Linotype" w:eastAsia="Palatino Linotype" w:hAnsi="Palatino Linotype" w:cs="Palatino Linotype"/>
          <w:color w:val="000000"/>
          <w:sz w:val="26"/>
          <w:szCs w:val="26"/>
        </w:rPr>
        <w:t xml:space="preserve"> </w:t>
      </w:r>
      <w:r w:rsidRPr="00484E71">
        <w:rPr>
          <w:rFonts w:ascii="Palatino Linotype" w:eastAsia="Palatino Linotype" w:hAnsi="Palatino Linotype" w:cs="Palatino Linotype"/>
          <w:b/>
          <w:color w:val="000000"/>
          <w:sz w:val="26"/>
          <w:szCs w:val="26"/>
        </w:rPr>
        <w:t>De la Solicitud de Información.</w:t>
      </w:r>
    </w:p>
    <w:p w14:paraId="0870C154" w14:textId="70310BF6" w:rsidR="00A970D5" w:rsidRPr="00484E71" w:rsidRDefault="008B2951"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484E71">
        <w:rPr>
          <w:rFonts w:ascii="Palatino Linotype" w:eastAsia="Palatino Linotype" w:hAnsi="Palatino Linotype" w:cs="Palatino Linotype"/>
          <w:color w:val="000000"/>
          <w:sz w:val="24"/>
          <w:szCs w:val="24"/>
        </w:rPr>
        <w:t xml:space="preserve">Con fecha </w:t>
      </w:r>
      <w:r w:rsidR="00E57067" w:rsidRPr="00484E71">
        <w:rPr>
          <w:rFonts w:ascii="Palatino Linotype" w:eastAsia="Palatino Linotype" w:hAnsi="Palatino Linotype" w:cs="Palatino Linotype"/>
          <w:color w:val="000000"/>
          <w:sz w:val="24"/>
          <w:szCs w:val="24"/>
        </w:rPr>
        <w:t xml:space="preserve">cinco de agosto </w:t>
      </w:r>
      <w:r w:rsidR="000A5C0C" w:rsidRPr="00484E71">
        <w:rPr>
          <w:rFonts w:ascii="Palatino Linotype" w:eastAsia="Palatino Linotype" w:hAnsi="Palatino Linotype" w:cs="Palatino Linotype"/>
          <w:color w:val="000000"/>
          <w:sz w:val="24"/>
          <w:szCs w:val="24"/>
        </w:rPr>
        <w:t>de dos mil veinticuatro</w:t>
      </w:r>
      <w:r w:rsidR="00B54BC7" w:rsidRPr="00484E71">
        <w:rPr>
          <w:rFonts w:ascii="Palatino Linotype" w:eastAsia="Palatino Linotype" w:hAnsi="Palatino Linotype" w:cs="Palatino Linotype"/>
          <w:color w:val="000000"/>
          <w:sz w:val="24"/>
          <w:szCs w:val="24"/>
        </w:rPr>
        <w:t xml:space="preserve">, </w:t>
      </w:r>
      <w:r w:rsidR="008C1BA2" w:rsidRPr="00484E71">
        <w:rPr>
          <w:rFonts w:ascii="Palatino Linotype" w:eastAsia="Palatino Linotype" w:hAnsi="Palatino Linotype" w:cs="Palatino Linotype"/>
          <w:color w:val="000000"/>
          <w:sz w:val="24"/>
          <w:szCs w:val="24"/>
        </w:rPr>
        <w:t>el</w:t>
      </w:r>
      <w:r w:rsidR="00A970D5" w:rsidRPr="00484E71">
        <w:rPr>
          <w:rFonts w:ascii="Palatino Linotype" w:eastAsia="Palatino Linotype" w:hAnsi="Palatino Linotype" w:cs="Palatino Linotype"/>
          <w:color w:val="000000"/>
          <w:sz w:val="24"/>
          <w:szCs w:val="24"/>
        </w:rPr>
        <w:t xml:space="preserve"> </w:t>
      </w:r>
      <w:r w:rsidR="00A970D5" w:rsidRPr="00484E71">
        <w:rPr>
          <w:rFonts w:ascii="Palatino Linotype" w:eastAsia="Palatino Linotype" w:hAnsi="Palatino Linotype" w:cs="Palatino Linotype"/>
          <w:b/>
          <w:bCs/>
          <w:color w:val="000000"/>
          <w:sz w:val="24"/>
          <w:szCs w:val="24"/>
        </w:rPr>
        <w:t>Recurrente</w:t>
      </w:r>
      <w:r w:rsidR="00A970D5" w:rsidRPr="00484E71">
        <w:rPr>
          <w:rFonts w:ascii="Palatino Linotype" w:eastAsia="Palatino Linotype" w:hAnsi="Palatino Linotype" w:cs="Palatino Linotype"/>
          <w:color w:val="000000"/>
          <w:sz w:val="24"/>
          <w:szCs w:val="24"/>
        </w:rPr>
        <w:t xml:space="preserve"> presentó mediante el Sistema de Acceso a la Información Mexiquense (</w:t>
      </w:r>
      <w:r w:rsidR="00A970D5" w:rsidRPr="00484E71">
        <w:rPr>
          <w:rFonts w:ascii="Palatino Linotype" w:eastAsia="Palatino Linotype" w:hAnsi="Palatino Linotype" w:cs="Palatino Linotype"/>
          <w:b/>
          <w:bCs/>
          <w:color w:val="000000"/>
          <w:sz w:val="24"/>
          <w:szCs w:val="24"/>
        </w:rPr>
        <w:t>SAIMEX</w:t>
      </w:r>
      <w:r w:rsidR="00A970D5" w:rsidRPr="00484E71">
        <w:rPr>
          <w:rFonts w:ascii="Palatino Linotype" w:eastAsia="Palatino Linotype" w:hAnsi="Palatino Linotype" w:cs="Palatino Linotype"/>
          <w:color w:val="000000"/>
          <w:sz w:val="24"/>
          <w:szCs w:val="24"/>
        </w:rPr>
        <w:t>), solicitud de información registrada con el número de expediente</w:t>
      </w:r>
      <w:r w:rsidR="006E2FB0" w:rsidRPr="00484E71">
        <w:rPr>
          <w:rFonts w:ascii="Palatino Linotype" w:eastAsia="Palatino Linotype" w:hAnsi="Palatino Linotype" w:cs="Palatino Linotype"/>
          <w:b/>
          <w:color w:val="000000"/>
          <w:sz w:val="24"/>
          <w:szCs w:val="24"/>
        </w:rPr>
        <w:t xml:space="preserve"> </w:t>
      </w:r>
      <w:r w:rsidR="00E57067" w:rsidRPr="00484E71">
        <w:rPr>
          <w:rFonts w:ascii="Palatino Linotype" w:eastAsia="Palatino Linotype" w:hAnsi="Palatino Linotype" w:cs="Palatino Linotype"/>
          <w:b/>
          <w:bCs/>
          <w:color w:val="000000"/>
          <w:sz w:val="24"/>
          <w:szCs w:val="24"/>
        </w:rPr>
        <w:t>00166/BIENESTAR/IP/2024.000</w:t>
      </w:r>
      <w:r w:rsidR="00A970D5" w:rsidRPr="00484E71">
        <w:rPr>
          <w:rFonts w:ascii="Palatino Linotype" w:eastAsia="Palatino Linotype" w:hAnsi="Palatino Linotype" w:cs="Palatino Linotype"/>
          <w:color w:val="000000"/>
          <w:sz w:val="24"/>
          <w:szCs w:val="24"/>
        </w:rPr>
        <w:t>,</w:t>
      </w:r>
      <w:r w:rsidR="00A970D5" w:rsidRPr="00484E71">
        <w:rPr>
          <w:rFonts w:ascii="Palatino Linotype" w:eastAsia="Palatino Linotype" w:hAnsi="Palatino Linotype" w:cs="Palatino Linotype"/>
          <w:b/>
          <w:color w:val="000000"/>
          <w:sz w:val="24"/>
          <w:szCs w:val="24"/>
        </w:rPr>
        <w:t xml:space="preserve"> </w:t>
      </w:r>
      <w:r w:rsidR="00A970D5" w:rsidRPr="00484E71">
        <w:rPr>
          <w:rFonts w:ascii="Palatino Linotype" w:eastAsia="Palatino Linotype" w:hAnsi="Palatino Linotype" w:cs="Palatino Linotype"/>
          <w:color w:val="000000"/>
          <w:sz w:val="24"/>
          <w:szCs w:val="24"/>
        </w:rPr>
        <w:t>mediante la cual solicitó información en el tenor siguiente:</w:t>
      </w:r>
    </w:p>
    <w:p w14:paraId="68B56D82" w14:textId="77777777" w:rsidR="00A970D5" w:rsidRPr="00484E71"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33704B2" w14:textId="036C0561" w:rsidR="00A970D5" w:rsidRPr="00484E71" w:rsidRDefault="00A970D5"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484E71">
        <w:rPr>
          <w:rFonts w:ascii="Palatino Linotype" w:eastAsia="Palatino Linotype" w:hAnsi="Palatino Linotype" w:cs="Palatino Linotype"/>
          <w:i/>
          <w:color w:val="000000"/>
        </w:rPr>
        <w:t>“</w:t>
      </w:r>
      <w:r w:rsidR="00E57067" w:rsidRPr="00484E71">
        <w:rPr>
          <w:rFonts w:ascii="Palatino Linotype" w:eastAsia="Palatino Linotype" w:hAnsi="Palatino Linotype" w:cs="Palatino Linotype"/>
          <w:i/>
          <w:color w:val="000000"/>
        </w:rPr>
        <w:t>quiero saber, cuándo se abrirá nueva convocatoria para mujeres con bienestar, o qué puedo hacer ya que me registré, pero el correo electrónico llego a spam y no pude concluir el registro.</w:t>
      </w:r>
      <w:r w:rsidRPr="00484E71">
        <w:rPr>
          <w:rFonts w:ascii="Palatino Linotype" w:eastAsia="Palatino Linotype" w:hAnsi="Palatino Linotype" w:cs="Palatino Linotype"/>
          <w:i/>
          <w:color w:val="000000"/>
        </w:rPr>
        <w:t xml:space="preserve">” </w:t>
      </w:r>
      <w:r w:rsidR="00D7260C" w:rsidRPr="00484E71">
        <w:rPr>
          <w:rFonts w:ascii="Palatino Linotype" w:eastAsia="Palatino Linotype" w:hAnsi="Palatino Linotype" w:cs="Palatino Linotype"/>
          <w:i/>
          <w:color w:val="000000"/>
        </w:rPr>
        <w:t>(</w:t>
      </w:r>
      <w:r w:rsidRPr="00484E71">
        <w:rPr>
          <w:rFonts w:ascii="Palatino Linotype" w:eastAsia="Palatino Linotype" w:hAnsi="Palatino Linotype" w:cs="Palatino Linotype"/>
          <w:i/>
          <w:color w:val="000000"/>
        </w:rPr>
        <w:t>Sic</w:t>
      </w:r>
      <w:r w:rsidR="00D7260C" w:rsidRPr="00484E71">
        <w:rPr>
          <w:rFonts w:ascii="Palatino Linotype" w:eastAsia="Palatino Linotype" w:hAnsi="Palatino Linotype" w:cs="Palatino Linotype"/>
          <w:i/>
          <w:color w:val="000000"/>
        </w:rPr>
        <w:t>)</w:t>
      </w:r>
    </w:p>
    <w:p w14:paraId="29918049" w14:textId="77777777" w:rsidR="008C1BA2" w:rsidRPr="00484E71" w:rsidRDefault="008C1BA2"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5F420A7" w14:textId="008B8734" w:rsidR="00D7260C" w:rsidRPr="002302B8"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r w:rsidRPr="00484E71">
        <w:rPr>
          <w:rFonts w:ascii="Palatino Linotype" w:eastAsia="Palatino Linotype" w:hAnsi="Palatino Linotype" w:cs="Palatino Linotype"/>
          <w:color w:val="000000"/>
          <w:sz w:val="24"/>
          <w:szCs w:val="24"/>
        </w:rPr>
        <w:t xml:space="preserve">Modalidad de entrega: </w:t>
      </w:r>
      <w:r w:rsidRPr="00484E71">
        <w:rPr>
          <w:rFonts w:ascii="Palatino Linotype" w:eastAsia="Palatino Linotype" w:hAnsi="Palatino Linotype" w:cs="Palatino Linotype"/>
          <w:b/>
          <w:color w:val="000000"/>
          <w:sz w:val="24"/>
          <w:szCs w:val="24"/>
        </w:rPr>
        <w:t>A través del SAIMEX</w:t>
      </w:r>
      <w:r w:rsidRPr="00484E71">
        <w:rPr>
          <w:rFonts w:ascii="Palatino Linotype" w:eastAsia="Palatino Linotype" w:hAnsi="Palatino Linotype" w:cs="Palatino Linotype"/>
          <w:color w:val="000000"/>
          <w:sz w:val="24"/>
          <w:szCs w:val="24"/>
        </w:rPr>
        <w:t>.</w:t>
      </w:r>
    </w:p>
    <w:p w14:paraId="07528C89" w14:textId="77777777" w:rsidR="000A5C0C" w:rsidRDefault="000A5C0C"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AEDC68E" w14:textId="5264FD34"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SEGUNDO. De la respuesta del Sujeto Obligado.</w:t>
      </w:r>
    </w:p>
    <w:p w14:paraId="2EE6F294" w14:textId="1FFEAD22"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las constancias que obran en el expediente electrónico, se observa qu</w:t>
      </w:r>
      <w:r w:rsidR="008B2951">
        <w:rPr>
          <w:rFonts w:ascii="Palatino Linotype" w:eastAsia="Palatino Linotype" w:hAnsi="Palatino Linotype" w:cs="Palatino Linotype"/>
          <w:color w:val="000000"/>
          <w:sz w:val="24"/>
          <w:szCs w:val="24"/>
        </w:rPr>
        <w:t>e el día</w:t>
      </w:r>
      <w:r w:rsidR="006E2FB0">
        <w:rPr>
          <w:rFonts w:ascii="Palatino Linotype" w:eastAsia="Palatino Linotype" w:hAnsi="Palatino Linotype" w:cs="Palatino Linotype"/>
          <w:color w:val="000000"/>
          <w:sz w:val="24"/>
          <w:szCs w:val="24"/>
        </w:rPr>
        <w:t xml:space="preserve"> </w:t>
      </w:r>
      <w:r w:rsidR="00484E71">
        <w:rPr>
          <w:rFonts w:ascii="Palatino Linotype" w:eastAsia="Palatino Linotype" w:hAnsi="Palatino Linotype" w:cs="Palatino Linotype"/>
          <w:color w:val="000000"/>
          <w:sz w:val="24"/>
          <w:szCs w:val="24"/>
        </w:rPr>
        <w:t>trece de agosto de</w:t>
      </w:r>
      <w:r w:rsidR="000A5C0C">
        <w:rPr>
          <w:rFonts w:ascii="Palatino Linotype" w:eastAsia="Palatino Linotype" w:hAnsi="Palatino Linotype" w:cs="Palatino Linotype"/>
          <w:color w:val="000000"/>
          <w:sz w:val="24"/>
          <w:szCs w:val="24"/>
        </w:rPr>
        <w:t xml:space="preserve"> dos mil veinticuatro</w:t>
      </w:r>
      <w:r>
        <w:rPr>
          <w:rFonts w:ascii="Palatino Linotype" w:eastAsia="Palatino Linotype" w:hAnsi="Palatino Linotype" w:cs="Palatino Linotype"/>
          <w:color w:val="000000"/>
          <w:sz w:val="24"/>
          <w:szCs w:val="24"/>
        </w:rPr>
        <w:t xml:space="preserve">, el </w:t>
      </w:r>
      <w:r w:rsidRPr="002302B8">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dio respuest</w:t>
      </w:r>
      <w:r w:rsidR="009F4FF4">
        <w:rPr>
          <w:rFonts w:ascii="Palatino Linotype" w:eastAsia="Palatino Linotype" w:hAnsi="Palatino Linotype" w:cs="Palatino Linotype"/>
          <w:color w:val="000000"/>
          <w:sz w:val="24"/>
          <w:szCs w:val="24"/>
        </w:rPr>
        <w:t>a a la solicitud de información</w:t>
      </w:r>
      <w:r w:rsidR="000A5C0C">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manifestando lo siguiente:</w:t>
      </w:r>
    </w:p>
    <w:p w14:paraId="6CF4EC0F"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5E9E4E4" w14:textId="77777777" w:rsidR="00484E71" w:rsidRPr="00484E71" w:rsidRDefault="00A970D5" w:rsidP="003111CD">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484E71" w:rsidRPr="00484E71">
        <w:rPr>
          <w:rFonts w:ascii="Palatino Linotype" w:eastAsia="Palatino Linotype" w:hAnsi="Palatino Linotype" w:cs="Palatino Linotype"/>
          <w:i/>
          <w:color w:val="000000"/>
        </w:rPr>
        <w:t>Folio de la solicitud: 00166/BIENESTAR/IP/2024</w:t>
      </w:r>
    </w:p>
    <w:p w14:paraId="41FE846C" w14:textId="77777777" w:rsidR="00484E71"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48FEC603" w14:textId="77777777" w:rsidR="00484E71" w:rsidRPr="00484E71"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484E71">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2B0B9C" w14:textId="77777777" w:rsidR="00484E71"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0FF29FE" w14:textId="77777777" w:rsidR="00484E71" w:rsidRPr="00484E71"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484E71">
        <w:rPr>
          <w:rFonts w:ascii="Palatino Linotype" w:eastAsia="Palatino Linotype" w:hAnsi="Palatino Linotype" w:cs="Palatino Linotype"/>
          <w:i/>
          <w:color w:val="000000"/>
        </w:rPr>
        <w:t>Se anexa oficio de respuesta número SBIENESTAREDOME/UT/166/2024, de fecha 13 de agosto de 2024.</w:t>
      </w:r>
    </w:p>
    <w:p w14:paraId="7A693A7B" w14:textId="77777777" w:rsidR="00484E71"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07FAEB5D" w14:textId="77777777" w:rsidR="00484E71" w:rsidRPr="00484E71"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484E71">
        <w:rPr>
          <w:rFonts w:ascii="Palatino Linotype" w:eastAsia="Palatino Linotype" w:hAnsi="Palatino Linotype" w:cs="Palatino Linotype"/>
          <w:i/>
          <w:color w:val="000000"/>
        </w:rPr>
        <w:t>ATENTAMENTE</w:t>
      </w:r>
    </w:p>
    <w:p w14:paraId="42581E6D" w14:textId="40240C74" w:rsidR="00A970D5" w:rsidRDefault="00484E71" w:rsidP="003111C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484E71">
        <w:rPr>
          <w:rFonts w:ascii="Palatino Linotype" w:eastAsia="Palatino Linotype" w:hAnsi="Palatino Linotype" w:cs="Palatino Linotype"/>
          <w:i/>
          <w:color w:val="000000"/>
        </w:rPr>
        <w:t>MTRO. FELIPE DE JESÚS AYALA GUADARRAMA</w:t>
      </w:r>
      <w:r w:rsidR="00A970D5">
        <w:rPr>
          <w:rFonts w:ascii="Palatino Linotype" w:eastAsia="Palatino Linotype" w:hAnsi="Palatino Linotype" w:cs="Palatino Linotype"/>
          <w:i/>
          <w:color w:val="000000"/>
        </w:rPr>
        <w:t>” (Sic)</w:t>
      </w:r>
    </w:p>
    <w:p w14:paraId="58A73768" w14:textId="77777777" w:rsidR="00484E71" w:rsidRDefault="00484E71"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99404F4" w14:textId="59C53E8E"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 su respuesta se anexó </w:t>
      </w:r>
      <w:r w:rsidR="00484E71">
        <w:rPr>
          <w:rFonts w:ascii="Palatino Linotype" w:eastAsia="Palatino Linotype" w:hAnsi="Palatino Linotype" w:cs="Palatino Linotype"/>
          <w:color w:val="000000"/>
          <w:sz w:val="24"/>
          <w:szCs w:val="24"/>
        </w:rPr>
        <w:t>el documento electrónico denominado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w:t>
      </w:r>
      <w:r w:rsidR="00484E71" w:rsidRPr="00484E71">
        <w:rPr>
          <w:rFonts w:ascii="Palatino Linotype" w:eastAsia="Palatino Linotype" w:hAnsi="Palatino Linotype" w:cs="Palatino Linotype"/>
          <w:b/>
          <w:bCs/>
          <w:color w:val="000000"/>
          <w:sz w:val="24"/>
          <w:szCs w:val="24"/>
        </w:rPr>
        <w:t>166 - C. Ciudadano - Unidad de Transparencia - 0166.pdf</w:t>
      </w:r>
      <w:r w:rsidR="006C106B">
        <w:rPr>
          <w:rFonts w:ascii="Palatino Linotype" w:eastAsia="Palatino Linotype" w:hAnsi="Palatino Linotype" w:cs="Palatino Linotype"/>
          <w:b/>
          <w:color w:val="000000"/>
          <w:sz w:val="24"/>
          <w:szCs w:val="24"/>
        </w:rPr>
        <w:t>”</w:t>
      </w:r>
      <w:r w:rsidR="008B2951">
        <w:rPr>
          <w:rFonts w:ascii="Palatino Linotype" w:eastAsia="Palatino Linotype" w:hAnsi="Palatino Linotype" w:cs="Palatino Linotype"/>
          <w:color w:val="000000"/>
          <w:sz w:val="24"/>
          <w:szCs w:val="24"/>
        </w:rPr>
        <w:t xml:space="preserve">, </w:t>
      </w:r>
      <w:r w:rsidR="00B76D71">
        <w:rPr>
          <w:rFonts w:ascii="Palatino Linotype" w:eastAsia="Palatino Linotype" w:hAnsi="Palatino Linotype" w:cs="Palatino Linotype"/>
          <w:color w:val="000000"/>
          <w:sz w:val="24"/>
          <w:szCs w:val="24"/>
        </w:rPr>
        <w:t>el cual no se reproduce por</w:t>
      </w:r>
      <w:r>
        <w:rPr>
          <w:rFonts w:ascii="Palatino Linotype" w:eastAsia="Palatino Linotype" w:hAnsi="Palatino Linotype" w:cs="Palatino Linotype"/>
          <w:color w:val="000000"/>
          <w:sz w:val="24"/>
          <w:szCs w:val="24"/>
        </w:rPr>
        <w:t xml:space="preserve"> ser del conocimiento de ambas partes; no obstante, se hará referencia de su contenido en el estudio correspondiente.</w:t>
      </w:r>
    </w:p>
    <w:p w14:paraId="4E8ED7CF"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8FA11DD"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 Del recurso de revisión.</w:t>
      </w:r>
    </w:p>
    <w:p w14:paraId="1E610F43" w14:textId="2BD567D2" w:rsidR="00F207C2" w:rsidRPr="00437D61" w:rsidRDefault="00A970D5" w:rsidP="003111CD">
      <w:pPr>
        <w:pStyle w:val="Sinespaciado"/>
        <w:spacing w:line="360" w:lineRule="auto"/>
        <w:jc w:val="both"/>
        <w:rPr>
          <w:rFonts w:ascii="Palatino Linotype" w:hAnsi="Palatino Linotype"/>
        </w:rPr>
      </w:pPr>
      <w:r>
        <w:rPr>
          <w:rFonts w:ascii="Palatino Linotype" w:eastAsia="Palatino Linotype" w:hAnsi="Palatino Linotype" w:cs="Palatino Linotype"/>
          <w:color w:val="000000"/>
        </w:rPr>
        <w:t>Inconforme con la respuesta em</w:t>
      </w:r>
      <w:r w:rsidR="00A06896">
        <w:rPr>
          <w:rFonts w:ascii="Palatino Linotype" w:eastAsia="Palatino Linotype" w:hAnsi="Palatino Linotype" w:cs="Palatino Linotype"/>
          <w:color w:val="000000"/>
        </w:rPr>
        <w:t xml:space="preserve">itida por el </w:t>
      </w:r>
      <w:r w:rsidR="00A06896" w:rsidRPr="001A44D9">
        <w:rPr>
          <w:rFonts w:ascii="Palatino Linotype" w:eastAsia="Palatino Linotype" w:hAnsi="Palatino Linotype" w:cs="Palatino Linotype"/>
          <w:b/>
          <w:bCs/>
          <w:color w:val="000000"/>
        </w:rPr>
        <w:t>Sujeto Obligado</w:t>
      </w:r>
      <w:r w:rsidR="00A06896">
        <w:rPr>
          <w:rFonts w:ascii="Palatino Linotype" w:eastAsia="Palatino Linotype" w:hAnsi="Palatino Linotype" w:cs="Palatino Linotype"/>
          <w:color w:val="000000"/>
        </w:rPr>
        <w:t xml:space="preserve">, </w:t>
      </w:r>
      <w:r w:rsidR="006C106B">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w:t>
      </w:r>
      <w:r w:rsidRPr="001A44D9">
        <w:rPr>
          <w:rFonts w:ascii="Palatino Linotype" w:eastAsia="Palatino Linotype" w:hAnsi="Palatino Linotype" w:cs="Palatino Linotype"/>
          <w:b/>
          <w:bCs/>
          <w:color w:val="000000"/>
        </w:rPr>
        <w:t>Recurrente</w:t>
      </w:r>
      <w:r>
        <w:rPr>
          <w:rFonts w:ascii="Palatino Linotype" w:eastAsia="Palatino Linotype" w:hAnsi="Palatino Linotype" w:cs="Palatino Linotype"/>
          <w:color w:val="000000"/>
        </w:rPr>
        <w:t xml:space="preserve"> interpuso el presente recurso de revisión e</w:t>
      </w:r>
      <w:r w:rsidR="008B2951">
        <w:rPr>
          <w:rFonts w:ascii="Palatino Linotype" w:eastAsia="Palatino Linotype" w:hAnsi="Palatino Linotype" w:cs="Palatino Linotype"/>
          <w:color w:val="000000"/>
        </w:rPr>
        <w:t xml:space="preserve">l día </w:t>
      </w:r>
      <w:r w:rsidR="006C106B">
        <w:rPr>
          <w:rFonts w:ascii="Palatino Linotype" w:eastAsia="Palatino Linotype" w:hAnsi="Palatino Linotype" w:cs="Palatino Linotype"/>
          <w:color w:val="000000"/>
        </w:rPr>
        <w:t xml:space="preserve">dos de </w:t>
      </w:r>
      <w:r w:rsidR="00B76D71">
        <w:rPr>
          <w:rFonts w:ascii="Palatino Linotype" w:eastAsia="Palatino Linotype" w:hAnsi="Palatino Linotype" w:cs="Palatino Linotype"/>
          <w:color w:val="000000"/>
        </w:rPr>
        <w:t>septiembre</w:t>
      </w:r>
      <w:r w:rsidR="00F207C2">
        <w:rPr>
          <w:rFonts w:ascii="Palatino Linotype" w:eastAsia="Palatino Linotype" w:hAnsi="Palatino Linotype" w:cs="Palatino Linotype"/>
          <w:color w:val="000000"/>
        </w:rPr>
        <w:t xml:space="preserve"> de dos mil veinticuatro</w:t>
      </w:r>
      <w:r>
        <w:rPr>
          <w:rFonts w:ascii="Palatino Linotype" w:eastAsia="Palatino Linotype" w:hAnsi="Palatino Linotype" w:cs="Palatino Linotype"/>
          <w:color w:val="000000"/>
        </w:rPr>
        <w:t xml:space="preserve">, </w:t>
      </w:r>
      <w:r w:rsidR="00F207C2" w:rsidRPr="00437D61">
        <w:rPr>
          <w:rFonts w:ascii="Palatino Linotype" w:hAnsi="Palatino Linotype"/>
        </w:rPr>
        <w:t xml:space="preserve">en el sistema electrónico con el expediente número </w:t>
      </w:r>
      <w:r w:rsidR="00B76D71">
        <w:rPr>
          <w:rFonts w:ascii="Palatino Linotype" w:hAnsi="Palatino Linotype"/>
          <w:b/>
          <w:bCs/>
          <w:lang w:eastAsia="es-MX"/>
        </w:rPr>
        <w:t>05275</w:t>
      </w:r>
      <w:r w:rsidR="006C106B" w:rsidRPr="006C106B">
        <w:rPr>
          <w:rFonts w:ascii="Palatino Linotype" w:hAnsi="Palatino Linotype"/>
          <w:b/>
          <w:bCs/>
          <w:lang w:eastAsia="es-MX"/>
        </w:rPr>
        <w:t>/INFOEM/IP/RR/2024</w:t>
      </w:r>
      <w:r w:rsidR="00F207C2" w:rsidRPr="00437D61">
        <w:rPr>
          <w:rFonts w:ascii="Palatino Linotype" w:hAnsi="Palatino Linotype"/>
        </w:rPr>
        <w:t>, en el cual arguye las siguientes manifestaciones:</w:t>
      </w:r>
    </w:p>
    <w:p w14:paraId="7AA0C9F4" w14:textId="0C9341D4"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CC4BF9" w14:textId="77777777" w:rsidR="006E2FB0" w:rsidRPr="006E2FB0" w:rsidRDefault="00A970D5" w:rsidP="003111CD">
      <w:pPr>
        <w:spacing w:after="0" w:line="360" w:lineRule="auto"/>
        <w:contextualSpacing/>
        <w:jc w:val="both"/>
        <w:rPr>
          <w:rFonts w:ascii="Palatino Linotype" w:eastAsia="Palatino Linotype" w:hAnsi="Palatino Linotype" w:cs="Palatino Linotype"/>
          <w:b/>
          <w:sz w:val="24"/>
          <w:szCs w:val="24"/>
        </w:rPr>
      </w:pPr>
      <w:r w:rsidRPr="006E2FB0">
        <w:rPr>
          <w:rFonts w:ascii="Palatino Linotype" w:eastAsia="Palatino Linotype" w:hAnsi="Palatino Linotype" w:cs="Palatino Linotype"/>
          <w:b/>
          <w:sz w:val="24"/>
          <w:szCs w:val="24"/>
        </w:rPr>
        <w:t>Acto Impugnado:</w:t>
      </w:r>
      <w:r w:rsidR="00655007" w:rsidRPr="006E2FB0">
        <w:rPr>
          <w:rFonts w:ascii="Palatino Linotype" w:eastAsia="Palatino Linotype" w:hAnsi="Palatino Linotype" w:cs="Palatino Linotype"/>
          <w:b/>
          <w:sz w:val="24"/>
          <w:szCs w:val="24"/>
        </w:rPr>
        <w:t xml:space="preserve"> </w:t>
      </w:r>
    </w:p>
    <w:p w14:paraId="4A0EFE5A" w14:textId="234BDCBE" w:rsidR="00A970D5" w:rsidRPr="009C0279" w:rsidRDefault="00A970D5" w:rsidP="003111CD">
      <w:pPr>
        <w:spacing w:after="0"/>
        <w:ind w:left="567" w:right="616"/>
        <w:contextualSpacing/>
        <w:jc w:val="both"/>
        <w:rPr>
          <w:rFonts w:ascii="Palatino Linotype" w:eastAsia="Palatino Linotype" w:hAnsi="Palatino Linotype" w:cs="Palatino Linotype"/>
          <w:b/>
        </w:rPr>
      </w:pPr>
      <w:r w:rsidRPr="009C0279">
        <w:rPr>
          <w:rFonts w:ascii="Palatino Linotype" w:eastAsia="Palatino Linotype" w:hAnsi="Palatino Linotype" w:cs="Palatino Linotype"/>
          <w:i/>
        </w:rPr>
        <w:t>“</w:t>
      </w:r>
      <w:r w:rsidR="00B76D71" w:rsidRPr="00B76D71">
        <w:rPr>
          <w:rFonts w:ascii="Palatino Linotype" w:eastAsia="Palatino Linotype" w:hAnsi="Palatino Linotype" w:cs="Palatino Linotype"/>
          <w:i/>
        </w:rPr>
        <w:t>Respuesta a mi solicitud</w:t>
      </w:r>
      <w:r w:rsidRPr="009C0279">
        <w:rPr>
          <w:rFonts w:ascii="Palatino Linotype" w:eastAsia="Palatino Linotype" w:hAnsi="Palatino Linotype" w:cs="Palatino Linotype"/>
          <w:i/>
        </w:rPr>
        <w:t>"(Sic)</w:t>
      </w:r>
    </w:p>
    <w:p w14:paraId="3C40A441" w14:textId="77777777" w:rsidR="00A970D5" w:rsidRPr="00E41D06" w:rsidRDefault="00A970D5" w:rsidP="003111CD">
      <w:pPr>
        <w:spacing w:after="0" w:line="360" w:lineRule="auto"/>
        <w:contextualSpacing/>
        <w:jc w:val="both"/>
        <w:rPr>
          <w:rFonts w:ascii="Palatino Linotype" w:eastAsia="Palatino Linotype" w:hAnsi="Palatino Linotype" w:cs="Palatino Linotype"/>
          <w:iCs/>
          <w:sz w:val="24"/>
          <w:szCs w:val="24"/>
        </w:rPr>
      </w:pPr>
    </w:p>
    <w:p w14:paraId="7FB20AFB" w14:textId="77777777" w:rsidR="006E2FB0" w:rsidRPr="006E2FB0" w:rsidRDefault="00A970D5" w:rsidP="003111CD">
      <w:pPr>
        <w:spacing w:after="0" w:line="360" w:lineRule="auto"/>
        <w:contextualSpacing/>
        <w:jc w:val="both"/>
        <w:rPr>
          <w:rFonts w:ascii="Palatino Linotype" w:eastAsia="Palatino Linotype" w:hAnsi="Palatino Linotype" w:cs="Palatino Linotype"/>
          <w:sz w:val="24"/>
          <w:szCs w:val="24"/>
        </w:rPr>
      </w:pPr>
      <w:r w:rsidRPr="006E2FB0">
        <w:rPr>
          <w:rFonts w:ascii="Palatino Linotype" w:eastAsia="Palatino Linotype" w:hAnsi="Palatino Linotype" w:cs="Palatino Linotype"/>
          <w:b/>
          <w:sz w:val="24"/>
          <w:szCs w:val="24"/>
        </w:rPr>
        <w:t>Razones o Motivos de Inconformidad</w:t>
      </w:r>
      <w:r w:rsidRPr="006E2FB0">
        <w:rPr>
          <w:rFonts w:ascii="Palatino Linotype" w:eastAsia="Palatino Linotype" w:hAnsi="Palatino Linotype" w:cs="Palatino Linotype"/>
          <w:sz w:val="24"/>
          <w:szCs w:val="24"/>
        </w:rPr>
        <w:t xml:space="preserve">: </w:t>
      </w:r>
    </w:p>
    <w:p w14:paraId="2DAC342E" w14:textId="3EF5DBF8" w:rsidR="00A970D5" w:rsidRPr="009C0279" w:rsidRDefault="00A970D5" w:rsidP="003111CD">
      <w:pPr>
        <w:spacing w:after="0"/>
        <w:ind w:left="567" w:right="616"/>
        <w:contextualSpacing/>
        <w:jc w:val="both"/>
        <w:rPr>
          <w:rFonts w:ascii="Palatino Linotype" w:eastAsia="Palatino Linotype" w:hAnsi="Palatino Linotype" w:cs="Palatino Linotype"/>
        </w:rPr>
      </w:pPr>
      <w:r w:rsidRPr="009C0279">
        <w:rPr>
          <w:rFonts w:ascii="Palatino Linotype" w:eastAsia="Palatino Linotype" w:hAnsi="Palatino Linotype" w:cs="Palatino Linotype"/>
          <w:i/>
        </w:rPr>
        <w:t>“</w:t>
      </w:r>
      <w:r w:rsidR="00B76D71" w:rsidRPr="00B76D71">
        <w:rPr>
          <w:rFonts w:ascii="Palatino Linotype" w:eastAsia="Palatino Linotype" w:hAnsi="Palatino Linotype" w:cs="Palatino Linotype"/>
          <w:i/>
        </w:rPr>
        <w:t>Estoy preguntando qué puedo hacer ya que me registré, pero el correo electrónico llegó a spam y no pude concluir el registro. Estoy pidiendo que me orienten, qué puedo hacer, para concluir mi registro al programa, en ningún momento se trata de una apreciación subjetiva, ni un juicio de valor.</w:t>
      </w:r>
      <w:r w:rsidRPr="009C0279">
        <w:rPr>
          <w:rFonts w:ascii="Palatino Linotype" w:eastAsia="Palatino Linotype" w:hAnsi="Palatino Linotype" w:cs="Palatino Linotype"/>
          <w:i/>
        </w:rPr>
        <w:t>” (Sic)</w:t>
      </w:r>
    </w:p>
    <w:p w14:paraId="67646733" w14:textId="51AC6CCD"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1D7F189" w14:textId="77777777" w:rsidR="00A970D5" w:rsidRPr="005C6947"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t>CUARTO. Del turno y admisión del recurso de revisión.</w:t>
      </w:r>
    </w:p>
    <w:p w14:paraId="2459DEBA" w14:textId="7297893F"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Medio de impugnación que le fue turnado al </w:t>
      </w:r>
      <w:r>
        <w:rPr>
          <w:rFonts w:ascii="Palatino Linotype" w:eastAsia="Palatino Linotype" w:hAnsi="Palatino Linotype" w:cs="Palatino Linotype"/>
          <w:b/>
          <w:color w:val="000000"/>
          <w:sz w:val="24"/>
          <w:szCs w:val="24"/>
        </w:rPr>
        <w:t>Comisionado</w:t>
      </w:r>
      <w:r w:rsidR="006E2F21">
        <w:rPr>
          <w:rFonts w:ascii="Palatino Linotype" w:eastAsia="Palatino Linotype" w:hAnsi="Palatino Linotype" w:cs="Palatino Linotype"/>
          <w:b/>
          <w:color w:val="000000"/>
          <w:sz w:val="24"/>
          <w:szCs w:val="24"/>
        </w:rPr>
        <w:t xml:space="preserve"> Presidente</w:t>
      </w:r>
      <w:r w:rsidR="00E41D06">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José Martínez Vilchis</w:t>
      </w:r>
      <w:r>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w:t>
      </w:r>
      <w:r w:rsidR="001059AF">
        <w:rPr>
          <w:rFonts w:ascii="Palatino Linotype" w:eastAsia="Palatino Linotype" w:hAnsi="Palatino Linotype" w:cs="Palatino Linotype"/>
          <w:color w:val="000000"/>
          <w:sz w:val="24"/>
          <w:szCs w:val="24"/>
        </w:rPr>
        <w:t>tado de México y Municipios, al</w:t>
      </w:r>
      <w:r>
        <w:rPr>
          <w:rFonts w:ascii="Palatino Linotype" w:eastAsia="Palatino Linotype" w:hAnsi="Palatino Linotype" w:cs="Palatino Linotype"/>
          <w:color w:val="000000"/>
          <w:sz w:val="24"/>
          <w:szCs w:val="24"/>
        </w:rPr>
        <w:t xml:space="preserve"> cu</w:t>
      </w:r>
      <w:r w:rsidR="008B2951">
        <w:rPr>
          <w:rFonts w:ascii="Palatino Linotype" w:eastAsia="Palatino Linotype" w:hAnsi="Palatino Linotype" w:cs="Palatino Linotype"/>
          <w:color w:val="000000"/>
          <w:sz w:val="24"/>
          <w:szCs w:val="24"/>
        </w:rPr>
        <w:t>al recayó acuerdo de admisión de</w:t>
      </w:r>
      <w:r>
        <w:rPr>
          <w:rFonts w:ascii="Palatino Linotype" w:eastAsia="Palatino Linotype" w:hAnsi="Palatino Linotype" w:cs="Palatino Linotype"/>
          <w:color w:val="000000"/>
          <w:sz w:val="24"/>
          <w:szCs w:val="24"/>
        </w:rPr>
        <w:t xml:space="preserve"> fecha </w:t>
      </w:r>
      <w:r w:rsidR="00B76D71">
        <w:rPr>
          <w:rFonts w:ascii="Palatino Linotype" w:eastAsia="Palatino Linotype" w:hAnsi="Palatino Linotype" w:cs="Palatino Linotype"/>
          <w:color w:val="000000"/>
          <w:sz w:val="24"/>
          <w:szCs w:val="24"/>
        </w:rPr>
        <w:t>seis de septiembre</w:t>
      </w:r>
      <w:r w:rsidR="00F207C2">
        <w:rPr>
          <w:rFonts w:ascii="Palatino Linotype" w:eastAsia="Palatino Linotype" w:hAnsi="Palatino Linotype" w:cs="Palatino Linotype"/>
          <w:color w:val="000000"/>
          <w:sz w:val="24"/>
          <w:szCs w:val="24"/>
        </w:rPr>
        <w:t xml:space="preserve"> 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otorgándose</w:t>
      </w:r>
      <w:r>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26C243C3"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BE15DAA" w14:textId="264ED057" w:rsidR="004A4D40" w:rsidRDefault="00C23834" w:rsidP="003111CD">
      <w:pP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QUIN</w:t>
      </w:r>
      <w:r w:rsidR="004A4D40">
        <w:rPr>
          <w:rFonts w:ascii="Palatino Linotype" w:eastAsia="Palatino Linotype" w:hAnsi="Palatino Linotype" w:cs="Palatino Linotype"/>
          <w:b/>
          <w:color w:val="000000"/>
          <w:sz w:val="26"/>
          <w:szCs w:val="26"/>
        </w:rPr>
        <w:t>TO. De la etapa de instrucción.</w:t>
      </w:r>
    </w:p>
    <w:p w14:paraId="64913385" w14:textId="3ABFE511" w:rsidR="006E2F21" w:rsidRPr="007964CE" w:rsidRDefault="00684CFF" w:rsidP="003111CD">
      <w:pPr>
        <w:spacing w:after="0" w:line="360" w:lineRule="auto"/>
        <w:jc w:val="both"/>
        <w:rPr>
          <w:rFonts w:ascii="Palatino Linotype" w:hAnsi="Palatino Linotype"/>
          <w:i/>
          <w:iCs/>
          <w:lang w:val="es-MX" w:eastAsia="en-US"/>
        </w:rPr>
      </w:pPr>
      <w:r w:rsidRPr="00684CFF">
        <w:rPr>
          <w:rFonts w:ascii="Palatino Linotype" w:hAnsi="Palatino Linotype" w:cs="Arial"/>
          <w:sz w:val="24"/>
          <w:szCs w:val="24"/>
          <w:lang w:val="es-MX" w:eastAsia="en-US"/>
        </w:rPr>
        <w:t xml:space="preserve">Así, una vez abierta la etapa de instrucción, en el sumario se observa que en fecha </w:t>
      </w:r>
      <w:r w:rsidR="00B76D71">
        <w:rPr>
          <w:rFonts w:ascii="Palatino Linotype" w:hAnsi="Palatino Linotype" w:cs="Arial"/>
          <w:sz w:val="24"/>
          <w:szCs w:val="24"/>
          <w:lang w:val="es-MX" w:eastAsia="en-US"/>
        </w:rPr>
        <w:t>diez de septiembre</w:t>
      </w:r>
      <w:r w:rsidRPr="00684CFF">
        <w:rPr>
          <w:rFonts w:ascii="Palatino Linotype" w:hAnsi="Palatino Linotype" w:cs="Arial"/>
          <w:sz w:val="24"/>
          <w:szCs w:val="24"/>
          <w:lang w:val="es-MX" w:eastAsia="en-US"/>
        </w:rPr>
        <w:t xml:space="preserve"> de dos mil veinticuatro, el Sujeto Obligado rindió su Informe Justificado consistente en </w:t>
      </w:r>
      <w:r w:rsidR="0017682E">
        <w:rPr>
          <w:rFonts w:ascii="Palatino Linotype" w:hAnsi="Palatino Linotype" w:cs="Arial"/>
          <w:sz w:val="24"/>
          <w:szCs w:val="24"/>
          <w:lang w:val="es-MX" w:eastAsia="en-US"/>
        </w:rPr>
        <w:t>dos</w:t>
      </w:r>
      <w:r w:rsidRPr="00684CFF">
        <w:rPr>
          <w:rFonts w:ascii="Palatino Linotype" w:hAnsi="Palatino Linotype" w:cs="Arial"/>
          <w:sz w:val="24"/>
          <w:szCs w:val="24"/>
          <w:lang w:val="es-MX" w:eastAsia="en-US"/>
        </w:rPr>
        <w:t xml:space="preserve"> documentos electrónicos. Dicho informe fue puesto a la vista de la Recurrente mediante acuerdo de fecha </w:t>
      </w:r>
      <w:r w:rsidR="00B76D71">
        <w:rPr>
          <w:rFonts w:ascii="Palatino Linotype" w:hAnsi="Palatino Linotype" w:cs="Arial"/>
          <w:sz w:val="24"/>
          <w:szCs w:val="24"/>
          <w:lang w:val="es-MX" w:eastAsia="en-US"/>
        </w:rPr>
        <w:t>ocho de octubre</w:t>
      </w:r>
      <w:r w:rsidRPr="00684CFF">
        <w:rPr>
          <w:rFonts w:ascii="Palatino Linotype" w:hAnsi="Palatino Linotype" w:cs="Arial"/>
          <w:sz w:val="24"/>
          <w:szCs w:val="24"/>
          <w:lang w:val="es-MX" w:eastAsia="en-US"/>
        </w:rPr>
        <w:t xml:space="preserve"> de dos mil veinticuatro, en términos de la fracción III del artículo 185 de la Ley de Transparencia y Acceso a la </w:t>
      </w:r>
      <w:r w:rsidRPr="00684CFF">
        <w:rPr>
          <w:rFonts w:ascii="Palatino Linotype" w:hAnsi="Palatino Linotype" w:cs="Arial"/>
          <w:sz w:val="24"/>
          <w:szCs w:val="24"/>
          <w:lang w:val="es-MX" w:eastAsia="en-US"/>
        </w:rPr>
        <w:lastRenderedPageBreak/>
        <w:t xml:space="preserve">Información Pública del Estado de México y Municipios, otorgando a la particular un término de tres días para manifestar lo que a su derecho conviniera. El contenido de dichos documentos será motivo de análisis durante el estudio respectivo. Por otra parte, </w:t>
      </w:r>
      <w:r w:rsidRPr="00684CFF">
        <w:rPr>
          <w:rFonts w:ascii="Palatino Linotype" w:hAnsi="Palatino Linotype"/>
          <w:sz w:val="24"/>
          <w:szCs w:val="24"/>
          <w:lang w:val="es-MX" w:eastAsia="en-US"/>
        </w:rPr>
        <w:t xml:space="preserve">se hace constar que </w:t>
      </w:r>
      <w:r w:rsidR="0017682E">
        <w:rPr>
          <w:rFonts w:ascii="Palatino Linotype" w:hAnsi="Palatino Linotype"/>
          <w:b/>
          <w:sz w:val="24"/>
          <w:szCs w:val="24"/>
          <w:lang w:val="es-MX" w:eastAsia="en-US"/>
        </w:rPr>
        <w:t>el</w:t>
      </w:r>
      <w:r w:rsidRPr="00684CFF">
        <w:rPr>
          <w:rFonts w:ascii="Palatino Linotype" w:hAnsi="Palatino Linotype"/>
          <w:b/>
          <w:sz w:val="24"/>
          <w:szCs w:val="24"/>
          <w:lang w:val="es-MX" w:eastAsia="en-US"/>
        </w:rPr>
        <w:t xml:space="preserve"> </w:t>
      </w:r>
      <w:r w:rsidRPr="00684CFF">
        <w:rPr>
          <w:rFonts w:ascii="Palatino Linotype" w:hAnsi="Palatino Linotype"/>
          <w:sz w:val="24"/>
          <w:szCs w:val="24"/>
          <w:lang w:val="es-MX" w:eastAsia="en-US"/>
        </w:rPr>
        <w:t>R</w:t>
      </w:r>
      <w:r w:rsidRPr="00684CFF">
        <w:rPr>
          <w:rFonts w:ascii="Palatino Linotype" w:hAnsi="Palatino Linotype"/>
          <w:b/>
          <w:sz w:val="24"/>
          <w:szCs w:val="24"/>
          <w:lang w:val="es-MX" w:eastAsia="en-US"/>
        </w:rPr>
        <w:t>ecurrente</w:t>
      </w:r>
      <w:r w:rsidR="00EC5A5C" w:rsidRPr="00EC5A5C">
        <w:rPr>
          <w:rFonts w:ascii="Palatino Linotype" w:hAnsi="Palatino Linotype"/>
          <w:sz w:val="24"/>
          <w:szCs w:val="24"/>
          <w:lang w:val="es-MX" w:eastAsia="en-US"/>
        </w:rPr>
        <w:t>, omitió rendir dentro del término de Ley, las manifestaciones que a sus intereses conviniera.</w:t>
      </w:r>
    </w:p>
    <w:p w14:paraId="5C22B2DB" w14:textId="77777777" w:rsidR="004A4D40" w:rsidRPr="007964CE" w:rsidRDefault="004A4D40" w:rsidP="003111CD">
      <w:pPr>
        <w:spacing w:after="0" w:line="360" w:lineRule="auto"/>
        <w:contextualSpacing/>
        <w:jc w:val="both"/>
        <w:rPr>
          <w:rFonts w:ascii="Palatino Linotype" w:eastAsia="Palatino Linotype" w:hAnsi="Palatino Linotype" w:cs="Palatino Linotype"/>
          <w:color w:val="000000"/>
          <w:sz w:val="24"/>
          <w:szCs w:val="24"/>
          <w:lang w:val="es-MX"/>
        </w:rPr>
      </w:pPr>
    </w:p>
    <w:p w14:paraId="3A3473AB" w14:textId="173FD61B" w:rsidR="004A4D40" w:rsidRDefault="006E2F21" w:rsidP="003111CD">
      <w:pP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SEXTO</w:t>
      </w:r>
      <w:r w:rsidR="004A4D40">
        <w:rPr>
          <w:rFonts w:ascii="Palatino Linotype" w:eastAsia="Palatino Linotype" w:hAnsi="Palatino Linotype" w:cs="Palatino Linotype"/>
          <w:b/>
          <w:color w:val="000000"/>
          <w:sz w:val="26"/>
          <w:szCs w:val="26"/>
        </w:rPr>
        <w:t>. Del cierre de instrucción.</w:t>
      </w:r>
    </w:p>
    <w:p w14:paraId="21E9B13B" w14:textId="328DE473" w:rsidR="00C05402" w:rsidRDefault="004A4D40" w:rsidP="003111CD">
      <w:pP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Así, una vez transcurrido el término legal, se decretó el cierre de instrucción en fecha </w:t>
      </w:r>
      <w:r w:rsidR="00EC5A5C" w:rsidRPr="003C501E">
        <w:rPr>
          <w:rFonts w:ascii="Palatino Linotype" w:eastAsia="Palatino Linotype" w:hAnsi="Palatino Linotype" w:cs="Palatino Linotype"/>
          <w:color w:val="000000"/>
          <w:sz w:val="24"/>
          <w:szCs w:val="24"/>
        </w:rPr>
        <w:t>quince de octubre</w:t>
      </w:r>
      <w:r w:rsidR="00B54B34" w:rsidRPr="003C501E">
        <w:rPr>
          <w:rFonts w:ascii="Palatino Linotype" w:eastAsia="Palatino Linotype" w:hAnsi="Palatino Linotype" w:cs="Palatino Linotype"/>
          <w:color w:val="000000"/>
          <w:sz w:val="24"/>
          <w:szCs w:val="24"/>
        </w:rPr>
        <w:t xml:space="preserve"> de dos mil veinticuatro</w:t>
      </w:r>
      <w:r>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4DD5EBCE" w14:textId="77777777" w:rsidR="00384A4B" w:rsidRDefault="00384A4B" w:rsidP="003111CD">
      <w:pPr>
        <w:spacing w:after="0" w:line="360" w:lineRule="auto"/>
        <w:contextualSpacing/>
        <w:jc w:val="both"/>
        <w:rPr>
          <w:rFonts w:ascii="Palatino Linotype" w:eastAsia="Palatino Linotype" w:hAnsi="Palatino Linotype" w:cs="Palatino Linotype"/>
          <w:color w:val="000000"/>
          <w:sz w:val="24"/>
          <w:szCs w:val="24"/>
        </w:rPr>
      </w:pPr>
    </w:p>
    <w:p w14:paraId="041652F4" w14:textId="4A382926" w:rsidR="00384A4B" w:rsidRDefault="00384A4B" w:rsidP="003111CD">
      <w:pPr>
        <w:spacing w:after="0" w:line="360" w:lineRule="auto"/>
        <w:contextualSpacing/>
        <w:jc w:val="both"/>
        <w:rPr>
          <w:rFonts w:ascii="Palatino Linotype" w:eastAsia="Palatino Linotype" w:hAnsi="Palatino Linotype" w:cs="Palatino Linotype"/>
          <w:color w:val="000000"/>
          <w:sz w:val="24"/>
          <w:szCs w:val="24"/>
        </w:rPr>
      </w:pPr>
      <w:r w:rsidRPr="00384A4B">
        <w:rPr>
          <w:rFonts w:ascii="Palatino Linotype" w:eastAsia="Palatino Linotype" w:hAnsi="Palatino Linotype" w:cs="Palatino Linotype"/>
          <w:b/>
          <w:color w:val="000000"/>
          <w:sz w:val="26"/>
          <w:szCs w:val="26"/>
        </w:rPr>
        <w:t>SÉPTIMO. De la ampliación del término para resolver.</w:t>
      </w:r>
    </w:p>
    <w:p w14:paraId="36F7B081" w14:textId="6EB209C5" w:rsidR="00A970D5" w:rsidRDefault="00384A4B" w:rsidP="003111CD">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384A4B">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el </w:t>
      </w:r>
      <w:r w:rsidR="000835E5">
        <w:rPr>
          <w:rFonts w:ascii="Palatino Linotype" w:hAnsi="Palatino Linotype" w:cs="Arial"/>
          <w:sz w:val="24"/>
          <w:szCs w:val="24"/>
        </w:rPr>
        <w:t>veintidós</w:t>
      </w:r>
      <w:r w:rsidRPr="00384A4B">
        <w:rPr>
          <w:rFonts w:ascii="Palatino Linotype" w:hAnsi="Palatino Linotype" w:cs="Arial"/>
          <w:sz w:val="24"/>
          <w:szCs w:val="24"/>
        </w:rPr>
        <w:t xml:space="preserve"> de octubre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399C739" w14:textId="77777777" w:rsidR="00384A4B" w:rsidRDefault="00384A4B"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AAC92F9" w14:textId="77777777" w:rsidR="00930E01" w:rsidRDefault="00930E01"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98F4097" w14:textId="77777777" w:rsidR="00930E01" w:rsidRDefault="00930E01"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741CCA2" w14:textId="77777777" w:rsidR="00A970D5" w:rsidRPr="009D2CDA" w:rsidRDefault="00A970D5" w:rsidP="003111CD">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9D2CDA">
        <w:rPr>
          <w:rFonts w:ascii="Palatino Linotype" w:eastAsia="Palatino Linotype" w:hAnsi="Palatino Linotype" w:cs="Palatino Linotype"/>
          <w:b/>
          <w:color w:val="000000"/>
          <w:sz w:val="28"/>
          <w:szCs w:val="28"/>
        </w:rPr>
        <w:lastRenderedPageBreak/>
        <w:t>C O N S I D E R A N D O</w:t>
      </w:r>
    </w:p>
    <w:p w14:paraId="6A51E2DD" w14:textId="77777777" w:rsidR="00A970D5" w:rsidRPr="005C6947"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t>PRIMERO. De la competencia.</w:t>
      </w:r>
    </w:p>
    <w:p w14:paraId="6279399C" w14:textId="2532AB3F" w:rsidR="00A970D5" w:rsidRDefault="00B54B34"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362415">
        <w:rPr>
          <w:rFonts w:ascii="Palatino Linotype" w:hAnsi="Palatino Linotype"/>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196461" w14:textId="77777777" w:rsidR="00A970D5" w:rsidRPr="005C6947"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t xml:space="preserve">SEGUNDO. Sobre los alcances del recurso de revisión. </w:t>
      </w:r>
    </w:p>
    <w:p w14:paraId="132CB116" w14:textId="0D9DB0AE"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Pr>
          <w:rFonts w:ascii="Palatino Linotype" w:eastAsia="Palatino Linotype" w:hAnsi="Palatino Linotype" w:cs="Palatino Linotype"/>
          <w:color w:val="000000"/>
          <w:sz w:val="24"/>
          <w:szCs w:val="24"/>
        </w:rPr>
        <w:lastRenderedPageBreak/>
        <w:t>derecho de acceso a la información pública y garantizando el principio rector de máxima publicidad.</w:t>
      </w:r>
    </w:p>
    <w:p w14:paraId="11932F99" w14:textId="77777777" w:rsidR="007B522A" w:rsidRPr="00B21190" w:rsidRDefault="007B522A" w:rsidP="003111CD">
      <w:pPr>
        <w:spacing w:after="0" w:line="360" w:lineRule="auto"/>
        <w:jc w:val="both"/>
        <w:rPr>
          <w:rFonts w:ascii="Palatino Linotype" w:hAnsi="Palatino Linotype" w:cs="Arial"/>
          <w:b/>
          <w:sz w:val="26"/>
          <w:szCs w:val="26"/>
        </w:rPr>
      </w:pPr>
      <w:r w:rsidRPr="00B21190">
        <w:rPr>
          <w:rFonts w:ascii="Palatino Linotype" w:hAnsi="Palatino Linotype" w:cs="Arial"/>
          <w:b/>
          <w:sz w:val="26"/>
          <w:szCs w:val="26"/>
        </w:rPr>
        <w:t>TERCERO. Del estudio de las causas de improcedencia y sobreseimiento.</w:t>
      </w:r>
    </w:p>
    <w:p w14:paraId="7D127D43"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r w:rsidRPr="00E45644">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95C6A8D"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p>
    <w:p w14:paraId="79707CC2"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r w:rsidRPr="00E45644">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449625D" w14:textId="77777777" w:rsidR="00E45644" w:rsidRDefault="00E45644" w:rsidP="003111CD">
      <w:pPr>
        <w:pStyle w:val="Prrafodelista"/>
        <w:autoSpaceDE w:val="0"/>
        <w:autoSpaceDN w:val="0"/>
        <w:adjustRightInd w:val="0"/>
        <w:spacing w:line="360" w:lineRule="auto"/>
        <w:ind w:left="0"/>
        <w:jc w:val="both"/>
        <w:rPr>
          <w:rFonts w:ascii="Palatino Linotype" w:hAnsi="Palatino Linotype" w:cs="Arial"/>
        </w:rPr>
      </w:pPr>
    </w:p>
    <w:p w14:paraId="6B6F2100"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r w:rsidRPr="00E45644">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E45644">
        <w:rPr>
          <w:rStyle w:val="Refdenotaalpie"/>
          <w:rFonts w:ascii="Palatino Linotype" w:eastAsiaTheme="minorEastAsia" w:hAnsi="Palatino Linotype" w:cs="Arial"/>
        </w:rPr>
        <w:footnoteReference w:id="1"/>
      </w:r>
      <w:r w:rsidRPr="00E45644">
        <w:rPr>
          <w:rFonts w:ascii="Palatino Linotype" w:hAnsi="Palatino Linotype" w:cs="Arial"/>
        </w:rPr>
        <w:t>.</w:t>
      </w:r>
    </w:p>
    <w:p w14:paraId="2151E707"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szCs w:val="24"/>
        </w:rPr>
      </w:pPr>
      <w:r w:rsidRPr="00E45644">
        <w:rPr>
          <w:rFonts w:ascii="Palatino Linotype" w:hAnsi="Palatino Linotype" w:cs="Arial"/>
          <w:sz w:val="24"/>
          <w:szCs w:val="24"/>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E45644">
        <w:rPr>
          <w:rFonts w:ascii="Palatino Linotype" w:hAnsi="Palatino Linotype" w:cs="Arial"/>
          <w:sz w:val="24"/>
          <w:szCs w:val="24"/>
        </w:rPr>
        <w:lastRenderedPageBreak/>
        <w:t>se le dé a las solicitudes de información, ya que el sujeto obligado puede considerar una circunstancia en particular diversa a la que el particular objetivamente requiere.</w:t>
      </w:r>
    </w:p>
    <w:p w14:paraId="5709BEA8" w14:textId="77777777" w:rsidR="00E45644" w:rsidRDefault="00E45644" w:rsidP="003111CD">
      <w:pPr>
        <w:pStyle w:val="Prrafodelista"/>
        <w:autoSpaceDE w:val="0"/>
        <w:autoSpaceDN w:val="0"/>
        <w:adjustRightInd w:val="0"/>
        <w:spacing w:line="360" w:lineRule="auto"/>
        <w:ind w:left="0"/>
        <w:jc w:val="both"/>
        <w:rPr>
          <w:rFonts w:ascii="Palatino Linotype" w:hAnsi="Palatino Linotype" w:cs="Arial"/>
        </w:rPr>
      </w:pPr>
    </w:p>
    <w:p w14:paraId="5E18ABEB"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r w:rsidRPr="00E45644">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BE42200" w14:textId="77777777" w:rsidR="00E45644" w:rsidRDefault="00E45644" w:rsidP="003111CD">
      <w:pPr>
        <w:pStyle w:val="Prrafodelista"/>
        <w:autoSpaceDE w:val="0"/>
        <w:autoSpaceDN w:val="0"/>
        <w:adjustRightInd w:val="0"/>
        <w:spacing w:line="360" w:lineRule="auto"/>
        <w:ind w:left="0"/>
        <w:jc w:val="both"/>
        <w:rPr>
          <w:rFonts w:ascii="Palatino Linotype" w:hAnsi="Palatino Linotype" w:cs="Arial"/>
        </w:rPr>
      </w:pPr>
    </w:p>
    <w:p w14:paraId="73882EEF"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r w:rsidRPr="00E45644">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A7D7B7D" w14:textId="77777777" w:rsidR="00E45644" w:rsidRPr="00E45644" w:rsidRDefault="00E45644" w:rsidP="003111CD">
      <w:pPr>
        <w:tabs>
          <w:tab w:val="left" w:pos="709"/>
        </w:tabs>
        <w:spacing w:after="0" w:line="360" w:lineRule="auto"/>
        <w:jc w:val="both"/>
        <w:rPr>
          <w:rFonts w:ascii="Palatino Linotype" w:hAnsi="Palatino Linotype" w:cs="Arial"/>
          <w:sz w:val="24"/>
          <w:szCs w:val="24"/>
        </w:rPr>
      </w:pPr>
    </w:p>
    <w:p w14:paraId="4AF73D35" w14:textId="667D9F3D" w:rsidR="00E45644" w:rsidRPr="00E45644" w:rsidRDefault="00E45644" w:rsidP="003111CD">
      <w:pPr>
        <w:tabs>
          <w:tab w:val="left" w:pos="709"/>
        </w:tabs>
        <w:spacing w:after="0" w:line="360" w:lineRule="auto"/>
        <w:jc w:val="both"/>
        <w:rPr>
          <w:rFonts w:ascii="Palatino Linotype" w:hAnsi="Palatino Linotype" w:cs="Arial"/>
          <w:sz w:val="24"/>
          <w:szCs w:val="24"/>
        </w:rPr>
      </w:pPr>
      <w:r w:rsidRPr="00930E01">
        <w:rPr>
          <w:rFonts w:ascii="Palatino Linotype" w:hAnsi="Palatino Linotype" w:cs="Arial"/>
          <w:sz w:val="24"/>
          <w:szCs w:val="24"/>
        </w:rPr>
        <w:t xml:space="preserve">La Ley de Transparencia de la entidad, en su artículo 192, contempla la figura jurídica del sobreseimiento, y específicamente en sus hipótesis inmersas en </w:t>
      </w:r>
      <w:r w:rsidR="00EF2481" w:rsidRPr="00930E01">
        <w:rPr>
          <w:rFonts w:ascii="Palatino Linotype" w:hAnsi="Palatino Linotype" w:cs="Arial"/>
          <w:sz w:val="24"/>
          <w:szCs w:val="24"/>
        </w:rPr>
        <w:t xml:space="preserve">la fracción </w:t>
      </w:r>
      <w:r w:rsidRPr="00930E01">
        <w:rPr>
          <w:rFonts w:ascii="Palatino Linotype" w:hAnsi="Palatino Linotype" w:cs="Arial"/>
          <w:sz w:val="24"/>
          <w:szCs w:val="24"/>
        </w:rPr>
        <w:t xml:space="preserve">IV, refiere que se sobreseerá el asunto cuando </w:t>
      </w:r>
      <w:r w:rsidR="00EF2481" w:rsidRPr="00930E01">
        <w:rPr>
          <w:rFonts w:ascii="Palatino Linotype" w:hAnsi="Palatino Linotype" w:cs="Arial"/>
          <w:sz w:val="24"/>
          <w:szCs w:val="24"/>
        </w:rPr>
        <w:t>una vez</w:t>
      </w:r>
      <w:r w:rsidRPr="00930E01">
        <w:rPr>
          <w:rFonts w:ascii="Palatino Linotype" w:hAnsi="Palatino Linotype" w:cs="Arial"/>
          <w:sz w:val="24"/>
          <w:szCs w:val="24"/>
        </w:rPr>
        <w:t xml:space="preserve"> admitido el recurso de revisión, aparezca alguna causal de improcedencia en los términos de la presente Ley.</w:t>
      </w:r>
    </w:p>
    <w:p w14:paraId="09F3E915" w14:textId="77777777" w:rsidR="00E45644" w:rsidRPr="004D52B1" w:rsidRDefault="00E45644" w:rsidP="003111CD">
      <w:pPr>
        <w:tabs>
          <w:tab w:val="left" w:pos="709"/>
        </w:tabs>
        <w:spacing w:after="0" w:line="360" w:lineRule="auto"/>
        <w:jc w:val="both"/>
        <w:rPr>
          <w:rFonts w:ascii="Palatino Linotype" w:hAnsi="Palatino Linotype" w:cs="Arial"/>
        </w:rPr>
      </w:pPr>
    </w:p>
    <w:p w14:paraId="6D418166" w14:textId="77777777" w:rsidR="00E45644" w:rsidRPr="00E45644" w:rsidRDefault="00E45644" w:rsidP="003111CD">
      <w:pPr>
        <w:tabs>
          <w:tab w:val="left" w:pos="709"/>
        </w:tabs>
        <w:spacing w:after="0" w:line="360" w:lineRule="auto"/>
        <w:jc w:val="both"/>
        <w:rPr>
          <w:rFonts w:ascii="Palatino Linotype" w:hAnsi="Palatino Linotype" w:cs="Arial"/>
          <w:sz w:val="24"/>
        </w:rPr>
      </w:pPr>
      <w:r w:rsidRPr="00E45644">
        <w:rPr>
          <w:rFonts w:ascii="Palatino Linotype" w:hAnsi="Palatino Linotype" w:cs="Arial"/>
          <w:sz w:val="24"/>
        </w:rPr>
        <w:lastRenderedPageBreak/>
        <w:t xml:space="preserve">Bajo esa línea, con la finalidad de determinar si se modificó o revocó el acto u omisión del </w:t>
      </w:r>
      <w:r w:rsidRPr="00E45644">
        <w:rPr>
          <w:rFonts w:ascii="Palatino Linotype" w:hAnsi="Palatino Linotype" w:cs="Arial"/>
          <w:b/>
          <w:sz w:val="24"/>
        </w:rPr>
        <w:t>Sujeto Obligado</w:t>
      </w:r>
      <w:r w:rsidRPr="00E45644">
        <w:rPr>
          <w:rFonts w:ascii="Palatino Linotype" w:hAnsi="Palatino Linotype" w:cs="Arial"/>
          <w:sz w:val="24"/>
        </w:rPr>
        <w:t xml:space="preserve"> o</w:t>
      </w:r>
      <w:r w:rsidRPr="00E45644">
        <w:rPr>
          <w:sz w:val="24"/>
        </w:rPr>
        <w:t xml:space="preserve"> </w:t>
      </w:r>
      <w:r w:rsidRPr="00E45644">
        <w:rPr>
          <w:rFonts w:ascii="Palatino Linotype" w:hAnsi="Palatino Linotype" w:cs="Arial"/>
          <w:sz w:val="24"/>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050E1DCB" w14:textId="77777777" w:rsidR="00E45644" w:rsidRPr="00E45644" w:rsidRDefault="00E45644" w:rsidP="003111CD">
      <w:pPr>
        <w:tabs>
          <w:tab w:val="left" w:pos="709"/>
        </w:tabs>
        <w:spacing w:after="0" w:line="360" w:lineRule="auto"/>
        <w:jc w:val="both"/>
        <w:rPr>
          <w:rFonts w:ascii="Palatino Linotype" w:hAnsi="Palatino Linotype" w:cs="Arial"/>
          <w:sz w:val="24"/>
        </w:rPr>
      </w:pPr>
    </w:p>
    <w:p w14:paraId="0999B26A" w14:textId="77777777" w:rsidR="00E45644" w:rsidRDefault="00E45644" w:rsidP="003111CD">
      <w:pPr>
        <w:tabs>
          <w:tab w:val="left" w:pos="709"/>
        </w:tabs>
        <w:spacing w:after="0" w:line="360" w:lineRule="auto"/>
        <w:jc w:val="both"/>
        <w:rPr>
          <w:rFonts w:ascii="Palatino Linotype" w:hAnsi="Palatino Linotype" w:cs="Arial"/>
          <w:sz w:val="24"/>
        </w:rPr>
      </w:pPr>
      <w:r w:rsidRPr="00E45644">
        <w:rPr>
          <w:rFonts w:ascii="Palatino Linotype" w:hAnsi="Palatino Linotype" w:cs="Arial"/>
          <w:sz w:val="24"/>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14:paraId="493D5575" w14:textId="77777777" w:rsidR="00E45644" w:rsidRPr="00E45644" w:rsidRDefault="00E45644" w:rsidP="003111CD">
      <w:pPr>
        <w:tabs>
          <w:tab w:val="left" w:pos="709"/>
        </w:tabs>
        <w:spacing w:after="0" w:line="360" w:lineRule="auto"/>
        <w:jc w:val="both"/>
        <w:rPr>
          <w:rFonts w:ascii="Palatino Linotype" w:hAnsi="Palatino Linotype" w:cs="Arial"/>
          <w:sz w:val="24"/>
        </w:rPr>
      </w:pPr>
    </w:p>
    <w:p w14:paraId="685E52CA" w14:textId="77777777" w:rsidR="00E45644" w:rsidRPr="00F74FB1" w:rsidRDefault="00E45644" w:rsidP="003111CD">
      <w:pPr>
        <w:pStyle w:val="Citas"/>
        <w:spacing w:before="0" w:after="0"/>
        <w:rPr>
          <w:b/>
          <w:bCs/>
        </w:rPr>
      </w:pPr>
      <w:r>
        <w:rPr>
          <w:b/>
          <w:bCs/>
        </w:rPr>
        <w:t>“</w:t>
      </w:r>
      <w:r w:rsidRPr="00F74FB1">
        <w:rPr>
          <w:b/>
          <w:bCs/>
        </w:rPr>
        <w:t>IMPROCEDENCIA. ESTUDIO PREFERENCIAL DE LAS CAUSALES PREVISTAS EN EL ARTÍCULO 73 DE LA LEY DE AMPARO.</w:t>
      </w:r>
    </w:p>
    <w:p w14:paraId="059AF7C3" w14:textId="77777777" w:rsidR="00E45644" w:rsidRDefault="00E45644" w:rsidP="003111CD">
      <w:pPr>
        <w:pStyle w:val="Citas"/>
        <w:spacing w:before="0" w:after="0"/>
      </w:pPr>
      <w:r>
        <w:t xml:space="preserve">De conformidad con lo dispuesto en el </w:t>
      </w:r>
      <w:r w:rsidRPr="00F74FB1">
        <w:t>último párrafo del artículo </w:t>
      </w:r>
      <w:hyperlink r:id="rId8"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w:t>
      </w:r>
      <w:r>
        <w:lastRenderedPageBreak/>
        <w:t xml:space="preserve">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w:t>
      </w:r>
      <w:r w:rsidRPr="00F74FB1">
        <w:t>forma preferente.</w:t>
      </w:r>
      <w:r>
        <w:t xml:space="preserv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251FA84B" w14:textId="77777777" w:rsidR="00E45644" w:rsidRDefault="00E45644" w:rsidP="003111CD">
      <w:pPr>
        <w:pStyle w:val="Citas"/>
        <w:spacing w:before="0" w:after="0"/>
      </w:pPr>
      <w:r>
        <w:t>Amparo en revisión 355/98. Raúl Salinas de Gortari. 1o. de abril de 1998. Cinco votos. Ponente: José de Jesús Gudiño Pelayo. Secretario: Mario Flores García.</w:t>
      </w:r>
    </w:p>
    <w:p w14:paraId="4A87FE6B" w14:textId="77777777" w:rsidR="00E45644" w:rsidRDefault="00E45644" w:rsidP="003111CD">
      <w:pPr>
        <w:pStyle w:val="Citas"/>
        <w:spacing w:before="0" w:after="0"/>
      </w:pPr>
      <w:r>
        <w:t>Amparo en revisión 807/98. Byron Jackson Co., S.A. de C.V. 24 de junio de 1998. Cinco votos. Ponente: José de Jesús Gudiño Pelayo. Secretario: Miguel Ángel Ramírez González.</w:t>
      </w:r>
    </w:p>
    <w:p w14:paraId="5E38190C" w14:textId="77777777" w:rsidR="00E45644" w:rsidRDefault="00E45644" w:rsidP="003111CD">
      <w:pPr>
        <w:pStyle w:val="Citas"/>
        <w:spacing w:before="0" w:after="0"/>
      </w:pPr>
      <w:r w:rsidRPr="00A65594">
        <w:t>A</w:t>
      </w:r>
      <w:r>
        <w:t>mparo en revisión 2257/97. Servicios Hoteleros Presidente San José del Cabo, S.A. de C.V. 4 de noviembre de 1998. Unanimidad de cuatro votos. Ausente: Juan N. Silva Meza. Ponente: Humberto Román Palacios. Secretario: Álvaro Tovilla León.</w:t>
      </w:r>
    </w:p>
    <w:p w14:paraId="2925DAD2" w14:textId="77777777" w:rsidR="00E45644" w:rsidRDefault="00E45644" w:rsidP="003111CD">
      <w:pPr>
        <w:pStyle w:val="Citas"/>
        <w:spacing w:before="0" w:after="0"/>
      </w:pPr>
      <w:r>
        <w:lastRenderedPageBreak/>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14:paraId="2C486EA0" w14:textId="77777777" w:rsidR="00E45644" w:rsidRDefault="00E45644" w:rsidP="003111CD">
      <w:pPr>
        <w:pStyle w:val="Citas"/>
        <w:spacing w:before="0" w:after="0"/>
      </w:pPr>
      <w:r>
        <w:t>Amparo en revisión 2447/98. José Virgilio Hernández. 18 de noviembre de 1998. Unanimidad de cuatro votos. Ausente: José de Jesús Gudiño Pelayo. Ponente: Humberto Román Palacios. Secretario: Urbano Martínez Hernández.</w:t>
      </w:r>
    </w:p>
    <w:p w14:paraId="71C8BCC6" w14:textId="77777777" w:rsidR="00E45644" w:rsidRPr="00F74FB1" w:rsidRDefault="00E45644" w:rsidP="003111CD">
      <w:pPr>
        <w:pStyle w:val="Citas"/>
        <w:spacing w:before="0" w:after="0"/>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14:paraId="210B389F" w14:textId="247A260D" w:rsidR="007B522A" w:rsidRPr="005836DA" w:rsidRDefault="007B522A" w:rsidP="003111CD">
      <w:pPr>
        <w:tabs>
          <w:tab w:val="left" w:pos="709"/>
        </w:tabs>
        <w:spacing w:after="0" w:line="360" w:lineRule="auto"/>
        <w:jc w:val="both"/>
        <w:rPr>
          <w:rFonts w:ascii="Palatino Linotype" w:hAnsi="Palatino Linotype" w:cs="Arial"/>
          <w:sz w:val="24"/>
          <w:szCs w:val="24"/>
        </w:rPr>
      </w:pPr>
    </w:p>
    <w:p w14:paraId="4687F21F" w14:textId="77777777" w:rsidR="007B522A" w:rsidRPr="005836DA" w:rsidRDefault="007B522A" w:rsidP="003111CD">
      <w:pPr>
        <w:tabs>
          <w:tab w:val="left" w:pos="709"/>
        </w:tabs>
        <w:spacing w:after="0" w:line="360" w:lineRule="auto"/>
        <w:jc w:val="both"/>
        <w:rPr>
          <w:rFonts w:ascii="Palatino Linotype" w:hAnsi="Palatino Linotype" w:cs="Arial"/>
          <w:sz w:val="24"/>
          <w:szCs w:val="24"/>
        </w:rPr>
      </w:pPr>
    </w:p>
    <w:p w14:paraId="66244311" w14:textId="20C84A6B" w:rsidR="00EC5A5C" w:rsidRDefault="00E45644" w:rsidP="003111CD">
      <w:pPr>
        <w:pStyle w:val="Prrafodelista"/>
        <w:autoSpaceDE w:val="0"/>
        <w:autoSpaceDN w:val="0"/>
        <w:adjustRightInd w:val="0"/>
        <w:spacing w:line="360" w:lineRule="auto"/>
        <w:ind w:left="0"/>
        <w:jc w:val="both"/>
        <w:rPr>
          <w:rFonts w:ascii="Palatino Linotype" w:hAnsi="Palatino Linotype" w:cs="Arial"/>
        </w:rPr>
      </w:pPr>
      <w:r w:rsidRPr="00E45644">
        <w:rPr>
          <w:rFonts w:ascii="Palatino Linotype" w:hAnsi="Palatino Linotype" w:cs="Arial"/>
        </w:rPr>
        <w:t>Así, tenemos en un primer plano de estudio el texto de la solicitud de información, plasmada por El Recurrente, ello a efecto de poder determinar la materia de la solicitud de información que nos ocupa, así el particular formuló la solicitud de información 00166/BIENESTAR/IP/2024, que dispone a la literalidad lo siguiente:</w:t>
      </w:r>
    </w:p>
    <w:p w14:paraId="69F93436" w14:textId="0D8D0D24" w:rsidR="00E45644" w:rsidRDefault="00E45644" w:rsidP="003111CD">
      <w:pPr>
        <w:pStyle w:val="Prrafodelista"/>
        <w:tabs>
          <w:tab w:val="left" w:pos="6585"/>
        </w:tabs>
        <w:autoSpaceDE w:val="0"/>
        <w:autoSpaceDN w:val="0"/>
        <w:adjustRightInd w:val="0"/>
        <w:spacing w:line="360" w:lineRule="auto"/>
        <w:ind w:left="0"/>
        <w:jc w:val="both"/>
        <w:rPr>
          <w:rFonts w:ascii="Palatino Linotype" w:hAnsi="Palatino Linotype" w:cs="Arial"/>
        </w:rPr>
      </w:pPr>
      <w:r>
        <w:rPr>
          <w:rFonts w:ascii="Palatino Linotype" w:hAnsi="Palatino Linotype" w:cs="Arial"/>
        </w:rPr>
        <w:tab/>
      </w:r>
    </w:p>
    <w:p w14:paraId="462DF312" w14:textId="5FA5F5CF" w:rsidR="007B522A" w:rsidRDefault="00791F00" w:rsidP="003111CD">
      <w:pPr>
        <w:pStyle w:val="Prrafodelista"/>
        <w:numPr>
          <w:ilvl w:val="0"/>
          <w:numId w:val="18"/>
        </w:numPr>
        <w:autoSpaceDE w:val="0"/>
        <w:autoSpaceDN w:val="0"/>
        <w:adjustRightInd w:val="0"/>
        <w:spacing w:line="360" w:lineRule="auto"/>
        <w:jc w:val="both"/>
        <w:rPr>
          <w:rFonts w:ascii="Palatino Linotype" w:hAnsi="Palatino Linotype" w:cs="Arial"/>
        </w:rPr>
      </w:pPr>
      <w:r>
        <w:rPr>
          <w:rFonts w:ascii="Palatino Linotype" w:hAnsi="Palatino Linotype" w:cs="Arial"/>
        </w:rPr>
        <w:t>Fecha en la que se abrirá una nueva convocatoria para mujeres con bienestar.</w:t>
      </w:r>
    </w:p>
    <w:p w14:paraId="7CD3DDC9" w14:textId="592A7B3D" w:rsidR="00791F00" w:rsidRPr="005836DA" w:rsidRDefault="00791F00" w:rsidP="003111CD">
      <w:pPr>
        <w:pStyle w:val="Prrafodelista"/>
        <w:numPr>
          <w:ilvl w:val="0"/>
          <w:numId w:val="18"/>
        </w:numPr>
        <w:autoSpaceDE w:val="0"/>
        <w:autoSpaceDN w:val="0"/>
        <w:adjustRightInd w:val="0"/>
        <w:spacing w:line="360" w:lineRule="auto"/>
        <w:jc w:val="both"/>
        <w:rPr>
          <w:rFonts w:ascii="Palatino Linotype" w:hAnsi="Palatino Linotype" w:cs="Arial"/>
        </w:rPr>
      </w:pPr>
      <w:r>
        <w:rPr>
          <w:rFonts w:ascii="Palatino Linotype" w:hAnsi="Palatino Linotype" w:cs="Arial"/>
        </w:rPr>
        <w:t>Q</w:t>
      </w:r>
      <w:r w:rsidRPr="00791F00">
        <w:rPr>
          <w:rFonts w:ascii="Palatino Linotype" w:hAnsi="Palatino Linotype" w:cs="Arial"/>
        </w:rPr>
        <w:t>ué puedo hacer ya que me registré, pero el correo electrónico llego a spam y no pude concluir el registro.</w:t>
      </w:r>
    </w:p>
    <w:p w14:paraId="6BD2E6C8" w14:textId="77777777" w:rsidR="007B522A" w:rsidRPr="005836DA" w:rsidRDefault="007B522A" w:rsidP="003111CD">
      <w:pPr>
        <w:pStyle w:val="Prrafodelista"/>
        <w:spacing w:line="360" w:lineRule="auto"/>
        <w:ind w:left="0"/>
        <w:contextualSpacing/>
        <w:jc w:val="both"/>
        <w:rPr>
          <w:rFonts w:ascii="Palatino Linotype" w:hAnsi="Palatino Linotype"/>
          <w:color w:val="000000"/>
        </w:rPr>
      </w:pPr>
    </w:p>
    <w:p w14:paraId="14EC806B" w14:textId="0E21BFC6" w:rsidR="007B522A" w:rsidRPr="005836DA" w:rsidRDefault="007B522A" w:rsidP="003111CD">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lastRenderedPageBreak/>
        <w:t xml:space="preserve">Ahora bien, en respuesta a los requerimientos formulados por el particular, el </w:t>
      </w:r>
      <w:r w:rsidRPr="005836DA">
        <w:rPr>
          <w:rFonts w:ascii="Palatino Linotype" w:hAnsi="Palatino Linotype"/>
          <w:b/>
          <w:color w:val="000000"/>
          <w:lang w:val="es-ES_tradnl"/>
        </w:rPr>
        <w:t xml:space="preserve">sujeto obligado </w:t>
      </w:r>
      <w:r w:rsidRPr="005836DA">
        <w:rPr>
          <w:rFonts w:ascii="Palatino Linotype" w:hAnsi="Palatino Linotype"/>
          <w:color w:val="000000"/>
          <w:lang w:val="es-ES_tradnl"/>
        </w:rPr>
        <w:t>emitió su respuesta</w:t>
      </w:r>
      <w:r w:rsidR="003A4C15" w:rsidRPr="005836DA">
        <w:rPr>
          <w:rFonts w:ascii="Palatino Linotype" w:hAnsi="Palatino Linotype"/>
          <w:color w:val="000000"/>
          <w:lang w:val="es-ES_tradnl"/>
        </w:rPr>
        <w:t xml:space="preserve"> mediante </w:t>
      </w:r>
      <w:r w:rsidR="003B4D9A">
        <w:rPr>
          <w:rFonts w:ascii="Palatino Linotype" w:hAnsi="Palatino Linotype"/>
          <w:color w:val="000000"/>
          <w:lang w:val="es-ES_tradnl"/>
        </w:rPr>
        <w:t xml:space="preserve">los archivos electrónicos de los que se advierte </w:t>
      </w:r>
      <w:r w:rsidR="003A4C15" w:rsidRPr="005836DA">
        <w:rPr>
          <w:rFonts w:ascii="Palatino Linotype" w:hAnsi="Palatino Linotype"/>
          <w:color w:val="000000"/>
          <w:lang w:val="es-ES_tradnl"/>
        </w:rPr>
        <w:t>el contenido siguiente:</w:t>
      </w:r>
    </w:p>
    <w:p w14:paraId="1FD97624" w14:textId="77777777" w:rsidR="003A4C15" w:rsidRDefault="003A4C15" w:rsidP="003111CD">
      <w:pPr>
        <w:pStyle w:val="Prrafodelista"/>
        <w:spacing w:line="360" w:lineRule="auto"/>
        <w:ind w:left="0"/>
        <w:contextualSpacing/>
        <w:jc w:val="both"/>
        <w:rPr>
          <w:rFonts w:ascii="Palatino Linotype" w:hAnsi="Palatino Linotype"/>
          <w:color w:val="000000"/>
          <w:lang w:val="es-ES_tradnl"/>
        </w:rPr>
      </w:pPr>
    </w:p>
    <w:p w14:paraId="30B89F91" w14:textId="2B6F5386" w:rsidR="003B4D9A" w:rsidRPr="00B3481E" w:rsidRDefault="00791F00" w:rsidP="003111CD">
      <w:pPr>
        <w:pStyle w:val="Prrafodelista"/>
        <w:numPr>
          <w:ilvl w:val="0"/>
          <w:numId w:val="12"/>
        </w:numPr>
        <w:spacing w:line="360" w:lineRule="auto"/>
        <w:contextualSpacing/>
        <w:jc w:val="both"/>
        <w:rPr>
          <w:rFonts w:ascii="Palatino Linotype" w:hAnsi="Palatino Linotype"/>
          <w:color w:val="000000"/>
          <w:lang w:val="es-ES_tradnl"/>
        </w:rPr>
      </w:pPr>
      <w:r w:rsidRPr="00791F00">
        <w:rPr>
          <w:rFonts w:ascii="Palatino Linotype" w:hAnsi="Palatino Linotype"/>
          <w:b/>
          <w:bCs/>
          <w:color w:val="000000"/>
          <w:lang w:val="es-ES_tradnl"/>
        </w:rPr>
        <w:t>166 - C. Ciudadano - Unidad de Transparencia - 0166.pdf</w:t>
      </w:r>
      <w:r w:rsidR="003A4C15">
        <w:rPr>
          <w:rFonts w:ascii="Palatino Linotype" w:hAnsi="Palatino Linotype"/>
          <w:color w:val="000000"/>
          <w:lang w:val="es-ES_tradnl"/>
        </w:rPr>
        <w:t xml:space="preserve">: </w:t>
      </w:r>
      <w:r>
        <w:rPr>
          <w:rFonts w:ascii="Palatino Linotype" w:hAnsi="Palatino Linotype"/>
          <w:color w:val="000000"/>
          <w:lang w:val="es-ES_tradnl"/>
        </w:rPr>
        <w:t>Consta del oficio número SBIENESRAR</w:t>
      </w:r>
      <w:r w:rsidR="002C5804">
        <w:rPr>
          <w:rFonts w:ascii="Palatino Linotype" w:hAnsi="Palatino Linotype"/>
          <w:color w:val="000000"/>
          <w:lang w:val="es-ES_tradnl"/>
        </w:rPr>
        <w:t xml:space="preserve">EDOMEX/UT/166/2024, signado por el Encargado del Despacho de la Unidad de Transparencia, mediante el </w:t>
      </w:r>
      <w:r w:rsidR="00B3481E">
        <w:rPr>
          <w:rFonts w:ascii="Palatino Linotype" w:hAnsi="Palatino Linotype"/>
          <w:color w:val="000000"/>
          <w:lang w:val="es-ES_tradnl"/>
        </w:rPr>
        <w:t xml:space="preserve">cual hace del conocimiento del particular que en lo que respecta a la Secretaría de bienestar y con la información proporcionada por la Dirección General de Programas Sociales Estratégicos, de acuerdo con su ámbito de competencia informa mediante oficio 2290003000000L/1186/2024, </w:t>
      </w:r>
      <w:r w:rsidR="002C5804" w:rsidRPr="00B3481E">
        <w:rPr>
          <w:rFonts w:ascii="Palatino Linotype" w:hAnsi="Palatino Linotype"/>
          <w:color w:val="000000"/>
          <w:lang w:val="es-ES_tradnl"/>
        </w:rPr>
        <w:t>que respecto al primero punto “</w:t>
      </w:r>
      <w:r w:rsidR="002C5804" w:rsidRPr="00B3481E">
        <w:rPr>
          <w:rFonts w:ascii="Palatino Linotype" w:hAnsi="Palatino Linotype"/>
          <w:b/>
          <w:color w:val="000000"/>
          <w:lang w:val="es-ES_tradnl"/>
        </w:rPr>
        <w:t>quiero saber, cuando se abrirá nueva convocatoria para mujeres con bienestar…”</w:t>
      </w:r>
      <w:r w:rsidR="00EF7420" w:rsidRPr="00B3481E">
        <w:rPr>
          <w:rFonts w:ascii="Palatino Linotype" w:hAnsi="Palatino Linotype"/>
          <w:b/>
          <w:color w:val="000000"/>
          <w:lang w:val="es-ES_tradnl"/>
        </w:rPr>
        <w:t xml:space="preserve">, </w:t>
      </w:r>
      <w:r w:rsidR="00EF7420" w:rsidRPr="00B3481E">
        <w:rPr>
          <w:rFonts w:ascii="Palatino Linotype" w:hAnsi="Palatino Linotype"/>
          <w:color w:val="000000"/>
          <w:lang w:val="es-ES_tradnl"/>
        </w:rPr>
        <w:t xml:space="preserve">refiere que la Dirección de Programas Sociales Estratégicos hasta el momento no cuenta con una fecha estimada para la publicación de una nueva Convocatoria del Programa de Desarrollo Social “Mujeres con Bienestar”, lo anterior de conformidad con lo establecido en el numeral 13.2 “Convocatoria”, de las Reglas de Operación del Programa referido, publicadas en el periódico oficial “Gaceta del Gobierno” de fecha 24 de enero de 2024. Ahora bien, respecto al punto 2 </w:t>
      </w:r>
      <w:r w:rsidR="00EF7420" w:rsidRPr="00B3481E">
        <w:rPr>
          <w:rFonts w:ascii="Palatino Linotype" w:hAnsi="Palatino Linotype"/>
          <w:b/>
          <w:color w:val="000000"/>
          <w:lang w:val="es-ES_tradnl"/>
        </w:rPr>
        <w:t xml:space="preserve">“…o qué puedo hacer ya que me registré, pero el correo electrónico llegó a spam y no pude concluir el registro.”, </w:t>
      </w:r>
      <w:r w:rsidR="00EF7420" w:rsidRPr="00B3481E">
        <w:rPr>
          <w:rFonts w:ascii="Palatino Linotype" w:hAnsi="Palatino Linotype"/>
          <w:color w:val="000000"/>
          <w:lang w:val="es-ES_tradnl"/>
        </w:rPr>
        <w:t xml:space="preserve"> al respecto refiere que </w:t>
      </w:r>
      <w:r w:rsidR="005E386C" w:rsidRPr="00B3481E">
        <w:rPr>
          <w:rFonts w:ascii="Palatino Linotype" w:hAnsi="Palatino Linotype"/>
          <w:color w:val="000000"/>
          <w:lang w:val="es-ES_tradnl"/>
        </w:rPr>
        <w:t xml:space="preserve">de la simple lectura, se desprende que corresponde a juicios de valor y apreciaciones subjetivas de interés particular, el cual no guarda relación con el interés público al no ser relevante o beneficiosa para la sociedad, y por lo tanto, la petición </w:t>
      </w:r>
      <w:r w:rsidR="005E386C" w:rsidRPr="00B3481E">
        <w:rPr>
          <w:rFonts w:ascii="Palatino Linotype" w:hAnsi="Palatino Linotype"/>
          <w:color w:val="000000"/>
          <w:lang w:val="es-ES_tradnl"/>
        </w:rPr>
        <w:lastRenderedPageBreak/>
        <w:t>expuesta por el solicitante no puede atenderse con el otorgamiento de algún documento públic</w:t>
      </w:r>
      <w:r w:rsidR="00D05EB5" w:rsidRPr="00B3481E">
        <w:rPr>
          <w:rFonts w:ascii="Palatino Linotype" w:hAnsi="Palatino Linotype"/>
          <w:color w:val="000000"/>
          <w:lang w:val="es-ES_tradnl"/>
        </w:rPr>
        <w:t>o que administre la Dirección General, al no adecuarse en alguno de los supuestos establecidos en la Ley, comunicando al solicitante que ese tipo de cuestionamientos o preguntas no pueden ser atendidas a través del derecho de acceso a la información pública mediante el Sistema de Acceso a la Información Mexiquense (SAIMEX).</w:t>
      </w:r>
    </w:p>
    <w:p w14:paraId="4F1518B1" w14:textId="77777777" w:rsidR="00006C12" w:rsidRDefault="00006C12" w:rsidP="003111CD">
      <w:pPr>
        <w:pStyle w:val="Prrafodelista"/>
        <w:spacing w:line="360" w:lineRule="auto"/>
        <w:ind w:left="0"/>
        <w:contextualSpacing/>
        <w:jc w:val="both"/>
        <w:rPr>
          <w:rFonts w:ascii="Palatino Linotype" w:hAnsi="Palatino Linotype"/>
          <w:color w:val="000000"/>
        </w:rPr>
      </w:pPr>
    </w:p>
    <w:p w14:paraId="09F58189" w14:textId="28FC847B" w:rsidR="00153BFA" w:rsidRPr="00631D06" w:rsidRDefault="00153BFA"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76B7B05F">
        <w:rPr>
          <w:rFonts w:ascii="Palatino Linotype" w:eastAsia="Palatino Linotype" w:hAnsi="Palatino Linotype" w:cs="Palatino Linotype"/>
          <w:color w:val="000000" w:themeColor="text1"/>
          <w:sz w:val="24"/>
          <w:szCs w:val="24"/>
        </w:rPr>
        <w:t xml:space="preserve">Ante la respuesta del </w:t>
      </w:r>
      <w:r w:rsidRPr="00A964BA">
        <w:rPr>
          <w:rFonts w:ascii="Palatino Linotype" w:eastAsia="Palatino Linotype" w:hAnsi="Palatino Linotype" w:cs="Palatino Linotype"/>
          <w:b/>
          <w:bCs/>
          <w:color w:val="000000" w:themeColor="text1"/>
          <w:sz w:val="24"/>
          <w:szCs w:val="24"/>
        </w:rPr>
        <w:t>Sujeto Obligado</w:t>
      </w:r>
      <w:r w:rsidRPr="76B7B05F">
        <w:rPr>
          <w:rFonts w:ascii="Palatino Linotype" w:eastAsia="Palatino Linotype" w:hAnsi="Palatino Linotype" w:cs="Palatino Linotype"/>
          <w:color w:val="000000" w:themeColor="text1"/>
          <w:sz w:val="24"/>
          <w:szCs w:val="24"/>
        </w:rPr>
        <w:t xml:space="preserve">, el </w:t>
      </w:r>
      <w:r w:rsidRPr="00A964BA">
        <w:rPr>
          <w:rFonts w:ascii="Palatino Linotype" w:eastAsia="Palatino Linotype" w:hAnsi="Palatino Linotype" w:cs="Palatino Linotype"/>
          <w:b/>
          <w:bCs/>
          <w:color w:val="000000" w:themeColor="text1"/>
          <w:sz w:val="24"/>
          <w:szCs w:val="24"/>
        </w:rPr>
        <w:t>Recurrente</w:t>
      </w:r>
      <w:r w:rsidRPr="76B7B05F">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Pr>
          <w:rFonts w:ascii="Palatino Linotype" w:eastAsia="Palatino Linotype" w:hAnsi="Palatino Linotype" w:cs="Palatino Linotype"/>
          <w:color w:val="000000" w:themeColor="text1"/>
          <w:sz w:val="24"/>
          <w:szCs w:val="24"/>
        </w:rPr>
        <w:t>razones o motivos de inconformidad</w:t>
      </w:r>
      <w:r w:rsidRPr="76B7B05F">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que: </w:t>
      </w:r>
      <w:r w:rsidRPr="00493579">
        <w:rPr>
          <w:rFonts w:ascii="Palatino Linotype" w:eastAsia="Palatino Linotype" w:hAnsi="Palatino Linotype" w:cs="Palatino Linotype"/>
          <w:i/>
        </w:rPr>
        <w:t>"</w:t>
      </w:r>
      <w:r w:rsidR="00D05EB5" w:rsidRPr="00D05EB5">
        <w:rPr>
          <w:rFonts w:ascii="Palatino Linotype" w:eastAsia="Palatino Linotype" w:hAnsi="Palatino Linotype" w:cs="Palatino Linotype"/>
          <w:b/>
          <w:i/>
          <w:u w:val="single"/>
        </w:rPr>
        <w:t>Estoy preguntando qué puedo hacer</w:t>
      </w:r>
      <w:r w:rsidR="00D05EB5" w:rsidRPr="00D05EB5">
        <w:rPr>
          <w:rFonts w:ascii="Palatino Linotype" w:eastAsia="Palatino Linotype" w:hAnsi="Palatino Linotype" w:cs="Palatino Linotype"/>
          <w:i/>
        </w:rPr>
        <w:t xml:space="preserve"> ya que me registré, pero el correo electrónico llegó a spam y no pude concluir el registro. </w:t>
      </w:r>
      <w:r w:rsidR="00D05EB5" w:rsidRPr="00D05EB5">
        <w:rPr>
          <w:rFonts w:ascii="Palatino Linotype" w:eastAsia="Palatino Linotype" w:hAnsi="Palatino Linotype" w:cs="Palatino Linotype"/>
          <w:b/>
          <w:i/>
          <w:u w:val="single"/>
        </w:rPr>
        <w:t>Estoy pidiendo que me orienten, qué puedo hacer, para concluir mi registro al programa</w:t>
      </w:r>
      <w:r w:rsidR="00D05EB5" w:rsidRPr="00D05EB5">
        <w:rPr>
          <w:rFonts w:ascii="Palatino Linotype" w:eastAsia="Palatino Linotype" w:hAnsi="Palatino Linotype" w:cs="Palatino Linotype"/>
          <w:i/>
        </w:rPr>
        <w:t>, en ningún momento se trata de una apreciación subjetiva, ni un juicio de valor.</w:t>
      </w:r>
      <w:r w:rsidRPr="00493579">
        <w:rPr>
          <w:rFonts w:ascii="Palatino Linotype" w:eastAsia="Palatino Linotype" w:hAnsi="Palatino Linotype" w:cs="Palatino Linotype"/>
          <w:i/>
        </w:rPr>
        <w:t xml:space="preserve">" </w:t>
      </w:r>
      <w:r w:rsidRPr="00ED4023">
        <w:rPr>
          <w:rFonts w:ascii="Palatino Linotype" w:eastAsia="Palatino Linotype" w:hAnsi="Palatino Linotype" w:cs="Palatino Linotype"/>
          <w:i/>
        </w:rPr>
        <w:t>(Sic)</w:t>
      </w:r>
    </w:p>
    <w:p w14:paraId="3D224F8E" w14:textId="77777777" w:rsidR="00153BFA" w:rsidRPr="00653691" w:rsidRDefault="00153BFA" w:rsidP="003111CD">
      <w:pPr>
        <w:pStyle w:val="Sinespaciado"/>
        <w:spacing w:line="360" w:lineRule="auto"/>
      </w:pPr>
    </w:p>
    <w:p w14:paraId="13333E0E" w14:textId="1006BBDB" w:rsidR="00153BFA" w:rsidRDefault="00153BFA" w:rsidP="003111CD">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Pr="00D13260">
        <w:rPr>
          <w:rFonts w:ascii="Palatino Linotype" w:hAnsi="Palatino Linotype" w:cs="Arial"/>
          <w:sz w:val="24"/>
          <w:szCs w:val="24"/>
        </w:rPr>
        <w:t xml:space="preserve"> </w:t>
      </w:r>
      <w:r>
        <w:rPr>
          <w:rFonts w:ascii="Palatino Linotype" w:hAnsi="Palatino Linotype" w:cs="Arial"/>
          <w:sz w:val="24"/>
          <w:szCs w:val="24"/>
        </w:rPr>
        <w:t xml:space="preserve">de las constancias que obran en el SAIMEX, se observa que </w:t>
      </w:r>
      <w:r w:rsidRPr="00D13260">
        <w:rPr>
          <w:rFonts w:ascii="Palatino Linotype" w:hAnsi="Palatino Linotype" w:cs="Arial"/>
          <w:sz w:val="24"/>
          <w:szCs w:val="24"/>
        </w:rPr>
        <w:t>en fecha</w:t>
      </w:r>
      <w:r>
        <w:rPr>
          <w:rFonts w:ascii="Palatino Linotype" w:hAnsi="Palatino Linotype" w:cs="Arial"/>
          <w:sz w:val="24"/>
          <w:szCs w:val="24"/>
        </w:rPr>
        <w:t xml:space="preserve"> </w:t>
      </w:r>
      <w:r w:rsidR="00D05EB5">
        <w:rPr>
          <w:rFonts w:ascii="Palatino Linotype" w:hAnsi="Palatino Linotype" w:cs="Arial"/>
          <w:sz w:val="24"/>
          <w:szCs w:val="24"/>
        </w:rPr>
        <w:t>diez de septiembre</w:t>
      </w:r>
      <w:r w:rsidRPr="00153BFA">
        <w:rPr>
          <w:rFonts w:ascii="Palatino Linotype" w:hAnsi="Palatino Linotype" w:cs="Arial"/>
          <w:sz w:val="24"/>
          <w:szCs w:val="24"/>
        </w:rPr>
        <w:t xml:space="preserve"> de dos mil veinticuatro, de los documentos que obran en el expediente electrónico, se advierte que El Sujeto Obligado remitió mediante informe justificado, </w:t>
      </w:r>
      <w:r w:rsidR="00D05EB5">
        <w:rPr>
          <w:rFonts w:ascii="Palatino Linotype" w:hAnsi="Palatino Linotype" w:cs="Arial"/>
          <w:sz w:val="24"/>
          <w:szCs w:val="24"/>
        </w:rPr>
        <w:t>un archivo electrónico que se describe a continuación</w:t>
      </w:r>
      <w:r w:rsidRPr="00D13260">
        <w:rPr>
          <w:rFonts w:ascii="Palatino Linotype" w:hAnsi="Palatino Linotype" w:cs="Arial"/>
          <w:sz w:val="24"/>
          <w:szCs w:val="24"/>
        </w:rPr>
        <w:t>:</w:t>
      </w:r>
    </w:p>
    <w:p w14:paraId="6640D837" w14:textId="77777777" w:rsidR="00E45644" w:rsidRDefault="00E45644" w:rsidP="003111CD">
      <w:pPr>
        <w:tabs>
          <w:tab w:val="left" w:pos="709"/>
        </w:tabs>
        <w:spacing w:after="0" w:line="360" w:lineRule="auto"/>
        <w:jc w:val="both"/>
        <w:rPr>
          <w:rFonts w:ascii="Palatino Linotype" w:hAnsi="Palatino Linotype" w:cs="Arial"/>
          <w:sz w:val="24"/>
          <w:szCs w:val="24"/>
        </w:rPr>
      </w:pPr>
    </w:p>
    <w:p w14:paraId="296BE5C7" w14:textId="3A2A7D73" w:rsidR="00A14499" w:rsidRPr="00A14499" w:rsidRDefault="00D05EB5" w:rsidP="00A14499">
      <w:pPr>
        <w:pStyle w:val="Prrafodelista"/>
        <w:numPr>
          <w:ilvl w:val="0"/>
          <w:numId w:val="17"/>
        </w:numPr>
        <w:tabs>
          <w:tab w:val="left" w:pos="709"/>
        </w:tabs>
        <w:spacing w:line="360" w:lineRule="auto"/>
        <w:jc w:val="both"/>
        <w:rPr>
          <w:rFonts w:ascii="Palatino Linotype" w:hAnsi="Palatino Linotype"/>
          <w:color w:val="000000"/>
        </w:rPr>
      </w:pPr>
      <w:r w:rsidRPr="006277C1">
        <w:rPr>
          <w:rFonts w:ascii="Palatino Linotype" w:hAnsi="Palatino Linotype" w:cs="Arial"/>
          <w:b/>
          <w:bCs/>
          <w:lang w:val="es-ES_tradnl"/>
        </w:rPr>
        <w:t>166 - C. Ciudadano - Informe Justificado - RR - 05275 - Unidad de Transparencia - 0166.pdf</w:t>
      </w:r>
      <w:r w:rsidR="00153BFA" w:rsidRPr="006277C1">
        <w:rPr>
          <w:rFonts w:ascii="Palatino Linotype" w:hAnsi="Palatino Linotype" w:cs="Arial"/>
        </w:rPr>
        <w:t>:</w:t>
      </w:r>
      <w:r w:rsidRPr="006277C1">
        <w:rPr>
          <w:rFonts w:ascii="Palatino Linotype" w:hAnsi="Palatino Linotype" w:cs="Arial"/>
        </w:rPr>
        <w:t xml:space="preserve"> Consta del informe justificado remitido por el </w:t>
      </w:r>
      <w:r w:rsidR="00B3481E" w:rsidRPr="006277C1">
        <w:rPr>
          <w:rFonts w:ascii="Palatino Linotype" w:hAnsi="Palatino Linotype" w:cs="Arial"/>
        </w:rPr>
        <w:t xml:space="preserve">Encargado del Despacho de la Unidad de Transparencia, </w:t>
      </w:r>
      <w:r w:rsidR="00C83CD9">
        <w:rPr>
          <w:rFonts w:ascii="Palatino Linotype" w:hAnsi="Palatino Linotype" w:cs="Arial"/>
        </w:rPr>
        <w:t xml:space="preserve">mediante el cual medularmente refiere que del análisis de la petición inicial </w:t>
      </w:r>
      <w:r w:rsidR="00351379">
        <w:rPr>
          <w:rFonts w:ascii="Palatino Linotype" w:hAnsi="Palatino Linotype" w:cs="Arial"/>
        </w:rPr>
        <w:t xml:space="preserve">se advierte que el </w:t>
      </w:r>
      <w:r w:rsidR="00351379">
        <w:rPr>
          <w:rFonts w:ascii="Palatino Linotype" w:hAnsi="Palatino Linotype" w:cs="Arial"/>
        </w:rPr>
        <w:lastRenderedPageBreak/>
        <w:t xml:space="preserve">particular planteó una cuestión con la que pretendía que la Secretaría de Bienestar le explicara </w:t>
      </w:r>
      <w:r w:rsidR="00013FF2">
        <w:rPr>
          <w:rFonts w:ascii="Palatino Linotype" w:hAnsi="Palatino Linotype" w:cs="Arial"/>
        </w:rPr>
        <w:t>una circunstancia para un caso específico, por lo que es obvio que el particular no está ejerciendo su derecho de acceso a la información pública, debido a que su solicitud consiste en una consulta que no es factible atenderse vía acceso a la información, es decir, que dicho cuestionamiento se colme con documentos que obren en los archivos del Sujeto Obligado. En tal contexto, se advierte que la petición inicial no constituye un derecho de acceso a la información y por lo tanto no es atendible mediante una solicitud de acceso a la información pública, porque se trata de una consulta para un caso específico, situación que conlleva a afirmar que se está en presencia del ejercicio del derecho de petición, que por medio de este permite a los particulares trasladar a las autoridades sus inquietudes, quejas, sugerencias y requerimiento</w:t>
      </w:r>
      <w:r w:rsidR="00DE0E4A">
        <w:rPr>
          <w:rFonts w:ascii="Palatino Linotype" w:hAnsi="Palatino Linotype" w:cs="Arial"/>
        </w:rPr>
        <w:t>s en cualquier materia o asunto. Por lo que solicita declare el sobreseimiento del recurso de revisión.</w:t>
      </w:r>
    </w:p>
    <w:p w14:paraId="24E25EF6" w14:textId="34B5A8EF" w:rsidR="00ED3AEE" w:rsidRDefault="00ED3AEE" w:rsidP="003111CD">
      <w:pPr>
        <w:spacing w:after="0" w:line="360" w:lineRule="auto"/>
        <w:jc w:val="both"/>
        <w:rPr>
          <w:rFonts w:ascii="Palatino Linotype" w:hAnsi="Palatino Linotype"/>
          <w:iCs/>
          <w:sz w:val="24"/>
        </w:rPr>
      </w:pPr>
      <w:r w:rsidRPr="00ED3AEE">
        <w:rPr>
          <w:rFonts w:ascii="Palatino Linotype" w:hAnsi="Palatino Linotype"/>
          <w:iCs/>
          <w:sz w:val="24"/>
        </w:rPr>
        <w:t>Ahora bien, del análisis la solicitud de información</w:t>
      </w:r>
      <w:r>
        <w:rPr>
          <w:rFonts w:ascii="Palatino Linotype" w:hAnsi="Palatino Linotype"/>
          <w:iCs/>
          <w:sz w:val="24"/>
        </w:rPr>
        <w:t xml:space="preserve"> respecto al punto uno</w:t>
      </w:r>
      <w:r w:rsidRPr="00ED3AEE">
        <w:rPr>
          <w:rFonts w:ascii="Palatino Linotype" w:hAnsi="Palatino Linotype"/>
          <w:iCs/>
          <w:sz w:val="24"/>
        </w:rPr>
        <w:t xml:space="preserve"> resulta inatendible; pues se trata de </w:t>
      </w:r>
      <w:r w:rsidRPr="00930E01">
        <w:rPr>
          <w:rFonts w:ascii="Palatino Linotype" w:hAnsi="Palatino Linotype"/>
          <w:iCs/>
          <w:sz w:val="24"/>
        </w:rPr>
        <w:t>hechos futuros, inciertos</w:t>
      </w:r>
      <w:r w:rsidRPr="00ED3AEE">
        <w:rPr>
          <w:rFonts w:ascii="Palatino Linotype" w:hAnsi="Palatino Linotype"/>
          <w:iCs/>
          <w:sz w:val="24"/>
        </w:rPr>
        <w:t xml:space="preserve"> y de los cuales que, si bien el Sujeto Obligado cuenta con competencia o fuente normativa que lo obligue a generar la información solicitada, ha quedado demostrado</w:t>
      </w:r>
      <w:r w:rsidR="00EF2481">
        <w:rPr>
          <w:rFonts w:ascii="Palatino Linotype" w:hAnsi="Palatino Linotype"/>
          <w:iCs/>
          <w:sz w:val="24"/>
        </w:rPr>
        <w:t xml:space="preserve"> que </w:t>
      </w:r>
      <w:r w:rsidR="00EF2481" w:rsidRPr="00EF2481">
        <w:rPr>
          <w:rFonts w:ascii="Palatino Linotype" w:hAnsi="Palatino Linotype"/>
          <w:iCs/>
          <w:sz w:val="24"/>
        </w:rPr>
        <w:t>hasta el momento no cuenta con una fecha estimada para la publicación de una nueva Convocatoria del Programa de Desarrollo Social “Mujeres con Bienestar</w:t>
      </w:r>
      <w:r w:rsidR="00EF2481">
        <w:rPr>
          <w:rFonts w:ascii="Palatino Linotype" w:hAnsi="Palatino Linotype"/>
          <w:iCs/>
          <w:sz w:val="24"/>
        </w:rPr>
        <w:t>”</w:t>
      </w:r>
      <w:r w:rsidRPr="00ED3AEE">
        <w:rPr>
          <w:rFonts w:ascii="Palatino Linotype" w:hAnsi="Palatino Linotype"/>
          <w:iCs/>
          <w:sz w:val="24"/>
        </w:rPr>
        <w:t>; por tanto, se advierten elementos suficientes para considerar que la solicitud resultaba inatendible.</w:t>
      </w:r>
    </w:p>
    <w:p w14:paraId="0F5706A5" w14:textId="77777777" w:rsidR="00ED3AEE" w:rsidRDefault="00ED3AEE" w:rsidP="003111CD">
      <w:pPr>
        <w:spacing w:after="0" w:line="360" w:lineRule="auto"/>
        <w:jc w:val="both"/>
        <w:rPr>
          <w:rFonts w:ascii="Palatino Linotype" w:hAnsi="Palatino Linotype"/>
          <w:iCs/>
          <w:sz w:val="24"/>
        </w:rPr>
      </w:pPr>
    </w:p>
    <w:p w14:paraId="68D42115" w14:textId="1B61BB31" w:rsidR="00E45644" w:rsidRDefault="00E45644" w:rsidP="003111CD">
      <w:pPr>
        <w:spacing w:after="0" w:line="360" w:lineRule="auto"/>
        <w:jc w:val="both"/>
        <w:rPr>
          <w:rFonts w:ascii="Palatino Linotype" w:eastAsia="Arial Unicode MS" w:hAnsi="Palatino Linotype" w:cs="Arial"/>
          <w:color w:val="000000"/>
          <w:sz w:val="24"/>
        </w:rPr>
      </w:pPr>
      <w:r w:rsidRPr="00E45644">
        <w:rPr>
          <w:rFonts w:ascii="Palatino Linotype" w:hAnsi="Palatino Linotype"/>
          <w:iCs/>
          <w:sz w:val="24"/>
        </w:rPr>
        <w:lastRenderedPageBreak/>
        <w:t xml:space="preserve">Ahora bien, el criterio </w:t>
      </w:r>
      <w:r w:rsidRPr="00E45644">
        <w:rPr>
          <w:rFonts w:ascii="Palatino Linotype" w:hAnsi="Palatino Linotype" w:cs="Arial"/>
          <w:color w:val="000000"/>
          <w:sz w:val="24"/>
        </w:rPr>
        <w:t xml:space="preserve">03-17, emitido por </w:t>
      </w:r>
      <w:r w:rsidRPr="00E45644">
        <w:rPr>
          <w:rFonts w:ascii="Palatino Linotype" w:eastAsia="Arial Unicode MS" w:hAnsi="Palatino Linotype" w:cs="Arial"/>
          <w:color w:val="000000"/>
          <w:sz w:val="24"/>
        </w:rPr>
        <w:t xml:space="preserve">el Instituto Nacional de Transparencia, Acceso a la Información y Protección de Datos Personales cuyo rubro y texto dispone a la literalidad lo siguiente: </w:t>
      </w:r>
    </w:p>
    <w:p w14:paraId="54E0856E" w14:textId="77777777" w:rsidR="003111CD" w:rsidRPr="00E45644" w:rsidRDefault="003111CD" w:rsidP="003111CD">
      <w:pPr>
        <w:spacing w:after="0" w:line="360" w:lineRule="auto"/>
        <w:jc w:val="both"/>
        <w:rPr>
          <w:sz w:val="24"/>
        </w:rPr>
      </w:pPr>
    </w:p>
    <w:p w14:paraId="2D060623" w14:textId="77777777" w:rsidR="00E45644" w:rsidRDefault="00E45644" w:rsidP="003111CD">
      <w:pPr>
        <w:pStyle w:val="Citas"/>
        <w:spacing w:before="0" w:after="0"/>
        <w:rPr>
          <w:b/>
          <w:spacing w:val="18"/>
        </w:rPr>
      </w:pPr>
      <w:r>
        <w:rPr>
          <w:b/>
        </w:rPr>
        <w:t xml:space="preserve">“NO EXISTE OBLIGACIÓN DE ELABORAR </w:t>
      </w:r>
      <w:r w:rsidRPr="00465B9A">
        <w:rPr>
          <w:b/>
          <w:spacing w:val="-3"/>
        </w:rPr>
        <w:t>D</w:t>
      </w:r>
      <w:r w:rsidRPr="00465B9A">
        <w:rPr>
          <w:b/>
        </w:rPr>
        <w:t>OCUM</w:t>
      </w:r>
      <w:r w:rsidRPr="00465B9A">
        <w:rPr>
          <w:b/>
          <w:spacing w:val="1"/>
        </w:rPr>
        <w:t>E</w:t>
      </w:r>
      <w:r w:rsidRPr="00465B9A">
        <w:rPr>
          <w:b/>
        </w:rPr>
        <w:t>N</w:t>
      </w:r>
      <w:r w:rsidRPr="00465B9A">
        <w:rPr>
          <w:b/>
          <w:spacing w:val="-1"/>
        </w:rPr>
        <w:t>T</w:t>
      </w:r>
      <w:r w:rsidRPr="00465B9A">
        <w:rPr>
          <w:b/>
        </w:rPr>
        <w:t>OS</w:t>
      </w:r>
      <w:r w:rsidRPr="00465B9A">
        <w:rPr>
          <w:b/>
          <w:spacing w:val="14"/>
        </w:rPr>
        <w:t xml:space="preserve"> </w:t>
      </w:r>
      <w:r w:rsidRPr="00465B9A">
        <w:rPr>
          <w:b/>
          <w:spacing w:val="-1"/>
        </w:rPr>
        <w:t xml:space="preserve">AD </w:t>
      </w:r>
      <w:r w:rsidRPr="00465B9A">
        <w:rPr>
          <w:b/>
        </w:rPr>
        <w:t>HOC</w:t>
      </w:r>
      <w:r w:rsidRPr="00465B9A">
        <w:rPr>
          <w:b/>
          <w:spacing w:val="11"/>
        </w:rPr>
        <w:t xml:space="preserve"> </w:t>
      </w:r>
      <w:r w:rsidRPr="00465B9A">
        <w:rPr>
          <w:b/>
        </w:rPr>
        <w:t>PARA</w:t>
      </w:r>
      <w:r w:rsidRPr="00465B9A">
        <w:rPr>
          <w:b/>
          <w:spacing w:val="10"/>
        </w:rPr>
        <w:t xml:space="preserve"> </w:t>
      </w:r>
      <w:r>
        <w:rPr>
          <w:b/>
        </w:rPr>
        <w:t>ATENDER LAS S</w:t>
      </w:r>
      <w:r w:rsidRPr="00465B9A">
        <w:rPr>
          <w:b/>
        </w:rPr>
        <w:t>OL</w:t>
      </w:r>
      <w:r w:rsidRPr="00465B9A">
        <w:rPr>
          <w:b/>
          <w:spacing w:val="-2"/>
        </w:rPr>
        <w:t>I</w:t>
      </w:r>
      <w:r w:rsidRPr="00465B9A">
        <w:rPr>
          <w:b/>
          <w:spacing w:val="1"/>
        </w:rPr>
        <w:t>C</w:t>
      </w:r>
      <w:r w:rsidRPr="00465B9A">
        <w:rPr>
          <w:b/>
        </w:rPr>
        <w:t>ITUD</w:t>
      </w:r>
      <w:r>
        <w:rPr>
          <w:b/>
        </w:rPr>
        <w:t>ES</w:t>
      </w:r>
      <w:r w:rsidRPr="00465B9A">
        <w:rPr>
          <w:b/>
          <w:spacing w:val="10"/>
        </w:rPr>
        <w:t xml:space="preserve"> </w:t>
      </w:r>
      <w:r w:rsidRPr="00465B9A">
        <w:rPr>
          <w:b/>
        </w:rPr>
        <w:t>DE</w:t>
      </w:r>
      <w:r w:rsidRPr="00465B9A">
        <w:rPr>
          <w:b/>
          <w:spacing w:val="9"/>
        </w:rPr>
        <w:t xml:space="preserve"> </w:t>
      </w:r>
      <w:r w:rsidRPr="00465B9A">
        <w:rPr>
          <w:b/>
          <w:spacing w:val="1"/>
        </w:rPr>
        <w:t>AC</w:t>
      </w:r>
      <w:r w:rsidRPr="00465B9A">
        <w:rPr>
          <w:b/>
          <w:spacing w:val="-1"/>
        </w:rPr>
        <w:t>C</w:t>
      </w:r>
      <w:r w:rsidRPr="00465B9A">
        <w:rPr>
          <w:b/>
          <w:spacing w:val="1"/>
        </w:rPr>
        <w:t>ES</w:t>
      </w:r>
      <w:r w:rsidRPr="00465B9A">
        <w:rPr>
          <w:b/>
        </w:rPr>
        <w:t>O</w:t>
      </w:r>
      <w:r w:rsidRPr="00465B9A">
        <w:rPr>
          <w:b/>
          <w:spacing w:val="11"/>
        </w:rPr>
        <w:t xml:space="preserve"> </w:t>
      </w:r>
      <w:r w:rsidRPr="00465B9A">
        <w:rPr>
          <w:b/>
        </w:rPr>
        <w:t>A</w:t>
      </w:r>
      <w:r w:rsidRPr="00465B9A">
        <w:rPr>
          <w:b/>
          <w:spacing w:val="9"/>
        </w:rPr>
        <w:t xml:space="preserve"> </w:t>
      </w:r>
      <w:r w:rsidRPr="00465B9A">
        <w:rPr>
          <w:b/>
        </w:rPr>
        <w:t>LA</w:t>
      </w:r>
      <w:r w:rsidRPr="00465B9A">
        <w:rPr>
          <w:b/>
          <w:spacing w:val="10"/>
        </w:rPr>
        <w:t xml:space="preserve"> </w:t>
      </w:r>
      <w:r w:rsidRPr="00465B9A">
        <w:rPr>
          <w:b/>
        </w:rPr>
        <w:t>INFORMA</w:t>
      </w:r>
      <w:r w:rsidRPr="00465B9A">
        <w:rPr>
          <w:b/>
          <w:spacing w:val="1"/>
        </w:rPr>
        <w:t>C</w:t>
      </w:r>
      <w:r w:rsidRPr="00465B9A">
        <w:rPr>
          <w:b/>
        </w:rPr>
        <w:t>IÓ</w:t>
      </w:r>
      <w:r w:rsidRPr="00465B9A">
        <w:rPr>
          <w:b/>
          <w:spacing w:val="-2"/>
        </w:rPr>
        <w:t>N</w:t>
      </w:r>
      <w:r w:rsidRPr="00465B9A">
        <w:rPr>
          <w:b/>
        </w:rPr>
        <w:t>.</w:t>
      </w:r>
      <w:r w:rsidRPr="00465B9A">
        <w:rPr>
          <w:b/>
          <w:spacing w:val="18"/>
        </w:rPr>
        <w:t xml:space="preserve"> </w:t>
      </w:r>
    </w:p>
    <w:p w14:paraId="5B262895" w14:textId="77777777" w:rsidR="00E45644" w:rsidRPr="00465B9A" w:rsidRDefault="00E45644" w:rsidP="003111CD">
      <w:pPr>
        <w:pStyle w:val="Citas"/>
        <w:spacing w:before="0" w:after="0"/>
      </w:pPr>
      <w:r w:rsidRPr="009805D7">
        <w:rPr>
          <w:spacing w:val="18"/>
        </w:rPr>
        <w:t>L</w:t>
      </w:r>
      <w:r>
        <w:rPr>
          <w:spacing w:val="-1"/>
        </w:rPr>
        <w:t xml:space="preserve">os </w:t>
      </w:r>
      <w:r w:rsidRPr="00465B9A">
        <w:rPr>
          <w:spacing w:val="1"/>
        </w:rPr>
        <w:t>a</w:t>
      </w:r>
      <w:r w:rsidRPr="00465B9A">
        <w:t>rt</w:t>
      </w:r>
      <w:r w:rsidRPr="00465B9A">
        <w:rPr>
          <w:spacing w:val="-2"/>
        </w:rPr>
        <w:t>í</w:t>
      </w:r>
      <w:r w:rsidRPr="00465B9A">
        <w:t>c</w:t>
      </w:r>
      <w:r w:rsidRPr="00465B9A">
        <w:rPr>
          <w:spacing w:val="1"/>
        </w:rPr>
        <w:t>u</w:t>
      </w:r>
      <w:r w:rsidRPr="00465B9A">
        <w:t>lo</w:t>
      </w:r>
      <w:r>
        <w:t>s</w:t>
      </w:r>
      <w:r w:rsidRPr="00465B9A">
        <w:rPr>
          <w:spacing w:val="8"/>
        </w:rPr>
        <w:t xml:space="preserve"> </w:t>
      </w:r>
      <w:r>
        <w:rPr>
          <w:spacing w:val="8"/>
        </w:rPr>
        <w:t xml:space="preserve">129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t>General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y </w:t>
      </w:r>
      <w:r>
        <w:rPr>
          <w:spacing w:val="8"/>
        </w:rPr>
        <w:t xml:space="preserve">130, párrafo cuarto,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rsidRPr="00465B9A">
        <w:t>Fe</w:t>
      </w:r>
      <w:r w:rsidRPr="00465B9A">
        <w:rPr>
          <w:spacing w:val="1"/>
        </w:rPr>
        <w:t>de</w:t>
      </w:r>
      <w:r w:rsidRPr="00465B9A">
        <w:t>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w:t>
      </w:r>
      <w:r>
        <w:rPr>
          <w:spacing w:val="-1"/>
        </w:rPr>
        <w:t>señalan</w:t>
      </w:r>
      <w:r w:rsidRPr="00465B9A">
        <w:rPr>
          <w:spacing w:val="1"/>
        </w:rPr>
        <w:t xml:space="preserve"> </w:t>
      </w:r>
      <w:r w:rsidRPr="00465B9A">
        <w:rPr>
          <w:spacing w:val="-1"/>
        </w:rPr>
        <w:t>q</w:t>
      </w:r>
      <w:r w:rsidRPr="00465B9A">
        <w:rPr>
          <w:spacing w:val="1"/>
        </w:rPr>
        <w:t>u</w:t>
      </w:r>
      <w:r w:rsidRPr="00465B9A">
        <w:t>e</w:t>
      </w:r>
      <w:r>
        <w:t xml:space="preserve"> los sujetos obligados</w:t>
      </w:r>
      <w:r w:rsidRPr="00465B9A">
        <w:t xml:space="preserve"> </w:t>
      </w:r>
      <w:r>
        <w:t>deberán otorgar acceso a los d</w:t>
      </w:r>
      <w:r w:rsidRPr="00465B9A">
        <w:t xml:space="preserve">ocumentos que se encuentren en </w:t>
      </w:r>
      <w:r>
        <w:t>sus</w:t>
      </w:r>
      <w:r w:rsidRPr="00465B9A">
        <w:t xml:space="preserve"> archivos</w:t>
      </w:r>
      <w:r>
        <w:t xml:space="preserve"> </w:t>
      </w:r>
      <w:r w:rsidRPr="00465B9A">
        <w:t>o que estén obligados a documentar</w:t>
      </w:r>
      <w:r>
        <w:t>,</w:t>
      </w:r>
      <w:r w:rsidRPr="00465B9A">
        <w:t xml:space="preserve"> de acuerdo con sus facultades, competencias o funciones</w:t>
      </w:r>
      <w:r>
        <w:t>,</w:t>
      </w:r>
      <w:r w:rsidRPr="00465B9A">
        <w:t xml:space="preserve"> conforme a las características físicas de la información o del lugar donde se encuentre</w:t>
      </w:r>
      <w:r>
        <w:t xml:space="preserve">. Por lo anterior, los sujetos obligados </w:t>
      </w:r>
      <w:r w:rsidRPr="007B5B03">
        <w:t xml:space="preserve">deben garantizar el </w:t>
      </w:r>
      <w:r>
        <w:t xml:space="preserve">derecho de </w:t>
      </w:r>
      <w:r w:rsidRPr="007B5B03">
        <w:t>acceso a la información</w:t>
      </w:r>
      <w:r>
        <w:t xml:space="preserve"> del particular, proporcionando la información con la que cuentan en el formato en que la misma obre en sus archivos;</w:t>
      </w:r>
      <w:r w:rsidRPr="00465B9A">
        <w:rPr>
          <w:spacing w:val="-1"/>
        </w:rPr>
        <w:t xml:space="preserve"> </w:t>
      </w:r>
      <w:r>
        <w:rPr>
          <w:spacing w:val="-1"/>
        </w:rPr>
        <w:t>sin necesidad de</w:t>
      </w:r>
      <w:r>
        <w:rPr>
          <w:spacing w:val="1"/>
        </w:rPr>
        <w:t xml:space="preserve"> </w:t>
      </w:r>
      <w:r w:rsidRPr="00465B9A">
        <w:rPr>
          <w:spacing w:val="1"/>
        </w:rPr>
        <w:t>e</w:t>
      </w:r>
      <w:r w:rsidRPr="00465B9A">
        <w:t>la</w:t>
      </w:r>
      <w:r w:rsidRPr="00465B9A">
        <w:rPr>
          <w:spacing w:val="1"/>
        </w:rPr>
        <w:t>bo</w:t>
      </w:r>
      <w:r w:rsidRPr="00465B9A">
        <w:t xml:space="preserve">rar </w:t>
      </w:r>
      <w:r w:rsidRPr="00465B9A">
        <w:rPr>
          <w:spacing w:val="1"/>
        </w:rPr>
        <w:t>do</w:t>
      </w:r>
      <w:r w:rsidRPr="00465B9A">
        <w:rPr>
          <w:spacing w:val="-2"/>
        </w:rPr>
        <w:t>c</w:t>
      </w:r>
      <w:r w:rsidRPr="00465B9A">
        <w:rPr>
          <w:spacing w:val="1"/>
        </w:rPr>
        <w:t>u</w:t>
      </w:r>
      <w:r w:rsidRPr="00465B9A">
        <w:rPr>
          <w:spacing w:val="-1"/>
        </w:rPr>
        <w:t>m</w:t>
      </w:r>
      <w:r w:rsidRPr="00465B9A">
        <w:rPr>
          <w:spacing w:val="1"/>
        </w:rPr>
        <w:t>en</w:t>
      </w:r>
      <w:r w:rsidRPr="00465B9A">
        <w:rPr>
          <w:spacing w:val="-2"/>
        </w:rPr>
        <w:t>t</w:t>
      </w:r>
      <w:r w:rsidRPr="00465B9A">
        <w:rPr>
          <w:spacing w:val="1"/>
        </w:rPr>
        <w:t>o</w:t>
      </w:r>
      <w:r w:rsidRPr="00465B9A">
        <w:t>s</w:t>
      </w:r>
      <w:r w:rsidRPr="00465B9A">
        <w:rPr>
          <w:spacing w:val="3"/>
        </w:rPr>
        <w:t xml:space="preserve"> </w:t>
      </w:r>
      <w:r w:rsidRPr="00465B9A">
        <w:rPr>
          <w:spacing w:val="1"/>
        </w:rPr>
        <w:t>a</w:t>
      </w:r>
      <w:r w:rsidRPr="00465B9A">
        <w:t>d</w:t>
      </w:r>
      <w:r w:rsidRPr="00465B9A">
        <w:rPr>
          <w:spacing w:val="1"/>
        </w:rPr>
        <w:t xml:space="preserve"> ho</w:t>
      </w:r>
      <w:r w:rsidRPr="00465B9A">
        <w:t>c</w:t>
      </w:r>
      <w:r w:rsidRPr="00465B9A">
        <w:rPr>
          <w:spacing w:val="2"/>
        </w:rPr>
        <w:t xml:space="preserve"> </w:t>
      </w:r>
      <w:r w:rsidRPr="00465B9A">
        <w:rPr>
          <w:spacing w:val="1"/>
        </w:rPr>
        <w:t>pa</w:t>
      </w:r>
      <w:r w:rsidRPr="00465B9A">
        <w:t xml:space="preserve">ra </w:t>
      </w:r>
      <w:r w:rsidRPr="00465B9A">
        <w:rPr>
          <w:spacing w:val="1"/>
        </w:rPr>
        <w:t>a</w:t>
      </w:r>
      <w:r w:rsidRPr="00465B9A">
        <w:t>t</w:t>
      </w:r>
      <w:r w:rsidRPr="00465B9A">
        <w:rPr>
          <w:spacing w:val="-1"/>
        </w:rPr>
        <w:t>e</w:t>
      </w:r>
      <w:r w:rsidRPr="00465B9A">
        <w:rPr>
          <w:spacing w:val="1"/>
        </w:rPr>
        <w:t>n</w:t>
      </w:r>
      <w:r w:rsidRPr="00465B9A">
        <w:rPr>
          <w:spacing w:val="-1"/>
        </w:rPr>
        <w:t>d</w:t>
      </w:r>
      <w:r w:rsidRPr="00465B9A">
        <w:rPr>
          <w:spacing w:val="1"/>
        </w:rPr>
        <w:t>e</w:t>
      </w:r>
      <w:r w:rsidRPr="00465B9A">
        <w:t>r</w:t>
      </w:r>
      <w:r w:rsidRPr="00465B9A">
        <w:rPr>
          <w:spacing w:val="2"/>
        </w:rPr>
        <w:t xml:space="preserve"> </w:t>
      </w:r>
      <w:r w:rsidRPr="00465B9A">
        <w:t>l</w:t>
      </w:r>
      <w:r w:rsidRPr="00465B9A">
        <w:rPr>
          <w:spacing w:val="-2"/>
        </w:rPr>
        <w:t>a</w:t>
      </w:r>
      <w:r w:rsidRPr="00465B9A">
        <w:t>s</w:t>
      </w:r>
      <w:r w:rsidRPr="00465B9A">
        <w:rPr>
          <w:spacing w:val="2"/>
        </w:rPr>
        <w:t xml:space="preserve"> </w:t>
      </w:r>
      <w:r w:rsidRPr="00465B9A">
        <w:t>s</w:t>
      </w:r>
      <w:r w:rsidRPr="00465B9A">
        <w:rPr>
          <w:spacing w:val="1"/>
        </w:rPr>
        <w:t>o</w:t>
      </w:r>
      <w:r w:rsidRPr="00465B9A">
        <w:t>l</w:t>
      </w:r>
      <w:r w:rsidRPr="00465B9A">
        <w:rPr>
          <w:spacing w:val="-1"/>
        </w:rPr>
        <w:t>i</w:t>
      </w:r>
      <w:r w:rsidRPr="00465B9A">
        <w:t>cit</w:t>
      </w:r>
      <w:r w:rsidRPr="00465B9A">
        <w:rPr>
          <w:spacing w:val="1"/>
        </w:rPr>
        <w:t>ude</w:t>
      </w:r>
      <w:r w:rsidRPr="00465B9A">
        <w:t>s</w:t>
      </w:r>
      <w:r w:rsidRPr="00465B9A">
        <w:rPr>
          <w:spacing w:val="4"/>
        </w:rPr>
        <w:t xml:space="preserve"> </w:t>
      </w:r>
      <w:r w:rsidRPr="00465B9A">
        <w:rPr>
          <w:spacing w:val="-1"/>
        </w:rPr>
        <w:t>d</w:t>
      </w:r>
      <w:r w:rsidRPr="00465B9A">
        <w:t>e</w:t>
      </w:r>
      <w:r w:rsidRPr="00465B9A">
        <w:rPr>
          <w:spacing w:val="3"/>
        </w:rPr>
        <w:t xml:space="preserve"> </w:t>
      </w:r>
      <w:r w:rsidRPr="00465B9A">
        <w:t>i</w:t>
      </w:r>
      <w:r w:rsidRPr="00465B9A">
        <w:rPr>
          <w:spacing w:val="-2"/>
        </w:rPr>
        <w:t>n</w:t>
      </w:r>
      <w:r w:rsidRPr="00465B9A">
        <w:t>f</w:t>
      </w:r>
      <w:r w:rsidRPr="00465B9A">
        <w:rPr>
          <w:spacing w:val="1"/>
        </w:rPr>
        <w:t>o</w:t>
      </w:r>
      <w:r w:rsidRPr="00465B9A">
        <w:t>r</w:t>
      </w:r>
      <w:r w:rsidRPr="00465B9A">
        <w:rPr>
          <w:spacing w:val="-1"/>
        </w:rPr>
        <w:t>m</w:t>
      </w:r>
      <w:r w:rsidRPr="00465B9A">
        <w:rPr>
          <w:spacing w:val="1"/>
        </w:rPr>
        <w:t>a</w:t>
      </w:r>
      <w:r w:rsidRPr="00465B9A">
        <w:t>ció</w:t>
      </w:r>
      <w:r w:rsidRPr="00465B9A">
        <w:rPr>
          <w:spacing w:val="1"/>
        </w:rPr>
        <w:t>n</w:t>
      </w:r>
      <w:r w:rsidRPr="007B5B03">
        <w:t>.</w:t>
      </w:r>
    </w:p>
    <w:p w14:paraId="61EFBAFD" w14:textId="77777777" w:rsidR="00E45644" w:rsidRDefault="00E45644" w:rsidP="003111CD">
      <w:pPr>
        <w:pStyle w:val="Citas"/>
        <w:spacing w:before="0" w:after="0"/>
        <w:rPr>
          <w:b/>
        </w:rPr>
      </w:pPr>
      <w:r>
        <w:rPr>
          <w:b/>
        </w:rPr>
        <w:t>Resoluciones</w:t>
      </w:r>
      <w:r w:rsidRPr="00015541">
        <w:rPr>
          <w:b/>
        </w:rPr>
        <w:t>:</w:t>
      </w:r>
    </w:p>
    <w:p w14:paraId="44E5541A" w14:textId="77777777" w:rsidR="00E45644" w:rsidRDefault="00E45644" w:rsidP="003111CD">
      <w:pPr>
        <w:pStyle w:val="Citas"/>
        <w:spacing w:before="0" w:after="0"/>
      </w:pPr>
      <w:r w:rsidRPr="00015541">
        <w:rPr>
          <w:b/>
        </w:rPr>
        <w:t xml:space="preserve">RRA </w:t>
      </w:r>
      <w:r>
        <w:rPr>
          <w:b/>
        </w:rPr>
        <w:t>0050</w:t>
      </w:r>
      <w:r w:rsidRPr="00015541">
        <w:rPr>
          <w:b/>
        </w:rPr>
        <w:t>/16.</w:t>
      </w:r>
      <w:r w:rsidRPr="00015541">
        <w:t xml:space="preserve"> </w:t>
      </w:r>
      <w:r w:rsidRPr="004D1288">
        <w:t>Instituto Nacional para la Evaluación de la Educación</w:t>
      </w:r>
      <w:r w:rsidRPr="00015541">
        <w:t xml:space="preserve">. </w:t>
      </w:r>
      <w:r>
        <w:t>13 julio d</w:t>
      </w:r>
      <w:r w:rsidRPr="00015541">
        <w:t xml:space="preserve">e 2016. Por unanimidad. </w:t>
      </w:r>
      <w:r>
        <w:t>Comisionado Ponente</w:t>
      </w:r>
      <w:r w:rsidRPr="004D1288">
        <w:t>: Francisco Javier Acuña Llamas</w:t>
      </w:r>
      <w:r w:rsidRPr="00015541">
        <w:t>.</w:t>
      </w:r>
    </w:p>
    <w:p w14:paraId="2CD83B45" w14:textId="77777777" w:rsidR="00E45644" w:rsidRPr="008C50C4" w:rsidRDefault="00E45644" w:rsidP="003111CD">
      <w:pPr>
        <w:pStyle w:val="Citas"/>
        <w:spacing w:before="0" w:after="0"/>
        <w:rPr>
          <w:rFonts w:ascii="Times New Roman" w:hAnsi="Times New Roman" w:cs="Times New Roman"/>
        </w:rPr>
      </w:pPr>
      <w:r w:rsidRPr="008C50C4">
        <w:rPr>
          <w:b/>
        </w:rPr>
        <w:t xml:space="preserve">RRA 0310/16. </w:t>
      </w:r>
      <w:r>
        <w:t>Instituto Nacional de Transparencia, Acceso a la Información y Protección de Datos Personales</w:t>
      </w:r>
      <w:r w:rsidRPr="00015541">
        <w:t xml:space="preserve">. </w:t>
      </w:r>
      <w:r>
        <w:t>10</w:t>
      </w:r>
      <w:r w:rsidRPr="00015541">
        <w:t xml:space="preserve"> de </w:t>
      </w:r>
      <w:r>
        <w:t>agosto</w:t>
      </w:r>
      <w:r w:rsidRPr="00015541">
        <w:t xml:space="preserve"> de 2016. Por unanimidad. Comisionada Ponente. Areli Cano Guadiana.</w:t>
      </w:r>
    </w:p>
    <w:p w14:paraId="7E668707" w14:textId="77777777" w:rsidR="00E45644" w:rsidRPr="003A136D" w:rsidRDefault="00E45644" w:rsidP="003111CD">
      <w:pPr>
        <w:pStyle w:val="Citas"/>
        <w:spacing w:before="0" w:after="0"/>
        <w:rPr>
          <w:b/>
        </w:rPr>
      </w:pPr>
      <w:r w:rsidRPr="008C50C4">
        <w:rPr>
          <w:b/>
        </w:rPr>
        <w:t xml:space="preserve">RRA 1889/16. </w:t>
      </w:r>
      <w:r w:rsidRPr="002A3CCA">
        <w:t>Secretaría de Hacienda y Crédito Público. 05 de octubre de 2016. Por unanimidad. Comisionada Ponente. Ximena Puente de la Mora</w:t>
      </w:r>
      <w:r>
        <w:t xml:space="preserve">” </w:t>
      </w:r>
      <w:r>
        <w:rPr>
          <w:b/>
        </w:rPr>
        <w:t>[Sic]</w:t>
      </w:r>
    </w:p>
    <w:p w14:paraId="3E5703E4" w14:textId="77777777" w:rsidR="00E45644" w:rsidRDefault="00E45644" w:rsidP="003111CD">
      <w:pPr>
        <w:autoSpaceDE w:val="0"/>
        <w:autoSpaceDN w:val="0"/>
        <w:adjustRightInd w:val="0"/>
        <w:spacing w:after="0" w:line="360" w:lineRule="auto"/>
        <w:jc w:val="both"/>
        <w:rPr>
          <w:rFonts w:ascii="Palatino Linotype" w:hAnsi="Palatino Linotype"/>
          <w:color w:val="000000"/>
        </w:rPr>
      </w:pPr>
    </w:p>
    <w:p w14:paraId="2B3D0E7B" w14:textId="77777777" w:rsidR="00E45644" w:rsidRPr="00E45644" w:rsidRDefault="00E45644" w:rsidP="003111CD">
      <w:pPr>
        <w:autoSpaceDE w:val="0"/>
        <w:autoSpaceDN w:val="0"/>
        <w:adjustRightInd w:val="0"/>
        <w:spacing w:after="0" w:line="360" w:lineRule="auto"/>
        <w:jc w:val="both"/>
        <w:rPr>
          <w:rFonts w:ascii="Palatino Linotype" w:eastAsia="MS Mincho" w:hAnsi="Palatino Linotype"/>
          <w:b/>
          <w:i/>
          <w:sz w:val="24"/>
        </w:rPr>
      </w:pPr>
      <w:r w:rsidRPr="00E45644">
        <w:rPr>
          <w:rFonts w:ascii="Palatino Linotype" w:hAnsi="Palatino Linotype"/>
          <w:color w:val="000000"/>
          <w:sz w:val="24"/>
        </w:rPr>
        <w:lastRenderedPageBreak/>
        <w:t xml:space="preserve">En las generalizaciones anteriores y con referencia al derecho de petición, el </w:t>
      </w:r>
      <w:r w:rsidRPr="00E45644">
        <w:rPr>
          <w:rFonts w:ascii="Palatino Linotype" w:eastAsia="MS Mincho" w:hAnsi="Palatino Linotype"/>
          <w:sz w:val="24"/>
        </w:rPr>
        <w:t>Maestro Ignacio Burgoa Orihuela refiere: “…</w:t>
      </w:r>
      <w:r w:rsidRPr="00E45644">
        <w:rPr>
          <w:rFonts w:ascii="Palatino Linotype" w:eastAsia="MS Mincho" w:hAnsi="Palatino Linotype"/>
          <w:i/>
          <w:sz w:val="24"/>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45644">
        <w:rPr>
          <w:rFonts w:ascii="Palatino Linotype" w:eastAsia="MS Mincho" w:hAnsi="Palatino Linotype"/>
          <w:i/>
          <w:sz w:val="24"/>
          <w:vertAlign w:val="superscript"/>
        </w:rPr>
        <w:footnoteReference w:id="2"/>
      </w:r>
      <w:r w:rsidRPr="00E45644">
        <w:rPr>
          <w:rFonts w:ascii="Palatino Linotype" w:eastAsia="MS Mincho" w:hAnsi="Palatino Linotype"/>
          <w:i/>
          <w:sz w:val="24"/>
        </w:rPr>
        <w:t xml:space="preserve">  “</w:t>
      </w:r>
      <w:r w:rsidRPr="00E45644">
        <w:rPr>
          <w:rFonts w:ascii="Palatino Linotype" w:eastAsia="MS Mincho" w:hAnsi="Palatino Linotype"/>
          <w:b/>
          <w:i/>
          <w:sz w:val="24"/>
        </w:rPr>
        <w:t>[Sic]</w:t>
      </w:r>
    </w:p>
    <w:p w14:paraId="6061578D" w14:textId="77777777" w:rsidR="00E45644" w:rsidRDefault="00E45644" w:rsidP="003111CD">
      <w:pPr>
        <w:pStyle w:val="Sinespaciado"/>
        <w:spacing w:line="360" w:lineRule="auto"/>
        <w:jc w:val="both"/>
        <w:rPr>
          <w:rFonts w:ascii="Palatino Linotype" w:hAnsi="Palatino Linotype"/>
          <w:lang w:val="es-ES_tradnl"/>
        </w:rPr>
      </w:pPr>
    </w:p>
    <w:p w14:paraId="1168B862" w14:textId="77777777" w:rsidR="00E45644" w:rsidRPr="00E45644" w:rsidRDefault="00E45644" w:rsidP="003111CD">
      <w:pPr>
        <w:pStyle w:val="Sinespaciado"/>
        <w:spacing w:line="360" w:lineRule="auto"/>
        <w:jc w:val="both"/>
        <w:rPr>
          <w:rFonts w:ascii="Palatino Linotype" w:hAnsi="Palatino Linotype"/>
          <w:b/>
          <w:lang w:val="es-ES_tradnl"/>
        </w:rPr>
      </w:pPr>
      <w:r w:rsidRPr="00E45644">
        <w:rPr>
          <w:rFonts w:ascii="Palatino Linotype" w:hAnsi="Palatino Linotype"/>
          <w:lang w:val="es-ES_tradnl"/>
        </w:rPr>
        <w:t xml:space="preserve">Por su parte, David Cienfuegos Salgado, concibe al derecho de petición como </w:t>
      </w:r>
      <w:r w:rsidRPr="00E45644">
        <w:rPr>
          <w:rFonts w:ascii="Palatino Linotype" w:hAnsi="Palatino Linotype"/>
          <w:i/>
          <w:lang w:val="es-ES_tradnl"/>
        </w:rPr>
        <w:t>“el derecho de toda persona a ser escuchado por quienes ejercen el poder público.</w:t>
      </w:r>
      <w:r w:rsidRPr="00E45644">
        <w:rPr>
          <w:rFonts w:ascii="Palatino Linotype" w:hAnsi="Palatino Linotype"/>
          <w:i/>
          <w:vertAlign w:val="superscript"/>
          <w:lang w:val="es-ES_tradnl"/>
        </w:rPr>
        <w:footnoteReference w:id="3"/>
      </w:r>
      <w:r w:rsidRPr="00E45644">
        <w:rPr>
          <w:rFonts w:ascii="Palatino Linotype" w:hAnsi="Palatino Linotype"/>
          <w:i/>
          <w:lang w:val="es-ES_tradnl"/>
        </w:rPr>
        <w:t xml:space="preserve">” </w:t>
      </w:r>
      <w:r w:rsidRPr="00E45644">
        <w:rPr>
          <w:rFonts w:ascii="Palatino Linotype" w:hAnsi="Palatino Linotype"/>
          <w:b/>
          <w:i/>
          <w:lang w:val="es-ES_tradnl"/>
        </w:rPr>
        <w:t>[Sic]</w:t>
      </w:r>
    </w:p>
    <w:p w14:paraId="79763A40" w14:textId="77777777" w:rsidR="00E45644" w:rsidRPr="00E45644" w:rsidRDefault="00E45644" w:rsidP="003111CD">
      <w:pPr>
        <w:pStyle w:val="Sinespaciado"/>
        <w:spacing w:line="360" w:lineRule="auto"/>
        <w:jc w:val="both"/>
        <w:rPr>
          <w:rFonts w:ascii="Palatino Linotype" w:hAnsi="Palatino Linotype"/>
          <w:lang w:val="es-ES_tradnl"/>
        </w:rPr>
      </w:pPr>
    </w:p>
    <w:p w14:paraId="47A5A15C" w14:textId="77777777" w:rsidR="00E45644" w:rsidRDefault="00E45644" w:rsidP="003111CD">
      <w:pPr>
        <w:pStyle w:val="Sinespaciado"/>
        <w:spacing w:line="360" w:lineRule="auto"/>
        <w:jc w:val="both"/>
        <w:rPr>
          <w:rFonts w:ascii="Palatino Linotype" w:hAnsi="Palatino Linotype"/>
          <w:i/>
          <w:lang w:val="es-ES_tradnl"/>
        </w:rPr>
      </w:pPr>
      <w:r w:rsidRPr="00E45644">
        <w:rPr>
          <w:rFonts w:ascii="Palatino Linotype" w:hAnsi="Palatino Linotype"/>
          <w:lang w:val="es-ES_tradnl"/>
        </w:rPr>
        <w:t xml:space="preserve">A este respecto, y para diferenciar el derecho de petición al derecho de acceso a la información, resulta conducente señalar que José Guadalupe Robles, conceptualiza el derecho a la información como </w:t>
      </w:r>
      <w:r w:rsidRPr="00E45644">
        <w:rPr>
          <w:rFonts w:ascii="Palatino Linotype" w:hAnsi="Palatino Linotype"/>
          <w:i/>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w:t>
      </w:r>
      <w:r w:rsidRPr="009F100D">
        <w:rPr>
          <w:rFonts w:ascii="Palatino Linotype" w:hAnsi="Palatino Linotype"/>
          <w:i/>
          <w:lang w:val="es-ES_tradnl"/>
        </w:rPr>
        <w:t xml:space="preserve">coadyuva al desarrollo de las personas y a la formación de opinión pública de calidad para poder participar y luego influir en la vida pública. </w:t>
      </w:r>
      <w:r w:rsidRPr="009F100D">
        <w:rPr>
          <w:rFonts w:ascii="Palatino Linotype" w:hAnsi="Palatino Linotype"/>
          <w:i/>
          <w:vertAlign w:val="superscript"/>
          <w:lang w:val="es-ES_tradnl"/>
        </w:rPr>
        <w:footnoteReference w:id="4"/>
      </w:r>
      <w:r w:rsidRPr="009F100D">
        <w:rPr>
          <w:rFonts w:ascii="Palatino Linotype" w:hAnsi="Palatino Linotype"/>
          <w:i/>
          <w:lang w:val="es-ES_tradnl"/>
        </w:rPr>
        <w:t>“</w:t>
      </w:r>
      <w:r w:rsidRPr="009F100D">
        <w:rPr>
          <w:rFonts w:ascii="Palatino Linotype" w:hAnsi="Palatino Linotype"/>
          <w:b/>
          <w:i/>
          <w:lang w:val="es-ES_tradnl"/>
        </w:rPr>
        <w:t>[Sic]</w:t>
      </w:r>
      <w:r w:rsidRPr="009F100D">
        <w:rPr>
          <w:rFonts w:ascii="Palatino Linotype" w:hAnsi="Palatino Linotype"/>
          <w:i/>
          <w:lang w:val="es-ES_tradnl"/>
        </w:rPr>
        <w:t xml:space="preserve"> </w:t>
      </w:r>
    </w:p>
    <w:p w14:paraId="382C26DB" w14:textId="77777777" w:rsidR="00E45644" w:rsidRDefault="00E45644" w:rsidP="003111CD">
      <w:pPr>
        <w:pStyle w:val="Sinespaciado"/>
        <w:spacing w:line="360" w:lineRule="auto"/>
        <w:jc w:val="both"/>
        <w:rPr>
          <w:rFonts w:ascii="Palatino Linotype" w:hAnsi="Palatino Linotype"/>
          <w:i/>
          <w:lang w:val="es-ES_tradnl"/>
        </w:rPr>
      </w:pPr>
    </w:p>
    <w:p w14:paraId="10DB70A2" w14:textId="77777777" w:rsidR="00E45644" w:rsidRPr="00440D64" w:rsidRDefault="00E45644" w:rsidP="003111CD">
      <w:pPr>
        <w:pStyle w:val="Sinespaciado"/>
        <w:spacing w:line="360" w:lineRule="auto"/>
        <w:jc w:val="both"/>
        <w:rPr>
          <w:rFonts w:ascii="Palatino Linotype" w:hAnsi="Palatino Linotype"/>
          <w:i/>
          <w:lang w:val="es-ES_tradnl"/>
        </w:rPr>
      </w:pPr>
      <w:r w:rsidRPr="001E0635">
        <w:rPr>
          <w:rFonts w:ascii="Palatino Linotype" w:hAnsi="Palatino Linotype"/>
          <w:lang w:val="es-ES_tradnl"/>
        </w:rPr>
        <w:t xml:space="preserve">Además, el derecho a la información constituye una prerrogativa a acceder a documentación en poder de los Sujetos Obligados, no así a realizar cuestionamientos, </w:t>
      </w:r>
      <w:r w:rsidRPr="001E0635">
        <w:rPr>
          <w:rFonts w:ascii="Palatino Linotype" w:hAnsi="Palatino Linotype"/>
          <w:lang w:val="es-ES_tradnl"/>
        </w:rPr>
        <w:lastRenderedPageBreak/>
        <w:t xml:space="preserve">o manifestaciones subjetivas. Sirve de apoyo a lo anterior la definición de derecho a la información de Ernesto Villanueva </w:t>
      </w:r>
      <w:proofErr w:type="spellStart"/>
      <w:r w:rsidRPr="001E0635">
        <w:rPr>
          <w:rFonts w:ascii="Palatino Linotype" w:hAnsi="Palatino Linotype"/>
          <w:lang w:val="es-ES_tradnl"/>
        </w:rPr>
        <w:t>Villanueva</w:t>
      </w:r>
      <w:proofErr w:type="spellEnd"/>
      <w:r w:rsidRPr="001E0635">
        <w:rPr>
          <w:rFonts w:ascii="Palatino Linotype" w:hAnsi="Palatino Linotype"/>
          <w:lang w:val="es-ES_tradnl"/>
        </w:rPr>
        <w:t xml:space="preserve"> que dice: </w:t>
      </w:r>
      <w:r w:rsidRPr="00440D64">
        <w:rPr>
          <w:rFonts w:ascii="Palatino Linotype" w:hAnsi="Palatino Linotype"/>
          <w:i/>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40D64">
        <w:rPr>
          <w:rFonts w:ascii="Palatino Linotype" w:hAnsi="Palatino Linotype"/>
          <w:i/>
          <w:vertAlign w:val="superscript"/>
          <w:lang w:val="es-ES_tradnl"/>
        </w:rPr>
        <w:footnoteReference w:id="5"/>
      </w:r>
      <w:r w:rsidRPr="00440D64">
        <w:rPr>
          <w:rFonts w:ascii="Palatino Linotype" w:hAnsi="Palatino Linotype"/>
          <w:i/>
          <w:lang w:val="es-ES_tradnl"/>
        </w:rPr>
        <w:t xml:space="preserve">” </w:t>
      </w:r>
      <w:r w:rsidRPr="00440D64">
        <w:rPr>
          <w:rFonts w:ascii="Palatino Linotype" w:hAnsi="Palatino Linotype"/>
          <w:b/>
          <w:i/>
          <w:lang w:val="es-ES_tradnl"/>
        </w:rPr>
        <w:t>[Sic]</w:t>
      </w:r>
    </w:p>
    <w:p w14:paraId="4D7CBEDB" w14:textId="77777777" w:rsidR="00E45644" w:rsidRPr="00440D64" w:rsidRDefault="00E45644" w:rsidP="003111CD">
      <w:pPr>
        <w:autoSpaceDE w:val="0"/>
        <w:autoSpaceDN w:val="0"/>
        <w:adjustRightInd w:val="0"/>
        <w:spacing w:after="0" w:line="360" w:lineRule="auto"/>
        <w:jc w:val="both"/>
        <w:rPr>
          <w:rFonts w:ascii="Palatino Linotype" w:hAnsi="Palatino Linotype" w:cs="Arial"/>
          <w:i/>
          <w:iCs/>
        </w:rPr>
      </w:pPr>
    </w:p>
    <w:p w14:paraId="45B2C6C1" w14:textId="77777777" w:rsidR="00E45644" w:rsidRDefault="00E45644" w:rsidP="003111CD">
      <w:pPr>
        <w:pStyle w:val="Sinespaciado"/>
        <w:spacing w:line="360" w:lineRule="auto"/>
        <w:jc w:val="both"/>
        <w:rPr>
          <w:rFonts w:ascii="Palatino Linotype" w:hAnsi="Palatino Linotype" w:cs="Arial"/>
        </w:rPr>
      </w:pPr>
      <w:r w:rsidRPr="00440D64">
        <w:rPr>
          <w:rFonts w:ascii="Palatino Linotype" w:hAnsi="Palatino Linotype" w:cs="Arial"/>
        </w:rPr>
        <w:t xml:space="preserve">Ahora bien, para entender los alcances de la información pública se considera importante citar el criterio </w:t>
      </w:r>
      <w:r w:rsidRPr="00440D64">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440D64">
        <w:rPr>
          <w:rFonts w:ascii="Palatino Linotype" w:hAnsi="Palatino Linotype" w:cs="Arial"/>
        </w:rPr>
        <w:t>cuyo rubro y texto dispone:</w:t>
      </w:r>
    </w:p>
    <w:p w14:paraId="0DAEE435" w14:textId="77777777" w:rsidR="00E45644" w:rsidRPr="00440D64" w:rsidRDefault="00E45644" w:rsidP="003111CD">
      <w:pPr>
        <w:pStyle w:val="Sinespaciado"/>
        <w:spacing w:line="360" w:lineRule="auto"/>
        <w:jc w:val="both"/>
        <w:rPr>
          <w:rFonts w:ascii="Palatino Linotype" w:hAnsi="Palatino Linotype" w:cs="Arial"/>
        </w:rPr>
      </w:pPr>
    </w:p>
    <w:p w14:paraId="767FA2DE" w14:textId="77777777" w:rsidR="00E45644" w:rsidRPr="00200064" w:rsidRDefault="00E45644" w:rsidP="003111CD">
      <w:pPr>
        <w:pStyle w:val="Citas"/>
        <w:spacing w:before="0" w:after="0"/>
        <w:rPr>
          <w:b/>
          <w:lang w:eastAsia="es-MX"/>
        </w:rPr>
      </w:pPr>
      <w:r>
        <w:rPr>
          <w:b/>
          <w:lang w:eastAsia="es-MX"/>
        </w:rPr>
        <w:t>“</w:t>
      </w:r>
      <w:r w:rsidRPr="00200064">
        <w:rPr>
          <w:b/>
          <w:lang w:eastAsia="es-MX"/>
        </w:rPr>
        <w:t xml:space="preserve">INFORMACIÓN PÚBLICA, CONCEPTO DE, EN MATERIA DE TRANSPARENCIA. INTERPRETACIÓN TEMÁTICA DE LOS ARTÍCULOS 2, FRACCIÓN </w:t>
      </w:r>
      <w:r w:rsidRPr="00200064">
        <w:rPr>
          <w:b/>
          <w:bCs/>
          <w:lang w:eastAsia="es-MX"/>
        </w:rPr>
        <w:t xml:space="preserve">V, XV, Y XVI, </w:t>
      </w:r>
      <w:r w:rsidRPr="00200064">
        <w:rPr>
          <w:b/>
          <w:lang w:eastAsia="es-MX"/>
        </w:rPr>
        <w:t xml:space="preserve">32, 4,11 Y 41. </w:t>
      </w:r>
    </w:p>
    <w:p w14:paraId="199806CD" w14:textId="77777777" w:rsidR="00E45644" w:rsidRDefault="00E45644" w:rsidP="003111CD">
      <w:pPr>
        <w:pStyle w:val="Citas"/>
        <w:spacing w:before="0" w:after="0"/>
        <w:rPr>
          <w:lang w:eastAsia="es-MX"/>
        </w:rPr>
      </w:pPr>
      <w:r>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849AC87" w14:textId="77777777" w:rsidR="00E45644" w:rsidRDefault="00E45644" w:rsidP="003111CD">
      <w:pPr>
        <w:pStyle w:val="Citas"/>
        <w:spacing w:before="0" w:after="0"/>
        <w:rPr>
          <w:lang w:eastAsia="es-MX"/>
        </w:rPr>
      </w:pPr>
      <w:r>
        <w:rPr>
          <w:lang w:eastAsia="es-MX"/>
        </w:rPr>
        <w:lastRenderedPageBreak/>
        <w:t>En consecuencia el acceso a la información se refiere a que se cumplan cualquiera de los siguientes tres supuestos:</w:t>
      </w:r>
    </w:p>
    <w:p w14:paraId="3D6CB0E0" w14:textId="77777777" w:rsidR="00E45644" w:rsidRDefault="00E45644" w:rsidP="003111CD">
      <w:pPr>
        <w:pStyle w:val="Citas"/>
        <w:spacing w:before="0" w:after="0"/>
        <w:rPr>
          <w:lang w:eastAsia="es-MX"/>
        </w:rPr>
      </w:pPr>
      <w:r>
        <w:rPr>
          <w:lang w:eastAsia="es-MX"/>
        </w:rPr>
        <w:t>Que se trate de información registrada en cualquier soporte documental, que en ejercicio de las atribuciones conferidas, sea generada por los Sujetos Obligados;</w:t>
      </w:r>
    </w:p>
    <w:p w14:paraId="0DCA68B4" w14:textId="77777777" w:rsidR="00E45644" w:rsidRDefault="00E45644" w:rsidP="003111CD">
      <w:pPr>
        <w:pStyle w:val="Citas"/>
        <w:spacing w:before="0" w:after="0"/>
        <w:rPr>
          <w:lang w:eastAsia="es-MX"/>
        </w:rPr>
      </w:pPr>
      <w:r>
        <w:rPr>
          <w:lang w:eastAsia="es-MX"/>
        </w:rPr>
        <w:t>Que se trate de información registrada en cualquier soporte documental, que en ejercicio de las atribuciones conferidas, sea administrada por los Sujetos Obligados, y</w:t>
      </w:r>
    </w:p>
    <w:p w14:paraId="291F8760" w14:textId="77777777" w:rsidR="00E45644" w:rsidRPr="00200064" w:rsidRDefault="00E45644" w:rsidP="003111CD">
      <w:pPr>
        <w:pStyle w:val="Citas"/>
        <w:spacing w:before="0" w:after="0"/>
        <w:rPr>
          <w:b/>
          <w:lang w:eastAsia="es-MX"/>
        </w:rPr>
      </w:pPr>
      <w:r>
        <w:rPr>
          <w:lang w:eastAsia="es-MX"/>
        </w:rPr>
        <w:t xml:space="preserve">Que se trate de información registrada en cualquier soporte documental, que en ejercicio de las atribuciones conferidas, se encuentre en posesión de los Sujetos Obligados.” </w:t>
      </w:r>
      <w:r>
        <w:rPr>
          <w:b/>
          <w:lang w:eastAsia="es-MX"/>
        </w:rPr>
        <w:t>[Sic]</w:t>
      </w:r>
    </w:p>
    <w:p w14:paraId="39993A61" w14:textId="77777777" w:rsidR="00E45644" w:rsidRDefault="00E45644" w:rsidP="003111CD">
      <w:pPr>
        <w:pStyle w:val="Sinespaciado"/>
        <w:spacing w:line="360" w:lineRule="auto"/>
        <w:jc w:val="both"/>
        <w:rPr>
          <w:rFonts w:ascii="Palatino Linotype" w:hAnsi="Palatino Linotype"/>
          <w:lang w:eastAsia="es-MX"/>
        </w:rPr>
      </w:pPr>
    </w:p>
    <w:p w14:paraId="4661602C" w14:textId="77777777" w:rsidR="00E45644" w:rsidRDefault="00E45644" w:rsidP="003111CD">
      <w:pPr>
        <w:pStyle w:val="Sinespaciado"/>
        <w:spacing w:line="360" w:lineRule="auto"/>
        <w:jc w:val="both"/>
        <w:rPr>
          <w:rFonts w:ascii="Palatino Linotype" w:hAnsi="Palatino Linotype"/>
          <w:i/>
          <w:lang w:eastAsia="es-MX"/>
        </w:rPr>
      </w:pPr>
      <w:r w:rsidRPr="001E0635">
        <w:rPr>
          <w:rFonts w:ascii="Palatino Linotype" w:hAnsi="Palatino Linotype"/>
          <w:lang w:eastAsia="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1E0635">
        <w:rPr>
          <w:rFonts w:ascii="Palatino Linotype" w:hAnsi="Palatino Linotype"/>
          <w:lang w:eastAsia="es-MX"/>
        </w:rPr>
        <w:t>Villanueva</w:t>
      </w:r>
      <w:proofErr w:type="spellEnd"/>
      <w:r w:rsidRPr="001E0635">
        <w:rPr>
          <w:rFonts w:ascii="Palatino Linotype" w:hAnsi="Palatino Linotype"/>
          <w:lang w:eastAsia="es-MX"/>
        </w:rPr>
        <w:t xml:space="preserve"> que dice:</w:t>
      </w:r>
      <w:r>
        <w:rPr>
          <w:rFonts w:ascii="Palatino Linotype" w:hAnsi="Palatino Linotype"/>
          <w:lang w:eastAsia="es-MX"/>
        </w:rPr>
        <w:t xml:space="preserve"> </w:t>
      </w:r>
      <w:r w:rsidRPr="001E0635">
        <w:rPr>
          <w:rFonts w:ascii="Palatino Linotype" w:hAnsi="Palatino Linotype"/>
          <w:lang w:eastAsia="es-MX"/>
        </w:rPr>
        <w:t>“</w:t>
      </w:r>
      <w:r w:rsidRPr="001E0635">
        <w:rPr>
          <w:rFonts w:ascii="Palatino Linotype" w:hAnsi="Palatino Linotype"/>
          <w:i/>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1E0635">
        <w:rPr>
          <w:rFonts w:ascii="Palatino Linotype" w:hAnsi="Palatino Linotype"/>
          <w:b/>
          <w:i/>
          <w:lang w:val="es-ES_tradnl"/>
        </w:rPr>
        <w:t>[Sic]</w:t>
      </w:r>
    </w:p>
    <w:p w14:paraId="20B35606" w14:textId="77777777" w:rsidR="00E45644" w:rsidRDefault="00E45644" w:rsidP="003111CD">
      <w:pPr>
        <w:spacing w:after="0" w:line="360" w:lineRule="auto"/>
        <w:jc w:val="both"/>
        <w:rPr>
          <w:rFonts w:ascii="Palatino Linotype" w:hAnsi="Palatino Linotype"/>
        </w:rPr>
      </w:pPr>
    </w:p>
    <w:p w14:paraId="1AF7D616" w14:textId="77777777" w:rsidR="00E45644" w:rsidRPr="00E45644" w:rsidRDefault="00E45644" w:rsidP="003111CD">
      <w:pPr>
        <w:spacing w:after="0" w:line="360" w:lineRule="auto"/>
        <w:jc w:val="both"/>
        <w:rPr>
          <w:rFonts w:ascii="Palatino Linotype" w:hAnsi="Palatino Linotype"/>
          <w:sz w:val="24"/>
        </w:rPr>
      </w:pPr>
      <w:r w:rsidRPr="00E45644">
        <w:rPr>
          <w:rFonts w:ascii="Palatino Linotype" w:hAnsi="Palatino Linotype"/>
          <w:sz w:val="24"/>
        </w:rPr>
        <w:t xml:space="preserve">Por lo anterior, al no constituirse dicho cuestionamiento como materia del derecho de acceso a la información, se considera que </w:t>
      </w:r>
      <w:r w:rsidRPr="00E45644">
        <w:rPr>
          <w:rFonts w:ascii="Palatino Linotype" w:hAnsi="Palatino Linotype"/>
          <w:b/>
          <w:sz w:val="24"/>
        </w:rPr>
        <w:t>El Sujeto Obligado</w:t>
      </w:r>
      <w:r w:rsidRPr="00E45644">
        <w:rPr>
          <w:rFonts w:ascii="Palatino Linotype" w:hAnsi="Palatino Linotype"/>
          <w:sz w:val="24"/>
        </w:rPr>
        <w:t xml:space="preserve"> no se encuentra constreñido a emitir una respuesta al mismo.</w:t>
      </w:r>
    </w:p>
    <w:p w14:paraId="30DCBC6C" w14:textId="77777777" w:rsidR="00E45644" w:rsidRPr="00E45644" w:rsidRDefault="00E45644" w:rsidP="003111CD">
      <w:pPr>
        <w:spacing w:after="0" w:line="360" w:lineRule="auto"/>
        <w:jc w:val="both"/>
        <w:rPr>
          <w:rFonts w:ascii="Palatino Linotype" w:hAnsi="Palatino Linotype"/>
          <w:sz w:val="24"/>
        </w:rPr>
      </w:pPr>
    </w:p>
    <w:p w14:paraId="1F353814" w14:textId="77777777" w:rsidR="00E45644" w:rsidRDefault="00E45644" w:rsidP="003111CD">
      <w:pPr>
        <w:spacing w:after="0" w:line="360" w:lineRule="auto"/>
        <w:jc w:val="both"/>
        <w:rPr>
          <w:rFonts w:ascii="Palatino Linotype" w:hAnsi="Palatino Linotype" w:cs="Arial"/>
          <w:sz w:val="24"/>
        </w:rPr>
      </w:pPr>
      <w:r w:rsidRPr="00E45644">
        <w:rPr>
          <w:rFonts w:ascii="Palatino Linotype" w:hAnsi="Palatino Linotype"/>
          <w:sz w:val="24"/>
        </w:rPr>
        <w:lastRenderedPageBreak/>
        <w:t xml:space="preserve">Una vez precisado lo anterior, </w:t>
      </w:r>
      <w:r w:rsidRPr="00E45644">
        <w:rPr>
          <w:rFonts w:ascii="Palatino Linotype" w:hAnsi="Palatino Linotype" w:cs="Arial"/>
          <w:sz w:val="24"/>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7BAA71E6" w14:textId="77777777" w:rsidR="003111CD" w:rsidRPr="00E45644" w:rsidRDefault="003111CD" w:rsidP="003111CD">
      <w:pPr>
        <w:spacing w:after="0" w:line="360" w:lineRule="auto"/>
        <w:jc w:val="both"/>
        <w:rPr>
          <w:rFonts w:ascii="Palatino Linotype" w:hAnsi="Palatino Linotype" w:cs="Arial"/>
          <w:sz w:val="24"/>
        </w:rPr>
      </w:pPr>
    </w:p>
    <w:p w14:paraId="57B51D9F" w14:textId="77777777" w:rsidR="00E45644" w:rsidRPr="000835E5" w:rsidRDefault="00E45644" w:rsidP="003111CD">
      <w:pPr>
        <w:spacing w:after="0" w:line="360" w:lineRule="auto"/>
        <w:ind w:left="851" w:right="851"/>
        <w:jc w:val="both"/>
        <w:rPr>
          <w:rFonts w:ascii="Palatino Linotype" w:hAnsi="Palatino Linotype" w:cs="Arial"/>
          <w:b/>
          <w:i/>
        </w:rPr>
      </w:pPr>
      <w:r w:rsidRPr="000835E5">
        <w:rPr>
          <w:rFonts w:ascii="Palatino Linotype" w:hAnsi="Palatino Linotype" w:cs="Arial"/>
          <w:b/>
          <w:i/>
        </w:rPr>
        <w:t>“SOBRESEIMIENTO EN EL JUICIO DE AMPARO DIRECTO. IMPIDE EL ESTUDIO DE LAS VIOLACIONES PROCESALES PLANTEADAS EN LOS CONCEPTOS DE VIOLACIÓN.</w:t>
      </w:r>
    </w:p>
    <w:p w14:paraId="5A3E4C1B" w14:textId="77777777" w:rsidR="00E45644" w:rsidRPr="000835E5" w:rsidRDefault="00E45644" w:rsidP="003111CD">
      <w:pPr>
        <w:spacing w:after="0" w:line="360" w:lineRule="auto"/>
        <w:ind w:left="851" w:right="851"/>
        <w:jc w:val="both"/>
        <w:rPr>
          <w:rFonts w:ascii="Palatino Linotype" w:hAnsi="Palatino Linotype"/>
          <w:i/>
          <w:color w:val="000000"/>
        </w:rPr>
      </w:pPr>
      <w:r w:rsidRPr="000835E5">
        <w:rPr>
          <w:rFonts w:ascii="Palatino Linotype" w:hAnsi="Palatino Linotype" w:cs="Arial"/>
          <w:b/>
          <w:i/>
          <w:u w:val="single"/>
        </w:rPr>
        <w:t>El sobreseimiento</w:t>
      </w:r>
      <w:r w:rsidRPr="000835E5">
        <w:rPr>
          <w:rFonts w:ascii="Palatino Linotype" w:hAnsi="Palatino Linotype" w:cs="Arial"/>
          <w:b/>
          <w:i/>
        </w:rPr>
        <w:t xml:space="preserve"> </w:t>
      </w:r>
      <w:r w:rsidRPr="000835E5">
        <w:rPr>
          <w:rFonts w:ascii="Palatino Linotype" w:hAnsi="Palatino Linotype" w:cs="Arial"/>
          <w:i/>
        </w:rPr>
        <w:t xml:space="preserve">en el juicio de amparo directo </w:t>
      </w:r>
      <w:r w:rsidRPr="000835E5">
        <w:rPr>
          <w:rFonts w:ascii="Palatino Linotype" w:hAnsi="Palatino Linotype" w:cs="Arial"/>
          <w:b/>
          <w:i/>
          <w:u w:val="single"/>
        </w:rPr>
        <w:t>provoca la terminación de la controversia planteada</w:t>
      </w:r>
      <w:r w:rsidRPr="000835E5">
        <w:rPr>
          <w:rFonts w:ascii="Palatino Linotype" w:hAnsi="Palatino Linotype" w:cs="Arial"/>
          <w:b/>
          <w:i/>
        </w:rPr>
        <w:t xml:space="preserve"> </w:t>
      </w:r>
      <w:r w:rsidRPr="000835E5">
        <w:rPr>
          <w:rFonts w:ascii="Palatino Linotype" w:hAnsi="Palatino Linotype" w:cs="Arial"/>
          <w:i/>
        </w:rPr>
        <w:t>por el quejoso en la demanda de amparo</w:t>
      </w:r>
      <w:r w:rsidRPr="000835E5">
        <w:rPr>
          <w:color w:val="000000"/>
        </w:rPr>
        <w:t xml:space="preserve"> </w:t>
      </w:r>
      <w:r w:rsidRPr="000835E5">
        <w:rPr>
          <w:rFonts w:ascii="Palatino Linotype" w:hAnsi="Palatino Linotype"/>
          <w:i/>
          <w:color w:val="000000"/>
        </w:rPr>
        <w:t xml:space="preserve">provoca la terminación de la controversia planteada por el quejoso en la demanda de </w:t>
      </w:r>
      <w:r w:rsidRPr="000835E5">
        <w:rPr>
          <w:rFonts w:ascii="Palatino Linotype" w:hAnsi="Palatino Linotype"/>
          <w:b/>
          <w:i/>
          <w:color w:val="000000"/>
        </w:rPr>
        <w:t>amparo</w:t>
      </w:r>
      <w:r w:rsidRPr="000835E5">
        <w:rPr>
          <w:rFonts w:ascii="Palatino Linotype" w:hAnsi="Palatino Linotype"/>
          <w:i/>
          <w:color w:val="000000"/>
        </w:rPr>
        <w:t>, sin hacer un pronunciamiento de fondo sobre la legalidad o ilegalidad de la sentencia reclamada. Por consiguiente, si al sobreseerse en el</w:t>
      </w:r>
      <w:r w:rsidRPr="000835E5">
        <w:rPr>
          <w:rFonts w:ascii="Palatino Linotype" w:hAnsi="Palatino Linotype"/>
          <w:b/>
          <w:i/>
          <w:color w:val="000000"/>
        </w:rPr>
        <w:t xml:space="preserve"> juicio </w:t>
      </w:r>
      <w:r w:rsidRPr="000835E5">
        <w:rPr>
          <w:rFonts w:ascii="Palatino Linotype" w:hAnsi="Palatino Linotype"/>
          <w:i/>
          <w:color w:val="000000"/>
        </w:rPr>
        <w:t xml:space="preserve">de </w:t>
      </w:r>
      <w:r w:rsidRPr="000835E5">
        <w:rPr>
          <w:rFonts w:ascii="Palatino Linotype" w:hAnsi="Palatino Linotype"/>
          <w:b/>
          <w:i/>
          <w:color w:val="000000"/>
        </w:rPr>
        <w:t>amparo</w:t>
      </w:r>
      <w:r w:rsidRPr="000835E5">
        <w:rPr>
          <w:rFonts w:ascii="Palatino Linotype" w:hAnsi="Palatino Linotype"/>
          <w:i/>
          <w:color w:val="000000"/>
        </w:rPr>
        <w:t xml:space="preserve"> no se pueden estudiar los planteamientos que se hacen valer en contra del fallo reclamado, tampoco se deben analizar las</w:t>
      </w:r>
      <w:r w:rsidRPr="000835E5">
        <w:rPr>
          <w:rFonts w:ascii="Palatino Linotype" w:hAnsi="Palatino Linotype"/>
          <w:b/>
          <w:i/>
          <w:color w:val="000000"/>
        </w:rPr>
        <w:t xml:space="preserve"> violaciones procesales</w:t>
      </w:r>
      <w:r w:rsidRPr="000835E5">
        <w:rPr>
          <w:rFonts w:ascii="Palatino Linotype" w:hAnsi="Palatino Linotype"/>
          <w:i/>
          <w:color w:val="000000"/>
        </w:rPr>
        <w:t xml:space="preserve"> propuestas en los </w:t>
      </w:r>
      <w:r w:rsidRPr="000835E5">
        <w:rPr>
          <w:rFonts w:ascii="Palatino Linotype" w:hAnsi="Palatino Linotype"/>
          <w:b/>
          <w:i/>
          <w:color w:val="000000"/>
        </w:rPr>
        <w:t xml:space="preserve">conceptos </w:t>
      </w:r>
      <w:r w:rsidRPr="000835E5">
        <w:rPr>
          <w:rFonts w:ascii="Palatino Linotype" w:hAnsi="Palatino Linotype"/>
          <w:i/>
          <w:color w:val="000000"/>
        </w:rPr>
        <w:t xml:space="preserve">de </w:t>
      </w:r>
      <w:r w:rsidRPr="000835E5">
        <w:rPr>
          <w:rFonts w:ascii="Palatino Linotype" w:hAnsi="Palatino Linotype"/>
          <w:b/>
          <w:i/>
          <w:color w:val="000000"/>
        </w:rPr>
        <w:t>violación</w:t>
      </w:r>
      <w:r w:rsidRPr="000835E5">
        <w:rPr>
          <w:rFonts w:ascii="Palatino Linotype" w:hAnsi="Palatino Linotype"/>
          <w:i/>
          <w:color w:val="000000"/>
        </w:rPr>
        <w:t xml:space="preserve">, dado que, la principal consecuencia del </w:t>
      </w:r>
      <w:r w:rsidRPr="000835E5">
        <w:rPr>
          <w:rFonts w:ascii="Palatino Linotype" w:hAnsi="Palatino Linotype"/>
          <w:b/>
          <w:i/>
          <w:color w:val="000000"/>
        </w:rPr>
        <w:t>sobreseimiento</w:t>
      </w:r>
      <w:r w:rsidRPr="000835E5">
        <w:rPr>
          <w:rFonts w:ascii="Palatino Linotype" w:hAnsi="Palatino Linotype"/>
          <w:i/>
          <w:color w:val="000000"/>
        </w:rPr>
        <w:t xml:space="preserve"> es poner fin al </w:t>
      </w:r>
      <w:r w:rsidRPr="000835E5">
        <w:rPr>
          <w:rFonts w:ascii="Palatino Linotype" w:hAnsi="Palatino Linotype"/>
          <w:b/>
          <w:i/>
          <w:color w:val="000000"/>
        </w:rPr>
        <w:t xml:space="preserve">juicio </w:t>
      </w:r>
      <w:r w:rsidRPr="000835E5">
        <w:rPr>
          <w:rFonts w:ascii="Palatino Linotype" w:hAnsi="Palatino Linotype"/>
          <w:i/>
          <w:color w:val="000000"/>
        </w:rPr>
        <w:t xml:space="preserve">de </w:t>
      </w:r>
      <w:r w:rsidRPr="000835E5">
        <w:rPr>
          <w:rFonts w:ascii="Palatino Linotype" w:hAnsi="Palatino Linotype"/>
          <w:b/>
          <w:i/>
          <w:color w:val="000000"/>
        </w:rPr>
        <w:t xml:space="preserve">amparo </w:t>
      </w:r>
      <w:r w:rsidRPr="000835E5">
        <w:rPr>
          <w:rFonts w:ascii="Palatino Linotype" w:hAnsi="Palatino Linotype"/>
          <w:i/>
          <w:color w:val="000000"/>
        </w:rPr>
        <w:t>sin resolver la controversia en sus méritos.  </w:t>
      </w:r>
    </w:p>
    <w:p w14:paraId="22FA7E81" w14:textId="77777777" w:rsidR="00E45644" w:rsidRPr="000835E5" w:rsidRDefault="00E45644" w:rsidP="003111CD">
      <w:pPr>
        <w:spacing w:after="0" w:line="360" w:lineRule="auto"/>
        <w:ind w:left="851" w:right="851"/>
        <w:jc w:val="both"/>
        <w:rPr>
          <w:rFonts w:ascii="Palatino Linotype" w:hAnsi="Palatino Linotype" w:cs="Arial"/>
          <w:b/>
          <w:i/>
        </w:rPr>
      </w:pPr>
      <w:r w:rsidRPr="000835E5">
        <w:rPr>
          <w:rFonts w:ascii="Palatino Linotype" w:hAnsi="Palatino Linotype" w:cs="Arial"/>
          <w:b/>
          <w:i/>
        </w:rPr>
        <w:t>SÉPTIMO TRIBUNAL COLEGIADO EN MATERIA CIVIL DEL PRIMER CIRCUITO.</w:t>
      </w:r>
    </w:p>
    <w:p w14:paraId="1F8886CE" w14:textId="0E7D6578" w:rsidR="00E45644" w:rsidRPr="000835E5" w:rsidRDefault="00E45644" w:rsidP="003111CD">
      <w:pPr>
        <w:spacing w:after="0" w:line="360" w:lineRule="auto"/>
        <w:ind w:left="851" w:right="851"/>
        <w:jc w:val="both"/>
        <w:rPr>
          <w:rFonts w:ascii="Palatino Linotype" w:hAnsi="Palatino Linotype" w:cs="Arial"/>
          <w:i/>
        </w:rPr>
      </w:pPr>
      <w:r w:rsidRPr="000835E5">
        <w:rPr>
          <w:rFonts w:ascii="Palatino Linotype" w:hAnsi="Palatino Linotype" w:cs="Arial"/>
          <w:i/>
        </w:rPr>
        <w:t>Amparo directo 699/2008. Mariana Leticia González Steele. 13 de noviembre de 2008. Unanimidad de votos. Ponente: Sara Judith Montalvo Trejo. Secretario: Arnulfo Mateos García.”</w:t>
      </w:r>
      <w:r w:rsidRPr="000835E5">
        <w:rPr>
          <w:rFonts w:ascii="Palatino Linotype" w:hAnsi="Palatino Linotype"/>
          <w:b/>
          <w:i/>
        </w:rPr>
        <w:t xml:space="preserve"> [Sic]</w:t>
      </w:r>
    </w:p>
    <w:p w14:paraId="68E633E8" w14:textId="77777777" w:rsidR="00A14499" w:rsidRDefault="00A14499" w:rsidP="003111CD">
      <w:pPr>
        <w:spacing w:after="0" w:line="360" w:lineRule="auto"/>
        <w:jc w:val="both"/>
        <w:rPr>
          <w:rFonts w:ascii="Palatino Linotype" w:hAnsi="Palatino Linotype" w:cs="Arial"/>
          <w:sz w:val="24"/>
        </w:rPr>
      </w:pPr>
    </w:p>
    <w:p w14:paraId="53A84B66" w14:textId="77777777" w:rsidR="00E45644" w:rsidRDefault="00E45644" w:rsidP="003111CD">
      <w:pPr>
        <w:spacing w:after="0" w:line="360" w:lineRule="auto"/>
        <w:jc w:val="both"/>
        <w:rPr>
          <w:rFonts w:ascii="Palatino Linotype" w:hAnsi="Palatino Linotype" w:cs="Arial"/>
          <w:sz w:val="24"/>
        </w:rPr>
      </w:pPr>
      <w:r w:rsidRPr="00E45644">
        <w:rPr>
          <w:rFonts w:ascii="Palatino Linotype" w:hAnsi="Palatino Linotype" w:cs="Arial"/>
          <w:sz w:val="24"/>
        </w:rPr>
        <w:lastRenderedPageBreak/>
        <w:t xml:space="preserve">De este modo, se puede deducir que, en las resoluciones dictadas por el Pleno de este Instituto, en las que se decreta el sobreseimiento de un recurso de revisión por la actualización de alguno de los supuestos jurídicos contemplados en el </w:t>
      </w:r>
      <w:r w:rsidRPr="00E45644">
        <w:rPr>
          <w:rFonts w:ascii="Palatino Linotype" w:hAnsi="Palatino Linotype" w:cs="Arial"/>
          <w:b/>
          <w:sz w:val="24"/>
        </w:rPr>
        <w:t xml:space="preserve">artículo 192 </w:t>
      </w:r>
      <w:r w:rsidRPr="00E45644">
        <w:rPr>
          <w:rFonts w:ascii="Palatino Linotype" w:hAnsi="Palatino Linotype" w:cs="Arial"/>
          <w:sz w:val="24"/>
        </w:rPr>
        <w:t xml:space="preserve">de la </w:t>
      </w:r>
      <w:r w:rsidRPr="00E45644">
        <w:rPr>
          <w:rFonts w:ascii="Palatino Linotype" w:hAnsi="Palatino Linotype" w:cs="Arial"/>
          <w:b/>
          <w:sz w:val="24"/>
        </w:rPr>
        <w:t xml:space="preserve">Ley de Transparencia y Acceso a la Información Pública del Estado de México y Municipios, </w:t>
      </w:r>
      <w:r w:rsidRPr="00E45644">
        <w:rPr>
          <w:rFonts w:ascii="Palatino Linotype" w:hAnsi="Palatino Linotype" w:cs="Arial"/>
          <w:sz w:val="24"/>
        </w:rPr>
        <w:t xml:space="preserve">nos encontramos ante un sobreseimiento definitivo toda vez que pone fin al procedimiento sin entrar al estudio de fondo del mismo. </w:t>
      </w:r>
    </w:p>
    <w:p w14:paraId="7A617B97" w14:textId="403AC8D5" w:rsidR="00E45644" w:rsidRDefault="00E45644" w:rsidP="003111CD">
      <w:pPr>
        <w:autoSpaceDE w:val="0"/>
        <w:autoSpaceDN w:val="0"/>
        <w:adjustRightInd w:val="0"/>
        <w:spacing w:after="0" w:line="360" w:lineRule="auto"/>
        <w:ind w:right="-18"/>
        <w:jc w:val="both"/>
        <w:rPr>
          <w:rFonts w:ascii="Palatino Linotype" w:hAnsi="Palatino Linotype"/>
          <w:b/>
          <w:bCs/>
          <w:sz w:val="24"/>
          <w:u w:val="single"/>
        </w:rPr>
      </w:pPr>
      <w:r w:rsidRPr="00E45644">
        <w:rPr>
          <w:rFonts w:ascii="Palatino Linotype" w:hAnsi="Palatino Linotype"/>
          <w:b/>
          <w:bCs/>
          <w:sz w:val="24"/>
          <w:u w:val="single"/>
        </w:rPr>
        <w:t>Para los efectos de esta resolución, resulta oportuno precisar la improcedencia del recurso por no actualizar alguno de los supuestos previstos en la ley de transparencia y por tratarse de una consul</w:t>
      </w:r>
      <w:r w:rsidR="00A14499">
        <w:rPr>
          <w:rFonts w:ascii="Palatino Linotype" w:hAnsi="Palatino Linotype"/>
          <w:b/>
          <w:bCs/>
          <w:sz w:val="24"/>
          <w:u w:val="single"/>
        </w:rPr>
        <w:t>ta (Artículo 191 fracciones</w:t>
      </w:r>
      <w:r w:rsidRPr="00E45644">
        <w:rPr>
          <w:rFonts w:ascii="Palatino Linotype" w:hAnsi="Palatino Linotype"/>
          <w:b/>
          <w:bCs/>
          <w:sz w:val="24"/>
          <w:u w:val="single"/>
        </w:rPr>
        <w:t xml:space="preserve"> VI y 192 fracción IV de la Ley de Transparencia local)</w:t>
      </w:r>
    </w:p>
    <w:p w14:paraId="40A3BDE2" w14:textId="77777777" w:rsidR="003111CD" w:rsidRPr="00E45644" w:rsidRDefault="003111CD" w:rsidP="003111CD">
      <w:pPr>
        <w:autoSpaceDE w:val="0"/>
        <w:autoSpaceDN w:val="0"/>
        <w:adjustRightInd w:val="0"/>
        <w:spacing w:after="0" w:line="360" w:lineRule="auto"/>
        <w:ind w:right="-18"/>
        <w:jc w:val="both"/>
        <w:rPr>
          <w:rFonts w:ascii="Palatino Linotype" w:hAnsi="Palatino Linotype"/>
          <w:b/>
          <w:bCs/>
          <w:sz w:val="24"/>
          <w:u w:val="single"/>
        </w:rPr>
      </w:pPr>
    </w:p>
    <w:p w14:paraId="08CF5382" w14:textId="77777777" w:rsidR="00E45644" w:rsidRDefault="00E45644" w:rsidP="003111CD">
      <w:pPr>
        <w:tabs>
          <w:tab w:val="left" w:pos="5415"/>
        </w:tabs>
        <w:spacing w:after="0" w:line="360" w:lineRule="auto"/>
        <w:ind w:right="51"/>
        <w:jc w:val="both"/>
        <w:rPr>
          <w:rFonts w:ascii="Palatino Linotype" w:hAnsi="Palatino Linotype" w:cs="Arial"/>
          <w:sz w:val="24"/>
        </w:rPr>
      </w:pPr>
      <w:r w:rsidRPr="00E45644">
        <w:rPr>
          <w:rFonts w:ascii="Palatino Linotype" w:hAnsi="Palatino Linotype" w:cs="Arial"/>
          <w:sz w:val="24"/>
        </w:rPr>
        <w:t xml:space="preserve">Bajo este contexto, cobra particular relevancia la corriente que emana de la Segunda Sala de la Suprema Corte de Justicia de la Nación, a través de la jurisprudencia con número de registro digital </w:t>
      </w:r>
      <w:r w:rsidRPr="00E45644">
        <w:rPr>
          <w:rFonts w:ascii="Palatino Linotype" w:hAnsi="Palatino Linotype" w:cs="Arial"/>
          <w:b/>
          <w:sz w:val="24"/>
        </w:rPr>
        <w:t>195744</w:t>
      </w:r>
      <w:r w:rsidRPr="00E45644">
        <w:rPr>
          <w:rFonts w:ascii="Palatino Linotype" w:hAnsi="Palatino Linotype" w:cs="Arial"/>
          <w:sz w:val="24"/>
        </w:rPr>
        <w:t xml:space="preserve"> de la Novena Época, visible en el Semanario Judicial de la Federación y su Gaceta, Tomo VIII, de agosto de 1998, tesis 2a/J. 54/98 en materia común, en la que se establece lo siguiente:</w:t>
      </w:r>
    </w:p>
    <w:p w14:paraId="139E72B8" w14:textId="77777777" w:rsidR="003111CD" w:rsidRPr="00E45644" w:rsidRDefault="003111CD" w:rsidP="003111CD">
      <w:pPr>
        <w:tabs>
          <w:tab w:val="left" w:pos="5415"/>
        </w:tabs>
        <w:spacing w:after="0" w:line="360" w:lineRule="auto"/>
        <w:ind w:right="51"/>
        <w:jc w:val="both"/>
        <w:rPr>
          <w:rFonts w:ascii="Palatino Linotype" w:hAnsi="Palatino Linotype" w:cs="Arial"/>
          <w:sz w:val="24"/>
        </w:rPr>
      </w:pPr>
    </w:p>
    <w:p w14:paraId="14C35B40" w14:textId="77777777" w:rsidR="00E45644" w:rsidRPr="003B439E" w:rsidRDefault="00E45644" w:rsidP="003111CD">
      <w:pPr>
        <w:pStyle w:val="Citas"/>
        <w:spacing w:before="0" w:after="0"/>
        <w:rPr>
          <w:b/>
          <w:lang w:eastAsia="es-MX"/>
        </w:rPr>
      </w:pPr>
      <w:r w:rsidRPr="001F0DB0">
        <w:rPr>
          <w:b/>
          <w:lang w:eastAsia="es-MX"/>
        </w:rPr>
        <w:t>“SOBRESEIMIENTO. BASTA EL ESTUDIO DE UNA SOLA CAUSAL DE IMPROCEDENCIA.</w:t>
      </w:r>
    </w:p>
    <w:p w14:paraId="2590627F" w14:textId="77777777" w:rsidR="00E45644" w:rsidRPr="003B439E" w:rsidRDefault="00E45644" w:rsidP="003111CD">
      <w:pPr>
        <w:pStyle w:val="Citas"/>
        <w:spacing w:before="0" w:after="0"/>
        <w:rPr>
          <w:lang w:eastAsia="es-MX"/>
        </w:rPr>
      </w:pPr>
      <w:r w:rsidRPr="003B439E">
        <w:rPr>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14:paraId="2F1F571D" w14:textId="77777777" w:rsidR="00E45644" w:rsidRPr="003B439E" w:rsidRDefault="00E45644" w:rsidP="003111CD">
      <w:pPr>
        <w:pStyle w:val="Citas"/>
        <w:spacing w:before="0" w:after="0"/>
        <w:rPr>
          <w:lang w:eastAsia="es-MX"/>
        </w:rPr>
      </w:pPr>
      <w:r w:rsidRPr="003B439E">
        <w:rPr>
          <w:lang w:eastAsia="es-MX"/>
        </w:rPr>
        <w:lastRenderedPageBreak/>
        <w:t xml:space="preserve">Amparo en revisión 7488/81. Maximino Juárez Miguel (Poblado de San Francisco </w:t>
      </w:r>
      <w:proofErr w:type="spellStart"/>
      <w:r w:rsidRPr="003B439E">
        <w:rPr>
          <w:lang w:eastAsia="es-MX"/>
        </w:rPr>
        <w:t>Jaltepetongo</w:t>
      </w:r>
      <w:proofErr w:type="spellEnd"/>
      <w:r w:rsidRPr="003B439E">
        <w:rPr>
          <w:lang w:eastAsia="es-MX"/>
        </w:rPr>
        <w:t>, Municipio del mismo nombre, Estado de Oaxaca. Acumulados). 29 de noviembre de 1982. Cinco votos. Ponente: Carlos del Río Rodríguez. Secretario: Wilfrido Castañón León.</w:t>
      </w:r>
    </w:p>
    <w:p w14:paraId="605DB71E" w14:textId="77777777" w:rsidR="00E45644" w:rsidRPr="003B439E" w:rsidRDefault="00E45644" w:rsidP="003111CD">
      <w:pPr>
        <w:pStyle w:val="Citas"/>
        <w:spacing w:before="0" w:after="0"/>
        <w:rPr>
          <w:lang w:eastAsia="es-MX"/>
        </w:rPr>
      </w:pPr>
      <w:r w:rsidRPr="003B439E">
        <w:rPr>
          <w:lang w:eastAsia="es-MX"/>
        </w:rPr>
        <w:t>Amparo en revisión 540/97. Bancomer, S.A., Institución de Banca Múltiple y Grupo Financiero. 30 de enero de 1998. Cinco votos. Ponente: Sergio Salvador Aguirre Anguiano. Secretaria: Alma Delia Aguilar Chávez Nava.</w:t>
      </w:r>
    </w:p>
    <w:p w14:paraId="0646F3F6" w14:textId="77777777" w:rsidR="00E45644" w:rsidRPr="003B439E" w:rsidRDefault="00E45644" w:rsidP="003111CD">
      <w:pPr>
        <w:pStyle w:val="Citas"/>
        <w:spacing w:before="0" w:after="0"/>
      </w:pPr>
      <w:r w:rsidRPr="003B439E">
        <w:rPr>
          <w:lang w:eastAsia="es-MX"/>
        </w:rPr>
        <w:t>Amparo en revisión 3059/97. Francisco Cañedo Zavaleta. 30 de enero de 1998. Cinco votos. Ponente: Sergio Salvador Aguirre Anguiano. Secretaria: Adela Domínguez Salazar.</w:t>
      </w:r>
      <w:r w:rsidRPr="003B439E">
        <w:br/>
        <w:t xml:space="preserve">Amparo en revisión 1634/96. Arturo </w:t>
      </w:r>
      <w:proofErr w:type="spellStart"/>
      <w:r w:rsidRPr="003B439E">
        <w:t>Veana</w:t>
      </w:r>
      <w:proofErr w:type="spellEnd"/>
      <w:r w:rsidRPr="003B439E">
        <w:t xml:space="preserve"> Espinosa. 20 de febrero de 1998. Cinco votos. Ponente: Sergio Salvador Aguirre Anguiano. Secretaria: Adela Domínguez Salazar.</w:t>
      </w:r>
    </w:p>
    <w:p w14:paraId="6B09D3B8" w14:textId="77777777" w:rsidR="00E45644" w:rsidRPr="003B439E" w:rsidRDefault="00E45644" w:rsidP="003111CD">
      <w:pPr>
        <w:pStyle w:val="Citas"/>
        <w:spacing w:before="0" w:after="0"/>
        <w:rPr>
          <w:lang w:eastAsia="es-MX"/>
        </w:rPr>
      </w:pPr>
      <w:r w:rsidRPr="003B439E">
        <w:rPr>
          <w:lang w:eastAsia="es-MX"/>
        </w:rPr>
        <w:t xml:space="preserve">Amparo en revisión 2204/97. De </w:t>
      </w:r>
      <w:proofErr w:type="spellStart"/>
      <w:r w:rsidRPr="003B439E">
        <w:rPr>
          <w:lang w:eastAsia="es-MX"/>
        </w:rPr>
        <w:t>Raffaelo</w:t>
      </w:r>
      <w:proofErr w:type="spellEnd"/>
      <w:r w:rsidRPr="003B439E">
        <w:rPr>
          <w:lang w:eastAsia="es-MX"/>
        </w:rPr>
        <w:t>, S.A. de C.V. 27 de mayo de 1998. Cinco votos. Ponente: Juan Díaz Romero. Secretario: Aristeo Martínez Cruz.</w:t>
      </w:r>
    </w:p>
    <w:p w14:paraId="730C3240" w14:textId="77777777" w:rsidR="00E45644" w:rsidRDefault="00E45644" w:rsidP="003111CD">
      <w:pPr>
        <w:pStyle w:val="Citas"/>
        <w:spacing w:before="0" w:after="0"/>
        <w:rPr>
          <w:b/>
          <w:lang w:eastAsia="es-MX"/>
        </w:rPr>
      </w:pPr>
      <w:r w:rsidRPr="003B439E">
        <w:rPr>
          <w:lang w:eastAsia="es-MX"/>
        </w:rPr>
        <w:t>Tesis de jurisprudencia 54/98. Aprobada por la Segunda Sala de este Alto Tribunal, en sesión privada del veintiséis de junio de mil novecientos noventa y ocho.</w:t>
      </w:r>
      <w:r>
        <w:rPr>
          <w:lang w:eastAsia="es-MX"/>
        </w:rPr>
        <w:t xml:space="preserve">” </w:t>
      </w:r>
      <w:r>
        <w:rPr>
          <w:b/>
          <w:lang w:eastAsia="es-MX"/>
        </w:rPr>
        <w:t xml:space="preserve">[Sic] </w:t>
      </w:r>
    </w:p>
    <w:p w14:paraId="35F0BD8F" w14:textId="77777777" w:rsidR="00E45644" w:rsidRDefault="00E45644" w:rsidP="003111CD">
      <w:pPr>
        <w:spacing w:after="0" w:line="360" w:lineRule="auto"/>
        <w:jc w:val="both"/>
        <w:rPr>
          <w:rFonts w:ascii="Palatino Linotype" w:hAnsi="Palatino Linotype"/>
        </w:rPr>
      </w:pPr>
    </w:p>
    <w:p w14:paraId="21F07283" w14:textId="66B39D17" w:rsidR="00E45644" w:rsidRPr="00E45644" w:rsidRDefault="00E45644" w:rsidP="003111CD">
      <w:pPr>
        <w:spacing w:after="0" w:line="360" w:lineRule="auto"/>
        <w:jc w:val="both"/>
        <w:rPr>
          <w:rFonts w:ascii="Palatino Linotype" w:hAnsi="Palatino Linotype"/>
          <w:sz w:val="24"/>
          <w:szCs w:val="24"/>
        </w:rPr>
      </w:pPr>
      <w:r w:rsidRPr="00E45644">
        <w:rPr>
          <w:rFonts w:ascii="Palatino Linotype" w:hAnsi="Palatino Linotype"/>
          <w:sz w:val="24"/>
          <w:szCs w:val="24"/>
        </w:rPr>
        <w:t xml:space="preserve">Luego entonces debemos destacar que, en la solicitud de información planteada por el particular, se observa en </w:t>
      </w:r>
      <w:r w:rsidRPr="00E45644">
        <w:rPr>
          <w:rFonts w:ascii="Palatino Linotype" w:hAnsi="Palatino Linotype"/>
          <w:color w:val="000000"/>
          <w:sz w:val="24"/>
          <w:szCs w:val="24"/>
        </w:rPr>
        <w:t xml:space="preserve">primer lugar que la información fue formulada a través de planteamientos en donde </w:t>
      </w:r>
      <w:r w:rsidRPr="00E45644">
        <w:rPr>
          <w:rFonts w:ascii="Palatino Linotype" w:hAnsi="Palatino Linotype" w:cs="Arial"/>
          <w:bCs/>
          <w:iCs/>
          <w:color w:val="222222"/>
          <w:sz w:val="24"/>
          <w:szCs w:val="24"/>
        </w:rPr>
        <w:t>no se identifica un documento en específico</w:t>
      </w:r>
      <w:r w:rsidRPr="00E45644">
        <w:rPr>
          <w:rFonts w:ascii="Palatino Linotype" w:hAnsi="Palatino Linotype"/>
          <w:color w:val="000000"/>
          <w:sz w:val="24"/>
          <w:szCs w:val="24"/>
        </w:rPr>
        <w:t xml:space="preserve">, en segundo lugar, se aprecia que en la misma se vierten manifestaciones subjetivas que no pueden ser atendidas mediante el Derecho de Acceso a la Información, </w:t>
      </w:r>
      <w:r w:rsidRPr="00E45644">
        <w:rPr>
          <w:rFonts w:ascii="Palatino Linotype" w:hAnsi="Palatino Linotype" w:cs="Arial"/>
          <w:sz w:val="24"/>
          <w:szCs w:val="24"/>
        </w:rPr>
        <w:t xml:space="preserve">es decir, </w:t>
      </w:r>
      <w:r w:rsidRPr="00E45644">
        <w:rPr>
          <w:rFonts w:ascii="Palatino Linotype" w:hAnsi="Palatino Linotype"/>
          <w:sz w:val="24"/>
          <w:szCs w:val="24"/>
        </w:rPr>
        <w:t xml:space="preserve">no existe materia de derecho de acceso a la información sobre la que el </w:t>
      </w:r>
      <w:r w:rsidRPr="00E45644">
        <w:rPr>
          <w:rFonts w:ascii="Palatino Linotype" w:hAnsi="Palatino Linotype"/>
          <w:b/>
          <w:bCs/>
          <w:sz w:val="24"/>
          <w:szCs w:val="24"/>
        </w:rPr>
        <w:t>Sujeto Obligado</w:t>
      </w:r>
      <w:r w:rsidRPr="00E45644">
        <w:rPr>
          <w:rFonts w:ascii="Palatino Linotype" w:hAnsi="Palatino Linotype"/>
          <w:sz w:val="24"/>
          <w:szCs w:val="24"/>
        </w:rPr>
        <w:t xml:space="preserve"> o sujeto </w:t>
      </w:r>
      <w:r w:rsidRPr="00E45644">
        <w:rPr>
          <w:rFonts w:ascii="Palatino Linotype" w:hAnsi="Palatino Linotype"/>
          <w:sz w:val="24"/>
          <w:szCs w:val="24"/>
        </w:rPr>
        <w:lastRenderedPageBreak/>
        <w:t xml:space="preserve">obligado diverso pueda entregar información alguna, ello es así porque </w:t>
      </w:r>
      <w:r w:rsidRPr="00E45644">
        <w:rPr>
          <w:rFonts w:ascii="Palatino Linotype" w:hAnsi="Palatino Linotype"/>
          <w:b/>
          <w:bCs/>
          <w:sz w:val="24"/>
          <w:szCs w:val="24"/>
        </w:rPr>
        <w:t xml:space="preserve">El Recurrente </w:t>
      </w:r>
      <w:r w:rsidRPr="00E45644">
        <w:rPr>
          <w:rFonts w:ascii="Palatino Linotype" w:hAnsi="Palatino Linotype"/>
          <w:sz w:val="24"/>
          <w:szCs w:val="24"/>
        </w:rPr>
        <w:t xml:space="preserve">requiere la contestación de un cuestionamiento de manifestaciones subjetivas. </w:t>
      </w:r>
    </w:p>
    <w:p w14:paraId="2A376008" w14:textId="77777777" w:rsidR="00A14499" w:rsidRDefault="00A14499" w:rsidP="003111CD">
      <w:pPr>
        <w:pStyle w:val="Prrafodelista"/>
        <w:autoSpaceDE w:val="0"/>
        <w:autoSpaceDN w:val="0"/>
        <w:adjustRightInd w:val="0"/>
        <w:spacing w:line="360" w:lineRule="auto"/>
        <w:ind w:left="0"/>
        <w:contextualSpacing/>
        <w:jc w:val="both"/>
        <w:rPr>
          <w:rFonts w:ascii="Palatino Linotype" w:hAnsi="Palatino Linotype"/>
        </w:rPr>
      </w:pPr>
    </w:p>
    <w:p w14:paraId="2065C25D" w14:textId="77777777" w:rsidR="00E45644" w:rsidRPr="00E45644" w:rsidRDefault="00E45644" w:rsidP="003111CD">
      <w:pPr>
        <w:pStyle w:val="Prrafodelista"/>
        <w:autoSpaceDE w:val="0"/>
        <w:autoSpaceDN w:val="0"/>
        <w:adjustRightInd w:val="0"/>
        <w:spacing w:line="360" w:lineRule="auto"/>
        <w:ind w:left="0"/>
        <w:contextualSpacing/>
        <w:jc w:val="both"/>
        <w:rPr>
          <w:rFonts w:ascii="Palatino Linotype" w:hAnsi="Palatino Linotype" w:cs="Arial"/>
          <w:lang w:val="es-MX"/>
        </w:rPr>
      </w:pPr>
      <w:r w:rsidRPr="00E45644">
        <w:rPr>
          <w:rFonts w:ascii="Palatino Linotype" w:hAnsi="Palatino Linotype"/>
        </w:rPr>
        <w:t xml:space="preserve">Bajo éste tenor cabe aclarar que cuando los planteamientos que formulen los particulares se pueda colmar con la entrega de </w:t>
      </w:r>
      <w:r w:rsidRPr="00E45644">
        <w:rPr>
          <w:rFonts w:ascii="Palatino Linotype" w:hAnsi="Palatino Linotype" w:cs="Arial"/>
        </w:rPr>
        <w:t xml:space="preserve">documentos que los </w:t>
      </w:r>
      <w:r w:rsidRPr="00E45644">
        <w:rPr>
          <w:rFonts w:ascii="Palatino Linotype" w:hAnsi="Palatino Linotype" w:cs="Arial"/>
          <w:b/>
          <w:bCs/>
        </w:rPr>
        <w:t>Sujetos Obligados</w:t>
      </w:r>
      <w:r w:rsidRPr="00E45644">
        <w:rPr>
          <w:rFonts w:ascii="Palatino Linotype" w:hAnsi="Palatino Linotype" w:cs="Arial"/>
        </w:rPr>
        <w:t xml:space="preserve"> generen, posean o administren en ejercicio de sus atribuciones, se está en presencia del derecho fundamental de acceso a la información, previsto en el artículo 6, Apartado </w:t>
      </w:r>
      <w:r w:rsidRPr="00E45644">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7ADE3B27" w14:textId="77777777" w:rsidR="00E45644" w:rsidRPr="00E45644" w:rsidRDefault="00E45644" w:rsidP="003111CD">
      <w:pPr>
        <w:pStyle w:val="Prrafodelista"/>
        <w:autoSpaceDE w:val="0"/>
        <w:autoSpaceDN w:val="0"/>
        <w:adjustRightInd w:val="0"/>
        <w:spacing w:line="360" w:lineRule="auto"/>
        <w:ind w:left="0"/>
        <w:jc w:val="both"/>
        <w:rPr>
          <w:rFonts w:ascii="Palatino Linotype" w:hAnsi="Palatino Linotype" w:cs="Arial"/>
        </w:rPr>
      </w:pPr>
    </w:p>
    <w:p w14:paraId="3A905169" w14:textId="77777777" w:rsidR="00E45644" w:rsidRPr="00B21190" w:rsidRDefault="00E45644" w:rsidP="003111CD">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B21190">
        <w:rPr>
          <w:rFonts w:ascii="Palatino Linotype" w:hAnsi="Palatino Linotype" w:cs="Arial"/>
          <w:color w:val="000000" w:themeColor="text1"/>
        </w:rPr>
        <w:t>Sirve de sustento a lo anterior, el</w:t>
      </w:r>
      <w:r w:rsidRPr="00B21190">
        <w:rPr>
          <w:rStyle w:val="apple-converted-space"/>
          <w:rFonts w:ascii="Palatino Linotype" w:hAnsi="Palatino Linotype" w:cs="Arial"/>
          <w:color w:val="000000" w:themeColor="text1"/>
        </w:rPr>
        <w:t xml:space="preserve"> </w:t>
      </w:r>
      <w:r w:rsidRPr="00B21190">
        <w:rPr>
          <w:rStyle w:val="il"/>
          <w:rFonts w:ascii="Palatino Linotype" w:eastAsiaTheme="majorEastAsia" w:hAnsi="Palatino Linotype" w:cs="Arial"/>
          <w:color w:val="000000" w:themeColor="text1"/>
        </w:rPr>
        <w:t>Criterio</w:t>
      </w:r>
      <w:r w:rsidRPr="00B21190">
        <w:rPr>
          <w:rStyle w:val="apple-converted-space"/>
          <w:rFonts w:ascii="Palatino Linotype" w:hAnsi="Palatino Linotype" w:cs="Arial"/>
          <w:color w:val="000000" w:themeColor="text1"/>
        </w:rPr>
        <w:t xml:space="preserve"> </w:t>
      </w:r>
      <w:r w:rsidRPr="008A7D00">
        <w:rPr>
          <w:rStyle w:val="il"/>
          <w:rFonts w:ascii="Palatino Linotype" w:eastAsiaTheme="majorEastAsia" w:hAnsi="Palatino Linotype" w:cs="Arial"/>
          <w:b/>
          <w:bCs/>
          <w:color w:val="000000" w:themeColor="text1"/>
        </w:rPr>
        <w:t>028</w:t>
      </w:r>
      <w:r w:rsidRPr="008A7D00">
        <w:rPr>
          <w:rFonts w:ascii="Palatino Linotype" w:hAnsi="Palatino Linotype" w:cs="Arial"/>
          <w:b/>
          <w:bCs/>
          <w:color w:val="000000" w:themeColor="text1"/>
        </w:rPr>
        <w:t>-</w:t>
      </w:r>
      <w:r w:rsidRPr="008A7D00">
        <w:rPr>
          <w:rStyle w:val="il"/>
          <w:rFonts w:ascii="Palatino Linotype" w:eastAsiaTheme="majorEastAsia" w:hAnsi="Palatino Linotype" w:cs="Arial"/>
          <w:b/>
          <w:bCs/>
          <w:color w:val="000000" w:themeColor="text1"/>
        </w:rPr>
        <w:t>10</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emitido por el Pleno del entonces llamado</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B21190">
        <w:rPr>
          <w:rStyle w:val="apple-converted-space"/>
          <w:rFonts w:ascii="Palatino Linotype" w:hAnsi="Palatino Linotype" w:cs="Arial"/>
          <w:i/>
          <w:iCs/>
          <w:color w:val="000000" w:themeColor="text1"/>
        </w:rPr>
        <w:t xml:space="preserve"> </w:t>
      </w:r>
      <w:r w:rsidRPr="00B21190">
        <w:rPr>
          <w:rFonts w:ascii="Palatino Linotype" w:hAnsi="Palatino Linotype" w:cs="Arial"/>
          <w:color w:val="000000" w:themeColor="text1"/>
        </w:rPr>
        <w:t xml:space="preserve">aunque el particular lleve a cabo una solicitud de información sin identificar de forma precisa la documentación, </w:t>
      </w:r>
      <w:r>
        <w:rPr>
          <w:rFonts w:ascii="Palatino Linotype" w:hAnsi="Palatino Linotype" w:cs="Arial"/>
          <w:b/>
          <w:color w:val="000000" w:themeColor="text1"/>
        </w:rPr>
        <w:t>e</w:t>
      </w:r>
      <w:r w:rsidRPr="00B21190">
        <w:rPr>
          <w:rFonts w:ascii="Palatino Linotype" w:hAnsi="Palatino Linotype" w:cs="Arial"/>
          <w:b/>
          <w:color w:val="000000" w:themeColor="text1"/>
        </w:rPr>
        <w:t xml:space="preserve">l Sujeto </w:t>
      </w:r>
      <w:r>
        <w:rPr>
          <w:rFonts w:ascii="Palatino Linotype" w:hAnsi="Palatino Linotype" w:cs="Arial"/>
          <w:b/>
          <w:color w:val="000000" w:themeColor="text1"/>
        </w:rPr>
        <w:t>o</w:t>
      </w:r>
      <w:r w:rsidRPr="00B21190">
        <w:rPr>
          <w:rFonts w:ascii="Palatino Linotype" w:hAnsi="Palatino Linotype" w:cs="Arial"/>
          <w:b/>
          <w:color w:val="000000" w:themeColor="text1"/>
        </w:rPr>
        <w:t>bligado</w:t>
      </w:r>
      <w:r w:rsidRPr="00B21190">
        <w:rPr>
          <w:rStyle w:val="apple-converted-space"/>
          <w:rFonts w:ascii="Palatino Linotype" w:hAnsi="Palatino Linotype" w:cs="Arial"/>
          <w:b/>
          <w:color w:val="000000" w:themeColor="text1"/>
        </w:rPr>
        <w:t xml:space="preserve"> </w:t>
      </w:r>
      <w:r w:rsidRPr="00B21190">
        <w:rPr>
          <w:rFonts w:ascii="Palatino Linotype" w:hAnsi="Palatino Linotype" w:cs="Arial"/>
          <w:color w:val="000000" w:themeColor="text1"/>
        </w:rPr>
        <w:t>deberá hacer entrega del mismo al solicitante</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mismo que a continuación se cita:</w:t>
      </w:r>
    </w:p>
    <w:p w14:paraId="4D9007EE" w14:textId="77777777" w:rsidR="00E45644" w:rsidRPr="008A7D00" w:rsidRDefault="00E45644" w:rsidP="003111CD">
      <w:pPr>
        <w:pStyle w:val="Citas"/>
        <w:spacing w:before="0" w:after="0"/>
        <w:rPr>
          <w:rStyle w:val="apple-converted-space"/>
          <w:b/>
          <w:bCs/>
          <w:i w:val="0"/>
          <w:iCs/>
          <w:color w:val="000000" w:themeColor="text1"/>
          <w:lang w:val="es-ES_tradnl"/>
        </w:rPr>
      </w:pPr>
      <w:r w:rsidRPr="008A7D00">
        <w:rPr>
          <w:b/>
          <w:bCs/>
          <w:lang w:val="es-ES_tradnl"/>
        </w:rPr>
        <w:lastRenderedPageBreak/>
        <w:t>“CUANDO EN UNA SOLICITUD DE INFORMACIÓN NO SE IDENTIFIQUE UN DOCUMENTO EN ESPECÍFICO, SI ÉSTA TIENE UNA EXPRESIÓN DOCUMENTAL, EL SUJETO OBLIGADO DEBERÁ ENTREGAR AL PARTICULAR EL DOCUMENTO EN ESPECÍFICO.</w:t>
      </w:r>
      <w:r w:rsidRPr="008A7D00">
        <w:rPr>
          <w:rStyle w:val="apple-converted-space"/>
          <w:b/>
          <w:bCs/>
          <w:i w:val="0"/>
          <w:iCs/>
          <w:color w:val="000000" w:themeColor="text1"/>
          <w:lang w:val="es-ES_tradnl"/>
        </w:rPr>
        <w:t xml:space="preserve"> </w:t>
      </w:r>
    </w:p>
    <w:p w14:paraId="298D06AF" w14:textId="77777777" w:rsidR="00E45644" w:rsidRDefault="00E45644" w:rsidP="003111CD">
      <w:pPr>
        <w:pStyle w:val="Citas"/>
        <w:spacing w:before="0" w:after="0"/>
        <w:rPr>
          <w:lang w:val="es-ES_tradnl"/>
        </w:rPr>
      </w:pPr>
      <w:r w:rsidRPr="00B21190">
        <w:rPr>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2463D85" w14:textId="77777777" w:rsidR="00E45644" w:rsidRPr="009A4152" w:rsidRDefault="00E45644" w:rsidP="003111CD">
      <w:pPr>
        <w:pStyle w:val="Citas"/>
        <w:spacing w:before="0" w:after="0"/>
        <w:rPr>
          <w:b/>
          <w:bCs/>
        </w:rPr>
      </w:pPr>
      <w:r w:rsidRPr="009A4152">
        <w:rPr>
          <w:b/>
          <w:bCs/>
        </w:rPr>
        <w:t>Precedentes:</w:t>
      </w:r>
    </w:p>
    <w:p w14:paraId="7BB2D7E7" w14:textId="77777777" w:rsidR="00E45644" w:rsidRPr="001F5B23" w:rsidRDefault="00E45644" w:rsidP="003111CD">
      <w:pPr>
        <w:pStyle w:val="Citas"/>
        <w:numPr>
          <w:ilvl w:val="0"/>
          <w:numId w:val="21"/>
        </w:numPr>
        <w:spacing w:before="0" w:after="0"/>
      </w:pPr>
      <w:r w:rsidRPr="001F5B23">
        <w:t>Acceso a la información pública. 2790/09. Sesión del 19 de agosto de 2009. Votación por unanimidad. Sin votos disidentes o particulares. Notimex, S.A. de C.V. Comisionado Ponente Juan Pablo Guerrero Amparán.</w:t>
      </w:r>
    </w:p>
    <w:p w14:paraId="1711A8CA" w14:textId="77777777" w:rsidR="00E45644" w:rsidRPr="001F5B23" w:rsidRDefault="00E45644" w:rsidP="003111CD">
      <w:pPr>
        <w:pStyle w:val="Citas"/>
        <w:numPr>
          <w:ilvl w:val="0"/>
          <w:numId w:val="21"/>
        </w:numPr>
        <w:spacing w:before="0" w:after="0"/>
      </w:pPr>
      <w:r w:rsidRPr="001F5B23">
        <w:t xml:space="preserve">Acceso a la información pública. 2677/09. Sesión del 26 de agosto de 2009. Votación por unanimidad. Sin votos disidentes o particulares. Comisión </w:t>
      </w:r>
      <w:r w:rsidRPr="001F5B23">
        <w:lastRenderedPageBreak/>
        <w:t>Federal para la Protección Contra Riesgos Sanitarios. Comisionado Ponente Alonso Gómez-Robledo V.</w:t>
      </w:r>
    </w:p>
    <w:p w14:paraId="1B850834" w14:textId="77777777" w:rsidR="00E45644" w:rsidRPr="001F5B23" w:rsidRDefault="00E45644" w:rsidP="003111CD">
      <w:pPr>
        <w:pStyle w:val="Citas"/>
        <w:numPr>
          <w:ilvl w:val="0"/>
          <w:numId w:val="21"/>
        </w:numPr>
        <w:spacing w:before="0" w:after="0"/>
      </w:pPr>
      <w:r w:rsidRPr="001F5B23">
        <w:t xml:space="preserve">Acceso a la información pública. 4262/09. Sesión del 11 de noviembre de 2009. Votación por unanimidad. Sin votos disidentes o particulares. Secretaría de la Defensa Nacional. Comisionada Ponente Jacqueline </w:t>
      </w:r>
      <w:proofErr w:type="spellStart"/>
      <w:r w:rsidRPr="001F5B23">
        <w:t>Peschard</w:t>
      </w:r>
      <w:proofErr w:type="spellEnd"/>
      <w:r w:rsidRPr="001F5B23">
        <w:t xml:space="preserve"> Mariscal.</w:t>
      </w:r>
    </w:p>
    <w:p w14:paraId="59987CEB" w14:textId="77777777" w:rsidR="00E45644" w:rsidRPr="001F5B23" w:rsidRDefault="00E45644" w:rsidP="003111CD">
      <w:pPr>
        <w:pStyle w:val="Citas"/>
        <w:numPr>
          <w:ilvl w:val="0"/>
          <w:numId w:val="21"/>
        </w:numPr>
        <w:spacing w:before="0" w:after="0"/>
      </w:pPr>
      <w:r w:rsidRPr="001F5B23">
        <w:t>Acceso a la información pública. 0315/10. Sesión del 07 de abril de 2010. Votación por unanimidad. Sin votos disidentes o particulares. Secretaría de Agricultura, Ganadería, Desarrollo Rural, Pesca y Alimentación. Comisionado Ponente Ángel Trinidad Zaldívar.</w:t>
      </w:r>
    </w:p>
    <w:p w14:paraId="49FD2EE5" w14:textId="77777777" w:rsidR="00E45644" w:rsidRPr="008A7D00" w:rsidRDefault="00E45644" w:rsidP="003111CD">
      <w:pPr>
        <w:pStyle w:val="Citas"/>
        <w:numPr>
          <w:ilvl w:val="0"/>
          <w:numId w:val="21"/>
        </w:numPr>
        <w:spacing w:before="0" w:after="0"/>
        <w:rPr>
          <w:bCs/>
        </w:rPr>
      </w:pPr>
      <w:r w:rsidRPr="001F5B23">
        <w:t xml:space="preserve">Acceso a la información pública. 2731/10. Sesión del 02 de junio de 2010. Votación por unanimidad. Sin votos disidentes o particulares. Administración Portuaria Integral de Veracruz, S.A. de C.V. Comisionada Ponente Sigrid </w:t>
      </w:r>
      <w:proofErr w:type="spellStart"/>
      <w:r w:rsidRPr="001F5B23">
        <w:t>Arzt</w:t>
      </w:r>
      <w:proofErr w:type="spellEnd"/>
      <w:r>
        <w:t xml:space="preserve"> Colunga” </w:t>
      </w:r>
      <w:r>
        <w:rPr>
          <w:b/>
          <w:bCs/>
        </w:rPr>
        <w:t>(Sic)</w:t>
      </w:r>
    </w:p>
    <w:p w14:paraId="10FCD3C5" w14:textId="77777777" w:rsidR="00E45644" w:rsidRDefault="00E45644" w:rsidP="003111CD">
      <w:pPr>
        <w:autoSpaceDE w:val="0"/>
        <w:autoSpaceDN w:val="0"/>
        <w:adjustRightInd w:val="0"/>
        <w:spacing w:after="0" w:line="360" w:lineRule="auto"/>
        <w:jc w:val="both"/>
        <w:rPr>
          <w:rFonts w:ascii="Palatino Linotype" w:hAnsi="Palatino Linotype" w:cs="Arial"/>
        </w:rPr>
      </w:pPr>
    </w:p>
    <w:p w14:paraId="4E54F878" w14:textId="77777777" w:rsid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4FCF81CE" w14:textId="77777777" w:rsidR="003111CD" w:rsidRPr="00E45644" w:rsidRDefault="003111CD" w:rsidP="003111CD">
      <w:pPr>
        <w:autoSpaceDE w:val="0"/>
        <w:autoSpaceDN w:val="0"/>
        <w:adjustRightInd w:val="0"/>
        <w:spacing w:after="0" w:line="360" w:lineRule="auto"/>
        <w:jc w:val="both"/>
        <w:rPr>
          <w:rFonts w:ascii="Palatino Linotype" w:hAnsi="Palatino Linotype" w:cs="Arial"/>
          <w:sz w:val="24"/>
        </w:rPr>
      </w:pPr>
    </w:p>
    <w:p w14:paraId="4CC06CDE"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 xml:space="preserve">De lo anterior, este Resolutor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 por lo que bajo tal guisa </w:t>
      </w:r>
      <w:r w:rsidRPr="00E45644">
        <w:rPr>
          <w:rFonts w:ascii="Palatino Linotype" w:hAnsi="Palatino Linotype" w:cs="Arial"/>
          <w:b/>
          <w:sz w:val="24"/>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E45644">
        <w:rPr>
          <w:rFonts w:ascii="Palatino Linotype" w:hAnsi="Palatino Linotype" w:cs="Arial"/>
          <w:sz w:val="24"/>
        </w:rPr>
        <w:t xml:space="preserve">, resultando inconcuso que su solicitud de información es improcedente porque el requerimiento consiste en un pronunciamiento sobre cuestionamientos derivados de juicios subjetivos por parte del </w:t>
      </w:r>
      <w:r w:rsidRPr="00E45644">
        <w:rPr>
          <w:rFonts w:ascii="Palatino Linotype" w:hAnsi="Palatino Linotype" w:cs="Arial"/>
          <w:b/>
          <w:sz w:val="24"/>
        </w:rPr>
        <w:t>Recurrente</w:t>
      </w:r>
      <w:r w:rsidRPr="00E45644">
        <w:rPr>
          <w:rFonts w:ascii="Palatino Linotype" w:hAnsi="Palatino Linotype" w:cs="Arial"/>
          <w:sz w:val="24"/>
        </w:rPr>
        <w:t xml:space="preserve">, sin que se requiriera específicamente un documento al cual deseara acceder que permitiera al </w:t>
      </w:r>
      <w:r w:rsidRPr="00E45644">
        <w:rPr>
          <w:rFonts w:ascii="Palatino Linotype" w:hAnsi="Palatino Linotype" w:cs="Arial"/>
          <w:b/>
          <w:sz w:val="24"/>
        </w:rPr>
        <w:t>Sujeto Obligado</w:t>
      </w:r>
      <w:r w:rsidRPr="00E45644">
        <w:rPr>
          <w:rFonts w:ascii="Palatino Linotype" w:hAnsi="Palatino Linotype" w:cs="Arial"/>
          <w:sz w:val="24"/>
        </w:rPr>
        <w:t xml:space="preserve"> localizarlo y en su caso ponerlo a su disposición.</w:t>
      </w:r>
    </w:p>
    <w:p w14:paraId="0D1D55EC" w14:textId="77777777" w:rsidR="00E45644" w:rsidRPr="00E45644" w:rsidRDefault="00E45644" w:rsidP="003111CD">
      <w:pPr>
        <w:pStyle w:val="Sinespaciado"/>
        <w:rPr>
          <w:sz w:val="28"/>
          <w:lang w:val="es-ES"/>
        </w:rPr>
      </w:pPr>
    </w:p>
    <w:p w14:paraId="3975E6F9" w14:textId="77777777" w:rsid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En sustento a lo anterior, cobra aplicación lo establecido por el artículo 6 apartado A fracciones I, II y III de la Constitución Política de los Estados Unidos Mexicanos que a la letra señalan:</w:t>
      </w:r>
    </w:p>
    <w:p w14:paraId="5075BC8E" w14:textId="77777777" w:rsidR="003111CD" w:rsidRPr="00E45644" w:rsidRDefault="003111CD" w:rsidP="003111CD">
      <w:pPr>
        <w:autoSpaceDE w:val="0"/>
        <w:autoSpaceDN w:val="0"/>
        <w:adjustRightInd w:val="0"/>
        <w:spacing w:after="0" w:line="360" w:lineRule="auto"/>
        <w:jc w:val="both"/>
        <w:rPr>
          <w:rFonts w:ascii="Palatino Linotype" w:hAnsi="Palatino Linotype" w:cs="Arial"/>
          <w:sz w:val="24"/>
        </w:rPr>
      </w:pPr>
    </w:p>
    <w:p w14:paraId="7B2AA6AF" w14:textId="77777777" w:rsidR="00E45644" w:rsidRPr="000835E5" w:rsidRDefault="00E45644" w:rsidP="003111CD">
      <w:pPr>
        <w:pStyle w:val="Citas"/>
        <w:spacing w:before="0" w:after="0"/>
      </w:pPr>
      <w:r w:rsidRPr="000835E5">
        <w:t>“Artículo 6o.</w:t>
      </w:r>
    </w:p>
    <w:p w14:paraId="2E498BAD" w14:textId="77777777" w:rsidR="00E45644" w:rsidRPr="000835E5" w:rsidRDefault="00E45644" w:rsidP="003111CD">
      <w:pPr>
        <w:pStyle w:val="Citas"/>
        <w:spacing w:before="0" w:after="0"/>
      </w:pPr>
      <w:r w:rsidRPr="000835E5">
        <w:t>[...]</w:t>
      </w:r>
    </w:p>
    <w:p w14:paraId="56802850" w14:textId="77777777" w:rsidR="00E45644" w:rsidRPr="000835E5" w:rsidRDefault="00E45644" w:rsidP="003111CD">
      <w:pPr>
        <w:pStyle w:val="Citas"/>
        <w:spacing w:before="0" w:after="0"/>
        <w:rPr>
          <w:color w:val="000000"/>
        </w:rPr>
      </w:pPr>
      <w:r w:rsidRPr="000835E5">
        <w:rPr>
          <w:bCs/>
          <w:color w:val="000000"/>
          <w:lang w:val="es-ES_tradnl"/>
        </w:rPr>
        <w:lastRenderedPageBreak/>
        <w:t xml:space="preserve">A. </w:t>
      </w:r>
      <w:r w:rsidRPr="000835E5">
        <w:t xml:space="preserve">Para el ejercicio del derecho de acceso a la información, la Federación y </w:t>
      </w:r>
      <w:r w:rsidRPr="000835E5">
        <w:rPr>
          <w:u w:val="single"/>
        </w:rPr>
        <w:t>las entidades federativas</w:t>
      </w:r>
      <w:r w:rsidRPr="000835E5">
        <w:t>, en el ámbito de sus respectivas competencias, se regirán por los siguientes principios y bases:</w:t>
      </w:r>
    </w:p>
    <w:p w14:paraId="0D97754F" w14:textId="77777777" w:rsidR="00E45644" w:rsidRPr="000835E5" w:rsidRDefault="00E45644" w:rsidP="003111CD">
      <w:pPr>
        <w:pStyle w:val="Citas"/>
        <w:spacing w:before="0" w:after="0"/>
        <w:rPr>
          <w:rFonts w:cs="Courier New"/>
          <w:color w:val="000000"/>
        </w:rPr>
      </w:pPr>
      <w:r w:rsidRPr="000835E5">
        <w:rPr>
          <w:b/>
          <w:bCs/>
          <w:color w:val="000000"/>
          <w:u w:val="single"/>
        </w:rPr>
        <w:t> I. Toda la información en posesión de cualquier autoridad, entidad, órgano y organismo de los Poderes Ejecutivo, Legislativo y Judicial, órganos autónomos</w:t>
      </w:r>
      <w:r w:rsidRPr="000835E5">
        <w:rPr>
          <w:color w:val="000000"/>
        </w:rPr>
        <w:t>,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67C0EED" w14:textId="77777777" w:rsidR="00E45644" w:rsidRPr="000835E5" w:rsidRDefault="00E45644" w:rsidP="003111CD">
      <w:pPr>
        <w:pStyle w:val="Citas"/>
        <w:spacing w:before="0" w:after="0"/>
        <w:rPr>
          <w:color w:val="000000"/>
        </w:rPr>
      </w:pPr>
      <w:r w:rsidRPr="000835E5">
        <w:rPr>
          <w:color w:val="000000"/>
        </w:rPr>
        <w:t> </w:t>
      </w:r>
      <w:r w:rsidRPr="000835E5">
        <w:rPr>
          <w:bCs/>
          <w:color w:val="000000"/>
        </w:rPr>
        <w:t xml:space="preserve">II. </w:t>
      </w:r>
      <w:r w:rsidRPr="000835E5">
        <w:rPr>
          <w:color w:val="000000"/>
        </w:rPr>
        <w:t>La información que se refiere a la vida privada y los datos personales será protegida en los términos y con las excepciones que fijen las leyes.</w:t>
      </w:r>
    </w:p>
    <w:p w14:paraId="6055488D" w14:textId="77777777" w:rsidR="00E45644" w:rsidRPr="000835E5" w:rsidRDefault="00E45644" w:rsidP="003111CD">
      <w:pPr>
        <w:pStyle w:val="Citas"/>
        <w:spacing w:before="0" w:after="0"/>
        <w:rPr>
          <w:b/>
          <w:bCs/>
          <w:sz w:val="24"/>
          <w:szCs w:val="24"/>
        </w:rPr>
      </w:pPr>
      <w:r w:rsidRPr="000835E5">
        <w:rPr>
          <w:b/>
          <w:bCs/>
          <w:color w:val="000000"/>
        </w:rPr>
        <w:t xml:space="preserve"> III. </w:t>
      </w:r>
      <w:r w:rsidRPr="000835E5">
        <w:rPr>
          <w:b/>
          <w:bCs/>
          <w:color w:val="000000"/>
          <w:u w:val="single"/>
        </w:rPr>
        <w:t>Toda persona, sin necesidad de acreditar interés alguno o justificar su utilización, tendrá acceso gratuito a la información pública,</w:t>
      </w:r>
      <w:r w:rsidRPr="000835E5">
        <w:rPr>
          <w:b/>
          <w:bCs/>
          <w:color w:val="000000"/>
        </w:rPr>
        <w:t xml:space="preserve"> </w:t>
      </w:r>
      <w:r w:rsidRPr="000835E5">
        <w:rPr>
          <w:color w:val="000000"/>
        </w:rPr>
        <w:t xml:space="preserve">a sus datos personales o a la rectificación de éstos.” </w:t>
      </w:r>
      <w:r w:rsidRPr="000835E5">
        <w:rPr>
          <w:b/>
          <w:bCs/>
          <w:color w:val="000000"/>
        </w:rPr>
        <w:t>(Sic)</w:t>
      </w:r>
    </w:p>
    <w:p w14:paraId="42CD3ABD" w14:textId="77777777" w:rsidR="00E45644" w:rsidRPr="00B21190" w:rsidRDefault="00E45644" w:rsidP="003111CD">
      <w:pPr>
        <w:autoSpaceDE w:val="0"/>
        <w:autoSpaceDN w:val="0"/>
        <w:adjustRightInd w:val="0"/>
        <w:spacing w:after="0" w:line="360" w:lineRule="auto"/>
        <w:jc w:val="both"/>
        <w:rPr>
          <w:rFonts w:ascii="Palatino Linotype" w:hAnsi="Palatino Linotype" w:cs="Arial"/>
        </w:rPr>
      </w:pPr>
    </w:p>
    <w:p w14:paraId="5653459E"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 xml:space="preserve">Dispositivo constitucional que regula que toda información en posesión de cualquier autoridad es pública y sólo podrá ser reservada por interés público y seguridad, es decir, entendiéndose como aquella que posea al momento de la solicitud, sin que se </w:t>
      </w:r>
      <w:r w:rsidRPr="00E45644">
        <w:rPr>
          <w:rFonts w:ascii="Palatino Linotype" w:hAnsi="Palatino Linotype" w:cs="Arial"/>
          <w:sz w:val="24"/>
        </w:rPr>
        <w:lastRenderedPageBreak/>
        <w:t xml:space="preserve">conmine a su generación derivado de una solicitud de información en específico que conlleve a realizar un procesamiento o investigaciones de la información. </w:t>
      </w:r>
    </w:p>
    <w:p w14:paraId="53A299E3" w14:textId="77777777" w:rsidR="00E45644" w:rsidRPr="00E45644" w:rsidRDefault="00E45644" w:rsidP="003111CD">
      <w:pPr>
        <w:pStyle w:val="Sinespaciado"/>
        <w:rPr>
          <w:sz w:val="28"/>
        </w:rPr>
      </w:pPr>
    </w:p>
    <w:p w14:paraId="1FF66AFD" w14:textId="77777777" w:rsid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 xml:space="preserve">Lo anterior se concatena con lo establecido en los artículos 4 y 12, de la Ley de Transparencia y Acceso a la Información Pública del Estado de México y Municipios, los cuales esgrimen: </w:t>
      </w:r>
    </w:p>
    <w:p w14:paraId="733196DE" w14:textId="77777777" w:rsidR="003111CD" w:rsidRPr="00E45644" w:rsidRDefault="003111CD" w:rsidP="003111CD">
      <w:pPr>
        <w:autoSpaceDE w:val="0"/>
        <w:autoSpaceDN w:val="0"/>
        <w:adjustRightInd w:val="0"/>
        <w:spacing w:after="0" w:line="360" w:lineRule="auto"/>
        <w:jc w:val="both"/>
        <w:rPr>
          <w:rFonts w:ascii="Palatino Linotype" w:hAnsi="Palatino Linotype" w:cs="Arial"/>
          <w:sz w:val="24"/>
        </w:rPr>
      </w:pPr>
    </w:p>
    <w:p w14:paraId="4B73375D" w14:textId="77777777" w:rsidR="00E45644" w:rsidRPr="00E45644" w:rsidRDefault="00E45644" w:rsidP="003111CD">
      <w:pPr>
        <w:pStyle w:val="Citas"/>
        <w:spacing w:before="0" w:after="0"/>
        <w:rPr>
          <w:sz w:val="24"/>
        </w:rPr>
      </w:pPr>
      <w:r w:rsidRPr="00E45644">
        <w:rPr>
          <w:b/>
          <w:sz w:val="24"/>
        </w:rPr>
        <w:t>“Artículo 4.</w:t>
      </w:r>
      <w:r w:rsidRPr="00E45644">
        <w:rPr>
          <w:sz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E1FC141" w14:textId="77777777" w:rsidR="00E45644" w:rsidRPr="00E45644" w:rsidRDefault="00E45644" w:rsidP="003111CD">
      <w:pPr>
        <w:pStyle w:val="Citas"/>
        <w:spacing w:before="0" w:after="0"/>
        <w:rPr>
          <w:sz w:val="24"/>
        </w:rPr>
      </w:pPr>
      <w:r w:rsidRPr="00E45644">
        <w:rPr>
          <w:b/>
          <w:bCs/>
          <w:sz w:val="24"/>
          <w:u w:val="single"/>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E45644">
        <w:rPr>
          <w:sz w:val="24"/>
        </w:rPr>
        <w:t xml:space="preserve"> Solo podrá ser clasificada excepcionalmente como reservada temporalmente por razones de interés público, en los términos de las causas legítimas y estrictamente necesarias previstas por esta Ley.</w:t>
      </w:r>
    </w:p>
    <w:p w14:paraId="4345A59E" w14:textId="77777777" w:rsidR="00E45644" w:rsidRPr="00E45644" w:rsidRDefault="00E45644" w:rsidP="003111CD">
      <w:pPr>
        <w:pStyle w:val="Citas"/>
        <w:spacing w:before="0" w:after="0"/>
        <w:rPr>
          <w:sz w:val="24"/>
        </w:rPr>
      </w:pPr>
      <w:r w:rsidRPr="00E45644">
        <w:rPr>
          <w:sz w:val="24"/>
        </w:rPr>
        <w:t>(…)</w:t>
      </w:r>
    </w:p>
    <w:p w14:paraId="61EF716B" w14:textId="77777777" w:rsidR="00E45644" w:rsidRPr="00E45644" w:rsidRDefault="00E45644" w:rsidP="003111CD">
      <w:pPr>
        <w:pStyle w:val="Citas"/>
        <w:spacing w:before="0" w:after="0"/>
        <w:rPr>
          <w:sz w:val="24"/>
        </w:rPr>
      </w:pPr>
      <w:r w:rsidRPr="00E45644">
        <w:rPr>
          <w:b/>
          <w:sz w:val="24"/>
        </w:rPr>
        <w:lastRenderedPageBreak/>
        <w:t>Artículo 12.</w:t>
      </w:r>
      <w:r w:rsidRPr="00E45644">
        <w:rPr>
          <w:sz w:val="24"/>
        </w:rPr>
        <w:t xml:space="preserve"> Quienes generen, recopilen, administren, manejen, procesen, archiven o conserven información pública serán responsables de la misma en los términos de las disposiciones jurídicas aplicables.</w:t>
      </w:r>
    </w:p>
    <w:p w14:paraId="39DEF99A" w14:textId="77777777" w:rsidR="00E45644" w:rsidRPr="00E45644" w:rsidRDefault="00E45644" w:rsidP="003111CD">
      <w:pPr>
        <w:pStyle w:val="Citas"/>
        <w:spacing w:before="0" w:after="0"/>
        <w:rPr>
          <w:b/>
          <w:bCs/>
          <w:sz w:val="24"/>
        </w:rPr>
      </w:pPr>
      <w:r w:rsidRPr="00E45644">
        <w:rPr>
          <w:b/>
          <w:bCs/>
          <w:sz w:val="24"/>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E45644">
        <w:rPr>
          <w:b/>
          <w:bCs/>
          <w:sz w:val="24"/>
        </w:rPr>
        <w:t>(Sic)</w:t>
      </w:r>
    </w:p>
    <w:p w14:paraId="3A1A59B8"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p>
    <w:p w14:paraId="1FF0BA58"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obligados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712974EB"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p>
    <w:p w14:paraId="5E7748FD" w14:textId="77777777" w:rsidR="00E45644" w:rsidRPr="00E45644" w:rsidRDefault="00E45644" w:rsidP="003111CD">
      <w:pPr>
        <w:spacing w:after="0" w:line="360" w:lineRule="auto"/>
        <w:jc w:val="both"/>
        <w:rPr>
          <w:rFonts w:ascii="Palatino Linotype" w:hAnsi="Palatino Linotype" w:cs="Arial"/>
          <w:sz w:val="24"/>
        </w:rPr>
      </w:pPr>
      <w:r w:rsidRPr="00E45644">
        <w:rPr>
          <w:rFonts w:ascii="Palatino Linotype" w:hAnsi="Palatino Linotype" w:cs="Arial"/>
          <w:sz w:val="24"/>
        </w:rPr>
        <w:t xml:space="preserve">Además, y de conformidad con lo establecido en el artículo 12, de la Ley de Transparencia y Acceso a la Información Pública del Estado de México y Municipios, anteriormente invocado el sujeto obligado sólo proporcionará la información que obra </w:t>
      </w:r>
      <w:r w:rsidRPr="00E45644">
        <w:rPr>
          <w:rFonts w:ascii="Palatino Linotype" w:hAnsi="Palatino Linotype" w:cs="Arial"/>
          <w:sz w:val="24"/>
        </w:rPr>
        <w:lastRenderedPageBreak/>
        <w:t xml:space="preserve">en sus archivos, lo que </w:t>
      </w:r>
      <w:r w:rsidRPr="00E45644">
        <w:rPr>
          <w:rFonts w:ascii="Palatino Linotype" w:hAnsi="Palatino Linotype" w:cs="Arial"/>
          <w:i/>
          <w:sz w:val="24"/>
        </w:rPr>
        <w:t>a contrario sensu</w:t>
      </w:r>
      <w:r w:rsidRPr="00E45644">
        <w:rPr>
          <w:rFonts w:ascii="Palatino Linotype" w:hAnsi="Palatino Linotype" w:cs="Arial"/>
          <w:sz w:val="24"/>
        </w:rPr>
        <w:t xml:space="preserve"> significa que no se está obligado a proporcionar lo que no obre en sus archivos.</w:t>
      </w:r>
    </w:p>
    <w:p w14:paraId="21380839" w14:textId="77777777" w:rsidR="00E45644" w:rsidRPr="00E45644" w:rsidRDefault="00E45644" w:rsidP="003111CD">
      <w:pPr>
        <w:autoSpaceDE w:val="0"/>
        <w:autoSpaceDN w:val="0"/>
        <w:adjustRightInd w:val="0"/>
        <w:spacing w:after="0" w:line="360" w:lineRule="auto"/>
        <w:jc w:val="both"/>
        <w:rPr>
          <w:sz w:val="24"/>
        </w:rPr>
      </w:pPr>
    </w:p>
    <w:p w14:paraId="7DA04546" w14:textId="77777777" w:rsidR="00E45644" w:rsidRDefault="00E45644" w:rsidP="003111CD">
      <w:pPr>
        <w:spacing w:after="0" w:line="360" w:lineRule="auto"/>
        <w:jc w:val="both"/>
        <w:rPr>
          <w:rFonts w:ascii="Palatino Linotype" w:hAnsi="Palatino Linotype"/>
          <w:sz w:val="24"/>
        </w:rPr>
      </w:pPr>
      <w:r w:rsidRPr="00E45644">
        <w:rPr>
          <w:rFonts w:ascii="Palatino Linotype" w:hAnsi="Palatino Linotype"/>
          <w:sz w:val="24"/>
        </w:rPr>
        <w:t xml:space="preserve">Por lo anterior, al no constituirse dicho cuestionamiento como materia del derecho de acceso a la información, se considera que </w:t>
      </w:r>
      <w:r w:rsidRPr="00E45644">
        <w:rPr>
          <w:rFonts w:ascii="Palatino Linotype" w:hAnsi="Palatino Linotype"/>
          <w:b/>
          <w:bCs/>
          <w:sz w:val="24"/>
        </w:rPr>
        <w:t>El Sujeto Obligado</w:t>
      </w:r>
      <w:r w:rsidRPr="00E45644">
        <w:rPr>
          <w:rFonts w:ascii="Palatino Linotype" w:hAnsi="Palatino Linotype"/>
          <w:sz w:val="24"/>
        </w:rPr>
        <w:t xml:space="preserve"> no está constreñido a emitir una respuesta al mismo, por lo que se estima infundado el motivo de inconformidad del Recurrente.</w:t>
      </w:r>
    </w:p>
    <w:p w14:paraId="3D7957FF" w14:textId="77777777" w:rsidR="003111CD" w:rsidRPr="00E45644" w:rsidRDefault="003111CD" w:rsidP="003111CD">
      <w:pPr>
        <w:spacing w:after="0" w:line="360" w:lineRule="auto"/>
        <w:jc w:val="both"/>
        <w:rPr>
          <w:rFonts w:ascii="Palatino Linotype" w:hAnsi="Palatino Linotype"/>
          <w:sz w:val="24"/>
        </w:rPr>
      </w:pPr>
    </w:p>
    <w:p w14:paraId="088E9514" w14:textId="77777777" w:rsid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En conclusión, la ley de la materia establece como causas de improcedencia que se trate de una consulta, o tramite en específico, lo que en la especie actualiza la fracción VI, del arábigo 191, de la multicitada ley, que a la letra reza:</w:t>
      </w:r>
    </w:p>
    <w:p w14:paraId="26B30952" w14:textId="77777777" w:rsidR="003111CD" w:rsidRPr="00E45644" w:rsidRDefault="003111CD" w:rsidP="003111CD">
      <w:pPr>
        <w:autoSpaceDE w:val="0"/>
        <w:autoSpaceDN w:val="0"/>
        <w:adjustRightInd w:val="0"/>
        <w:spacing w:after="0" w:line="360" w:lineRule="auto"/>
        <w:jc w:val="both"/>
        <w:rPr>
          <w:rFonts w:ascii="Palatino Linotype" w:hAnsi="Palatino Linotype" w:cs="Arial"/>
          <w:sz w:val="24"/>
        </w:rPr>
      </w:pPr>
    </w:p>
    <w:p w14:paraId="60F9E37A" w14:textId="77777777" w:rsidR="00E45644" w:rsidRPr="00E45644" w:rsidRDefault="00E45644" w:rsidP="003111CD">
      <w:pPr>
        <w:pStyle w:val="Citas"/>
        <w:spacing w:before="0" w:after="0"/>
        <w:rPr>
          <w:sz w:val="24"/>
        </w:rPr>
      </w:pPr>
      <w:r w:rsidRPr="00E45644">
        <w:rPr>
          <w:sz w:val="24"/>
        </w:rPr>
        <w:t xml:space="preserve">“Artículo 191. El recurso será desechado por improcedente cuando: </w:t>
      </w:r>
      <w:r w:rsidRPr="00E45644">
        <w:rPr>
          <w:sz w:val="24"/>
        </w:rPr>
        <w:tab/>
      </w:r>
    </w:p>
    <w:p w14:paraId="6D989689" w14:textId="77777777" w:rsidR="00E45644" w:rsidRPr="00E45644" w:rsidRDefault="00E45644" w:rsidP="003111CD">
      <w:pPr>
        <w:pStyle w:val="Citas"/>
        <w:numPr>
          <w:ilvl w:val="0"/>
          <w:numId w:val="19"/>
        </w:numPr>
        <w:spacing w:before="0" w:after="0"/>
        <w:rPr>
          <w:rFonts w:cs="Times New Roman"/>
          <w:sz w:val="24"/>
          <w:lang w:val="es-ES" w:eastAsia="es-ES"/>
        </w:rPr>
      </w:pPr>
      <w:r w:rsidRPr="00E45644">
        <w:rPr>
          <w:rFonts w:cs="Times New Roman"/>
          <w:sz w:val="24"/>
          <w:lang w:val="es-ES" w:eastAsia="es-ES"/>
        </w:rPr>
        <w:t xml:space="preserve">Sea extemporáneo por haber transcurrido el plazo establecido en la presente Ley, a partir de la respuesta; </w:t>
      </w:r>
    </w:p>
    <w:p w14:paraId="11D3F019" w14:textId="77777777" w:rsidR="00E45644" w:rsidRPr="00E45644" w:rsidRDefault="00E45644" w:rsidP="003111CD">
      <w:pPr>
        <w:pStyle w:val="Citas"/>
        <w:numPr>
          <w:ilvl w:val="0"/>
          <w:numId w:val="19"/>
        </w:numPr>
        <w:spacing w:before="0" w:after="0"/>
        <w:rPr>
          <w:sz w:val="24"/>
          <w:lang w:val="es-ES" w:eastAsia="es-ES"/>
        </w:rPr>
      </w:pPr>
      <w:r w:rsidRPr="00E45644">
        <w:rPr>
          <w:rFonts w:cs="Times New Roman"/>
          <w:sz w:val="24"/>
          <w:lang w:val="es-ES" w:eastAsia="es-ES"/>
        </w:rPr>
        <w:t xml:space="preserve">Se esté tramitando ante el Poder Judicial de la Federación algún recurso o medio de defensa interpuesto por el recurrente; </w:t>
      </w:r>
    </w:p>
    <w:p w14:paraId="0AAE98F8" w14:textId="77777777" w:rsidR="00E45644" w:rsidRPr="00E45644" w:rsidRDefault="00E45644" w:rsidP="003111CD">
      <w:pPr>
        <w:pStyle w:val="Citas"/>
        <w:numPr>
          <w:ilvl w:val="0"/>
          <w:numId w:val="19"/>
        </w:numPr>
        <w:spacing w:before="0" w:after="0"/>
        <w:rPr>
          <w:sz w:val="24"/>
          <w:lang w:val="es-ES" w:eastAsia="es-ES"/>
        </w:rPr>
      </w:pPr>
      <w:r w:rsidRPr="00E45644">
        <w:rPr>
          <w:rFonts w:cs="Times New Roman"/>
          <w:sz w:val="24"/>
          <w:lang w:val="es-ES" w:eastAsia="es-ES"/>
        </w:rPr>
        <w:t xml:space="preserve">No actualice alguno de los supuestos previstos en la presente Ley; </w:t>
      </w:r>
    </w:p>
    <w:p w14:paraId="672F2A2C" w14:textId="77777777" w:rsidR="00E45644" w:rsidRPr="00E45644" w:rsidRDefault="00E45644" w:rsidP="003111CD">
      <w:pPr>
        <w:pStyle w:val="Citas"/>
        <w:numPr>
          <w:ilvl w:val="0"/>
          <w:numId w:val="19"/>
        </w:numPr>
        <w:spacing w:before="0" w:after="0"/>
        <w:rPr>
          <w:sz w:val="24"/>
          <w:lang w:val="es-ES" w:eastAsia="es-ES"/>
        </w:rPr>
      </w:pPr>
      <w:r w:rsidRPr="00E45644">
        <w:rPr>
          <w:rFonts w:cs="Times New Roman"/>
          <w:sz w:val="24"/>
          <w:lang w:val="es-ES" w:eastAsia="es-ES"/>
        </w:rPr>
        <w:t xml:space="preserve">No se haya desahogado la prevención en los términos establecidos en la presente Ley; </w:t>
      </w:r>
    </w:p>
    <w:p w14:paraId="1771D026" w14:textId="77777777" w:rsidR="00E45644" w:rsidRPr="00E45644" w:rsidRDefault="00E45644" w:rsidP="003111CD">
      <w:pPr>
        <w:pStyle w:val="Citas"/>
        <w:numPr>
          <w:ilvl w:val="0"/>
          <w:numId w:val="19"/>
        </w:numPr>
        <w:spacing w:before="0" w:after="0"/>
        <w:rPr>
          <w:sz w:val="24"/>
          <w:lang w:val="es-ES" w:eastAsia="es-ES"/>
        </w:rPr>
      </w:pPr>
      <w:r w:rsidRPr="00E45644">
        <w:rPr>
          <w:rFonts w:cs="Times New Roman"/>
          <w:sz w:val="24"/>
          <w:lang w:val="es-ES" w:eastAsia="es-ES"/>
        </w:rPr>
        <w:t xml:space="preserve">Se impugne la veracidad de la información proporcionada; </w:t>
      </w:r>
    </w:p>
    <w:p w14:paraId="044B0671" w14:textId="77777777" w:rsidR="00E45644" w:rsidRPr="00E45644" w:rsidRDefault="00E45644" w:rsidP="003111CD">
      <w:pPr>
        <w:pStyle w:val="Citas"/>
        <w:numPr>
          <w:ilvl w:val="0"/>
          <w:numId w:val="19"/>
        </w:numPr>
        <w:spacing w:before="0" w:after="0"/>
        <w:rPr>
          <w:b/>
          <w:bCs/>
          <w:sz w:val="24"/>
          <w:u w:val="single"/>
          <w:lang w:val="es-ES" w:eastAsia="es-ES"/>
        </w:rPr>
      </w:pPr>
      <w:r w:rsidRPr="00E45644">
        <w:rPr>
          <w:rFonts w:cs="Times New Roman"/>
          <w:b/>
          <w:bCs/>
          <w:sz w:val="24"/>
          <w:u w:val="single"/>
          <w:lang w:val="es-ES" w:eastAsia="es-ES"/>
        </w:rPr>
        <w:t xml:space="preserve">Se trate de una consulta, o trámite en específico; y </w:t>
      </w:r>
    </w:p>
    <w:p w14:paraId="4D42DF36" w14:textId="77777777" w:rsidR="00E45644" w:rsidRPr="00E45644" w:rsidRDefault="00E45644" w:rsidP="003111CD">
      <w:pPr>
        <w:pStyle w:val="Citas"/>
        <w:numPr>
          <w:ilvl w:val="0"/>
          <w:numId w:val="19"/>
        </w:numPr>
        <w:spacing w:before="0" w:after="0"/>
        <w:rPr>
          <w:sz w:val="24"/>
          <w:lang w:val="es-ES" w:eastAsia="es-ES"/>
        </w:rPr>
      </w:pPr>
      <w:r w:rsidRPr="00E45644">
        <w:rPr>
          <w:rFonts w:cs="Times New Roman"/>
          <w:sz w:val="24"/>
          <w:lang w:val="es-ES" w:eastAsia="es-ES"/>
        </w:rPr>
        <w:lastRenderedPageBreak/>
        <w:t xml:space="preserve">El recurrente amplíe su solicitud en el recurso de revisión, únicamente respecto de los nuevos contenidos.” </w:t>
      </w:r>
      <w:r w:rsidRPr="00E45644">
        <w:rPr>
          <w:rFonts w:cs="Times New Roman"/>
          <w:b/>
          <w:bCs/>
          <w:sz w:val="24"/>
          <w:lang w:val="es-ES" w:eastAsia="es-ES"/>
        </w:rPr>
        <w:t>(Sic)</w:t>
      </w:r>
    </w:p>
    <w:p w14:paraId="197A035F"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p>
    <w:p w14:paraId="78E00470" w14:textId="77777777" w:rsid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Artículo que concatenado con lo establecido en la fracción IV, del numeral 192, de la Ley de Transparencia vigente en la entidad, que a la letra establece:</w:t>
      </w:r>
    </w:p>
    <w:p w14:paraId="33A0463B" w14:textId="77777777" w:rsidR="003111CD" w:rsidRPr="00E45644" w:rsidRDefault="003111CD" w:rsidP="003111CD">
      <w:pPr>
        <w:autoSpaceDE w:val="0"/>
        <w:autoSpaceDN w:val="0"/>
        <w:adjustRightInd w:val="0"/>
        <w:spacing w:after="0" w:line="360" w:lineRule="auto"/>
        <w:jc w:val="both"/>
        <w:rPr>
          <w:rFonts w:ascii="Palatino Linotype" w:hAnsi="Palatino Linotype" w:cs="Arial"/>
          <w:sz w:val="24"/>
        </w:rPr>
      </w:pPr>
    </w:p>
    <w:p w14:paraId="45172DFB" w14:textId="77777777" w:rsidR="00E45644" w:rsidRPr="00E45644" w:rsidRDefault="00E45644" w:rsidP="003111CD">
      <w:pPr>
        <w:pStyle w:val="Citas"/>
        <w:spacing w:before="0" w:after="0"/>
        <w:rPr>
          <w:sz w:val="24"/>
          <w:lang w:val="es-ES" w:eastAsia="es-ES"/>
        </w:rPr>
      </w:pPr>
      <w:r w:rsidRPr="00E45644">
        <w:rPr>
          <w:sz w:val="24"/>
          <w:lang w:val="es-ES" w:eastAsia="es-ES"/>
        </w:rPr>
        <w:t>“Artículo 192. El recurso será sobreseído, en todo o en parte, cuando una vez admitido, se actualicen alguno de los siguientes supuestos:</w:t>
      </w:r>
    </w:p>
    <w:p w14:paraId="254BC23D" w14:textId="77777777" w:rsidR="00E45644" w:rsidRPr="00E45644" w:rsidRDefault="00E45644" w:rsidP="003111CD">
      <w:pPr>
        <w:pStyle w:val="Citas"/>
        <w:numPr>
          <w:ilvl w:val="0"/>
          <w:numId w:val="20"/>
        </w:numPr>
        <w:spacing w:before="0" w:after="0"/>
        <w:rPr>
          <w:sz w:val="24"/>
          <w:lang w:val="es-ES" w:eastAsia="es-ES"/>
        </w:rPr>
      </w:pPr>
      <w:r w:rsidRPr="00E45644">
        <w:rPr>
          <w:sz w:val="24"/>
          <w:lang w:val="es-ES" w:eastAsia="es-ES"/>
        </w:rPr>
        <w:t xml:space="preserve">El recurrente se desista expresamente del recurso; </w:t>
      </w:r>
    </w:p>
    <w:p w14:paraId="66675FA5" w14:textId="77777777" w:rsidR="00E45644" w:rsidRPr="00E45644" w:rsidRDefault="00E45644" w:rsidP="003111CD">
      <w:pPr>
        <w:pStyle w:val="Citas"/>
        <w:numPr>
          <w:ilvl w:val="0"/>
          <w:numId w:val="20"/>
        </w:numPr>
        <w:spacing w:before="0" w:after="0"/>
        <w:rPr>
          <w:sz w:val="24"/>
          <w:lang w:val="es-ES" w:eastAsia="es-ES"/>
        </w:rPr>
      </w:pPr>
      <w:r w:rsidRPr="00E45644">
        <w:rPr>
          <w:sz w:val="24"/>
          <w:lang w:val="es-ES" w:eastAsia="es-ES"/>
        </w:rPr>
        <w:t xml:space="preserve">El recurrente fallezca o, tratándose de personas jurídicas colectivas, se disuelva; </w:t>
      </w:r>
    </w:p>
    <w:p w14:paraId="26CD33B4" w14:textId="77777777" w:rsidR="00E45644" w:rsidRPr="00E45644" w:rsidRDefault="00E45644" w:rsidP="003111CD">
      <w:pPr>
        <w:pStyle w:val="Citas"/>
        <w:numPr>
          <w:ilvl w:val="0"/>
          <w:numId w:val="20"/>
        </w:numPr>
        <w:spacing w:before="0" w:after="0"/>
        <w:rPr>
          <w:sz w:val="24"/>
          <w:lang w:val="es-ES" w:eastAsia="es-ES"/>
        </w:rPr>
      </w:pPr>
      <w:r w:rsidRPr="00E45644">
        <w:rPr>
          <w:sz w:val="24"/>
          <w:lang w:val="es-ES" w:eastAsia="es-ES"/>
        </w:rPr>
        <w:t xml:space="preserve">El sujeto obligado responsable del acto lo modifique o revoque de tal manera que el recurso de revisión quede sin materia; </w:t>
      </w:r>
    </w:p>
    <w:p w14:paraId="29455669" w14:textId="77777777" w:rsidR="00E45644" w:rsidRPr="00E45644" w:rsidRDefault="00E45644" w:rsidP="003111CD">
      <w:pPr>
        <w:pStyle w:val="Citas"/>
        <w:numPr>
          <w:ilvl w:val="0"/>
          <w:numId w:val="20"/>
        </w:numPr>
        <w:spacing w:before="0" w:after="0"/>
        <w:rPr>
          <w:b/>
          <w:bCs/>
          <w:sz w:val="24"/>
          <w:u w:val="single"/>
          <w:lang w:val="es-ES" w:eastAsia="es-ES"/>
        </w:rPr>
      </w:pPr>
      <w:r w:rsidRPr="00E45644">
        <w:rPr>
          <w:b/>
          <w:bCs/>
          <w:sz w:val="24"/>
          <w:u w:val="single"/>
          <w:lang w:val="es-ES" w:eastAsia="es-ES"/>
        </w:rPr>
        <w:t xml:space="preserve">Admitido el recurso de revisión, aparezca alguna causal de improcedencia en los términos de la presente Ley; y </w:t>
      </w:r>
    </w:p>
    <w:p w14:paraId="6410C1B3" w14:textId="77777777" w:rsidR="00E45644" w:rsidRPr="00E45644" w:rsidRDefault="00E45644" w:rsidP="003111CD">
      <w:pPr>
        <w:pStyle w:val="Citas"/>
        <w:numPr>
          <w:ilvl w:val="0"/>
          <w:numId w:val="20"/>
        </w:numPr>
        <w:spacing w:before="0" w:after="0"/>
        <w:rPr>
          <w:sz w:val="24"/>
          <w:lang w:val="es-ES" w:eastAsia="es-ES"/>
        </w:rPr>
      </w:pPr>
      <w:r w:rsidRPr="00E45644">
        <w:rPr>
          <w:sz w:val="24"/>
          <w:lang w:val="es-ES" w:eastAsia="es-ES"/>
        </w:rPr>
        <w:t xml:space="preserve">Cuando por cualquier motivo quede sin materia el recurso.” </w:t>
      </w:r>
      <w:r w:rsidRPr="00E45644">
        <w:rPr>
          <w:b/>
          <w:bCs/>
          <w:sz w:val="24"/>
          <w:lang w:val="es-ES" w:eastAsia="es-ES"/>
        </w:rPr>
        <w:t>(Sic)</w:t>
      </w:r>
    </w:p>
    <w:p w14:paraId="71E3DBC6" w14:textId="77777777" w:rsidR="00E45644" w:rsidRPr="00E45644" w:rsidRDefault="00E45644" w:rsidP="003111CD">
      <w:pPr>
        <w:autoSpaceDE w:val="0"/>
        <w:autoSpaceDN w:val="0"/>
        <w:adjustRightInd w:val="0"/>
        <w:spacing w:after="0" w:line="360" w:lineRule="auto"/>
        <w:jc w:val="both"/>
        <w:rPr>
          <w:rFonts w:ascii="Palatino Linotype" w:hAnsi="Palatino Linotype" w:cs="Arial"/>
          <w:sz w:val="24"/>
        </w:rPr>
      </w:pPr>
    </w:p>
    <w:p w14:paraId="4D731C69" w14:textId="77777777" w:rsidR="00E45644" w:rsidRDefault="00E45644" w:rsidP="003111CD">
      <w:pPr>
        <w:autoSpaceDE w:val="0"/>
        <w:autoSpaceDN w:val="0"/>
        <w:adjustRightInd w:val="0"/>
        <w:spacing w:after="0" w:line="360" w:lineRule="auto"/>
        <w:jc w:val="both"/>
        <w:rPr>
          <w:rFonts w:ascii="Palatino Linotype" w:hAnsi="Palatino Linotype" w:cs="Arial"/>
          <w:sz w:val="24"/>
        </w:rPr>
      </w:pPr>
      <w:r w:rsidRPr="00E45644">
        <w:rPr>
          <w:rFonts w:ascii="Palatino Linotype" w:hAnsi="Palatino Linotype" w:cs="Arial"/>
          <w:sz w:val="24"/>
        </w:rPr>
        <w:t>Por lo que hace a los requisitos de procedencia del sobreseimiento en términos del artículo 191, de la ley de transparencia estatal se establece lo siguiente:</w:t>
      </w:r>
    </w:p>
    <w:p w14:paraId="25FFE70D" w14:textId="77777777" w:rsidR="003111CD" w:rsidRPr="00E45644" w:rsidRDefault="003111CD" w:rsidP="003111CD">
      <w:pPr>
        <w:autoSpaceDE w:val="0"/>
        <w:autoSpaceDN w:val="0"/>
        <w:adjustRightInd w:val="0"/>
        <w:spacing w:after="0" w:line="360" w:lineRule="auto"/>
        <w:jc w:val="both"/>
        <w:rPr>
          <w:rFonts w:ascii="Palatino Linotype" w:hAnsi="Palatino Linotype" w:cs="Arial"/>
          <w:sz w:val="24"/>
        </w:rPr>
      </w:pPr>
    </w:p>
    <w:p w14:paraId="5415CE1F" w14:textId="5C2C8EA2" w:rsidR="00E45644" w:rsidRPr="00E45644" w:rsidRDefault="00E45644" w:rsidP="003111CD">
      <w:pPr>
        <w:numPr>
          <w:ilvl w:val="0"/>
          <w:numId w:val="14"/>
        </w:numPr>
        <w:autoSpaceDE w:val="0"/>
        <w:autoSpaceDN w:val="0"/>
        <w:adjustRightInd w:val="0"/>
        <w:spacing w:after="0" w:line="360" w:lineRule="auto"/>
        <w:ind w:left="851" w:right="850" w:firstLine="10"/>
        <w:jc w:val="both"/>
        <w:rPr>
          <w:rFonts w:ascii="Palatino Linotype" w:hAnsi="Palatino Linotype" w:cs="Arial"/>
          <w:sz w:val="24"/>
        </w:rPr>
      </w:pPr>
      <w:r w:rsidRPr="00E45644">
        <w:rPr>
          <w:rFonts w:ascii="Palatino Linotype" w:hAnsi="Palatino Linotype" w:cs="Arial"/>
          <w:sz w:val="24"/>
        </w:rPr>
        <w:t xml:space="preserve">Mediante acuerdo de fecha </w:t>
      </w:r>
      <w:r w:rsidR="003111CD">
        <w:rPr>
          <w:rFonts w:ascii="Palatino Linotype" w:hAnsi="Palatino Linotype" w:cs="Arial"/>
          <w:sz w:val="24"/>
        </w:rPr>
        <w:t>seis</w:t>
      </w:r>
      <w:r w:rsidRPr="00E45644">
        <w:rPr>
          <w:rFonts w:ascii="Palatino Linotype" w:hAnsi="Palatino Linotype" w:cs="Arial"/>
          <w:sz w:val="24"/>
        </w:rPr>
        <w:t xml:space="preserve"> de septiembre de dos mil veinticuatro, el Comisionado Presidente José Martínez Vilchis admitió a trámite el recurso de revisión que nos ocupa. </w:t>
      </w:r>
    </w:p>
    <w:p w14:paraId="63915D44" w14:textId="77777777" w:rsidR="00E45644" w:rsidRPr="00E45644" w:rsidRDefault="00E45644" w:rsidP="003111CD">
      <w:pPr>
        <w:pStyle w:val="Sinespaciado"/>
        <w:rPr>
          <w:sz w:val="28"/>
          <w:lang w:val="es-ES"/>
        </w:rPr>
      </w:pPr>
    </w:p>
    <w:p w14:paraId="5AB3EA05" w14:textId="77777777" w:rsidR="00E45644" w:rsidRPr="00E45644" w:rsidRDefault="00E45644" w:rsidP="003111CD">
      <w:pPr>
        <w:numPr>
          <w:ilvl w:val="0"/>
          <w:numId w:val="14"/>
        </w:numPr>
        <w:autoSpaceDE w:val="0"/>
        <w:autoSpaceDN w:val="0"/>
        <w:adjustRightInd w:val="0"/>
        <w:spacing w:after="0" w:line="360" w:lineRule="auto"/>
        <w:ind w:left="851" w:right="850" w:firstLine="10"/>
        <w:jc w:val="both"/>
        <w:rPr>
          <w:rFonts w:ascii="Palatino Linotype" w:hAnsi="Palatino Linotype" w:cs="Arial"/>
          <w:sz w:val="24"/>
        </w:rPr>
      </w:pPr>
      <w:r w:rsidRPr="00E45644">
        <w:rPr>
          <w:rFonts w:ascii="Palatino Linotype" w:hAnsi="Palatino Linotype" w:cs="Arial"/>
          <w:sz w:val="24"/>
        </w:rPr>
        <w:t xml:space="preserve">Lo esgrimido por </w:t>
      </w:r>
      <w:r w:rsidRPr="00E45644">
        <w:rPr>
          <w:rFonts w:ascii="Palatino Linotype" w:hAnsi="Palatino Linotype" w:cs="Arial"/>
          <w:b/>
          <w:sz w:val="24"/>
        </w:rPr>
        <w:t>El Recurrente</w:t>
      </w:r>
      <w:r w:rsidRPr="00E45644">
        <w:rPr>
          <w:rFonts w:ascii="Palatino Linotype" w:hAnsi="Palatino Linotype" w:cs="Arial"/>
          <w:sz w:val="24"/>
        </w:rPr>
        <w:t xml:space="preserve"> en su solicitud, se observa no corresponde al Derecho de Acceso a la Información, lo que arguye en que </w:t>
      </w:r>
      <w:r w:rsidRPr="00E45644">
        <w:rPr>
          <w:rFonts w:ascii="Palatino Linotype" w:hAnsi="Palatino Linotype" w:cs="Arial"/>
          <w:b/>
          <w:sz w:val="24"/>
        </w:rPr>
        <w:t xml:space="preserve">El Sujeto Obligado </w:t>
      </w:r>
      <w:r w:rsidRPr="00E45644">
        <w:rPr>
          <w:rFonts w:ascii="Palatino Linotype" w:hAnsi="Palatino Linotype" w:cs="Arial"/>
          <w:sz w:val="24"/>
        </w:rPr>
        <w:t>realice pronunciamientos, lo cual resulta incongruente con lo establecido en el segundo párrafo del artículo 12, de la Ley de Transparencia y Acceso a la Información Pública del Estado de México y Municipios.</w:t>
      </w:r>
    </w:p>
    <w:p w14:paraId="4325A65F" w14:textId="77777777" w:rsidR="00E45644" w:rsidRPr="00E45644" w:rsidRDefault="00E45644" w:rsidP="003111CD">
      <w:pPr>
        <w:pStyle w:val="Sinespaciado"/>
        <w:rPr>
          <w:sz w:val="28"/>
          <w:lang w:val="es-ES"/>
        </w:rPr>
      </w:pPr>
    </w:p>
    <w:p w14:paraId="166C5B36" w14:textId="1965E9D9" w:rsidR="00E45644" w:rsidRPr="00E45644" w:rsidRDefault="00E45644" w:rsidP="003111CD">
      <w:pPr>
        <w:numPr>
          <w:ilvl w:val="0"/>
          <w:numId w:val="14"/>
        </w:numPr>
        <w:autoSpaceDE w:val="0"/>
        <w:autoSpaceDN w:val="0"/>
        <w:adjustRightInd w:val="0"/>
        <w:spacing w:after="0" w:line="360" w:lineRule="auto"/>
        <w:ind w:left="851" w:right="850" w:firstLine="10"/>
        <w:jc w:val="both"/>
        <w:rPr>
          <w:rFonts w:ascii="Palatino Linotype" w:hAnsi="Palatino Linotype" w:cs="Arial"/>
          <w:sz w:val="24"/>
        </w:rPr>
      </w:pPr>
      <w:r w:rsidRPr="00E45644">
        <w:rPr>
          <w:rFonts w:ascii="Palatino Linotype" w:hAnsi="Palatino Linotype" w:cs="Arial"/>
          <w:sz w:val="24"/>
        </w:rPr>
        <w:t xml:space="preserve">El recurso </w:t>
      </w:r>
      <w:r w:rsidR="003111CD">
        <w:rPr>
          <w:rFonts w:ascii="Palatino Linotype" w:hAnsi="Palatino Linotype" w:cs="Arial"/>
          <w:b/>
          <w:bCs/>
          <w:sz w:val="24"/>
        </w:rPr>
        <w:t>05275</w:t>
      </w:r>
      <w:r w:rsidRPr="00E45644">
        <w:rPr>
          <w:rFonts w:ascii="Palatino Linotype" w:hAnsi="Palatino Linotype" w:cs="Arial"/>
          <w:b/>
          <w:bCs/>
          <w:sz w:val="24"/>
        </w:rPr>
        <w:t>/INFOEM/IP/RR/2024</w:t>
      </w:r>
      <w:r w:rsidRPr="00E45644">
        <w:rPr>
          <w:rFonts w:ascii="Palatino Linotype" w:hAnsi="Palatino Linotype" w:cs="Arial"/>
          <w:bCs/>
          <w:sz w:val="24"/>
        </w:rPr>
        <w:t>,</w:t>
      </w:r>
      <w:r w:rsidRPr="00E45644">
        <w:rPr>
          <w:rFonts w:ascii="Palatino Linotype" w:hAnsi="Palatino Linotype" w:cs="Arial"/>
          <w:sz w:val="24"/>
        </w:rPr>
        <w:t xml:space="preserve"> actualiza la causal de improcedencia contenida en la fracción VI, del artículo 191, de la Ley de la materia vigente en la entidad.</w:t>
      </w:r>
    </w:p>
    <w:p w14:paraId="55F3F225" w14:textId="77777777" w:rsidR="00E45644" w:rsidRPr="00B21190" w:rsidRDefault="00E45644" w:rsidP="003111CD">
      <w:pPr>
        <w:pStyle w:val="Sinespaciado"/>
      </w:pPr>
    </w:p>
    <w:p w14:paraId="0A9D52E1" w14:textId="77777777" w:rsidR="00E45644" w:rsidRDefault="00E45644" w:rsidP="003111CD">
      <w:pPr>
        <w:autoSpaceDE w:val="0"/>
        <w:autoSpaceDN w:val="0"/>
        <w:adjustRightInd w:val="0"/>
        <w:spacing w:after="0" w:line="360" w:lineRule="auto"/>
        <w:jc w:val="both"/>
        <w:rPr>
          <w:rFonts w:ascii="Palatino Linotype" w:hAnsi="Palatino Linotype"/>
        </w:rPr>
      </w:pPr>
    </w:p>
    <w:p w14:paraId="5081489F" w14:textId="77777777" w:rsidR="00E45644" w:rsidRPr="00E45644" w:rsidRDefault="00E45644" w:rsidP="003111CD">
      <w:pPr>
        <w:autoSpaceDE w:val="0"/>
        <w:autoSpaceDN w:val="0"/>
        <w:adjustRightInd w:val="0"/>
        <w:spacing w:after="0" w:line="360" w:lineRule="auto"/>
        <w:jc w:val="both"/>
        <w:rPr>
          <w:rFonts w:ascii="Palatino Linotype" w:hAnsi="Palatino Linotype"/>
          <w:sz w:val="24"/>
          <w:szCs w:val="24"/>
        </w:rPr>
      </w:pPr>
      <w:r w:rsidRPr="00E45644">
        <w:rPr>
          <w:rFonts w:ascii="Palatino Linotype" w:hAnsi="Palatino Linotype"/>
          <w:sz w:val="24"/>
          <w:szCs w:val="24"/>
        </w:rPr>
        <w:t xml:space="preserve">Es importante resaltar a manera de analogía que la Suprema Corte de Justicia de la Nación mediante el número 2, de la Serie </w:t>
      </w:r>
      <w:r w:rsidRPr="00E45644">
        <w:rPr>
          <w:rFonts w:ascii="Palatino Linotype" w:hAnsi="Palatino Linotype"/>
          <w:b/>
          <w:bCs/>
          <w:i/>
          <w:sz w:val="24"/>
          <w:szCs w:val="24"/>
        </w:rPr>
        <w:t>Estudios Introductorios sobre el Juicio de Amparo</w:t>
      </w:r>
      <w:r w:rsidRPr="00E45644">
        <w:rPr>
          <w:rFonts w:ascii="Palatino Linotype" w:hAnsi="Palatino Linotype"/>
          <w:i/>
          <w:sz w:val="24"/>
          <w:szCs w:val="24"/>
        </w:rPr>
        <w:t xml:space="preserve"> </w:t>
      </w:r>
      <w:r w:rsidRPr="00E45644">
        <w:rPr>
          <w:rFonts w:ascii="Palatino Linotype" w:hAnsi="Palatino Linotype"/>
          <w:sz w:val="24"/>
          <w:szCs w:val="24"/>
        </w:rPr>
        <w:t xml:space="preserve">relativo a </w:t>
      </w:r>
      <w:r w:rsidRPr="00E45644">
        <w:rPr>
          <w:rFonts w:ascii="Palatino Linotype" w:hAnsi="Palatino Linotype"/>
          <w:b/>
          <w:bCs/>
          <w:i/>
          <w:sz w:val="24"/>
          <w:szCs w:val="24"/>
        </w:rPr>
        <w:t>LA IMPROCEDENCIA DE LA ACCIÓN DE AMPARO</w:t>
      </w:r>
      <w:r w:rsidRPr="00E45644">
        <w:rPr>
          <w:rFonts w:ascii="Palatino Linotype" w:hAnsi="Palatino Linotype"/>
          <w:i/>
          <w:sz w:val="24"/>
          <w:szCs w:val="24"/>
        </w:rPr>
        <w:t xml:space="preserve"> </w:t>
      </w:r>
      <w:r w:rsidRPr="00E45644">
        <w:rPr>
          <w:rFonts w:ascii="Palatino Linotype" w:hAnsi="Palatino Linotype"/>
          <w:sz w:val="24"/>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E45644">
        <w:rPr>
          <w:rFonts w:ascii="Palatino Linotype" w:hAnsi="Palatino Linotype"/>
          <w:b/>
          <w:sz w:val="24"/>
          <w:szCs w:val="24"/>
          <w:u w:val="single"/>
        </w:rPr>
        <w:t>lo que generará que la demanda sea desechada; o bien, después de admitida la demanda, lo que tendrá como consecuencia que se sobresea en el juicio.</w:t>
      </w:r>
    </w:p>
    <w:p w14:paraId="0ACBCF29" w14:textId="77777777" w:rsidR="00E45644" w:rsidRPr="00E45644" w:rsidRDefault="00E45644" w:rsidP="003111CD">
      <w:pPr>
        <w:spacing w:after="0"/>
        <w:rPr>
          <w:sz w:val="24"/>
          <w:szCs w:val="24"/>
        </w:rPr>
      </w:pPr>
    </w:p>
    <w:p w14:paraId="47D711BD" w14:textId="5F5D7443" w:rsidR="00E45644" w:rsidRPr="00E45644" w:rsidRDefault="00E45644" w:rsidP="003111CD">
      <w:pPr>
        <w:pStyle w:val="Prrafodelista"/>
        <w:spacing w:line="360" w:lineRule="auto"/>
        <w:ind w:left="0" w:right="51"/>
        <w:jc w:val="both"/>
        <w:rPr>
          <w:rFonts w:ascii="Palatino Linotype" w:hAnsi="Palatino Linotype" w:cs="Arial"/>
          <w:bCs/>
          <w:lang w:eastAsia="es-MX"/>
        </w:rPr>
      </w:pPr>
      <w:r w:rsidRPr="00E45644">
        <w:rPr>
          <w:rFonts w:ascii="Palatino Linotype" w:hAnsi="Palatino Linotype" w:cs="Arial"/>
        </w:rPr>
        <w:lastRenderedPageBreak/>
        <w:t>En mérito de lo expuesto en líneas anteriores</w:t>
      </w:r>
      <w:r w:rsidRPr="00E45644">
        <w:rPr>
          <w:rFonts w:ascii="Palatino Linotype" w:hAnsi="Palatino Linotype"/>
          <w:noProof/>
          <w:lang w:eastAsia="es-MX"/>
        </w:rPr>
        <w:t xml:space="preserve">, resultan inoperantes los motivos de inconformidad que arguye </w:t>
      </w:r>
      <w:r w:rsidRPr="00E45644">
        <w:rPr>
          <w:rFonts w:ascii="Palatino Linotype" w:hAnsi="Palatino Linotype"/>
          <w:b/>
          <w:noProof/>
          <w:lang w:eastAsia="es-MX"/>
        </w:rPr>
        <w:t>El Recurrente</w:t>
      </w:r>
      <w:r w:rsidRPr="00E45644">
        <w:rPr>
          <w:rFonts w:ascii="Palatino Linotype" w:hAnsi="Palatino Linotype"/>
          <w:noProof/>
          <w:lang w:eastAsia="es-MX"/>
        </w:rPr>
        <w:t xml:space="preserve"> en su medio de impugnación que fue materia de estudio, </w:t>
      </w:r>
      <w:r w:rsidRPr="00E45644">
        <w:rPr>
          <w:rFonts w:ascii="Palatino Linotype" w:hAnsi="Palatino Linotype" w:cs="Arial"/>
        </w:rPr>
        <w:t xml:space="preserve">por ello con fundamento en el artículo 192, fracción IV, de la Ley de Transparencia y Acceso a la Información Pública del Estado de México y Municipios, se </w:t>
      </w:r>
      <w:r w:rsidRPr="00E45644">
        <w:rPr>
          <w:rFonts w:ascii="Palatino Linotype" w:hAnsi="Palatino Linotype" w:cs="Arial"/>
          <w:b/>
        </w:rPr>
        <w:t>SOBRESEE</w:t>
      </w:r>
      <w:r w:rsidRPr="00E45644">
        <w:rPr>
          <w:rFonts w:ascii="Palatino Linotype" w:hAnsi="Palatino Linotype" w:cs="Arial"/>
        </w:rPr>
        <w:t xml:space="preserve"> el recurso de revisión</w:t>
      </w:r>
      <w:r w:rsidRPr="00E45644">
        <w:t xml:space="preserve"> </w:t>
      </w:r>
      <w:r w:rsidR="003111CD">
        <w:rPr>
          <w:rFonts w:ascii="Palatino Linotype" w:hAnsi="Palatino Linotype"/>
          <w:b/>
          <w:bCs/>
        </w:rPr>
        <w:t>05275</w:t>
      </w:r>
      <w:r w:rsidRPr="00E45644">
        <w:rPr>
          <w:rFonts w:ascii="Palatino Linotype" w:hAnsi="Palatino Linotype"/>
          <w:b/>
          <w:bCs/>
        </w:rPr>
        <w:t xml:space="preserve">/INFOEM/IP/RR/2024 </w:t>
      </w:r>
      <w:r w:rsidRPr="00E45644">
        <w:rPr>
          <w:rFonts w:ascii="Palatino Linotype" w:eastAsiaTheme="minorEastAsia" w:hAnsi="Palatino Linotype"/>
          <w:b/>
          <w:lang w:val="es-ES_tradnl"/>
        </w:rPr>
        <w:t>por actualizarse la causal de improcedencia, establecida en el artículo 191, fracción VI, esto es el Recurso se presentó en forma de consulta</w:t>
      </w:r>
      <w:r w:rsidRPr="00E45644">
        <w:rPr>
          <w:rFonts w:ascii="Palatino Linotype" w:eastAsiaTheme="minorEastAsia" w:hAnsi="Palatino Linotype"/>
          <w:lang w:val="es-ES_tradnl"/>
        </w:rPr>
        <w:t>,</w:t>
      </w:r>
      <w:r w:rsidRPr="00E45644">
        <w:rPr>
          <w:rFonts w:ascii="Palatino Linotype" w:eastAsiaTheme="minorEastAsia" w:hAnsi="Palatino Linotype"/>
          <w:b/>
          <w:lang w:val="es-ES_tradnl"/>
        </w:rPr>
        <w:t xml:space="preserve"> </w:t>
      </w:r>
      <w:r w:rsidRPr="00E45644">
        <w:rPr>
          <w:rFonts w:ascii="Palatino Linotype" w:hAnsi="Palatino Linotype" w:cs="Arial"/>
          <w:bCs/>
          <w:lang w:eastAsia="es-MX"/>
        </w:rPr>
        <w:t>que ha sido materia del presente fallo.</w:t>
      </w:r>
    </w:p>
    <w:p w14:paraId="20D06231" w14:textId="77777777" w:rsidR="00E45644" w:rsidRPr="00B21190" w:rsidRDefault="00E45644" w:rsidP="003111CD">
      <w:pPr>
        <w:autoSpaceDE w:val="0"/>
        <w:autoSpaceDN w:val="0"/>
        <w:adjustRightInd w:val="0"/>
        <w:spacing w:after="0" w:line="276" w:lineRule="auto"/>
        <w:ind w:right="-234"/>
        <w:jc w:val="both"/>
        <w:rPr>
          <w:rFonts w:ascii="Palatino Linotype" w:hAnsi="Palatino Linotype" w:cs="Arial"/>
          <w:sz w:val="18"/>
        </w:rPr>
      </w:pPr>
    </w:p>
    <w:p w14:paraId="7553C62B" w14:textId="77777777" w:rsidR="00E45644" w:rsidRPr="00E45644" w:rsidRDefault="00E45644" w:rsidP="003111CD">
      <w:pPr>
        <w:autoSpaceDE w:val="0"/>
        <w:autoSpaceDN w:val="0"/>
        <w:adjustRightInd w:val="0"/>
        <w:spacing w:after="0" w:line="276" w:lineRule="auto"/>
        <w:ind w:right="-234"/>
        <w:jc w:val="both"/>
        <w:rPr>
          <w:rFonts w:ascii="Palatino Linotype" w:hAnsi="Palatino Linotype" w:cs="Arial"/>
          <w:sz w:val="24"/>
        </w:rPr>
      </w:pPr>
      <w:r w:rsidRPr="00E45644">
        <w:rPr>
          <w:rFonts w:ascii="Palatino Linotype" w:hAnsi="Palatino Linotype" w:cs="Arial"/>
          <w:sz w:val="24"/>
        </w:rPr>
        <w:t>Por lo antes expuesto y fundado es de resolverse y,</w:t>
      </w:r>
    </w:p>
    <w:p w14:paraId="29E64DB1" w14:textId="77777777" w:rsidR="00E45644" w:rsidRPr="00E45644" w:rsidRDefault="00E45644" w:rsidP="003111CD">
      <w:pPr>
        <w:pStyle w:val="Citas"/>
        <w:spacing w:before="0" w:after="0"/>
        <w:ind w:left="0" w:right="-18"/>
        <w:rPr>
          <w:i w:val="0"/>
          <w:iCs/>
          <w:sz w:val="28"/>
          <w:szCs w:val="24"/>
        </w:rPr>
      </w:pPr>
    </w:p>
    <w:p w14:paraId="033F52B3" w14:textId="77777777" w:rsidR="00E45644" w:rsidRPr="00B21190" w:rsidRDefault="00E45644" w:rsidP="003111CD">
      <w:pPr>
        <w:spacing w:after="0" w:line="276" w:lineRule="auto"/>
        <w:ind w:right="-234" w:firstLine="567"/>
        <w:jc w:val="center"/>
        <w:rPr>
          <w:rFonts w:ascii="Palatino Linotype" w:hAnsi="Palatino Linotype"/>
          <w:b/>
          <w:sz w:val="28"/>
          <w:lang w:val="pt-BR"/>
        </w:rPr>
      </w:pPr>
      <w:r w:rsidRPr="00B21190">
        <w:rPr>
          <w:rFonts w:ascii="Palatino Linotype" w:hAnsi="Palatino Linotype"/>
          <w:b/>
          <w:sz w:val="28"/>
          <w:lang w:val="pt-BR"/>
        </w:rPr>
        <w:t>SE   R E S U E L V E</w:t>
      </w:r>
    </w:p>
    <w:p w14:paraId="2F5456E0" w14:textId="77777777" w:rsidR="00E45644" w:rsidRPr="00D85087" w:rsidRDefault="00E45644" w:rsidP="003111CD">
      <w:pPr>
        <w:spacing w:after="0" w:line="360" w:lineRule="auto"/>
        <w:jc w:val="both"/>
        <w:rPr>
          <w:rFonts w:ascii="Palatino Linotype" w:hAnsi="Palatino Linotype" w:cs="Palatino Linotype"/>
        </w:rPr>
      </w:pPr>
    </w:p>
    <w:p w14:paraId="51958B8B" w14:textId="41B7A452" w:rsidR="00E45644" w:rsidRPr="00E45644" w:rsidRDefault="00E45644" w:rsidP="003111CD">
      <w:pPr>
        <w:spacing w:after="0" w:line="360" w:lineRule="auto"/>
        <w:jc w:val="both"/>
        <w:rPr>
          <w:rFonts w:ascii="Palatino Linotype" w:hAnsi="Palatino Linotype" w:cs="Arial"/>
          <w:sz w:val="24"/>
        </w:rPr>
      </w:pPr>
      <w:r w:rsidRPr="00E45644">
        <w:rPr>
          <w:rFonts w:ascii="Palatino Linotype" w:hAnsi="Palatino Linotype" w:cs="Arial"/>
          <w:b/>
          <w:sz w:val="28"/>
        </w:rPr>
        <w:t>PRIMERO.</w:t>
      </w:r>
      <w:r w:rsidRPr="00E45644">
        <w:rPr>
          <w:rFonts w:ascii="Palatino Linotype" w:hAnsi="Palatino Linotype" w:cs="Arial"/>
          <w:sz w:val="24"/>
        </w:rPr>
        <w:t xml:space="preserve"> Se </w:t>
      </w:r>
      <w:r w:rsidRPr="00E45644">
        <w:rPr>
          <w:rFonts w:ascii="Palatino Linotype" w:hAnsi="Palatino Linotype" w:cs="Arial"/>
          <w:b/>
          <w:sz w:val="24"/>
        </w:rPr>
        <w:t xml:space="preserve">SOBRESEE </w:t>
      </w:r>
      <w:r w:rsidRPr="00E45644">
        <w:rPr>
          <w:rFonts w:ascii="Palatino Linotype" w:hAnsi="Palatino Linotype" w:cs="Arial"/>
          <w:sz w:val="24"/>
        </w:rPr>
        <w:t xml:space="preserve">el recurso de revisión número </w:t>
      </w:r>
      <w:r w:rsidR="003111CD">
        <w:rPr>
          <w:rFonts w:ascii="Palatino Linotype" w:hAnsi="Palatino Linotype" w:cs="Arial"/>
          <w:b/>
          <w:sz w:val="24"/>
        </w:rPr>
        <w:t>05275</w:t>
      </w:r>
      <w:r w:rsidRPr="00E45644">
        <w:rPr>
          <w:rFonts w:ascii="Palatino Linotype" w:hAnsi="Palatino Linotype" w:cs="Arial"/>
          <w:b/>
          <w:sz w:val="24"/>
        </w:rPr>
        <w:t>/INFOEM/IP/RR/2024</w:t>
      </w:r>
      <w:r w:rsidRPr="00E45644">
        <w:rPr>
          <w:rFonts w:ascii="Palatino Linotype" w:hAnsi="Palatino Linotype" w:cs="Arial"/>
          <w:sz w:val="24"/>
        </w:rPr>
        <w:t xml:space="preserve">, de conformidad con el artículo 192, fracción IV por actualizarse la causal de improcedencia contenida en la fracción VI, del artículo 191, ambos de la Ley de Transparencia y Acceso a la Información Pública del Estado de México y Municipios, en términos del Considerando </w:t>
      </w:r>
      <w:r w:rsidRPr="00E45644">
        <w:rPr>
          <w:rFonts w:ascii="Palatino Linotype" w:hAnsi="Palatino Linotype" w:cs="Arial"/>
          <w:b/>
          <w:sz w:val="24"/>
        </w:rPr>
        <w:t>TERCERO</w:t>
      </w:r>
      <w:r w:rsidRPr="00E45644">
        <w:rPr>
          <w:rFonts w:ascii="Palatino Linotype" w:hAnsi="Palatino Linotype" w:cs="Arial"/>
          <w:sz w:val="24"/>
        </w:rPr>
        <w:t xml:space="preserve"> de la presente resolución.</w:t>
      </w:r>
    </w:p>
    <w:p w14:paraId="71173EDE" w14:textId="77777777" w:rsidR="00E45644" w:rsidRPr="00986A5D" w:rsidRDefault="00E45644" w:rsidP="003111CD">
      <w:pPr>
        <w:spacing w:after="0" w:line="360" w:lineRule="auto"/>
        <w:jc w:val="both"/>
        <w:rPr>
          <w:rFonts w:ascii="Palatino Linotype" w:hAnsi="Palatino Linotype" w:cs="Arial"/>
        </w:rPr>
      </w:pPr>
    </w:p>
    <w:p w14:paraId="23D3AFA7" w14:textId="77777777" w:rsidR="00E45644" w:rsidRPr="00E45644" w:rsidRDefault="00E45644" w:rsidP="003111CD">
      <w:pPr>
        <w:spacing w:after="0" w:line="360" w:lineRule="auto"/>
        <w:jc w:val="both"/>
        <w:rPr>
          <w:rFonts w:ascii="Palatino Linotype" w:hAnsi="Palatino Linotype" w:cs="Palatino Linotype"/>
          <w:sz w:val="24"/>
        </w:rPr>
      </w:pPr>
      <w:r w:rsidRPr="00E45644">
        <w:rPr>
          <w:rFonts w:ascii="Palatino Linotype" w:hAnsi="Palatino Linotype" w:cs="Palatino Linotype"/>
          <w:b/>
          <w:sz w:val="28"/>
        </w:rPr>
        <w:t>SEGUNDO.</w:t>
      </w:r>
      <w:r w:rsidRPr="00E45644">
        <w:rPr>
          <w:rFonts w:ascii="Palatino Linotype" w:hAnsi="Palatino Linotype" w:cs="Palatino Linotype"/>
          <w:sz w:val="28"/>
        </w:rPr>
        <w:t xml:space="preserve"> </w:t>
      </w:r>
      <w:r w:rsidRPr="00E45644">
        <w:rPr>
          <w:rFonts w:ascii="Palatino Linotype" w:hAnsi="Palatino Linotype" w:cs="Palatino Linotype"/>
          <w:b/>
          <w:sz w:val="24"/>
        </w:rPr>
        <w:t>Notifíquese</w:t>
      </w:r>
      <w:r w:rsidRPr="00E45644">
        <w:rPr>
          <w:rFonts w:ascii="Palatino Linotype" w:hAnsi="Palatino Linotype" w:cs="Palatino Linotype"/>
          <w:sz w:val="24"/>
        </w:rPr>
        <w:t xml:space="preserve"> la presente resolución al Titular de la Unidad de Transparencia del Sujeto Obligado mediante el Sistema de Acceso a la Información Mexiquense (SAIMEX).</w:t>
      </w:r>
    </w:p>
    <w:p w14:paraId="6F28F368" w14:textId="75C02272" w:rsidR="000835E5" w:rsidRPr="00930E01" w:rsidRDefault="00E45644" w:rsidP="003111CD">
      <w:pPr>
        <w:spacing w:after="0" w:line="360" w:lineRule="auto"/>
        <w:jc w:val="both"/>
        <w:rPr>
          <w:rFonts w:ascii="Palatino Linotype" w:hAnsi="Palatino Linotype" w:cs="Palatino Linotype"/>
          <w:sz w:val="24"/>
        </w:rPr>
      </w:pPr>
      <w:r w:rsidRPr="00E45644">
        <w:rPr>
          <w:rFonts w:ascii="Palatino Linotype" w:hAnsi="Palatino Linotype" w:cs="Palatino Linotype"/>
          <w:b/>
          <w:sz w:val="28"/>
        </w:rPr>
        <w:lastRenderedPageBreak/>
        <w:t xml:space="preserve">TERCERO. </w:t>
      </w:r>
      <w:r w:rsidRPr="00E45644">
        <w:rPr>
          <w:rFonts w:ascii="Palatino Linotype" w:hAnsi="Palatino Linotype" w:cs="Palatino Linotype"/>
          <w:b/>
          <w:sz w:val="24"/>
        </w:rPr>
        <w:t>Notifíquese</w:t>
      </w:r>
      <w:r w:rsidRPr="00E45644">
        <w:rPr>
          <w:rFonts w:ascii="Palatino Linotype" w:hAnsi="Palatino Linotype" w:cs="Palatino Linotype"/>
          <w:sz w:val="24"/>
        </w:rPr>
        <w:t xml:space="preserve"> la presente resolución al Recurrente</w:t>
      </w:r>
      <w:r w:rsidRPr="00E45644">
        <w:rPr>
          <w:sz w:val="24"/>
        </w:rPr>
        <w:t xml:space="preserve"> </w:t>
      </w:r>
      <w:r w:rsidRPr="00E45644">
        <w:rPr>
          <w:rFonts w:ascii="Palatino Linotype" w:hAnsi="Palatino Linotype" w:cs="Palatino Linotype"/>
          <w:sz w:val="24"/>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5094235B" w14:textId="3DF8F146"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A5AF155" w14:textId="43E866BA" w:rsidR="007A22B1" w:rsidRPr="007A22B1" w:rsidRDefault="007A22B1" w:rsidP="003111CD">
      <w:pPr>
        <w:widowControl w:val="0"/>
        <w:spacing w:after="0" w:line="360" w:lineRule="auto"/>
        <w:ind w:left="20"/>
        <w:jc w:val="both"/>
        <w:rPr>
          <w:rFonts w:ascii="Palatino Linotype" w:eastAsia="Times New Roman" w:hAnsi="Palatino Linotype" w:cs="Arial"/>
          <w:sz w:val="24"/>
          <w:szCs w:val="24"/>
          <w:lang w:eastAsia="en-US"/>
        </w:rPr>
      </w:pPr>
      <w:r w:rsidRPr="007A22B1">
        <w:rPr>
          <w:rFonts w:ascii="Palatino Linotype" w:eastAsia="Times New Roman" w:hAnsi="Palatino Linotype" w:cs="Arial"/>
          <w:sz w:val="24"/>
          <w:szCs w:val="24"/>
          <w:lang w:eastAsia="en-U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0471B">
        <w:rPr>
          <w:rFonts w:ascii="Palatino Linotype" w:eastAsia="Times New Roman" w:hAnsi="Palatino Linotype" w:cs="Arial"/>
          <w:sz w:val="24"/>
          <w:szCs w:val="24"/>
          <w:lang w:eastAsia="en-US"/>
        </w:rPr>
        <w:t xml:space="preserve">TRIGÉSIMA </w:t>
      </w:r>
      <w:r w:rsidR="00B61B2B">
        <w:rPr>
          <w:rFonts w:ascii="Palatino Linotype" w:eastAsia="Times New Roman" w:hAnsi="Palatino Linotype" w:cs="Arial"/>
          <w:sz w:val="24"/>
          <w:szCs w:val="24"/>
          <w:lang w:eastAsia="en-US"/>
        </w:rPr>
        <w:t>OCTAVA</w:t>
      </w:r>
      <w:r w:rsidRPr="007A22B1">
        <w:rPr>
          <w:rFonts w:ascii="Palatino Linotype" w:eastAsia="Times New Roman" w:hAnsi="Palatino Linotype" w:cs="Arial"/>
          <w:sz w:val="24"/>
          <w:szCs w:val="24"/>
          <w:lang w:eastAsia="en-US"/>
        </w:rPr>
        <w:t xml:space="preserve"> SESIÓN ORDINARIA CELEBRADA EL </w:t>
      </w:r>
      <w:r w:rsidR="009B3A83">
        <w:rPr>
          <w:rFonts w:ascii="Palatino Linotype" w:eastAsia="Times New Roman" w:hAnsi="Palatino Linotype" w:cs="Arial"/>
          <w:sz w:val="24"/>
          <w:szCs w:val="24"/>
          <w:lang w:eastAsia="en-US"/>
        </w:rPr>
        <w:t>SEIS DE NOVIEMBRE</w:t>
      </w:r>
      <w:r w:rsidRPr="007A22B1">
        <w:rPr>
          <w:rFonts w:ascii="Palatino Linotype" w:eastAsia="Times New Roman" w:hAnsi="Palatino Linotype" w:cs="Arial"/>
          <w:sz w:val="24"/>
          <w:szCs w:val="24"/>
          <w:lang w:eastAsia="en-US"/>
        </w:rPr>
        <w:t xml:space="preserve"> DE DOS MIL VEINTICUATRO, ANTE EL SECRETARIO TÉCNICO DEL PLENO, ALEXIS TAPIA RAMÍREZ.-----------------------------------------------------------------------------------------------------------------------------------------------------------------------------------</w:t>
      </w:r>
      <w:r w:rsidR="000835E5" w:rsidRPr="000835E5">
        <w:rPr>
          <w:rFonts w:ascii="Palatino Linotype" w:eastAsia="Times New Roman" w:hAnsi="Palatino Linotype" w:cs="Arial"/>
          <w:sz w:val="24"/>
          <w:szCs w:val="24"/>
          <w:lang w:eastAsia="en-US"/>
        </w:rPr>
        <w:t xml:space="preserve"> </w:t>
      </w:r>
      <w:r w:rsidR="000835E5" w:rsidRPr="007A22B1">
        <w:rPr>
          <w:rFonts w:ascii="Palatino Linotype" w:eastAsia="Times New Roman" w:hAnsi="Palatino Linotype" w:cs="Arial"/>
          <w:sz w:val="24"/>
          <w:szCs w:val="24"/>
          <w:lang w:eastAsia="en-US"/>
        </w:rPr>
        <w:t>------------------------------------------------------------------------------------------------------------------------------------------------------------------------------------------------------------------------------------------------------------------------------------------------------------------------------------------------------------------------------------------------------------------------------------------------------------------------------------------------------------------------------------------------------------------------------------------------</w:t>
      </w:r>
    </w:p>
    <w:p w14:paraId="5DE8F928" w14:textId="55896106" w:rsidR="007A22B1" w:rsidRPr="007A22B1" w:rsidRDefault="00B61B2B" w:rsidP="003111CD">
      <w:pPr>
        <w:widowControl w:val="0"/>
        <w:spacing w:after="0" w:line="360" w:lineRule="auto"/>
        <w:ind w:left="20"/>
        <w:jc w:val="both"/>
        <w:rPr>
          <w:rFonts w:ascii="Palatino Linotype" w:eastAsia="Times New Roman" w:hAnsi="Palatino Linotype" w:cs="Times New Roman"/>
          <w:sz w:val="16"/>
          <w:szCs w:val="18"/>
          <w:lang w:eastAsia="en-US"/>
        </w:rPr>
      </w:pPr>
      <w:r>
        <w:rPr>
          <w:rFonts w:ascii="Palatino Linotype" w:eastAsia="Times New Roman" w:hAnsi="Palatino Linotype" w:cs="Times New Roman"/>
          <w:sz w:val="16"/>
          <w:szCs w:val="18"/>
          <w:lang w:eastAsia="en-US"/>
        </w:rPr>
        <w:t>JMV/CCR/</w:t>
      </w:r>
    </w:p>
    <w:p w14:paraId="4DAB64F9" w14:textId="77777777" w:rsidR="007A22B1" w:rsidRPr="007A22B1" w:rsidRDefault="007A22B1" w:rsidP="003111CD">
      <w:pPr>
        <w:widowControl w:val="0"/>
        <w:spacing w:after="0" w:line="360" w:lineRule="auto"/>
        <w:ind w:left="20"/>
        <w:jc w:val="both"/>
        <w:rPr>
          <w:rFonts w:ascii="Palatino Linotype" w:eastAsia="Times New Roman" w:hAnsi="Palatino Linotype" w:cs="Arial"/>
          <w:sz w:val="24"/>
          <w:szCs w:val="24"/>
          <w:lang w:eastAsia="en-US"/>
        </w:rPr>
      </w:pPr>
    </w:p>
    <w:p w14:paraId="5FBC6CA4"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5AA0A8E4"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07C2072"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14F5ABA7"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FC6F146"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22C878"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17718CB9"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A3042AF"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87B3D98" w14:textId="77777777" w:rsidR="00A970D5" w:rsidRDefault="00A970D5" w:rsidP="003111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519F590A" w:rsidR="00D718B8" w:rsidRPr="00A970D5" w:rsidRDefault="00D718B8" w:rsidP="003111CD">
      <w:pPr>
        <w:spacing w:after="0"/>
      </w:pPr>
    </w:p>
    <w:sectPr w:rsidR="00D718B8" w:rsidRPr="00A970D5" w:rsidSect="00713DD5">
      <w:headerReference w:type="even" r:id="rId9"/>
      <w:headerReference w:type="default" r:id="rId10"/>
      <w:footerReference w:type="default" r:id="rId11"/>
      <w:headerReference w:type="first" r:id="rId12"/>
      <w:footerReference w:type="first" r:id="rId13"/>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84AEB" w14:textId="77777777" w:rsidR="00B72574" w:rsidRDefault="00B72574" w:rsidP="00F2498E">
      <w:pPr>
        <w:spacing w:after="0" w:line="240" w:lineRule="auto"/>
      </w:pPr>
      <w:r>
        <w:separator/>
      </w:r>
    </w:p>
  </w:endnote>
  <w:endnote w:type="continuationSeparator" w:id="0">
    <w:p w14:paraId="7AFE526E" w14:textId="77777777" w:rsidR="00B72574" w:rsidRDefault="00B72574"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6E0757C8" w:rsidR="00013FF2" w:rsidRDefault="00013FF2"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76168">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76168">
      <w:rPr>
        <w:rFonts w:ascii="Palatino Linotype" w:hAnsi="Palatino Linotype"/>
        <w:b/>
        <w:bCs/>
        <w:noProof/>
        <w:sz w:val="20"/>
      </w:rPr>
      <w:t>34</w:t>
    </w:r>
    <w:r w:rsidRPr="00713DD5">
      <w:rPr>
        <w:rFonts w:ascii="Palatino Linotype" w:hAnsi="Palatino Linotype"/>
        <w:b/>
        <w:bCs/>
        <w:sz w:val="20"/>
      </w:rPr>
      <w:fldChar w:fldCharType="end"/>
    </w:r>
  </w:p>
  <w:p w14:paraId="0DA4C4E6" w14:textId="77777777" w:rsidR="00013FF2" w:rsidRPr="000B69FA" w:rsidRDefault="00013FF2"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0E61A644" w:rsidR="00013FF2" w:rsidRDefault="00013FF2"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7616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76168">
      <w:rPr>
        <w:rFonts w:ascii="Palatino Linotype" w:hAnsi="Palatino Linotype"/>
        <w:b/>
        <w:bCs/>
        <w:noProof/>
        <w:sz w:val="20"/>
      </w:rPr>
      <w:t>34</w:t>
    </w:r>
    <w:r w:rsidRPr="00713DD5">
      <w:rPr>
        <w:rFonts w:ascii="Palatino Linotype" w:hAnsi="Palatino Linotype"/>
        <w:b/>
        <w:bCs/>
        <w:sz w:val="20"/>
      </w:rPr>
      <w:fldChar w:fldCharType="end"/>
    </w:r>
  </w:p>
  <w:p w14:paraId="58082FE6" w14:textId="77777777" w:rsidR="00013FF2" w:rsidRPr="000B69FA" w:rsidRDefault="00013FF2"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D6E3B" w14:textId="77777777" w:rsidR="00B72574" w:rsidRDefault="00B72574" w:rsidP="00F2498E">
      <w:pPr>
        <w:spacing w:after="0" w:line="240" w:lineRule="auto"/>
      </w:pPr>
      <w:r>
        <w:separator/>
      </w:r>
    </w:p>
  </w:footnote>
  <w:footnote w:type="continuationSeparator" w:id="0">
    <w:p w14:paraId="4621BBDB" w14:textId="77777777" w:rsidR="00B72574" w:rsidRDefault="00B72574" w:rsidP="00F2498E">
      <w:pPr>
        <w:spacing w:after="0" w:line="240" w:lineRule="auto"/>
      </w:pPr>
      <w:r>
        <w:continuationSeparator/>
      </w:r>
    </w:p>
  </w:footnote>
  <w:footnote w:id="1">
    <w:p w14:paraId="3CFEF12A" w14:textId="77777777" w:rsidR="00E45644" w:rsidRPr="00911081" w:rsidRDefault="00E45644" w:rsidP="00E45644">
      <w:pPr>
        <w:jc w:val="both"/>
        <w:rPr>
          <w:rFonts w:ascii="Palatino Linotype" w:hAnsi="Palatino Linotype"/>
          <w:b/>
          <w:bCs/>
          <w:i/>
          <w:sz w:val="16"/>
          <w:szCs w:val="16"/>
        </w:rPr>
      </w:pPr>
      <w:r>
        <w:rPr>
          <w:rStyle w:val="Refdenotaalpie"/>
          <w:rFonts w:asciiTheme="minorHAnsi" w:eastAsiaTheme="minorEastAsia" w:hAnsiTheme="minorHAnsi"/>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B76AE34" w14:textId="77777777" w:rsidR="00E45644" w:rsidRDefault="00E45644" w:rsidP="00E45644">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C42C841" w14:textId="77777777" w:rsidR="00E45644" w:rsidRDefault="00E45644" w:rsidP="00E45644">
      <w:pPr>
        <w:pStyle w:val="Textonotapie"/>
      </w:pPr>
      <w:r>
        <w:rPr>
          <w:rStyle w:val="Refdenotaalpie"/>
          <w:rFonts w:eastAsiaTheme="minorEastAsia"/>
        </w:rPr>
        <w:footnoteRef/>
      </w:r>
      <w:r>
        <w:t xml:space="preserve"> </w:t>
      </w:r>
      <w:r>
        <w:rPr>
          <w:rFonts w:ascii="Palatino Linotype" w:eastAsia="MS Mincho" w:hAnsi="Palatino Linotype" w:cs="Arial"/>
          <w:sz w:val="16"/>
          <w:szCs w:val="16"/>
        </w:rPr>
        <w:t xml:space="preserve">BURGOA ORIHUELA Ignacio. </w:t>
      </w:r>
      <w:r>
        <w:rPr>
          <w:rFonts w:ascii="Palatino Linotype" w:eastAsia="MS Mincho" w:hAnsi="Palatino Linotype" w:cs="Arial"/>
          <w:i/>
          <w:sz w:val="16"/>
          <w:szCs w:val="16"/>
        </w:rPr>
        <w:t>Diccionario De Derecho Constitucional, Garantías y Amparo</w:t>
      </w:r>
      <w:r>
        <w:rPr>
          <w:rFonts w:ascii="Palatino Linotype" w:eastAsia="MS Mincho" w:hAnsi="Palatino Linotype" w:cs="Arial"/>
          <w:sz w:val="16"/>
          <w:szCs w:val="16"/>
        </w:rPr>
        <w:t>. Ed. Porrúa, S.A., México. 1992. p. 115.</w:t>
      </w:r>
    </w:p>
  </w:footnote>
  <w:footnote w:id="3">
    <w:p w14:paraId="69093DBA" w14:textId="77777777" w:rsidR="00E45644" w:rsidRDefault="00E45644" w:rsidP="00E4564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CIENFUEGOS SALGADO David. </w:t>
      </w:r>
      <w:r>
        <w:rPr>
          <w:rFonts w:ascii="Palatino Linotype" w:eastAsia="MS Mincho" w:hAnsi="Palatino Linotype" w:cs="Arial"/>
          <w:i/>
          <w:sz w:val="16"/>
          <w:szCs w:val="16"/>
          <w:lang w:eastAsia="es-ES"/>
        </w:rPr>
        <w:t xml:space="preserve">El Derecho de Petición en México. </w:t>
      </w:r>
      <w:r>
        <w:rPr>
          <w:rFonts w:ascii="Palatino Linotype" w:eastAsia="MS Mincho" w:hAnsi="Palatino Linotype" w:cs="Arial"/>
          <w:sz w:val="16"/>
          <w:szCs w:val="16"/>
          <w:lang w:eastAsia="es-ES"/>
        </w:rPr>
        <w:t>Ed. Instituto de Investigaciones Jurídica UNAM. México 2004. p. 31</w:t>
      </w:r>
    </w:p>
  </w:footnote>
  <w:footnote w:id="4">
    <w:p w14:paraId="2291F9CA" w14:textId="77777777" w:rsidR="00E45644" w:rsidRDefault="00E45644" w:rsidP="00E4564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ROBLES HERNÁNDEZ José Guadalupe. </w:t>
      </w:r>
      <w:r>
        <w:rPr>
          <w:rFonts w:ascii="Palatino Linotype" w:eastAsia="MS Mincho" w:hAnsi="Palatino Linotype" w:cs="Arial"/>
          <w:i/>
          <w:sz w:val="16"/>
          <w:szCs w:val="16"/>
          <w:lang w:eastAsia="es-ES"/>
        </w:rPr>
        <w:t xml:space="preserve">Derecho de la Información y Comunicación Pública. </w:t>
      </w:r>
      <w:r>
        <w:rPr>
          <w:rFonts w:ascii="Palatino Linotype" w:eastAsia="MS Mincho" w:hAnsi="Palatino Linotype" w:cs="Arial"/>
          <w:sz w:val="16"/>
          <w:szCs w:val="16"/>
          <w:lang w:eastAsia="es-ES"/>
        </w:rPr>
        <w:t>Ed. Universidad de Occidente. México. 2004, p. 72</w:t>
      </w:r>
    </w:p>
  </w:footnote>
  <w:footnote w:id="5">
    <w:p w14:paraId="55287F77" w14:textId="77777777" w:rsidR="00E45644" w:rsidRDefault="00E45644" w:rsidP="00E45644">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VILLANUEVA Ernesto. Derecho de la Información, Ed. Porrúa. </w:t>
      </w:r>
      <w:r>
        <w:rPr>
          <w:rFonts w:ascii="Palatino Linotype" w:eastAsia="MS Mincho" w:hAnsi="Palatino Linotype" w:cs="Arial"/>
          <w:sz w:val="16"/>
          <w:szCs w:val="16"/>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13FF2" w:rsidRDefault="00B76168">
    <w:pPr>
      <w:pStyle w:val="Encabezado"/>
    </w:pPr>
    <w:r>
      <w:rPr>
        <w:noProof/>
        <w:lang w:val="es-MX" w:eastAsia="es-MX"/>
      </w:rPr>
      <w:pict w14:anchorId="065FF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13FF2" w:rsidRPr="00B17577" w14:paraId="37B9EBDE" w14:textId="77777777" w:rsidTr="00713DD5">
      <w:trPr>
        <w:trHeight w:val="227"/>
      </w:trPr>
      <w:tc>
        <w:tcPr>
          <w:tcW w:w="5103" w:type="dxa"/>
          <w:hideMark/>
        </w:tcPr>
        <w:p w14:paraId="4964FBC5" w14:textId="54CDA645" w:rsidR="00013FF2" w:rsidRPr="00096248" w:rsidRDefault="00013FF2"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3ABE960C" w:rsidR="00013FF2" w:rsidRPr="00096248" w:rsidRDefault="00013FF2" w:rsidP="00E57067">
          <w:pPr>
            <w:spacing w:after="0" w:line="360" w:lineRule="auto"/>
            <w:ind w:right="71"/>
            <w:jc w:val="right"/>
            <w:rPr>
              <w:rFonts w:ascii="Palatino Linotype" w:hAnsi="Palatino Linotype" w:cs="Arial"/>
              <w:b/>
              <w:sz w:val="24"/>
              <w:szCs w:val="24"/>
            </w:rPr>
          </w:pPr>
          <w:r>
            <w:rPr>
              <w:rFonts w:ascii="Palatino Linotype" w:hAnsi="Palatino Linotype" w:cs="Arial"/>
              <w:b/>
              <w:bCs/>
              <w:sz w:val="24"/>
              <w:szCs w:val="24"/>
            </w:rPr>
            <w:t>05275</w:t>
          </w:r>
          <w:r w:rsidRPr="008C1BA2">
            <w:rPr>
              <w:rFonts w:ascii="Palatino Linotype" w:hAnsi="Palatino Linotype" w:cs="Arial"/>
              <w:b/>
              <w:bCs/>
              <w:sz w:val="24"/>
              <w:szCs w:val="24"/>
            </w:rPr>
            <w:t>/INFOEM/IP/RR/2024</w:t>
          </w:r>
        </w:p>
      </w:tc>
    </w:tr>
    <w:tr w:rsidR="00013FF2" w14:paraId="7591D3C9" w14:textId="77777777" w:rsidTr="00713DD5">
      <w:trPr>
        <w:trHeight w:val="242"/>
      </w:trPr>
      <w:tc>
        <w:tcPr>
          <w:tcW w:w="5103" w:type="dxa"/>
          <w:hideMark/>
        </w:tcPr>
        <w:p w14:paraId="729A65A8" w14:textId="77777777" w:rsidR="00013FF2" w:rsidRPr="00096248" w:rsidRDefault="00013FF2"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22B697EF" w:rsidR="00013FF2" w:rsidRPr="00096248" w:rsidRDefault="00013FF2" w:rsidP="006E2FB0">
          <w:pPr>
            <w:spacing w:line="240" w:lineRule="auto"/>
            <w:ind w:right="71"/>
            <w:jc w:val="right"/>
            <w:rPr>
              <w:rFonts w:ascii="Palatino Linotype" w:hAnsi="Palatino Linotype" w:cs="Arial"/>
              <w:sz w:val="24"/>
              <w:szCs w:val="24"/>
            </w:rPr>
          </w:pPr>
          <w:r w:rsidRPr="00E57067">
            <w:rPr>
              <w:rFonts w:ascii="Palatino Linotype" w:hAnsi="Palatino Linotype" w:cs="Arial"/>
              <w:sz w:val="24"/>
              <w:szCs w:val="24"/>
            </w:rPr>
            <w:t>Secretaría de Bienestar</w:t>
          </w:r>
        </w:p>
      </w:tc>
    </w:tr>
    <w:tr w:rsidR="00013FF2" w:rsidRPr="00F63239" w14:paraId="037E914D" w14:textId="77777777" w:rsidTr="00713DD5">
      <w:trPr>
        <w:trHeight w:val="342"/>
      </w:trPr>
      <w:tc>
        <w:tcPr>
          <w:tcW w:w="5103" w:type="dxa"/>
          <w:hideMark/>
        </w:tcPr>
        <w:p w14:paraId="7676B68F" w14:textId="64D69EAF" w:rsidR="00013FF2" w:rsidRPr="00096248" w:rsidRDefault="00013FF2"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013FF2" w:rsidRPr="00096248" w:rsidRDefault="00013FF2"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013FF2" w:rsidRDefault="00B76168">
    <w:pPr>
      <w:pStyle w:val="Encabezado"/>
    </w:pPr>
    <w:r>
      <w:rPr>
        <w:noProof/>
        <w:lang w:val="es-MX" w:eastAsia="es-MX"/>
      </w:rPr>
      <w:pict w14:anchorId="5821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margin-left:-78.6pt;margin-top:-141.95pt;width:609.4pt;height:793.75pt;z-index:-25165875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13FF2" w14:paraId="0F9FE9B6" w14:textId="77777777" w:rsidTr="001C3145">
      <w:trPr>
        <w:trHeight w:val="227"/>
      </w:trPr>
      <w:tc>
        <w:tcPr>
          <w:tcW w:w="5103" w:type="dxa"/>
          <w:hideMark/>
        </w:tcPr>
        <w:p w14:paraId="6D1D9D71" w14:textId="11150E5A" w:rsidR="00013FF2" w:rsidRPr="00663A37" w:rsidRDefault="00013FF2"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26E26F52" w:rsidR="00013FF2" w:rsidRPr="00096248" w:rsidRDefault="00013FF2" w:rsidP="00C57E04">
          <w:pPr>
            <w:spacing w:after="0" w:line="36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05275</w:t>
          </w:r>
          <w:r w:rsidRPr="008C1BA2">
            <w:rPr>
              <w:rFonts w:ascii="Palatino Linotype" w:hAnsi="Palatino Linotype" w:cs="Arial"/>
              <w:b/>
              <w:bCs/>
              <w:sz w:val="24"/>
              <w:szCs w:val="24"/>
            </w:rPr>
            <w:t>/INFOEM/IP/RR/2024</w:t>
          </w:r>
        </w:p>
      </w:tc>
    </w:tr>
    <w:tr w:rsidR="00013FF2" w:rsidRPr="001F57CD" w14:paraId="1377D264" w14:textId="77777777" w:rsidTr="001C3145">
      <w:trPr>
        <w:trHeight w:val="196"/>
      </w:trPr>
      <w:tc>
        <w:tcPr>
          <w:tcW w:w="5103" w:type="dxa"/>
          <w:hideMark/>
        </w:tcPr>
        <w:p w14:paraId="04D597A1" w14:textId="77777777" w:rsidR="00013FF2" w:rsidRPr="00663A37" w:rsidRDefault="00013FF2"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26E76ED3" w:rsidR="00013FF2" w:rsidRPr="00663A37" w:rsidRDefault="00B76168" w:rsidP="00C57E04">
          <w:pPr>
            <w:spacing w:after="0" w:line="36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013FF2" w14:paraId="4DC11993" w14:textId="77777777" w:rsidTr="001C3145">
      <w:trPr>
        <w:trHeight w:val="242"/>
      </w:trPr>
      <w:tc>
        <w:tcPr>
          <w:tcW w:w="5103" w:type="dxa"/>
          <w:hideMark/>
        </w:tcPr>
        <w:p w14:paraId="76CEF1B5" w14:textId="77777777" w:rsidR="00013FF2" w:rsidRPr="00663A37" w:rsidRDefault="00013FF2"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0C3A2CEF" w:rsidR="00013FF2" w:rsidRPr="00663A37" w:rsidRDefault="00013FF2" w:rsidP="006E2FB0">
          <w:pPr>
            <w:spacing w:line="240" w:lineRule="auto"/>
            <w:ind w:left="-70" w:right="68"/>
            <w:jc w:val="right"/>
            <w:rPr>
              <w:rFonts w:ascii="Palatino Linotype" w:hAnsi="Palatino Linotype" w:cs="Arial"/>
              <w:sz w:val="24"/>
              <w:szCs w:val="24"/>
            </w:rPr>
          </w:pPr>
          <w:r w:rsidRPr="00E57067">
            <w:rPr>
              <w:rFonts w:ascii="Palatino Linotype" w:hAnsi="Palatino Linotype" w:cs="Arial"/>
              <w:sz w:val="24"/>
              <w:szCs w:val="24"/>
            </w:rPr>
            <w:t>Secretaría de Bienestar</w:t>
          </w:r>
        </w:p>
      </w:tc>
    </w:tr>
    <w:tr w:rsidR="00013FF2" w14:paraId="5C2B511D" w14:textId="77777777" w:rsidTr="001C3145">
      <w:trPr>
        <w:trHeight w:val="342"/>
      </w:trPr>
      <w:tc>
        <w:tcPr>
          <w:tcW w:w="5103" w:type="dxa"/>
          <w:hideMark/>
        </w:tcPr>
        <w:p w14:paraId="03FEF68C" w14:textId="45E91CF4" w:rsidR="00013FF2" w:rsidRPr="00663A37" w:rsidRDefault="00013FF2"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013FF2" w:rsidRPr="00663A37" w:rsidRDefault="00013FF2"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013FF2" w:rsidRDefault="00B76168">
    <w:pPr>
      <w:pStyle w:val="Encabezado"/>
    </w:pPr>
    <w:r>
      <w:rPr>
        <w:noProof/>
        <w:lang w:val="es-MX" w:eastAsia="es-MX"/>
      </w:rPr>
      <w:pict w14:anchorId="2DF73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78.45pt;margin-top:-142.2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10511ED4"/>
    <w:multiLevelType w:val="hybridMultilevel"/>
    <w:tmpl w:val="FFCE3C74"/>
    <w:lvl w:ilvl="0" w:tplc="FF7E0B9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45469F"/>
    <w:multiLevelType w:val="hybridMultilevel"/>
    <w:tmpl w:val="1946111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244829EC"/>
    <w:multiLevelType w:val="multilevel"/>
    <w:tmpl w:val="A3CEBA52"/>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5C125B"/>
    <w:multiLevelType w:val="hybridMultilevel"/>
    <w:tmpl w:val="AAFE46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F33F2A"/>
    <w:multiLevelType w:val="hybridMultilevel"/>
    <w:tmpl w:val="7870FCB6"/>
    <w:lvl w:ilvl="0" w:tplc="7518B9B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38FA072C"/>
    <w:multiLevelType w:val="hybridMultilevel"/>
    <w:tmpl w:val="88DA8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3" w15:restartNumberingAfterBreak="0">
    <w:nsid w:val="44B47540"/>
    <w:multiLevelType w:val="multilevel"/>
    <w:tmpl w:val="E3640FB0"/>
    <w:styleLink w:val="Listaactual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300D2B"/>
    <w:multiLevelType w:val="hybridMultilevel"/>
    <w:tmpl w:val="3FEE0B8C"/>
    <w:lvl w:ilvl="0" w:tplc="7104058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52C7615A"/>
    <w:multiLevelType w:val="hybridMultilevel"/>
    <w:tmpl w:val="90A4911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0" w15:restartNumberingAfterBreak="0">
    <w:nsid w:val="77072974"/>
    <w:multiLevelType w:val="multilevel"/>
    <w:tmpl w:val="D00AA6DE"/>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8"/>
  </w:num>
  <w:num w:numId="3">
    <w:abstractNumId w:val="1"/>
  </w:num>
  <w:num w:numId="4">
    <w:abstractNumId w:val="17"/>
  </w:num>
  <w:num w:numId="5">
    <w:abstractNumId w:val="15"/>
  </w:num>
  <w:num w:numId="6">
    <w:abstractNumId w:val="3"/>
  </w:num>
  <w:num w:numId="7">
    <w:abstractNumId w:val="5"/>
  </w:num>
  <w:num w:numId="8">
    <w:abstractNumId w:val="14"/>
  </w:num>
  <w:num w:numId="9">
    <w:abstractNumId w:val="20"/>
  </w:num>
  <w:num w:numId="10">
    <w:abstractNumId w:val="7"/>
  </w:num>
  <w:num w:numId="11">
    <w:abstractNumId w:val="13"/>
  </w:num>
  <w:num w:numId="12">
    <w:abstractNumId w:val="16"/>
  </w:num>
  <w:num w:numId="13">
    <w:abstractNumId w:val="9"/>
  </w:num>
  <w:num w:numId="14">
    <w:abstractNumId w:val="8"/>
  </w:num>
  <w:num w:numId="15">
    <w:abstractNumId w:val="0"/>
  </w:num>
  <w:num w:numId="16">
    <w:abstractNumId w:val="4"/>
  </w:num>
  <w:num w:numId="17">
    <w:abstractNumId w:val="10"/>
  </w:num>
  <w:num w:numId="18">
    <w:abstractNumId w:val="6"/>
  </w:num>
  <w:num w:numId="19">
    <w:abstractNumId w:val="12"/>
  </w:num>
  <w:num w:numId="20">
    <w:abstractNumId w:val="2"/>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3F45"/>
    <w:rsid w:val="00006C12"/>
    <w:rsid w:val="00007857"/>
    <w:rsid w:val="0001151F"/>
    <w:rsid w:val="00011CCA"/>
    <w:rsid w:val="00012BEE"/>
    <w:rsid w:val="00012D78"/>
    <w:rsid w:val="00013FF2"/>
    <w:rsid w:val="00015487"/>
    <w:rsid w:val="000171BE"/>
    <w:rsid w:val="00021122"/>
    <w:rsid w:val="00021165"/>
    <w:rsid w:val="00024A6D"/>
    <w:rsid w:val="00026582"/>
    <w:rsid w:val="00031BA3"/>
    <w:rsid w:val="00033479"/>
    <w:rsid w:val="00033562"/>
    <w:rsid w:val="00035A30"/>
    <w:rsid w:val="00036D5F"/>
    <w:rsid w:val="00036EFC"/>
    <w:rsid w:val="00040A10"/>
    <w:rsid w:val="00041670"/>
    <w:rsid w:val="000417BE"/>
    <w:rsid w:val="00041AE7"/>
    <w:rsid w:val="00041DEA"/>
    <w:rsid w:val="00042C95"/>
    <w:rsid w:val="000436BC"/>
    <w:rsid w:val="00045468"/>
    <w:rsid w:val="00045F86"/>
    <w:rsid w:val="00051732"/>
    <w:rsid w:val="00051F5E"/>
    <w:rsid w:val="0005219F"/>
    <w:rsid w:val="0005241C"/>
    <w:rsid w:val="00054689"/>
    <w:rsid w:val="0005480B"/>
    <w:rsid w:val="00054F6A"/>
    <w:rsid w:val="00055891"/>
    <w:rsid w:val="00055C90"/>
    <w:rsid w:val="000564B5"/>
    <w:rsid w:val="000575E4"/>
    <w:rsid w:val="0005787D"/>
    <w:rsid w:val="00057B42"/>
    <w:rsid w:val="00060716"/>
    <w:rsid w:val="00061B46"/>
    <w:rsid w:val="00061B8D"/>
    <w:rsid w:val="00064854"/>
    <w:rsid w:val="00065463"/>
    <w:rsid w:val="000666B3"/>
    <w:rsid w:val="000676A2"/>
    <w:rsid w:val="0007107B"/>
    <w:rsid w:val="000739AF"/>
    <w:rsid w:val="00075586"/>
    <w:rsid w:val="00075D5E"/>
    <w:rsid w:val="00076332"/>
    <w:rsid w:val="0007660C"/>
    <w:rsid w:val="00077A55"/>
    <w:rsid w:val="00077F28"/>
    <w:rsid w:val="000802BA"/>
    <w:rsid w:val="00082E5D"/>
    <w:rsid w:val="00083498"/>
    <w:rsid w:val="000835E5"/>
    <w:rsid w:val="0008496A"/>
    <w:rsid w:val="00085EA2"/>
    <w:rsid w:val="0008628E"/>
    <w:rsid w:val="0008737D"/>
    <w:rsid w:val="00087AFB"/>
    <w:rsid w:val="00087F54"/>
    <w:rsid w:val="00090297"/>
    <w:rsid w:val="00092681"/>
    <w:rsid w:val="00092D82"/>
    <w:rsid w:val="0009328A"/>
    <w:rsid w:val="0009397B"/>
    <w:rsid w:val="00094B23"/>
    <w:rsid w:val="00094FD7"/>
    <w:rsid w:val="0009609D"/>
    <w:rsid w:val="00096248"/>
    <w:rsid w:val="000A110B"/>
    <w:rsid w:val="000A2F65"/>
    <w:rsid w:val="000A3F41"/>
    <w:rsid w:val="000A4EFA"/>
    <w:rsid w:val="000A5C0C"/>
    <w:rsid w:val="000A5EA1"/>
    <w:rsid w:val="000B1F27"/>
    <w:rsid w:val="000B28CF"/>
    <w:rsid w:val="000B51CE"/>
    <w:rsid w:val="000B5608"/>
    <w:rsid w:val="000B65C3"/>
    <w:rsid w:val="000C0203"/>
    <w:rsid w:val="000C066A"/>
    <w:rsid w:val="000C06FE"/>
    <w:rsid w:val="000C0E5D"/>
    <w:rsid w:val="000C2D59"/>
    <w:rsid w:val="000C416A"/>
    <w:rsid w:val="000C447E"/>
    <w:rsid w:val="000C51AF"/>
    <w:rsid w:val="000C661C"/>
    <w:rsid w:val="000C7472"/>
    <w:rsid w:val="000C7F8F"/>
    <w:rsid w:val="000D14DA"/>
    <w:rsid w:val="000D49FB"/>
    <w:rsid w:val="000D5244"/>
    <w:rsid w:val="000D55D2"/>
    <w:rsid w:val="000D5634"/>
    <w:rsid w:val="000D5C00"/>
    <w:rsid w:val="000D772A"/>
    <w:rsid w:val="000E06A3"/>
    <w:rsid w:val="000E0D32"/>
    <w:rsid w:val="000E1FD4"/>
    <w:rsid w:val="000E37D0"/>
    <w:rsid w:val="000E4AFE"/>
    <w:rsid w:val="000E4EBC"/>
    <w:rsid w:val="000E74D7"/>
    <w:rsid w:val="000F114E"/>
    <w:rsid w:val="000F146C"/>
    <w:rsid w:val="000F196A"/>
    <w:rsid w:val="000F54F6"/>
    <w:rsid w:val="0010147E"/>
    <w:rsid w:val="00103C89"/>
    <w:rsid w:val="001050A9"/>
    <w:rsid w:val="001059AF"/>
    <w:rsid w:val="001067FE"/>
    <w:rsid w:val="00107256"/>
    <w:rsid w:val="001116B7"/>
    <w:rsid w:val="0011295F"/>
    <w:rsid w:val="00114F1E"/>
    <w:rsid w:val="00115495"/>
    <w:rsid w:val="00116E4B"/>
    <w:rsid w:val="00116F6B"/>
    <w:rsid w:val="001235A0"/>
    <w:rsid w:val="00123D0B"/>
    <w:rsid w:val="00130C18"/>
    <w:rsid w:val="00131C40"/>
    <w:rsid w:val="00131C6C"/>
    <w:rsid w:val="00131F2D"/>
    <w:rsid w:val="0013657B"/>
    <w:rsid w:val="00136A94"/>
    <w:rsid w:val="00142D35"/>
    <w:rsid w:val="00143E8A"/>
    <w:rsid w:val="00144A6E"/>
    <w:rsid w:val="00144BA8"/>
    <w:rsid w:val="00145C22"/>
    <w:rsid w:val="001464CD"/>
    <w:rsid w:val="00150293"/>
    <w:rsid w:val="001502AD"/>
    <w:rsid w:val="001509C0"/>
    <w:rsid w:val="00151431"/>
    <w:rsid w:val="00151FF5"/>
    <w:rsid w:val="00153BFA"/>
    <w:rsid w:val="00154F75"/>
    <w:rsid w:val="00155CC6"/>
    <w:rsid w:val="00155F53"/>
    <w:rsid w:val="001564E3"/>
    <w:rsid w:val="001568D5"/>
    <w:rsid w:val="001624E8"/>
    <w:rsid w:val="0016322B"/>
    <w:rsid w:val="0016339A"/>
    <w:rsid w:val="00165898"/>
    <w:rsid w:val="00166171"/>
    <w:rsid w:val="00167DF0"/>
    <w:rsid w:val="00171192"/>
    <w:rsid w:val="00171BBC"/>
    <w:rsid w:val="0017523B"/>
    <w:rsid w:val="00175B42"/>
    <w:rsid w:val="00176522"/>
    <w:rsid w:val="0017682E"/>
    <w:rsid w:val="001809A8"/>
    <w:rsid w:val="00181A9D"/>
    <w:rsid w:val="00182FC0"/>
    <w:rsid w:val="00184AEA"/>
    <w:rsid w:val="0018577B"/>
    <w:rsid w:val="00185C61"/>
    <w:rsid w:val="00190B5A"/>
    <w:rsid w:val="00190F59"/>
    <w:rsid w:val="00192D02"/>
    <w:rsid w:val="0019539C"/>
    <w:rsid w:val="001957E6"/>
    <w:rsid w:val="00195845"/>
    <w:rsid w:val="0019584A"/>
    <w:rsid w:val="001960AD"/>
    <w:rsid w:val="001A057E"/>
    <w:rsid w:val="001A0AFD"/>
    <w:rsid w:val="001A0E96"/>
    <w:rsid w:val="001A1BDB"/>
    <w:rsid w:val="001A316F"/>
    <w:rsid w:val="001A3C5F"/>
    <w:rsid w:val="001A44D9"/>
    <w:rsid w:val="001A4BDF"/>
    <w:rsid w:val="001A6849"/>
    <w:rsid w:val="001A773B"/>
    <w:rsid w:val="001B0259"/>
    <w:rsid w:val="001B2238"/>
    <w:rsid w:val="001B28D1"/>
    <w:rsid w:val="001B323D"/>
    <w:rsid w:val="001B3FD2"/>
    <w:rsid w:val="001B6C2D"/>
    <w:rsid w:val="001B7147"/>
    <w:rsid w:val="001C087E"/>
    <w:rsid w:val="001C0F32"/>
    <w:rsid w:val="001C2099"/>
    <w:rsid w:val="001C2C72"/>
    <w:rsid w:val="001C3145"/>
    <w:rsid w:val="001C3387"/>
    <w:rsid w:val="001C54A1"/>
    <w:rsid w:val="001C5CD0"/>
    <w:rsid w:val="001C72C0"/>
    <w:rsid w:val="001C7347"/>
    <w:rsid w:val="001C7697"/>
    <w:rsid w:val="001C7C31"/>
    <w:rsid w:val="001D1B77"/>
    <w:rsid w:val="001D225B"/>
    <w:rsid w:val="001D3563"/>
    <w:rsid w:val="001D3EE2"/>
    <w:rsid w:val="001D41E0"/>
    <w:rsid w:val="001D4382"/>
    <w:rsid w:val="001D6CA8"/>
    <w:rsid w:val="001E04CC"/>
    <w:rsid w:val="001E2186"/>
    <w:rsid w:val="001E35AE"/>
    <w:rsid w:val="001E5453"/>
    <w:rsid w:val="001E5C3D"/>
    <w:rsid w:val="001E678B"/>
    <w:rsid w:val="001F0D35"/>
    <w:rsid w:val="001F120C"/>
    <w:rsid w:val="001F2BC9"/>
    <w:rsid w:val="001F408E"/>
    <w:rsid w:val="001F4860"/>
    <w:rsid w:val="001F4EDD"/>
    <w:rsid w:val="001F57CD"/>
    <w:rsid w:val="001F5B07"/>
    <w:rsid w:val="001F5E58"/>
    <w:rsid w:val="001F6270"/>
    <w:rsid w:val="001F7890"/>
    <w:rsid w:val="00200FAD"/>
    <w:rsid w:val="00201765"/>
    <w:rsid w:val="0020257F"/>
    <w:rsid w:val="0020471B"/>
    <w:rsid w:val="00204947"/>
    <w:rsid w:val="00204AA1"/>
    <w:rsid w:val="00204ACB"/>
    <w:rsid w:val="00205FAC"/>
    <w:rsid w:val="0020763C"/>
    <w:rsid w:val="00207E11"/>
    <w:rsid w:val="0021063D"/>
    <w:rsid w:val="00210714"/>
    <w:rsid w:val="0021327B"/>
    <w:rsid w:val="00214B09"/>
    <w:rsid w:val="002155ED"/>
    <w:rsid w:val="0021627B"/>
    <w:rsid w:val="0021698E"/>
    <w:rsid w:val="00216D13"/>
    <w:rsid w:val="00220265"/>
    <w:rsid w:val="002207CF"/>
    <w:rsid w:val="0022245F"/>
    <w:rsid w:val="00224FEA"/>
    <w:rsid w:val="002264AE"/>
    <w:rsid w:val="00227691"/>
    <w:rsid w:val="00227DBC"/>
    <w:rsid w:val="002302B8"/>
    <w:rsid w:val="0023118D"/>
    <w:rsid w:val="00232621"/>
    <w:rsid w:val="0023293E"/>
    <w:rsid w:val="00232A7A"/>
    <w:rsid w:val="00232DA5"/>
    <w:rsid w:val="00232F87"/>
    <w:rsid w:val="002338B9"/>
    <w:rsid w:val="00234061"/>
    <w:rsid w:val="002349A9"/>
    <w:rsid w:val="0023573F"/>
    <w:rsid w:val="00236B9A"/>
    <w:rsid w:val="002372F0"/>
    <w:rsid w:val="00240046"/>
    <w:rsid w:val="002432E1"/>
    <w:rsid w:val="00243315"/>
    <w:rsid w:val="00245AC1"/>
    <w:rsid w:val="00252443"/>
    <w:rsid w:val="002547B2"/>
    <w:rsid w:val="0025565C"/>
    <w:rsid w:val="00255FD1"/>
    <w:rsid w:val="00256CE0"/>
    <w:rsid w:val="00261A13"/>
    <w:rsid w:val="00264CA1"/>
    <w:rsid w:val="00264D3B"/>
    <w:rsid w:val="0026506A"/>
    <w:rsid w:val="002704DF"/>
    <w:rsid w:val="00270F03"/>
    <w:rsid w:val="002710B5"/>
    <w:rsid w:val="0027116F"/>
    <w:rsid w:val="002729A0"/>
    <w:rsid w:val="00273F5F"/>
    <w:rsid w:val="00273F7C"/>
    <w:rsid w:val="0027555F"/>
    <w:rsid w:val="00275719"/>
    <w:rsid w:val="00275B2A"/>
    <w:rsid w:val="00277BCA"/>
    <w:rsid w:val="00280398"/>
    <w:rsid w:val="002811E3"/>
    <w:rsid w:val="00282431"/>
    <w:rsid w:val="00282E9E"/>
    <w:rsid w:val="00283D5E"/>
    <w:rsid w:val="00284245"/>
    <w:rsid w:val="00285034"/>
    <w:rsid w:val="00285A94"/>
    <w:rsid w:val="002913C5"/>
    <w:rsid w:val="00291DE2"/>
    <w:rsid w:val="0029208D"/>
    <w:rsid w:val="00292258"/>
    <w:rsid w:val="0029225E"/>
    <w:rsid w:val="00293F85"/>
    <w:rsid w:val="0029482F"/>
    <w:rsid w:val="00294892"/>
    <w:rsid w:val="00296073"/>
    <w:rsid w:val="00296626"/>
    <w:rsid w:val="00296E92"/>
    <w:rsid w:val="00297212"/>
    <w:rsid w:val="002A02E8"/>
    <w:rsid w:val="002A1797"/>
    <w:rsid w:val="002A51B8"/>
    <w:rsid w:val="002A5ADD"/>
    <w:rsid w:val="002A5FDF"/>
    <w:rsid w:val="002A6FCE"/>
    <w:rsid w:val="002A7501"/>
    <w:rsid w:val="002B0EA1"/>
    <w:rsid w:val="002B317E"/>
    <w:rsid w:val="002B3CE2"/>
    <w:rsid w:val="002B40FF"/>
    <w:rsid w:val="002B5F48"/>
    <w:rsid w:val="002B7549"/>
    <w:rsid w:val="002C0E65"/>
    <w:rsid w:val="002C15CA"/>
    <w:rsid w:val="002C1DAF"/>
    <w:rsid w:val="002C26CD"/>
    <w:rsid w:val="002C2C08"/>
    <w:rsid w:val="002C42A2"/>
    <w:rsid w:val="002C4718"/>
    <w:rsid w:val="002C5804"/>
    <w:rsid w:val="002C6010"/>
    <w:rsid w:val="002C7329"/>
    <w:rsid w:val="002C7EC4"/>
    <w:rsid w:val="002D15F2"/>
    <w:rsid w:val="002D2F05"/>
    <w:rsid w:val="002D4953"/>
    <w:rsid w:val="002D5CCE"/>
    <w:rsid w:val="002D785E"/>
    <w:rsid w:val="002E0FE2"/>
    <w:rsid w:val="002E1484"/>
    <w:rsid w:val="002E2D8A"/>
    <w:rsid w:val="002E37DA"/>
    <w:rsid w:val="002E40AD"/>
    <w:rsid w:val="002E72F0"/>
    <w:rsid w:val="002F0538"/>
    <w:rsid w:val="002F368E"/>
    <w:rsid w:val="002F3AAF"/>
    <w:rsid w:val="002F40FF"/>
    <w:rsid w:val="002F5101"/>
    <w:rsid w:val="002F713F"/>
    <w:rsid w:val="002F799E"/>
    <w:rsid w:val="002F7D3E"/>
    <w:rsid w:val="00300919"/>
    <w:rsid w:val="00302BF3"/>
    <w:rsid w:val="00302D8C"/>
    <w:rsid w:val="00302ED1"/>
    <w:rsid w:val="00303F92"/>
    <w:rsid w:val="00304386"/>
    <w:rsid w:val="003049E4"/>
    <w:rsid w:val="00310825"/>
    <w:rsid w:val="003111CD"/>
    <w:rsid w:val="00312106"/>
    <w:rsid w:val="003126FB"/>
    <w:rsid w:val="00313170"/>
    <w:rsid w:val="00315AE3"/>
    <w:rsid w:val="00315CA2"/>
    <w:rsid w:val="00316A7B"/>
    <w:rsid w:val="00324F09"/>
    <w:rsid w:val="0033070B"/>
    <w:rsid w:val="00331513"/>
    <w:rsid w:val="0033491A"/>
    <w:rsid w:val="00337088"/>
    <w:rsid w:val="00337638"/>
    <w:rsid w:val="00340ADD"/>
    <w:rsid w:val="00341178"/>
    <w:rsid w:val="00341B42"/>
    <w:rsid w:val="003423FC"/>
    <w:rsid w:val="00342E36"/>
    <w:rsid w:val="00344766"/>
    <w:rsid w:val="00344AD3"/>
    <w:rsid w:val="00345089"/>
    <w:rsid w:val="00345687"/>
    <w:rsid w:val="00345708"/>
    <w:rsid w:val="00346373"/>
    <w:rsid w:val="003467CD"/>
    <w:rsid w:val="00347747"/>
    <w:rsid w:val="003505B2"/>
    <w:rsid w:val="0035063B"/>
    <w:rsid w:val="00351379"/>
    <w:rsid w:val="00352677"/>
    <w:rsid w:val="0035393E"/>
    <w:rsid w:val="00360189"/>
    <w:rsid w:val="0036188D"/>
    <w:rsid w:val="00362013"/>
    <w:rsid w:val="0036336C"/>
    <w:rsid w:val="00364C0A"/>
    <w:rsid w:val="003713C2"/>
    <w:rsid w:val="0037172A"/>
    <w:rsid w:val="0037269A"/>
    <w:rsid w:val="00374DDB"/>
    <w:rsid w:val="0037526D"/>
    <w:rsid w:val="003839F9"/>
    <w:rsid w:val="00384A4B"/>
    <w:rsid w:val="00385421"/>
    <w:rsid w:val="00386794"/>
    <w:rsid w:val="00386A48"/>
    <w:rsid w:val="00387CF3"/>
    <w:rsid w:val="00390611"/>
    <w:rsid w:val="00392022"/>
    <w:rsid w:val="0039214E"/>
    <w:rsid w:val="0039256B"/>
    <w:rsid w:val="003931EA"/>
    <w:rsid w:val="0039393F"/>
    <w:rsid w:val="00393CC5"/>
    <w:rsid w:val="00397677"/>
    <w:rsid w:val="003A0B24"/>
    <w:rsid w:val="003A0BF2"/>
    <w:rsid w:val="003A0F14"/>
    <w:rsid w:val="003A3A32"/>
    <w:rsid w:val="003A4C15"/>
    <w:rsid w:val="003A59A6"/>
    <w:rsid w:val="003A6D5C"/>
    <w:rsid w:val="003A7D55"/>
    <w:rsid w:val="003A7ED9"/>
    <w:rsid w:val="003B10FB"/>
    <w:rsid w:val="003B1154"/>
    <w:rsid w:val="003B1752"/>
    <w:rsid w:val="003B3474"/>
    <w:rsid w:val="003B4D9A"/>
    <w:rsid w:val="003B5841"/>
    <w:rsid w:val="003B595A"/>
    <w:rsid w:val="003B7208"/>
    <w:rsid w:val="003B7403"/>
    <w:rsid w:val="003C1100"/>
    <w:rsid w:val="003C1CFB"/>
    <w:rsid w:val="003C1DE6"/>
    <w:rsid w:val="003C30DA"/>
    <w:rsid w:val="003C4FF5"/>
    <w:rsid w:val="003C501E"/>
    <w:rsid w:val="003D0AE2"/>
    <w:rsid w:val="003D17AF"/>
    <w:rsid w:val="003D3477"/>
    <w:rsid w:val="003D372B"/>
    <w:rsid w:val="003D5450"/>
    <w:rsid w:val="003D70D0"/>
    <w:rsid w:val="003D7760"/>
    <w:rsid w:val="003E13A1"/>
    <w:rsid w:val="003E2955"/>
    <w:rsid w:val="003E44DA"/>
    <w:rsid w:val="003E468A"/>
    <w:rsid w:val="003E6E17"/>
    <w:rsid w:val="003F2491"/>
    <w:rsid w:val="003F308A"/>
    <w:rsid w:val="003F4582"/>
    <w:rsid w:val="003F5D5C"/>
    <w:rsid w:val="003F6192"/>
    <w:rsid w:val="0040028D"/>
    <w:rsid w:val="00400915"/>
    <w:rsid w:val="00403319"/>
    <w:rsid w:val="00403909"/>
    <w:rsid w:val="00406793"/>
    <w:rsid w:val="00411F8F"/>
    <w:rsid w:val="004135D8"/>
    <w:rsid w:val="00414020"/>
    <w:rsid w:val="0041428D"/>
    <w:rsid w:val="00415270"/>
    <w:rsid w:val="004154DB"/>
    <w:rsid w:val="00417379"/>
    <w:rsid w:val="004176BF"/>
    <w:rsid w:val="004204D0"/>
    <w:rsid w:val="00420AC4"/>
    <w:rsid w:val="004232C6"/>
    <w:rsid w:val="00426124"/>
    <w:rsid w:val="00426F24"/>
    <w:rsid w:val="004310BB"/>
    <w:rsid w:val="004338C7"/>
    <w:rsid w:val="00433E65"/>
    <w:rsid w:val="00434C3F"/>
    <w:rsid w:val="004406B5"/>
    <w:rsid w:val="00444E7F"/>
    <w:rsid w:val="00445514"/>
    <w:rsid w:val="00445853"/>
    <w:rsid w:val="00447748"/>
    <w:rsid w:val="00447A90"/>
    <w:rsid w:val="0045354B"/>
    <w:rsid w:val="00453687"/>
    <w:rsid w:val="004536F3"/>
    <w:rsid w:val="004558BD"/>
    <w:rsid w:val="004579DC"/>
    <w:rsid w:val="00460C5B"/>
    <w:rsid w:val="004615D3"/>
    <w:rsid w:val="0046281E"/>
    <w:rsid w:val="00463909"/>
    <w:rsid w:val="00464D6B"/>
    <w:rsid w:val="00467C83"/>
    <w:rsid w:val="00471E09"/>
    <w:rsid w:val="004728C4"/>
    <w:rsid w:val="00473C7A"/>
    <w:rsid w:val="00474C35"/>
    <w:rsid w:val="004750A1"/>
    <w:rsid w:val="004769A4"/>
    <w:rsid w:val="00480212"/>
    <w:rsid w:val="00480D99"/>
    <w:rsid w:val="00483716"/>
    <w:rsid w:val="00483EC9"/>
    <w:rsid w:val="004841AE"/>
    <w:rsid w:val="00484C7F"/>
    <w:rsid w:val="00484E71"/>
    <w:rsid w:val="00485194"/>
    <w:rsid w:val="00486C31"/>
    <w:rsid w:val="00487BBD"/>
    <w:rsid w:val="0049095E"/>
    <w:rsid w:val="0049216F"/>
    <w:rsid w:val="004928F5"/>
    <w:rsid w:val="004933FC"/>
    <w:rsid w:val="00494029"/>
    <w:rsid w:val="004A0E7A"/>
    <w:rsid w:val="004A2091"/>
    <w:rsid w:val="004A212C"/>
    <w:rsid w:val="004A4D40"/>
    <w:rsid w:val="004A6D54"/>
    <w:rsid w:val="004B0090"/>
    <w:rsid w:val="004B05C6"/>
    <w:rsid w:val="004B1A74"/>
    <w:rsid w:val="004B3514"/>
    <w:rsid w:val="004B3867"/>
    <w:rsid w:val="004B3EDF"/>
    <w:rsid w:val="004C0315"/>
    <w:rsid w:val="004C0799"/>
    <w:rsid w:val="004C09C8"/>
    <w:rsid w:val="004C11B9"/>
    <w:rsid w:val="004C2BB4"/>
    <w:rsid w:val="004C3C1C"/>
    <w:rsid w:val="004C3E4F"/>
    <w:rsid w:val="004C43C9"/>
    <w:rsid w:val="004C4418"/>
    <w:rsid w:val="004C45FA"/>
    <w:rsid w:val="004C4707"/>
    <w:rsid w:val="004C4BB7"/>
    <w:rsid w:val="004C6779"/>
    <w:rsid w:val="004C7D54"/>
    <w:rsid w:val="004D0CC4"/>
    <w:rsid w:val="004D571F"/>
    <w:rsid w:val="004D6095"/>
    <w:rsid w:val="004D66AD"/>
    <w:rsid w:val="004E07A1"/>
    <w:rsid w:val="004E1729"/>
    <w:rsid w:val="004E1B3C"/>
    <w:rsid w:val="004E3959"/>
    <w:rsid w:val="004E3F86"/>
    <w:rsid w:val="004E4AD1"/>
    <w:rsid w:val="004E5659"/>
    <w:rsid w:val="004E6E5F"/>
    <w:rsid w:val="004E77E1"/>
    <w:rsid w:val="004F0AB7"/>
    <w:rsid w:val="004F15D9"/>
    <w:rsid w:val="004F24DA"/>
    <w:rsid w:val="004F3291"/>
    <w:rsid w:val="004F32D0"/>
    <w:rsid w:val="004F483D"/>
    <w:rsid w:val="004F6671"/>
    <w:rsid w:val="004F6871"/>
    <w:rsid w:val="004F78C4"/>
    <w:rsid w:val="004F7F58"/>
    <w:rsid w:val="00500E29"/>
    <w:rsid w:val="005025C7"/>
    <w:rsid w:val="00504957"/>
    <w:rsid w:val="00504B42"/>
    <w:rsid w:val="00506DB2"/>
    <w:rsid w:val="00510870"/>
    <w:rsid w:val="00511AE4"/>
    <w:rsid w:val="00512A53"/>
    <w:rsid w:val="00513D8C"/>
    <w:rsid w:val="0051421A"/>
    <w:rsid w:val="005159EC"/>
    <w:rsid w:val="00515E8C"/>
    <w:rsid w:val="00516890"/>
    <w:rsid w:val="00516A4D"/>
    <w:rsid w:val="00517649"/>
    <w:rsid w:val="00521628"/>
    <w:rsid w:val="0052214D"/>
    <w:rsid w:val="00525F6D"/>
    <w:rsid w:val="0052661E"/>
    <w:rsid w:val="00526627"/>
    <w:rsid w:val="00527EF6"/>
    <w:rsid w:val="00531016"/>
    <w:rsid w:val="00532218"/>
    <w:rsid w:val="00532436"/>
    <w:rsid w:val="00533849"/>
    <w:rsid w:val="00533D56"/>
    <w:rsid w:val="00535912"/>
    <w:rsid w:val="005367E7"/>
    <w:rsid w:val="00542B22"/>
    <w:rsid w:val="00542CDB"/>
    <w:rsid w:val="00543B75"/>
    <w:rsid w:val="00544041"/>
    <w:rsid w:val="005449D0"/>
    <w:rsid w:val="00550ECE"/>
    <w:rsid w:val="005515F8"/>
    <w:rsid w:val="00553B9B"/>
    <w:rsid w:val="0055407F"/>
    <w:rsid w:val="005543AF"/>
    <w:rsid w:val="00554BD4"/>
    <w:rsid w:val="00555CE3"/>
    <w:rsid w:val="0055603D"/>
    <w:rsid w:val="005600CD"/>
    <w:rsid w:val="00560E60"/>
    <w:rsid w:val="00562117"/>
    <w:rsid w:val="0056402C"/>
    <w:rsid w:val="00564672"/>
    <w:rsid w:val="0056494C"/>
    <w:rsid w:val="00564DDB"/>
    <w:rsid w:val="00565921"/>
    <w:rsid w:val="005660D0"/>
    <w:rsid w:val="00566380"/>
    <w:rsid w:val="0056658C"/>
    <w:rsid w:val="005701EF"/>
    <w:rsid w:val="00570551"/>
    <w:rsid w:val="00571527"/>
    <w:rsid w:val="005727FC"/>
    <w:rsid w:val="00572C2A"/>
    <w:rsid w:val="00572F6A"/>
    <w:rsid w:val="00573B2C"/>
    <w:rsid w:val="00573B96"/>
    <w:rsid w:val="005742BF"/>
    <w:rsid w:val="00574D31"/>
    <w:rsid w:val="0057563A"/>
    <w:rsid w:val="005807A8"/>
    <w:rsid w:val="00580D15"/>
    <w:rsid w:val="005836DA"/>
    <w:rsid w:val="00584C51"/>
    <w:rsid w:val="00587B1E"/>
    <w:rsid w:val="00587E84"/>
    <w:rsid w:val="005909C1"/>
    <w:rsid w:val="005913E6"/>
    <w:rsid w:val="005944ED"/>
    <w:rsid w:val="005964D7"/>
    <w:rsid w:val="00596D61"/>
    <w:rsid w:val="00597018"/>
    <w:rsid w:val="005A0521"/>
    <w:rsid w:val="005A2F92"/>
    <w:rsid w:val="005A43E7"/>
    <w:rsid w:val="005A4480"/>
    <w:rsid w:val="005A60E9"/>
    <w:rsid w:val="005A7E33"/>
    <w:rsid w:val="005B10CC"/>
    <w:rsid w:val="005B52A0"/>
    <w:rsid w:val="005B538B"/>
    <w:rsid w:val="005B6FFD"/>
    <w:rsid w:val="005B72D5"/>
    <w:rsid w:val="005C196C"/>
    <w:rsid w:val="005C32BE"/>
    <w:rsid w:val="005C3DF3"/>
    <w:rsid w:val="005C5501"/>
    <w:rsid w:val="005C701A"/>
    <w:rsid w:val="005C7AFE"/>
    <w:rsid w:val="005D01B4"/>
    <w:rsid w:val="005D10B3"/>
    <w:rsid w:val="005D158D"/>
    <w:rsid w:val="005D22BC"/>
    <w:rsid w:val="005D3A5F"/>
    <w:rsid w:val="005D6CE0"/>
    <w:rsid w:val="005E10A5"/>
    <w:rsid w:val="005E1AEC"/>
    <w:rsid w:val="005E21DE"/>
    <w:rsid w:val="005E24C2"/>
    <w:rsid w:val="005E34E9"/>
    <w:rsid w:val="005E35AB"/>
    <w:rsid w:val="005E386C"/>
    <w:rsid w:val="005F1439"/>
    <w:rsid w:val="005F21B0"/>
    <w:rsid w:val="005F3103"/>
    <w:rsid w:val="005F4D3D"/>
    <w:rsid w:val="005F5B10"/>
    <w:rsid w:val="005F6A43"/>
    <w:rsid w:val="005F6CAB"/>
    <w:rsid w:val="0060129A"/>
    <w:rsid w:val="0060244C"/>
    <w:rsid w:val="00610A95"/>
    <w:rsid w:val="00613401"/>
    <w:rsid w:val="0061516D"/>
    <w:rsid w:val="00615B10"/>
    <w:rsid w:val="006168EB"/>
    <w:rsid w:val="00616DEB"/>
    <w:rsid w:val="00620DE2"/>
    <w:rsid w:val="00624E9E"/>
    <w:rsid w:val="006263D3"/>
    <w:rsid w:val="0062694E"/>
    <w:rsid w:val="006277C1"/>
    <w:rsid w:val="0062791E"/>
    <w:rsid w:val="00630030"/>
    <w:rsid w:val="00630426"/>
    <w:rsid w:val="00631753"/>
    <w:rsid w:val="0063280E"/>
    <w:rsid w:val="00635C2F"/>
    <w:rsid w:val="00636089"/>
    <w:rsid w:val="00636EB3"/>
    <w:rsid w:val="006377A9"/>
    <w:rsid w:val="0063788D"/>
    <w:rsid w:val="00637F6F"/>
    <w:rsid w:val="00640E61"/>
    <w:rsid w:val="00642A8B"/>
    <w:rsid w:val="006468ED"/>
    <w:rsid w:val="006512F6"/>
    <w:rsid w:val="00653B0F"/>
    <w:rsid w:val="00655007"/>
    <w:rsid w:val="0065599C"/>
    <w:rsid w:val="00655B5C"/>
    <w:rsid w:val="006609B3"/>
    <w:rsid w:val="00660E52"/>
    <w:rsid w:val="0066148E"/>
    <w:rsid w:val="00661B3F"/>
    <w:rsid w:val="006625F9"/>
    <w:rsid w:val="00663A37"/>
    <w:rsid w:val="00664BB4"/>
    <w:rsid w:val="00665A8F"/>
    <w:rsid w:val="00667860"/>
    <w:rsid w:val="0067157E"/>
    <w:rsid w:val="00675D66"/>
    <w:rsid w:val="00676D1D"/>
    <w:rsid w:val="00680D15"/>
    <w:rsid w:val="006818D9"/>
    <w:rsid w:val="006834AD"/>
    <w:rsid w:val="006838C7"/>
    <w:rsid w:val="00684CFF"/>
    <w:rsid w:val="0068643A"/>
    <w:rsid w:val="00687F16"/>
    <w:rsid w:val="00690405"/>
    <w:rsid w:val="00690944"/>
    <w:rsid w:val="006914D2"/>
    <w:rsid w:val="00691C06"/>
    <w:rsid w:val="0069448A"/>
    <w:rsid w:val="00696FD6"/>
    <w:rsid w:val="006A244F"/>
    <w:rsid w:val="006A4224"/>
    <w:rsid w:val="006A56F0"/>
    <w:rsid w:val="006A585F"/>
    <w:rsid w:val="006A6545"/>
    <w:rsid w:val="006A7CE2"/>
    <w:rsid w:val="006A7E3C"/>
    <w:rsid w:val="006B11C6"/>
    <w:rsid w:val="006B4CA4"/>
    <w:rsid w:val="006B6498"/>
    <w:rsid w:val="006B64AA"/>
    <w:rsid w:val="006B6868"/>
    <w:rsid w:val="006B7074"/>
    <w:rsid w:val="006C106B"/>
    <w:rsid w:val="006C117E"/>
    <w:rsid w:val="006C2214"/>
    <w:rsid w:val="006C372D"/>
    <w:rsid w:val="006C410C"/>
    <w:rsid w:val="006C52D3"/>
    <w:rsid w:val="006C55C2"/>
    <w:rsid w:val="006C6C41"/>
    <w:rsid w:val="006D1EC8"/>
    <w:rsid w:val="006D2D2B"/>
    <w:rsid w:val="006D3F59"/>
    <w:rsid w:val="006D6830"/>
    <w:rsid w:val="006D719C"/>
    <w:rsid w:val="006D7DF3"/>
    <w:rsid w:val="006E15A2"/>
    <w:rsid w:val="006E20F9"/>
    <w:rsid w:val="006E2F21"/>
    <w:rsid w:val="006E2FB0"/>
    <w:rsid w:val="006E3F38"/>
    <w:rsid w:val="006E4B54"/>
    <w:rsid w:val="006E4C8D"/>
    <w:rsid w:val="006E6076"/>
    <w:rsid w:val="006E6DD7"/>
    <w:rsid w:val="006F0222"/>
    <w:rsid w:val="006F04A3"/>
    <w:rsid w:val="006F114C"/>
    <w:rsid w:val="006F1A99"/>
    <w:rsid w:val="006F676C"/>
    <w:rsid w:val="00700C90"/>
    <w:rsid w:val="00701F34"/>
    <w:rsid w:val="007031A2"/>
    <w:rsid w:val="00704693"/>
    <w:rsid w:val="00704AB9"/>
    <w:rsid w:val="007054D8"/>
    <w:rsid w:val="00706D47"/>
    <w:rsid w:val="00711EE2"/>
    <w:rsid w:val="00712D71"/>
    <w:rsid w:val="007130DA"/>
    <w:rsid w:val="007137D3"/>
    <w:rsid w:val="00713DD5"/>
    <w:rsid w:val="0071601C"/>
    <w:rsid w:val="00716716"/>
    <w:rsid w:val="00720D8F"/>
    <w:rsid w:val="0072149D"/>
    <w:rsid w:val="007214D9"/>
    <w:rsid w:val="00723C6D"/>
    <w:rsid w:val="0072514D"/>
    <w:rsid w:val="00725C5A"/>
    <w:rsid w:val="007263E6"/>
    <w:rsid w:val="007264EA"/>
    <w:rsid w:val="00726D09"/>
    <w:rsid w:val="00726F49"/>
    <w:rsid w:val="00732AB3"/>
    <w:rsid w:val="007332CF"/>
    <w:rsid w:val="00734FB5"/>
    <w:rsid w:val="00736F47"/>
    <w:rsid w:val="00740ACC"/>
    <w:rsid w:val="00740DFE"/>
    <w:rsid w:val="007410C2"/>
    <w:rsid w:val="007411F0"/>
    <w:rsid w:val="0074208A"/>
    <w:rsid w:val="00746DD6"/>
    <w:rsid w:val="00746E60"/>
    <w:rsid w:val="00746FA8"/>
    <w:rsid w:val="007479B5"/>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C81"/>
    <w:rsid w:val="00766A73"/>
    <w:rsid w:val="00766F19"/>
    <w:rsid w:val="007712C7"/>
    <w:rsid w:val="0077455A"/>
    <w:rsid w:val="00777372"/>
    <w:rsid w:val="00777527"/>
    <w:rsid w:val="00780E83"/>
    <w:rsid w:val="00781849"/>
    <w:rsid w:val="00781B6F"/>
    <w:rsid w:val="00782890"/>
    <w:rsid w:val="007833CB"/>
    <w:rsid w:val="00783B56"/>
    <w:rsid w:val="00786CFF"/>
    <w:rsid w:val="007874B4"/>
    <w:rsid w:val="0078754B"/>
    <w:rsid w:val="00791490"/>
    <w:rsid w:val="00791C7A"/>
    <w:rsid w:val="00791D59"/>
    <w:rsid w:val="00791F00"/>
    <w:rsid w:val="00792D4C"/>
    <w:rsid w:val="007938AE"/>
    <w:rsid w:val="00793B7C"/>
    <w:rsid w:val="0079527D"/>
    <w:rsid w:val="007964CE"/>
    <w:rsid w:val="007A0DC1"/>
    <w:rsid w:val="007A19E0"/>
    <w:rsid w:val="007A1AB6"/>
    <w:rsid w:val="007A22B1"/>
    <w:rsid w:val="007A23F8"/>
    <w:rsid w:val="007A2D52"/>
    <w:rsid w:val="007A31AE"/>
    <w:rsid w:val="007A550A"/>
    <w:rsid w:val="007A5B2E"/>
    <w:rsid w:val="007A5C18"/>
    <w:rsid w:val="007B28CF"/>
    <w:rsid w:val="007B4416"/>
    <w:rsid w:val="007B46BF"/>
    <w:rsid w:val="007B522A"/>
    <w:rsid w:val="007B6DD8"/>
    <w:rsid w:val="007C05DC"/>
    <w:rsid w:val="007C0FF7"/>
    <w:rsid w:val="007C14EE"/>
    <w:rsid w:val="007C3040"/>
    <w:rsid w:val="007C3BA4"/>
    <w:rsid w:val="007D07B3"/>
    <w:rsid w:val="007D1B1E"/>
    <w:rsid w:val="007D1D80"/>
    <w:rsid w:val="007D4712"/>
    <w:rsid w:val="007D529A"/>
    <w:rsid w:val="007D5D30"/>
    <w:rsid w:val="007D6CF0"/>
    <w:rsid w:val="007E0B5E"/>
    <w:rsid w:val="007E0C9C"/>
    <w:rsid w:val="007E1437"/>
    <w:rsid w:val="007E18F8"/>
    <w:rsid w:val="007E38F1"/>
    <w:rsid w:val="007E3C2E"/>
    <w:rsid w:val="007E3F8B"/>
    <w:rsid w:val="007E648C"/>
    <w:rsid w:val="007E781F"/>
    <w:rsid w:val="007F120F"/>
    <w:rsid w:val="007F1538"/>
    <w:rsid w:val="007F15FE"/>
    <w:rsid w:val="007F3D8B"/>
    <w:rsid w:val="007F3F9F"/>
    <w:rsid w:val="007F5BB9"/>
    <w:rsid w:val="007F5C41"/>
    <w:rsid w:val="007F5E4F"/>
    <w:rsid w:val="007F7965"/>
    <w:rsid w:val="00800651"/>
    <w:rsid w:val="0080069B"/>
    <w:rsid w:val="00800EF1"/>
    <w:rsid w:val="008017D6"/>
    <w:rsid w:val="0080185B"/>
    <w:rsid w:val="00802AC9"/>
    <w:rsid w:val="00803304"/>
    <w:rsid w:val="0080614C"/>
    <w:rsid w:val="00807B2A"/>
    <w:rsid w:val="00810827"/>
    <w:rsid w:val="00810E97"/>
    <w:rsid w:val="0081123B"/>
    <w:rsid w:val="00811393"/>
    <w:rsid w:val="00816C5A"/>
    <w:rsid w:val="00817344"/>
    <w:rsid w:val="00817678"/>
    <w:rsid w:val="0082049D"/>
    <w:rsid w:val="008217BC"/>
    <w:rsid w:val="00822BA1"/>
    <w:rsid w:val="00824C70"/>
    <w:rsid w:val="00824E58"/>
    <w:rsid w:val="00827214"/>
    <w:rsid w:val="008275DC"/>
    <w:rsid w:val="00827D60"/>
    <w:rsid w:val="00831D6C"/>
    <w:rsid w:val="00832F6C"/>
    <w:rsid w:val="008341ED"/>
    <w:rsid w:val="0083732C"/>
    <w:rsid w:val="00837584"/>
    <w:rsid w:val="00841673"/>
    <w:rsid w:val="00841963"/>
    <w:rsid w:val="00845B52"/>
    <w:rsid w:val="00846D3E"/>
    <w:rsid w:val="00846DE7"/>
    <w:rsid w:val="008477B9"/>
    <w:rsid w:val="008523FA"/>
    <w:rsid w:val="008529E6"/>
    <w:rsid w:val="00852CDD"/>
    <w:rsid w:val="00855E11"/>
    <w:rsid w:val="008575E1"/>
    <w:rsid w:val="0085760A"/>
    <w:rsid w:val="0086170A"/>
    <w:rsid w:val="00863328"/>
    <w:rsid w:val="0086448F"/>
    <w:rsid w:val="00864D6E"/>
    <w:rsid w:val="008659A2"/>
    <w:rsid w:val="0086690B"/>
    <w:rsid w:val="00866973"/>
    <w:rsid w:val="008710F8"/>
    <w:rsid w:val="00871B94"/>
    <w:rsid w:val="0087384A"/>
    <w:rsid w:val="0087417C"/>
    <w:rsid w:val="008755C2"/>
    <w:rsid w:val="00875A6F"/>
    <w:rsid w:val="00876CC6"/>
    <w:rsid w:val="00881947"/>
    <w:rsid w:val="00881D64"/>
    <w:rsid w:val="00882C01"/>
    <w:rsid w:val="00882E02"/>
    <w:rsid w:val="00883C16"/>
    <w:rsid w:val="00884A0B"/>
    <w:rsid w:val="008853EC"/>
    <w:rsid w:val="00885F19"/>
    <w:rsid w:val="00891CFC"/>
    <w:rsid w:val="00891E79"/>
    <w:rsid w:val="008921AE"/>
    <w:rsid w:val="0089386F"/>
    <w:rsid w:val="00895187"/>
    <w:rsid w:val="00895BD3"/>
    <w:rsid w:val="00896EDC"/>
    <w:rsid w:val="008A0C9F"/>
    <w:rsid w:val="008A14F6"/>
    <w:rsid w:val="008A1645"/>
    <w:rsid w:val="008A3E6F"/>
    <w:rsid w:val="008A56C3"/>
    <w:rsid w:val="008A6E84"/>
    <w:rsid w:val="008A7EF2"/>
    <w:rsid w:val="008B0DFB"/>
    <w:rsid w:val="008B2951"/>
    <w:rsid w:val="008B2BBB"/>
    <w:rsid w:val="008B646D"/>
    <w:rsid w:val="008B6842"/>
    <w:rsid w:val="008B70C4"/>
    <w:rsid w:val="008B7F11"/>
    <w:rsid w:val="008C18C1"/>
    <w:rsid w:val="008C1BA2"/>
    <w:rsid w:val="008C3DC2"/>
    <w:rsid w:val="008C442E"/>
    <w:rsid w:val="008C4943"/>
    <w:rsid w:val="008C5658"/>
    <w:rsid w:val="008C5DCA"/>
    <w:rsid w:val="008D0ADE"/>
    <w:rsid w:val="008D1070"/>
    <w:rsid w:val="008D344B"/>
    <w:rsid w:val="008D346A"/>
    <w:rsid w:val="008D370B"/>
    <w:rsid w:val="008D41FC"/>
    <w:rsid w:val="008D4ED9"/>
    <w:rsid w:val="008D6B04"/>
    <w:rsid w:val="008E2654"/>
    <w:rsid w:val="008E4FF4"/>
    <w:rsid w:val="008E5538"/>
    <w:rsid w:val="008E6CB1"/>
    <w:rsid w:val="008F1C22"/>
    <w:rsid w:val="008F22F6"/>
    <w:rsid w:val="008F2554"/>
    <w:rsid w:val="008F47DC"/>
    <w:rsid w:val="008F587A"/>
    <w:rsid w:val="008F635E"/>
    <w:rsid w:val="009025FB"/>
    <w:rsid w:val="009029DB"/>
    <w:rsid w:val="009038A8"/>
    <w:rsid w:val="0090753F"/>
    <w:rsid w:val="00913E51"/>
    <w:rsid w:val="00914986"/>
    <w:rsid w:val="00914DFE"/>
    <w:rsid w:val="0091614B"/>
    <w:rsid w:val="0092131F"/>
    <w:rsid w:val="00921595"/>
    <w:rsid w:val="00925D59"/>
    <w:rsid w:val="00926716"/>
    <w:rsid w:val="00930E01"/>
    <w:rsid w:val="00932A82"/>
    <w:rsid w:val="0093319A"/>
    <w:rsid w:val="00933540"/>
    <w:rsid w:val="00933E6E"/>
    <w:rsid w:val="00934877"/>
    <w:rsid w:val="009353B8"/>
    <w:rsid w:val="00935439"/>
    <w:rsid w:val="009357D5"/>
    <w:rsid w:val="00935CD9"/>
    <w:rsid w:val="009372AB"/>
    <w:rsid w:val="00941D0E"/>
    <w:rsid w:val="009453A6"/>
    <w:rsid w:val="009464A3"/>
    <w:rsid w:val="00946522"/>
    <w:rsid w:val="00946796"/>
    <w:rsid w:val="0095183B"/>
    <w:rsid w:val="0095204C"/>
    <w:rsid w:val="009520FE"/>
    <w:rsid w:val="00953424"/>
    <w:rsid w:val="00953B51"/>
    <w:rsid w:val="00953B7B"/>
    <w:rsid w:val="00954528"/>
    <w:rsid w:val="009558AA"/>
    <w:rsid w:val="009603E5"/>
    <w:rsid w:val="0096071A"/>
    <w:rsid w:val="00960C91"/>
    <w:rsid w:val="0096148D"/>
    <w:rsid w:val="00961AEB"/>
    <w:rsid w:val="00961B6D"/>
    <w:rsid w:val="00963717"/>
    <w:rsid w:val="00965CC4"/>
    <w:rsid w:val="0096624D"/>
    <w:rsid w:val="00970143"/>
    <w:rsid w:val="00970B7F"/>
    <w:rsid w:val="00970C38"/>
    <w:rsid w:val="00971614"/>
    <w:rsid w:val="00972340"/>
    <w:rsid w:val="009752FA"/>
    <w:rsid w:val="0097691C"/>
    <w:rsid w:val="00977693"/>
    <w:rsid w:val="00977BB1"/>
    <w:rsid w:val="00982494"/>
    <w:rsid w:val="009845F3"/>
    <w:rsid w:val="009845FD"/>
    <w:rsid w:val="00986A5D"/>
    <w:rsid w:val="00986E0B"/>
    <w:rsid w:val="00990935"/>
    <w:rsid w:val="00990A99"/>
    <w:rsid w:val="00990AFD"/>
    <w:rsid w:val="00991001"/>
    <w:rsid w:val="00991069"/>
    <w:rsid w:val="0099397C"/>
    <w:rsid w:val="00996257"/>
    <w:rsid w:val="00996BCA"/>
    <w:rsid w:val="009A0E79"/>
    <w:rsid w:val="009A216A"/>
    <w:rsid w:val="009A23B0"/>
    <w:rsid w:val="009A35C9"/>
    <w:rsid w:val="009A3604"/>
    <w:rsid w:val="009A473C"/>
    <w:rsid w:val="009A640D"/>
    <w:rsid w:val="009A7F00"/>
    <w:rsid w:val="009B1548"/>
    <w:rsid w:val="009B3A1D"/>
    <w:rsid w:val="009B3A83"/>
    <w:rsid w:val="009B41F0"/>
    <w:rsid w:val="009B7FFD"/>
    <w:rsid w:val="009C0279"/>
    <w:rsid w:val="009C3225"/>
    <w:rsid w:val="009C4284"/>
    <w:rsid w:val="009C5DC4"/>
    <w:rsid w:val="009C61A3"/>
    <w:rsid w:val="009C6B84"/>
    <w:rsid w:val="009D0BC2"/>
    <w:rsid w:val="009D1368"/>
    <w:rsid w:val="009D2CDA"/>
    <w:rsid w:val="009D5A24"/>
    <w:rsid w:val="009D5B2E"/>
    <w:rsid w:val="009D636F"/>
    <w:rsid w:val="009D6A8C"/>
    <w:rsid w:val="009D7457"/>
    <w:rsid w:val="009D758F"/>
    <w:rsid w:val="009D7BF2"/>
    <w:rsid w:val="009D7D83"/>
    <w:rsid w:val="009E172F"/>
    <w:rsid w:val="009E19CB"/>
    <w:rsid w:val="009E426E"/>
    <w:rsid w:val="009E439C"/>
    <w:rsid w:val="009E620D"/>
    <w:rsid w:val="009E7F49"/>
    <w:rsid w:val="009F0B98"/>
    <w:rsid w:val="009F1C46"/>
    <w:rsid w:val="009F2079"/>
    <w:rsid w:val="009F4BE1"/>
    <w:rsid w:val="009F4FF4"/>
    <w:rsid w:val="009F69B5"/>
    <w:rsid w:val="00A004D3"/>
    <w:rsid w:val="00A06896"/>
    <w:rsid w:val="00A07CA6"/>
    <w:rsid w:val="00A12981"/>
    <w:rsid w:val="00A14320"/>
    <w:rsid w:val="00A14499"/>
    <w:rsid w:val="00A14E83"/>
    <w:rsid w:val="00A151A5"/>
    <w:rsid w:val="00A15263"/>
    <w:rsid w:val="00A15E74"/>
    <w:rsid w:val="00A164FB"/>
    <w:rsid w:val="00A16BEA"/>
    <w:rsid w:val="00A175E5"/>
    <w:rsid w:val="00A178C0"/>
    <w:rsid w:val="00A17EA1"/>
    <w:rsid w:val="00A17EDF"/>
    <w:rsid w:val="00A24B55"/>
    <w:rsid w:val="00A24F60"/>
    <w:rsid w:val="00A254EA"/>
    <w:rsid w:val="00A274EF"/>
    <w:rsid w:val="00A300E8"/>
    <w:rsid w:val="00A30DB1"/>
    <w:rsid w:val="00A31101"/>
    <w:rsid w:val="00A34451"/>
    <w:rsid w:val="00A35811"/>
    <w:rsid w:val="00A35D0A"/>
    <w:rsid w:val="00A35DF7"/>
    <w:rsid w:val="00A40FB6"/>
    <w:rsid w:val="00A42629"/>
    <w:rsid w:val="00A43944"/>
    <w:rsid w:val="00A43A45"/>
    <w:rsid w:val="00A43D2B"/>
    <w:rsid w:val="00A4524B"/>
    <w:rsid w:val="00A45454"/>
    <w:rsid w:val="00A4637B"/>
    <w:rsid w:val="00A476D0"/>
    <w:rsid w:val="00A50D2F"/>
    <w:rsid w:val="00A50EE4"/>
    <w:rsid w:val="00A521D4"/>
    <w:rsid w:val="00A53511"/>
    <w:rsid w:val="00A541FE"/>
    <w:rsid w:val="00A60841"/>
    <w:rsid w:val="00A61A4E"/>
    <w:rsid w:val="00A63700"/>
    <w:rsid w:val="00A64575"/>
    <w:rsid w:val="00A65A26"/>
    <w:rsid w:val="00A65DF4"/>
    <w:rsid w:val="00A660CE"/>
    <w:rsid w:val="00A67625"/>
    <w:rsid w:val="00A67EF4"/>
    <w:rsid w:val="00A73EF9"/>
    <w:rsid w:val="00A756C6"/>
    <w:rsid w:val="00A77200"/>
    <w:rsid w:val="00A80BB6"/>
    <w:rsid w:val="00A80C68"/>
    <w:rsid w:val="00A821AF"/>
    <w:rsid w:val="00A844B8"/>
    <w:rsid w:val="00A855BE"/>
    <w:rsid w:val="00A86406"/>
    <w:rsid w:val="00A87937"/>
    <w:rsid w:val="00A9014B"/>
    <w:rsid w:val="00A915AB"/>
    <w:rsid w:val="00A9222E"/>
    <w:rsid w:val="00A92C7A"/>
    <w:rsid w:val="00A92DD2"/>
    <w:rsid w:val="00A93911"/>
    <w:rsid w:val="00A9454C"/>
    <w:rsid w:val="00A94751"/>
    <w:rsid w:val="00A95B2A"/>
    <w:rsid w:val="00A95E7F"/>
    <w:rsid w:val="00A96228"/>
    <w:rsid w:val="00A970D5"/>
    <w:rsid w:val="00AA0B4E"/>
    <w:rsid w:val="00AA1BBB"/>
    <w:rsid w:val="00AA1E74"/>
    <w:rsid w:val="00AA24D2"/>
    <w:rsid w:val="00AA423E"/>
    <w:rsid w:val="00AA7316"/>
    <w:rsid w:val="00AA78CE"/>
    <w:rsid w:val="00AA7F42"/>
    <w:rsid w:val="00AB0C12"/>
    <w:rsid w:val="00AB0FA7"/>
    <w:rsid w:val="00AB11CA"/>
    <w:rsid w:val="00AB26D5"/>
    <w:rsid w:val="00AB3885"/>
    <w:rsid w:val="00AB5F3B"/>
    <w:rsid w:val="00AC004D"/>
    <w:rsid w:val="00AC2BD0"/>
    <w:rsid w:val="00AC33F8"/>
    <w:rsid w:val="00AC38A9"/>
    <w:rsid w:val="00AC4BF6"/>
    <w:rsid w:val="00AC6797"/>
    <w:rsid w:val="00AC6A7A"/>
    <w:rsid w:val="00AC6F68"/>
    <w:rsid w:val="00AD124D"/>
    <w:rsid w:val="00AD1EAE"/>
    <w:rsid w:val="00AD2280"/>
    <w:rsid w:val="00AD26C0"/>
    <w:rsid w:val="00AD4839"/>
    <w:rsid w:val="00AD76EF"/>
    <w:rsid w:val="00AE19D1"/>
    <w:rsid w:val="00AE2666"/>
    <w:rsid w:val="00AE50C7"/>
    <w:rsid w:val="00AE5D09"/>
    <w:rsid w:val="00AE6B11"/>
    <w:rsid w:val="00AE7EBC"/>
    <w:rsid w:val="00AF434D"/>
    <w:rsid w:val="00AF4EE4"/>
    <w:rsid w:val="00B0036F"/>
    <w:rsid w:val="00B00C8E"/>
    <w:rsid w:val="00B02AA5"/>
    <w:rsid w:val="00B04F50"/>
    <w:rsid w:val="00B1073D"/>
    <w:rsid w:val="00B11CD7"/>
    <w:rsid w:val="00B1205D"/>
    <w:rsid w:val="00B13307"/>
    <w:rsid w:val="00B15202"/>
    <w:rsid w:val="00B1553A"/>
    <w:rsid w:val="00B17577"/>
    <w:rsid w:val="00B17C0E"/>
    <w:rsid w:val="00B21CD1"/>
    <w:rsid w:val="00B23256"/>
    <w:rsid w:val="00B24CF5"/>
    <w:rsid w:val="00B26507"/>
    <w:rsid w:val="00B269CE"/>
    <w:rsid w:val="00B31CD8"/>
    <w:rsid w:val="00B32535"/>
    <w:rsid w:val="00B32B21"/>
    <w:rsid w:val="00B3481E"/>
    <w:rsid w:val="00B37176"/>
    <w:rsid w:val="00B373AA"/>
    <w:rsid w:val="00B40823"/>
    <w:rsid w:val="00B40DF9"/>
    <w:rsid w:val="00B42083"/>
    <w:rsid w:val="00B427A9"/>
    <w:rsid w:val="00B43455"/>
    <w:rsid w:val="00B435F8"/>
    <w:rsid w:val="00B4620E"/>
    <w:rsid w:val="00B46CB0"/>
    <w:rsid w:val="00B4725D"/>
    <w:rsid w:val="00B52A3F"/>
    <w:rsid w:val="00B5462A"/>
    <w:rsid w:val="00B54B34"/>
    <w:rsid w:val="00B54BC7"/>
    <w:rsid w:val="00B56C15"/>
    <w:rsid w:val="00B57348"/>
    <w:rsid w:val="00B61B2B"/>
    <w:rsid w:val="00B61E5E"/>
    <w:rsid w:val="00B62D2B"/>
    <w:rsid w:val="00B63807"/>
    <w:rsid w:val="00B6426B"/>
    <w:rsid w:val="00B65D4D"/>
    <w:rsid w:val="00B66649"/>
    <w:rsid w:val="00B67741"/>
    <w:rsid w:val="00B72574"/>
    <w:rsid w:val="00B75683"/>
    <w:rsid w:val="00B76168"/>
    <w:rsid w:val="00B7667D"/>
    <w:rsid w:val="00B76D71"/>
    <w:rsid w:val="00B8179C"/>
    <w:rsid w:val="00B822DB"/>
    <w:rsid w:val="00B84A8A"/>
    <w:rsid w:val="00B9279C"/>
    <w:rsid w:val="00B934BE"/>
    <w:rsid w:val="00B9576A"/>
    <w:rsid w:val="00B962BB"/>
    <w:rsid w:val="00BA2861"/>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ECE"/>
    <w:rsid w:val="00BD5782"/>
    <w:rsid w:val="00BD780A"/>
    <w:rsid w:val="00BE0CEB"/>
    <w:rsid w:val="00BE1E12"/>
    <w:rsid w:val="00BE346A"/>
    <w:rsid w:val="00BE46DF"/>
    <w:rsid w:val="00BE635E"/>
    <w:rsid w:val="00BE6364"/>
    <w:rsid w:val="00BE6D71"/>
    <w:rsid w:val="00BE718D"/>
    <w:rsid w:val="00BE7A12"/>
    <w:rsid w:val="00BE7CAE"/>
    <w:rsid w:val="00BF5945"/>
    <w:rsid w:val="00BF6362"/>
    <w:rsid w:val="00C009C1"/>
    <w:rsid w:val="00C01B8A"/>
    <w:rsid w:val="00C01FED"/>
    <w:rsid w:val="00C05398"/>
    <w:rsid w:val="00C05402"/>
    <w:rsid w:val="00C056BE"/>
    <w:rsid w:val="00C06182"/>
    <w:rsid w:val="00C06249"/>
    <w:rsid w:val="00C068BC"/>
    <w:rsid w:val="00C0787B"/>
    <w:rsid w:val="00C07B7F"/>
    <w:rsid w:val="00C07EC8"/>
    <w:rsid w:val="00C10243"/>
    <w:rsid w:val="00C13A55"/>
    <w:rsid w:val="00C13C38"/>
    <w:rsid w:val="00C1424F"/>
    <w:rsid w:val="00C14933"/>
    <w:rsid w:val="00C14E0B"/>
    <w:rsid w:val="00C157FC"/>
    <w:rsid w:val="00C200F2"/>
    <w:rsid w:val="00C2027F"/>
    <w:rsid w:val="00C20B16"/>
    <w:rsid w:val="00C216A8"/>
    <w:rsid w:val="00C233B3"/>
    <w:rsid w:val="00C235D5"/>
    <w:rsid w:val="00C23834"/>
    <w:rsid w:val="00C238FB"/>
    <w:rsid w:val="00C25B3F"/>
    <w:rsid w:val="00C2627B"/>
    <w:rsid w:val="00C2746F"/>
    <w:rsid w:val="00C3227B"/>
    <w:rsid w:val="00C32ACE"/>
    <w:rsid w:val="00C32F37"/>
    <w:rsid w:val="00C33352"/>
    <w:rsid w:val="00C34DB4"/>
    <w:rsid w:val="00C35A64"/>
    <w:rsid w:val="00C35E7C"/>
    <w:rsid w:val="00C36B0D"/>
    <w:rsid w:val="00C37839"/>
    <w:rsid w:val="00C37EA0"/>
    <w:rsid w:val="00C4004C"/>
    <w:rsid w:val="00C409F6"/>
    <w:rsid w:val="00C410D2"/>
    <w:rsid w:val="00C41479"/>
    <w:rsid w:val="00C43810"/>
    <w:rsid w:val="00C439F1"/>
    <w:rsid w:val="00C4452E"/>
    <w:rsid w:val="00C536D2"/>
    <w:rsid w:val="00C54558"/>
    <w:rsid w:val="00C558A4"/>
    <w:rsid w:val="00C559CD"/>
    <w:rsid w:val="00C57E04"/>
    <w:rsid w:val="00C61B06"/>
    <w:rsid w:val="00C61FEC"/>
    <w:rsid w:val="00C62B4F"/>
    <w:rsid w:val="00C62FC2"/>
    <w:rsid w:val="00C636B1"/>
    <w:rsid w:val="00C65918"/>
    <w:rsid w:val="00C65FA7"/>
    <w:rsid w:val="00C70CBA"/>
    <w:rsid w:val="00C717F8"/>
    <w:rsid w:val="00C72F35"/>
    <w:rsid w:val="00C73ED0"/>
    <w:rsid w:val="00C74F2A"/>
    <w:rsid w:val="00C76946"/>
    <w:rsid w:val="00C76CD4"/>
    <w:rsid w:val="00C77686"/>
    <w:rsid w:val="00C80B05"/>
    <w:rsid w:val="00C81AD2"/>
    <w:rsid w:val="00C81CD7"/>
    <w:rsid w:val="00C82268"/>
    <w:rsid w:val="00C83AEC"/>
    <w:rsid w:val="00C83CD9"/>
    <w:rsid w:val="00C84348"/>
    <w:rsid w:val="00C8742E"/>
    <w:rsid w:val="00C90FC8"/>
    <w:rsid w:val="00C9443B"/>
    <w:rsid w:val="00C96E34"/>
    <w:rsid w:val="00C9717B"/>
    <w:rsid w:val="00C97586"/>
    <w:rsid w:val="00CA0E7A"/>
    <w:rsid w:val="00CA1AD6"/>
    <w:rsid w:val="00CA39B7"/>
    <w:rsid w:val="00CA43EA"/>
    <w:rsid w:val="00CA5AF6"/>
    <w:rsid w:val="00CA68A9"/>
    <w:rsid w:val="00CA760E"/>
    <w:rsid w:val="00CB2149"/>
    <w:rsid w:val="00CB2159"/>
    <w:rsid w:val="00CB4BBD"/>
    <w:rsid w:val="00CB4C86"/>
    <w:rsid w:val="00CB5B7B"/>
    <w:rsid w:val="00CB6418"/>
    <w:rsid w:val="00CC0C48"/>
    <w:rsid w:val="00CC3DCA"/>
    <w:rsid w:val="00CC4F1E"/>
    <w:rsid w:val="00CC5FBE"/>
    <w:rsid w:val="00CC6BC0"/>
    <w:rsid w:val="00CC7706"/>
    <w:rsid w:val="00CD18A3"/>
    <w:rsid w:val="00CD19A8"/>
    <w:rsid w:val="00CD19DB"/>
    <w:rsid w:val="00CD2E3C"/>
    <w:rsid w:val="00CD30FC"/>
    <w:rsid w:val="00CD39A2"/>
    <w:rsid w:val="00CD4B87"/>
    <w:rsid w:val="00CD55DB"/>
    <w:rsid w:val="00CD63AD"/>
    <w:rsid w:val="00CE1E88"/>
    <w:rsid w:val="00CE26E6"/>
    <w:rsid w:val="00CE4450"/>
    <w:rsid w:val="00CE4772"/>
    <w:rsid w:val="00CE49B6"/>
    <w:rsid w:val="00CE4A28"/>
    <w:rsid w:val="00CE56C5"/>
    <w:rsid w:val="00CE5C3A"/>
    <w:rsid w:val="00CF0972"/>
    <w:rsid w:val="00CF0AE0"/>
    <w:rsid w:val="00CF31B4"/>
    <w:rsid w:val="00CF4CEF"/>
    <w:rsid w:val="00CF6431"/>
    <w:rsid w:val="00CF6E52"/>
    <w:rsid w:val="00D01DCF"/>
    <w:rsid w:val="00D04514"/>
    <w:rsid w:val="00D05EB5"/>
    <w:rsid w:val="00D067C4"/>
    <w:rsid w:val="00D076D9"/>
    <w:rsid w:val="00D11A35"/>
    <w:rsid w:val="00D11E06"/>
    <w:rsid w:val="00D1224D"/>
    <w:rsid w:val="00D1259C"/>
    <w:rsid w:val="00D13846"/>
    <w:rsid w:val="00D20835"/>
    <w:rsid w:val="00D20D52"/>
    <w:rsid w:val="00D20EF6"/>
    <w:rsid w:val="00D219AA"/>
    <w:rsid w:val="00D21D01"/>
    <w:rsid w:val="00D2237A"/>
    <w:rsid w:val="00D22D3F"/>
    <w:rsid w:val="00D23862"/>
    <w:rsid w:val="00D24BD1"/>
    <w:rsid w:val="00D2588A"/>
    <w:rsid w:val="00D25B60"/>
    <w:rsid w:val="00D26217"/>
    <w:rsid w:val="00D26522"/>
    <w:rsid w:val="00D278F0"/>
    <w:rsid w:val="00D338DB"/>
    <w:rsid w:val="00D3511F"/>
    <w:rsid w:val="00D36BE0"/>
    <w:rsid w:val="00D36DB6"/>
    <w:rsid w:val="00D3752B"/>
    <w:rsid w:val="00D40470"/>
    <w:rsid w:val="00D41147"/>
    <w:rsid w:val="00D41DB5"/>
    <w:rsid w:val="00D4515E"/>
    <w:rsid w:val="00D4521D"/>
    <w:rsid w:val="00D45819"/>
    <w:rsid w:val="00D46397"/>
    <w:rsid w:val="00D52933"/>
    <w:rsid w:val="00D52FF0"/>
    <w:rsid w:val="00D56683"/>
    <w:rsid w:val="00D6001A"/>
    <w:rsid w:val="00D6189E"/>
    <w:rsid w:val="00D61E4F"/>
    <w:rsid w:val="00D62E71"/>
    <w:rsid w:val="00D63146"/>
    <w:rsid w:val="00D64BB4"/>
    <w:rsid w:val="00D65159"/>
    <w:rsid w:val="00D65C56"/>
    <w:rsid w:val="00D66CBB"/>
    <w:rsid w:val="00D70514"/>
    <w:rsid w:val="00D71305"/>
    <w:rsid w:val="00D718B8"/>
    <w:rsid w:val="00D71BF7"/>
    <w:rsid w:val="00D7260C"/>
    <w:rsid w:val="00D731D0"/>
    <w:rsid w:val="00D738D2"/>
    <w:rsid w:val="00D73CDD"/>
    <w:rsid w:val="00D74E94"/>
    <w:rsid w:val="00D76565"/>
    <w:rsid w:val="00D766B4"/>
    <w:rsid w:val="00D809E4"/>
    <w:rsid w:val="00D81B85"/>
    <w:rsid w:val="00D81EDD"/>
    <w:rsid w:val="00D8486E"/>
    <w:rsid w:val="00D84F77"/>
    <w:rsid w:val="00D8663B"/>
    <w:rsid w:val="00D878B6"/>
    <w:rsid w:val="00D87FC0"/>
    <w:rsid w:val="00D90C1B"/>
    <w:rsid w:val="00D90FB3"/>
    <w:rsid w:val="00D925D1"/>
    <w:rsid w:val="00D92668"/>
    <w:rsid w:val="00D93AD4"/>
    <w:rsid w:val="00D9432F"/>
    <w:rsid w:val="00D94F27"/>
    <w:rsid w:val="00D95B37"/>
    <w:rsid w:val="00D979CF"/>
    <w:rsid w:val="00DA0B8F"/>
    <w:rsid w:val="00DA1F2A"/>
    <w:rsid w:val="00DA432C"/>
    <w:rsid w:val="00DB08A2"/>
    <w:rsid w:val="00DB0D6D"/>
    <w:rsid w:val="00DB1035"/>
    <w:rsid w:val="00DB1F84"/>
    <w:rsid w:val="00DB4331"/>
    <w:rsid w:val="00DB44A1"/>
    <w:rsid w:val="00DB5CD7"/>
    <w:rsid w:val="00DB6647"/>
    <w:rsid w:val="00DC0C9F"/>
    <w:rsid w:val="00DC1727"/>
    <w:rsid w:val="00DC33BA"/>
    <w:rsid w:val="00DC4957"/>
    <w:rsid w:val="00DC4AE2"/>
    <w:rsid w:val="00DC63B3"/>
    <w:rsid w:val="00DC6B6C"/>
    <w:rsid w:val="00DD2877"/>
    <w:rsid w:val="00DD2EDE"/>
    <w:rsid w:val="00DD3144"/>
    <w:rsid w:val="00DD67AC"/>
    <w:rsid w:val="00DD7FD2"/>
    <w:rsid w:val="00DE0E0F"/>
    <w:rsid w:val="00DE0E4A"/>
    <w:rsid w:val="00DE0F3E"/>
    <w:rsid w:val="00DE1DEE"/>
    <w:rsid w:val="00DE2A8A"/>
    <w:rsid w:val="00DE3218"/>
    <w:rsid w:val="00DE33F9"/>
    <w:rsid w:val="00DE36E6"/>
    <w:rsid w:val="00DE5831"/>
    <w:rsid w:val="00DE6816"/>
    <w:rsid w:val="00DE6A24"/>
    <w:rsid w:val="00DF06C4"/>
    <w:rsid w:val="00DF0BD1"/>
    <w:rsid w:val="00DF1156"/>
    <w:rsid w:val="00DF1173"/>
    <w:rsid w:val="00DF2CB0"/>
    <w:rsid w:val="00DF383C"/>
    <w:rsid w:val="00DF4465"/>
    <w:rsid w:val="00DF451B"/>
    <w:rsid w:val="00DF5D03"/>
    <w:rsid w:val="00DF6006"/>
    <w:rsid w:val="00DF6955"/>
    <w:rsid w:val="00DF7B01"/>
    <w:rsid w:val="00E01806"/>
    <w:rsid w:val="00E0443E"/>
    <w:rsid w:val="00E0480A"/>
    <w:rsid w:val="00E05FCE"/>
    <w:rsid w:val="00E076EA"/>
    <w:rsid w:val="00E120FC"/>
    <w:rsid w:val="00E12D07"/>
    <w:rsid w:val="00E14BA9"/>
    <w:rsid w:val="00E1701F"/>
    <w:rsid w:val="00E2168A"/>
    <w:rsid w:val="00E22FD4"/>
    <w:rsid w:val="00E23EE3"/>
    <w:rsid w:val="00E245A1"/>
    <w:rsid w:val="00E24831"/>
    <w:rsid w:val="00E31001"/>
    <w:rsid w:val="00E3445B"/>
    <w:rsid w:val="00E34A4E"/>
    <w:rsid w:val="00E373C0"/>
    <w:rsid w:val="00E41D06"/>
    <w:rsid w:val="00E41D0D"/>
    <w:rsid w:val="00E45644"/>
    <w:rsid w:val="00E46685"/>
    <w:rsid w:val="00E507BE"/>
    <w:rsid w:val="00E50A06"/>
    <w:rsid w:val="00E51D63"/>
    <w:rsid w:val="00E5265D"/>
    <w:rsid w:val="00E5320E"/>
    <w:rsid w:val="00E540BC"/>
    <w:rsid w:val="00E546D8"/>
    <w:rsid w:val="00E55C26"/>
    <w:rsid w:val="00E55EA0"/>
    <w:rsid w:val="00E57067"/>
    <w:rsid w:val="00E600CD"/>
    <w:rsid w:val="00E62EF4"/>
    <w:rsid w:val="00E63E51"/>
    <w:rsid w:val="00E65521"/>
    <w:rsid w:val="00E656DD"/>
    <w:rsid w:val="00E67455"/>
    <w:rsid w:val="00E701AC"/>
    <w:rsid w:val="00E719E2"/>
    <w:rsid w:val="00E72DC4"/>
    <w:rsid w:val="00E730F3"/>
    <w:rsid w:val="00E75386"/>
    <w:rsid w:val="00E758A1"/>
    <w:rsid w:val="00E76832"/>
    <w:rsid w:val="00E76D1F"/>
    <w:rsid w:val="00E77015"/>
    <w:rsid w:val="00E77017"/>
    <w:rsid w:val="00E775D6"/>
    <w:rsid w:val="00E807E8"/>
    <w:rsid w:val="00E80AD6"/>
    <w:rsid w:val="00E8267D"/>
    <w:rsid w:val="00E83C17"/>
    <w:rsid w:val="00E844ED"/>
    <w:rsid w:val="00E8653F"/>
    <w:rsid w:val="00E86C05"/>
    <w:rsid w:val="00E90C8F"/>
    <w:rsid w:val="00E91006"/>
    <w:rsid w:val="00E92106"/>
    <w:rsid w:val="00E92204"/>
    <w:rsid w:val="00E93F35"/>
    <w:rsid w:val="00E95BC3"/>
    <w:rsid w:val="00EA097B"/>
    <w:rsid w:val="00EA4C1F"/>
    <w:rsid w:val="00EA562F"/>
    <w:rsid w:val="00EA5B2B"/>
    <w:rsid w:val="00EA7EA7"/>
    <w:rsid w:val="00EB0AFA"/>
    <w:rsid w:val="00EB2BE8"/>
    <w:rsid w:val="00EB352A"/>
    <w:rsid w:val="00EB3FD5"/>
    <w:rsid w:val="00EB4897"/>
    <w:rsid w:val="00EB5F05"/>
    <w:rsid w:val="00EB65D1"/>
    <w:rsid w:val="00EC1362"/>
    <w:rsid w:val="00EC238F"/>
    <w:rsid w:val="00EC291E"/>
    <w:rsid w:val="00EC2EEA"/>
    <w:rsid w:val="00EC5A5C"/>
    <w:rsid w:val="00EC6ABB"/>
    <w:rsid w:val="00EC7B44"/>
    <w:rsid w:val="00ED10D9"/>
    <w:rsid w:val="00ED28F4"/>
    <w:rsid w:val="00ED30A9"/>
    <w:rsid w:val="00ED3AEE"/>
    <w:rsid w:val="00ED42D5"/>
    <w:rsid w:val="00ED43C6"/>
    <w:rsid w:val="00ED5476"/>
    <w:rsid w:val="00ED62D1"/>
    <w:rsid w:val="00ED7864"/>
    <w:rsid w:val="00EE0200"/>
    <w:rsid w:val="00EE0F6C"/>
    <w:rsid w:val="00EE1465"/>
    <w:rsid w:val="00EE2C69"/>
    <w:rsid w:val="00EE34DD"/>
    <w:rsid w:val="00EE3C92"/>
    <w:rsid w:val="00EE447F"/>
    <w:rsid w:val="00EE47C6"/>
    <w:rsid w:val="00EE4D84"/>
    <w:rsid w:val="00EE575C"/>
    <w:rsid w:val="00EE76B1"/>
    <w:rsid w:val="00EF0F59"/>
    <w:rsid w:val="00EF1196"/>
    <w:rsid w:val="00EF2481"/>
    <w:rsid w:val="00EF2B23"/>
    <w:rsid w:val="00EF3A01"/>
    <w:rsid w:val="00EF52F1"/>
    <w:rsid w:val="00EF6F58"/>
    <w:rsid w:val="00EF7420"/>
    <w:rsid w:val="00EF7935"/>
    <w:rsid w:val="00F01526"/>
    <w:rsid w:val="00F023A7"/>
    <w:rsid w:val="00F039E2"/>
    <w:rsid w:val="00F04A95"/>
    <w:rsid w:val="00F058D3"/>
    <w:rsid w:val="00F11FF3"/>
    <w:rsid w:val="00F12F4D"/>
    <w:rsid w:val="00F12FB0"/>
    <w:rsid w:val="00F16039"/>
    <w:rsid w:val="00F207C2"/>
    <w:rsid w:val="00F20DCF"/>
    <w:rsid w:val="00F2498E"/>
    <w:rsid w:val="00F3332A"/>
    <w:rsid w:val="00F34068"/>
    <w:rsid w:val="00F3421F"/>
    <w:rsid w:val="00F35ED7"/>
    <w:rsid w:val="00F43916"/>
    <w:rsid w:val="00F44F84"/>
    <w:rsid w:val="00F466E6"/>
    <w:rsid w:val="00F471B5"/>
    <w:rsid w:val="00F508F3"/>
    <w:rsid w:val="00F51165"/>
    <w:rsid w:val="00F51C42"/>
    <w:rsid w:val="00F51CC4"/>
    <w:rsid w:val="00F51EAB"/>
    <w:rsid w:val="00F51FFB"/>
    <w:rsid w:val="00F53747"/>
    <w:rsid w:val="00F547EE"/>
    <w:rsid w:val="00F54AF1"/>
    <w:rsid w:val="00F55B3B"/>
    <w:rsid w:val="00F55CBC"/>
    <w:rsid w:val="00F56426"/>
    <w:rsid w:val="00F5643F"/>
    <w:rsid w:val="00F56CB4"/>
    <w:rsid w:val="00F62371"/>
    <w:rsid w:val="00F63239"/>
    <w:rsid w:val="00F656E5"/>
    <w:rsid w:val="00F66279"/>
    <w:rsid w:val="00F70B12"/>
    <w:rsid w:val="00F70F10"/>
    <w:rsid w:val="00F74A3D"/>
    <w:rsid w:val="00F74A8F"/>
    <w:rsid w:val="00F74FB9"/>
    <w:rsid w:val="00F77D38"/>
    <w:rsid w:val="00F83E9A"/>
    <w:rsid w:val="00F86C5F"/>
    <w:rsid w:val="00F86D62"/>
    <w:rsid w:val="00F874BB"/>
    <w:rsid w:val="00F90DA5"/>
    <w:rsid w:val="00F9118F"/>
    <w:rsid w:val="00F914C6"/>
    <w:rsid w:val="00F92B59"/>
    <w:rsid w:val="00F97115"/>
    <w:rsid w:val="00F97289"/>
    <w:rsid w:val="00F97B3C"/>
    <w:rsid w:val="00F97DE7"/>
    <w:rsid w:val="00FA00A8"/>
    <w:rsid w:val="00FA1F4B"/>
    <w:rsid w:val="00FA3644"/>
    <w:rsid w:val="00FA4A6C"/>
    <w:rsid w:val="00FA4CAD"/>
    <w:rsid w:val="00FA4DC7"/>
    <w:rsid w:val="00FA5D15"/>
    <w:rsid w:val="00FB41FD"/>
    <w:rsid w:val="00FB4E64"/>
    <w:rsid w:val="00FB6398"/>
    <w:rsid w:val="00FB6CE1"/>
    <w:rsid w:val="00FC10F4"/>
    <w:rsid w:val="00FC16AB"/>
    <w:rsid w:val="00FC3FBD"/>
    <w:rsid w:val="00FC54A4"/>
    <w:rsid w:val="00FC5A5C"/>
    <w:rsid w:val="00FC5CDF"/>
    <w:rsid w:val="00FC7BED"/>
    <w:rsid w:val="00FD0A58"/>
    <w:rsid w:val="00FD160B"/>
    <w:rsid w:val="00FD19B7"/>
    <w:rsid w:val="00FD39C9"/>
    <w:rsid w:val="00FD3CDC"/>
    <w:rsid w:val="00FD4225"/>
    <w:rsid w:val="00FD4378"/>
    <w:rsid w:val="00FD508D"/>
    <w:rsid w:val="00FD72C2"/>
    <w:rsid w:val="00FE0B52"/>
    <w:rsid w:val="00FE10DF"/>
    <w:rsid w:val="00FE1867"/>
    <w:rsid w:val="00FE26EC"/>
    <w:rsid w:val="00FE2DFF"/>
    <w:rsid w:val="00FE30A0"/>
    <w:rsid w:val="00FE35A8"/>
    <w:rsid w:val="00FE599A"/>
    <w:rsid w:val="00FE663C"/>
    <w:rsid w:val="00FE76FD"/>
    <w:rsid w:val="00FF0847"/>
    <w:rsid w:val="00FF1B91"/>
    <w:rsid w:val="00FF299D"/>
    <w:rsid w:val="00FF32F4"/>
    <w:rsid w:val="00FF47CD"/>
    <w:rsid w:val="00FF5344"/>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37"/>
    <w:rPr>
      <w:rFonts w:ascii="Calibri" w:eastAsia="Calibri" w:hAnsi="Calibri" w:cs="Calibri"/>
      <w:lang w:val="es-ES_tradnl"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qFormat/>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numbering" w:customStyle="1" w:styleId="Listaactual2">
    <w:name w:val="Lista actual2"/>
    <w:uiPriority w:val="99"/>
    <w:rsid w:val="00E3445B"/>
    <w:pPr>
      <w:numPr>
        <w:numId w:val="7"/>
      </w:numPr>
    </w:pPr>
  </w:style>
  <w:style w:type="numbering" w:customStyle="1" w:styleId="Listaactual3">
    <w:name w:val="Lista actual3"/>
    <w:uiPriority w:val="99"/>
    <w:rsid w:val="00EA097B"/>
    <w:pPr>
      <w:numPr>
        <w:numId w:val="9"/>
      </w:numPr>
    </w:pPr>
  </w:style>
  <w:style w:type="numbering" w:customStyle="1" w:styleId="Listaactual4">
    <w:name w:val="Lista actual4"/>
    <w:uiPriority w:val="99"/>
    <w:rsid w:val="008E5538"/>
    <w:pPr>
      <w:numPr>
        <w:numId w:val="11"/>
      </w:numPr>
    </w:pPr>
  </w:style>
  <w:style w:type="character" w:customStyle="1" w:styleId="Mencinsinresolver1">
    <w:name w:val="Mención sin resolver1"/>
    <w:basedOn w:val="Fuentedeprrafopredeter"/>
    <w:uiPriority w:val="99"/>
    <w:semiHidden/>
    <w:unhideWhenUsed/>
    <w:rsid w:val="008A6E84"/>
    <w:rPr>
      <w:color w:val="605E5C"/>
      <w:shd w:val="clear" w:color="auto" w:fill="E1DFDD"/>
    </w:rPr>
  </w:style>
  <w:style w:type="character" w:customStyle="1" w:styleId="il">
    <w:name w:val="il"/>
    <w:basedOn w:val="Fuentedeprrafopredeter"/>
    <w:rsid w:val="007B522A"/>
  </w:style>
  <w:style w:type="character" w:customStyle="1" w:styleId="Mencinsinresolver2">
    <w:name w:val="Mención sin resolver2"/>
    <w:basedOn w:val="Fuentedeprrafopredeter"/>
    <w:uiPriority w:val="99"/>
    <w:semiHidden/>
    <w:unhideWhenUsed/>
    <w:rsid w:val="006C106B"/>
    <w:rPr>
      <w:color w:val="605E5C"/>
      <w:shd w:val="clear" w:color="auto" w:fill="E1DFDD"/>
    </w:rPr>
  </w:style>
  <w:style w:type="paragraph" w:customStyle="1" w:styleId="Citas">
    <w:name w:val="Citas"/>
    <w:basedOn w:val="Normal"/>
    <w:qFormat/>
    <w:rsid w:val="00E45644"/>
    <w:pPr>
      <w:spacing w:before="240" w:line="360" w:lineRule="auto"/>
      <w:ind w:left="851" w:right="851"/>
      <w:jc w:val="both"/>
    </w:pPr>
    <w:rPr>
      <w:rFonts w:ascii="Palatino Linotype" w:eastAsiaTheme="minorHAnsi" w:hAnsi="Palatino Linotype" w:cs="Arial"/>
      <w: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4551787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13305124">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51755301">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0796341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5404-B1A4-4DAE-8C8A-7EE541FA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7413</Words>
  <Characters>40777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2019-06-13T15:30:00Z</cp:lastPrinted>
  <dcterms:created xsi:type="dcterms:W3CDTF">2024-10-21T18:26:00Z</dcterms:created>
  <dcterms:modified xsi:type="dcterms:W3CDTF">2024-11-22T16:47:00Z</dcterms:modified>
</cp:coreProperties>
</file>